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bidi w:val="0"/>
        <w:spacing w:line="600" w:lineRule="exact"/>
        <w:textAlignment w:val="auto"/>
        <w:rPr>
          <w:rFonts w:hint="eastAsia" w:ascii="方正小标宋_GBK" w:hAnsi="方正小标宋_GBK" w:eastAsia="方正小标宋_GBK" w:cs="方正小标宋_GBK"/>
        </w:rPr>
      </w:pPr>
      <w:r>
        <w:rPr>
          <w:rFonts w:hint="eastAsia" w:ascii="方正小标宋_GBK" w:hAnsi="方正小标宋_GBK" w:cs="方正小标宋_GBK"/>
          <w:lang w:eastAsia="zh-CN"/>
        </w:rPr>
        <w:t>共青团中方县委员会</w:t>
      </w:r>
      <w:r>
        <w:rPr>
          <w:rFonts w:hint="eastAsia" w:ascii="方正小标宋_GBK" w:hAnsi="方正小标宋_GBK" w:eastAsia="方正小标宋_GBK" w:cs="方正小标宋_GBK"/>
          <w:lang w:eastAsia="zh-CN"/>
        </w:rPr>
        <w:t>202</w:t>
      </w:r>
      <w:r>
        <w:rPr>
          <w:rFonts w:hint="eastAsia" w:ascii="方正小标宋_GBK" w:hAnsi="方正小标宋_GBK" w:eastAsia="方正小标宋_GBK" w:cs="方正小标宋_GBK"/>
          <w:lang w:val="en-US" w:eastAsia="zh-CN"/>
        </w:rPr>
        <w:t>3</w:t>
      </w:r>
      <w:r>
        <w:rPr>
          <w:rFonts w:hint="eastAsia" w:ascii="方正小标宋_GBK" w:hAnsi="方正小标宋_GBK" w:eastAsia="方正小标宋_GBK" w:cs="方正小标宋_GBK"/>
        </w:rPr>
        <w:t>年度部门整体支出绩效自评报告</w:t>
      </w:r>
    </w:p>
    <w:p>
      <w:pPr>
        <w:pageBreakBefore w:val="0"/>
        <w:kinsoku/>
        <w:wordWrap/>
        <w:overflowPunct/>
        <w:topLinePunct w:val="0"/>
        <w:bidi w:val="0"/>
        <w:spacing w:after="0" w:line="600" w:lineRule="exact"/>
        <w:jc w:val="center"/>
        <w:textAlignment w:val="auto"/>
        <w:rPr>
          <w:rFonts w:hint="eastAsia" w:ascii="楷体" w:hAnsi="楷体" w:eastAsia="楷体" w:cs="楷体"/>
          <w:bCs/>
          <w:sz w:val="36"/>
          <w:szCs w:val="36"/>
        </w:rPr>
      </w:pPr>
    </w:p>
    <w:p>
      <w:pPr>
        <w:pStyle w:val="4"/>
        <w:keepNext w:val="0"/>
        <w:keepLines w:val="0"/>
        <w:pageBreakBefore w:val="0"/>
        <w:kinsoku/>
        <w:wordWrap/>
        <w:overflowPunct/>
        <w:topLinePunct w:val="0"/>
        <w:bidi w:val="0"/>
        <w:spacing w:before="0" w:beforeLines="0" w:after="0" w:afterLines="0" w:line="600" w:lineRule="exact"/>
        <w:ind w:left="0" w:leftChars="0"/>
        <w:jc w:val="both"/>
        <w:textAlignment w:val="auto"/>
      </w:pPr>
      <w:r>
        <w:rPr>
          <w:rFonts w:hint="eastAsia"/>
        </w:rPr>
        <w:t>一、部门基本情况</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（一）部门职能与机构设置；</w:t>
      </w:r>
    </w:p>
    <w:p>
      <w:pPr>
        <w:keepNext w:val="0"/>
        <w:keepLines w:val="0"/>
        <w:pageBreakBefore w:val="0"/>
        <w:widowControl/>
        <w:kinsoku/>
        <w:wordWrap/>
        <w:overflowPunct/>
        <w:topLinePunct w:val="0"/>
        <w:bidi w:val="0"/>
        <w:spacing w:after="0" w:line="600" w:lineRule="exact"/>
        <w:ind w:left="0" w:leftChars="0" w:firstLine="642" w:firstLineChars="200"/>
        <w:jc w:val="both"/>
        <w:textAlignment w:val="auto"/>
        <w:rPr>
          <w:rFonts w:ascii="仿宋_GB2312" w:hAnsi="仿宋" w:eastAsia="仿宋_GB2312"/>
          <w:b/>
          <w:bCs/>
          <w:sz w:val="32"/>
          <w:szCs w:val="32"/>
        </w:rPr>
      </w:pPr>
      <w:r>
        <w:rPr>
          <w:rFonts w:hint="eastAsia" w:ascii="仿宋_GB2312" w:hAnsi="仿宋" w:eastAsia="仿宋_GB2312"/>
          <w:b/>
          <w:bCs/>
          <w:sz w:val="32"/>
          <w:szCs w:val="32"/>
        </w:rPr>
        <w:t>1、主要职能</w:t>
      </w:r>
    </w:p>
    <w:p>
      <w:pPr>
        <w:keepNext w:val="0"/>
        <w:keepLines w:val="0"/>
        <w:pageBreakBefore w:val="0"/>
        <w:widowControl/>
        <w:kinsoku/>
        <w:wordWrap/>
        <w:overflowPunct/>
        <w:topLinePunct w:val="0"/>
        <w:bidi w:val="0"/>
        <w:spacing w:after="0" w:line="60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中国共产主义青年团</w:t>
      </w:r>
      <w:r>
        <w:rPr>
          <w:rFonts w:hint="eastAsia" w:ascii="仿宋_GB2312" w:hAnsi="仿宋" w:eastAsia="仿宋_GB2312"/>
          <w:sz w:val="32"/>
          <w:szCs w:val="32"/>
          <w:lang w:eastAsia="zh-CN"/>
        </w:rPr>
        <w:t>中方县委员会</w:t>
      </w:r>
      <w:r>
        <w:rPr>
          <w:rFonts w:hint="eastAsia" w:ascii="仿宋_GB2312" w:hAnsi="仿宋" w:eastAsia="仿宋_GB2312"/>
          <w:sz w:val="32"/>
          <w:szCs w:val="32"/>
        </w:rPr>
        <w:t>是中国共产党领导的先进青年的群众组织，是广大青年在实践中学习中国特色社会主义和共产主义的学校，是中国共产党的助手和后备军。</w:t>
      </w:r>
    </w:p>
    <w:p>
      <w:pPr>
        <w:keepNext w:val="0"/>
        <w:keepLines w:val="0"/>
        <w:pageBreakBefore w:val="0"/>
        <w:widowControl/>
        <w:kinsoku/>
        <w:wordWrap/>
        <w:overflowPunct/>
        <w:topLinePunct w:val="0"/>
        <w:bidi w:val="0"/>
        <w:spacing w:after="0" w:line="60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共青团的主要部门职能职责：</w:t>
      </w:r>
    </w:p>
    <w:p>
      <w:pPr>
        <w:keepNext w:val="0"/>
        <w:keepLines w:val="0"/>
        <w:pageBreakBefore w:val="0"/>
        <w:widowControl/>
        <w:kinsoku/>
        <w:wordWrap/>
        <w:overflowPunct/>
        <w:topLinePunct w:val="0"/>
        <w:bidi w:val="0"/>
        <w:spacing w:after="0" w:line="60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（1）发挥好党的助手和后备军作用，为党的事业教育、团结和带领好青年；</w:t>
      </w:r>
    </w:p>
    <w:p>
      <w:pPr>
        <w:keepNext w:val="0"/>
        <w:keepLines w:val="0"/>
        <w:pageBreakBefore w:val="0"/>
        <w:widowControl/>
        <w:kinsoku/>
        <w:wordWrap/>
        <w:overflowPunct/>
        <w:topLinePunct w:val="0"/>
        <w:bidi w:val="0"/>
        <w:spacing w:after="0" w:line="60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（2）发挥好国家政权的重要社会支柱作用，积极协助政府管理好青年事务；</w:t>
      </w:r>
    </w:p>
    <w:p>
      <w:pPr>
        <w:keepNext w:val="0"/>
        <w:keepLines w:val="0"/>
        <w:pageBreakBefore w:val="0"/>
        <w:widowControl/>
        <w:kinsoku/>
        <w:wordWrap/>
        <w:overflowPunct/>
        <w:topLinePunct w:val="0"/>
        <w:bidi w:val="0"/>
        <w:spacing w:after="0" w:line="60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（3）发挥党和政府联系青年群众的桥梁和纽带作用，依法代表和维护青年的具体利益，反映青年的意愿和呼声。</w:t>
      </w:r>
    </w:p>
    <w:p>
      <w:pPr>
        <w:keepNext w:val="0"/>
        <w:keepLines w:val="0"/>
        <w:pageBreakBefore w:val="0"/>
        <w:widowControl/>
        <w:kinsoku/>
        <w:wordWrap/>
        <w:overflowPunct/>
        <w:topLinePunct w:val="0"/>
        <w:bidi w:val="0"/>
        <w:spacing w:after="0" w:line="60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（4）巩固和扩大党执政的青年群众基础，团结带领青年为实现中华民族伟大复兴而奋斗。</w:t>
      </w:r>
    </w:p>
    <w:p>
      <w:pPr>
        <w:keepNext w:val="0"/>
        <w:keepLines w:val="0"/>
        <w:pageBreakBefore w:val="0"/>
        <w:widowControl/>
        <w:kinsoku/>
        <w:wordWrap/>
        <w:overflowPunct/>
        <w:topLinePunct w:val="0"/>
        <w:bidi w:val="0"/>
        <w:spacing w:after="0" w:line="60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（5）做好新形势下的共青团工作，必须全面履行组织青年、引导青年、服务青年、维护青少年合法权益四项职能。</w:t>
      </w:r>
    </w:p>
    <w:p>
      <w:pPr>
        <w:keepNext w:val="0"/>
        <w:keepLines w:val="0"/>
        <w:pageBreakBefore w:val="0"/>
        <w:widowControl/>
        <w:kinsoku/>
        <w:wordWrap/>
        <w:overflowPunct/>
        <w:topLinePunct w:val="0"/>
        <w:bidi w:val="0"/>
        <w:spacing w:after="0" w:line="60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 xml:space="preserve">（6）坚决拥护中国共产党的纲领，以中国特色社会主义理论体系为行动指南，深入贯彻落实习近平新时代中国特色社会主义思想，与时俱进，团结全国各族青年，为把我国建设成为富强民主文明和谐的社会主义现代化国家，为最终实现共产主义而奋斗。  </w:t>
      </w:r>
    </w:p>
    <w:p>
      <w:pPr>
        <w:keepNext w:val="0"/>
        <w:keepLines w:val="0"/>
        <w:pageBreakBefore w:val="0"/>
        <w:widowControl/>
        <w:kinsoku/>
        <w:wordWrap/>
        <w:overflowPunct/>
        <w:topLinePunct w:val="0"/>
        <w:bidi w:val="0"/>
        <w:spacing w:after="0" w:line="600" w:lineRule="exact"/>
        <w:ind w:left="0" w:leftChars="0"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（7）承担县共青团工作的日常工作。</w:t>
      </w:r>
    </w:p>
    <w:p>
      <w:pPr>
        <w:keepNext w:val="0"/>
        <w:keepLines w:val="0"/>
        <w:pageBreakBefore w:val="0"/>
        <w:widowControl/>
        <w:kinsoku/>
        <w:wordWrap/>
        <w:overflowPunct/>
        <w:topLinePunct w:val="0"/>
        <w:bidi w:val="0"/>
        <w:spacing w:after="0" w:line="600" w:lineRule="exact"/>
        <w:ind w:left="0" w:leftChars="0" w:firstLine="640" w:firstLineChars="200"/>
        <w:jc w:val="both"/>
        <w:textAlignment w:val="auto"/>
        <w:rPr>
          <w:rFonts w:hint="eastAsia" w:ascii="仿宋_GB2312" w:hAnsi="仿宋" w:eastAsia="仿宋_GB2312"/>
          <w:sz w:val="32"/>
          <w:szCs w:val="32"/>
        </w:rPr>
      </w:pPr>
      <w:r>
        <w:rPr>
          <w:rFonts w:hint="eastAsia" w:ascii="仿宋_GB2312" w:hAnsi="仿宋" w:eastAsia="仿宋_GB2312"/>
          <w:sz w:val="32"/>
          <w:szCs w:val="32"/>
        </w:rPr>
        <w:t>（8）承办县委、县政府和团市委交办的其他事项。</w:t>
      </w:r>
    </w:p>
    <w:p>
      <w:pPr>
        <w:keepNext w:val="0"/>
        <w:keepLines w:val="0"/>
        <w:pageBreakBefore w:val="0"/>
        <w:widowControl/>
        <w:kinsoku/>
        <w:wordWrap/>
        <w:overflowPunct/>
        <w:topLinePunct w:val="0"/>
        <w:bidi w:val="0"/>
        <w:spacing w:after="0" w:line="600" w:lineRule="exact"/>
        <w:ind w:left="0" w:leftChars="0" w:firstLine="642" w:firstLineChars="200"/>
        <w:jc w:val="both"/>
        <w:textAlignment w:val="auto"/>
        <w:rPr>
          <w:rFonts w:hint="eastAsia" w:ascii="仿宋_GB2312" w:hAnsi="仿宋" w:eastAsia="仿宋_GB2312"/>
          <w:b/>
          <w:bCs/>
          <w:sz w:val="32"/>
          <w:szCs w:val="32"/>
        </w:rPr>
      </w:pPr>
      <w:r>
        <w:rPr>
          <w:rFonts w:hint="eastAsia" w:ascii="仿宋_GB2312" w:hAnsi="仿宋" w:eastAsia="仿宋_GB2312"/>
          <w:b/>
          <w:bCs/>
          <w:sz w:val="32"/>
          <w:szCs w:val="32"/>
        </w:rPr>
        <w:t>2、机构设置</w:t>
      </w:r>
    </w:p>
    <w:p>
      <w:pPr>
        <w:keepNext w:val="0"/>
        <w:keepLines w:val="0"/>
        <w:pageBreakBefore w:val="0"/>
        <w:widowControl/>
        <w:kinsoku/>
        <w:wordWrap/>
        <w:overflowPunct/>
        <w:topLinePunct w:val="0"/>
        <w:bidi w:val="0"/>
        <w:spacing w:after="0" w:line="600" w:lineRule="exact"/>
        <w:ind w:left="0" w:leftChars="0" w:firstLine="640" w:firstLineChars="200"/>
        <w:jc w:val="both"/>
        <w:textAlignment w:val="auto"/>
        <w:rPr>
          <w:rFonts w:hint="eastAsia" w:ascii="仿宋" w:hAnsi="仿宋" w:eastAsia="仿宋" w:cs="仿宋"/>
          <w:sz w:val="32"/>
          <w:szCs w:val="32"/>
        </w:rPr>
      </w:pPr>
      <w:r>
        <w:rPr>
          <w:rFonts w:hint="eastAsia" w:ascii="仿宋_GB2312" w:hAnsi="仿宋" w:eastAsia="仿宋_GB2312"/>
          <w:sz w:val="32"/>
          <w:szCs w:val="32"/>
        </w:rPr>
        <w:t>团县委为正科级全额拨款行政单位。下设青少年发展基金会，属非独立核算二级预算单位。</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（二）人员情况；</w:t>
      </w:r>
    </w:p>
    <w:p>
      <w:pPr>
        <w:keepNext w:val="0"/>
        <w:keepLines w:val="0"/>
        <w:pageBreakBefore w:val="0"/>
        <w:widowControl/>
        <w:kinsoku/>
        <w:wordWrap/>
        <w:overflowPunct/>
        <w:topLinePunct w:val="0"/>
        <w:autoSpaceDE/>
        <w:autoSpaceDN/>
        <w:bidi w:val="0"/>
        <w:spacing w:after="0" w:line="600" w:lineRule="exact"/>
        <w:ind w:left="0" w:leftChars="0" w:firstLine="640" w:firstLineChars="200"/>
        <w:jc w:val="both"/>
        <w:textAlignment w:val="auto"/>
        <w:rPr>
          <w:rFonts w:hint="eastAsia" w:ascii="仿宋" w:hAnsi="仿宋" w:eastAsia="仿宋" w:cs="仿宋"/>
          <w:sz w:val="32"/>
          <w:szCs w:val="32"/>
        </w:rPr>
      </w:pPr>
      <w:r>
        <w:rPr>
          <w:rFonts w:hint="eastAsia" w:ascii="仿宋_GB2312" w:hAnsi="仿宋_GB2312" w:eastAsia="仿宋_GB2312" w:cs="仿宋_GB2312"/>
          <w:color w:val="333333"/>
          <w:sz w:val="32"/>
          <w:szCs w:val="32"/>
          <w:shd w:val="clear" w:color="auto" w:fill="FFFFFF"/>
        </w:rPr>
        <w:t>核定编制6人，其中：行政编制4人，全额事业编制2人。</w:t>
      </w:r>
      <w:r>
        <w:rPr>
          <w:rFonts w:hint="eastAsia" w:ascii="仿宋_GB2312" w:hAnsi="仿宋_GB2312" w:eastAsia="仿宋_GB2312" w:cs="仿宋_GB2312"/>
          <w:color w:val="333333"/>
          <w:sz w:val="32"/>
          <w:szCs w:val="32"/>
          <w:highlight w:val="none"/>
          <w:shd w:val="clear" w:color="auto" w:fill="FFFFFF"/>
        </w:rPr>
        <w:t>实有在编在职</w:t>
      </w:r>
      <w:r>
        <w:rPr>
          <w:rFonts w:hint="default" w:ascii="仿宋_GB2312" w:hAnsi="仿宋_GB2312" w:eastAsia="仿宋_GB2312" w:cs="仿宋_GB2312"/>
          <w:color w:val="000000" w:themeColor="text1"/>
          <w:sz w:val="32"/>
          <w:szCs w:val="32"/>
          <w:highlight w:val="none"/>
          <w:shd w:val="clear" w:color="auto" w:fill="FFFFFF"/>
          <w:lang w:val="en" w:eastAsia="zh-CN"/>
          <w14:textFill>
            <w14:solidFill>
              <w14:schemeClr w14:val="tx1"/>
            </w14:solidFill>
          </w14:textFill>
        </w:rPr>
        <w:t>5</w:t>
      </w:r>
      <w:r>
        <w:rPr>
          <w:rFonts w:hint="eastAsia" w:ascii="仿宋_GB2312" w:hAnsi="仿宋_GB2312" w:eastAsia="仿宋_GB2312" w:cs="仿宋_GB2312"/>
          <w:color w:val="333333"/>
          <w:sz w:val="32"/>
          <w:szCs w:val="32"/>
          <w:highlight w:val="none"/>
          <w:shd w:val="clear" w:color="auto" w:fill="FFFFFF"/>
        </w:rPr>
        <w:t>人。</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（三）部门年度总体工作任务和重点工作任务；</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1、学思悟践，强化引领，推进党的创新理论落实落地</w:t>
      </w:r>
    </w:p>
    <w:p>
      <w:pPr>
        <w:keepNext w:val="0"/>
        <w:keepLines w:val="0"/>
        <w:pageBreakBefore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开展团课大比武、党的二十大主题演讲比赛、召开团十九大主题宣讲会；</w:t>
      </w:r>
      <w:r>
        <w:rPr>
          <w:rFonts w:hint="eastAsia" w:ascii="仿宋_GB2312" w:hAnsi="仿宋_GB2312" w:eastAsia="仿宋_GB2312" w:cs="仿宋_GB2312"/>
          <w:sz w:val="32"/>
          <w:szCs w:val="32"/>
          <w:lang w:val="en-US" w:eastAsia="zh-CN"/>
        </w:rPr>
        <w:t>组织开展“思想旗帜”“坚强核心”“强国复兴”“挺膺担当”4个专题的学习，参加学习的共有450个团支部，</w:t>
      </w:r>
      <w:r>
        <w:rPr>
          <w:rFonts w:hint="eastAsia" w:ascii="仿宋_GB2312" w:hAnsi="仿宋_GB2312" w:eastAsia="仿宋_GB2312" w:cs="仿宋_GB2312"/>
          <w:sz w:val="32"/>
          <w:szCs w:val="32"/>
          <w:lang w:eastAsia="zh-CN"/>
        </w:rPr>
        <w:t>参学率为</w:t>
      </w:r>
      <w:r>
        <w:rPr>
          <w:rFonts w:hint="eastAsia" w:ascii="仿宋_GB2312" w:hAnsi="仿宋_GB2312" w:eastAsia="仿宋_GB2312" w:cs="仿宋_GB2312"/>
          <w:sz w:val="32"/>
          <w:szCs w:val="32"/>
          <w:lang w:val="en-US" w:eastAsia="zh-CN"/>
        </w:rPr>
        <w:t>100%。组织参学“红领巾爱学习”，参学率为100.9%</w:t>
      </w:r>
      <w:r>
        <w:rPr>
          <w:rFonts w:hint="eastAsia" w:ascii="仿宋_GB2312" w:hAnsi="仿宋_GB2312" w:eastAsia="仿宋_GB2312" w:cs="仿宋_GB2312"/>
          <w:sz w:val="32"/>
          <w:szCs w:val="32"/>
          <w:lang w:eastAsia="zh-CN"/>
        </w:rPr>
        <w:t>。依托红领巾巡讲员、青年讲师团，全年开展学习习近平总书记重要指示批示精神和党的二十大精神主题宣讲会共</w:t>
      </w:r>
      <w:r>
        <w:rPr>
          <w:rFonts w:hint="eastAsia" w:ascii="仿宋_GB2312" w:hAnsi="仿宋_GB2312" w:eastAsia="仿宋_GB2312" w:cs="仿宋_GB2312"/>
          <w:sz w:val="32"/>
          <w:szCs w:val="32"/>
          <w:lang w:val="en-US" w:eastAsia="zh-CN"/>
        </w:rPr>
        <w:t>13场次。县青联成立以来，开展青联委员主题教育学习培训会2次；开展青联大讲堂3场次；开展主题教育学习宣讲会35场次；组织青联委员开展服务活动6次。</w:t>
      </w:r>
    </w:p>
    <w:p>
      <w:pPr>
        <w:keepNext w:val="0"/>
        <w:keepLines w:val="0"/>
        <w:pageBreakBefore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w:t>
      </w:r>
      <w:r>
        <w:rPr>
          <w:rFonts w:hint="default" w:ascii="黑体" w:hAnsi="黑体" w:eastAsia="黑体" w:cs="黑体"/>
          <w:b w:val="0"/>
          <w:bCs w:val="0"/>
          <w:sz w:val="32"/>
          <w:szCs w:val="32"/>
          <w:lang w:val="en-US" w:eastAsia="zh-CN"/>
        </w:rPr>
        <w:t>固本强源</w:t>
      </w:r>
      <w:r>
        <w:rPr>
          <w:rFonts w:hint="eastAsia" w:ascii="黑体" w:hAnsi="黑体" w:eastAsia="黑体" w:cs="黑体"/>
          <w:b w:val="0"/>
          <w:bCs w:val="0"/>
          <w:sz w:val="32"/>
          <w:szCs w:val="32"/>
          <w:lang w:val="en-US" w:eastAsia="zh-CN"/>
        </w:rPr>
        <w:t>，深化改革，夯实基层工作基础</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after="0" w:line="60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b/>
          <w:bCs/>
          <w:kern w:val="0"/>
          <w:sz w:val="32"/>
          <w:szCs w:val="32"/>
          <w:lang w:val="en-US" w:eastAsia="zh-CN"/>
        </w:rPr>
        <w:t>一是队伍建设不断完善。</w:t>
      </w:r>
      <w:r>
        <w:rPr>
          <w:rFonts w:hint="eastAsia" w:ascii="仿宋_GB2312" w:hAnsi="仿宋_GB2312" w:eastAsia="仿宋_GB2312" w:cs="仿宋_GB2312"/>
          <w:sz w:val="32"/>
          <w:szCs w:val="32"/>
          <w:lang w:eastAsia="zh-CN"/>
        </w:rPr>
        <w:t>多渠道、多元化选任团干部</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充实工作力量。</w:t>
      </w:r>
      <w:r>
        <w:rPr>
          <w:rFonts w:hint="eastAsia" w:ascii="仿宋_GB2312" w:hAnsi="仿宋_GB2312" w:eastAsia="仿宋_GB2312" w:cs="仿宋_GB2312"/>
          <w:sz w:val="32"/>
          <w:szCs w:val="32"/>
        </w:rPr>
        <w:t>团县委机关实行“</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4个行政编干部，2个事业编干部，6个挂兼职干部，青年社会组织力量、大学生实习生若干）</w:t>
      </w:r>
      <w:r>
        <w:rPr>
          <w:rFonts w:hint="eastAsia" w:ascii="仿宋_GB2312" w:hAnsi="仿宋_GB2312" w:eastAsia="仿宋_GB2312" w:cs="仿宋_GB2312"/>
          <w:sz w:val="32"/>
          <w:szCs w:val="32"/>
        </w:rPr>
        <w:t>工作机制全面充实团机关力量。</w:t>
      </w:r>
      <w:r>
        <w:rPr>
          <w:rFonts w:hint="default" w:ascii="仿宋_GB2312" w:hAnsi="仿宋_GB2312" w:eastAsia="仿宋_GB2312" w:cs="仿宋_GB2312"/>
          <w:sz w:val="32"/>
          <w:szCs w:val="32"/>
        </w:rPr>
        <w:t>选拔13名</w:t>
      </w:r>
      <w:r>
        <w:rPr>
          <w:rFonts w:hint="eastAsia" w:ascii="仿宋_GB2312" w:hAnsi="仿宋_GB2312" w:eastAsia="仿宋_GB2312" w:cs="仿宋_GB2312"/>
          <w:sz w:val="32"/>
          <w:szCs w:val="32"/>
          <w:lang w:eastAsia="zh-CN"/>
        </w:rPr>
        <w:t>在校大学生兼任</w:t>
      </w:r>
      <w:r>
        <w:rPr>
          <w:rFonts w:hint="default" w:ascii="仿宋_GB2312" w:hAnsi="仿宋_GB2312" w:eastAsia="仿宋_GB2312" w:cs="仿宋_GB2312"/>
          <w:sz w:val="32"/>
          <w:szCs w:val="32"/>
        </w:rPr>
        <w:t>乡镇团委副书记。</w:t>
      </w:r>
    </w:p>
    <w:p>
      <w:pPr>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after="0" w:line="600" w:lineRule="exact"/>
        <w:ind w:left="0" w:leftChars="0" w:firstLine="642" w:firstLineChars="200"/>
        <w:jc w:val="both"/>
        <w:textAlignment w:val="auto"/>
        <w:rPr>
          <w:rFonts w:hint="eastAsia" w:ascii="方正仿宋_GB2312" w:hAnsi="方正仿宋_GB2312" w:eastAsia="方正仿宋_GB2312" w:cs="方正仿宋_GB2312"/>
          <w:sz w:val="32"/>
          <w:szCs w:val="32"/>
          <w:highlight w:val="none"/>
          <w:lang w:eastAsia="zh-CN"/>
        </w:rPr>
      </w:pPr>
      <w:r>
        <w:rPr>
          <w:rFonts w:hint="default" w:ascii="Times New Roman" w:hAnsi="Times New Roman" w:eastAsia="楷体" w:cs="Times New Roman"/>
          <w:b/>
          <w:bCs/>
          <w:kern w:val="0"/>
          <w:sz w:val="32"/>
          <w:szCs w:val="32"/>
          <w:lang w:val="en-US" w:eastAsia="zh-CN"/>
        </w:rPr>
        <w:t>二是组织建设不断提升</w:t>
      </w:r>
      <w:r>
        <w:rPr>
          <w:rFonts w:hint="default" w:ascii="Times New Roman" w:hAnsi="Times New Roman" w:eastAsia="楷体" w:cs="Times New Roman"/>
          <w:kern w:val="0"/>
          <w:sz w:val="32"/>
          <w:szCs w:val="32"/>
          <w:lang w:val="en-US" w:eastAsia="zh-CN"/>
        </w:rPr>
        <w:t>。</w:t>
      </w:r>
      <w:r>
        <w:rPr>
          <w:rFonts w:hint="eastAsia" w:ascii="仿宋_GB2312" w:hAnsi="仿宋_GB2312" w:eastAsia="仿宋_GB2312" w:cs="仿宋_GB2312"/>
          <w:sz w:val="32"/>
          <w:szCs w:val="32"/>
          <w:lang w:val="en-US" w:eastAsia="zh-CN"/>
        </w:rPr>
        <w:t>持续开展</w:t>
      </w:r>
      <w:r>
        <w:rPr>
          <w:rFonts w:hint="eastAsia" w:ascii="仿宋_GB2312" w:hAnsi="仿宋_GB2312" w:eastAsia="仿宋_GB2312" w:cs="仿宋_GB2312"/>
          <w:sz w:val="32"/>
          <w:szCs w:val="32"/>
        </w:rPr>
        <w:t>社会领域团组织建设</w:t>
      </w:r>
      <w:r>
        <w:rPr>
          <w:rFonts w:hint="eastAsia" w:ascii="仿宋_GB2312" w:hAnsi="仿宋_GB2312" w:eastAsia="仿宋_GB2312" w:cs="仿宋_GB2312"/>
          <w:sz w:val="32"/>
          <w:szCs w:val="32"/>
          <w:lang w:val="en-US" w:eastAsia="zh-CN"/>
        </w:rPr>
        <w:t>攻坚行动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2023年新建社会领域非公企业团委1个，新建社会领域团支部28个（含1个国企团支部、3个新社会组织团支部，24个非公企业团支部）。</w:t>
      </w:r>
      <w:r>
        <w:rPr>
          <w:rFonts w:hint="eastAsia" w:ascii="仿宋_GB2312" w:hAnsi="仿宋_GB2312" w:eastAsia="仿宋_GB2312" w:cs="仿宋_GB2312"/>
          <w:sz w:val="32"/>
          <w:szCs w:val="32"/>
        </w:rPr>
        <w:t>扎实做好团员发展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团组织关系转接和</w:t>
      </w:r>
      <w:r>
        <w:rPr>
          <w:rFonts w:hint="eastAsia" w:ascii="仿宋_GB2312" w:hAnsi="仿宋_GB2312" w:eastAsia="仿宋_GB2312" w:cs="仿宋_GB2312"/>
          <w:sz w:val="32"/>
          <w:szCs w:val="32"/>
          <w:lang w:eastAsia="zh-CN"/>
        </w:rPr>
        <w:t>团费收缴</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val="en-US" w:eastAsia="zh-CN"/>
        </w:rPr>
        <w:t>组织开展团员发展专题培训，</w:t>
      </w:r>
      <w:r>
        <w:rPr>
          <w:rFonts w:hint="eastAsia" w:ascii="仿宋_GB2312" w:hAnsi="仿宋_GB2312" w:eastAsia="仿宋_GB2312" w:cs="仿宋_GB2312"/>
          <w:sz w:val="32"/>
          <w:szCs w:val="32"/>
          <w:lang w:eastAsia="zh-CN"/>
        </w:rPr>
        <w:t>确保</w:t>
      </w:r>
      <w:r>
        <w:rPr>
          <w:rFonts w:hint="eastAsia" w:ascii="仿宋_GB2312" w:hAnsi="仿宋_GB2312" w:eastAsia="仿宋_GB2312" w:cs="仿宋_GB2312"/>
          <w:sz w:val="32"/>
          <w:szCs w:val="32"/>
        </w:rPr>
        <w:t>各个环节程序严格、手续完备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发展新团员</w:t>
      </w:r>
      <w:r>
        <w:rPr>
          <w:rFonts w:hint="eastAsia" w:ascii="仿宋_GB2312" w:hAnsi="仿宋_GB2312" w:eastAsia="仿宋_GB2312" w:cs="仿宋_GB2312"/>
          <w:sz w:val="32"/>
          <w:szCs w:val="32"/>
          <w:lang w:val="en-US" w:eastAsia="zh-CN"/>
        </w:rPr>
        <w:t>532</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lang w:val="en-US" w:eastAsia="zh-CN"/>
        </w:rPr>
        <w:t>团费收缴任务全面完成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常态化、规范化做</w:t>
      </w:r>
      <w:r>
        <w:rPr>
          <w:rFonts w:hint="eastAsia" w:ascii="仿宋_GB2312" w:hAnsi="仿宋_GB2312" w:eastAsia="仿宋_GB2312" w:cs="仿宋_GB2312"/>
          <w:sz w:val="32"/>
          <w:szCs w:val="32"/>
          <w:lang w:eastAsia="zh-CN"/>
        </w:rPr>
        <w:t>好“智慧团建”</w:t>
      </w:r>
      <w:r>
        <w:rPr>
          <w:rFonts w:hint="eastAsia" w:ascii="仿宋_GB2312" w:hAnsi="仿宋_GB2312" w:eastAsia="仿宋_GB2312" w:cs="仿宋_GB2312"/>
          <w:sz w:val="32"/>
          <w:szCs w:val="32"/>
          <w:lang w:val="en-US" w:eastAsia="zh-CN"/>
        </w:rPr>
        <w:t>数据</w:t>
      </w:r>
      <w:r>
        <w:rPr>
          <w:rFonts w:hint="eastAsia" w:ascii="仿宋_GB2312" w:hAnsi="仿宋_GB2312" w:eastAsia="仿宋_GB2312" w:cs="仿宋_GB2312"/>
          <w:sz w:val="32"/>
          <w:szCs w:val="32"/>
          <w:lang w:eastAsia="zh-CN"/>
        </w:rPr>
        <w:t>录入</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制定年度主题团日活动计划，推动 “三会两制一课”制度落实。</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2"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Times New Roman" w:hAnsi="Times New Roman" w:eastAsia="楷体" w:cs="Times New Roman"/>
          <w:b/>
          <w:bCs/>
          <w:sz w:val="32"/>
          <w:szCs w:val="32"/>
          <w:lang w:val="en-US" w:eastAsia="zh-CN"/>
        </w:rPr>
        <w:t>三是制度建设不断优化</w:t>
      </w:r>
      <w:r>
        <w:rPr>
          <w:rFonts w:hint="default" w:ascii="Times New Roman" w:hAnsi="Times New Roman" w:eastAsia="仿宋_GB2312" w:cs="Times New Roman"/>
          <w:b/>
          <w:bCs/>
          <w:sz w:val="32"/>
          <w:szCs w:val="32"/>
          <w:lang w:val="en-US" w:eastAsia="zh-CN"/>
        </w:rPr>
        <w:t>。</w:t>
      </w:r>
      <w:r>
        <w:rPr>
          <w:rFonts w:hint="default" w:ascii="仿宋_GB2312" w:hAnsi="仿宋_GB2312" w:eastAsia="仿宋_GB2312" w:cs="仿宋_GB2312"/>
          <w:sz w:val="32"/>
          <w:szCs w:val="32"/>
          <w:lang w:val="en-US" w:eastAsia="zh-CN"/>
        </w:rPr>
        <w:t>始终坚持把制度建设作为共青团工作的核心要义，</w:t>
      </w:r>
      <w:r>
        <w:rPr>
          <w:rFonts w:hint="eastAsia" w:ascii="仿宋_GB2312" w:hAnsi="仿宋_GB2312" w:eastAsia="仿宋_GB2312" w:cs="仿宋_GB2312"/>
          <w:sz w:val="32"/>
          <w:szCs w:val="32"/>
          <w:lang w:val="en-US" w:eastAsia="zh-CN"/>
        </w:rPr>
        <w:t>最大限度发挥“党建带团建”工作机制作用，</w:t>
      </w:r>
      <w:r>
        <w:rPr>
          <w:rFonts w:hint="eastAsia" w:ascii="仿宋_GB2312" w:hAnsi="仿宋_GB2312" w:eastAsia="仿宋_GB2312" w:cs="仿宋_GB2312"/>
          <w:sz w:val="32"/>
          <w:szCs w:val="32"/>
          <w:lang w:eastAsia="zh-CN"/>
        </w:rPr>
        <w:t>建立了“</w:t>
      </w:r>
      <w:r>
        <w:rPr>
          <w:rFonts w:hint="eastAsia" w:ascii="仿宋_GB2312" w:hAnsi="仿宋_GB2312" w:eastAsia="仿宋_GB2312" w:cs="仿宋_GB2312"/>
          <w:sz w:val="32"/>
          <w:szCs w:val="32"/>
        </w:rPr>
        <w:t>团建不合格、党建不评优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工作机制，</w:t>
      </w:r>
      <w:r>
        <w:rPr>
          <w:rFonts w:hint="eastAsia" w:ascii="仿宋_GB2312" w:hAnsi="仿宋_GB2312" w:eastAsia="仿宋_GB2312" w:cs="仿宋_GB2312"/>
          <w:sz w:val="32"/>
          <w:szCs w:val="32"/>
          <w:lang w:val="en-US" w:eastAsia="zh-CN"/>
        </w:rPr>
        <w:t>将团建工作纳入基层党组织书记党建述职内容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落实“推优入党”制度，加强“一体化育人”。</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黑体" w:hAnsi="黑体" w:eastAsia="黑体" w:cs="黑体"/>
          <w:b w:val="0"/>
          <w:bCs w:val="0"/>
          <w:kern w:val="0"/>
          <w:sz w:val="32"/>
          <w:szCs w:val="32"/>
          <w:shd w:val="clear" w:color="auto" w:fill="FFFFFF"/>
          <w:lang w:val="en-US" w:eastAsia="zh-CN" w:bidi="ar"/>
        </w:rPr>
      </w:pPr>
      <w:r>
        <w:rPr>
          <w:rFonts w:hint="eastAsia" w:ascii="黑体" w:hAnsi="黑体" w:eastAsia="黑体" w:cs="黑体"/>
          <w:b w:val="0"/>
          <w:bCs w:val="0"/>
          <w:kern w:val="0"/>
          <w:sz w:val="32"/>
          <w:szCs w:val="32"/>
          <w:shd w:val="clear" w:color="auto" w:fill="FFFFFF"/>
          <w:lang w:val="en-US" w:eastAsia="zh-CN" w:bidi="ar"/>
        </w:rPr>
        <w:t>3、暖心护航，筑牢堡垒，不断呵护幼苗茁壮成长</w:t>
      </w:r>
    </w:p>
    <w:p>
      <w:pPr>
        <w:keepNext w:val="0"/>
        <w:keepLines w:val="0"/>
        <w:pageBreakBefore w:val="0"/>
        <w:kinsoku/>
        <w:wordWrap/>
        <w:overflowPunct/>
        <w:topLinePunct w:val="0"/>
        <w:autoSpaceDE/>
        <w:autoSpaceDN/>
        <w:bidi w:val="0"/>
        <w:adjustRightInd/>
        <w:snapToGrid/>
        <w:spacing w:after="0" w:line="600" w:lineRule="exact"/>
        <w:ind w:left="0" w:leftChars="0" w:firstLine="642"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楷体" w:cs="Times New Roman"/>
          <w:b/>
          <w:bCs/>
          <w:sz w:val="32"/>
          <w:szCs w:val="32"/>
          <w:lang w:val="en-US" w:eastAsia="zh-CN"/>
        </w:rPr>
        <w:t>一是社会治理持续创新。</w:t>
      </w:r>
      <w:r>
        <w:rPr>
          <w:rFonts w:hint="eastAsia" w:ascii="仿宋_GB2312" w:hAnsi="仿宋_GB2312" w:eastAsia="仿宋_GB2312" w:cs="仿宋_GB2312"/>
          <w:sz w:val="32"/>
          <w:szCs w:val="32"/>
          <w:lang w:eastAsia="zh-CN"/>
        </w:rPr>
        <w:t>今年云平台新增6个乡镇“青年之家”，实现乡镇覆盖率100%。</w:t>
      </w:r>
      <w:r>
        <w:rPr>
          <w:rFonts w:hint="eastAsia" w:ascii="仿宋_GB2312" w:hAnsi="仿宋_GB2312" w:eastAsia="仿宋_GB2312" w:cs="仿宋_GB2312"/>
          <w:sz w:val="32"/>
          <w:szCs w:val="32"/>
        </w:rPr>
        <w:t>积极参与社会治理,在同乐社区开展社区青春</w:t>
      </w:r>
      <w:r>
        <w:rPr>
          <w:rFonts w:hint="eastAsia" w:ascii="仿宋_GB2312" w:hAnsi="仿宋_GB2312" w:eastAsia="仿宋_GB2312" w:cs="仿宋_GB2312"/>
          <w:sz w:val="32"/>
          <w:szCs w:val="32"/>
          <w:lang w:eastAsia="zh-CN"/>
        </w:rPr>
        <w:t>行动</w:t>
      </w:r>
      <w:r>
        <w:rPr>
          <w:rFonts w:hint="eastAsia" w:ascii="仿宋_GB2312" w:hAnsi="仿宋_GB2312" w:eastAsia="仿宋_GB2312" w:cs="仿宋_GB2312"/>
          <w:sz w:val="32"/>
          <w:szCs w:val="32"/>
        </w:rPr>
        <w:t>，推动青少年服务向基层延伸。举办1场单身青年交友联谊活动。</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2" w:firstLineChars="200"/>
        <w:jc w:val="both"/>
        <w:textAlignment w:val="auto"/>
        <w:rPr>
          <w:rFonts w:hint="eastAsia" w:ascii="楷体_GB2312" w:hAnsi="楷体" w:eastAsia="楷体_GB2312" w:cs="楷体"/>
          <w:color w:val="333333"/>
          <w:sz w:val="32"/>
          <w:szCs w:val="32"/>
        </w:rPr>
      </w:pPr>
      <w:r>
        <w:rPr>
          <w:rFonts w:hint="default" w:ascii="Times New Roman" w:hAnsi="Times New Roman" w:eastAsia="楷体" w:cs="Times New Roman"/>
          <w:b/>
          <w:bCs/>
          <w:kern w:val="2"/>
          <w:sz w:val="32"/>
          <w:szCs w:val="32"/>
          <w:lang w:val="en-US" w:eastAsia="zh-CN" w:bidi="ar-SA"/>
        </w:rPr>
        <w:t>二是暖心保障持续发热。</w:t>
      </w:r>
      <w:r>
        <w:rPr>
          <w:rFonts w:hint="eastAsia" w:ascii="仿宋_GB2312" w:hAnsi="仿宋_GB2312" w:eastAsia="仿宋_GB2312" w:cs="仿宋_GB2312"/>
          <w:sz w:val="32"/>
          <w:szCs w:val="32"/>
          <w:lang w:val="en-US" w:eastAsia="zh-CN"/>
        </w:rPr>
        <w:t>今年继续发挥“团团心灵驿站”的作用，推动“青春自护益起来”项目实施，2月份先后在花桥镇中学、云谷实验学校、泸阳镇中心小学开展了心理健康教育进校园活动。5月份中高考前夕，集中部署开展了“减压赋能·轻松备考”活动2场，帮助考生缓解心理压力，轻松备战考场。</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楷体" w:cs="Times New Roman"/>
          <w:b/>
          <w:bCs/>
          <w:sz w:val="32"/>
          <w:szCs w:val="32"/>
          <w:lang w:val="en-US" w:eastAsia="zh-CN"/>
        </w:rPr>
        <w:t>三是公益事业持续点亮。</w:t>
      </w:r>
      <w:r>
        <w:rPr>
          <w:rFonts w:hint="eastAsia" w:ascii="仿宋_GB2312" w:hAnsi="仿宋" w:eastAsia="仿宋_GB2312" w:cs="仿宋"/>
          <w:color w:val="000000"/>
          <w:kern w:val="2"/>
          <w:sz w:val="32"/>
          <w:szCs w:val="32"/>
        </w:rPr>
        <w:t>积</w:t>
      </w:r>
      <w:r>
        <w:rPr>
          <w:rFonts w:hint="eastAsia" w:ascii="仿宋_GB2312" w:hAnsi="仿宋_GB2312" w:eastAsia="仿宋_GB2312" w:cs="仿宋_GB2312"/>
          <w:sz w:val="32"/>
          <w:szCs w:val="32"/>
        </w:rPr>
        <w:t>极向上</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争取“希望工程1+1—幻方助学计划”资金</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rPr>
        <w:t>万元，以1000元/人的标准资助</w:t>
      </w:r>
      <w:r>
        <w:rPr>
          <w:rFonts w:hint="eastAsia" w:ascii="仿宋_GB2312" w:hAnsi="仿宋_GB2312" w:eastAsia="仿宋_GB2312" w:cs="仿宋_GB2312"/>
          <w:sz w:val="32"/>
          <w:szCs w:val="32"/>
          <w:lang w:val="en-US" w:eastAsia="zh-CN"/>
        </w:rPr>
        <w:t>185名困难女童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给</w:t>
      </w:r>
      <w:r>
        <w:rPr>
          <w:rFonts w:hint="eastAsia" w:ascii="仿宋_GB2312" w:hAnsi="仿宋_GB2312" w:eastAsia="仿宋_GB2312" w:cs="仿宋_GB2312"/>
          <w:sz w:val="32"/>
          <w:szCs w:val="32"/>
          <w:lang w:val="en-US" w:eastAsia="zh-CN"/>
        </w:rPr>
        <w:t>93名困难青少年</w:t>
      </w:r>
      <w:r>
        <w:rPr>
          <w:rFonts w:hint="eastAsia" w:ascii="仿宋_GB2312" w:hAnsi="仿宋_GB2312" w:eastAsia="仿宋_GB2312" w:cs="仿宋_GB2312"/>
          <w:sz w:val="32"/>
          <w:szCs w:val="32"/>
          <w:lang w:eastAsia="zh-CN"/>
        </w:rPr>
        <w:t>发放2</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lang w:eastAsia="zh-CN"/>
        </w:rPr>
        <w:t>1年“一元捐”返还资助款</w:t>
      </w:r>
      <w:r>
        <w:rPr>
          <w:rFonts w:hint="eastAsia" w:ascii="仿宋_GB2312" w:hAnsi="仿宋_GB2312" w:eastAsia="仿宋_GB2312" w:cs="仿宋_GB2312"/>
          <w:sz w:val="32"/>
          <w:szCs w:val="32"/>
          <w:lang w:val="en-US" w:eastAsia="zh-CN"/>
        </w:rPr>
        <w:t>4.662万元；给84名困难青少年</w:t>
      </w:r>
      <w:r>
        <w:rPr>
          <w:rFonts w:hint="eastAsia" w:ascii="仿宋_GB2312" w:hAnsi="仿宋_GB2312" w:eastAsia="仿宋_GB2312" w:cs="仿宋_GB2312"/>
          <w:sz w:val="32"/>
          <w:szCs w:val="32"/>
          <w:lang w:eastAsia="zh-CN"/>
        </w:rPr>
        <w:t>发放2</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lang w:eastAsia="zh-CN"/>
        </w:rPr>
        <w:t>年“一元捐”返还资助款</w:t>
      </w:r>
      <w:r>
        <w:rPr>
          <w:rFonts w:hint="eastAsia" w:ascii="仿宋_GB2312" w:hAnsi="仿宋_GB2312" w:eastAsia="仿宋_GB2312" w:cs="仿宋_GB2312"/>
          <w:sz w:val="32"/>
          <w:szCs w:val="32"/>
          <w:lang w:val="en-US" w:eastAsia="zh-CN"/>
        </w:rPr>
        <w:t>4.2万元。开展了“湘窖·我的大学梦”助学活动，为7位大一新生联系发放了共3.5万元助学金。为4位大学生联系茅台公益助学金共2万元。开展“点亮微心愿”活动，为1079名乡村留守儿童圆梦。筹措社会资源为石宝学校捐赠了“暖流教室”，在“99公益日”发动社会开展线上捐款，共筹集4.71万元善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4、围绕中心，加强引导，不断提升共青团大局贡献度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Times New Roman" w:hAnsi="Times New Roman" w:eastAsia="楷体" w:cs="Times New Roman"/>
          <w:b/>
          <w:bCs/>
          <w:kern w:val="2"/>
          <w:sz w:val="32"/>
          <w:szCs w:val="32"/>
          <w:lang w:val="en-US" w:eastAsia="zh-CN" w:bidi="ar-SA"/>
        </w:rPr>
        <w:t>一是引导团员青年在助力乡村振兴中创先争优。</w:t>
      </w:r>
      <w:r>
        <w:rPr>
          <w:rFonts w:hint="eastAsia" w:ascii="仿宋_GB2312" w:hAnsi="仿宋_GB2312" w:eastAsia="仿宋_GB2312" w:cs="仿宋_GB2312"/>
          <w:kern w:val="2"/>
          <w:sz w:val="32"/>
          <w:szCs w:val="32"/>
          <w:lang w:val="en-US" w:eastAsia="zh-CN" w:bidi="ar-SA"/>
        </w:rPr>
        <w:t>主动为铁坡镇联系杜婧源老师到铁坡开展抖音带货直播培训，辐射周边4个乡镇，130余人，其中青年占比为89%，多次为青年创业单位联系并开展电商直播、抖音培训、农技培训等培训，为乡镇联系农业培训6次。帮助杨氏黄桃合作社（怀青农场）开展直播带货，帮助推介产品；帮助华汉茶庄积极申报怀化市青年文明号。帮助铁坡学校募集社会资金7万元维修篮球场，帮助袁家学校募集600套校服价值5万元，成功将袁家学校申报入中央思源基金会帮扶学校队列。</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2" w:firstLineChars="200"/>
        <w:jc w:val="both"/>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Times New Roman" w:hAnsi="Times New Roman" w:eastAsia="楷体" w:cs="Times New Roman"/>
          <w:b/>
          <w:bCs/>
          <w:kern w:val="2"/>
          <w:sz w:val="32"/>
          <w:szCs w:val="32"/>
          <w:lang w:val="en-US" w:eastAsia="zh-CN" w:bidi="ar-SA"/>
        </w:rPr>
        <w:t>二是引导团员青年在志愿服务中创先争优。</w:t>
      </w:r>
      <w:r>
        <w:rPr>
          <w:rFonts w:hint="eastAsia" w:ascii="仿宋_GB2312" w:hAnsi="仿宋_GB2312" w:eastAsia="仿宋_GB2312" w:cs="仿宋_GB2312"/>
          <w:kern w:val="2"/>
          <w:sz w:val="32"/>
          <w:szCs w:val="32"/>
          <w:lang w:val="en-US" w:eastAsia="zh-CN" w:bidi="ar-SA"/>
        </w:rPr>
        <w:t>全县共组抢险救灾类青年突击队17支468人，其他类青年突击队4支45人，在急难险重工作中发挥作用。组织我县青年志愿者协会全年开展五社联动，各乡镇均有至少一名社工常态化组织开展乡镇志愿服务行动，每月活动频率为1-2次。常态化开展雷锋青少年、河小青、社区青春行动等活动。今年在各乡镇、学校积极开展了防溺水、防性侵、七彩假期志愿服务、暑期大学生三下乡社会实践活动（共有119名高校学子参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textAlignment w:val="auto"/>
        <w:rPr>
          <w:rFonts w:hint="eastAsia" w:ascii="仿宋" w:hAnsi="仿宋" w:eastAsia="仿宋" w:cs="仿宋"/>
          <w:sz w:val="32"/>
          <w:szCs w:val="32"/>
        </w:rPr>
      </w:pPr>
      <w:r>
        <w:rPr>
          <w:rFonts w:hint="eastAsia" w:ascii="Times New Roman" w:hAnsi="Times New Roman" w:eastAsia="楷体" w:cs="Times New Roman"/>
          <w:b/>
          <w:bCs/>
          <w:kern w:val="2"/>
          <w:sz w:val="32"/>
          <w:szCs w:val="32"/>
          <w:lang w:val="en-US" w:eastAsia="zh-CN" w:bidi="ar-SA"/>
        </w:rPr>
        <w:t>三是引导团员青年在促进生态建设中创先争优。</w:t>
      </w:r>
      <w:r>
        <w:rPr>
          <w:rFonts w:hint="eastAsia" w:ascii="仿宋_GB2312" w:hAnsi="仿宋_GB2312" w:eastAsia="仿宋_GB2312" w:cs="仿宋_GB2312"/>
          <w:kern w:val="2"/>
          <w:sz w:val="32"/>
          <w:szCs w:val="32"/>
          <w:lang w:val="en-US" w:eastAsia="zh-CN" w:bidi="ar-SA"/>
        </w:rPr>
        <w:t>社区以团组织牵头，带动团员青年力量围绕人居环境、创文创卫、河小青、走访留守儿童、孤寡老人、义诊等为工作项目开展活动。目前社区群众反应良好满意度高。全年累计</w:t>
      </w:r>
      <w:r>
        <w:rPr>
          <w:rFonts w:hint="default" w:ascii="仿宋_GB2312" w:hAnsi="仿宋_GB2312" w:eastAsia="仿宋_GB2312" w:cs="仿宋_GB2312"/>
          <w:kern w:val="2"/>
          <w:sz w:val="32"/>
          <w:szCs w:val="32"/>
          <w:lang w:val="en-US" w:eastAsia="zh-CN" w:bidi="ar-SA"/>
        </w:rPr>
        <w:t>开展青少年粮食节约、净滩行动等生态环保实践</w:t>
      </w:r>
      <w:r>
        <w:rPr>
          <w:rFonts w:hint="eastAsia" w:ascii="仿宋_GB2312" w:hAnsi="仿宋_GB2312" w:eastAsia="仿宋_GB2312" w:cs="仿宋_GB2312"/>
          <w:kern w:val="2"/>
          <w:sz w:val="32"/>
          <w:szCs w:val="32"/>
          <w:lang w:val="en-US" w:eastAsia="zh-CN" w:bidi="ar-SA"/>
        </w:rPr>
        <w:t>活动40余次。</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（四）部门年度整体收支情况，包括当年预算收入、预算支出和专项资金管理情况、“三公”经费支出情况以及政府采购情况等。</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1、预算收入情况。2023年本部门收入预算68.63万元，其中，一般公共预算拨款68.63万元，政府性基金预算拨款0万元，国有资本经营预算拨款0万元，纳入专户管理的非税收入0万元，上级财政补助0万元。</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2、预算支出情况。2023年本部门支出预算68.63万元，其中，基本支出60.83万元，项目支出7.80万元。</w:t>
      </w:r>
    </w:p>
    <w:p>
      <w:pPr>
        <w:pStyle w:val="2"/>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3、专项资金管理情况。2023年本部门项目支出预算7.80万元，占总支出的比重为11.37%，主要用于补充开展团委工作各项支出经费不足部分、开展本县青少年事业等方面。</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“三公”经费支出情况</w:t>
      </w:r>
      <w:r>
        <w:rPr>
          <w:rFonts w:hint="eastAsia" w:ascii="仿宋" w:hAnsi="仿宋" w:eastAsia="仿宋" w:cs="仿宋"/>
          <w:sz w:val="32"/>
          <w:szCs w:val="32"/>
          <w:lang w:eastAsia="zh-CN"/>
        </w:rPr>
        <w:t>。2023年本部门“三公”经费预算数为0.50万元，其中，公务接待费0.50万元，公务用车购置及运行费0万元（其中，公务用车购置费0万元，公务用车运行费0万元），因公出国（境）费0万元。</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政府采购情况。2023年本部门政府采购预算总额0万元</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（五）部门年度整体工作目标任务完成情况，包括：财政资金支出达到的效果情况、社会满意度认可情况等。</w:t>
      </w:r>
    </w:p>
    <w:p>
      <w:pPr>
        <w:pStyle w:val="4"/>
        <w:keepNext w:val="0"/>
        <w:keepLines w:val="0"/>
        <w:pageBreakBefore w:val="0"/>
        <w:kinsoku/>
        <w:wordWrap/>
        <w:overflowPunct/>
        <w:topLinePunct w:val="0"/>
        <w:bidi w:val="0"/>
        <w:spacing w:before="0" w:beforeLines="0" w:after="0" w:afterLines="0" w:line="600" w:lineRule="exact"/>
        <w:ind w:left="0" w:leftChars="0"/>
        <w:jc w:val="both"/>
        <w:textAlignment w:val="auto"/>
        <w:rPr>
          <w:rFonts w:hint="eastAsia"/>
        </w:rPr>
      </w:pPr>
      <w:r>
        <w:rPr>
          <w:rFonts w:hint="eastAsia" w:ascii="仿宋" w:hAnsi="仿宋" w:eastAsia="仿宋" w:cs="仿宋"/>
          <w:bCs w:val="0"/>
          <w:snapToGrid/>
          <w:color w:val="auto"/>
          <w:kern w:val="0"/>
          <w:sz w:val="32"/>
          <w:szCs w:val="32"/>
          <w:lang w:val="en-US" w:eastAsia="zh-CN" w:bidi="ar-SA"/>
        </w:rPr>
        <w:t>共青团中方县委在团中央和团省委、团市委以及县委的正确领导和社会各界的关心支持下，始终坚持政治建团，紧紧围绕党政中心工作，聚焦共青团主责主业，服务全县发展大局，不断提升共青团组织力、引领力、服务力，各项工作取得新业绩。一是强化青少年思想引领，始终做到“听党话、跟党走”；二是助力青少年成长成才，始终做到“为党育人、为国育才”；三是主动融入发展大局，始终做到“党有号召、团有行动”；四是认真履行“全团带队”职责，始终牢记“为党培养接班人”使命不动摇；五是以改革试点为抓手，全面强化党建带团建工作。</w:t>
      </w:r>
    </w:p>
    <w:p>
      <w:pPr>
        <w:pStyle w:val="4"/>
        <w:keepNext w:val="0"/>
        <w:keepLines w:val="0"/>
        <w:pageBreakBefore w:val="0"/>
        <w:kinsoku/>
        <w:wordWrap/>
        <w:overflowPunct/>
        <w:topLinePunct w:val="0"/>
        <w:bidi w:val="0"/>
        <w:spacing w:before="0" w:beforeLines="0" w:after="0" w:afterLines="0" w:line="600" w:lineRule="exact"/>
        <w:ind w:left="0" w:leftChars="0"/>
        <w:jc w:val="both"/>
        <w:textAlignment w:val="auto"/>
      </w:pPr>
      <w:r>
        <w:rPr>
          <w:rFonts w:hint="eastAsia"/>
        </w:rPr>
        <w:t>二、部门整体评价工作开展</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596" w:firstLineChars="200"/>
        <w:jc w:val="both"/>
        <w:textAlignment w:val="auto"/>
        <w:rPr>
          <w:rFonts w:ascii="仿宋" w:hAnsi="仿宋" w:eastAsia="仿宋" w:cs="仿宋"/>
          <w:spacing w:val="-11"/>
          <w:sz w:val="32"/>
          <w:szCs w:val="32"/>
        </w:rPr>
      </w:pPr>
      <w:r>
        <w:rPr>
          <w:rFonts w:hint="eastAsia" w:ascii="仿宋" w:hAnsi="仿宋" w:eastAsia="仿宋" w:cs="仿宋"/>
          <w:spacing w:val="-11"/>
          <w:sz w:val="32"/>
          <w:szCs w:val="32"/>
        </w:rPr>
        <w:t>（一）绩效评价实施过程情况，</w:t>
      </w:r>
      <w:r>
        <w:rPr>
          <w:rFonts w:hint="eastAsia" w:ascii="仿宋" w:hAnsi="仿宋" w:eastAsia="仿宋" w:cs="仿宋"/>
          <w:bCs/>
          <w:spacing w:val="-11"/>
          <w:sz w:val="32"/>
          <w:szCs w:val="32"/>
        </w:rPr>
        <w:t>包括评价方法、工作程序等；</w:t>
      </w:r>
    </w:p>
    <w:p>
      <w:pPr>
        <w:pStyle w:val="10"/>
        <w:keepNext w:val="0"/>
        <w:keepLines w:val="0"/>
        <w:pageBreakBefore w:val="0"/>
        <w:widowControl/>
        <w:kinsoku/>
        <w:wordWrap/>
        <w:overflowPunct/>
        <w:topLinePunct w:val="0"/>
        <w:bidi w:val="0"/>
        <w:spacing w:before="0" w:after="0" w:line="600" w:lineRule="exact"/>
        <w:ind w:left="0" w:leftChars="0" w:firstLine="640"/>
        <w:jc w:val="both"/>
        <w:textAlignment w:val="auto"/>
        <w:rPr>
          <w:rFonts w:hint="eastAsia" w:ascii="仿宋" w:hAnsi="仿宋" w:eastAsia="仿宋" w:cs="仿宋"/>
          <w:sz w:val="32"/>
          <w:szCs w:val="32"/>
          <w:lang w:val="en-US" w:eastAsia="zh-CN" w:bidi="ar-SA"/>
        </w:rPr>
      </w:pPr>
      <w:r>
        <w:rPr>
          <w:rFonts w:hint="eastAsia" w:ascii="仿宋" w:hAnsi="仿宋" w:eastAsia="仿宋" w:cs="仿宋"/>
          <w:b/>
          <w:bCs/>
          <w:sz w:val="32"/>
          <w:szCs w:val="32"/>
          <w:lang w:val="en-US" w:eastAsia="zh-CN" w:bidi="ar-SA"/>
        </w:rPr>
        <w:t>1、严格核实各项数据。</w:t>
      </w:r>
      <w:r>
        <w:rPr>
          <w:rFonts w:hint="eastAsia" w:ascii="仿宋" w:hAnsi="仿宋" w:eastAsia="仿宋" w:cs="仿宋"/>
          <w:sz w:val="32"/>
          <w:szCs w:val="32"/>
          <w:lang w:val="en-US" w:eastAsia="zh-CN" w:bidi="ar-SA"/>
        </w:rPr>
        <w:t>对2023年本单位的整体支出数据的准确性、真实性进行核实。</w:t>
      </w:r>
    </w:p>
    <w:p>
      <w:pPr>
        <w:pStyle w:val="10"/>
        <w:keepNext w:val="0"/>
        <w:keepLines w:val="0"/>
        <w:pageBreakBefore w:val="0"/>
        <w:widowControl/>
        <w:kinsoku/>
        <w:wordWrap/>
        <w:overflowPunct/>
        <w:topLinePunct w:val="0"/>
        <w:bidi w:val="0"/>
        <w:spacing w:before="0" w:after="0" w:line="600" w:lineRule="exact"/>
        <w:ind w:left="0" w:leftChars="0"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bidi="ar-SA"/>
        </w:rPr>
        <w:t>2、查阅相关凭证资料。</w:t>
      </w:r>
      <w:r>
        <w:rPr>
          <w:rFonts w:hint="eastAsia" w:ascii="仿宋" w:hAnsi="仿宋" w:eastAsia="仿宋" w:cs="仿宋"/>
          <w:sz w:val="32"/>
          <w:szCs w:val="32"/>
          <w:lang w:val="en-US" w:eastAsia="zh-CN" w:bidi="ar-SA"/>
        </w:rPr>
        <w:t>查阅2023度预算安排、预算追加、经费支出、资产管理等相关文件资料和财务凭证。</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（二）绩效评价整体结果概况，</w:t>
      </w:r>
      <w:r>
        <w:rPr>
          <w:rFonts w:hint="eastAsia" w:ascii="仿宋" w:hAnsi="仿宋" w:eastAsia="仿宋" w:cs="仿宋"/>
          <w:bCs/>
          <w:sz w:val="32"/>
          <w:szCs w:val="32"/>
        </w:rPr>
        <w:t>如：得分情况（或档次）、预算编制和执行情况、节能降耗情况、三公经费控制情况，项目支出管理规范和绩效情况等。</w:t>
      </w:r>
    </w:p>
    <w:p>
      <w:pPr>
        <w:pStyle w:val="10"/>
        <w:keepNext w:val="0"/>
        <w:keepLines w:val="0"/>
        <w:pageBreakBefore w:val="0"/>
        <w:widowControl/>
        <w:kinsoku/>
        <w:wordWrap/>
        <w:overflowPunct/>
        <w:topLinePunct w:val="0"/>
        <w:bidi w:val="0"/>
        <w:spacing w:before="0" w:after="0" w:line="600" w:lineRule="exact"/>
        <w:ind w:left="0" w:leftChars="0" w:firstLine="640"/>
        <w:jc w:val="both"/>
        <w:textAlignment w:val="auto"/>
        <w:rPr>
          <w:rFonts w:hint="eastAsia" w:ascii="仿宋" w:hAnsi="仿宋" w:eastAsia="仿宋" w:cs="仿宋"/>
          <w:b/>
          <w:bCs w:val="0"/>
          <w:sz w:val="32"/>
          <w:szCs w:val="32"/>
          <w:lang w:val="en-US" w:eastAsia="zh-CN" w:bidi="ar-SA"/>
        </w:rPr>
      </w:pPr>
      <w:r>
        <w:rPr>
          <w:rFonts w:hint="eastAsia" w:ascii="仿宋" w:hAnsi="仿宋" w:eastAsia="仿宋" w:cs="仿宋"/>
          <w:b/>
          <w:bCs w:val="0"/>
          <w:sz w:val="32"/>
          <w:szCs w:val="32"/>
          <w:lang w:val="en-US" w:eastAsia="zh-CN" w:bidi="ar-SA"/>
        </w:rPr>
        <w:t>1.总体得分情况</w:t>
      </w:r>
    </w:p>
    <w:p>
      <w:pPr>
        <w:pStyle w:val="10"/>
        <w:keepNext w:val="0"/>
        <w:keepLines w:val="0"/>
        <w:pageBreakBefore w:val="0"/>
        <w:widowControl/>
        <w:kinsoku/>
        <w:wordWrap/>
        <w:overflowPunct/>
        <w:topLinePunct w:val="0"/>
        <w:bidi w:val="0"/>
        <w:spacing w:before="0" w:after="0" w:line="600" w:lineRule="exact"/>
        <w:ind w:left="0" w:leftChars="0" w:firstLine="640"/>
        <w:jc w:val="both"/>
        <w:textAlignment w:val="auto"/>
        <w:rPr>
          <w:rFonts w:hint="eastAsia" w:ascii="仿宋" w:hAnsi="仿宋" w:eastAsia="仿宋" w:cs="仿宋"/>
          <w:bCs/>
          <w:sz w:val="32"/>
          <w:szCs w:val="32"/>
          <w:lang w:val="en-US" w:eastAsia="zh-CN" w:bidi="ar-SA"/>
        </w:rPr>
      </w:pPr>
      <w:r>
        <w:rPr>
          <w:rFonts w:hint="eastAsia" w:ascii="仿宋" w:hAnsi="仿宋" w:eastAsia="仿宋" w:cs="仿宋"/>
          <w:bCs/>
          <w:sz w:val="32"/>
          <w:szCs w:val="32"/>
          <w:lang w:val="en-US" w:eastAsia="zh-CN" w:bidi="ar-SA"/>
        </w:rPr>
        <w:t>根据设定的部门整体支出绩效评价指标规定的内容，综合评价，本单位2023年度部门整体支出绩效评价得分为</w:t>
      </w:r>
      <w:r>
        <w:rPr>
          <w:rFonts w:hint="eastAsia" w:ascii="仿宋" w:hAnsi="仿宋" w:eastAsia="仿宋" w:cs="仿宋"/>
          <w:bCs/>
          <w:sz w:val="32"/>
          <w:szCs w:val="32"/>
          <w:highlight w:val="none"/>
          <w:lang w:val="en-US" w:eastAsia="zh-CN" w:bidi="ar-SA"/>
        </w:rPr>
        <w:t>86</w:t>
      </w:r>
      <w:r>
        <w:rPr>
          <w:rFonts w:hint="eastAsia" w:ascii="仿宋" w:hAnsi="仿宋" w:eastAsia="仿宋" w:cs="仿宋"/>
          <w:bCs/>
          <w:sz w:val="32"/>
          <w:szCs w:val="32"/>
          <w:lang w:val="en-US" w:eastAsia="zh-CN" w:bidi="ar-SA"/>
        </w:rPr>
        <w:t>分，等级为良好。</w:t>
      </w:r>
    </w:p>
    <w:p>
      <w:pPr>
        <w:pStyle w:val="10"/>
        <w:keepNext w:val="0"/>
        <w:keepLines w:val="0"/>
        <w:pageBreakBefore w:val="0"/>
        <w:widowControl/>
        <w:numPr>
          <w:ilvl w:val="0"/>
          <w:numId w:val="0"/>
        </w:numPr>
        <w:kinsoku/>
        <w:wordWrap/>
        <w:overflowPunct/>
        <w:topLinePunct w:val="0"/>
        <w:bidi w:val="0"/>
        <w:spacing w:before="0" w:after="0" w:line="600" w:lineRule="exact"/>
        <w:ind w:left="0" w:leftChars="0" w:firstLine="642" w:firstLineChars="200"/>
        <w:jc w:val="both"/>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2.</w:t>
      </w:r>
      <w:r>
        <w:rPr>
          <w:rFonts w:hint="eastAsia" w:ascii="仿宋" w:hAnsi="仿宋" w:eastAsia="仿宋" w:cs="仿宋"/>
          <w:b/>
          <w:bCs w:val="0"/>
          <w:sz w:val="32"/>
          <w:szCs w:val="32"/>
        </w:rPr>
        <w:t>预算编制和执行情况</w:t>
      </w:r>
    </w:p>
    <w:p>
      <w:pPr>
        <w:pStyle w:val="10"/>
        <w:keepNext w:val="0"/>
        <w:keepLines w:val="0"/>
        <w:pageBreakBefore w:val="0"/>
        <w:widowControl/>
        <w:kinsoku/>
        <w:wordWrap/>
        <w:overflowPunct/>
        <w:topLinePunct w:val="0"/>
        <w:bidi w:val="0"/>
        <w:spacing w:before="0" w:after="0" w:line="600" w:lineRule="exact"/>
        <w:ind w:left="0" w:leftChars="0" w:firstLine="640"/>
        <w:jc w:val="both"/>
        <w:textAlignment w:val="auto"/>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lang w:val="en-US" w:eastAsia="zh-CN" w:bidi="ar-SA"/>
        </w:rPr>
        <w:t>收入支出预算安排情况：</w:t>
      </w:r>
      <w:r>
        <w:rPr>
          <w:rFonts w:hint="eastAsia" w:ascii="仿宋" w:hAnsi="仿宋" w:eastAsia="仿宋" w:cs="仿宋"/>
          <w:bCs/>
          <w:sz w:val="32"/>
          <w:szCs w:val="32"/>
          <w:highlight w:val="none"/>
          <w:lang w:val="en-US" w:eastAsia="zh-CN" w:bidi="ar-SA"/>
        </w:rPr>
        <w:t>2023年收入预算68.63万元，其中，一般公共预算拨款68.63万元，政府性基金预算拨款0万元，国有资本经营预算拨款0万元，纳入专户管理的非税收入0万元，上级财政补助0万元。</w:t>
      </w:r>
    </w:p>
    <w:p>
      <w:pPr>
        <w:pStyle w:val="10"/>
        <w:keepNext w:val="0"/>
        <w:keepLines w:val="0"/>
        <w:pageBreakBefore w:val="0"/>
        <w:widowControl/>
        <w:kinsoku/>
        <w:wordWrap/>
        <w:overflowPunct/>
        <w:topLinePunct w:val="0"/>
        <w:bidi w:val="0"/>
        <w:spacing w:before="0" w:after="0" w:line="600" w:lineRule="exact"/>
        <w:ind w:left="0" w:leftChars="0" w:firstLine="640"/>
        <w:jc w:val="both"/>
        <w:textAlignment w:val="auto"/>
        <w:rPr>
          <w:rFonts w:hint="eastAsia"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2023年支出预算68.63万元，其中，基本支出60.83万元，项目支出7.80万元。</w:t>
      </w:r>
    </w:p>
    <w:p>
      <w:pPr>
        <w:pStyle w:val="10"/>
        <w:keepNext w:val="0"/>
        <w:keepLines w:val="0"/>
        <w:pageBreakBefore w:val="0"/>
        <w:widowControl/>
        <w:kinsoku/>
        <w:wordWrap/>
        <w:overflowPunct/>
        <w:topLinePunct w:val="0"/>
        <w:bidi w:val="0"/>
        <w:spacing w:before="0" w:after="0" w:line="600" w:lineRule="exact"/>
        <w:ind w:left="0" w:leftChars="0" w:firstLine="640"/>
        <w:jc w:val="both"/>
        <w:textAlignment w:val="auto"/>
        <w:rPr>
          <w:rFonts w:hint="eastAsia" w:ascii="仿宋" w:hAnsi="仿宋" w:eastAsia="仿宋" w:cs="仿宋"/>
          <w:bCs/>
          <w:sz w:val="32"/>
          <w:szCs w:val="32"/>
          <w:highlight w:val="yellow"/>
          <w:lang w:val="en-US" w:eastAsia="zh-CN" w:bidi="ar-SA"/>
        </w:rPr>
      </w:pPr>
      <w:r>
        <w:rPr>
          <w:rFonts w:hint="eastAsia" w:ascii="仿宋" w:hAnsi="仿宋" w:eastAsia="仿宋" w:cs="仿宋"/>
          <w:bCs/>
          <w:sz w:val="32"/>
          <w:szCs w:val="32"/>
          <w:lang w:val="en-US" w:eastAsia="zh-CN" w:bidi="ar-SA"/>
        </w:rPr>
        <w:t>收入支出预算执行情况：</w:t>
      </w:r>
      <w:r>
        <w:rPr>
          <w:rFonts w:hint="eastAsia" w:ascii="仿宋" w:hAnsi="仿宋" w:eastAsia="仿宋" w:cs="仿宋"/>
          <w:bCs/>
          <w:sz w:val="32"/>
          <w:szCs w:val="32"/>
          <w:highlight w:val="none"/>
          <w:lang w:val="en-US" w:eastAsia="zh-CN" w:bidi="ar-SA"/>
        </w:rPr>
        <w:t>2023年收入决算数</w:t>
      </w:r>
      <w:r>
        <w:rPr>
          <w:rFonts w:hint="default" w:ascii="仿宋" w:hAnsi="仿宋" w:eastAsia="仿宋" w:cs="仿宋"/>
          <w:bCs/>
          <w:sz w:val="32"/>
          <w:szCs w:val="32"/>
          <w:highlight w:val="none"/>
          <w:lang w:val="en" w:eastAsia="zh-CN" w:bidi="ar-SA"/>
        </w:rPr>
        <w:t>82.60</w:t>
      </w:r>
      <w:r>
        <w:rPr>
          <w:rFonts w:hint="eastAsia" w:ascii="仿宋" w:hAnsi="仿宋" w:eastAsia="仿宋" w:cs="仿宋"/>
          <w:bCs/>
          <w:sz w:val="32"/>
          <w:szCs w:val="32"/>
          <w:highlight w:val="none"/>
          <w:lang w:val="en-US" w:eastAsia="zh-CN" w:bidi="ar-SA"/>
        </w:rPr>
        <w:t>万元，比上年</w:t>
      </w:r>
      <w:r>
        <w:rPr>
          <w:rFonts w:hint="default" w:ascii="仿宋" w:hAnsi="仿宋" w:eastAsia="仿宋" w:cs="仿宋"/>
          <w:bCs/>
          <w:sz w:val="32"/>
          <w:szCs w:val="32"/>
          <w:highlight w:val="none"/>
          <w:lang w:val="en" w:eastAsia="zh-CN" w:bidi="ar-SA"/>
        </w:rPr>
        <w:t>98.18</w:t>
      </w:r>
      <w:r>
        <w:rPr>
          <w:rFonts w:hint="eastAsia" w:ascii="仿宋" w:hAnsi="仿宋" w:eastAsia="仿宋" w:cs="仿宋"/>
          <w:bCs/>
          <w:sz w:val="32"/>
          <w:szCs w:val="32"/>
          <w:highlight w:val="none"/>
          <w:lang w:val="en-US" w:eastAsia="zh-CN" w:bidi="ar-SA"/>
        </w:rPr>
        <w:t>万元减少</w:t>
      </w:r>
      <w:r>
        <w:rPr>
          <w:rFonts w:hint="default" w:ascii="仿宋" w:hAnsi="仿宋" w:eastAsia="仿宋" w:cs="仿宋"/>
          <w:bCs/>
          <w:sz w:val="32"/>
          <w:szCs w:val="32"/>
          <w:highlight w:val="none"/>
          <w:lang w:val="en" w:eastAsia="zh-CN" w:bidi="ar-SA"/>
        </w:rPr>
        <w:t>15.58</w:t>
      </w:r>
      <w:r>
        <w:rPr>
          <w:rFonts w:hint="eastAsia" w:ascii="仿宋" w:hAnsi="仿宋" w:eastAsia="仿宋" w:cs="仿宋"/>
          <w:bCs/>
          <w:sz w:val="32"/>
          <w:szCs w:val="32"/>
          <w:highlight w:val="none"/>
          <w:lang w:val="en-US" w:eastAsia="zh-CN" w:bidi="ar-SA"/>
        </w:rPr>
        <w:t>万元，减幅</w:t>
      </w:r>
      <w:r>
        <w:rPr>
          <w:rFonts w:hint="default" w:ascii="仿宋" w:hAnsi="仿宋" w:eastAsia="仿宋" w:cs="仿宋"/>
          <w:bCs/>
          <w:sz w:val="32"/>
          <w:szCs w:val="32"/>
          <w:highlight w:val="none"/>
          <w:lang w:val="en" w:eastAsia="zh-CN" w:bidi="ar-SA"/>
        </w:rPr>
        <w:t>15.87</w:t>
      </w:r>
      <w:r>
        <w:rPr>
          <w:rFonts w:hint="eastAsia" w:ascii="仿宋" w:hAnsi="仿宋" w:eastAsia="仿宋" w:cs="仿宋"/>
          <w:bCs/>
          <w:sz w:val="32"/>
          <w:szCs w:val="32"/>
          <w:highlight w:val="none"/>
          <w:lang w:val="en-US" w:eastAsia="zh-CN" w:bidi="ar-SA"/>
        </w:rPr>
        <w:t>%，主要是由于其他收入减少所致；2023年支出决算数</w:t>
      </w:r>
      <w:r>
        <w:rPr>
          <w:rFonts w:hint="default" w:ascii="仿宋" w:hAnsi="仿宋" w:eastAsia="仿宋" w:cs="仿宋"/>
          <w:bCs/>
          <w:sz w:val="32"/>
          <w:szCs w:val="32"/>
          <w:highlight w:val="none"/>
          <w:lang w:val="en" w:eastAsia="zh-CN" w:bidi="ar-SA"/>
        </w:rPr>
        <w:t>82.60</w:t>
      </w:r>
      <w:r>
        <w:rPr>
          <w:rFonts w:hint="eastAsia" w:ascii="仿宋" w:hAnsi="仿宋" w:eastAsia="仿宋" w:cs="仿宋"/>
          <w:bCs/>
          <w:sz w:val="32"/>
          <w:szCs w:val="32"/>
          <w:highlight w:val="none"/>
          <w:lang w:val="en-US" w:eastAsia="zh-CN" w:bidi="ar-SA"/>
        </w:rPr>
        <w:t>万元，比上年</w:t>
      </w:r>
      <w:r>
        <w:rPr>
          <w:rFonts w:hint="default" w:ascii="仿宋" w:hAnsi="仿宋" w:eastAsia="仿宋" w:cs="仿宋"/>
          <w:bCs/>
          <w:sz w:val="32"/>
          <w:szCs w:val="32"/>
          <w:highlight w:val="none"/>
          <w:lang w:val="en" w:eastAsia="zh-CN" w:bidi="ar-SA"/>
        </w:rPr>
        <w:t>98.18</w:t>
      </w:r>
      <w:r>
        <w:rPr>
          <w:rFonts w:hint="eastAsia" w:ascii="仿宋" w:hAnsi="仿宋" w:eastAsia="仿宋" w:cs="仿宋"/>
          <w:bCs/>
          <w:sz w:val="32"/>
          <w:szCs w:val="32"/>
          <w:highlight w:val="none"/>
          <w:lang w:val="en-US" w:eastAsia="zh-CN" w:bidi="ar-SA"/>
        </w:rPr>
        <w:t>万元减少</w:t>
      </w:r>
      <w:r>
        <w:rPr>
          <w:rFonts w:hint="default" w:ascii="仿宋" w:hAnsi="仿宋" w:eastAsia="仿宋" w:cs="仿宋"/>
          <w:bCs/>
          <w:sz w:val="32"/>
          <w:szCs w:val="32"/>
          <w:highlight w:val="none"/>
          <w:lang w:val="en" w:eastAsia="zh-CN" w:bidi="ar-SA"/>
        </w:rPr>
        <w:t>15.58</w:t>
      </w:r>
      <w:r>
        <w:rPr>
          <w:rFonts w:hint="eastAsia" w:ascii="仿宋" w:hAnsi="仿宋" w:eastAsia="仿宋" w:cs="仿宋"/>
          <w:bCs/>
          <w:sz w:val="32"/>
          <w:szCs w:val="32"/>
          <w:highlight w:val="none"/>
          <w:lang w:val="en-US" w:eastAsia="zh-CN" w:bidi="ar-SA"/>
        </w:rPr>
        <w:t>万元，降幅</w:t>
      </w:r>
      <w:r>
        <w:rPr>
          <w:rFonts w:hint="default" w:ascii="仿宋" w:hAnsi="仿宋" w:eastAsia="仿宋" w:cs="仿宋"/>
          <w:bCs/>
          <w:sz w:val="32"/>
          <w:szCs w:val="32"/>
          <w:highlight w:val="none"/>
          <w:lang w:val="en" w:eastAsia="zh-CN" w:bidi="ar-SA"/>
        </w:rPr>
        <w:t>15.87</w:t>
      </w:r>
      <w:r>
        <w:rPr>
          <w:rFonts w:hint="eastAsia" w:ascii="仿宋" w:hAnsi="仿宋" w:eastAsia="仿宋" w:cs="仿宋"/>
          <w:bCs/>
          <w:sz w:val="32"/>
          <w:szCs w:val="32"/>
          <w:highlight w:val="none"/>
          <w:lang w:val="en-US" w:eastAsia="zh-CN" w:bidi="ar-SA"/>
        </w:rPr>
        <w:t>%，其中基本支出</w:t>
      </w:r>
      <w:r>
        <w:rPr>
          <w:rFonts w:hint="default" w:ascii="仿宋" w:hAnsi="仿宋" w:eastAsia="仿宋" w:cs="仿宋"/>
          <w:bCs/>
          <w:sz w:val="32"/>
          <w:szCs w:val="32"/>
          <w:highlight w:val="none"/>
          <w:lang w:val="en" w:eastAsia="zh-CN" w:bidi="ar-SA"/>
        </w:rPr>
        <w:t>58.6</w:t>
      </w:r>
      <w:r>
        <w:rPr>
          <w:rFonts w:hint="eastAsia" w:ascii="仿宋" w:hAnsi="仿宋" w:eastAsia="仿宋" w:cs="仿宋"/>
          <w:bCs/>
          <w:sz w:val="32"/>
          <w:szCs w:val="32"/>
          <w:highlight w:val="none"/>
          <w:lang w:val="en-US" w:eastAsia="zh-CN" w:bidi="ar-SA"/>
        </w:rPr>
        <w:t>3万元，比上年</w:t>
      </w:r>
      <w:r>
        <w:rPr>
          <w:rFonts w:hint="default" w:ascii="仿宋" w:hAnsi="仿宋" w:eastAsia="仿宋" w:cs="仿宋"/>
          <w:bCs/>
          <w:sz w:val="32"/>
          <w:szCs w:val="32"/>
          <w:highlight w:val="none"/>
          <w:lang w:val="en" w:eastAsia="zh-CN" w:bidi="ar-SA"/>
        </w:rPr>
        <w:t>59.77</w:t>
      </w:r>
      <w:r>
        <w:rPr>
          <w:rFonts w:hint="eastAsia" w:ascii="仿宋" w:hAnsi="仿宋" w:eastAsia="仿宋" w:cs="仿宋"/>
          <w:bCs/>
          <w:sz w:val="32"/>
          <w:szCs w:val="32"/>
          <w:highlight w:val="none"/>
          <w:lang w:val="en-US" w:eastAsia="zh-CN" w:bidi="ar-SA"/>
        </w:rPr>
        <w:t>万元减少</w:t>
      </w:r>
      <w:r>
        <w:rPr>
          <w:rFonts w:hint="default" w:ascii="仿宋" w:hAnsi="仿宋" w:eastAsia="仿宋" w:cs="仿宋"/>
          <w:bCs/>
          <w:sz w:val="32"/>
          <w:szCs w:val="32"/>
          <w:highlight w:val="none"/>
          <w:lang w:val="en" w:eastAsia="zh-CN" w:bidi="ar-SA"/>
        </w:rPr>
        <w:t>1.1</w:t>
      </w:r>
      <w:r>
        <w:rPr>
          <w:rFonts w:hint="eastAsia" w:ascii="仿宋" w:hAnsi="仿宋" w:eastAsia="仿宋" w:cs="仿宋"/>
          <w:bCs/>
          <w:sz w:val="32"/>
          <w:szCs w:val="32"/>
          <w:highlight w:val="none"/>
          <w:lang w:val="en-US" w:eastAsia="zh-CN" w:bidi="ar-SA"/>
        </w:rPr>
        <w:t>4万元，降幅1.91%，主要是由人员经费减少所致；项目支出23.97万元，比上年38.41万元减少14.44万元，减幅37.59%，主要是群团事务支出减少所致。</w:t>
      </w:r>
    </w:p>
    <w:p>
      <w:pPr>
        <w:pStyle w:val="10"/>
        <w:keepNext w:val="0"/>
        <w:keepLines w:val="0"/>
        <w:pageBreakBefore w:val="0"/>
        <w:widowControl/>
        <w:kinsoku/>
        <w:wordWrap/>
        <w:overflowPunct/>
        <w:topLinePunct w:val="0"/>
        <w:bidi w:val="0"/>
        <w:spacing w:before="0" w:after="0" w:line="600" w:lineRule="exact"/>
        <w:ind w:left="0" w:leftChars="0" w:firstLine="640"/>
        <w:jc w:val="both"/>
        <w:textAlignment w:val="auto"/>
        <w:rPr>
          <w:rFonts w:hint="eastAsia" w:ascii="仿宋" w:hAnsi="仿宋" w:eastAsia="仿宋" w:cs="仿宋"/>
          <w:b/>
          <w:bCs w:val="0"/>
          <w:sz w:val="32"/>
          <w:szCs w:val="32"/>
          <w:lang w:val="en-US" w:eastAsia="zh-CN" w:bidi="ar-SA"/>
        </w:rPr>
      </w:pPr>
      <w:r>
        <w:rPr>
          <w:rFonts w:hint="eastAsia" w:ascii="仿宋" w:hAnsi="仿宋" w:eastAsia="仿宋" w:cs="仿宋"/>
          <w:b/>
          <w:bCs w:val="0"/>
          <w:sz w:val="32"/>
          <w:szCs w:val="32"/>
          <w:lang w:val="en-US" w:eastAsia="zh-CN" w:bidi="ar-SA"/>
        </w:rPr>
        <w:t>3.节能降耗情况</w:t>
      </w:r>
    </w:p>
    <w:p>
      <w:pPr>
        <w:pStyle w:val="10"/>
        <w:keepNext w:val="0"/>
        <w:keepLines w:val="0"/>
        <w:pageBreakBefore w:val="0"/>
        <w:widowControl/>
        <w:kinsoku/>
        <w:wordWrap/>
        <w:overflowPunct/>
        <w:topLinePunct w:val="0"/>
        <w:bidi w:val="0"/>
        <w:spacing w:before="0" w:after="0" w:line="600" w:lineRule="exact"/>
        <w:ind w:left="0" w:leftChars="0" w:firstLine="640"/>
        <w:jc w:val="both"/>
        <w:textAlignment w:val="auto"/>
        <w:rPr>
          <w:rFonts w:hint="eastAsia" w:ascii="仿宋" w:hAnsi="仿宋" w:eastAsia="仿宋" w:cs="仿宋"/>
          <w:bCs/>
          <w:sz w:val="32"/>
          <w:szCs w:val="32"/>
          <w:lang w:val="en-US" w:eastAsia="zh-CN" w:bidi="ar-SA"/>
        </w:rPr>
      </w:pPr>
      <w:r>
        <w:rPr>
          <w:rFonts w:hint="eastAsia" w:ascii="仿宋" w:hAnsi="仿宋" w:eastAsia="仿宋" w:cs="仿宋"/>
          <w:bCs/>
          <w:sz w:val="32"/>
          <w:szCs w:val="32"/>
          <w:lang w:val="en-US" w:eastAsia="zh-CN" w:bidi="ar-SA"/>
        </w:rPr>
        <w:t>本单位通过节约用水用电、节约用油、精简会议、节约办公消耗品等积极开展了节能降耗工作，充分认识建设节约型机关的重要意义，自觉履行管理监督职能加快建设节约型社会。</w:t>
      </w:r>
    </w:p>
    <w:p>
      <w:pPr>
        <w:pStyle w:val="10"/>
        <w:keepNext w:val="0"/>
        <w:keepLines w:val="0"/>
        <w:pageBreakBefore w:val="0"/>
        <w:widowControl/>
        <w:kinsoku/>
        <w:wordWrap/>
        <w:overflowPunct/>
        <w:topLinePunct w:val="0"/>
        <w:bidi w:val="0"/>
        <w:spacing w:before="0" w:after="0" w:line="600" w:lineRule="exact"/>
        <w:ind w:left="0" w:leftChars="0" w:firstLine="640"/>
        <w:jc w:val="both"/>
        <w:textAlignment w:val="auto"/>
        <w:rPr>
          <w:rFonts w:hint="eastAsia" w:ascii="仿宋" w:hAnsi="仿宋" w:eastAsia="仿宋" w:cs="仿宋"/>
          <w:bCs/>
          <w:sz w:val="32"/>
          <w:szCs w:val="32"/>
          <w:highlight w:val="yellow"/>
          <w:lang w:val="en-US" w:eastAsia="zh-CN" w:bidi="ar-SA"/>
        </w:rPr>
      </w:pPr>
      <w:r>
        <w:rPr>
          <w:rFonts w:hint="eastAsia" w:ascii="仿宋" w:hAnsi="仿宋" w:eastAsia="仿宋" w:cs="仿宋"/>
          <w:b/>
          <w:bCs w:val="0"/>
          <w:sz w:val="32"/>
          <w:szCs w:val="32"/>
          <w:lang w:val="en-US" w:eastAsia="zh-CN" w:bidi="ar-SA"/>
        </w:rPr>
        <w:t>4.三公经费控制情况</w:t>
      </w:r>
    </w:p>
    <w:p>
      <w:pPr>
        <w:pStyle w:val="10"/>
        <w:keepNext w:val="0"/>
        <w:keepLines w:val="0"/>
        <w:pageBreakBefore w:val="0"/>
        <w:widowControl/>
        <w:kinsoku/>
        <w:wordWrap/>
        <w:overflowPunct/>
        <w:topLinePunct w:val="0"/>
        <w:bidi w:val="0"/>
        <w:spacing w:before="0" w:after="0" w:line="600" w:lineRule="exact"/>
        <w:ind w:left="0" w:leftChars="0" w:firstLine="640"/>
        <w:jc w:val="both"/>
        <w:textAlignment w:val="auto"/>
        <w:rPr>
          <w:rFonts w:hint="default" w:ascii="仿宋" w:hAnsi="仿宋" w:eastAsia="仿宋" w:cs="仿宋"/>
          <w:bCs/>
          <w:sz w:val="32"/>
          <w:szCs w:val="32"/>
          <w:highlight w:val="none"/>
          <w:lang w:val="en-US" w:eastAsia="zh-CN" w:bidi="ar-SA"/>
        </w:rPr>
      </w:pPr>
      <w:r>
        <w:rPr>
          <w:rFonts w:hint="eastAsia" w:ascii="仿宋" w:hAnsi="仿宋" w:eastAsia="仿宋" w:cs="仿宋"/>
          <w:bCs/>
          <w:sz w:val="32"/>
          <w:szCs w:val="32"/>
          <w:highlight w:val="none"/>
          <w:lang w:val="en-US" w:eastAsia="zh-CN" w:bidi="ar-SA"/>
        </w:rPr>
        <w:t>2023年度“三公”经费全年支出共计0.28万元。本年年初预算“三公”经费及本年支出分项如下：（1）因公出国（境）费，年初无预算，本年无支出；（2）公务用车购置及运行维护费，公务用车购置年初无预算，本年无支出；公务用车运行维护费年初无预算，本年无支出；（3）公务接待费，年初预算0.5万元，本年支出0.28万元。较上年0.26万元增加了0.02万元，主要原因是相较去年，本年度增加了团省委调研接待支出。</w:t>
      </w:r>
    </w:p>
    <w:p>
      <w:pPr>
        <w:pStyle w:val="10"/>
        <w:keepNext w:val="0"/>
        <w:keepLines w:val="0"/>
        <w:pageBreakBefore w:val="0"/>
        <w:widowControl/>
        <w:kinsoku/>
        <w:wordWrap/>
        <w:overflowPunct/>
        <w:topLinePunct w:val="0"/>
        <w:bidi w:val="0"/>
        <w:spacing w:before="0" w:after="0" w:line="600" w:lineRule="exact"/>
        <w:ind w:left="0" w:leftChars="0" w:firstLine="640"/>
        <w:jc w:val="both"/>
        <w:textAlignment w:val="auto"/>
        <w:rPr>
          <w:rFonts w:hint="default" w:ascii="仿宋" w:hAnsi="仿宋" w:eastAsia="仿宋" w:cs="仿宋"/>
          <w:b/>
          <w:bCs w:val="0"/>
          <w:sz w:val="32"/>
          <w:szCs w:val="32"/>
          <w:lang w:val="en-US" w:eastAsia="zh-CN" w:bidi="ar-SA"/>
        </w:rPr>
      </w:pPr>
      <w:r>
        <w:rPr>
          <w:rFonts w:hint="eastAsia" w:ascii="仿宋" w:hAnsi="仿宋" w:eastAsia="仿宋" w:cs="仿宋"/>
          <w:b/>
          <w:bCs w:val="0"/>
          <w:sz w:val="32"/>
          <w:szCs w:val="32"/>
          <w:lang w:val="en-US" w:eastAsia="zh-CN" w:bidi="ar-SA"/>
        </w:rPr>
        <w:t>5.项目支出管理规范和绩效情况</w:t>
      </w:r>
    </w:p>
    <w:p>
      <w:pPr>
        <w:pStyle w:val="10"/>
        <w:keepNext w:val="0"/>
        <w:keepLines w:val="0"/>
        <w:pageBreakBefore w:val="0"/>
        <w:widowControl/>
        <w:kinsoku/>
        <w:wordWrap/>
        <w:overflowPunct/>
        <w:topLinePunct w:val="0"/>
        <w:bidi w:val="0"/>
        <w:spacing w:before="0" w:after="0" w:line="600" w:lineRule="exact"/>
        <w:ind w:left="0" w:leftChars="0" w:firstLine="640"/>
        <w:jc w:val="both"/>
        <w:textAlignment w:val="auto"/>
        <w:rPr>
          <w:rFonts w:hint="eastAsia" w:ascii="黑体" w:hAnsi="黑体" w:eastAsia="黑体" w:cs="黑体"/>
          <w:bCs/>
          <w:sz w:val="32"/>
          <w:szCs w:val="32"/>
        </w:rPr>
      </w:pPr>
      <w:r>
        <w:rPr>
          <w:rFonts w:hint="eastAsia" w:ascii="仿宋" w:hAnsi="仿宋" w:eastAsia="仿宋" w:cs="仿宋"/>
          <w:bCs/>
          <w:sz w:val="32"/>
          <w:szCs w:val="32"/>
          <w:lang w:val="en-US" w:eastAsia="zh-CN" w:bidi="ar-SA"/>
        </w:rPr>
        <w:t>预算执行中存在没有严格按照对应指标进行支付的情况，在以后的工作中尽量不再有类似的情况发生。</w:t>
      </w:r>
    </w:p>
    <w:p>
      <w:pPr>
        <w:pStyle w:val="4"/>
        <w:keepNext w:val="0"/>
        <w:keepLines w:val="0"/>
        <w:pageBreakBefore w:val="0"/>
        <w:kinsoku/>
        <w:wordWrap/>
        <w:overflowPunct/>
        <w:topLinePunct w:val="0"/>
        <w:bidi w:val="0"/>
        <w:spacing w:before="0" w:beforeLines="0" w:after="0" w:afterLines="0" w:line="600" w:lineRule="exact"/>
        <w:ind w:left="0" w:leftChars="0"/>
        <w:jc w:val="both"/>
        <w:textAlignment w:val="auto"/>
        <w:rPr>
          <w:rFonts w:hint="eastAsia"/>
        </w:rPr>
      </w:pPr>
      <w:r>
        <w:rPr>
          <w:rFonts w:hint="eastAsia"/>
        </w:rPr>
        <w:t>三、部门整体支出绩效评价分析</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（一）投入情况分析，包括预算编制、目标设定分析等；</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bCs/>
          <w:sz w:val="32"/>
          <w:szCs w:val="32"/>
          <w:lang w:val="en-US" w:eastAsia="zh-CN" w:bidi="ar-SA"/>
        </w:rPr>
      </w:pPr>
      <w:r>
        <w:rPr>
          <w:rFonts w:hint="eastAsia" w:ascii="仿宋" w:hAnsi="仿宋" w:eastAsia="仿宋" w:cs="仿宋"/>
          <w:bCs/>
          <w:sz w:val="32"/>
          <w:szCs w:val="32"/>
          <w:lang w:val="en-US" w:eastAsia="zh-CN" w:bidi="ar-SA"/>
        </w:rPr>
        <w:t>结合部门职责职能，设定工作目标，根据工作目标预算部门经费，2023年本部门收入预算68.63万元，收入较上年增加15.65万元，主要原因是人员经费收入增加15.28万元，公用经费收入增加1.2万元，项目经费收入减少0.83万元。</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hint="eastAsia" w:ascii="仿宋" w:hAnsi="仿宋" w:eastAsia="仿宋" w:cs="仿宋"/>
          <w:sz w:val="32"/>
          <w:szCs w:val="32"/>
          <w:highlight w:val="yellow"/>
          <w:lang w:val="en-US" w:eastAsia="zh-CN" w:bidi="ar-SA"/>
        </w:rPr>
      </w:pPr>
      <w:r>
        <w:rPr>
          <w:rFonts w:hint="eastAsia" w:ascii="仿宋" w:hAnsi="仿宋" w:eastAsia="仿宋" w:cs="仿宋"/>
          <w:sz w:val="32"/>
          <w:szCs w:val="32"/>
        </w:rPr>
        <w:t>（二）执行管理情况分析，包括资金执行进度、调整情况、成本控制情况分析及项目完成进度情况等。</w:t>
      </w:r>
    </w:p>
    <w:p>
      <w:pPr>
        <w:pStyle w:val="10"/>
        <w:keepNext w:val="0"/>
        <w:keepLines w:val="0"/>
        <w:pageBreakBefore w:val="0"/>
        <w:widowControl/>
        <w:kinsoku/>
        <w:wordWrap/>
        <w:overflowPunct/>
        <w:topLinePunct w:val="0"/>
        <w:bidi w:val="0"/>
        <w:spacing w:before="0" w:after="0" w:line="600" w:lineRule="exact"/>
        <w:ind w:left="0" w:leftChars="0" w:firstLine="64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bidi="ar-SA"/>
        </w:rPr>
        <w:t>2023年本部门支出</w:t>
      </w:r>
      <w:r>
        <w:rPr>
          <w:rFonts w:hint="default" w:ascii="仿宋" w:hAnsi="仿宋" w:eastAsia="仿宋" w:cs="仿宋"/>
          <w:bCs/>
          <w:sz w:val="32"/>
          <w:szCs w:val="32"/>
          <w:highlight w:val="none"/>
          <w:lang w:val="en" w:eastAsia="zh-CN" w:bidi="ar-SA"/>
        </w:rPr>
        <w:t>82.60</w:t>
      </w:r>
      <w:r>
        <w:rPr>
          <w:rFonts w:hint="eastAsia" w:ascii="仿宋" w:hAnsi="仿宋" w:eastAsia="仿宋" w:cs="仿宋"/>
          <w:sz w:val="32"/>
          <w:szCs w:val="32"/>
          <w:highlight w:val="none"/>
          <w:lang w:val="en-US" w:eastAsia="zh-CN" w:bidi="ar-SA"/>
        </w:rPr>
        <w:t>万元，比上年的98.18万元增加了减少15.58万元，减幅15.87%，变化的主要原因是项目经费减少。其中：基本支出58.63万元，比上年59.77万元减少1.14万元，降幅1.91%，主要是由人员经费减少，其中人员经费52.61万元，比上年的54.24万元减少1.63万元，降幅3.00%，主要原因人员异动导致；日常公用经费6.02万元，比上年的5.53万元增加了0.49万元，增长8.86%，原因为调研工作增加，从而增加了公用经费的使用；专项项目经费</w:t>
      </w:r>
      <w:r>
        <w:rPr>
          <w:rFonts w:hint="eastAsia" w:ascii="仿宋" w:hAnsi="仿宋" w:eastAsia="仿宋" w:cs="仿宋"/>
          <w:bCs/>
          <w:sz w:val="32"/>
          <w:szCs w:val="32"/>
          <w:highlight w:val="none"/>
          <w:lang w:val="en-US" w:eastAsia="zh-CN" w:bidi="ar-SA"/>
        </w:rPr>
        <w:t>23.97</w:t>
      </w:r>
      <w:r>
        <w:rPr>
          <w:rFonts w:hint="eastAsia" w:ascii="仿宋" w:hAnsi="仿宋" w:eastAsia="仿宋" w:cs="仿宋"/>
          <w:sz w:val="32"/>
          <w:szCs w:val="32"/>
          <w:highlight w:val="none"/>
          <w:lang w:val="en-US" w:eastAsia="zh-CN" w:bidi="ar-SA"/>
        </w:rPr>
        <w:t>万元，比上年的</w:t>
      </w:r>
      <w:r>
        <w:rPr>
          <w:rFonts w:hint="eastAsia" w:ascii="仿宋" w:hAnsi="仿宋" w:eastAsia="仿宋" w:cs="仿宋"/>
          <w:bCs/>
          <w:sz w:val="32"/>
          <w:szCs w:val="32"/>
          <w:highlight w:val="none"/>
          <w:lang w:val="en-US" w:eastAsia="zh-CN" w:bidi="ar-SA"/>
        </w:rPr>
        <w:t>38.41</w:t>
      </w:r>
      <w:r>
        <w:rPr>
          <w:rFonts w:hint="eastAsia" w:ascii="仿宋" w:hAnsi="仿宋" w:eastAsia="仿宋" w:cs="仿宋"/>
          <w:sz w:val="32"/>
          <w:szCs w:val="32"/>
          <w:highlight w:val="none"/>
          <w:lang w:val="en-US" w:eastAsia="zh-CN" w:bidi="ar-SA"/>
        </w:rPr>
        <w:t>万元增加了11.75万元，</w:t>
      </w:r>
      <w:r>
        <w:rPr>
          <w:rFonts w:hint="eastAsia" w:ascii="仿宋" w:hAnsi="仿宋" w:eastAsia="仿宋" w:cs="仿宋"/>
          <w:bCs/>
          <w:sz w:val="32"/>
          <w:szCs w:val="32"/>
          <w:highlight w:val="none"/>
          <w:lang w:val="en-US" w:eastAsia="zh-CN" w:bidi="ar-SA"/>
        </w:rPr>
        <w:t>减少14.44万元，减幅37.59%，主要是群团事务支出减少所致。</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jc w:val="both"/>
        <w:textAlignment w:val="auto"/>
        <w:rPr>
          <w:rFonts w:ascii="仿宋" w:hAnsi="仿宋" w:eastAsia="仿宋" w:cs="仿宋"/>
          <w:b/>
          <w:sz w:val="32"/>
          <w:szCs w:val="32"/>
        </w:rPr>
      </w:pPr>
      <w:r>
        <w:rPr>
          <w:rFonts w:hint="eastAsia" w:ascii="仿宋" w:hAnsi="仿宋" w:eastAsia="仿宋" w:cs="仿宋"/>
          <w:sz w:val="32"/>
          <w:szCs w:val="32"/>
        </w:rPr>
        <w:t>（三）支出绩效情况分析，包括基本支出和项目支出的运行效果情况等。</w:t>
      </w:r>
    </w:p>
    <w:p>
      <w:pPr>
        <w:pStyle w:val="4"/>
        <w:keepNext w:val="0"/>
        <w:keepLines w:val="0"/>
        <w:pageBreakBefore w:val="0"/>
        <w:widowControl/>
        <w:kinsoku/>
        <w:wordWrap/>
        <w:overflowPunct/>
        <w:topLinePunct w:val="0"/>
        <w:autoSpaceDE/>
        <w:autoSpaceDN/>
        <w:bidi w:val="0"/>
        <w:adjustRightInd w:val="0"/>
        <w:snapToGrid w:val="0"/>
        <w:spacing w:before="0" w:beforeLines="0" w:after="0" w:afterLines="0" w:line="600" w:lineRule="exact"/>
        <w:ind w:left="0" w:leftChars="0"/>
        <w:jc w:val="both"/>
        <w:textAlignment w:val="auto"/>
        <w:rPr>
          <w:rFonts w:hint="eastAsia" w:ascii="仿宋" w:hAnsi="仿宋" w:eastAsia="仿宋" w:cs="仿宋"/>
          <w:bCs w:val="0"/>
          <w:snapToGrid/>
          <w:color w:val="auto"/>
          <w:kern w:val="0"/>
          <w:sz w:val="32"/>
          <w:szCs w:val="32"/>
          <w:lang w:val="en-US" w:eastAsia="zh-CN" w:bidi="ar-SA"/>
        </w:rPr>
      </w:pPr>
      <w:r>
        <w:rPr>
          <w:rFonts w:hint="eastAsia" w:ascii="仿宋" w:hAnsi="仿宋" w:eastAsia="仿宋" w:cs="仿宋"/>
          <w:bCs w:val="0"/>
          <w:snapToGrid/>
          <w:color w:val="auto"/>
          <w:kern w:val="0"/>
          <w:sz w:val="32"/>
          <w:szCs w:val="32"/>
          <w:lang w:val="en-US" w:eastAsia="zh-CN" w:bidi="ar-SA"/>
        </w:rPr>
        <w:t>一是深化青少年思想引领。组织全县各级团组织开展学习二十大系列主题活动，覆盖全县各级团组织544个，团员青年3.9万余人。“青年大学习”上半年平均参学率超过100%。开展“我与团旗合影·花式告白”“中方县各界青年代表座谈会”等活动。组织青年讲师团、红领巾巡讲团进校园、进村（社区），开展党的二十大精神宣讲、学习习近平总书记系列重要讲话精神宣讲13场。二是夯实组织建设。坚持党建引领，通过抓强带弱治差、扩大有效覆盖、对标定级提升等工作，全面整顿和规范基层团组织，有力提升团组织的引领力、组织力、服务力和大局贡献度。今年来，组织学生、团员青年开展学雷锋系列活动、关爱服务活动、植树护绿、世界地球日主题活动、除草护绿等志愿服务活动；开展本年度暑期三下乡及七彩假期活动；开展“大手拉小手 筑梦共成长”的“点亮微心愿”活动，征集两所乡村学校共844个微心愿通过爱心助力实现100%认领。为全县85名一年级女童发放幻方助学金共计8.5万元。</w:t>
      </w:r>
    </w:p>
    <w:p>
      <w:pPr>
        <w:pStyle w:val="4"/>
        <w:keepNext w:val="0"/>
        <w:keepLines w:val="0"/>
        <w:pageBreakBefore w:val="0"/>
        <w:widowControl/>
        <w:kinsoku/>
        <w:wordWrap/>
        <w:overflowPunct/>
        <w:topLinePunct w:val="0"/>
        <w:autoSpaceDE/>
        <w:autoSpaceDN/>
        <w:bidi w:val="0"/>
        <w:adjustRightInd w:val="0"/>
        <w:snapToGrid w:val="0"/>
        <w:spacing w:before="0" w:beforeLines="0" w:after="0" w:afterLines="0" w:line="600" w:lineRule="exact"/>
        <w:ind w:left="0" w:leftChars="0"/>
        <w:jc w:val="both"/>
        <w:textAlignment w:val="auto"/>
        <w:rPr>
          <w:rFonts w:hint="eastAsia"/>
        </w:rPr>
      </w:pPr>
      <w:r>
        <w:rPr>
          <w:rFonts w:hint="eastAsia"/>
        </w:rPr>
        <w:t>四、存在的问题</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jc w:val="both"/>
        <w:textAlignment w:val="auto"/>
        <w:rPr>
          <w:rFonts w:ascii="仿宋_GB2312" w:eastAsia="仿宋_GB2312"/>
          <w:sz w:val="32"/>
          <w:szCs w:val="32"/>
        </w:rPr>
      </w:pPr>
      <w:r>
        <w:rPr>
          <w:rFonts w:hint="eastAsia" w:ascii="仿宋_GB2312" w:eastAsia="仿宋_GB2312"/>
          <w:b/>
          <w:bCs/>
          <w:sz w:val="32"/>
          <w:szCs w:val="32"/>
        </w:rPr>
        <w:t>（一）预算编制和执行缺乏准确性。</w:t>
      </w:r>
      <w:r>
        <w:rPr>
          <w:rFonts w:hint="eastAsia" w:ascii="仿宋_GB2312" w:eastAsia="仿宋_GB2312"/>
          <w:sz w:val="32"/>
          <w:szCs w:val="32"/>
        </w:rPr>
        <w:t>由于部分项目执行中不确定性因素较多，因而造成预算编制数和实际发生数存在差异，影响了预算收支的准确性。</w:t>
      </w:r>
    </w:p>
    <w:p>
      <w:pPr>
        <w:keepNext w:val="0"/>
        <w:keepLines w:val="0"/>
        <w:pageBreakBefore w:val="0"/>
        <w:widowControl/>
        <w:kinsoku/>
        <w:wordWrap/>
        <w:overflowPunct/>
        <w:topLinePunct w:val="0"/>
        <w:autoSpaceDE/>
        <w:autoSpaceDN/>
        <w:bidi w:val="0"/>
        <w:adjustRightInd w:val="0"/>
        <w:snapToGrid w:val="0"/>
        <w:spacing w:after="0" w:line="600" w:lineRule="exact"/>
        <w:ind w:firstLine="642" w:firstLineChars="200"/>
        <w:jc w:val="both"/>
        <w:textAlignment w:val="auto"/>
        <w:rPr>
          <w:rFonts w:hint="eastAsia"/>
        </w:rPr>
      </w:pPr>
      <w:r>
        <w:rPr>
          <w:rFonts w:hint="eastAsia" w:ascii="仿宋_GB2312" w:eastAsia="仿宋_GB2312"/>
          <w:b/>
          <w:bCs/>
          <w:sz w:val="32"/>
          <w:szCs w:val="32"/>
        </w:rPr>
        <w:t>（二）人员业务素质有待进一步提高。</w:t>
      </w:r>
      <w:r>
        <w:rPr>
          <w:rFonts w:hint="eastAsia" w:ascii="仿宋_GB2312" w:eastAsia="仿宋_GB2312"/>
          <w:sz w:val="32"/>
          <w:szCs w:val="32"/>
        </w:rPr>
        <w:t>由于预算绩效管理工作开展时间短，涉及面广，专业性强，加上缺乏系统的培训，单位对预算绩效管理理解不充分，对预算绩效管理业务不精通，在一定程度上影响了绩效评价工作质量。</w:t>
      </w:r>
    </w:p>
    <w:p>
      <w:pPr>
        <w:pStyle w:val="4"/>
        <w:keepNext w:val="0"/>
        <w:keepLines w:val="0"/>
        <w:pageBreakBefore w:val="0"/>
        <w:widowControl/>
        <w:kinsoku/>
        <w:wordWrap/>
        <w:overflowPunct/>
        <w:topLinePunct w:val="0"/>
        <w:autoSpaceDE/>
        <w:autoSpaceDN/>
        <w:bidi w:val="0"/>
        <w:adjustRightInd w:val="0"/>
        <w:snapToGrid w:val="0"/>
        <w:spacing w:before="0" w:beforeLines="0" w:after="0" w:afterLines="0" w:line="600" w:lineRule="exact"/>
        <w:ind w:left="0" w:leftChars="0"/>
        <w:jc w:val="both"/>
        <w:textAlignment w:val="auto"/>
        <w:rPr>
          <w:rFonts w:hint="eastAsia"/>
        </w:rPr>
      </w:pPr>
      <w:r>
        <w:rPr>
          <w:rFonts w:hint="eastAsia"/>
        </w:rPr>
        <w:t>五、整改措施或建议</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（一）提高思想认识。增强对绩效考核的重视度。</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（二）建立良好的沟通和反馈机制。建立健全规范的制度保障系统，可以使各类信息能上传下达，相互协调，提高工作效率和效能。</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三）加强部门预算的绩效评价。建立财政支出预算绩效考评制度是加强预算管理、提高财政资金使用效益的重要制度保障，结合本单位的实际将绩效考评结果作为预算安排的依据，要不断完善绩效考评办法，提高财政资金使用的规范性、安全性和有效性。</w:t>
      </w:r>
    </w:p>
    <w:p>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eastAsia"/>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）加大财务绩效评价工作的宣传和培训力度。</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beforeLines="0" w:after="0" w:afterLines="0" w:line="600" w:lineRule="exact"/>
        <w:ind w:firstLine="640" w:firstLineChars="200"/>
        <w:jc w:val="both"/>
        <w:textAlignment w:val="auto"/>
        <w:rPr>
          <w:rFonts w:hint="eastAsia"/>
        </w:rPr>
      </w:pPr>
      <w:r>
        <w:rPr>
          <w:rFonts w:hint="eastAsia"/>
          <w:lang w:eastAsia="zh-CN"/>
        </w:rPr>
        <w:t>六、</w:t>
      </w:r>
      <w:r>
        <w:rPr>
          <w:rFonts w:hint="eastAsia"/>
        </w:rPr>
        <w:t>其他需要说明的问题</w:t>
      </w:r>
    </w:p>
    <w:p>
      <w:pPr>
        <w:pStyle w:val="2"/>
        <w:keepNext w:val="0"/>
        <w:keepLines w:val="0"/>
        <w:pageBreakBefore w:val="0"/>
        <w:widowControl/>
        <w:kinsoku/>
        <w:wordWrap/>
        <w:overflowPunct/>
        <w:topLinePunct w:val="0"/>
        <w:autoSpaceDE/>
        <w:autoSpaceDN/>
        <w:bidi w:val="0"/>
        <w:adjustRightInd w:val="0"/>
        <w:snapToGrid w:val="0"/>
        <w:spacing w:after="0" w:line="600" w:lineRule="exact"/>
        <w:ind w:left="0" w:leftChars="0" w:firstLine="640" w:firstLineChars="200"/>
        <w:textAlignment w:val="auto"/>
        <w:rPr>
          <w:rFonts w:hint="eastAsia" w:ascii="仿宋_GB2312" w:hAnsi="Tahoma" w:eastAsia="仿宋_GB2312" w:cstheme="minorBidi"/>
          <w:sz w:val="32"/>
          <w:szCs w:val="32"/>
          <w:lang w:val="en-US" w:eastAsia="zh-CN" w:bidi="ar-SA"/>
        </w:rPr>
        <w:sectPr>
          <w:footerReference r:id="rId3" w:type="default"/>
          <w:pgSz w:w="11906" w:h="16838"/>
          <w:pgMar w:top="1440" w:right="1800" w:bottom="1440" w:left="1800" w:header="708" w:footer="709" w:gutter="0"/>
          <w:pgNumType w:fmt="decimal"/>
          <w:cols w:space="0" w:num="1"/>
          <w:docGrid w:linePitch="360" w:charSpace="0"/>
        </w:sectPr>
      </w:pPr>
      <w:r>
        <w:rPr>
          <w:rFonts w:hint="eastAsia" w:ascii="仿宋_GB2312" w:hAnsi="Tahoma" w:eastAsia="仿宋_GB2312" w:cstheme="minorBidi"/>
          <w:sz w:val="32"/>
          <w:szCs w:val="32"/>
          <w:lang w:val="en-US" w:eastAsia="zh-CN" w:bidi="ar-SA"/>
        </w:rPr>
        <w:t>无。</w:t>
      </w:r>
    </w:p>
    <w:p>
      <w:pPr>
        <w:pageBreakBefore w:val="0"/>
        <w:kinsoku/>
        <w:wordWrap/>
        <w:overflowPunct/>
        <w:topLinePunct w:val="0"/>
        <w:bidi w:val="0"/>
        <w:spacing w:line="600" w:lineRule="exact"/>
        <w:textAlignment w:val="auto"/>
        <w:rPr>
          <w:rFonts w:ascii="黑体" w:hAnsi="仿宋_GB2312" w:eastAsia="黑体" w:cs="仿宋_GB2312"/>
          <w:sz w:val="32"/>
          <w:szCs w:val="32"/>
        </w:rPr>
      </w:pPr>
      <w:r>
        <w:rPr>
          <w:rFonts w:hint="eastAsia" w:ascii="黑体" w:hAnsi="仿宋_GB2312" w:eastAsia="黑体" w:cs="仿宋_GB2312"/>
          <w:sz w:val="28"/>
          <w:szCs w:val="28"/>
        </w:rPr>
        <w:t>附件</w:t>
      </w:r>
      <w:r>
        <w:rPr>
          <w:rFonts w:ascii="黑体" w:hAnsi="仿宋_GB2312" w:eastAsia="黑体" w:cs="仿宋_GB2312"/>
          <w:sz w:val="28"/>
          <w:szCs w:val="28"/>
        </w:rPr>
        <w:t>2</w:t>
      </w:r>
      <w:r>
        <w:rPr>
          <w:rFonts w:hint="eastAsia" w:ascii="黑体" w:hAnsi="仿宋_GB2312" w:eastAsia="黑体" w:cs="仿宋_GB2312"/>
          <w:sz w:val="32"/>
          <w:szCs w:val="32"/>
        </w:rPr>
        <w:t>：</w:t>
      </w:r>
    </w:p>
    <w:p>
      <w:pPr>
        <w:pageBreakBefore w:val="0"/>
        <w:kinsoku/>
        <w:wordWrap/>
        <w:overflowPunct/>
        <w:topLinePunct w:val="0"/>
        <w:bidi w:val="0"/>
        <w:spacing w:after="0" w:line="60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color w:val="000000"/>
          <w:sz w:val="44"/>
          <w:szCs w:val="44"/>
        </w:rPr>
        <w:t>部门整体支出绩效评价指标体系评分表</w:t>
      </w:r>
    </w:p>
    <w:tbl>
      <w:tblPr>
        <w:tblStyle w:val="11"/>
        <w:tblW w:w="14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803"/>
        <w:gridCol w:w="1182"/>
        <w:gridCol w:w="6911"/>
        <w:gridCol w:w="3423"/>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blHeader/>
          <w:jc w:val="center"/>
        </w:trPr>
        <w:tc>
          <w:tcPr>
            <w:tcW w:w="73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jc w:val="center"/>
              <w:textAlignment w:val="auto"/>
              <w:rPr>
                <w:rFonts w:ascii="宋体" w:hAnsi="宋体" w:eastAsia="宋体" w:cs="宋体"/>
              </w:rPr>
            </w:pPr>
            <w:r>
              <w:rPr>
                <w:rFonts w:hint="eastAsia" w:ascii="宋体" w:hAnsi="宋体" w:eastAsia="宋体" w:cs="宋体"/>
                <w:b/>
                <w:bCs/>
              </w:rPr>
              <w:t>一级指标</w:t>
            </w: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jc w:val="center"/>
              <w:textAlignment w:val="auto"/>
              <w:rPr>
                <w:rFonts w:ascii="宋体" w:hAnsi="宋体" w:eastAsia="宋体" w:cs="宋体"/>
              </w:rPr>
            </w:pPr>
            <w:r>
              <w:rPr>
                <w:rFonts w:hint="eastAsia" w:ascii="宋体" w:hAnsi="宋体" w:eastAsia="宋体" w:cs="宋体"/>
                <w:b/>
                <w:bCs/>
              </w:rPr>
              <w:t>二级指标</w:t>
            </w:r>
          </w:p>
        </w:tc>
        <w:tc>
          <w:tcPr>
            <w:tcW w:w="8093" w:type="dxa"/>
            <w:gridSpan w:val="2"/>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jc w:val="center"/>
              <w:textAlignment w:val="auto"/>
              <w:rPr>
                <w:rFonts w:ascii="宋体" w:hAnsi="宋体" w:eastAsia="宋体" w:cs="宋体"/>
              </w:rPr>
            </w:pPr>
            <w:r>
              <w:rPr>
                <w:rFonts w:hint="eastAsia" w:ascii="宋体" w:hAnsi="宋体" w:eastAsia="宋体" w:cs="宋体"/>
                <w:b/>
                <w:bCs/>
              </w:rPr>
              <w:t>三级指标</w:t>
            </w:r>
          </w:p>
        </w:tc>
        <w:tc>
          <w:tcPr>
            <w:tcW w:w="3423" w:type="dxa"/>
            <w:vMerge w:val="restart"/>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jc w:val="center"/>
              <w:textAlignment w:val="auto"/>
              <w:rPr>
                <w:rFonts w:ascii="宋体" w:hAnsi="宋体" w:eastAsia="宋体" w:cs="宋体"/>
              </w:rPr>
            </w:pPr>
            <w:r>
              <w:rPr>
                <w:rFonts w:hint="eastAsia" w:ascii="宋体" w:hAnsi="宋体" w:eastAsia="宋体" w:cs="宋体"/>
                <w:b/>
                <w:bCs/>
              </w:rPr>
              <w:t>评分标准</w:t>
            </w:r>
          </w:p>
        </w:tc>
        <w:tc>
          <w:tcPr>
            <w:tcW w:w="1090" w:type="dxa"/>
            <w:vMerge w:val="restart"/>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jc w:val="center"/>
              <w:textAlignment w:val="auto"/>
              <w:rPr>
                <w:rFonts w:ascii="宋体" w:hAnsi="宋体" w:eastAsia="宋体" w:cs="宋体"/>
              </w:rPr>
            </w:pPr>
            <w:r>
              <w:rPr>
                <w:rFonts w:hint="eastAsia" w:ascii="宋体" w:hAnsi="宋体" w:eastAsia="宋体" w:cs="宋体"/>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blHeader/>
          <w:jc w:val="center"/>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jc w:val="center"/>
              <w:textAlignment w:val="auto"/>
              <w:rPr>
                <w:rFonts w:ascii="宋体" w:hAnsi="宋体" w:eastAsia="宋体" w:cs="宋体"/>
              </w:rPr>
            </w:pPr>
            <w:r>
              <w:rPr>
                <w:rFonts w:hint="eastAsia" w:ascii="宋体" w:hAnsi="宋体" w:eastAsia="宋体" w:cs="宋体"/>
                <w:b/>
                <w:bCs/>
              </w:rPr>
              <w:t>指标名称</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jc w:val="center"/>
              <w:textAlignment w:val="auto"/>
              <w:rPr>
                <w:rFonts w:ascii="宋体" w:hAnsi="宋体" w:eastAsia="宋体" w:cs="宋体"/>
              </w:rPr>
            </w:pPr>
            <w:r>
              <w:rPr>
                <w:rFonts w:hint="eastAsia" w:ascii="宋体" w:hAnsi="宋体" w:eastAsia="宋体" w:cs="宋体"/>
                <w:b/>
                <w:bCs/>
              </w:rPr>
              <w:t>指标解释说明</w:t>
            </w:r>
          </w:p>
        </w:tc>
        <w:tc>
          <w:tcPr>
            <w:tcW w:w="3423"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090" w:type="dxa"/>
            <w:vMerge w:val="continue"/>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33" w:type="dxa"/>
            <w:vMerge w:val="restart"/>
            <w:tcBorders>
              <w:top w:val="single" w:color="000000" w:sz="4" w:space="0"/>
              <w:left w:val="single" w:color="000000" w:sz="4" w:space="0"/>
              <w:right w:val="single" w:color="000000" w:sz="4" w:space="0"/>
            </w:tcBorders>
          </w:tcPr>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投入（15分）</w:t>
            </w: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投入（15分）</w:t>
            </w:r>
          </w:p>
        </w:tc>
        <w:tc>
          <w:tcPr>
            <w:tcW w:w="803" w:type="dxa"/>
            <w:vMerge w:val="restart"/>
            <w:tcBorders>
              <w:top w:val="single" w:color="000000" w:sz="4" w:space="0"/>
              <w:left w:val="single" w:color="000000" w:sz="4" w:space="0"/>
              <w:right w:val="single" w:color="000000" w:sz="4" w:space="0"/>
            </w:tcBorders>
          </w:tcPr>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目标设定</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（5分）</w:t>
            </w:r>
          </w:p>
        </w:tc>
        <w:tc>
          <w:tcPr>
            <w:tcW w:w="1182" w:type="dxa"/>
            <w:tcBorders>
              <w:top w:val="single" w:color="000000" w:sz="4" w:space="0"/>
              <w:left w:val="single" w:color="000000" w:sz="4" w:space="0"/>
              <w:bottom w:val="single" w:color="auto" w:sz="4" w:space="0"/>
              <w:right w:val="single" w:color="auto" w:sz="4" w:space="0"/>
            </w:tcBorders>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职责明确（1分）</w:t>
            </w:r>
          </w:p>
        </w:tc>
        <w:tc>
          <w:tcPr>
            <w:tcW w:w="6911" w:type="dxa"/>
            <w:tcBorders>
              <w:top w:val="single" w:color="000000" w:sz="4" w:space="0"/>
              <w:left w:val="single" w:color="auto" w:sz="4" w:space="0"/>
              <w:bottom w:val="single" w:color="auto" w:sz="4" w:space="0"/>
              <w:right w:val="single" w:color="auto" w:sz="4" w:space="0"/>
            </w:tcBorders>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部门的职责设定是否符合“三定”方案中所赋予的职责和年度承担的重点工作，用以反映和评价部门工作的目的性与计划性。</w:t>
            </w:r>
          </w:p>
        </w:tc>
        <w:tc>
          <w:tcPr>
            <w:tcW w:w="3423" w:type="dxa"/>
            <w:tcBorders>
              <w:top w:val="single" w:color="000000" w:sz="4" w:space="0"/>
              <w:left w:val="single" w:color="auto" w:sz="4" w:space="0"/>
              <w:bottom w:val="single" w:color="auto" w:sz="4" w:space="0"/>
              <w:right w:val="single" w:color="auto" w:sz="4" w:space="0"/>
            </w:tcBorders>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符合（1分）；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不符合（0分）。</w:t>
            </w:r>
          </w:p>
        </w:tc>
        <w:tc>
          <w:tcPr>
            <w:tcW w:w="1090" w:type="dxa"/>
            <w:tcBorders>
              <w:top w:val="single" w:color="000000" w:sz="4" w:space="0"/>
              <w:left w:val="single" w:color="auto" w:sz="4" w:space="0"/>
              <w:bottom w:val="single" w:color="auto" w:sz="4" w:space="0"/>
              <w:right w:val="single" w:color="000000" w:sz="4" w:space="0"/>
            </w:tcBorders>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4"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活动合规性（1分）</w:t>
            </w:r>
          </w:p>
        </w:tc>
        <w:tc>
          <w:tcPr>
            <w:tcW w:w="6911"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部门的活动是否在职责范围之内并符合部门中长期规划，用以反映和评价部门活动目标与部门履职、年度工作任务的相符性情况。</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评价要点：</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1.部门活动的设定在部门所确定的职责范围之内；</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2.部门活动符合市委、市政府的发展规划及本部门的年度工作安排与发展规划。</w:t>
            </w:r>
          </w:p>
        </w:tc>
        <w:tc>
          <w:tcPr>
            <w:tcW w:w="3423"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全部符合（1分）；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其中一项不符合（0分）。</w:t>
            </w:r>
          </w:p>
        </w:tc>
        <w:tc>
          <w:tcPr>
            <w:tcW w:w="1090" w:type="dxa"/>
            <w:tcBorders>
              <w:top w:val="single" w:color="000000" w:sz="4" w:space="0"/>
              <w:left w:val="single" w:color="auto" w:sz="4" w:space="0"/>
              <w:bottom w:val="single" w:color="auto"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活动合理性（1分）</w:t>
            </w:r>
          </w:p>
        </w:tc>
        <w:tc>
          <w:tcPr>
            <w:tcW w:w="6911"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部门所设立的活动是否明确合理、活动的关键性指标设置是否可衡量，用以反映和评价部门活动目标设定的合理性。</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评价要点：</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1.活动目标的设定是可量化的，可通过清晰、可衡量的关键指标值予以体现；</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2.在活动目标设定时，将关键指标明细分解为具体的达成目标与工作任务。</w:t>
            </w:r>
          </w:p>
        </w:tc>
        <w:tc>
          <w:tcPr>
            <w:tcW w:w="3423"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全部符合（1分）；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其中一项不符合（0分）。</w:t>
            </w:r>
          </w:p>
        </w:tc>
        <w:tc>
          <w:tcPr>
            <w:tcW w:w="1090" w:type="dxa"/>
            <w:tcBorders>
              <w:top w:val="single" w:color="000000" w:sz="4" w:space="0"/>
              <w:left w:val="single" w:color="auto" w:sz="4" w:space="0"/>
              <w:bottom w:val="single" w:color="auto"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4"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目标覆盖率（1分）</w:t>
            </w:r>
          </w:p>
        </w:tc>
        <w:tc>
          <w:tcPr>
            <w:tcW w:w="6911"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部门年度申报绩效目标项目资金额与部门项目预算资金总额的比率，用以反映部门落实财政部门绩效目标申报要求的资金覆盖情况。</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覆盖率=实际申报绩效目标项目资金总额/部门项目预算资金总额×100%</w:t>
            </w:r>
          </w:p>
        </w:tc>
        <w:tc>
          <w:tcPr>
            <w:tcW w:w="3423"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达到目标值得1分，未达到目标值采用完成比率法计分：得分=覆盖率/目标值×1，超过目标值不加分。</w:t>
            </w:r>
          </w:p>
        </w:tc>
        <w:tc>
          <w:tcPr>
            <w:tcW w:w="1090" w:type="dxa"/>
            <w:tcBorders>
              <w:top w:val="single" w:color="000000" w:sz="4" w:space="0"/>
              <w:left w:val="single" w:color="auto" w:sz="4" w:space="0"/>
              <w:bottom w:val="single" w:color="auto"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目标管理创新（1分）</w:t>
            </w:r>
          </w:p>
        </w:tc>
        <w:tc>
          <w:tcPr>
            <w:tcW w:w="6911"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部门编报整体绩效目标和申报项目绩效目标的数量超过规定的要求。用以反映和考核部门绩效目标管理创新工作情况。</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项目绩效目标创新=部门绩效目标编报数量-按财政部门要求的绩效目标填报数量</w:t>
            </w:r>
          </w:p>
        </w:tc>
        <w:tc>
          <w:tcPr>
            <w:tcW w:w="3423"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每超过1项得0.1分，满分1分。</w:t>
            </w:r>
          </w:p>
        </w:tc>
        <w:tc>
          <w:tcPr>
            <w:tcW w:w="1090" w:type="dxa"/>
            <w:tcBorders>
              <w:top w:val="single" w:color="000000" w:sz="4" w:space="0"/>
              <w:left w:val="single" w:color="auto" w:sz="4" w:space="0"/>
              <w:bottom w:val="single" w:color="auto"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5"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restart"/>
            <w:tcBorders>
              <w:top w:val="single" w:color="000000" w:sz="4" w:space="0"/>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预算配置(10分)</w:t>
            </w:r>
          </w:p>
        </w:tc>
        <w:tc>
          <w:tcPr>
            <w:tcW w:w="1182" w:type="dxa"/>
            <w:tcBorders>
              <w:top w:val="single" w:color="auto"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财政供养人员控制率（3分）</w:t>
            </w:r>
          </w:p>
        </w:tc>
        <w:tc>
          <w:tcPr>
            <w:tcW w:w="6911"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部门本年度实际在职人员数与编制数的比率，用以反映和评价部门对人员成本的控制程度。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在职人员控制率=（在职人员数/编制数）×100%。</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在职人员数：部门实际在职人数，以财政部确定的部门决算编制口径为准，由编制部门和人劳部门批复同意的临聘人员除外。</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编制数：机构编制部门核定批复的部门人员编制数。</w:t>
            </w:r>
          </w:p>
        </w:tc>
        <w:tc>
          <w:tcPr>
            <w:tcW w:w="3423"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目标值≤100%；达到目标值得3分，每超出1人扣0.1分，扣完为止。</w:t>
            </w:r>
          </w:p>
        </w:tc>
        <w:tc>
          <w:tcPr>
            <w:tcW w:w="1090"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5"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“三公经费”变动率（4分）</w:t>
            </w:r>
          </w:p>
        </w:tc>
        <w:tc>
          <w:tcPr>
            <w:tcW w:w="6911"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部门本年度“三公经费”预算数与上年度“三公经费”预算数的变动比率，用以反映和考核部门对控制重点行政成本的努力程度。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“三公经费”变动率=〔（本年度“三公经费”总额-上年度“三公经费”总额）/上年度“三公经费”总额〕×100%</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“三公经费”：年度预算安排的因公出国（境）费、公务车辆购置及运行费和公务招待费。</w:t>
            </w:r>
          </w:p>
        </w:tc>
        <w:tc>
          <w:tcPr>
            <w:tcW w:w="3423"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目标值≤0；达到目标值得4分，未达到目标值的采用比率扣分法：扣分值=“三公经费”变动率×4×10，变动率达10%以上的扣4分。</w:t>
            </w:r>
          </w:p>
        </w:tc>
        <w:tc>
          <w:tcPr>
            <w:tcW w:w="1090"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7" w:hRule="atLeast"/>
          <w:jc w:val="center"/>
        </w:trPr>
        <w:tc>
          <w:tcPr>
            <w:tcW w:w="733" w:type="dxa"/>
            <w:vMerge w:val="continue"/>
            <w:tcBorders>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重点支出安排率（3分）</w:t>
            </w:r>
          </w:p>
        </w:tc>
        <w:tc>
          <w:tcPr>
            <w:tcW w:w="6911"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部门（单位）本年度预算安排的重点项目支出与部门项目总支出的比率，用以反映和考核部门（单位）对履行主要职责或完成重点任务的保障程度。重点支出安排率=（重点项目支出/项目总支出）×100%。</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重点项目支出：部门（单位）年度预算安排的，与本部门履职和发展密切相关、具有明显社会和经济影响、党委政府关心或社会比较关注的项目支出总额。具体由被评价部门提出后经对口部门预算管理处审核确定。</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项目总支出：部门（单位）年度预算安排的项目支出总额。</w:t>
            </w:r>
          </w:p>
        </w:tc>
        <w:tc>
          <w:tcPr>
            <w:tcW w:w="3423"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目标值≥70%；以3分为上限，采用完成比率法计分：得分=重点支出安排率/70%×100%×3，超出目标值不加分。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6" w:hRule="atLeast"/>
          <w:jc w:val="center"/>
        </w:trPr>
        <w:tc>
          <w:tcPr>
            <w:tcW w:w="733" w:type="dxa"/>
            <w:vMerge w:val="restart"/>
            <w:tcBorders>
              <w:top w:val="single" w:color="000000" w:sz="4" w:space="0"/>
              <w:left w:val="single" w:color="000000" w:sz="4" w:space="0"/>
              <w:right w:val="single" w:color="000000" w:sz="4" w:space="0"/>
            </w:tcBorders>
            <w:vAlign w:val="center"/>
          </w:tcPr>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r>
              <w:rPr>
                <w:rFonts w:hint="eastAsia" w:ascii="宋体" w:hAnsi="宋体" w:eastAsia="宋体" w:cs="宋体"/>
              </w:rPr>
              <w:t>过程(55分)</w:t>
            </w: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r>
              <w:rPr>
                <w:rFonts w:hint="eastAsia" w:ascii="宋体" w:hAnsi="宋体" w:eastAsia="宋体" w:cs="宋体"/>
              </w:rPr>
              <w:t>过程(55分)</w:t>
            </w: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r>
              <w:rPr>
                <w:rFonts w:hint="eastAsia" w:ascii="宋体" w:hAnsi="宋体" w:eastAsia="宋体" w:cs="宋体"/>
              </w:rPr>
              <w:t>过程(55分)</w:t>
            </w: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jc w:val="center"/>
              <w:textAlignment w:val="auto"/>
              <w:rPr>
                <w:rFonts w:ascii="宋体" w:hAnsi="宋体" w:eastAsia="宋体" w:cs="宋体"/>
              </w:rPr>
            </w:pPr>
            <w:r>
              <w:rPr>
                <w:rFonts w:hint="eastAsia" w:ascii="宋体" w:hAnsi="宋体" w:eastAsia="宋体" w:cs="宋体"/>
              </w:rPr>
              <w:t>过程(55分)</w:t>
            </w:r>
          </w:p>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预算执行(27分)</w:t>
            </w: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预算完成率（3分）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通过对部门本年度预算完成数与预算数的比较，反映和评价部门预算的完成程度。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预算完成率=（预算完成数/预算数）×100%。</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目标值≥100%；</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达到目标值的得3分；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100%＞结果≥90%，得3分；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90%＞结果≥80%，得1分；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结果＜80%得0分。</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5"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预算调整率（3分）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部门本年度预算调整数与预算数的比率，用以反映和评价部门预算的调整程度。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预算调整率=（预算调整数/预算数）×100%。</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目标值为10%；达到目标值得3分，未达到目标值的每增加0.1个百分点扣0.1分，扣完为止。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0"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color w:val="000000"/>
              </w:rPr>
              <w:t>支付进度率</w:t>
            </w:r>
            <w:r>
              <w:rPr>
                <w:rFonts w:hint="eastAsia" w:ascii="宋体" w:hAnsi="宋体" w:eastAsia="宋体" w:cs="宋体"/>
              </w:rPr>
              <w:t>（6分）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部门年度支付数与年度预算（调整）数的比率，用以反映和评价部门预算执行的及时和均衡程度。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半年支付进度=部门上半年实际支出÷（上年结余结转+本年部门预算安排+上半年执行中追加追减）×100%</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全年支付进度=部门全年实际支出÷（上年结余结转+本年部门预算安排+全年执行中追加追减）×100%</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半年进度：结果≥50%，得2分；50%＞结果≥40%，得1分；结果＜40%，得0分。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全年进度：结果≥100%，得4分；100%＞结果≥95%，得3分；95%＞结果≥90%，得2分；90%＞结果≥85%，得2分；结果＜85%，得0分。</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结转结余率（3分）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通过对部门本年度结转结余总额与支出预算数的比较，反映和评价部门对本年度结转结余资金的实际控制程度。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结转结余率=（结转结余总额/支出预算数）×100%。</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目标值为0；达到目标值得3分，未达到目标值的每增加0.1个百分点扣0.1分，扣完为止。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结转结余变动率(3分）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部门本年度结转结余资金总额与上年度结转结余资金总额的变动比率，用以反映和考核部门对控制结转结余资金的努力程度。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结转结余变动率=〔（本年度累计结转结余资金总额-上年度累计结转结余资金总额）/上年度累计结转结余资金总额〕×100%。</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目标值为≤0%；达到目标值得3分，未达到目标值的采用比率扣分法：扣分值=结转结余变动率×2×10，变动率达10%以上的扣2分。</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5"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公用经费控制率（3分）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通过对部门本年度实际支出的公用经费总额与预算安排的公用经费总额的比率，反映和评价部门对机构运转成本的实际控制程度。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公用经费控制率=（实际支出公用经费总额/预算安排公用经费总额）×100%。</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“三公经费”控制率（3分）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部门（单位）本年度“三公经费”实际支出数与预算安排数的比率，用以反映和考核部门（单位）对“三公经费”的实际控制程度。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“三公经费”控制率=（“三公经费”实际支出/“三公经费”预算安排数）×100%</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目标值为≤100%；达到目标值得3分，未达到目标值的每增加0.1个百分点扣0.1分，扣完为止。</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政府采购执行率（3分）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通过对部门本年度实际政府采购预算项目个数与政府采购预算项目个数的比较，反映和评价部门政府采购预算执行情况。</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政府采购执行率=（实际政府采购预算项目个数/政府采购预算项目个数）×100%。</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政府采购项目中非预算内安排的项目除外。</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目标值为100%；以3分为上限，采用完成比率法计分：得分=政府采购执行率×3。</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restart"/>
            <w:tcBorders>
              <w:top w:val="single" w:color="000000" w:sz="4" w:space="0"/>
              <w:left w:val="single" w:color="000000" w:sz="4" w:space="0"/>
              <w:right w:val="single" w:color="000000" w:sz="4" w:space="0"/>
            </w:tcBorders>
            <w:vAlign w:val="center"/>
          </w:tcPr>
          <w:p>
            <w:pPr>
              <w:pageBreakBefore w:val="0"/>
              <w:kinsoku/>
              <w:wordWrap/>
              <w:overflowPunct/>
              <w:topLinePunct w:val="0"/>
              <w:bidi w:val="0"/>
              <w:spacing w:after="0" w:line="600" w:lineRule="exact"/>
              <w:jc w:val="center"/>
              <w:textAlignment w:val="auto"/>
              <w:rPr>
                <w:rFonts w:ascii="宋体" w:hAnsi="宋体" w:eastAsia="宋体" w:cs="宋体"/>
              </w:rPr>
            </w:pPr>
            <w:r>
              <w:rPr>
                <w:rFonts w:hint="eastAsia" w:ascii="宋体" w:hAnsi="宋体" w:eastAsia="宋体" w:cs="宋体"/>
              </w:rPr>
              <w:t>预算管理</w:t>
            </w:r>
          </w:p>
          <w:p>
            <w:pPr>
              <w:pageBreakBefore w:val="0"/>
              <w:kinsoku/>
              <w:wordWrap/>
              <w:overflowPunct/>
              <w:topLinePunct w:val="0"/>
              <w:bidi w:val="0"/>
              <w:spacing w:after="0" w:line="600" w:lineRule="exact"/>
              <w:jc w:val="center"/>
              <w:textAlignment w:val="auto"/>
              <w:rPr>
                <w:rFonts w:ascii="宋体" w:hAnsi="宋体" w:eastAsia="宋体" w:cs="宋体"/>
              </w:rPr>
            </w:pPr>
            <w:r>
              <w:rPr>
                <w:rFonts w:hint="eastAsia" w:ascii="宋体" w:hAnsi="宋体" w:eastAsia="宋体" w:cs="宋体"/>
              </w:rPr>
              <w:t>（18分）</w:t>
            </w: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管理制度健全性</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（2分）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部门为加强预算管理，规范财务行为而制定的管理制度是否健全完整，用以反映和考核部门预算管理制度对完成主要职责或促进事业发展的保障情况。</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评价要点：</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1．是否已制定或具有预算资金管理办法、内部财务管理制度、会计核算制度等管理制度；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2.相关管理制度是否合法、合规、完整；</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3.相关管理制度是否得到有效执行。</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全部符合（2分）；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符合其中两项（1分）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5"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资金使用合规性</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（9分）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部门使用预算资金是否符合相关的预算财务管理制度的规定，反映和评价部门预算资金的规范运行情况。</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评价要点：</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1.符合国家财经法规和财务管理制度规定以及有关部门资金管理办法的规定；</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2.资金的拨付有完整的审批过程和手续；</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3.项目的重大开支经过评估论证；</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4.符合部门预算批复的用途；</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5.不存在截留情况；6.不存在挤占情况；</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7.不存在挪用情况；8.不存在虚列支出情况。</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全部符合（9分）；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符合其中七项（8分）；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符合其中六项（5分）；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符合其中五项（3分）；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符合其中四项及以下（0分）。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3"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预决算信息公开性（3分）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部门是否按照政府信息公开有关规定公开相关预决算信息，用以反映和评价部门预决算管理的公开透明情况。</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预决算信息是指与部门预算、执行、决算、监督、绩效等管理相关的信息。</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评价要点：</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1.公开预决算信息；</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2.按规定内容公开预决算信息；</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3.按规定时限公开预决算信息。</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全部符合（3分）；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符合其中两项（2分）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color w:val="000000"/>
              </w:rPr>
            </w:pPr>
            <w:r>
              <w:rPr>
                <w:rFonts w:hint="eastAsia" w:ascii="宋体" w:hAnsi="宋体" w:eastAsia="宋体" w:cs="宋体"/>
                <w:color w:val="000000"/>
              </w:rPr>
              <w:t>基础信息完善性</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（4分）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部门基础信息是否完善，用以反映和评价基础信息对预算管理工作的支撑情况。</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评价要点：</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1.基本财务管理制度健全；</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2.基础数据信息和会计信息资料真实；</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3.基础数据信息和会计信息资料完整；</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4.基础数据信息和会计信息资料准确。</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符合全部四项（4分）；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符合其中三项（2分）；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符合其中两项（1分）；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5"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restart"/>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资产管理（8分）</w:t>
            </w: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color w:val="000000"/>
              </w:rPr>
            </w:pPr>
            <w:r>
              <w:rPr>
                <w:rFonts w:hint="eastAsia" w:ascii="宋体" w:hAnsi="宋体" w:eastAsia="宋体" w:cs="宋体"/>
                <w:color w:val="000000"/>
              </w:rPr>
              <w:t>管理制度健全性</w:t>
            </w:r>
          </w:p>
          <w:p>
            <w:pPr>
              <w:pageBreakBefore w:val="0"/>
              <w:kinsoku/>
              <w:wordWrap/>
              <w:overflowPunct/>
              <w:topLinePunct w:val="0"/>
              <w:bidi w:val="0"/>
              <w:spacing w:after="0" w:line="600" w:lineRule="exact"/>
              <w:textAlignment w:val="auto"/>
              <w:rPr>
                <w:rFonts w:ascii="宋体" w:hAnsi="宋体" w:eastAsia="宋体" w:cs="宋体"/>
                <w:color w:val="000000"/>
              </w:rPr>
            </w:pPr>
            <w:r>
              <w:rPr>
                <w:rFonts w:hint="eastAsia" w:ascii="宋体" w:hAnsi="宋体" w:eastAsia="宋体" w:cs="宋体"/>
                <w:color w:val="000000"/>
              </w:rPr>
              <w:t>（2分）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部门为加强资产管理、规范资产管理行为而制定的管理制度是否健全完整，用以反映和考核部门资产管理制度对完成主要职责或促进社会发展的保障情况。</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评价要点：</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1.是否已制定或具有资产管理制度；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2.相关资金管理制度是否合法、合规、完整；</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3.相关资产管理制度是否得到有效执行。</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全部符合（2分）；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符合其中两项（1分）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86"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资产管理完全性</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（3分）</w:t>
            </w:r>
          </w:p>
        </w:tc>
        <w:tc>
          <w:tcPr>
            <w:tcW w:w="6911"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部门的资产是否保存完整、使用合规、收入及时足额上缴，用以反映和评价部门资产运行情况。</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评价要点：</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1.资产保存完整；</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2.资产账务管理是否合规，帐实相符；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3.资产有偿使用及处置收入及时足额上缴。</w:t>
            </w:r>
          </w:p>
        </w:tc>
        <w:tc>
          <w:tcPr>
            <w:tcW w:w="3423"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符合全部三项（3分）；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符合其中两项（2分）；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符合其中一项（1分）；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符合零项（0分）。</w:t>
            </w:r>
          </w:p>
        </w:tc>
        <w:tc>
          <w:tcPr>
            <w:tcW w:w="1090"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auto"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固定资产利用率</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（3分）</w:t>
            </w:r>
          </w:p>
        </w:tc>
        <w:tc>
          <w:tcPr>
            <w:tcW w:w="6911"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部门实际在用固定资产总额与所有固定资产总额的比率，用以反映和评价部门固定资产使用效率。</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固定资产利用率=（实际在用固定资产总额/所有固定资产总额）×100%。</w:t>
            </w:r>
          </w:p>
        </w:tc>
        <w:tc>
          <w:tcPr>
            <w:tcW w:w="3423"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目标值为80%；以3分为上限，采用完成比率法计分：得分=固定资产利用率/80%×100%×3，超出目标值不加分。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6" w:hRule="atLeast"/>
          <w:jc w:val="center"/>
        </w:trPr>
        <w:tc>
          <w:tcPr>
            <w:tcW w:w="733" w:type="dxa"/>
            <w:vMerge w:val="continue"/>
            <w:tcBorders>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tcBorders>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预算绩效监控管理（2分）</w:t>
            </w:r>
          </w:p>
        </w:tc>
        <w:tc>
          <w:tcPr>
            <w:tcW w:w="1182" w:type="dxa"/>
            <w:tcBorders>
              <w:top w:val="single" w:color="auto"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监控率（2分）</w:t>
            </w:r>
          </w:p>
        </w:tc>
        <w:tc>
          <w:tcPr>
            <w:tcW w:w="6911"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部门（单位）纳入绩效监控的项目数量占实际申报绩效目标项目数量的比重，用以反映和考核部门（单位）在项目运行中实施绩效管理的水平和程度。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监控率=实施绩效监控项目数/实际申报绩效目标项目数×100%</w:t>
            </w:r>
          </w:p>
        </w:tc>
        <w:tc>
          <w:tcPr>
            <w:tcW w:w="3423" w:type="dxa"/>
            <w:tcBorders>
              <w:top w:val="single" w:color="auto"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目标值为90%；以2分为上限，采用完成比率法计分：得分=监控率×2，超出目标值不加分。</w:t>
            </w:r>
          </w:p>
        </w:tc>
        <w:tc>
          <w:tcPr>
            <w:tcW w:w="1090" w:type="dxa"/>
            <w:tcBorders>
              <w:top w:val="single" w:color="auto"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jc w:val="center"/>
        </w:trPr>
        <w:tc>
          <w:tcPr>
            <w:tcW w:w="733" w:type="dxa"/>
            <w:vMerge w:val="restart"/>
            <w:tcBorders>
              <w:top w:val="single" w:color="000000" w:sz="4" w:space="0"/>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产出(15分)</w:t>
            </w: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产出(15分)</w:t>
            </w:r>
          </w:p>
        </w:tc>
        <w:tc>
          <w:tcPr>
            <w:tcW w:w="803" w:type="dxa"/>
            <w:vMerge w:val="restart"/>
            <w:tcBorders>
              <w:top w:val="single" w:color="000000" w:sz="4" w:space="0"/>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职责履行（15分）</w:t>
            </w:r>
          </w:p>
        </w:tc>
        <w:tc>
          <w:tcPr>
            <w:tcW w:w="1182" w:type="dxa"/>
            <w:tcBorders>
              <w:top w:val="single" w:color="000000" w:sz="4" w:space="0"/>
              <w:left w:val="single" w:color="000000"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项目实际完成率（4分）</w:t>
            </w:r>
          </w:p>
        </w:tc>
        <w:tc>
          <w:tcPr>
            <w:tcW w:w="6911"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部门履行职责而实际完成的项目数与计划完成的项目数的比率，用以反映和评价部门履职任务目标的实现程度。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项目实际完成率=（实际完成项目数/计划完成项目数）×100%。</w:t>
            </w:r>
          </w:p>
        </w:tc>
        <w:tc>
          <w:tcPr>
            <w:tcW w:w="3423"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目标值为100%；</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达到目标值得4分；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100%＞结果≥95%，得3分；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95%＞结果≥90%，得2分；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90%＞结果≥85%，得1分；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结果＜85%得0分。</w:t>
            </w:r>
          </w:p>
        </w:tc>
        <w:tc>
          <w:tcPr>
            <w:tcW w:w="1090" w:type="dxa"/>
            <w:tcBorders>
              <w:top w:val="single" w:color="000000" w:sz="4" w:space="0"/>
              <w:left w:val="single" w:color="auto" w:sz="4" w:space="0"/>
              <w:bottom w:val="single" w:color="auto"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19"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项目质量达标率（4分）</w:t>
            </w:r>
          </w:p>
        </w:tc>
        <w:tc>
          <w:tcPr>
            <w:tcW w:w="6911"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部门已完成项目中质量达标项目个数占已完成项目个数的比率,用以反映和评价部门履职质量目标的实现程度。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项目质量达标率=（已完成项目中质量达标项目个数/已完成项目个数）×100%。</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项目质量达标是指项目决算验收合格。</w:t>
            </w:r>
          </w:p>
        </w:tc>
        <w:tc>
          <w:tcPr>
            <w:tcW w:w="3423"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目标值100%；以4分为上限，采用完成比率法计分：得分=项目质量达标率×4，≤95%的扣4分。</w:t>
            </w:r>
          </w:p>
        </w:tc>
        <w:tc>
          <w:tcPr>
            <w:tcW w:w="1090" w:type="dxa"/>
            <w:tcBorders>
              <w:top w:val="single" w:color="000000" w:sz="4" w:space="0"/>
              <w:left w:val="single" w:color="auto" w:sz="4" w:space="0"/>
              <w:bottom w:val="single" w:color="auto"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1"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重点工作办结率（4分）</w:t>
            </w:r>
          </w:p>
        </w:tc>
        <w:tc>
          <w:tcPr>
            <w:tcW w:w="6911"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部门年度重点工作实际完成数与交办或下达数的比率，用以反映部门对重点工作的办理落实程度。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重点工作办结率=（重点工作实际完成数/交办或下达数）×100%。</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重点工作是指党委、政府、人大、相关部门交办或下达的工作任务。</w:t>
            </w:r>
          </w:p>
        </w:tc>
        <w:tc>
          <w:tcPr>
            <w:tcW w:w="3423"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目标值100%；以4分为上限，采用完成比率法计分：得分=重点工作办结率×4，≤90%的扣4分。</w:t>
            </w:r>
          </w:p>
        </w:tc>
        <w:tc>
          <w:tcPr>
            <w:tcW w:w="1090" w:type="dxa"/>
            <w:tcBorders>
              <w:top w:val="single" w:color="000000" w:sz="4" w:space="0"/>
              <w:left w:val="single" w:color="auto" w:sz="4" w:space="0"/>
              <w:bottom w:val="single" w:color="auto"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9" w:hRule="atLeast"/>
          <w:jc w:val="center"/>
        </w:trPr>
        <w:tc>
          <w:tcPr>
            <w:tcW w:w="733" w:type="dxa"/>
            <w:vMerge w:val="continue"/>
            <w:tcBorders>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vMerge w:val="continue"/>
            <w:tcBorders>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部门绩效自评项目占比率（3分）</w:t>
            </w:r>
          </w:p>
        </w:tc>
        <w:tc>
          <w:tcPr>
            <w:tcW w:w="6911"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部门自评项目在所有项目中所占的份额，反映和评价部门对项目自评的重视程度。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占比率=(自评项目资金量/项目支出资金量)×100%。</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部门支出项目绩效自评范围：本年度列入本级财政预算安排的项目。</w:t>
            </w:r>
          </w:p>
        </w:tc>
        <w:tc>
          <w:tcPr>
            <w:tcW w:w="3423" w:type="dxa"/>
            <w:tcBorders>
              <w:top w:val="single" w:color="000000"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达到目标值得3分，未达到目标值采用完成比率法计分：得分=占比率/目标值×3，超过目标值不加分。</w:t>
            </w:r>
          </w:p>
        </w:tc>
        <w:tc>
          <w:tcPr>
            <w:tcW w:w="1090" w:type="dxa"/>
            <w:tcBorders>
              <w:top w:val="single" w:color="000000" w:sz="4" w:space="0"/>
              <w:left w:val="single" w:color="auto" w:sz="4" w:space="0"/>
              <w:bottom w:val="single" w:color="auto"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jc w:val="center"/>
        </w:trPr>
        <w:tc>
          <w:tcPr>
            <w:tcW w:w="733" w:type="dxa"/>
            <w:vMerge w:val="restart"/>
            <w:tcBorders>
              <w:top w:val="single" w:color="000000" w:sz="4" w:space="0"/>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效果（15）</w:t>
            </w: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效果（15）</w:t>
            </w:r>
          </w:p>
          <w:p>
            <w:pPr>
              <w:pageBreakBefore w:val="0"/>
              <w:kinsoku/>
              <w:wordWrap/>
              <w:overflowPunct/>
              <w:topLinePunct w:val="0"/>
              <w:bidi w:val="0"/>
              <w:spacing w:after="0" w:line="600" w:lineRule="exact"/>
              <w:textAlignment w:val="auto"/>
              <w:rPr>
                <w:rFonts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监督发现问题</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（2分）</w:t>
            </w: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违规率（2分）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部门存在违规问题的资金数量占部门预算支出资金总额的比重，用以反映和考核部门预算资金管理使用的合法、合规情况。</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违规率=存在违规问题的资金额/部门预算支出资金总额×100%</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目标值0，达到目标值得2分，未达到目标值的每增加0.1个百分点扣0.1分</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rPr>
              <w:t> </w:t>
            </w:r>
            <w:r>
              <w:rPr>
                <w:rFonts w:hint="eastAsia" w:ascii="宋体" w:hAnsi="宋体" w:eastAsia="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15"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工作成效（5）</w:t>
            </w: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bCs/>
                <w:color w:val="000000"/>
              </w:rPr>
              <w:t>部门预算绩效管理考核评价</w:t>
            </w:r>
            <w:r>
              <w:rPr>
                <w:rFonts w:hint="eastAsia" w:ascii="宋体" w:hAnsi="宋体" w:eastAsia="宋体" w:cs="宋体"/>
                <w:bCs/>
              </w:rPr>
              <w:t>（5）</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color w:val="000000"/>
              </w:rPr>
              <w:t>财政部门对部门开展预算绩效管理工作的评价结果，用以反映部门对预算绩效管理工作的重视程度和取得的成效。</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color w:val="000000"/>
              </w:rPr>
              <w:t>1.财政部门对部门绩效管理工作开展情况进行核查评价，包括绩效目标管理、绩效执行监控、绩效自评和评价结果应用等情况，按百分制。</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color w:val="000000"/>
              </w:rPr>
              <w:t>2.以部门为单位进行综合计算，得出各部门绩效管理工作评价结果。</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color w:val="000000"/>
              </w:rPr>
              <w:t>综合得分=（部门绩效管理工作评价结果/100）*5分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 </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7"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评价结果应用</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（2分）</w:t>
            </w: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应用率（2分）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部门应用绩效评价结果的项目数占绩效评价项目数的比重，用以反映和考核部门绩效评价结果的利用水平和程度。</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应用率=应用绩效评价结果的项目数量/部门实施绩效评价项目数量×100%。</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目标值为100%；以2分为上限，采用完成比率法计分：得分=应用率×2，超出目标值不加分。</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9"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结果应用创新（1分）</w:t>
            </w: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结果应用创新（1分）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部门将绩效结果主动对外公开、预算绩效管理工作开展情况向同级政府、人大等部门报告，用以反映和考核部门在结果应用方面的创新情况。</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评价要点：</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1.部门是否按要求对社会公开绩效评价结果。</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2.部门是否将预算绩效管理工作开展情况向同级政府、人大等部门报告。</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全部符合（1分）；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符合其中两项（0.5分）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符合其中一项及以下（0分）。</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8" w:hRule="atLeast"/>
          <w:jc w:val="center"/>
        </w:trPr>
        <w:tc>
          <w:tcPr>
            <w:tcW w:w="733" w:type="dxa"/>
            <w:vMerge w:val="continue"/>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803" w:type="dxa"/>
            <w:tcBorders>
              <w:top w:val="single" w:color="auto" w:sz="4" w:space="0"/>
              <w:left w:val="single" w:color="000000" w:sz="4" w:space="0"/>
              <w:bottom w:val="single" w:color="auto"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社会效益（5分）</w:t>
            </w: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社会公众满意度（5分）</w:t>
            </w: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通过问卷调查了解社会公众对部门履职效果、解决民众关心的热点问题、厉行节约等方面的满意程度，反映和评价部门支出所带来的社会效益。</w:t>
            </w: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按照满意度调查的优秀、良好、合格、不合格给予该项指标打分：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优秀（5分）；良好（3分）；合格（1分）；不合格（0分）。</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val="en-US" w:eastAsia="zh-CN"/>
              </w:rPr>
            </w:pPr>
            <w:r>
              <w:rPr>
                <w:rFonts w:hint="eastAsia" w:ascii="宋体" w:hAnsi="宋体" w:eastAsia="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0" w:hRule="atLeast"/>
          <w:jc w:val="center"/>
        </w:trPr>
        <w:tc>
          <w:tcPr>
            <w:tcW w:w="733" w:type="dxa"/>
            <w:tcBorders>
              <w:left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小计</w:t>
            </w:r>
          </w:p>
        </w:tc>
        <w:tc>
          <w:tcPr>
            <w:tcW w:w="803" w:type="dxa"/>
            <w:tcBorders>
              <w:top w:val="single" w:color="auto" w:sz="4" w:space="0"/>
              <w:left w:val="single" w:color="000000" w:sz="4" w:space="0"/>
              <w:bottom w:val="single" w:color="auto"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100</w:t>
            </w: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6911"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3423" w:type="dxa"/>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default" w:ascii="宋体" w:hAnsi="宋体" w:eastAsia="宋体" w:cs="宋体"/>
                <w:lang w:val="en-US" w:eastAsia="zh-CN"/>
              </w:rPr>
            </w:pPr>
            <w:r>
              <w:rPr>
                <w:rFonts w:hint="eastAsia" w:ascii="宋体" w:hAnsi="宋体" w:eastAsia="宋体" w:cs="宋体"/>
                <w:lang w:val="en-US" w:eastAsia="zh-CN"/>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733" w:type="dxa"/>
            <w:tcBorders>
              <w:left w:val="single" w:color="000000"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评价结果</w:t>
            </w:r>
          </w:p>
        </w:tc>
        <w:tc>
          <w:tcPr>
            <w:tcW w:w="803" w:type="dxa"/>
            <w:tcBorders>
              <w:top w:val="single" w:color="auto" w:sz="4" w:space="0"/>
              <w:left w:val="single" w:color="000000" w:sz="4" w:space="0"/>
              <w:bottom w:val="single" w:color="auto" w:sz="4" w:space="0"/>
              <w:right w:val="single" w:color="000000"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182"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p>
        </w:tc>
        <w:tc>
          <w:tcPr>
            <w:tcW w:w="10334" w:type="dxa"/>
            <w:gridSpan w:val="2"/>
            <w:tcBorders>
              <w:top w:val="single" w:color="000000" w:sz="4" w:space="0"/>
              <w:left w:val="single" w:color="auto" w:sz="4" w:space="0"/>
              <w:bottom w:val="single" w:color="000000" w:sz="4" w:space="0"/>
              <w:right w:val="single" w:color="auto" w:sz="4" w:space="0"/>
            </w:tcBorders>
            <w:vAlign w:val="center"/>
          </w:tcPr>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 xml:space="preserve">□优秀  90分≤得分≤100分； </w:t>
            </w:r>
            <w:r>
              <w:rPr>
                <w:rFonts w:hint="eastAsia" w:ascii="宋体" w:hAnsi="宋体" w:eastAsia="宋体" w:cs="宋体"/>
              </w:rPr>
              <w:sym w:font="Wingdings 2" w:char="0052"/>
            </w:r>
            <w:r>
              <w:rPr>
                <w:rFonts w:hint="eastAsia" w:ascii="宋体" w:hAnsi="宋体" w:eastAsia="宋体" w:cs="宋体"/>
              </w:rPr>
              <w:t>良好  80分≤得分≤89分；</w:t>
            </w:r>
          </w:p>
          <w:p>
            <w:pPr>
              <w:pageBreakBefore w:val="0"/>
              <w:kinsoku/>
              <w:wordWrap/>
              <w:overflowPunct/>
              <w:topLinePunct w:val="0"/>
              <w:bidi w:val="0"/>
              <w:spacing w:after="0" w:line="600" w:lineRule="exact"/>
              <w:textAlignment w:val="auto"/>
              <w:rPr>
                <w:rFonts w:ascii="宋体" w:hAnsi="宋体" w:eastAsia="宋体" w:cs="宋体"/>
              </w:rPr>
            </w:pPr>
            <w:r>
              <w:rPr>
                <w:rFonts w:hint="eastAsia" w:ascii="宋体" w:hAnsi="宋体" w:eastAsia="宋体" w:cs="宋体"/>
              </w:rPr>
              <w:t xml:space="preserve">  □中  60分≤得分≤79分；  □较差  0≤得分≤59分</w:t>
            </w:r>
          </w:p>
        </w:tc>
        <w:tc>
          <w:tcPr>
            <w:tcW w:w="1090"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bidi w:val="0"/>
              <w:spacing w:after="0" w:line="600" w:lineRule="exact"/>
              <w:textAlignment w:val="auto"/>
              <w:rPr>
                <w:rFonts w:hint="eastAsia" w:ascii="宋体" w:hAnsi="宋体" w:eastAsia="宋体" w:cs="宋体"/>
                <w:lang w:eastAsia="zh-CN"/>
              </w:rPr>
            </w:pPr>
            <w:r>
              <w:rPr>
                <w:rFonts w:hint="eastAsia" w:ascii="宋体" w:hAnsi="宋体" w:eastAsia="宋体" w:cs="宋体"/>
                <w:lang w:eastAsia="zh-CN"/>
              </w:rPr>
              <w:t>良好</w:t>
            </w:r>
          </w:p>
        </w:tc>
      </w:tr>
    </w:tbl>
    <w:p>
      <w:pPr>
        <w:keepNext w:val="0"/>
        <w:keepLines w:val="0"/>
        <w:pageBreakBefore w:val="0"/>
        <w:widowControl/>
        <w:kinsoku/>
        <w:wordWrap/>
        <w:overflowPunct/>
        <w:topLinePunct w:val="0"/>
        <w:autoSpaceDE/>
        <w:autoSpaceDN/>
        <w:bidi w:val="0"/>
        <w:adjustRightInd w:val="0"/>
        <w:snapToGrid w:val="0"/>
        <w:spacing w:line="540" w:lineRule="exact"/>
        <w:textAlignment w:val="auto"/>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28"/>
          <w:szCs w:val="28"/>
        </w:rPr>
        <w:t>附件3</w:t>
      </w:r>
    </w:p>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方正小标宋简体" w:hAnsi="Times New Roman" w:eastAsia="方正小标宋简体"/>
          <w:sz w:val="44"/>
          <w:szCs w:val="44"/>
        </w:rPr>
      </w:pPr>
      <w:r>
        <w:rPr>
          <w:rFonts w:hint="eastAsia" w:ascii="方正小标宋简体" w:hAnsi="Times New Roman" w:eastAsia="方正小标宋简体"/>
          <w:sz w:val="44"/>
          <w:szCs w:val="44"/>
        </w:rPr>
        <w:t>中方县政府网站及政务新媒体信息发布审查表</w:t>
      </w:r>
    </w:p>
    <w:p>
      <w:pPr>
        <w:keepNext w:val="0"/>
        <w:keepLines w:val="0"/>
        <w:pageBreakBefore w:val="0"/>
        <w:widowControl/>
        <w:kinsoku/>
        <w:wordWrap/>
        <w:overflowPunct/>
        <w:topLinePunct w:val="0"/>
        <w:autoSpaceDE/>
        <w:autoSpaceDN/>
        <w:bidi w:val="0"/>
        <w:adjustRightInd w:val="0"/>
        <w:snapToGrid w:val="0"/>
        <w:spacing w:line="540" w:lineRule="exact"/>
        <w:textAlignment w:val="auto"/>
        <w:rPr>
          <w:rFonts w:ascii="宋体" w:hAnsi="宋体" w:eastAsia="宋体" w:cs="宋体"/>
          <w:sz w:val="24"/>
          <w:szCs w:val="24"/>
        </w:rPr>
      </w:pPr>
      <w:r>
        <w:rPr>
          <w:rFonts w:hint="eastAsia" w:ascii="宋体" w:hAnsi="宋体" w:eastAsia="宋体" w:cs="宋体"/>
          <w:sz w:val="24"/>
          <w:szCs w:val="24"/>
        </w:rPr>
        <w:t>单位：</w:t>
      </w:r>
      <w:r>
        <w:rPr>
          <w:rFonts w:hint="eastAsia" w:ascii="宋体" w:hAnsi="宋体" w:eastAsia="宋体" w:cs="宋体"/>
          <w:sz w:val="24"/>
          <w:szCs w:val="24"/>
          <w:lang w:val="en-US" w:eastAsia="zh-CN"/>
        </w:rPr>
        <w:t>中国共产主义青年团中方县委员会</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2024</w:t>
      </w:r>
      <w:r>
        <w:rPr>
          <w:rFonts w:hint="eastAsia" w:ascii="宋体" w:hAnsi="宋体" w:eastAsia="宋体" w:cs="宋体"/>
          <w:sz w:val="24"/>
          <w:szCs w:val="24"/>
        </w:rPr>
        <w:t xml:space="preserve">  年  </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6</w:t>
      </w:r>
      <w:r>
        <w:rPr>
          <w:rFonts w:hint="eastAsia" w:ascii="宋体" w:hAnsi="宋体" w:eastAsia="宋体" w:cs="宋体"/>
          <w:sz w:val="24"/>
          <w:szCs w:val="24"/>
        </w:rPr>
        <w:t>日</w:t>
      </w:r>
    </w:p>
    <w:tbl>
      <w:tblPr>
        <w:tblStyle w:val="11"/>
        <w:tblW w:w="14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383"/>
        <w:gridCol w:w="3507"/>
        <w:gridCol w:w="2781"/>
        <w:gridCol w:w="3277"/>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709" w:type="dxa"/>
            <w:vAlign w:val="bottom"/>
          </w:tcPr>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宋体" w:hAnsi="宋体" w:eastAsia="宋体" w:cs="宋体"/>
                <w:b/>
                <w:bCs/>
                <w:sz w:val="24"/>
                <w:szCs w:val="24"/>
              </w:rPr>
            </w:pPr>
            <w:r>
              <w:rPr>
                <w:rFonts w:hint="eastAsia" w:ascii="宋体" w:hAnsi="宋体" w:eastAsia="宋体" w:cs="宋体"/>
                <w:b/>
                <w:bCs/>
                <w:sz w:val="24"/>
                <w:szCs w:val="24"/>
              </w:rPr>
              <w:t>序号</w:t>
            </w:r>
          </w:p>
        </w:tc>
        <w:tc>
          <w:tcPr>
            <w:tcW w:w="2383" w:type="dxa"/>
            <w:vAlign w:val="bottom"/>
          </w:tcPr>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宋体" w:hAnsi="宋体" w:eastAsia="宋体" w:cs="宋体"/>
                <w:b/>
                <w:bCs/>
                <w:sz w:val="24"/>
                <w:szCs w:val="24"/>
              </w:rPr>
            </w:pPr>
            <w:r>
              <w:rPr>
                <w:rFonts w:hint="eastAsia" w:ascii="宋体" w:hAnsi="宋体" w:eastAsia="宋体" w:cs="宋体"/>
                <w:b/>
                <w:bCs/>
                <w:sz w:val="24"/>
                <w:szCs w:val="24"/>
              </w:rPr>
              <w:t>信息名称</w:t>
            </w:r>
          </w:p>
        </w:tc>
        <w:tc>
          <w:tcPr>
            <w:tcW w:w="3507" w:type="dxa"/>
            <w:vAlign w:val="bottom"/>
          </w:tcPr>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宋体" w:hAnsi="宋体" w:eastAsia="宋体" w:cs="宋体"/>
                <w:b/>
                <w:bCs/>
                <w:sz w:val="24"/>
                <w:szCs w:val="24"/>
              </w:rPr>
            </w:pPr>
            <w:r>
              <w:rPr>
                <w:rFonts w:hint="eastAsia" w:ascii="宋体" w:hAnsi="宋体" w:eastAsia="宋体" w:cs="宋体"/>
                <w:b/>
                <w:bCs/>
                <w:sz w:val="24"/>
                <w:szCs w:val="24"/>
              </w:rPr>
              <w:t>信息来源</w:t>
            </w:r>
          </w:p>
        </w:tc>
        <w:tc>
          <w:tcPr>
            <w:tcW w:w="2781" w:type="dxa"/>
            <w:vAlign w:val="bottom"/>
          </w:tcPr>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宋体" w:hAnsi="宋体" w:eastAsia="宋体" w:cs="宋体"/>
                <w:b/>
                <w:bCs/>
                <w:sz w:val="24"/>
                <w:szCs w:val="24"/>
              </w:rPr>
            </w:pPr>
            <w:r>
              <w:rPr>
                <w:rFonts w:hint="eastAsia" w:ascii="宋体" w:hAnsi="宋体" w:eastAsia="宋体" w:cs="宋体"/>
                <w:b/>
                <w:bCs/>
                <w:sz w:val="24"/>
                <w:szCs w:val="24"/>
              </w:rPr>
              <w:t>发布形式</w:t>
            </w:r>
          </w:p>
        </w:tc>
        <w:tc>
          <w:tcPr>
            <w:tcW w:w="3277" w:type="dxa"/>
            <w:vAlign w:val="bottom"/>
          </w:tcPr>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宋体" w:hAnsi="宋体" w:eastAsia="宋体" w:cs="宋体"/>
                <w:b/>
                <w:bCs/>
                <w:sz w:val="24"/>
                <w:szCs w:val="24"/>
              </w:rPr>
            </w:pPr>
            <w:r>
              <w:rPr>
                <w:rFonts w:hint="eastAsia" w:ascii="宋体" w:hAnsi="宋体" w:eastAsia="宋体" w:cs="宋体"/>
                <w:b/>
                <w:bCs/>
                <w:sz w:val="24"/>
                <w:szCs w:val="24"/>
              </w:rPr>
              <w:t>保密机构或保密员</w:t>
            </w:r>
            <w:r>
              <w:rPr>
                <w:rFonts w:hint="eastAsia" w:ascii="宋体" w:hAnsi="宋体" w:eastAsia="宋体" w:cs="宋体"/>
                <w:b/>
                <w:bCs/>
                <w:sz w:val="24"/>
                <w:szCs w:val="24"/>
                <w:u w:val="single"/>
              </w:rPr>
              <w:t>复审</w:t>
            </w:r>
          </w:p>
        </w:tc>
        <w:tc>
          <w:tcPr>
            <w:tcW w:w="2081" w:type="dxa"/>
            <w:vAlign w:val="bottom"/>
          </w:tcPr>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宋体" w:hAnsi="宋体" w:eastAsia="宋体" w:cs="宋体"/>
                <w:b/>
                <w:bCs/>
                <w:sz w:val="24"/>
                <w:szCs w:val="24"/>
              </w:rPr>
            </w:pPr>
            <w:r>
              <w:rPr>
                <w:rFonts w:hint="eastAsia" w:ascii="宋体" w:hAnsi="宋体" w:eastAsia="宋体" w:cs="宋体"/>
                <w:b/>
                <w:bCs/>
                <w:sz w:val="24"/>
                <w:szCs w:val="24"/>
              </w:rPr>
              <w:t>主管领导</w:t>
            </w:r>
            <w:r>
              <w:rPr>
                <w:rFonts w:hint="eastAsia" w:ascii="宋体" w:hAnsi="宋体" w:eastAsia="宋体" w:cs="宋体"/>
                <w:b/>
                <w:bCs/>
                <w:sz w:val="24"/>
                <w:szCs w:val="24"/>
                <w:u w:val="single"/>
              </w:rPr>
              <w:t>终审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宋体" w:hAnsi="宋体" w:eastAsia="宋体" w:cs="宋体"/>
              </w:rPr>
            </w:pPr>
          </w:p>
        </w:tc>
        <w:tc>
          <w:tcPr>
            <w:tcW w:w="2383" w:type="dxa"/>
            <w:vAlign w:val="center"/>
          </w:tcPr>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宋体" w:hAnsi="宋体" w:eastAsia="宋体" w:cs="宋体"/>
              </w:rPr>
            </w:pPr>
            <w:r>
              <w:rPr>
                <w:rFonts w:hint="eastAsia" w:ascii="宋体" w:hAnsi="宋体" w:eastAsia="宋体" w:cs="宋体"/>
                <w:lang w:val="en-US" w:eastAsia="zh-CN"/>
              </w:rPr>
              <w:t>2023年中国共产主义青年团中方县委员会整体支出绩效评价</w:t>
            </w:r>
          </w:p>
        </w:tc>
        <w:tc>
          <w:tcPr>
            <w:tcW w:w="3507" w:type="dxa"/>
            <w:vAlign w:val="center"/>
          </w:tcPr>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宋体" w:hAnsi="宋体" w:eastAsia="宋体" w:cs="宋体"/>
                <w:lang w:eastAsia="zh-CN"/>
              </w:rPr>
            </w:pPr>
            <w:r>
              <w:rPr>
                <w:rFonts w:hint="eastAsia" w:ascii="宋体" w:hAnsi="宋体" w:eastAsia="宋体" w:cs="宋体"/>
              </w:rPr>
              <w:t xml:space="preserve">本机关、单位制发  </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rPr>
            </w:pPr>
            <w:r>
              <w:rPr>
                <w:rFonts w:hint="eastAsia" w:ascii="宋体" w:hAnsi="宋体" w:eastAsia="宋体" w:cs="宋体"/>
              </w:rPr>
              <w:t>转载（注明转载来源）：</w:t>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u w:val="single"/>
              </w:rPr>
            </w:pPr>
            <w:r>
              <w:rPr>
                <w:rFonts w:hint="eastAsia" w:ascii="宋体" w:hAnsi="宋体" w:eastAsia="宋体" w:cs="宋体"/>
                <w:u w:val="single"/>
              </w:rPr>
              <w:t xml:space="preserve">                           </w:t>
            </w:r>
          </w:p>
        </w:tc>
        <w:tc>
          <w:tcPr>
            <w:tcW w:w="2781" w:type="dxa"/>
            <w:vAlign w:val="center"/>
          </w:tcPr>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宋体" w:hAnsi="宋体" w:eastAsia="宋体" w:cs="宋体"/>
                <w:lang w:eastAsia="zh-CN"/>
              </w:rPr>
            </w:pPr>
            <w:r>
              <w:rPr>
                <w:rFonts w:hint="eastAsia" w:ascii="宋体" w:hAnsi="宋体" w:eastAsia="宋体" w:cs="宋体"/>
              </w:rPr>
              <w:t xml:space="preserve">政府网站主动公开  </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rPr>
            </w:pPr>
            <w:r>
              <w:rPr>
                <w:rFonts w:hint="eastAsia" w:ascii="宋体" w:hAnsi="宋体" w:eastAsia="宋体" w:cs="宋体"/>
              </w:rPr>
              <w:t xml:space="preserve">依申请公开        </w:t>
            </w:r>
            <w:r>
              <w:rPr>
                <w:rFonts w:hint="eastAsia" w:ascii="宋体" w:hAnsi="宋体" w:eastAsia="宋体" w:cs="宋体"/>
              </w:rPr>
              <w:sym w:font="Wingdings 2" w:char="0052"/>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rPr>
            </w:pPr>
            <w:r>
              <w:rPr>
                <w:rFonts w:hint="eastAsia" w:ascii="宋体" w:hAnsi="宋体" w:eastAsia="宋体" w:cs="宋体"/>
              </w:rPr>
              <w:t>其他</w:t>
            </w:r>
            <w:r>
              <w:rPr>
                <w:rFonts w:hint="eastAsia" w:ascii="宋体" w:hAnsi="宋体" w:eastAsia="宋体" w:cs="宋体"/>
                <w:u w:val="single"/>
              </w:rPr>
              <w:t xml:space="preserve">                </w:t>
            </w:r>
          </w:p>
        </w:tc>
        <w:tc>
          <w:tcPr>
            <w:tcW w:w="3277" w:type="dxa"/>
            <w:vAlign w:val="center"/>
          </w:tcPr>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eastAsia" w:ascii="宋体" w:hAnsi="宋体" w:eastAsia="宋体" w:cs="宋体"/>
                <w:lang w:eastAsia="zh-CN"/>
              </w:rPr>
            </w:pPr>
            <w:r>
              <w:rPr>
                <w:rFonts w:hint="eastAsia" w:ascii="宋体" w:hAnsi="宋体" w:eastAsia="宋体" w:cs="宋体"/>
              </w:rPr>
              <w:t>非涉密，同意公开</w:t>
            </w:r>
            <w:r>
              <w:rPr>
                <w:rFonts w:hint="eastAsia" w:ascii="宋体" w:hAnsi="宋体" w:eastAsia="宋体" w:cs="宋体"/>
                <w:lang w:eastAsia="zh-CN"/>
              </w:rPr>
              <w:t>☑</w:t>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rPr>
            </w:pPr>
            <w:r>
              <w:rPr>
                <w:rFonts w:hint="eastAsia" w:ascii="宋体" w:hAnsi="宋体" w:eastAsia="宋体" w:cs="宋体"/>
              </w:rPr>
              <w:t>不同意，</w:t>
            </w:r>
            <w:r>
              <w:rPr>
                <w:rFonts w:hint="eastAsia" w:ascii="宋体" w:hAnsi="宋体" w:eastAsia="宋体" w:cs="宋体"/>
                <w:u w:val="single"/>
              </w:rPr>
              <w:t xml:space="preserve">        </w:t>
            </w:r>
            <w:r>
              <w:rPr>
                <w:rFonts w:hint="eastAsia" w:ascii="宋体" w:hAnsi="宋体" w:eastAsia="宋体" w:cs="宋体"/>
              </w:rPr>
              <w:t>□</w:t>
            </w:r>
          </w:p>
        </w:tc>
        <w:tc>
          <w:tcPr>
            <w:tcW w:w="2081" w:type="dxa"/>
            <w:vAlign w:val="center"/>
          </w:tcPr>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宋体" w:hAnsi="宋体" w:eastAsia="宋体" w:cs="宋体"/>
              </w:rPr>
            </w:pPr>
          </w:p>
        </w:tc>
        <w:tc>
          <w:tcPr>
            <w:tcW w:w="2383" w:type="dxa"/>
            <w:vAlign w:val="center"/>
          </w:tcPr>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宋体" w:hAnsi="宋体" w:eastAsia="宋体" w:cs="宋体"/>
              </w:rPr>
            </w:pPr>
          </w:p>
        </w:tc>
        <w:tc>
          <w:tcPr>
            <w:tcW w:w="3507" w:type="dxa"/>
            <w:vAlign w:val="center"/>
          </w:tcPr>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rPr>
            </w:pPr>
            <w:r>
              <w:rPr>
                <w:rFonts w:hint="eastAsia" w:ascii="宋体" w:hAnsi="宋体" w:eastAsia="宋体" w:cs="宋体"/>
              </w:rPr>
              <w:t>本机关、单位制发  □</w:t>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rPr>
            </w:pPr>
            <w:r>
              <w:rPr>
                <w:rFonts w:hint="eastAsia" w:ascii="宋体" w:hAnsi="宋体" w:eastAsia="宋体" w:cs="宋体"/>
              </w:rPr>
              <w:t>转载（注明转载来源）：</w:t>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rPr>
            </w:pPr>
            <w:r>
              <w:rPr>
                <w:rFonts w:hint="eastAsia" w:ascii="宋体" w:hAnsi="宋体" w:eastAsia="宋体" w:cs="宋体"/>
                <w:u w:val="single"/>
              </w:rPr>
              <w:t xml:space="preserve">                            </w:t>
            </w:r>
          </w:p>
        </w:tc>
        <w:tc>
          <w:tcPr>
            <w:tcW w:w="2781" w:type="dxa"/>
            <w:vAlign w:val="center"/>
          </w:tcPr>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rPr>
            </w:pPr>
            <w:r>
              <w:rPr>
                <w:rFonts w:hint="eastAsia" w:ascii="宋体" w:hAnsi="宋体" w:eastAsia="宋体" w:cs="宋体"/>
              </w:rPr>
              <w:t>政府网站主动公开  □</w:t>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rPr>
            </w:pPr>
            <w:r>
              <w:rPr>
                <w:rFonts w:hint="eastAsia" w:ascii="宋体" w:hAnsi="宋体" w:eastAsia="宋体" w:cs="宋体"/>
              </w:rPr>
              <w:t>依申请公开        □</w:t>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rPr>
            </w:pPr>
            <w:r>
              <w:rPr>
                <w:rFonts w:hint="eastAsia" w:ascii="宋体" w:hAnsi="宋体" w:eastAsia="宋体" w:cs="宋体"/>
              </w:rPr>
              <w:t>其他</w:t>
            </w:r>
            <w:r>
              <w:rPr>
                <w:rFonts w:hint="eastAsia" w:ascii="宋体" w:hAnsi="宋体" w:eastAsia="宋体" w:cs="宋体"/>
                <w:u w:val="single"/>
              </w:rPr>
              <w:t xml:space="preserve">                </w:t>
            </w:r>
          </w:p>
        </w:tc>
        <w:tc>
          <w:tcPr>
            <w:tcW w:w="3277" w:type="dxa"/>
            <w:vAlign w:val="center"/>
          </w:tcPr>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rPr>
            </w:pPr>
            <w:r>
              <w:rPr>
                <w:rFonts w:hint="eastAsia" w:ascii="宋体" w:hAnsi="宋体" w:eastAsia="宋体" w:cs="宋体"/>
              </w:rPr>
              <w:t>非涉密，同意公开□</w:t>
            </w:r>
          </w:p>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rPr>
            </w:pPr>
            <w:r>
              <w:rPr>
                <w:rFonts w:hint="eastAsia" w:ascii="宋体" w:hAnsi="宋体" w:eastAsia="宋体" w:cs="宋体"/>
              </w:rPr>
              <w:t>不同意，</w:t>
            </w:r>
            <w:r>
              <w:rPr>
                <w:rFonts w:hint="eastAsia" w:ascii="宋体" w:hAnsi="宋体" w:eastAsia="宋体" w:cs="宋体"/>
                <w:u w:val="single"/>
              </w:rPr>
              <w:t xml:space="preserve">        </w:t>
            </w:r>
            <w:r>
              <w:rPr>
                <w:rFonts w:hint="eastAsia" w:ascii="宋体" w:hAnsi="宋体" w:eastAsia="宋体" w:cs="宋体"/>
              </w:rPr>
              <w:t>□</w:t>
            </w:r>
          </w:p>
        </w:tc>
        <w:tc>
          <w:tcPr>
            <w:tcW w:w="2081" w:type="dxa"/>
            <w:vAlign w:val="center"/>
          </w:tcPr>
          <w:p>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宋体"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9380" w:type="dxa"/>
            <w:gridSpan w:val="4"/>
            <w:vAlign w:val="center"/>
          </w:tcPr>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rPr>
            </w:pPr>
            <w:r>
              <w:rPr>
                <w:rFonts w:hint="eastAsia" w:ascii="宋体" w:hAnsi="宋体" w:eastAsia="宋体" w:cs="宋体"/>
              </w:rPr>
              <w:t>承办人</w:t>
            </w:r>
            <w:r>
              <w:rPr>
                <w:rFonts w:hint="eastAsia" w:ascii="宋体" w:hAnsi="宋体" w:eastAsia="宋体" w:cs="宋体"/>
                <w:u w:val="single"/>
              </w:rPr>
              <w:t>初审</w:t>
            </w:r>
            <w:r>
              <w:rPr>
                <w:rFonts w:hint="eastAsia" w:ascii="宋体" w:hAnsi="宋体" w:eastAsia="宋体" w:cs="宋体"/>
              </w:rPr>
              <w:t>（签字）</w:t>
            </w:r>
          </w:p>
        </w:tc>
        <w:tc>
          <w:tcPr>
            <w:tcW w:w="3277" w:type="dxa"/>
            <w:vAlign w:val="center"/>
          </w:tcPr>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rPr>
            </w:pPr>
            <w:r>
              <w:rPr>
                <w:rFonts w:hint="eastAsia" w:ascii="宋体" w:hAnsi="宋体" w:eastAsia="宋体" w:cs="宋体"/>
              </w:rPr>
              <w:t>（签字）</w:t>
            </w:r>
          </w:p>
        </w:tc>
        <w:tc>
          <w:tcPr>
            <w:tcW w:w="2081" w:type="dxa"/>
            <w:vAlign w:val="center"/>
          </w:tcPr>
          <w:p>
            <w:pPr>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ascii="宋体" w:hAnsi="宋体" w:eastAsia="宋体" w:cs="宋体"/>
              </w:rPr>
            </w:pPr>
            <w:r>
              <w:rPr>
                <w:rFonts w:hint="eastAsia" w:ascii="宋体" w:hAnsi="宋体" w:eastAsia="宋体" w:cs="宋体"/>
              </w:rPr>
              <w:t>（签字）</w:t>
            </w:r>
          </w:p>
        </w:tc>
      </w:tr>
    </w:tbl>
    <w:p>
      <w:pPr>
        <w:keepNext w:val="0"/>
        <w:keepLines w:val="0"/>
        <w:pageBreakBefore w:val="0"/>
        <w:widowControl/>
        <w:kinsoku/>
        <w:wordWrap/>
        <w:overflowPunct/>
        <w:topLinePunct w:val="0"/>
        <w:autoSpaceDE/>
        <w:autoSpaceDN/>
        <w:bidi w:val="0"/>
        <w:adjustRightInd w:val="0"/>
        <w:snapToGrid w:val="0"/>
        <w:spacing w:after="0" w:line="540" w:lineRule="exact"/>
        <w:ind w:firstLine="440" w:firstLineChars="200"/>
        <w:textAlignment w:val="auto"/>
        <w:rPr>
          <w:rFonts w:ascii="宋体" w:hAnsi="宋体" w:eastAsia="宋体" w:cs="宋体"/>
        </w:rPr>
      </w:pPr>
      <w:r>
        <w:rPr>
          <w:rFonts w:hint="eastAsia" w:ascii="宋体" w:hAnsi="宋体" w:eastAsia="宋体" w:cs="宋体"/>
        </w:rPr>
        <w:t>注：1.机关、单位政府网站及政务新媒体发布信息前要认真填写本表；</w:t>
      </w:r>
    </w:p>
    <w:p>
      <w:pPr>
        <w:keepNext w:val="0"/>
        <w:keepLines w:val="0"/>
        <w:pageBreakBefore w:val="0"/>
        <w:widowControl/>
        <w:kinsoku/>
        <w:wordWrap/>
        <w:overflowPunct/>
        <w:topLinePunct w:val="0"/>
        <w:autoSpaceDE/>
        <w:autoSpaceDN/>
        <w:bidi w:val="0"/>
        <w:adjustRightInd w:val="0"/>
        <w:snapToGrid w:val="0"/>
        <w:spacing w:after="0" w:line="540" w:lineRule="exact"/>
        <w:ind w:firstLine="880" w:firstLineChars="400"/>
        <w:textAlignment w:val="auto"/>
        <w:rPr>
          <w:rFonts w:ascii="宋体" w:hAnsi="宋体" w:eastAsia="宋体" w:cs="宋体"/>
        </w:rPr>
      </w:pPr>
      <w:r>
        <w:rPr>
          <w:rFonts w:hint="eastAsia" w:ascii="宋体" w:hAnsi="宋体" w:eastAsia="宋体" w:cs="宋体"/>
        </w:rPr>
        <w:t>2.严格落实信息发布保密审查制度和“三审制”，请在相应的“□”打“√”或填写意见；</w:t>
      </w:r>
    </w:p>
    <w:p>
      <w:pPr>
        <w:keepNext w:val="0"/>
        <w:keepLines w:val="0"/>
        <w:pageBreakBefore w:val="0"/>
        <w:widowControl/>
        <w:kinsoku/>
        <w:wordWrap/>
        <w:overflowPunct/>
        <w:topLinePunct w:val="0"/>
        <w:autoSpaceDE/>
        <w:autoSpaceDN/>
        <w:bidi w:val="0"/>
        <w:adjustRightInd w:val="0"/>
        <w:snapToGrid w:val="0"/>
        <w:spacing w:after="0" w:line="540" w:lineRule="exact"/>
        <w:ind w:firstLine="880" w:firstLineChars="400"/>
        <w:textAlignment w:val="auto"/>
        <w:rPr>
          <w:rFonts w:ascii="宋体" w:hAnsi="宋体" w:eastAsia="宋体" w:cs="宋体"/>
        </w:rPr>
      </w:pPr>
      <w:r>
        <w:rPr>
          <w:rFonts w:hint="eastAsia" w:ascii="宋体" w:hAnsi="宋体" w:eastAsia="宋体" w:cs="宋体"/>
        </w:rPr>
        <w:t>3.信息发布要严把文字、保密、政治关，不能确定信息是否可以公开时，要组织保密审查并报上级部门确认；</w:t>
      </w:r>
    </w:p>
    <w:p>
      <w:pPr>
        <w:keepNext w:val="0"/>
        <w:keepLines w:val="0"/>
        <w:pageBreakBefore w:val="0"/>
        <w:widowControl/>
        <w:kinsoku/>
        <w:wordWrap/>
        <w:overflowPunct/>
        <w:topLinePunct w:val="0"/>
        <w:autoSpaceDE/>
        <w:autoSpaceDN/>
        <w:bidi w:val="0"/>
        <w:adjustRightInd w:val="0"/>
        <w:snapToGrid w:val="0"/>
        <w:spacing w:after="0" w:line="540" w:lineRule="exact"/>
        <w:ind w:firstLine="880" w:firstLineChars="400"/>
        <w:textAlignment w:val="auto"/>
        <w:rPr>
          <w:rFonts w:hint="eastAsia" w:ascii="宋体" w:hAnsi="宋体" w:eastAsia="宋体" w:cs="宋体"/>
        </w:rPr>
      </w:pPr>
      <w:r>
        <w:rPr>
          <w:rFonts w:hint="eastAsia" w:ascii="宋体" w:hAnsi="宋体" w:eastAsia="宋体" w:cs="宋体"/>
        </w:rPr>
        <w:t>4.本表由本机关、单位负责组织填写和保管</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宋体" w:hAnsi="宋体" w:eastAsia="宋体" w:cs="宋体"/>
        </w:rPr>
      </w:pPr>
      <w:r>
        <w:rPr>
          <w:rFonts w:hint="eastAsia" w:ascii="宋体" w:hAnsi="宋体" w:eastAsia="宋体" w:cs="宋体"/>
        </w:rPr>
        <w:br w:type="page"/>
      </w:r>
    </w:p>
    <w:p>
      <w:pPr>
        <w:pageBreakBefore w:val="0"/>
        <w:kinsoku/>
        <w:wordWrap/>
        <w:overflowPunct/>
        <w:topLinePunct w:val="0"/>
        <w:bidi w:val="0"/>
        <w:spacing w:after="0" w:line="600" w:lineRule="exact"/>
        <w:textAlignment w:val="auto"/>
        <w:rPr>
          <w:rFonts w:hint="eastAsia" w:ascii="宋体" w:hAnsi="宋体" w:eastAsia="宋体" w:cs="宋体"/>
        </w:rPr>
        <w:sectPr>
          <w:pgSz w:w="16838" w:h="11906" w:orient="landscape"/>
          <w:pgMar w:top="1587" w:right="1587" w:bottom="1587" w:left="1587" w:header="708" w:footer="709" w:gutter="0"/>
          <w:pgNumType w:fmt="decimal"/>
          <w:cols w:space="0" w:num="1"/>
          <w:docGrid w:linePitch="360" w:charSpace="0"/>
        </w:sect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pStyle w:val="10"/>
        <w:pageBreakBefore w:val="0"/>
        <w:kinsoku/>
        <w:wordWrap/>
        <w:overflowPunct/>
        <w:topLinePunct w:val="0"/>
        <w:bidi w:val="0"/>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600" w:lineRule="exact"/>
        <w:ind w:right="-328" w:rightChars="-149"/>
        <w:jc w:val="both"/>
        <w:textAlignment w:val="auto"/>
        <w:rPr>
          <w:rFonts w:hint="eastAsia" w:ascii="宋体" w:hAnsi="宋体" w:eastAsia="宋体" w:cs="宋体"/>
        </w:rPr>
      </w:pPr>
      <w:r>
        <w:rPr>
          <w:rFonts w:hint="eastAsia" w:ascii="仿宋" w:hAnsi="仿宋" w:eastAsia="仿宋" w:cs="仿宋"/>
          <w:sz w:val="32"/>
        </w:rPr>
        <mc:AlternateContent>
          <mc:Choice Requires="wpg">
            <w:drawing>
              <wp:anchor distT="0" distB="0" distL="114300" distR="114300" simplePos="0" relativeHeight="251659264" behindDoc="0" locked="0" layoutInCell="1" allowOverlap="1">
                <wp:simplePos x="0" y="0"/>
                <wp:positionH relativeFrom="column">
                  <wp:posOffset>-26035</wp:posOffset>
                </wp:positionH>
                <wp:positionV relativeFrom="paragraph">
                  <wp:posOffset>19050</wp:posOffset>
                </wp:positionV>
                <wp:extent cx="5363845" cy="360680"/>
                <wp:effectExtent l="0" t="4445" r="8255" b="15875"/>
                <wp:wrapNone/>
                <wp:docPr id="3" name="组合 3"/>
                <wp:cNvGraphicFramePr/>
                <a:graphic xmlns:a="http://schemas.openxmlformats.org/drawingml/2006/main">
                  <a:graphicData uri="http://schemas.microsoft.com/office/word/2010/wordprocessingGroup">
                    <wpg:wgp>
                      <wpg:cNvGrpSpPr/>
                      <wpg:grpSpPr>
                        <a:xfrm>
                          <a:off x="0" y="0"/>
                          <a:ext cx="5363845" cy="360680"/>
                          <a:chOff x="5629" y="15195"/>
                          <a:chExt cx="8660" cy="568"/>
                        </a:xfrm>
                        <a:effectLst/>
                      </wpg:grpSpPr>
                      <wps:wsp>
                        <wps:cNvPr id="4" name="直线 3"/>
                        <wps:cNvCnPr/>
                        <wps:spPr>
                          <a:xfrm>
                            <a:off x="5629" y="15763"/>
                            <a:ext cx="8640" cy="1"/>
                          </a:xfrm>
                          <a:prstGeom prst="line">
                            <a:avLst/>
                          </a:prstGeom>
                          <a:ln w="9525" cap="flat" cmpd="sng">
                            <a:solidFill>
                              <a:srgbClr val="000000"/>
                            </a:solidFill>
                            <a:prstDash val="solid"/>
                            <a:headEnd type="none" w="med" len="med"/>
                            <a:tailEnd type="none" w="med" len="med"/>
                          </a:ln>
                          <a:effectLst/>
                        </wps:spPr>
                        <wps:bodyPr upright="true"/>
                      </wps:wsp>
                      <wps:wsp>
                        <wps:cNvPr id="5" name="直线 4"/>
                        <wps:cNvCnPr/>
                        <wps:spPr>
                          <a:xfrm>
                            <a:off x="5649" y="15195"/>
                            <a:ext cx="8640" cy="1"/>
                          </a:xfrm>
                          <a:prstGeom prst="line">
                            <a:avLst/>
                          </a:prstGeom>
                          <a:ln w="9525" cap="flat" cmpd="sng">
                            <a:solidFill>
                              <a:srgbClr val="000000"/>
                            </a:solidFill>
                            <a:prstDash val="solid"/>
                            <a:headEnd type="none" w="med" len="med"/>
                            <a:tailEnd type="none" w="med" len="med"/>
                          </a:ln>
                          <a:effectLst/>
                        </wps:spPr>
                        <wps:bodyPr upright="true"/>
                      </wps:wsp>
                    </wpg:wgp>
                  </a:graphicData>
                </a:graphic>
              </wp:anchor>
            </w:drawing>
          </mc:Choice>
          <mc:Fallback>
            <w:pict>
              <v:group id="_x0000_s1026" o:spid="_x0000_s1026" o:spt="203" style="position:absolute;left:0pt;margin-left:-2.05pt;margin-top:1.5pt;height:28.4pt;width:422.35pt;z-index:251659264;mso-width-relative:page;mso-height-relative:page;" coordorigin="5629,15195" coordsize="8660,568" o:gfxdata="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A1MvCF2AAAAAcBAAAPAAAA&#10;AAAAAAEAIAAAADgAAABkcnMvZG93bnJldi54bWxQSwECFAAUAAAACACHTuJAikLkm3ECAADyBgAA&#10;DgAAAAAAAAABACAAAAA9AQAAZHJzL2Uyb0RvYy54bWxQSwUGAAAAAAYABgBZAQAAIAYAAAAA&#10;">
                <o:lock v:ext="edit" aspectratio="f"/>
                <v:line id="直线 3" o:spid="_x0000_s1026" o:spt="20" style="position:absolute;left:5629;top:15763;height:1;width:8640;" filled="f" stroked="t" coordsize="21600,21600" o:gfxdata="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dywc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line id="直线 4" o:spid="_x0000_s1026" o:spt="20" style="position:absolute;left:5649;top:15195;height:1;width:8640;" filled="f" stroked="t" coordsize="21600,21600" o:gfxdata="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O4mH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w:rPr>
          <w:rFonts w:hint="eastAsia" w:ascii="仿宋" w:hAnsi="仿宋" w:eastAsia="仿宋" w:cs="仿宋"/>
          <w:sz w:val="32"/>
          <w:szCs w:val="32"/>
        </w:rPr>
        <w:t xml:space="preserve">中方县财政局办公室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日印发</w:t>
      </w:r>
    </w:p>
    <w:sectPr>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ZgoZa0AQAAUgMAAA4AAABkcnMv&#10;ZTJvRG9jLnhtbK1TzWobMRC+F/IOQvdYawe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LnJ7+hBr&#10;zHoKmJeGaz80NMFGjqGI/ix8UGDzFyURTMFe7079lUMiAp3T+Ww+rzAkMDZesAR7/T1ATHfSW5KN&#10;hgIOsPSVb7/EdEgdU3I152+1MWWIxv3jQMzsYZn+gWO20rAajppWvt2hpB5n31CHy0mJuXfY2rwm&#10;owGjsRqNTQC97pCa4ibm4XCEv9okJFL45SoH6GNxHFxReFyyvBl/30vW61N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dmChlrQBAABSAwAADgAAAAAAAAABACAAAAA0AQAAZHJzL2Uyb0Rv&#10;Yy54bWxQSwUGAAAAAAYABgBZAQAAWgUAAAAA&#10;">
              <v:fill on="f" focussize="0,0"/>
              <v:stroke on="f"/>
              <v:imagedata o:title=""/>
              <o:lock v:ext="edit" aspectratio="f"/>
              <v:textbox inset="0mm,0mm,0mm,0mm" style="mso-fit-shape-to-text:t;">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ZDMzZjU0NGQ0ZmEzNjU5NzE5MTkyYzhlYjJhMzAifQ=="/>
  </w:docVars>
  <w:rsids>
    <w:rsidRoot w:val="00D31D50"/>
    <w:rsid w:val="000B540C"/>
    <w:rsid w:val="00135CB9"/>
    <w:rsid w:val="001F1A2E"/>
    <w:rsid w:val="00323B43"/>
    <w:rsid w:val="0036742F"/>
    <w:rsid w:val="0038315F"/>
    <w:rsid w:val="003D37D8"/>
    <w:rsid w:val="00415CE5"/>
    <w:rsid w:val="00426133"/>
    <w:rsid w:val="004358AB"/>
    <w:rsid w:val="004C6566"/>
    <w:rsid w:val="00542C4C"/>
    <w:rsid w:val="006B50E7"/>
    <w:rsid w:val="00782012"/>
    <w:rsid w:val="00807C6D"/>
    <w:rsid w:val="008B7726"/>
    <w:rsid w:val="00A90A9C"/>
    <w:rsid w:val="00AA2BB6"/>
    <w:rsid w:val="00AF7382"/>
    <w:rsid w:val="00C04908"/>
    <w:rsid w:val="00CF5F8D"/>
    <w:rsid w:val="00D31D50"/>
    <w:rsid w:val="00EA7D7A"/>
    <w:rsid w:val="00EB4495"/>
    <w:rsid w:val="00FA17E4"/>
    <w:rsid w:val="010D6B75"/>
    <w:rsid w:val="01972837"/>
    <w:rsid w:val="033A1D2B"/>
    <w:rsid w:val="03550139"/>
    <w:rsid w:val="09E813E1"/>
    <w:rsid w:val="10BB784F"/>
    <w:rsid w:val="12855F2D"/>
    <w:rsid w:val="12FEADCB"/>
    <w:rsid w:val="197CC94C"/>
    <w:rsid w:val="1C4F7811"/>
    <w:rsid w:val="1E926D9A"/>
    <w:rsid w:val="1EE10A22"/>
    <w:rsid w:val="1FA85DBF"/>
    <w:rsid w:val="1FF57DF9"/>
    <w:rsid w:val="27AF54E0"/>
    <w:rsid w:val="283F0101"/>
    <w:rsid w:val="29932CBF"/>
    <w:rsid w:val="2C7EFBFC"/>
    <w:rsid w:val="2DE61543"/>
    <w:rsid w:val="2F1A6C8E"/>
    <w:rsid w:val="2FB93755"/>
    <w:rsid w:val="2FDD8FC4"/>
    <w:rsid w:val="31DCC9D2"/>
    <w:rsid w:val="32332E03"/>
    <w:rsid w:val="33D0BC16"/>
    <w:rsid w:val="350C5A51"/>
    <w:rsid w:val="352E3900"/>
    <w:rsid w:val="3A9F783C"/>
    <w:rsid w:val="3DADCC40"/>
    <w:rsid w:val="3DBFDC5C"/>
    <w:rsid w:val="3F2533F6"/>
    <w:rsid w:val="3FEE3C90"/>
    <w:rsid w:val="3FFC25C9"/>
    <w:rsid w:val="40FE4130"/>
    <w:rsid w:val="417D7802"/>
    <w:rsid w:val="41FF43E5"/>
    <w:rsid w:val="42BB7663"/>
    <w:rsid w:val="43B802BF"/>
    <w:rsid w:val="482E79F6"/>
    <w:rsid w:val="484AD42D"/>
    <w:rsid w:val="48D923E5"/>
    <w:rsid w:val="4A4D7699"/>
    <w:rsid w:val="4BBE29CB"/>
    <w:rsid w:val="4C847914"/>
    <w:rsid w:val="4CE01FA6"/>
    <w:rsid w:val="4DF06083"/>
    <w:rsid w:val="4E6B1A2A"/>
    <w:rsid w:val="4E6DD9AE"/>
    <w:rsid w:val="4E834801"/>
    <w:rsid w:val="526B70BF"/>
    <w:rsid w:val="54CA72E7"/>
    <w:rsid w:val="58AE663A"/>
    <w:rsid w:val="59FDC876"/>
    <w:rsid w:val="5AFD3965"/>
    <w:rsid w:val="5E73B500"/>
    <w:rsid w:val="5ED74E21"/>
    <w:rsid w:val="5F153A8D"/>
    <w:rsid w:val="5F63BA76"/>
    <w:rsid w:val="5F7F5A68"/>
    <w:rsid w:val="5F7FAEA5"/>
    <w:rsid w:val="5FF7FCD7"/>
    <w:rsid w:val="63EEB80C"/>
    <w:rsid w:val="65770E97"/>
    <w:rsid w:val="673FD4DD"/>
    <w:rsid w:val="67FF7D37"/>
    <w:rsid w:val="6953B632"/>
    <w:rsid w:val="6A733B29"/>
    <w:rsid w:val="6BA204F9"/>
    <w:rsid w:val="6BEC7865"/>
    <w:rsid w:val="6D1920F6"/>
    <w:rsid w:val="6D2A0A99"/>
    <w:rsid w:val="6DCF0CAE"/>
    <w:rsid w:val="6E6FADEF"/>
    <w:rsid w:val="6EA77697"/>
    <w:rsid w:val="6ED7FF01"/>
    <w:rsid w:val="6EDF3995"/>
    <w:rsid w:val="6F3C2D85"/>
    <w:rsid w:val="6FBF2E7F"/>
    <w:rsid w:val="70AC6CA6"/>
    <w:rsid w:val="72AF977E"/>
    <w:rsid w:val="73B77475"/>
    <w:rsid w:val="73E019C6"/>
    <w:rsid w:val="768B79D3"/>
    <w:rsid w:val="768F0540"/>
    <w:rsid w:val="76EB3FAE"/>
    <w:rsid w:val="777B48F5"/>
    <w:rsid w:val="77FFD26F"/>
    <w:rsid w:val="78FF97DA"/>
    <w:rsid w:val="79A429DF"/>
    <w:rsid w:val="7A252900"/>
    <w:rsid w:val="7ACF4222"/>
    <w:rsid w:val="7ADE4D74"/>
    <w:rsid w:val="7B6273C9"/>
    <w:rsid w:val="7B931B86"/>
    <w:rsid w:val="7BB7F89C"/>
    <w:rsid w:val="7BE7E99A"/>
    <w:rsid w:val="7BF9AAAB"/>
    <w:rsid w:val="7C8C7339"/>
    <w:rsid w:val="7CAC83E0"/>
    <w:rsid w:val="7CEF5A28"/>
    <w:rsid w:val="7D5FB8A9"/>
    <w:rsid w:val="7DB810CB"/>
    <w:rsid w:val="7E2E9E6E"/>
    <w:rsid w:val="7E7F5D90"/>
    <w:rsid w:val="7ECE3FBA"/>
    <w:rsid w:val="7F3F2B6A"/>
    <w:rsid w:val="7FBB3E20"/>
    <w:rsid w:val="7FBBC1A2"/>
    <w:rsid w:val="7FD9E7C6"/>
    <w:rsid w:val="7FDFB485"/>
    <w:rsid w:val="7FECA5C3"/>
    <w:rsid w:val="7FF5CAA9"/>
    <w:rsid w:val="81F7E970"/>
    <w:rsid w:val="97FE1A5D"/>
    <w:rsid w:val="ABFA911D"/>
    <w:rsid w:val="BA5CC1C3"/>
    <w:rsid w:val="BBFCDE16"/>
    <w:rsid w:val="BD7EA64D"/>
    <w:rsid w:val="BDFFA9C2"/>
    <w:rsid w:val="BDFFC92B"/>
    <w:rsid w:val="BFDC2550"/>
    <w:rsid w:val="C97C0246"/>
    <w:rsid w:val="CDF94016"/>
    <w:rsid w:val="D4AE254A"/>
    <w:rsid w:val="D727E1EB"/>
    <w:rsid w:val="D77E5F81"/>
    <w:rsid w:val="DB3D7EAC"/>
    <w:rsid w:val="DB77A03C"/>
    <w:rsid w:val="DBFFAFD8"/>
    <w:rsid w:val="DDFBEB2A"/>
    <w:rsid w:val="DFE78422"/>
    <w:rsid w:val="DFFB7B3F"/>
    <w:rsid w:val="E69BF358"/>
    <w:rsid w:val="E7A870AF"/>
    <w:rsid w:val="EBB93DBE"/>
    <w:rsid w:val="EBCF2B11"/>
    <w:rsid w:val="EBFF6D92"/>
    <w:rsid w:val="EF3FBBD4"/>
    <w:rsid w:val="EF9E0C19"/>
    <w:rsid w:val="EFDFC8C5"/>
    <w:rsid w:val="EFEB2FBE"/>
    <w:rsid w:val="F1D7BEDC"/>
    <w:rsid w:val="F1D7EA34"/>
    <w:rsid w:val="F42EDE39"/>
    <w:rsid w:val="F57B65B1"/>
    <w:rsid w:val="F5ADB940"/>
    <w:rsid w:val="F65B7597"/>
    <w:rsid w:val="F6652044"/>
    <w:rsid w:val="F6AB37A9"/>
    <w:rsid w:val="F85D1CE8"/>
    <w:rsid w:val="FA73EAC8"/>
    <w:rsid w:val="FB599F16"/>
    <w:rsid w:val="FB7F5B9E"/>
    <w:rsid w:val="FB99E3C9"/>
    <w:rsid w:val="FBFD0550"/>
    <w:rsid w:val="FC78DFF6"/>
    <w:rsid w:val="FC7F25F5"/>
    <w:rsid w:val="FCFFA3BB"/>
    <w:rsid w:val="FDFBF49A"/>
    <w:rsid w:val="FF2566F4"/>
    <w:rsid w:val="FF6E4EA8"/>
    <w:rsid w:val="FFF19D21"/>
    <w:rsid w:val="FFFF6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9"/>
    <w:pPr>
      <w:keepNext/>
      <w:keepLines/>
      <w:spacing w:beforeLines="0" w:beforeAutospacing="0" w:afterLines="0" w:afterAutospacing="0" w:line="700" w:lineRule="exact"/>
      <w:ind w:firstLine="0" w:firstLineChars="0"/>
      <w:jc w:val="center"/>
      <w:outlineLvl w:val="0"/>
    </w:pPr>
    <w:rPr>
      <w:rFonts w:ascii="Calibri" w:hAnsi="Calibri" w:eastAsia="方正小标宋_GBK" w:cs="Times New Roman"/>
      <w:kern w:val="44"/>
      <w:sz w:val="44"/>
      <w:szCs w:val="21"/>
    </w:rPr>
  </w:style>
  <w:style w:type="paragraph" w:styleId="4">
    <w:name w:val="heading 3"/>
    <w:basedOn w:val="1"/>
    <w:next w:val="1"/>
    <w:unhideWhenUsed/>
    <w:qFormat/>
    <w:uiPriority w:val="9"/>
    <w:pPr>
      <w:spacing w:before="50" w:beforeLines="50" w:beforeAutospacing="0" w:after="50" w:afterLines="50" w:afterAutospacing="0" w:line="600" w:lineRule="exact"/>
      <w:ind w:firstLine="863" w:firstLineChars="200"/>
      <w:jc w:val="left"/>
      <w:outlineLvl w:val="2"/>
    </w:pPr>
    <w:rPr>
      <w:rFonts w:hint="eastAsia" w:ascii="宋体" w:hAnsi="宋体" w:eastAsia="黑体" w:cs="宋体"/>
      <w:bCs/>
      <w:snapToGrid w:val="0"/>
      <w:color w:val="000000"/>
      <w:kern w:val="2"/>
      <w:sz w:val="32"/>
      <w:szCs w:val="27"/>
      <w:lang w:bidi="ar"/>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rPr>
  </w:style>
  <w:style w:type="paragraph" w:styleId="5">
    <w:name w:val="Normal Indent"/>
    <w:basedOn w:val="1"/>
    <w:unhideWhenUsed/>
    <w:qFormat/>
    <w:uiPriority w:val="99"/>
    <w:pPr>
      <w:ind w:firstLine="420" w:firstLineChars="200"/>
    </w:pPr>
    <w:rPr>
      <w:rFonts w:ascii="Times New Roman" w:hAnsi="Times New Roman" w:eastAsia="方正仿宋_GBK" w:cs="Times New Roman"/>
      <w:sz w:val="32"/>
      <w:szCs w:val="20"/>
    </w:rPr>
  </w:style>
  <w:style w:type="paragraph" w:styleId="6">
    <w:name w:val="Body Text Indent"/>
    <w:basedOn w:val="1"/>
    <w:next w:val="5"/>
    <w:unhideWhenUsed/>
    <w:qFormat/>
    <w:uiPriority w:val="0"/>
    <w:pPr>
      <w:spacing w:before="0" w:beforeAutospacing="0" w:after="120" w:afterAutospacing="0" w:line="240" w:lineRule="auto"/>
      <w:ind w:left="420" w:leftChars="200" w:firstLine="0" w:firstLineChars="0"/>
    </w:pPr>
    <w:rPr>
      <w:sz w:val="21"/>
    </w:rPr>
  </w:style>
  <w:style w:type="paragraph" w:styleId="7">
    <w:name w:val="footer"/>
    <w:basedOn w:val="1"/>
    <w:link w:val="17"/>
    <w:semiHidden/>
    <w:unhideWhenUsed/>
    <w:qFormat/>
    <w:uiPriority w:val="99"/>
    <w:pPr>
      <w:tabs>
        <w:tab w:val="center" w:pos="4153"/>
        <w:tab w:val="right" w:pos="8306"/>
      </w:tabs>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10">
    <w:name w:val="Body Text First Indent 2"/>
    <w:basedOn w:val="6"/>
    <w:qFormat/>
    <w:uiPriority w:val="0"/>
    <w:pPr>
      <w:autoSpaceDE w:val="0"/>
      <w:autoSpaceDN w:val="0"/>
      <w:adjustRightInd w:val="0"/>
      <w:spacing w:after="0"/>
      <w:ind w:firstLine="420"/>
      <w:jc w:val="left"/>
    </w:pPr>
    <w:rPr>
      <w:rFonts w:ascii="Calibri" w:hAnsi="Calibri"/>
    </w:r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semiHidden/>
    <w:unhideWhenUsed/>
    <w:qFormat/>
    <w:uiPriority w:val="99"/>
    <w:rPr>
      <w:color w:val="333333"/>
      <w:u w:val="none"/>
    </w:rPr>
  </w:style>
  <w:style w:type="character" w:customStyle="1" w:styleId="16">
    <w:name w:val="页眉 Char"/>
    <w:basedOn w:val="12"/>
    <w:link w:val="8"/>
    <w:semiHidden/>
    <w:qFormat/>
    <w:uiPriority w:val="99"/>
    <w:rPr>
      <w:rFonts w:ascii="Tahoma" w:hAnsi="Tahoma"/>
      <w:sz w:val="18"/>
      <w:szCs w:val="18"/>
    </w:rPr>
  </w:style>
  <w:style w:type="character" w:customStyle="1" w:styleId="17">
    <w:name w:val="页脚 Char"/>
    <w:basedOn w:val="12"/>
    <w:link w:val="7"/>
    <w:semiHidden/>
    <w:qFormat/>
    <w:uiPriority w:val="99"/>
    <w:rPr>
      <w:rFonts w:ascii="Tahoma" w:hAnsi="Tahoma"/>
      <w:sz w:val="18"/>
      <w:szCs w:val="18"/>
    </w:rPr>
  </w:style>
  <w:style w:type="character" w:customStyle="1" w:styleId="18">
    <w:name w:val="NormalCharacter"/>
    <w:qFormat/>
    <w:uiPriority w:val="0"/>
  </w:style>
  <w:style w:type="paragraph" w:customStyle="1" w:styleId="19">
    <w:name w:val="UserStyle_0"/>
    <w:basedOn w:val="1"/>
    <w:next w:val="1"/>
    <w:qFormat/>
    <w:uiPriority w:val="0"/>
    <w:pPr>
      <w:widowControl/>
      <w:ind w:firstLine="420" w:firstLineChars="200"/>
      <w:jc w:val="left"/>
      <w:textAlignment w:val="baseline"/>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7981</Words>
  <Characters>8309</Characters>
  <Lines>66</Lines>
  <Paragraphs>18</Paragraphs>
  <TotalTime>1</TotalTime>
  <ScaleCrop>false</ScaleCrop>
  <LinksUpToDate>false</LinksUpToDate>
  <CharactersWithSpaces>8621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2008-09-13T17:20:00Z</dcterms:created>
  <dc:creator>Administrator</dc:creator>
  <cp:lastModifiedBy>thtf</cp:lastModifiedBy>
  <cp:lastPrinted>2024-08-01T09:19:00Z</cp:lastPrinted>
  <dcterms:modified xsi:type="dcterms:W3CDTF">2024-08-19T15:36:31Z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7080D7ECA65A4F1A9EEACB6D12C2DBA7_13</vt:lpwstr>
  </property>
</Properties>
</file>