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7DFF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黑体"/>
          <w:b/>
          <w:sz w:val="36"/>
        </w:rPr>
        <w:t>2022</w:t>
      </w:r>
      <w:r>
        <w:rPr>
          <w:rFonts w:ascii="黑体" w:hAnsi="黑体" w:eastAsia="黑体" w:cs="黑体"/>
          <w:b/>
          <w:color w:val="000000"/>
          <w:sz w:val="36"/>
        </w:rPr>
        <w:t>年度</w:t>
      </w:r>
      <w:r>
        <w:rPr>
          <w:rFonts w:ascii="黑体" w:hAnsi="黑体" w:eastAsia="黑体" w:cs="黑体"/>
          <w:b/>
          <w:sz w:val="36"/>
        </w:rPr>
        <w:t>中共中方县委宣传部</w:t>
      </w:r>
      <w:r>
        <w:rPr>
          <w:rFonts w:ascii="黑体" w:hAnsi="黑体" w:eastAsia="黑体" w:cs="黑体"/>
          <w:b/>
          <w:color w:val="000000"/>
          <w:sz w:val="36"/>
        </w:rPr>
        <w:t>部门决算</w:t>
      </w:r>
    </w:p>
    <w:p w14:paraId="4C5393B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黑体"/>
          <w:b/>
          <w:sz w:val="33"/>
        </w:rPr>
        <w:t>目录</w:t>
      </w:r>
    </w:p>
    <w:p w14:paraId="6DE41C8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0"/>
        <w:rPr>
          <w:rFonts w:ascii="宋体" w:hAnsi="宋体" w:eastAsia="宋体" w:cs="宋体"/>
          <w:vanish w:val="0"/>
          <w:sz w:val="24"/>
        </w:rPr>
      </w:pPr>
      <w:r>
        <w:rPr>
          <w:rFonts w:ascii="黑体" w:hAnsi="黑体" w:eastAsia="黑体" w:cs="黑体"/>
          <w:b/>
          <w:sz w:val="28"/>
        </w:rPr>
        <w:t>第一部分 中共中方县委宣传部单位概况</w:t>
      </w:r>
    </w:p>
    <w:p w14:paraId="20DA187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一、部门职责</w:t>
      </w:r>
    </w:p>
    <w:p w14:paraId="2A56A1D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二、机构设置</w:t>
      </w:r>
    </w:p>
    <w:p w14:paraId="24E7F4F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0"/>
        <w:rPr>
          <w:rFonts w:ascii="宋体" w:hAnsi="宋体" w:eastAsia="宋体" w:cs="宋体"/>
          <w:vanish w:val="0"/>
          <w:sz w:val="24"/>
        </w:rPr>
      </w:pPr>
      <w:r>
        <w:rPr>
          <w:rFonts w:ascii="黑体" w:hAnsi="黑体" w:eastAsia="黑体" w:cs="黑体"/>
          <w:b/>
          <w:sz w:val="28"/>
        </w:rPr>
        <w:t>第二部分 2022年度部门决算表</w:t>
      </w:r>
    </w:p>
    <w:p w14:paraId="723CC95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一、收入支出决算总表</w:t>
      </w:r>
    </w:p>
    <w:p w14:paraId="227AEC0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二、收入决算表</w:t>
      </w:r>
    </w:p>
    <w:p w14:paraId="073AEC6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三、支出决算表</w:t>
      </w:r>
    </w:p>
    <w:p w14:paraId="241294C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四、财政拨款收入支出决算总表</w:t>
      </w:r>
    </w:p>
    <w:p w14:paraId="2EDC921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五、一般公共预算财政拨款支出决算表</w:t>
      </w:r>
    </w:p>
    <w:p w14:paraId="72FD2FB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六、一般公共预算财政拨款基本支出决算明细表</w:t>
      </w:r>
    </w:p>
    <w:p w14:paraId="1D0D436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七、政府性基金预算财政拨款收入支出决算表</w:t>
      </w:r>
    </w:p>
    <w:p w14:paraId="326460C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八、国有资本经营预算财政拨款支出决算表</w:t>
      </w:r>
    </w:p>
    <w:p w14:paraId="12C177D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九、财政拨款“三公”经费支出决算表</w:t>
      </w:r>
    </w:p>
    <w:p w14:paraId="563A4C9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0"/>
        <w:rPr>
          <w:rFonts w:ascii="宋体" w:hAnsi="宋体" w:eastAsia="宋体" w:cs="宋体"/>
          <w:vanish w:val="0"/>
          <w:sz w:val="24"/>
        </w:rPr>
      </w:pPr>
      <w:r>
        <w:rPr>
          <w:rFonts w:ascii="黑体" w:hAnsi="黑体" w:eastAsia="黑体" w:cs="黑体"/>
          <w:b/>
          <w:sz w:val="28"/>
        </w:rPr>
        <w:t>第三部分 2022年度部门决算情况说明</w:t>
      </w:r>
    </w:p>
    <w:p w14:paraId="5EF7707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一、收入支出决算总体情况说明</w:t>
      </w:r>
    </w:p>
    <w:p w14:paraId="7D3689F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二、收入决算情况说明</w:t>
      </w:r>
    </w:p>
    <w:p w14:paraId="2B0AE11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三、支出决算情况说明</w:t>
      </w:r>
    </w:p>
    <w:p w14:paraId="49C4005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四、财政拨款收入支出决算总体情况说明</w:t>
      </w:r>
    </w:p>
    <w:p w14:paraId="19694C7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五、一般公共预算财政拨款支出决算情况说明</w:t>
      </w:r>
    </w:p>
    <w:p w14:paraId="0C9A555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六、一般公共预算财政拨款基本支出决算情况说明</w:t>
      </w:r>
    </w:p>
    <w:p w14:paraId="401D5F76">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七、一般公共预算财政拨款“三公”经费支出决算情况说明</w:t>
      </w:r>
    </w:p>
    <w:p w14:paraId="189210A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八、政府性基金预算收入支出决算情况</w:t>
      </w:r>
    </w:p>
    <w:p w14:paraId="3A032E3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九、关于机关运行经费支出说明</w:t>
      </w:r>
    </w:p>
    <w:p w14:paraId="63013D5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十、一般性支出情况说明</w:t>
      </w:r>
    </w:p>
    <w:p w14:paraId="05B4385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十一、关于政府采购支出说明</w:t>
      </w:r>
    </w:p>
    <w:p w14:paraId="0101CED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十二、关于国有资产占用情况说明</w:t>
      </w:r>
    </w:p>
    <w:p w14:paraId="446C830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十三、关于预算绩效情况的说明</w:t>
      </w:r>
    </w:p>
    <w:p w14:paraId="6F957F5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黑体"/>
          <w:b/>
          <w:sz w:val="28"/>
        </w:rPr>
        <w:t>第四部分 名词解释</w:t>
      </w:r>
    </w:p>
    <w:p w14:paraId="7A2EC47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黑体"/>
          <w:b/>
          <w:sz w:val="28"/>
        </w:rPr>
        <w:t>第五部分 附件</w:t>
      </w:r>
    </w:p>
    <w:p w14:paraId="2768DCD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4BFA623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4EA54A8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0486845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75A3265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0581E4F6">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2DDB1DF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509399C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1E3B834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1DED99F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42C6B34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43281D6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254C9DE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5CD28F9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6253EE8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35508EA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7062F9A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291C6A4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2585230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1EB164A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1EBF135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p>
    <w:p w14:paraId="24F33D5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黑体"/>
          <w:b/>
          <w:color w:val="000000"/>
          <w:sz w:val="33"/>
        </w:rPr>
        <w:t>第一部分 </w:t>
      </w:r>
      <w:r>
        <w:rPr>
          <w:rFonts w:ascii="黑体" w:hAnsi="黑体" w:eastAsia="黑体" w:cs="黑体"/>
          <w:b/>
          <w:sz w:val="33"/>
        </w:rPr>
        <w:t>中共中方县委宣传部</w:t>
      </w:r>
      <w:r>
        <w:rPr>
          <w:rFonts w:ascii="黑体" w:hAnsi="黑体" w:eastAsia="黑体" w:cs="黑体"/>
          <w:b/>
          <w:color w:val="000000"/>
          <w:sz w:val="33"/>
        </w:rPr>
        <w:t>单位概况</w:t>
      </w:r>
    </w:p>
    <w:p w14:paraId="54D7ED8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outlineLvl w:val="1"/>
        <w:rPr>
          <w:rFonts w:ascii="宋体" w:hAnsi="宋体" w:eastAsia="宋体" w:cs="宋体"/>
          <w:vanish w:val="0"/>
          <w:sz w:val="24"/>
        </w:rPr>
      </w:pPr>
      <w:r>
        <w:rPr>
          <w:rFonts w:ascii="黑体" w:hAnsi="黑体" w:eastAsia="黑体" w:cs="黑体"/>
          <w:b/>
          <w:sz w:val="28"/>
        </w:rPr>
        <w:t>一、部门职责</w:t>
      </w:r>
    </w:p>
    <w:p w14:paraId="4AAB503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1)拟定全县宣传思想文化工作规划，统筹协调推进宣传思想文化领域法治建设，按照县委统一部署，协调全县宣传思想文化系统各部门之间的工作。</w:t>
      </w:r>
    </w:p>
    <w:p w14:paraId="3022D0A6">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2)贯彻落实党中央和省委、市委、县委关于意识形态工作决策部署，组织协调意识形态工作责任制落实和日常监督检查，结合巡察工作开展专项检查。</w:t>
      </w:r>
    </w:p>
    <w:p w14:paraId="3B37D9E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3)统筹指导协调全县理论学习、理论宣传、理论研究工作，组织推动理论武装工作，服务县委理论学习中心组理论学习。</w:t>
      </w:r>
    </w:p>
    <w:p w14:paraId="13F893A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4)负责规划组织全局性思想政治工作。负责指导统筹全县社会宣传教育工作，协调开展形势政策教育、国防教育和重大典型宣传，指导推动爱国主义教育基地建设和管理，协调重大纪念活动的组织和宣传。</w:t>
      </w:r>
    </w:p>
    <w:p w14:paraId="3ACEAA3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5)指导协调全县各新闻单位工作，组织全县突发性公共事件应急新闻工作。</w:t>
      </w:r>
    </w:p>
    <w:p w14:paraId="3089559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6)拟订全县新闻出版业的管理政策并督促落实。管理新闻出版行政事务，组织协调有关行政审批工作，统筹规划和指导协调新闻出版事业、产业发展，监督管理出版物内容和质量，监督管理印刷业，管理著作权，管理出版物进出口等。</w:t>
      </w:r>
    </w:p>
    <w:p w14:paraId="08B4F94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2"/>
        <w:rPr>
          <w:rFonts w:hint="eastAsia" w:ascii="宋体" w:hAnsi="宋体" w:eastAsia="宋体" w:cs="宋体"/>
          <w:color w:val="000000"/>
          <w:sz w:val="28"/>
          <w:lang w:eastAsia="zh-CN"/>
        </w:rPr>
      </w:pPr>
      <w:r>
        <w:rPr>
          <w:rFonts w:hint="eastAsia" w:ascii="宋体" w:hAnsi="宋体" w:eastAsia="宋体" w:cs="宋体"/>
          <w:color w:val="000000"/>
          <w:sz w:val="28"/>
          <w:lang w:eastAsia="zh-CN"/>
        </w:rPr>
        <w:t>（</w:t>
      </w:r>
      <w:r>
        <w:rPr>
          <w:rFonts w:ascii="宋体" w:hAnsi="宋体" w:eastAsia="宋体" w:cs="宋体"/>
          <w:color w:val="000000"/>
          <w:sz w:val="28"/>
        </w:rPr>
        <w:t>7)统筹协调数字新媒体的建设和管理。</w:t>
      </w:r>
    </w:p>
    <w:p w14:paraId="454C2D1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8)统筹指导全县精神文化产品的创作、生产，协调组织中华优秀传统文化传承发展有关工作，指导协调群众文化体育建设和活动开展，指导协调全县文化旅游体育艺术事业发展。</w:t>
      </w:r>
    </w:p>
    <w:p w14:paraId="1E48496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9)负责管理全县电影行政事务，指导监管电影发行、放映工作，组织对电影内容进行审查，指导协调全县性重大电影活动，组织开展电影交流与合作。</w:t>
      </w:r>
    </w:p>
    <w:p w14:paraId="4DA73C3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lang w:eastAsia="zh-CN"/>
        </w:rPr>
        <w:t>（</w:t>
      </w:r>
      <w:r>
        <w:rPr>
          <w:rFonts w:ascii="宋体" w:hAnsi="宋体" w:eastAsia="宋体" w:cs="宋体"/>
          <w:color w:val="000000"/>
          <w:sz w:val="28"/>
        </w:rPr>
        <w:t>10)对全县新闻出版、广播影视、文化艺术、旅游、体育业改革发展提出政策性建议，统筹指导协调文化体制改革和文化事业、文化产业及旅游业发展，指导协调国有文化资产监管工作。承担县文化体制改革发展领导小组办公室日常工作。</w:t>
      </w:r>
    </w:p>
    <w:p w14:paraId="0DFE5B0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color w:val="000000"/>
          <w:sz w:val="28"/>
        </w:rPr>
        <w:t>（11）统筹协调全县对外宣传工作，指导协调有关部门研究落实对外宣传工作重大方针政策和拟定对外宣传事业发展规划，指导协调对外宣传交流工作。</w:t>
      </w:r>
    </w:p>
    <w:p w14:paraId="1C75811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color w:val="000000"/>
          <w:sz w:val="28"/>
        </w:rPr>
        <w:t>（12）统筹协调组织开展全县新闻发布工作，承担县委新闻发布有关组织协调工作，推动新闻发言人制度建设和实施。</w:t>
      </w:r>
    </w:p>
    <w:p w14:paraId="292FAFF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color w:val="000000"/>
          <w:sz w:val="28"/>
        </w:rPr>
        <w:t>（13）负责落实县精神文明建设指导委员会工作部署，拟订全县精神文明建设工作规划并组织实施。指导全县公民思想道德建设和市民素质教育等活动，组织、指导全县未成年人思想道德建设工作。指导全县开展群众性精神文明创建活动。负责全县志愿服务活动的总体规划和协调。</w:t>
      </w:r>
    </w:p>
    <w:p w14:paraId="34F3DF0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2"/>
        <w:rPr>
          <w:rFonts w:ascii="宋体" w:hAnsi="宋体" w:eastAsia="宋体" w:cs="宋体"/>
          <w:vanish w:val="0"/>
          <w:sz w:val="24"/>
        </w:rPr>
      </w:pPr>
      <w:r>
        <w:rPr>
          <w:rFonts w:ascii="宋体" w:hAnsi="宋体" w:eastAsia="宋体" w:cs="宋体"/>
          <w:color w:val="000000"/>
          <w:sz w:val="28"/>
        </w:rPr>
        <w:t>（14）完成县委、县政府交办的其他任务。</w:t>
      </w:r>
    </w:p>
    <w:p w14:paraId="335C474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二、机构设置及决算单位构成</w:t>
      </w:r>
    </w:p>
    <w:p w14:paraId="7789AAF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（一）内设机构设置。中共中方县委宣传部单位内设机构包括：</w:t>
      </w:r>
      <w:r>
        <w:rPr>
          <w:rFonts w:ascii="宋体" w:hAnsi="宋体" w:eastAsia="宋体" w:cs="宋体"/>
          <w:color w:val="000000"/>
          <w:sz w:val="28"/>
        </w:rPr>
        <w:t>我部为行政单位，内设办公室、理论研究室、新闻外宣组、意识形态组、宣教文艺组、文明创建指导组、文产出版组、文明实践志愿服务中心，代管县文联</w:t>
      </w:r>
      <w:r>
        <w:rPr>
          <w:rFonts w:hint="eastAsia" w:ascii="宋体" w:hAnsi="宋体" w:eastAsia="宋体" w:cs="宋体"/>
          <w:color w:val="000000"/>
          <w:sz w:val="28"/>
          <w:lang w:eastAsia="zh-CN"/>
        </w:rPr>
        <w:t>（</w:t>
      </w:r>
      <w:r>
        <w:rPr>
          <w:rFonts w:ascii="宋体" w:hAnsi="宋体" w:eastAsia="宋体" w:cs="宋体"/>
          <w:color w:val="000000"/>
          <w:sz w:val="28"/>
        </w:rPr>
        <w:t>正科级）、县社科联（正科级）。</w:t>
      </w:r>
    </w:p>
    <w:p w14:paraId="647F71E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（二）决算单位构成。中共中方县委宣传部单位2022年部门决算汇总公开单位构成包括：中共中方县委宣传部</w:t>
      </w:r>
      <w:r>
        <w:rPr>
          <w:rFonts w:ascii="宋体" w:hAnsi="宋体" w:eastAsia="宋体" w:cs="宋体"/>
          <w:color w:val="000000"/>
          <w:sz w:val="28"/>
        </w:rPr>
        <w:t>本级，无二级单位。</w:t>
      </w:r>
    </w:p>
    <w:p w14:paraId="62118B5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6F70CCD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5FC2981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71877B6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05362F0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2DC9507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068E12C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黑体" w:hAnsi="黑体" w:eastAsia="黑体" w:cs="黑体"/>
          <w:b/>
          <w:sz w:val="33"/>
        </w:rPr>
      </w:pPr>
    </w:p>
    <w:p w14:paraId="3B1E82D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黑体" w:hAnsi="黑体" w:eastAsia="黑体" w:cs="黑体"/>
          <w:b/>
          <w:sz w:val="33"/>
        </w:rPr>
      </w:pPr>
    </w:p>
    <w:p w14:paraId="73FFC95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黑体" w:hAnsi="黑体" w:eastAsia="黑体" w:cs="黑体"/>
          <w:b/>
          <w:sz w:val="33"/>
        </w:rPr>
      </w:pPr>
    </w:p>
    <w:p w14:paraId="43AFB56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黑体" w:hAnsi="黑体" w:eastAsia="黑体" w:cs="黑体"/>
          <w:b/>
          <w:sz w:val="33"/>
        </w:rPr>
      </w:pPr>
    </w:p>
    <w:p w14:paraId="38328DC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黑体" w:hAnsi="黑体" w:eastAsia="黑体" w:cs="黑体"/>
          <w:b/>
          <w:sz w:val="33"/>
        </w:rPr>
      </w:pPr>
    </w:p>
    <w:p w14:paraId="734A803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黑体" w:hAnsi="黑体" w:eastAsia="黑体" w:cs="黑体"/>
          <w:b/>
          <w:sz w:val="33"/>
        </w:rPr>
      </w:pPr>
    </w:p>
    <w:p w14:paraId="071C786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黑体" w:hAnsi="黑体" w:eastAsia="黑体" w:cs="黑体"/>
          <w:b/>
          <w:sz w:val="33"/>
        </w:rPr>
      </w:pPr>
    </w:p>
    <w:p w14:paraId="589B5D6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黑体" w:hAnsi="黑体" w:eastAsia="黑体" w:cs="黑体"/>
          <w:b/>
          <w:sz w:val="33"/>
        </w:rPr>
      </w:pPr>
    </w:p>
    <w:p w14:paraId="33AEDFF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outlineLvl w:val="0"/>
        <w:rPr>
          <w:rFonts w:ascii="宋体" w:hAnsi="宋体" w:eastAsia="宋体" w:cs="宋体"/>
          <w:vanish w:val="0"/>
          <w:sz w:val="24"/>
        </w:rPr>
      </w:pPr>
      <w:r>
        <w:rPr>
          <w:rFonts w:ascii="黑体" w:hAnsi="黑体" w:eastAsia="黑体" w:cs="黑体"/>
          <w:b/>
          <w:sz w:val="33"/>
        </w:rPr>
        <w:t>第二部分</w:t>
      </w:r>
    </w:p>
    <w:p w14:paraId="2506CF9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6B7EFDC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黑体"/>
          <w:b/>
          <w:sz w:val="33"/>
        </w:rPr>
        <w:t>部门决算表</w:t>
      </w:r>
    </w:p>
    <w:p w14:paraId="55B7DF9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outlineLvl w:val="1"/>
        <w:rPr>
          <w:rFonts w:ascii="宋体" w:hAnsi="宋体" w:eastAsia="宋体" w:cs="宋体"/>
          <w:vanish w:val="0"/>
          <w:sz w:val="24"/>
        </w:rPr>
      </w:pPr>
      <w:r>
        <w:rPr>
          <w:rFonts w:hint="eastAsia" w:ascii="黑体" w:hAnsi="黑体" w:eastAsia="黑体" w:cs="黑体"/>
          <w:b/>
          <w:sz w:val="33"/>
          <w:lang w:eastAsia="zh-CN"/>
        </w:rPr>
        <w:t>（</w:t>
      </w:r>
      <w:r>
        <w:rPr>
          <w:rFonts w:ascii="黑体" w:hAnsi="黑体" w:eastAsia="黑体" w:cs="黑体"/>
          <w:sz w:val="33"/>
        </w:rPr>
        <w:t>表格见附件</w:t>
      </w:r>
      <w:r>
        <w:rPr>
          <w:rFonts w:ascii="黑体" w:hAnsi="黑体" w:eastAsia="黑体" w:cs="黑体"/>
          <w:b/>
          <w:sz w:val="33"/>
        </w:rPr>
        <w:t>)</w:t>
      </w:r>
    </w:p>
    <w:p w14:paraId="328CF50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5CDCE14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0CAF6ED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1A7D036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68C11C9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4452C48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56C074F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28F286E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3FDE4A6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145459E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4543D65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3F2E510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5E70BCE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14:paraId="65CE3EC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outlineLvl w:val="0"/>
        <w:rPr>
          <w:rFonts w:ascii="宋体" w:hAnsi="宋体" w:eastAsia="宋体" w:cs="宋体"/>
          <w:vanish w:val="0"/>
          <w:sz w:val="24"/>
        </w:rPr>
      </w:pPr>
      <w:r>
        <w:rPr>
          <w:rFonts w:ascii="黑体" w:hAnsi="黑体" w:eastAsia="黑体" w:cs="黑体"/>
          <w:b/>
          <w:color w:val="000000"/>
          <w:sz w:val="33"/>
        </w:rPr>
        <w:t>第三部分 </w:t>
      </w:r>
      <w:r>
        <w:rPr>
          <w:rFonts w:ascii="黑体" w:hAnsi="黑体" w:eastAsia="黑体" w:cs="黑体"/>
          <w:b/>
          <w:sz w:val="33"/>
        </w:rPr>
        <w:t>2022</w:t>
      </w:r>
      <w:r>
        <w:rPr>
          <w:rFonts w:ascii="黑体" w:hAnsi="黑体" w:eastAsia="黑体" w:cs="黑体"/>
          <w:b/>
          <w:color w:val="000000"/>
          <w:sz w:val="33"/>
        </w:rPr>
        <w:t>年度部门决算情况说明</w:t>
      </w:r>
    </w:p>
    <w:p w14:paraId="577B692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一、收入支出决算总体情况说明</w:t>
      </w:r>
    </w:p>
    <w:p w14:paraId="0512EB3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sz w:val="28"/>
        </w:rPr>
      </w:pPr>
      <w:r>
        <w:rPr>
          <w:rFonts w:hint="eastAsia" w:ascii="宋体" w:hAnsi="宋体" w:eastAsia="宋体" w:cs="宋体"/>
          <w:sz w:val="28"/>
        </w:rPr>
        <w:t>2022年度收入总计568.46万元。与上年相比，增加117.53万元，增长26.06%，主要是因为人员工资增加、项目收入增加。</w:t>
      </w:r>
    </w:p>
    <w:p w14:paraId="27F5A3F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sz w:val="28"/>
        </w:rPr>
      </w:pPr>
      <w:r>
        <w:rPr>
          <w:rFonts w:hint="eastAsia" w:ascii="宋体" w:hAnsi="宋体" w:eastAsia="宋体" w:cs="宋体"/>
          <w:sz w:val="28"/>
        </w:rPr>
        <w:t>2022年度支出总计568.46万元。与上年相比，增加117.53万元，增长26.06%，主要是因为人员工资增加、项目支出增加。</w:t>
      </w:r>
    </w:p>
    <w:p w14:paraId="0E0A0DF6">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hint="eastAsia" w:ascii="黑体" w:hAnsi="黑体" w:eastAsia="黑体" w:cs="黑体"/>
          <w:b/>
          <w:sz w:val="28"/>
        </w:rPr>
      </w:pPr>
      <w:r>
        <w:rPr>
          <w:rFonts w:hint="eastAsia" w:ascii="黑体" w:hAnsi="黑体" w:eastAsia="黑体" w:cs="黑体"/>
          <w:b/>
          <w:sz w:val="28"/>
        </w:rPr>
        <w:t>二、收入决算情况说明</w:t>
      </w:r>
    </w:p>
    <w:p w14:paraId="31A2574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sz w:val="28"/>
        </w:rPr>
      </w:pPr>
      <w:r>
        <w:rPr>
          <w:rFonts w:hint="eastAsia" w:ascii="宋体" w:hAnsi="宋体" w:eastAsia="宋体" w:cs="宋体"/>
          <w:sz w:val="28"/>
        </w:rPr>
        <w:t>2022年度本年收入合计568.46万元，其中：财政拨款收入543.14万元，占95.55%；上级补助收入0万元，占0%；事业收入0万元，占0%；经营收入0万元，占0%；附属单位上缴收入0万元，占0%；其他收入25.32万元，占4.45%。</w:t>
      </w:r>
    </w:p>
    <w:p w14:paraId="5777515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hint="eastAsia" w:ascii="黑体" w:hAnsi="黑体" w:eastAsia="黑体" w:cs="黑体"/>
          <w:b/>
          <w:sz w:val="28"/>
        </w:rPr>
      </w:pPr>
      <w:r>
        <w:rPr>
          <w:rFonts w:hint="eastAsia" w:ascii="黑体" w:hAnsi="黑体" w:eastAsia="黑体" w:cs="黑体"/>
          <w:b/>
          <w:sz w:val="28"/>
        </w:rPr>
        <w:t>三、支出决算情况说明</w:t>
      </w:r>
    </w:p>
    <w:p w14:paraId="52CAA8D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sz w:val="28"/>
        </w:rPr>
      </w:pPr>
      <w:r>
        <w:rPr>
          <w:rFonts w:hint="eastAsia" w:ascii="宋体" w:hAnsi="宋体" w:eastAsia="宋体" w:cs="宋体"/>
          <w:sz w:val="28"/>
        </w:rPr>
        <w:t>2022年度本年支出合计568.46万元，其中：基本支出389.36万元，占68.49%；项目支出179.10万元，占31.51%；上缴上级支出0万元，占0%；经营支出0万元，占0%；对附属单位补助支出0万元，占0%。</w:t>
      </w:r>
    </w:p>
    <w:p w14:paraId="23BCD63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hint="eastAsia" w:ascii="黑体" w:hAnsi="黑体" w:eastAsia="黑体" w:cs="黑体"/>
          <w:b/>
          <w:sz w:val="28"/>
        </w:rPr>
      </w:pPr>
      <w:r>
        <w:rPr>
          <w:rFonts w:hint="eastAsia" w:ascii="黑体" w:hAnsi="黑体" w:eastAsia="黑体" w:cs="黑体"/>
          <w:b/>
          <w:sz w:val="28"/>
        </w:rPr>
        <w:t>四、财政拨款收入支出决算总体情况说明</w:t>
      </w:r>
    </w:p>
    <w:p w14:paraId="39CEB75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sz w:val="28"/>
        </w:rPr>
      </w:pPr>
      <w:r>
        <w:rPr>
          <w:rFonts w:hint="eastAsia" w:ascii="宋体" w:hAnsi="宋体" w:eastAsia="宋体" w:cs="宋体"/>
          <w:sz w:val="28"/>
        </w:rPr>
        <w:t>2022年度财政拨款收入总计543.14万元，与上年相比，增加92.21万元，增长20.45%，主要是因为人员工资增加、项目收入增加。</w:t>
      </w:r>
    </w:p>
    <w:p w14:paraId="66B04C2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sz w:val="28"/>
        </w:rPr>
      </w:pPr>
      <w:r>
        <w:rPr>
          <w:rFonts w:hint="eastAsia" w:ascii="宋体" w:hAnsi="宋体" w:eastAsia="宋体" w:cs="宋体"/>
          <w:sz w:val="28"/>
        </w:rPr>
        <w:t>2022年度财政拨款支出总计543.14万元，与上年相比，增加92.21万元，增长20.45%，主要是因为人员工资增加，项目支出增加。</w:t>
      </w:r>
    </w:p>
    <w:p w14:paraId="6291414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hint="eastAsia" w:ascii="黑体" w:hAnsi="黑体" w:eastAsia="黑体" w:cs="黑体"/>
          <w:b/>
          <w:sz w:val="28"/>
        </w:rPr>
      </w:pPr>
      <w:r>
        <w:rPr>
          <w:rFonts w:hint="eastAsia" w:ascii="黑体" w:hAnsi="黑体" w:eastAsia="黑体" w:cs="黑体"/>
          <w:b/>
          <w:sz w:val="28"/>
        </w:rPr>
        <w:t>五、一般公共预算财政拨款支出决算情况说明</w:t>
      </w:r>
    </w:p>
    <w:p w14:paraId="6B6774E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2"/>
        <w:rPr>
          <w:rFonts w:hint="eastAsia" w:ascii="黑体" w:hAnsi="黑体" w:eastAsia="黑体" w:cs="黑体"/>
          <w:b/>
          <w:sz w:val="28"/>
        </w:rPr>
      </w:pPr>
      <w:r>
        <w:rPr>
          <w:rFonts w:hint="eastAsia" w:ascii="黑体" w:hAnsi="黑体" w:eastAsia="黑体" w:cs="黑体"/>
          <w:b/>
          <w:sz w:val="28"/>
        </w:rPr>
        <w:t>（一）财政拨款支出决算总体情况</w:t>
      </w:r>
    </w:p>
    <w:p w14:paraId="5FC8A73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sz w:val="28"/>
        </w:rPr>
      </w:pPr>
      <w:r>
        <w:rPr>
          <w:rFonts w:hint="eastAsia" w:ascii="宋体" w:hAnsi="宋体" w:eastAsia="宋体" w:cs="宋体"/>
          <w:sz w:val="28"/>
        </w:rPr>
        <w:t>2022年度财政拨款支出543.14万元，占本年支出合计的100.00%，与上年相比，财政拨款支出增加92.21万元，增长20.45%，主要是因为人员工资增加、项目支出增加。</w:t>
      </w:r>
    </w:p>
    <w:p w14:paraId="3DBA5FA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2"/>
        <w:rPr>
          <w:rFonts w:hint="eastAsia" w:ascii="黑体" w:hAnsi="黑体" w:eastAsia="黑体" w:cs="黑体"/>
          <w:b/>
          <w:sz w:val="28"/>
        </w:rPr>
      </w:pPr>
      <w:r>
        <w:rPr>
          <w:rFonts w:hint="eastAsia" w:ascii="黑体" w:hAnsi="黑体" w:eastAsia="黑体" w:cs="黑体"/>
          <w:b/>
          <w:sz w:val="28"/>
        </w:rPr>
        <w:t>（二）财政拨款支出决算结构情况</w:t>
      </w:r>
    </w:p>
    <w:p w14:paraId="028F1BC6">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sz w:val="28"/>
          <w:lang w:eastAsia="zh-CN"/>
        </w:rPr>
      </w:pPr>
      <w:r>
        <w:rPr>
          <w:rFonts w:hint="eastAsia" w:ascii="宋体" w:hAnsi="宋体" w:eastAsia="宋体" w:cs="宋体"/>
          <w:sz w:val="28"/>
        </w:rPr>
        <w:t>2022年度财政拨款支出543.14万元，主要用于以下方面：一般公共服务支出（类）354.99万元，占65.36%；教育支出（类）2万元，占0.37%；文化旅游体育与传媒支出（类）141.13万元，占25.98%；社会保障和就业支出（类）24.63万元，占4.53%；卫生健康支出（类）12.43万元，占2.29%；商业服务业等支出（类）7.95万元，占1.46%</w:t>
      </w:r>
      <w:r>
        <w:rPr>
          <w:rFonts w:hint="eastAsia" w:ascii="宋体" w:hAnsi="宋体" w:eastAsia="宋体" w:cs="宋体"/>
          <w:sz w:val="28"/>
          <w:lang w:eastAsia="zh-CN"/>
        </w:rPr>
        <w:t>。</w:t>
      </w:r>
    </w:p>
    <w:p w14:paraId="3C91FE5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2"/>
        <w:rPr>
          <w:rFonts w:hint="eastAsia" w:ascii="黑体" w:hAnsi="黑体" w:eastAsia="黑体" w:cs="黑体"/>
          <w:b/>
          <w:sz w:val="28"/>
        </w:rPr>
      </w:pPr>
      <w:r>
        <w:rPr>
          <w:rFonts w:hint="eastAsia" w:ascii="黑体" w:hAnsi="黑体" w:eastAsia="黑体" w:cs="黑体"/>
          <w:b/>
          <w:sz w:val="28"/>
        </w:rPr>
        <w:t>（三）财政拨款支出决算具体情况</w:t>
      </w:r>
    </w:p>
    <w:p w14:paraId="56AB34D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ascii="宋体" w:hAnsi="宋体" w:eastAsia="宋体" w:cs="宋体"/>
          <w:vanish w:val="0"/>
          <w:sz w:val="24"/>
        </w:rPr>
      </w:pPr>
      <w:r>
        <w:rPr>
          <w:rFonts w:hint="eastAsia" w:ascii="宋体" w:hAnsi="宋体" w:eastAsia="宋体" w:cs="宋体"/>
          <w:sz w:val="28"/>
        </w:rPr>
        <w:t>2022年度财政拨款支出年初预算数为389.44万元，支出决算数为543.14万元，完成年初预算的139.47%，其中：</w:t>
      </w:r>
      <w:r>
        <w:rPr>
          <w:rFonts w:ascii="宋体" w:hAnsi="宋体" w:eastAsia="宋体" w:cs="宋体"/>
          <w:color w:val="000000"/>
          <w:sz w:val="28"/>
        </w:rPr>
        <w:t> </w:t>
      </w:r>
    </w:p>
    <w:p w14:paraId="011B6D4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3"/>
        <w:rPr>
          <w:rFonts w:ascii="宋体" w:hAnsi="宋体" w:eastAsia="宋体" w:cs="宋体"/>
          <w:vanish w:val="0"/>
          <w:sz w:val="24"/>
        </w:rPr>
      </w:pPr>
      <w:r>
        <w:rPr>
          <w:rFonts w:ascii="宋体" w:hAnsi="宋体" w:eastAsia="宋体" w:cs="宋体"/>
          <w:color w:val="000000"/>
          <w:sz w:val="28"/>
        </w:rPr>
        <w:t>1、一般公共服务支出（类）宣传事务（款）行政运行（项）。</w:t>
      </w:r>
    </w:p>
    <w:p w14:paraId="6E241626">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年初预算为270.19万元，支出决算为306.28万元，完成预算的113.36%。决算数大于年初预算数的主要原因是：人员经费增加，主要是增加了绩效工资月发放部分。</w:t>
      </w:r>
    </w:p>
    <w:p w14:paraId="28A48DD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2、一般公共服务支出（类）宣传事务（款）一般行政管理事务（项）。</w:t>
      </w:r>
    </w:p>
    <w:p w14:paraId="144A202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年初预算为35.00万元，支出决算为12.26万元，完成预算的35.03%。决算数小于年初预算数的主要原因是：预算调整。</w:t>
      </w:r>
    </w:p>
    <w:p w14:paraId="5CBB2ED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3"/>
        <w:rPr>
          <w:rFonts w:ascii="宋体" w:hAnsi="宋体" w:eastAsia="宋体" w:cs="宋体"/>
          <w:vanish w:val="0"/>
          <w:sz w:val="24"/>
        </w:rPr>
      </w:pPr>
      <w:r>
        <w:rPr>
          <w:rFonts w:ascii="宋体" w:hAnsi="宋体" w:eastAsia="宋体" w:cs="宋体"/>
          <w:color w:val="000000"/>
          <w:sz w:val="28"/>
        </w:rPr>
        <w:t>3、一般公共服务支出（类）宣传事务（款）宣传管理（项）。</w:t>
      </w:r>
    </w:p>
    <w:p w14:paraId="6051C1F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年初预算为0万元，支出决算为36.46万元，因年初预算金额为0万元，无法计算百分比。决算数大于年初预算数的主要原因是：预算调整。 </w:t>
      </w:r>
    </w:p>
    <w:p w14:paraId="3F33EAD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3"/>
        <w:rPr>
          <w:rFonts w:ascii="宋体" w:hAnsi="宋体" w:eastAsia="宋体" w:cs="宋体"/>
          <w:vanish w:val="0"/>
          <w:sz w:val="24"/>
        </w:rPr>
      </w:pPr>
      <w:r>
        <w:rPr>
          <w:rFonts w:ascii="宋体" w:hAnsi="宋体" w:eastAsia="宋体" w:cs="宋体"/>
          <w:color w:val="000000"/>
          <w:sz w:val="28"/>
        </w:rPr>
        <w:t>4、教育支出（类）其他教育支出（款）其他教育支出（项）。</w:t>
      </w:r>
    </w:p>
    <w:p w14:paraId="181FC83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年初预算为0万元，支出决算为2万元，因年初预算金额为0万元，无法计算百分比。决算数大于年初预算数的主要原因是：预算调整。 </w:t>
      </w:r>
    </w:p>
    <w:p w14:paraId="3F4E22B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5、文化旅游体育与传媒支出（类）文化和旅游（款）行政运行（项）。</w:t>
      </w:r>
    </w:p>
    <w:p w14:paraId="5664804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年初预算为0万元，支出决算为16.3万元，因年初预算金额为0万元，无法计算百分比。决算数大于年初预算数的主要原因是：预算调整。</w:t>
      </w:r>
    </w:p>
    <w:p w14:paraId="6FE8823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6、文化旅游体育与传媒支出（类）文化和旅游（款）其他文化和旅游支出（项）。</w:t>
      </w:r>
    </w:p>
    <w:p w14:paraId="5214116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年初预算为0万元，支出决算为17.23万元，因年初预算金额为0万元，无法计算百分比。决算数大于年初预算数的主要原因是：预算调整。</w:t>
      </w:r>
    </w:p>
    <w:p w14:paraId="1148E6B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7、文化旅游体育与传媒支出（类）广播电视（款）其他广播电视支出（项）。</w:t>
      </w:r>
    </w:p>
    <w:p w14:paraId="0189181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年初预算为0万元，支出决算为20万元，因年初预算金额为0万元，无法计算百分比。决算数大于年初预算数的主要原因是：预算调整。</w:t>
      </w:r>
    </w:p>
    <w:p w14:paraId="7A3C162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8、文化旅游体育与传媒支出（类）其他文化旅游体育与传媒支出（款）其他文化旅游体育与传媒支出（项）。</w:t>
      </w:r>
    </w:p>
    <w:p w14:paraId="5BA9608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年初预算为0万元，支出决算为87.59万元，因年初预算金额为0万元，无法计算百分比。决算数大于年初预算数的主要原因是：预算调整。 </w:t>
      </w:r>
    </w:p>
    <w:p w14:paraId="721EF5C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9、社会保障和就业支出（类）行政事业单位养老支出（款）机关事业单位基本养老保险缴费支出（项）。</w:t>
      </w:r>
    </w:p>
    <w:p w14:paraId="5B69130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年初预算为26.74万元，支出决算为24.63万元，完成预算的92.11%。决算数小于年初预算数的主要原因是：预算调整。 </w:t>
      </w:r>
    </w:p>
    <w:p w14:paraId="3F012DE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10、卫生健康支出（类）行政事业单位医疗（款）行政单位医疗（项）。</w:t>
      </w:r>
    </w:p>
    <w:p w14:paraId="5D631AC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年初预算为13.48万元，支出决算为12.43万元，完成预算的92.21%。决算数小于年初预算数的主要原因是：预算调整。 </w:t>
      </w:r>
    </w:p>
    <w:p w14:paraId="38110AF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11、商业服务业等支出（类）商业流通事务（款）其他商业流通事务支出（项）。</w:t>
      </w:r>
    </w:p>
    <w:p w14:paraId="635B4A8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color w:val="000000"/>
          <w:sz w:val="28"/>
        </w:rPr>
        <w:t>年初预算为0万元，支出决算为7.95万元，因年初预算金额为0万元，无法计算百分比。决算数大于年初预算数的主要原因是：预算调整。</w:t>
      </w:r>
    </w:p>
    <w:p w14:paraId="6B0B878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3"/>
        <w:rPr>
          <w:rFonts w:hint="eastAsia" w:ascii="宋体" w:hAnsi="宋体" w:eastAsia="宋体" w:cs="宋体"/>
          <w:color w:val="000000"/>
          <w:sz w:val="28"/>
        </w:rPr>
      </w:pPr>
      <w:r>
        <w:rPr>
          <w:rFonts w:hint="eastAsia" w:ascii="宋体" w:hAnsi="宋体" w:eastAsia="宋体" w:cs="宋体"/>
          <w:color w:val="000000"/>
          <w:sz w:val="28"/>
        </w:rPr>
        <w:t>12、住房保障支出（类）住房改革支出（款）住房公积金（项）。</w:t>
      </w:r>
    </w:p>
    <w:p w14:paraId="1075AE0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年初预算为19.03万元，支出决算为0万元，完成预算的0%。决算数小于年初预算数的主要原因是：厉行节约。</w:t>
      </w:r>
    </w:p>
    <w:p w14:paraId="5430ECD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13、文化旅游体育与传媒支出（类）文化和旅游（款）文化活动（项）。</w:t>
      </w:r>
    </w:p>
    <w:p w14:paraId="4B96EA7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rPr>
        <w:t>年初预算为25万元，支出决算为0万元，完成预算的0%。决算数小于年初预算数的主要原因是：厉行节约。</w:t>
      </w:r>
    </w:p>
    <w:p w14:paraId="57AD38B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六、一般公共预算财政拨款基本支出决算情况说明</w:t>
      </w:r>
    </w:p>
    <w:p w14:paraId="34C6FFC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2022</w:t>
      </w:r>
      <w:r>
        <w:rPr>
          <w:rFonts w:ascii="宋体" w:hAnsi="宋体" w:eastAsia="宋体" w:cs="宋体"/>
          <w:color w:val="000000"/>
          <w:sz w:val="28"/>
        </w:rPr>
        <w:t>年度财政拨款基本支出</w:t>
      </w:r>
      <w:r>
        <w:rPr>
          <w:rFonts w:ascii="宋体" w:hAnsi="宋体" w:eastAsia="宋体" w:cs="宋体"/>
          <w:sz w:val="28"/>
        </w:rPr>
        <w:t>369.49</w:t>
      </w:r>
      <w:r>
        <w:rPr>
          <w:rFonts w:ascii="宋体" w:hAnsi="宋体" w:eastAsia="宋体" w:cs="宋体"/>
          <w:color w:val="000000"/>
          <w:sz w:val="28"/>
        </w:rPr>
        <w:t>万元，其中：人员经费</w:t>
      </w:r>
      <w:r>
        <w:rPr>
          <w:rFonts w:ascii="宋体" w:hAnsi="宋体" w:eastAsia="宋体" w:cs="宋体"/>
          <w:sz w:val="28"/>
        </w:rPr>
        <w:t>305.56</w:t>
      </w:r>
      <w:r>
        <w:rPr>
          <w:rFonts w:ascii="宋体" w:hAnsi="宋体" w:eastAsia="宋体" w:cs="宋体"/>
          <w:color w:val="000000"/>
          <w:sz w:val="28"/>
        </w:rPr>
        <w:t>万元，占基本支出的</w:t>
      </w:r>
      <w:r>
        <w:rPr>
          <w:rFonts w:ascii="宋体" w:hAnsi="宋体" w:eastAsia="宋体" w:cs="宋体"/>
          <w:sz w:val="28"/>
        </w:rPr>
        <w:t>82.70%</w:t>
      </w:r>
      <w:r>
        <w:rPr>
          <w:rFonts w:ascii="宋体" w:hAnsi="宋体" w:eastAsia="宋体" w:cs="宋体"/>
          <w:color w:val="000000"/>
          <w:sz w:val="28"/>
        </w:rPr>
        <w:t>主要包括基本工资、津贴补贴、奖金、伙食补助费等；公用经费</w:t>
      </w:r>
      <w:r>
        <w:rPr>
          <w:rFonts w:ascii="宋体" w:hAnsi="宋体" w:eastAsia="宋体" w:cs="宋体"/>
          <w:sz w:val="28"/>
        </w:rPr>
        <w:t>63.93</w:t>
      </w:r>
      <w:r>
        <w:rPr>
          <w:rFonts w:ascii="宋体" w:hAnsi="宋体" w:eastAsia="宋体" w:cs="宋体"/>
          <w:color w:val="000000"/>
          <w:sz w:val="28"/>
        </w:rPr>
        <w:t>万元，占基本支出的</w:t>
      </w:r>
      <w:r>
        <w:rPr>
          <w:rFonts w:ascii="宋体" w:hAnsi="宋体" w:eastAsia="宋体" w:cs="宋体"/>
          <w:sz w:val="28"/>
        </w:rPr>
        <w:t>17.30%</w:t>
      </w:r>
      <w:r>
        <w:rPr>
          <w:rFonts w:ascii="宋体" w:hAnsi="宋体" w:eastAsia="宋体" w:cs="宋体"/>
          <w:color w:val="000000"/>
          <w:sz w:val="28"/>
        </w:rPr>
        <w:t>，主要包括办公费、印刷费、咨询费、手续费等。</w:t>
      </w:r>
    </w:p>
    <w:p w14:paraId="64A0BB0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七、一般公共预算财政拨款“三公”经费支出决算情况说明</w:t>
      </w:r>
    </w:p>
    <w:p w14:paraId="2556241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2"/>
        <w:rPr>
          <w:rFonts w:ascii="宋体" w:hAnsi="宋体" w:eastAsia="宋体" w:cs="宋体"/>
          <w:vanish w:val="0"/>
          <w:sz w:val="24"/>
        </w:rPr>
      </w:pPr>
      <w:r>
        <w:rPr>
          <w:rFonts w:ascii="黑体" w:hAnsi="黑体" w:eastAsia="黑体" w:cs="黑体"/>
          <w:b/>
          <w:sz w:val="28"/>
        </w:rPr>
        <w:t>（一）“三公”经费财政拨款支出决算总体情况说明</w:t>
      </w:r>
    </w:p>
    <w:p w14:paraId="7D6414B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rPr>
      </w:pPr>
      <w:r>
        <w:rPr>
          <w:rFonts w:hint="eastAsia" w:ascii="宋体" w:hAnsi="宋体" w:eastAsia="宋体" w:cs="宋体"/>
          <w:color w:val="000000"/>
          <w:sz w:val="28"/>
        </w:rPr>
        <w:t>“三公”经费财政拨款支出预算为2.25万元，支出决算为2.25万元，完成预算的100.00%，其中：</w:t>
      </w:r>
    </w:p>
    <w:p w14:paraId="341205F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rPr>
      </w:pPr>
      <w:r>
        <w:rPr>
          <w:rFonts w:hint="eastAsia" w:ascii="宋体" w:hAnsi="宋体" w:eastAsia="宋体" w:cs="宋体"/>
          <w:color w:val="000000"/>
          <w:sz w:val="28"/>
        </w:rPr>
        <w:t>因公出国（境）费支出预算为0万元，支出决算为0万元，因年初预算金额为0万元</w:t>
      </w:r>
      <w:r>
        <w:rPr>
          <w:rFonts w:hint="eastAsia" w:ascii="宋体" w:hAnsi="宋体" w:eastAsia="宋体" w:cs="宋体"/>
          <w:color w:val="000000"/>
          <w:sz w:val="28"/>
          <w:lang w:eastAsia="zh-CN"/>
        </w:rPr>
        <w:t>，</w:t>
      </w:r>
      <w:r>
        <w:rPr>
          <w:rFonts w:hint="eastAsia" w:ascii="宋体" w:hAnsi="宋体" w:eastAsia="宋体" w:cs="宋体"/>
          <w:color w:val="000000"/>
          <w:sz w:val="28"/>
        </w:rPr>
        <w:t>无法计算百分比，决算数与预算数一致，与上年相比持平，持平主要原因是2022年无此项开支。</w:t>
      </w:r>
    </w:p>
    <w:p w14:paraId="5D602BE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rPr>
      </w:pPr>
      <w:r>
        <w:rPr>
          <w:rFonts w:hint="eastAsia" w:ascii="宋体" w:hAnsi="宋体" w:eastAsia="宋体" w:cs="宋体"/>
          <w:color w:val="000000"/>
          <w:sz w:val="28"/>
        </w:rPr>
        <w:t>公务接待费支出预算为1.30万元，支出决算为1.30万元，完成预算的100.00%，决算数等于预算数的主要原因是本单位严格按照预算执行，与上年相比增加0.12万元，增加主要原因是接待新闻媒体记者支出。</w:t>
      </w:r>
    </w:p>
    <w:p w14:paraId="4E28AFB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rPr>
      </w:pPr>
      <w:r>
        <w:rPr>
          <w:rFonts w:hint="eastAsia" w:ascii="宋体" w:hAnsi="宋体" w:eastAsia="宋体" w:cs="宋体"/>
          <w:color w:val="000000"/>
          <w:sz w:val="28"/>
        </w:rPr>
        <w:t>公务用车购置费支出预算为0万元，支出决算为0万元，因年初预算金额为0万元，无法计算百分比，决算数与预算数一致，与上年相比持平，持平主要原因是无公务用车购置费支出。</w:t>
      </w:r>
    </w:p>
    <w:p w14:paraId="38CC8A3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rPr>
      </w:pPr>
      <w:r>
        <w:rPr>
          <w:rFonts w:hint="eastAsia" w:ascii="宋体" w:hAnsi="宋体" w:eastAsia="宋体" w:cs="宋体"/>
          <w:color w:val="000000"/>
          <w:sz w:val="28"/>
        </w:rPr>
        <w:t>公务用车运行维护费支出预算为0.96万元，支出决算为0.96万元，完成预算的100.00%，决算数等于预算数的主要原因是本单位严格按照预算执行，与上年相比减少0.56万元，减少主要原因是进一步规范单位公车管理。</w:t>
      </w:r>
    </w:p>
    <w:p w14:paraId="6AF42F4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2"/>
        <w:rPr>
          <w:rFonts w:ascii="宋体" w:hAnsi="宋体" w:eastAsia="宋体" w:cs="宋体"/>
          <w:vanish w:val="0"/>
          <w:sz w:val="24"/>
        </w:rPr>
      </w:pPr>
      <w:r>
        <w:rPr>
          <w:rFonts w:ascii="黑体" w:hAnsi="黑体" w:eastAsia="黑体" w:cs="黑体"/>
          <w:b/>
          <w:sz w:val="28"/>
        </w:rPr>
        <w:t>（二）“三公”经费财政拨款支出决算具体情况说明</w:t>
      </w:r>
    </w:p>
    <w:p w14:paraId="630C68A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2022</w:t>
      </w:r>
      <w:r>
        <w:rPr>
          <w:rFonts w:ascii="宋体" w:hAnsi="宋体" w:eastAsia="宋体" w:cs="宋体"/>
          <w:color w:val="000000"/>
          <w:sz w:val="28"/>
        </w:rPr>
        <w:t>年度“三公”经费财政拨款支出决算中，公务接待费支出决算</w:t>
      </w:r>
      <w:r>
        <w:rPr>
          <w:rFonts w:ascii="宋体" w:hAnsi="宋体" w:eastAsia="宋体" w:cs="宋体"/>
          <w:sz w:val="28"/>
        </w:rPr>
        <w:t>1.30</w:t>
      </w:r>
      <w:r>
        <w:rPr>
          <w:rFonts w:ascii="宋体" w:hAnsi="宋体" w:eastAsia="宋体" w:cs="宋体"/>
          <w:color w:val="000000"/>
          <w:sz w:val="28"/>
        </w:rPr>
        <w:t>万元，占</w:t>
      </w:r>
      <w:r>
        <w:rPr>
          <w:rFonts w:ascii="宋体" w:hAnsi="宋体" w:eastAsia="宋体" w:cs="宋体"/>
          <w:sz w:val="28"/>
        </w:rPr>
        <w:t>57.78</w:t>
      </w:r>
      <w:r>
        <w:rPr>
          <w:rFonts w:ascii="宋体" w:hAnsi="宋体" w:eastAsia="宋体" w:cs="宋体"/>
          <w:color w:val="000000"/>
          <w:sz w:val="28"/>
        </w:rPr>
        <w:t>%,因公出国（境）费支出决算</w:t>
      </w:r>
      <w:r>
        <w:rPr>
          <w:rFonts w:ascii="宋体" w:hAnsi="宋体" w:eastAsia="宋体" w:cs="宋体"/>
          <w:sz w:val="28"/>
        </w:rPr>
        <w:t>0</w:t>
      </w:r>
      <w:r>
        <w:rPr>
          <w:rFonts w:ascii="宋体" w:hAnsi="宋体" w:eastAsia="宋体" w:cs="宋体"/>
          <w:color w:val="000000"/>
          <w:sz w:val="28"/>
        </w:rPr>
        <w:t>万元，占</w:t>
      </w:r>
      <w:r>
        <w:rPr>
          <w:rFonts w:ascii="宋体" w:hAnsi="宋体" w:eastAsia="宋体" w:cs="宋体"/>
          <w:sz w:val="28"/>
        </w:rPr>
        <w:t>0</w:t>
      </w:r>
      <w:r>
        <w:rPr>
          <w:rFonts w:ascii="宋体" w:hAnsi="宋体" w:eastAsia="宋体" w:cs="宋体"/>
          <w:color w:val="000000"/>
          <w:sz w:val="28"/>
        </w:rPr>
        <w:t>%，公务用车购置费及运行维护费支出决算</w:t>
      </w:r>
      <w:r>
        <w:rPr>
          <w:rFonts w:ascii="宋体" w:hAnsi="宋体" w:eastAsia="宋体" w:cs="宋体"/>
          <w:sz w:val="28"/>
        </w:rPr>
        <w:t>0.96</w:t>
      </w:r>
      <w:r>
        <w:rPr>
          <w:rFonts w:ascii="宋体" w:hAnsi="宋体" w:eastAsia="宋体" w:cs="宋体"/>
          <w:color w:val="000000"/>
          <w:sz w:val="28"/>
        </w:rPr>
        <w:t>万元，占</w:t>
      </w:r>
      <w:r>
        <w:rPr>
          <w:rFonts w:ascii="宋体" w:hAnsi="宋体" w:eastAsia="宋体" w:cs="宋体"/>
          <w:sz w:val="28"/>
        </w:rPr>
        <w:t>42.67</w:t>
      </w:r>
      <w:r>
        <w:rPr>
          <w:rFonts w:ascii="宋体" w:hAnsi="宋体" w:eastAsia="宋体" w:cs="宋体"/>
          <w:color w:val="000000"/>
          <w:sz w:val="28"/>
        </w:rPr>
        <w:t>%。其中：</w:t>
      </w:r>
    </w:p>
    <w:p w14:paraId="5DF977A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w:t>
      </w:r>
      <w:r>
        <w:rPr>
          <w:rFonts w:ascii="宋体" w:hAnsi="宋体" w:eastAsia="宋体" w:cs="宋体"/>
          <w:sz w:val="28"/>
        </w:rPr>
        <w:t>因公出国（境）费支出决算为0万元，全年安排因公出国（境）团组0个，累计0人次,支出0万元。</w:t>
      </w:r>
    </w:p>
    <w:p w14:paraId="199EC19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2、公务接待费支出决算为</w:t>
      </w:r>
      <w:r>
        <w:rPr>
          <w:rFonts w:ascii="宋体" w:hAnsi="宋体" w:eastAsia="宋体" w:cs="宋体"/>
          <w:sz w:val="28"/>
        </w:rPr>
        <w:t>1.30</w:t>
      </w:r>
      <w:r>
        <w:rPr>
          <w:rFonts w:ascii="宋体" w:hAnsi="宋体" w:eastAsia="宋体" w:cs="宋体"/>
          <w:color w:val="000000"/>
          <w:sz w:val="28"/>
        </w:rPr>
        <w:t>万元，主要是全年共接待来访团组10个、来宾162人次，主要是招待新闻媒体记者发生的接待支出。</w:t>
      </w:r>
    </w:p>
    <w:p w14:paraId="6B98191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3、公务用车购置费及运行维护费支出决算为0.96万元，其中：公务用车购置费0万元，中共中方县委宣传部更新</w:t>
      </w:r>
      <w:r>
        <w:rPr>
          <w:rFonts w:ascii="宋体" w:hAnsi="宋体" w:eastAsia="宋体" w:cs="宋体"/>
          <w:color w:val="000000"/>
          <w:sz w:val="28"/>
        </w:rPr>
        <w:t>公务用车0辆。</w:t>
      </w:r>
      <w:r>
        <w:rPr>
          <w:rFonts w:ascii="宋体" w:hAnsi="宋体" w:eastAsia="宋体" w:cs="宋体"/>
          <w:sz w:val="28"/>
        </w:rPr>
        <w:t>公务用车运行维护费0.96万元，</w:t>
      </w:r>
      <w:r>
        <w:rPr>
          <w:rFonts w:ascii="宋体" w:hAnsi="宋体" w:eastAsia="宋体" w:cs="宋体"/>
          <w:color w:val="000000"/>
          <w:sz w:val="28"/>
        </w:rPr>
        <w:t>主要是公务车加油支出，</w:t>
      </w:r>
      <w:r>
        <w:rPr>
          <w:rFonts w:ascii="宋体" w:hAnsi="宋体" w:eastAsia="宋体" w:cs="宋体"/>
          <w:sz w:val="28"/>
        </w:rPr>
        <w:t>截止2022年12月31日，</w:t>
      </w:r>
      <w:r>
        <w:rPr>
          <w:rFonts w:ascii="宋体" w:hAnsi="宋体" w:eastAsia="宋体" w:cs="宋体"/>
          <w:color w:val="000000"/>
          <w:sz w:val="28"/>
        </w:rPr>
        <w:t>我单位开支财政拨款的公务用车保有量为1辆</w:t>
      </w:r>
      <w:r>
        <w:rPr>
          <w:rFonts w:ascii="宋体" w:hAnsi="宋体" w:eastAsia="宋体" w:cs="宋体"/>
          <w:sz w:val="28"/>
        </w:rPr>
        <w:t>。</w:t>
      </w:r>
    </w:p>
    <w:p w14:paraId="5F12BB2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八、政府性基金预算收入支出决算情况</w:t>
      </w:r>
    </w:p>
    <w:p w14:paraId="721FE29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2022</w:t>
      </w:r>
      <w:r>
        <w:rPr>
          <w:rFonts w:ascii="宋体" w:hAnsi="宋体" w:eastAsia="宋体" w:cs="宋体"/>
          <w:color w:val="000000"/>
          <w:sz w:val="28"/>
        </w:rPr>
        <w:t>年度政府性基金预算财政拨款收入</w:t>
      </w:r>
      <w:r>
        <w:rPr>
          <w:rFonts w:ascii="宋体" w:hAnsi="宋体" w:eastAsia="宋体" w:cs="宋体"/>
          <w:sz w:val="28"/>
        </w:rPr>
        <w:t>0</w:t>
      </w:r>
      <w:r>
        <w:rPr>
          <w:rFonts w:ascii="宋体" w:hAnsi="宋体" w:eastAsia="宋体" w:cs="宋体"/>
          <w:color w:val="000000"/>
          <w:sz w:val="28"/>
        </w:rPr>
        <w:t>万元；年初结转和结余</w:t>
      </w:r>
      <w:r>
        <w:rPr>
          <w:rFonts w:ascii="宋体" w:hAnsi="宋体" w:eastAsia="宋体" w:cs="宋体"/>
          <w:sz w:val="28"/>
        </w:rPr>
        <w:t>0</w:t>
      </w:r>
      <w:r>
        <w:rPr>
          <w:rFonts w:ascii="宋体" w:hAnsi="宋体" w:eastAsia="宋体" w:cs="宋体"/>
          <w:color w:val="000000"/>
          <w:sz w:val="28"/>
        </w:rPr>
        <w:t>万元；支出</w:t>
      </w:r>
      <w:r>
        <w:rPr>
          <w:rFonts w:ascii="宋体" w:hAnsi="宋体" w:eastAsia="宋体" w:cs="宋体"/>
          <w:sz w:val="28"/>
        </w:rPr>
        <w:t>0</w:t>
      </w:r>
      <w:r>
        <w:rPr>
          <w:rFonts w:ascii="宋体" w:hAnsi="宋体" w:eastAsia="宋体" w:cs="宋体"/>
          <w:color w:val="000000"/>
          <w:sz w:val="28"/>
        </w:rPr>
        <w:t>万元，其中基本支出</w:t>
      </w:r>
      <w:r>
        <w:rPr>
          <w:rFonts w:ascii="宋体" w:hAnsi="宋体" w:eastAsia="宋体" w:cs="宋体"/>
          <w:sz w:val="28"/>
        </w:rPr>
        <w:t>0</w:t>
      </w:r>
      <w:r>
        <w:rPr>
          <w:rFonts w:ascii="宋体" w:hAnsi="宋体" w:eastAsia="宋体" w:cs="宋体"/>
          <w:color w:val="000000"/>
          <w:sz w:val="28"/>
        </w:rPr>
        <w:t>万元，项目支出</w:t>
      </w:r>
      <w:r>
        <w:rPr>
          <w:rFonts w:ascii="宋体" w:hAnsi="宋体" w:eastAsia="宋体" w:cs="宋体"/>
          <w:sz w:val="28"/>
        </w:rPr>
        <w:t>0</w:t>
      </w:r>
      <w:r>
        <w:rPr>
          <w:rFonts w:ascii="宋体" w:hAnsi="宋体" w:eastAsia="宋体" w:cs="宋体"/>
          <w:color w:val="000000"/>
          <w:sz w:val="28"/>
        </w:rPr>
        <w:t>万元；年末结转和结余</w:t>
      </w:r>
      <w:r>
        <w:rPr>
          <w:rFonts w:ascii="宋体" w:hAnsi="宋体" w:eastAsia="宋体" w:cs="宋体"/>
          <w:sz w:val="28"/>
        </w:rPr>
        <w:t>0</w:t>
      </w:r>
      <w:r>
        <w:rPr>
          <w:rFonts w:ascii="宋体" w:hAnsi="宋体" w:eastAsia="宋体" w:cs="宋体"/>
          <w:color w:val="000000"/>
          <w:sz w:val="28"/>
        </w:rPr>
        <w:t>万元。</w:t>
      </w:r>
    </w:p>
    <w:p w14:paraId="1E2267B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九、关于机关运行经费支出说明</w:t>
      </w:r>
    </w:p>
    <w:p w14:paraId="229E204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本部门2022年度机关运行经费支出63.93万元，比上年决算数增加24.77万元，增加63.25%，主要原因是：年内增加项目，相应公用经费支出增加。</w:t>
      </w:r>
    </w:p>
    <w:p w14:paraId="2B3956D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十、一般性支出情况</w:t>
      </w:r>
    </w:p>
    <w:p w14:paraId="6C0B32A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2022</w:t>
      </w:r>
      <w:r>
        <w:rPr>
          <w:rFonts w:ascii="宋体" w:hAnsi="宋体" w:eastAsia="宋体" w:cs="宋体"/>
          <w:color w:val="000000"/>
          <w:sz w:val="28"/>
        </w:rPr>
        <w:t>年本部门开支会议费</w:t>
      </w:r>
      <w:r>
        <w:rPr>
          <w:rFonts w:ascii="宋体" w:hAnsi="宋体" w:eastAsia="宋体" w:cs="宋体"/>
          <w:sz w:val="28"/>
        </w:rPr>
        <w:t>0.06</w:t>
      </w:r>
      <w:r>
        <w:rPr>
          <w:rFonts w:ascii="宋体" w:hAnsi="宋体" w:eastAsia="宋体" w:cs="宋体"/>
          <w:color w:val="000000"/>
          <w:sz w:val="28"/>
        </w:rPr>
        <w:t>万元，用于召开</w:t>
      </w:r>
      <w:r>
        <w:rPr>
          <w:rFonts w:hint="eastAsia" w:ascii="宋体" w:hAnsi="宋体" w:eastAsia="宋体" w:cs="宋体"/>
          <w:color w:val="000000"/>
          <w:sz w:val="28"/>
          <w:lang w:val="en-US" w:eastAsia="zh-CN"/>
        </w:rPr>
        <w:t>2</w:t>
      </w:r>
      <w:r>
        <w:rPr>
          <w:rFonts w:ascii="宋体" w:hAnsi="宋体" w:eastAsia="宋体" w:cs="宋体"/>
          <w:color w:val="000000"/>
          <w:sz w:val="28"/>
        </w:rPr>
        <w:t>场会议，人数</w:t>
      </w:r>
      <w:r>
        <w:rPr>
          <w:rFonts w:hint="eastAsia" w:ascii="宋体" w:hAnsi="宋体" w:eastAsia="宋体" w:cs="宋体"/>
          <w:color w:val="000000"/>
          <w:sz w:val="28"/>
          <w:lang w:val="en-US" w:eastAsia="zh-CN"/>
        </w:rPr>
        <w:t>22</w:t>
      </w:r>
      <w:r>
        <w:rPr>
          <w:rFonts w:ascii="宋体" w:hAnsi="宋体" w:eastAsia="宋体" w:cs="宋体"/>
          <w:color w:val="000000"/>
          <w:sz w:val="28"/>
        </w:rPr>
        <w:t>人，内容为</w:t>
      </w:r>
      <w:r>
        <w:rPr>
          <w:rFonts w:hint="eastAsia" w:ascii="宋体" w:hAnsi="宋体" w:eastAsia="宋体" w:cs="宋体"/>
          <w:color w:val="000000"/>
          <w:sz w:val="28"/>
          <w:lang w:val="en-US" w:eastAsia="zh-CN"/>
        </w:rPr>
        <w:t>日常工作会议</w:t>
      </w:r>
      <w:bookmarkStart w:id="0" w:name="_GoBack"/>
      <w:bookmarkEnd w:id="0"/>
      <w:r>
        <w:rPr>
          <w:rFonts w:ascii="宋体" w:hAnsi="宋体" w:eastAsia="宋体" w:cs="宋体"/>
          <w:color w:val="000000"/>
          <w:sz w:val="28"/>
        </w:rPr>
        <w:t>；开支培训费</w:t>
      </w:r>
      <w:r>
        <w:rPr>
          <w:rFonts w:ascii="宋体" w:hAnsi="宋体" w:eastAsia="宋体" w:cs="宋体"/>
          <w:sz w:val="28"/>
        </w:rPr>
        <w:t>0</w:t>
      </w:r>
      <w:r>
        <w:rPr>
          <w:rFonts w:ascii="宋体" w:hAnsi="宋体" w:eastAsia="宋体" w:cs="宋体"/>
          <w:color w:val="000000"/>
          <w:sz w:val="28"/>
        </w:rPr>
        <w:t>万元，用于开展0场培训，人数0人，内容为无；未举办节庆、晚会、论坛、赛事等，开支0万元。</w:t>
      </w:r>
    </w:p>
    <w:p w14:paraId="3C111C3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十一、关于政府采购支出说明</w:t>
      </w:r>
    </w:p>
    <w:p w14:paraId="1C645EA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本部门</w:t>
      </w:r>
      <w:r>
        <w:rPr>
          <w:rFonts w:ascii="宋体" w:hAnsi="宋体" w:eastAsia="宋体" w:cs="宋体"/>
          <w:sz w:val="28"/>
        </w:rPr>
        <w:t>2022</w:t>
      </w:r>
      <w:r>
        <w:rPr>
          <w:rFonts w:ascii="宋体" w:hAnsi="宋体" w:eastAsia="宋体" w:cs="宋体"/>
          <w:color w:val="000000"/>
          <w:sz w:val="28"/>
        </w:rPr>
        <w:t>年度政府采购支出总额218.31万元，其中：政府采购货物支出1.32万元、政府采购工程支出0万元、政府采购服务支出217.00万元。授予中小企业合同金额15.00万元，占政府采购支出总额的6.87%，其中：授予小微企业合同金额12.00万元，占政府采购支出总额的5.50%。货物采购授予中小企业合同金额占货物支出金额的</w:t>
      </w:r>
      <w:r>
        <w:rPr>
          <w:rFonts w:hint="eastAsia" w:ascii="宋体" w:hAnsi="宋体" w:eastAsia="宋体" w:cs="宋体"/>
          <w:color w:val="000000"/>
          <w:sz w:val="28"/>
          <w:lang w:val="en-US" w:eastAsia="zh-CN"/>
        </w:rPr>
        <w:t>0%</w:t>
      </w:r>
      <w:r>
        <w:rPr>
          <w:rFonts w:ascii="宋体" w:hAnsi="宋体" w:eastAsia="宋体" w:cs="宋体"/>
          <w:color w:val="000000"/>
          <w:sz w:val="28"/>
        </w:rPr>
        <w:t>，工程采购授予中小企业合同金额占工程支出金额的百分比无法计算，原因是政府采购工程支出金额为0万元，服务采购授予中小企业合同金额占服务支出金额的6.91%。</w:t>
      </w:r>
    </w:p>
    <w:p w14:paraId="44FC576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outlineLvl w:val="1"/>
        <w:rPr>
          <w:rFonts w:ascii="宋体" w:hAnsi="宋体" w:eastAsia="宋体" w:cs="宋体"/>
          <w:vanish w:val="0"/>
          <w:sz w:val="24"/>
        </w:rPr>
      </w:pPr>
      <w:r>
        <w:rPr>
          <w:rFonts w:ascii="黑体" w:hAnsi="黑体" w:eastAsia="黑体" w:cs="黑体"/>
          <w:b/>
          <w:sz w:val="28"/>
        </w:rPr>
        <w:t>十二、关于国有资产占用情况说明</w:t>
      </w:r>
    </w:p>
    <w:p w14:paraId="522C631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截至</w:t>
      </w:r>
      <w:r>
        <w:rPr>
          <w:rFonts w:ascii="宋体" w:hAnsi="宋体" w:eastAsia="宋体" w:cs="宋体"/>
          <w:sz w:val="28"/>
        </w:rPr>
        <w:t>2022</w:t>
      </w:r>
      <w:r>
        <w:rPr>
          <w:rFonts w:ascii="宋体" w:hAnsi="宋体" w:eastAsia="宋体" w:cs="宋体"/>
          <w:color w:val="000000"/>
          <w:sz w:val="28"/>
        </w:rPr>
        <w:t>年12月31日，本单位共有车辆</w:t>
      </w:r>
      <w:r>
        <w:rPr>
          <w:rFonts w:hint="eastAsia" w:ascii="宋体" w:hAnsi="宋体" w:eastAsia="宋体" w:cs="宋体"/>
          <w:color w:val="000000"/>
          <w:sz w:val="28"/>
          <w:lang w:val="en-US" w:eastAsia="zh-CN"/>
        </w:rPr>
        <w:t>1</w:t>
      </w:r>
      <w:r>
        <w:rPr>
          <w:rFonts w:ascii="宋体" w:hAnsi="宋体" w:eastAsia="宋体" w:cs="宋体"/>
          <w:color w:val="000000"/>
          <w:sz w:val="28"/>
        </w:rPr>
        <w:t>辆，其中，主要领导干部用车0辆，机要通信用车0辆、应急保障用车0辆、执法执勤用车0辆、特种专业技术用车0辆、其他用车</w:t>
      </w:r>
      <w:r>
        <w:rPr>
          <w:rFonts w:hint="eastAsia" w:ascii="宋体" w:hAnsi="宋体" w:eastAsia="宋体" w:cs="宋体"/>
          <w:color w:val="000000"/>
          <w:sz w:val="28"/>
          <w:lang w:val="en-US" w:eastAsia="zh-CN"/>
        </w:rPr>
        <w:t>1</w:t>
      </w:r>
      <w:r>
        <w:rPr>
          <w:rFonts w:ascii="宋体" w:hAnsi="宋体" w:eastAsia="宋体" w:cs="宋体"/>
          <w:color w:val="000000"/>
          <w:sz w:val="28"/>
        </w:rPr>
        <w:t>辆，其他用车主要是下乡等工作用车；单位价值50万元以上通用设备0台（套）；单位价值100万元以上专用设备0台（套）。</w:t>
      </w:r>
    </w:p>
    <w:p w14:paraId="24FD5CD9">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627" w:firstLineChars="0"/>
        <w:jc w:val="both"/>
        <w:outlineLvl w:val="1"/>
        <w:rPr>
          <w:rFonts w:ascii="黑体" w:hAnsi="黑体" w:eastAsia="黑体" w:cs="黑体"/>
          <w:b/>
          <w:sz w:val="28"/>
        </w:rPr>
      </w:pPr>
      <w:r>
        <w:rPr>
          <w:rFonts w:hint="eastAsia" w:ascii="黑体" w:hAnsi="黑体" w:eastAsia="黑体" w:cs="黑体"/>
          <w:b/>
          <w:sz w:val="28"/>
          <w:szCs w:val="24"/>
          <w:lang w:val="en-US" w:eastAsia="uk-UA" w:bidi="ar-SA"/>
        </w:rPr>
        <w:t>十三、</w:t>
      </w:r>
      <w:r>
        <w:rPr>
          <w:rFonts w:ascii="黑体" w:hAnsi="黑体" w:eastAsia="黑体" w:cs="黑体"/>
          <w:b/>
          <w:sz w:val="28"/>
        </w:rPr>
        <w:t>关于2022年度预算绩效情况的说明</w:t>
      </w:r>
    </w:p>
    <w:p w14:paraId="7ED502BF">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after="0" w:line="520" w:lineRule="atLeast"/>
        <w:ind w:firstLine="357" w:firstLineChars="111"/>
        <w:jc w:val="both"/>
        <w:textAlignment w:val="auto"/>
        <w:outlineLvl w:val="2"/>
        <w:rPr>
          <w:rFonts w:ascii="黑体" w:hAnsi="黑体" w:eastAsia="黑体" w:cs="黑体"/>
          <w:b/>
          <w:sz w:val="28"/>
        </w:rPr>
      </w:pPr>
      <w:r>
        <w:rPr>
          <w:rFonts w:hint="eastAsia" w:ascii="宋体" w:hAnsi="宋体" w:eastAsia="宋体" w:cs="宋体"/>
          <w:b/>
          <w:sz w:val="32"/>
          <w:szCs w:val="32"/>
        </w:rPr>
        <w:t>（一）部门整体支出绩效情况</w:t>
      </w:r>
    </w:p>
    <w:p w14:paraId="2AD31359">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after="0" w:line="520" w:lineRule="atLeast"/>
        <w:ind w:firstLine="310" w:firstLineChars="111"/>
        <w:jc w:val="both"/>
        <w:textAlignment w:val="auto"/>
        <w:rPr>
          <w:rFonts w:hint="eastAsia" w:ascii="宋体" w:hAnsi="宋体" w:eastAsia="宋体" w:cs="宋体"/>
          <w:color w:val="000000"/>
          <w:sz w:val="28"/>
          <w:lang w:eastAsia="zh-CN"/>
        </w:rPr>
      </w:pPr>
      <w:r>
        <w:rPr>
          <w:rFonts w:hint="eastAsia" w:ascii="宋体" w:hAnsi="宋体" w:eastAsia="宋体" w:cs="宋体"/>
          <w:color w:val="000000"/>
          <w:sz w:val="28"/>
          <w:lang w:val="en-US" w:eastAsia="zh-CN"/>
        </w:rPr>
        <w:t>1、</w:t>
      </w:r>
      <w:r>
        <w:rPr>
          <w:rFonts w:ascii="宋体" w:hAnsi="宋体" w:eastAsia="宋体" w:cs="宋体"/>
          <w:color w:val="000000"/>
          <w:sz w:val="28"/>
        </w:rPr>
        <w:t>基本支出2022年我部基本支出年初预算数329.44万元，决算数389.35万元；“三公”经费年初预算数4.4万元，决算数为2.25万元，其中公务用车运行维护费0.96万元，公务接待费1.</w:t>
      </w:r>
      <w:r>
        <w:rPr>
          <w:rFonts w:hint="eastAsia" w:ascii="宋体" w:hAnsi="宋体" w:eastAsia="宋体" w:cs="宋体"/>
          <w:color w:val="000000"/>
          <w:sz w:val="28"/>
          <w:lang w:val="en-US" w:eastAsia="zh-CN"/>
        </w:rPr>
        <w:t>29</w:t>
      </w:r>
      <w:r>
        <w:rPr>
          <w:rFonts w:ascii="宋体" w:hAnsi="宋体" w:eastAsia="宋体" w:cs="宋体"/>
          <w:color w:val="000000"/>
          <w:sz w:val="28"/>
        </w:rPr>
        <w:t>万元，均控制在年初预算范围内。</w:t>
      </w:r>
    </w:p>
    <w:p w14:paraId="0554C6E1">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after="0" w:line="520" w:lineRule="atLeast"/>
        <w:ind w:firstLine="310" w:firstLineChars="111"/>
        <w:jc w:val="both"/>
        <w:textAlignment w:val="auto"/>
        <w:rPr>
          <w:rFonts w:hint="eastAsia" w:ascii="宋体" w:hAnsi="宋体" w:eastAsia="宋体" w:cs="宋体"/>
          <w:color w:val="000000"/>
          <w:sz w:val="28"/>
          <w:lang w:eastAsia="zh-CN"/>
        </w:rPr>
      </w:pPr>
      <w:r>
        <w:rPr>
          <w:rFonts w:hint="eastAsia" w:ascii="宋体" w:hAnsi="宋体" w:eastAsia="宋体" w:cs="宋体"/>
          <w:color w:val="000000"/>
          <w:sz w:val="28"/>
          <w:lang w:val="en-US" w:eastAsia="zh-CN"/>
        </w:rPr>
        <w:t>2、</w:t>
      </w:r>
      <w:r>
        <w:rPr>
          <w:rFonts w:ascii="宋体" w:hAnsi="宋体" w:eastAsia="宋体" w:cs="宋体"/>
          <w:color w:val="000000"/>
          <w:sz w:val="28"/>
        </w:rPr>
        <w:t>项目支出2022年我部项目支出年初预算数69.2万元，决算数179.1万元。我部专项资金来源主要是年初财政预算安排及年中根据工作要求安排的追加资金。2022年县委宣传部所有项目目标设定依据充分、明确、合理，项目建设符合相关规定。年初都制定了相关方案措施，并严格按照方案、措施执行开展工作。各项目实施过程中，严格按规定及制度进行管理，年中各项目支出按批准的预算执行，无虚列项目支出、截留、挤占、挪用项目资金和超标准开支情况。</w:t>
      </w:r>
    </w:p>
    <w:p w14:paraId="45065737">
      <w:pPr>
        <w:keepNext w:val="0"/>
        <w:keepLines w:val="0"/>
        <w:pageBreakBefore w:val="0"/>
        <w:widowControl/>
        <w:kinsoku/>
        <w:wordWrap/>
        <w:overflowPunct/>
        <w:topLinePunct w:val="0"/>
        <w:autoSpaceDE/>
        <w:autoSpaceDN/>
        <w:bidi w:val="0"/>
        <w:adjustRightInd/>
        <w:snapToGrid/>
        <w:spacing w:line="520" w:lineRule="atLeast"/>
        <w:ind w:firstLine="357" w:firstLineChars="111"/>
        <w:textAlignment w:val="auto"/>
        <w:outlineLvl w:val="2"/>
        <w:rPr>
          <w:rFonts w:ascii="宋体" w:hAnsi="宋体" w:eastAsia="宋体" w:cs="宋体"/>
          <w:color w:val="000000"/>
          <w:sz w:val="28"/>
        </w:rPr>
      </w:pPr>
      <w:r>
        <w:rPr>
          <w:rFonts w:hint="eastAsia" w:ascii="宋体" w:hAnsi="宋体" w:eastAsia="宋体" w:cs="宋体"/>
          <w:b/>
          <w:bCs/>
          <w:color w:val="auto"/>
          <w:kern w:val="0"/>
          <w:sz w:val="32"/>
          <w:szCs w:val="32"/>
        </w:rPr>
        <w:t>（二）存在的问题及原因分析</w:t>
      </w:r>
    </w:p>
    <w:p w14:paraId="71014405">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after="0" w:line="520" w:lineRule="atLeast"/>
        <w:ind w:firstLine="310" w:firstLineChars="111"/>
        <w:jc w:val="both"/>
        <w:textAlignment w:val="auto"/>
        <w:rPr>
          <w:rFonts w:ascii="宋体" w:hAnsi="宋体" w:eastAsia="宋体" w:cs="宋体"/>
          <w:color w:val="000000"/>
          <w:sz w:val="28"/>
        </w:rPr>
      </w:pPr>
      <w:r>
        <w:rPr>
          <w:rFonts w:hint="eastAsia" w:ascii="宋体" w:hAnsi="宋体" w:eastAsia="宋体" w:cs="宋体"/>
          <w:color w:val="000000"/>
          <w:sz w:val="28"/>
          <w:lang w:eastAsia="zh-CN"/>
        </w:rPr>
        <w:t>现在</w:t>
      </w:r>
      <w:r>
        <w:rPr>
          <w:rFonts w:ascii="宋体" w:hAnsi="宋体" w:eastAsia="宋体" w:cs="宋体"/>
          <w:color w:val="000000"/>
          <w:sz w:val="28"/>
        </w:rPr>
        <w:t>财务工作对财务人员的要求越来越高，越来越专业化，财务人员需不断加强业务学习，建议财政加强财务人员业务培训。</w:t>
      </w:r>
    </w:p>
    <w:p w14:paraId="6C58378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341" w:firstLineChars="0"/>
        <w:jc w:val="both"/>
        <w:rPr>
          <w:rFonts w:ascii="宋体" w:hAnsi="宋体" w:eastAsia="宋体" w:cs="宋体"/>
          <w:color w:val="000000"/>
          <w:sz w:val="28"/>
        </w:rPr>
      </w:pPr>
    </w:p>
    <w:p w14:paraId="31323AB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0F2E211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5A06656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69BA428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273A139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6856331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30CA7B99">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77EDD70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5304E302">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p>
    <w:p w14:paraId="4D2745E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sectPr>
          <w:pgSz w:w="11907" w:h="16839"/>
          <w:pgMar w:top="1440" w:right="1440" w:bottom="1440" w:left="1440" w:header="720" w:footer="720" w:gutter="0"/>
          <w:cols w:space="720" w:num="1"/>
        </w:sectPr>
      </w:pPr>
    </w:p>
    <w:p w14:paraId="694AB16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jc w:val="center"/>
        <w:outlineLvl w:val="0"/>
        <w:rPr>
          <w:rFonts w:ascii="宋体" w:hAnsi="宋体" w:eastAsia="宋体" w:cs="宋体"/>
          <w:vanish w:val="0"/>
          <w:sz w:val="24"/>
        </w:rPr>
      </w:pPr>
      <w:r>
        <w:rPr>
          <w:rFonts w:ascii="黑体" w:hAnsi="黑体" w:eastAsia="黑体" w:cs="黑体"/>
          <w:b/>
          <w:color w:val="000000"/>
          <w:sz w:val="33"/>
        </w:rPr>
        <w:t>第四部分 名词解释</w:t>
      </w:r>
    </w:p>
    <w:p w14:paraId="51AE7647">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1、财政拨款收入：指单位本年度从同级财政部门取得的各类财政拨款。</w:t>
      </w:r>
    </w:p>
    <w:p w14:paraId="399B718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2、上级补助收入：指事业单位从主管部门和上级单位取得的非财政补助收入。</w:t>
      </w:r>
    </w:p>
    <w:p w14:paraId="1E5138F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C6D3EC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4、事业收入：指事业单位开展专业业务活动及其辅助活动取得的收入，事业单位收到的财政专户实际核拨的教育收费等资金在此反映。</w:t>
      </w:r>
    </w:p>
    <w:p w14:paraId="5C4AAB25">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5、经营收入：指事业单位在专业业务活动及其辅助活动之外开展非独立核算经营活动取得的收入。</w:t>
      </w:r>
    </w:p>
    <w:p w14:paraId="63FCD28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6、附属单位上缴收入：指事业单位附属独立核算单位按照有关规定上缴的收入。</w:t>
      </w:r>
    </w:p>
    <w:p w14:paraId="0F77FBF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7、其他收入：指单位取得的除上述“财政拨款收入”、“事业收入”、“经营收入”等以外的各项收入。</w:t>
      </w:r>
    </w:p>
    <w:p w14:paraId="078F349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8、使用非财政拨款结余：指事业单位使用非财政拨款结余（原事业基金）弥补当年收支差额的数额。</w:t>
      </w:r>
    </w:p>
    <w:p w14:paraId="695CCEA3">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9．年初结转和结余：指单位上年结转本年使用的基本支出结转、项目支出结转和结余和经营结余。</w:t>
      </w:r>
    </w:p>
    <w:p w14:paraId="3E86B9E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10、结余分配：指事业单位按规定对非财政拨款结余资金提取的专用基金、缴纳的所得税和转入非财政拨款结余等。</w:t>
      </w:r>
    </w:p>
    <w:p w14:paraId="445D475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11、年末结转和结余资金：指本年度或以前年度预算安排、因客观条件发生变化无法按原计划实施，需要延迟到以后年度按有关规定继续使用的资金。</w:t>
      </w:r>
    </w:p>
    <w:p w14:paraId="0EAAD5A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12、基本支出：指为保障机构正常运转、完成日常工作任务而发生的支出，包括人员经费和公用经费。</w:t>
      </w:r>
    </w:p>
    <w:p w14:paraId="3B38A6DC">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13、项目支出：指在为完成特定的工作任务和事业发展目标所发生的支出。</w:t>
      </w:r>
    </w:p>
    <w:p w14:paraId="63D547C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14、上缴上级支出：指事业单位按照财政部门和主管部门的规定上缴上级单位的支出。</w:t>
      </w:r>
    </w:p>
    <w:p w14:paraId="49A739C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15、经营支出：指事业单位在专业业务活动及其辅助活动之外开展非独立核算经营活动发生的支出。</w:t>
      </w:r>
    </w:p>
    <w:p w14:paraId="5C5764D6">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16、对附属单位补助支出：指事业单位用财政拨款收入之外的收入对附属单位补助发生的支出。</w:t>
      </w:r>
    </w:p>
    <w:p w14:paraId="471EBDF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17、“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7C523F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4B722B2E">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6312711B">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25897C5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2A085E5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6797DFB8">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3B2E5261">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outlineLvl w:val="0"/>
        <w:rPr>
          <w:rFonts w:ascii="宋体" w:hAnsi="宋体" w:eastAsia="宋体" w:cs="宋体"/>
          <w:vanish w:val="0"/>
          <w:sz w:val="24"/>
        </w:rPr>
      </w:pPr>
      <w:r>
        <w:rPr>
          <w:rFonts w:ascii="黑体" w:hAnsi="黑体" w:eastAsia="黑体" w:cs="黑体"/>
          <w:b/>
          <w:color w:val="000000"/>
          <w:sz w:val="33"/>
        </w:rPr>
        <w:t>第五部分 附件</w:t>
      </w:r>
    </w:p>
    <w:p w14:paraId="1734883F">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outlineLvl w:val="1"/>
        <w:rPr>
          <w:rFonts w:hint="eastAsia" w:ascii="黑体" w:hAnsi="黑体" w:eastAsia="黑体" w:cs="黑体"/>
          <w:b/>
          <w:color w:val="000000"/>
          <w:sz w:val="33"/>
          <w:lang w:eastAsia="zh-CN"/>
        </w:rPr>
      </w:pPr>
      <w:r>
        <w:rPr>
          <w:rFonts w:ascii="黑体" w:hAnsi="黑体" w:eastAsia="黑体" w:cs="黑体"/>
          <w:b/>
          <w:color w:val="000000"/>
          <w:sz w:val="33"/>
        </w:rPr>
        <w:t>中共中方县委宣传部2022年度部门整体支出绩效自评报告</w:t>
      </w:r>
    </w:p>
    <w:p w14:paraId="2C32C985">
      <w:pPr>
        <w:pStyle w:val="2"/>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left="767" w:leftChars="0" w:firstLine="0" w:firstLineChars="0"/>
        <w:jc w:val="both"/>
        <w:outlineLvl w:val="1"/>
        <w:rPr>
          <w:rFonts w:hint="eastAsia" w:ascii="黑体" w:hAnsi="黑体" w:eastAsia="黑体" w:cs="黑体"/>
          <w:b/>
          <w:bCs/>
          <w:color w:val="000000"/>
          <w:sz w:val="28"/>
        </w:rPr>
      </w:pPr>
      <w:r>
        <w:rPr>
          <w:rFonts w:hint="eastAsia" w:ascii="黑体" w:hAnsi="黑体" w:eastAsia="黑体" w:cs="黑体"/>
          <w:b/>
          <w:bCs/>
          <w:color w:val="000000"/>
          <w:sz w:val="28"/>
        </w:rPr>
        <w:t>单位基本情况</w:t>
      </w:r>
    </w:p>
    <w:p w14:paraId="1EFD2CAA">
      <w:pPr>
        <w:pStyle w:val="2"/>
        <w:numPr>
          <w:ilvl w:val="0"/>
          <w:numId w:val="2"/>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outlineLvl w:val="2"/>
        <w:rPr>
          <w:rFonts w:ascii="宋体" w:hAnsi="宋体" w:eastAsia="宋体" w:cs="宋体"/>
          <w:vanish w:val="0"/>
          <w:sz w:val="24"/>
        </w:rPr>
      </w:pPr>
      <w:r>
        <w:rPr>
          <w:rFonts w:ascii="宋体" w:hAnsi="宋体" w:eastAsia="宋体" w:cs="宋体"/>
          <w:color w:val="000000"/>
          <w:sz w:val="28"/>
        </w:rPr>
        <w:t>职能职责与机构设置</w:t>
      </w:r>
    </w:p>
    <w:p w14:paraId="7C612093">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1400" w:firstLineChars="500"/>
        <w:jc w:val="both"/>
        <w:rPr>
          <w:rFonts w:hint="eastAsia" w:ascii="宋体" w:hAnsi="宋体" w:eastAsia="宋体" w:cs="宋体"/>
          <w:vanish w:val="0"/>
          <w:sz w:val="24"/>
          <w:lang w:eastAsia="zh-CN"/>
        </w:rPr>
      </w:pPr>
      <w:r>
        <w:rPr>
          <w:rFonts w:ascii="宋体" w:hAnsi="宋体" w:eastAsia="宋体" w:cs="宋体"/>
          <w:color w:val="000000"/>
          <w:sz w:val="28"/>
        </w:rPr>
        <w:t>职能职责：1、拟定全县宣传思想文化工作规划，统筹协调推进宣传思想文化领域法治建设，按照县委统一部署，协调全县宣传思想文化系统各部门之间的工作。2、贯彻落实党中央和省委、市委、县委关于意识形态工作决策部署，组织协调意识形态工作责任制落实和日常监督检查，结合巡察工作开展专项检查。3、统筹指导协调全县理论学习、理论宣传、理论研究工作，组织推动理论武装工作，服务县委理论学习中心组理论学习。4、负责</w:t>
      </w:r>
      <w:r>
        <w:rPr>
          <w:rFonts w:hint="eastAsia" w:ascii="宋体" w:hAnsi="宋体" w:eastAsia="宋体" w:cs="宋体"/>
          <w:color w:val="000000"/>
          <w:sz w:val="28"/>
          <w:lang w:eastAsia="zh-CN"/>
        </w:rPr>
        <w:t>谋划</w:t>
      </w:r>
      <w:r>
        <w:rPr>
          <w:rFonts w:ascii="宋体" w:hAnsi="宋体" w:eastAsia="宋体" w:cs="宋体"/>
          <w:color w:val="000000"/>
          <w:sz w:val="28"/>
        </w:rPr>
        <w:t>组织全局性思想政治工作。负责指导统筹全县社会宣传教育工作，协调开展形势政策教育、国防教育和重大典型宣传，指导推动爱国主义教育基地建设和管理，协调重大纪念活动的组织和宣传。5、指导协调全县各新闻单位工作，组织全县突发性公共事件应急新闻工作。6、拟订全县新闻出版业的管理政策并督促落实。管理新闻出版行政事务，组织协调有关行政审批工作，统筹规划和指导协调新闻出版事业、产业发展，监督管理出版物内容和质量，监督管理印刷业，管理著作权，管理出版物进出口等。7、统筹协调数字新媒体的建设和管理。8、统筹指导全县精神文化产品的创作、生产，协调组织中华优秀传统文化传承发展有关工作，指导协调群众文化体育建设和活动开展，指导协调全县文化旅游体育艺术事业发展。9、负责管理全县电影行政事务，指导监管电影发行、放映工作，组织对电影内容进行审查，指导协调全县性重大电影活动，组织开展电影交流与合作。10、对全县新闻出版、广播影视、文化艺术、旅游、体育业改革发展提出政策性建议，统筹指导协调文化体制改革和文化事业、文化产业及旅游业发展，指导协调国有文化资产监管工作。承担县文化体制改革发展领导小组办公室日常工作。11、统筹协调全县对外宣传工作，指导协调有关部门研究落实对外宣传工作重大方针政策和拟定对外宣传事业发展规划，指导协调对外宣传交流工作。12、统筹协调组织开展全县新闻发布工作，承担县委新闻发布有关组织协调工作，推动新闻发言人制度建设和实施。13、负责落实县精神文明建设指导委员会工作部署，拟订全县精神文明建设工作规划并组织实施。指导全县公民思想道德建设和市民素质教育等活动，组织、指导全县未成年人思想道德建设工作。指导全县开展群众性精神文明创建活动。负责全县志愿服务活动的总体规划和协调。14、完成县委、县政府交办的其他任务。机构设置：我部为行政单位，内设办公室、理论研究室、新闻外宣组、意识形态组、宣教文艺组、文明创建指导组、文产出版组、文明实践志愿服务中心，代管县文联</w:t>
      </w:r>
      <w:r>
        <w:rPr>
          <w:rFonts w:hint="eastAsia" w:ascii="宋体" w:hAnsi="宋体" w:eastAsia="宋体" w:cs="宋体"/>
          <w:color w:val="000000"/>
          <w:sz w:val="28"/>
          <w:lang w:eastAsia="zh-CN"/>
        </w:rPr>
        <w:t>（</w:t>
      </w:r>
      <w:r>
        <w:rPr>
          <w:rFonts w:ascii="宋体" w:hAnsi="宋体" w:eastAsia="宋体" w:cs="宋体"/>
          <w:color w:val="000000"/>
          <w:sz w:val="28"/>
        </w:rPr>
        <w:t>正科级）、县社科联（正科级）。</w:t>
      </w:r>
    </w:p>
    <w:p w14:paraId="62F16E30">
      <w:pPr>
        <w:pStyle w:val="2"/>
        <w:numPr>
          <w:ilvl w:val="0"/>
          <w:numId w:val="2"/>
        </w:numPr>
        <w:pBdr>
          <w:top w:val="none" w:color="auto" w:sz="0" w:space="0"/>
          <w:left w:val="none" w:color="auto" w:sz="0" w:space="0"/>
          <w:bottom w:val="none" w:color="auto" w:sz="0" w:space="0"/>
          <w:right w:val="none" w:color="auto" w:sz="0" w:space="0"/>
        </w:pBdr>
        <w:shd w:val="clear" w:color="auto" w:fill="auto"/>
        <w:spacing w:before="0" w:after="0" w:line="520" w:lineRule="atLeast"/>
        <w:ind w:left="0" w:leftChars="0" w:firstLine="560" w:firstLineChars="200"/>
        <w:jc w:val="both"/>
        <w:rPr>
          <w:rFonts w:hint="eastAsia" w:ascii="宋体" w:hAnsi="宋体" w:eastAsia="宋体" w:cs="宋体"/>
          <w:color w:val="000000"/>
          <w:sz w:val="28"/>
          <w:lang w:val="en-US" w:eastAsia="zh-CN"/>
        </w:rPr>
      </w:pPr>
      <w:r>
        <w:rPr>
          <w:rFonts w:ascii="宋体" w:hAnsi="宋体" w:eastAsia="宋体" w:cs="宋体"/>
          <w:color w:val="000000"/>
          <w:sz w:val="28"/>
        </w:rPr>
        <w:t>人员情况我部核定编制27个（宣传部行政编制10个，行政后勤编1个，文联参公全额事业编制4个、社科联参公全额事业编制5个，文明实践志愿服务中心全额事业编制7个），2022年年底我部有干部职工23人。</w:t>
      </w:r>
    </w:p>
    <w:p w14:paraId="36F13E85">
      <w:pPr>
        <w:pStyle w:val="2"/>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left="767" w:leftChars="0" w:firstLine="0" w:firstLineChars="0"/>
        <w:jc w:val="both"/>
        <w:outlineLvl w:val="1"/>
        <w:rPr>
          <w:rFonts w:ascii="宋体" w:hAnsi="宋体" w:eastAsia="宋体" w:cs="宋体"/>
          <w:color w:val="000000"/>
          <w:sz w:val="28"/>
        </w:rPr>
      </w:pPr>
      <w:r>
        <w:rPr>
          <w:rFonts w:hint="eastAsia" w:ascii="黑体" w:hAnsi="黑体" w:eastAsia="黑体" w:cs="黑体"/>
          <w:b/>
          <w:bCs/>
          <w:color w:val="000000"/>
          <w:sz w:val="28"/>
        </w:rPr>
        <w:t>部门整体支出管理及使用情况</w:t>
      </w:r>
    </w:p>
    <w:p w14:paraId="6F8E820C">
      <w:pPr>
        <w:pStyle w:val="2"/>
        <w:numPr>
          <w:ilvl w:val="0"/>
          <w:numId w:val="3"/>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ascii="宋体" w:hAnsi="宋体" w:eastAsia="宋体" w:cs="宋体"/>
          <w:color w:val="000000"/>
          <w:sz w:val="28"/>
        </w:rPr>
      </w:pPr>
      <w:r>
        <w:rPr>
          <w:rFonts w:ascii="宋体" w:hAnsi="宋体" w:eastAsia="宋体" w:cs="宋体"/>
          <w:color w:val="000000"/>
          <w:sz w:val="28"/>
        </w:rPr>
        <w:t>基本支出2022年我部基本支出年初预算数329.44万元，决算数389.35万元；“三公”经费年初预算数4.4万元，决算数为2.25万元，其中公务用车运行维护费0.96万元，公务接待费1.</w:t>
      </w:r>
      <w:r>
        <w:rPr>
          <w:rFonts w:hint="eastAsia" w:ascii="宋体" w:hAnsi="宋体" w:eastAsia="宋体" w:cs="宋体"/>
          <w:color w:val="000000"/>
          <w:sz w:val="28"/>
          <w:lang w:val="en-US" w:eastAsia="zh-CN"/>
        </w:rPr>
        <w:t>29</w:t>
      </w:r>
      <w:r>
        <w:rPr>
          <w:rFonts w:ascii="宋体" w:hAnsi="宋体" w:eastAsia="宋体" w:cs="宋体"/>
          <w:color w:val="000000"/>
          <w:sz w:val="28"/>
        </w:rPr>
        <w:t>万元，均控制在年初预算范围内。</w:t>
      </w:r>
    </w:p>
    <w:p w14:paraId="6181E819">
      <w:pPr>
        <w:pStyle w:val="2"/>
        <w:numPr>
          <w:ilvl w:val="0"/>
          <w:numId w:val="3"/>
        </w:numPr>
        <w:pBdr>
          <w:top w:val="none" w:color="auto" w:sz="0" w:space="0"/>
          <w:left w:val="none" w:color="auto" w:sz="0" w:space="0"/>
          <w:bottom w:val="none" w:color="auto" w:sz="0" w:space="0"/>
          <w:right w:val="none" w:color="auto" w:sz="0" w:space="0"/>
        </w:pBdr>
        <w:shd w:val="clear" w:color="auto" w:fill="auto"/>
        <w:spacing w:before="0" w:after="0" w:line="520" w:lineRule="atLeast"/>
        <w:ind w:left="0" w:leftChars="0" w:firstLine="560" w:firstLineChars="200"/>
        <w:jc w:val="both"/>
        <w:rPr>
          <w:rFonts w:ascii="宋体" w:hAnsi="宋体" w:eastAsia="宋体" w:cs="宋体"/>
          <w:color w:val="000000"/>
          <w:sz w:val="28"/>
        </w:rPr>
      </w:pPr>
      <w:r>
        <w:rPr>
          <w:rFonts w:ascii="宋体" w:hAnsi="宋体" w:eastAsia="宋体" w:cs="宋体"/>
          <w:color w:val="000000"/>
          <w:sz w:val="28"/>
        </w:rPr>
        <w:t>项目支出2022年我部项目支出年初预算数69.2万元，决算数179.1万元。我部专项资金来源主要是年初财政预算安排及年中根据工作要求安排的追加资金。2022年县委宣传部所有项目目标设定依据充分、明确、合理，项目建设符合相关规定。年初都制定了相关方案措施，并严格按照方案、措施执行开展工作。各项目实施过程中，严格按规定及制度进行管理，年中各项目支出按批准的预算执行，无虚列项目支出、截留、挤占、挪用项目资金和超标准开支情况。</w:t>
      </w:r>
    </w:p>
    <w:p w14:paraId="29BFF76B">
      <w:pPr>
        <w:pStyle w:val="2"/>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left="767" w:leftChars="0" w:firstLine="0" w:firstLineChars="0"/>
        <w:jc w:val="both"/>
        <w:outlineLvl w:val="1"/>
        <w:rPr>
          <w:rFonts w:hint="eastAsia" w:ascii="黑体" w:hAnsi="黑体" w:eastAsia="黑体" w:cs="黑体"/>
          <w:b/>
          <w:bCs/>
          <w:color w:val="000000"/>
          <w:sz w:val="28"/>
        </w:rPr>
      </w:pPr>
      <w:r>
        <w:rPr>
          <w:rFonts w:hint="eastAsia" w:ascii="黑体" w:hAnsi="黑体" w:eastAsia="黑体" w:cs="黑体"/>
          <w:b/>
          <w:bCs/>
          <w:color w:val="000000"/>
          <w:sz w:val="28"/>
        </w:rPr>
        <w:t>部门整体支出绩效情况</w:t>
      </w:r>
    </w:p>
    <w:p w14:paraId="6B184A55">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ascii="宋体" w:hAnsi="宋体" w:eastAsia="宋体" w:cs="宋体"/>
          <w:color w:val="000000"/>
          <w:sz w:val="28"/>
        </w:rPr>
      </w:pPr>
      <w:r>
        <w:rPr>
          <w:rFonts w:hint="eastAsia" w:ascii="宋体" w:hAnsi="宋体" w:eastAsia="宋体" w:cs="宋体"/>
          <w:color w:val="000000"/>
          <w:sz w:val="28"/>
          <w:lang w:val="en-US" w:eastAsia="zh-CN"/>
        </w:rPr>
        <w:t>1.</w:t>
      </w:r>
      <w:r>
        <w:rPr>
          <w:rFonts w:ascii="宋体" w:hAnsi="宋体" w:eastAsia="宋体" w:cs="宋体"/>
          <w:color w:val="000000"/>
          <w:sz w:val="28"/>
        </w:rPr>
        <w:t>党的二十大精神宣传宣讲实现全覆盖。党的二十大会议召开后，全县各级党委（党组）第一时间组织传达学习、研讨交流，主要领导带头开展宣讲，县委书记张家铣带头到乡镇、企业、学校等地开展宣讲，县委宣讲团的其他成员也分别到联系的乡镇、企业和学校开展集中宣讲，截至12月底，已开展集中宣讲81场，党的二十大报告精神集中宣讲任务全面完成；通过线上线下融合模式开展微宣讲1000余场，推动党的二十大精神走进千家万户，在百年老藤下组织开展学习交流会的做法在湖南日报予以刊发。《习近平谈治国理政》第四卷、《让群众过上好日子—习近平正定足迹》四部图书、《党的二十大报告读本》等书籍征订完成率均为100%。</w:t>
      </w:r>
    </w:p>
    <w:p w14:paraId="1CBA1DC6">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ascii="宋体" w:hAnsi="宋体" w:eastAsia="宋体" w:cs="宋体"/>
          <w:color w:val="000000"/>
          <w:sz w:val="28"/>
        </w:rPr>
      </w:pPr>
      <w:r>
        <w:rPr>
          <w:rFonts w:ascii="宋体" w:hAnsi="宋体" w:eastAsia="宋体" w:cs="宋体"/>
          <w:color w:val="000000"/>
          <w:sz w:val="28"/>
        </w:rPr>
        <w:t>2.新闻舆论宣传实现新突破。全年在中央、省、市发表各类新闻稿件1240篇，其中在中央媒体上稿19条。家铣书记的署名文章《用心用情做好“送上来的群众工作”》在</w:t>
      </w:r>
      <w:r>
        <w:rPr>
          <w:rFonts w:hint="eastAsia" w:ascii="宋体" w:hAnsi="宋体" w:eastAsia="宋体" w:cs="宋体"/>
          <w:color w:val="000000"/>
          <w:sz w:val="28"/>
          <w:lang w:eastAsia="zh-CN"/>
        </w:rPr>
        <w:t>《人民日报》</w:t>
      </w:r>
      <w:r>
        <w:rPr>
          <w:rFonts w:ascii="宋体" w:hAnsi="宋体" w:eastAsia="宋体" w:cs="宋体"/>
          <w:color w:val="000000"/>
          <w:sz w:val="28"/>
        </w:rPr>
        <w:t>刊发；《湖南怀化：刺葡萄成熟“黑珍珠”缀满枝头》在CCTV13新闻直播间栏目播出，《湖南中方：水稻制种产业为乡村振兴播下“致富种”》在</w:t>
      </w:r>
      <w:r>
        <w:rPr>
          <w:rFonts w:hint="eastAsia" w:ascii="宋体" w:hAnsi="宋体" w:eastAsia="宋体" w:cs="宋体"/>
          <w:color w:val="000000"/>
          <w:sz w:val="28"/>
          <w:lang w:eastAsia="zh-CN"/>
        </w:rPr>
        <w:t>《光明日报》</w:t>
      </w:r>
      <w:r>
        <w:rPr>
          <w:rFonts w:ascii="宋体" w:hAnsi="宋体" w:eastAsia="宋体" w:cs="宋体"/>
          <w:color w:val="000000"/>
          <w:sz w:val="28"/>
        </w:rPr>
        <w:t>刊发等等，特别是9月17日央视视频“看见锦绣山河”走进中方，作为中部地区唯一直播点，对桐木刺葡萄丰收画卷进行了长达25分钟的现场连线全网直播，实现历史性突破。2023年度报刊发行任务在2022年12月23日圆满完成。</w:t>
      </w:r>
    </w:p>
    <w:p w14:paraId="77FA4CDB">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lang w:eastAsia="zh-CN"/>
        </w:rPr>
      </w:pPr>
      <w:r>
        <w:rPr>
          <w:rFonts w:ascii="宋体" w:hAnsi="宋体" w:eastAsia="宋体" w:cs="宋体"/>
          <w:color w:val="000000"/>
          <w:sz w:val="28"/>
        </w:rPr>
        <w:t>3.精神文明创建呈现新亮点。持续推进文明创建工作，文明城市创建测评成绩排名较上年度前进了10位，创建成果得到进一步巩固，县委宣传部获评“省级文明单位”。积极开展中方县第七届“感动中方”道德模范评选活动，社会主义文明新风尚蔚然成风；作为全市新时代文明实践中心试点县，全力打造了全新的县新时代文明实践中心阵地，并对全县159个文明实践所、站全面提档升级，省委宣传部文明一处到我县调研新时代文明实践中心建设时给予了充分肯定。志愿服务活动蓬勃开展，吸纳志愿者达2.5万人，全年开展志愿服务10.5万人次，特别是在新冠疫情防控中发挥了积极作用；打造的“你是阳光—关爱山区留守老人及儿童”“护蕾成长—关爱留守女童”等特色志愿服务品牌受到社会各界的普遍欢迎和称赞。</w:t>
      </w:r>
    </w:p>
    <w:p w14:paraId="6192AC31">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lang w:eastAsia="zh-CN"/>
        </w:rPr>
      </w:pPr>
      <w:r>
        <w:rPr>
          <w:rFonts w:ascii="宋体" w:hAnsi="宋体" w:eastAsia="宋体" w:cs="宋体"/>
          <w:color w:val="000000"/>
          <w:sz w:val="28"/>
        </w:rPr>
        <w:t>4.文旅产业发展迎来新局面。完成了县“三馆一宫一中心”装修并投入使用，成功举办了2022</w:t>
      </w:r>
      <w:r>
        <w:rPr>
          <w:rFonts w:hint="eastAsia" w:ascii="宋体" w:hAnsi="宋体" w:eastAsia="宋体" w:cs="宋体"/>
          <w:color w:val="000000"/>
          <w:sz w:val="28"/>
          <w:lang w:val="en-US" w:eastAsia="zh-CN"/>
        </w:rPr>
        <w:t>年</w:t>
      </w:r>
      <w:r>
        <w:rPr>
          <w:rFonts w:ascii="宋体" w:hAnsi="宋体" w:eastAsia="宋体" w:cs="宋体"/>
          <w:color w:val="000000"/>
          <w:sz w:val="28"/>
        </w:rPr>
        <w:t>中方县刺葡萄文化旅游节暨农民丰收节，发布了鹤中一体化旅游精品线路，签约文旅项目9个，投资额近30亿元，通过节会搭台、经济唱戏，促进</w:t>
      </w:r>
      <w:r>
        <w:rPr>
          <w:rFonts w:hint="eastAsia" w:ascii="宋体" w:hAnsi="宋体" w:eastAsia="宋体" w:cs="宋体"/>
          <w:color w:val="000000"/>
          <w:sz w:val="28"/>
          <w:lang w:eastAsia="zh-CN"/>
        </w:rPr>
        <w:t>一、二、三产业</w:t>
      </w:r>
      <w:r>
        <w:rPr>
          <w:rFonts w:ascii="宋体" w:hAnsi="宋体" w:eastAsia="宋体" w:cs="宋体"/>
          <w:color w:val="000000"/>
          <w:sz w:val="28"/>
        </w:rPr>
        <w:t>高度融合发展，推进乡村振兴产业发展。</w:t>
      </w:r>
    </w:p>
    <w:p w14:paraId="65F99CCF">
      <w:pPr>
        <w:pStyle w:val="2"/>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left="767" w:leftChars="0" w:firstLine="0" w:firstLineChars="0"/>
        <w:jc w:val="both"/>
        <w:outlineLvl w:val="1"/>
        <w:rPr>
          <w:rFonts w:hint="eastAsia" w:ascii="黑体" w:hAnsi="黑体" w:eastAsia="黑体" w:cs="黑体"/>
          <w:b/>
          <w:bCs/>
          <w:color w:val="000000"/>
          <w:sz w:val="28"/>
        </w:rPr>
      </w:pPr>
      <w:r>
        <w:rPr>
          <w:rFonts w:hint="eastAsia" w:ascii="黑体" w:hAnsi="黑体" w:eastAsia="黑体" w:cs="黑体"/>
          <w:b/>
          <w:bCs/>
          <w:color w:val="000000"/>
          <w:sz w:val="28"/>
        </w:rPr>
        <w:t>存在的主要问题及下一步改进措施</w:t>
      </w:r>
    </w:p>
    <w:p w14:paraId="5FD3EC27">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ascii="宋体" w:hAnsi="宋体" w:eastAsia="宋体" w:cs="宋体"/>
          <w:color w:val="000000"/>
          <w:sz w:val="28"/>
        </w:rPr>
      </w:pPr>
      <w:r>
        <w:rPr>
          <w:rFonts w:hint="eastAsia" w:ascii="宋体" w:hAnsi="宋体" w:eastAsia="宋体" w:cs="宋体"/>
          <w:color w:val="000000"/>
          <w:sz w:val="28"/>
          <w:lang w:eastAsia="zh-CN"/>
        </w:rPr>
        <w:t>现在</w:t>
      </w:r>
      <w:r>
        <w:rPr>
          <w:rFonts w:ascii="宋体" w:hAnsi="宋体" w:eastAsia="宋体" w:cs="宋体"/>
          <w:color w:val="000000"/>
          <w:sz w:val="28"/>
        </w:rPr>
        <w:t>财务工作对财务人员的要求越来越高，越来越专业化，财务人员需不断加强业务学习，建议财政加强财务人员业务培训。</w:t>
      </w:r>
    </w:p>
    <w:p w14:paraId="5CC14FB2">
      <w:pPr>
        <w:pStyle w:val="2"/>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left="767" w:leftChars="0" w:firstLine="0" w:firstLineChars="0"/>
        <w:jc w:val="both"/>
        <w:outlineLvl w:val="1"/>
        <w:rPr>
          <w:rFonts w:hint="eastAsia" w:ascii="黑体" w:hAnsi="黑体" w:eastAsia="黑体" w:cs="黑体"/>
          <w:b/>
          <w:bCs/>
          <w:color w:val="000000"/>
          <w:sz w:val="28"/>
        </w:rPr>
      </w:pPr>
      <w:r>
        <w:rPr>
          <w:rFonts w:hint="eastAsia" w:ascii="黑体" w:hAnsi="黑体" w:eastAsia="黑体" w:cs="黑体"/>
          <w:b/>
          <w:bCs/>
          <w:color w:val="000000"/>
          <w:sz w:val="28"/>
        </w:rPr>
        <w:t>绩效自评结果拟应用和公开情况</w:t>
      </w:r>
    </w:p>
    <w:p w14:paraId="44733F1E">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lang w:eastAsia="zh-CN"/>
        </w:rPr>
      </w:pPr>
      <w:r>
        <w:rPr>
          <w:rFonts w:ascii="宋体" w:hAnsi="宋体" w:eastAsia="宋体" w:cs="宋体"/>
          <w:color w:val="000000"/>
          <w:sz w:val="28"/>
        </w:rPr>
        <w:t>根据县财政相关部门统一部署，我单位2022年部门整体支出绩效自评情况将在中方县政府门户网站公开，接受社会监督。对绩效自评工作中发现的问题及时整改，解决好绩效评价管理中存在的问题，提高工作效能。根据部门整体支出绩效评价指标评分标准，2022年我单位部门整体绩效评价自评分为95分。</w:t>
      </w:r>
    </w:p>
    <w:p w14:paraId="38399870">
      <w:pPr>
        <w:pStyle w:val="2"/>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left="767" w:leftChars="0" w:firstLine="0" w:firstLineChars="0"/>
        <w:jc w:val="both"/>
        <w:outlineLvl w:val="1"/>
        <w:rPr>
          <w:rFonts w:ascii="宋体" w:hAnsi="宋体" w:eastAsia="宋体" w:cs="宋体"/>
          <w:color w:val="000000"/>
          <w:sz w:val="28"/>
        </w:rPr>
      </w:pPr>
      <w:r>
        <w:rPr>
          <w:rFonts w:ascii="宋体" w:hAnsi="宋体" w:eastAsia="宋体" w:cs="宋体"/>
          <w:b/>
          <w:bCs/>
          <w:color w:val="000000"/>
          <w:sz w:val="28"/>
        </w:rPr>
        <w:t>其他需要说明的情况</w:t>
      </w:r>
    </w:p>
    <w:p w14:paraId="464EF5FC">
      <w:pPr>
        <w:pStyle w:val="2"/>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vanish w:val="0"/>
          <w:sz w:val="24"/>
          <w:lang w:eastAsia="zh-CN"/>
        </w:rPr>
      </w:pPr>
      <w:r>
        <w:rPr>
          <w:rFonts w:ascii="宋体" w:hAnsi="宋体" w:eastAsia="宋体" w:cs="宋体"/>
          <w:color w:val="000000"/>
          <w:sz w:val="28"/>
        </w:rPr>
        <w:t>附件：部门整体支出绩效评价指标体系评分表附件2：部门整体支出绩效评价指标体系评分表一级指标二级指标三级指标评分标准得分指标名称指标解释说明投入（15分）投入（15分）目标设定（5分）职责明确（1分）部门的职责设定是否符合“三定”方案中所赋予的职责和年度承担的重点工作，用以反映和评价部门工作的目的性与计划性。符合（1分）；不符合（0分）。1活动合规性（1分）部门的活动是否在职责范围之内并符合部门中长期规划，用以反映和评价部门活动目标与部门履职、年度工作任务的相符性情况。评价要点：1.部门活动的设定在部门所确定的职责范围之内；2.部门活动符合市委、市政府的发展规划及本部门的年度工作安排与发展规划。全部符合（1分）；其中一项不符合（0分）。1活动合理性（1分）部门所设立的活动是否明确合理、活动的关键性指标设置是否可衡量，用以反映和评价部门活动目标设定的合理性。评价要点：1.活动目标的设定是可量化的，可通过清晰、可衡量的关键指标值予以体现；2.在活动目标设定时，将关键指标明细分解为具体的达成目标与工作任务。全部符合（1分）；其中一项不符合（0分）。1目标覆盖率（1分）部门年度申报绩效目标项目资金额与部门项目预算资金总额的比率，用以反映部门落实财政部门绩效目标申报要求的资金覆盖情况。覆盖率=实际申报绩效目标项目资金总额/部门项目预算资金总额×100%达到目标值得1分，未达到目标值采用完成比率法计分：得分=覆盖率/目标值×1，超过目标值不加分。1目标管理创新（1分）部门编报整体绩效目标和申报项目绩效目标的数量超过规定的要求。用以反映和考核部门绩效目标管理创新工作情况。项目绩效目标创新=部门绩效目标编报数量-按财政部门要求的绩效目标填报数量每超过1项得0.1分，满分1分。1预算配置</w:t>
      </w:r>
      <w:r>
        <w:rPr>
          <w:rFonts w:hint="eastAsia" w:ascii="宋体" w:hAnsi="宋体" w:eastAsia="宋体" w:cs="宋体"/>
          <w:color w:val="000000"/>
          <w:sz w:val="28"/>
          <w:lang w:eastAsia="zh-CN"/>
        </w:rPr>
        <w:t>（</w:t>
      </w:r>
      <w:r>
        <w:rPr>
          <w:rFonts w:ascii="宋体" w:hAnsi="宋体" w:eastAsia="宋体" w:cs="宋体"/>
          <w:color w:val="000000"/>
          <w:sz w:val="28"/>
        </w:rPr>
        <w:t>10分)财政供养人员控制率（3分）部门本年度实际在职人员数与编制数的比率，用以反映和评价部门对人员成本的控制程度。在职人员控制率=（在职人员数/编制数）×100%。在职人员数：部门实际在职人数，以财政部确定的部门决算编制口径为准，由编制部门和人劳部门批复同意的临聘人员除外。编制数：机构编制部门核定批复的部门人员编制数。目标值≤100%；达到目标值得3分，每超出1人扣0.1分，扣完为止。3“三公经费”变动率（4分）部门本年度“三公经费”预算数与上年度“三公经费”预算数的变动比率，用以反映和考核部门对控制重点行政成本的努力程度。“三公经费”变动率=〔（本年度“三公经费”总额-上年度“三公经费”总额）/上年度“三公经费”总额〕×100%“三公经费”：年度预算安排的因公出国（境）费、公务车辆购置及运行费和公务招待费。目标值≤0；达到目标值得4分，未达到目标值的采用比率扣分法：扣分值=“三公经费”变动率×4×10，变动率达10%以上的扣4分。4重点支出安排率（3分）部门（单位）本年度预算安排的重点项目支出与部门项目总支出的比率，用以反映和考核部门（单位）对履行主要职责或完成重点任务的保障程度。重点支出安排率=（重点项目支出/项目总支出）×100%。重点项目支出：部门（单位）年度预算安排的，与本部门履职和发展密切相关、具有明显社会和经济影响、党委政府关心或社会比较关注的项目支出总额。具体由被评价部门提出后经对口部门预算管理处审核确定。项目总支出：部门（单位）年度预算安排的项目支出总额。目标值≥70%；以3分为上限，采用完成比率法计分：得分=重点支出安排率/70%×100%×3，超出目标值不加分。3过程</w:t>
      </w:r>
      <w:r>
        <w:rPr>
          <w:rFonts w:hint="eastAsia" w:ascii="宋体" w:hAnsi="宋体" w:eastAsia="宋体" w:cs="宋体"/>
          <w:color w:val="000000"/>
          <w:sz w:val="28"/>
          <w:lang w:eastAsia="zh-CN"/>
        </w:rPr>
        <w:t>（</w:t>
      </w:r>
      <w:r>
        <w:rPr>
          <w:rFonts w:ascii="宋体" w:hAnsi="宋体" w:eastAsia="宋体" w:cs="宋体"/>
          <w:color w:val="000000"/>
          <w:sz w:val="28"/>
        </w:rPr>
        <w:t>55分)过程</w:t>
      </w:r>
      <w:r>
        <w:rPr>
          <w:rFonts w:hint="eastAsia" w:ascii="宋体" w:hAnsi="宋体" w:eastAsia="宋体" w:cs="宋体"/>
          <w:color w:val="000000"/>
          <w:sz w:val="28"/>
          <w:lang w:eastAsia="zh-CN"/>
        </w:rPr>
        <w:t>（</w:t>
      </w:r>
      <w:r>
        <w:rPr>
          <w:rFonts w:ascii="宋体" w:hAnsi="宋体" w:eastAsia="宋体" w:cs="宋体"/>
          <w:color w:val="000000"/>
          <w:sz w:val="28"/>
        </w:rPr>
        <w:t>55分)过程</w:t>
      </w:r>
      <w:r>
        <w:rPr>
          <w:rFonts w:hint="eastAsia" w:ascii="宋体" w:hAnsi="宋体" w:eastAsia="宋体" w:cs="宋体"/>
          <w:color w:val="000000"/>
          <w:sz w:val="28"/>
          <w:lang w:eastAsia="zh-CN"/>
        </w:rPr>
        <w:t>（</w:t>
      </w:r>
      <w:r>
        <w:rPr>
          <w:rFonts w:ascii="宋体" w:hAnsi="宋体" w:eastAsia="宋体" w:cs="宋体"/>
          <w:color w:val="000000"/>
          <w:sz w:val="28"/>
        </w:rPr>
        <w:t>55分)过程</w:t>
      </w:r>
      <w:r>
        <w:rPr>
          <w:rFonts w:hint="eastAsia" w:ascii="宋体" w:hAnsi="宋体" w:eastAsia="宋体" w:cs="宋体"/>
          <w:color w:val="000000"/>
          <w:sz w:val="28"/>
          <w:lang w:eastAsia="zh-CN"/>
        </w:rPr>
        <w:t>（</w:t>
      </w:r>
      <w:r>
        <w:rPr>
          <w:rFonts w:ascii="宋体" w:hAnsi="宋体" w:eastAsia="宋体" w:cs="宋体"/>
          <w:color w:val="000000"/>
          <w:sz w:val="28"/>
        </w:rPr>
        <w:t>55分)预算执行</w:t>
      </w:r>
      <w:r>
        <w:rPr>
          <w:rFonts w:hint="eastAsia" w:ascii="宋体" w:hAnsi="宋体" w:eastAsia="宋体" w:cs="宋体"/>
          <w:color w:val="000000"/>
          <w:sz w:val="28"/>
          <w:lang w:eastAsia="zh-CN"/>
        </w:rPr>
        <w:t>（</w:t>
      </w:r>
      <w:r>
        <w:rPr>
          <w:rFonts w:ascii="宋体" w:hAnsi="宋体" w:eastAsia="宋体" w:cs="宋体"/>
          <w:color w:val="000000"/>
          <w:sz w:val="28"/>
        </w:rPr>
        <w:t>27分)预算完成率（3分）通过对部门本年度预算完成数与预算数的比较，反映和评价部门预算的完成程度。预算完成率=（预算完成数/预算数）×100%。目标值≥100%；达到目标值的得3分；100%＞结果≥90%，得3分；90%＞结果≥80%，得1分；结果＜80%得0分。3预算调整率（3分）部门本年度预算调整数与预算数的比率，用以反映和评价部门预算的调整程度。预算调整率=（预算调整数/预算数）×100%。目标值为10%；达到目标值得3分，未达到目标值的每增加0.1个百分点扣0.1分，扣完为止。2支付进度率（6分）部门年度支付数与年度预算（调整）数的比率，用以反映和评价部门预算执行的及时和均衡程度。半年支付进度=部门上半年实际支出÷（上年结余结转+本年部门预算安排+上半年执行中追加追减）×100%全年支付进度=部门全年实际支出÷（上年结余结转+本年部门预算安排+全年执行中追加追减）×100%半年进度：结果≥50%，得2分；50%＞结果≥40%，得1分；结果＜40%，得0分。全年进度：结果≥100%，得4分；100%＞结果≥95%，得3分；95%＞结果≥90%，得2分；90%＞结果≥85%，得2分；结果＜85%，得0分。5结转结余率（3分）通过对部门本年度结转结余总额与支出预算数的比较，反映和评价部门对本年度结转结余资金的实际控制程度。结转结余率=（结转结余总额/支出预算数）×100%。目标值为0；达到目标值得3分，未达到目标值的每增加0.1个百分点扣0.1分，扣完为止。3结转结余变动率</w:t>
      </w:r>
      <w:r>
        <w:rPr>
          <w:rFonts w:hint="eastAsia" w:ascii="宋体" w:hAnsi="宋体" w:eastAsia="宋体" w:cs="宋体"/>
          <w:color w:val="000000"/>
          <w:sz w:val="28"/>
          <w:lang w:eastAsia="zh-CN"/>
        </w:rPr>
        <w:t>（</w:t>
      </w:r>
      <w:r>
        <w:rPr>
          <w:rFonts w:ascii="宋体" w:hAnsi="宋体" w:eastAsia="宋体" w:cs="宋体"/>
          <w:color w:val="000000"/>
          <w:sz w:val="28"/>
        </w:rPr>
        <w:t>3分）部门本年度结转结余资金总额与上年度结转结余资金总额的变动比率，用以反映和考核部门对控制结转结余资金的努力程度。结转结余变动率=〔（本年度累计结转结余资金总额-上年度累计结转结余资金总额）/上年度累计结转结余资金总额〕×100%。目标值为≤0%；达到目标值得3分，未达到目标值的采用比率扣分法：扣分值=结转结余变动率×2×10，变动率达10%以上的扣2分。3公用经费控制率（3分）通过对部门本年度实际支出的公用经费总额与预算安排的公用经费总额的比率，反映和评价部门对机构运转成本的实际控制程度。公用经费控制率=（实际支出公用经费总额/预算安排公用经费总额）×100%。目标值为≤100%；达到目标值得3分，未达到目标值的每增加0.1个百分点扣0.1分，扣完为止。2“三公经费”控制率（3分）部门（单位）本年度“三公经费”实际支出数与预算安排数的比率，用以反映和考核部门（单位）对“三公经费”的实际控制程度。“三公经费”控制率=（“三公经费”实际支出/“三公经费”预算安排数）×100%目标值为≤100%；达到目标值得3分，未达到目标值的每增加0.1个百分点扣0.1分，扣完为止。3政府采购执行率（3分）通过对部门本年度实际政府采购预算项目个数与政府采购预算项目个数的比较，反映和评价部门政府采购预算执行情况。政府采购执行率=（实际政府采购预算项目个数/政府采购预算项目个数）×100%。政府采购项目中非预算内安排的项目除外。目标值为100%；以3分为上限，采用完成比率法计分：得分=政府采购执行率×3。3预算管理（18分）管理制度健全性（2分）部门为加强预算管理，规范财务行为而制定的管理制度是否健全完整，用以反映和考核部门预算管理制度对完成主要职责或促进事业发展的保障情况。评价要点：1．是否已制定或具有预算资金管理办法、内部财务管理制度、会计核算制度等管理制度；2.相关管理制度是否合法、合规、完整；3.相关管理制度是否得到有效执行。全部符合（2分）；符合其中两项（1分）符合其中一项及以下（0分）。2资金使用合规性（9分）部门使用预算资金是否符合相关的预算财务管理制度的规定，反映和评价部门预算资金的规范运行情况。评价要点：1.符合国家财经法规和财务管理制度规定以及有关部门资金管理办法的规定；2.资金的拨付有完整的审批过程和手续；3.项目的重大开支经过评估论证；4.符合部门预算批复的用途；5.不存在截留情况；6.不存在挤占情况；7.不存在挪用情况；8.不存在虚列支出情况。全部符合（9分）；符合其中七项（8分）；符合其中六项（5分）；符合其中五项（3分）；符合其中四项及以下（0分）。9预决算信息公开性（3分）部门是否按照政府信息公开有关规定公开相关预决算信息，用以反映和评价部门预决算管理的公开透明情况。预决算信息是指与部门预算、执行、决算、监督、绩效等管理相关的信息。评价要点：1.公开预决算信息；2.按规定内容公开预决算信息；3.按规定时限公开预决算信息。全部符合（3分）；符合其中两项（2分）符合其中一项及以下（0分）。3基础信息完善性（4分）部门基础信息是否完善，用以反映和评价基础信息对预算管理工作的支撑情况。评价要点：1.基本财务管理制度健全；2.基础数据信息和会计信息资料真实；3.基础数据信息和会计信息资料完整；4.基础数据信息和会计信息资料准确。符合全部四项（4分）；符合其中三项（2分）；符合其中两项（1分）；符合其中一项及以下（0分）。4资产管理（8分）管理制度健全性（2分）部门为加强资产管理、规范资产管理行为而制定的管理制度是否健全完整，用以反映和考核部门资产管理制度对完成主要职责或促进社会发展的保障情况。评价要点：1.是否已制定或具有资产管理制度；2.相关资金管理制度是否合法、合规、完整；3.相关资产管理制度是否得到有效执行。全部符合（2分）；符合其中两项（1分）符合其中一项及以下（0分）。2资产管理完全性（3分）部门的资产是否保存完整、使用合规、收入及时足额上缴，用以反映和评价部门资产运行情况。评价要点：1.资产保存完整；2.资产账务管理是否合规，帐实相符；3.资产有偿使用及处置收入及时足额上缴。符合全部三项（3分）；符合其中两项（2分）；符合其中一项（1分）；符合零项（0分）。2固定资产利用率（3分）部门实际在用固定资产总额与所有固定资产总额的比率，用以反映和评价部门固定资产使用效率。固定资产利用率=（实际在用固定资产总额/所有固定资产总额）×100%。目标值为80%；以3分为上限，采用完成比率法计分：得分=固定资产利用率/80%×100%×3，超出目标值不加分。2预算绩效监控管理（2分）监控率（2分）部门（单位）纳入绩效监控的项目数量占实际申报绩效目标项目数量的比重，用以反映和考核部门（单位）在项目运行中实施绩效管理的水平和程度。监控率=实施绩效监控项目数/实际申报绩效目标项目数×100%目标值为90%；以2分为上限，采用完成比率法计分：得分=监控率×2，超出目标值不加分。2产出(15分)产出(15分)职责履行（15分）项目实际完成率（4分）部门履行职责而实际完成的项目数与计划完成的项目数的比率，用以反映和评价部门履职任务目标的实现程度。项目实际完成率=（实际完成项目数/计划完成项目数）×100%。目标值为100%；达到目标值得4分；100%＞结果≥95%，得3分；95%＞结果≥90%，得2分；90%＞结果≥85%，得1分；结果＜85%得0分。4项目质量达标率（4分）部门已完成项目中质量达标项目个数占已完成项目个数的比率,用以反映和评价部门履职质量目标的实现程度。项目质量达标率=（已完成项目中质量达标项目个数/已完成项目个数）×100%。项目质量达标是指项目决算验收合格。目标值100%；以4分为上限，采用完成比率法计分：得分=项目质量达标率×4，≤95%的扣4分。4重点工作办结率（4分）部门年度重点工作实际完成数与交办或下达数的比率，用以反映部门对重点工作的办理落实程度。重点工作办结率=（重点工作实际完成数/交办或下达数）×100%。重点工作是指党委、政府、人大、相关部门交办或下达的工作任务。目标值100%；以4分为上限，采用完成比率法计分：得分=重点工作办结率×4，≤90%的扣4分。4部门绩效自评项目占比率（3分）部门自评项目在所有项目中所占的份额，反映和评价部门对项目自评的重视程度。占比率=(自评项目资金量/项目支出资金量)×100%。部门支出项目绩效自评范围：本年度列入本级财政预算安排的项目。达到目标值得3分，未达到目标值采用完成比率法计分：得分=占比率/目标值×3，超过目标值不加分。3效果（15）效果（15）监督发现问题（2分）违规率（2分）部门存在违规问题的资金数量占部门预算支出资金总额的比重，用以反映和考核部门预算资金管理使用的合法、合规情况。违规率=存在违规问题的资金额/部门预算支出资金总额×100%目标值0，达到目标值得2分，未达到目标值的每增加0.1个百分点扣0.1分2工作成效（5）部门预算绩效管理考核评价（5）财政部门对部门开展预算绩效管理工作的评价结果，用以反映部门对预算绩效管理工作的重视程度和取得的成效。1.财政部门对部门绩效管理工作开展情况进行核查评价，包括绩效目标管理、绩效执行监控、绩效自评和评价结果应用等情况，按百分制。2.以部门为单位进行综合计算，得出各部门绩效管理工作评价结果。综合得分=（部门绩效管理工作评价结果/100）*5分5评价结果应用（2分）应用率（2分）部门应用绩效评价结果的项目数占绩效评价项目数的比重，用以反映和考核部门绩效评价结果的利用水平和程度。应用率=应用绩效评价结果的项目数量/部门实施绩效评价项目数量×100%。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目标值为100%；以2分为上限，采用完成比率法计分：得分=应用率×2，超出目标值不加分。2结果应用创新（1分）结果应用创新（1分）部门将绩效结果主动对外公开、预算绩效管理工作开展情况向同级政府、人大等部门报告，用以反映和考核部门在结果应用方面的创新情况。评价要点：1.部门是否按要求对社会公开绩效评价结果。2.部门是否将预算绩效管理工作开展情况向同级政府、人大等部门报告。全部符合（1分）；符合其中两项（0.5分）符合其中一项及以下（0分）。1社会效益（5分）社会公众满意度（5分）通过问卷调查了解社会公众对部门履职效果、解决民众关心的热点问题、厉行节约等方面的满意程度，反映和评价部门支出所带来的社会效益。按照满意度调查的优秀、良好、合格、不合格给予该项指标打分：优秀（5分）；良好（3分）；合格（1分）；不合格（0分）。5小计10095评价结果☑优秀90分≤得分≤100分；□良好80分≤得分≤89分；□中60分≤得分≤79分；□较差0≤得分≤59分</w:t>
      </w:r>
    </w:p>
    <w:p w14:paraId="5742EF34">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44CA15E0">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5A6CDB8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52E05CDD">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p>
    <w:p w14:paraId="1A71006A">
      <w:pPr>
        <w:pStyle w:val="2"/>
        <w:pBdr>
          <w:top w:val="none" w:color="auto" w:sz="0" w:space="0"/>
          <w:left w:val="none" w:color="auto" w:sz="0" w:space="0"/>
          <w:bottom w:val="none" w:color="auto" w:sz="0" w:space="0"/>
          <w:right w:val="none" w:color="auto" w:sz="0" w:space="0"/>
        </w:pBdr>
        <w:shd w:val="clear" w:color="auto" w:fill="auto"/>
        <w:spacing w:before="0" w:after="0" w:line="520" w:lineRule="atLeast"/>
        <w:jc w:val="both"/>
        <w:rPr>
          <w:rFonts w:ascii="宋体" w:hAnsi="宋体" w:eastAsia="宋体" w:cs="宋体"/>
          <w:vanish w:val="0"/>
          <w:sz w:val="24"/>
        </w:rPr>
      </w:pP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8DB2F"/>
    <w:multiLevelType w:val="singleLevel"/>
    <w:tmpl w:val="AB48DB2F"/>
    <w:lvl w:ilvl="0" w:tentative="0">
      <w:start w:val="1"/>
      <w:numFmt w:val="chineseCounting"/>
      <w:suff w:val="nothing"/>
      <w:lvlText w:val="（%1）"/>
      <w:lvlJc w:val="left"/>
      <w:rPr>
        <w:rFonts w:hint="eastAsia"/>
      </w:rPr>
    </w:lvl>
  </w:abstractNum>
  <w:abstractNum w:abstractNumId="1">
    <w:nsid w:val="DD111591"/>
    <w:multiLevelType w:val="singleLevel"/>
    <w:tmpl w:val="DD111591"/>
    <w:lvl w:ilvl="0" w:tentative="0">
      <w:start w:val="1"/>
      <w:numFmt w:val="chineseCounting"/>
      <w:suff w:val="nothing"/>
      <w:lvlText w:val="（%1）"/>
      <w:lvlJc w:val="left"/>
      <w:rPr>
        <w:rFonts w:hint="eastAsia"/>
      </w:rPr>
    </w:lvl>
  </w:abstractNum>
  <w:abstractNum w:abstractNumId="2">
    <w:nsid w:val="074DD90C"/>
    <w:multiLevelType w:val="singleLevel"/>
    <w:tmpl w:val="074DD90C"/>
    <w:lvl w:ilvl="0" w:tentative="0">
      <w:start w:val="1"/>
      <w:numFmt w:val="chineseCounting"/>
      <w:suff w:val="nothing"/>
      <w:lvlText w:val="%1、"/>
      <w:lvlJc w:val="left"/>
      <w:pPr>
        <w:ind w:left="767" w:leftChars="0" w:firstLine="0" w:firstLineChars="0"/>
      </w:pPr>
      <w:rPr>
        <w:rFonts w:hint="eastAsia" w:ascii="黑体" w:hAnsi="黑体" w:eastAsia="黑体" w:cs="黑体"/>
        <w:sz w:val="28"/>
        <w:szCs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dit="trackedChanges"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ZThlYzAyNmZlMDBlN2NiNTkwMmMyOTAzOWYxMjc5NzAifQ=="/>
  </w:docVars>
  <w:rsids>
    <w:rsidRoot w:val="00000000"/>
    <w:rsid w:val="05C80770"/>
    <w:rsid w:val="0982263B"/>
    <w:rsid w:val="0B1B1854"/>
    <w:rsid w:val="0CF63E15"/>
    <w:rsid w:val="157D50D3"/>
    <w:rsid w:val="21254871"/>
    <w:rsid w:val="22E33D21"/>
    <w:rsid w:val="247B4ED4"/>
    <w:rsid w:val="24FD12EC"/>
    <w:rsid w:val="25464B0F"/>
    <w:rsid w:val="2A047719"/>
    <w:rsid w:val="2B255B99"/>
    <w:rsid w:val="34C077DF"/>
    <w:rsid w:val="359A7184"/>
    <w:rsid w:val="3833314B"/>
    <w:rsid w:val="3CC82B20"/>
    <w:rsid w:val="503A0592"/>
    <w:rsid w:val="51695F30"/>
    <w:rsid w:val="52456AD3"/>
    <w:rsid w:val="5E3E24F3"/>
    <w:rsid w:val="62AD7C47"/>
    <w:rsid w:val="62FA2749"/>
    <w:rsid w:val="651A2591"/>
    <w:rsid w:val="65583E58"/>
    <w:rsid w:val="6CE40709"/>
    <w:rsid w:val="7C02295A"/>
    <w:rsid w:val="7E645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hd w:val="clear" w:color="auto" w:fill="auto"/>
    </w:pPr>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hd w:val="clear" w:color="auto" w:fill="auto"/>
    </w:pPr>
    <w:rPr>
      <w:sz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14636</Words>
  <Characters>15571</Characters>
  <TotalTime>6</TotalTime>
  <ScaleCrop>false</ScaleCrop>
  <LinksUpToDate>false</LinksUpToDate>
  <CharactersWithSpaces>15586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2023-10-16T19:40:00Z</dcterms:created>
  <dc:creator>Lenovo</dc:creator>
  <cp:lastModifiedBy>赵奕雯</cp:lastModifiedBy>
  <dcterms:modified xsi:type="dcterms:W3CDTF">2024-09-07T01:17:15Z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1E303AAD24F1408C9E95A65247C60F88_13</vt:lpwstr>
  </property>
</Properties>
</file>