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Times New Roman" w:hAnsi="Times New Roman" w:eastAsia="黑体"/>
          <w:kern w:val="0"/>
          <w:sz w:val="32"/>
          <w:szCs w:val="32"/>
        </w:rPr>
      </w:pPr>
    </w:p>
    <w:p>
      <w:pPr>
        <w:jc w:val="center"/>
        <w:rPr>
          <w:rFonts w:hint="eastAsia" w:ascii="宋体" w:hAnsi="宋体" w:eastAsia="宋体" w:cs="宋体"/>
          <w:sz w:val="44"/>
          <w:szCs w:val="44"/>
        </w:rPr>
      </w:pPr>
      <w:r>
        <w:rPr>
          <w:rFonts w:hint="eastAsia" w:ascii="宋体" w:hAnsi="宋体" w:eastAsia="宋体" w:cs="宋体"/>
          <w:sz w:val="44"/>
          <w:szCs w:val="44"/>
        </w:rPr>
        <w:t>2020年度部门整体支出绩效自评报告</w:t>
      </w: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hint="eastAsia" w:ascii="仿宋" w:hAnsi="仿宋" w:eastAsia="仿宋" w:cs="仿宋"/>
          <w:sz w:val="44"/>
          <w:szCs w:val="44"/>
        </w:rPr>
      </w:pPr>
      <w:r>
        <w:rPr>
          <w:rFonts w:hint="eastAsia" w:ascii="仿宋" w:hAnsi="仿宋" w:eastAsia="仿宋" w:cs="仿宋"/>
          <w:sz w:val="32"/>
          <w:szCs w:val="32"/>
          <w:lang w:eastAsia="zh-CN"/>
        </w:rPr>
        <w:t>中方县残疾人联合会</w:t>
      </w:r>
      <w:r>
        <w:rPr>
          <w:rFonts w:hint="eastAsia" w:ascii="仿宋" w:hAnsi="仿宋" w:eastAsia="仿宋" w:cs="仿宋"/>
          <w:sz w:val="32"/>
          <w:szCs w:val="32"/>
        </w:rPr>
        <w:t>（盖章）</w:t>
      </w: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pStyle w:val="4"/>
        <w:keepNext w:val="0"/>
        <w:keepLines w:val="0"/>
        <w:pageBreakBefore w:val="0"/>
        <w:widowControl/>
        <w:kinsoku/>
        <w:wordWrap/>
        <w:overflowPunct/>
        <w:topLinePunct w:val="0"/>
        <w:autoSpaceDE/>
        <w:autoSpaceDN/>
        <w:bidi w:val="0"/>
        <w:adjustRightInd/>
        <w:spacing w:line="560" w:lineRule="exact"/>
        <w:ind w:left="0" w:leftChars="0" w:firstLine="0" w:firstLineChars="0"/>
        <w:jc w:val="both"/>
        <w:textAlignment w:val="auto"/>
        <w:rPr>
          <w:rFonts w:ascii="Times New Roman" w:hAnsi="Times New Roman" w:eastAsia="黑体"/>
          <w:bCs/>
          <w:color w:val="000000"/>
          <w:sz w:val="32"/>
          <w:szCs w:val="32"/>
        </w:rPr>
      </w:pPr>
      <w:r>
        <w:rPr>
          <w:rFonts w:ascii="Times New Roman" w:hAnsi="Times New Roman" w:eastAsia="黑体"/>
          <w:sz w:val="32"/>
          <w:szCs w:val="32"/>
        </w:rPr>
        <w:br w:type="page"/>
      </w:r>
      <w:r>
        <w:rPr>
          <w:rFonts w:hint="eastAsia" w:ascii="Times New Roman" w:hAnsi="Times New Roman" w:eastAsia="黑体"/>
          <w:sz w:val="32"/>
          <w:szCs w:val="32"/>
          <w:lang w:val="en-US" w:eastAsia="zh-CN"/>
        </w:rPr>
        <w:t xml:space="preserve">    </w:t>
      </w:r>
      <w:r>
        <w:rPr>
          <w:rFonts w:ascii="Times New Roman" w:hAnsi="Times New Roman" w:eastAsia="黑体"/>
          <w:bCs/>
          <w:color w:val="000000"/>
          <w:sz w:val="32"/>
          <w:szCs w:val="32"/>
        </w:rPr>
        <w:t>一、单位基本情况</w:t>
      </w:r>
    </w:p>
    <w:p>
      <w:pPr>
        <w:pStyle w:val="4"/>
        <w:keepNext w:val="0"/>
        <w:keepLines w:val="0"/>
        <w:pageBreakBefore w:val="0"/>
        <w:widowControl/>
        <w:kinsoku/>
        <w:wordWrap/>
        <w:overflowPunct/>
        <w:topLinePunct w:val="0"/>
        <w:autoSpaceDE/>
        <w:autoSpaceDN/>
        <w:bidi w:val="0"/>
        <w:adjustRightInd/>
        <w:spacing w:line="560" w:lineRule="exact"/>
        <w:ind w:left="0" w:leftChars="0" w:firstLine="643" w:firstLineChars="200"/>
        <w:jc w:val="both"/>
        <w:textAlignment w:val="auto"/>
        <w:rPr>
          <w:rFonts w:hint="default" w:ascii="Times New Roman" w:hAnsi="Times New Roman" w:eastAsia="楷体_GB2312" w:cs="Times New Roman"/>
          <w:b/>
          <w:color w:val="auto"/>
          <w:sz w:val="32"/>
          <w:szCs w:val="32"/>
        </w:rPr>
      </w:pPr>
      <w:r>
        <w:rPr>
          <w:rFonts w:hint="default" w:ascii="Times New Roman" w:hAnsi="Times New Roman" w:eastAsia="楷体_GB2312" w:cs="Times New Roman"/>
          <w:b/>
          <w:color w:val="auto"/>
          <w:sz w:val="32"/>
          <w:szCs w:val="32"/>
        </w:rPr>
        <w:t>（一）基本情况。</w:t>
      </w:r>
    </w:p>
    <w:p>
      <w:pPr>
        <w:keepNext w:val="0"/>
        <w:keepLines w:val="0"/>
        <w:pageBreakBefore w:val="0"/>
        <w:kinsoku/>
        <w:wordWrap/>
        <w:overflowPunct/>
        <w:topLinePunct w:val="0"/>
        <w:autoSpaceDE/>
        <w:autoSpaceDN/>
        <w:bidi w:val="0"/>
        <w:adjustRightInd/>
        <w:snapToGrid w:val="0"/>
        <w:spacing w:line="560" w:lineRule="exact"/>
        <w:ind w:right="0" w:rightChars="0" w:firstLine="640" w:firstLineChars="200"/>
        <w:jc w:val="both"/>
        <w:textAlignment w:val="auto"/>
        <w:rPr>
          <w:rFonts w:hint="default"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rPr>
        <w:t>主要职能</w:t>
      </w:r>
    </w:p>
    <w:p>
      <w:pPr>
        <w:keepNext w:val="0"/>
        <w:keepLines w:val="0"/>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 w:cs="Times New Roman"/>
          <w:b/>
          <w:color w:val="auto"/>
          <w:w w:val="100"/>
          <w:sz w:val="32"/>
          <w:szCs w:val="32"/>
        </w:rPr>
      </w:pPr>
      <w:r>
        <w:rPr>
          <w:rFonts w:hint="eastAsia" w:ascii="Times New Roman" w:hAnsi="Times New Roman" w:eastAsia="仿宋" w:cs="Times New Roman"/>
          <w:b w:val="0"/>
          <w:color w:val="auto"/>
          <w:w w:val="100"/>
          <w:sz w:val="32"/>
          <w:szCs w:val="32"/>
          <w:lang w:val="en-US" w:eastAsia="zh-CN"/>
        </w:rPr>
        <w:t>（1）</w:t>
      </w:r>
      <w:r>
        <w:rPr>
          <w:rFonts w:hint="default" w:ascii="Times New Roman" w:hAnsi="Times New Roman" w:eastAsia="仿宋" w:cs="Times New Roman"/>
          <w:b w:val="0"/>
          <w:color w:val="auto"/>
          <w:w w:val="100"/>
          <w:sz w:val="32"/>
          <w:szCs w:val="32"/>
        </w:rPr>
        <w:t>听取残疾人意见，反映残疾人需求，维护残疾人权益，为残疾人服务。团结、教育残疾人遵纪守法，履行应尽义务，发扬乐观进取精神，自尊、自信、自立，为社会主义建设贡献力量。弘扬人道主义，宣传残疾人事业，沟通政府、社会与残疾人之间的联系，动员社会理解、尊重、关心、帮助残疾人。</w:t>
      </w:r>
    </w:p>
    <w:p>
      <w:pPr>
        <w:keepNext w:val="0"/>
        <w:keepLines w:val="0"/>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 w:cs="Times New Roman"/>
          <w:b w:val="0"/>
          <w:color w:val="auto"/>
          <w:w w:val="100"/>
          <w:sz w:val="32"/>
          <w:szCs w:val="32"/>
        </w:rPr>
      </w:pPr>
      <w:r>
        <w:rPr>
          <w:rFonts w:hint="eastAsia" w:ascii="Times New Roman" w:hAnsi="Times New Roman" w:eastAsia="仿宋" w:cs="Times New Roman"/>
          <w:b w:val="0"/>
          <w:color w:val="auto"/>
          <w:w w:val="100"/>
          <w:sz w:val="32"/>
          <w:szCs w:val="32"/>
          <w:lang w:val="en-US" w:eastAsia="zh-CN"/>
        </w:rPr>
        <w:t>（2）</w:t>
      </w:r>
      <w:r>
        <w:rPr>
          <w:rFonts w:hint="default" w:ascii="Times New Roman" w:hAnsi="Times New Roman" w:eastAsia="仿宋" w:cs="Times New Roman"/>
          <w:b w:val="0"/>
          <w:color w:val="auto"/>
          <w:w w:val="100"/>
          <w:sz w:val="32"/>
          <w:szCs w:val="32"/>
        </w:rPr>
        <w:t>开展残疾人康复、教育、劳动就业、扶贫、文化、体育、科研、用品供应、社会服务、无障碍设施和残疾人预防工作，创造良好的社会环境和条件，扶助残疾人预防工作，创造良好的社会环境，扶助残疾人平等参与社会生活。</w:t>
      </w:r>
    </w:p>
    <w:p>
      <w:pPr>
        <w:keepNext w:val="0"/>
        <w:keepLines w:val="0"/>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 w:cs="Times New Roman"/>
          <w:b/>
          <w:color w:val="auto"/>
          <w:w w:val="100"/>
          <w:sz w:val="32"/>
          <w:szCs w:val="32"/>
        </w:rPr>
      </w:pPr>
      <w:r>
        <w:rPr>
          <w:rFonts w:hint="default" w:ascii="Times New Roman" w:hAnsi="Times New Roman" w:eastAsia="仿宋" w:cs="Times New Roman"/>
          <w:b w:val="0"/>
          <w:color w:val="auto"/>
          <w:w w:val="100"/>
          <w:sz w:val="32"/>
          <w:szCs w:val="32"/>
          <w:lang w:eastAsia="zh-CN"/>
        </w:rPr>
        <w:t>（3）</w:t>
      </w:r>
      <w:r>
        <w:rPr>
          <w:rFonts w:hint="default" w:ascii="Times New Roman" w:hAnsi="Times New Roman" w:eastAsia="仿宋" w:cs="Times New Roman"/>
          <w:b w:val="0"/>
          <w:color w:val="auto"/>
          <w:w w:val="100"/>
          <w:sz w:val="32"/>
          <w:szCs w:val="32"/>
        </w:rPr>
        <w:t>协助政府研究、拟定和实施残疾人事业的地方性法规、政策、规划和计划，对有关业务进行指导和管理。指导和管理各类残疾人组织，核发《中华人民共和国</w:t>
      </w:r>
      <w:r>
        <w:rPr>
          <w:rFonts w:hint="eastAsia" w:ascii="Times New Roman" w:hAnsi="Times New Roman" w:eastAsia="仿宋" w:cs="Times New Roman"/>
          <w:b w:val="0"/>
          <w:color w:val="auto"/>
          <w:w w:val="100"/>
          <w:sz w:val="32"/>
          <w:szCs w:val="32"/>
          <w:lang w:eastAsia="zh-CN"/>
        </w:rPr>
        <w:t>三</w:t>
      </w:r>
      <w:r>
        <w:rPr>
          <w:rFonts w:hint="default" w:ascii="Times New Roman" w:hAnsi="Times New Roman" w:eastAsia="仿宋" w:cs="Times New Roman"/>
          <w:b w:val="0"/>
          <w:color w:val="auto"/>
          <w:w w:val="100"/>
          <w:sz w:val="32"/>
          <w:szCs w:val="32"/>
        </w:rPr>
        <w:t>代残疾人证》。</w:t>
      </w:r>
    </w:p>
    <w:p>
      <w:pPr>
        <w:keepNext w:val="0"/>
        <w:keepLines w:val="0"/>
        <w:pageBreakBefore w:val="0"/>
        <w:kinsoku/>
        <w:wordWrap/>
        <w:overflowPunct/>
        <w:topLinePunct w:val="0"/>
        <w:autoSpaceDE/>
        <w:autoSpaceDN/>
        <w:bidi w:val="0"/>
        <w:adjustRightInd/>
        <w:snapToGrid w:val="0"/>
        <w:spacing w:line="560" w:lineRule="exact"/>
        <w:ind w:right="0" w:rightChars="0"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 w:cs="Times New Roman"/>
          <w:b w:val="0"/>
          <w:color w:val="auto"/>
          <w:w w:val="100"/>
          <w:sz w:val="32"/>
          <w:szCs w:val="32"/>
          <w:lang w:eastAsia="zh-CN"/>
        </w:rPr>
        <w:t>（4）</w:t>
      </w:r>
      <w:r>
        <w:rPr>
          <w:rFonts w:hint="default" w:ascii="Times New Roman" w:hAnsi="Times New Roman" w:eastAsia="仿宋" w:cs="Times New Roman"/>
          <w:b w:val="0"/>
          <w:color w:val="auto"/>
          <w:w w:val="100"/>
          <w:sz w:val="32"/>
          <w:szCs w:val="32"/>
        </w:rPr>
        <w:t>承担县人民政府残疾人工作委员会的日常工作，做好综合、组织、协调和服务。承担县人民政府交办的其他工作。</w:t>
      </w:r>
    </w:p>
    <w:p>
      <w:pPr>
        <w:keepNext w:val="0"/>
        <w:keepLines w:val="0"/>
        <w:pageBreakBefore w:val="0"/>
        <w:kinsoku/>
        <w:wordWrap/>
        <w:overflowPunct/>
        <w:topLinePunct w:val="0"/>
        <w:autoSpaceDE/>
        <w:autoSpaceDN/>
        <w:bidi w:val="0"/>
        <w:adjustRightInd/>
        <w:snapToGrid w:val="0"/>
        <w:spacing w:line="560" w:lineRule="exact"/>
        <w:ind w:right="0" w:rightChars="0" w:firstLine="640" w:firstLineChars="200"/>
        <w:jc w:val="both"/>
        <w:textAlignment w:val="auto"/>
        <w:rPr>
          <w:rFonts w:hint="default" w:ascii="Times New Roman" w:hAnsi="Times New Roman" w:eastAsia="仿宋_GB2312" w:cs="Times New Roman"/>
          <w:color w:val="auto"/>
          <w:sz w:val="32"/>
          <w:szCs w:val="32"/>
          <w:lang w:val="en-US"/>
        </w:rPr>
      </w:pPr>
      <w:r>
        <w:rPr>
          <w:rFonts w:hint="default" w:ascii="Times New Roman" w:hAnsi="Times New Roman" w:eastAsia="仿宋_GB2312" w:cs="Times New Roman"/>
          <w:color w:val="auto"/>
          <w:sz w:val="32"/>
          <w:szCs w:val="32"/>
        </w:rPr>
        <w:t>2</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rPr>
        <w:t>机构情况</w:t>
      </w:r>
    </w:p>
    <w:p>
      <w:pPr>
        <w:keepNext w:val="0"/>
        <w:keepLines w:val="0"/>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 w:cs="Times New Roman"/>
          <w:b w:val="0"/>
          <w:color w:val="auto"/>
          <w:w w:val="100"/>
          <w:sz w:val="32"/>
          <w:szCs w:val="32"/>
        </w:rPr>
      </w:pPr>
      <w:r>
        <w:rPr>
          <w:rFonts w:hint="default" w:ascii="Times New Roman" w:hAnsi="Times New Roman" w:eastAsia="仿宋" w:cs="Times New Roman"/>
          <w:b w:val="0"/>
          <w:color w:val="auto"/>
          <w:w w:val="100"/>
          <w:sz w:val="32"/>
          <w:szCs w:val="32"/>
        </w:rPr>
        <w:t>县残联为正科级参照公务员管理事业单位，内设办公室、康</w:t>
      </w:r>
      <w:r>
        <w:rPr>
          <w:rFonts w:hint="eastAsia" w:ascii="Times New Roman" w:hAnsi="Times New Roman" w:eastAsia="仿宋" w:cs="Times New Roman"/>
          <w:b w:val="0"/>
          <w:color w:val="auto"/>
          <w:w w:val="100"/>
          <w:sz w:val="32"/>
          <w:szCs w:val="32"/>
          <w:lang w:eastAsia="zh-CN"/>
        </w:rPr>
        <w:t>康复股、就业教育宣传文体股</w:t>
      </w:r>
      <w:r>
        <w:rPr>
          <w:rFonts w:hint="eastAsia" w:ascii="Times New Roman" w:hAnsi="Times New Roman" w:eastAsia="仿宋" w:cs="Times New Roman"/>
          <w:b w:val="0"/>
          <w:color w:val="auto"/>
          <w:w w:val="100"/>
          <w:sz w:val="32"/>
          <w:szCs w:val="32"/>
          <w:lang w:val="en-US" w:eastAsia="zh-CN"/>
        </w:rPr>
        <w:t>3</w:t>
      </w:r>
      <w:r>
        <w:rPr>
          <w:rFonts w:hint="default" w:ascii="Times New Roman" w:hAnsi="Times New Roman" w:eastAsia="仿宋" w:cs="Times New Roman"/>
          <w:b w:val="0"/>
          <w:color w:val="auto"/>
          <w:w w:val="100"/>
          <w:sz w:val="32"/>
          <w:szCs w:val="32"/>
        </w:rPr>
        <w:t>个职能股室，下设残疾人服务社、残疾人康复站、残疾人用品用具站3个二级机构。</w:t>
      </w:r>
    </w:p>
    <w:p>
      <w:pPr>
        <w:keepNext w:val="0"/>
        <w:keepLines w:val="0"/>
        <w:pageBreakBefore w:val="0"/>
        <w:numPr>
          <w:ilvl w:val="0"/>
          <w:numId w:val="0"/>
        </w:numPr>
        <w:kinsoku/>
        <w:wordWrap/>
        <w:overflowPunct/>
        <w:topLinePunct w:val="0"/>
        <w:autoSpaceDE/>
        <w:autoSpaceDN/>
        <w:bidi w:val="0"/>
        <w:adjustRightInd/>
        <w:snapToGrid w:val="0"/>
        <w:spacing w:line="560" w:lineRule="exact"/>
        <w:ind w:right="0" w:rightChars="0" w:firstLine="640" w:firstLineChars="200"/>
        <w:jc w:val="both"/>
        <w:textAlignment w:val="auto"/>
        <w:rPr>
          <w:rFonts w:hint="default"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人员情况</w:t>
      </w:r>
    </w:p>
    <w:p>
      <w:pPr>
        <w:keepNext w:val="0"/>
        <w:keepLines w:val="0"/>
        <w:pageBreakBefore w:val="0"/>
        <w:numPr>
          <w:ilvl w:val="0"/>
          <w:numId w:val="0"/>
        </w:numPr>
        <w:kinsoku/>
        <w:wordWrap/>
        <w:overflowPunct/>
        <w:topLinePunct w:val="0"/>
        <w:autoSpaceDE/>
        <w:autoSpaceDN/>
        <w:bidi w:val="0"/>
        <w:adjustRightInd/>
        <w:snapToGrid w:val="0"/>
        <w:spacing w:line="560" w:lineRule="exact"/>
        <w:ind w:left="0" w:leftChars="0" w:right="0" w:rightChars="0"/>
        <w:jc w:val="both"/>
        <w:textAlignment w:val="auto"/>
        <w:rPr>
          <w:rFonts w:ascii="Times New Roman" w:hAnsi="Times New Roman" w:eastAsia="仿宋_GB2312"/>
          <w:color w:val="000000"/>
          <w:sz w:val="32"/>
          <w:szCs w:val="32"/>
        </w:rPr>
      </w:pPr>
      <w:r>
        <w:rPr>
          <w:rFonts w:hint="default" w:ascii="Times New Roman" w:hAnsi="Times New Roman" w:eastAsia="仿宋_GB2312" w:cs="Times New Roman"/>
          <w:color w:val="auto"/>
          <w:sz w:val="32"/>
          <w:szCs w:val="32"/>
          <w:lang w:val="en-US" w:eastAsia="zh-CN"/>
        </w:rPr>
        <w:t xml:space="preserve">    </w:t>
      </w:r>
      <w:r>
        <w:rPr>
          <w:rFonts w:hint="eastAsia" w:ascii="Times New Roman" w:hAnsi="Times New Roman" w:eastAsia="仿宋_GB2312" w:cs="Times New Roman"/>
          <w:color w:val="auto"/>
          <w:sz w:val="32"/>
          <w:szCs w:val="32"/>
          <w:lang w:val="en-US" w:eastAsia="zh-CN"/>
        </w:rPr>
        <w:t>2020年</w:t>
      </w:r>
      <w:r>
        <w:rPr>
          <w:rFonts w:hint="default" w:ascii="Times New Roman" w:hAnsi="Times New Roman" w:eastAsia="仿宋_GB2312" w:cs="Times New Roman"/>
          <w:color w:val="auto"/>
          <w:sz w:val="32"/>
          <w:szCs w:val="32"/>
          <w:lang w:val="en-US" w:eastAsia="zh-CN"/>
        </w:rPr>
        <w:t>在职人员2</w:t>
      </w:r>
      <w:r>
        <w:rPr>
          <w:rFonts w:hint="eastAsia"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val="en-US" w:eastAsia="zh-CN"/>
        </w:rPr>
        <w:t>人，退休人员</w:t>
      </w:r>
      <w:r>
        <w:rPr>
          <w:rFonts w:hint="eastAsia" w:ascii="Times New Roman" w:hAnsi="Times New Roman" w:eastAsia="仿宋_GB2312" w:cs="Times New Roman"/>
          <w:color w:val="auto"/>
          <w:sz w:val="32"/>
          <w:szCs w:val="32"/>
          <w:lang w:val="en-US" w:eastAsia="zh-CN"/>
        </w:rPr>
        <w:t>8</w:t>
      </w:r>
      <w:r>
        <w:rPr>
          <w:rFonts w:hint="default" w:ascii="Times New Roman" w:hAnsi="Times New Roman" w:eastAsia="仿宋_GB2312" w:cs="Times New Roman"/>
          <w:color w:val="auto"/>
          <w:sz w:val="32"/>
          <w:szCs w:val="32"/>
          <w:lang w:val="en-US" w:eastAsia="zh-CN"/>
        </w:rPr>
        <w:t>人。</w:t>
      </w:r>
    </w:p>
    <w:p>
      <w:pPr>
        <w:keepNext w:val="0"/>
        <w:keepLines w:val="0"/>
        <w:pageBreakBefore w:val="0"/>
        <w:kinsoku/>
        <w:wordWrap/>
        <w:overflowPunct/>
        <w:topLinePunct w:val="0"/>
        <w:autoSpaceDE/>
        <w:autoSpaceDN/>
        <w:bidi w:val="0"/>
        <w:adjustRightInd/>
        <w:spacing w:line="560" w:lineRule="exact"/>
        <w:ind w:firstLine="640" w:firstLineChars="200"/>
        <w:jc w:val="both"/>
        <w:textAlignment w:val="auto"/>
        <w:rPr>
          <w:rFonts w:ascii="Times New Roman" w:hAnsi="Times New Roman" w:eastAsia="黑体"/>
          <w:bCs/>
          <w:color w:val="000000"/>
          <w:sz w:val="32"/>
          <w:szCs w:val="32"/>
        </w:rPr>
      </w:pPr>
      <w:r>
        <w:rPr>
          <w:rFonts w:ascii="Times New Roman" w:hAnsi="Times New Roman" w:eastAsia="黑体"/>
          <w:bCs/>
          <w:color w:val="000000"/>
          <w:sz w:val="32"/>
          <w:szCs w:val="32"/>
        </w:rPr>
        <w:t>二、部门整体支出管理及使用情况</w:t>
      </w:r>
    </w:p>
    <w:p>
      <w:pPr>
        <w:keepNext w:val="0"/>
        <w:keepLines w:val="0"/>
        <w:pageBreakBefore w:val="0"/>
        <w:kinsoku/>
        <w:wordWrap/>
        <w:overflowPunct/>
        <w:topLinePunct w:val="0"/>
        <w:autoSpaceDE/>
        <w:autoSpaceDN/>
        <w:bidi w:val="0"/>
        <w:adjustRightInd/>
        <w:spacing w:line="560" w:lineRule="exact"/>
        <w:ind w:firstLine="643" w:firstLineChars="200"/>
        <w:jc w:val="both"/>
        <w:textAlignment w:val="auto"/>
        <w:rPr>
          <w:rFonts w:hint="eastAsia" w:ascii="Times New Roman" w:hAnsi="Times New Roman" w:eastAsia="楷体_GB2312" w:cs="Times New Roman"/>
          <w:b/>
          <w:color w:val="auto"/>
          <w:sz w:val="32"/>
          <w:szCs w:val="32"/>
          <w:lang w:eastAsia="zh-CN"/>
        </w:rPr>
      </w:pPr>
      <w:r>
        <w:rPr>
          <w:rFonts w:hint="eastAsia" w:ascii="Times New Roman" w:hAnsi="Times New Roman" w:eastAsia="楷体_GB2312" w:cs="Times New Roman"/>
          <w:b/>
          <w:color w:val="auto"/>
          <w:sz w:val="32"/>
          <w:szCs w:val="32"/>
          <w:lang w:eastAsia="zh-CN"/>
        </w:rPr>
        <w:t>（一）基本支出</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kern w:val="0"/>
          <w:sz w:val="32"/>
          <w:szCs w:val="32"/>
          <w:u w:val="none"/>
          <w:shd w:val="clear" w:color="auto" w:fill="FFFFFF"/>
        </w:rPr>
      </w:pPr>
      <w:r>
        <w:rPr>
          <w:rFonts w:hint="eastAsia" w:ascii="Times New Roman" w:hAnsi="Times New Roman" w:eastAsia="仿宋" w:cs="Times New Roman"/>
          <w:kern w:val="0"/>
          <w:sz w:val="32"/>
          <w:szCs w:val="32"/>
          <w:u w:val="none"/>
          <w:shd w:val="clear" w:color="auto" w:fill="FFFFFF"/>
          <w:lang w:eastAsia="zh-CN"/>
        </w:rPr>
        <w:t>①预算情况：</w:t>
      </w:r>
      <w:r>
        <w:rPr>
          <w:rFonts w:hint="default" w:ascii="Times New Roman" w:hAnsi="Times New Roman" w:eastAsia="仿宋" w:cs="Times New Roman"/>
          <w:kern w:val="0"/>
          <w:sz w:val="32"/>
          <w:szCs w:val="32"/>
          <w:u w:val="none"/>
          <w:shd w:val="clear" w:color="auto" w:fill="FFFFFF"/>
        </w:rPr>
        <w:t>2020年预算支出23227</w:t>
      </w:r>
      <w:r>
        <w:rPr>
          <w:rFonts w:hint="eastAsia" w:ascii="Times New Roman" w:hAnsi="Times New Roman" w:eastAsia="仿宋" w:cs="Times New Roman"/>
          <w:kern w:val="0"/>
          <w:sz w:val="32"/>
          <w:szCs w:val="32"/>
          <w:u w:val="none"/>
          <w:shd w:val="clear" w:color="auto" w:fill="FFFFFF"/>
          <w:lang w:val="en-US" w:eastAsia="zh-CN"/>
        </w:rPr>
        <w:t>00</w:t>
      </w:r>
      <w:r>
        <w:rPr>
          <w:rFonts w:hint="default" w:ascii="Times New Roman" w:hAnsi="Times New Roman" w:eastAsia="仿宋" w:cs="Times New Roman"/>
          <w:kern w:val="0"/>
          <w:sz w:val="32"/>
          <w:szCs w:val="32"/>
          <w:u w:val="none"/>
          <w:shd w:val="clear" w:color="auto" w:fill="FFFFFF"/>
        </w:rPr>
        <w:t>元，其中：其中人员支出20421</w:t>
      </w:r>
      <w:r>
        <w:rPr>
          <w:rFonts w:hint="eastAsia" w:ascii="Times New Roman" w:hAnsi="Times New Roman" w:eastAsia="仿宋" w:cs="Times New Roman"/>
          <w:kern w:val="0"/>
          <w:sz w:val="32"/>
          <w:szCs w:val="32"/>
          <w:u w:val="none"/>
          <w:shd w:val="clear" w:color="auto" w:fill="FFFFFF"/>
          <w:lang w:val="en-US" w:eastAsia="zh-CN"/>
        </w:rPr>
        <w:t>00</w:t>
      </w:r>
      <w:r>
        <w:rPr>
          <w:rFonts w:hint="default" w:ascii="Times New Roman" w:hAnsi="Times New Roman" w:eastAsia="仿宋" w:cs="Times New Roman"/>
          <w:kern w:val="0"/>
          <w:sz w:val="32"/>
          <w:szCs w:val="32"/>
          <w:u w:val="none"/>
          <w:shd w:val="clear" w:color="auto" w:fill="FFFFFF"/>
        </w:rPr>
        <w:t>元，包括用于在职人员基本工资、津贴补贴、奖励金等；公用支出2806</w:t>
      </w:r>
      <w:r>
        <w:rPr>
          <w:rFonts w:hint="eastAsia" w:ascii="Times New Roman" w:hAnsi="Times New Roman" w:eastAsia="仿宋" w:cs="Times New Roman"/>
          <w:kern w:val="0"/>
          <w:sz w:val="32"/>
          <w:szCs w:val="32"/>
          <w:u w:val="none"/>
          <w:shd w:val="clear" w:color="auto" w:fill="FFFFFF"/>
          <w:lang w:val="en-US" w:eastAsia="zh-CN"/>
        </w:rPr>
        <w:t>00</w:t>
      </w:r>
      <w:r>
        <w:rPr>
          <w:rFonts w:hint="default" w:ascii="Times New Roman" w:hAnsi="Times New Roman" w:eastAsia="仿宋" w:cs="Times New Roman"/>
          <w:kern w:val="0"/>
          <w:sz w:val="32"/>
          <w:szCs w:val="32"/>
          <w:u w:val="none"/>
          <w:shd w:val="clear" w:color="auto" w:fill="FFFFFF"/>
        </w:rPr>
        <w:t>万元，为保障单位正常运转、完成日常工作任务而发生的各项支出，包括办公费、印刷费、水电费、办公设备购置等日常公用经费。</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 w:cs="Times New Roman"/>
          <w:kern w:val="0"/>
          <w:sz w:val="32"/>
          <w:szCs w:val="32"/>
          <w:u w:val="none"/>
          <w:shd w:val="clear" w:color="auto" w:fill="FFFFFF"/>
          <w:lang w:val="en-US" w:eastAsia="zh-CN"/>
        </w:rPr>
      </w:pPr>
      <w:r>
        <w:rPr>
          <w:rFonts w:hint="eastAsia" w:ascii="Times New Roman" w:hAnsi="Times New Roman" w:eastAsia="仿宋" w:cs="Times New Roman"/>
          <w:kern w:val="0"/>
          <w:sz w:val="32"/>
          <w:szCs w:val="32"/>
          <w:shd w:val="clear" w:color="auto" w:fill="FFFFFF"/>
          <w:lang w:eastAsia="zh-CN"/>
        </w:rPr>
        <w:t>②决算情况：</w:t>
      </w:r>
      <w:r>
        <w:rPr>
          <w:rFonts w:hint="eastAsia" w:ascii="Times New Roman" w:hAnsi="Times New Roman" w:eastAsia="仿宋" w:cs="Times New Roman"/>
          <w:kern w:val="0"/>
          <w:sz w:val="32"/>
          <w:szCs w:val="32"/>
          <w:u w:val="none"/>
          <w:shd w:val="clear" w:color="auto" w:fill="FFFFFF"/>
          <w:lang w:val="en-US" w:eastAsia="zh-CN"/>
        </w:rPr>
        <w:t>2020年</w:t>
      </w:r>
      <w:r>
        <w:rPr>
          <w:rFonts w:hint="eastAsia" w:ascii="Times New Roman" w:hAnsi="Times New Roman" w:eastAsia="仿宋" w:cs="Times New Roman"/>
          <w:kern w:val="0"/>
          <w:sz w:val="32"/>
          <w:szCs w:val="32"/>
          <w:u w:val="none"/>
          <w:shd w:val="clear" w:color="auto" w:fill="FFFFFF"/>
          <w:lang w:val="en-US"/>
        </w:rPr>
        <w:t>基本支出</w:t>
      </w:r>
      <w:r>
        <w:rPr>
          <w:rFonts w:hint="eastAsia" w:ascii="Times New Roman" w:hAnsi="Times New Roman" w:eastAsia="仿宋" w:cs="Times New Roman"/>
          <w:kern w:val="0"/>
          <w:sz w:val="32"/>
          <w:szCs w:val="32"/>
          <w:u w:val="none"/>
          <w:shd w:val="clear" w:color="auto" w:fill="FFFFFF"/>
          <w:lang w:val="en-US" w:eastAsia="zh-CN"/>
        </w:rPr>
        <w:t>2449824.51</w:t>
      </w:r>
      <w:r>
        <w:rPr>
          <w:rFonts w:hint="eastAsia" w:ascii="Times New Roman" w:hAnsi="Times New Roman" w:eastAsia="仿宋" w:cs="Times New Roman"/>
          <w:kern w:val="0"/>
          <w:sz w:val="32"/>
          <w:szCs w:val="32"/>
          <w:u w:val="none"/>
          <w:shd w:val="clear" w:color="auto" w:fill="FFFFFF"/>
          <w:lang w:val="en-US"/>
        </w:rPr>
        <w:t>元</w:t>
      </w:r>
      <w:r>
        <w:rPr>
          <w:rFonts w:hint="eastAsia" w:ascii="Times New Roman" w:hAnsi="Times New Roman" w:eastAsia="仿宋" w:cs="Times New Roman"/>
          <w:kern w:val="0"/>
          <w:sz w:val="32"/>
          <w:szCs w:val="32"/>
          <w:u w:val="none"/>
          <w:shd w:val="clear" w:color="auto" w:fill="FFFFFF"/>
          <w:lang w:val="en-US" w:eastAsia="zh-CN"/>
        </w:rPr>
        <w:t>，其中一般公共服务支出（协税护税）450元，社会保障支出2338784.51元（其中，机关事业单位基本养老保险220900元，其他就业补助7680万元，残疾人事业2110204.51元），行政单位医疗110590元。</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 w:cs="Times New Roman"/>
          <w:kern w:val="0"/>
          <w:sz w:val="32"/>
          <w:szCs w:val="32"/>
          <w:shd w:val="clear" w:color="auto" w:fill="FFFFFF"/>
          <w:lang w:val="en-US" w:eastAsia="zh-CN"/>
        </w:rPr>
      </w:pPr>
      <w:r>
        <w:rPr>
          <w:rFonts w:hint="eastAsia" w:ascii="Times New Roman" w:hAnsi="Times New Roman" w:eastAsia="仿宋" w:cs="Times New Roman"/>
          <w:kern w:val="0"/>
          <w:sz w:val="32"/>
          <w:szCs w:val="32"/>
          <w:shd w:val="clear" w:color="auto" w:fill="FFFFFF"/>
          <w:lang w:val="en-US" w:eastAsia="zh-CN"/>
        </w:rPr>
        <w:t>③管理情况。合理安排收支预算管理，根据全县残疾人事业发展实际，一方面认真总结分析上年度预算执行情况，找出影响本年度预算的各种因素，另一方面客观分析本年度国家政策对预算的影响，广泛征求各股室意见，并多次向领导汇报，在现有条件下，国家政策允许范围内，挖掘潜力，使预算更加切合实际利于操作，发挥其在财务管理中的积极性，在实际执行中严格按照预算执行不得随意调整预算，充分发挥了资金的使用效益，确保了各项工作顺利完成。</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sz w:val="32"/>
          <w:szCs w:val="24"/>
          <w:lang w:val="en-US" w:eastAsia="zh-CN"/>
        </w:rPr>
      </w:pPr>
      <w:r>
        <w:rPr>
          <w:rFonts w:hint="eastAsia" w:ascii="Times New Roman" w:hAnsi="Times New Roman" w:eastAsia="仿宋" w:cs="Times New Roman"/>
          <w:kern w:val="0"/>
          <w:sz w:val="32"/>
          <w:szCs w:val="32"/>
          <w:shd w:val="clear" w:color="auto" w:fill="FFFFFF"/>
          <w:lang w:val="en-US" w:eastAsia="zh-CN"/>
        </w:rPr>
        <w:t>④“三公”经费预决算执行及控制情况。</w:t>
      </w:r>
      <w:r>
        <w:rPr>
          <w:rFonts w:hint="default" w:ascii="Times New Roman" w:hAnsi="Times New Roman" w:eastAsia="仿宋" w:cs="Times New Roman"/>
          <w:kern w:val="0"/>
          <w:sz w:val="32"/>
          <w:szCs w:val="32"/>
          <w:shd w:val="clear" w:color="auto" w:fill="FFFFFF"/>
          <w:lang w:eastAsia="zh-CN"/>
        </w:rPr>
        <w:t>县残</w:t>
      </w:r>
      <w:r>
        <w:rPr>
          <w:rFonts w:hint="default" w:ascii="Times New Roman" w:hAnsi="Times New Roman" w:eastAsia="仿宋" w:cs="Times New Roman"/>
          <w:b w:val="0"/>
          <w:color w:val="auto"/>
          <w:w w:val="100"/>
          <w:sz w:val="32"/>
          <w:szCs w:val="32"/>
          <w:lang w:eastAsia="zh-CN"/>
        </w:rPr>
        <w:t>联</w:t>
      </w:r>
      <w:r>
        <w:rPr>
          <w:rFonts w:hint="eastAsia" w:ascii="Times New Roman" w:hAnsi="Times New Roman" w:eastAsia="仿宋" w:cs="Times New Roman"/>
          <w:b w:val="0"/>
          <w:color w:val="auto"/>
          <w:w w:val="100"/>
          <w:sz w:val="32"/>
          <w:szCs w:val="32"/>
          <w:lang w:val="en-US" w:eastAsia="zh-CN"/>
        </w:rPr>
        <w:t>2020</w:t>
      </w:r>
      <w:r>
        <w:rPr>
          <w:rFonts w:hint="default" w:ascii="Times New Roman" w:hAnsi="Times New Roman" w:eastAsia="仿宋" w:cs="Times New Roman"/>
          <w:b w:val="0"/>
          <w:color w:val="auto"/>
          <w:w w:val="100"/>
          <w:sz w:val="32"/>
          <w:szCs w:val="32"/>
        </w:rPr>
        <w:t>年</w:t>
      </w:r>
      <w:r>
        <w:rPr>
          <w:rFonts w:hint="default" w:ascii="Times New Roman" w:hAnsi="Times New Roman" w:eastAsia="仿宋" w:cs="Times New Roman"/>
          <w:b w:val="0"/>
          <w:color w:val="auto"/>
          <w:w w:val="100"/>
          <w:sz w:val="32"/>
          <w:szCs w:val="32"/>
          <w:lang w:eastAsia="zh-CN"/>
        </w:rPr>
        <w:t>度</w:t>
      </w:r>
      <w:r>
        <w:rPr>
          <w:rFonts w:hint="default" w:ascii="Times New Roman" w:hAnsi="Times New Roman" w:eastAsia="仿宋" w:cs="Times New Roman"/>
          <w:b w:val="0"/>
          <w:color w:val="auto"/>
          <w:w w:val="100"/>
          <w:sz w:val="32"/>
          <w:szCs w:val="32"/>
        </w:rPr>
        <w:t>“三公”经费</w:t>
      </w:r>
      <w:r>
        <w:rPr>
          <w:rFonts w:hint="default" w:ascii="Times New Roman" w:hAnsi="Times New Roman" w:eastAsia="仿宋" w:cs="Times New Roman"/>
          <w:b w:val="0"/>
          <w:color w:val="auto"/>
          <w:w w:val="100"/>
          <w:sz w:val="32"/>
          <w:szCs w:val="32"/>
          <w:lang w:eastAsia="zh-CN"/>
        </w:rPr>
        <w:t>财政拨款</w:t>
      </w:r>
      <w:r>
        <w:rPr>
          <w:rFonts w:hint="default" w:ascii="Times New Roman" w:hAnsi="Times New Roman" w:eastAsia="仿宋" w:cs="Times New Roman"/>
          <w:b w:val="0"/>
          <w:color w:val="auto"/>
          <w:w w:val="100"/>
          <w:sz w:val="32"/>
          <w:szCs w:val="32"/>
        </w:rPr>
        <w:t>支出</w:t>
      </w:r>
      <w:r>
        <w:rPr>
          <w:rFonts w:hint="default" w:ascii="Times New Roman" w:hAnsi="Times New Roman" w:eastAsia="仿宋" w:cs="Times New Roman"/>
          <w:b w:val="0"/>
          <w:color w:val="auto"/>
          <w:w w:val="100"/>
          <w:sz w:val="32"/>
          <w:szCs w:val="32"/>
          <w:lang w:eastAsia="zh-CN"/>
        </w:rPr>
        <w:t>预算为</w:t>
      </w:r>
      <w:r>
        <w:rPr>
          <w:rFonts w:hint="default" w:ascii="Times New Roman" w:hAnsi="Times New Roman" w:eastAsia="仿宋" w:cs="Times New Roman"/>
          <w:b w:val="0"/>
          <w:color w:val="auto"/>
          <w:w w:val="100"/>
          <w:sz w:val="32"/>
          <w:szCs w:val="32"/>
          <w:lang w:val="en-US" w:eastAsia="zh-CN"/>
        </w:rPr>
        <w:t>5</w:t>
      </w:r>
      <w:r>
        <w:rPr>
          <w:rFonts w:hint="eastAsia" w:ascii="Times New Roman" w:hAnsi="Times New Roman" w:eastAsia="仿宋" w:cs="Times New Roman"/>
          <w:b w:val="0"/>
          <w:color w:val="auto"/>
          <w:w w:val="100"/>
          <w:sz w:val="32"/>
          <w:szCs w:val="32"/>
          <w:lang w:val="en-US" w:eastAsia="zh-CN"/>
        </w:rPr>
        <w:t>2800</w:t>
      </w:r>
      <w:r>
        <w:rPr>
          <w:rFonts w:hint="default" w:ascii="Times New Roman" w:hAnsi="Times New Roman" w:eastAsia="仿宋" w:cs="Times New Roman"/>
          <w:b w:val="0"/>
          <w:color w:val="auto"/>
          <w:w w:val="100"/>
          <w:sz w:val="32"/>
          <w:szCs w:val="32"/>
          <w:lang w:eastAsia="zh-CN"/>
        </w:rPr>
        <w:t>元，支出决算为</w:t>
      </w:r>
      <w:r>
        <w:rPr>
          <w:rFonts w:hint="eastAsia" w:ascii="Times New Roman" w:hAnsi="Times New Roman" w:eastAsia="仿宋" w:cs="Times New Roman"/>
          <w:b w:val="0"/>
          <w:color w:val="auto"/>
          <w:w w:val="100"/>
          <w:sz w:val="32"/>
          <w:szCs w:val="32"/>
          <w:lang w:val="en-US" w:eastAsia="zh-CN"/>
        </w:rPr>
        <w:t>40000</w:t>
      </w:r>
      <w:r>
        <w:rPr>
          <w:rFonts w:hint="default" w:ascii="Times New Roman" w:hAnsi="Times New Roman" w:eastAsia="仿宋" w:cs="Times New Roman"/>
          <w:b w:val="0"/>
          <w:color w:val="auto"/>
          <w:w w:val="100"/>
          <w:sz w:val="32"/>
          <w:szCs w:val="32"/>
          <w:lang w:eastAsia="zh-CN"/>
        </w:rPr>
        <w:t>元。其中：</w:t>
      </w:r>
      <w:r>
        <w:rPr>
          <w:rFonts w:hint="default" w:ascii="Times New Roman" w:hAnsi="Times New Roman" w:eastAsia="仿宋" w:cs="Times New Roman"/>
          <w:b w:val="0"/>
          <w:color w:val="auto"/>
          <w:w w:val="100"/>
          <w:sz w:val="32"/>
          <w:szCs w:val="32"/>
        </w:rPr>
        <w:t>其中：公务用车运行维护费</w:t>
      </w:r>
      <w:r>
        <w:rPr>
          <w:rFonts w:hint="eastAsia" w:ascii="Times New Roman" w:hAnsi="Times New Roman" w:eastAsia="仿宋" w:cs="Times New Roman"/>
          <w:b w:val="0"/>
          <w:color w:val="auto"/>
          <w:w w:val="100"/>
          <w:sz w:val="32"/>
          <w:szCs w:val="32"/>
          <w:lang w:val="en-US" w:eastAsia="zh-CN"/>
        </w:rPr>
        <w:t>25000</w:t>
      </w:r>
      <w:r>
        <w:rPr>
          <w:rFonts w:hint="default" w:ascii="Times New Roman" w:hAnsi="Times New Roman" w:eastAsia="仿宋" w:cs="Times New Roman"/>
          <w:b w:val="0"/>
          <w:color w:val="auto"/>
          <w:w w:val="100"/>
          <w:sz w:val="32"/>
          <w:szCs w:val="32"/>
        </w:rPr>
        <w:t>元；公务接待费</w:t>
      </w:r>
      <w:r>
        <w:rPr>
          <w:rFonts w:hint="eastAsia" w:ascii="Times New Roman" w:hAnsi="Times New Roman" w:eastAsia="仿宋" w:cs="Times New Roman"/>
          <w:b w:val="0"/>
          <w:color w:val="auto"/>
          <w:w w:val="100"/>
          <w:sz w:val="32"/>
          <w:szCs w:val="32"/>
          <w:lang w:val="en-US" w:eastAsia="zh-CN"/>
        </w:rPr>
        <w:t>15000</w:t>
      </w:r>
      <w:r>
        <w:rPr>
          <w:rFonts w:hint="default" w:ascii="Times New Roman" w:hAnsi="Times New Roman" w:eastAsia="仿宋" w:cs="Times New Roman"/>
          <w:b w:val="0"/>
          <w:color w:val="auto"/>
          <w:w w:val="100"/>
          <w:sz w:val="32"/>
          <w:szCs w:val="32"/>
        </w:rPr>
        <w:t>元。</w:t>
      </w:r>
      <w:r>
        <w:rPr>
          <w:rFonts w:hint="eastAsia" w:ascii="Times New Roman" w:hAnsi="Times New Roman" w:eastAsia="仿宋" w:cs="Times New Roman"/>
          <w:b w:val="0"/>
          <w:color w:val="auto"/>
          <w:w w:val="100"/>
          <w:sz w:val="32"/>
          <w:szCs w:val="32"/>
          <w:lang w:eastAsia="zh-CN"/>
        </w:rPr>
        <w:t>与去年减少</w:t>
      </w:r>
      <w:r>
        <w:rPr>
          <w:rFonts w:hint="eastAsia" w:ascii="Times New Roman" w:hAnsi="Times New Roman" w:eastAsia="仿宋" w:cs="Times New Roman"/>
          <w:b w:val="0"/>
          <w:color w:val="auto"/>
          <w:w w:val="100"/>
          <w:sz w:val="32"/>
          <w:szCs w:val="32"/>
          <w:lang w:val="en-US" w:eastAsia="zh-CN"/>
        </w:rPr>
        <w:t>2290元</w:t>
      </w:r>
      <w:r>
        <w:rPr>
          <w:rFonts w:hint="default" w:ascii="Times New Roman" w:hAnsi="Times New Roman" w:eastAsia="仿宋" w:cs="Times New Roman"/>
          <w:b w:val="0"/>
          <w:color w:val="auto"/>
          <w:w w:val="100"/>
          <w:sz w:val="32"/>
          <w:szCs w:val="32"/>
        </w:rPr>
        <w:t>。</w:t>
      </w:r>
      <w:r>
        <w:rPr>
          <w:rFonts w:hint="default" w:ascii="Times New Roman" w:hAnsi="Times New Roman" w:eastAsia="仿宋" w:cs="Times New Roman"/>
          <w:b w:val="0"/>
          <w:color w:val="auto"/>
          <w:w w:val="100"/>
          <w:sz w:val="32"/>
          <w:szCs w:val="32"/>
          <w:lang w:eastAsia="zh-CN"/>
        </w:rPr>
        <w:t>国内公务接待</w:t>
      </w:r>
      <w:r>
        <w:rPr>
          <w:rFonts w:hint="eastAsia" w:ascii="Times New Roman" w:hAnsi="Times New Roman" w:eastAsia="仿宋" w:cs="Times New Roman"/>
          <w:b w:val="0"/>
          <w:color w:val="auto"/>
          <w:w w:val="100"/>
          <w:sz w:val="32"/>
          <w:szCs w:val="32"/>
          <w:lang w:val="en-US" w:eastAsia="zh-CN"/>
        </w:rPr>
        <w:t>43</w:t>
      </w:r>
      <w:r>
        <w:rPr>
          <w:rFonts w:hint="default" w:ascii="Times New Roman" w:hAnsi="Times New Roman" w:eastAsia="仿宋" w:cs="Times New Roman"/>
          <w:b w:val="0"/>
          <w:color w:val="auto"/>
          <w:w w:val="100"/>
          <w:sz w:val="32"/>
          <w:szCs w:val="32"/>
          <w:lang w:eastAsia="zh-CN"/>
        </w:rPr>
        <w:t>批次，国内公务接待</w:t>
      </w:r>
      <w:r>
        <w:rPr>
          <w:rFonts w:hint="eastAsia" w:ascii="Times New Roman" w:hAnsi="Times New Roman" w:eastAsia="仿宋" w:cs="Times New Roman"/>
          <w:b w:val="0"/>
          <w:color w:val="auto"/>
          <w:w w:val="100"/>
          <w:sz w:val="32"/>
          <w:szCs w:val="32"/>
          <w:lang w:val="en-US" w:eastAsia="zh-CN"/>
        </w:rPr>
        <w:t>390</w:t>
      </w:r>
      <w:r>
        <w:rPr>
          <w:rFonts w:hint="default" w:ascii="Times New Roman" w:hAnsi="Times New Roman" w:eastAsia="仿宋" w:cs="Times New Roman"/>
          <w:b w:val="0"/>
          <w:color w:val="auto"/>
          <w:w w:val="100"/>
          <w:sz w:val="32"/>
          <w:szCs w:val="32"/>
          <w:lang w:eastAsia="zh-CN"/>
        </w:rPr>
        <w:t>人次，与年初预算</w:t>
      </w:r>
      <w:r>
        <w:rPr>
          <w:rFonts w:hint="default" w:ascii="Times New Roman" w:hAnsi="Times New Roman" w:eastAsia="仿宋" w:cs="Times New Roman"/>
          <w:b w:val="0"/>
          <w:color w:val="auto"/>
          <w:w w:val="100"/>
          <w:sz w:val="32"/>
          <w:szCs w:val="32"/>
          <w:lang w:val="en-US" w:eastAsia="zh-CN"/>
        </w:rPr>
        <w:t>5</w:t>
      </w:r>
      <w:r>
        <w:rPr>
          <w:rFonts w:hint="eastAsia" w:ascii="Times New Roman" w:hAnsi="Times New Roman" w:eastAsia="仿宋" w:cs="Times New Roman"/>
          <w:b w:val="0"/>
          <w:color w:val="auto"/>
          <w:w w:val="100"/>
          <w:sz w:val="32"/>
          <w:szCs w:val="32"/>
          <w:lang w:val="en-US" w:eastAsia="zh-CN"/>
        </w:rPr>
        <w:t>2800</w:t>
      </w:r>
      <w:r>
        <w:rPr>
          <w:rFonts w:hint="default" w:ascii="Times New Roman" w:hAnsi="Times New Roman" w:eastAsia="仿宋" w:cs="Times New Roman"/>
          <w:b w:val="0"/>
          <w:color w:val="auto"/>
          <w:w w:val="100"/>
          <w:sz w:val="32"/>
          <w:szCs w:val="32"/>
          <w:lang w:eastAsia="zh-CN"/>
        </w:rPr>
        <w:t>元</w:t>
      </w:r>
      <w:r>
        <w:rPr>
          <w:rFonts w:hint="eastAsia" w:ascii="Times New Roman" w:hAnsi="Times New Roman" w:eastAsia="仿宋" w:cs="Times New Roman"/>
          <w:b w:val="0"/>
          <w:color w:val="auto"/>
          <w:w w:val="100"/>
          <w:sz w:val="32"/>
          <w:szCs w:val="32"/>
          <w:lang w:eastAsia="zh-CN"/>
        </w:rPr>
        <w:t>相比</w:t>
      </w:r>
      <w:r>
        <w:rPr>
          <w:rFonts w:hint="default" w:ascii="Times New Roman" w:hAnsi="Times New Roman" w:eastAsia="仿宋" w:cs="Times New Roman"/>
          <w:b w:val="0"/>
          <w:color w:val="auto"/>
          <w:w w:val="100"/>
          <w:sz w:val="32"/>
          <w:szCs w:val="32"/>
          <w:lang w:eastAsia="zh-CN"/>
        </w:rPr>
        <w:t>，减少了</w:t>
      </w:r>
      <w:r>
        <w:rPr>
          <w:rFonts w:hint="eastAsia" w:ascii="Times New Roman" w:hAnsi="Times New Roman" w:eastAsia="仿宋" w:cs="Times New Roman"/>
          <w:b w:val="0"/>
          <w:color w:val="auto"/>
          <w:w w:val="100"/>
          <w:sz w:val="32"/>
          <w:szCs w:val="32"/>
          <w:lang w:val="en-US" w:eastAsia="zh-CN"/>
        </w:rPr>
        <w:t>12800</w:t>
      </w:r>
      <w:r>
        <w:rPr>
          <w:rFonts w:hint="default" w:ascii="Times New Roman" w:hAnsi="Times New Roman" w:eastAsia="仿宋" w:cs="Times New Roman"/>
          <w:b w:val="0"/>
          <w:color w:val="auto"/>
          <w:w w:val="100"/>
          <w:sz w:val="32"/>
          <w:szCs w:val="32"/>
          <w:lang w:eastAsia="zh-CN"/>
        </w:rPr>
        <w:t>元。</w:t>
      </w:r>
      <w:r>
        <w:rPr>
          <w:rFonts w:hint="eastAsia" w:ascii="Times New Roman" w:hAnsi="Times New Roman" w:eastAsia="仿宋" w:cs="Times New Roman"/>
          <w:b w:val="0"/>
          <w:color w:val="auto"/>
          <w:w w:val="100"/>
          <w:sz w:val="32"/>
          <w:szCs w:val="32"/>
          <w:lang w:val="en-US" w:eastAsia="zh-CN"/>
        </w:rPr>
        <w:t>2020</w:t>
      </w:r>
      <w:r>
        <w:rPr>
          <w:rFonts w:hint="default" w:ascii="Times New Roman" w:hAnsi="Times New Roman" w:eastAsia="仿宋" w:cs="Times New Roman"/>
          <w:b w:val="0"/>
          <w:color w:val="auto"/>
          <w:w w:val="100"/>
          <w:sz w:val="32"/>
          <w:szCs w:val="32"/>
          <w:lang w:eastAsia="zh-CN"/>
        </w:rPr>
        <w:t>年度“三公”经费小于预算数的主要</w:t>
      </w:r>
      <w:r>
        <w:rPr>
          <w:rFonts w:hint="default" w:ascii="Times New Roman" w:hAnsi="Times New Roman" w:eastAsia="仿宋" w:cs="Times New Roman"/>
          <w:b w:val="0"/>
          <w:color w:val="auto"/>
          <w:w w:val="100"/>
          <w:sz w:val="32"/>
          <w:szCs w:val="32"/>
        </w:rPr>
        <w:t>原因</w:t>
      </w:r>
      <w:r>
        <w:rPr>
          <w:rFonts w:hint="eastAsia" w:ascii="Times New Roman" w:hAnsi="Times New Roman" w:eastAsia="仿宋" w:cs="Times New Roman"/>
          <w:b w:val="0"/>
          <w:color w:val="auto"/>
          <w:w w:val="100"/>
          <w:sz w:val="32"/>
          <w:szCs w:val="32"/>
          <w:lang w:eastAsia="zh-CN"/>
        </w:rPr>
        <w:t>：一</w:t>
      </w:r>
      <w:r>
        <w:rPr>
          <w:rFonts w:hint="default" w:ascii="Times New Roman" w:hAnsi="Times New Roman" w:eastAsia="仿宋" w:cs="Times New Roman"/>
          <w:b w:val="0"/>
          <w:color w:val="auto"/>
          <w:w w:val="100"/>
          <w:sz w:val="32"/>
          <w:szCs w:val="32"/>
        </w:rPr>
        <w:t>是认真贯彻落实中央“八项规定”</w:t>
      </w:r>
      <w:r>
        <w:rPr>
          <w:rFonts w:hint="eastAsia" w:ascii="Times New Roman" w:hAnsi="Times New Roman" w:eastAsia="仿宋" w:cs="Times New Roman"/>
          <w:b w:val="0"/>
          <w:color w:val="auto"/>
          <w:w w:val="100"/>
          <w:sz w:val="32"/>
          <w:szCs w:val="32"/>
          <w:lang w:eastAsia="zh-CN"/>
        </w:rPr>
        <w:t>精神和</w:t>
      </w:r>
      <w:r>
        <w:rPr>
          <w:rFonts w:hint="default" w:ascii="Times New Roman" w:hAnsi="Times New Roman" w:eastAsia="仿宋" w:cs="Times New Roman"/>
          <w:b w:val="0"/>
          <w:color w:val="auto"/>
          <w:w w:val="100"/>
          <w:sz w:val="32"/>
          <w:szCs w:val="32"/>
        </w:rPr>
        <w:t>省委“九项规定”精神</w:t>
      </w:r>
      <w:r>
        <w:rPr>
          <w:rFonts w:hint="eastAsia" w:ascii="Times New Roman" w:hAnsi="Times New Roman" w:eastAsia="仿宋" w:cs="Times New Roman"/>
          <w:b w:val="0"/>
          <w:color w:val="auto"/>
          <w:w w:val="100"/>
          <w:sz w:val="32"/>
          <w:szCs w:val="32"/>
          <w:lang w:eastAsia="zh-CN"/>
        </w:rPr>
        <w:t>；二是严格执行量入为出，厉行节约的原则；三是进一步从严控制“三公”经费开支，始终坚持做到保基本支出、保民生支出，把有限资金用在刀刃上，</w:t>
      </w:r>
      <w:r>
        <w:rPr>
          <w:rFonts w:hint="default" w:ascii="Times New Roman" w:hAnsi="Times New Roman" w:eastAsia="仿宋" w:cs="Times New Roman"/>
          <w:b w:val="0"/>
          <w:color w:val="auto"/>
          <w:w w:val="100"/>
          <w:sz w:val="32"/>
          <w:szCs w:val="32"/>
        </w:rPr>
        <w:t>全年实际支出比预算有</w:t>
      </w:r>
      <w:r>
        <w:rPr>
          <w:rFonts w:hint="default" w:ascii="Times New Roman" w:hAnsi="Times New Roman" w:eastAsia="仿宋" w:cs="Times New Roman"/>
          <w:b w:val="0"/>
          <w:color w:val="auto"/>
          <w:w w:val="100"/>
          <w:sz w:val="32"/>
          <w:szCs w:val="32"/>
          <w:lang w:eastAsia="zh-CN"/>
        </w:rPr>
        <w:t>所</w:t>
      </w:r>
      <w:r>
        <w:rPr>
          <w:rFonts w:hint="default" w:ascii="Times New Roman" w:hAnsi="Times New Roman" w:eastAsia="仿宋" w:cs="Times New Roman"/>
          <w:b w:val="0"/>
          <w:color w:val="auto"/>
          <w:w w:val="100"/>
          <w:sz w:val="32"/>
          <w:szCs w:val="32"/>
        </w:rPr>
        <w:t>节约。</w:t>
      </w:r>
    </w:p>
    <w:p>
      <w:pPr>
        <w:keepNext w:val="0"/>
        <w:keepLines w:val="0"/>
        <w:pageBreakBefore w:val="0"/>
        <w:kinsoku/>
        <w:wordWrap/>
        <w:overflowPunct/>
        <w:topLinePunct w:val="0"/>
        <w:autoSpaceDE/>
        <w:autoSpaceDN/>
        <w:bidi w:val="0"/>
        <w:adjustRightInd/>
        <w:spacing w:line="560" w:lineRule="exact"/>
        <w:ind w:firstLine="643" w:firstLineChars="200"/>
        <w:jc w:val="both"/>
        <w:textAlignment w:val="auto"/>
        <w:rPr>
          <w:rFonts w:hint="eastAsia" w:ascii="Times New Roman" w:hAnsi="Times New Roman" w:eastAsia="楷体_GB2312" w:cs="Times New Roman"/>
          <w:b/>
          <w:color w:val="auto"/>
          <w:sz w:val="32"/>
          <w:szCs w:val="32"/>
          <w:lang w:eastAsia="zh-CN"/>
        </w:rPr>
      </w:pPr>
      <w:r>
        <w:rPr>
          <w:rFonts w:hint="eastAsia" w:ascii="Times New Roman" w:hAnsi="Times New Roman" w:eastAsia="楷体_GB2312" w:cs="Times New Roman"/>
          <w:b/>
          <w:color w:val="auto"/>
          <w:sz w:val="32"/>
          <w:szCs w:val="32"/>
          <w:lang w:eastAsia="zh-CN"/>
        </w:rPr>
        <w:t>（二）项目支出</w:t>
      </w:r>
    </w:p>
    <w:p>
      <w:pPr>
        <w:keepNext w:val="0"/>
        <w:keepLines w:val="0"/>
        <w:pageBreakBefore w:val="0"/>
        <w:kinsoku/>
        <w:wordWrap/>
        <w:overflowPunct/>
        <w:topLinePunct w:val="0"/>
        <w:autoSpaceDE/>
        <w:autoSpaceDN/>
        <w:bidi w:val="0"/>
        <w:adjustRightInd/>
        <w:spacing w:line="560" w:lineRule="exact"/>
        <w:ind w:firstLine="640" w:firstLineChars="200"/>
        <w:jc w:val="both"/>
        <w:textAlignment w:val="auto"/>
        <w:rPr>
          <w:rFonts w:hint="eastAsia" w:ascii="Times New Roman" w:hAnsi="Times New Roman" w:eastAsia="仿宋_GB2312"/>
          <w:bCs/>
          <w:color w:val="000000"/>
          <w:sz w:val="32"/>
          <w:szCs w:val="32"/>
          <w:lang w:val="en-US" w:eastAsia="zh-CN"/>
        </w:rPr>
      </w:pPr>
      <w:r>
        <w:rPr>
          <w:rFonts w:hint="eastAsia" w:ascii="Times New Roman" w:hAnsi="Times New Roman" w:eastAsia="仿宋_GB2312"/>
          <w:bCs/>
          <w:color w:val="000000"/>
          <w:sz w:val="32"/>
          <w:szCs w:val="32"/>
          <w:lang w:val="en-US" w:eastAsia="zh-CN"/>
        </w:rPr>
        <w:t>2020年县残联项目支出预算总数为4304661.58元，其中残疾人康复资金预算680000元，残疾人就业和扶贫资金预算1400000元，其他残疾人事业支出资金预算1520000元，残疾人体育资金预算30000元，政府基金性项目预算674661.58元；2020年县残联项目支出决算总数为4300966.08元，其中残疾人康复资金决算数676294.5元，残疾人就业和扶贫决算资金数为1394950元，其他残疾人事业支出决算数1525060元，残疾人体育资金决算数为30000元，政府性基金项目支出资金决算数674661.58元。</w:t>
      </w:r>
    </w:p>
    <w:p>
      <w:pPr>
        <w:keepNext w:val="0"/>
        <w:keepLines w:val="0"/>
        <w:pageBreakBefore w:val="0"/>
        <w:kinsoku/>
        <w:wordWrap/>
        <w:overflowPunct/>
        <w:topLinePunct w:val="0"/>
        <w:autoSpaceDE/>
        <w:autoSpaceDN/>
        <w:bidi w:val="0"/>
        <w:adjustRightInd/>
        <w:spacing w:line="560" w:lineRule="exact"/>
        <w:ind w:firstLine="640" w:firstLineChars="200"/>
        <w:jc w:val="both"/>
        <w:textAlignment w:val="auto"/>
        <w:rPr>
          <w:rFonts w:ascii="Times New Roman" w:hAnsi="Times New Roman" w:eastAsia="黑体"/>
          <w:bCs/>
          <w:color w:val="000000"/>
          <w:sz w:val="32"/>
          <w:szCs w:val="32"/>
        </w:rPr>
      </w:pPr>
      <w:r>
        <w:rPr>
          <w:rFonts w:ascii="Times New Roman" w:hAnsi="Times New Roman" w:eastAsia="黑体"/>
          <w:bCs/>
          <w:color w:val="000000"/>
          <w:sz w:val="32"/>
          <w:szCs w:val="32"/>
        </w:rPr>
        <w:t>三、部门整体支出绩效情况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楷体" w:hAnsi="楷体" w:eastAsia="楷体" w:cs="楷体"/>
          <w:b/>
          <w:bCs/>
          <w:color w:val="auto"/>
          <w:sz w:val="32"/>
          <w:szCs w:val="32"/>
          <w:lang w:val="en-US" w:eastAsia="zh-CN"/>
        </w:rPr>
        <w:t>（一）大力扶持残疾人就业创业，致力于提高残疾人致富能力。</w:t>
      </w:r>
      <w:r>
        <w:rPr>
          <w:rFonts w:hint="eastAsia" w:ascii="仿宋_GB2312" w:hAnsi="仿宋_GB2312" w:eastAsia="仿宋_GB2312" w:cs="仿宋_GB2312"/>
          <w:b w:val="0"/>
          <w:bCs w:val="0"/>
          <w:color w:val="auto"/>
          <w:sz w:val="32"/>
          <w:szCs w:val="32"/>
          <w:lang w:val="en-US" w:eastAsia="zh-CN"/>
        </w:rPr>
        <w:t>一是加强残疾人培训。</w:t>
      </w:r>
      <w:r>
        <w:rPr>
          <w:rFonts w:hint="eastAsia" w:ascii="仿宋" w:hAnsi="仿宋" w:eastAsia="仿宋" w:cs="宋体"/>
          <w:color w:val="auto"/>
          <w:kern w:val="0"/>
          <w:sz w:val="32"/>
          <w:szCs w:val="32"/>
        </w:rPr>
        <w:t>“阳光增收”培训</w:t>
      </w:r>
      <w:r>
        <w:rPr>
          <w:rFonts w:hint="eastAsia" w:ascii="仿宋" w:hAnsi="仿宋" w:eastAsia="仿宋"/>
          <w:color w:val="auto"/>
          <w:sz w:val="32"/>
          <w:szCs w:val="32"/>
        </w:rPr>
        <w:t>建档立卡贫困残疾人100人，</w:t>
      </w:r>
      <w:r>
        <w:rPr>
          <w:rFonts w:hint="eastAsia" w:ascii="仿宋" w:hAnsi="仿宋" w:eastAsia="仿宋"/>
          <w:color w:val="auto"/>
          <w:sz w:val="32"/>
          <w:szCs w:val="32"/>
          <w:lang w:eastAsia="zh-CN"/>
        </w:rPr>
        <w:t>并</w:t>
      </w:r>
      <w:r>
        <w:rPr>
          <w:rFonts w:hint="eastAsia" w:ascii="仿宋" w:hAnsi="仿宋" w:eastAsia="仿宋"/>
          <w:color w:val="auto"/>
          <w:sz w:val="32"/>
          <w:szCs w:val="32"/>
        </w:rPr>
        <w:t>发放鸡苗100只</w:t>
      </w:r>
      <w:r>
        <w:rPr>
          <w:rFonts w:hint="eastAsia" w:ascii="仿宋" w:hAnsi="仿宋" w:eastAsia="仿宋"/>
          <w:color w:val="auto"/>
          <w:sz w:val="32"/>
          <w:szCs w:val="32"/>
          <w:lang w:eastAsia="zh-CN"/>
        </w:rPr>
        <w:t>每人</w:t>
      </w:r>
      <w:r>
        <w:rPr>
          <w:rFonts w:hint="eastAsia" w:ascii="仿宋" w:hAnsi="仿宋" w:eastAsia="仿宋"/>
          <w:color w:val="auto"/>
          <w:sz w:val="32"/>
          <w:szCs w:val="32"/>
        </w:rPr>
        <w:t>、饲料、鸡瘟预防药、饲养工具等</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SYB创业培训20人。二是扶持49户残疾人自主创业。</w:t>
      </w:r>
      <w:r>
        <w:rPr>
          <w:rStyle w:val="5"/>
          <w:rFonts w:hint="eastAsia" w:ascii="仿宋" w:hAnsi="仿宋" w:eastAsia="仿宋"/>
          <w:color w:val="auto"/>
          <w:sz w:val="32"/>
          <w:szCs w:val="32"/>
          <w:lang w:eastAsia="zh-CN"/>
        </w:rPr>
        <w:t>肢体四级残疾人桐木镇半界村书记向往被评为</w:t>
      </w:r>
      <w:r>
        <w:rPr>
          <w:rStyle w:val="5"/>
          <w:rFonts w:hint="eastAsia" w:ascii="仿宋" w:hAnsi="仿宋" w:eastAsia="仿宋"/>
          <w:color w:val="auto"/>
          <w:sz w:val="32"/>
          <w:szCs w:val="32"/>
          <w:lang w:val="en-US" w:eastAsia="zh-CN"/>
        </w:rPr>
        <w:t>2020年度湖南省“百名阳光致富带头人”。</w:t>
      </w:r>
      <w:r>
        <w:rPr>
          <w:rFonts w:hint="eastAsia" w:ascii="仿宋" w:hAnsi="仿宋" w:eastAsia="仿宋"/>
          <w:color w:val="auto"/>
          <w:sz w:val="32"/>
          <w:szCs w:val="32"/>
          <w:lang w:eastAsia="zh-CN"/>
        </w:rPr>
        <w:t>三是</w:t>
      </w:r>
      <w:r>
        <w:rPr>
          <w:rFonts w:hint="eastAsia" w:ascii="仿宋_GB2312" w:hAnsi="仿宋_GB2312" w:eastAsia="仿宋_GB2312" w:cs="仿宋_GB2312"/>
          <w:b w:val="0"/>
          <w:bCs w:val="0"/>
          <w:color w:val="auto"/>
          <w:sz w:val="32"/>
          <w:szCs w:val="32"/>
          <w:lang w:val="en-US" w:eastAsia="zh-CN"/>
        </w:rPr>
        <w:t>建立县级残疾人扶贫示范基地4个，带动周边残疾人就业20余人。四是实施“连千村帮万户”扶贫工程，帮助新建镇黑禾田村11户残疾人家庭发展大生产，稳定就业，实现“两不愁、三保障”、年均纯收入高于贫困线标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Times New Roman"/>
          <w:color w:val="auto"/>
          <w:kern w:val="2"/>
          <w:sz w:val="32"/>
          <w:szCs w:val="32"/>
          <w:shd w:val="clear" w:color="auto" w:fill="FFFFFF"/>
          <w:lang w:val="en-US" w:eastAsia="zh-CN" w:bidi="ar-SA"/>
        </w:rPr>
      </w:pPr>
      <w:r>
        <w:rPr>
          <w:rFonts w:hint="eastAsia" w:ascii="楷体" w:hAnsi="楷体" w:eastAsia="楷体" w:cs="楷体"/>
          <w:b/>
          <w:bCs/>
          <w:color w:val="auto"/>
          <w:sz w:val="32"/>
          <w:szCs w:val="32"/>
          <w:lang w:val="en-US" w:eastAsia="zh-CN"/>
        </w:rPr>
        <w:t>（二）推进残疾人精准康复服务，全力提升残疾人生存质量。</w:t>
      </w:r>
      <w:r>
        <w:rPr>
          <w:rFonts w:hint="eastAsia" w:ascii="仿宋" w:hAnsi="仿宋" w:eastAsia="仿宋"/>
          <w:color w:val="auto"/>
          <w:sz w:val="32"/>
          <w:szCs w:val="32"/>
          <w:shd w:val="clear" w:color="auto" w:fill="FFFFFF"/>
          <w:lang w:eastAsia="zh-CN"/>
        </w:rPr>
        <w:t>一是免费适配辅具</w:t>
      </w:r>
      <w:r>
        <w:rPr>
          <w:rFonts w:hint="eastAsia" w:ascii="仿宋" w:hAnsi="仿宋" w:eastAsia="仿宋"/>
          <w:color w:val="auto"/>
          <w:sz w:val="32"/>
          <w:szCs w:val="32"/>
          <w:shd w:val="clear" w:color="auto" w:fill="FFFFFF"/>
          <w:lang w:val="en-US" w:eastAsia="zh-CN"/>
        </w:rPr>
        <w:t>329</w:t>
      </w:r>
      <w:r>
        <w:rPr>
          <w:rFonts w:ascii="仿宋" w:hAnsi="仿宋" w:eastAsia="仿宋"/>
          <w:color w:val="auto"/>
          <w:sz w:val="32"/>
          <w:szCs w:val="32"/>
          <w:shd w:val="clear" w:color="auto" w:fill="FFFFFF"/>
        </w:rPr>
        <w:t>件</w:t>
      </w:r>
      <w:r>
        <w:rPr>
          <w:rFonts w:hint="eastAsia" w:ascii="仿宋" w:hAnsi="仿宋" w:eastAsia="仿宋"/>
          <w:color w:val="auto"/>
          <w:sz w:val="32"/>
          <w:szCs w:val="32"/>
          <w:shd w:val="clear" w:color="auto" w:fill="FFFFFF"/>
          <w:lang w:eastAsia="zh-CN"/>
        </w:rPr>
        <w:t>（</w:t>
      </w:r>
      <w:r>
        <w:rPr>
          <w:rFonts w:hint="eastAsia" w:ascii="仿宋" w:hAnsi="仿宋" w:eastAsia="仿宋"/>
          <w:color w:val="auto"/>
          <w:sz w:val="32"/>
          <w:szCs w:val="32"/>
          <w:shd w:val="clear" w:color="auto" w:fill="FFFFFF"/>
        </w:rPr>
        <w:t>其中轮椅105台</w:t>
      </w:r>
      <w:r>
        <w:rPr>
          <w:rFonts w:hint="eastAsia" w:ascii="仿宋" w:hAnsi="仿宋" w:eastAsia="仿宋"/>
          <w:color w:val="auto"/>
          <w:sz w:val="32"/>
          <w:szCs w:val="32"/>
          <w:u w:val="none"/>
          <w:shd w:val="clear" w:color="auto" w:fill="FFFFFF"/>
          <w:lang w:eastAsia="zh-CN"/>
        </w:rPr>
        <w:t>、</w:t>
      </w:r>
      <w:r>
        <w:rPr>
          <w:rFonts w:hint="eastAsia" w:ascii="仿宋" w:hAnsi="仿宋" w:eastAsia="仿宋"/>
          <w:color w:val="auto"/>
          <w:sz w:val="32"/>
          <w:szCs w:val="32"/>
          <w:u w:val="none"/>
          <w:shd w:val="clear" w:color="auto" w:fill="FFFFFF"/>
          <w:lang w:val="en-US" w:eastAsia="zh-CN"/>
        </w:rPr>
        <w:t>假肢27例）</w:t>
      </w:r>
      <w:r>
        <w:rPr>
          <w:rFonts w:hint="eastAsia" w:ascii="仿宋" w:hAnsi="仿宋" w:eastAsia="仿宋"/>
          <w:color w:val="auto"/>
          <w:sz w:val="32"/>
          <w:szCs w:val="32"/>
          <w:u w:val="none"/>
          <w:shd w:val="clear" w:color="auto" w:fill="FFFFFF"/>
          <w:lang w:eastAsia="zh-CN"/>
        </w:rPr>
        <w:t>。二是依托中方康复医院</w:t>
      </w:r>
      <w:r>
        <w:rPr>
          <w:rFonts w:ascii="仿宋" w:hAnsi="仿宋" w:eastAsia="仿宋"/>
          <w:color w:val="auto"/>
          <w:sz w:val="32"/>
          <w:szCs w:val="32"/>
          <w:u w:val="none"/>
          <w:shd w:val="clear" w:color="auto" w:fill="FFFFFF"/>
        </w:rPr>
        <w:t>为</w:t>
      </w:r>
      <w:r>
        <w:rPr>
          <w:rFonts w:hint="eastAsia" w:ascii="仿宋" w:hAnsi="仿宋" w:eastAsia="仿宋"/>
          <w:color w:val="auto"/>
          <w:sz w:val="32"/>
          <w:szCs w:val="32"/>
          <w:u w:val="none"/>
          <w:shd w:val="clear" w:color="auto" w:fill="FFFFFF"/>
        </w:rPr>
        <w:t>2</w:t>
      </w:r>
      <w:r>
        <w:rPr>
          <w:rFonts w:hint="eastAsia" w:ascii="仿宋" w:hAnsi="仿宋" w:eastAsia="仿宋"/>
          <w:color w:val="auto"/>
          <w:sz w:val="32"/>
          <w:szCs w:val="32"/>
          <w:u w:val="none"/>
          <w:shd w:val="clear" w:color="auto" w:fill="FFFFFF"/>
          <w:lang w:val="en-US" w:eastAsia="zh-CN"/>
        </w:rPr>
        <w:t>48</w:t>
      </w:r>
      <w:r>
        <w:rPr>
          <w:rFonts w:ascii="仿宋" w:hAnsi="仿宋" w:eastAsia="仿宋"/>
          <w:color w:val="auto"/>
          <w:sz w:val="32"/>
          <w:szCs w:val="32"/>
          <w:u w:val="none"/>
          <w:shd w:val="clear" w:color="auto" w:fill="FFFFFF"/>
        </w:rPr>
        <w:t>名贫困精神残疾人提供免费服药服务</w:t>
      </w:r>
      <w:r>
        <w:rPr>
          <w:rFonts w:hint="eastAsia" w:ascii="仿宋" w:hAnsi="仿宋" w:eastAsia="仿宋"/>
          <w:color w:val="auto"/>
          <w:sz w:val="32"/>
          <w:szCs w:val="32"/>
          <w:u w:val="none"/>
          <w:shd w:val="clear" w:color="auto" w:fill="FFFFFF"/>
          <w:lang w:eastAsia="zh-CN"/>
        </w:rPr>
        <w:t>。三是</w:t>
      </w:r>
      <w:r>
        <w:rPr>
          <w:rFonts w:ascii="仿宋" w:hAnsi="仿宋" w:eastAsia="仿宋"/>
          <w:color w:val="auto"/>
          <w:sz w:val="32"/>
          <w:szCs w:val="32"/>
          <w:shd w:val="clear" w:color="auto" w:fill="FFFFFF"/>
        </w:rPr>
        <w:t>为</w:t>
      </w:r>
      <w:r>
        <w:rPr>
          <w:rFonts w:hint="eastAsia" w:ascii="仿宋" w:hAnsi="仿宋" w:eastAsia="仿宋"/>
          <w:color w:val="auto"/>
          <w:sz w:val="32"/>
          <w:szCs w:val="32"/>
          <w:shd w:val="clear" w:color="auto" w:fill="FFFFFF"/>
          <w:lang w:val="en-US" w:eastAsia="zh-CN"/>
        </w:rPr>
        <w:t>52</w:t>
      </w:r>
      <w:r>
        <w:rPr>
          <w:rFonts w:ascii="仿宋" w:hAnsi="仿宋" w:eastAsia="仿宋"/>
          <w:color w:val="auto"/>
          <w:sz w:val="32"/>
          <w:szCs w:val="32"/>
          <w:shd w:val="clear" w:color="auto" w:fill="FFFFFF"/>
        </w:rPr>
        <w:t>名</w:t>
      </w:r>
      <w:r>
        <w:rPr>
          <w:rFonts w:hint="eastAsia" w:ascii="仿宋" w:hAnsi="仿宋" w:eastAsia="仿宋"/>
          <w:color w:val="auto"/>
          <w:sz w:val="32"/>
          <w:szCs w:val="32"/>
          <w:shd w:val="clear" w:color="auto" w:fill="FFFFFF"/>
          <w:lang w:eastAsia="zh-CN"/>
        </w:rPr>
        <w:t>“</w:t>
      </w:r>
      <w:r>
        <w:rPr>
          <w:rFonts w:ascii="仿宋" w:hAnsi="仿宋" w:eastAsia="仿宋"/>
          <w:color w:val="auto"/>
          <w:sz w:val="32"/>
          <w:szCs w:val="32"/>
          <w:shd w:val="clear" w:color="auto" w:fill="FFFFFF"/>
        </w:rPr>
        <w:t>0-6岁</w:t>
      </w:r>
      <w:r>
        <w:rPr>
          <w:rFonts w:hint="eastAsia" w:ascii="仿宋" w:hAnsi="仿宋" w:eastAsia="仿宋"/>
          <w:color w:val="auto"/>
          <w:sz w:val="32"/>
          <w:szCs w:val="32"/>
          <w:shd w:val="clear" w:color="auto" w:fill="FFFFFF"/>
          <w:lang w:eastAsia="zh-CN"/>
        </w:rPr>
        <w:t>”</w:t>
      </w:r>
      <w:r>
        <w:rPr>
          <w:rFonts w:ascii="仿宋" w:hAnsi="仿宋" w:eastAsia="仿宋"/>
          <w:color w:val="auto"/>
          <w:sz w:val="32"/>
          <w:szCs w:val="32"/>
          <w:shd w:val="clear" w:color="auto" w:fill="FFFFFF"/>
        </w:rPr>
        <w:t>残疾儿童提供免费康复训练</w:t>
      </w:r>
      <w:r>
        <w:rPr>
          <w:rFonts w:hint="eastAsia" w:ascii="仿宋" w:hAnsi="仿宋" w:eastAsia="仿宋"/>
          <w:color w:val="auto"/>
          <w:sz w:val="32"/>
          <w:szCs w:val="32"/>
          <w:shd w:val="clear" w:color="auto" w:fill="FFFFFF"/>
          <w:lang w:eastAsia="zh-CN"/>
        </w:rPr>
        <w:t>，全面</w:t>
      </w:r>
      <w:r>
        <w:rPr>
          <w:rFonts w:ascii="仿宋" w:hAnsi="仿宋" w:eastAsia="仿宋"/>
          <w:color w:val="auto"/>
          <w:sz w:val="32"/>
          <w:szCs w:val="32"/>
          <w:shd w:val="clear" w:color="auto" w:fill="FFFFFF"/>
        </w:rPr>
        <w:t>完成重点民生实事</w:t>
      </w:r>
      <w:r>
        <w:rPr>
          <w:rFonts w:hint="eastAsia" w:ascii="仿宋" w:hAnsi="仿宋" w:eastAsia="仿宋"/>
          <w:color w:val="auto"/>
          <w:sz w:val="32"/>
          <w:szCs w:val="32"/>
          <w:shd w:val="clear" w:color="auto" w:fill="FFFFFF"/>
          <w:lang w:eastAsia="zh-CN"/>
        </w:rPr>
        <w:t>项目；同时，</w:t>
      </w:r>
      <w:r>
        <w:rPr>
          <w:rFonts w:hint="eastAsia" w:ascii="仿宋" w:hAnsi="仿宋" w:eastAsia="仿宋" w:cs="Times New Roman"/>
          <w:color w:val="auto"/>
          <w:kern w:val="2"/>
          <w:sz w:val="32"/>
          <w:szCs w:val="32"/>
          <w:shd w:val="clear" w:color="auto" w:fill="FFFFFF"/>
          <w:lang w:val="en-US" w:eastAsia="zh-CN" w:bidi="ar-SA"/>
        </w:rPr>
        <w:t>指导“中方县爱心能力发展中心”和“中方县鑫蕾听力康复中心”两个儿童康复机构开展疫情防控和康复训练工作，机构建设达到省级标准。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color w:val="auto"/>
          <w:sz w:val="32"/>
          <w:szCs w:val="32"/>
          <w:lang w:val="en-US" w:eastAsia="zh-CN"/>
        </w:rPr>
      </w:pPr>
      <w:r>
        <w:rPr>
          <w:rFonts w:hint="eastAsia" w:ascii="楷体" w:hAnsi="楷体" w:eastAsia="楷体" w:cs="楷体"/>
          <w:b/>
          <w:bCs/>
          <w:color w:val="auto"/>
          <w:sz w:val="32"/>
          <w:szCs w:val="32"/>
          <w:lang w:val="en-US" w:eastAsia="zh-CN"/>
        </w:rPr>
        <w:t>（三）落实各项惠残政策，残疾人获得感显著提高。</w:t>
      </w:r>
      <w:r>
        <w:rPr>
          <w:rFonts w:hint="eastAsia" w:ascii="仿宋" w:hAnsi="仿宋" w:eastAsia="仿宋"/>
          <w:color w:val="auto"/>
          <w:sz w:val="32"/>
          <w:szCs w:val="32"/>
          <w:lang w:val="en-US" w:eastAsia="zh-CN"/>
        </w:rPr>
        <w:t>一是推进扶残助学。一年来，累计</w:t>
      </w:r>
      <w:r>
        <w:rPr>
          <w:rFonts w:hint="eastAsia" w:ascii="仿宋" w:hAnsi="仿宋" w:eastAsia="仿宋"/>
          <w:color w:val="auto"/>
          <w:sz w:val="32"/>
          <w:szCs w:val="32"/>
          <w:shd w:val="clear" w:color="auto" w:fill="FFFFFF"/>
        </w:rPr>
        <w:t>资助334名残疾学生及残疾家庭子女</w:t>
      </w:r>
      <w:r>
        <w:rPr>
          <w:rFonts w:hint="eastAsia" w:ascii="仿宋" w:hAnsi="仿宋" w:eastAsia="仿宋"/>
          <w:color w:val="auto"/>
          <w:sz w:val="32"/>
          <w:szCs w:val="32"/>
          <w:shd w:val="clear" w:color="auto" w:fill="FFFFFF"/>
          <w:lang w:eastAsia="zh-CN"/>
        </w:rPr>
        <w:t>上学</w:t>
      </w:r>
      <w:r>
        <w:rPr>
          <w:rFonts w:hint="eastAsia" w:ascii="仿宋" w:hAnsi="仿宋" w:eastAsia="仿宋"/>
          <w:color w:val="auto"/>
          <w:sz w:val="32"/>
          <w:szCs w:val="32"/>
          <w:shd w:val="clear" w:color="auto" w:fill="FFFFFF"/>
        </w:rPr>
        <w:t>。</w:t>
      </w:r>
      <w:r>
        <w:rPr>
          <w:rFonts w:hint="eastAsia" w:ascii="仿宋" w:hAnsi="仿宋" w:eastAsia="仿宋"/>
          <w:color w:val="auto"/>
          <w:sz w:val="32"/>
          <w:szCs w:val="32"/>
          <w:shd w:val="clear" w:color="auto" w:fill="FFFFFF"/>
          <w:lang w:eastAsia="zh-CN"/>
        </w:rPr>
        <w:t>二是</w:t>
      </w:r>
      <w:r>
        <w:rPr>
          <w:rFonts w:hint="eastAsia" w:ascii="仿宋_GB2312" w:hAnsi="仿宋_GB2312" w:eastAsia="仿宋_GB2312" w:cs="仿宋_GB2312"/>
          <w:color w:val="auto"/>
          <w:sz w:val="32"/>
          <w:szCs w:val="32"/>
          <w:lang w:val="en-US" w:eastAsia="zh-CN"/>
        </w:rPr>
        <w:t>发放残疾人机动车燃油补贴</w:t>
      </w:r>
      <w:r>
        <w:rPr>
          <w:rFonts w:hint="eastAsia" w:ascii="仿宋" w:hAnsi="仿宋" w:eastAsia="仿宋"/>
          <w:color w:val="auto"/>
          <w:sz w:val="32"/>
          <w:szCs w:val="32"/>
          <w:shd w:val="clear" w:color="auto" w:fill="FFFFFF"/>
        </w:rPr>
        <w:t>171</w:t>
      </w:r>
      <w:r>
        <w:rPr>
          <w:rFonts w:ascii="仿宋" w:hAnsi="仿宋" w:eastAsia="仿宋"/>
          <w:color w:val="auto"/>
          <w:sz w:val="32"/>
          <w:szCs w:val="32"/>
          <w:shd w:val="clear" w:color="auto" w:fill="FFFFFF"/>
        </w:rPr>
        <w:t>人</w:t>
      </w:r>
      <w:r>
        <w:rPr>
          <w:rFonts w:hint="eastAsia" w:ascii="仿宋_GB2312" w:hAnsi="仿宋_GB2312" w:eastAsia="仿宋_GB2312" w:cs="仿宋_GB2312"/>
          <w:color w:val="auto"/>
          <w:sz w:val="32"/>
          <w:szCs w:val="32"/>
          <w:lang w:val="en-US" w:eastAsia="zh-CN"/>
        </w:rPr>
        <w:t>。三是扎实开展居家托养。委托怀化市金秋健康助残服务中心为全县120名贫困残疾人提供</w:t>
      </w:r>
      <w:r>
        <w:rPr>
          <w:rFonts w:hint="eastAsia" w:hAnsi="仿宋_GB2312" w:eastAsia="仿宋_GB2312"/>
          <w:color w:val="auto"/>
          <w:sz w:val="32"/>
          <w:szCs w:val="32"/>
        </w:rPr>
        <w:t>洗衣服、做饭、照顾起居、居室清洁、陪同看病、康复训练</w:t>
      </w:r>
      <w:r>
        <w:rPr>
          <w:rFonts w:hint="eastAsia" w:hAnsi="仿宋_GB2312" w:eastAsia="仿宋_GB2312"/>
          <w:color w:val="auto"/>
          <w:sz w:val="32"/>
          <w:szCs w:val="32"/>
          <w:lang w:eastAsia="zh-CN"/>
        </w:rPr>
        <w:t>、房屋检漏、帮助干农活等服务</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b w:val="0"/>
          <w:bCs w:val="0"/>
          <w:color w:val="auto"/>
          <w:sz w:val="32"/>
          <w:szCs w:val="32"/>
          <w:lang w:val="en-US" w:eastAsia="zh-CN"/>
        </w:rPr>
        <w:t>四是协助民政部门落实残疾人两项补贴，政策享受率达100%。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auto"/>
          <w:sz w:val="32"/>
          <w:szCs w:val="32"/>
          <w:u w:val="none"/>
          <w:lang w:val="en-US" w:eastAsia="zh-CN"/>
        </w:rPr>
      </w:pPr>
      <w:r>
        <w:rPr>
          <w:rFonts w:hint="eastAsia" w:ascii="楷体" w:hAnsi="楷体" w:eastAsia="楷体" w:cs="楷体"/>
          <w:b/>
          <w:bCs/>
          <w:color w:val="auto"/>
          <w:sz w:val="32"/>
          <w:szCs w:val="32"/>
          <w:lang w:val="en-US" w:eastAsia="zh-CN"/>
        </w:rPr>
        <w:t>（四）强化残疾人兜底保障，确保小康路上残疾人一个都不能少。</w:t>
      </w:r>
      <w:r>
        <w:rPr>
          <w:rFonts w:hint="eastAsia" w:ascii="仿宋_GB2312" w:hAnsi="仿宋_GB2312" w:eastAsia="仿宋_GB2312" w:cs="仿宋_GB2312"/>
          <w:b w:val="0"/>
          <w:bCs w:val="0"/>
          <w:color w:val="auto"/>
          <w:sz w:val="32"/>
          <w:szCs w:val="32"/>
          <w:lang w:val="en-US" w:eastAsia="zh-CN"/>
        </w:rPr>
        <w:t>一是全额代缴残疾人城乡居民养老保险。累计代缴一、二级重度残疾人及三、四级建档立卡贫困残疾人城乡居民养老保险2238人。二是累计代缴一、二级残疾人医疗保险980人。三是发放县城规划区内失地少地残疾人生活补贴172人；临时救</w:t>
      </w:r>
      <w:r>
        <w:rPr>
          <w:rFonts w:hint="eastAsia" w:ascii="仿宋_GB2312" w:hAnsi="仿宋_GB2312" w:eastAsia="仿宋_GB2312" w:cs="仿宋_GB2312"/>
          <w:b w:val="0"/>
          <w:bCs w:val="0"/>
          <w:color w:val="auto"/>
          <w:sz w:val="32"/>
          <w:szCs w:val="32"/>
          <w:u w:val="none"/>
          <w:lang w:val="en-US" w:eastAsia="zh-CN"/>
        </w:rPr>
        <w:t>助残疾人39人次。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default" w:ascii="仿宋" w:hAnsi="仿宋" w:eastAsia="仿宋"/>
          <w:color w:val="auto"/>
          <w:sz w:val="32"/>
          <w:szCs w:val="32"/>
          <w:shd w:val="clear" w:color="auto" w:fill="FFFFFF"/>
          <w:lang w:val="en-US" w:eastAsia="zh-CN"/>
        </w:rPr>
      </w:pPr>
      <w:r>
        <w:rPr>
          <w:rFonts w:hint="eastAsia" w:ascii="楷体" w:hAnsi="楷体" w:eastAsia="楷体" w:cs="楷体"/>
          <w:b/>
          <w:bCs/>
          <w:color w:val="auto"/>
          <w:sz w:val="32"/>
          <w:szCs w:val="32"/>
          <w:lang w:val="en-US" w:eastAsia="zh-CN"/>
        </w:rPr>
        <w:t>（五）维护残疾人合法权益，尽力让每个残疾人活得更有尊严。</w:t>
      </w:r>
      <w:r>
        <w:rPr>
          <w:rFonts w:hint="eastAsia" w:ascii="仿宋_GB2312" w:hAnsi="仿宋_GB2312" w:eastAsia="仿宋_GB2312" w:cs="仿宋_GB2312"/>
          <w:b w:val="0"/>
          <w:bCs w:val="0"/>
          <w:color w:val="auto"/>
          <w:sz w:val="32"/>
          <w:szCs w:val="32"/>
          <w:u w:val="none"/>
          <w:lang w:val="en-US" w:eastAsia="zh-CN"/>
        </w:rPr>
        <w:t>一是以政府购买服务方式，委托中方县虹帆装饰工程有限公司为全县25户重度建档立卡贫困残疾人进行家庭无障碍改造，同时协助住建部门完成残疾人危房改造，</w:t>
      </w:r>
      <w:r>
        <w:rPr>
          <w:rFonts w:hint="default" w:ascii="仿宋_GB2312" w:hAnsi="仿宋_GB2312" w:eastAsia="仿宋_GB2312" w:cs="仿宋_GB2312"/>
          <w:b w:val="0"/>
          <w:bCs w:val="0"/>
          <w:color w:val="auto"/>
          <w:sz w:val="32"/>
          <w:szCs w:val="32"/>
          <w:u w:val="none"/>
          <w:lang w:val="en-US" w:eastAsia="zh-CN"/>
        </w:rPr>
        <w:t>托起贫困残疾人安居梦</w:t>
      </w:r>
      <w:r>
        <w:rPr>
          <w:rFonts w:hint="eastAsia" w:ascii="仿宋_GB2312" w:hAnsi="仿宋_GB2312" w:eastAsia="仿宋_GB2312" w:cs="仿宋_GB2312"/>
          <w:b w:val="0"/>
          <w:bCs w:val="0"/>
          <w:color w:val="auto"/>
          <w:sz w:val="32"/>
          <w:szCs w:val="32"/>
          <w:u w:val="none"/>
          <w:lang w:val="en-US" w:eastAsia="zh-CN"/>
        </w:rPr>
        <w:t>。二</w:t>
      </w:r>
      <w:r>
        <w:rPr>
          <w:rFonts w:hint="eastAsia" w:ascii="仿宋_GB2312" w:hAnsi="仿宋_GB2312" w:eastAsia="仿宋_GB2312" w:cs="仿宋_GB2312"/>
          <w:b w:val="0"/>
          <w:bCs w:val="0"/>
          <w:color w:val="auto"/>
          <w:sz w:val="32"/>
          <w:szCs w:val="32"/>
          <w:lang w:val="en-US" w:eastAsia="zh-CN"/>
        </w:rPr>
        <w:t>是开展评残办证暖心行动。</w:t>
      </w:r>
      <w:r>
        <w:rPr>
          <w:rFonts w:ascii="仿宋" w:hAnsi="仿宋" w:eastAsia="仿宋"/>
          <w:color w:val="auto"/>
          <w:sz w:val="32"/>
          <w:szCs w:val="32"/>
          <w:shd w:val="clear" w:color="auto" w:fill="FFFFFF"/>
        </w:rPr>
        <w:t>出台《中方县建档立卡贫困户疑似残疾人办证和换证工作方案》（中县扶领办发〔2020〕3 号</w:t>
      </w:r>
      <w:r>
        <w:rPr>
          <w:rFonts w:hint="eastAsia" w:ascii="仿宋" w:hAnsi="仿宋" w:eastAsia="仿宋"/>
          <w:color w:val="auto"/>
          <w:sz w:val="32"/>
          <w:szCs w:val="32"/>
          <w:shd w:val="clear" w:color="auto" w:fill="FFFFFF"/>
          <w:lang w:eastAsia="zh-CN"/>
        </w:rPr>
        <w:t>）</w:t>
      </w:r>
      <w:r>
        <w:rPr>
          <w:rFonts w:ascii="仿宋" w:hAnsi="仿宋" w:eastAsia="仿宋"/>
          <w:color w:val="auto"/>
          <w:sz w:val="32"/>
          <w:szCs w:val="32"/>
          <w:shd w:val="clear" w:color="auto" w:fill="FFFFFF"/>
        </w:rPr>
        <w:t>，联合定点医疗机构（中方县人民医院、怀化市中医院）医生，</w:t>
      </w:r>
      <w:r>
        <w:rPr>
          <w:rFonts w:hint="eastAsia" w:ascii="仿宋_GB2312" w:hAnsi="宋体" w:eastAsia="仿宋_GB2312"/>
          <w:color w:val="auto"/>
          <w:sz w:val="32"/>
          <w:szCs w:val="32"/>
          <w:lang w:eastAsia="zh-CN"/>
        </w:rPr>
        <w:t>于</w:t>
      </w:r>
      <w:r>
        <w:rPr>
          <w:rFonts w:hint="eastAsia" w:ascii="仿宋_GB2312" w:hAnsi="宋体" w:eastAsia="仿宋_GB2312"/>
          <w:color w:val="auto"/>
          <w:sz w:val="32"/>
          <w:szCs w:val="32"/>
          <w:lang w:val="en-US" w:eastAsia="zh-CN"/>
        </w:rPr>
        <w:t>3月、5月份，</w:t>
      </w:r>
      <w:r>
        <w:rPr>
          <w:rFonts w:hint="eastAsia" w:ascii="仿宋" w:hAnsi="仿宋" w:eastAsia="仿宋"/>
          <w:color w:val="auto"/>
          <w:sz w:val="32"/>
          <w:szCs w:val="32"/>
          <w:shd w:val="clear" w:color="auto" w:fill="FFFFFF"/>
        </w:rPr>
        <w:t>多次开展</w:t>
      </w:r>
      <w:r>
        <w:rPr>
          <w:rFonts w:ascii="仿宋" w:hAnsi="仿宋" w:eastAsia="仿宋"/>
          <w:color w:val="auto"/>
          <w:sz w:val="32"/>
          <w:szCs w:val="32"/>
          <w:shd w:val="clear" w:color="auto" w:fill="FFFFFF"/>
        </w:rPr>
        <w:t>供“集中评定和上门评定，统一办理残疾证，统一更换残疾证”服务</w:t>
      </w:r>
      <w:r>
        <w:rPr>
          <w:rFonts w:hint="eastAsia" w:ascii="仿宋" w:hAnsi="仿宋" w:eastAsia="仿宋"/>
          <w:color w:val="auto"/>
          <w:sz w:val="32"/>
          <w:szCs w:val="32"/>
          <w:shd w:val="clear" w:color="auto" w:fill="FFFFFF"/>
          <w:lang w:eastAsia="zh-CN"/>
        </w:rPr>
        <w:t>。一年来累计换发残疾证</w:t>
      </w:r>
      <w:r>
        <w:rPr>
          <w:rFonts w:hint="eastAsia" w:ascii="仿宋" w:hAnsi="仿宋" w:eastAsia="仿宋"/>
          <w:color w:val="auto"/>
          <w:sz w:val="32"/>
          <w:szCs w:val="32"/>
          <w:shd w:val="clear" w:color="auto" w:fill="FFFFFF"/>
          <w:lang w:val="en-US" w:eastAsia="zh-CN"/>
        </w:rPr>
        <w:t>437人，其中建档立卡残疾人136人；新办证881人，其中建档立卡426人。9月底，购置第三代残疾人证智能化设备，正式发放第三代残疾人证（智能卡）。三是按时按质完成全县7912名残疾人动态更新数据调查，为下一步针对性开展残疾人脱贫攻坚提供数据支撑。四是补贴残疾人专职委员误工补贴146人。五是接待残疾人来访150余人次，为90余名残疾人提供法律咨询。</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default" w:ascii="Times New Roman" w:hAnsi="Times New Roman" w:eastAsia="黑体" w:cs="Times New Roman"/>
          <w:bCs/>
          <w:color w:val="auto"/>
          <w:sz w:val="32"/>
          <w:szCs w:val="32"/>
          <w:lang w:val="en-US" w:eastAsia="zh-CN"/>
        </w:rPr>
      </w:pPr>
      <w:r>
        <w:rPr>
          <w:rFonts w:hint="eastAsia" w:ascii="Times New Roman" w:hAnsi="Times New Roman" w:eastAsia="黑体" w:cs="Times New Roman"/>
          <w:bCs/>
          <w:color w:val="auto"/>
          <w:sz w:val="32"/>
          <w:szCs w:val="32"/>
          <w:lang w:val="en-US" w:eastAsia="zh-CN"/>
        </w:rPr>
        <w:t>四、存在的问题</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 w:cs="Times New Roman"/>
          <w:color w:val="auto"/>
          <w:kern w:val="0"/>
          <w:sz w:val="32"/>
          <w:szCs w:val="32"/>
          <w:lang w:val="en-US" w:eastAsia="zh-CN" w:bidi="ar-SA"/>
        </w:rPr>
      </w:pPr>
      <w:r>
        <w:rPr>
          <w:rFonts w:hint="default" w:ascii="Times New Roman" w:hAnsi="Times New Roman" w:eastAsia="仿宋" w:cs="Times New Roman"/>
          <w:color w:val="auto"/>
          <w:kern w:val="0"/>
          <w:sz w:val="32"/>
          <w:szCs w:val="32"/>
          <w:lang w:val="en-US" w:eastAsia="zh-CN" w:bidi="ar-SA"/>
        </w:rPr>
        <w:t>残疾人事业经费投入、服务与供给不足。全县现有残疾人，其中大多数具有康复需求，实事项目的实施主要依靠上级财政资金，本级财政支持力度不够。由于救助数量有限，仍有许多</w:t>
      </w:r>
      <w:r>
        <w:rPr>
          <w:rFonts w:hint="eastAsia" w:ascii="Times New Roman" w:hAnsi="Times New Roman" w:eastAsia="仿宋" w:cs="Times New Roman"/>
          <w:color w:val="auto"/>
          <w:kern w:val="0"/>
          <w:sz w:val="32"/>
          <w:szCs w:val="32"/>
          <w:lang w:val="en-US" w:eastAsia="zh-CN" w:bidi="ar-SA"/>
        </w:rPr>
        <w:t>残疾人</w:t>
      </w:r>
      <w:r>
        <w:rPr>
          <w:rFonts w:hint="default" w:ascii="Times New Roman" w:hAnsi="Times New Roman" w:eastAsia="仿宋" w:cs="Times New Roman"/>
          <w:color w:val="auto"/>
          <w:kern w:val="0"/>
          <w:sz w:val="32"/>
          <w:szCs w:val="32"/>
          <w:lang w:val="en-US" w:eastAsia="zh-CN" w:bidi="ar-SA"/>
        </w:rPr>
        <w:t>无法得到及时救助；残联为残疾人提供了辅助器具供应（如助听器、假肢、轮椅、扶具、矫形器等）、免费对精神病患者送药等，但由于残疾人对辅助器具的需求大，对预防残疾的意识淡薄，康复经费有限，难以全面满足残疾人辅助器具的供给。面对残疾人的需求，康复机构的服务能力仍显不足，也给项目的实施造成了不小的难度。</w:t>
      </w:r>
    </w:p>
    <w:p>
      <w:pPr>
        <w:keepNext w:val="0"/>
        <w:keepLines w:val="0"/>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 w:cs="Times New Roman"/>
          <w:color w:val="auto"/>
          <w:kern w:val="0"/>
          <w:sz w:val="32"/>
          <w:szCs w:val="32"/>
          <w:lang w:val="en-US" w:eastAsia="zh-CN" w:bidi="ar-SA"/>
        </w:rPr>
      </w:pPr>
      <w:bookmarkStart w:id="0" w:name="_Toc417497606"/>
      <w:bookmarkEnd w:id="0"/>
      <w:r>
        <w:rPr>
          <w:rFonts w:hint="default" w:ascii="Times New Roman" w:hAnsi="Times New Roman" w:eastAsia="仿宋" w:cs="Times New Roman"/>
          <w:color w:val="auto"/>
          <w:kern w:val="0"/>
          <w:sz w:val="32"/>
          <w:szCs w:val="32"/>
          <w:lang w:val="en-US" w:eastAsia="zh-CN" w:bidi="ar-SA"/>
        </w:rPr>
        <w:t>县残联也举办了各种培训班及组织推荐就业，但由于大部分残疾人文化素质偏低，又有身体功能缺陷，导致工作效率低下，适合残疾人的工作岗位少，同时由于身体残疾，企业担心残疾人在工作期间发生意外情况，所以大多数企业单位宁可缴纳残疾人就业保障金，也不安排残疾人就业，造成残疾人就业难、就业面窄。</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562"/>
        <w:jc w:val="both"/>
        <w:textAlignment w:val="auto"/>
        <w:rPr>
          <w:rFonts w:hint="default" w:ascii="Times New Roman" w:hAnsi="Times New Roman" w:eastAsia="仿宋" w:cs="Times New Roman"/>
          <w:color w:val="auto"/>
          <w:kern w:val="0"/>
          <w:sz w:val="32"/>
          <w:szCs w:val="32"/>
          <w:lang w:val="en-US" w:eastAsia="zh-CN" w:bidi="ar-SA"/>
        </w:rPr>
      </w:pPr>
      <w:r>
        <w:rPr>
          <w:rFonts w:hint="default" w:ascii="Times New Roman" w:hAnsi="Times New Roman" w:eastAsia="仿宋" w:cs="Times New Roman"/>
          <w:color w:val="auto"/>
          <w:kern w:val="0"/>
          <w:sz w:val="32"/>
          <w:szCs w:val="32"/>
          <w:lang w:val="en-US" w:eastAsia="zh-CN" w:bidi="ar-SA"/>
        </w:rPr>
        <w:t>目前用人单位按比例安排残疾人不足1.2%，低于1.5%法定指标值，已就业残疾人中90%为肢体残疾人，其他类别残疾人占10%，尤其是“听力、言语、智力、精神类”残疾人就业难度大，需要政府采取更多措施，需要社会及用人单位更多包容。相对于普通人，残疾人从事技术岗位、行政管理岗位人数明显偏低。</w:t>
      </w:r>
      <w:bookmarkStart w:id="1" w:name="_Toc417497614"/>
      <w:bookmarkEnd w:id="1"/>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黑体" w:cs="Times New Roman"/>
          <w:color w:val="auto"/>
          <w:kern w:val="0"/>
          <w:sz w:val="32"/>
          <w:szCs w:val="32"/>
          <w:lang w:val="en-US" w:eastAsia="zh-CN" w:bidi="ar-SA"/>
        </w:rPr>
      </w:pPr>
      <w:r>
        <w:rPr>
          <w:rFonts w:hint="eastAsia" w:ascii="Times New Roman" w:hAnsi="Times New Roman" w:eastAsia="黑体" w:cs="Times New Roman"/>
          <w:color w:val="auto"/>
          <w:kern w:val="0"/>
          <w:sz w:val="32"/>
          <w:szCs w:val="32"/>
          <w:lang w:val="en-US" w:eastAsia="zh-CN" w:bidi="ar-SA"/>
        </w:rPr>
        <w:t>五</w:t>
      </w:r>
      <w:r>
        <w:rPr>
          <w:rFonts w:hint="default" w:ascii="Times New Roman" w:hAnsi="Times New Roman" w:eastAsia="黑体" w:cs="Times New Roman"/>
          <w:color w:val="auto"/>
          <w:kern w:val="0"/>
          <w:sz w:val="32"/>
          <w:szCs w:val="32"/>
          <w:lang w:val="en-US" w:eastAsia="zh-CN" w:bidi="ar-SA"/>
        </w:rPr>
        <w:t>、相关建议</w:t>
      </w:r>
    </w:p>
    <w:p>
      <w:pPr>
        <w:keepNext w:val="0"/>
        <w:keepLines w:val="0"/>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 w:cs="Times New Roman"/>
          <w:color w:val="auto"/>
          <w:kern w:val="0"/>
          <w:sz w:val="32"/>
          <w:szCs w:val="32"/>
          <w:lang w:val="en-US" w:eastAsia="zh-CN" w:bidi="ar-SA"/>
        </w:rPr>
      </w:pPr>
      <w:bookmarkStart w:id="2" w:name="_Toc417497612"/>
      <w:bookmarkEnd w:id="2"/>
      <w:r>
        <w:rPr>
          <w:rFonts w:hint="default" w:ascii="Times New Roman" w:hAnsi="Times New Roman" w:eastAsia="仿宋" w:cs="Times New Roman"/>
          <w:color w:val="auto"/>
          <w:kern w:val="0"/>
          <w:sz w:val="32"/>
          <w:szCs w:val="32"/>
          <w:lang w:val="en-US" w:eastAsia="zh-CN" w:bidi="ar-SA"/>
        </w:rPr>
        <w:t>促进残疾人就业。在企业社会责任上国家应给予税收等优惠政策，鼓励更多企业提供一些残疾人能够胜任的工作岗位，开办适合残疾人创业项目的实用技术和职业技能培训班。对有一定劳动技能的智力残疾人，实行托养与就业相结合的形式。多组织适合残疾人专场招聘会，增加残疾人进入公益性岗位的比例。保障残疾人优先、平等就业的机会。</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仿宋" w:cs="Times New Roman"/>
          <w:color w:val="auto"/>
          <w:kern w:val="0"/>
          <w:sz w:val="32"/>
          <w:szCs w:val="32"/>
          <w:lang w:val="en-US" w:eastAsia="zh-CN" w:bidi="ar-SA"/>
        </w:rPr>
      </w:pPr>
      <w:r>
        <w:rPr>
          <w:rFonts w:hint="default" w:ascii="Times New Roman" w:hAnsi="Times New Roman" w:eastAsia="仿宋" w:cs="Times New Roman"/>
          <w:color w:val="auto"/>
          <w:kern w:val="0"/>
          <w:sz w:val="32"/>
          <w:szCs w:val="32"/>
          <w:lang w:val="en-US" w:eastAsia="zh-CN" w:bidi="ar-SA"/>
        </w:rPr>
        <w:t>综合评价情况及评价结论。中方县残联</w:t>
      </w:r>
      <w:r>
        <w:rPr>
          <w:rFonts w:hint="eastAsia" w:ascii="Times New Roman" w:hAnsi="Times New Roman" w:eastAsia="仿宋" w:cs="Times New Roman"/>
          <w:color w:val="auto"/>
          <w:kern w:val="0"/>
          <w:sz w:val="32"/>
          <w:szCs w:val="32"/>
          <w:lang w:val="en-US" w:eastAsia="zh-CN" w:bidi="ar-SA"/>
        </w:rPr>
        <w:t>2020</w:t>
      </w:r>
      <w:r>
        <w:rPr>
          <w:rFonts w:hint="default" w:ascii="Times New Roman" w:hAnsi="Times New Roman" w:eastAsia="仿宋" w:cs="Times New Roman"/>
          <w:color w:val="auto"/>
          <w:kern w:val="0"/>
          <w:sz w:val="32"/>
          <w:szCs w:val="32"/>
          <w:lang w:val="en-US" w:eastAsia="zh-CN" w:bidi="ar-SA"/>
        </w:rPr>
        <w:t>年残疾人专项资金，能按要求分配项目资金，对项目单位起到了一定的管理作用和监督作用。做到专款专用，审批程序基本规范。从预算管理、资金使用管理、项目组织管理和项目绩效情况等方面进行评价，该项目综合评分为9</w:t>
      </w:r>
      <w:r>
        <w:rPr>
          <w:rFonts w:hint="eastAsia" w:ascii="Times New Roman" w:hAnsi="Times New Roman" w:eastAsia="仿宋" w:cs="Times New Roman"/>
          <w:color w:val="auto"/>
          <w:kern w:val="0"/>
          <w:sz w:val="32"/>
          <w:szCs w:val="32"/>
          <w:lang w:val="en-US" w:eastAsia="zh-CN" w:bidi="ar-SA"/>
        </w:rPr>
        <w:t>9</w:t>
      </w:r>
      <w:r>
        <w:rPr>
          <w:rFonts w:hint="default" w:ascii="Times New Roman" w:hAnsi="Times New Roman" w:eastAsia="仿宋" w:cs="Times New Roman"/>
          <w:color w:val="auto"/>
          <w:kern w:val="0"/>
          <w:sz w:val="32"/>
          <w:szCs w:val="32"/>
          <w:lang w:val="en-US" w:eastAsia="zh-CN" w:bidi="ar-SA"/>
        </w:rPr>
        <w:t>分，评价等级为A类。</w:t>
      </w:r>
    </w:p>
    <w:p>
      <w:pPr>
        <w:keepNext w:val="0"/>
        <w:keepLines w:val="0"/>
        <w:pageBreakBefore w:val="0"/>
        <w:widowControl/>
        <w:kinsoku/>
        <w:wordWrap/>
        <w:overflowPunct/>
        <w:topLinePunct w:val="0"/>
        <w:autoSpaceDE/>
        <w:autoSpaceDN/>
        <w:bidi w:val="0"/>
        <w:adjustRightInd/>
        <w:spacing w:line="560" w:lineRule="exact"/>
        <w:ind w:firstLine="645"/>
        <w:jc w:val="both"/>
        <w:textAlignment w:val="auto"/>
        <w:rPr>
          <w:rFonts w:ascii="Times New Roman" w:hAnsi="Times New Roman" w:eastAsia="黑体"/>
          <w:sz w:val="32"/>
          <w:szCs w:val="32"/>
        </w:rPr>
      </w:pPr>
      <w:r>
        <w:rPr>
          <w:rFonts w:ascii="Times New Roman" w:hAnsi="Times New Roman" w:eastAsia="黑体"/>
          <w:sz w:val="32"/>
          <w:szCs w:val="32"/>
        </w:rPr>
        <w:t>六、其他需要说明的情况</w:t>
      </w:r>
    </w:p>
    <w:p>
      <w:pPr>
        <w:keepNext w:val="0"/>
        <w:keepLines w:val="0"/>
        <w:pageBreakBefore w:val="0"/>
        <w:widowControl/>
        <w:kinsoku/>
        <w:wordWrap/>
        <w:overflowPunct/>
        <w:topLinePunct w:val="0"/>
        <w:autoSpaceDE/>
        <w:autoSpaceDN/>
        <w:bidi w:val="0"/>
        <w:adjustRightInd/>
        <w:spacing w:line="560" w:lineRule="exact"/>
        <w:ind w:firstLine="645"/>
        <w:jc w:val="both"/>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无。</w:t>
      </w:r>
    </w:p>
    <w:p>
      <w:pPr>
        <w:keepNext w:val="0"/>
        <w:keepLines w:val="0"/>
        <w:pageBreakBefore w:val="0"/>
        <w:widowControl/>
        <w:kinsoku/>
        <w:wordWrap/>
        <w:overflowPunct/>
        <w:topLinePunct w:val="0"/>
        <w:autoSpaceDE/>
        <w:autoSpaceDN/>
        <w:bidi w:val="0"/>
        <w:adjustRightInd/>
        <w:spacing w:line="560" w:lineRule="exact"/>
        <w:ind w:firstLine="645"/>
        <w:jc w:val="both"/>
        <w:textAlignment w:val="auto"/>
        <w:rPr>
          <w:rFonts w:ascii="Times New Roman" w:hAnsi="Times New Roman" w:eastAsia="仿宋_GB2312"/>
          <w:sz w:val="32"/>
          <w:szCs w:val="32"/>
        </w:rPr>
      </w:pPr>
    </w:p>
    <w:p>
      <w:pPr>
        <w:keepNext w:val="0"/>
        <w:keepLines w:val="0"/>
        <w:pageBreakBefore w:val="0"/>
        <w:widowControl/>
        <w:kinsoku/>
        <w:wordWrap/>
        <w:overflowPunct/>
        <w:topLinePunct w:val="0"/>
        <w:autoSpaceDE/>
        <w:autoSpaceDN/>
        <w:bidi w:val="0"/>
        <w:adjustRightInd/>
        <w:spacing w:line="560" w:lineRule="exact"/>
        <w:ind w:firstLine="645"/>
        <w:jc w:val="both"/>
        <w:textAlignment w:val="auto"/>
        <w:rPr>
          <w:rFonts w:ascii="Times New Roman" w:hAnsi="Times New Roman" w:eastAsia="仿宋_GB2312"/>
          <w:sz w:val="32"/>
          <w:szCs w:val="32"/>
        </w:rPr>
      </w:pPr>
      <w:r>
        <w:rPr>
          <w:rFonts w:ascii="Times New Roman" w:hAnsi="Times New Roman" w:eastAsia="仿宋_GB2312"/>
          <w:sz w:val="32"/>
          <w:szCs w:val="32"/>
        </w:rPr>
        <w:t>附件：1.部门整体支出绩效评价基础数据表</w:t>
      </w:r>
    </w:p>
    <w:p>
      <w:pPr>
        <w:keepNext w:val="0"/>
        <w:keepLines w:val="0"/>
        <w:pageBreakBefore w:val="0"/>
        <w:widowControl/>
        <w:kinsoku/>
        <w:wordWrap/>
        <w:overflowPunct/>
        <w:topLinePunct w:val="0"/>
        <w:autoSpaceDE/>
        <w:autoSpaceDN/>
        <w:bidi w:val="0"/>
        <w:adjustRightInd/>
        <w:spacing w:line="560" w:lineRule="exact"/>
        <w:ind w:firstLine="1600" w:firstLineChars="500"/>
        <w:jc w:val="both"/>
        <w:textAlignment w:val="auto"/>
        <w:rPr>
          <w:rFonts w:ascii="Times New Roman" w:hAnsi="Times New Roman" w:eastAsia="仿宋_GB2312"/>
          <w:sz w:val="32"/>
          <w:szCs w:val="32"/>
        </w:rPr>
      </w:pPr>
      <w:r>
        <w:rPr>
          <w:rFonts w:ascii="Times New Roman" w:hAnsi="Times New Roman" w:eastAsia="仿宋_GB2312"/>
          <w:sz w:val="32"/>
          <w:szCs w:val="32"/>
        </w:rPr>
        <w:t>2.部门整体支出绩效评价指标评分表</w:t>
      </w:r>
    </w:p>
    <w:p>
      <w:pPr>
        <w:keepNext w:val="0"/>
        <w:keepLines w:val="0"/>
        <w:pageBreakBefore w:val="0"/>
        <w:widowControl/>
        <w:kinsoku/>
        <w:wordWrap/>
        <w:overflowPunct/>
        <w:topLinePunct w:val="0"/>
        <w:autoSpaceDE/>
        <w:autoSpaceDN/>
        <w:bidi w:val="0"/>
        <w:adjustRightInd/>
        <w:spacing w:line="560" w:lineRule="exact"/>
        <w:ind w:firstLine="3859" w:firstLineChars="1206"/>
        <w:jc w:val="both"/>
        <w:textAlignment w:val="auto"/>
        <w:rPr>
          <w:rFonts w:hint="eastAsia" w:ascii="Times New Roman" w:hAnsi="Times New Roman" w:eastAsia="仿宋_GB2312"/>
          <w:sz w:val="32"/>
          <w:szCs w:val="32"/>
          <w:lang w:eastAsia="zh-CN"/>
        </w:rPr>
      </w:pPr>
    </w:p>
    <w:p>
      <w:pPr>
        <w:keepNext w:val="0"/>
        <w:keepLines w:val="0"/>
        <w:pageBreakBefore w:val="0"/>
        <w:widowControl/>
        <w:kinsoku/>
        <w:wordWrap/>
        <w:overflowPunct/>
        <w:topLinePunct w:val="0"/>
        <w:autoSpaceDE/>
        <w:autoSpaceDN/>
        <w:bidi w:val="0"/>
        <w:adjustRightInd/>
        <w:spacing w:line="560" w:lineRule="exact"/>
        <w:ind w:firstLine="3859" w:firstLineChars="1206"/>
        <w:jc w:val="both"/>
        <w:textAlignment w:val="auto"/>
        <w:rPr>
          <w:rFonts w:hint="eastAsia" w:ascii="Times New Roman" w:hAnsi="Times New Roman" w:eastAsia="仿宋_GB2312"/>
          <w:sz w:val="32"/>
          <w:szCs w:val="32"/>
          <w:lang w:eastAsia="zh-CN"/>
        </w:rPr>
      </w:pPr>
    </w:p>
    <w:p>
      <w:pPr>
        <w:keepNext w:val="0"/>
        <w:keepLines w:val="0"/>
        <w:pageBreakBefore w:val="0"/>
        <w:widowControl/>
        <w:kinsoku/>
        <w:wordWrap/>
        <w:overflowPunct/>
        <w:topLinePunct w:val="0"/>
        <w:autoSpaceDE/>
        <w:autoSpaceDN/>
        <w:bidi w:val="0"/>
        <w:adjustRightInd/>
        <w:spacing w:line="560" w:lineRule="exact"/>
        <w:ind w:firstLine="3859" w:firstLineChars="1206"/>
        <w:jc w:val="both"/>
        <w:textAlignment w:val="auto"/>
        <w:rPr>
          <w:rFonts w:hint="eastAsia" w:ascii="Times New Roman" w:hAnsi="Times New Roman" w:eastAsia="仿宋_GB2312"/>
          <w:sz w:val="32"/>
          <w:szCs w:val="32"/>
          <w:lang w:eastAsia="zh-CN"/>
        </w:rPr>
      </w:pPr>
    </w:p>
    <w:p>
      <w:pPr>
        <w:keepNext w:val="0"/>
        <w:keepLines w:val="0"/>
        <w:pageBreakBefore w:val="0"/>
        <w:widowControl/>
        <w:kinsoku/>
        <w:wordWrap/>
        <w:overflowPunct/>
        <w:topLinePunct w:val="0"/>
        <w:autoSpaceDE/>
        <w:autoSpaceDN/>
        <w:bidi w:val="0"/>
        <w:adjustRightInd/>
        <w:spacing w:line="560" w:lineRule="exact"/>
        <w:ind w:firstLine="3859" w:firstLineChars="1206"/>
        <w:jc w:val="both"/>
        <w:textAlignment w:val="auto"/>
        <w:rPr>
          <w:rFonts w:hint="eastAsia" w:ascii="Times New Roman" w:hAnsi="Times New Roman" w:eastAsia="仿宋_GB2312"/>
          <w:sz w:val="32"/>
          <w:szCs w:val="32"/>
          <w:lang w:eastAsia="zh-CN"/>
        </w:rPr>
      </w:pPr>
    </w:p>
    <w:p>
      <w:pPr>
        <w:keepNext w:val="0"/>
        <w:keepLines w:val="0"/>
        <w:pageBreakBefore w:val="0"/>
        <w:widowControl/>
        <w:kinsoku/>
        <w:wordWrap/>
        <w:overflowPunct/>
        <w:topLinePunct w:val="0"/>
        <w:autoSpaceDE/>
        <w:autoSpaceDN/>
        <w:bidi w:val="0"/>
        <w:adjustRightInd/>
        <w:spacing w:line="560" w:lineRule="exact"/>
        <w:ind w:firstLine="3859" w:firstLineChars="1206"/>
        <w:jc w:val="both"/>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中方县残疾人联合会</w:t>
      </w:r>
    </w:p>
    <w:p>
      <w:pPr>
        <w:keepNext w:val="0"/>
        <w:keepLines w:val="0"/>
        <w:pageBreakBefore w:val="0"/>
        <w:widowControl/>
        <w:kinsoku/>
        <w:wordWrap/>
        <w:overflowPunct/>
        <w:topLinePunct w:val="0"/>
        <w:autoSpaceDE/>
        <w:autoSpaceDN/>
        <w:bidi w:val="0"/>
        <w:adjustRightInd/>
        <w:spacing w:line="560" w:lineRule="exact"/>
        <w:ind w:firstLine="4179" w:firstLineChars="1306"/>
        <w:jc w:val="both"/>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2021年7月26日</w:t>
      </w:r>
    </w:p>
    <w:p>
      <w:pPr>
        <w:keepNext w:val="0"/>
        <w:keepLines w:val="0"/>
        <w:pageBreakBefore w:val="0"/>
        <w:kinsoku/>
        <w:wordWrap/>
        <w:overflowPunct/>
        <w:topLinePunct w:val="0"/>
        <w:autoSpaceDE/>
        <w:autoSpaceDN/>
        <w:bidi w:val="0"/>
        <w:adjustRightInd/>
        <w:spacing w:line="560" w:lineRule="exact"/>
        <w:jc w:val="both"/>
        <w:textAlignment w:val="auto"/>
      </w:pPr>
    </w:p>
    <w:p>
      <w:pPr>
        <w:keepNext w:val="0"/>
        <w:keepLines w:val="0"/>
        <w:pageBreakBefore w:val="0"/>
        <w:kinsoku/>
        <w:wordWrap/>
        <w:overflowPunct/>
        <w:topLinePunct w:val="0"/>
        <w:autoSpaceDE/>
        <w:autoSpaceDN/>
        <w:bidi w:val="0"/>
        <w:adjustRightInd/>
        <w:spacing w:line="560" w:lineRule="exact"/>
        <w:jc w:val="both"/>
        <w:textAlignment w:val="auto"/>
      </w:pPr>
    </w:p>
    <w:p>
      <w:pPr>
        <w:keepNext w:val="0"/>
        <w:keepLines w:val="0"/>
        <w:pageBreakBefore w:val="0"/>
        <w:kinsoku/>
        <w:wordWrap/>
        <w:overflowPunct/>
        <w:topLinePunct w:val="0"/>
        <w:autoSpaceDE/>
        <w:autoSpaceDN/>
        <w:bidi w:val="0"/>
        <w:adjustRightInd/>
        <w:spacing w:line="560" w:lineRule="exact"/>
        <w:jc w:val="both"/>
        <w:textAlignment w:val="auto"/>
      </w:pPr>
    </w:p>
    <w:p>
      <w:pPr>
        <w:keepNext w:val="0"/>
        <w:keepLines w:val="0"/>
        <w:pageBreakBefore w:val="0"/>
        <w:kinsoku/>
        <w:wordWrap/>
        <w:overflowPunct/>
        <w:topLinePunct w:val="0"/>
        <w:autoSpaceDE/>
        <w:autoSpaceDN/>
        <w:bidi w:val="0"/>
        <w:adjustRightInd/>
        <w:spacing w:line="560" w:lineRule="exact"/>
        <w:jc w:val="both"/>
        <w:textAlignment w:val="auto"/>
      </w:pPr>
    </w:p>
    <w:p>
      <w:pPr>
        <w:keepNext w:val="0"/>
        <w:keepLines w:val="0"/>
        <w:pageBreakBefore w:val="0"/>
        <w:kinsoku/>
        <w:wordWrap/>
        <w:overflowPunct/>
        <w:topLinePunct w:val="0"/>
        <w:autoSpaceDE/>
        <w:autoSpaceDN/>
        <w:bidi w:val="0"/>
        <w:adjustRightInd/>
        <w:spacing w:line="560" w:lineRule="exact"/>
        <w:jc w:val="both"/>
        <w:textAlignment w:val="auto"/>
      </w:pPr>
    </w:p>
    <w:p>
      <w:pPr>
        <w:sectPr>
          <w:pgSz w:w="11906" w:h="16838"/>
          <w:pgMar w:top="1440" w:right="1800" w:bottom="1440" w:left="1800" w:header="851" w:footer="992" w:gutter="0"/>
          <w:cols w:space="425" w:num="1"/>
          <w:docGrid w:type="lines" w:linePitch="312" w:charSpace="0"/>
        </w:sectPr>
      </w:pPr>
    </w:p>
    <w:p>
      <w:pPr>
        <w:rPr>
          <w:rFonts w:hint="eastAsia"/>
          <w:lang w:val="en-US" w:eastAsia="zh-CN"/>
        </w:rPr>
      </w:pPr>
      <w:r>
        <w:rPr>
          <w:rFonts w:hint="eastAsia"/>
          <w:lang w:val="en-US" w:eastAsia="zh-CN"/>
        </w:rPr>
        <w:t>附件1：</w:t>
      </w:r>
      <w:bookmarkStart w:id="3" w:name="_GoBack"/>
      <w:bookmarkEnd w:id="3"/>
    </w:p>
    <w:p>
      <w:pPr>
        <w:keepNext w:val="0"/>
        <w:keepLines w:val="0"/>
        <w:pageBreakBefore w:val="0"/>
        <w:kinsoku/>
        <w:wordWrap/>
        <w:overflowPunct/>
        <w:topLinePunct w:val="0"/>
        <w:autoSpaceDE/>
        <w:autoSpaceDN/>
        <w:bidi w:val="0"/>
        <w:adjustRightInd/>
        <w:snapToGrid/>
        <w:spacing w:line="320" w:lineRule="exact"/>
        <w:jc w:val="center"/>
        <w:textAlignment w:val="auto"/>
        <w:rPr>
          <w:rFonts w:ascii="Times New Roman" w:hAnsi="Times New Roman" w:eastAsia="方正小标宋简体"/>
          <w:kern w:val="0"/>
          <w:sz w:val="32"/>
          <w:szCs w:val="32"/>
        </w:rPr>
      </w:pPr>
      <w:r>
        <w:rPr>
          <w:rFonts w:ascii="Times New Roman" w:hAnsi="Times New Roman" w:eastAsia="方正小标宋简体"/>
          <w:kern w:val="0"/>
          <w:sz w:val="32"/>
          <w:szCs w:val="32"/>
        </w:rPr>
        <w:t>部门整体支出绩效评价基础数据表</w:t>
      </w:r>
    </w:p>
    <w:p>
      <w:pPr>
        <w:keepNext w:val="0"/>
        <w:keepLines w:val="0"/>
        <w:pageBreakBefore w:val="0"/>
        <w:widowControl/>
        <w:tabs>
          <w:tab w:val="left" w:pos="3611"/>
          <w:tab w:val="left" w:pos="4791"/>
          <w:tab w:val="left" w:pos="5951"/>
          <w:tab w:val="left" w:pos="7071"/>
          <w:tab w:val="left" w:pos="8191"/>
          <w:tab w:val="left" w:pos="9311"/>
        </w:tabs>
        <w:kinsoku/>
        <w:wordWrap/>
        <w:overflowPunct/>
        <w:topLinePunct w:val="0"/>
        <w:autoSpaceDE/>
        <w:autoSpaceDN/>
        <w:bidi w:val="0"/>
        <w:adjustRightInd/>
        <w:snapToGrid/>
        <w:spacing w:line="320" w:lineRule="exact"/>
        <w:ind w:left="91"/>
        <w:jc w:val="left"/>
        <w:textAlignment w:val="auto"/>
        <w:rPr>
          <w:rFonts w:hint="default" w:ascii="Times New Roman" w:hAnsi="Times New Roman" w:eastAsia="仿宋_GB2312"/>
          <w:kern w:val="0"/>
          <w:sz w:val="24"/>
          <w:szCs w:val="24"/>
          <w:lang w:val="en-US" w:eastAsia="zh-CN"/>
        </w:rPr>
      </w:pPr>
      <w:r>
        <w:rPr>
          <w:rFonts w:ascii="Times New Roman" w:hAnsi="Times New Roman" w:eastAsia="仿宋_GB2312"/>
          <w:kern w:val="0"/>
          <w:sz w:val="24"/>
          <w:szCs w:val="24"/>
        </w:rPr>
        <w:t>填报单位</w:t>
      </w:r>
      <w:r>
        <w:rPr>
          <w:rFonts w:hint="eastAsia" w:ascii="Times New Roman" w:hAnsi="Times New Roman" w:eastAsia="仿宋_GB2312"/>
          <w:kern w:val="0"/>
          <w:sz w:val="24"/>
          <w:szCs w:val="24"/>
          <w:lang w:eastAsia="zh-CN"/>
        </w:rPr>
        <w:t>：中方县残疾人联合会</w:t>
      </w:r>
      <w:r>
        <w:rPr>
          <w:rFonts w:hint="eastAsia" w:ascii="Times New Roman" w:hAnsi="Times New Roman" w:eastAsia="仿宋_GB2312"/>
          <w:kern w:val="0"/>
          <w:sz w:val="24"/>
          <w:szCs w:val="24"/>
          <w:lang w:val="en-US" w:eastAsia="zh-CN"/>
        </w:rPr>
        <w:t xml:space="preserve">                                                       </w:t>
      </w:r>
    </w:p>
    <w:tbl>
      <w:tblPr>
        <w:tblStyle w:val="2"/>
        <w:tblW w:w="0" w:type="auto"/>
        <w:jc w:val="center"/>
        <w:tblLayout w:type="fixed"/>
        <w:tblCellMar>
          <w:top w:w="0" w:type="dxa"/>
          <w:left w:w="108" w:type="dxa"/>
          <w:bottom w:w="0" w:type="dxa"/>
          <w:right w:w="108" w:type="dxa"/>
        </w:tblCellMar>
      </w:tblPr>
      <w:tblGrid>
        <w:gridCol w:w="4883"/>
        <w:gridCol w:w="1570"/>
        <w:gridCol w:w="1497"/>
        <w:gridCol w:w="1468"/>
        <w:gridCol w:w="1901"/>
        <w:gridCol w:w="1260"/>
        <w:gridCol w:w="1121"/>
      </w:tblGrid>
      <w:tr>
        <w:tblPrEx>
          <w:tblCellMar>
            <w:top w:w="0" w:type="dxa"/>
            <w:left w:w="108" w:type="dxa"/>
            <w:bottom w:w="0" w:type="dxa"/>
            <w:right w:w="108" w:type="dxa"/>
          </w:tblCellMar>
        </w:tblPrEx>
        <w:trPr>
          <w:trHeight w:val="163" w:hRule="atLeast"/>
          <w:jc w:val="center"/>
        </w:trPr>
        <w:tc>
          <w:tcPr>
            <w:tcW w:w="4883"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kern w:val="0"/>
                <w:sz w:val="18"/>
                <w:szCs w:val="18"/>
              </w:rPr>
            </w:pPr>
            <w:r>
              <w:rPr>
                <w:rFonts w:ascii="Times New Roman" w:hAnsi="Times New Roman" w:eastAsia="仿宋_GB2312"/>
                <w:kern w:val="0"/>
                <w:sz w:val="18"/>
                <w:szCs w:val="18"/>
              </w:rPr>
              <w:t>财政供养人员情况</w:t>
            </w:r>
          </w:p>
        </w:tc>
        <w:tc>
          <w:tcPr>
            <w:tcW w:w="3067"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编制数</w:t>
            </w:r>
          </w:p>
        </w:tc>
        <w:tc>
          <w:tcPr>
            <w:tcW w:w="3369"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20</w:t>
            </w:r>
            <w:r>
              <w:rPr>
                <w:rFonts w:hint="eastAsia" w:ascii="Times New Roman" w:hAnsi="Times New Roman" w:eastAsia="仿宋_GB2312"/>
                <w:color w:val="auto"/>
                <w:kern w:val="0"/>
                <w:sz w:val="18"/>
                <w:szCs w:val="18"/>
              </w:rPr>
              <w:t>20</w:t>
            </w:r>
            <w:r>
              <w:rPr>
                <w:rFonts w:ascii="Times New Roman" w:hAnsi="Times New Roman" w:eastAsia="仿宋_GB2312"/>
                <w:color w:val="auto"/>
                <w:kern w:val="0"/>
                <w:sz w:val="18"/>
                <w:szCs w:val="18"/>
              </w:rPr>
              <w:t>年实际在职人数</w:t>
            </w:r>
          </w:p>
        </w:tc>
        <w:tc>
          <w:tcPr>
            <w:tcW w:w="2381"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控制率</w:t>
            </w:r>
          </w:p>
        </w:tc>
      </w:tr>
      <w:tr>
        <w:tblPrEx>
          <w:tblCellMar>
            <w:top w:w="0" w:type="dxa"/>
            <w:left w:w="108" w:type="dxa"/>
            <w:bottom w:w="0" w:type="dxa"/>
            <w:right w:w="108" w:type="dxa"/>
          </w:tblCellMar>
        </w:tblPrEx>
        <w:trPr>
          <w:trHeight w:val="178" w:hRule="atLeast"/>
          <w:jc w:val="center"/>
        </w:trPr>
        <w:tc>
          <w:tcPr>
            <w:tcW w:w="4883"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kern w:val="0"/>
                <w:sz w:val="18"/>
                <w:szCs w:val="18"/>
              </w:rPr>
            </w:pPr>
          </w:p>
        </w:tc>
        <w:tc>
          <w:tcPr>
            <w:tcW w:w="3067"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22</w:t>
            </w:r>
          </w:p>
        </w:tc>
        <w:tc>
          <w:tcPr>
            <w:tcW w:w="3369"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22</w:t>
            </w:r>
          </w:p>
        </w:tc>
        <w:tc>
          <w:tcPr>
            <w:tcW w:w="2381"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100%</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kern w:val="0"/>
                <w:sz w:val="18"/>
                <w:szCs w:val="18"/>
              </w:rPr>
            </w:pPr>
            <w:r>
              <w:rPr>
                <w:rFonts w:ascii="Times New Roman" w:hAnsi="Times New Roman" w:eastAsia="仿宋_GB2312"/>
                <w:kern w:val="0"/>
                <w:sz w:val="18"/>
                <w:szCs w:val="18"/>
              </w:rPr>
              <w:t>经费控制情况</w:t>
            </w:r>
          </w:p>
        </w:tc>
        <w:tc>
          <w:tcPr>
            <w:tcW w:w="3067"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20</w:t>
            </w:r>
            <w:r>
              <w:rPr>
                <w:rFonts w:hint="eastAsia" w:ascii="Times New Roman" w:hAnsi="Times New Roman" w:eastAsia="仿宋_GB2312"/>
                <w:color w:val="auto"/>
                <w:kern w:val="0"/>
                <w:sz w:val="18"/>
                <w:szCs w:val="18"/>
              </w:rPr>
              <w:t>19</w:t>
            </w:r>
            <w:r>
              <w:rPr>
                <w:rFonts w:ascii="Times New Roman" w:hAnsi="Times New Roman" w:eastAsia="仿宋_GB2312"/>
                <w:color w:val="auto"/>
                <w:kern w:val="0"/>
                <w:sz w:val="18"/>
                <w:szCs w:val="18"/>
              </w:rPr>
              <w:t>年决算数</w:t>
            </w:r>
          </w:p>
        </w:tc>
        <w:tc>
          <w:tcPr>
            <w:tcW w:w="3369"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20</w:t>
            </w:r>
            <w:r>
              <w:rPr>
                <w:rFonts w:hint="eastAsia" w:ascii="Times New Roman" w:hAnsi="Times New Roman" w:eastAsia="仿宋_GB2312"/>
                <w:color w:val="auto"/>
                <w:kern w:val="0"/>
                <w:sz w:val="18"/>
                <w:szCs w:val="18"/>
              </w:rPr>
              <w:t>20</w:t>
            </w:r>
            <w:r>
              <w:rPr>
                <w:rFonts w:ascii="Times New Roman" w:hAnsi="Times New Roman" w:eastAsia="仿宋_GB2312"/>
                <w:color w:val="auto"/>
                <w:kern w:val="0"/>
                <w:sz w:val="18"/>
                <w:szCs w:val="18"/>
              </w:rPr>
              <w:t>年预算数</w:t>
            </w:r>
          </w:p>
        </w:tc>
        <w:tc>
          <w:tcPr>
            <w:tcW w:w="238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20</w:t>
            </w:r>
            <w:r>
              <w:rPr>
                <w:rFonts w:hint="eastAsia" w:ascii="Times New Roman" w:hAnsi="Times New Roman" w:eastAsia="仿宋_GB2312"/>
                <w:color w:val="auto"/>
                <w:kern w:val="0"/>
                <w:sz w:val="18"/>
                <w:szCs w:val="18"/>
              </w:rPr>
              <w:t>20</w:t>
            </w:r>
            <w:r>
              <w:rPr>
                <w:rFonts w:ascii="Times New Roman" w:hAnsi="Times New Roman" w:eastAsia="仿宋_GB2312"/>
                <w:color w:val="auto"/>
                <w:kern w:val="0"/>
                <w:sz w:val="18"/>
                <w:szCs w:val="18"/>
              </w:rPr>
              <w:t>年决算数</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kern w:val="0"/>
                <w:sz w:val="18"/>
                <w:szCs w:val="18"/>
              </w:rPr>
            </w:pPr>
            <w:r>
              <w:rPr>
                <w:rFonts w:ascii="Times New Roman" w:hAnsi="Times New Roman" w:eastAsia="仿宋_GB2312"/>
                <w:kern w:val="0"/>
                <w:sz w:val="18"/>
                <w:szCs w:val="18"/>
              </w:rPr>
              <w:t>三公经费</w:t>
            </w:r>
          </w:p>
        </w:tc>
        <w:tc>
          <w:tcPr>
            <w:tcW w:w="3067"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仿宋_GB2312"/>
                <w:color w:val="auto"/>
                <w:kern w:val="0"/>
                <w:sz w:val="18"/>
                <w:szCs w:val="18"/>
                <w:lang w:val="en-US"/>
              </w:rPr>
            </w:pPr>
            <w:r>
              <w:rPr>
                <w:rFonts w:hint="eastAsia" w:ascii="Times New Roman" w:hAnsi="Times New Roman" w:eastAsia="仿宋" w:cs="Times New Roman"/>
                <w:b w:val="0"/>
                <w:color w:val="auto"/>
                <w:w w:val="100"/>
                <w:sz w:val="15"/>
                <w:szCs w:val="15"/>
                <w:lang w:val="en-US" w:eastAsia="zh-CN"/>
              </w:rPr>
              <w:t>42290</w:t>
            </w:r>
          </w:p>
        </w:tc>
        <w:tc>
          <w:tcPr>
            <w:tcW w:w="3369"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52800</w:t>
            </w:r>
          </w:p>
        </w:tc>
        <w:tc>
          <w:tcPr>
            <w:tcW w:w="238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40000</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kern w:val="0"/>
                <w:sz w:val="18"/>
                <w:szCs w:val="18"/>
              </w:rPr>
            </w:pPr>
            <w:r>
              <w:rPr>
                <w:rFonts w:ascii="Times New Roman" w:hAnsi="Times New Roman" w:eastAsia="仿宋_GB2312"/>
                <w:kern w:val="0"/>
                <w:sz w:val="18"/>
                <w:szCs w:val="18"/>
              </w:rPr>
              <w:t>1、公务用车购置和维护经费</w:t>
            </w:r>
          </w:p>
        </w:tc>
        <w:tc>
          <w:tcPr>
            <w:tcW w:w="3067"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仿宋_GB2312"/>
                <w:color w:val="auto"/>
                <w:kern w:val="0"/>
                <w:sz w:val="18"/>
                <w:szCs w:val="18"/>
                <w:lang w:val="en-US"/>
              </w:rPr>
            </w:pPr>
            <w:r>
              <w:rPr>
                <w:rFonts w:hint="eastAsia" w:eastAsia="宋体"/>
                <w:color w:val="auto"/>
                <w:sz w:val="15"/>
                <w:szCs w:val="15"/>
                <w:lang w:val="en-US" w:eastAsia="zh-CN"/>
              </w:rPr>
              <w:t>28</w:t>
            </w:r>
            <w:r>
              <w:rPr>
                <w:rFonts w:hint="eastAsia"/>
                <w:color w:val="auto"/>
                <w:sz w:val="15"/>
                <w:szCs w:val="15"/>
                <w:lang w:val="en-US" w:eastAsia="zh-CN"/>
              </w:rPr>
              <w:t>000</w:t>
            </w:r>
          </w:p>
        </w:tc>
        <w:tc>
          <w:tcPr>
            <w:tcW w:w="3369"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26600</w:t>
            </w:r>
          </w:p>
        </w:tc>
        <w:tc>
          <w:tcPr>
            <w:tcW w:w="238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仿宋_GB2312"/>
                <w:color w:val="auto"/>
                <w:kern w:val="0"/>
                <w:sz w:val="18"/>
                <w:szCs w:val="18"/>
                <w:lang w:val="en-US"/>
              </w:rPr>
            </w:pPr>
            <w:r>
              <w:rPr>
                <w:rFonts w:hint="eastAsia" w:ascii="Times New Roman" w:hAnsi="Times New Roman" w:eastAsia="仿宋_GB2312"/>
                <w:color w:val="auto"/>
                <w:kern w:val="0"/>
                <w:sz w:val="18"/>
                <w:szCs w:val="18"/>
                <w:lang w:val="en-US" w:eastAsia="zh-CN"/>
              </w:rPr>
              <w:t>25000</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kern w:val="0"/>
                <w:sz w:val="18"/>
                <w:szCs w:val="18"/>
              </w:rPr>
            </w:pPr>
            <w:r>
              <w:rPr>
                <w:rFonts w:ascii="Times New Roman" w:hAnsi="Times New Roman" w:eastAsia="仿宋_GB2312"/>
                <w:kern w:val="0"/>
                <w:sz w:val="18"/>
                <w:szCs w:val="18"/>
              </w:rPr>
              <w:t>其中：公车购置</w:t>
            </w:r>
          </w:p>
        </w:tc>
        <w:tc>
          <w:tcPr>
            <w:tcW w:w="3067"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0</w:t>
            </w:r>
          </w:p>
        </w:tc>
        <w:tc>
          <w:tcPr>
            <w:tcW w:w="3369"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0</w:t>
            </w:r>
          </w:p>
        </w:tc>
        <w:tc>
          <w:tcPr>
            <w:tcW w:w="238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0</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kern w:val="0"/>
                <w:sz w:val="18"/>
                <w:szCs w:val="18"/>
              </w:rPr>
            </w:pPr>
            <w:r>
              <w:rPr>
                <w:rFonts w:ascii="Times New Roman" w:hAnsi="Times New Roman" w:eastAsia="仿宋_GB2312"/>
                <w:kern w:val="0"/>
                <w:sz w:val="18"/>
                <w:szCs w:val="18"/>
              </w:rPr>
              <w:t>公车运行维护</w:t>
            </w:r>
          </w:p>
        </w:tc>
        <w:tc>
          <w:tcPr>
            <w:tcW w:w="3067"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仿宋_GB2312"/>
                <w:color w:val="auto"/>
                <w:kern w:val="0"/>
                <w:sz w:val="18"/>
                <w:szCs w:val="18"/>
                <w:lang w:val="en-US"/>
              </w:rPr>
            </w:pPr>
            <w:r>
              <w:rPr>
                <w:rFonts w:hint="eastAsia" w:eastAsia="宋体"/>
                <w:color w:val="auto"/>
                <w:sz w:val="15"/>
                <w:szCs w:val="15"/>
                <w:lang w:val="en-US" w:eastAsia="zh-CN"/>
              </w:rPr>
              <w:t>28</w:t>
            </w:r>
            <w:r>
              <w:rPr>
                <w:rFonts w:hint="eastAsia"/>
                <w:color w:val="auto"/>
                <w:sz w:val="15"/>
                <w:szCs w:val="15"/>
                <w:lang w:val="en-US" w:eastAsia="zh-CN"/>
              </w:rPr>
              <w:t>000</w:t>
            </w:r>
          </w:p>
        </w:tc>
        <w:tc>
          <w:tcPr>
            <w:tcW w:w="3369"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26600</w:t>
            </w:r>
          </w:p>
        </w:tc>
        <w:tc>
          <w:tcPr>
            <w:tcW w:w="238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25000</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kern w:val="0"/>
                <w:sz w:val="18"/>
                <w:szCs w:val="18"/>
              </w:rPr>
            </w:pPr>
            <w:r>
              <w:rPr>
                <w:rFonts w:ascii="Times New Roman" w:hAnsi="Times New Roman" w:eastAsia="仿宋_GB2312"/>
                <w:kern w:val="0"/>
                <w:sz w:val="18"/>
                <w:szCs w:val="18"/>
              </w:rPr>
              <w:t>2、出国经费</w:t>
            </w:r>
          </w:p>
        </w:tc>
        <w:tc>
          <w:tcPr>
            <w:tcW w:w="3067"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0</w:t>
            </w:r>
          </w:p>
        </w:tc>
        <w:tc>
          <w:tcPr>
            <w:tcW w:w="3369"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0</w:t>
            </w:r>
          </w:p>
        </w:tc>
        <w:tc>
          <w:tcPr>
            <w:tcW w:w="238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0</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kern w:val="0"/>
                <w:sz w:val="18"/>
                <w:szCs w:val="18"/>
              </w:rPr>
            </w:pPr>
            <w:r>
              <w:rPr>
                <w:rFonts w:ascii="Times New Roman" w:hAnsi="Times New Roman" w:eastAsia="仿宋_GB2312"/>
                <w:kern w:val="0"/>
                <w:sz w:val="18"/>
                <w:szCs w:val="18"/>
              </w:rPr>
              <w:t>3、公务接待</w:t>
            </w:r>
          </w:p>
        </w:tc>
        <w:tc>
          <w:tcPr>
            <w:tcW w:w="3067"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仿宋_GB2312"/>
                <w:color w:val="auto"/>
                <w:kern w:val="0"/>
                <w:sz w:val="18"/>
                <w:szCs w:val="18"/>
                <w:lang w:val="en-US"/>
              </w:rPr>
            </w:pPr>
            <w:r>
              <w:rPr>
                <w:rFonts w:hint="eastAsia" w:eastAsia="宋体"/>
                <w:color w:val="auto"/>
                <w:sz w:val="15"/>
                <w:szCs w:val="15"/>
                <w:lang w:val="en-US" w:eastAsia="zh-CN"/>
              </w:rPr>
              <w:t>1429</w:t>
            </w:r>
            <w:r>
              <w:rPr>
                <w:rFonts w:hint="eastAsia"/>
                <w:color w:val="auto"/>
                <w:sz w:val="15"/>
                <w:szCs w:val="15"/>
                <w:lang w:val="en-US" w:eastAsia="zh-CN"/>
              </w:rPr>
              <w:t>0</w:t>
            </w:r>
          </w:p>
        </w:tc>
        <w:tc>
          <w:tcPr>
            <w:tcW w:w="3369"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仿宋_GB2312" w:cs="Times New Roman"/>
                <w:color w:val="auto"/>
                <w:kern w:val="0"/>
                <w:sz w:val="18"/>
                <w:szCs w:val="18"/>
                <w:lang w:val="en-US" w:eastAsia="zh-CN"/>
              </w:rPr>
            </w:pPr>
            <w:r>
              <w:rPr>
                <w:rFonts w:hint="eastAsia" w:ascii="Times New Roman" w:hAnsi="Times New Roman" w:eastAsia="仿宋_GB2312" w:cs="Times New Roman"/>
                <w:color w:val="auto"/>
                <w:kern w:val="0"/>
                <w:sz w:val="18"/>
                <w:szCs w:val="18"/>
                <w:lang w:val="en-US" w:eastAsia="zh-CN"/>
              </w:rPr>
              <w:t>26200</w:t>
            </w:r>
          </w:p>
        </w:tc>
        <w:tc>
          <w:tcPr>
            <w:tcW w:w="238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15000</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kern w:val="0"/>
                <w:sz w:val="18"/>
                <w:szCs w:val="18"/>
              </w:rPr>
            </w:pPr>
            <w:r>
              <w:rPr>
                <w:rFonts w:ascii="Times New Roman" w:hAnsi="Times New Roman" w:eastAsia="仿宋_GB2312"/>
                <w:kern w:val="0"/>
                <w:sz w:val="18"/>
                <w:szCs w:val="18"/>
              </w:rPr>
              <w:t>项目支出：（一个项目一行）</w:t>
            </w:r>
          </w:p>
        </w:tc>
        <w:tc>
          <w:tcPr>
            <w:tcW w:w="3067"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Calibri" w:hAnsi="Calibri" w:eastAsia="宋体" w:cs="Times New Roman"/>
                <w:color w:val="auto"/>
                <w:kern w:val="2"/>
                <w:sz w:val="15"/>
                <w:szCs w:val="15"/>
                <w:lang w:val="en-US" w:eastAsia="zh-CN" w:bidi="ar-SA"/>
              </w:rPr>
            </w:pPr>
            <w:r>
              <w:rPr>
                <w:rFonts w:hint="eastAsia"/>
                <w:color w:val="auto"/>
                <w:sz w:val="15"/>
                <w:szCs w:val="15"/>
                <w:lang w:val="en-US" w:eastAsia="zh-CN"/>
              </w:rPr>
              <w:t>3473218.7</w:t>
            </w:r>
          </w:p>
        </w:tc>
        <w:tc>
          <w:tcPr>
            <w:tcW w:w="3369"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仿宋_GB2312" w:cs="Times New Roman"/>
                <w:color w:val="auto"/>
                <w:kern w:val="0"/>
                <w:sz w:val="18"/>
                <w:szCs w:val="18"/>
                <w:lang w:val="en-US" w:eastAsia="zh-CN"/>
              </w:rPr>
            </w:pPr>
            <w:r>
              <w:rPr>
                <w:rFonts w:hint="eastAsia" w:ascii="Times New Roman" w:hAnsi="Times New Roman" w:eastAsia="仿宋_GB2312" w:cs="Times New Roman"/>
                <w:color w:val="auto"/>
                <w:kern w:val="0"/>
                <w:sz w:val="18"/>
                <w:szCs w:val="18"/>
                <w:lang w:val="en-US" w:eastAsia="zh-CN"/>
              </w:rPr>
              <w:t>4304661.58</w:t>
            </w:r>
          </w:p>
        </w:tc>
        <w:tc>
          <w:tcPr>
            <w:tcW w:w="238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仿宋_GB2312"/>
                <w:color w:val="auto"/>
                <w:kern w:val="0"/>
                <w:sz w:val="18"/>
                <w:szCs w:val="18"/>
                <w:lang w:val="en-US"/>
              </w:rPr>
            </w:pPr>
            <w:r>
              <w:rPr>
                <w:rFonts w:hint="eastAsia" w:ascii="Times New Roman" w:hAnsi="Times New Roman" w:eastAsia="仿宋_GB2312"/>
                <w:color w:val="auto"/>
                <w:kern w:val="0"/>
                <w:sz w:val="18"/>
                <w:szCs w:val="18"/>
                <w:lang w:val="en-US" w:eastAsia="zh-CN"/>
              </w:rPr>
              <w:t>4300966.08</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Times New Roman" w:hAnsi="Times New Roman" w:eastAsia="仿宋_GB2312"/>
                <w:kern w:val="0"/>
                <w:sz w:val="18"/>
                <w:szCs w:val="18"/>
                <w:lang w:eastAsia="zh-CN"/>
              </w:rPr>
            </w:pPr>
            <w:r>
              <w:rPr>
                <w:rFonts w:ascii="Times New Roman" w:hAnsi="Times New Roman" w:eastAsia="仿宋_GB2312"/>
                <w:kern w:val="0"/>
                <w:sz w:val="18"/>
                <w:szCs w:val="18"/>
              </w:rPr>
              <w:t>1、</w:t>
            </w:r>
            <w:r>
              <w:rPr>
                <w:rFonts w:hint="eastAsia" w:ascii="Times New Roman" w:hAnsi="Times New Roman" w:eastAsia="仿宋_GB2312"/>
                <w:kern w:val="0"/>
                <w:sz w:val="18"/>
                <w:szCs w:val="18"/>
                <w:lang w:eastAsia="zh-CN"/>
              </w:rPr>
              <w:t>残疾人康复</w:t>
            </w:r>
          </w:p>
        </w:tc>
        <w:tc>
          <w:tcPr>
            <w:tcW w:w="3067"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Calibri" w:hAnsi="Calibri" w:eastAsia="宋体" w:cs="Times New Roman"/>
                <w:color w:val="auto"/>
                <w:kern w:val="2"/>
                <w:sz w:val="15"/>
                <w:szCs w:val="15"/>
                <w:lang w:val="en-US" w:eastAsia="zh-CN" w:bidi="ar-SA"/>
              </w:rPr>
            </w:pPr>
            <w:r>
              <w:rPr>
                <w:rFonts w:hint="eastAsia" w:ascii="仿宋" w:hAnsi="仿宋" w:eastAsia="仿宋" w:cs="仿宋"/>
                <w:color w:val="auto"/>
                <w:kern w:val="0"/>
                <w:sz w:val="15"/>
                <w:szCs w:val="15"/>
                <w:lang w:val="en-US" w:eastAsia="zh-CN"/>
              </w:rPr>
              <w:t>478219.2</w:t>
            </w:r>
          </w:p>
        </w:tc>
        <w:tc>
          <w:tcPr>
            <w:tcW w:w="3369"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olor w:val="auto"/>
                <w:kern w:val="0"/>
                <w:sz w:val="18"/>
                <w:szCs w:val="18"/>
                <w:lang w:val="en-US" w:eastAsia="zh-CN"/>
              </w:rPr>
              <w:t>680000</w:t>
            </w:r>
          </w:p>
        </w:tc>
        <w:tc>
          <w:tcPr>
            <w:tcW w:w="238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676294.5</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kern w:val="0"/>
                <w:sz w:val="18"/>
                <w:szCs w:val="18"/>
              </w:rPr>
            </w:pPr>
            <w:r>
              <w:rPr>
                <w:rFonts w:ascii="Times New Roman" w:hAnsi="Times New Roman" w:eastAsia="仿宋_GB2312"/>
                <w:kern w:val="0"/>
                <w:sz w:val="18"/>
                <w:szCs w:val="18"/>
              </w:rPr>
              <w:t>2、</w:t>
            </w:r>
            <w:r>
              <w:rPr>
                <w:rStyle w:val="6"/>
                <w:rFonts w:hint="eastAsia" w:eastAsia="宋体"/>
                <w:sz w:val="15"/>
                <w:szCs w:val="15"/>
                <w:lang w:val="en-US" w:eastAsia="zh-CN"/>
              </w:rPr>
              <w:t xml:space="preserve"> 残疾人就业和扶贫</w:t>
            </w:r>
          </w:p>
        </w:tc>
        <w:tc>
          <w:tcPr>
            <w:tcW w:w="3067"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Calibri" w:hAnsi="Calibri" w:eastAsia="宋体" w:cs="Times New Roman"/>
                <w:color w:val="auto"/>
                <w:kern w:val="2"/>
                <w:sz w:val="15"/>
                <w:szCs w:val="15"/>
                <w:lang w:val="en-US" w:eastAsia="zh-CN" w:bidi="ar-SA"/>
              </w:rPr>
            </w:pPr>
            <w:r>
              <w:rPr>
                <w:rFonts w:hint="eastAsia" w:ascii="仿宋" w:hAnsi="仿宋" w:eastAsia="仿宋" w:cs="仿宋"/>
                <w:color w:val="auto"/>
                <w:kern w:val="0"/>
                <w:sz w:val="15"/>
                <w:szCs w:val="15"/>
                <w:lang w:val="en-US" w:eastAsia="zh-CN"/>
              </w:rPr>
              <w:t>1006754</w:t>
            </w:r>
          </w:p>
        </w:tc>
        <w:tc>
          <w:tcPr>
            <w:tcW w:w="3369"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olor w:val="auto"/>
                <w:kern w:val="0"/>
                <w:sz w:val="18"/>
                <w:szCs w:val="18"/>
                <w:lang w:val="en-US" w:eastAsia="zh-CN"/>
              </w:rPr>
              <w:t>1400000</w:t>
            </w:r>
          </w:p>
        </w:tc>
        <w:tc>
          <w:tcPr>
            <w:tcW w:w="238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仿宋_GB2312"/>
                <w:color w:val="auto"/>
                <w:kern w:val="0"/>
                <w:sz w:val="18"/>
                <w:szCs w:val="18"/>
                <w:lang w:val="en-US"/>
              </w:rPr>
            </w:pPr>
            <w:r>
              <w:rPr>
                <w:rFonts w:hint="eastAsia" w:ascii="Times New Roman" w:hAnsi="Times New Roman" w:eastAsia="仿宋_GB2312"/>
                <w:color w:val="auto"/>
                <w:kern w:val="0"/>
                <w:sz w:val="18"/>
                <w:szCs w:val="18"/>
                <w:lang w:val="en-US" w:eastAsia="zh-CN"/>
              </w:rPr>
              <w:t>1394950</w:t>
            </w:r>
          </w:p>
        </w:tc>
      </w:tr>
      <w:tr>
        <w:tblPrEx>
          <w:tblCellMar>
            <w:top w:w="0" w:type="dxa"/>
            <w:left w:w="108" w:type="dxa"/>
            <w:bottom w:w="0" w:type="dxa"/>
            <w:right w:w="108" w:type="dxa"/>
          </w:tblCellMar>
        </w:tblPrEx>
        <w:trPr>
          <w:trHeight w:val="182" w:hRule="atLeast"/>
          <w:jc w:val="center"/>
        </w:trPr>
        <w:tc>
          <w:tcPr>
            <w:tcW w:w="4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kern w:val="0"/>
                <w:sz w:val="18"/>
                <w:szCs w:val="18"/>
              </w:rPr>
            </w:pPr>
            <w:r>
              <w:rPr>
                <w:rFonts w:hint="eastAsia" w:ascii="Times New Roman" w:hAnsi="Times New Roman" w:eastAsia="仿宋_GB2312"/>
                <w:kern w:val="0"/>
                <w:sz w:val="18"/>
                <w:szCs w:val="18"/>
                <w:lang w:val="en-US" w:eastAsia="zh-CN"/>
              </w:rPr>
              <w:t>3、</w:t>
            </w:r>
            <w:r>
              <w:rPr>
                <w:rStyle w:val="6"/>
                <w:rFonts w:hint="eastAsia" w:eastAsia="宋体"/>
                <w:sz w:val="15"/>
                <w:szCs w:val="15"/>
                <w:lang w:val="en-US" w:eastAsia="zh-CN"/>
              </w:rPr>
              <w:t xml:space="preserve"> 其他残疾人事业支出</w:t>
            </w:r>
          </w:p>
        </w:tc>
        <w:tc>
          <w:tcPr>
            <w:tcW w:w="3067"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Calibri" w:hAnsi="Calibri" w:eastAsia="宋体" w:cs="Times New Roman"/>
                <w:color w:val="auto"/>
                <w:kern w:val="2"/>
                <w:sz w:val="15"/>
                <w:szCs w:val="15"/>
                <w:lang w:val="en-US" w:eastAsia="zh-CN" w:bidi="ar-SA"/>
              </w:rPr>
            </w:pPr>
            <w:r>
              <w:rPr>
                <w:rFonts w:hint="eastAsia"/>
                <w:color w:val="auto"/>
                <w:sz w:val="15"/>
                <w:szCs w:val="15"/>
                <w:lang w:val="en-US" w:eastAsia="zh-CN"/>
              </w:rPr>
              <w:t>1769045.5</w:t>
            </w:r>
          </w:p>
        </w:tc>
        <w:tc>
          <w:tcPr>
            <w:tcW w:w="3369" w:type="dxa"/>
            <w:gridSpan w:val="2"/>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olor w:val="auto"/>
                <w:kern w:val="0"/>
                <w:sz w:val="18"/>
                <w:szCs w:val="18"/>
                <w:lang w:val="en-US" w:eastAsia="zh-CN"/>
              </w:rPr>
              <w:t>1520000</w:t>
            </w:r>
          </w:p>
        </w:tc>
        <w:tc>
          <w:tcPr>
            <w:tcW w:w="238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仿宋_GB2312"/>
                <w:color w:val="auto"/>
                <w:kern w:val="0"/>
                <w:sz w:val="18"/>
                <w:szCs w:val="18"/>
                <w:lang w:val="en-US"/>
              </w:rPr>
            </w:pPr>
            <w:r>
              <w:rPr>
                <w:rFonts w:hint="eastAsia" w:ascii="Times New Roman" w:hAnsi="Times New Roman" w:eastAsia="仿宋_GB2312"/>
                <w:color w:val="auto"/>
                <w:kern w:val="0"/>
                <w:sz w:val="18"/>
                <w:szCs w:val="18"/>
                <w:lang w:val="en-US" w:eastAsia="zh-CN"/>
              </w:rPr>
              <w:t>1525060</w:t>
            </w:r>
          </w:p>
        </w:tc>
      </w:tr>
      <w:tr>
        <w:tblPrEx>
          <w:tblCellMar>
            <w:top w:w="0" w:type="dxa"/>
            <w:left w:w="108" w:type="dxa"/>
            <w:bottom w:w="0" w:type="dxa"/>
            <w:right w:w="108" w:type="dxa"/>
          </w:tblCellMar>
        </w:tblPrEx>
        <w:trPr>
          <w:trHeight w:val="242" w:hRule="atLeast"/>
          <w:jc w:val="center"/>
        </w:trPr>
        <w:tc>
          <w:tcPr>
            <w:tcW w:w="4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auto"/>
              <w:rPr>
                <w:rFonts w:hint="eastAsia" w:ascii="Times New Roman" w:hAnsi="Times New Roman" w:eastAsia="仿宋_GB2312"/>
                <w:kern w:val="0"/>
                <w:sz w:val="18"/>
                <w:szCs w:val="18"/>
                <w:lang w:val="en-US" w:eastAsia="zh-CN"/>
              </w:rPr>
            </w:pPr>
            <w:r>
              <w:rPr>
                <w:rFonts w:hint="eastAsia" w:ascii="Times New Roman" w:hAnsi="Times New Roman" w:eastAsia="仿宋_GB2312"/>
                <w:kern w:val="0"/>
                <w:sz w:val="18"/>
                <w:szCs w:val="18"/>
                <w:lang w:val="en-US" w:eastAsia="zh-CN"/>
              </w:rPr>
              <w:t>4、残疾人体育</w:t>
            </w:r>
          </w:p>
        </w:tc>
        <w:tc>
          <w:tcPr>
            <w:tcW w:w="3067"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eastAsia="宋体"/>
                <w:color w:val="auto"/>
                <w:sz w:val="15"/>
                <w:szCs w:val="15"/>
                <w:lang w:val="en-US" w:eastAsia="zh-CN"/>
              </w:rPr>
            </w:pPr>
            <w:r>
              <w:rPr>
                <w:rFonts w:hint="eastAsia"/>
                <w:color w:val="auto"/>
                <w:sz w:val="15"/>
                <w:szCs w:val="15"/>
                <w:lang w:val="en-US" w:eastAsia="zh-CN"/>
              </w:rPr>
              <w:t>30000</w:t>
            </w:r>
          </w:p>
        </w:tc>
        <w:tc>
          <w:tcPr>
            <w:tcW w:w="3369" w:type="dxa"/>
            <w:gridSpan w:val="2"/>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olor w:val="auto"/>
                <w:kern w:val="0"/>
                <w:sz w:val="18"/>
                <w:szCs w:val="18"/>
                <w:lang w:val="en-US" w:eastAsia="zh-CN"/>
              </w:rPr>
              <w:t>30000</w:t>
            </w:r>
          </w:p>
        </w:tc>
        <w:tc>
          <w:tcPr>
            <w:tcW w:w="238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30000</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auto"/>
              <w:rPr>
                <w:rFonts w:hint="default" w:ascii="Times New Roman" w:hAnsi="Times New Roman" w:eastAsia="仿宋_GB2312"/>
                <w:kern w:val="0"/>
                <w:sz w:val="18"/>
                <w:szCs w:val="18"/>
                <w:lang w:val="en-US" w:eastAsia="zh-CN"/>
              </w:rPr>
            </w:pPr>
            <w:r>
              <w:rPr>
                <w:rFonts w:hint="eastAsia" w:ascii="Times New Roman" w:hAnsi="Times New Roman" w:eastAsia="仿宋_GB2312"/>
                <w:kern w:val="0"/>
                <w:sz w:val="18"/>
                <w:szCs w:val="18"/>
                <w:lang w:val="en-US" w:eastAsia="zh-CN"/>
              </w:rPr>
              <w:t>5、政府基金性项目</w:t>
            </w:r>
          </w:p>
        </w:tc>
        <w:tc>
          <w:tcPr>
            <w:tcW w:w="3067"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color w:val="auto"/>
                <w:sz w:val="15"/>
                <w:szCs w:val="15"/>
                <w:lang w:val="en-US" w:eastAsia="zh-CN"/>
              </w:rPr>
            </w:pPr>
            <w:r>
              <w:rPr>
                <w:rFonts w:hint="eastAsia"/>
                <w:color w:val="auto"/>
                <w:sz w:val="15"/>
                <w:szCs w:val="15"/>
                <w:lang w:val="en-US" w:eastAsia="zh-CN"/>
              </w:rPr>
              <w:t>189200</w:t>
            </w:r>
          </w:p>
        </w:tc>
        <w:tc>
          <w:tcPr>
            <w:tcW w:w="3369" w:type="dxa"/>
            <w:gridSpan w:val="2"/>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olor w:val="auto"/>
                <w:kern w:val="0"/>
                <w:sz w:val="18"/>
                <w:szCs w:val="18"/>
                <w:lang w:val="en-US" w:eastAsia="zh-CN"/>
              </w:rPr>
              <w:t>674661.58</w:t>
            </w:r>
          </w:p>
        </w:tc>
        <w:tc>
          <w:tcPr>
            <w:tcW w:w="238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674661.58</w:t>
            </w:r>
          </w:p>
        </w:tc>
      </w:tr>
      <w:tr>
        <w:tblPrEx>
          <w:tblCellMar>
            <w:top w:w="0" w:type="dxa"/>
            <w:left w:w="108" w:type="dxa"/>
            <w:bottom w:w="0" w:type="dxa"/>
            <w:right w:w="108" w:type="dxa"/>
          </w:tblCellMar>
        </w:tblPrEx>
        <w:trPr>
          <w:trHeight w:val="227" w:hRule="atLeast"/>
          <w:jc w:val="center"/>
        </w:trPr>
        <w:tc>
          <w:tcPr>
            <w:tcW w:w="4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kern w:val="0"/>
                <w:sz w:val="18"/>
                <w:szCs w:val="18"/>
              </w:rPr>
            </w:pPr>
            <w:r>
              <w:rPr>
                <w:rFonts w:ascii="Times New Roman" w:hAnsi="Times New Roman" w:eastAsia="仿宋_GB2312"/>
                <w:kern w:val="0"/>
                <w:sz w:val="18"/>
                <w:szCs w:val="18"/>
              </w:rPr>
              <w:t>公用经费</w:t>
            </w:r>
          </w:p>
        </w:tc>
        <w:tc>
          <w:tcPr>
            <w:tcW w:w="3067"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Calibri" w:hAnsi="Calibri" w:eastAsia="宋体" w:cs="Times New Roman"/>
                <w:color w:val="auto"/>
                <w:kern w:val="2"/>
                <w:sz w:val="15"/>
                <w:szCs w:val="15"/>
                <w:lang w:val="en-US" w:eastAsia="zh-CN" w:bidi="ar-SA"/>
              </w:rPr>
            </w:pPr>
            <w:r>
              <w:rPr>
                <w:rFonts w:hint="eastAsia" w:eastAsia="宋体"/>
                <w:color w:val="auto"/>
                <w:sz w:val="15"/>
                <w:szCs w:val="15"/>
                <w:lang w:val="en-US" w:eastAsia="zh-CN"/>
              </w:rPr>
              <w:t>143359</w:t>
            </w:r>
          </w:p>
        </w:tc>
        <w:tc>
          <w:tcPr>
            <w:tcW w:w="3369"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143000</w:t>
            </w:r>
          </w:p>
        </w:tc>
        <w:tc>
          <w:tcPr>
            <w:tcW w:w="238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142980</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kern w:val="0"/>
                <w:sz w:val="18"/>
                <w:szCs w:val="18"/>
              </w:rPr>
            </w:pPr>
            <w:r>
              <w:rPr>
                <w:rFonts w:ascii="Times New Roman" w:hAnsi="Times New Roman" w:eastAsia="仿宋_GB2312"/>
                <w:kern w:val="0"/>
                <w:sz w:val="18"/>
                <w:szCs w:val="18"/>
              </w:rPr>
              <w:t>其中：办公经费</w:t>
            </w:r>
          </w:p>
        </w:tc>
        <w:tc>
          <w:tcPr>
            <w:tcW w:w="3067"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Calibri" w:hAnsi="Calibri" w:eastAsia="宋体" w:cs="Times New Roman"/>
                <w:color w:val="auto"/>
                <w:kern w:val="2"/>
                <w:sz w:val="15"/>
                <w:szCs w:val="15"/>
                <w:lang w:val="en-US" w:eastAsia="zh-CN" w:bidi="ar-SA"/>
              </w:rPr>
            </w:pPr>
            <w:r>
              <w:rPr>
                <w:rFonts w:hint="eastAsia" w:eastAsia="宋体"/>
                <w:color w:val="auto"/>
                <w:sz w:val="15"/>
                <w:szCs w:val="15"/>
                <w:lang w:val="en-US" w:eastAsia="zh-CN"/>
              </w:rPr>
              <w:t>23</w:t>
            </w:r>
            <w:r>
              <w:rPr>
                <w:rFonts w:hint="eastAsia"/>
                <w:color w:val="auto"/>
                <w:sz w:val="15"/>
                <w:szCs w:val="15"/>
                <w:lang w:val="en-US" w:eastAsia="zh-CN"/>
              </w:rPr>
              <w:t>000</w:t>
            </w:r>
          </w:p>
        </w:tc>
        <w:tc>
          <w:tcPr>
            <w:tcW w:w="3369"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96800</w:t>
            </w:r>
          </w:p>
        </w:tc>
        <w:tc>
          <w:tcPr>
            <w:tcW w:w="238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97980</w:t>
            </w:r>
          </w:p>
        </w:tc>
      </w:tr>
      <w:tr>
        <w:tblPrEx>
          <w:tblCellMar>
            <w:top w:w="0" w:type="dxa"/>
            <w:left w:w="108" w:type="dxa"/>
            <w:bottom w:w="0" w:type="dxa"/>
            <w:right w:w="108" w:type="dxa"/>
          </w:tblCellMar>
        </w:tblPrEx>
        <w:trPr>
          <w:trHeight w:val="267" w:hRule="atLeast"/>
          <w:jc w:val="center"/>
        </w:trPr>
        <w:tc>
          <w:tcPr>
            <w:tcW w:w="488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kern w:val="0"/>
                <w:sz w:val="18"/>
                <w:szCs w:val="18"/>
              </w:rPr>
            </w:pPr>
            <w:r>
              <w:rPr>
                <w:rFonts w:ascii="Times New Roman" w:hAnsi="Times New Roman" w:eastAsia="仿宋_GB2312"/>
                <w:kern w:val="0"/>
                <w:sz w:val="18"/>
                <w:szCs w:val="18"/>
              </w:rPr>
              <w:t>水费、电费、差旅费</w:t>
            </w:r>
          </w:p>
        </w:tc>
        <w:tc>
          <w:tcPr>
            <w:tcW w:w="3067"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Calibri" w:hAnsi="Calibri" w:eastAsia="宋体" w:cs="Times New Roman"/>
                <w:color w:val="auto"/>
                <w:kern w:val="2"/>
                <w:sz w:val="15"/>
                <w:szCs w:val="15"/>
                <w:lang w:val="en-US" w:eastAsia="zh-CN" w:bidi="ar-SA"/>
              </w:rPr>
            </w:pPr>
            <w:r>
              <w:rPr>
                <w:rFonts w:hint="eastAsia" w:eastAsia="宋体"/>
                <w:color w:val="auto"/>
                <w:sz w:val="15"/>
                <w:szCs w:val="15"/>
                <w:lang w:val="en-US" w:eastAsia="zh-CN"/>
              </w:rPr>
              <w:t>120359</w:t>
            </w:r>
          </w:p>
        </w:tc>
        <w:tc>
          <w:tcPr>
            <w:tcW w:w="3369"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36200</w:t>
            </w:r>
          </w:p>
        </w:tc>
        <w:tc>
          <w:tcPr>
            <w:tcW w:w="238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45000</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kern w:val="0"/>
                <w:sz w:val="18"/>
                <w:szCs w:val="18"/>
              </w:rPr>
            </w:pPr>
            <w:r>
              <w:rPr>
                <w:rFonts w:ascii="Times New Roman" w:hAnsi="Times New Roman" w:eastAsia="仿宋_GB2312"/>
                <w:kern w:val="0"/>
                <w:sz w:val="18"/>
                <w:szCs w:val="18"/>
              </w:rPr>
              <w:t>会议费、培训费</w:t>
            </w:r>
          </w:p>
        </w:tc>
        <w:tc>
          <w:tcPr>
            <w:tcW w:w="3067"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0</w:t>
            </w:r>
          </w:p>
        </w:tc>
        <w:tc>
          <w:tcPr>
            <w:tcW w:w="3369"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仿宋_GB2312"/>
                <w:color w:val="auto"/>
                <w:kern w:val="0"/>
                <w:sz w:val="18"/>
                <w:szCs w:val="18"/>
                <w:lang w:val="en-US"/>
              </w:rPr>
            </w:pPr>
            <w:r>
              <w:rPr>
                <w:rFonts w:hint="eastAsia" w:ascii="Times New Roman" w:hAnsi="Times New Roman" w:eastAsia="仿宋_GB2312"/>
                <w:color w:val="auto"/>
                <w:kern w:val="0"/>
                <w:sz w:val="18"/>
                <w:szCs w:val="18"/>
                <w:lang w:val="en-US" w:eastAsia="zh-CN"/>
              </w:rPr>
              <w:t>10000</w:t>
            </w:r>
          </w:p>
        </w:tc>
        <w:tc>
          <w:tcPr>
            <w:tcW w:w="238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0</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kern w:val="0"/>
                <w:sz w:val="18"/>
                <w:szCs w:val="18"/>
              </w:rPr>
            </w:pPr>
            <w:r>
              <w:rPr>
                <w:rFonts w:ascii="Times New Roman" w:hAnsi="Times New Roman" w:eastAsia="仿宋_GB2312"/>
                <w:kern w:val="0"/>
                <w:sz w:val="18"/>
                <w:szCs w:val="18"/>
              </w:rPr>
              <w:t>政府采购金额</w:t>
            </w:r>
          </w:p>
        </w:tc>
        <w:tc>
          <w:tcPr>
            <w:tcW w:w="3067"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w:t>
            </w:r>
          </w:p>
        </w:tc>
        <w:tc>
          <w:tcPr>
            <w:tcW w:w="3369"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color w:val="auto"/>
                <w:kern w:val="0"/>
                <w:sz w:val="18"/>
                <w:szCs w:val="18"/>
              </w:rPr>
            </w:pPr>
          </w:p>
        </w:tc>
        <w:tc>
          <w:tcPr>
            <w:tcW w:w="238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color w:val="auto"/>
                <w:kern w:val="0"/>
                <w:sz w:val="18"/>
                <w:szCs w:val="18"/>
              </w:rPr>
            </w:pP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kern w:val="0"/>
                <w:sz w:val="18"/>
                <w:szCs w:val="18"/>
              </w:rPr>
            </w:pPr>
            <w:r>
              <w:rPr>
                <w:rFonts w:ascii="Times New Roman" w:hAnsi="Times New Roman" w:eastAsia="仿宋_GB2312"/>
                <w:kern w:val="0"/>
                <w:sz w:val="18"/>
                <w:szCs w:val="18"/>
              </w:rPr>
              <w:t>部门基本支出预算调整</w:t>
            </w:r>
          </w:p>
        </w:tc>
        <w:tc>
          <w:tcPr>
            <w:tcW w:w="3067"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kern w:val="0"/>
                <w:sz w:val="18"/>
                <w:szCs w:val="18"/>
              </w:rPr>
            </w:pPr>
            <w:r>
              <w:rPr>
                <w:rFonts w:ascii="Times New Roman" w:hAnsi="Times New Roman" w:eastAsia="仿宋_GB2312"/>
                <w:kern w:val="0"/>
                <w:sz w:val="18"/>
                <w:szCs w:val="18"/>
              </w:rPr>
              <w:t>——</w:t>
            </w:r>
          </w:p>
        </w:tc>
        <w:tc>
          <w:tcPr>
            <w:tcW w:w="3369"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kern w:val="0"/>
                <w:sz w:val="18"/>
                <w:szCs w:val="18"/>
              </w:rPr>
            </w:pPr>
          </w:p>
        </w:tc>
      </w:tr>
      <w:tr>
        <w:tblPrEx>
          <w:tblCellMar>
            <w:top w:w="0" w:type="dxa"/>
            <w:left w:w="108" w:type="dxa"/>
            <w:bottom w:w="0" w:type="dxa"/>
            <w:right w:w="108" w:type="dxa"/>
          </w:tblCellMar>
        </w:tblPrEx>
        <w:trPr>
          <w:trHeight w:val="375" w:hRule="atLeast"/>
          <w:jc w:val="center"/>
        </w:trPr>
        <w:tc>
          <w:tcPr>
            <w:tcW w:w="4883"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kern w:val="0"/>
                <w:sz w:val="18"/>
                <w:szCs w:val="18"/>
              </w:rPr>
            </w:pPr>
            <w:r>
              <w:rPr>
                <w:rFonts w:ascii="Times New Roman" w:hAnsi="Times New Roman" w:eastAsia="仿宋_GB2312"/>
                <w:kern w:val="0"/>
                <w:sz w:val="18"/>
                <w:szCs w:val="18"/>
              </w:rPr>
              <w:t>楼堂馆所控制情况</w:t>
            </w:r>
            <w:r>
              <w:rPr>
                <w:rFonts w:ascii="Times New Roman" w:hAnsi="Times New Roman" w:eastAsia="仿宋_GB2312"/>
                <w:kern w:val="0"/>
                <w:sz w:val="18"/>
                <w:szCs w:val="18"/>
              </w:rPr>
              <w:br w:type="textWrapping"/>
            </w:r>
            <w:r>
              <w:rPr>
                <w:rFonts w:ascii="Times New Roman" w:hAnsi="Times New Roman" w:eastAsia="仿宋_GB2312"/>
                <w:kern w:val="0"/>
                <w:sz w:val="18"/>
                <w:szCs w:val="18"/>
              </w:rPr>
              <w:t>（20</w:t>
            </w:r>
            <w:r>
              <w:rPr>
                <w:rFonts w:hint="eastAsia" w:ascii="Times New Roman" w:hAnsi="Times New Roman" w:eastAsia="仿宋_GB2312"/>
                <w:kern w:val="0"/>
                <w:sz w:val="18"/>
                <w:szCs w:val="18"/>
              </w:rPr>
              <w:t>20</w:t>
            </w:r>
            <w:r>
              <w:rPr>
                <w:rFonts w:ascii="Times New Roman" w:hAnsi="Times New Roman" w:eastAsia="仿宋_GB2312"/>
                <w:kern w:val="0"/>
                <w:sz w:val="18"/>
                <w:szCs w:val="18"/>
              </w:rPr>
              <w:t>年完工项目）</w:t>
            </w:r>
          </w:p>
        </w:tc>
        <w:tc>
          <w:tcPr>
            <w:tcW w:w="1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kern w:val="0"/>
                <w:sz w:val="18"/>
                <w:szCs w:val="18"/>
              </w:rPr>
            </w:pPr>
            <w:r>
              <w:rPr>
                <w:rFonts w:ascii="Times New Roman" w:hAnsi="Times New Roman" w:eastAsia="仿宋_GB2312"/>
                <w:kern w:val="0"/>
                <w:sz w:val="18"/>
                <w:szCs w:val="18"/>
              </w:rPr>
              <w:t>批复规模（㎡）</w:t>
            </w:r>
          </w:p>
        </w:tc>
        <w:tc>
          <w:tcPr>
            <w:tcW w:w="149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kern w:val="0"/>
                <w:sz w:val="18"/>
                <w:szCs w:val="18"/>
              </w:rPr>
            </w:pPr>
            <w:r>
              <w:rPr>
                <w:rFonts w:ascii="Times New Roman" w:hAnsi="Times New Roman" w:eastAsia="仿宋_GB2312"/>
                <w:kern w:val="0"/>
                <w:sz w:val="18"/>
                <w:szCs w:val="18"/>
              </w:rPr>
              <w:t>实际规模（㎡）</w:t>
            </w:r>
          </w:p>
        </w:tc>
        <w:tc>
          <w:tcPr>
            <w:tcW w:w="146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kern w:val="0"/>
                <w:sz w:val="18"/>
                <w:szCs w:val="18"/>
              </w:rPr>
            </w:pPr>
            <w:r>
              <w:rPr>
                <w:rFonts w:ascii="Times New Roman" w:hAnsi="Times New Roman" w:eastAsia="仿宋_GB2312"/>
                <w:kern w:val="0"/>
                <w:sz w:val="18"/>
                <w:szCs w:val="18"/>
              </w:rPr>
              <w:t>规模控制率</w:t>
            </w:r>
          </w:p>
        </w:tc>
        <w:tc>
          <w:tcPr>
            <w:tcW w:w="19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kern w:val="0"/>
                <w:sz w:val="18"/>
                <w:szCs w:val="18"/>
              </w:rPr>
            </w:pPr>
            <w:r>
              <w:rPr>
                <w:rFonts w:ascii="Times New Roman" w:hAnsi="Times New Roman" w:eastAsia="仿宋_GB2312"/>
                <w:kern w:val="0"/>
                <w:sz w:val="18"/>
                <w:szCs w:val="18"/>
              </w:rPr>
              <w:t>预算投资（万元）</w:t>
            </w:r>
          </w:p>
        </w:tc>
        <w:tc>
          <w:tcPr>
            <w:tcW w:w="126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kern w:val="0"/>
                <w:sz w:val="18"/>
                <w:szCs w:val="18"/>
              </w:rPr>
            </w:pPr>
            <w:r>
              <w:rPr>
                <w:rFonts w:ascii="Times New Roman" w:hAnsi="Times New Roman" w:eastAsia="仿宋_GB2312"/>
                <w:kern w:val="0"/>
                <w:sz w:val="18"/>
                <w:szCs w:val="18"/>
              </w:rPr>
              <w:t>实际投资（万元）</w:t>
            </w:r>
          </w:p>
        </w:tc>
        <w:tc>
          <w:tcPr>
            <w:tcW w:w="112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kern w:val="0"/>
                <w:sz w:val="18"/>
                <w:szCs w:val="18"/>
              </w:rPr>
            </w:pPr>
            <w:r>
              <w:rPr>
                <w:rFonts w:ascii="Times New Roman" w:hAnsi="Times New Roman" w:eastAsia="仿宋_GB2312"/>
                <w:kern w:val="0"/>
                <w:sz w:val="18"/>
                <w:szCs w:val="18"/>
              </w:rPr>
              <w:t>投资概算控制率</w:t>
            </w:r>
          </w:p>
        </w:tc>
      </w:tr>
      <w:tr>
        <w:tblPrEx>
          <w:tblCellMar>
            <w:top w:w="0" w:type="dxa"/>
            <w:left w:w="108" w:type="dxa"/>
            <w:bottom w:w="0" w:type="dxa"/>
            <w:right w:w="108" w:type="dxa"/>
          </w:tblCellMar>
        </w:tblPrEx>
        <w:trPr>
          <w:trHeight w:val="143" w:hRule="atLeast"/>
          <w:jc w:val="center"/>
        </w:trPr>
        <w:tc>
          <w:tcPr>
            <w:tcW w:w="4883"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kern w:val="0"/>
                <w:sz w:val="18"/>
                <w:szCs w:val="18"/>
              </w:rPr>
            </w:pPr>
          </w:p>
        </w:tc>
        <w:tc>
          <w:tcPr>
            <w:tcW w:w="1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kern w:val="0"/>
                <w:sz w:val="18"/>
                <w:szCs w:val="18"/>
              </w:rPr>
            </w:pPr>
          </w:p>
        </w:tc>
        <w:tc>
          <w:tcPr>
            <w:tcW w:w="149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kern w:val="0"/>
                <w:sz w:val="18"/>
                <w:szCs w:val="18"/>
              </w:rPr>
            </w:pPr>
          </w:p>
        </w:tc>
        <w:tc>
          <w:tcPr>
            <w:tcW w:w="146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kern w:val="0"/>
                <w:sz w:val="18"/>
                <w:szCs w:val="18"/>
              </w:rPr>
            </w:pPr>
          </w:p>
        </w:tc>
        <w:tc>
          <w:tcPr>
            <w:tcW w:w="19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kern w:val="0"/>
                <w:sz w:val="18"/>
                <w:szCs w:val="18"/>
              </w:rPr>
            </w:pPr>
          </w:p>
        </w:tc>
        <w:tc>
          <w:tcPr>
            <w:tcW w:w="126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kern w:val="0"/>
                <w:sz w:val="18"/>
                <w:szCs w:val="18"/>
              </w:rPr>
            </w:pPr>
          </w:p>
        </w:tc>
        <w:tc>
          <w:tcPr>
            <w:tcW w:w="112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kern w:val="0"/>
                <w:sz w:val="18"/>
                <w:szCs w:val="18"/>
              </w:rPr>
            </w:pPr>
          </w:p>
        </w:tc>
      </w:tr>
      <w:tr>
        <w:tblPrEx>
          <w:tblCellMar>
            <w:top w:w="0" w:type="dxa"/>
            <w:left w:w="108" w:type="dxa"/>
            <w:bottom w:w="0" w:type="dxa"/>
            <w:right w:w="108" w:type="dxa"/>
          </w:tblCellMar>
        </w:tblPrEx>
        <w:trPr>
          <w:trHeight w:val="282" w:hRule="atLeast"/>
          <w:jc w:val="center"/>
        </w:trPr>
        <w:tc>
          <w:tcPr>
            <w:tcW w:w="488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kern w:val="0"/>
                <w:sz w:val="18"/>
                <w:szCs w:val="18"/>
              </w:rPr>
            </w:pPr>
            <w:r>
              <w:rPr>
                <w:rFonts w:ascii="Times New Roman" w:hAnsi="Times New Roman" w:eastAsia="仿宋_GB2312"/>
                <w:kern w:val="0"/>
                <w:sz w:val="18"/>
                <w:szCs w:val="18"/>
              </w:rPr>
              <w:t>厉行节约保障措施</w:t>
            </w:r>
          </w:p>
        </w:tc>
        <w:tc>
          <w:tcPr>
            <w:tcW w:w="8817" w:type="dxa"/>
            <w:gridSpan w:val="6"/>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eastAsia="仿宋_GB2312"/>
                <w:kern w:val="0"/>
                <w:sz w:val="18"/>
                <w:szCs w:val="18"/>
              </w:rPr>
            </w:pPr>
          </w:p>
        </w:tc>
      </w:tr>
    </w:tbl>
    <w:p>
      <w:pPr>
        <w:keepNext w:val="0"/>
        <w:keepLines w:val="0"/>
        <w:pageBreakBefore w:val="0"/>
        <w:widowControl/>
        <w:kinsoku/>
        <w:wordWrap/>
        <w:overflowPunct/>
        <w:topLinePunct w:val="0"/>
        <w:autoSpaceDE/>
        <w:autoSpaceDN/>
        <w:bidi w:val="0"/>
        <w:adjustRightInd/>
        <w:snapToGrid/>
        <w:spacing w:line="240" w:lineRule="exact"/>
        <w:ind w:firstLine="480" w:firstLineChars="200"/>
        <w:jc w:val="left"/>
        <w:textAlignment w:val="auto"/>
        <w:rPr>
          <w:rFonts w:ascii="Times New Roman" w:hAnsi="Times New Roman" w:eastAsia="楷体_GB2312"/>
          <w:kern w:val="0"/>
          <w:sz w:val="24"/>
          <w:szCs w:val="24"/>
        </w:rPr>
        <w:sectPr>
          <w:pgSz w:w="16838" w:h="11906" w:orient="landscape"/>
          <w:pgMar w:top="1800" w:right="1440" w:bottom="1800" w:left="1440" w:header="851" w:footer="992" w:gutter="0"/>
          <w:cols w:space="425" w:num="1"/>
          <w:docGrid w:type="lines" w:linePitch="312" w:charSpace="0"/>
        </w:sectPr>
      </w:pPr>
      <w:r>
        <w:rPr>
          <w:rFonts w:ascii="Times New Roman" w:hAnsi="Times New Roman" w:eastAsia="楷体_GB2312"/>
          <w:kern w:val="0"/>
          <w:sz w:val="24"/>
          <w:szCs w:val="24"/>
        </w:rPr>
        <w:t>说明：“项目支出”需要填报基本支出以外的所有项目情况，包括业务工作项目、运行维护项目等；“公用经费”填报基本支出中的一般商品和服务支出。</w:t>
      </w:r>
    </w:p>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Times New Roman" w:hAnsi="Times New Roman" w:eastAsia="楷体_GB2312"/>
          <w:kern w:val="0"/>
          <w:sz w:val="24"/>
          <w:szCs w:val="24"/>
          <w:lang w:val="en-US" w:eastAsia="zh-CN"/>
        </w:rPr>
      </w:pPr>
      <w:r>
        <w:rPr>
          <w:rFonts w:hint="eastAsia" w:ascii="Times New Roman" w:hAnsi="Times New Roman" w:eastAsia="楷体_GB2312"/>
          <w:kern w:val="0"/>
          <w:sz w:val="24"/>
          <w:szCs w:val="24"/>
          <w:lang w:val="en-US" w:eastAsia="zh-CN"/>
        </w:rPr>
        <w:t>附件2：</w:t>
      </w:r>
    </w:p>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楷体_GB2312"/>
          <w:kern w:val="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after="161" w:afterLines="50" w:line="320" w:lineRule="exact"/>
        <w:jc w:val="center"/>
        <w:textAlignment w:val="auto"/>
        <w:rPr>
          <w:rFonts w:ascii="Times New Roman" w:hAnsi="Times New Roman" w:eastAsia="方正小标宋简体"/>
          <w:kern w:val="0"/>
          <w:sz w:val="32"/>
          <w:szCs w:val="32"/>
        </w:rPr>
      </w:pPr>
      <w:r>
        <w:rPr>
          <w:rFonts w:ascii="Times New Roman" w:hAnsi="Times New Roman" w:eastAsia="方正小标宋简体"/>
          <w:kern w:val="0"/>
          <w:sz w:val="32"/>
          <w:szCs w:val="32"/>
        </w:rPr>
        <w:t>部门整体支出绩效评价指标表</w:t>
      </w:r>
    </w:p>
    <w:tbl>
      <w:tblPr>
        <w:tblStyle w:val="2"/>
        <w:tblW w:w="14196" w:type="dxa"/>
        <w:jc w:val="center"/>
        <w:tblLayout w:type="fixed"/>
        <w:tblCellMar>
          <w:top w:w="0" w:type="dxa"/>
          <w:left w:w="108" w:type="dxa"/>
          <w:bottom w:w="0" w:type="dxa"/>
          <w:right w:w="108" w:type="dxa"/>
        </w:tblCellMar>
      </w:tblPr>
      <w:tblGrid>
        <w:gridCol w:w="823"/>
        <w:gridCol w:w="519"/>
        <w:gridCol w:w="1258"/>
        <w:gridCol w:w="542"/>
        <w:gridCol w:w="1419"/>
        <w:gridCol w:w="565"/>
        <w:gridCol w:w="4593"/>
        <w:gridCol w:w="3773"/>
        <w:gridCol w:w="704"/>
      </w:tblGrid>
      <w:tr>
        <w:tblPrEx>
          <w:tblCellMar>
            <w:top w:w="0" w:type="dxa"/>
            <w:left w:w="108" w:type="dxa"/>
            <w:bottom w:w="0" w:type="dxa"/>
            <w:right w:w="108" w:type="dxa"/>
          </w:tblCellMar>
        </w:tblPrEx>
        <w:trPr>
          <w:trHeight w:val="459" w:hRule="atLeast"/>
          <w:tblHeader/>
          <w:jc w:val="center"/>
        </w:trPr>
        <w:tc>
          <w:tcPr>
            <w:tcW w:w="823" w:type="dxa"/>
            <w:tcBorders>
              <w:top w:val="single" w:color="auto" w:sz="4" w:space="0"/>
              <w:left w:val="single" w:color="auto" w:sz="4" w:space="0"/>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一级指标</w:t>
            </w:r>
          </w:p>
        </w:tc>
        <w:tc>
          <w:tcPr>
            <w:tcW w:w="519" w:type="dxa"/>
            <w:tcBorders>
              <w:top w:val="single" w:color="auto" w:sz="4" w:space="0"/>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分值</w:t>
            </w:r>
          </w:p>
        </w:tc>
        <w:tc>
          <w:tcPr>
            <w:tcW w:w="1258" w:type="dxa"/>
            <w:tcBorders>
              <w:top w:val="single" w:color="auto" w:sz="4" w:space="0"/>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二级指标</w:t>
            </w:r>
          </w:p>
        </w:tc>
        <w:tc>
          <w:tcPr>
            <w:tcW w:w="542" w:type="dxa"/>
            <w:tcBorders>
              <w:top w:val="single" w:color="auto" w:sz="4" w:space="0"/>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分值</w:t>
            </w:r>
          </w:p>
        </w:tc>
        <w:tc>
          <w:tcPr>
            <w:tcW w:w="1419" w:type="dxa"/>
            <w:tcBorders>
              <w:top w:val="single" w:color="auto" w:sz="4" w:space="0"/>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三级</w:t>
            </w:r>
          </w:p>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指标</w:t>
            </w:r>
          </w:p>
        </w:tc>
        <w:tc>
          <w:tcPr>
            <w:tcW w:w="565" w:type="dxa"/>
            <w:tcBorders>
              <w:top w:val="single" w:color="auto" w:sz="4" w:space="0"/>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分值</w:t>
            </w:r>
          </w:p>
        </w:tc>
        <w:tc>
          <w:tcPr>
            <w:tcW w:w="4593" w:type="dxa"/>
            <w:tcBorders>
              <w:top w:val="single" w:color="auto" w:sz="4" w:space="0"/>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评价标准</w:t>
            </w:r>
          </w:p>
        </w:tc>
        <w:tc>
          <w:tcPr>
            <w:tcW w:w="3773" w:type="dxa"/>
            <w:tcBorders>
              <w:top w:val="single" w:color="auto" w:sz="4" w:space="0"/>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指标说明</w:t>
            </w:r>
          </w:p>
        </w:tc>
        <w:tc>
          <w:tcPr>
            <w:tcW w:w="704" w:type="dxa"/>
            <w:tcBorders>
              <w:top w:val="single" w:color="auto" w:sz="4" w:space="0"/>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得分</w:t>
            </w:r>
          </w:p>
        </w:tc>
      </w:tr>
      <w:tr>
        <w:tblPrEx>
          <w:tblCellMar>
            <w:top w:w="0" w:type="dxa"/>
            <w:left w:w="108" w:type="dxa"/>
            <w:bottom w:w="0" w:type="dxa"/>
            <w:right w:w="108" w:type="dxa"/>
          </w:tblCellMar>
        </w:tblPrEx>
        <w:trPr>
          <w:trHeight w:val="750" w:hRule="atLeast"/>
          <w:jc w:val="center"/>
        </w:trPr>
        <w:tc>
          <w:tcPr>
            <w:tcW w:w="823" w:type="dxa"/>
            <w:vMerge w:val="restart"/>
            <w:tcBorders>
              <w:top w:val="nil"/>
              <w:left w:val="single" w:color="auto" w:sz="4" w:space="0"/>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投入</w:t>
            </w:r>
          </w:p>
        </w:tc>
        <w:tc>
          <w:tcPr>
            <w:tcW w:w="519" w:type="dxa"/>
            <w:vMerge w:val="restart"/>
            <w:tcBorders>
              <w:top w:val="nil"/>
              <w:left w:val="single" w:color="auto" w:sz="4" w:space="0"/>
              <w:bottom w:val="single" w:color="000000"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10</w:t>
            </w:r>
          </w:p>
        </w:tc>
        <w:tc>
          <w:tcPr>
            <w:tcW w:w="1258" w:type="dxa"/>
            <w:vMerge w:val="restart"/>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预算配置</w:t>
            </w:r>
          </w:p>
        </w:tc>
        <w:tc>
          <w:tcPr>
            <w:tcW w:w="542" w:type="dxa"/>
            <w:vMerge w:val="restart"/>
            <w:tcBorders>
              <w:top w:val="nil"/>
              <w:left w:val="single" w:color="auto" w:sz="4" w:space="0"/>
              <w:bottom w:val="single" w:color="000000"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10</w:t>
            </w:r>
          </w:p>
        </w:tc>
        <w:tc>
          <w:tcPr>
            <w:tcW w:w="1419"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spacing w:val="-20"/>
                <w:kern w:val="0"/>
                <w:sz w:val="18"/>
                <w:szCs w:val="18"/>
              </w:rPr>
              <w:t>在职人员控制率</w:t>
            </w:r>
          </w:p>
        </w:tc>
        <w:tc>
          <w:tcPr>
            <w:tcW w:w="565"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5</w:t>
            </w:r>
          </w:p>
        </w:tc>
        <w:tc>
          <w:tcPr>
            <w:tcW w:w="4593" w:type="dxa"/>
            <w:tcBorders>
              <w:top w:val="nil"/>
              <w:left w:val="nil"/>
              <w:bottom w:val="nil"/>
              <w:right w:val="nil"/>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以100%为标准。在职人员控制率≦100%，计5分；每超过一个百分点扣0.5分，扣完为止。</w:t>
            </w:r>
          </w:p>
        </w:tc>
        <w:tc>
          <w:tcPr>
            <w:tcW w:w="3773" w:type="dxa"/>
            <w:tcBorders>
              <w:top w:val="nil"/>
              <w:left w:val="single" w:color="auto" w:sz="4" w:space="0"/>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在职人员控制率=（在职人员数/编制数）×100%，在职人员数：部门（单位）实际在职人数，以财政厅确定的部门决算编制口径为准。</w:t>
            </w:r>
            <w:r>
              <w:rPr>
                <w:rFonts w:ascii="Times New Roman" w:hAnsi="Times New Roman" w:eastAsia="仿宋_GB2312"/>
                <w:kern w:val="0"/>
                <w:sz w:val="18"/>
                <w:szCs w:val="18"/>
              </w:rPr>
              <w:br w:type="textWrapping"/>
            </w:r>
            <w:r>
              <w:rPr>
                <w:rFonts w:ascii="Times New Roman" w:hAnsi="Times New Roman" w:eastAsia="仿宋_GB2312"/>
                <w:kern w:val="0"/>
                <w:sz w:val="18"/>
                <w:szCs w:val="18"/>
              </w:rPr>
              <w:t>编制数：机构编制部门核定批复的部门（单位）的人员编制数。</w:t>
            </w:r>
          </w:p>
        </w:tc>
        <w:tc>
          <w:tcPr>
            <w:tcW w:w="70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leftChars="0" w:right="0" w:rightChars="0" w:firstLine="0" w:firstLineChars="0"/>
              <w:jc w:val="center"/>
              <w:textAlignment w:val="auto"/>
              <w:outlineLvl w:val="9"/>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rPr>
              <w:t>5</w:t>
            </w:r>
          </w:p>
        </w:tc>
      </w:tr>
      <w:tr>
        <w:tblPrEx>
          <w:tblCellMar>
            <w:top w:w="0" w:type="dxa"/>
            <w:left w:w="108" w:type="dxa"/>
            <w:bottom w:w="0" w:type="dxa"/>
            <w:right w:w="108" w:type="dxa"/>
          </w:tblCellMar>
        </w:tblPrEx>
        <w:trPr>
          <w:trHeight w:val="607" w:hRule="atLeast"/>
          <w:jc w:val="center"/>
        </w:trPr>
        <w:tc>
          <w:tcPr>
            <w:tcW w:w="823" w:type="dxa"/>
            <w:vMerge w:val="continue"/>
            <w:tcBorders>
              <w:top w:val="nil"/>
              <w:left w:val="single" w:color="auto" w:sz="4" w:space="0"/>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258" w:type="dxa"/>
            <w:vMerge w:val="continue"/>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419"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“三公经费”变动率</w:t>
            </w:r>
          </w:p>
        </w:tc>
        <w:tc>
          <w:tcPr>
            <w:tcW w:w="565"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5</w:t>
            </w:r>
          </w:p>
        </w:tc>
        <w:tc>
          <w:tcPr>
            <w:tcW w:w="4593" w:type="dxa"/>
            <w:tcBorders>
              <w:top w:val="single" w:color="auto" w:sz="4" w:space="0"/>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“三公经费”变动率≦0,计5分；“三公经费”＞0，每超过一个百分点扣0.5分，扣完为止。</w:t>
            </w:r>
          </w:p>
        </w:tc>
        <w:tc>
          <w:tcPr>
            <w:tcW w:w="377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“三公经费”变动率=[（本年度“三公经费”预算数-上年度“三公经费”预算数）/上年度“三公经费”预算数]×100%</w:t>
            </w:r>
          </w:p>
        </w:tc>
        <w:tc>
          <w:tcPr>
            <w:tcW w:w="70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leftChars="0" w:right="0" w:rightChars="0" w:firstLine="0" w:firstLineChars="0"/>
              <w:jc w:val="left"/>
              <w:textAlignment w:val="auto"/>
              <w:outlineLvl w:val="9"/>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rPr>
              <w:t>　</w:t>
            </w:r>
            <w:r>
              <w:rPr>
                <w:rFonts w:hint="eastAsia" w:ascii="仿宋_GB2312" w:hAnsi="仿宋_GB2312" w:eastAsia="仿宋_GB2312" w:cs="仿宋_GB2312"/>
                <w:color w:val="auto"/>
                <w:kern w:val="0"/>
                <w:sz w:val="18"/>
                <w:szCs w:val="18"/>
                <w:lang w:val="en-US" w:eastAsia="zh-CN"/>
              </w:rPr>
              <w:t>5</w:t>
            </w:r>
          </w:p>
        </w:tc>
      </w:tr>
      <w:tr>
        <w:tblPrEx>
          <w:tblCellMar>
            <w:top w:w="0" w:type="dxa"/>
            <w:left w:w="108" w:type="dxa"/>
            <w:bottom w:w="0" w:type="dxa"/>
            <w:right w:w="108" w:type="dxa"/>
          </w:tblCellMar>
        </w:tblPrEx>
        <w:trPr>
          <w:trHeight w:val="495" w:hRule="atLeast"/>
          <w:jc w:val="center"/>
        </w:trPr>
        <w:tc>
          <w:tcPr>
            <w:tcW w:w="823" w:type="dxa"/>
            <w:vMerge w:val="restart"/>
            <w:tcBorders>
              <w:top w:val="nil"/>
              <w:left w:val="single" w:color="auto" w:sz="4" w:space="0"/>
              <w:bottom w:val="single" w:color="000000"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过                                                                                                                                       程</w:t>
            </w:r>
          </w:p>
        </w:tc>
        <w:tc>
          <w:tcPr>
            <w:tcW w:w="519" w:type="dxa"/>
            <w:vMerge w:val="restart"/>
            <w:tcBorders>
              <w:top w:val="nil"/>
              <w:left w:val="single" w:color="auto" w:sz="4" w:space="0"/>
              <w:bottom w:val="single" w:color="000000"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60</w:t>
            </w:r>
          </w:p>
        </w:tc>
        <w:tc>
          <w:tcPr>
            <w:tcW w:w="1258" w:type="dxa"/>
            <w:vMerge w:val="restart"/>
            <w:tcBorders>
              <w:top w:val="nil"/>
              <w:left w:val="single" w:color="auto" w:sz="4" w:space="0"/>
              <w:bottom w:val="single" w:color="000000"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预算执行</w:t>
            </w:r>
          </w:p>
        </w:tc>
        <w:tc>
          <w:tcPr>
            <w:tcW w:w="542" w:type="dxa"/>
            <w:vMerge w:val="restart"/>
            <w:tcBorders>
              <w:top w:val="nil"/>
              <w:left w:val="single" w:color="auto" w:sz="4" w:space="0"/>
              <w:bottom w:val="single" w:color="000000"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20</w:t>
            </w:r>
          </w:p>
        </w:tc>
        <w:tc>
          <w:tcPr>
            <w:tcW w:w="1419"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预算完成率</w:t>
            </w:r>
          </w:p>
        </w:tc>
        <w:tc>
          <w:tcPr>
            <w:tcW w:w="565"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5</w:t>
            </w:r>
          </w:p>
        </w:tc>
        <w:tc>
          <w:tcPr>
            <w:tcW w:w="459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100%计满分，每低于5%扣2分，扣完为止。</w:t>
            </w:r>
          </w:p>
        </w:tc>
        <w:tc>
          <w:tcPr>
            <w:tcW w:w="377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预算完成率=（上年结转+年初预算+本年追加预算-年末结余）/（上年结转+年初预算+本年追加预算）×100%。</w:t>
            </w:r>
          </w:p>
        </w:tc>
        <w:tc>
          <w:tcPr>
            <w:tcW w:w="70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leftChars="0" w:right="0" w:rightChars="0" w:firstLine="0" w:firstLineChars="0"/>
              <w:jc w:val="left"/>
              <w:textAlignment w:val="auto"/>
              <w:outlineLvl w:val="9"/>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rPr>
              <w:t>　</w:t>
            </w:r>
            <w:r>
              <w:rPr>
                <w:rFonts w:hint="eastAsia" w:ascii="仿宋_GB2312" w:hAnsi="仿宋_GB2312" w:eastAsia="仿宋_GB2312" w:cs="仿宋_GB2312"/>
                <w:color w:val="auto"/>
                <w:kern w:val="0"/>
                <w:sz w:val="18"/>
                <w:szCs w:val="18"/>
                <w:lang w:val="en-US" w:eastAsia="zh-CN"/>
              </w:rPr>
              <w:t>5</w:t>
            </w:r>
          </w:p>
        </w:tc>
      </w:tr>
      <w:tr>
        <w:tblPrEx>
          <w:tblCellMar>
            <w:top w:w="0" w:type="dxa"/>
            <w:left w:w="108" w:type="dxa"/>
            <w:bottom w:w="0" w:type="dxa"/>
            <w:right w:w="108" w:type="dxa"/>
          </w:tblCellMar>
        </w:tblPrEx>
        <w:trPr>
          <w:trHeight w:val="582" w:hRule="atLeast"/>
          <w:jc w:val="center"/>
        </w:trPr>
        <w:tc>
          <w:tcPr>
            <w:tcW w:w="823"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258"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419"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预算控制率</w:t>
            </w:r>
          </w:p>
        </w:tc>
        <w:tc>
          <w:tcPr>
            <w:tcW w:w="565"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5</w:t>
            </w:r>
          </w:p>
        </w:tc>
        <w:tc>
          <w:tcPr>
            <w:tcW w:w="459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预算控制率=0，计5分；0-10%（含），计4分；10-20%（含），计3分；20-30%（含），计2分；大于30%不得分。</w:t>
            </w:r>
          </w:p>
        </w:tc>
        <w:tc>
          <w:tcPr>
            <w:tcW w:w="377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预算控制率=（本年追加预算/年初预算）×100%。</w:t>
            </w:r>
          </w:p>
        </w:tc>
        <w:tc>
          <w:tcPr>
            <w:tcW w:w="70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leftChars="0" w:right="0" w:rightChars="0" w:firstLine="0" w:firstLineChars="0"/>
              <w:jc w:val="left"/>
              <w:textAlignment w:val="auto"/>
              <w:outlineLvl w:val="9"/>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rPr>
              <w:t>　</w:t>
            </w:r>
            <w:r>
              <w:rPr>
                <w:rFonts w:hint="eastAsia" w:ascii="仿宋_GB2312" w:hAnsi="仿宋_GB2312" w:eastAsia="仿宋_GB2312" w:cs="仿宋_GB2312"/>
                <w:color w:val="auto"/>
                <w:kern w:val="0"/>
                <w:sz w:val="18"/>
                <w:szCs w:val="18"/>
                <w:lang w:val="en-US" w:eastAsia="zh-CN"/>
              </w:rPr>
              <w:t>5</w:t>
            </w:r>
          </w:p>
        </w:tc>
      </w:tr>
      <w:tr>
        <w:tblPrEx>
          <w:tblCellMar>
            <w:top w:w="0" w:type="dxa"/>
            <w:left w:w="108" w:type="dxa"/>
            <w:bottom w:w="0" w:type="dxa"/>
            <w:right w:w="108" w:type="dxa"/>
          </w:tblCellMar>
        </w:tblPrEx>
        <w:trPr>
          <w:trHeight w:val="582" w:hRule="atLeast"/>
          <w:jc w:val="center"/>
        </w:trPr>
        <w:tc>
          <w:tcPr>
            <w:tcW w:w="823"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258"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419"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新建楼堂馆所面积控制率</w:t>
            </w:r>
          </w:p>
        </w:tc>
        <w:tc>
          <w:tcPr>
            <w:tcW w:w="565"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5</w:t>
            </w:r>
          </w:p>
        </w:tc>
        <w:tc>
          <w:tcPr>
            <w:tcW w:w="459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100%以下（含）计满分，每超出5%扣2分，扣完为止。没有楼堂馆所项目的部门按满分计算。</w:t>
            </w:r>
          </w:p>
        </w:tc>
        <w:tc>
          <w:tcPr>
            <w:tcW w:w="377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楼堂馆所面积控制率=实际建设面积/批准建设面积×100% 。</w:t>
            </w:r>
            <w:r>
              <w:rPr>
                <w:rFonts w:ascii="Times New Roman" w:hAnsi="Times New Roman" w:eastAsia="仿宋_GB2312"/>
                <w:kern w:val="0"/>
                <w:sz w:val="18"/>
                <w:szCs w:val="18"/>
              </w:rPr>
              <w:br w:type="textWrapping"/>
            </w:r>
            <w:r>
              <w:rPr>
                <w:rFonts w:ascii="Times New Roman" w:hAnsi="Times New Roman" w:eastAsia="仿宋_GB2312"/>
                <w:kern w:val="0"/>
                <w:sz w:val="18"/>
                <w:szCs w:val="18"/>
              </w:rPr>
              <w:t>该指标以20</w:t>
            </w:r>
            <w:r>
              <w:rPr>
                <w:rFonts w:hint="eastAsia" w:ascii="Times New Roman" w:hAnsi="Times New Roman" w:eastAsia="仿宋_GB2312"/>
                <w:kern w:val="0"/>
                <w:sz w:val="18"/>
                <w:szCs w:val="18"/>
              </w:rPr>
              <w:t>20</w:t>
            </w:r>
            <w:r>
              <w:rPr>
                <w:rFonts w:ascii="Times New Roman" w:hAnsi="Times New Roman" w:eastAsia="仿宋_GB2312"/>
                <w:kern w:val="0"/>
                <w:sz w:val="18"/>
                <w:szCs w:val="18"/>
              </w:rPr>
              <w:t>年完工的新建楼堂馆所为评价内容。</w:t>
            </w:r>
          </w:p>
        </w:tc>
        <w:tc>
          <w:tcPr>
            <w:tcW w:w="70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leftChars="0" w:right="0" w:rightChars="0" w:firstLine="0" w:firstLineChars="0"/>
              <w:jc w:val="left"/>
              <w:textAlignment w:val="auto"/>
              <w:outlineLvl w:val="9"/>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rPr>
              <w:t>　</w:t>
            </w:r>
            <w:r>
              <w:rPr>
                <w:rFonts w:hint="eastAsia" w:ascii="仿宋_GB2312" w:hAnsi="仿宋_GB2312" w:eastAsia="仿宋_GB2312" w:cs="仿宋_GB2312"/>
                <w:color w:val="auto"/>
                <w:kern w:val="0"/>
                <w:sz w:val="18"/>
                <w:szCs w:val="18"/>
                <w:lang w:val="en-US" w:eastAsia="zh-CN"/>
              </w:rPr>
              <w:t>5</w:t>
            </w:r>
          </w:p>
        </w:tc>
      </w:tr>
      <w:tr>
        <w:tblPrEx>
          <w:tblCellMar>
            <w:top w:w="0" w:type="dxa"/>
            <w:left w:w="108" w:type="dxa"/>
            <w:bottom w:w="0" w:type="dxa"/>
            <w:right w:w="108" w:type="dxa"/>
          </w:tblCellMar>
        </w:tblPrEx>
        <w:trPr>
          <w:trHeight w:val="686" w:hRule="atLeast"/>
          <w:jc w:val="center"/>
        </w:trPr>
        <w:tc>
          <w:tcPr>
            <w:tcW w:w="823"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258"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419"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spacing w:val="-14"/>
                <w:kern w:val="0"/>
                <w:sz w:val="18"/>
                <w:szCs w:val="18"/>
              </w:rPr>
            </w:pPr>
            <w:r>
              <w:rPr>
                <w:rFonts w:ascii="Times New Roman" w:hAnsi="Times New Roman" w:eastAsia="仿宋_GB2312"/>
                <w:spacing w:val="-14"/>
                <w:kern w:val="0"/>
                <w:sz w:val="18"/>
                <w:szCs w:val="18"/>
              </w:rPr>
              <w:t>新建楼堂馆所投资概算控制率</w:t>
            </w:r>
          </w:p>
        </w:tc>
        <w:tc>
          <w:tcPr>
            <w:tcW w:w="565"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5</w:t>
            </w:r>
          </w:p>
        </w:tc>
        <w:tc>
          <w:tcPr>
            <w:tcW w:w="459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100%以下（含）计满分，每超出5%扣2分，扣完为止。</w:t>
            </w:r>
          </w:p>
        </w:tc>
        <w:tc>
          <w:tcPr>
            <w:tcW w:w="377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楼堂馆所投资预算控制率=实际投资金额/批准投资金额×100% 。</w:t>
            </w:r>
            <w:r>
              <w:rPr>
                <w:rFonts w:ascii="Times New Roman" w:hAnsi="Times New Roman" w:eastAsia="仿宋_GB2312"/>
                <w:kern w:val="0"/>
                <w:sz w:val="18"/>
                <w:szCs w:val="18"/>
              </w:rPr>
              <w:br w:type="textWrapping"/>
            </w:r>
            <w:r>
              <w:rPr>
                <w:rFonts w:ascii="Times New Roman" w:hAnsi="Times New Roman" w:eastAsia="仿宋_GB2312"/>
                <w:kern w:val="0"/>
                <w:sz w:val="18"/>
                <w:szCs w:val="18"/>
              </w:rPr>
              <w:t>该指标以20</w:t>
            </w:r>
            <w:r>
              <w:rPr>
                <w:rFonts w:hint="eastAsia" w:ascii="Times New Roman" w:hAnsi="Times New Roman" w:eastAsia="仿宋_GB2312"/>
                <w:kern w:val="0"/>
                <w:sz w:val="18"/>
                <w:szCs w:val="18"/>
              </w:rPr>
              <w:t>20</w:t>
            </w:r>
            <w:r>
              <w:rPr>
                <w:rFonts w:ascii="Times New Roman" w:hAnsi="Times New Roman" w:eastAsia="仿宋_GB2312"/>
                <w:kern w:val="0"/>
                <w:sz w:val="18"/>
                <w:szCs w:val="18"/>
              </w:rPr>
              <w:t>年完工的新建楼堂馆所为评价内容。</w:t>
            </w:r>
          </w:p>
        </w:tc>
        <w:tc>
          <w:tcPr>
            <w:tcW w:w="70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leftChars="0" w:right="0" w:rightChars="0" w:firstLine="0" w:firstLineChars="0"/>
              <w:jc w:val="left"/>
              <w:textAlignment w:val="auto"/>
              <w:outlineLvl w:val="9"/>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rPr>
              <w:t>　</w:t>
            </w:r>
            <w:r>
              <w:rPr>
                <w:rFonts w:hint="eastAsia" w:ascii="仿宋_GB2312" w:hAnsi="仿宋_GB2312" w:eastAsia="仿宋_GB2312" w:cs="仿宋_GB2312"/>
                <w:color w:val="auto"/>
                <w:kern w:val="0"/>
                <w:sz w:val="18"/>
                <w:szCs w:val="18"/>
                <w:lang w:val="en-US" w:eastAsia="zh-CN"/>
              </w:rPr>
              <w:t>5</w:t>
            </w:r>
          </w:p>
        </w:tc>
      </w:tr>
      <w:tr>
        <w:tblPrEx>
          <w:tblCellMar>
            <w:top w:w="0" w:type="dxa"/>
            <w:left w:w="108" w:type="dxa"/>
            <w:bottom w:w="0" w:type="dxa"/>
            <w:right w:w="108" w:type="dxa"/>
          </w:tblCellMar>
        </w:tblPrEx>
        <w:trPr>
          <w:trHeight w:val="730" w:hRule="atLeast"/>
          <w:jc w:val="center"/>
        </w:trPr>
        <w:tc>
          <w:tcPr>
            <w:tcW w:w="823"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258" w:type="dxa"/>
            <w:vMerge w:val="restart"/>
            <w:tcBorders>
              <w:top w:val="nil"/>
              <w:left w:val="single" w:color="auto" w:sz="4" w:space="0"/>
              <w:bottom w:val="single" w:color="000000"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预算管理</w:t>
            </w:r>
          </w:p>
        </w:tc>
        <w:tc>
          <w:tcPr>
            <w:tcW w:w="542" w:type="dxa"/>
            <w:vMerge w:val="restart"/>
            <w:tcBorders>
              <w:top w:val="nil"/>
              <w:left w:val="single" w:color="auto" w:sz="4" w:space="0"/>
              <w:bottom w:val="single" w:color="000000"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40</w:t>
            </w:r>
          </w:p>
        </w:tc>
        <w:tc>
          <w:tcPr>
            <w:tcW w:w="1419"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spacing w:val="-20"/>
                <w:kern w:val="0"/>
                <w:sz w:val="18"/>
                <w:szCs w:val="18"/>
              </w:rPr>
              <w:t>公用经费控制率</w:t>
            </w:r>
          </w:p>
        </w:tc>
        <w:tc>
          <w:tcPr>
            <w:tcW w:w="565"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8</w:t>
            </w:r>
          </w:p>
        </w:tc>
        <w:tc>
          <w:tcPr>
            <w:tcW w:w="459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100%以下（含）计满分，每超出1%扣1分，扣完为止。</w:t>
            </w:r>
          </w:p>
        </w:tc>
        <w:tc>
          <w:tcPr>
            <w:tcW w:w="377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公用经费控制率=（实际支出公用经费总额/预算安排公用经费总额）×100%。</w:t>
            </w:r>
            <w:r>
              <w:rPr>
                <w:rFonts w:ascii="Times New Roman" w:hAnsi="Times New Roman" w:eastAsia="仿宋_GB2312"/>
                <w:kern w:val="0"/>
                <w:sz w:val="18"/>
                <w:szCs w:val="18"/>
              </w:rPr>
              <w:br w:type="textWrapping"/>
            </w:r>
            <w:r>
              <w:rPr>
                <w:rFonts w:ascii="Times New Roman" w:hAnsi="Times New Roman" w:eastAsia="仿宋_GB2312"/>
                <w:kern w:val="0"/>
                <w:sz w:val="18"/>
                <w:szCs w:val="18"/>
              </w:rPr>
              <w:t>公用经费支出是指部门基本支出中的一般商品和服务支出。</w:t>
            </w:r>
          </w:p>
        </w:tc>
        <w:tc>
          <w:tcPr>
            <w:tcW w:w="70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leftChars="0" w:right="0" w:rightChars="0" w:firstLine="0" w:firstLineChars="0"/>
              <w:jc w:val="left"/>
              <w:textAlignment w:val="auto"/>
              <w:outlineLvl w:val="9"/>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rPr>
              <w:t>　</w:t>
            </w:r>
            <w:r>
              <w:rPr>
                <w:rFonts w:hint="eastAsia" w:ascii="仿宋_GB2312" w:hAnsi="仿宋_GB2312" w:eastAsia="仿宋_GB2312" w:cs="仿宋_GB2312"/>
                <w:color w:val="auto"/>
                <w:kern w:val="0"/>
                <w:sz w:val="18"/>
                <w:szCs w:val="18"/>
                <w:lang w:val="en-US" w:eastAsia="zh-CN"/>
              </w:rPr>
              <w:t>7</w:t>
            </w:r>
          </w:p>
        </w:tc>
      </w:tr>
      <w:tr>
        <w:tblPrEx>
          <w:tblCellMar>
            <w:top w:w="0" w:type="dxa"/>
            <w:left w:w="108" w:type="dxa"/>
            <w:bottom w:w="0" w:type="dxa"/>
            <w:right w:w="108" w:type="dxa"/>
          </w:tblCellMar>
        </w:tblPrEx>
        <w:trPr>
          <w:trHeight w:val="584" w:hRule="atLeast"/>
          <w:jc w:val="center"/>
        </w:trPr>
        <w:tc>
          <w:tcPr>
            <w:tcW w:w="823"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258"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p>
        </w:tc>
        <w:tc>
          <w:tcPr>
            <w:tcW w:w="1419"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“三公经费”控制率</w:t>
            </w:r>
          </w:p>
        </w:tc>
        <w:tc>
          <w:tcPr>
            <w:tcW w:w="565"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7</w:t>
            </w:r>
          </w:p>
        </w:tc>
        <w:tc>
          <w:tcPr>
            <w:tcW w:w="459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100%以下（含）计满分，每超出1%扣1分，扣完为止。</w:t>
            </w:r>
          </w:p>
        </w:tc>
        <w:tc>
          <w:tcPr>
            <w:tcW w:w="377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“三公经费”控制率-（“三公经费”实际支出数/“三公经费”预算安排数）×100%。</w:t>
            </w:r>
          </w:p>
        </w:tc>
        <w:tc>
          <w:tcPr>
            <w:tcW w:w="70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leftChars="0" w:right="0" w:rightChars="0" w:firstLine="0" w:firstLineChars="0"/>
              <w:jc w:val="left"/>
              <w:textAlignment w:val="auto"/>
              <w:outlineLvl w:val="9"/>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rPr>
              <w:t>　</w:t>
            </w:r>
            <w:r>
              <w:rPr>
                <w:rFonts w:hint="eastAsia" w:ascii="仿宋_GB2312" w:hAnsi="仿宋_GB2312" w:eastAsia="仿宋_GB2312" w:cs="仿宋_GB2312"/>
                <w:color w:val="auto"/>
                <w:kern w:val="0"/>
                <w:sz w:val="18"/>
                <w:szCs w:val="18"/>
                <w:lang w:val="en-US" w:eastAsia="zh-CN"/>
              </w:rPr>
              <w:t>7</w:t>
            </w:r>
          </w:p>
        </w:tc>
      </w:tr>
      <w:tr>
        <w:tblPrEx>
          <w:tblCellMar>
            <w:top w:w="0" w:type="dxa"/>
            <w:left w:w="108" w:type="dxa"/>
            <w:bottom w:w="0" w:type="dxa"/>
            <w:right w:w="108" w:type="dxa"/>
          </w:tblCellMar>
        </w:tblPrEx>
        <w:trPr>
          <w:trHeight w:val="504" w:hRule="atLeast"/>
          <w:jc w:val="center"/>
        </w:trPr>
        <w:tc>
          <w:tcPr>
            <w:tcW w:w="823" w:type="dxa"/>
            <w:vMerge w:val="continue"/>
            <w:tcBorders>
              <w:top w:val="nil"/>
              <w:left w:val="single" w:color="auto" w:sz="4" w:space="0"/>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19" w:type="dxa"/>
            <w:vMerge w:val="continue"/>
            <w:tcBorders>
              <w:top w:val="nil"/>
              <w:left w:val="single" w:color="auto" w:sz="4" w:space="0"/>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258"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p>
        </w:tc>
        <w:tc>
          <w:tcPr>
            <w:tcW w:w="1419"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spacing w:val="-20"/>
                <w:kern w:val="0"/>
                <w:sz w:val="18"/>
                <w:szCs w:val="18"/>
              </w:rPr>
              <w:t>政府采购执</w:t>
            </w:r>
            <w:r>
              <w:rPr>
                <w:rFonts w:ascii="Times New Roman" w:hAnsi="Times New Roman" w:eastAsia="仿宋_GB2312"/>
                <w:kern w:val="0"/>
                <w:sz w:val="18"/>
                <w:szCs w:val="18"/>
              </w:rPr>
              <w:t>行率</w:t>
            </w:r>
          </w:p>
        </w:tc>
        <w:tc>
          <w:tcPr>
            <w:tcW w:w="565"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6</w:t>
            </w:r>
          </w:p>
        </w:tc>
        <w:tc>
          <w:tcPr>
            <w:tcW w:w="459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100%计满分，每超过（降低）5%扣2分。扣完为止。</w:t>
            </w:r>
          </w:p>
        </w:tc>
        <w:tc>
          <w:tcPr>
            <w:tcW w:w="377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政府采购执行率=（实际政府采购金额/政府采购预算数）×100%</w:t>
            </w:r>
          </w:p>
        </w:tc>
        <w:tc>
          <w:tcPr>
            <w:tcW w:w="70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leftChars="0" w:right="0" w:rightChars="0" w:firstLine="0" w:firstLineChars="0"/>
              <w:jc w:val="left"/>
              <w:textAlignment w:val="auto"/>
              <w:outlineLvl w:val="9"/>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rPr>
              <w:t>　</w:t>
            </w:r>
            <w:r>
              <w:rPr>
                <w:rFonts w:hint="eastAsia" w:ascii="仿宋_GB2312" w:hAnsi="仿宋_GB2312" w:eastAsia="仿宋_GB2312" w:cs="仿宋_GB2312"/>
                <w:color w:val="auto"/>
                <w:kern w:val="0"/>
                <w:sz w:val="18"/>
                <w:szCs w:val="18"/>
                <w:lang w:val="en-US" w:eastAsia="zh-CN"/>
              </w:rPr>
              <w:t>6</w:t>
            </w:r>
          </w:p>
        </w:tc>
      </w:tr>
      <w:tr>
        <w:tblPrEx>
          <w:tblCellMar>
            <w:top w:w="0" w:type="dxa"/>
            <w:left w:w="108" w:type="dxa"/>
            <w:bottom w:w="0" w:type="dxa"/>
            <w:right w:w="108" w:type="dxa"/>
          </w:tblCellMar>
        </w:tblPrEx>
        <w:trPr>
          <w:trHeight w:val="1150" w:hRule="atLeast"/>
          <w:jc w:val="center"/>
        </w:trPr>
        <w:tc>
          <w:tcPr>
            <w:tcW w:w="823" w:type="dxa"/>
            <w:vMerge w:val="restart"/>
            <w:tcBorders>
              <w:top w:val="single" w:color="auto" w:sz="4" w:space="0"/>
              <w:left w:val="single" w:color="auto" w:sz="4" w:space="0"/>
              <w:bottom w:val="single" w:color="000000" w:sz="4" w:space="0"/>
              <w:right w:val="single" w:color="auto" w:sz="4" w:space="0"/>
            </w:tcBorders>
            <w:noWrap w:val="0"/>
            <w:vAlign w:val="center"/>
          </w:tcPr>
          <w:p>
            <w:pPr>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过程</w:t>
            </w:r>
          </w:p>
        </w:tc>
        <w:tc>
          <w:tcPr>
            <w:tcW w:w="519" w:type="dxa"/>
            <w:vMerge w:val="restart"/>
            <w:tcBorders>
              <w:top w:val="single" w:color="auto" w:sz="4" w:space="0"/>
              <w:left w:val="single" w:color="auto" w:sz="4" w:space="0"/>
              <w:bottom w:val="single" w:color="000000" w:sz="4" w:space="0"/>
              <w:right w:val="single" w:color="auto" w:sz="4" w:space="0"/>
            </w:tcBorders>
            <w:noWrap w:val="0"/>
            <w:vAlign w:val="center"/>
          </w:tcPr>
          <w:p>
            <w:pPr>
              <w:spacing w:line="200" w:lineRule="exact"/>
              <w:jc w:val="left"/>
              <w:rPr>
                <w:rFonts w:ascii="Times New Roman" w:hAnsi="Times New Roman" w:eastAsia="仿宋_GB2312"/>
                <w:kern w:val="0"/>
                <w:sz w:val="18"/>
                <w:szCs w:val="18"/>
              </w:rPr>
            </w:pPr>
          </w:p>
        </w:tc>
        <w:tc>
          <w:tcPr>
            <w:tcW w:w="1258" w:type="dxa"/>
            <w:vMerge w:val="restart"/>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预算管理</w:t>
            </w:r>
          </w:p>
        </w:tc>
        <w:tc>
          <w:tcPr>
            <w:tcW w:w="542"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p>
        </w:tc>
        <w:tc>
          <w:tcPr>
            <w:tcW w:w="1419"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spacing w:val="-20"/>
                <w:kern w:val="0"/>
                <w:sz w:val="18"/>
                <w:szCs w:val="18"/>
              </w:rPr>
              <w:t>管理制度</w:t>
            </w:r>
            <w:r>
              <w:rPr>
                <w:rFonts w:ascii="Times New Roman" w:hAnsi="Times New Roman" w:eastAsia="仿宋_GB2312"/>
                <w:kern w:val="0"/>
                <w:sz w:val="18"/>
                <w:szCs w:val="18"/>
              </w:rPr>
              <w:t>健全性</w:t>
            </w:r>
          </w:p>
        </w:tc>
        <w:tc>
          <w:tcPr>
            <w:tcW w:w="565"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8</w:t>
            </w:r>
          </w:p>
        </w:tc>
        <w:tc>
          <w:tcPr>
            <w:tcW w:w="459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①有内部财务管理制度、会计核算制度等管理制度，2分；</w:t>
            </w:r>
            <w:r>
              <w:rPr>
                <w:rFonts w:ascii="Times New Roman" w:hAnsi="Times New Roman" w:eastAsia="仿宋_GB2312"/>
                <w:kern w:val="0"/>
                <w:sz w:val="18"/>
                <w:szCs w:val="18"/>
              </w:rPr>
              <w:br w:type="textWrapping"/>
            </w:r>
            <w:r>
              <w:rPr>
                <w:rFonts w:ascii="Times New Roman" w:hAnsi="Times New Roman" w:eastAsia="仿宋_GB2312"/>
                <w:kern w:val="0"/>
                <w:sz w:val="18"/>
                <w:szCs w:val="18"/>
              </w:rPr>
              <w:t>②有本部门厉行节约制度,2分；</w:t>
            </w:r>
            <w:r>
              <w:rPr>
                <w:rFonts w:ascii="Times New Roman" w:hAnsi="Times New Roman" w:eastAsia="仿宋_GB2312"/>
                <w:kern w:val="0"/>
                <w:sz w:val="18"/>
                <w:szCs w:val="18"/>
              </w:rPr>
              <w:br w:type="textWrapping"/>
            </w:r>
            <w:r>
              <w:rPr>
                <w:rFonts w:ascii="Times New Roman" w:hAnsi="Times New Roman" w:eastAsia="仿宋_GB2312"/>
                <w:kern w:val="0"/>
                <w:sz w:val="18"/>
                <w:szCs w:val="18"/>
              </w:rPr>
              <w:t>③相关管理制度合法、合规、完整，2分；④相关管理制度得到有效执行，2分。</w:t>
            </w:r>
          </w:p>
        </w:tc>
        <w:tc>
          <w:tcPr>
            <w:tcW w:w="377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　</w:t>
            </w:r>
          </w:p>
        </w:tc>
        <w:tc>
          <w:tcPr>
            <w:tcW w:w="70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leftChars="0" w:right="0" w:rightChars="0" w:firstLine="0" w:firstLineChars="0"/>
              <w:jc w:val="left"/>
              <w:textAlignment w:val="auto"/>
              <w:outlineLvl w:val="9"/>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rPr>
              <w:t>　</w:t>
            </w:r>
            <w:r>
              <w:rPr>
                <w:rFonts w:hint="eastAsia" w:ascii="仿宋_GB2312" w:hAnsi="仿宋_GB2312" w:eastAsia="仿宋_GB2312" w:cs="仿宋_GB2312"/>
                <w:color w:val="auto"/>
                <w:kern w:val="0"/>
                <w:sz w:val="18"/>
                <w:szCs w:val="18"/>
                <w:lang w:val="en-US" w:eastAsia="zh-CN"/>
              </w:rPr>
              <w:t>7</w:t>
            </w:r>
          </w:p>
        </w:tc>
      </w:tr>
      <w:tr>
        <w:tblPrEx>
          <w:tblCellMar>
            <w:top w:w="0" w:type="dxa"/>
            <w:left w:w="108" w:type="dxa"/>
            <w:bottom w:w="0" w:type="dxa"/>
            <w:right w:w="108" w:type="dxa"/>
          </w:tblCellMar>
        </w:tblPrEx>
        <w:trPr>
          <w:trHeight w:val="1434" w:hRule="atLeast"/>
          <w:jc w:val="center"/>
        </w:trPr>
        <w:tc>
          <w:tcPr>
            <w:tcW w:w="823"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258" w:type="dxa"/>
            <w:vMerge w:val="continue"/>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419"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spacing w:val="-20"/>
                <w:kern w:val="0"/>
                <w:sz w:val="18"/>
                <w:szCs w:val="18"/>
              </w:rPr>
              <w:t>资金使用</w:t>
            </w:r>
            <w:r>
              <w:rPr>
                <w:rFonts w:ascii="Times New Roman" w:hAnsi="Times New Roman" w:eastAsia="仿宋_GB2312"/>
                <w:kern w:val="0"/>
                <w:sz w:val="18"/>
                <w:szCs w:val="18"/>
              </w:rPr>
              <w:t>合规性</w:t>
            </w:r>
          </w:p>
        </w:tc>
        <w:tc>
          <w:tcPr>
            <w:tcW w:w="565"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6</w:t>
            </w:r>
          </w:p>
        </w:tc>
        <w:tc>
          <w:tcPr>
            <w:tcW w:w="459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①支出符合国家财经法规和财务管理制度规定以及有关专项资金管理办法的规定；②资金拨付有完整的审批程序和手续；③项目支出按规定经过评估论证；④支出符合部门预算批复的用途；⑤资金使用无截留、挤占、挪用、虚列支出等情况。</w:t>
            </w:r>
            <w:r>
              <w:rPr>
                <w:rFonts w:ascii="Times New Roman" w:hAnsi="Times New Roman" w:eastAsia="仿宋_GB2312"/>
                <w:kern w:val="0"/>
                <w:sz w:val="18"/>
                <w:szCs w:val="18"/>
              </w:rPr>
              <w:br w:type="textWrapping"/>
            </w:r>
            <w:r>
              <w:rPr>
                <w:rFonts w:ascii="Times New Roman" w:hAnsi="Times New Roman" w:eastAsia="仿宋_GB2312"/>
                <w:kern w:val="0"/>
                <w:sz w:val="18"/>
                <w:szCs w:val="18"/>
              </w:rPr>
              <w:t>以上情况每出现一例不符合要求的扣1分，扣完为止。</w:t>
            </w:r>
          </w:p>
        </w:tc>
        <w:tc>
          <w:tcPr>
            <w:tcW w:w="377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　</w:t>
            </w:r>
          </w:p>
        </w:tc>
        <w:tc>
          <w:tcPr>
            <w:tcW w:w="70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leftChars="0" w:right="0" w:rightChars="0" w:firstLine="0" w:firstLineChars="0"/>
              <w:jc w:val="left"/>
              <w:textAlignment w:val="auto"/>
              <w:outlineLvl w:val="9"/>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rPr>
              <w:t>　</w:t>
            </w:r>
            <w:r>
              <w:rPr>
                <w:rFonts w:hint="eastAsia" w:ascii="仿宋_GB2312" w:hAnsi="仿宋_GB2312" w:eastAsia="仿宋_GB2312" w:cs="仿宋_GB2312"/>
                <w:color w:val="auto"/>
                <w:kern w:val="0"/>
                <w:sz w:val="18"/>
                <w:szCs w:val="18"/>
                <w:lang w:val="en-US" w:eastAsia="zh-CN"/>
              </w:rPr>
              <w:t>6</w:t>
            </w:r>
          </w:p>
        </w:tc>
      </w:tr>
      <w:tr>
        <w:tblPrEx>
          <w:tblCellMar>
            <w:top w:w="0" w:type="dxa"/>
            <w:left w:w="108" w:type="dxa"/>
            <w:bottom w:w="0" w:type="dxa"/>
            <w:right w:w="108" w:type="dxa"/>
          </w:tblCellMar>
        </w:tblPrEx>
        <w:trPr>
          <w:trHeight w:val="892" w:hRule="atLeast"/>
          <w:jc w:val="center"/>
        </w:trPr>
        <w:tc>
          <w:tcPr>
            <w:tcW w:w="823"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258" w:type="dxa"/>
            <w:vMerge w:val="continue"/>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419"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预决算信息公开性</w:t>
            </w:r>
          </w:p>
        </w:tc>
        <w:tc>
          <w:tcPr>
            <w:tcW w:w="565"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5</w:t>
            </w:r>
          </w:p>
        </w:tc>
        <w:tc>
          <w:tcPr>
            <w:tcW w:w="459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 xml:space="preserve">①按规定内容公开预决算信息，1分；②按规定时限公开预决算信息，1分；③基础数据信息和会计信息资料真实，1分；④基础数据信息和会计信息资料完整，1分；⑤基础数据信息和汇集信息资料准确，1分。  </w:t>
            </w:r>
          </w:p>
        </w:tc>
        <w:tc>
          <w:tcPr>
            <w:tcW w:w="377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预决算信息是指与部门预算、执行、决算、监督、绩效等管理相关的信息。</w:t>
            </w:r>
          </w:p>
        </w:tc>
        <w:tc>
          <w:tcPr>
            <w:tcW w:w="70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leftChars="0" w:right="0" w:rightChars="0" w:firstLine="0" w:firstLineChars="0"/>
              <w:jc w:val="left"/>
              <w:textAlignment w:val="auto"/>
              <w:outlineLvl w:val="9"/>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rPr>
              <w:t>　</w:t>
            </w:r>
            <w:r>
              <w:rPr>
                <w:rFonts w:hint="eastAsia" w:ascii="仿宋_GB2312" w:hAnsi="仿宋_GB2312" w:eastAsia="仿宋_GB2312" w:cs="仿宋_GB2312"/>
                <w:color w:val="auto"/>
                <w:kern w:val="0"/>
                <w:sz w:val="18"/>
                <w:szCs w:val="18"/>
                <w:lang w:val="en-US" w:eastAsia="zh-CN"/>
              </w:rPr>
              <w:t>5</w:t>
            </w:r>
          </w:p>
        </w:tc>
      </w:tr>
      <w:tr>
        <w:tblPrEx>
          <w:tblCellMar>
            <w:top w:w="0" w:type="dxa"/>
            <w:left w:w="108" w:type="dxa"/>
            <w:bottom w:w="0" w:type="dxa"/>
            <w:right w:w="108" w:type="dxa"/>
          </w:tblCellMar>
        </w:tblPrEx>
        <w:trPr>
          <w:trHeight w:val="622" w:hRule="atLeast"/>
          <w:jc w:val="center"/>
        </w:trPr>
        <w:tc>
          <w:tcPr>
            <w:tcW w:w="823" w:type="dxa"/>
            <w:vMerge w:val="restart"/>
            <w:tcBorders>
              <w:top w:val="nil"/>
              <w:left w:val="single" w:color="auto" w:sz="4" w:space="0"/>
              <w:bottom w:val="single" w:color="000000"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产出及效率</w:t>
            </w:r>
          </w:p>
        </w:tc>
        <w:tc>
          <w:tcPr>
            <w:tcW w:w="519" w:type="dxa"/>
            <w:vMerge w:val="restart"/>
            <w:tcBorders>
              <w:top w:val="nil"/>
              <w:left w:val="single" w:color="auto" w:sz="4" w:space="0"/>
              <w:bottom w:val="single" w:color="000000"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30</w:t>
            </w:r>
          </w:p>
        </w:tc>
        <w:tc>
          <w:tcPr>
            <w:tcW w:w="1258"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职责履行</w:t>
            </w:r>
          </w:p>
        </w:tc>
        <w:tc>
          <w:tcPr>
            <w:tcW w:w="542"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8</w:t>
            </w:r>
          </w:p>
        </w:tc>
        <w:tc>
          <w:tcPr>
            <w:tcW w:w="1419" w:type="dxa"/>
            <w:tcBorders>
              <w:top w:val="nil"/>
              <w:left w:val="nil"/>
              <w:bottom w:val="nil"/>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重点工作实际完成率</w:t>
            </w:r>
          </w:p>
        </w:tc>
        <w:tc>
          <w:tcPr>
            <w:tcW w:w="565"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8</w:t>
            </w:r>
          </w:p>
        </w:tc>
        <w:tc>
          <w:tcPr>
            <w:tcW w:w="459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根据绩效办20</w:t>
            </w:r>
            <w:r>
              <w:rPr>
                <w:rFonts w:hint="eastAsia" w:ascii="Times New Roman" w:hAnsi="Times New Roman" w:eastAsia="仿宋_GB2312"/>
                <w:kern w:val="0"/>
                <w:sz w:val="18"/>
                <w:szCs w:val="18"/>
              </w:rPr>
              <w:t>20</w:t>
            </w:r>
            <w:r>
              <w:rPr>
                <w:rFonts w:ascii="Times New Roman" w:hAnsi="Times New Roman" w:eastAsia="仿宋_GB2312"/>
                <w:kern w:val="0"/>
                <w:sz w:val="18"/>
                <w:szCs w:val="18"/>
              </w:rPr>
              <w:t>年对各部门为民办实事和部门重点工程与重点工作考核分数折算。</w:t>
            </w:r>
            <w:r>
              <w:rPr>
                <w:rFonts w:ascii="Times New Roman" w:hAnsi="Times New Roman" w:eastAsia="仿宋_GB2312"/>
                <w:kern w:val="0"/>
                <w:sz w:val="18"/>
                <w:szCs w:val="18"/>
              </w:rPr>
              <w:br w:type="textWrapping"/>
            </w:r>
            <w:r>
              <w:rPr>
                <w:rFonts w:ascii="Times New Roman" w:hAnsi="Times New Roman" w:eastAsia="仿宋_GB2312"/>
                <w:kern w:val="0"/>
                <w:sz w:val="18"/>
                <w:szCs w:val="18"/>
              </w:rPr>
              <w:t>该项得分=（绩效办对应部分考核得分/该部分总分）*8</w:t>
            </w:r>
          </w:p>
        </w:tc>
        <w:tc>
          <w:tcPr>
            <w:tcW w:w="377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　</w:t>
            </w:r>
          </w:p>
        </w:tc>
        <w:tc>
          <w:tcPr>
            <w:tcW w:w="704" w:type="dxa"/>
            <w:tcBorders>
              <w:top w:val="nil"/>
              <w:left w:val="nil"/>
              <w:bottom w:val="single" w:color="auto" w:sz="4" w:space="0"/>
              <w:right w:val="single" w:color="auto" w:sz="4" w:space="0"/>
            </w:tcBorders>
            <w:noWrap w:val="0"/>
            <w:vAlign w:val="center"/>
          </w:tcPr>
          <w:p>
            <w:pPr>
              <w:widowControl/>
              <w:spacing w:line="200" w:lineRule="exact"/>
              <w:jc w:val="left"/>
              <w:rPr>
                <w:rFonts w:hint="eastAsia" w:ascii="Times New Roman" w:hAnsi="Times New Roman" w:eastAsia="仿宋_GB2312"/>
                <w:kern w:val="0"/>
                <w:sz w:val="18"/>
                <w:szCs w:val="18"/>
                <w:lang w:val="en-US" w:eastAsia="zh-CN"/>
              </w:rPr>
            </w:pPr>
            <w:r>
              <w:rPr>
                <w:rFonts w:ascii="Times New Roman" w:hAnsi="Times New Roman" w:eastAsia="仿宋_GB2312"/>
                <w:kern w:val="0"/>
                <w:sz w:val="18"/>
                <w:szCs w:val="18"/>
              </w:rPr>
              <w:t>　</w:t>
            </w:r>
            <w:r>
              <w:rPr>
                <w:rFonts w:hint="eastAsia" w:ascii="Times New Roman" w:hAnsi="Times New Roman" w:eastAsia="仿宋_GB2312"/>
                <w:kern w:val="0"/>
                <w:sz w:val="18"/>
                <w:szCs w:val="18"/>
                <w:lang w:val="en-US" w:eastAsia="zh-CN"/>
              </w:rPr>
              <w:t>8</w:t>
            </w:r>
          </w:p>
        </w:tc>
      </w:tr>
      <w:tr>
        <w:tblPrEx>
          <w:tblCellMar>
            <w:top w:w="0" w:type="dxa"/>
            <w:left w:w="108" w:type="dxa"/>
            <w:bottom w:w="0" w:type="dxa"/>
            <w:right w:w="108" w:type="dxa"/>
          </w:tblCellMar>
        </w:tblPrEx>
        <w:trPr>
          <w:trHeight w:val="439" w:hRule="atLeast"/>
          <w:jc w:val="center"/>
        </w:trPr>
        <w:tc>
          <w:tcPr>
            <w:tcW w:w="823"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258" w:type="dxa"/>
            <w:vMerge w:val="restart"/>
            <w:tcBorders>
              <w:top w:val="nil"/>
              <w:left w:val="single" w:color="auto" w:sz="4" w:space="0"/>
              <w:bottom w:val="single" w:color="000000"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履职效益</w:t>
            </w:r>
          </w:p>
        </w:tc>
        <w:tc>
          <w:tcPr>
            <w:tcW w:w="542" w:type="dxa"/>
            <w:vMerge w:val="restart"/>
            <w:tcBorders>
              <w:top w:val="nil"/>
              <w:left w:val="single" w:color="auto" w:sz="4" w:space="0"/>
              <w:bottom w:val="single" w:color="000000"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10</w:t>
            </w:r>
          </w:p>
        </w:tc>
        <w:tc>
          <w:tcPr>
            <w:tcW w:w="1419" w:type="dxa"/>
            <w:tcBorders>
              <w:top w:val="single" w:color="auto" w:sz="4" w:space="0"/>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经济效益</w:t>
            </w:r>
          </w:p>
        </w:tc>
        <w:tc>
          <w:tcPr>
            <w:tcW w:w="565" w:type="dxa"/>
            <w:tcBorders>
              <w:top w:val="nil"/>
              <w:left w:val="single" w:color="auto" w:sz="4" w:space="0"/>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5</w:t>
            </w:r>
          </w:p>
        </w:tc>
        <w:tc>
          <w:tcPr>
            <w:tcW w:w="4593" w:type="dxa"/>
            <w:tcBorders>
              <w:top w:val="single" w:color="auto" w:sz="4" w:space="0"/>
              <w:left w:val="single" w:color="auto" w:sz="4" w:space="0"/>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对经济发展带来的直接影响和间接影响。</w:t>
            </w:r>
          </w:p>
        </w:tc>
        <w:tc>
          <w:tcPr>
            <w:tcW w:w="3773" w:type="dxa"/>
            <w:vMerge w:val="restart"/>
            <w:tcBorders>
              <w:top w:val="single" w:color="auto" w:sz="4" w:space="0"/>
              <w:left w:val="single" w:color="auto" w:sz="4" w:space="0"/>
              <w:right w:val="single" w:color="000000"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此两项指标为设置部门整体支出绩效评价指标时必须考虑的共性要素，可根据部门实际情况有选择的进行设置，并将其细化为相应的个性化指标。</w:t>
            </w:r>
          </w:p>
        </w:tc>
        <w:tc>
          <w:tcPr>
            <w:tcW w:w="704" w:type="dxa"/>
            <w:tcBorders>
              <w:top w:val="nil"/>
              <w:left w:val="nil"/>
              <w:bottom w:val="single" w:color="auto" w:sz="4" w:space="0"/>
              <w:right w:val="single" w:color="auto" w:sz="4" w:space="0"/>
            </w:tcBorders>
            <w:noWrap w:val="0"/>
            <w:vAlign w:val="center"/>
          </w:tcPr>
          <w:p>
            <w:pPr>
              <w:widowControl/>
              <w:spacing w:line="200" w:lineRule="exact"/>
              <w:jc w:val="left"/>
              <w:rPr>
                <w:rFonts w:hint="eastAsia" w:ascii="Times New Roman" w:hAnsi="Times New Roman" w:eastAsia="仿宋_GB2312"/>
                <w:kern w:val="0"/>
                <w:sz w:val="18"/>
                <w:szCs w:val="18"/>
                <w:lang w:val="en-US" w:eastAsia="zh-CN"/>
              </w:rPr>
            </w:pPr>
            <w:r>
              <w:rPr>
                <w:rFonts w:ascii="Times New Roman" w:hAnsi="Times New Roman" w:eastAsia="仿宋_GB2312"/>
                <w:kern w:val="0"/>
                <w:sz w:val="18"/>
                <w:szCs w:val="18"/>
              </w:rPr>
              <w:t>　</w:t>
            </w:r>
            <w:r>
              <w:rPr>
                <w:rFonts w:hint="eastAsia" w:ascii="Times New Roman" w:hAnsi="Times New Roman" w:eastAsia="仿宋_GB2312"/>
                <w:kern w:val="0"/>
                <w:sz w:val="18"/>
                <w:szCs w:val="18"/>
                <w:lang w:val="en-US" w:eastAsia="zh-CN"/>
              </w:rPr>
              <w:t>5</w:t>
            </w:r>
          </w:p>
        </w:tc>
      </w:tr>
      <w:tr>
        <w:tblPrEx>
          <w:tblCellMar>
            <w:top w:w="0" w:type="dxa"/>
            <w:left w:w="108" w:type="dxa"/>
            <w:bottom w:w="0" w:type="dxa"/>
            <w:right w:w="108" w:type="dxa"/>
          </w:tblCellMar>
        </w:tblPrEx>
        <w:trPr>
          <w:trHeight w:val="428" w:hRule="atLeast"/>
          <w:jc w:val="center"/>
        </w:trPr>
        <w:tc>
          <w:tcPr>
            <w:tcW w:w="823"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258"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419"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社会效益</w:t>
            </w:r>
          </w:p>
        </w:tc>
        <w:tc>
          <w:tcPr>
            <w:tcW w:w="565" w:type="dxa"/>
            <w:tcBorders>
              <w:top w:val="single" w:color="auto" w:sz="4" w:space="0"/>
              <w:left w:val="single" w:color="auto" w:sz="4" w:space="0"/>
              <w:bottom w:val="nil"/>
              <w:right w:val="single" w:color="auto" w:sz="4" w:space="0"/>
            </w:tcBorders>
            <w:noWrap w:val="0"/>
            <w:vAlign w:val="center"/>
          </w:tcPr>
          <w:p>
            <w:pPr>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5</w:t>
            </w:r>
          </w:p>
        </w:tc>
        <w:tc>
          <w:tcPr>
            <w:tcW w:w="4593" w:type="dxa"/>
            <w:tcBorders>
              <w:top w:val="single" w:color="auto" w:sz="4" w:space="0"/>
              <w:left w:val="single" w:color="auto" w:sz="4" w:space="0"/>
              <w:bottom w:val="nil"/>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对社会发展带来的直接影响和间接影响。</w:t>
            </w:r>
          </w:p>
        </w:tc>
        <w:tc>
          <w:tcPr>
            <w:tcW w:w="3773" w:type="dxa"/>
            <w:vMerge w:val="continue"/>
            <w:tcBorders>
              <w:left w:val="single" w:color="auto" w:sz="4" w:space="0"/>
              <w:bottom w:val="nil"/>
              <w:right w:val="single" w:color="000000" w:sz="4" w:space="0"/>
            </w:tcBorders>
            <w:noWrap w:val="0"/>
            <w:vAlign w:val="center"/>
          </w:tcPr>
          <w:p>
            <w:pPr>
              <w:spacing w:line="200" w:lineRule="exact"/>
              <w:jc w:val="left"/>
              <w:rPr>
                <w:rFonts w:ascii="Times New Roman" w:hAnsi="Times New Roman" w:eastAsia="仿宋_GB2312"/>
                <w:kern w:val="0"/>
                <w:sz w:val="18"/>
                <w:szCs w:val="18"/>
              </w:rPr>
            </w:pPr>
          </w:p>
        </w:tc>
        <w:tc>
          <w:tcPr>
            <w:tcW w:w="704" w:type="dxa"/>
            <w:tcBorders>
              <w:top w:val="single" w:color="auto" w:sz="4" w:space="0"/>
              <w:left w:val="nil"/>
              <w:bottom w:val="nil"/>
              <w:right w:val="single" w:color="auto" w:sz="4" w:space="0"/>
            </w:tcBorders>
            <w:noWrap w:val="0"/>
            <w:vAlign w:val="center"/>
          </w:tcPr>
          <w:p>
            <w:pPr>
              <w:widowControl/>
              <w:spacing w:line="200" w:lineRule="exact"/>
              <w:jc w:val="left"/>
              <w:rPr>
                <w:rFonts w:hint="eastAsia" w:ascii="Times New Roman" w:hAnsi="Times New Roman" w:eastAsia="仿宋_GB2312"/>
                <w:kern w:val="0"/>
                <w:sz w:val="18"/>
                <w:szCs w:val="18"/>
                <w:lang w:val="en-US" w:eastAsia="zh-CN"/>
              </w:rPr>
            </w:pPr>
            <w:r>
              <w:rPr>
                <w:rFonts w:ascii="Times New Roman" w:hAnsi="Times New Roman" w:eastAsia="仿宋_GB2312"/>
                <w:kern w:val="0"/>
                <w:sz w:val="18"/>
                <w:szCs w:val="18"/>
              </w:rPr>
              <w:t>　</w:t>
            </w:r>
            <w:r>
              <w:rPr>
                <w:rFonts w:hint="eastAsia" w:ascii="Times New Roman" w:hAnsi="Times New Roman" w:eastAsia="仿宋_GB2312"/>
                <w:kern w:val="0"/>
                <w:sz w:val="18"/>
                <w:szCs w:val="18"/>
                <w:lang w:val="en-US" w:eastAsia="zh-CN"/>
              </w:rPr>
              <w:t>5</w:t>
            </w:r>
          </w:p>
        </w:tc>
      </w:tr>
      <w:tr>
        <w:tblPrEx>
          <w:tblCellMar>
            <w:top w:w="0" w:type="dxa"/>
            <w:left w:w="108" w:type="dxa"/>
            <w:bottom w:w="0" w:type="dxa"/>
            <w:right w:w="108" w:type="dxa"/>
          </w:tblCellMar>
        </w:tblPrEx>
        <w:trPr>
          <w:trHeight w:val="835" w:hRule="atLeast"/>
          <w:jc w:val="center"/>
        </w:trPr>
        <w:tc>
          <w:tcPr>
            <w:tcW w:w="823"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258" w:type="dxa"/>
            <w:vMerge w:val="continue"/>
            <w:tcBorders>
              <w:top w:val="nil"/>
              <w:left w:val="single" w:color="auto" w:sz="4" w:space="0"/>
              <w:bottom w:val="single" w:color="000000"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42" w:type="dxa"/>
            <w:vMerge w:val="restart"/>
            <w:tcBorders>
              <w:top w:val="nil"/>
              <w:left w:val="single" w:color="auto" w:sz="4" w:space="0"/>
              <w:bottom w:val="single" w:color="000000"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12</w:t>
            </w:r>
          </w:p>
        </w:tc>
        <w:tc>
          <w:tcPr>
            <w:tcW w:w="1419"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行政效能</w:t>
            </w:r>
          </w:p>
        </w:tc>
        <w:tc>
          <w:tcPr>
            <w:tcW w:w="565" w:type="dxa"/>
            <w:tcBorders>
              <w:top w:val="single" w:color="auto" w:sz="4" w:space="0"/>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6</w:t>
            </w:r>
          </w:p>
        </w:tc>
        <w:tc>
          <w:tcPr>
            <w:tcW w:w="4593" w:type="dxa"/>
            <w:tcBorders>
              <w:top w:val="single" w:color="auto" w:sz="4" w:space="0"/>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促进部门改进文风会风，加强经费及资产管理，推动网上办事，提高行政效率，降低行政成本效果较好的计6分；一般3分；无效果或者效果不明显0分。</w:t>
            </w:r>
          </w:p>
        </w:tc>
        <w:tc>
          <w:tcPr>
            <w:tcW w:w="3773" w:type="dxa"/>
            <w:tcBorders>
              <w:top w:val="single" w:color="auto" w:sz="4" w:space="0"/>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根据部门自评材料评定。</w:t>
            </w:r>
          </w:p>
        </w:tc>
        <w:tc>
          <w:tcPr>
            <w:tcW w:w="704" w:type="dxa"/>
            <w:tcBorders>
              <w:top w:val="single" w:color="auto" w:sz="4" w:space="0"/>
              <w:left w:val="nil"/>
              <w:bottom w:val="single" w:color="auto" w:sz="4" w:space="0"/>
              <w:right w:val="single" w:color="auto" w:sz="4" w:space="0"/>
            </w:tcBorders>
            <w:noWrap w:val="0"/>
            <w:vAlign w:val="center"/>
          </w:tcPr>
          <w:p>
            <w:pPr>
              <w:widowControl/>
              <w:spacing w:line="200" w:lineRule="exact"/>
              <w:jc w:val="left"/>
              <w:rPr>
                <w:rFonts w:hint="eastAsia" w:ascii="Times New Roman" w:hAnsi="Times New Roman" w:eastAsia="仿宋_GB2312"/>
                <w:kern w:val="0"/>
                <w:sz w:val="18"/>
                <w:szCs w:val="18"/>
                <w:lang w:val="en-US" w:eastAsia="zh-CN"/>
              </w:rPr>
            </w:pPr>
            <w:r>
              <w:rPr>
                <w:rFonts w:ascii="Times New Roman" w:hAnsi="Times New Roman" w:eastAsia="仿宋_GB2312"/>
                <w:kern w:val="0"/>
                <w:sz w:val="18"/>
                <w:szCs w:val="18"/>
              </w:rPr>
              <w:t>　</w:t>
            </w:r>
            <w:r>
              <w:rPr>
                <w:rFonts w:hint="eastAsia" w:ascii="Times New Roman" w:hAnsi="Times New Roman" w:eastAsia="仿宋_GB2312"/>
                <w:kern w:val="0"/>
                <w:sz w:val="18"/>
                <w:szCs w:val="18"/>
                <w:lang w:val="en-US" w:eastAsia="zh-CN"/>
              </w:rPr>
              <w:t>6</w:t>
            </w:r>
          </w:p>
        </w:tc>
      </w:tr>
      <w:tr>
        <w:tblPrEx>
          <w:tblCellMar>
            <w:top w:w="0" w:type="dxa"/>
            <w:left w:w="108" w:type="dxa"/>
            <w:bottom w:w="0" w:type="dxa"/>
            <w:right w:w="108" w:type="dxa"/>
          </w:tblCellMar>
        </w:tblPrEx>
        <w:trPr>
          <w:trHeight w:val="712" w:hRule="atLeast"/>
          <w:jc w:val="center"/>
        </w:trPr>
        <w:tc>
          <w:tcPr>
            <w:tcW w:w="823" w:type="dxa"/>
            <w:vMerge w:val="continue"/>
            <w:tcBorders>
              <w:top w:val="nil"/>
              <w:left w:val="single" w:color="auto" w:sz="4" w:space="0"/>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19" w:type="dxa"/>
            <w:vMerge w:val="continue"/>
            <w:tcBorders>
              <w:top w:val="nil"/>
              <w:left w:val="single" w:color="auto" w:sz="4" w:space="0"/>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258" w:type="dxa"/>
            <w:vMerge w:val="continue"/>
            <w:tcBorders>
              <w:top w:val="nil"/>
              <w:left w:val="single" w:color="auto" w:sz="4" w:space="0"/>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542" w:type="dxa"/>
            <w:vMerge w:val="continue"/>
            <w:tcBorders>
              <w:top w:val="nil"/>
              <w:left w:val="single" w:color="auto" w:sz="4" w:space="0"/>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1419"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社会公众或服务对象满意度</w:t>
            </w:r>
          </w:p>
        </w:tc>
        <w:tc>
          <w:tcPr>
            <w:tcW w:w="565"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6</w:t>
            </w:r>
          </w:p>
        </w:tc>
        <w:tc>
          <w:tcPr>
            <w:tcW w:w="459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90%（含）以上计6分；</w:t>
            </w:r>
            <w:r>
              <w:rPr>
                <w:rFonts w:ascii="Times New Roman" w:hAnsi="Times New Roman" w:eastAsia="仿宋_GB2312"/>
                <w:kern w:val="0"/>
                <w:sz w:val="18"/>
                <w:szCs w:val="18"/>
              </w:rPr>
              <w:br w:type="textWrapping"/>
            </w:r>
            <w:r>
              <w:rPr>
                <w:rFonts w:ascii="Times New Roman" w:hAnsi="Times New Roman" w:eastAsia="仿宋_GB2312"/>
                <w:kern w:val="0"/>
                <w:sz w:val="18"/>
                <w:szCs w:val="18"/>
              </w:rPr>
              <w:t>80%（含）-90%，计4分；</w:t>
            </w:r>
            <w:r>
              <w:rPr>
                <w:rFonts w:ascii="Times New Roman" w:hAnsi="Times New Roman" w:eastAsia="仿宋_GB2312"/>
                <w:kern w:val="0"/>
                <w:sz w:val="18"/>
                <w:szCs w:val="18"/>
              </w:rPr>
              <w:br w:type="textWrapping"/>
            </w:r>
            <w:r>
              <w:rPr>
                <w:rFonts w:ascii="Times New Roman" w:hAnsi="Times New Roman" w:eastAsia="仿宋_GB2312"/>
                <w:kern w:val="0"/>
                <w:sz w:val="18"/>
                <w:szCs w:val="18"/>
              </w:rPr>
              <w:t>70%（含）-80%，计2分；</w:t>
            </w:r>
            <w:r>
              <w:rPr>
                <w:rFonts w:ascii="Times New Roman" w:hAnsi="Times New Roman" w:eastAsia="仿宋_GB2312"/>
                <w:kern w:val="0"/>
                <w:sz w:val="18"/>
                <w:szCs w:val="18"/>
              </w:rPr>
              <w:br w:type="textWrapping"/>
            </w:r>
            <w:r>
              <w:rPr>
                <w:rFonts w:ascii="Times New Roman" w:hAnsi="Times New Roman" w:eastAsia="仿宋_GB2312"/>
                <w:kern w:val="0"/>
                <w:sz w:val="18"/>
                <w:szCs w:val="18"/>
              </w:rPr>
              <w:t>低于70%计0分。</w:t>
            </w:r>
          </w:p>
        </w:tc>
        <w:tc>
          <w:tcPr>
            <w:tcW w:w="3773" w:type="dxa"/>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社会公众或服务对象是指部门（单位）履行职责而影响到的部门、群体或个人，一般采取社会调查的方式。</w:t>
            </w:r>
          </w:p>
        </w:tc>
        <w:tc>
          <w:tcPr>
            <w:tcW w:w="704" w:type="dxa"/>
            <w:tcBorders>
              <w:top w:val="nil"/>
              <w:left w:val="nil"/>
              <w:bottom w:val="single" w:color="auto" w:sz="4" w:space="0"/>
              <w:right w:val="single" w:color="auto" w:sz="4" w:space="0"/>
            </w:tcBorders>
            <w:noWrap w:val="0"/>
            <w:vAlign w:val="center"/>
          </w:tcPr>
          <w:p>
            <w:pPr>
              <w:widowControl/>
              <w:spacing w:line="200" w:lineRule="exact"/>
              <w:jc w:val="left"/>
              <w:rPr>
                <w:rFonts w:hint="eastAsia" w:ascii="Times New Roman" w:hAnsi="Times New Roman" w:eastAsia="仿宋_GB2312"/>
                <w:kern w:val="0"/>
                <w:sz w:val="18"/>
                <w:szCs w:val="18"/>
                <w:lang w:val="en-US" w:eastAsia="zh-CN"/>
              </w:rPr>
            </w:pPr>
            <w:r>
              <w:rPr>
                <w:rFonts w:ascii="Times New Roman" w:hAnsi="Times New Roman" w:eastAsia="仿宋_GB2312"/>
                <w:kern w:val="0"/>
                <w:sz w:val="18"/>
                <w:szCs w:val="18"/>
              </w:rPr>
              <w:t>　</w:t>
            </w:r>
            <w:r>
              <w:rPr>
                <w:rFonts w:hint="eastAsia" w:ascii="Times New Roman" w:hAnsi="Times New Roman" w:eastAsia="仿宋_GB2312"/>
                <w:kern w:val="0"/>
                <w:sz w:val="18"/>
                <w:szCs w:val="18"/>
                <w:lang w:val="en-US" w:eastAsia="zh-CN"/>
              </w:rPr>
              <w:t>6</w:t>
            </w:r>
          </w:p>
          <w:p>
            <w:pPr>
              <w:widowControl/>
              <w:spacing w:line="200" w:lineRule="exact"/>
              <w:jc w:val="left"/>
              <w:rPr>
                <w:rFonts w:ascii="Times New Roman" w:hAnsi="Times New Roman" w:eastAsia="仿宋_GB2312"/>
                <w:kern w:val="0"/>
                <w:sz w:val="18"/>
                <w:szCs w:val="18"/>
              </w:rPr>
            </w:pPr>
          </w:p>
        </w:tc>
      </w:tr>
      <w:tr>
        <w:tblPrEx>
          <w:tblCellMar>
            <w:top w:w="0" w:type="dxa"/>
            <w:left w:w="108" w:type="dxa"/>
            <w:bottom w:w="0" w:type="dxa"/>
            <w:right w:w="108" w:type="dxa"/>
          </w:tblCellMar>
        </w:tblPrEx>
        <w:trPr>
          <w:trHeight w:val="412" w:hRule="atLeast"/>
          <w:jc w:val="center"/>
        </w:trPr>
        <w:tc>
          <w:tcPr>
            <w:tcW w:w="4561" w:type="dxa"/>
            <w:gridSpan w:val="5"/>
            <w:tcBorders>
              <w:top w:val="nil"/>
              <w:left w:val="single" w:color="auto" w:sz="4" w:space="0"/>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总分</w:t>
            </w:r>
          </w:p>
        </w:tc>
        <w:tc>
          <w:tcPr>
            <w:tcW w:w="565" w:type="dxa"/>
            <w:tcBorders>
              <w:top w:val="nil"/>
              <w:left w:val="nil"/>
              <w:bottom w:val="single" w:color="auto" w:sz="4" w:space="0"/>
              <w:right w:val="single" w:color="auto" w:sz="4" w:space="0"/>
            </w:tcBorders>
            <w:noWrap w:val="0"/>
            <w:vAlign w:val="center"/>
          </w:tcPr>
          <w:p>
            <w:pPr>
              <w:widowControl/>
              <w:spacing w:line="20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100</w:t>
            </w:r>
          </w:p>
        </w:tc>
        <w:tc>
          <w:tcPr>
            <w:tcW w:w="8366" w:type="dxa"/>
            <w:gridSpan w:val="2"/>
            <w:tcBorders>
              <w:top w:val="nil"/>
              <w:left w:val="nil"/>
              <w:bottom w:val="single" w:color="auto" w:sz="4" w:space="0"/>
              <w:right w:val="single" w:color="auto" w:sz="4" w:space="0"/>
            </w:tcBorders>
            <w:noWrap w:val="0"/>
            <w:vAlign w:val="center"/>
          </w:tcPr>
          <w:p>
            <w:pPr>
              <w:widowControl/>
              <w:spacing w:line="200" w:lineRule="exact"/>
              <w:jc w:val="left"/>
              <w:rPr>
                <w:rFonts w:ascii="Times New Roman" w:hAnsi="Times New Roman" w:eastAsia="仿宋_GB2312"/>
                <w:kern w:val="0"/>
                <w:sz w:val="18"/>
                <w:szCs w:val="18"/>
              </w:rPr>
            </w:pPr>
          </w:p>
        </w:tc>
        <w:tc>
          <w:tcPr>
            <w:tcW w:w="704" w:type="dxa"/>
            <w:tcBorders>
              <w:top w:val="nil"/>
              <w:left w:val="nil"/>
              <w:bottom w:val="single" w:color="auto" w:sz="4" w:space="0"/>
              <w:right w:val="single" w:color="auto" w:sz="4" w:space="0"/>
            </w:tcBorders>
            <w:noWrap w:val="0"/>
            <w:vAlign w:val="center"/>
          </w:tcPr>
          <w:p>
            <w:pPr>
              <w:widowControl/>
              <w:spacing w:line="200" w:lineRule="exact"/>
              <w:jc w:val="left"/>
              <w:rPr>
                <w:rFonts w:hint="default" w:ascii="Times New Roman" w:hAnsi="Times New Roman" w:eastAsia="仿宋_GB2312"/>
                <w:kern w:val="0"/>
                <w:sz w:val="18"/>
                <w:szCs w:val="18"/>
                <w:lang w:val="en-US" w:eastAsia="zh-CN"/>
              </w:rPr>
            </w:pPr>
            <w:r>
              <w:rPr>
                <w:rFonts w:hint="eastAsia" w:ascii="Times New Roman" w:hAnsi="Times New Roman" w:eastAsia="仿宋_GB2312"/>
                <w:kern w:val="0"/>
                <w:sz w:val="18"/>
                <w:szCs w:val="18"/>
                <w:lang w:val="en-US" w:eastAsia="zh-CN"/>
              </w:rPr>
              <w:t>98</w:t>
            </w:r>
          </w:p>
        </w:tc>
      </w:tr>
    </w:tbl>
    <w:p>
      <w:pPr>
        <w:keepNext w:val="0"/>
        <w:keepLines w:val="0"/>
        <w:pageBreakBefore w:val="0"/>
        <w:kinsoku/>
        <w:wordWrap/>
        <w:overflowPunct/>
        <w:topLinePunct w:val="0"/>
        <w:autoSpaceDE/>
        <w:autoSpaceDN/>
        <w:bidi w:val="0"/>
        <w:adjustRightInd/>
        <w:spacing w:line="560" w:lineRule="exact"/>
        <w:jc w:val="both"/>
        <w:textAlignment w:val="auto"/>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ingLiU">
    <w:panose1 w:val="02020509000000000000"/>
    <w:charset w:val="88"/>
    <w:family w:val="modern"/>
    <w:pitch w:val="default"/>
    <w:sig w:usb0="A00002FF" w:usb1="28CFFCFA" w:usb2="00000016" w:usb3="00000000" w:csb0="00100001" w:csb1="00000000"/>
  </w:font>
  <w:font w:name="方正小标宋简体">
    <w:altName w:val="黑体"/>
    <w:panose1 w:val="02010601030101010101"/>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A35274"/>
    <w:rsid w:val="02827AD8"/>
    <w:rsid w:val="03670886"/>
    <w:rsid w:val="04D87A8C"/>
    <w:rsid w:val="0533248F"/>
    <w:rsid w:val="05EF5E88"/>
    <w:rsid w:val="065B3932"/>
    <w:rsid w:val="0CB07AA9"/>
    <w:rsid w:val="0D4733C4"/>
    <w:rsid w:val="0E6E1E00"/>
    <w:rsid w:val="120157ED"/>
    <w:rsid w:val="14FD5C95"/>
    <w:rsid w:val="191A141B"/>
    <w:rsid w:val="1BC3558B"/>
    <w:rsid w:val="1D6D7E9C"/>
    <w:rsid w:val="201616AE"/>
    <w:rsid w:val="21EF63F8"/>
    <w:rsid w:val="22CE5CF3"/>
    <w:rsid w:val="2A89652A"/>
    <w:rsid w:val="2C720621"/>
    <w:rsid w:val="30550CDE"/>
    <w:rsid w:val="351C03F7"/>
    <w:rsid w:val="35874621"/>
    <w:rsid w:val="37017B4D"/>
    <w:rsid w:val="3714108C"/>
    <w:rsid w:val="42FE3F33"/>
    <w:rsid w:val="46C228E4"/>
    <w:rsid w:val="471D2865"/>
    <w:rsid w:val="480B1852"/>
    <w:rsid w:val="487B6ED0"/>
    <w:rsid w:val="4CFF4949"/>
    <w:rsid w:val="4F732C9D"/>
    <w:rsid w:val="51531200"/>
    <w:rsid w:val="547220AB"/>
    <w:rsid w:val="54871604"/>
    <w:rsid w:val="54E83149"/>
    <w:rsid w:val="55AA41A7"/>
    <w:rsid w:val="568B6949"/>
    <w:rsid w:val="5AD707EC"/>
    <w:rsid w:val="5DB83D3A"/>
    <w:rsid w:val="5FD757FC"/>
    <w:rsid w:val="68A14538"/>
    <w:rsid w:val="69F450C5"/>
    <w:rsid w:val="6D0549F7"/>
    <w:rsid w:val="7AE469F8"/>
    <w:rsid w:val="7DA35274"/>
    <w:rsid w:val="7FBC7B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99"/>
    <w:pPr>
      <w:ind w:firstLine="420" w:firstLineChars="200"/>
    </w:pPr>
    <w:rPr>
      <w:rFonts w:ascii="Calibri" w:hAnsi="Calibri" w:eastAsia="宋体" w:cs="Times New Roman"/>
      <w:szCs w:val="22"/>
    </w:rPr>
  </w:style>
  <w:style w:type="character" w:customStyle="1" w:styleId="5">
    <w:name w:val="15"/>
    <w:basedOn w:val="3"/>
    <w:uiPriority w:val="0"/>
    <w:rPr>
      <w:rFonts w:hint="default" w:ascii="仿宋_GB2312" w:hAnsi="仿宋_GB2312" w:eastAsia="楷体_GB2312"/>
      <w:sz w:val="32"/>
      <w:szCs w:val="32"/>
    </w:rPr>
  </w:style>
  <w:style w:type="character" w:customStyle="1" w:styleId="6">
    <w:name w:val="Body text + 8 pt1"/>
    <w:basedOn w:val="7"/>
    <w:qFormat/>
    <w:uiPriority w:val="0"/>
    <w:rPr>
      <w:color w:val="000000"/>
      <w:spacing w:val="0"/>
      <w:w w:val="100"/>
      <w:position w:val="0"/>
      <w:sz w:val="16"/>
      <w:szCs w:val="16"/>
      <w:lang w:val="zh-TW"/>
    </w:rPr>
  </w:style>
  <w:style w:type="character" w:customStyle="1" w:styleId="7">
    <w:name w:val="Body text_"/>
    <w:basedOn w:val="3"/>
    <w:link w:val="8"/>
    <w:qFormat/>
    <w:uiPriority w:val="0"/>
    <w:rPr>
      <w:rFonts w:ascii="MingLiU" w:hAnsi="MingLiU" w:eastAsia="MingLiU" w:cs="MingLiU"/>
      <w:spacing w:val="20"/>
    </w:rPr>
  </w:style>
  <w:style w:type="paragraph" w:customStyle="1" w:styleId="8">
    <w:name w:val="Body text"/>
    <w:basedOn w:val="1"/>
    <w:link w:val="7"/>
    <w:qFormat/>
    <w:uiPriority w:val="0"/>
    <w:pPr>
      <w:shd w:val="clear" w:color="auto" w:fill="FFFFFF"/>
      <w:spacing w:line="312" w:lineRule="exact"/>
      <w:ind w:firstLine="520"/>
    </w:pPr>
    <w:rPr>
      <w:rFonts w:ascii="MingLiU" w:hAnsi="MingLiU" w:eastAsia="MingLiU" w:cs="MingLiU"/>
      <w:spacing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Office_11.1.0.10503_F1E327BC-269C-435d-A152-05C5408002CA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2021-07-16T00:42:00Z</dcterms:created>
  <dc:creator>杨永华</dc:creator>
  <cp:lastModifiedBy>杨永华</cp:lastModifiedBy>
  <dcterms:modified xsi:type="dcterms:W3CDTF">2021-07-26T07:38:28Z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CA29FD3B5FA143B8BDA0D40B48A8126F</vt:lpwstr>
  </property>
</Properties>
</file>