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jc w:val="center"/>
        <w:rPr>
          <w:rFonts w:hint="eastAsia" w:ascii="黑体" w:hAnsi="黑体" w:eastAsia="黑体" w:cs="黑体"/>
          <w:sz w:val="32"/>
          <w:szCs w:val="32"/>
        </w:rPr>
      </w:pPr>
      <w:r>
        <w:rPr>
          <w:rFonts w:hint="eastAsia" w:ascii="黑体" w:hAnsi="黑体" w:eastAsia="黑体" w:cs="黑体"/>
          <w:sz w:val="32"/>
          <w:szCs w:val="32"/>
          <w:lang w:eastAsia="zh-CN"/>
        </w:rPr>
        <w:t>中方县住房和城乡建设局</w:t>
      </w:r>
      <w:bookmarkStart w:id="0" w:name="_GoBack"/>
      <w:r>
        <w:rPr>
          <w:rFonts w:hint="eastAsia" w:ascii="黑体" w:hAnsi="黑体" w:eastAsia="黑体" w:cs="黑体"/>
          <w:sz w:val="32"/>
          <w:szCs w:val="32"/>
          <w:lang w:val="en-US" w:eastAsia="zh-CN"/>
        </w:rPr>
        <w:t>2020年</w:t>
      </w:r>
      <w:r>
        <w:rPr>
          <w:rFonts w:hint="eastAsia" w:ascii="黑体" w:hAnsi="黑体" w:eastAsia="黑体" w:cs="黑体"/>
          <w:sz w:val="32"/>
          <w:szCs w:val="32"/>
        </w:rPr>
        <w:t>蒿吉坪瑶族乡地质灾害、易地扶贫搬迁工程项目专项资金</w:t>
      </w:r>
      <w:r>
        <w:rPr>
          <w:rFonts w:hint="eastAsia" w:ascii="黑体" w:hAnsi="黑体" w:eastAsia="黑体" w:cs="黑体"/>
          <w:sz w:val="32"/>
          <w:szCs w:val="32"/>
          <w:lang w:eastAsia="zh-CN"/>
        </w:rPr>
        <w:t>支出</w:t>
      </w:r>
      <w:bookmarkEnd w:id="0"/>
      <w:r>
        <w:rPr>
          <w:rFonts w:hint="eastAsia" w:ascii="黑体" w:hAnsi="黑体" w:eastAsia="黑体" w:cs="黑体"/>
          <w:sz w:val="32"/>
          <w:szCs w:val="32"/>
        </w:rPr>
        <w:t>绩效</w:t>
      </w:r>
      <w:r>
        <w:rPr>
          <w:rFonts w:hint="eastAsia" w:ascii="黑体" w:hAnsi="黑体" w:eastAsia="黑体" w:cs="黑体"/>
          <w:sz w:val="32"/>
          <w:szCs w:val="32"/>
          <w:lang w:eastAsia="zh-CN"/>
        </w:rPr>
        <w:t>自</w:t>
      </w:r>
      <w:r>
        <w:rPr>
          <w:rFonts w:hint="eastAsia" w:ascii="黑体" w:hAnsi="黑体" w:eastAsia="黑体" w:cs="黑体"/>
          <w:sz w:val="32"/>
          <w:szCs w:val="32"/>
        </w:rPr>
        <w:t>评报告</w:t>
      </w:r>
    </w:p>
    <w:p>
      <w:pPr>
        <w:pStyle w:val="9"/>
        <w:spacing w:line="560" w:lineRule="exact"/>
        <w:jc w:val="both"/>
        <w:rPr>
          <w:rFonts w:hint="eastAsia" w:ascii="黑体" w:hAnsi="黑体" w:eastAsia="黑体" w:cs="黑体"/>
          <w:sz w:val="32"/>
          <w:szCs w:val="32"/>
        </w:rPr>
      </w:pPr>
    </w:p>
    <w:p>
      <w:pPr>
        <w:pStyle w:val="12"/>
        <w:spacing w:line="510" w:lineRule="exact"/>
        <w:ind w:firstLine="643" w:firstLineChars="200"/>
        <w:rPr>
          <w:rFonts w:ascii="Times New Roman" w:hAnsi="Times New Roman" w:eastAsia="楷体"/>
          <w:b/>
          <w:sz w:val="32"/>
          <w:szCs w:val="32"/>
        </w:rPr>
      </w:pPr>
      <w:r>
        <w:rPr>
          <w:rFonts w:hint="eastAsia" w:ascii="Times New Roman" w:hAnsi="Times New Roman" w:eastAsia="楷体"/>
          <w:b/>
          <w:sz w:val="32"/>
          <w:szCs w:val="32"/>
        </w:rPr>
        <w:t>一、基本情况</w:t>
      </w:r>
    </w:p>
    <w:p>
      <w:pPr>
        <w:pStyle w:val="12"/>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（一）项目概况：该项目</w:t>
      </w:r>
      <w:r>
        <w:rPr>
          <w:rFonts w:hint="eastAsia" w:ascii="Times New Roman" w:hAnsi="Times New Roman" w:eastAsia="仿宋"/>
          <w:sz w:val="32"/>
          <w:szCs w:val="32"/>
          <w:lang w:eastAsia="zh-CN"/>
        </w:rPr>
        <w:t>经县四届人民政府第</w:t>
      </w:r>
      <w:r>
        <w:rPr>
          <w:rFonts w:hint="eastAsia" w:ascii="Times New Roman" w:hAnsi="Times New Roman" w:eastAsia="仿宋"/>
          <w:sz w:val="32"/>
          <w:szCs w:val="32"/>
          <w:lang w:val="en-US" w:eastAsia="zh-CN"/>
        </w:rPr>
        <w:t>32次常务会议审议通过，2016年11月通过公开招标，确定湖南省郴州第二建筑工程公司为中标单位，项目概算总投资2142.82万元，合同2132.6万元。</w:t>
      </w:r>
      <w:r>
        <w:rPr>
          <w:rFonts w:hint="eastAsia" w:ascii="Times New Roman" w:hAnsi="Times New Roman" w:eastAsia="仿宋"/>
          <w:sz w:val="32"/>
          <w:szCs w:val="32"/>
        </w:rPr>
        <w:t>主要包括乡村综合服务平台、公租房、易地扶贫安置房、卫生院、乡派所等，建设</w:t>
      </w:r>
      <w:r>
        <w:rPr>
          <w:rFonts w:hint="eastAsia" w:ascii="Times New Roman" w:hAnsi="Times New Roman" w:eastAsia="仿宋"/>
          <w:sz w:val="32"/>
          <w:szCs w:val="32"/>
          <w:lang w:eastAsia="zh-CN"/>
        </w:rPr>
        <w:t>用</w:t>
      </w:r>
      <w:r>
        <w:rPr>
          <w:rFonts w:hint="eastAsia" w:ascii="Times New Roman" w:hAnsi="Times New Roman" w:eastAsia="仿宋"/>
          <w:sz w:val="32"/>
          <w:szCs w:val="32"/>
        </w:rPr>
        <w:t>地面积34330平方米，其中绿化、娱乐、休闲区面积10934平方米，建房区面积为23396平方米。2016年9月份开工。</w:t>
      </w:r>
    </w:p>
    <w:p>
      <w:pPr>
        <w:pStyle w:val="12"/>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（二）项目绩效目标：</w:t>
      </w:r>
    </w:p>
    <w:p>
      <w:pPr>
        <w:pStyle w:val="12"/>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1、总体目标：蒿吉坪瑶族乡政府驻地是省国土资源厅确定的重点监测地质灾害隐患点，该项目即是保障干部群众生命财产安全的一件大事，也是全县的一项重点工作和政治任务。</w:t>
      </w:r>
    </w:p>
    <w:p>
      <w:pPr>
        <w:pStyle w:val="12"/>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2、阶段性目标：全面完成乡村综合服务平台、公租房、易地扶贫安置房、卫生院、乡派所等各项工程以及相关配套设施的建设，保障相关单位及安置村民顺利入住。</w:t>
      </w:r>
    </w:p>
    <w:p>
      <w:pPr>
        <w:pStyle w:val="12"/>
        <w:spacing w:line="510" w:lineRule="exact"/>
        <w:ind w:firstLine="643" w:firstLineChars="200"/>
        <w:rPr>
          <w:rFonts w:hint="eastAsia" w:ascii="Times New Roman" w:hAnsi="Times New Roman" w:eastAsia="楷体"/>
          <w:b/>
          <w:sz w:val="32"/>
          <w:szCs w:val="32"/>
        </w:rPr>
      </w:pPr>
      <w:r>
        <w:rPr>
          <w:rFonts w:hint="eastAsia" w:ascii="Times New Roman" w:hAnsi="Times New Roman" w:eastAsia="楷体"/>
          <w:b/>
          <w:sz w:val="32"/>
          <w:szCs w:val="32"/>
        </w:rPr>
        <w:t>二、绩效评价工作开展情况</w:t>
      </w:r>
    </w:p>
    <w:p>
      <w:pPr>
        <w:pStyle w:val="12"/>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（一）绩效评价目的、对象和范围。</w:t>
      </w:r>
    </w:p>
    <w:p>
      <w:pPr>
        <w:pStyle w:val="12"/>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1、加强和规范蒿吉坪瑶族乡地质灾害、易地扶贫搬迁工程项目资金管理，提高蒿吉坪瑶族乡地质灾害、易地扶贫搬迁工程项目资金使用效益；</w:t>
      </w:r>
    </w:p>
    <w:p>
      <w:pPr>
        <w:pStyle w:val="12"/>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2、建立健全绩效评价机制，更好实现蒿吉坪瑶族乡地质灾害、易地扶贫搬迁工程项目资金绩效目标。</w:t>
      </w:r>
    </w:p>
    <w:p>
      <w:pPr>
        <w:pStyle w:val="12"/>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3、本次绩效评价的对象和范围：蒿吉坪瑶族乡地质灾害、易地扶贫搬迁工程项目建设单位和主管单位。</w:t>
      </w:r>
    </w:p>
    <w:p>
      <w:pPr>
        <w:pStyle w:val="12"/>
        <w:spacing w:line="510" w:lineRule="exact"/>
        <w:ind w:firstLine="640" w:firstLineChars="200"/>
        <w:rPr>
          <w:rFonts w:ascii="Times New Roman" w:hAnsi="Times New Roman" w:eastAsia="仿宋"/>
          <w:sz w:val="32"/>
          <w:szCs w:val="32"/>
        </w:rPr>
      </w:pPr>
    </w:p>
    <w:p>
      <w:pPr>
        <w:pStyle w:val="12"/>
        <w:spacing w:line="510" w:lineRule="exact"/>
        <w:ind w:firstLine="640" w:firstLineChars="200"/>
        <w:rPr>
          <w:rFonts w:ascii="Times New Roman" w:hAnsi="Times New Roman" w:eastAsia="仿宋"/>
          <w:sz w:val="32"/>
          <w:szCs w:val="32"/>
        </w:rPr>
      </w:pPr>
      <w:r>
        <w:rPr>
          <w:rFonts w:ascii="Times New Roman" w:hAnsi="Times New Roman" w:eastAsia="仿宋"/>
          <w:sz w:val="32"/>
          <w:szCs w:val="32"/>
        </w:rPr>
        <w:t>（二）绩效评价原则、评价指标体系、评价方法</w:t>
      </w:r>
      <w:r>
        <w:rPr>
          <w:rFonts w:hint="eastAsia" w:ascii="Times New Roman" w:hAnsi="Times New Roman" w:eastAsia="仿宋"/>
          <w:sz w:val="32"/>
          <w:szCs w:val="32"/>
        </w:rPr>
        <w:t>、评价标准</w:t>
      </w:r>
    </w:p>
    <w:p>
      <w:pPr>
        <w:pStyle w:val="12"/>
        <w:spacing w:line="510" w:lineRule="exact"/>
        <w:ind w:firstLine="640" w:firstLineChars="200"/>
        <w:rPr>
          <w:rFonts w:ascii="Times New Roman" w:hAnsi="Times New Roman" w:eastAsia="仿宋"/>
          <w:sz w:val="32"/>
          <w:szCs w:val="32"/>
        </w:rPr>
      </w:pPr>
      <w:r>
        <w:rPr>
          <w:rFonts w:ascii="Times New Roman" w:hAnsi="Times New Roman" w:eastAsia="仿宋"/>
          <w:sz w:val="32"/>
          <w:szCs w:val="32"/>
        </w:rPr>
        <w:t>1、绩效评价原则：（</w:t>
      </w:r>
      <w:r>
        <w:rPr>
          <w:rFonts w:hint="eastAsia" w:ascii="Times New Roman" w:hAnsi="Times New Roman" w:eastAsia="仿宋"/>
          <w:sz w:val="32"/>
          <w:szCs w:val="32"/>
        </w:rPr>
        <w:t>1</w:t>
      </w:r>
      <w:r>
        <w:rPr>
          <w:rFonts w:ascii="Times New Roman" w:hAnsi="Times New Roman" w:eastAsia="仿宋"/>
          <w:sz w:val="32"/>
          <w:szCs w:val="32"/>
        </w:rPr>
        <w:t>）客观、科学、公正的原则；（</w:t>
      </w:r>
      <w:r>
        <w:rPr>
          <w:rFonts w:hint="eastAsia" w:ascii="Times New Roman" w:hAnsi="Times New Roman" w:eastAsia="仿宋"/>
          <w:sz w:val="32"/>
          <w:szCs w:val="32"/>
        </w:rPr>
        <w:t>2</w:t>
      </w:r>
      <w:r>
        <w:rPr>
          <w:rFonts w:ascii="Times New Roman" w:hAnsi="Times New Roman" w:eastAsia="仿宋"/>
          <w:sz w:val="32"/>
          <w:szCs w:val="32"/>
        </w:rPr>
        <w:t>）综合绩效评价的原则；（</w:t>
      </w:r>
      <w:r>
        <w:rPr>
          <w:rFonts w:hint="eastAsia" w:ascii="Times New Roman" w:hAnsi="Times New Roman" w:eastAsia="仿宋"/>
          <w:sz w:val="32"/>
          <w:szCs w:val="32"/>
        </w:rPr>
        <w:t>3</w:t>
      </w:r>
      <w:r>
        <w:rPr>
          <w:rFonts w:ascii="Times New Roman" w:hAnsi="Times New Roman" w:eastAsia="仿宋"/>
          <w:sz w:val="32"/>
          <w:szCs w:val="32"/>
        </w:rPr>
        <w:t>）定量分析与定性分析的原则；（</w:t>
      </w:r>
      <w:r>
        <w:rPr>
          <w:rFonts w:hint="eastAsia" w:ascii="Times New Roman" w:hAnsi="Times New Roman" w:eastAsia="仿宋"/>
          <w:sz w:val="32"/>
          <w:szCs w:val="32"/>
        </w:rPr>
        <w:t>4</w:t>
      </w:r>
      <w:r>
        <w:rPr>
          <w:rFonts w:ascii="Times New Roman" w:hAnsi="Times New Roman" w:eastAsia="仿宋"/>
          <w:sz w:val="32"/>
          <w:szCs w:val="32"/>
        </w:rPr>
        <w:t>）统筹规划、稳步推进的原则；（</w:t>
      </w:r>
      <w:r>
        <w:rPr>
          <w:rFonts w:hint="eastAsia" w:ascii="Times New Roman" w:hAnsi="Times New Roman" w:eastAsia="仿宋"/>
          <w:sz w:val="32"/>
          <w:szCs w:val="32"/>
        </w:rPr>
        <w:t>5</w:t>
      </w:r>
      <w:r>
        <w:rPr>
          <w:rFonts w:ascii="Times New Roman" w:hAnsi="Times New Roman" w:eastAsia="仿宋"/>
          <w:sz w:val="32"/>
          <w:szCs w:val="32"/>
        </w:rPr>
        <w:t>）财政支出绩效评价与财政支出管理相结合的原则；（</w:t>
      </w:r>
      <w:r>
        <w:rPr>
          <w:rFonts w:hint="eastAsia" w:ascii="Times New Roman" w:hAnsi="Times New Roman" w:eastAsia="仿宋"/>
          <w:sz w:val="32"/>
          <w:szCs w:val="32"/>
        </w:rPr>
        <w:t>6</w:t>
      </w:r>
      <w:r>
        <w:rPr>
          <w:rFonts w:ascii="Times New Roman" w:hAnsi="Times New Roman" w:eastAsia="仿宋"/>
          <w:sz w:val="32"/>
          <w:szCs w:val="32"/>
        </w:rPr>
        <w:t>）财政支出绩效评价贯彻事前、事中、事后的原则。目标导向、依法评价；科学规范、分级实施；客观公正、公开透明。</w:t>
      </w:r>
    </w:p>
    <w:p>
      <w:pPr>
        <w:pStyle w:val="12"/>
        <w:spacing w:line="510" w:lineRule="exact"/>
        <w:ind w:firstLine="640" w:firstLineChars="200"/>
        <w:rPr>
          <w:rFonts w:hint="eastAsia" w:ascii="Times New Roman" w:hAnsi="Times New Roman" w:eastAsia="仿宋"/>
          <w:sz w:val="32"/>
          <w:szCs w:val="32"/>
        </w:rPr>
      </w:pPr>
      <w:r>
        <w:rPr>
          <w:rFonts w:hint="eastAsia" w:ascii="Times New Roman" w:hAnsi="Times New Roman" w:eastAsia="仿宋"/>
          <w:sz w:val="32"/>
          <w:szCs w:val="32"/>
        </w:rPr>
        <w:t>2</w:t>
      </w:r>
      <w:r>
        <w:rPr>
          <w:rFonts w:ascii="Times New Roman" w:hAnsi="Times New Roman" w:eastAsia="仿宋"/>
          <w:sz w:val="32"/>
          <w:szCs w:val="32"/>
        </w:rPr>
        <w:t>、评价方法</w:t>
      </w:r>
      <w:r>
        <w:rPr>
          <w:rFonts w:hint="eastAsia" w:ascii="Times New Roman" w:hAnsi="Times New Roman" w:eastAsia="仿宋"/>
          <w:sz w:val="32"/>
          <w:szCs w:val="32"/>
        </w:rPr>
        <w:t>：</w:t>
      </w:r>
      <w:r>
        <w:rPr>
          <w:rFonts w:ascii="Times New Roman" w:hAnsi="Times New Roman" w:eastAsia="仿宋"/>
          <w:sz w:val="32"/>
          <w:szCs w:val="32"/>
        </w:rPr>
        <w:t>因素分析法。</w:t>
      </w:r>
    </w:p>
    <w:p>
      <w:pPr>
        <w:pStyle w:val="12"/>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3</w:t>
      </w:r>
      <w:r>
        <w:rPr>
          <w:rFonts w:ascii="Times New Roman" w:hAnsi="Times New Roman" w:eastAsia="仿宋"/>
          <w:sz w:val="32"/>
          <w:szCs w:val="32"/>
        </w:rPr>
        <w:t>、评价指标体系详见附表。</w:t>
      </w:r>
    </w:p>
    <w:p>
      <w:pPr>
        <w:pStyle w:val="12"/>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（三）绩效评价工作过程。</w:t>
      </w:r>
    </w:p>
    <w:p>
      <w:pPr>
        <w:pStyle w:val="12"/>
        <w:spacing w:line="510" w:lineRule="exact"/>
        <w:ind w:firstLine="640" w:firstLineChars="200"/>
        <w:rPr>
          <w:rFonts w:ascii="Times New Roman" w:hAnsi="Times New Roman" w:eastAsia="仿宋"/>
          <w:sz w:val="32"/>
          <w:szCs w:val="32"/>
        </w:rPr>
      </w:pPr>
      <w:r>
        <w:rPr>
          <w:rFonts w:ascii="Times New Roman" w:hAnsi="Times New Roman" w:eastAsia="仿宋"/>
          <w:sz w:val="32"/>
          <w:szCs w:val="32"/>
        </w:rPr>
        <w:t>  20</w:t>
      </w:r>
      <w:r>
        <w:rPr>
          <w:rFonts w:hint="eastAsia" w:ascii="Times New Roman" w:hAnsi="Times New Roman" w:eastAsia="仿宋"/>
          <w:sz w:val="32"/>
          <w:szCs w:val="32"/>
        </w:rPr>
        <w:t>2</w:t>
      </w:r>
      <w:r>
        <w:rPr>
          <w:rFonts w:hint="eastAsia" w:ascii="Times New Roman" w:hAnsi="Times New Roman" w:eastAsia="仿宋"/>
          <w:sz w:val="32"/>
          <w:szCs w:val="32"/>
          <w:lang w:val="en-US" w:eastAsia="zh-CN"/>
        </w:rPr>
        <w:t>1</w:t>
      </w:r>
      <w:r>
        <w:rPr>
          <w:rFonts w:ascii="Times New Roman" w:hAnsi="Times New Roman" w:eastAsia="仿宋"/>
          <w:sz w:val="32"/>
          <w:szCs w:val="32"/>
        </w:rPr>
        <w:t>年</w:t>
      </w:r>
      <w:r>
        <w:rPr>
          <w:rFonts w:hint="eastAsia" w:ascii="Times New Roman" w:hAnsi="Times New Roman" w:eastAsia="仿宋"/>
          <w:sz w:val="32"/>
          <w:szCs w:val="32"/>
          <w:lang w:val="en-US" w:eastAsia="zh-CN"/>
        </w:rPr>
        <w:t>7</w:t>
      </w:r>
      <w:r>
        <w:rPr>
          <w:rFonts w:ascii="Times New Roman" w:hAnsi="Times New Roman" w:eastAsia="仿宋"/>
          <w:sz w:val="32"/>
          <w:szCs w:val="32"/>
        </w:rPr>
        <w:t>月</w:t>
      </w:r>
      <w:r>
        <w:rPr>
          <w:rFonts w:hint="eastAsia" w:ascii="Times New Roman" w:hAnsi="Times New Roman" w:eastAsia="仿宋"/>
          <w:sz w:val="32"/>
          <w:szCs w:val="32"/>
          <w:lang w:eastAsia="zh-CN"/>
        </w:rPr>
        <w:t>初</w:t>
      </w:r>
      <w:r>
        <w:rPr>
          <w:rFonts w:ascii="Times New Roman" w:hAnsi="Times New Roman" w:eastAsia="仿宋"/>
          <w:sz w:val="32"/>
          <w:szCs w:val="32"/>
        </w:rPr>
        <w:t>，由</w:t>
      </w:r>
      <w:r>
        <w:rPr>
          <w:rFonts w:hint="eastAsia" w:ascii="Times New Roman" w:hAnsi="Times New Roman" w:eastAsia="仿宋"/>
          <w:sz w:val="32"/>
          <w:szCs w:val="32"/>
        </w:rPr>
        <w:t>本局</w:t>
      </w:r>
      <w:r>
        <w:rPr>
          <w:rFonts w:hint="eastAsia" w:ascii="Times New Roman" w:hAnsi="Times New Roman" w:eastAsia="仿宋"/>
          <w:sz w:val="32"/>
          <w:szCs w:val="32"/>
          <w:lang w:eastAsia="zh-CN"/>
        </w:rPr>
        <w:t>潘科夫</w:t>
      </w:r>
      <w:r>
        <w:rPr>
          <w:rFonts w:hint="eastAsia" w:ascii="Times New Roman" w:hAnsi="Times New Roman" w:eastAsia="仿宋"/>
          <w:sz w:val="32"/>
          <w:szCs w:val="32"/>
        </w:rPr>
        <w:t>同志主管</w:t>
      </w:r>
      <w:r>
        <w:rPr>
          <w:rFonts w:ascii="Times New Roman" w:hAnsi="Times New Roman" w:eastAsia="仿宋"/>
          <w:sz w:val="32"/>
          <w:szCs w:val="32"/>
        </w:rPr>
        <w:t>，</w:t>
      </w:r>
      <w:r>
        <w:rPr>
          <w:rFonts w:hint="eastAsia" w:ascii="Times New Roman" w:hAnsi="Times New Roman" w:eastAsia="仿宋"/>
          <w:sz w:val="32"/>
          <w:szCs w:val="32"/>
        </w:rPr>
        <w:t>本局财务室牵头，</w:t>
      </w:r>
      <w:r>
        <w:rPr>
          <w:rFonts w:hint="eastAsia" w:ascii="Times New Roman" w:hAnsi="Times New Roman" w:eastAsia="仿宋"/>
          <w:sz w:val="32"/>
          <w:szCs w:val="32"/>
          <w:lang w:eastAsia="zh-CN"/>
        </w:rPr>
        <w:t>城乡和人防</w:t>
      </w:r>
      <w:r>
        <w:rPr>
          <w:rFonts w:hint="eastAsia" w:ascii="Times New Roman" w:hAnsi="Times New Roman" w:eastAsia="仿宋"/>
          <w:sz w:val="32"/>
          <w:szCs w:val="32"/>
        </w:rPr>
        <w:t>建设管理股和</w:t>
      </w:r>
      <w:r>
        <w:rPr>
          <w:rFonts w:hint="eastAsia" w:ascii="Times New Roman" w:hAnsi="Times New Roman" w:eastAsia="仿宋"/>
          <w:sz w:val="32"/>
          <w:szCs w:val="32"/>
          <w:lang w:eastAsia="zh-CN"/>
        </w:rPr>
        <w:t>建筑、人防</w:t>
      </w:r>
      <w:r>
        <w:rPr>
          <w:rFonts w:hint="eastAsia" w:ascii="Times New Roman" w:hAnsi="Times New Roman" w:eastAsia="仿宋"/>
          <w:sz w:val="32"/>
          <w:szCs w:val="32"/>
        </w:rPr>
        <w:t>工程管理股</w:t>
      </w:r>
      <w:r>
        <w:rPr>
          <w:rFonts w:hint="eastAsia" w:ascii="Times New Roman" w:hAnsi="Times New Roman" w:eastAsia="仿宋"/>
          <w:sz w:val="32"/>
          <w:szCs w:val="32"/>
          <w:lang w:eastAsia="zh-CN"/>
        </w:rPr>
        <w:t>、科技与设计管理股</w:t>
      </w:r>
      <w:r>
        <w:rPr>
          <w:rFonts w:hint="eastAsia" w:ascii="Times New Roman" w:hAnsi="Times New Roman" w:eastAsia="仿宋"/>
          <w:sz w:val="32"/>
          <w:szCs w:val="32"/>
        </w:rPr>
        <w:t>负责的绩效自评工作领导小组。根据预算管理和绩效评价相关制度和文件，制定本次绩效评价工作的自评工作方案，向参与本次评价的股室下达绩效通知书，各股</w:t>
      </w:r>
      <w:r>
        <w:rPr>
          <w:rFonts w:ascii="Times New Roman" w:hAnsi="Times New Roman" w:eastAsia="仿宋"/>
          <w:sz w:val="32"/>
          <w:szCs w:val="32"/>
        </w:rPr>
        <w:t>到项目现场实地核查、查询填报数据的真实性、准确性、完整性，再根据设定的评价指标、评价方法，并辅以问卷调查、工作座谈等方式进行定量和定性分析，得出最终结果。</w:t>
      </w:r>
      <w:r>
        <w:rPr>
          <w:rFonts w:hint="eastAsia" w:ascii="Times New Roman" w:hAnsi="Times New Roman" w:eastAsia="仿宋"/>
          <w:sz w:val="32"/>
          <w:szCs w:val="32"/>
        </w:rPr>
        <w:t>由财务室填写&lt;&lt;项目支出绩效自评表&gt;&gt;进行自评。然后再运用科学、合理的绩效评价指标、评价标准和方法，组织开展绩效评价，</w:t>
      </w:r>
      <w:r>
        <w:rPr>
          <w:rFonts w:ascii="Times New Roman" w:hAnsi="Times New Roman" w:eastAsia="仿宋"/>
          <w:sz w:val="32"/>
          <w:szCs w:val="32"/>
        </w:rPr>
        <w:t>撰写</w:t>
      </w:r>
      <w:r>
        <w:rPr>
          <w:rFonts w:hint="eastAsia" w:ascii="Times New Roman" w:hAnsi="Times New Roman" w:eastAsia="仿宋"/>
          <w:sz w:val="32"/>
          <w:szCs w:val="32"/>
        </w:rPr>
        <w:t>本项目的</w:t>
      </w:r>
      <w:r>
        <w:rPr>
          <w:rFonts w:ascii="Times New Roman" w:hAnsi="Times New Roman" w:eastAsia="仿宋"/>
          <w:sz w:val="32"/>
          <w:szCs w:val="32"/>
        </w:rPr>
        <w:t>绩效评价报告。</w:t>
      </w:r>
    </w:p>
    <w:p>
      <w:pPr>
        <w:pStyle w:val="12"/>
        <w:spacing w:line="510" w:lineRule="exact"/>
        <w:ind w:firstLine="640" w:firstLineChars="200"/>
        <w:rPr>
          <w:rFonts w:ascii="Times New Roman" w:hAnsi="Times New Roman" w:eastAsia="仿宋"/>
          <w:sz w:val="32"/>
          <w:szCs w:val="32"/>
        </w:rPr>
      </w:pPr>
    </w:p>
    <w:p>
      <w:pPr>
        <w:pStyle w:val="12"/>
        <w:spacing w:line="510" w:lineRule="exact"/>
        <w:ind w:firstLine="643" w:firstLineChars="200"/>
        <w:rPr>
          <w:rFonts w:ascii="Times New Roman" w:hAnsi="Times New Roman" w:eastAsia="仿宋"/>
          <w:sz w:val="32"/>
          <w:szCs w:val="32"/>
        </w:rPr>
      </w:pPr>
      <w:r>
        <w:rPr>
          <w:rFonts w:hint="eastAsia" w:ascii="Times New Roman" w:hAnsi="Times New Roman" w:eastAsia="楷体"/>
          <w:b/>
          <w:sz w:val="32"/>
          <w:szCs w:val="32"/>
        </w:rPr>
        <w:t>三、综合评价情况及评价结论（附相关评分表）</w:t>
      </w:r>
    </w:p>
    <w:p>
      <w:pPr>
        <w:pStyle w:val="12"/>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按照《蒿吉坪瑶族乡地质灾害、易地扶贫搬迁工程项目绩效评价指标体系》，评价工作组对蒿吉坪瑶族乡地质灾害、易地扶贫搬迁工程项目绩效进行评价的评分分值为</w:t>
      </w:r>
      <w:r>
        <w:rPr>
          <w:rFonts w:hint="eastAsia" w:ascii="Times New Roman" w:hAnsi="Times New Roman" w:eastAsia="仿宋"/>
          <w:sz w:val="32"/>
          <w:szCs w:val="32"/>
          <w:lang w:val="en-US" w:eastAsia="zh-CN"/>
        </w:rPr>
        <w:t>85</w:t>
      </w:r>
      <w:r>
        <w:rPr>
          <w:rFonts w:hint="eastAsia" w:ascii="Times New Roman" w:hAnsi="Times New Roman" w:eastAsia="仿宋"/>
          <w:sz w:val="32"/>
          <w:szCs w:val="32"/>
        </w:rPr>
        <w:t>分。</w:t>
      </w:r>
    </w:p>
    <w:p>
      <w:pPr>
        <w:pStyle w:val="12"/>
        <w:spacing w:line="510" w:lineRule="exact"/>
        <w:ind w:firstLine="643" w:firstLineChars="200"/>
        <w:rPr>
          <w:rFonts w:hint="eastAsia" w:ascii="Times New Roman" w:hAnsi="Times New Roman" w:eastAsia="楷体"/>
          <w:b/>
          <w:sz w:val="32"/>
          <w:szCs w:val="32"/>
        </w:rPr>
      </w:pPr>
      <w:r>
        <w:rPr>
          <w:rFonts w:hint="eastAsia" w:ascii="Times New Roman" w:hAnsi="Times New Roman" w:eastAsia="楷体"/>
          <w:b/>
          <w:sz w:val="32"/>
          <w:szCs w:val="32"/>
        </w:rPr>
        <w:t>四、绩效评价指标分析</w:t>
      </w:r>
    </w:p>
    <w:p>
      <w:pPr>
        <w:pStyle w:val="12"/>
        <w:spacing w:line="510" w:lineRule="exact"/>
        <w:ind w:firstLine="640" w:firstLineChars="200"/>
        <w:rPr>
          <w:rFonts w:ascii="Times New Roman" w:hAnsi="Times New Roman" w:eastAsia="仿宋"/>
          <w:sz w:val="32"/>
          <w:szCs w:val="32"/>
        </w:rPr>
      </w:pPr>
      <w:r>
        <w:rPr>
          <w:rFonts w:ascii="Times New Roman" w:hAnsi="Times New Roman" w:eastAsia="仿宋"/>
          <w:sz w:val="32"/>
          <w:szCs w:val="32"/>
        </w:rPr>
        <w:t>（一）</w:t>
      </w:r>
      <w:r>
        <w:rPr>
          <w:rFonts w:hint="eastAsia" w:ascii="Times New Roman" w:hAnsi="Times New Roman" w:eastAsia="仿宋"/>
          <w:sz w:val="32"/>
          <w:szCs w:val="32"/>
        </w:rPr>
        <w:t>项目决策情况：</w:t>
      </w:r>
    </w:p>
    <w:p>
      <w:pPr>
        <w:pStyle w:val="12"/>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1、项目立项：蒿吉坪瑶族乡政府驻地是省国土资源厅确定的重点监测地质灾害隐患点，历届县委县政府高度重视该处地质灾害防御工作，采取了一系列监测、防范和治理措施，有效避免了安全事故的发生。但据专家勘察论证，安全隐患仍未根本消除，</w:t>
      </w:r>
      <w:r>
        <w:rPr>
          <w:rFonts w:hint="eastAsia" w:ascii="Times New Roman" w:hAnsi="Times New Roman" w:eastAsia="仿宋"/>
          <w:sz w:val="32"/>
          <w:szCs w:val="32"/>
          <w:lang w:eastAsia="zh-CN"/>
        </w:rPr>
        <w:t>而</w:t>
      </w:r>
      <w:r>
        <w:rPr>
          <w:rFonts w:hint="eastAsia" w:ascii="Times New Roman" w:hAnsi="Times New Roman" w:eastAsia="仿宋"/>
          <w:sz w:val="32"/>
          <w:szCs w:val="32"/>
        </w:rPr>
        <w:t>且治理难度大、成本高，实施整估搬迁避灾工程势在必行，近在眉前。2015年7月中方县第四届人民政府第32次常务会议审议通过《中方县蒿吉坪瑶族乡政府驻地机关和民居整体搬迁避灾实施方案》，该项目立项依据充分、程序规范。</w:t>
      </w:r>
    </w:p>
    <w:p>
      <w:pPr>
        <w:pStyle w:val="12"/>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2、绩效目标：该项目设立了科学合理的绩效指标体系，一级指标</w:t>
      </w:r>
      <w:r>
        <w:rPr>
          <w:rFonts w:hint="eastAsia" w:ascii="Times New Roman" w:hAnsi="Times New Roman" w:eastAsia="仿宋"/>
          <w:sz w:val="32"/>
          <w:szCs w:val="32"/>
          <w:lang w:val="en-US" w:eastAsia="zh-CN"/>
        </w:rPr>
        <w:t>3</w:t>
      </w:r>
      <w:r>
        <w:rPr>
          <w:rFonts w:hint="eastAsia" w:ascii="Times New Roman" w:hAnsi="Times New Roman" w:eastAsia="仿宋"/>
          <w:sz w:val="32"/>
          <w:szCs w:val="32"/>
        </w:rPr>
        <w:t>个，二级指标9个，三级指标13个，指标清晰、细化、可衡量，能反映和考核项目绩效目标的明化情况。</w:t>
      </w:r>
    </w:p>
    <w:p>
      <w:pPr>
        <w:pStyle w:val="12"/>
        <w:spacing w:line="510" w:lineRule="exact"/>
        <w:ind w:firstLine="640" w:firstLineChars="200"/>
        <w:rPr>
          <w:rFonts w:hint="default" w:ascii="Times New Roman" w:hAnsi="Times New Roman" w:eastAsia="仿宋"/>
          <w:color w:val="auto"/>
          <w:sz w:val="32"/>
          <w:szCs w:val="32"/>
          <w:lang w:val="en-US" w:eastAsia="zh-CN"/>
        </w:rPr>
      </w:pPr>
      <w:r>
        <w:rPr>
          <w:rFonts w:hint="eastAsia" w:ascii="Times New Roman" w:hAnsi="Times New Roman" w:eastAsia="仿宋"/>
          <w:sz w:val="32"/>
          <w:szCs w:val="32"/>
        </w:rPr>
        <w:t>3、资金投入：项目资金前期工作经费由县财政统筹安排，项目建设资金由县直对口责任单位全力争取上级相关项目和政策支持，由县财政统筹整合使用。项目工程财政评审2211万元，合同价款2132.6万</w:t>
      </w:r>
      <w:r>
        <w:rPr>
          <w:rFonts w:hint="eastAsia" w:ascii="Times New Roman" w:hAnsi="Times New Roman" w:eastAsia="仿宋"/>
          <w:sz w:val="32"/>
          <w:szCs w:val="32"/>
          <w:lang w:val="en-US" w:eastAsia="zh-CN"/>
        </w:rPr>
        <w:t>。</w:t>
      </w:r>
      <w:r>
        <w:rPr>
          <w:rFonts w:hint="eastAsia" w:ascii="Times New Roman" w:hAnsi="Times New Roman" w:eastAsia="仿宋"/>
          <w:color w:val="auto"/>
          <w:sz w:val="32"/>
          <w:szCs w:val="32"/>
          <w:lang w:val="en-US" w:eastAsia="zh-CN"/>
        </w:rPr>
        <w:t>根据县政府常务会会议纪要2019年第五期的决定：原则同意增加土石方、挡土墙、基础设计变更和10千伏线路安装工程预算1380万。</w:t>
      </w:r>
    </w:p>
    <w:p>
      <w:pPr>
        <w:pStyle w:val="12"/>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（二）</w:t>
      </w:r>
      <w:r>
        <w:rPr>
          <w:rFonts w:ascii="Times New Roman" w:hAnsi="Times New Roman" w:eastAsia="仿宋"/>
          <w:sz w:val="32"/>
          <w:szCs w:val="32"/>
        </w:rPr>
        <w:t>项目</w:t>
      </w:r>
      <w:r>
        <w:rPr>
          <w:rFonts w:hint="eastAsia" w:ascii="Times New Roman" w:hAnsi="Times New Roman" w:eastAsia="仿宋"/>
          <w:sz w:val="32"/>
          <w:szCs w:val="32"/>
        </w:rPr>
        <w:t>过程</w:t>
      </w:r>
      <w:r>
        <w:rPr>
          <w:rFonts w:ascii="Times New Roman" w:hAnsi="Times New Roman" w:eastAsia="仿宋"/>
          <w:sz w:val="32"/>
          <w:szCs w:val="32"/>
        </w:rPr>
        <w:t>情况分析</w:t>
      </w:r>
    </w:p>
    <w:p>
      <w:pPr>
        <w:pStyle w:val="12"/>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１、项目资金到位情况分析</w:t>
      </w:r>
    </w:p>
    <w:p>
      <w:pPr>
        <w:pStyle w:val="12"/>
        <w:spacing w:line="510" w:lineRule="exact"/>
        <w:ind w:firstLine="640" w:firstLineChars="200"/>
        <w:rPr>
          <w:rFonts w:hint="default" w:ascii="Times New Roman" w:hAnsi="Times New Roman" w:eastAsia="仿宋"/>
          <w:sz w:val="32"/>
          <w:szCs w:val="32"/>
          <w:lang w:val="en-US" w:eastAsia="zh-CN"/>
        </w:rPr>
      </w:pPr>
      <w:r>
        <w:rPr>
          <w:rFonts w:hint="eastAsia" w:ascii="Times New Roman" w:hAnsi="Times New Roman" w:eastAsia="仿宋"/>
          <w:sz w:val="32"/>
          <w:szCs w:val="32"/>
        </w:rPr>
        <w:t>2019年县级财政安排资金</w:t>
      </w:r>
      <w:r>
        <w:rPr>
          <w:rFonts w:hint="eastAsia" w:ascii="Times New Roman" w:hAnsi="Times New Roman" w:eastAsia="仿宋"/>
          <w:sz w:val="32"/>
          <w:szCs w:val="32"/>
          <w:lang w:val="en-US" w:eastAsia="zh-CN"/>
        </w:rPr>
        <w:t>554.7543</w:t>
      </w:r>
      <w:r>
        <w:rPr>
          <w:rFonts w:hint="eastAsia" w:ascii="Times New Roman" w:hAnsi="Times New Roman" w:eastAsia="仿宋"/>
          <w:sz w:val="32"/>
          <w:szCs w:val="32"/>
        </w:rPr>
        <w:t>万元。</w:t>
      </w:r>
      <w:r>
        <w:rPr>
          <w:rFonts w:hint="eastAsia" w:ascii="Times New Roman" w:hAnsi="Times New Roman" w:eastAsia="仿宋"/>
          <w:sz w:val="32"/>
          <w:szCs w:val="32"/>
          <w:lang w:val="en-US" w:eastAsia="zh-CN"/>
        </w:rPr>
        <w:t>2020年财政安排到位300万元。</w:t>
      </w:r>
    </w:p>
    <w:p>
      <w:pPr>
        <w:pStyle w:val="12"/>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2、项目资金使用情况分析</w:t>
      </w:r>
    </w:p>
    <w:p>
      <w:pPr>
        <w:pStyle w:val="12"/>
        <w:spacing w:line="510" w:lineRule="exact"/>
        <w:ind w:firstLine="640" w:firstLineChars="200"/>
        <w:rPr>
          <w:rFonts w:hint="default" w:ascii="Times New Roman" w:hAnsi="Times New Roman" w:eastAsia="仿宋"/>
          <w:sz w:val="32"/>
          <w:szCs w:val="32"/>
          <w:lang w:val="en-US" w:eastAsia="zh-CN"/>
        </w:rPr>
      </w:pPr>
      <w:r>
        <w:rPr>
          <w:rFonts w:hint="eastAsia" w:ascii="Times New Roman" w:hAnsi="Times New Roman" w:eastAsia="仿宋"/>
          <w:sz w:val="32"/>
          <w:szCs w:val="32"/>
        </w:rPr>
        <w:t>2019年2月，支付200万元。2019年6月，支付200万元。2019年8月，支付19.5743万元。2019年11月，支付13</w:t>
      </w:r>
      <w:r>
        <w:rPr>
          <w:rFonts w:hint="eastAsia" w:ascii="Times New Roman" w:hAnsi="Times New Roman" w:eastAsia="仿宋"/>
          <w:sz w:val="32"/>
          <w:szCs w:val="32"/>
          <w:lang w:val="en-US" w:eastAsia="zh-CN"/>
        </w:rPr>
        <w:t>5.18</w:t>
      </w:r>
      <w:r>
        <w:rPr>
          <w:rFonts w:hint="eastAsia" w:ascii="Times New Roman" w:hAnsi="Times New Roman" w:eastAsia="仿宋"/>
          <w:sz w:val="32"/>
          <w:szCs w:val="32"/>
        </w:rPr>
        <w:t>万元。</w:t>
      </w:r>
      <w:r>
        <w:rPr>
          <w:rFonts w:hint="eastAsia" w:ascii="Times New Roman" w:hAnsi="Times New Roman" w:eastAsia="仿宋"/>
          <w:sz w:val="32"/>
          <w:szCs w:val="32"/>
          <w:lang w:val="en-US" w:eastAsia="zh-CN"/>
        </w:rPr>
        <w:t>2020年9月支付200万元，2020年12月支付100万元。</w:t>
      </w:r>
    </w:p>
    <w:p>
      <w:pPr>
        <w:pStyle w:val="12"/>
        <w:spacing w:line="510" w:lineRule="exact"/>
        <w:ind w:firstLine="640" w:firstLineChars="200"/>
        <w:rPr>
          <w:rFonts w:ascii="Times New Roman" w:hAnsi="Times New Roman" w:eastAsia="仿宋"/>
          <w:sz w:val="32"/>
          <w:szCs w:val="32"/>
        </w:rPr>
      </w:pPr>
      <w:r>
        <w:rPr>
          <w:rFonts w:ascii="Times New Roman" w:hAnsi="Times New Roman" w:eastAsia="仿宋"/>
          <w:sz w:val="32"/>
          <w:szCs w:val="32"/>
        </w:rPr>
        <w:t>3、项目资金管理情况分析</w:t>
      </w:r>
    </w:p>
    <w:p>
      <w:pPr>
        <w:pStyle w:val="12"/>
        <w:spacing w:line="510" w:lineRule="exact"/>
        <w:ind w:firstLine="640" w:firstLineChars="200"/>
        <w:rPr>
          <w:rFonts w:hint="eastAsia" w:ascii="Times New Roman" w:hAnsi="Times New Roman" w:eastAsia="仿宋"/>
          <w:sz w:val="32"/>
          <w:szCs w:val="32"/>
          <w:lang w:eastAsia="zh-CN"/>
        </w:rPr>
      </w:pPr>
      <w:r>
        <w:rPr>
          <w:rFonts w:ascii="Times New Roman" w:hAnsi="Times New Roman" w:eastAsia="仿宋"/>
          <w:sz w:val="32"/>
          <w:szCs w:val="32"/>
        </w:rPr>
        <w:t> </w:t>
      </w:r>
      <w:r>
        <w:rPr>
          <w:rFonts w:hint="eastAsia" w:ascii="Times New Roman" w:hAnsi="Times New Roman" w:eastAsia="仿宋"/>
          <w:sz w:val="32"/>
          <w:szCs w:val="32"/>
        </w:rPr>
        <w:t>蒿吉坪瑶族乡地质灾害、易地扶贫搬迁工程项目</w:t>
      </w:r>
      <w:r>
        <w:rPr>
          <w:rFonts w:ascii="Times New Roman" w:hAnsi="Times New Roman" w:eastAsia="仿宋"/>
          <w:sz w:val="32"/>
          <w:szCs w:val="32"/>
        </w:rPr>
        <w:t>资金及时足额拨付到位，没有出现违规使用资金行为，使项目的实施得到了资金的保障。资金</w:t>
      </w:r>
      <w:r>
        <w:rPr>
          <w:rFonts w:hint="eastAsia" w:ascii="Times New Roman" w:hAnsi="Times New Roman" w:eastAsia="仿宋"/>
          <w:sz w:val="32"/>
          <w:szCs w:val="32"/>
        </w:rPr>
        <w:t>的拨付有完整的审批程序和手续，</w:t>
      </w:r>
      <w:r>
        <w:rPr>
          <w:rFonts w:ascii="Times New Roman" w:hAnsi="Times New Roman" w:eastAsia="仿宋"/>
          <w:sz w:val="32"/>
          <w:szCs w:val="32"/>
        </w:rPr>
        <w:t>建立了项目财务管理制度，即专户管理、项目资金预拔和清算、财务公开公示、实行质量保证金等四项制度。所有项目开支通过</w:t>
      </w:r>
      <w:r>
        <w:rPr>
          <w:rFonts w:hint="eastAsia" w:ascii="Times New Roman" w:hAnsi="Times New Roman" w:eastAsia="仿宋"/>
          <w:sz w:val="32"/>
          <w:szCs w:val="32"/>
        </w:rPr>
        <w:t>国库</w:t>
      </w:r>
      <w:r>
        <w:rPr>
          <w:rFonts w:ascii="Times New Roman" w:hAnsi="Times New Roman" w:eastAsia="仿宋"/>
          <w:sz w:val="32"/>
          <w:szCs w:val="32"/>
        </w:rPr>
        <w:t>集中支</w:t>
      </w:r>
      <w:r>
        <w:rPr>
          <w:rFonts w:hint="eastAsia" w:ascii="Times New Roman" w:hAnsi="Times New Roman" w:eastAsia="仿宋"/>
          <w:sz w:val="32"/>
          <w:szCs w:val="32"/>
          <w:lang w:eastAsia="zh-CN"/>
        </w:rPr>
        <w:t>付，施工单位领款时必须提供工程施工合同、工程结算单、发票等，财务手续齐全。</w:t>
      </w:r>
    </w:p>
    <w:p>
      <w:pPr>
        <w:pStyle w:val="12"/>
        <w:spacing w:line="510" w:lineRule="exact"/>
        <w:ind w:firstLine="640" w:firstLineChars="200"/>
        <w:rPr>
          <w:rFonts w:hint="eastAsia" w:ascii="Times New Roman" w:hAnsi="Times New Roman" w:eastAsia="仿宋"/>
          <w:sz w:val="32"/>
          <w:szCs w:val="32"/>
          <w:lang w:eastAsia="zh-CN"/>
        </w:rPr>
      </w:pPr>
      <w:r>
        <w:rPr>
          <w:rFonts w:hint="eastAsia" w:ascii="Times New Roman" w:hAnsi="Times New Roman" w:eastAsia="仿宋"/>
          <w:sz w:val="32"/>
          <w:szCs w:val="32"/>
          <w:lang w:eastAsia="zh-CN"/>
        </w:rPr>
        <w:t>（三）项目产出情况 </w:t>
      </w:r>
    </w:p>
    <w:p>
      <w:pPr>
        <w:pStyle w:val="12"/>
        <w:spacing w:line="510" w:lineRule="exact"/>
        <w:ind w:firstLine="640" w:firstLineChars="200"/>
        <w:rPr>
          <w:rFonts w:hint="eastAsia" w:ascii="Times New Roman" w:hAnsi="Times New Roman" w:eastAsia="仿宋"/>
          <w:sz w:val="32"/>
          <w:szCs w:val="32"/>
          <w:lang w:eastAsia="zh-CN"/>
        </w:rPr>
      </w:pPr>
      <w:r>
        <w:rPr>
          <w:rFonts w:hint="eastAsia" w:ascii="Times New Roman" w:hAnsi="Times New Roman" w:eastAsia="仿宋"/>
          <w:sz w:val="32"/>
          <w:szCs w:val="32"/>
          <w:lang w:eastAsia="zh-CN"/>
        </w:rPr>
        <w:t> 蒿吉坪瑶族乡地质灾害、易地扶贫搬迁工程，严格按照确定的建设内容开展项目建设工作，因该工程项目范围和内容较多，项目存在施工单位对于预算单价有异议等客观因素，截止</w:t>
      </w:r>
      <w:r>
        <w:rPr>
          <w:rFonts w:hint="eastAsia" w:ascii="Times New Roman" w:hAnsi="Times New Roman" w:eastAsia="仿宋"/>
          <w:sz w:val="32"/>
          <w:szCs w:val="32"/>
          <w:lang w:val="en-US" w:eastAsia="zh-CN"/>
        </w:rPr>
        <w:t>2020年5月30日，该项目未进行竣工验收和审计结算，现将</w:t>
      </w:r>
      <w:r>
        <w:rPr>
          <w:rFonts w:hint="eastAsia" w:ascii="Times New Roman" w:hAnsi="Times New Roman" w:eastAsia="仿宋"/>
          <w:sz w:val="32"/>
          <w:szCs w:val="32"/>
          <w:lang w:eastAsia="zh-CN"/>
        </w:rPr>
        <w:t>项目实施情况分析如下：</w:t>
      </w:r>
    </w:p>
    <w:p>
      <w:pPr>
        <w:pStyle w:val="12"/>
        <w:spacing w:line="510" w:lineRule="exact"/>
        <w:ind w:firstLine="640" w:firstLineChars="200"/>
        <w:rPr>
          <w:rFonts w:hint="eastAsia" w:ascii="Times New Roman" w:hAnsi="Times New Roman" w:eastAsia="仿宋"/>
          <w:sz w:val="32"/>
          <w:szCs w:val="32"/>
          <w:lang w:eastAsia="zh-CN"/>
        </w:rPr>
      </w:pPr>
      <w:r>
        <w:rPr>
          <w:rFonts w:hint="eastAsia" w:ascii="Times New Roman" w:hAnsi="Times New Roman" w:eastAsia="仿宋"/>
          <w:sz w:val="32"/>
          <w:szCs w:val="32"/>
          <w:lang w:val="en-US" w:eastAsia="zh-CN"/>
        </w:rPr>
        <w:t>1、</w:t>
      </w:r>
      <w:r>
        <w:rPr>
          <w:rFonts w:hint="eastAsia" w:ascii="Times New Roman" w:hAnsi="Times New Roman" w:eastAsia="仿宋"/>
          <w:sz w:val="32"/>
          <w:szCs w:val="32"/>
          <w:lang w:eastAsia="zh-CN"/>
        </w:rPr>
        <w:t>全面完成中方县蒿吉坪瑶族乡统规统建安置房A栋、B栋，2016年公租房A栋、B栋，挡土墙工程，农贸市场项目，乡派出所，乡村综合服务平台以及相关配套设施工程。</w:t>
      </w:r>
    </w:p>
    <w:p>
      <w:pPr>
        <w:pStyle w:val="12"/>
        <w:spacing w:line="510" w:lineRule="exact"/>
        <w:ind w:firstLine="640" w:firstLineChars="200"/>
        <w:rPr>
          <w:rFonts w:hint="eastAsia" w:ascii="Times New Roman" w:hAnsi="Times New Roman" w:eastAsia="仿宋"/>
          <w:color w:val="auto"/>
          <w:sz w:val="32"/>
          <w:szCs w:val="32"/>
          <w:lang w:eastAsia="zh-CN"/>
        </w:rPr>
      </w:pPr>
      <w:r>
        <w:rPr>
          <w:rFonts w:hint="eastAsia" w:ascii="Times New Roman" w:hAnsi="Times New Roman" w:eastAsia="仿宋"/>
          <w:sz w:val="32"/>
          <w:szCs w:val="32"/>
          <w:lang w:val="en-US" w:eastAsia="zh-CN"/>
        </w:rPr>
        <w:t>2、</w:t>
      </w:r>
      <w:r>
        <w:rPr>
          <w:rFonts w:hint="eastAsia" w:ascii="Times New Roman" w:hAnsi="Times New Roman" w:eastAsia="仿宋"/>
          <w:sz w:val="32"/>
          <w:szCs w:val="32"/>
          <w:lang w:eastAsia="zh-CN"/>
        </w:rPr>
        <w:t>项目经相关部门实地勘察，主体工程质量符合行业标准，已督促施工单位加快竣工验收的进度。</w:t>
      </w:r>
    </w:p>
    <w:p>
      <w:pPr>
        <w:pStyle w:val="12"/>
        <w:numPr>
          <w:ilvl w:val="0"/>
          <w:numId w:val="0"/>
        </w:numPr>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（四）项目效益情况。</w:t>
      </w:r>
    </w:p>
    <w:p>
      <w:pPr>
        <w:pStyle w:val="12"/>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通过增加蒿吉坪瑶族乡地质灾害、易地扶贫搬迁工程项目经费，通过财政监督，部门审核蒿吉坪瑶族乡地质灾害、易地扶贫搬迁工程项目资金得到充足、高效利用。</w:t>
      </w:r>
    </w:p>
    <w:p>
      <w:pPr>
        <w:pStyle w:val="12"/>
        <w:spacing w:line="510" w:lineRule="exact"/>
        <w:ind w:firstLine="643" w:firstLineChars="200"/>
        <w:rPr>
          <w:rFonts w:hint="eastAsia" w:ascii="Times New Roman" w:hAnsi="Times New Roman" w:eastAsia="楷体"/>
          <w:b/>
          <w:sz w:val="32"/>
          <w:szCs w:val="32"/>
        </w:rPr>
      </w:pPr>
      <w:r>
        <w:rPr>
          <w:rFonts w:hint="eastAsia" w:ascii="Times New Roman" w:hAnsi="Times New Roman" w:eastAsia="楷体"/>
          <w:b/>
          <w:sz w:val="32"/>
          <w:szCs w:val="32"/>
          <w:lang w:eastAsia="zh-CN"/>
        </w:rPr>
        <w:t>五、</w:t>
      </w:r>
      <w:r>
        <w:rPr>
          <w:rFonts w:hint="eastAsia" w:ascii="Times New Roman" w:hAnsi="Times New Roman" w:eastAsia="楷体"/>
          <w:b/>
          <w:sz w:val="32"/>
          <w:szCs w:val="32"/>
        </w:rPr>
        <w:t>主要经验及做法、存在的问题及原因分析</w:t>
      </w:r>
    </w:p>
    <w:p>
      <w:pPr>
        <w:pStyle w:val="12"/>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 xml:space="preserve"> （一）主要经验</w:t>
      </w:r>
    </w:p>
    <w:p>
      <w:pPr>
        <w:pStyle w:val="12"/>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一是建立形成了一套严格、科学、高效的运行考核机制，保障了工程项目建设顺利开展。二是规范资金运行，确保资金及时足额到位。</w:t>
      </w:r>
    </w:p>
    <w:p>
      <w:pPr>
        <w:pStyle w:val="12"/>
        <w:spacing w:line="510" w:lineRule="exact"/>
        <w:ind w:firstLine="960" w:firstLineChars="300"/>
        <w:rPr>
          <w:rFonts w:ascii="Times New Roman" w:hAnsi="Times New Roman" w:eastAsia="仿宋"/>
          <w:sz w:val="32"/>
          <w:szCs w:val="32"/>
        </w:rPr>
      </w:pPr>
      <w:r>
        <w:rPr>
          <w:rFonts w:hint="eastAsia" w:ascii="Times New Roman" w:hAnsi="Times New Roman" w:eastAsia="仿宋"/>
          <w:sz w:val="32"/>
          <w:szCs w:val="32"/>
        </w:rPr>
        <w:t>(二）存在的问题：</w:t>
      </w:r>
      <w:r>
        <w:rPr>
          <w:rFonts w:hint="eastAsia" w:ascii="Times New Roman" w:hAnsi="Times New Roman" w:eastAsia="仿宋"/>
          <w:sz w:val="32"/>
          <w:szCs w:val="32"/>
          <w:lang w:val="en-US" w:eastAsia="zh-CN"/>
        </w:rPr>
        <w:t>1、</w:t>
      </w:r>
      <w:r>
        <w:rPr>
          <w:rFonts w:hint="eastAsia" w:ascii="Times New Roman" w:hAnsi="Times New Roman" w:eastAsia="仿宋"/>
          <w:sz w:val="32"/>
          <w:szCs w:val="32"/>
        </w:rPr>
        <w:t>工程项目范围和内容较多，</w:t>
      </w:r>
      <w:r>
        <w:rPr>
          <w:rFonts w:hint="eastAsia" w:ascii="Times New Roman" w:hAnsi="Times New Roman" w:eastAsia="仿宋"/>
          <w:sz w:val="32"/>
          <w:szCs w:val="32"/>
          <w:lang w:eastAsia="zh-CN"/>
        </w:rPr>
        <w:t>建设施工时间较长，部分项目出现超预算情况。</w:t>
      </w:r>
      <w:r>
        <w:rPr>
          <w:rFonts w:hint="eastAsia" w:ascii="Times New Roman" w:hAnsi="Times New Roman" w:eastAsia="仿宋"/>
          <w:sz w:val="32"/>
          <w:szCs w:val="32"/>
          <w:lang w:val="en-US" w:eastAsia="zh-CN"/>
        </w:rPr>
        <w:t>2、</w:t>
      </w:r>
      <w:r>
        <w:rPr>
          <w:rFonts w:hint="eastAsia" w:ascii="Times New Roman" w:hAnsi="Times New Roman" w:eastAsia="仿宋"/>
          <w:sz w:val="32"/>
          <w:szCs w:val="32"/>
        </w:rPr>
        <w:t>部分目标实</w:t>
      </w:r>
      <w:r>
        <w:rPr>
          <w:rFonts w:hint="eastAsia" w:ascii="Times New Roman" w:hAnsi="Times New Roman" w:eastAsia="仿宋"/>
          <w:sz w:val="32"/>
          <w:szCs w:val="32"/>
          <w:lang w:eastAsia="zh-CN"/>
        </w:rPr>
        <w:t>施</w:t>
      </w:r>
      <w:r>
        <w:rPr>
          <w:rFonts w:hint="eastAsia" w:ascii="Times New Roman" w:hAnsi="Times New Roman" w:eastAsia="仿宋"/>
          <w:sz w:val="32"/>
          <w:szCs w:val="32"/>
        </w:rPr>
        <w:t>需要较长的评价时间，目标实际完成值受年度统计时限影响较大。</w:t>
      </w:r>
    </w:p>
    <w:p>
      <w:pPr>
        <w:pStyle w:val="12"/>
        <w:spacing w:line="510" w:lineRule="exact"/>
        <w:ind w:firstLine="640" w:firstLineChars="200"/>
        <w:rPr>
          <w:rFonts w:ascii="Times New Roman" w:hAnsi="Times New Roman" w:eastAsia="仿宋"/>
          <w:sz w:val="32"/>
          <w:szCs w:val="32"/>
        </w:rPr>
      </w:pPr>
    </w:p>
    <w:p>
      <w:pPr>
        <w:pStyle w:val="12"/>
        <w:spacing w:line="510" w:lineRule="exact"/>
        <w:ind w:firstLine="643" w:firstLineChars="200"/>
        <w:rPr>
          <w:rFonts w:hint="eastAsia" w:ascii="Times New Roman" w:hAnsi="Times New Roman" w:eastAsia="楷体"/>
          <w:b/>
          <w:sz w:val="32"/>
          <w:szCs w:val="32"/>
          <w:lang w:eastAsia="zh-CN"/>
        </w:rPr>
      </w:pPr>
      <w:r>
        <w:rPr>
          <w:rFonts w:hint="eastAsia" w:ascii="Times New Roman" w:hAnsi="Times New Roman" w:eastAsia="楷体"/>
          <w:b/>
          <w:sz w:val="32"/>
          <w:szCs w:val="32"/>
          <w:lang w:eastAsia="zh-CN"/>
        </w:rPr>
        <w:t>六、有关建议</w:t>
      </w:r>
    </w:p>
    <w:p>
      <w:pPr>
        <w:numPr>
          <w:ilvl w:val="0"/>
          <w:numId w:val="0"/>
        </w:numPr>
        <w:spacing w:line="480" w:lineRule="exact"/>
        <w:ind w:firstLine="1280" w:firstLineChars="400"/>
        <w:rPr>
          <w:rFonts w:ascii="Times New Roman" w:hAnsi="Times New Roman" w:eastAsia="仿宋"/>
          <w:sz w:val="32"/>
          <w:szCs w:val="32"/>
        </w:rPr>
      </w:pPr>
      <w:r>
        <w:rPr>
          <w:rFonts w:hint="eastAsia" w:ascii="Times New Roman" w:hAnsi="Times New Roman" w:eastAsia="仿宋"/>
          <w:sz w:val="32"/>
          <w:szCs w:val="32"/>
          <w:lang w:val="en-US" w:eastAsia="zh-CN"/>
        </w:rPr>
        <w:t>1、</w:t>
      </w:r>
      <w:r>
        <w:rPr>
          <w:rFonts w:hint="eastAsia" w:ascii="仿宋" w:hAnsi="仿宋" w:eastAsia="仿宋" w:cs="仿宋"/>
          <w:sz w:val="32"/>
          <w:szCs w:val="32"/>
        </w:rPr>
        <w:t>细化预算编制工作，认真做好预算的编制。</w:t>
      </w:r>
      <w:r>
        <w:rPr>
          <w:rFonts w:hint="eastAsia" w:ascii="Times New Roman" w:hAnsi="Times New Roman" w:eastAsia="仿宋"/>
          <w:sz w:val="32"/>
          <w:szCs w:val="32"/>
          <w:lang w:val="en-US" w:eastAsia="zh-CN"/>
        </w:rPr>
        <w:t>2、</w:t>
      </w:r>
      <w:r>
        <w:rPr>
          <w:rFonts w:hint="eastAsia" w:ascii="Times New Roman" w:hAnsi="Times New Roman" w:eastAsia="仿宋"/>
          <w:sz w:val="32"/>
          <w:szCs w:val="32"/>
        </w:rPr>
        <w:t>建</w:t>
      </w:r>
      <w:r>
        <w:rPr>
          <w:rFonts w:hint="eastAsia" w:ascii="Times New Roman" w:hAnsi="Times New Roman" w:eastAsia="仿宋"/>
          <w:sz w:val="32"/>
          <w:szCs w:val="32"/>
          <w:lang w:eastAsia="zh-CN"/>
        </w:rPr>
        <w:t>议</w:t>
      </w:r>
      <w:r>
        <w:rPr>
          <w:rFonts w:hint="eastAsia" w:ascii="Times New Roman" w:hAnsi="Times New Roman" w:eastAsia="仿宋"/>
          <w:sz w:val="32"/>
          <w:szCs w:val="32"/>
        </w:rPr>
        <w:t>对实施跨度大的项目，开展项目实施过程的绩效评价，待项目完成后，再开展项目完成绩效评价，更能准确。</w:t>
      </w:r>
    </w:p>
    <w:p>
      <w:pPr>
        <w:pStyle w:val="12"/>
        <w:spacing w:line="510" w:lineRule="exact"/>
        <w:ind w:firstLine="643" w:firstLineChars="200"/>
        <w:rPr>
          <w:rFonts w:hint="eastAsia" w:ascii="Times New Roman" w:hAnsi="Times New Roman" w:eastAsia="楷体"/>
          <w:b/>
          <w:sz w:val="32"/>
          <w:szCs w:val="32"/>
          <w:lang w:eastAsia="zh-CN"/>
        </w:rPr>
      </w:pPr>
      <w:r>
        <w:rPr>
          <w:rFonts w:hint="eastAsia" w:ascii="Times New Roman" w:hAnsi="Times New Roman" w:eastAsia="楷体"/>
          <w:b/>
          <w:sz w:val="32"/>
          <w:szCs w:val="32"/>
          <w:lang w:eastAsia="zh-CN"/>
        </w:rPr>
        <w:t>七、其他需要说明的问题</w:t>
      </w:r>
    </w:p>
    <w:p>
      <w:pPr>
        <w:pStyle w:val="12"/>
        <w:spacing w:line="510" w:lineRule="exact"/>
        <w:ind w:firstLine="1920" w:firstLineChars="600"/>
        <w:rPr>
          <w:rFonts w:ascii="Times New Roman" w:hAnsi="Times New Roman" w:eastAsia="仿宋"/>
          <w:sz w:val="32"/>
          <w:szCs w:val="32"/>
        </w:rPr>
      </w:pPr>
      <w:r>
        <w:rPr>
          <w:rFonts w:hint="eastAsia" w:ascii="Times New Roman" w:hAnsi="Times New Roman" w:eastAsia="仿宋"/>
          <w:sz w:val="32"/>
          <w:szCs w:val="32"/>
        </w:rPr>
        <w:t>无</w:t>
      </w:r>
    </w:p>
    <w:p>
      <w:pPr>
        <w:widowControl/>
        <w:spacing w:line="510" w:lineRule="exact"/>
        <w:jc w:val="left"/>
        <w:rPr>
          <w:rFonts w:ascii="Times New Roman" w:hAnsi="Times New Roman" w:eastAsia="仿宋_GB2312"/>
          <w:sz w:val="32"/>
          <w:szCs w:val="32"/>
        </w:rPr>
      </w:pPr>
    </w:p>
    <w:p>
      <w:pPr>
        <w:widowControl/>
        <w:spacing w:line="510" w:lineRule="exact"/>
        <w:jc w:val="left"/>
        <w:rPr>
          <w:rFonts w:ascii="Times New Roman" w:hAnsi="Times New Roman" w:eastAsia="仿宋_GB2312"/>
          <w:sz w:val="32"/>
          <w:szCs w:val="32"/>
        </w:rPr>
      </w:pPr>
    </w:p>
    <w:p>
      <w:pPr>
        <w:widowControl/>
        <w:spacing w:line="510" w:lineRule="exact"/>
        <w:jc w:val="left"/>
        <w:rPr>
          <w:rFonts w:ascii="Times New Roman" w:hAnsi="Times New Roman" w:eastAsia="仿宋_GB2312"/>
          <w:sz w:val="32"/>
          <w:szCs w:val="32"/>
        </w:rPr>
      </w:pPr>
    </w:p>
    <w:p>
      <w:pPr>
        <w:widowControl/>
        <w:spacing w:line="510" w:lineRule="exact"/>
        <w:jc w:val="left"/>
        <w:rPr>
          <w:rFonts w:ascii="Times New Roman" w:hAnsi="Times New Roman" w:eastAsia="仿宋_GB2312"/>
          <w:sz w:val="32"/>
          <w:szCs w:val="32"/>
        </w:rPr>
      </w:pPr>
    </w:p>
    <w:p>
      <w:pPr>
        <w:widowControl/>
        <w:spacing w:line="510" w:lineRule="exact"/>
        <w:jc w:val="left"/>
        <w:rPr>
          <w:rFonts w:ascii="Times New Roman" w:hAnsi="Times New Roman" w:eastAsia="仿宋_GB2312"/>
          <w:sz w:val="32"/>
          <w:szCs w:val="32"/>
        </w:rPr>
      </w:pPr>
    </w:p>
    <w:p>
      <w:pPr>
        <w:widowControl/>
        <w:spacing w:line="510" w:lineRule="exact"/>
        <w:jc w:val="left"/>
        <w:rPr>
          <w:rFonts w:ascii="Times New Roman" w:hAnsi="Times New Roman" w:eastAsia="仿宋_GB2312"/>
          <w:sz w:val="32"/>
          <w:szCs w:val="32"/>
        </w:rPr>
      </w:pPr>
      <w:r>
        <w:rPr>
          <w:rFonts w:ascii="Times New Roman" w:hAnsi="Times New Roman" w:eastAsia="仿宋_GB2312"/>
          <w:sz w:val="32"/>
          <w:szCs w:val="32"/>
        </w:rPr>
        <w:t>附件：1.项目支出绩效自评表</w:t>
      </w:r>
    </w:p>
    <w:p>
      <w:pPr>
        <w:widowControl/>
        <w:spacing w:line="510" w:lineRule="exact"/>
        <w:ind w:firstLine="960" w:firstLineChars="300"/>
        <w:jc w:val="left"/>
        <w:rPr>
          <w:rFonts w:ascii="Times New Roman" w:hAnsi="Times New Roman" w:eastAsia="仿宋_GB2312"/>
          <w:sz w:val="32"/>
          <w:szCs w:val="32"/>
        </w:rPr>
      </w:pPr>
      <w:r>
        <w:rPr>
          <w:rFonts w:ascii="Times New Roman" w:hAnsi="Times New Roman" w:eastAsia="仿宋_GB2312"/>
          <w:sz w:val="32"/>
          <w:szCs w:val="32"/>
        </w:rPr>
        <w:t>2.项目支出绩效评价指标</w:t>
      </w:r>
      <w:r>
        <w:rPr>
          <w:rFonts w:ascii="Times New Roman" w:hAnsi="Times New Roman" w:eastAsia="仿宋_GB2312"/>
          <w:bCs/>
          <w:color w:val="000000"/>
          <w:kern w:val="0"/>
          <w:sz w:val="32"/>
          <w:szCs w:val="32"/>
        </w:rPr>
        <w:t>评分表</w:t>
      </w:r>
    </w:p>
    <w:p>
      <w:pPr>
        <w:spacing w:line="400" w:lineRule="exact"/>
        <w:rPr>
          <w:rFonts w:ascii="Times New Roman" w:hAnsi="Times New Roman" w:eastAsia="仿宋_GB2312"/>
          <w:bCs/>
          <w:color w:val="000000"/>
          <w:sz w:val="32"/>
          <w:szCs w:val="32"/>
        </w:rPr>
      </w:pPr>
    </w:p>
    <w:p>
      <w:pPr>
        <w:spacing w:line="400" w:lineRule="exact"/>
        <w:rPr>
          <w:rFonts w:hint="eastAsia"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r>
        <w:rPr>
          <w:rFonts w:ascii="Times New Roman" w:hAnsi="Times New Roman" w:eastAsia="仿宋_GB2312"/>
          <w:bCs/>
          <w:color w:val="000000"/>
          <w:sz w:val="32"/>
          <w:szCs w:val="32"/>
        </w:rPr>
        <w:t>附件</w:t>
      </w:r>
      <w:r>
        <w:rPr>
          <w:rFonts w:hint="eastAsia" w:ascii="Times New Roman" w:hAnsi="Times New Roman" w:eastAsia="仿宋_GB2312"/>
          <w:bCs/>
          <w:color w:val="000000"/>
          <w:sz w:val="32"/>
          <w:szCs w:val="32"/>
        </w:rPr>
        <w:t>1</w:t>
      </w:r>
    </w:p>
    <w:tbl>
      <w:tblPr>
        <w:tblStyle w:val="6"/>
        <w:tblW w:w="9137" w:type="dxa"/>
        <w:jc w:val="center"/>
        <w:tblLayout w:type="fixed"/>
        <w:tblCellMar>
          <w:top w:w="0" w:type="dxa"/>
          <w:left w:w="108" w:type="dxa"/>
          <w:bottom w:w="0" w:type="dxa"/>
          <w:right w:w="108" w:type="dxa"/>
        </w:tblCellMar>
      </w:tblPr>
      <w:tblGrid>
        <w:gridCol w:w="588"/>
        <w:gridCol w:w="980"/>
        <w:gridCol w:w="1112"/>
        <w:gridCol w:w="730"/>
        <w:gridCol w:w="1134"/>
        <w:gridCol w:w="284"/>
        <w:gridCol w:w="1131"/>
        <w:gridCol w:w="853"/>
        <w:gridCol w:w="105"/>
        <w:gridCol w:w="454"/>
        <w:gridCol w:w="150"/>
        <w:gridCol w:w="275"/>
        <w:gridCol w:w="576"/>
        <w:gridCol w:w="708"/>
        <w:gridCol w:w="57"/>
      </w:tblGrid>
      <w:tr>
        <w:tblPrEx>
          <w:tblCellMar>
            <w:top w:w="0" w:type="dxa"/>
            <w:left w:w="108" w:type="dxa"/>
            <w:bottom w:w="0" w:type="dxa"/>
            <w:right w:w="108" w:type="dxa"/>
          </w:tblCellMar>
        </w:tblPrEx>
        <w:trPr>
          <w:gridAfter w:val="1"/>
          <w:wAfter w:w="57" w:type="dxa"/>
          <w:trHeight w:val="349" w:hRule="exact"/>
          <w:jc w:val="center"/>
        </w:trPr>
        <w:tc>
          <w:tcPr>
            <w:tcW w:w="9080" w:type="dxa"/>
            <w:gridSpan w:val="14"/>
            <w:tcBorders>
              <w:top w:val="nil"/>
              <w:left w:val="nil"/>
              <w:bottom w:val="nil"/>
              <w:right w:val="nil"/>
            </w:tcBorders>
            <w:vAlign w:val="center"/>
          </w:tcPr>
          <w:p>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tblPrEx>
          <w:tblCellMar>
            <w:top w:w="0" w:type="dxa"/>
            <w:left w:w="108" w:type="dxa"/>
            <w:bottom w:w="0" w:type="dxa"/>
            <w:right w:w="108" w:type="dxa"/>
          </w:tblCellMar>
        </w:tblPrEx>
        <w:trPr>
          <w:gridAfter w:val="1"/>
          <w:wAfter w:w="57" w:type="dxa"/>
          <w:trHeight w:val="201" w:hRule="atLeast"/>
          <w:jc w:val="center"/>
        </w:trPr>
        <w:tc>
          <w:tcPr>
            <w:tcW w:w="9080" w:type="dxa"/>
            <w:gridSpan w:val="14"/>
            <w:tcBorders>
              <w:top w:val="nil"/>
              <w:left w:val="nil"/>
              <w:bottom w:val="nil"/>
              <w:right w:val="nil"/>
            </w:tcBorders>
          </w:tcPr>
          <w:p>
            <w:pPr>
              <w:widowControl/>
              <w:jc w:val="center"/>
              <w:rPr>
                <w:rFonts w:ascii="Times New Roman" w:hAnsi="Times New Roman"/>
                <w:kern w:val="0"/>
                <w:sz w:val="22"/>
              </w:rPr>
            </w:pPr>
            <w:r>
              <w:rPr>
                <w:rFonts w:ascii="Times New Roman" w:hAnsi="Times New Roman"/>
                <w:kern w:val="0"/>
                <w:sz w:val="22"/>
              </w:rPr>
              <w:t>（20</w:t>
            </w:r>
            <w:r>
              <w:rPr>
                <w:rFonts w:hint="eastAsia" w:ascii="Times New Roman" w:hAnsi="Times New Roman"/>
                <w:kern w:val="0"/>
                <w:sz w:val="22"/>
                <w:lang w:val="en-US" w:eastAsia="zh-CN"/>
              </w:rPr>
              <w:t>20</w:t>
            </w:r>
            <w:r>
              <w:rPr>
                <w:rFonts w:ascii="Times New Roman" w:hAnsi="Times New Roman"/>
                <w:kern w:val="0"/>
                <w:sz w:val="22"/>
              </w:rPr>
              <w:t>年度）</w:t>
            </w:r>
          </w:p>
        </w:tc>
      </w:tr>
      <w:tr>
        <w:tblPrEx>
          <w:tblCellMar>
            <w:top w:w="0" w:type="dxa"/>
            <w:left w:w="108" w:type="dxa"/>
            <w:bottom w:w="0" w:type="dxa"/>
            <w:right w:w="108" w:type="dxa"/>
          </w:tblCellMar>
        </w:tblPrEx>
        <w:trPr>
          <w:gridAfter w:val="1"/>
          <w:wAfter w:w="57" w:type="dxa"/>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512"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蒿吉坪瑶族乡地质灾害、易地扶贫搬迁工程项目</w:t>
            </w:r>
          </w:p>
        </w:tc>
      </w:tr>
      <w:tr>
        <w:tblPrEx>
          <w:tblCellMar>
            <w:top w:w="0" w:type="dxa"/>
            <w:left w:w="108" w:type="dxa"/>
            <w:bottom w:w="0" w:type="dxa"/>
            <w:right w:w="108" w:type="dxa"/>
          </w:tblCellMar>
        </w:tblPrEx>
        <w:trPr>
          <w:gridAfter w:val="1"/>
          <w:wAfter w:w="57" w:type="dxa"/>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39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中方县住房和城乡建设局</w:t>
            </w:r>
          </w:p>
        </w:tc>
        <w:tc>
          <w:tcPr>
            <w:tcW w:w="853"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268"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中方县住房和城乡建设局</w:t>
            </w:r>
          </w:p>
        </w:tc>
      </w:tr>
      <w:tr>
        <w:tblPrEx>
          <w:tblCellMar>
            <w:top w:w="0" w:type="dxa"/>
            <w:left w:w="108" w:type="dxa"/>
            <w:bottom w:w="0" w:type="dxa"/>
            <w:right w:w="108" w:type="dxa"/>
          </w:tblCellMar>
        </w:tblPrEx>
        <w:trPr>
          <w:gridAfter w:val="1"/>
          <w:wAfter w:w="57" w:type="dxa"/>
          <w:trHeight w:val="436" w:hRule="exact"/>
          <w:jc w:val="center"/>
        </w:trPr>
        <w:tc>
          <w:tcPr>
            <w:tcW w:w="1568"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type="textWrapping"/>
            </w:r>
            <w:r>
              <w:rPr>
                <w:rFonts w:ascii="Times New Roman" w:hAnsi="Times New Roman"/>
                <w:kern w:val="0"/>
                <w:sz w:val="18"/>
                <w:szCs w:val="18"/>
              </w:rPr>
              <w:t>（万元）</w:t>
            </w: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41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kern w:val="0"/>
                <w:sz w:val="20"/>
                <w:szCs w:val="20"/>
              </w:rPr>
              <w:t>（A）</w:t>
            </w:r>
          </w:p>
        </w:tc>
        <w:tc>
          <w:tcPr>
            <w:tcW w:w="853"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kern w:val="0"/>
                <w:sz w:val="20"/>
                <w:szCs w:val="20"/>
              </w:rPr>
              <w:t>（B）</w:t>
            </w:r>
          </w:p>
        </w:tc>
        <w:tc>
          <w:tcPr>
            <w:tcW w:w="709" w:type="dxa"/>
            <w:gridSpan w:val="3"/>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kern w:val="0"/>
                <w:sz w:val="20"/>
                <w:szCs w:val="20"/>
              </w:rPr>
              <w:t>（B/A)</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tblPrEx>
          <w:tblCellMar>
            <w:top w:w="0" w:type="dxa"/>
            <w:left w:w="108" w:type="dxa"/>
            <w:bottom w:w="0" w:type="dxa"/>
            <w:right w:w="108" w:type="dxa"/>
          </w:tblCellMar>
        </w:tblPrEx>
        <w:trPr>
          <w:gridAfter w:val="1"/>
          <w:wAfter w:w="57" w:type="dxa"/>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1318.5</w:t>
            </w:r>
          </w:p>
        </w:tc>
        <w:tc>
          <w:tcPr>
            <w:tcW w:w="1415" w:type="dxa"/>
            <w:gridSpan w:val="2"/>
            <w:tcBorders>
              <w:top w:val="nil"/>
              <w:left w:val="nil"/>
              <w:bottom w:val="single" w:color="auto" w:sz="4" w:space="0"/>
              <w:right w:val="single" w:color="auto" w:sz="4" w:space="0"/>
            </w:tcBorders>
          </w:tcPr>
          <w:p>
            <w:pPr>
              <w:rPr>
                <w:rFonts w:hint="default"/>
                <w:lang w:val="en-US"/>
              </w:rPr>
            </w:pPr>
            <w:r>
              <w:rPr>
                <w:rFonts w:hint="eastAsia" w:ascii="Times New Roman" w:hAnsi="Times New Roman"/>
                <w:kern w:val="0"/>
                <w:sz w:val="18"/>
                <w:szCs w:val="18"/>
                <w:lang w:val="en-US" w:eastAsia="zh-CN"/>
              </w:rPr>
              <w:t>1318.5</w:t>
            </w:r>
          </w:p>
        </w:tc>
        <w:tc>
          <w:tcPr>
            <w:tcW w:w="853" w:type="dxa"/>
            <w:tcBorders>
              <w:top w:val="nil"/>
              <w:left w:val="nil"/>
              <w:bottom w:val="single" w:color="auto" w:sz="4" w:space="0"/>
              <w:right w:val="single" w:color="auto" w:sz="4" w:space="0"/>
            </w:tcBorders>
          </w:tcPr>
          <w:p>
            <w:r>
              <w:rPr>
                <w:rFonts w:hint="eastAsia" w:ascii="Times New Roman" w:hAnsi="Times New Roman"/>
                <w:kern w:val="0"/>
                <w:sz w:val="18"/>
                <w:szCs w:val="18"/>
                <w:lang w:val="en-US" w:eastAsia="zh-CN"/>
              </w:rPr>
              <w:t>300</w:t>
            </w:r>
          </w:p>
        </w:tc>
        <w:tc>
          <w:tcPr>
            <w:tcW w:w="709" w:type="dxa"/>
            <w:gridSpan w:val="3"/>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kern w:val="0"/>
                <w:sz w:val="18"/>
                <w:szCs w:val="18"/>
                <w:lang w:eastAsia="zh-CN"/>
              </w:rPr>
            </w:pPr>
            <w:r>
              <w:rPr>
                <w:rFonts w:hint="eastAsia" w:ascii="Times New Roman" w:hAnsi="Times New Roman"/>
                <w:kern w:val="0"/>
                <w:sz w:val="18"/>
                <w:szCs w:val="18"/>
                <w:lang w:val="en-US" w:eastAsia="zh-CN"/>
              </w:rPr>
              <w:t>7</w:t>
            </w:r>
          </w:p>
        </w:tc>
      </w:tr>
      <w:tr>
        <w:tblPrEx>
          <w:tblCellMar>
            <w:top w:w="0" w:type="dxa"/>
            <w:left w:w="108" w:type="dxa"/>
            <w:bottom w:w="0" w:type="dxa"/>
            <w:right w:w="108" w:type="dxa"/>
          </w:tblCellMar>
        </w:tblPrEx>
        <w:trPr>
          <w:gridAfter w:val="1"/>
          <w:wAfter w:w="57" w:type="dxa"/>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kern w:val="0"/>
                <w:sz w:val="18"/>
                <w:szCs w:val="18"/>
                <w:lang w:val="en-US"/>
              </w:rPr>
            </w:pPr>
            <w:r>
              <w:rPr>
                <w:rFonts w:hint="eastAsia" w:ascii="Times New Roman" w:hAnsi="Times New Roman"/>
                <w:kern w:val="0"/>
                <w:sz w:val="18"/>
                <w:szCs w:val="18"/>
                <w:lang w:val="en-US" w:eastAsia="zh-CN"/>
              </w:rPr>
              <w:t>1318.5</w:t>
            </w:r>
          </w:p>
        </w:tc>
        <w:tc>
          <w:tcPr>
            <w:tcW w:w="1415" w:type="dxa"/>
            <w:gridSpan w:val="2"/>
            <w:tcBorders>
              <w:top w:val="nil"/>
              <w:left w:val="nil"/>
              <w:bottom w:val="single" w:color="auto" w:sz="4" w:space="0"/>
              <w:right w:val="single" w:color="auto" w:sz="4" w:space="0"/>
            </w:tcBorders>
          </w:tcPr>
          <w:p>
            <w:pPr>
              <w:rPr>
                <w:rFonts w:hint="default"/>
                <w:lang w:val="en-US"/>
              </w:rPr>
            </w:pPr>
            <w:r>
              <w:rPr>
                <w:rFonts w:hint="eastAsia" w:ascii="Times New Roman" w:hAnsi="Times New Roman"/>
                <w:kern w:val="0"/>
                <w:sz w:val="18"/>
                <w:szCs w:val="18"/>
                <w:lang w:val="en-US" w:eastAsia="zh-CN"/>
              </w:rPr>
              <w:t>1318.5</w:t>
            </w:r>
          </w:p>
        </w:tc>
        <w:tc>
          <w:tcPr>
            <w:tcW w:w="853" w:type="dxa"/>
            <w:tcBorders>
              <w:top w:val="nil"/>
              <w:left w:val="nil"/>
              <w:bottom w:val="single" w:color="auto" w:sz="4" w:space="0"/>
              <w:right w:val="single" w:color="auto" w:sz="4" w:space="0"/>
            </w:tcBorders>
          </w:tcPr>
          <w:p>
            <w:r>
              <w:rPr>
                <w:rFonts w:hint="eastAsia" w:ascii="Times New Roman" w:hAnsi="Times New Roman"/>
                <w:kern w:val="0"/>
                <w:sz w:val="18"/>
                <w:szCs w:val="18"/>
                <w:lang w:val="en-US" w:eastAsia="zh-CN"/>
              </w:rPr>
              <w:t>300</w:t>
            </w:r>
          </w:p>
        </w:tc>
        <w:tc>
          <w:tcPr>
            <w:tcW w:w="709" w:type="dxa"/>
            <w:gridSpan w:val="3"/>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tblPrEx>
          <w:tblCellMar>
            <w:top w:w="0" w:type="dxa"/>
            <w:left w:w="108" w:type="dxa"/>
            <w:bottom w:w="0" w:type="dxa"/>
            <w:right w:w="108" w:type="dxa"/>
          </w:tblCellMar>
        </w:tblPrEx>
        <w:trPr>
          <w:gridAfter w:val="1"/>
          <w:wAfter w:w="57" w:type="dxa"/>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上年结转资金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41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p>
            <w:pPr>
              <w:widowControl/>
              <w:spacing w:line="240" w:lineRule="exact"/>
              <w:jc w:val="center"/>
              <w:rPr>
                <w:rFonts w:ascii="Times New Roman" w:hAnsi="Times New Roman"/>
                <w:kern w:val="0"/>
                <w:sz w:val="18"/>
                <w:szCs w:val="18"/>
              </w:rPr>
            </w:pPr>
          </w:p>
        </w:tc>
        <w:tc>
          <w:tcPr>
            <w:tcW w:w="853"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709" w:type="dxa"/>
            <w:gridSpan w:val="3"/>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tblPrEx>
          <w:tblCellMar>
            <w:top w:w="0" w:type="dxa"/>
            <w:left w:w="108" w:type="dxa"/>
            <w:bottom w:w="0" w:type="dxa"/>
            <w:right w:w="108" w:type="dxa"/>
          </w:tblCellMar>
        </w:tblPrEx>
        <w:trPr>
          <w:gridAfter w:val="1"/>
          <w:wAfter w:w="57" w:type="dxa"/>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其他资金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41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853"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709" w:type="dxa"/>
            <w:gridSpan w:val="3"/>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tblPrEx>
          <w:tblCellMar>
            <w:top w:w="0" w:type="dxa"/>
            <w:left w:w="108" w:type="dxa"/>
            <w:bottom w:w="0" w:type="dxa"/>
            <w:right w:w="108" w:type="dxa"/>
          </w:tblCellMar>
        </w:tblPrEx>
        <w:trPr>
          <w:gridAfter w:val="1"/>
          <w:wAfter w:w="57" w:type="dxa"/>
          <w:trHeight w:val="300" w:hRule="exact"/>
          <w:jc w:val="center"/>
        </w:trPr>
        <w:tc>
          <w:tcPr>
            <w:tcW w:w="58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371"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121"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tblPrEx>
          <w:tblCellMar>
            <w:top w:w="0" w:type="dxa"/>
            <w:left w:w="108" w:type="dxa"/>
            <w:bottom w:w="0" w:type="dxa"/>
            <w:right w:w="108" w:type="dxa"/>
          </w:tblCellMar>
        </w:tblPrEx>
        <w:trPr>
          <w:gridAfter w:val="1"/>
          <w:wAfter w:w="57" w:type="dxa"/>
          <w:trHeight w:val="570" w:hRule="exact"/>
          <w:jc w:val="center"/>
        </w:trPr>
        <w:tc>
          <w:tcPr>
            <w:tcW w:w="58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371"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根据工作需要及时完成</w:t>
            </w:r>
          </w:p>
        </w:tc>
        <w:tc>
          <w:tcPr>
            <w:tcW w:w="3121"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完成100%</w:t>
            </w:r>
          </w:p>
        </w:tc>
      </w:tr>
      <w:tr>
        <w:tblPrEx>
          <w:tblCellMar>
            <w:top w:w="0" w:type="dxa"/>
            <w:left w:w="108" w:type="dxa"/>
            <w:bottom w:w="0" w:type="dxa"/>
            <w:right w:w="108" w:type="dxa"/>
          </w:tblCellMar>
        </w:tblPrEx>
        <w:trPr>
          <w:trHeight w:val="533" w:hRule="exact"/>
          <w:jc w:val="center"/>
        </w:trPr>
        <w:tc>
          <w:tcPr>
            <w:tcW w:w="588" w:type="dxa"/>
            <w:vMerge w:val="restart"/>
            <w:tcBorders>
              <w:top w:val="nil"/>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type="textWrapping"/>
            </w:r>
            <w:r>
              <w:rPr>
                <w:rFonts w:ascii="Times New Roman" w:hAnsi="Times New Roman"/>
                <w:kern w:val="0"/>
                <w:sz w:val="18"/>
                <w:szCs w:val="18"/>
              </w:rPr>
              <w:t>效</w:t>
            </w:r>
            <w:r>
              <w:rPr>
                <w:rFonts w:ascii="Times New Roman" w:hAnsi="Times New Roman"/>
                <w:kern w:val="0"/>
                <w:sz w:val="18"/>
                <w:szCs w:val="18"/>
              </w:rPr>
              <w:br w:type="textWrapping"/>
            </w:r>
            <w:r>
              <w:rPr>
                <w:rFonts w:ascii="Times New Roman" w:hAnsi="Times New Roman"/>
                <w:kern w:val="0"/>
                <w:sz w:val="18"/>
                <w:szCs w:val="18"/>
              </w:rPr>
              <w:t>指</w:t>
            </w:r>
            <w:r>
              <w:rPr>
                <w:rFonts w:ascii="Times New Roman" w:hAnsi="Times New Roman"/>
                <w:kern w:val="0"/>
                <w:sz w:val="18"/>
                <w:szCs w:val="18"/>
              </w:rPr>
              <w:br w:type="textWrapping"/>
            </w:r>
            <w:r>
              <w:rPr>
                <w:rFonts w:ascii="Times New Roman" w:hAnsi="Times New Roman"/>
                <w:kern w:val="0"/>
                <w:sz w:val="18"/>
                <w:szCs w:val="18"/>
              </w:rPr>
              <w:t>标</w:t>
            </w:r>
          </w:p>
        </w:tc>
        <w:tc>
          <w:tcPr>
            <w:tcW w:w="98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113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958"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45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4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34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tblPrEx>
          <w:tblCellMar>
            <w:top w:w="0" w:type="dxa"/>
            <w:left w:w="108" w:type="dxa"/>
            <w:bottom w:w="0" w:type="dxa"/>
            <w:right w:w="108" w:type="dxa"/>
          </w:tblCellMar>
        </w:tblPrEx>
        <w:trPr>
          <w:trHeight w:val="593"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(50分)</w:t>
            </w:r>
          </w:p>
        </w:tc>
        <w:tc>
          <w:tcPr>
            <w:tcW w:w="1112" w:type="dxa"/>
            <w:vMerge w:val="restart"/>
            <w:tcBorders>
              <w:top w:val="nil"/>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themeColor="text1"/>
                <w:kern w:val="0"/>
                <w:sz w:val="18"/>
                <w:szCs w:val="18"/>
              </w:rPr>
            </w:pPr>
            <w:r>
              <w:rPr>
                <w:rFonts w:hint="eastAsia" w:ascii="Times New Roman" w:hAnsi="Times New Roman"/>
                <w:kern w:val="0"/>
                <w:sz w:val="18"/>
                <w:szCs w:val="18"/>
              </w:rPr>
              <w:t>建筑面积（平米米）</w:t>
            </w:r>
          </w:p>
        </w:tc>
        <w:tc>
          <w:tcPr>
            <w:tcW w:w="113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13237</w:t>
            </w:r>
          </w:p>
        </w:tc>
        <w:tc>
          <w:tcPr>
            <w:tcW w:w="958"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100%</w:t>
            </w:r>
          </w:p>
        </w:tc>
        <w:tc>
          <w:tcPr>
            <w:tcW w:w="45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4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9</w:t>
            </w:r>
          </w:p>
        </w:tc>
        <w:tc>
          <w:tcPr>
            <w:tcW w:w="134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kern w:val="0"/>
                <w:sz w:val="18"/>
                <w:szCs w:val="18"/>
              </w:rPr>
            </w:pPr>
          </w:p>
        </w:tc>
        <w:tc>
          <w:tcPr>
            <w:tcW w:w="113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58"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45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4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34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54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imes New Roman" w:hAnsi="Times New Roman" w:eastAsia="宋体"/>
                <w:color w:val="000000"/>
                <w:kern w:val="0"/>
                <w:sz w:val="18"/>
                <w:szCs w:val="18"/>
                <w:lang w:eastAsia="zh-CN"/>
              </w:rPr>
            </w:pPr>
            <w:r>
              <w:rPr>
                <w:rFonts w:hint="eastAsia" w:ascii="Times New Roman" w:hAnsi="Times New Roman"/>
                <w:color w:val="000000"/>
                <w:kern w:val="0"/>
                <w:sz w:val="18"/>
                <w:szCs w:val="18"/>
                <w:lang w:eastAsia="zh-CN"/>
              </w:rPr>
              <w:t>项目主体实地勘察符合行业标准</w:t>
            </w:r>
          </w:p>
        </w:tc>
        <w:tc>
          <w:tcPr>
            <w:tcW w:w="1131" w:type="dxa"/>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kern w:val="0"/>
                <w:sz w:val="18"/>
                <w:szCs w:val="18"/>
                <w:lang w:eastAsia="zh-CN"/>
              </w:rPr>
            </w:pPr>
            <w:r>
              <w:rPr>
                <w:rFonts w:hint="eastAsia" w:ascii="Times New Roman" w:hAnsi="Times New Roman"/>
                <w:kern w:val="0"/>
                <w:sz w:val="18"/>
                <w:szCs w:val="18"/>
                <w:lang w:eastAsia="zh-CN"/>
              </w:rPr>
              <w:t>符合</w:t>
            </w:r>
          </w:p>
        </w:tc>
        <w:tc>
          <w:tcPr>
            <w:tcW w:w="958"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45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425"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kern w:val="0"/>
                <w:sz w:val="18"/>
                <w:szCs w:val="18"/>
                <w:lang w:eastAsia="zh-CN"/>
              </w:rPr>
            </w:pPr>
            <w:r>
              <w:rPr>
                <w:rFonts w:hint="eastAsia" w:ascii="Times New Roman" w:hAnsi="Times New Roman"/>
                <w:kern w:val="0"/>
                <w:sz w:val="18"/>
                <w:szCs w:val="18"/>
                <w:lang w:val="en-US" w:eastAsia="zh-CN"/>
              </w:rPr>
              <w:t>6</w:t>
            </w:r>
          </w:p>
        </w:tc>
        <w:tc>
          <w:tcPr>
            <w:tcW w:w="134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指标2：</w:t>
            </w:r>
          </w:p>
        </w:tc>
        <w:tc>
          <w:tcPr>
            <w:tcW w:w="113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58"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45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4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34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项目按期安成率</w:t>
            </w:r>
          </w:p>
        </w:tc>
        <w:tc>
          <w:tcPr>
            <w:tcW w:w="113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95%</w:t>
            </w:r>
          </w:p>
        </w:tc>
        <w:tc>
          <w:tcPr>
            <w:tcW w:w="958"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45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425"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kern w:val="0"/>
                <w:sz w:val="18"/>
                <w:szCs w:val="18"/>
                <w:lang w:eastAsia="zh-CN"/>
              </w:rPr>
            </w:pPr>
            <w:r>
              <w:rPr>
                <w:rFonts w:hint="eastAsia" w:ascii="Times New Roman" w:hAnsi="Times New Roman"/>
                <w:kern w:val="0"/>
                <w:sz w:val="18"/>
                <w:szCs w:val="18"/>
                <w:lang w:val="en-US" w:eastAsia="zh-CN"/>
              </w:rPr>
              <w:t>7</w:t>
            </w:r>
          </w:p>
        </w:tc>
        <w:tc>
          <w:tcPr>
            <w:tcW w:w="134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指标2：</w:t>
            </w:r>
          </w:p>
        </w:tc>
        <w:tc>
          <w:tcPr>
            <w:tcW w:w="113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58"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45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4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34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hint="eastAsia" w:ascii="Times New Roman" w:hAnsi="Times New Roman"/>
                <w:color w:val="000000"/>
                <w:kern w:val="0"/>
                <w:sz w:val="18"/>
                <w:szCs w:val="18"/>
              </w:rPr>
              <w:t>工程总成本（万元）</w:t>
            </w:r>
          </w:p>
        </w:tc>
        <w:tc>
          <w:tcPr>
            <w:tcW w:w="113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2132.6</w:t>
            </w:r>
          </w:p>
        </w:tc>
        <w:tc>
          <w:tcPr>
            <w:tcW w:w="958"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45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20</w:t>
            </w:r>
          </w:p>
        </w:tc>
        <w:tc>
          <w:tcPr>
            <w:tcW w:w="4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18</w:t>
            </w:r>
          </w:p>
        </w:tc>
        <w:tc>
          <w:tcPr>
            <w:tcW w:w="134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指标2：</w:t>
            </w:r>
          </w:p>
        </w:tc>
        <w:tc>
          <w:tcPr>
            <w:tcW w:w="113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58"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45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4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34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13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58"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45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4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34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(30分)</w:t>
            </w: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新增税收（万元）</w:t>
            </w:r>
          </w:p>
        </w:tc>
        <w:tc>
          <w:tcPr>
            <w:tcW w:w="113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200</w:t>
            </w:r>
          </w:p>
        </w:tc>
        <w:tc>
          <w:tcPr>
            <w:tcW w:w="958"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45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4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8</w:t>
            </w:r>
          </w:p>
        </w:tc>
        <w:tc>
          <w:tcPr>
            <w:tcW w:w="134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指标2：</w:t>
            </w:r>
          </w:p>
        </w:tc>
        <w:tc>
          <w:tcPr>
            <w:tcW w:w="113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58"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45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4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34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13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58"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45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4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34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hint="eastAsia" w:ascii="Times New Roman" w:hAnsi="Times New Roman"/>
                <w:color w:val="000000"/>
                <w:kern w:val="0"/>
                <w:sz w:val="18"/>
                <w:szCs w:val="18"/>
              </w:rPr>
              <w:t>增加就业岗位（个）</w:t>
            </w:r>
          </w:p>
        </w:tc>
        <w:tc>
          <w:tcPr>
            <w:tcW w:w="113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100</w:t>
            </w:r>
          </w:p>
        </w:tc>
        <w:tc>
          <w:tcPr>
            <w:tcW w:w="958"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45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4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134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指标2：</w:t>
            </w:r>
          </w:p>
        </w:tc>
        <w:tc>
          <w:tcPr>
            <w:tcW w:w="113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58"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45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4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34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改善生态环</w:t>
            </w:r>
          </w:p>
        </w:tc>
        <w:tc>
          <w:tcPr>
            <w:tcW w:w="113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很大提高</w:t>
            </w:r>
          </w:p>
        </w:tc>
        <w:tc>
          <w:tcPr>
            <w:tcW w:w="958"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45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5</w:t>
            </w:r>
          </w:p>
        </w:tc>
        <w:tc>
          <w:tcPr>
            <w:tcW w:w="4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5</w:t>
            </w:r>
          </w:p>
        </w:tc>
        <w:tc>
          <w:tcPr>
            <w:tcW w:w="134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指标2：</w:t>
            </w:r>
          </w:p>
        </w:tc>
        <w:tc>
          <w:tcPr>
            <w:tcW w:w="113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58"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45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4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34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hint="eastAsia" w:ascii="Times New Roman" w:hAnsi="Times New Roman"/>
                <w:color w:val="000000"/>
                <w:kern w:val="0"/>
                <w:sz w:val="18"/>
                <w:szCs w:val="18"/>
              </w:rPr>
              <w:t>排除地质灾害隐患</w:t>
            </w:r>
          </w:p>
        </w:tc>
        <w:tc>
          <w:tcPr>
            <w:tcW w:w="113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完全彻底</w:t>
            </w:r>
          </w:p>
        </w:tc>
        <w:tc>
          <w:tcPr>
            <w:tcW w:w="958"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45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3</w:t>
            </w:r>
          </w:p>
        </w:tc>
        <w:tc>
          <w:tcPr>
            <w:tcW w:w="4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3</w:t>
            </w:r>
          </w:p>
        </w:tc>
        <w:tc>
          <w:tcPr>
            <w:tcW w:w="134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hint="eastAsia" w:ascii="Times New Roman" w:hAnsi="Times New Roman"/>
                <w:color w:val="000000"/>
                <w:kern w:val="0"/>
                <w:sz w:val="18"/>
                <w:szCs w:val="18"/>
              </w:rPr>
              <w:t>改善干部职工生活条件</w:t>
            </w:r>
          </w:p>
        </w:tc>
        <w:tc>
          <w:tcPr>
            <w:tcW w:w="113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很大提高</w:t>
            </w:r>
          </w:p>
        </w:tc>
        <w:tc>
          <w:tcPr>
            <w:tcW w:w="958"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45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2</w:t>
            </w:r>
          </w:p>
        </w:tc>
        <w:tc>
          <w:tcPr>
            <w:tcW w:w="4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2</w:t>
            </w:r>
          </w:p>
        </w:tc>
        <w:tc>
          <w:tcPr>
            <w:tcW w:w="134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13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58"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45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4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34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298"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restart"/>
            <w:tcBorders>
              <w:top w:val="single" w:color="auto" w:sz="4" w:space="0"/>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(10分)</w:t>
            </w: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干部职工满意度</w:t>
            </w:r>
          </w:p>
        </w:tc>
        <w:tc>
          <w:tcPr>
            <w:tcW w:w="113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100%</w:t>
            </w:r>
          </w:p>
        </w:tc>
        <w:tc>
          <w:tcPr>
            <w:tcW w:w="95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454"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42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10000</w:t>
            </w:r>
          </w:p>
        </w:tc>
        <w:tc>
          <w:tcPr>
            <w:tcW w:w="134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指标2：</w:t>
            </w:r>
          </w:p>
        </w:tc>
        <w:tc>
          <w:tcPr>
            <w:tcW w:w="113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58"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45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4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34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6917" w:type="dxa"/>
            <w:gridSpan w:val="9"/>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45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425"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olor w:val="000000"/>
                <w:kern w:val="0"/>
                <w:sz w:val="18"/>
                <w:szCs w:val="18"/>
                <w:lang w:val="en-US" w:eastAsia="zh-CN"/>
              </w:rPr>
            </w:pPr>
            <w:r>
              <w:rPr>
                <w:rFonts w:hint="eastAsia" w:ascii="Times New Roman" w:hAnsi="Times New Roman"/>
                <w:color w:val="000000"/>
                <w:kern w:val="0"/>
                <w:sz w:val="18"/>
                <w:szCs w:val="18"/>
                <w:lang w:val="en-US" w:eastAsia="zh-CN"/>
              </w:rPr>
              <w:t>85</w:t>
            </w:r>
          </w:p>
        </w:tc>
        <w:tc>
          <w:tcPr>
            <w:tcW w:w="134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bl>
    <w:p>
      <w:pPr>
        <w:spacing w:line="560" w:lineRule="exact"/>
        <w:ind w:firstLine="180" w:firstLineChars="100"/>
        <w:rPr>
          <w:rFonts w:ascii="Times New Roman" w:hAnsi="Times New Roman" w:eastAsia="仿宋_GB2312"/>
          <w:sz w:val="20"/>
          <w:szCs w:val="20"/>
        </w:rPr>
        <w:sectPr>
          <w:pgSz w:w="11906" w:h="16838"/>
          <w:pgMar w:top="1701" w:right="1531" w:bottom="1928" w:left="1531" w:header="737" w:footer="851" w:gutter="0"/>
          <w:cols w:space="720" w:num="1"/>
          <w:docGrid w:type="lines" w:linePitch="408" w:charSpace="0"/>
        </w:sectPr>
      </w:pPr>
      <w:r>
        <w:rPr>
          <w:rFonts w:ascii="Times New Roman" w:hAnsi="Times New Roman"/>
          <w:color w:val="000000"/>
          <w:kern w:val="0"/>
          <w:sz w:val="18"/>
          <w:szCs w:val="18"/>
        </w:rPr>
        <w:br w:type="page"/>
      </w:r>
    </w:p>
    <w:p>
      <w:pPr>
        <w:spacing w:line="560" w:lineRule="exact"/>
        <w:rPr>
          <w:rFonts w:ascii="Times New Roman" w:hAnsi="Times New Roman" w:eastAsia="仿宋_GB2312"/>
          <w:bCs/>
          <w:color w:val="000000"/>
          <w:sz w:val="32"/>
          <w:szCs w:val="32"/>
        </w:rPr>
      </w:pPr>
      <w:r>
        <w:rPr>
          <w:rFonts w:ascii="Times New Roman" w:hAnsi="Times New Roman" w:eastAsia="仿宋_GB2312"/>
          <w:bCs/>
          <w:color w:val="000000"/>
          <w:sz w:val="32"/>
          <w:szCs w:val="32"/>
        </w:rPr>
        <w:t>附件</w:t>
      </w:r>
      <w:r>
        <w:rPr>
          <w:rFonts w:hint="eastAsia" w:ascii="Times New Roman" w:hAnsi="Times New Roman" w:eastAsia="仿宋_GB2312"/>
          <w:bCs/>
          <w:color w:val="000000"/>
          <w:sz w:val="32"/>
          <w:szCs w:val="32"/>
        </w:rPr>
        <w:t>2</w:t>
      </w:r>
    </w:p>
    <w:p>
      <w:pPr>
        <w:pStyle w:val="2"/>
        <w:spacing w:before="0" w:after="0" w:line="240" w:lineRule="auto"/>
        <w:jc w:val="center"/>
        <w:rPr>
          <w:rFonts w:ascii="Times New Roman" w:hAnsi="Times New Roman" w:eastAsia="宋体"/>
          <w:bCs/>
          <w:color w:val="000000"/>
          <w:sz w:val="36"/>
          <w:szCs w:val="28"/>
        </w:rPr>
      </w:pPr>
      <w:r>
        <w:rPr>
          <w:rFonts w:ascii="Times New Roman" w:hAnsi="Times New Roman" w:eastAsia="宋体"/>
          <w:bCs/>
          <w:color w:val="000000"/>
          <w:sz w:val="36"/>
          <w:szCs w:val="28"/>
        </w:rPr>
        <w:t>项目支出绩效评价共性指标表</w:t>
      </w:r>
    </w:p>
    <w:tbl>
      <w:tblPr>
        <w:tblStyle w:val="6"/>
        <w:tblW w:w="1258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682"/>
        <w:gridCol w:w="709"/>
        <w:gridCol w:w="1134"/>
        <w:gridCol w:w="567"/>
        <w:gridCol w:w="2835"/>
        <w:gridCol w:w="6096"/>
        <w:gridCol w:w="5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682" w:type="dxa"/>
            <w:shd w:val="clear" w:color="auto" w:fill="FFFFFF"/>
            <w:vAlign w:val="center"/>
          </w:tcPr>
          <w:p>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一级指标</w:t>
            </w:r>
          </w:p>
        </w:tc>
        <w:tc>
          <w:tcPr>
            <w:tcW w:w="709" w:type="dxa"/>
            <w:shd w:val="clear" w:color="auto" w:fill="FFFFFF"/>
            <w:vAlign w:val="center"/>
          </w:tcPr>
          <w:p>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二级指标</w:t>
            </w:r>
          </w:p>
        </w:tc>
        <w:tc>
          <w:tcPr>
            <w:tcW w:w="1134" w:type="dxa"/>
            <w:shd w:val="clear" w:color="auto" w:fill="FFFFFF"/>
            <w:vAlign w:val="center"/>
          </w:tcPr>
          <w:p>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三级指标</w:t>
            </w:r>
          </w:p>
        </w:tc>
        <w:tc>
          <w:tcPr>
            <w:tcW w:w="567" w:type="dxa"/>
            <w:shd w:val="clear" w:color="auto" w:fill="FFFFFF"/>
          </w:tcPr>
          <w:p>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分</w:t>
            </w:r>
          </w:p>
          <w:p>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值</w:t>
            </w:r>
          </w:p>
        </w:tc>
        <w:tc>
          <w:tcPr>
            <w:tcW w:w="2835" w:type="dxa"/>
            <w:shd w:val="clear" w:color="auto" w:fill="FFFFFF"/>
            <w:vAlign w:val="center"/>
          </w:tcPr>
          <w:p>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指标解释</w:t>
            </w:r>
          </w:p>
        </w:tc>
        <w:tc>
          <w:tcPr>
            <w:tcW w:w="6096" w:type="dxa"/>
            <w:shd w:val="clear" w:color="auto" w:fill="FFFFFF"/>
            <w:vAlign w:val="center"/>
          </w:tcPr>
          <w:p>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指标说明</w:t>
            </w:r>
          </w:p>
        </w:tc>
        <w:tc>
          <w:tcPr>
            <w:tcW w:w="566" w:type="dxa"/>
            <w:shd w:val="clear" w:color="auto" w:fill="FFFFFF"/>
            <w:vAlign w:val="center"/>
          </w:tcPr>
          <w:p>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682" w:type="dxa"/>
            <w:vMerge w:val="restart"/>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决策　</w:t>
            </w:r>
          </w:p>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w:t>
            </w:r>
          </w:p>
          <w:p>
            <w:pPr>
              <w:spacing w:line="0" w:lineRule="atLeast"/>
              <w:jc w:val="center"/>
              <w:rPr>
                <w:rFonts w:ascii="Times New Roman" w:hAnsi="Times New Roman"/>
                <w:color w:val="000000"/>
                <w:kern w:val="0"/>
                <w:sz w:val="22"/>
              </w:rPr>
            </w:pPr>
            <w:r>
              <w:rPr>
                <w:rFonts w:ascii="Times New Roman" w:hAnsi="Times New Roman"/>
                <w:color w:val="000000"/>
                <w:kern w:val="0"/>
                <w:sz w:val="22"/>
              </w:rPr>
              <w:t>　</w:t>
            </w:r>
          </w:p>
        </w:tc>
        <w:tc>
          <w:tcPr>
            <w:tcW w:w="709" w:type="dxa"/>
            <w:vMerge w:val="restart"/>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项目立项　</w:t>
            </w: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立项依据</w:t>
            </w:r>
          </w:p>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充分性</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项目立项是否符合法律法规、相关政策、发展规划以及部门职责，用以反映和考核项目立项依据情况。</w:t>
            </w:r>
          </w:p>
        </w:tc>
        <w:tc>
          <w:tcPr>
            <w:tcW w:w="6096" w:type="dxa"/>
            <w:shd w:val="clear" w:color="auto" w:fill="FFFFFF"/>
            <w:vAlign w:val="center"/>
          </w:tcPr>
          <w:p>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ype="textWrapping"/>
            </w:r>
            <w:r>
              <w:rPr>
                <w:rFonts w:ascii="Times New Roman" w:hAnsi="Times New Roman"/>
                <w:color w:val="000000"/>
                <w:kern w:val="0"/>
                <w:sz w:val="22"/>
              </w:rPr>
              <w:t>①项目立项是否符合国家法律法规、国民经济发展规划和相关政策；</w:t>
            </w:r>
            <w:r>
              <w:rPr>
                <w:rFonts w:ascii="Times New Roman" w:hAnsi="Times New Roman"/>
                <w:color w:val="000000"/>
                <w:kern w:val="0"/>
                <w:sz w:val="22"/>
              </w:rPr>
              <w:br w:type="textWrapping"/>
            </w:r>
            <w:r>
              <w:rPr>
                <w:rFonts w:ascii="Times New Roman" w:hAnsi="Times New Roman"/>
                <w:color w:val="000000"/>
                <w:kern w:val="0"/>
                <w:sz w:val="22"/>
              </w:rPr>
              <w:t>②项目立项是否符合行业发展规划和政策要求；</w:t>
            </w:r>
            <w:r>
              <w:rPr>
                <w:rFonts w:ascii="Times New Roman" w:hAnsi="Times New Roman"/>
                <w:color w:val="000000"/>
                <w:kern w:val="0"/>
                <w:sz w:val="22"/>
              </w:rPr>
              <w:br w:type="textWrapping"/>
            </w:r>
            <w:r>
              <w:rPr>
                <w:rFonts w:ascii="Times New Roman" w:hAnsi="Times New Roman"/>
                <w:color w:val="000000"/>
                <w:kern w:val="0"/>
                <w:sz w:val="22"/>
              </w:rPr>
              <w:t>③项目立项是否与部门职责范围相符，属于部门履职所需；</w:t>
            </w:r>
            <w:r>
              <w:rPr>
                <w:rFonts w:ascii="Times New Roman" w:hAnsi="Times New Roman"/>
                <w:color w:val="000000"/>
                <w:kern w:val="0"/>
                <w:sz w:val="22"/>
              </w:rPr>
              <w:br w:type="textWrapping"/>
            </w:r>
            <w:r>
              <w:rPr>
                <w:rFonts w:ascii="Times New Roman" w:hAnsi="Times New Roman"/>
                <w:color w:val="000000"/>
                <w:kern w:val="0"/>
                <w:sz w:val="22"/>
              </w:rPr>
              <w:t>④项目是否属于公共财政支持范围，是否符合中央、地方事权支出责任划分原则；</w:t>
            </w:r>
            <w:r>
              <w:rPr>
                <w:rFonts w:ascii="Times New Roman" w:hAnsi="Times New Roman"/>
                <w:color w:val="000000"/>
                <w:kern w:val="0"/>
                <w:sz w:val="22"/>
              </w:rPr>
              <w:br w:type="textWrapping"/>
            </w:r>
            <w:r>
              <w:rPr>
                <w:rFonts w:ascii="Times New Roman" w:hAnsi="Times New Roman"/>
                <w:color w:val="000000"/>
                <w:kern w:val="0"/>
                <w:sz w:val="22"/>
              </w:rPr>
              <w:t>⑤项目是否与相关部门同类项目或部门内部相关项目重复。</w:t>
            </w:r>
          </w:p>
        </w:tc>
        <w:tc>
          <w:tcPr>
            <w:tcW w:w="566" w:type="dxa"/>
            <w:shd w:val="clear" w:color="auto" w:fill="FFFFFF"/>
            <w:vAlign w:val="center"/>
          </w:tcPr>
          <w:p>
            <w:pPr>
              <w:widowControl/>
              <w:spacing w:line="0" w:lineRule="atLeast"/>
              <w:jc w:val="center"/>
              <w:rPr>
                <w:rFonts w:ascii="Times New Roman" w:hAnsi="Times New Roman"/>
                <w:color w:val="000000"/>
                <w:kern w:val="0"/>
                <w:sz w:val="22"/>
              </w:rPr>
            </w:pPr>
            <w:r>
              <w:rPr>
                <w:rFonts w:hint="eastAsia" w:ascii="Times New Roman" w:hAnsi="Times New Roman"/>
                <w:color w:val="000000"/>
                <w:kern w:val="0"/>
                <w:sz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10"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kern w:val="0"/>
                <w:sz w:val="22"/>
              </w:rPr>
            </w:pPr>
          </w:p>
        </w:tc>
        <w:tc>
          <w:tcPr>
            <w:tcW w:w="709" w:type="dxa"/>
            <w:vMerge w:val="continue"/>
            <w:shd w:val="clear" w:color="auto" w:fill="FFFFFF"/>
            <w:vAlign w:val="center"/>
          </w:tcPr>
          <w:p>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立项程序</w:t>
            </w:r>
          </w:p>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规范性</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项目申请、设立过程是否符合相关要求，用以反映和考核项目立项的规范情况。</w:t>
            </w:r>
          </w:p>
        </w:tc>
        <w:tc>
          <w:tcPr>
            <w:tcW w:w="6096" w:type="dxa"/>
            <w:shd w:val="clear" w:color="auto" w:fill="FFFFFF"/>
            <w:vAlign w:val="center"/>
          </w:tcPr>
          <w:p>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ype="textWrapping"/>
            </w:r>
            <w:r>
              <w:rPr>
                <w:rFonts w:ascii="Times New Roman" w:hAnsi="Times New Roman"/>
                <w:color w:val="000000"/>
                <w:kern w:val="0"/>
                <w:sz w:val="22"/>
              </w:rPr>
              <w:t>①项目是否按照规定的程序申请设立；</w:t>
            </w:r>
            <w:r>
              <w:rPr>
                <w:rFonts w:ascii="Times New Roman" w:hAnsi="Times New Roman"/>
                <w:color w:val="000000"/>
                <w:kern w:val="0"/>
                <w:sz w:val="22"/>
              </w:rPr>
              <w:br w:type="textWrapping"/>
            </w:r>
            <w:r>
              <w:rPr>
                <w:rFonts w:ascii="Times New Roman" w:hAnsi="Times New Roman"/>
                <w:color w:val="000000"/>
                <w:kern w:val="0"/>
                <w:sz w:val="22"/>
              </w:rPr>
              <w:t>②审批文件、材料是否符合相关要求；</w:t>
            </w:r>
            <w:r>
              <w:rPr>
                <w:rFonts w:ascii="Times New Roman" w:hAnsi="Times New Roman"/>
                <w:color w:val="000000"/>
                <w:kern w:val="0"/>
                <w:sz w:val="22"/>
              </w:rPr>
              <w:br w:type="textWrapping"/>
            </w:r>
            <w:r>
              <w:rPr>
                <w:rFonts w:ascii="Times New Roman" w:hAnsi="Times New Roman"/>
                <w:color w:val="000000"/>
                <w:kern w:val="0"/>
                <w:sz w:val="22"/>
              </w:rPr>
              <w:t>③事前是否已经过必要的可行性研究、专家论证、风险评估、绩效评估、集体决策。</w:t>
            </w:r>
          </w:p>
        </w:tc>
        <w:tc>
          <w:tcPr>
            <w:tcW w:w="566" w:type="dxa"/>
            <w:shd w:val="clear" w:color="auto" w:fill="FFFFFF"/>
            <w:vAlign w:val="center"/>
          </w:tcPr>
          <w:p>
            <w:pPr>
              <w:widowControl/>
              <w:spacing w:line="0" w:lineRule="atLeast"/>
              <w:jc w:val="center"/>
              <w:rPr>
                <w:rFonts w:ascii="Times New Roman" w:hAnsi="Times New Roman"/>
                <w:color w:val="000000"/>
                <w:kern w:val="0"/>
                <w:sz w:val="22"/>
              </w:rPr>
            </w:pPr>
            <w:r>
              <w:rPr>
                <w:rFonts w:hint="eastAsia" w:ascii="Times New Roman" w:hAnsi="Times New Roman"/>
                <w:color w:val="000000"/>
                <w:kern w:val="0"/>
                <w:sz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29"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kern w:val="0"/>
                <w:sz w:val="22"/>
              </w:rPr>
            </w:pPr>
          </w:p>
        </w:tc>
        <w:tc>
          <w:tcPr>
            <w:tcW w:w="709"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绩效目标　</w:t>
            </w: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绩效目标</w:t>
            </w:r>
          </w:p>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合理性</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项目所设定的绩效目标是否依据充分，是否符合客观实际，用以反映和考核项目绩效目标与项目实施的相符情况。</w:t>
            </w:r>
          </w:p>
        </w:tc>
        <w:tc>
          <w:tcPr>
            <w:tcW w:w="6096" w:type="dxa"/>
            <w:shd w:val="clear" w:color="auto" w:fill="FFFFFF"/>
            <w:vAlign w:val="center"/>
          </w:tcPr>
          <w:p>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ype="textWrapping"/>
            </w:r>
            <w:r>
              <w:rPr>
                <w:rFonts w:ascii="Times New Roman" w:hAnsi="Times New Roman"/>
                <w:color w:val="000000"/>
                <w:kern w:val="0"/>
                <w:sz w:val="22"/>
              </w:rPr>
              <w:t>（如未设定预算绩效目标，也可考核其他工作任务目标）</w:t>
            </w:r>
            <w:r>
              <w:rPr>
                <w:rFonts w:ascii="Times New Roman" w:hAnsi="Times New Roman"/>
                <w:color w:val="000000"/>
                <w:kern w:val="0"/>
                <w:sz w:val="22"/>
              </w:rPr>
              <w:br w:type="textWrapping"/>
            </w:r>
            <w:r>
              <w:rPr>
                <w:rFonts w:ascii="Times New Roman" w:hAnsi="Times New Roman"/>
                <w:color w:val="000000"/>
                <w:kern w:val="0"/>
                <w:sz w:val="22"/>
              </w:rPr>
              <w:t>①项目是否有绩效目标；</w:t>
            </w:r>
            <w:r>
              <w:rPr>
                <w:rFonts w:ascii="Times New Roman" w:hAnsi="Times New Roman"/>
                <w:color w:val="000000"/>
                <w:kern w:val="0"/>
                <w:sz w:val="22"/>
              </w:rPr>
              <w:br w:type="textWrapping"/>
            </w:r>
            <w:r>
              <w:rPr>
                <w:rFonts w:ascii="Times New Roman" w:hAnsi="Times New Roman"/>
                <w:color w:val="000000"/>
                <w:kern w:val="0"/>
                <w:sz w:val="22"/>
              </w:rPr>
              <w:t>②项目绩效目标与实际工作内容是否具有相关性；</w:t>
            </w:r>
            <w:r>
              <w:rPr>
                <w:rFonts w:ascii="Times New Roman" w:hAnsi="Times New Roman"/>
                <w:color w:val="000000"/>
                <w:kern w:val="0"/>
                <w:sz w:val="22"/>
              </w:rPr>
              <w:br w:type="textWrapping"/>
            </w:r>
            <w:r>
              <w:rPr>
                <w:rFonts w:ascii="Times New Roman" w:hAnsi="Times New Roman"/>
                <w:color w:val="000000"/>
                <w:kern w:val="0"/>
                <w:sz w:val="22"/>
              </w:rPr>
              <w:t>③项目预期产出效益和效果是否符合正常的业绩水平；</w:t>
            </w:r>
          </w:p>
          <w:p>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④是否与预算确定的项目投资额或资金量相匹配。</w:t>
            </w:r>
          </w:p>
        </w:tc>
        <w:tc>
          <w:tcPr>
            <w:tcW w:w="566" w:type="dxa"/>
            <w:shd w:val="clear" w:color="auto" w:fill="FFFFFF"/>
            <w:vAlign w:val="center"/>
          </w:tcPr>
          <w:p>
            <w:pPr>
              <w:widowControl/>
              <w:spacing w:line="0" w:lineRule="atLeast"/>
              <w:jc w:val="center"/>
              <w:rPr>
                <w:rFonts w:hint="eastAsia" w:ascii="Times New Roman" w:hAnsi="Times New Roman" w:eastAsia="宋体"/>
                <w:color w:val="000000"/>
                <w:kern w:val="0"/>
                <w:sz w:val="22"/>
                <w:lang w:eastAsia="zh-CN"/>
              </w:rPr>
            </w:pPr>
            <w:r>
              <w:rPr>
                <w:rFonts w:hint="eastAsia" w:ascii="Times New Roman" w:hAnsi="Times New Roman"/>
                <w:color w:val="000000"/>
                <w:kern w:val="0"/>
                <w:sz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682" w:type="dxa"/>
            <w:vMerge w:val="restart"/>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决策　</w:t>
            </w:r>
          </w:p>
        </w:tc>
        <w:tc>
          <w:tcPr>
            <w:tcW w:w="709"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绩效目标</w:t>
            </w: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绩效指标</w:t>
            </w:r>
          </w:p>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明确性</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依据绩效目标设定的绩效指标是否清晰、细化、可衡量等，用以反映和考核项目绩效目标的明细化情况。</w:t>
            </w:r>
          </w:p>
        </w:tc>
        <w:tc>
          <w:tcPr>
            <w:tcW w:w="6096"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ype="textWrapping"/>
            </w:r>
            <w:r>
              <w:rPr>
                <w:rFonts w:ascii="Times New Roman" w:hAnsi="Times New Roman"/>
                <w:color w:val="000000"/>
                <w:kern w:val="0"/>
                <w:sz w:val="22"/>
              </w:rPr>
              <w:t>①是否将项目绩效目标细化分解为具体的绩效指标；</w:t>
            </w:r>
            <w:r>
              <w:rPr>
                <w:rFonts w:ascii="Times New Roman" w:hAnsi="Times New Roman"/>
                <w:color w:val="000000"/>
                <w:kern w:val="0"/>
                <w:sz w:val="22"/>
              </w:rPr>
              <w:br w:type="textWrapping"/>
            </w:r>
            <w:r>
              <w:rPr>
                <w:rFonts w:ascii="Times New Roman" w:hAnsi="Times New Roman"/>
                <w:color w:val="000000"/>
                <w:kern w:val="0"/>
                <w:sz w:val="22"/>
              </w:rPr>
              <w:t>②是否通过清晰、可衡量的指标值予以体现；</w:t>
            </w:r>
            <w:r>
              <w:rPr>
                <w:rFonts w:ascii="Times New Roman" w:hAnsi="Times New Roman"/>
                <w:color w:val="000000"/>
                <w:kern w:val="0"/>
                <w:sz w:val="22"/>
              </w:rPr>
              <w:br w:type="textWrapping"/>
            </w:r>
            <w:r>
              <w:rPr>
                <w:rFonts w:ascii="Times New Roman" w:hAnsi="Times New Roman"/>
                <w:color w:val="000000"/>
                <w:kern w:val="0"/>
                <w:sz w:val="22"/>
              </w:rPr>
              <w:t>③是否与项目目标任务数或计划数相对应。</w:t>
            </w:r>
            <w:r>
              <w:rPr>
                <w:rFonts w:ascii="Times New Roman" w:hAnsi="Times New Roman"/>
                <w:color w:val="000000"/>
                <w:kern w:val="0"/>
                <w:sz w:val="22"/>
              </w:rPr>
              <w:br w:type="textWrapping"/>
            </w:r>
          </w:p>
        </w:tc>
        <w:tc>
          <w:tcPr>
            <w:tcW w:w="566" w:type="dxa"/>
            <w:shd w:val="clear" w:color="auto" w:fill="FFFFFF"/>
            <w:vAlign w:val="center"/>
          </w:tcPr>
          <w:p>
            <w:pPr>
              <w:widowControl/>
              <w:spacing w:line="0" w:lineRule="atLeast"/>
              <w:jc w:val="center"/>
              <w:rPr>
                <w:rFonts w:hint="eastAsia" w:ascii="Times New Roman" w:hAnsi="Times New Roman" w:eastAsia="宋体"/>
                <w:color w:val="000000"/>
                <w:kern w:val="0"/>
                <w:sz w:val="22"/>
                <w:lang w:eastAsia="zh-CN"/>
              </w:rPr>
            </w:pPr>
            <w:r>
              <w:rPr>
                <w:rFonts w:hint="eastAsia" w:ascii="Times New Roman" w:hAnsi="Times New Roman"/>
                <w:color w:val="000000"/>
                <w:kern w:val="0"/>
                <w:sz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kern w:val="0"/>
                <w:sz w:val="22"/>
              </w:rPr>
            </w:pPr>
          </w:p>
        </w:tc>
        <w:tc>
          <w:tcPr>
            <w:tcW w:w="709" w:type="dxa"/>
            <w:vMerge w:val="restart"/>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资金投入</w:t>
            </w:r>
          </w:p>
          <w:p>
            <w:pPr>
              <w:spacing w:line="0" w:lineRule="atLeast"/>
              <w:jc w:val="center"/>
              <w:rPr>
                <w:rFonts w:ascii="Times New Roman" w:hAnsi="Times New Roman"/>
                <w:color w:val="000000"/>
                <w:kern w:val="0"/>
                <w:sz w:val="22"/>
              </w:rPr>
            </w:pPr>
            <w:r>
              <w:rPr>
                <w:rFonts w:ascii="Times New Roman" w:hAnsi="Times New Roman"/>
                <w:color w:val="000000"/>
                <w:kern w:val="0"/>
                <w:sz w:val="22"/>
              </w:rPr>
              <w:t>　</w:t>
            </w: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预算编制</w:t>
            </w:r>
          </w:p>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科学性</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ype="textWrapping"/>
            </w:r>
            <w:r>
              <w:rPr>
                <w:rFonts w:ascii="Times New Roman" w:hAnsi="Times New Roman"/>
                <w:color w:val="000000"/>
                <w:kern w:val="0"/>
                <w:sz w:val="22"/>
              </w:rPr>
              <w:t>①预算编制是否经过科学论证；</w:t>
            </w:r>
            <w:r>
              <w:rPr>
                <w:rFonts w:ascii="Times New Roman" w:hAnsi="Times New Roman"/>
                <w:color w:val="000000"/>
                <w:kern w:val="0"/>
                <w:sz w:val="22"/>
              </w:rPr>
              <w:br w:type="textWrapping"/>
            </w:r>
            <w:r>
              <w:rPr>
                <w:rFonts w:ascii="Times New Roman" w:hAnsi="Times New Roman"/>
                <w:color w:val="000000"/>
                <w:kern w:val="0"/>
                <w:sz w:val="22"/>
              </w:rPr>
              <w:t>②预算内容与项目内容是否匹配；</w:t>
            </w:r>
            <w:r>
              <w:rPr>
                <w:rFonts w:ascii="Times New Roman" w:hAnsi="Times New Roman"/>
                <w:color w:val="000000"/>
                <w:kern w:val="0"/>
                <w:sz w:val="22"/>
              </w:rPr>
              <w:br w:type="textWrapping"/>
            </w:r>
            <w:r>
              <w:rPr>
                <w:rFonts w:ascii="Times New Roman" w:hAnsi="Times New Roman"/>
                <w:color w:val="000000"/>
                <w:kern w:val="0"/>
                <w:sz w:val="22"/>
              </w:rPr>
              <w:t>③预算额度测算依据是否充分，是否按照标准编制；</w:t>
            </w:r>
            <w:r>
              <w:rPr>
                <w:rFonts w:ascii="Times New Roman" w:hAnsi="Times New Roman"/>
                <w:color w:val="000000"/>
                <w:kern w:val="0"/>
                <w:sz w:val="22"/>
              </w:rPr>
              <w:br w:type="textWrapping"/>
            </w:r>
            <w:r>
              <w:rPr>
                <w:rFonts w:ascii="Times New Roman" w:hAnsi="Times New Roman"/>
                <w:color w:val="000000"/>
                <w:kern w:val="0"/>
                <w:sz w:val="22"/>
              </w:rPr>
              <w:t>④预算确定的项目投资额或资金量是否与工作任务相匹配。</w:t>
            </w:r>
          </w:p>
        </w:tc>
        <w:tc>
          <w:tcPr>
            <w:tcW w:w="566" w:type="dxa"/>
            <w:shd w:val="clear" w:color="auto" w:fill="FFFFFF"/>
            <w:vAlign w:val="center"/>
          </w:tcPr>
          <w:p>
            <w:pPr>
              <w:widowControl/>
              <w:spacing w:line="0" w:lineRule="atLeast"/>
              <w:jc w:val="center"/>
              <w:rPr>
                <w:rFonts w:hint="eastAsia" w:ascii="Times New Roman" w:hAnsi="Times New Roman" w:eastAsia="宋体"/>
                <w:color w:val="000000"/>
                <w:kern w:val="0"/>
                <w:sz w:val="22"/>
                <w:lang w:eastAsia="zh-CN"/>
              </w:rPr>
            </w:pPr>
            <w:r>
              <w:rPr>
                <w:rFonts w:hint="eastAsia" w:ascii="Times New Roman" w:hAnsi="Times New Roman"/>
                <w:color w:val="000000"/>
                <w:kern w:val="0"/>
                <w:sz w:val="22"/>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682" w:type="dxa"/>
            <w:vMerge w:val="continue"/>
            <w:shd w:val="clear" w:color="auto" w:fill="FFFFFF"/>
            <w:vAlign w:val="center"/>
          </w:tcPr>
          <w:p>
            <w:pPr>
              <w:widowControl/>
              <w:spacing w:line="0" w:lineRule="atLeast"/>
              <w:jc w:val="center"/>
              <w:rPr>
                <w:rFonts w:ascii="Times New Roman" w:hAnsi="Times New Roman"/>
                <w:color w:val="000000"/>
                <w:kern w:val="0"/>
                <w:sz w:val="22"/>
              </w:rPr>
            </w:pPr>
          </w:p>
        </w:tc>
        <w:tc>
          <w:tcPr>
            <w:tcW w:w="709" w:type="dxa"/>
            <w:vMerge w:val="continue"/>
            <w:shd w:val="clear" w:color="auto" w:fill="FFFFFF"/>
            <w:vAlign w:val="center"/>
          </w:tcPr>
          <w:p>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资金分配</w:t>
            </w:r>
          </w:p>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合理性</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ype="textWrapping"/>
            </w:r>
            <w:r>
              <w:rPr>
                <w:rFonts w:ascii="Times New Roman" w:hAnsi="Times New Roman"/>
                <w:color w:val="000000"/>
                <w:kern w:val="0"/>
                <w:sz w:val="22"/>
              </w:rPr>
              <w:t>①预算资金分配依据是否充分；</w:t>
            </w:r>
            <w:r>
              <w:rPr>
                <w:rFonts w:ascii="Times New Roman" w:hAnsi="Times New Roman"/>
                <w:color w:val="000000"/>
                <w:kern w:val="0"/>
                <w:sz w:val="22"/>
              </w:rPr>
              <w:br w:type="textWrapping"/>
            </w:r>
            <w:r>
              <w:rPr>
                <w:rFonts w:ascii="Times New Roman" w:hAnsi="Times New Roman"/>
                <w:color w:val="000000"/>
                <w:kern w:val="0"/>
                <w:sz w:val="22"/>
              </w:rPr>
              <w:t>②资金分配额度是否合理，与项目单位或地方实际是否相适应。</w:t>
            </w:r>
          </w:p>
        </w:tc>
        <w:tc>
          <w:tcPr>
            <w:tcW w:w="566" w:type="dxa"/>
            <w:shd w:val="clear" w:color="auto" w:fill="FFFFFF"/>
            <w:vAlign w:val="center"/>
          </w:tcPr>
          <w:p>
            <w:pPr>
              <w:widowControl/>
              <w:spacing w:line="0" w:lineRule="atLeast"/>
              <w:jc w:val="center"/>
              <w:rPr>
                <w:rFonts w:hint="eastAsia" w:ascii="Times New Roman" w:hAnsi="Times New Roman" w:eastAsia="宋体"/>
                <w:color w:val="000000"/>
                <w:kern w:val="0"/>
                <w:sz w:val="22"/>
                <w:lang w:eastAsia="zh-CN"/>
              </w:rPr>
            </w:pPr>
            <w:r>
              <w:rPr>
                <w:rFonts w:hint="eastAsia" w:ascii="Times New Roman" w:hAnsi="Times New Roman"/>
                <w:color w:val="000000"/>
                <w:kern w:val="0"/>
                <w:sz w:val="22"/>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682" w:type="dxa"/>
            <w:vMerge w:val="restart"/>
            <w:shd w:val="clear" w:color="auto" w:fill="FFFFFF"/>
            <w:vAlign w:val="center"/>
          </w:tcPr>
          <w:p>
            <w:pPr>
              <w:spacing w:line="0" w:lineRule="atLeast"/>
              <w:jc w:val="center"/>
              <w:rPr>
                <w:rFonts w:ascii="Times New Roman" w:hAnsi="Times New Roman"/>
                <w:color w:val="000000"/>
                <w:kern w:val="0"/>
                <w:sz w:val="22"/>
              </w:rPr>
            </w:pPr>
            <w:r>
              <w:rPr>
                <w:rFonts w:ascii="Times New Roman" w:hAnsi="Times New Roman"/>
                <w:color w:val="000000"/>
                <w:kern w:val="0"/>
                <w:sz w:val="22"/>
              </w:rPr>
              <w:t>过程</w:t>
            </w:r>
          </w:p>
        </w:tc>
        <w:tc>
          <w:tcPr>
            <w:tcW w:w="709" w:type="dxa"/>
            <w:vMerge w:val="restart"/>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资金管理</w:t>
            </w: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资金到位率</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实际到位资金与预算资金的比率，用以反映和考核资金落实情况对项目实施的总体保障程度。</w:t>
            </w:r>
          </w:p>
        </w:tc>
        <w:tc>
          <w:tcPr>
            <w:tcW w:w="6096"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资金到位率=（实际到位资金/预算资金）×100%。</w:t>
            </w:r>
          </w:p>
          <w:p>
            <w:pPr>
              <w:widowControl/>
              <w:spacing w:line="0" w:lineRule="atLeast"/>
              <w:rPr>
                <w:rFonts w:ascii="Times New Roman" w:hAnsi="Times New Roman"/>
                <w:color w:val="000000"/>
                <w:kern w:val="0"/>
                <w:sz w:val="22"/>
              </w:rPr>
            </w:pPr>
            <w:r>
              <w:rPr>
                <w:rFonts w:ascii="Times New Roman" w:hAnsi="Times New Roman"/>
                <w:color w:val="000000"/>
                <w:kern w:val="0"/>
                <w:sz w:val="22"/>
              </w:rPr>
              <w:t>实际到位资金：一定时期（本年度或项目期）内落实到具体项目的资金。</w:t>
            </w:r>
          </w:p>
          <w:p>
            <w:pPr>
              <w:widowControl/>
              <w:spacing w:line="0" w:lineRule="atLeast"/>
              <w:rPr>
                <w:rFonts w:ascii="Times New Roman" w:hAnsi="Times New Roman"/>
                <w:color w:val="000000"/>
                <w:kern w:val="0"/>
                <w:sz w:val="22"/>
              </w:rPr>
            </w:pPr>
            <w:r>
              <w:rPr>
                <w:rFonts w:ascii="Times New Roman" w:hAnsi="Times New Roman"/>
                <w:color w:val="000000"/>
                <w:kern w:val="0"/>
                <w:sz w:val="22"/>
              </w:rPr>
              <w:t>预算资金：一定时期（本年度或项目期）内预算安排到具体项目的资金。</w:t>
            </w:r>
          </w:p>
        </w:tc>
        <w:tc>
          <w:tcPr>
            <w:tcW w:w="566" w:type="dxa"/>
            <w:shd w:val="clear" w:color="auto" w:fill="FFFFFF"/>
            <w:vAlign w:val="center"/>
          </w:tcPr>
          <w:p>
            <w:pPr>
              <w:widowControl/>
              <w:spacing w:line="0" w:lineRule="atLeast"/>
              <w:jc w:val="center"/>
              <w:rPr>
                <w:rFonts w:hint="eastAsia" w:ascii="Times New Roman" w:hAnsi="Times New Roman" w:eastAsia="宋体"/>
                <w:color w:val="000000"/>
                <w:kern w:val="0"/>
                <w:sz w:val="22"/>
                <w:lang w:val="en-US" w:eastAsia="zh-CN"/>
              </w:rPr>
            </w:pPr>
            <w:r>
              <w:rPr>
                <w:rFonts w:hint="eastAsia" w:ascii="Times New Roman" w:hAnsi="Times New Roman"/>
                <w:color w:val="000000"/>
                <w:kern w:val="0"/>
                <w:sz w:val="22"/>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kern w:val="0"/>
                <w:sz w:val="22"/>
              </w:rPr>
            </w:pPr>
          </w:p>
        </w:tc>
        <w:tc>
          <w:tcPr>
            <w:tcW w:w="709" w:type="dxa"/>
            <w:vMerge w:val="continue"/>
            <w:shd w:val="clear" w:color="auto" w:fill="FFFFFF"/>
            <w:vAlign w:val="center"/>
          </w:tcPr>
          <w:p>
            <w:pPr>
              <w:spacing w:line="0" w:lineRule="atLeast"/>
              <w:jc w:val="center"/>
              <w:rPr>
                <w:rFonts w:ascii="Times New Roman" w:hAnsi="Times New Roman"/>
                <w:color w:val="000000"/>
                <w:kern w:val="0"/>
                <w:sz w:val="22"/>
              </w:rPr>
            </w:pP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预算执行率</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项目预算资金是否按照计划执行，用以反映或考核项目预算执行情况。</w:t>
            </w:r>
          </w:p>
        </w:tc>
        <w:tc>
          <w:tcPr>
            <w:tcW w:w="6096"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预算执行率=（实际支出资金/实际到位资金）×100%。</w:t>
            </w:r>
            <w:r>
              <w:rPr>
                <w:rFonts w:ascii="Times New Roman" w:hAnsi="Times New Roman"/>
                <w:color w:val="000000"/>
                <w:kern w:val="0"/>
                <w:sz w:val="22"/>
              </w:rPr>
              <w:br w:type="textWrapping"/>
            </w:r>
            <w:r>
              <w:rPr>
                <w:rFonts w:ascii="Times New Roman" w:hAnsi="Times New Roman"/>
                <w:color w:val="000000"/>
                <w:kern w:val="0"/>
                <w:sz w:val="22"/>
              </w:rPr>
              <w:t>实际支出资金：一定时期（本年度或项目期）内项目实际拨付的资金。</w:t>
            </w:r>
          </w:p>
        </w:tc>
        <w:tc>
          <w:tcPr>
            <w:tcW w:w="566" w:type="dxa"/>
            <w:shd w:val="clear" w:color="auto" w:fill="FFFFFF"/>
            <w:vAlign w:val="center"/>
          </w:tcPr>
          <w:p>
            <w:pPr>
              <w:widowControl/>
              <w:spacing w:line="0" w:lineRule="atLeast"/>
              <w:jc w:val="center"/>
              <w:rPr>
                <w:rFonts w:hint="eastAsia" w:ascii="Times New Roman" w:hAnsi="Times New Roman" w:eastAsia="宋体"/>
                <w:color w:val="000000"/>
                <w:kern w:val="0"/>
                <w:sz w:val="22"/>
                <w:lang w:eastAsia="zh-CN"/>
              </w:rPr>
            </w:pPr>
            <w:r>
              <w:rPr>
                <w:rFonts w:hint="eastAsia" w:ascii="Times New Roman" w:hAnsi="Times New Roman"/>
                <w:color w:val="000000"/>
                <w:kern w:val="0"/>
                <w:sz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682" w:type="dxa"/>
            <w:vMerge w:val="restart"/>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w:t>
            </w:r>
          </w:p>
          <w:p>
            <w:pPr>
              <w:spacing w:line="0" w:lineRule="atLeast"/>
              <w:jc w:val="center"/>
              <w:rPr>
                <w:rFonts w:ascii="Times New Roman" w:hAnsi="Times New Roman"/>
                <w:color w:val="000000"/>
                <w:kern w:val="0"/>
                <w:sz w:val="22"/>
              </w:rPr>
            </w:pPr>
            <w:r>
              <w:rPr>
                <w:rFonts w:ascii="Times New Roman" w:hAnsi="Times New Roman"/>
                <w:color w:val="000000"/>
                <w:kern w:val="0"/>
                <w:sz w:val="22"/>
              </w:rPr>
              <w:t>过程　</w:t>
            </w:r>
          </w:p>
        </w:tc>
        <w:tc>
          <w:tcPr>
            <w:tcW w:w="709"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资金管理</w:t>
            </w: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资金使用</w:t>
            </w:r>
          </w:p>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合规性</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项目资金使用是否符合相关的财务管理制度规定，用以反映和考核项目资金的规范运行情况。</w:t>
            </w:r>
          </w:p>
        </w:tc>
        <w:tc>
          <w:tcPr>
            <w:tcW w:w="6096"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ype="textWrapping"/>
            </w:r>
            <w:r>
              <w:rPr>
                <w:rFonts w:ascii="Times New Roman" w:hAnsi="Times New Roman"/>
                <w:color w:val="000000"/>
                <w:kern w:val="0"/>
                <w:sz w:val="22"/>
              </w:rPr>
              <w:t>①是否符合国家财经法规和财务管理制度以及有关专项资金管理办法的规定；</w:t>
            </w:r>
            <w:r>
              <w:rPr>
                <w:rFonts w:ascii="Times New Roman" w:hAnsi="Times New Roman"/>
                <w:color w:val="000000"/>
                <w:kern w:val="0"/>
                <w:sz w:val="22"/>
              </w:rPr>
              <w:br w:type="textWrapping"/>
            </w:r>
            <w:r>
              <w:rPr>
                <w:rFonts w:ascii="Times New Roman" w:hAnsi="Times New Roman"/>
                <w:color w:val="000000"/>
                <w:kern w:val="0"/>
                <w:sz w:val="22"/>
              </w:rPr>
              <w:t>②资金的拨付是否有完整的审批程序和手续；</w:t>
            </w:r>
            <w:r>
              <w:rPr>
                <w:rFonts w:ascii="Times New Roman" w:hAnsi="Times New Roman"/>
                <w:color w:val="000000"/>
                <w:kern w:val="0"/>
                <w:sz w:val="22"/>
              </w:rPr>
              <w:br w:type="textWrapping"/>
            </w:r>
            <w:r>
              <w:rPr>
                <w:rFonts w:ascii="Times New Roman" w:hAnsi="Times New Roman"/>
                <w:color w:val="000000"/>
                <w:kern w:val="0"/>
                <w:sz w:val="22"/>
              </w:rPr>
              <w:t>③是否符合项目预算批复或合同规定的用途；</w:t>
            </w:r>
            <w:r>
              <w:rPr>
                <w:rFonts w:ascii="Times New Roman" w:hAnsi="Times New Roman"/>
                <w:color w:val="000000"/>
                <w:kern w:val="0"/>
                <w:sz w:val="22"/>
              </w:rPr>
              <w:br w:type="textWrapping"/>
            </w:r>
            <w:r>
              <w:rPr>
                <w:rFonts w:ascii="Times New Roman" w:hAnsi="Times New Roman"/>
                <w:color w:val="000000"/>
                <w:kern w:val="0"/>
                <w:sz w:val="22"/>
              </w:rPr>
              <w:t>④是否存在截留、挤占、挪用、虚列支出等情况。</w:t>
            </w:r>
          </w:p>
        </w:tc>
        <w:tc>
          <w:tcPr>
            <w:tcW w:w="566" w:type="dxa"/>
            <w:shd w:val="clear" w:color="auto" w:fill="FFFFFF"/>
            <w:vAlign w:val="center"/>
          </w:tcPr>
          <w:p>
            <w:pPr>
              <w:widowControl/>
              <w:spacing w:line="0" w:lineRule="atLeast"/>
              <w:jc w:val="center"/>
              <w:rPr>
                <w:rFonts w:hint="eastAsia" w:ascii="Times New Roman" w:hAnsi="Times New Roman" w:eastAsia="宋体"/>
                <w:color w:val="000000"/>
                <w:kern w:val="0"/>
                <w:sz w:val="22"/>
                <w:lang w:eastAsia="zh-CN"/>
              </w:rPr>
            </w:pPr>
            <w:r>
              <w:rPr>
                <w:rFonts w:hint="eastAsia" w:ascii="Times New Roman" w:hAnsi="Times New Roman"/>
                <w:color w:val="000000"/>
                <w:kern w:val="0"/>
                <w:sz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kern w:val="0"/>
                <w:sz w:val="22"/>
              </w:rPr>
            </w:pPr>
          </w:p>
        </w:tc>
        <w:tc>
          <w:tcPr>
            <w:tcW w:w="709" w:type="dxa"/>
            <w:vMerge w:val="restart"/>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组织实施</w:t>
            </w:r>
          </w:p>
          <w:p>
            <w:pPr>
              <w:spacing w:line="0" w:lineRule="atLeast"/>
              <w:jc w:val="center"/>
              <w:rPr>
                <w:rFonts w:ascii="Times New Roman" w:hAnsi="Times New Roman"/>
                <w:color w:val="000000"/>
                <w:kern w:val="0"/>
                <w:sz w:val="22"/>
              </w:rPr>
            </w:pPr>
            <w:r>
              <w:rPr>
                <w:rFonts w:ascii="Times New Roman" w:hAnsi="Times New Roman"/>
                <w:color w:val="000000"/>
                <w:kern w:val="0"/>
                <w:sz w:val="22"/>
              </w:rPr>
              <w:t>　</w:t>
            </w: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管理制度</w:t>
            </w:r>
          </w:p>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健全性</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项目实施单位的财务和业务管理制度是否健全，用以反映和考核财务和业务管理制度对项目顺利实施的保障情况。</w:t>
            </w:r>
          </w:p>
        </w:tc>
        <w:tc>
          <w:tcPr>
            <w:tcW w:w="6096"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ype="textWrapping"/>
            </w:r>
            <w:r>
              <w:rPr>
                <w:rFonts w:ascii="Times New Roman" w:hAnsi="Times New Roman"/>
                <w:color w:val="000000"/>
                <w:kern w:val="0"/>
                <w:sz w:val="22"/>
              </w:rPr>
              <w:t>①是否已制定或具有相应的财务和业务管理制度；</w:t>
            </w:r>
            <w:r>
              <w:rPr>
                <w:rFonts w:ascii="Times New Roman" w:hAnsi="Times New Roman"/>
                <w:color w:val="000000"/>
                <w:kern w:val="0"/>
                <w:sz w:val="22"/>
              </w:rPr>
              <w:br w:type="textWrapping"/>
            </w:r>
            <w:r>
              <w:rPr>
                <w:rFonts w:ascii="Times New Roman" w:hAnsi="Times New Roman"/>
                <w:color w:val="000000"/>
                <w:kern w:val="0"/>
                <w:sz w:val="22"/>
              </w:rPr>
              <w:t>②财务和业务管理制度是否合法、合规、完整。</w:t>
            </w:r>
          </w:p>
        </w:tc>
        <w:tc>
          <w:tcPr>
            <w:tcW w:w="566" w:type="dxa"/>
            <w:shd w:val="clear" w:color="auto" w:fill="FFFFFF"/>
            <w:vAlign w:val="center"/>
          </w:tcPr>
          <w:p>
            <w:pPr>
              <w:widowControl/>
              <w:spacing w:line="0" w:lineRule="atLeast"/>
              <w:jc w:val="center"/>
              <w:rPr>
                <w:rFonts w:ascii="Times New Roman" w:hAnsi="Times New Roman"/>
                <w:color w:val="000000"/>
                <w:kern w:val="0"/>
                <w:sz w:val="22"/>
              </w:rPr>
            </w:pPr>
            <w:r>
              <w:rPr>
                <w:rFonts w:hint="eastAsia" w:ascii="Times New Roman" w:hAnsi="Times New Roman"/>
                <w:color w:val="000000"/>
                <w:kern w:val="0"/>
                <w:sz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682" w:type="dxa"/>
            <w:vMerge w:val="continue"/>
            <w:shd w:val="clear" w:color="auto" w:fill="FFFFFF"/>
            <w:vAlign w:val="center"/>
          </w:tcPr>
          <w:p>
            <w:pPr>
              <w:widowControl/>
              <w:spacing w:line="0" w:lineRule="atLeast"/>
              <w:jc w:val="center"/>
              <w:rPr>
                <w:rFonts w:ascii="Times New Roman" w:hAnsi="Times New Roman"/>
                <w:color w:val="000000"/>
                <w:kern w:val="0"/>
                <w:sz w:val="22"/>
              </w:rPr>
            </w:pPr>
          </w:p>
        </w:tc>
        <w:tc>
          <w:tcPr>
            <w:tcW w:w="709" w:type="dxa"/>
            <w:vMerge w:val="continue"/>
            <w:shd w:val="clear" w:color="auto" w:fill="FFFFFF"/>
            <w:vAlign w:val="center"/>
          </w:tcPr>
          <w:p>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制度执行</w:t>
            </w:r>
          </w:p>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有效性</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项目实施是否符合相关管理规定，用以反映和考核相关管理制度的有效执行情况。</w:t>
            </w:r>
          </w:p>
        </w:tc>
        <w:tc>
          <w:tcPr>
            <w:tcW w:w="6096"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ype="textWrapping"/>
            </w:r>
            <w:r>
              <w:rPr>
                <w:rFonts w:ascii="Times New Roman" w:hAnsi="Times New Roman"/>
                <w:color w:val="000000"/>
                <w:kern w:val="0"/>
                <w:sz w:val="22"/>
              </w:rPr>
              <w:t>①是否遵守相关法律法规和相关管理规定；</w:t>
            </w:r>
            <w:r>
              <w:rPr>
                <w:rFonts w:ascii="Times New Roman" w:hAnsi="Times New Roman"/>
                <w:color w:val="000000"/>
                <w:kern w:val="0"/>
                <w:sz w:val="22"/>
              </w:rPr>
              <w:br w:type="textWrapping"/>
            </w:r>
            <w:r>
              <w:rPr>
                <w:rFonts w:ascii="Times New Roman" w:hAnsi="Times New Roman"/>
                <w:color w:val="000000"/>
                <w:kern w:val="0"/>
                <w:sz w:val="22"/>
              </w:rPr>
              <w:t>②项目调整及支出调整手续是否完备；</w:t>
            </w:r>
            <w:r>
              <w:rPr>
                <w:rFonts w:ascii="Times New Roman" w:hAnsi="Times New Roman"/>
                <w:color w:val="000000"/>
                <w:kern w:val="0"/>
                <w:sz w:val="22"/>
              </w:rPr>
              <w:br w:type="textWrapping"/>
            </w:r>
            <w:r>
              <w:rPr>
                <w:rFonts w:ascii="Times New Roman" w:hAnsi="Times New Roman"/>
                <w:color w:val="000000"/>
                <w:kern w:val="0"/>
                <w:sz w:val="22"/>
              </w:rPr>
              <w:t>③项目合同书、验收报告、技术鉴定等资料是否齐全并及时归档；</w:t>
            </w:r>
            <w:r>
              <w:rPr>
                <w:rFonts w:ascii="Times New Roman" w:hAnsi="Times New Roman"/>
                <w:color w:val="000000"/>
                <w:kern w:val="0"/>
                <w:sz w:val="22"/>
              </w:rPr>
              <w:br w:type="textWrapping"/>
            </w:r>
            <w:r>
              <w:rPr>
                <w:rFonts w:ascii="Times New Roman" w:hAnsi="Times New Roman"/>
                <w:color w:val="000000"/>
                <w:kern w:val="0"/>
                <w:sz w:val="22"/>
              </w:rPr>
              <w:t>④项目实施的人员条件、场地设备、信息支撑等是否落实到位。</w:t>
            </w:r>
          </w:p>
        </w:tc>
        <w:tc>
          <w:tcPr>
            <w:tcW w:w="566" w:type="dxa"/>
            <w:shd w:val="clear" w:color="auto" w:fill="FFFFFF"/>
            <w:vAlign w:val="center"/>
          </w:tcPr>
          <w:p>
            <w:pPr>
              <w:widowControl/>
              <w:spacing w:line="0" w:lineRule="atLeast"/>
              <w:jc w:val="center"/>
              <w:rPr>
                <w:rFonts w:ascii="Times New Roman" w:hAnsi="Times New Roman"/>
                <w:color w:val="000000"/>
                <w:kern w:val="0"/>
                <w:sz w:val="22"/>
              </w:rPr>
            </w:pPr>
            <w:r>
              <w:rPr>
                <w:rFonts w:hint="eastAsia" w:ascii="Times New Roman" w:hAnsi="Times New Roman"/>
                <w:color w:val="000000"/>
                <w:kern w:val="0"/>
                <w:sz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682"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w:t>
            </w:r>
          </w:p>
        </w:tc>
        <w:tc>
          <w:tcPr>
            <w:tcW w:w="709"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产出数量</w:t>
            </w: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实际完成率</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项目实施的实际产出数与计划产出数的比率，用以反映和考核项目产出数量目标的实现程度。</w:t>
            </w:r>
          </w:p>
        </w:tc>
        <w:tc>
          <w:tcPr>
            <w:tcW w:w="6096"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实际完成率=（实际产出数/计划产出数）×100%。</w:t>
            </w:r>
            <w:r>
              <w:rPr>
                <w:rFonts w:ascii="Times New Roman" w:hAnsi="Times New Roman"/>
                <w:color w:val="000000"/>
                <w:kern w:val="0"/>
                <w:sz w:val="22"/>
              </w:rPr>
              <w:br w:type="textWrapping"/>
            </w:r>
            <w:r>
              <w:rPr>
                <w:rFonts w:ascii="Times New Roman" w:hAnsi="Times New Roman"/>
                <w:color w:val="000000"/>
                <w:kern w:val="0"/>
                <w:sz w:val="22"/>
              </w:rPr>
              <w:t>实际产出数：一定时期（本年度或项目期）内项目实际产出的产品或提供的服务数量。</w:t>
            </w:r>
            <w:r>
              <w:rPr>
                <w:rFonts w:ascii="Times New Roman" w:hAnsi="Times New Roman"/>
                <w:color w:val="000000"/>
                <w:kern w:val="0"/>
                <w:sz w:val="22"/>
              </w:rPr>
              <w:br w:type="textWrapping"/>
            </w:r>
            <w:r>
              <w:rPr>
                <w:rFonts w:ascii="Times New Roman" w:hAnsi="Times New Roman"/>
                <w:color w:val="000000"/>
                <w:kern w:val="0"/>
                <w:sz w:val="22"/>
              </w:rPr>
              <w:t>计划产出数：项目绩效目标确定的在一定时期（本年度或项目期）内计划产出的产品或提供的服务数量。</w:t>
            </w:r>
          </w:p>
        </w:tc>
        <w:tc>
          <w:tcPr>
            <w:tcW w:w="566" w:type="dxa"/>
            <w:shd w:val="clear" w:color="auto" w:fill="FFFFFF"/>
            <w:vAlign w:val="center"/>
          </w:tcPr>
          <w:p>
            <w:pPr>
              <w:widowControl/>
              <w:spacing w:line="0" w:lineRule="atLeast"/>
              <w:jc w:val="center"/>
              <w:rPr>
                <w:rFonts w:hint="eastAsia" w:ascii="Times New Roman" w:hAnsi="Times New Roman" w:eastAsia="宋体"/>
                <w:color w:val="000000"/>
                <w:kern w:val="0"/>
                <w:sz w:val="22"/>
                <w:lang w:eastAsia="zh-CN"/>
              </w:rPr>
            </w:pPr>
            <w:r>
              <w:rPr>
                <w:rFonts w:hint="eastAsia" w:ascii="Times New Roman" w:hAnsi="Times New Roman"/>
                <w:color w:val="000000"/>
                <w:kern w:val="0"/>
                <w:sz w:val="22"/>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682" w:type="dxa"/>
            <w:vMerge w:val="restart"/>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w:t>
            </w:r>
          </w:p>
        </w:tc>
        <w:tc>
          <w:tcPr>
            <w:tcW w:w="709"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产出质量</w:t>
            </w: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质量达标率</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项目完成的质量达标产出数与实际产出数的比率，用以反映和考核项目产出质量目标的实现程度。</w:t>
            </w:r>
          </w:p>
        </w:tc>
        <w:tc>
          <w:tcPr>
            <w:tcW w:w="6096"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质量达标率=（质量达标产出数/实际产出数）×100%。</w:t>
            </w:r>
          </w:p>
          <w:p>
            <w:pPr>
              <w:widowControl/>
              <w:spacing w:line="0" w:lineRule="atLeast"/>
              <w:rPr>
                <w:rFonts w:ascii="Times New Roman" w:hAnsi="Times New Roman"/>
                <w:color w:val="000000"/>
                <w:kern w:val="0"/>
                <w:sz w:val="22"/>
              </w:rPr>
            </w:pPr>
            <w:r>
              <w:rPr>
                <w:rFonts w:ascii="Times New Roman" w:hAnsi="Times New Roman"/>
                <w:color w:val="000000"/>
                <w:kern w:val="0"/>
                <w:sz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pPr>
              <w:widowControl/>
              <w:spacing w:line="0" w:lineRule="atLeast"/>
              <w:jc w:val="center"/>
              <w:rPr>
                <w:rFonts w:hint="eastAsia" w:ascii="Times New Roman" w:hAnsi="Times New Roman" w:eastAsia="宋体"/>
                <w:color w:val="000000"/>
                <w:kern w:val="0"/>
                <w:sz w:val="22"/>
                <w:lang w:eastAsia="zh-CN"/>
              </w:rPr>
            </w:pPr>
            <w:r>
              <w:rPr>
                <w:rFonts w:hint="eastAsia" w:ascii="Times New Roman" w:hAnsi="Times New Roman"/>
                <w:color w:val="000000"/>
                <w:kern w:val="0"/>
                <w:sz w:val="22"/>
                <w:lang w:val="en-US" w:eastAsia="zh-CN"/>
              </w:rPr>
              <w:t>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kern w:val="0"/>
                <w:sz w:val="22"/>
              </w:rPr>
            </w:pPr>
          </w:p>
        </w:tc>
        <w:tc>
          <w:tcPr>
            <w:tcW w:w="709" w:type="dxa"/>
            <w:shd w:val="clear" w:color="auto" w:fill="FFFFFF"/>
            <w:vAlign w:val="center"/>
          </w:tcPr>
          <w:p>
            <w:pPr>
              <w:spacing w:line="0" w:lineRule="atLeast"/>
              <w:jc w:val="center"/>
              <w:rPr>
                <w:rFonts w:ascii="Times New Roman" w:hAnsi="Times New Roman"/>
                <w:color w:val="000000"/>
                <w:kern w:val="0"/>
                <w:sz w:val="22"/>
              </w:rPr>
            </w:pPr>
            <w:r>
              <w:rPr>
                <w:rFonts w:ascii="Times New Roman" w:hAnsi="Times New Roman"/>
                <w:color w:val="000000"/>
                <w:kern w:val="0"/>
                <w:sz w:val="22"/>
              </w:rPr>
              <w:t>产出时效</w:t>
            </w: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完成及时性</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项目实际完成时间与计划完成时间的比较，用以反映和考核项目产出时效目标的实现程度。</w:t>
            </w:r>
          </w:p>
        </w:tc>
        <w:tc>
          <w:tcPr>
            <w:tcW w:w="6096"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实际完成时间：项目实施单位完成该项目实际所耗用的时间。</w:t>
            </w:r>
            <w:r>
              <w:rPr>
                <w:rFonts w:ascii="Times New Roman" w:hAnsi="Times New Roman"/>
                <w:color w:val="000000"/>
                <w:kern w:val="0"/>
                <w:sz w:val="22"/>
              </w:rPr>
              <w:br w:type="textWrapping"/>
            </w:r>
            <w:r>
              <w:rPr>
                <w:rFonts w:ascii="Times New Roman" w:hAnsi="Times New Roman"/>
                <w:color w:val="000000"/>
                <w:kern w:val="0"/>
                <w:sz w:val="22"/>
              </w:rPr>
              <w:t>计划完成时间：按照项目实施计划或相关规定完成该项目所需的时间。</w:t>
            </w:r>
          </w:p>
        </w:tc>
        <w:tc>
          <w:tcPr>
            <w:tcW w:w="566" w:type="dxa"/>
            <w:shd w:val="clear" w:color="auto" w:fill="FFFFFF"/>
            <w:vAlign w:val="center"/>
          </w:tcPr>
          <w:p>
            <w:pPr>
              <w:widowControl/>
              <w:spacing w:line="0" w:lineRule="atLeast"/>
              <w:jc w:val="center"/>
              <w:rPr>
                <w:rFonts w:hint="eastAsia" w:ascii="Times New Roman" w:hAnsi="Times New Roman" w:eastAsia="宋体"/>
                <w:color w:val="000000"/>
                <w:kern w:val="0"/>
                <w:sz w:val="22"/>
                <w:lang w:eastAsia="zh-CN"/>
              </w:rPr>
            </w:pPr>
            <w:r>
              <w:rPr>
                <w:rFonts w:hint="eastAsia" w:ascii="Times New Roman" w:hAnsi="Times New Roman"/>
                <w:color w:val="000000"/>
                <w:kern w:val="0"/>
                <w:sz w:val="22"/>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74" w:hRule="atLeast"/>
          <w:jc w:val="center"/>
        </w:trPr>
        <w:tc>
          <w:tcPr>
            <w:tcW w:w="682" w:type="dxa"/>
            <w:vMerge w:val="continue"/>
            <w:shd w:val="clear" w:color="auto" w:fill="FFFFFF"/>
            <w:vAlign w:val="center"/>
          </w:tcPr>
          <w:p>
            <w:pPr>
              <w:widowControl/>
              <w:spacing w:line="0" w:lineRule="atLeast"/>
              <w:jc w:val="center"/>
              <w:rPr>
                <w:rFonts w:ascii="Times New Roman" w:hAnsi="Times New Roman"/>
                <w:color w:val="000000"/>
                <w:kern w:val="0"/>
                <w:sz w:val="22"/>
              </w:rPr>
            </w:pPr>
          </w:p>
        </w:tc>
        <w:tc>
          <w:tcPr>
            <w:tcW w:w="709"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产出成本</w:t>
            </w: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成本节约率</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完成项目计划工作目标的实际节约成本与计划成本的比率，用以反映和考核项目的成本节约程度。</w:t>
            </w:r>
          </w:p>
        </w:tc>
        <w:tc>
          <w:tcPr>
            <w:tcW w:w="6096"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br w:type="textWrapping"/>
            </w:r>
            <w:r>
              <w:rPr>
                <w:rFonts w:ascii="Times New Roman" w:hAnsi="Times New Roman"/>
                <w:color w:val="000000"/>
                <w:kern w:val="0"/>
                <w:sz w:val="22"/>
              </w:rPr>
              <w:t>成本节约率=[（计划成本-实际成本）/计划成本]×100%。</w:t>
            </w:r>
            <w:r>
              <w:rPr>
                <w:rFonts w:ascii="Times New Roman" w:hAnsi="Times New Roman"/>
                <w:color w:val="000000"/>
                <w:kern w:val="0"/>
                <w:sz w:val="22"/>
              </w:rPr>
              <w:br w:type="textWrapping"/>
            </w:r>
            <w:r>
              <w:rPr>
                <w:rFonts w:ascii="Times New Roman" w:hAnsi="Times New Roman"/>
                <w:color w:val="000000"/>
                <w:kern w:val="0"/>
                <w:sz w:val="22"/>
              </w:rPr>
              <w:t>实际成本：项目实施单位如期、保质、保量完成既定工作目标实际所耗费的支出。</w:t>
            </w:r>
            <w:r>
              <w:rPr>
                <w:rFonts w:ascii="Times New Roman" w:hAnsi="Times New Roman"/>
                <w:color w:val="000000"/>
                <w:kern w:val="0"/>
                <w:sz w:val="22"/>
              </w:rPr>
              <w:br w:type="textWrapping"/>
            </w:r>
            <w:r>
              <w:rPr>
                <w:rFonts w:ascii="Times New Roman" w:hAnsi="Times New Roman"/>
                <w:color w:val="000000"/>
                <w:kern w:val="0"/>
                <w:sz w:val="22"/>
              </w:rPr>
              <w:t>计划成本：项目实施单位为完成工作目标计划安排的支出，一般以项目预算为参考。</w:t>
            </w:r>
          </w:p>
        </w:tc>
        <w:tc>
          <w:tcPr>
            <w:tcW w:w="566" w:type="dxa"/>
            <w:shd w:val="clear" w:color="auto" w:fill="FFFFFF"/>
            <w:vAlign w:val="center"/>
          </w:tcPr>
          <w:p>
            <w:pPr>
              <w:widowControl/>
              <w:spacing w:line="0" w:lineRule="atLeast"/>
              <w:jc w:val="center"/>
              <w:rPr>
                <w:rFonts w:ascii="Times New Roman" w:hAnsi="Times New Roman"/>
                <w:color w:val="000000"/>
                <w:kern w:val="0"/>
                <w:sz w:val="22"/>
              </w:rPr>
            </w:pPr>
            <w:r>
              <w:rPr>
                <w:rFonts w:hint="eastAsia" w:ascii="Times New Roman" w:hAnsi="Times New Roman"/>
                <w:color w:val="000000"/>
                <w:kern w:val="0"/>
                <w:sz w:val="22"/>
              </w:rPr>
              <w:t>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3" w:hRule="atLeast"/>
          <w:jc w:val="center"/>
        </w:trPr>
        <w:tc>
          <w:tcPr>
            <w:tcW w:w="682" w:type="dxa"/>
            <w:vMerge w:val="restart"/>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效益　</w:t>
            </w:r>
          </w:p>
        </w:tc>
        <w:tc>
          <w:tcPr>
            <w:tcW w:w="709" w:type="dxa"/>
            <w:vMerge w:val="restart"/>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项目效益　</w:t>
            </w: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实施效益</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20</w:t>
            </w:r>
          </w:p>
        </w:tc>
        <w:tc>
          <w:tcPr>
            <w:tcW w:w="2835" w:type="dxa"/>
            <w:shd w:val="clear" w:color="auto" w:fill="FFFFFF"/>
            <w:vAlign w:val="center"/>
          </w:tcPr>
          <w:p>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项目实施所产生的效益。</w:t>
            </w:r>
          </w:p>
        </w:tc>
        <w:tc>
          <w:tcPr>
            <w:tcW w:w="6096"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项目实施所产生的社会效益、经济效益、生态效益、可持续影响等。可根据项目实际情况有选择地设置和细化。</w:t>
            </w:r>
          </w:p>
        </w:tc>
        <w:tc>
          <w:tcPr>
            <w:tcW w:w="566" w:type="dxa"/>
            <w:shd w:val="clear" w:color="auto" w:fill="FFFFFF"/>
            <w:vAlign w:val="center"/>
          </w:tcPr>
          <w:p>
            <w:pPr>
              <w:widowControl/>
              <w:spacing w:line="0" w:lineRule="atLeast"/>
              <w:jc w:val="center"/>
              <w:rPr>
                <w:rFonts w:hint="eastAsia" w:ascii="Times New Roman" w:hAnsi="Times New Roman" w:eastAsia="宋体"/>
                <w:color w:val="000000"/>
                <w:kern w:val="0"/>
                <w:sz w:val="22"/>
                <w:lang w:eastAsia="zh-CN"/>
              </w:rPr>
            </w:pPr>
            <w:r>
              <w:rPr>
                <w:rFonts w:hint="eastAsia" w:ascii="Times New Roman" w:hAnsi="Times New Roman"/>
                <w:color w:val="000000"/>
                <w:kern w:val="0"/>
                <w:sz w:val="22"/>
              </w:rPr>
              <w:t>1</w:t>
            </w:r>
            <w:r>
              <w:rPr>
                <w:rFonts w:hint="eastAsia" w:ascii="Times New Roman" w:hAnsi="Times New Roman"/>
                <w:color w:val="000000"/>
                <w:kern w:val="0"/>
                <w:sz w:val="22"/>
                <w:lang w:val="en-US" w:eastAsia="zh-CN"/>
              </w:rPr>
              <w:t>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29" w:hRule="atLeast"/>
          <w:jc w:val="center"/>
        </w:trPr>
        <w:tc>
          <w:tcPr>
            <w:tcW w:w="682" w:type="dxa"/>
            <w:vMerge w:val="continue"/>
            <w:shd w:val="clear" w:color="auto" w:fill="FFFFFF"/>
            <w:vAlign w:val="center"/>
          </w:tcPr>
          <w:p>
            <w:pPr>
              <w:widowControl/>
              <w:spacing w:line="0" w:lineRule="atLeast"/>
              <w:jc w:val="center"/>
              <w:rPr>
                <w:rFonts w:ascii="Times New Roman" w:hAnsi="Times New Roman"/>
                <w:color w:val="000000"/>
                <w:kern w:val="0"/>
                <w:sz w:val="22"/>
              </w:rPr>
            </w:pPr>
          </w:p>
        </w:tc>
        <w:tc>
          <w:tcPr>
            <w:tcW w:w="709" w:type="dxa"/>
            <w:vMerge w:val="continue"/>
            <w:shd w:val="clear" w:color="auto" w:fill="FFFFFF"/>
            <w:vAlign w:val="center"/>
          </w:tcPr>
          <w:p>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满意度</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社会公众或服务对象对项目实施效果的满意程度。</w:t>
            </w:r>
          </w:p>
        </w:tc>
        <w:tc>
          <w:tcPr>
            <w:tcW w:w="6096"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社会公众或服务对象是指因该项目实施而受到影响的部门（单位）、群体或个人。一般采取社会调查的方式。</w:t>
            </w:r>
          </w:p>
        </w:tc>
        <w:tc>
          <w:tcPr>
            <w:tcW w:w="566" w:type="dxa"/>
            <w:shd w:val="clear" w:color="auto" w:fill="FFFFFF"/>
            <w:vAlign w:val="center"/>
          </w:tcPr>
          <w:p>
            <w:pPr>
              <w:widowControl/>
              <w:spacing w:line="0" w:lineRule="atLeast"/>
              <w:jc w:val="center"/>
              <w:rPr>
                <w:rFonts w:hint="eastAsia" w:ascii="Times New Roman" w:hAnsi="Times New Roman" w:eastAsia="宋体"/>
                <w:color w:val="000000"/>
                <w:kern w:val="0"/>
                <w:sz w:val="22"/>
                <w:lang w:eastAsia="zh-CN"/>
              </w:rPr>
            </w:pPr>
            <w:r>
              <w:rPr>
                <w:rFonts w:hint="eastAsia" w:ascii="Times New Roman" w:hAnsi="Times New Roman"/>
                <w:color w:val="000000"/>
                <w:kern w:val="0"/>
                <w:sz w:val="22"/>
                <w:lang w:val="en-US" w:eastAsia="zh-CN"/>
              </w:rPr>
              <w:t>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8" w:hRule="atLeast"/>
          <w:jc w:val="center"/>
        </w:trPr>
        <w:tc>
          <w:tcPr>
            <w:tcW w:w="2525" w:type="dxa"/>
            <w:gridSpan w:val="3"/>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总分</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100</w:t>
            </w:r>
          </w:p>
        </w:tc>
        <w:tc>
          <w:tcPr>
            <w:tcW w:w="2835" w:type="dxa"/>
            <w:shd w:val="clear" w:color="auto" w:fill="FFFFFF"/>
            <w:vAlign w:val="center"/>
          </w:tcPr>
          <w:p>
            <w:pPr>
              <w:widowControl/>
              <w:spacing w:line="0" w:lineRule="atLeast"/>
              <w:rPr>
                <w:rFonts w:ascii="Times New Roman" w:hAnsi="Times New Roman"/>
                <w:color w:val="000000"/>
                <w:kern w:val="0"/>
                <w:sz w:val="22"/>
              </w:rPr>
            </w:pPr>
          </w:p>
        </w:tc>
        <w:tc>
          <w:tcPr>
            <w:tcW w:w="6096" w:type="dxa"/>
            <w:shd w:val="clear" w:color="auto" w:fill="FFFFFF"/>
            <w:vAlign w:val="center"/>
          </w:tcPr>
          <w:p>
            <w:pPr>
              <w:widowControl/>
              <w:spacing w:line="0" w:lineRule="atLeast"/>
              <w:rPr>
                <w:rFonts w:ascii="Times New Roman" w:hAnsi="Times New Roman"/>
                <w:color w:val="000000"/>
                <w:kern w:val="0"/>
                <w:sz w:val="22"/>
              </w:rPr>
            </w:pPr>
          </w:p>
        </w:tc>
        <w:tc>
          <w:tcPr>
            <w:tcW w:w="566" w:type="dxa"/>
            <w:shd w:val="clear" w:color="auto" w:fill="FFFFFF"/>
            <w:vAlign w:val="center"/>
          </w:tcPr>
          <w:p>
            <w:pPr>
              <w:widowControl/>
              <w:spacing w:line="0" w:lineRule="atLeast"/>
              <w:jc w:val="center"/>
              <w:rPr>
                <w:rFonts w:hint="default" w:ascii="Times New Roman" w:hAnsi="Times New Roman" w:eastAsia="宋体"/>
                <w:color w:val="000000"/>
                <w:kern w:val="0"/>
                <w:sz w:val="22"/>
                <w:lang w:val="en-US" w:eastAsia="zh-CN"/>
              </w:rPr>
            </w:pPr>
            <w:r>
              <w:rPr>
                <w:rFonts w:hint="eastAsia" w:ascii="Times New Roman" w:hAnsi="Times New Roman"/>
                <w:color w:val="000000"/>
                <w:kern w:val="0"/>
                <w:sz w:val="22"/>
                <w:lang w:val="en-US" w:eastAsia="zh-CN"/>
              </w:rPr>
              <w:t>85</w:t>
            </w:r>
          </w:p>
        </w:tc>
      </w:tr>
    </w:tbl>
    <w:p>
      <w:pPr>
        <w:spacing w:line="560" w:lineRule="exact"/>
        <w:ind w:firstLine="200" w:firstLineChars="100"/>
      </w:pPr>
      <w:r>
        <w:rPr>
          <w:rFonts w:ascii="Times New Roman" w:hAnsi="Times New Roman" w:eastAsia="仿宋_GB2312"/>
          <w:sz w:val="20"/>
          <w:szCs w:val="20"/>
        </w:rPr>
        <w:t>注：单位可以根据专项资金的管理要求和绩效要求增设个性指标</w:t>
      </w:r>
    </w:p>
    <w:sectPr>
      <w:pgSz w:w="16838" w:h="11906" w:orient="landscape"/>
      <w:pgMar w:top="1134" w:right="1440" w:bottom="1134"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attachedTemplate r:id="rId1"/>
  <w:documentProtection w:enforcement="0"/>
  <w:defaultTabStop w:val="420"/>
  <w:drawingGridHorizontalSpacing w:val="105"/>
  <w:drawingGridVerticalSpacing w:val="204"/>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68376C94"/>
    <w:rsid w:val="0005693D"/>
    <w:rsid w:val="00057AAB"/>
    <w:rsid w:val="000F7B97"/>
    <w:rsid w:val="00131716"/>
    <w:rsid w:val="00147FAD"/>
    <w:rsid w:val="001521F7"/>
    <w:rsid w:val="001C3249"/>
    <w:rsid w:val="001F764B"/>
    <w:rsid w:val="002205F5"/>
    <w:rsid w:val="002314D2"/>
    <w:rsid w:val="00273AC2"/>
    <w:rsid w:val="002B236C"/>
    <w:rsid w:val="002D5C84"/>
    <w:rsid w:val="003369A3"/>
    <w:rsid w:val="003E0518"/>
    <w:rsid w:val="00413AFC"/>
    <w:rsid w:val="00457296"/>
    <w:rsid w:val="00472180"/>
    <w:rsid w:val="00483617"/>
    <w:rsid w:val="004D0560"/>
    <w:rsid w:val="00582D87"/>
    <w:rsid w:val="005858C4"/>
    <w:rsid w:val="005D59C5"/>
    <w:rsid w:val="005E18BD"/>
    <w:rsid w:val="00623984"/>
    <w:rsid w:val="006C4E2A"/>
    <w:rsid w:val="006E4B95"/>
    <w:rsid w:val="00725C59"/>
    <w:rsid w:val="00755C4B"/>
    <w:rsid w:val="007B69E7"/>
    <w:rsid w:val="007B7B9B"/>
    <w:rsid w:val="008348C9"/>
    <w:rsid w:val="008A5DDF"/>
    <w:rsid w:val="008B3735"/>
    <w:rsid w:val="008B7F4D"/>
    <w:rsid w:val="008D4FE4"/>
    <w:rsid w:val="008F7B9F"/>
    <w:rsid w:val="00963A98"/>
    <w:rsid w:val="009824F6"/>
    <w:rsid w:val="009945C8"/>
    <w:rsid w:val="00997A19"/>
    <w:rsid w:val="009D680D"/>
    <w:rsid w:val="00A21579"/>
    <w:rsid w:val="00A53779"/>
    <w:rsid w:val="00AA38EE"/>
    <w:rsid w:val="00B04F06"/>
    <w:rsid w:val="00B07FE1"/>
    <w:rsid w:val="00B319BC"/>
    <w:rsid w:val="00BA06D5"/>
    <w:rsid w:val="00C10BE4"/>
    <w:rsid w:val="00C36803"/>
    <w:rsid w:val="00C543E0"/>
    <w:rsid w:val="00C62CFB"/>
    <w:rsid w:val="00D54F8C"/>
    <w:rsid w:val="00DB5854"/>
    <w:rsid w:val="00DD2B84"/>
    <w:rsid w:val="00DE1EDF"/>
    <w:rsid w:val="00E01628"/>
    <w:rsid w:val="00E05DE1"/>
    <w:rsid w:val="00E3667E"/>
    <w:rsid w:val="00EA6C87"/>
    <w:rsid w:val="00F1572F"/>
    <w:rsid w:val="00F8248C"/>
    <w:rsid w:val="00FA19FF"/>
    <w:rsid w:val="00FF6700"/>
    <w:rsid w:val="06CD7E94"/>
    <w:rsid w:val="091D6F0B"/>
    <w:rsid w:val="0AEB436F"/>
    <w:rsid w:val="0D696073"/>
    <w:rsid w:val="103E78D2"/>
    <w:rsid w:val="16C61DDD"/>
    <w:rsid w:val="18461F36"/>
    <w:rsid w:val="1B751BA6"/>
    <w:rsid w:val="24E44E74"/>
    <w:rsid w:val="2C5926E5"/>
    <w:rsid w:val="354955A1"/>
    <w:rsid w:val="41E354EF"/>
    <w:rsid w:val="47CE5D24"/>
    <w:rsid w:val="56DE294B"/>
    <w:rsid w:val="60865646"/>
    <w:rsid w:val="67273852"/>
    <w:rsid w:val="68376C94"/>
    <w:rsid w:val="6A855668"/>
    <w:rsid w:val="6C244D99"/>
    <w:rsid w:val="6D535020"/>
    <w:rsid w:val="6D7440B7"/>
    <w:rsid w:val="70D45E79"/>
    <w:rsid w:val="71EF502E"/>
    <w:rsid w:val="78FA7C93"/>
    <w:rsid w:val="7C275E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link w:val="13"/>
    <w:qFormat/>
    <w:uiPriority w:val="0"/>
    <w:pPr>
      <w:keepNext/>
      <w:keepLines/>
      <w:spacing w:before="260" w:after="260" w:line="413" w:lineRule="auto"/>
      <w:outlineLvl w:val="1"/>
    </w:pPr>
    <w:rPr>
      <w:rFonts w:ascii="Arial" w:hAnsi="Arial" w:eastAsia="黑体"/>
      <w:b/>
      <w:sz w:val="32"/>
      <w:szCs w:val="24"/>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1"/>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8">
    <w:name w:val="Strong"/>
    <w:basedOn w:val="7"/>
    <w:qFormat/>
    <w:uiPriority w:val="22"/>
    <w:rPr>
      <w:b/>
      <w:bCs/>
    </w:rPr>
  </w:style>
  <w:style w:type="paragraph" w:customStyle="1" w:styleId="9">
    <w:name w:val="p15"/>
    <w:basedOn w:val="1"/>
    <w:qFormat/>
    <w:uiPriority w:val="0"/>
    <w:pPr>
      <w:widowControl/>
      <w:jc w:val="left"/>
    </w:pPr>
    <w:rPr>
      <w:rFonts w:ascii="宋体" w:hAnsi="宋体" w:cs="宋体"/>
      <w:kern w:val="0"/>
      <w:sz w:val="24"/>
    </w:rPr>
  </w:style>
  <w:style w:type="character" w:customStyle="1" w:styleId="10">
    <w:name w:val="页眉 Char"/>
    <w:basedOn w:val="7"/>
    <w:link w:val="4"/>
    <w:qFormat/>
    <w:uiPriority w:val="0"/>
    <w:rPr>
      <w:kern w:val="2"/>
      <w:sz w:val="18"/>
      <w:szCs w:val="18"/>
    </w:rPr>
  </w:style>
  <w:style w:type="character" w:customStyle="1" w:styleId="11">
    <w:name w:val="页脚 Char"/>
    <w:basedOn w:val="7"/>
    <w:link w:val="3"/>
    <w:qFormat/>
    <w:uiPriority w:val="0"/>
    <w:rPr>
      <w:kern w:val="2"/>
      <w:sz w:val="18"/>
      <w:szCs w:val="18"/>
    </w:rPr>
  </w:style>
  <w:style w:type="paragraph" w:styleId="12">
    <w:name w:val="No Spacing"/>
    <w:qFormat/>
    <w:uiPriority w:val="0"/>
    <w:pPr>
      <w:widowControl w:val="0"/>
      <w:jc w:val="both"/>
    </w:pPr>
    <w:rPr>
      <w:rFonts w:ascii="Calibri" w:hAnsi="Calibri" w:eastAsia="宋体" w:cs="Times New Roman"/>
      <w:kern w:val="2"/>
      <w:sz w:val="21"/>
      <w:szCs w:val="22"/>
      <w:lang w:val="en-US" w:eastAsia="zh-CN" w:bidi="ar-SA"/>
    </w:rPr>
  </w:style>
  <w:style w:type="character" w:customStyle="1" w:styleId="13">
    <w:name w:val="标题 2 Char"/>
    <w:basedOn w:val="7"/>
    <w:link w:val="2"/>
    <w:qFormat/>
    <w:uiPriority w:val="0"/>
    <w:rPr>
      <w:rFonts w:ascii="Arial" w:hAnsi="Arial" w:eastAsia="黑体"/>
      <w:b/>
      <w:kern w:val="2"/>
      <w:sz w:val="32"/>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44FF56-D80E-44D2-A830-5CAEAB397108}">
  <ds:schemaRefs/>
</ds:datastoreItem>
</file>

<file path=docProps/app.xml><?xml version="1.0" encoding="utf-8"?>
<Properties xmlns="http://schemas.openxmlformats.org/officeDocument/2006/extended-properties" xmlns:vt="http://schemas.openxmlformats.org/officeDocument/2006/docPropsVTypes">
  <Template>0</Template>
  <Pages>11</Pages>
  <Words>882</Words>
  <Characters>5030</Characters>
  <Lines>41</Lines>
  <Paragraphs>11</Paragraphs>
  <TotalTime>90</TotalTime>
  <ScaleCrop>false</ScaleCrop>
  <LinksUpToDate>false</LinksUpToDate>
  <CharactersWithSpaces>5901</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2020-06-05T02:37:00Z</dcterms:created>
  <dc:creator>坐车压马路</dc:creator>
  <cp:lastModifiedBy>忘忧草</cp:lastModifiedBy>
  <dcterms:modified xsi:type="dcterms:W3CDTF">2021-07-28T00:57:27Z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AAA40948419543A6A1A677F972C1FD55</vt:lpwstr>
  </property>
</Properties>
</file>