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w:t>
      </w:r>
      <w:r>
        <w:rPr>
          <w:rFonts w:hint="eastAsia" w:ascii="方正小标宋简体" w:hAnsi="方正小标宋简体" w:eastAsia="方正小标宋简体" w:cs="方正小标宋简体"/>
          <w:sz w:val="36"/>
          <w:szCs w:val="36"/>
        </w:rPr>
        <w:t>020年房屋建筑和市政基础设施及人防工程施工图审查专项资金</w:t>
      </w:r>
      <w:r>
        <w:rPr>
          <w:rFonts w:hint="eastAsia" w:ascii="方正小标宋简体" w:hAnsi="方正小标宋简体" w:eastAsia="方正小标宋简体" w:cs="方正小标宋简体"/>
          <w:sz w:val="36"/>
          <w:szCs w:val="36"/>
          <w:lang w:eastAsia="zh-CN"/>
        </w:rPr>
        <w:t>支出</w:t>
      </w:r>
      <w:r>
        <w:rPr>
          <w:rFonts w:hint="eastAsia" w:ascii="方正小标宋简体" w:hAnsi="方正小标宋简体" w:eastAsia="方正小标宋简体" w:cs="方正小标宋简体"/>
          <w:sz w:val="36"/>
          <w:szCs w:val="36"/>
        </w:rPr>
        <w:t>绩效</w:t>
      </w:r>
      <w:r>
        <w:rPr>
          <w:rFonts w:hint="eastAsia" w:ascii="方正小标宋简体" w:hAnsi="方正小标宋简体" w:eastAsia="方正小标宋简体" w:cs="方正小标宋简体"/>
          <w:sz w:val="36"/>
          <w:szCs w:val="36"/>
          <w:lang w:eastAsia="zh-CN"/>
        </w:rPr>
        <w:t>自</w:t>
      </w:r>
      <w:r>
        <w:rPr>
          <w:rFonts w:hint="eastAsia" w:ascii="方正小标宋简体" w:hAnsi="方正小标宋简体" w:eastAsia="方正小标宋简体" w:cs="方正小标宋简体"/>
          <w:sz w:val="36"/>
          <w:szCs w:val="36"/>
        </w:rPr>
        <w:t>评报告</w:t>
      </w:r>
    </w:p>
    <w:p>
      <w:pPr>
        <w:pStyle w:val="9"/>
        <w:spacing w:line="560" w:lineRule="exact"/>
        <w:jc w:val="both"/>
        <w:rPr>
          <w:rFonts w:ascii="仿宋_GB2312" w:eastAsia="仿宋_GB2312"/>
          <w:sz w:val="32"/>
          <w:szCs w:val="32"/>
        </w:rPr>
      </w:pPr>
    </w:p>
    <w:p>
      <w:pPr>
        <w:pStyle w:val="12"/>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一、基本情况。</w:t>
      </w:r>
    </w:p>
    <w:p>
      <w:pPr>
        <w:pStyle w:val="5"/>
        <w:spacing w:before="0" w:beforeAutospacing="0" w:after="0" w:afterAutospacing="0" w:line="510" w:lineRule="atLeast"/>
        <w:ind w:firstLine="540"/>
        <w:rPr>
          <w:color w:val="333333"/>
          <w:sz w:val="27"/>
          <w:szCs w:val="27"/>
        </w:rPr>
      </w:pPr>
      <w:r>
        <w:rPr>
          <w:rFonts w:hint="eastAsia"/>
          <w:color w:val="333333"/>
          <w:sz w:val="27"/>
          <w:szCs w:val="27"/>
        </w:rPr>
        <w:t>(一)项目概况。</w:t>
      </w:r>
    </w:p>
    <w:p>
      <w:pPr>
        <w:pStyle w:val="5"/>
        <w:spacing w:before="0" w:beforeAutospacing="0" w:after="0" w:afterAutospacing="0" w:line="510" w:lineRule="atLeast"/>
        <w:ind w:firstLine="540"/>
        <w:rPr>
          <w:color w:val="333333"/>
          <w:sz w:val="27"/>
          <w:szCs w:val="27"/>
        </w:rPr>
      </w:pPr>
      <w:r>
        <w:rPr>
          <w:rFonts w:hint="eastAsia"/>
          <w:color w:val="333333"/>
          <w:sz w:val="27"/>
          <w:szCs w:val="27"/>
        </w:rPr>
        <w:t>为贯彻落实《中共湖南省委湖南省人民政府关于深化投融资体制改革的实施意见》（湘发〔2016〕33号）和《湖南省人民政府关于清理规范59项省政府部门行政审批中介服务事项的决定》（湘政发〔2016〕3号）等文件精神，加快推进我省房屋建筑和市政基础设施工程施工图（含勘察文件和施工图设计文件，简称为施工图）审查制度改革。</w:t>
      </w:r>
    </w:p>
    <w:p>
      <w:pPr>
        <w:pStyle w:val="5"/>
        <w:spacing w:before="0" w:beforeAutospacing="0" w:after="0" w:afterAutospacing="0" w:line="510" w:lineRule="atLeast"/>
        <w:ind w:firstLine="540"/>
        <w:rPr>
          <w:color w:val="333333"/>
          <w:sz w:val="27"/>
          <w:szCs w:val="27"/>
        </w:rPr>
      </w:pPr>
      <w:r>
        <w:rPr>
          <w:rFonts w:hint="eastAsia"/>
          <w:color w:val="333333"/>
          <w:sz w:val="27"/>
          <w:szCs w:val="27"/>
        </w:rPr>
        <w:t>（二）项目绩效目标</w:t>
      </w:r>
    </w:p>
    <w:p>
      <w:pPr>
        <w:pStyle w:val="5"/>
        <w:spacing w:before="0" w:beforeAutospacing="0" w:after="0" w:afterAutospacing="0" w:line="510" w:lineRule="atLeast"/>
        <w:ind w:firstLine="620" w:firstLineChars="200"/>
        <w:rPr>
          <w:rFonts w:ascii="仿宋_GB2312" w:hAnsi="微软雅黑" w:cs="仿宋_GB2312"/>
          <w:color w:val="4C4C4C"/>
          <w:sz w:val="31"/>
          <w:szCs w:val="31"/>
          <w:shd w:val="clear" w:color="auto" w:fill="FFFFFF"/>
        </w:rPr>
      </w:pPr>
      <w:r>
        <w:rPr>
          <w:rFonts w:ascii="仿宋_GB2312" w:hAnsi="微软雅黑" w:eastAsia="仿宋_GB2312" w:cs="仿宋_GB2312"/>
          <w:color w:val="4C4C4C"/>
          <w:sz w:val="31"/>
          <w:szCs w:val="31"/>
          <w:shd w:val="clear" w:color="auto" w:fill="FFFFFF"/>
        </w:rPr>
        <w:t>1、</w:t>
      </w:r>
      <w:r>
        <w:rPr>
          <w:rFonts w:hint="eastAsia" w:ascii="仿宋_GB2312" w:hAnsi="微软雅黑" w:eastAsia="仿宋_GB2312" w:cs="仿宋_GB2312"/>
          <w:color w:val="4C4C4C"/>
          <w:sz w:val="31"/>
          <w:szCs w:val="31"/>
          <w:shd w:val="clear" w:color="auto" w:fill="FFFFFF"/>
        </w:rPr>
        <w:t>总体目标：</w:t>
      </w:r>
      <w:r>
        <w:rPr>
          <w:rFonts w:hint="eastAsia"/>
          <w:color w:val="333333"/>
          <w:sz w:val="27"/>
          <w:szCs w:val="27"/>
        </w:rPr>
        <w:t>创新施工图审查管理机制，采取"一个平台多方共享、一家审查多方共管、一份报告多方共用"的审查管理模式，将由投资者分别委托付费审查改革为政府购买服务统一委托审查（多审合一），将由建设单位向多部门分头申报施工图审核改革为依托互联网向多部门申报施工图并联审核（多图联审），提高办事效率，减轻企业负担，增强监管能力，提高施工许可便利度，优化投资环境，促进经济社会发展。</w:t>
      </w:r>
    </w:p>
    <w:p>
      <w:pPr>
        <w:pStyle w:val="5"/>
        <w:spacing w:before="0" w:beforeAutospacing="0" w:after="0" w:afterAutospacing="0" w:line="510" w:lineRule="atLeast"/>
        <w:ind w:firstLine="620" w:firstLineChars="200"/>
        <w:rPr>
          <w:rFonts w:ascii="仿宋_GB2312" w:hAnsi="微软雅黑" w:eastAsia="仿宋_GB2312" w:cs="仿宋_GB2312"/>
          <w:color w:val="4C4C4C"/>
          <w:sz w:val="31"/>
          <w:szCs w:val="31"/>
          <w:shd w:val="clear" w:color="auto" w:fill="FFFFFF"/>
        </w:rPr>
      </w:pPr>
      <w:r>
        <w:rPr>
          <w:rFonts w:ascii="仿宋_GB2312" w:hAnsi="微软雅黑" w:eastAsia="仿宋_GB2312" w:cs="仿宋_GB2312"/>
          <w:color w:val="4C4C4C"/>
          <w:sz w:val="31"/>
          <w:szCs w:val="31"/>
          <w:shd w:val="clear" w:color="auto" w:fill="FFFFFF"/>
        </w:rPr>
        <w:t>2、</w:t>
      </w:r>
      <w:r>
        <w:rPr>
          <w:rFonts w:hint="eastAsia" w:ascii="仿宋_GB2312" w:hAnsi="微软雅黑" w:eastAsia="仿宋_GB2312" w:cs="仿宋_GB2312"/>
          <w:color w:val="4C4C4C"/>
          <w:sz w:val="31"/>
          <w:szCs w:val="31"/>
          <w:shd w:val="clear" w:color="auto" w:fill="FFFFFF"/>
        </w:rPr>
        <w:t>阶段性目标：完成2020年施工图审查项目</w:t>
      </w:r>
      <w:r>
        <w:rPr>
          <w:rFonts w:hint="eastAsia" w:ascii="仿宋_GB2312" w:hAnsi="微软雅黑" w:eastAsia="仿宋_GB2312" w:cs="仿宋_GB2312"/>
          <w:color w:val="4C4C4C"/>
          <w:sz w:val="31"/>
          <w:szCs w:val="31"/>
          <w:shd w:val="clear" w:color="auto" w:fill="FFFFFF"/>
          <w:lang w:val="en-US" w:eastAsia="zh-CN"/>
        </w:rPr>
        <w:t>8</w:t>
      </w:r>
      <w:r>
        <w:rPr>
          <w:rFonts w:hint="eastAsia" w:ascii="仿宋_GB2312" w:hAnsi="微软雅黑" w:eastAsia="仿宋_GB2312" w:cs="仿宋_GB2312"/>
          <w:color w:val="4C4C4C"/>
          <w:sz w:val="31"/>
          <w:szCs w:val="31"/>
          <w:shd w:val="clear" w:color="auto" w:fill="FFFFFF"/>
        </w:rPr>
        <w:t xml:space="preserve">个，实施政府购买支付施工图费 </w:t>
      </w:r>
      <w:r>
        <w:rPr>
          <w:rFonts w:hint="eastAsia" w:ascii="仿宋_GB2312" w:hAnsi="微软雅黑" w:eastAsia="仿宋_GB2312" w:cs="仿宋_GB2312"/>
          <w:color w:val="4C4C4C"/>
          <w:sz w:val="31"/>
          <w:szCs w:val="31"/>
          <w:shd w:val="clear" w:color="auto" w:fill="FFFFFF"/>
          <w:lang w:val="en-US" w:eastAsia="zh-CN"/>
        </w:rPr>
        <w:t>46.9447</w:t>
      </w:r>
      <w:r>
        <w:rPr>
          <w:rFonts w:hint="eastAsia" w:ascii="仿宋_GB2312" w:hAnsi="微软雅黑" w:eastAsia="仿宋_GB2312" w:cs="仿宋_GB2312"/>
          <w:color w:val="4C4C4C"/>
          <w:sz w:val="31"/>
          <w:szCs w:val="31"/>
          <w:shd w:val="clear" w:color="auto" w:fill="FFFFFF"/>
          <w:lang w:eastAsia="zh-CN"/>
        </w:rPr>
        <w:t>万</w:t>
      </w:r>
      <w:r>
        <w:rPr>
          <w:rFonts w:hint="eastAsia" w:ascii="仿宋_GB2312" w:hAnsi="微软雅黑" w:eastAsia="仿宋_GB2312" w:cs="仿宋_GB2312"/>
          <w:color w:val="4C4C4C"/>
          <w:sz w:val="31"/>
          <w:szCs w:val="31"/>
          <w:shd w:val="clear" w:color="auto" w:fill="FFFFFF"/>
        </w:rPr>
        <w:t>元。</w:t>
      </w:r>
    </w:p>
    <w:p>
      <w:pPr>
        <w:pStyle w:val="5"/>
        <w:shd w:val="clear" w:color="auto" w:fill="FFFFFF"/>
        <w:spacing w:before="0" w:beforeAutospacing="0" w:after="0" w:line="450" w:lineRule="atLeast"/>
        <w:rPr>
          <w:rFonts w:hint="eastAsia" w:ascii="Times New Roman" w:hAnsi="Times New Roman" w:eastAsia="楷体" w:cs="Times New Roman"/>
          <w:b/>
          <w:kern w:val="2"/>
          <w:sz w:val="32"/>
          <w:szCs w:val="32"/>
        </w:rPr>
      </w:pPr>
      <w:r>
        <w:rPr>
          <w:rFonts w:hint="eastAsia" w:ascii="Times New Roman" w:hAnsi="Times New Roman" w:eastAsia="楷体" w:cs="Times New Roman"/>
          <w:b/>
          <w:kern w:val="2"/>
          <w:sz w:val="32"/>
          <w:szCs w:val="32"/>
        </w:rPr>
        <w:t>二、绩效评价工作开展情况</w:t>
      </w:r>
    </w:p>
    <w:p>
      <w:pPr>
        <w:pStyle w:val="5"/>
        <w:shd w:val="clear" w:color="auto" w:fill="FFFFFF"/>
        <w:spacing w:before="0" w:beforeAutospacing="0" w:after="0" w:line="450" w:lineRule="atLeast"/>
        <w:ind w:firstLine="270" w:firstLineChars="100"/>
        <w:rPr>
          <w:color w:val="333333"/>
          <w:sz w:val="27"/>
          <w:szCs w:val="27"/>
        </w:rPr>
      </w:pPr>
      <w:bookmarkStart w:id="0" w:name="_GoBack"/>
      <w:bookmarkEnd w:id="0"/>
      <w:r>
        <w:rPr>
          <w:rFonts w:hint="eastAsia"/>
          <w:color w:val="333333"/>
          <w:sz w:val="27"/>
          <w:szCs w:val="27"/>
        </w:rPr>
        <w:t>（一）绩效评价目的、对象和范围</w:t>
      </w:r>
    </w:p>
    <w:p>
      <w:pPr>
        <w:pStyle w:val="5"/>
        <w:shd w:val="clear" w:color="auto" w:fill="FFFFFF"/>
        <w:spacing w:before="0" w:beforeAutospacing="0" w:after="0" w:line="450" w:lineRule="atLeast"/>
        <w:ind w:firstLine="42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评价目的：</w:t>
      </w:r>
      <w:r>
        <w:rPr>
          <w:rFonts w:ascii="仿宋_GB2312" w:hAnsi="微软雅黑" w:eastAsia="仿宋_GB2312" w:cs="仿宋_GB2312"/>
          <w:color w:val="4C4C4C"/>
          <w:sz w:val="31"/>
          <w:szCs w:val="31"/>
          <w:shd w:val="clear" w:color="auto" w:fill="FFFFFF"/>
        </w:rPr>
        <w:t>加强和规范资金管理，提高资金使用效益；建立健全绩效评价机制，更好实现资金</w:t>
      </w:r>
      <w:r>
        <w:rPr>
          <w:rFonts w:hint="eastAsia" w:ascii="仿宋_GB2312" w:hAnsi="微软雅黑" w:eastAsia="仿宋_GB2312" w:cs="仿宋_GB2312"/>
          <w:color w:val="4C4C4C"/>
          <w:sz w:val="31"/>
          <w:szCs w:val="31"/>
          <w:shd w:val="clear" w:color="auto" w:fill="FFFFFF"/>
        </w:rPr>
        <w:t>管理</w:t>
      </w:r>
      <w:r>
        <w:rPr>
          <w:rFonts w:ascii="仿宋_GB2312" w:hAnsi="微软雅黑" w:eastAsia="仿宋_GB2312" w:cs="仿宋_GB2312"/>
          <w:color w:val="4C4C4C"/>
          <w:sz w:val="31"/>
          <w:szCs w:val="31"/>
          <w:shd w:val="clear" w:color="auto" w:fill="FFFFFF"/>
        </w:rPr>
        <w:t>目标。</w:t>
      </w:r>
    </w:p>
    <w:p>
      <w:pPr>
        <w:pStyle w:val="5"/>
        <w:shd w:val="clear" w:color="auto" w:fill="FFFFFF"/>
        <w:spacing w:before="0" w:beforeAutospacing="0" w:after="0" w:line="450" w:lineRule="atLeast"/>
        <w:ind w:firstLine="42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本次绩效评价的对象和范围：2020年中方县房屋和市政工程施工图审查项目业主单位。</w:t>
      </w:r>
    </w:p>
    <w:p>
      <w:pPr>
        <w:pStyle w:val="5"/>
        <w:shd w:val="clear" w:color="auto" w:fill="FFFFFF"/>
        <w:spacing w:before="0" w:beforeAutospacing="0" w:after="0" w:line="450" w:lineRule="atLeast"/>
        <w:ind w:firstLine="420"/>
        <w:rPr>
          <w:rFonts w:ascii="仿宋_GB2312" w:hAnsi="微软雅黑" w:eastAsia="仿宋_GB2312" w:cs="仿宋_GB2312"/>
          <w:color w:val="4C4C4C"/>
          <w:sz w:val="31"/>
          <w:szCs w:val="31"/>
          <w:shd w:val="clear" w:color="auto" w:fill="FFFFFF"/>
        </w:rPr>
      </w:pPr>
      <w:r>
        <w:rPr>
          <w:rFonts w:ascii="仿宋_GB2312" w:hAnsi="微软雅黑" w:eastAsia="仿宋_GB2312" w:cs="仿宋_GB2312"/>
          <w:color w:val="4C4C4C"/>
          <w:sz w:val="31"/>
          <w:szCs w:val="31"/>
          <w:shd w:val="clear" w:color="auto" w:fill="FFFFFF"/>
        </w:rPr>
        <w:t>（二）绩效评价原则、评价指标体系、评价方法</w:t>
      </w:r>
      <w:r>
        <w:rPr>
          <w:rFonts w:hint="eastAsia" w:ascii="仿宋_GB2312" w:hAnsi="微软雅黑" w:eastAsia="仿宋_GB2312" w:cs="仿宋_GB2312"/>
          <w:color w:val="4C4C4C"/>
          <w:sz w:val="31"/>
          <w:szCs w:val="31"/>
          <w:shd w:val="clear" w:color="auto" w:fill="FFFFFF"/>
        </w:rPr>
        <w:t>、评价标准</w:t>
      </w:r>
    </w:p>
    <w:p>
      <w:pPr>
        <w:pStyle w:val="5"/>
        <w:shd w:val="clear" w:color="auto" w:fill="FFFFFF"/>
        <w:spacing w:before="0" w:beforeAutospacing="0" w:after="0" w:line="450" w:lineRule="atLeast"/>
        <w:ind w:firstLine="420"/>
        <w:rPr>
          <w:rFonts w:ascii="仿宋_GB2312" w:hAnsi="微软雅黑" w:eastAsia="仿宋_GB2312" w:cs="仿宋_GB2312"/>
          <w:color w:val="4C4C4C"/>
          <w:sz w:val="31"/>
          <w:szCs w:val="31"/>
          <w:shd w:val="clear" w:color="auto" w:fill="FFFFFF"/>
        </w:rPr>
      </w:pPr>
      <w:r>
        <w:rPr>
          <w:rFonts w:ascii="仿宋_GB2312" w:hAnsi="微软雅黑" w:eastAsia="仿宋_GB2312" w:cs="仿宋_GB2312"/>
          <w:color w:val="4C4C4C"/>
          <w:sz w:val="31"/>
          <w:szCs w:val="31"/>
          <w:shd w:val="clear" w:color="auto" w:fill="FFFFFF"/>
        </w:rPr>
        <w:t>1、绩效评价原则：（</w:t>
      </w:r>
      <w:r>
        <w:rPr>
          <w:rFonts w:hint="eastAsia" w:ascii="仿宋_GB2312" w:hAnsi="微软雅黑" w:eastAsia="仿宋_GB2312" w:cs="仿宋_GB2312"/>
          <w:color w:val="4C4C4C"/>
          <w:sz w:val="31"/>
          <w:szCs w:val="31"/>
          <w:shd w:val="clear" w:color="auto" w:fill="FFFFFF"/>
        </w:rPr>
        <w:t>1</w:t>
      </w:r>
      <w:r>
        <w:rPr>
          <w:rFonts w:ascii="仿宋_GB2312" w:hAnsi="微软雅黑" w:eastAsia="仿宋_GB2312" w:cs="仿宋_GB2312"/>
          <w:color w:val="4C4C4C"/>
          <w:sz w:val="31"/>
          <w:szCs w:val="31"/>
          <w:shd w:val="clear" w:color="auto" w:fill="FFFFFF"/>
        </w:rPr>
        <w:t>）客观、科学、公正的原则；（</w:t>
      </w:r>
      <w:r>
        <w:rPr>
          <w:rFonts w:hint="eastAsia" w:ascii="仿宋_GB2312" w:hAnsi="微软雅黑" w:eastAsia="仿宋_GB2312" w:cs="仿宋_GB2312"/>
          <w:color w:val="4C4C4C"/>
          <w:sz w:val="31"/>
          <w:szCs w:val="31"/>
          <w:shd w:val="clear" w:color="auto" w:fill="FFFFFF"/>
        </w:rPr>
        <w:t>2</w:t>
      </w:r>
      <w:r>
        <w:rPr>
          <w:rFonts w:ascii="仿宋_GB2312" w:hAnsi="微软雅黑" w:eastAsia="仿宋_GB2312" w:cs="仿宋_GB2312"/>
          <w:color w:val="4C4C4C"/>
          <w:sz w:val="31"/>
          <w:szCs w:val="31"/>
          <w:shd w:val="clear" w:color="auto" w:fill="FFFFFF"/>
        </w:rPr>
        <w:t>）综合绩效评价的原则；（</w:t>
      </w:r>
      <w:r>
        <w:rPr>
          <w:rFonts w:hint="eastAsia" w:ascii="仿宋_GB2312" w:hAnsi="微软雅黑" w:eastAsia="仿宋_GB2312" w:cs="仿宋_GB2312"/>
          <w:color w:val="4C4C4C"/>
          <w:sz w:val="31"/>
          <w:szCs w:val="31"/>
          <w:shd w:val="clear" w:color="auto" w:fill="FFFFFF"/>
        </w:rPr>
        <w:t>3</w:t>
      </w:r>
      <w:r>
        <w:rPr>
          <w:rFonts w:ascii="仿宋_GB2312" w:hAnsi="微软雅黑" w:eastAsia="仿宋_GB2312" w:cs="仿宋_GB2312"/>
          <w:color w:val="4C4C4C"/>
          <w:sz w:val="31"/>
          <w:szCs w:val="31"/>
          <w:shd w:val="clear" w:color="auto" w:fill="FFFFFF"/>
        </w:rPr>
        <w:t>）定量分析与定性分析的原则；（</w:t>
      </w:r>
      <w:r>
        <w:rPr>
          <w:rFonts w:hint="eastAsia" w:ascii="仿宋_GB2312" w:hAnsi="微软雅黑" w:eastAsia="仿宋_GB2312" w:cs="仿宋_GB2312"/>
          <w:color w:val="4C4C4C"/>
          <w:sz w:val="31"/>
          <w:szCs w:val="31"/>
          <w:shd w:val="clear" w:color="auto" w:fill="FFFFFF"/>
        </w:rPr>
        <w:t>4</w:t>
      </w:r>
      <w:r>
        <w:rPr>
          <w:rFonts w:ascii="仿宋_GB2312" w:hAnsi="微软雅黑" w:eastAsia="仿宋_GB2312" w:cs="仿宋_GB2312"/>
          <w:color w:val="4C4C4C"/>
          <w:sz w:val="31"/>
          <w:szCs w:val="31"/>
          <w:shd w:val="clear" w:color="auto" w:fill="FFFFFF"/>
        </w:rPr>
        <w:t>）统筹规划、稳步推进的原则；（</w:t>
      </w:r>
      <w:r>
        <w:rPr>
          <w:rFonts w:hint="eastAsia" w:ascii="仿宋_GB2312" w:hAnsi="微软雅黑" w:eastAsia="仿宋_GB2312" w:cs="仿宋_GB2312"/>
          <w:color w:val="4C4C4C"/>
          <w:sz w:val="31"/>
          <w:szCs w:val="31"/>
          <w:shd w:val="clear" w:color="auto" w:fill="FFFFFF"/>
        </w:rPr>
        <w:t>5</w:t>
      </w:r>
      <w:r>
        <w:rPr>
          <w:rFonts w:ascii="仿宋_GB2312" w:hAnsi="微软雅黑" w:eastAsia="仿宋_GB2312" w:cs="仿宋_GB2312"/>
          <w:color w:val="4C4C4C"/>
          <w:sz w:val="31"/>
          <w:szCs w:val="31"/>
          <w:shd w:val="clear" w:color="auto" w:fill="FFFFFF"/>
        </w:rPr>
        <w:t>）财政支出绩效评价与财政支出管理相结合的原则；（</w:t>
      </w:r>
      <w:r>
        <w:rPr>
          <w:rFonts w:hint="eastAsia" w:ascii="仿宋_GB2312" w:hAnsi="微软雅黑" w:eastAsia="仿宋_GB2312" w:cs="仿宋_GB2312"/>
          <w:color w:val="4C4C4C"/>
          <w:sz w:val="31"/>
          <w:szCs w:val="31"/>
          <w:shd w:val="clear" w:color="auto" w:fill="FFFFFF"/>
        </w:rPr>
        <w:t>6</w:t>
      </w:r>
      <w:r>
        <w:rPr>
          <w:rFonts w:ascii="仿宋_GB2312" w:hAnsi="微软雅黑" w:eastAsia="仿宋_GB2312" w:cs="仿宋_GB2312"/>
          <w:color w:val="4C4C4C"/>
          <w:sz w:val="31"/>
          <w:szCs w:val="31"/>
          <w:shd w:val="clear" w:color="auto" w:fill="FFFFFF"/>
        </w:rPr>
        <w:t>）财政支出绩效评价贯彻事前、事中、事后的原则。</w:t>
      </w:r>
    </w:p>
    <w:p>
      <w:pPr>
        <w:pStyle w:val="5"/>
        <w:shd w:val="clear" w:color="auto" w:fill="FFFFFF"/>
        <w:spacing w:before="0" w:beforeAutospacing="0" w:after="0" w:line="450" w:lineRule="atLeast"/>
        <w:ind w:firstLine="620" w:firstLineChars="20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2</w:t>
      </w:r>
      <w:r>
        <w:rPr>
          <w:rFonts w:ascii="仿宋_GB2312" w:hAnsi="微软雅黑" w:eastAsia="仿宋_GB2312" w:cs="仿宋_GB2312"/>
          <w:color w:val="4C4C4C"/>
          <w:sz w:val="31"/>
          <w:szCs w:val="31"/>
          <w:shd w:val="clear" w:color="auto" w:fill="FFFFFF"/>
        </w:rPr>
        <w:t>、评价方法</w:t>
      </w:r>
      <w:r>
        <w:rPr>
          <w:rFonts w:hint="eastAsia" w:ascii="仿宋_GB2312" w:hAnsi="微软雅黑" w:eastAsia="仿宋_GB2312" w:cs="仿宋_GB2312"/>
          <w:color w:val="4C4C4C"/>
          <w:sz w:val="31"/>
          <w:szCs w:val="31"/>
          <w:shd w:val="clear" w:color="auto" w:fill="FFFFFF"/>
        </w:rPr>
        <w:t>：</w:t>
      </w:r>
      <w:r>
        <w:rPr>
          <w:rFonts w:ascii="仿宋_GB2312" w:hAnsi="微软雅黑" w:eastAsia="仿宋_GB2312" w:cs="仿宋_GB2312"/>
          <w:color w:val="4C4C4C"/>
          <w:sz w:val="31"/>
          <w:szCs w:val="31"/>
          <w:shd w:val="clear" w:color="auto" w:fill="FFFFFF"/>
        </w:rPr>
        <w:t>因素分析法。</w:t>
      </w:r>
    </w:p>
    <w:p>
      <w:pPr>
        <w:pStyle w:val="5"/>
        <w:shd w:val="clear" w:color="auto" w:fill="FFFFFF"/>
        <w:spacing w:before="0" w:beforeAutospacing="0" w:after="0" w:line="450" w:lineRule="atLeast"/>
        <w:ind w:firstLine="645"/>
        <w:rPr>
          <w:rFonts w:ascii="微软雅黑" w:hAnsi="微软雅黑" w:eastAsia="微软雅黑" w:cs="微软雅黑"/>
          <w:color w:val="4C4C4C"/>
        </w:rPr>
      </w:pPr>
      <w:r>
        <w:rPr>
          <w:rFonts w:hint="eastAsia" w:ascii="仿宋_GB2312" w:hAnsi="微软雅黑" w:eastAsia="仿宋_GB2312" w:cs="仿宋_GB2312"/>
          <w:color w:val="4C4C4C"/>
          <w:sz w:val="31"/>
          <w:szCs w:val="31"/>
          <w:shd w:val="clear" w:color="auto" w:fill="FFFFFF"/>
        </w:rPr>
        <w:t>3</w:t>
      </w:r>
      <w:r>
        <w:rPr>
          <w:rFonts w:ascii="仿宋_GB2312" w:hAnsi="微软雅黑" w:eastAsia="仿宋_GB2312" w:cs="仿宋_GB2312"/>
          <w:color w:val="4C4C4C"/>
          <w:sz w:val="31"/>
          <w:szCs w:val="31"/>
          <w:shd w:val="clear" w:color="auto" w:fill="FFFFFF"/>
        </w:rPr>
        <w:t>、评价指标体系详见附表。</w:t>
      </w:r>
    </w:p>
    <w:p>
      <w:pPr>
        <w:pStyle w:val="5"/>
        <w:shd w:val="clear" w:color="auto" w:fill="FFFFFF"/>
        <w:spacing w:before="0" w:beforeAutospacing="0" w:after="0" w:line="450" w:lineRule="atLeast"/>
        <w:ind w:firstLine="420"/>
        <w:rPr>
          <w:rFonts w:ascii="仿宋_GB2312" w:hAnsi="微软雅黑" w:eastAsia="仿宋_GB2312" w:cs="仿宋_GB2312"/>
          <w:color w:val="4C4C4C"/>
          <w:sz w:val="31"/>
          <w:szCs w:val="31"/>
          <w:shd w:val="clear" w:color="auto" w:fill="FFFFFF"/>
        </w:rPr>
      </w:pPr>
      <w:r>
        <w:rPr>
          <w:rFonts w:ascii="仿宋_GB2312" w:hAnsi="微软雅黑" w:eastAsia="仿宋_GB2312" w:cs="仿宋_GB2312"/>
          <w:color w:val="4C4C4C"/>
          <w:sz w:val="31"/>
          <w:szCs w:val="31"/>
          <w:shd w:val="clear" w:color="auto" w:fill="FFFFFF"/>
        </w:rPr>
        <w:t>（三）绩效评价工作过程</w:t>
      </w:r>
    </w:p>
    <w:p>
      <w:pPr>
        <w:pStyle w:val="5"/>
        <w:shd w:val="clear" w:color="auto" w:fill="FFFFFF"/>
        <w:spacing w:before="0" w:beforeAutospacing="0" w:after="0" w:line="450" w:lineRule="atLeast"/>
        <w:ind w:firstLine="42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2021年7月初，由本局潘科夫副局长主管，财务室牵头，城乡和人防建设管理股和建筑、人防工程管理股、科技与设计管理股负责的绩效自评工作领导小组。根据预算管理和绩效评价相关制度和文件，制定本次绩效评价工作的自评工作方案，向参与本次评价的股室下达绩效通知书，各股室通过</w:t>
      </w:r>
      <w:r>
        <w:rPr>
          <w:rFonts w:ascii="仿宋_GB2312" w:hAnsi="微软雅黑" w:eastAsia="仿宋_GB2312" w:cs="仿宋_GB2312"/>
          <w:color w:val="4C4C4C"/>
          <w:sz w:val="31"/>
          <w:szCs w:val="31"/>
          <w:shd w:val="clear" w:color="auto" w:fill="FFFFFF"/>
        </w:rPr>
        <w:t>查询数据的真实性、准确性、完整性，再根据设定的评价指标、评价方法，并辅以问卷调查、工作座谈等方式进行定量和定性分析，得出最终结果。</w:t>
      </w:r>
      <w:r>
        <w:rPr>
          <w:rFonts w:hint="eastAsia" w:ascii="仿宋_GB2312" w:hAnsi="微软雅黑" w:eastAsia="仿宋_GB2312" w:cs="仿宋_GB2312"/>
          <w:color w:val="4C4C4C"/>
          <w:sz w:val="31"/>
          <w:szCs w:val="31"/>
          <w:shd w:val="clear" w:color="auto" w:fill="FFFFFF"/>
        </w:rPr>
        <w:t>由财务室填写&lt;&lt;项目支出绩效自评表&gt;&gt;进行自评。然后再运用科学、合理的绩效评价指标、评价标准和方法，组织开展绩效评价，</w:t>
      </w:r>
      <w:r>
        <w:rPr>
          <w:rFonts w:ascii="仿宋_GB2312" w:hAnsi="微软雅黑" w:eastAsia="仿宋_GB2312" w:cs="仿宋_GB2312"/>
          <w:color w:val="4C4C4C"/>
          <w:sz w:val="31"/>
          <w:szCs w:val="31"/>
          <w:shd w:val="clear" w:color="auto" w:fill="FFFFFF"/>
        </w:rPr>
        <w:t>撰写</w:t>
      </w:r>
      <w:r>
        <w:rPr>
          <w:rFonts w:hint="eastAsia" w:ascii="仿宋_GB2312" w:hAnsi="微软雅黑" w:eastAsia="仿宋_GB2312" w:cs="仿宋_GB2312"/>
          <w:color w:val="4C4C4C"/>
          <w:sz w:val="31"/>
          <w:szCs w:val="31"/>
          <w:shd w:val="clear" w:color="auto" w:fill="FFFFFF"/>
        </w:rPr>
        <w:t>本项目的</w:t>
      </w:r>
      <w:r>
        <w:rPr>
          <w:rFonts w:ascii="仿宋_GB2312" w:hAnsi="微软雅黑" w:eastAsia="仿宋_GB2312" w:cs="仿宋_GB2312"/>
          <w:color w:val="4C4C4C"/>
          <w:sz w:val="31"/>
          <w:szCs w:val="31"/>
          <w:shd w:val="clear" w:color="auto" w:fill="FFFFFF"/>
        </w:rPr>
        <w:t>绩效评价报告。</w:t>
      </w:r>
    </w:p>
    <w:p>
      <w:pPr>
        <w:pStyle w:val="5"/>
        <w:shd w:val="clear" w:color="auto" w:fill="FFFFFF"/>
        <w:spacing w:before="0" w:beforeAutospacing="0" w:after="0" w:line="450" w:lineRule="atLeast"/>
        <w:rPr>
          <w:rFonts w:ascii="Times New Roman" w:hAnsi="Times New Roman" w:eastAsia="楷体" w:cs="Times New Roman"/>
          <w:b/>
          <w:kern w:val="2"/>
          <w:sz w:val="32"/>
          <w:szCs w:val="32"/>
        </w:rPr>
      </w:pPr>
      <w:r>
        <w:rPr>
          <w:rFonts w:hint="eastAsia" w:ascii="Times New Roman" w:hAnsi="Times New Roman" w:eastAsia="楷体" w:cs="Times New Roman"/>
          <w:b/>
          <w:kern w:val="2"/>
          <w:sz w:val="32"/>
          <w:szCs w:val="32"/>
        </w:rPr>
        <w:t>三、综合评价情况及评价结论</w:t>
      </w:r>
    </w:p>
    <w:p>
      <w:pPr>
        <w:pStyle w:val="5"/>
        <w:shd w:val="clear" w:color="auto" w:fill="FFFFFF"/>
        <w:spacing w:before="0" w:beforeAutospacing="0" w:after="0" w:line="450" w:lineRule="atLeast"/>
        <w:ind w:firstLine="930" w:firstLineChars="30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（一）综合评价情况</w:t>
      </w:r>
    </w:p>
    <w:p>
      <w:pPr>
        <w:pStyle w:val="5"/>
        <w:shd w:val="clear" w:color="auto" w:fill="FFFFFF"/>
        <w:spacing w:before="0" w:beforeAutospacing="0" w:after="0" w:line="450" w:lineRule="atLeast"/>
        <w:ind w:firstLine="42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项目实现建设单位送审施工图 "零跑路"、"零付费"，与相关部门"零接触"，群众满意度高。</w:t>
      </w:r>
    </w:p>
    <w:p>
      <w:pPr>
        <w:pStyle w:val="5"/>
        <w:shd w:val="clear" w:color="auto" w:fill="FFFFFF"/>
        <w:spacing w:before="0" w:beforeAutospacing="0" w:after="0" w:line="450" w:lineRule="atLeast"/>
        <w:ind w:firstLine="42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在资金管理上，严格按照规定，实行专账管理，确保了</w:t>
      </w:r>
      <w:r>
        <w:rPr>
          <w:rFonts w:hint="eastAsia" w:ascii="Times New Roman" w:hAnsi="Times New Roman" w:eastAsia="仿宋"/>
          <w:sz w:val="32"/>
          <w:szCs w:val="32"/>
        </w:rPr>
        <w:t>中</w:t>
      </w:r>
      <w:r>
        <w:rPr>
          <w:rFonts w:hint="eastAsia" w:ascii="仿宋_GB2312" w:hAnsi="微软雅黑" w:eastAsia="仿宋_GB2312" w:cs="仿宋_GB2312"/>
          <w:color w:val="4C4C4C"/>
          <w:sz w:val="31"/>
          <w:szCs w:val="31"/>
          <w:shd w:val="clear" w:color="auto" w:fill="FFFFFF"/>
        </w:rPr>
        <w:t>方南湖二期1、2号楼及商业综合楼等8个项目施工图审查费资金及时支付到位。</w:t>
      </w:r>
    </w:p>
    <w:p>
      <w:pPr>
        <w:pStyle w:val="5"/>
        <w:numPr>
          <w:ilvl w:val="0"/>
          <w:numId w:val="1"/>
        </w:numPr>
        <w:shd w:val="clear" w:color="auto" w:fill="FFFFFF"/>
        <w:spacing w:before="0" w:beforeAutospacing="0" w:after="0" w:line="450" w:lineRule="atLeast"/>
        <w:ind w:firstLine="42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评价结论</w:t>
      </w:r>
    </w:p>
    <w:p>
      <w:pPr>
        <w:pStyle w:val="5"/>
        <w:shd w:val="clear" w:color="auto" w:fill="FFFFFF"/>
        <w:spacing w:before="0" w:beforeAutospacing="0" w:after="0" w:line="450" w:lineRule="atLeast"/>
        <w:ind w:firstLine="620" w:firstLineChars="20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2020年度项目管理规范，资金管理安全，资金拨付及时到位，社会效益比较显著，群众满意率高。</w:t>
      </w:r>
    </w:p>
    <w:p>
      <w:pPr>
        <w:pStyle w:val="5"/>
        <w:shd w:val="clear" w:color="auto" w:fill="FFFFFF"/>
        <w:spacing w:before="0" w:beforeAutospacing="0" w:after="0" w:line="450" w:lineRule="atLeast"/>
        <w:ind w:firstLine="555"/>
        <w:rPr>
          <w:rFonts w:ascii="仿宋_GB2312" w:hAnsi="微软雅黑" w:eastAsia="仿宋_GB2312" w:cs="仿宋_GB2312"/>
          <w:sz w:val="31"/>
          <w:szCs w:val="31"/>
          <w:shd w:val="clear" w:color="auto" w:fill="FFFFFF"/>
        </w:rPr>
      </w:pPr>
      <w:r>
        <w:rPr>
          <w:rFonts w:ascii="仿宋_GB2312" w:hAnsi="微软雅黑" w:eastAsia="仿宋_GB2312" w:cs="仿宋_GB2312"/>
          <w:color w:val="4C4C4C"/>
          <w:sz w:val="31"/>
          <w:szCs w:val="31"/>
          <w:shd w:val="clear" w:color="auto" w:fill="FFFFFF"/>
        </w:rPr>
        <w:t>按照《</w:t>
      </w:r>
      <w:r>
        <w:rPr>
          <w:rFonts w:hint="eastAsia" w:ascii="仿宋_GB2312" w:hAnsi="微软雅黑" w:eastAsia="仿宋_GB2312" w:cs="仿宋_GB2312"/>
          <w:color w:val="4C4C4C"/>
          <w:sz w:val="31"/>
          <w:szCs w:val="31"/>
          <w:shd w:val="clear" w:color="auto" w:fill="FFFFFF"/>
        </w:rPr>
        <w:t>2020年中方县施工图审查项目支出</w:t>
      </w:r>
      <w:r>
        <w:rPr>
          <w:rFonts w:ascii="仿宋_GB2312" w:hAnsi="微软雅黑" w:eastAsia="仿宋_GB2312" w:cs="仿宋_GB2312"/>
          <w:color w:val="4C4C4C"/>
          <w:sz w:val="31"/>
          <w:szCs w:val="31"/>
          <w:shd w:val="clear" w:color="auto" w:fill="FFFFFF"/>
        </w:rPr>
        <w:t>绩效评价指标体系》，评价工作组采用因素分析法对</w:t>
      </w:r>
      <w:r>
        <w:rPr>
          <w:rFonts w:hint="eastAsia" w:ascii="仿宋_GB2312" w:hAnsi="微软雅黑" w:eastAsia="仿宋_GB2312" w:cs="仿宋_GB2312"/>
          <w:color w:val="4C4C4C"/>
          <w:sz w:val="31"/>
          <w:szCs w:val="31"/>
          <w:shd w:val="clear" w:color="auto" w:fill="FFFFFF"/>
        </w:rPr>
        <w:t>该项目支出</w:t>
      </w:r>
      <w:r>
        <w:rPr>
          <w:rFonts w:ascii="仿宋_GB2312" w:hAnsi="微软雅黑" w:eastAsia="仿宋_GB2312" w:cs="仿宋_GB2312"/>
          <w:color w:val="4C4C4C"/>
          <w:sz w:val="31"/>
          <w:szCs w:val="31"/>
          <w:shd w:val="clear" w:color="auto" w:fill="FFFFFF"/>
        </w:rPr>
        <w:t>绩效进行评价的评分分值为</w:t>
      </w:r>
      <w:r>
        <w:rPr>
          <w:rFonts w:hint="eastAsia" w:ascii="仿宋_GB2312" w:hAnsi="微软雅黑" w:eastAsia="仿宋_GB2312" w:cs="仿宋_GB2312"/>
          <w:color w:val="4C4C4C"/>
          <w:sz w:val="31"/>
          <w:szCs w:val="31"/>
          <w:shd w:val="clear" w:color="auto" w:fill="FFFFFF"/>
        </w:rPr>
        <w:t>90</w:t>
      </w:r>
      <w:r>
        <w:rPr>
          <w:rFonts w:ascii="仿宋_GB2312" w:hAnsi="微软雅黑" w:eastAsia="仿宋_GB2312" w:cs="仿宋_GB2312"/>
          <w:sz w:val="31"/>
          <w:szCs w:val="31"/>
          <w:shd w:val="clear" w:color="auto" w:fill="FFFFFF"/>
        </w:rPr>
        <w:t>分。</w:t>
      </w:r>
    </w:p>
    <w:p>
      <w:pPr>
        <w:pStyle w:val="5"/>
        <w:shd w:val="clear" w:color="auto" w:fill="FFFFFF"/>
        <w:spacing w:before="0" w:beforeAutospacing="0" w:after="0" w:line="450" w:lineRule="atLeast"/>
        <w:ind w:firstLine="420"/>
        <w:rPr>
          <w:rFonts w:ascii="黑体" w:hAnsi="黑体" w:eastAsia="黑体" w:cs="黑体"/>
          <w:color w:val="4C4C4C"/>
          <w:sz w:val="31"/>
          <w:szCs w:val="31"/>
          <w:shd w:val="clear" w:color="auto" w:fill="FFFFFF"/>
        </w:rPr>
      </w:pPr>
      <w:r>
        <w:rPr>
          <w:rFonts w:ascii="仿宋_GB2312" w:hAnsi="微软雅黑" w:eastAsia="仿宋_GB2312" w:cs="仿宋_GB2312"/>
          <w:color w:val="4C4C4C"/>
          <w:sz w:val="31"/>
          <w:szCs w:val="31"/>
          <w:shd w:val="clear" w:color="auto" w:fill="FFFFFF"/>
        </w:rPr>
        <w:t> </w:t>
      </w:r>
      <w:r>
        <w:rPr>
          <w:rFonts w:hint="eastAsia" w:ascii="黑体" w:hAnsi="黑体" w:eastAsia="黑体" w:cs="黑体"/>
          <w:color w:val="4C4C4C"/>
          <w:sz w:val="31"/>
          <w:szCs w:val="31"/>
          <w:shd w:val="clear" w:color="auto" w:fill="FFFFFF"/>
        </w:rPr>
        <w:t>四、绩效评价指标分析情况</w:t>
      </w:r>
    </w:p>
    <w:p>
      <w:pPr>
        <w:pStyle w:val="5"/>
        <w:shd w:val="clear" w:color="auto" w:fill="FFFFFF"/>
        <w:spacing w:before="0" w:beforeAutospacing="0" w:after="0" w:line="450" w:lineRule="atLeast"/>
        <w:ind w:firstLine="620" w:firstLineChars="20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（一）项目决策情况：</w:t>
      </w:r>
    </w:p>
    <w:p>
      <w:pPr>
        <w:pStyle w:val="5"/>
        <w:shd w:val="clear" w:color="auto" w:fill="FFFFFF"/>
        <w:spacing w:before="0" w:beforeAutospacing="0" w:after="0" w:line="450" w:lineRule="atLeast"/>
        <w:ind w:firstLine="645"/>
        <w:rPr>
          <w:rFonts w:ascii="仿宋_GB2312" w:hAnsi="微软雅黑" w:eastAsia="仿宋_GB2312" w:cs="仿宋_GB2312"/>
          <w:sz w:val="31"/>
          <w:szCs w:val="31"/>
          <w:shd w:val="clear" w:color="auto" w:fill="FFFFFF"/>
        </w:rPr>
      </w:pPr>
      <w:r>
        <w:rPr>
          <w:rFonts w:hint="eastAsia" w:ascii="仿宋" w:hAnsi="仿宋" w:eastAsia="仿宋" w:cs="仿宋"/>
          <w:color w:val="4C4C4C"/>
          <w:sz w:val="31"/>
          <w:szCs w:val="31"/>
          <w:shd w:val="clear" w:color="auto" w:fill="FFFFFF"/>
        </w:rPr>
        <w:t>1</w:t>
      </w:r>
      <w:r>
        <w:rPr>
          <w:rFonts w:hint="eastAsia" w:ascii="仿宋_GB2312" w:hAnsi="微软雅黑" w:eastAsia="仿宋_GB2312" w:cs="仿宋_GB2312"/>
          <w:color w:val="4C4C4C"/>
          <w:sz w:val="31"/>
          <w:szCs w:val="31"/>
          <w:shd w:val="clear" w:color="auto" w:fill="FFFFFF"/>
        </w:rPr>
        <w:t>、项目立项：</w:t>
      </w:r>
      <w:r>
        <w:rPr>
          <w:rFonts w:hint="eastAsia" w:ascii="仿宋" w:hAnsi="仿宋" w:eastAsia="仿宋" w:cs="仿宋"/>
          <w:color w:val="4C4C4C"/>
          <w:sz w:val="31"/>
          <w:szCs w:val="31"/>
          <w:shd w:val="clear" w:color="auto" w:fill="FFFFFF"/>
        </w:rPr>
        <w:t>由副县长周怀志牵头，县住建局为牵头部门，根据县常务副县长、县长签署意见，县财政局相关股室配合，该项目立项依据充分、程序规范。</w:t>
      </w:r>
    </w:p>
    <w:p>
      <w:pPr>
        <w:pStyle w:val="5"/>
        <w:shd w:val="clear" w:color="auto" w:fill="FFFFFF"/>
        <w:spacing w:before="0" w:beforeAutospacing="0" w:after="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 xml:space="preserve"> 2、绩效目标：该项目设立了科学合理的绩效指标体系，一级指标三个，二级指标9个，三级指标13个，指标清晰、细化、可衡量，能反映和考核项目绩效目标的明化情况。</w:t>
      </w:r>
    </w:p>
    <w:p>
      <w:pPr>
        <w:pStyle w:val="5"/>
        <w:shd w:val="clear" w:color="auto" w:fill="FFFFFF"/>
        <w:spacing w:before="0" w:beforeAutospacing="0" w:after="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3、资金投入：项目资金根据县财政预算，接合项目投资实际情况，投资额与工作任务相匹配，资金分配额度合理，具有一定的科学性和合理性。</w:t>
      </w:r>
    </w:p>
    <w:p>
      <w:pPr>
        <w:pStyle w:val="5"/>
        <w:shd w:val="clear" w:color="auto" w:fill="FFFFFF"/>
        <w:spacing w:before="0" w:beforeAutospacing="0" w:after="0" w:line="450" w:lineRule="atLeast"/>
        <w:ind w:firstLine="620" w:firstLineChars="20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（二）项目过程情况分析</w:t>
      </w:r>
    </w:p>
    <w:p>
      <w:pPr>
        <w:pStyle w:val="5"/>
        <w:shd w:val="clear" w:color="auto" w:fill="FFFFFF"/>
        <w:spacing w:before="0" w:beforeAutospacing="0" w:after="0" w:line="450" w:lineRule="atLeast"/>
        <w:ind w:firstLine="645"/>
        <w:rPr>
          <w:rFonts w:ascii="仿宋_GB2312" w:hAnsi="微软雅黑" w:eastAsia="仿宋_GB2312" w:cs="仿宋_GB2312"/>
          <w:color w:val="4C4C4C"/>
          <w:sz w:val="31"/>
          <w:szCs w:val="31"/>
          <w:shd w:val="clear" w:color="auto" w:fill="FFFFFF"/>
        </w:rPr>
      </w:pPr>
      <w:r>
        <w:rPr>
          <w:rFonts w:ascii="仿宋_GB2312" w:hAnsi="微软雅黑" w:eastAsia="仿宋_GB2312" w:cs="仿宋_GB2312"/>
          <w:color w:val="4C4C4C"/>
          <w:sz w:val="31"/>
          <w:szCs w:val="31"/>
          <w:shd w:val="clear" w:color="auto" w:fill="FFFFFF"/>
        </w:rPr>
        <w:t>１、项目资金到位情况分析</w:t>
      </w:r>
    </w:p>
    <w:p>
      <w:pPr>
        <w:pStyle w:val="5"/>
        <w:shd w:val="clear" w:color="auto" w:fill="FFFFFF"/>
        <w:spacing w:before="0" w:beforeAutospacing="0" w:after="0" w:line="450" w:lineRule="atLeast"/>
        <w:ind w:firstLine="645"/>
        <w:rPr>
          <w:rFonts w:ascii="仿宋_GB2312" w:hAnsi="微软雅黑" w:eastAsia="仿宋_GB2312" w:cs="仿宋_GB2312"/>
          <w:color w:val="4C4C4C"/>
          <w:sz w:val="31"/>
          <w:szCs w:val="31"/>
          <w:shd w:val="clear" w:color="auto" w:fill="FFFFFF"/>
        </w:rPr>
      </w:pPr>
      <w:r>
        <w:rPr>
          <w:rFonts w:ascii="仿宋_GB2312" w:hAnsi="微软雅黑" w:eastAsia="仿宋_GB2312" w:cs="仿宋_GB2312"/>
          <w:color w:val="4C4C4C"/>
          <w:sz w:val="31"/>
          <w:szCs w:val="31"/>
          <w:shd w:val="clear" w:color="auto" w:fill="FFFFFF"/>
        </w:rPr>
        <w:t>20</w:t>
      </w:r>
      <w:r>
        <w:rPr>
          <w:rFonts w:hint="eastAsia" w:ascii="仿宋_GB2312" w:hAnsi="微软雅黑" w:eastAsia="仿宋_GB2312" w:cs="仿宋_GB2312"/>
          <w:color w:val="4C4C4C"/>
          <w:sz w:val="31"/>
          <w:szCs w:val="31"/>
          <w:shd w:val="clear" w:color="auto" w:fill="FFFFFF"/>
        </w:rPr>
        <w:t>20</w:t>
      </w:r>
      <w:r>
        <w:rPr>
          <w:rFonts w:ascii="仿宋_GB2312" w:hAnsi="微软雅黑" w:eastAsia="仿宋_GB2312" w:cs="仿宋_GB2312"/>
          <w:color w:val="4C4C4C"/>
          <w:sz w:val="31"/>
          <w:szCs w:val="31"/>
          <w:shd w:val="clear" w:color="auto" w:fill="FFFFFF"/>
        </w:rPr>
        <w:t>年</w:t>
      </w:r>
      <w:r>
        <w:rPr>
          <w:rFonts w:hint="eastAsia" w:ascii="仿宋_GB2312" w:hAnsi="微软雅黑" w:eastAsia="仿宋_GB2312" w:cs="仿宋_GB2312"/>
          <w:color w:val="4C4C4C"/>
          <w:sz w:val="31"/>
          <w:szCs w:val="31"/>
          <w:shd w:val="clear" w:color="auto" w:fill="FFFFFF"/>
        </w:rPr>
        <w:t>中方县财政局下达50万元。</w:t>
      </w:r>
    </w:p>
    <w:p>
      <w:pPr>
        <w:pStyle w:val="5"/>
        <w:shd w:val="clear" w:color="auto" w:fill="FFFFFF"/>
        <w:spacing w:before="0" w:beforeAutospacing="0" w:after="0" w:line="450" w:lineRule="atLeast"/>
        <w:ind w:firstLine="645"/>
        <w:rPr>
          <w:rFonts w:ascii="仿宋_GB2312" w:hAnsi="微软雅黑" w:eastAsia="仿宋_GB2312" w:cs="仿宋_GB2312"/>
          <w:color w:val="4C4C4C"/>
          <w:sz w:val="31"/>
          <w:szCs w:val="31"/>
          <w:shd w:val="clear" w:color="auto" w:fill="FFFFFF"/>
        </w:rPr>
      </w:pPr>
      <w:r>
        <w:rPr>
          <w:rFonts w:ascii="仿宋_GB2312" w:hAnsi="微软雅黑" w:eastAsia="仿宋_GB2312" w:cs="仿宋_GB2312"/>
          <w:color w:val="4C4C4C"/>
          <w:sz w:val="31"/>
          <w:szCs w:val="31"/>
          <w:shd w:val="clear" w:color="auto" w:fill="FFFFFF"/>
        </w:rPr>
        <w:t>2、项目资金使用情况分析</w:t>
      </w:r>
    </w:p>
    <w:p>
      <w:pPr>
        <w:pStyle w:val="12"/>
        <w:spacing w:line="510" w:lineRule="exact"/>
        <w:ind w:firstLine="620" w:firstLineChars="200"/>
        <w:rPr>
          <w:rFonts w:ascii="Times New Roman" w:hAnsi="Times New Roman" w:eastAsia="仿宋"/>
          <w:sz w:val="32"/>
          <w:szCs w:val="32"/>
        </w:rPr>
      </w:pPr>
      <w:r>
        <w:rPr>
          <w:rFonts w:hint="eastAsia" w:ascii="仿宋_GB2312" w:hAnsi="微软雅黑" w:eastAsia="仿宋_GB2312" w:cs="仿宋_GB2312"/>
          <w:color w:val="4C4C4C"/>
          <w:sz w:val="31"/>
          <w:szCs w:val="31"/>
          <w:shd w:val="clear" w:color="auto" w:fill="FFFFFF"/>
        </w:rPr>
        <w:t>2020年累计支付</w:t>
      </w:r>
      <w:r>
        <w:rPr>
          <w:rFonts w:hint="eastAsia" w:ascii="Times New Roman" w:hAnsi="Times New Roman" w:eastAsia="仿宋"/>
          <w:sz w:val="32"/>
          <w:szCs w:val="32"/>
        </w:rPr>
        <w:t>完成支付46</w:t>
      </w:r>
      <w:r>
        <w:rPr>
          <w:rFonts w:hint="eastAsia" w:ascii="Times New Roman" w:hAnsi="Times New Roman" w:eastAsia="仿宋"/>
          <w:sz w:val="32"/>
          <w:szCs w:val="32"/>
          <w:lang w:val="en-US" w:eastAsia="zh-CN"/>
        </w:rPr>
        <w:t>.</w:t>
      </w:r>
      <w:r>
        <w:rPr>
          <w:rFonts w:hint="eastAsia" w:ascii="Times New Roman" w:hAnsi="Times New Roman" w:eastAsia="仿宋"/>
          <w:sz w:val="32"/>
          <w:szCs w:val="32"/>
        </w:rPr>
        <w:t>9447</w:t>
      </w:r>
      <w:r>
        <w:rPr>
          <w:rFonts w:hint="eastAsia" w:ascii="Times New Roman" w:hAnsi="Times New Roman" w:eastAsia="仿宋"/>
          <w:sz w:val="32"/>
          <w:szCs w:val="32"/>
          <w:lang w:eastAsia="zh-CN"/>
        </w:rPr>
        <w:t>万</w:t>
      </w:r>
      <w:r>
        <w:rPr>
          <w:rFonts w:hint="eastAsia" w:ascii="Times New Roman" w:hAnsi="Times New Roman" w:eastAsia="仿宋"/>
          <w:sz w:val="32"/>
          <w:szCs w:val="32"/>
        </w:rPr>
        <w:t>元</w:t>
      </w:r>
      <w:r>
        <w:rPr>
          <w:rFonts w:hint="eastAsia" w:ascii="仿宋_GB2312" w:hAnsi="微软雅黑" w:eastAsia="仿宋_GB2312" w:cs="仿宋_GB2312"/>
          <w:color w:val="4C4C4C"/>
          <w:sz w:val="31"/>
          <w:szCs w:val="31"/>
          <w:shd w:val="clear" w:color="auto" w:fill="FFFFFF"/>
        </w:rPr>
        <w:t>。</w:t>
      </w:r>
      <w:r>
        <w:rPr>
          <w:rFonts w:hint="eastAsia" w:ascii="Times New Roman" w:hAnsi="Times New Roman" w:eastAsia="仿宋"/>
          <w:sz w:val="32"/>
          <w:szCs w:val="32"/>
        </w:rPr>
        <w:t>支付明细：</w:t>
      </w:r>
    </w:p>
    <w:p>
      <w:pPr>
        <w:pStyle w:val="12"/>
        <w:numPr>
          <w:ilvl w:val="0"/>
          <w:numId w:val="2"/>
        </w:numPr>
        <w:spacing w:line="510" w:lineRule="exact"/>
        <w:ind w:firstLine="640"/>
        <w:rPr>
          <w:rFonts w:ascii="Times New Roman" w:hAnsi="Times New Roman" w:eastAsia="仿宋"/>
          <w:sz w:val="32"/>
          <w:szCs w:val="32"/>
        </w:rPr>
      </w:pPr>
      <w:r>
        <w:rPr>
          <w:rFonts w:hint="eastAsia" w:ascii="Times New Roman" w:hAnsi="Times New Roman" w:eastAsia="仿宋"/>
          <w:sz w:val="32"/>
          <w:szCs w:val="32"/>
        </w:rPr>
        <w:t>中方南湖二期1、2号楼及商业综合楼：65546元。</w:t>
      </w:r>
    </w:p>
    <w:p>
      <w:pPr>
        <w:pStyle w:val="12"/>
        <w:numPr>
          <w:ilvl w:val="0"/>
          <w:numId w:val="2"/>
        </w:numPr>
        <w:spacing w:line="510" w:lineRule="exact"/>
        <w:ind w:firstLine="640"/>
        <w:rPr>
          <w:rFonts w:ascii="Times New Roman" w:hAnsi="Times New Roman" w:eastAsia="仿宋"/>
          <w:sz w:val="32"/>
          <w:szCs w:val="32"/>
        </w:rPr>
      </w:pPr>
      <w:r>
        <w:rPr>
          <w:rFonts w:hint="eastAsia" w:ascii="Times New Roman" w:hAnsi="Times New Roman" w:eastAsia="仿宋"/>
          <w:sz w:val="32"/>
          <w:szCs w:val="32"/>
        </w:rPr>
        <w:t>陈贵洋一号仓库：5870元。</w:t>
      </w:r>
    </w:p>
    <w:p>
      <w:pPr>
        <w:pStyle w:val="12"/>
        <w:numPr>
          <w:ilvl w:val="0"/>
          <w:numId w:val="2"/>
        </w:numPr>
        <w:spacing w:line="510" w:lineRule="exact"/>
        <w:ind w:firstLine="640"/>
        <w:rPr>
          <w:rFonts w:ascii="Times New Roman" w:hAnsi="Times New Roman" w:eastAsia="仿宋"/>
          <w:sz w:val="32"/>
          <w:szCs w:val="32"/>
        </w:rPr>
      </w:pPr>
      <w:r>
        <w:rPr>
          <w:rFonts w:hint="eastAsia" w:ascii="Times New Roman" w:hAnsi="Times New Roman" w:eastAsia="仿宋"/>
          <w:sz w:val="32"/>
          <w:szCs w:val="32"/>
        </w:rPr>
        <w:t>天鸿御龙湾一期1~4号楼：31213元。</w:t>
      </w:r>
    </w:p>
    <w:p>
      <w:pPr>
        <w:pStyle w:val="12"/>
        <w:numPr>
          <w:ilvl w:val="0"/>
          <w:numId w:val="2"/>
        </w:numPr>
        <w:spacing w:line="510" w:lineRule="exact"/>
        <w:ind w:firstLine="640"/>
        <w:rPr>
          <w:rFonts w:ascii="Times New Roman" w:hAnsi="Times New Roman" w:eastAsia="仿宋"/>
          <w:sz w:val="32"/>
          <w:szCs w:val="32"/>
        </w:rPr>
      </w:pPr>
      <w:r>
        <w:rPr>
          <w:rFonts w:hint="eastAsia" w:ascii="Times New Roman" w:hAnsi="Times New Roman" w:eastAsia="仿宋"/>
          <w:sz w:val="32"/>
          <w:szCs w:val="32"/>
        </w:rPr>
        <w:t>怀化冰宇燃气充装站：19800元。</w:t>
      </w:r>
    </w:p>
    <w:p>
      <w:pPr>
        <w:pStyle w:val="12"/>
        <w:numPr>
          <w:ilvl w:val="0"/>
          <w:numId w:val="2"/>
        </w:numPr>
        <w:spacing w:line="510" w:lineRule="exact"/>
        <w:ind w:firstLine="640"/>
        <w:rPr>
          <w:rFonts w:ascii="Times New Roman" w:hAnsi="Times New Roman" w:eastAsia="仿宋"/>
          <w:sz w:val="32"/>
          <w:szCs w:val="32"/>
        </w:rPr>
      </w:pPr>
      <w:r>
        <w:rPr>
          <w:rFonts w:hint="eastAsia" w:ascii="Times New Roman" w:hAnsi="Times New Roman" w:eastAsia="仿宋"/>
          <w:sz w:val="32"/>
          <w:szCs w:val="32"/>
        </w:rPr>
        <w:t>开鸿香山别苑7、9~12号楼：78374元。</w:t>
      </w:r>
    </w:p>
    <w:p>
      <w:pPr>
        <w:pStyle w:val="12"/>
        <w:numPr>
          <w:ilvl w:val="0"/>
          <w:numId w:val="2"/>
        </w:numPr>
        <w:spacing w:line="510" w:lineRule="exact"/>
        <w:ind w:firstLine="640"/>
        <w:rPr>
          <w:rFonts w:ascii="Times New Roman" w:hAnsi="Times New Roman" w:eastAsia="仿宋"/>
          <w:sz w:val="32"/>
          <w:szCs w:val="32"/>
        </w:rPr>
      </w:pPr>
      <w:r>
        <w:rPr>
          <w:rFonts w:hint="eastAsia" w:ascii="Times New Roman" w:hAnsi="Times New Roman" w:eastAsia="仿宋"/>
          <w:sz w:val="32"/>
          <w:szCs w:val="32"/>
        </w:rPr>
        <w:t>广富欣城B区5号楼：13142元。</w:t>
      </w:r>
    </w:p>
    <w:p>
      <w:pPr>
        <w:pStyle w:val="12"/>
        <w:numPr>
          <w:ilvl w:val="0"/>
          <w:numId w:val="2"/>
        </w:numPr>
        <w:spacing w:line="510" w:lineRule="exact"/>
        <w:ind w:firstLine="640"/>
        <w:rPr>
          <w:rFonts w:ascii="Times New Roman" w:hAnsi="Times New Roman" w:eastAsia="仿宋"/>
          <w:sz w:val="32"/>
          <w:szCs w:val="32"/>
        </w:rPr>
      </w:pPr>
      <w:r>
        <w:rPr>
          <w:rFonts w:hint="eastAsia" w:ascii="Times New Roman" w:hAnsi="Times New Roman" w:eastAsia="仿宋"/>
          <w:sz w:val="32"/>
          <w:szCs w:val="32"/>
        </w:rPr>
        <w:t>天成院子二期：202302元。</w:t>
      </w:r>
    </w:p>
    <w:p>
      <w:pPr>
        <w:pStyle w:val="5"/>
        <w:shd w:val="clear" w:color="auto" w:fill="FFFFFF"/>
        <w:spacing w:before="0" w:beforeAutospacing="0" w:after="0" w:line="450" w:lineRule="atLeast"/>
        <w:ind w:firstLine="645"/>
        <w:rPr>
          <w:rFonts w:ascii="仿宋_GB2312" w:hAnsi="微软雅黑" w:eastAsia="仿宋_GB2312" w:cs="仿宋_GB2312"/>
          <w:color w:val="4C4C4C"/>
          <w:sz w:val="31"/>
          <w:szCs w:val="31"/>
          <w:shd w:val="clear" w:color="auto" w:fill="FFFFFF"/>
        </w:rPr>
      </w:pPr>
    </w:p>
    <w:p>
      <w:pPr>
        <w:pStyle w:val="5"/>
        <w:shd w:val="clear" w:color="auto" w:fill="FFFFFF"/>
        <w:spacing w:before="0" w:beforeAutospacing="0" w:after="0" w:line="450" w:lineRule="atLeast"/>
        <w:ind w:firstLine="645"/>
        <w:rPr>
          <w:rFonts w:ascii="仿宋_GB2312" w:hAnsi="微软雅黑" w:eastAsia="仿宋_GB2312" w:cs="仿宋_GB2312"/>
          <w:color w:val="4C4C4C"/>
          <w:sz w:val="31"/>
          <w:szCs w:val="31"/>
          <w:shd w:val="clear" w:color="auto" w:fill="FFFFFF"/>
        </w:rPr>
      </w:pPr>
      <w:r>
        <w:rPr>
          <w:rFonts w:ascii="仿宋_GB2312" w:hAnsi="微软雅黑" w:eastAsia="仿宋_GB2312" w:cs="仿宋_GB2312"/>
          <w:color w:val="4C4C4C"/>
          <w:sz w:val="31"/>
          <w:szCs w:val="31"/>
          <w:shd w:val="clear" w:color="auto" w:fill="FFFFFF"/>
        </w:rPr>
        <w:t>3、项目资金管理情况分析</w:t>
      </w:r>
    </w:p>
    <w:p>
      <w:pPr>
        <w:pStyle w:val="5"/>
        <w:shd w:val="clear" w:color="auto" w:fill="FFFFFF"/>
        <w:spacing w:before="0" w:beforeAutospacing="0" w:after="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2020年中方县施工图审查项目支出项目</w:t>
      </w:r>
      <w:r>
        <w:rPr>
          <w:rFonts w:ascii="仿宋_GB2312" w:hAnsi="微软雅黑" w:eastAsia="仿宋_GB2312" w:cs="仿宋_GB2312"/>
          <w:color w:val="4C4C4C"/>
          <w:sz w:val="31"/>
          <w:szCs w:val="31"/>
          <w:shd w:val="clear" w:color="auto" w:fill="FFFFFF"/>
        </w:rPr>
        <w:t>资金及时足额拨付到位，没有出现违规使用资金行为，使项目的实施得到了资金的保障。资金</w:t>
      </w:r>
      <w:r>
        <w:rPr>
          <w:rFonts w:hint="eastAsia" w:ascii="仿宋_GB2312" w:hAnsi="微软雅黑" w:eastAsia="仿宋_GB2312" w:cs="仿宋_GB2312"/>
          <w:color w:val="4C4C4C"/>
          <w:sz w:val="31"/>
          <w:szCs w:val="31"/>
          <w:shd w:val="clear" w:color="auto" w:fill="FFFFFF"/>
        </w:rPr>
        <w:t>的拨付有完整的审批程序和手续，</w:t>
      </w:r>
      <w:r>
        <w:rPr>
          <w:rFonts w:ascii="仿宋_GB2312" w:hAnsi="微软雅黑" w:eastAsia="仿宋_GB2312" w:cs="仿宋_GB2312"/>
          <w:color w:val="4C4C4C"/>
          <w:sz w:val="31"/>
          <w:szCs w:val="31"/>
          <w:shd w:val="clear" w:color="auto" w:fill="FFFFFF"/>
        </w:rPr>
        <w:t>建立了项目财务管理制度，即专户管理、项目资金预拔和清算、财务公开公示、实行质量保证金等四项制度。所有项目开支通过</w:t>
      </w:r>
      <w:r>
        <w:rPr>
          <w:rFonts w:hint="eastAsia" w:ascii="仿宋_GB2312" w:hAnsi="微软雅黑" w:eastAsia="仿宋_GB2312" w:cs="仿宋_GB2312"/>
          <w:color w:val="4C4C4C"/>
          <w:sz w:val="31"/>
          <w:szCs w:val="31"/>
          <w:shd w:val="clear" w:color="auto" w:fill="FFFFFF"/>
        </w:rPr>
        <w:t>国库</w:t>
      </w:r>
      <w:r>
        <w:rPr>
          <w:rFonts w:ascii="仿宋_GB2312" w:hAnsi="微软雅黑" w:eastAsia="仿宋_GB2312" w:cs="仿宋_GB2312"/>
          <w:color w:val="4C4C4C"/>
          <w:sz w:val="31"/>
          <w:szCs w:val="31"/>
          <w:shd w:val="clear" w:color="auto" w:fill="FFFFFF"/>
        </w:rPr>
        <w:t>集中支付，</w:t>
      </w:r>
      <w:r>
        <w:rPr>
          <w:rFonts w:hint="eastAsia" w:ascii="仿宋_GB2312" w:hAnsi="微软雅黑" w:eastAsia="仿宋_GB2312" w:cs="仿宋_GB2312"/>
          <w:color w:val="4C4C4C"/>
          <w:sz w:val="31"/>
          <w:szCs w:val="31"/>
          <w:shd w:val="clear" w:color="auto" w:fill="FFFFFF"/>
        </w:rPr>
        <w:t>业主单位</w:t>
      </w:r>
      <w:r>
        <w:rPr>
          <w:rFonts w:ascii="仿宋_GB2312" w:hAnsi="微软雅黑" w:eastAsia="仿宋_GB2312" w:cs="仿宋_GB2312"/>
          <w:color w:val="4C4C4C"/>
          <w:sz w:val="31"/>
          <w:szCs w:val="31"/>
          <w:shd w:val="clear" w:color="auto" w:fill="FFFFFF"/>
        </w:rPr>
        <w:t>单位领款时必须提供</w:t>
      </w:r>
      <w:r>
        <w:rPr>
          <w:rFonts w:hint="eastAsia" w:ascii="仿宋_GB2312" w:hAnsi="微软雅黑" w:eastAsia="仿宋_GB2312" w:cs="仿宋_GB2312"/>
          <w:color w:val="4C4C4C"/>
          <w:sz w:val="31"/>
          <w:szCs w:val="31"/>
          <w:shd w:val="clear" w:color="auto" w:fill="FFFFFF"/>
        </w:rPr>
        <w:t>施工图审查</w:t>
      </w:r>
      <w:r>
        <w:rPr>
          <w:rFonts w:ascii="仿宋_GB2312" w:hAnsi="微软雅黑" w:eastAsia="仿宋_GB2312" w:cs="仿宋_GB2312"/>
          <w:color w:val="4C4C4C"/>
          <w:sz w:val="31"/>
          <w:szCs w:val="31"/>
          <w:shd w:val="clear" w:color="auto" w:fill="FFFFFF"/>
        </w:rPr>
        <w:t>合同、</w:t>
      </w:r>
      <w:r>
        <w:rPr>
          <w:rFonts w:hint="eastAsia" w:ascii="仿宋_GB2312" w:hAnsi="微软雅黑" w:eastAsia="仿宋_GB2312" w:cs="仿宋_GB2312"/>
          <w:color w:val="4C4C4C"/>
          <w:sz w:val="31"/>
          <w:szCs w:val="31"/>
          <w:shd w:val="clear" w:color="auto" w:fill="FFFFFF"/>
        </w:rPr>
        <w:t>审查报告书</w:t>
      </w:r>
      <w:r>
        <w:rPr>
          <w:rFonts w:ascii="仿宋_GB2312" w:hAnsi="微软雅黑" w:eastAsia="仿宋_GB2312" w:cs="仿宋_GB2312"/>
          <w:color w:val="4C4C4C"/>
          <w:sz w:val="31"/>
          <w:szCs w:val="31"/>
          <w:shd w:val="clear" w:color="auto" w:fill="FFFFFF"/>
        </w:rPr>
        <w:t>、发票等，财务手续齐全。</w:t>
      </w:r>
    </w:p>
    <w:p>
      <w:pPr>
        <w:pStyle w:val="5"/>
        <w:shd w:val="clear" w:color="auto" w:fill="FFFFFF"/>
        <w:spacing w:before="0" w:beforeAutospacing="0" w:after="0" w:line="450" w:lineRule="atLeast"/>
        <w:ind w:firstLine="620" w:firstLineChars="20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（三）项目产出情况分析</w:t>
      </w:r>
    </w:p>
    <w:p>
      <w:pPr>
        <w:pStyle w:val="5"/>
        <w:shd w:val="clear" w:color="auto" w:fill="FFFFFF"/>
        <w:spacing w:before="0" w:beforeAutospacing="0" w:after="0" w:line="450" w:lineRule="atLeast"/>
        <w:ind w:firstLine="645"/>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2020年中方县施工图审查项目支出项目，</w:t>
      </w:r>
      <w:r>
        <w:rPr>
          <w:rFonts w:ascii="仿宋_GB2312" w:hAnsi="微软雅黑" w:eastAsia="仿宋_GB2312" w:cs="仿宋_GB2312"/>
          <w:color w:val="4C4C4C"/>
          <w:sz w:val="31"/>
          <w:szCs w:val="31"/>
          <w:shd w:val="clear" w:color="auto" w:fill="FFFFFF"/>
        </w:rPr>
        <w:t>严格按照确定的</w:t>
      </w:r>
      <w:r>
        <w:rPr>
          <w:rFonts w:hint="eastAsia" w:ascii="仿宋_GB2312" w:hAnsi="微软雅黑" w:eastAsia="仿宋_GB2312" w:cs="仿宋_GB2312"/>
          <w:color w:val="4C4C4C"/>
          <w:sz w:val="31"/>
          <w:szCs w:val="31"/>
          <w:shd w:val="clear" w:color="auto" w:fill="FFFFFF"/>
        </w:rPr>
        <w:t>服务</w:t>
      </w:r>
      <w:r>
        <w:rPr>
          <w:rFonts w:ascii="仿宋_GB2312" w:hAnsi="微软雅黑" w:eastAsia="仿宋_GB2312" w:cs="仿宋_GB2312"/>
          <w:color w:val="4C4C4C"/>
          <w:sz w:val="31"/>
          <w:szCs w:val="31"/>
          <w:shd w:val="clear" w:color="auto" w:fill="FFFFFF"/>
        </w:rPr>
        <w:t>内容开展项目</w:t>
      </w:r>
      <w:r>
        <w:rPr>
          <w:rFonts w:hint="eastAsia" w:ascii="仿宋_GB2312" w:hAnsi="微软雅黑" w:eastAsia="仿宋_GB2312" w:cs="仿宋_GB2312"/>
          <w:color w:val="4C4C4C"/>
          <w:sz w:val="31"/>
          <w:szCs w:val="31"/>
          <w:shd w:val="clear" w:color="auto" w:fill="FFFFFF"/>
        </w:rPr>
        <w:t>服务</w:t>
      </w:r>
      <w:r>
        <w:rPr>
          <w:rFonts w:ascii="仿宋_GB2312" w:hAnsi="微软雅黑" w:eastAsia="仿宋_GB2312" w:cs="仿宋_GB2312"/>
          <w:color w:val="4C4C4C"/>
          <w:sz w:val="31"/>
          <w:szCs w:val="31"/>
          <w:shd w:val="clear" w:color="auto" w:fill="FFFFFF"/>
        </w:rPr>
        <w:t>工作，</w:t>
      </w:r>
      <w:r>
        <w:rPr>
          <w:rFonts w:hint="eastAsia" w:ascii="仿宋_GB2312" w:hAnsi="微软雅黑" w:eastAsia="仿宋_GB2312" w:cs="仿宋_GB2312"/>
          <w:color w:val="4C4C4C"/>
          <w:sz w:val="31"/>
          <w:szCs w:val="31"/>
          <w:shd w:val="clear" w:color="auto" w:fill="FFFFFF"/>
        </w:rPr>
        <w:t>结算至12</w:t>
      </w:r>
      <w:r>
        <w:rPr>
          <w:rFonts w:ascii="仿宋_GB2312" w:hAnsi="微软雅黑" w:eastAsia="仿宋_GB2312" w:cs="仿宋_GB2312"/>
          <w:color w:val="4C4C4C"/>
          <w:sz w:val="31"/>
          <w:szCs w:val="31"/>
          <w:shd w:val="clear" w:color="auto" w:fill="FFFFFF"/>
        </w:rPr>
        <w:t>月</w:t>
      </w:r>
      <w:r>
        <w:rPr>
          <w:rFonts w:hint="eastAsia" w:ascii="仿宋_GB2312" w:hAnsi="微软雅黑" w:eastAsia="仿宋_GB2312" w:cs="仿宋_GB2312"/>
          <w:color w:val="4C4C4C"/>
          <w:sz w:val="31"/>
          <w:szCs w:val="31"/>
          <w:shd w:val="clear" w:color="auto" w:fill="FFFFFF"/>
        </w:rPr>
        <w:t>31日</w:t>
      </w:r>
      <w:r>
        <w:rPr>
          <w:rFonts w:ascii="仿宋_GB2312" w:hAnsi="微软雅黑" w:eastAsia="仿宋_GB2312" w:cs="仿宋_GB2312"/>
          <w:color w:val="4C4C4C"/>
          <w:sz w:val="31"/>
          <w:szCs w:val="31"/>
          <w:shd w:val="clear" w:color="auto" w:fill="FFFFFF"/>
        </w:rPr>
        <w:t>，经</w:t>
      </w:r>
      <w:r>
        <w:rPr>
          <w:rFonts w:hint="eastAsia" w:ascii="仿宋_GB2312" w:hAnsi="微软雅黑" w:eastAsia="仿宋_GB2312" w:cs="仿宋_GB2312"/>
          <w:color w:val="4C4C4C"/>
          <w:sz w:val="31"/>
          <w:szCs w:val="31"/>
          <w:shd w:val="clear" w:color="auto" w:fill="FFFFFF"/>
        </w:rPr>
        <w:t>我局设计股等相关部门考核</w:t>
      </w:r>
      <w:r>
        <w:rPr>
          <w:rFonts w:ascii="仿宋_GB2312" w:hAnsi="微软雅黑" w:eastAsia="仿宋_GB2312" w:cs="仿宋_GB2312"/>
          <w:color w:val="4C4C4C"/>
          <w:sz w:val="31"/>
          <w:szCs w:val="31"/>
          <w:shd w:val="clear" w:color="auto" w:fill="FFFFFF"/>
        </w:rPr>
        <w:t>，验收合格。项目</w:t>
      </w:r>
      <w:r>
        <w:rPr>
          <w:rFonts w:hint="eastAsia" w:ascii="仿宋_GB2312" w:hAnsi="微软雅黑" w:eastAsia="仿宋_GB2312" w:cs="仿宋_GB2312"/>
          <w:color w:val="4C4C4C"/>
          <w:sz w:val="31"/>
          <w:szCs w:val="31"/>
          <w:shd w:val="clear" w:color="auto" w:fill="FFFFFF"/>
        </w:rPr>
        <w:t>考核</w:t>
      </w:r>
      <w:r>
        <w:rPr>
          <w:rFonts w:ascii="仿宋_GB2312" w:hAnsi="微软雅黑" w:eastAsia="仿宋_GB2312" w:cs="仿宋_GB2312"/>
          <w:color w:val="4C4C4C"/>
          <w:sz w:val="31"/>
          <w:szCs w:val="31"/>
          <w:shd w:val="clear" w:color="auto" w:fill="FFFFFF"/>
        </w:rPr>
        <w:t>实施情况分析如下：</w:t>
      </w:r>
    </w:p>
    <w:p>
      <w:pPr>
        <w:pStyle w:val="5"/>
        <w:shd w:val="clear" w:color="auto" w:fill="FFFFFF"/>
        <w:spacing w:before="0" w:beforeAutospacing="0" w:after="0" w:line="450" w:lineRule="atLeast"/>
        <w:ind w:firstLine="930" w:firstLineChars="30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1、政策性审查：包括项目用地规划意见书、用地选址意见书、工程规划意见书、发改立项、规划审批以上五项分值共50分，考核评分45分，合格。</w:t>
      </w:r>
    </w:p>
    <w:p>
      <w:pPr>
        <w:pStyle w:val="5"/>
        <w:shd w:val="clear" w:color="auto" w:fill="FFFFFF"/>
        <w:spacing w:before="0" w:beforeAutospacing="0" w:after="0" w:line="450" w:lineRule="atLeast"/>
        <w:ind w:firstLine="930" w:firstLineChars="300"/>
        <w:rPr>
          <w:rFonts w:ascii="仿宋_GB2312" w:hAnsi="微软雅黑" w:eastAsia="仿宋_GB2312" w:cs="仿宋_GB2312"/>
          <w:color w:val="4C4C4C"/>
          <w:sz w:val="31"/>
          <w:szCs w:val="31"/>
          <w:shd w:val="clear" w:color="auto" w:fill="FFFFFF"/>
        </w:rPr>
      </w:pPr>
      <w:r>
        <w:rPr>
          <w:rFonts w:ascii="仿宋_GB2312" w:hAnsi="微软雅黑" w:eastAsia="仿宋_GB2312" w:cs="仿宋_GB2312"/>
          <w:color w:val="4C4C4C"/>
          <w:sz w:val="31"/>
          <w:szCs w:val="31"/>
          <w:shd w:val="clear" w:color="auto" w:fill="FFFFFF"/>
        </w:rPr>
        <w:t>2、</w:t>
      </w:r>
      <w:r>
        <w:rPr>
          <w:rFonts w:hint="eastAsia" w:ascii="仿宋_GB2312" w:hAnsi="微软雅黑" w:eastAsia="仿宋_GB2312" w:cs="仿宋_GB2312"/>
          <w:color w:val="4C4C4C"/>
          <w:sz w:val="31"/>
          <w:szCs w:val="31"/>
          <w:shd w:val="clear" w:color="auto" w:fill="FFFFFF"/>
        </w:rPr>
        <w:t>技术性审查：包括勘察设计单位资质、各专业图纸技术审查、设计深度、违反强条情况共4项，共6分。考核得分为5分，合格。</w:t>
      </w:r>
    </w:p>
    <w:p>
      <w:pPr>
        <w:pStyle w:val="5"/>
        <w:shd w:val="clear" w:color="auto" w:fill="FFFFFF"/>
        <w:spacing w:before="0" w:beforeAutospacing="0" w:after="0" w:line="450" w:lineRule="atLeast"/>
        <w:ind w:firstLine="645"/>
        <w:rPr>
          <w:rFonts w:ascii="仿宋_GB2312" w:hAnsi="微软雅黑" w:eastAsia="仿宋_GB2312" w:cs="仿宋_GB2312"/>
          <w:color w:val="4C4C4C"/>
          <w:sz w:val="31"/>
          <w:szCs w:val="31"/>
          <w:shd w:val="clear" w:color="auto" w:fill="FFFFFF"/>
        </w:rPr>
      </w:pPr>
      <w:r>
        <w:rPr>
          <w:rFonts w:ascii="仿宋_GB2312" w:hAnsi="微软雅黑" w:eastAsia="仿宋_GB2312" w:cs="仿宋_GB2312"/>
          <w:color w:val="4C4C4C"/>
          <w:sz w:val="31"/>
          <w:szCs w:val="31"/>
          <w:shd w:val="clear" w:color="auto" w:fill="FFFFFF"/>
        </w:rPr>
        <w:t>3、</w:t>
      </w:r>
      <w:r>
        <w:rPr>
          <w:rFonts w:hint="eastAsia" w:ascii="仿宋_GB2312" w:hAnsi="微软雅黑" w:eastAsia="仿宋_GB2312" w:cs="仿宋_GB2312"/>
          <w:color w:val="4C4C4C"/>
          <w:sz w:val="31"/>
          <w:szCs w:val="31"/>
          <w:shd w:val="clear" w:color="auto" w:fill="FFFFFF"/>
        </w:rPr>
        <w:t>综合评价：分三大项七小项，分值44分，经考核共得分40分，合格。</w:t>
      </w:r>
    </w:p>
    <w:p>
      <w:pPr>
        <w:pStyle w:val="5"/>
        <w:shd w:val="clear" w:color="auto" w:fill="FFFFFF"/>
        <w:spacing w:before="0" w:beforeAutospacing="0" w:after="0" w:line="450" w:lineRule="atLeast"/>
        <w:ind w:firstLine="645"/>
        <w:rPr>
          <w:rFonts w:ascii="Times New Roman" w:hAnsi="Times New Roman" w:eastAsia="仿宋"/>
          <w:sz w:val="32"/>
          <w:szCs w:val="32"/>
        </w:rPr>
      </w:pPr>
      <w:r>
        <w:rPr>
          <w:rFonts w:hint="eastAsia" w:ascii="仿宋_GB2312" w:hAnsi="微软雅黑" w:eastAsia="仿宋_GB2312" w:cs="仿宋_GB2312"/>
          <w:color w:val="4C4C4C"/>
          <w:sz w:val="31"/>
          <w:szCs w:val="31"/>
          <w:shd w:val="clear" w:color="auto" w:fill="FFFFFF"/>
        </w:rPr>
        <w:t xml:space="preserve">    综上该项2020年度考核评分为90分。</w:t>
      </w:r>
    </w:p>
    <w:p>
      <w:pPr>
        <w:pStyle w:val="5"/>
        <w:numPr>
          <w:ilvl w:val="0"/>
          <w:numId w:val="3"/>
        </w:numPr>
        <w:shd w:val="clear" w:color="auto" w:fill="FFFFFF"/>
        <w:spacing w:before="0" w:beforeAutospacing="0" w:after="0" w:line="450" w:lineRule="atLeast"/>
        <w:rPr>
          <w:rStyle w:val="8"/>
          <w:rFonts w:ascii="黑体" w:eastAsia="黑体" w:cs="黑体"/>
          <w:color w:val="4C4C4C"/>
          <w:sz w:val="31"/>
          <w:szCs w:val="31"/>
          <w:shd w:val="clear" w:color="auto" w:fill="FFFFFF"/>
        </w:rPr>
      </w:pPr>
      <w:r>
        <w:rPr>
          <w:rStyle w:val="8"/>
          <w:rFonts w:hint="eastAsia" w:ascii="黑体" w:eastAsia="黑体" w:cs="黑体"/>
          <w:color w:val="4C4C4C"/>
          <w:sz w:val="31"/>
          <w:szCs w:val="31"/>
          <w:shd w:val="clear" w:color="auto" w:fill="FFFFFF"/>
        </w:rPr>
        <w:t>主要经验及做法、存在的问题及原因分析</w:t>
      </w:r>
    </w:p>
    <w:p>
      <w:pPr>
        <w:pStyle w:val="5"/>
        <w:numPr>
          <w:ilvl w:val="0"/>
          <w:numId w:val="4"/>
        </w:numPr>
        <w:shd w:val="clear" w:color="auto" w:fill="FFFFFF"/>
        <w:spacing w:before="0" w:beforeAutospacing="0" w:after="0" w:line="450" w:lineRule="atLeast"/>
        <w:ind w:firstLine="930" w:firstLineChars="30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主要经验</w:t>
      </w:r>
    </w:p>
    <w:p>
      <w:pPr>
        <w:pStyle w:val="5"/>
        <w:shd w:val="clear" w:color="auto" w:fill="FFFFFF"/>
        <w:spacing w:before="0" w:beforeAutospacing="0" w:after="0" w:line="450" w:lineRule="atLeast"/>
        <w:ind w:firstLine="930" w:firstLineChars="300"/>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理顺建设、人防、消防等部门施工图审查管理体制，建立统一的湖南省施工图管理信息系统，全面推行施工图多审合一、多图联审和"互联网+图审"，实现建设单位送审施工图 "零跑路"、"零付费"，与相关部门"零接触"。</w:t>
      </w:r>
    </w:p>
    <w:p>
      <w:pPr>
        <w:pStyle w:val="12"/>
        <w:spacing w:line="510" w:lineRule="exact"/>
        <w:rPr>
          <w:rFonts w:ascii="仿宋_GB2312" w:hAnsi="微软雅黑" w:eastAsia="仿宋_GB2312" w:cs="仿宋_GB2312"/>
          <w:color w:val="4C4C4C"/>
          <w:kern w:val="0"/>
          <w:sz w:val="31"/>
          <w:szCs w:val="31"/>
          <w:shd w:val="clear" w:color="auto" w:fill="FFFFFF"/>
        </w:rPr>
      </w:pPr>
      <w:r>
        <w:rPr>
          <w:rFonts w:hint="eastAsia" w:ascii="仿宋_GB2312" w:hAnsi="微软雅黑" w:eastAsia="仿宋_GB2312" w:cs="仿宋_GB2312"/>
          <w:color w:val="4C4C4C"/>
          <w:sz w:val="31"/>
          <w:szCs w:val="31"/>
          <w:shd w:val="clear" w:color="auto" w:fill="FFFFFF"/>
        </w:rPr>
        <w:t>(二）存在的问题：</w:t>
      </w:r>
      <w:r>
        <w:rPr>
          <w:rFonts w:hint="eastAsia" w:ascii="仿宋_GB2312" w:hAnsi="微软雅黑" w:eastAsia="仿宋_GB2312" w:cs="仿宋_GB2312"/>
          <w:color w:val="4C4C4C"/>
          <w:kern w:val="0"/>
          <w:sz w:val="31"/>
          <w:szCs w:val="31"/>
          <w:shd w:val="clear" w:color="auto" w:fill="FFFFFF"/>
        </w:rPr>
        <w:t>目前尚欠2018~2020年业主垫付的150万施工图审查费以及还未支付给审图机构的约50万费用。</w:t>
      </w:r>
    </w:p>
    <w:p>
      <w:pPr>
        <w:tabs>
          <w:tab w:val="left" w:pos="7895"/>
        </w:tabs>
        <w:jc w:val="left"/>
      </w:pPr>
      <w:r>
        <w:rPr>
          <w:rFonts w:hint="eastAsia"/>
        </w:rPr>
        <w:tab/>
      </w:r>
    </w:p>
    <w:p>
      <w:pPr>
        <w:pStyle w:val="12"/>
        <w:numPr>
          <w:numId w:val="0"/>
        </w:numPr>
        <w:spacing w:line="510" w:lineRule="exact"/>
        <w:rPr>
          <w:rFonts w:hint="eastAsia" w:ascii="Times New Roman" w:hAnsi="Times New Roman" w:eastAsia="楷体"/>
          <w:b/>
          <w:sz w:val="32"/>
          <w:szCs w:val="32"/>
        </w:rPr>
      </w:pPr>
      <w:r>
        <w:rPr>
          <w:rFonts w:hint="eastAsia" w:ascii="Times New Roman" w:hAnsi="Times New Roman" w:eastAsia="楷体"/>
          <w:b/>
          <w:sz w:val="32"/>
          <w:szCs w:val="32"/>
          <w:lang w:val="en-US" w:eastAsia="zh-CN"/>
        </w:rPr>
        <w:t xml:space="preserve"> 六、</w:t>
      </w:r>
      <w:r>
        <w:rPr>
          <w:rFonts w:hint="eastAsia" w:ascii="Times New Roman" w:hAnsi="Times New Roman" w:eastAsia="楷体"/>
          <w:b/>
          <w:sz w:val="32"/>
          <w:szCs w:val="32"/>
        </w:rPr>
        <w:t>有关建议</w:t>
      </w:r>
    </w:p>
    <w:p>
      <w:pPr>
        <w:pStyle w:val="12"/>
        <w:numPr>
          <w:numId w:val="0"/>
        </w:numPr>
        <w:spacing w:line="510" w:lineRule="exact"/>
        <w:ind w:firstLine="320" w:firstLineChars="100"/>
        <w:rPr>
          <w:rFonts w:ascii="Times New Roman" w:hAnsi="Times New Roman" w:eastAsia="仿宋"/>
          <w:sz w:val="32"/>
          <w:szCs w:val="32"/>
        </w:rPr>
      </w:pPr>
      <w:r>
        <w:rPr>
          <w:rFonts w:hint="eastAsia" w:ascii="仿宋" w:hAnsi="仿宋" w:eastAsia="仿宋" w:cs="仿宋"/>
          <w:sz w:val="32"/>
          <w:szCs w:val="32"/>
        </w:rPr>
        <w:t>县财政按月或季度及时足额下达施工图审查费用的拨付指标</w:t>
      </w:r>
      <w:r>
        <w:rPr>
          <w:rFonts w:hint="eastAsia" w:ascii="Times New Roman" w:hAnsi="Times New Roman" w:eastAsia="仿宋"/>
          <w:sz w:val="32"/>
          <w:szCs w:val="32"/>
        </w:rPr>
        <w:t>。</w:t>
      </w:r>
    </w:p>
    <w:p>
      <w:pPr>
        <w:pStyle w:val="12"/>
        <w:spacing w:line="510" w:lineRule="exact"/>
        <w:ind w:firstLine="964" w:firstLineChars="300"/>
        <w:rPr>
          <w:rFonts w:ascii="Times New Roman" w:hAnsi="Times New Roman" w:eastAsia="楷体"/>
          <w:b/>
          <w:sz w:val="32"/>
          <w:szCs w:val="32"/>
        </w:rPr>
      </w:pPr>
      <w:r>
        <w:rPr>
          <w:rFonts w:hint="eastAsia" w:ascii="Times New Roman" w:hAnsi="Times New Roman" w:eastAsia="楷体"/>
          <w:b/>
          <w:sz w:val="32"/>
          <w:szCs w:val="32"/>
          <w:lang w:eastAsia="zh-CN"/>
        </w:rPr>
        <w:t>七</w:t>
      </w:r>
      <w:r>
        <w:rPr>
          <w:rFonts w:hint="eastAsia" w:ascii="Times New Roman" w:hAnsi="Times New Roman" w:eastAsia="楷体"/>
          <w:b/>
          <w:sz w:val="32"/>
          <w:szCs w:val="32"/>
        </w:rPr>
        <w:t>、其他需要说明的问题</w:t>
      </w:r>
    </w:p>
    <w:p>
      <w:pPr>
        <w:pStyle w:val="12"/>
        <w:spacing w:line="510" w:lineRule="exact"/>
        <w:ind w:firstLine="1920" w:firstLineChars="600"/>
        <w:rPr>
          <w:rFonts w:ascii="Times New Roman" w:hAnsi="Times New Roman" w:eastAsia="仿宋"/>
          <w:sz w:val="32"/>
          <w:szCs w:val="32"/>
        </w:rPr>
      </w:pPr>
      <w:r>
        <w:rPr>
          <w:rFonts w:hint="eastAsia" w:ascii="Times New Roman" w:hAnsi="Times New Roman" w:eastAsia="仿宋"/>
          <w:sz w:val="32"/>
          <w:szCs w:val="32"/>
        </w:rPr>
        <w:t>无</w:t>
      </w: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widowControl/>
        <w:spacing w:line="510" w:lineRule="exact"/>
        <w:ind w:firstLine="960" w:firstLineChars="300"/>
        <w:jc w:val="left"/>
        <w:rPr>
          <w:rFonts w:ascii="Times New Roman" w:hAnsi="Times New Roman" w:eastAsia="仿宋_GB2312"/>
          <w:sz w:val="32"/>
          <w:szCs w:val="32"/>
        </w:rPr>
      </w:pPr>
      <w:r>
        <w:rPr>
          <w:rFonts w:ascii="Times New Roman" w:hAnsi="Times New Roman" w:eastAsia="仿宋_GB2312"/>
          <w:sz w:val="32"/>
          <w:szCs w:val="32"/>
        </w:rPr>
        <w:t>2.项目支出绩效评价指标</w:t>
      </w:r>
      <w:r>
        <w:rPr>
          <w:rFonts w:ascii="Times New Roman" w:hAnsi="Times New Roman" w:eastAsia="仿宋_GB2312"/>
          <w:bCs/>
          <w:color w:val="000000"/>
          <w:kern w:val="0"/>
          <w:sz w:val="32"/>
          <w:szCs w:val="32"/>
        </w:rPr>
        <w:t>评分表</w:t>
      </w: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lang w:val="en-US"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1</w:t>
      </w:r>
    </w:p>
    <w:tbl>
      <w:tblPr>
        <w:tblStyle w:val="6"/>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Times New Roman" w:hAnsi="Times New Roman"/>
                <w:kern w:val="0"/>
                <w:sz w:val="22"/>
              </w:rPr>
            </w:pPr>
            <w:r>
              <w:rPr>
                <w:rFonts w:ascii="Times New Roman" w:hAnsi="Times New Roman"/>
                <w:kern w:val="0"/>
                <w:sz w:val="22"/>
              </w:rPr>
              <w:t>（</w:t>
            </w:r>
            <w:r>
              <w:rPr>
                <w:rFonts w:hint="eastAsia" w:ascii="Times New Roman" w:hAnsi="Times New Roman"/>
                <w:kern w:val="0"/>
                <w:sz w:val="22"/>
              </w:rPr>
              <w:t>2020</w:t>
            </w:r>
            <w:r>
              <w:rPr>
                <w:rFonts w:ascii="Times New Roman" w:hAnsi="Times New Roman"/>
                <w:kern w:val="0"/>
                <w:sz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hint="eastAsia" w:ascii="Times New Roman" w:hAnsi="Times New Roman"/>
                <w:kern w:val="0"/>
                <w:sz w:val="18"/>
                <w:szCs w:val="18"/>
              </w:rPr>
              <w:t>施工图审查费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中方县住房和城乡建设局</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中方县住房和城乡建设局</w:t>
            </w:r>
          </w:p>
        </w:tc>
      </w:tr>
      <w:tr>
        <w:tblPrEx>
          <w:tblCellMar>
            <w:top w:w="0" w:type="dxa"/>
            <w:left w:w="108" w:type="dxa"/>
            <w:bottom w:w="0" w:type="dxa"/>
            <w:right w:w="108" w:type="dxa"/>
          </w:tblCellMar>
        </w:tblPrEx>
        <w:trPr>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46</w:t>
            </w:r>
            <w:r>
              <w:rPr>
                <w:rFonts w:hint="eastAsia" w:ascii="Times New Roman" w:hAnsi="Times New Roman"/>
                <w:kern w:val="0"/>
                <w:sz w:val="18"/>
                <w:szCs w:val="18"/>
                <w:lang w:val="en-US" w:eastAsia="zh-CN"/>
              </w:rPr>
              <w:t>.</w:t>
            </w:r>
            <w:r>
              <w:rPr>
                <w:rFonts w:hint="eastAsia" w:ascii="Times New Roman" w:hAnsi="Times New Roman"/>
                <w:kern w:val="0"/>
                <w:sz w:val="18"/>
                <w:szCs w:val="18"/>
              </w:rPr>
              <w:t>9447</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5"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57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color w:val="000000"/>
                <w:kern w:val="0"/>
                <w:sz w:val="18"/>
                <w:szCs w:val="18"/>
                <w:lang w:eastAsia="zh-CN"/>
              </w:rPr>
              <w:t>施工图审查项目个数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8</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3</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eastAsia="zh-CN"/>
              </w:rPr>
              <w:t>预算不足，调整预算</w:t>
            </w:r>
          </w:p>
        </w:tc>
      </w:tr>
      <w:tr>
        <w:tblPrEx>
          <w:tblCellMar>
            <w:top w:w="0" w:type="dxa"/>
            <w:left w:w="108" w:type="dxa"/>
            <w:bottom w:w="0" w:type="dxa"/>
            <w:right w:w="108" w:type="dxa"/>
          </w:tblCellMar>
        </w:tblPrEx>
        <w:trPr>
          <w:trHeight w:val="43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color w:val="000000"/>
                <w:kern w:val="0"/>
                <w:sz w:val="18"/>
                <w:szCs w:val="18"/>
              </w:rPr>
            </w:pPr>
            <w:r>
              <w:rPr>
                <w:rFonts w:hint="eastAsia" w:ascii="宋体" w:hAnsi="宋体" w:eastAsia="宋体" w:cs="宋体"/>
                <w:i w:val="0"/>
                <w:iCs w:val="0"/>
                <w:color w:val="000000"/>
                <w:kern w:val="0"/>
                <w:sz w:val="20"/>
                <w:szCs w:val="20"/>
                <w:u w:val="none"/>
                <w:lang w:val="en-US" w:eastAsia="zh-CN" w:bidi="ar"/>
              </w:rPr>
              <w:t>审查施工图建筑面积</w:t>
            </w:r>
          </w:p>
        </w:tc>
        <w:tc>
          <w:tcPr>
            <w:tcW w:w="85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8"/>
                <w:szCs w:val="18"/>
              </w:rPr>
            </w:pPr>
            <w:r>
              <w:rPr>
                <w:rFonts w:hint="eastAsia" w:ascii="宋体" w:hAnsi="宋体" w:eastAsia="宋体" w:cs="宋体"/>
                <w:i w:val="0"/>
                <w:iCs w:val="0"/>
                <w:color w:val="000000"/>
                <w:kern w:val="0"/>
                <w:sz w:val="20"/>
                <w:szCs w:val="20"/>
                <w:u w:val="none"/>
                <w:lang w:val="en-US" w:eastAsia="zh-CN" w:bidi="ar"/>
              </w:rPr>
              <w:t>25万平方米</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25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7</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预算不足，调整预算</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施工图审查整体合格率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按省政府规定审查</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13</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委托业务费</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50万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7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施工图审查管理</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规范性</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6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加快推进基础设施工程施工图审查改革</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长期</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施工单位满意度</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12</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请款流程过繁</w:t>
            </w:r>
          </w:p>
        </w:tc>
      </w:tr>
      <w:tr>
        <w:tblPrEx>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lang w:val="en-US" w:eastAsia="zh-CN"/>
              </w:rPr>
              <w:t>90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bl>
    <w:p>
      <w:pPr>
        <w:spacing w:line="560" w:lineRule="exact"/>
        <w:ind w:firstLine="180" w:firstLineChars="100"/>
        <w:rPr>
          <w:rFonts w:ascii="Times New Roman" w:hAnsi="Times New Roman" w:eastAsia="仿宋_GB2312"/>
          <w:sz w:val="20"/>
          <w:szCs w:val="20"/>
        </w:rPr>
        <w:sectPr>
          <w:pgSz w:w="11906" w:h="16838"/>
          <w:pgMar w:top="1701" w:right="1531" w:bottom="1928" w:left="1531" w:header="737" w:footer="851" w:gutter="0"/>
          <w:cols w:space="720" w:num="1"/>
          <w:docGrid w:type="lines" w:linePitch="408" w:charSpace="0"/>
        </w:sectPr>
      </w:pPr>
      <w:r>
        <w:rPr>
          <w:rFonts w:ascii="Times New Roman" w:hAnsi="Times New Roman"/>
          <w:color w:val="000000"/>
          <w:kern w:val="0"/>
          <w:sz w:val="18"/>
          <w:szCs w:val="18"/>
        </w:rPr>
        <w:br w:type="page"/>
      </w:r>
    </w:p>
    <w:p>
      <w:pPr>
        <w:spacing w:line="560" w:lineRule="exact"/>
        <w:rPr>
          <w:rFonts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6"/>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noWrap w:val="0"/>
            <w:vAlign w:val="top"/>
          </w:tcPr>
          <w:p>
            <w:pPr>
              <w:widowControl/>
              <w:spacing w:line="0" w:lineRule="atLeast"/>
              <w:jc w:val="center"/>
              <w:rPr>
                <w:b/>
                <w:bCs/>
                <w:color w:val="000000"/>
                <w:kern w:val="0"/>
                <w:sz w:val="22"/>
                <w:szCs w:val="22"/>
              </w:rPr>
            </w:pPr>
            <w:r>
              <w:rPr>
                <w:b/>
                <w:bCs/>
                <w:color w:val="000000"/>
                <w:kern w:val="0"/>
                <w:sz w:val="22"/>
                <w:szCs w:val="22"/>
              </w:rPr>
              <w:t>分</w:t>
            </w:r>
          </w:p>
          <w:p>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项目立项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绩效目标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决策　</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noWrap w:val="0"/>
            <w:vAlign w:val="center"/>
          </w:tcPr>
          <w:p>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continue"/>
            <w:shd w:val="clear" w:color="auto" w:fill="FFFFFF"/>
            <w:noWrap w:val="0"/>
            <w:vAlign w:val="center"/>
          </w:tcPr>
          <w:p>
            <w:pPr>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eastAsia="zh-CN"/>
              </w:rPr>
            </w:pPr>
            <w:r>
              <w:rPr>
                <w:rFonts w:hint="eastAsia"/>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shd w:val="clear" w:color="auto" w:fill="FFFFFF"/>
            <w:noWrap w:val="0"/>
            <w:vAlign w:val="center"/>
          </w:tcPr>
          <w:p>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效益　</w:t>
            </w: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项目效益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noWrap w:val="0"/>
            <w:vAlign w:val="center"/>
          </w:tcPr>
          <w:p>
            <w:pPr>
              <w:widowControl/>
              <w:spacing w:line="0" w:lineRule="atLeast"/>
              <w:jc w:val="center"/>
              <w:rPr>
                <w:color w:val="000000"/>
                <w:kern w:val="0"/>
                <w:sz w:val="22"/>
                <w:szCs w:val="22"/>
              </w:rPr>
            </w:pPr>
            <w:r>
              <w:rPr>
                <w:rFonts w:hint="eastAsia"/>
                <w:color w:val="000000"/>
                <w:kern w:val="0"/>
                <w:sz w:val="22"/>
                <w:szCs w:val="22"/>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eastAsia="zh-CN"/>
              </w:rPr>
            </w:pPr>
            <w:r>
              <w:rPr>
                <w:rFonts w:hint="eastAsia"/>
                <w:color w:val="000000"/>
                <w:kern w:val="0"/>
                <w:sz w:val="22"/>
                <w:szCs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noWrap w:val="0"/>
            <w:vAlign w:val="center"/>
          </w:tcPr>
          <w:p>
            <w:pPr>
              <w:widowControl/>
              <w:spacing w:line="0" w:lineRule="atLeast"/>
              <w:rPr>
                <w:color w:val="000000"/>
                <w:kern w:val="0"/>
                <w:sz w:val="22"/>
                <w:szCs w:val="22"/>
              </w:rPr>
            </w:pPr>
          </w:p>
        </w:tc>
        <w:tc>
          <w:tcPr>
            <w:tcW w:w="6096" w:type="dxa"/>
            <w:shd w:val="clear" w:color="auto" w:fill="FFFFFF"/>
            <w:noWrap w:val="0"/>
            <w:vAlign w:val="center"/>
          </w:tcPr>
          <w:p>
            <w:pPr>
              <w:widowControl/>
              <w:spacing w:line="0" w:lineRule="atLeast"/>
              <w:rPr>
                <w:color w:val="000000"/>
                <w:kern w:val="0"/>
                <w:sz w:val="22"/>
                <w:szCs w:val="22"/>
              </w:rPr>
            </w:pP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rPr>
              <w:t>9</w:t>
            </w:r>
            <w:r>
              <w:rPr>
                <w:rFonts w:hint="eastAsia"/>
                <w:color w:val="000000"/>
                <w:kern w:val="0"/>
                <w:sz w:val="22"/>
                <w:szCs w:val="22"/>
                <w:lang w:val="en-US" w:eastAsia="zh-CN"/>
              </w:rPr>
              <w:t>0</w:t>
            </w:r>
          </w:p>
        </w:tc>
      </w:tr>
    </w:tbl>
    <w:p>
      <w:pPr>
        <w:spacing w:line="560" w:lineRule="exact"/>
        <w:ind w:firstLine="200" w:firstLineChars="100"/>
      </w:pPr>
      <w:r>
        <w:rPr>
          <w:rFonts w:eastAsia="仿宋_GB2312"/>
          <w:sz w:val="20"/>
          <w:szCs w:val="20"/>
        </w:rPr>
        <w:t>注：单位可以根据专项资金的管理要求和绩效要求增设个性指标。</w:t>
      </w:r>
    </w:p>
    <w:sectPr>
      <w:footerReference r:id="rId3" w:type="default"/>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12</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3"/>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12</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35944"/>
    <w:multiLevelType w:val="singleLevel"/>
    <w:tmpl w:val="85935944"/>
    <w:lvl w:ilvl="0" w:tentative="0">
      <w:start w:val="2"/>
      <w:numFmt w:val="chineseCounting"/>
      <w:suff w:val="nothing"/>
      <w:lvlText w:val="（%1）"/>
      <w:lvlJc w:val="left"/>
      <w:pPr>
        <w:ind w:left="420"/>
      </w:pPr>
      <w:rPr>
        <w:rFonts w:hint="eastAsia"/>
      </w:rPr>
    </w:lvl>
  </w:abstractNum>
  <w:abstractNum w:abstractNumId="1">
    <w:nsid w:val="A63ECC87"/>
    <w:multiLevelType w:val="singleLevel"/>
    <w:tmpl w:val="A63ECC87"/>
    <w:lvl w:ilvl="0" w:tentative="0">
      <w:start w:val="5"/>
      <w:numFmt w:val="chineseCounting"/>
      <w:suff w:val="nothing"/>
      <w:lvlText w:val="%1、"/>
      <w:lvlJc w:val="left"/>
      <w:pPr>
        <w:ind w:left="556" w:firstLine="0"/>
      </w:pPr>
      <w:rPr>
        <w:rFonts w:hint="eastAsia"/>
      </w:rPr>
    </w:lvl>
  </w:abstractNum>
  <w:abstractNum w:abstractNumId="2">
    <w:nsid w:val="BB81A8D6"/>
    <w:multiLevelType w:val="singleLevel"/>
    <w:tmpl w:val="BB81A8D6"/>
    <w:lvl w:ilvl="0" w:tentative="0">
      <w:start w:val="1"/>
      <w:numFmt w:val="decimal"/>
      <w:suff w:val="nothing"/>
      <w:lvlText w:val="%1、"/>
      <w:lvlJc w:val="left"/>
      <w:pPr>
        <w:ind w:left="-10"/>
      </w:pPr>
    </w:lvl>
  </w:abstractNum>
  <w:abstractNum w:abstractNumId="3">
    <w:nsid w:val="7160FB00"/>
    <w:multiLevelType w:val="singleLevel"/>
    <w:tmpl w:val="7160FB00"/>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HorizontalSpacing w:val="105"/>
  <w:drawingGridVerticalSpacing w:val="204"/>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76C94"/>
    <w:rsid w:val="0005693D"/>
    <w:rsid w:val="00057AAB"/>
    <w:rsid w:val="000F7B97"/>
    <w:rsid w:val="00131716"/>
    <w:rsid w:val="00147FAD"/>
    <w:rsid w:val="001521F7"/>
    <w:rsid w:val="001C3249"/>
    <w:rsid w:val="001E4CBC"/>
    <w:rsid w:val="001F764B"/>
    <w:rsid w:val="002205F5"/>
    <w:rsid w:val="002314D2"/>
    <w:rsid w:val="00273AC2"/>
    <w:rsid w:val="002B236C"/>
    <w:rsid w:val="002D5C84"/>
    <w:rsid w:val="003369A3"/>
    <w:rsid w:val="003E0518"/>
    <w:rsid w:val="00413AFC"/>
    <w:rsid w:val="00457296"/>
    <w:rsid w:val="00472180"/>
    <w:rsid w:val="00483617"/>
    <w:rsid w:val="004D0560"/>
    <w:rsid w:val="00582D87"/>
    <w:rsid w:val="005858C4"/>
    <w:rsid w:val="005D59C5"/>
    <w:rsid w:val="005E18BD"/>
    <w:rsid w:val="00623984"/>
    <w:rsid w:val="006C4E2A"/>
    <w:rsid w:val="006E4B95"/>
    <w:rsid w:val="00725C59"/>
    <w:rsid w:val="00755C4B"/>
    <w:rsid w:val="007B69E7"/>
    <w:rsid w:val="007B7B9B"/>
    <w:rsid w:val="008348C9"/>
    <w:rsid w:val="008A5DDF"/>
    <w:rsid w:val="008B3735"/>
    <w:rsid w:val="008B7F4D"/>
    <w:rsid w:val="008D4FE4"/>
    <w:rsid w:val="008F7B9F"/>
    <w:rsid w:val="00963A98"/>
    <w:rsid w:val="009824F6"/>
    <w:rsid w:val="009945C8"/>
    <w:rsid w:val="00997A19"/>
    <w:rsid w:val="009D680D"/>
    <w:rsid w:val="00A21579"/>
    <w:rsid w:val="00A53779"/>
    <w:rsid w:val="00AA38EE"/>
    <w:rsid w:val="00B04F06"/>
    <w:rsid w:val="00B07FE1"/>
    <w:rsid w:val="00B319BC"/>
    <w:rsid w:val="00BA06D5"/>
    <w:rsid w:val="00BB7349"/>
    <w:rsid w:val="00C10BE4"/>
    <w:rsid w:val="00C36803"/>
    <w:rsid w:val="00C543E0"/>
    <w:rsid w:val="00C62CFB"/>
    <w:rsid w:val="00D54F8C"/>
    <w:rsid w:val="00DB5854"/>
    <w:rsid w:val="00DD2B84"/>
    <w:rsid w:val="00DE1EDF"/>
    <w:rsid w:val="00E01628"/>
    <w:rsid w:val="00E05DE1"/>
    <w:rsid w:val="00E3667E"/>
    <w:rsid w:val="00EA6C87"/>
    <w:rsid w:val="00F1572F"/>
    <w:rsid w:val="00F8248C"/>
    <w:rsid w:val="00FA19FF"/>
    <w:rsid w:val="00FF6700"/>
    <w:rsid w:val="03854515"/>
    <w:rsid w:val="044B551F"/>
    <w:rsid w:val="04F44BA9"/>
    <w:rsid w:val="0592025E"/>
    <w:rsid w:val="05F31396"/>
    <w:rsid w:val="06CD7E94"/>
    <w:rsid w:val="091D6F0B"/>
    <w:rsid w:val="0AEB436F"/>
    <w:rsid w:val="0C9B2DF2"/>
    <w:rsid w:val="0D696073"/>
    <w:rsid w:val="0F820672"/>
    <w:rsid w:val="103E78D2"/>
    <w:rsid w:val="15712679"/>
    <w:rsid w:val="18461F36"/>
    <w:rsid w:val="1B751BA6"/>
    <w:rsid w:val="1FD215CB"/>
    <w:rsid w:val="216964E4"/>
    <w:rsid w:val="23BC099E"/>
    <w:rsid w:val="24E44E74"/>
    <w:rsid w:val="257A083E"/>
    <w:rsid w:val="274F72F3"/>
    <w:rsid w:val="28842892"/>
    <w:rsid w:val="2B5019E6"/>
    <w:rsid w:val="2BA916A4"/>
    <w:rsid w:val="2C5926E5"/>
    <w:rsid w:val="2D8E5B8E"/>
    <w:rsid w:val="3133348C"/>
    <w:rsid w:val="354955A1"/>
    <w:rsid w:val="357E5C34"/>
    <w:rsid w:val="35F5623B"/>
    <w:rsid w:val="364D7472"/>
    <w:rsid w:val="379675A2"/>
    <w:rsid w:val="37DC23CD"/>
    <w:rsid w:val="380B090E"/>
    <w:rsid w:val="3B0640CD"/>
    <w:rsid w:val="41B0164C"/>
    <w:rsid w:val="432C5618"/>
    <w:rsid w:val="44AF7AD5"/>
    <w:rsid w:val="47CE5D24"/>
    <w:rsid w:val="4E0B48B7"/>
    <w:rsid w:val="56B54165"/>
    <w:rsid w:val="56DE294B"/>
    <w:rsid w:val="5F463F63"/>
    <w:rsid w:val="5F605E1E"/>
    <w:rsid w:val="60865646"/>
    <w:rsid w:val="649F3D9D"/>
    <w:rsid w:val="67273852"/>
    <w:rsid w:val="68376C94"/>
    <w:rsid w:val="692B1034"/>
    <w:rsid w:val="6A855668"/>
    <w:rsid w:val="6D535020"/>
    <w:rsid w:val="70642BF8"/>
    <w:rsid w:val="70D45E79"/>
    <w:rsid w:val="71397B31"/>
    <w:rsid w:val="71C2522C"/>
    <w:rsid w:val="71EF502E"/>
    <w:rsid w:val="7C275E74"/>
    <w:rsid w:val="7F6C1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3"/>
    <w:qFormat/>
    <w:uiPriority w:val="0"/>
    <w:pPr>
      <w:keepNext/>
      <w:keepLines/>
      <w:spacing w:before="260" w:after="260" w:line="413" w:lineRule="auto"/>
      <w:outlineLvl w:val="1"/>
    </w:pPr>
    <w:rPr>
      <w:rFonts w:ascii="Arial" w:hAnsi="Arial" w:eastAsia="黑体"/>
      <w:b/>
      <w:sz w:val="32"/>
      <w:szCs w:val="2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22"/>
    <w:rPr>
      <w:b/>
      <w:bCs/>
    </w:rPr>
  </w:style>
  <w:style w:type="paragraph" w:customStyle="1" w:styleId="9">
    <w:name w:val="p15"/>
    <w:basedOn w:val="1"/>
    <w:qFormat/>
    <w:uiPriority w:val="0"/>
    <w:pPr>
      <w:widowControl/>
      <w:jc w:val="left"/>
    </w:pPr>
    <w:rPr>
      <w:rFonts w:ascii="宋体" w:hAnsi="宋体" w:cs="宋体"/>
      <w:kern w:val="0"/>
      <w:sz w:val="24"/>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 w:type="paragraph" w:styleId="12">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
    <w:name w:val="标题 2 Char"/>
    <w:basedOn w:val="7"/>
    <w:link w:val="2"/>
    <w:qFormat/>
    <w:uiPriority w:val="0"/>
    <w:rPr>
      <w:rFonts w:ascii="Arial" w:hAnsi="Arial" w:eastAsia="黑体"/>
      <w:b/>
      <w:kern w:val="2"/>
      <w:sz w:val="3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E95AB7-9A50-4301-A91F-8B03565E08DD}">
  <ds:schemaRefs/>
</ds:datastoreItem>
</file>

<file path=docProps/app.xml><?xml version="1.0" encoding="utf-8"?>
<Properties xmlns="http://schemas.openxmlformats.org/officeDocument/2006/extended-properties" xmlns:vt="http://schemas.openxmlformats.org/officeDocument/2006/docPropsVTypes">
  <Template>0</Template>
  <Pages>8</Pages>
  <Words>481</Words>
  <Characters>2742</Characters>
  <Lines>22</Lines>
  <Paragraphs>6</Paragraphs>
  <TotalTime>9</TotalTime>
  <ScaleCrop>false</ScaleCrop>
  <LinksUpToDate>false</LinksUpToDate>
  <CharactersWithSpaces>3217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2020-06-05T02:37:00Z</dcterms:created>
  <dc:creator>坐车压马路</dc:creator>
  <cp:lastModifiedBy>忘忧草</cp:lastModifiedBy>
  <dcterms:modified xsi:type="dcterms:W3CDTF">2021-07-29T08:31:26Z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F0EF04FAC7174B819B560AF62B28213A</vt:lpwstr>
  </property>
</Properties>
</file>