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rFonts w:hint="eastAsia" w:ascii="黑体" w:hAnsi="黑体" w:eastAsia="黑体" w:cs="黑体"/>
          <w:sz w:val="36"/>
          <w:szCs w:val="36"/>
        </w:rPr>
      </w:pPr>
      <w:bookmarkStart w:id="0" w:name="_GoBack"/>
      <w:r>
        <w:rPr>
          <w:rFonts w:hint="eastAsia" w:ascii="黑体" w:hAnsi="黑体" w:eastAsia="黑体" w:cs="黑体"/>
          <w:sz w:val="36"/>
          <w:szCs w:val="36"/>
          <w:lang w:eastAsia="zh-CN"/>
        </w:rPr>
        <w:t>中方县住房和城乡建设局</w:t>
      </w:r>
      <w:r>
        <w:rPr>
          <w:rFonts w:hint="eastAsia" w:ascii="黑体" w:hAnsi="黑体" w:eastAsia="黑体" w:cs="黑体"/>
          <w:sz w:val="36"/>
          <w:szCs w:val="36"/>
        </w:rPr>
        <w:t>20</w:t>
      </w:r>
      <w:r>
        <w:rPr>
          <w:rFonts w:hint="eastAsia" w:ascii="黑体" w:hAnsi="黑体" w:eastAsia="黑体" w:cs="黑体"/>
          <w:sz w:val="36"/>
          <w:szCs w:val="36"/>
          <w:lang w:val="en-US" w:eastAsia="zh-CN"/>
        </w:rPr>
        <w:t>20</w:t>
      </w:r>
      <w:r>
        <w:rPr>
          <w:rFonts w:hint="eastAsia" w:ascii="黑体" w:hAnsi="黑体" w:eastAsia="黑体" w:cs="黑体"/>
          <w:sz w:val="36"/>
          <w:szCs w:val="36"/>
        </w:rPr>
        <w:t>年度规划编制专项工作经费专项资金绩效</w:t>
      </w:r>
      <w:r>
        <w:rPr>
          <w:rFonts w:hint="eastAsia" w:ascii="黑体" w:hAnsi="黑体" w:eastAsia="黑体" w:cs="黑体"/>
          <w:sz w:val="36"/>
          <w:szCs w:val="36"/>
          <w:lang w:eastAsia="zh-CN"/>
        </w:rPr>
        <w:t>自</w:t>
      </w:r>
      <w:r>
        <w:rPr>
          <w:rFonts w:hint="eastAsia" w:ascii="黑体" w:hAnsi="黑体" w:eastAsia="黑体" w:cs="黑体"/>
          <w:sz w:val="36"/>
          <w:szCs w:val="36"/>
        </w:rPr>
        <w:t>评报告</w:t>
      </w:r>
    </w:p>
    <w:bookmarkEnd w:id="0"/>
    <w:p>
      <w:pPr>
        <w:pStyle w:val="20"/>
        <w:spacing w:line="510" w:lineRule="exact"/>
        <w:ind w:firstLine="321" w:firstLineChars="100"/>
        <w:rPr>
          <w:rFonts w:ascii="Times New Roman" w:hAnsi="Times New Roman" w:eastAsia="楷体"/>
          <w:b/>
          <w:sz w:val="32"/>
          <w:szCs w:val="32"/>
        </w:rPr>
      </w:pPr>
      <w:r>
        <w:rPr>
          <w:rFonts w:hint="eastAsia" w:ascii="Times New Roman" w:hAnsi="Times New Roman" w:eastAsia="楷体"/>
          <w:b/>
          <w:sz w:val="32"/>
          <w:szCs w:val="32"/>
        </w:rPr>
        <w:t>一、基本情况</w:t>
      </w:r>
    </w:p>
    <w:p>
      <w:pPr>
        <w:pStyle w:val="5"/>
        <w:shd w:val="clear" w:color="auto" w:fill="FFFFFF"/>
        <w:spacing w:before="0" w:beforeAutospacing="0" w:after="0" w:afterAutospacing="0" w:line="600" w:lineRule="atLeast"/>
        <w:ind w:firstLine="645"/>
        <w:rPr>
          <w:rFonts w:hint="eastAsia" w:ascii="仿宋_GB2312" w:hAnsi="微软雅黑" w:eastAsia="仿宋_GB2312" w:cs="仿宋_GB2312"/>
          <w:color w:val="4C4C4C"/>
          <w:sz w:val="31"/>
          <w:szCs w:val="31"/>
          <w:shd w:val="clear" w:color="auto" w:fill="FFFFFF"/>
          <w:lang w:val="en-US" w:eastAsia="zh-CN"/>
        </w:rPr>
      </w:pPr>
      <w:r>
        <w:rPr>
          <w:rFonts w:hint="eastAsia" w:ascii="仿宋_GB2312" w:hAnsi="微软雅黑" w:eastAsia="仿宋_GB2312" w:cs="仿宋_GB2312"/>
          <w:color w:val="4C4C4C"/>
          <w:sz w:val="31"/>
          <w:szCs w:val="31"/>
          <w:shd w:val="clear" w:color="auto" w:fill="FFFFFF"/>
        </w:rPr>
        <w:t>（一）项目概况：</w:t>
      </w:r>
      <w:r>
        <w:rPr>
          <w:rFonts w:ascii="仿宋_GB2312" w:hAnsi="微软雅黑" w:eastAsia="仿宋_GB2312" w:cs="仿宋_GB2312"/>
          <w:color w:val="4C4C4C"/>
          <w:sz w:val="31"/>
          <w:szCs w:val="31"/>
          <w:shd w:val="clear" w:color="auto" w:fill="FFFFFF"/>
        </w:rPr>
        <w:t>20</w:t>
      </w:r>
      <w:r>
        <w:rPr>
          <w:rFonts w:hint="eastAsia" w:ascii="仿宋_GB2312" w:hAnsi="微软雅黑" w:eastAsia="仿宋_GB2312" w:cs="仿宋_GB2312"/>
          <w:color w:val="4C4C4C"/>
          <w:sz w:val="31"/>
          <w:szCs w:val="31"/>
          <w:shd w:val="clear" w:color="auto" w:fill="FFFFFF"/>
          <w:lang w:val="en-US" w:eastAsia="zh-CN"/>
        </w:rPr>
        <w:t>20</w:t>
      </w:r>
      <w:r>
        <w:rPr>
          <w:rFonts w:hint="eastAsia" w:ascii="仿宋_GB2312" w:hAnsi="微软雅黑" w:eastAsia="仿宋_GB2312" w:cs="仿宋_GB2312"/>
          <w:color w:val="4C4C4C"/>
          <w:sz w:val="31"/>
          <w:szCs w:val="31"/>
          <w:shd w:val="clear" w:color="auto" w:fill="FFFFFF"/>
          <w:lang w:eastAsia="zh-CN"/>
        </w:rPr>
        <w:t>年我局规划编制专项工作主要是城北片区概念性规划编制项目，以及对以前年度规划编制专项工作经费的支付。根据县委县政府对我县规划区域建设战略发展目标和县城发展建设的需要，经县领导同意</w:t>
      </w:r>
      <w:r>
        <w:rPr>
          <w:rFonts w:hint="eastAsia" w:ascii="仿宋_GB2312" w:hAnsi="微软雅黑" w:eastAsia="仿宋_GB2312" w:cs="仿宋_GB2312"/>
          <w:color w:val="4C4C4C"/>
          <w:sz w:val="31"/>
          <w:szCs w:val="31"/>
          <w:shd w:val="clear" w:color="auto" w:fill="FFFFFF"/>
          <w:lang w:val="en-US" w:eastAsia="zh-CN"/>
        </w:rPr>
        <w:t>2019年11月开始启动</w:t>
      </w:r>
      <w:r>
        <w:rPr>
          <w:rFonts w:hint="eastAsia" w:ascii="仿宋_GB2312" w:hAnsi="微软雅黑" w:eastAsia="仿宋_GB2312" w:cs="仿宋_GB2312"/>
          <w:color w:val="4C4C4C"/>
          <w:sz w:val="31"/>
          <w:szCs w:val="31"/>
          <w:shd w:val="clear" w:color="auto" w:fill="FFFFFF"/>
          <w:lang w:eastAsia="zh-CN"/>
        </w:rPr>
        <w:t>中方县城北片区概念性规划编制项目</w:t>
      </w:r>
      <w:r>
        <w:rPr>
          <w:rFonts w:hint="eastAsia" w:ascii="仿宋_GB2312" w:hAnsi="微软雅黑" w:eastAsia="仿宋_GB2312" w:cs="仿宋_GB2312"/>
          <w:color w:val="4C4C4C"/>
          <w:sz w:val="31"/>
          <w:szCs w:val="31"/>
          <w:shd w:val="clear" w:color="auto" w:fill="FFFFFF"/>
          <w:lang w:val="en-US" w:eastAsia="zh-CN"/>
        </w:rPr>
        <w:t>的前期工作。</w:t>
      </w:r>
      <w:r>
        <w:rPr>
          <w:rFonts w:hint="eastAsia" w:ascii="仿宋_GB2312" w:hAnsi="微软雅黑" w:eastAsia="仿宋_GB2312" w:cs="仿宋_GB2312"/>
          <w:color w:val="4C4C4C"/>
          <w:sz w:val="31"/>
          <w:szCs w:val="31"/>
          <w:shd w:val="clear" w:color="auto" w:fill="FFFFFF"/>
          <w:lang w:eastAsia="zh-CN"/>
        </w:rPr>
        <w:t>中方县城北片区概念性规划编制项目于</w:t>
      </w:r>
      <w:r>
        <w:rPr>
          <w:rFonts w:hint="eastAsia" w:ascii="仿宋_GB2312" w:hAnsi="微软雅黑" w:eastAsia="仿宋_GB2312" w:cs="仿宋_GB2312"/>
          <w:color w:val="4C4C4C"/>
          <w:sz w:val="31"/>
          <w:szCs w:val="31"/>
          <w:shd w:val="clear" w:color="auto" w:fill="FFFFFF"/>
          <w:lang w:val="en-US" w:eastAsia="zh-CN"/>
        </w:rPr>
        <w:t>2020年3月份进行政府采购相关程序，2020年4月份通过竞争性谈判方式确定湖南现代城市建设发展研究中为设计单位，合同价为27.68万元（共27．68万元，从年初预算预留中解决20．8万元，本级结余中解决6．88万元）。5月设计单位完成规划成果的编制，通过了中方县城乡规划技术审查会审查。2020年6月支付规划编制费用25万元。2020年支付以前年度规划编制专项款项目</w:t>
      </w:r>
      <w:r>
        <w:rPr>
          <w:rFonts w:hint="eastAsia" w:ascii="仿宋_GB2312" w:hAnsi="微软雅黑" w:eastAsia="仿宋_GB2312" w:cs="仿宋_GB2312"/>
          <w:color w:val="4C4C4C"/>
          <w:sz w:val="31"/>
          <w:szCs w:val="31"/>
          <w:shd w:val="clear" w:color="auto" w:fill="FFFFFF"/>
          <w:lang w:eastAsia="zh-CN"/>
        </w:rPr>
        <w:t>是：历史文化名城和传统村落建设规划</w:t>
      </w:r>
      <w:r>
        <w:rPr>
          <w:rFonts w:hint="eastAsia" w:ascii="仿宋_GB2312" w:hAnsi="微软雅黑" w:eastAsia="仿宋_GB2312" w:cs="仿宋_GB2312"/>
          <w:color w:val="4C4C4C"/>
          <w:sz w:val="31"/>
          <w:szCs w:val="31"/>
          <w:shd w:val="clear" w:color="auto" w:fill="FFFFFF"/>
          <w:lang w:val="en-US" w:eastAsia="zh-CN"/>
        </w:rPr>
        <w:t>41.2万元。</w:t>
      </w:r>
    </w:p>
    <w:p>
      <w:pPr>
        <w:pStyle w:val="5"/>
        <w:shd w:val="clear" w:color="auto" w:fill="FFFFFF"/>
        <w:spacing w:before="0" w:beforeAutospacing="0" w:after="0" w:afterAutospacing="0" w:line="600" w:lineRule="atLeast"/>
        <w:ind w:firstLine="645"/>
        <w:rPr>
          <w:rFonts w:ascii="Times New Roman" w:hAnsi="Times New Roman" w:eastAsia="仿宋"/>
          <w:sz w:val="32"/>
          <w:szCs w:val="32"/>
        </w:rPr>
      </w:pPr>
      <w:r>
        <w:rPr>
          <w:rFonts w:hint="eastAsia" w:ascii="Times New Roman" w:hAnsi="Times New Roman" w:eastAsia="仿宋"/>
          <w:sz w:val="32"/>
          <w:szCs w:val="32"/>
        </w:rPr>
        <w:t>（二）项目绩效目标：</w:t>
      </w:r>
    </w:p>
    <w:p>
      <w:pPr>
        <w:pStyle w:val="5"/>
        <w:shd w:val="clear" w:color="auto" w:fill="FFFFFF"/>
        <w:spacing w:before="0" w:beforeAutospacing="0" w:after="0" w:afterAutospacing="0" w:line="60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1、总体目标：</w:t>
      </w:r>
      <w:r>
        <w:rPr>
          <w:rFonts w:ascii="仿宋_GB2312" w:hAnsi="微软雅黑" w:eastAsia="仿宋_GB2312" w:cs="仿宋_GB2312"/>
          <w:color w:val="4C4C4C"/>
          <w:sz w:val="31"/>
          <w:szCs w:val="31"/>
          <w:shd w:val="clear" w:color="auto" w:fill="FFFFFF"/>
        </w:rPr>
        <w:t>通过开展20</w:t>
      </w:r>
      <w:r>
        <w:rPr>
          <w:rFonts w:hint="eastAsia" w:ascii="仿宋_GB2312" w:hAnsi="微软雅黑" w:eastAsia="仿宋_GB2312" w:cs="仿宋_GB2312"/>
          <w:color w:val="4C4C4C"/>
          <w:sz w:val="31"/>
          <w:szCs w:val="31"/>
          <w:shd w:val="clear" w:color="auto" w:fill="FFFFFF"/>
          <w:lang w:val="en-US" w:eastAsia="zh-CN"/>
        </w:rPr>
        <w:t>20</w:t>
      </w:r>
      <w:r>
        <w:rPr>
          <w:rFonts w:ascii="仿宋_GB2312" w:hAnsi="微软雅黑" w:eastAsia="仿宋_GB2312" w:cs="仿宋_GB2312"/>
          <w:color w:val="4C4C4C"/>
          <w:sz w:val="31"/>
          <w:szCs w:val="31"/>
          <w:shd w:val="clear" w:color="auto" w:fill="FFFFFF"/>
        </w:rPr>
        <w:t>年规划编制专项资金绩效评价，掌握绩效目标实现情况和取得的社会经济效益，发现问题，总结经验，提出改进意见和建议，加强财政资金管理，规范财政支出行为，提高财政资金使用效益，更合理安排专项资金提供决策参考依据。</w:t>
      </w:r>
      <w:r>
        <w:rPr>
          <w:rFonts w:hint="eastAsia" w:ascii="仿宋_GB2312" w:hAnsi="微软雅黑" w:eastAsia="仿宋_GB2312" w:cs="仿宋_GB2312"/>
          <w:color w:val="4C4C4C"/>
          <w:sz w:val="31"/>
          <w:szCs w:val="31"/>
          <w:shd w:val="clear" w:color="auto" w:fill="FFFFFF"/>
        </w:rPr>
        <w:t xml:space="preserve"> </w:t>
      </w:r>
    </w:p>
    <w:p>
      <w:pPr>
        <w:pStyle w:val="5"/>
        <w:shd w:val="clear" w:color="auto" w:fill="FFFFFF"/>
        <w:spacing w:before="0" w:beforeAutospacing="0" w:after="0" w:afterAutospacing="0" w:line="600" w:lineRule="atLeast"/>
        <w:ind w:firstLine="645"/>
        <w:rPr>
          <w:rFonts w:ascii="Times New Roman" w:hAnsi="Times New Roman" w:eastAsia="仿宋"/>
          <w:sz w:val="32"/>
          <w:szCs w:val="32"/>
        </w:rPr>
      </w:pPr>
    </w:p>
    <w:p>
      <w:pPr>
        <w:pStyle w:val="5"/>
        <w:shd w:val="clear" w:color="auto" w:fill="FFFFFF"/>
        <w:spacing w:before="0" w:beforeAutospacing="0" w:after="0" w:afterAutospacing="0" w:line="60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2、阶段性目标：</w:t>
      </w:r>
      <w:r>
        <w:rPr>
          <w:rFonts w:hint="eastAsia" w:ascii="仿宋_GB2312" w:hAnsi="微软雅黑" w:eastAsia="仿宋_GB2312" w:cs="仿宋_GB2312"/>
          <w:color w:val="4C4C4C"/>
          <w:sz w:val="31"/>
          <w:szCs w:val="31"/>
          <w:shd w:val="clear" w:color="auto" w:fill="FFFFFF"/>
          <w:lang w:eastAsia="zh-CN"/>
        </w:rPr>
        <w:t>完成中方县城北片区概念性规划编制项目的编制工作，并对</w:t>
      </w:r>
      <w:r>
        <w:rPr>
          <w:rFonts w:hint="eastAsia" w:ascii="仿宋_GB2312" w:hAnsi="微软雅黑" w:eastAsia="仿宋_GB2312" w:cs="仿宋_GB2312"/>
          <w:color w:val="4C4C4C"/>
          <w:sz w:val="31"/>
          <w:szCs w:val="31"/>
          <w:shd w:val="clear" w:color="auto" w:fill="FFFFFF"/>
        </w:rPr>
        <w:t>规划编制专项资金进行绩效评价，保证项目绩效评价工作的连续性和完整性。</w:t>
      </w:r>
    </w:p>
    <w:p>
      <w:pPr>
        <w:pStyle w:val="20"/>
        <w:spacing w:line="510" w:lineRule="exact"/>
        <w:ind w:firstLine="964" w:firstLineChars="3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5"/>
        <w:shd w:val="clear" w:color="auto" w:fill="FFFFFF"/>
        <w:spacing w:before="0" w:beforeAutospacing="0" w:after="0" w:afterAutospacing="0" w:line="600" w:lineRule="atLeast"/>
        <w:ind w:firstLine="645"/>
        <w:rPr>
          <w:rFonts w:ascii="Times New Roman" w:hAnsi="Times New Roman" w:eastAsia="仿宋"/>
          <w:sz w:val="32"/>
          <w:szCs w:val="32"/>
        </w:rPr>
      </w:pPr>
      <w:r>
        <w:rPr>
          <w:rFonts w:ascii="Times New Roman" w:hAnsi="Times New Roman" w:eastAsia="仿宋"/>
          <w:sz w:val="32"/>
          <w:szCs w:val="32"/>
        </w:rPr>
        <w:t>（一）绩效评价目的、对象和范围。</w:t>
      </w:r>
    </w:p>
    <w:p>
      <w:pPr>
        <w:pStyle w:val="5"/>
        <w:shd w:val="clear" w:color="auto" w:fill="FFFFFF"/>
        <w:spacing w:before="0" w:beforeAutospacing="0" w:after="0" w:afterAutospacing="0" w:line="60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1、加强和规范规划编制专项工作经费管理，提高规划编制专项工作经费使用效益；</w:t>
      </w:r>
    </w:p>
    <w:p>
      <w:pPr>
        <w:pStyle w:val="5"/>
        <w:shd w:val="clear" w:color="auto" w:fill="FFFFFF"/>
        <w:spacing w:before="0" w:beforeAutospacing="0" w:after="0" w:afterAutospacing="0" w:line="60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2、建立健全绩效评价机制，更好实现行规划编制专项工作经费绩效目标。</w:t>
      </w:r>
    </w:p>
    <w:p>
      <w:pPr>
        <w:pStyle w:val="5"/>
        <w:shd w:val="clear" w:color="auto" w:fill="FFFFFF"/>
        <w:spacing w:before="0" w:beforeAutospacing="0" w:after="0" w:afterAutospacing="0" w:line="600" w:lineRule="atLeast"/>
        <w:ind w:firstLine="645"/>
        <w:rPr>
          <w:rFonts w:ascii="仿宋_GB2312" w:hAnsi="微软雅黑" w:eastAsia="仿宋_GB2312" w:cs="仿宋_GB2312"/>
          <w:color w:val="4C4C4C"/>
          <w:sz w:val="31"/>
          <w:szCs w:val="31"/>
          <w:shd w:val="clear" w:color="auto" w:fill="FFFFFF"/>
        </w:rPr>
      </w:pPr>
      <w:r>
        <w:rPr>
          <w:rFonts w:ascii="Times New Roman" w:hAnsi="Times New Roman" w:eastAsia="仿宋"/>
          <w:sz w:val="32"/>
          <w:szCs w:val="32"/>
        </w:rPr>
        <w:t>（二）</w:t>
      </w:r>
      <w:r>
        <w:rPr>
          <w:rFonts w:ascii="仿宋_GB2312" w:hAnsi="微软雅黑" w:eastAsia="仿宋_GB2312" w:cs="仿宋_GB2312"/>
          <w:color w:val="4C4C4C"/>
          <w:sz w:val="31"/>
          <w:szCs w:val="31"/>
          <w:shd w:val="clear" w:color="auto" w:fill="FFFFFF"/>
        </w:rPr>
        <w:t>绩效评价原则、评价指标体系、评价方法</w:t>
      </w:r>
      <w:r>
        <w:rPr>
          <w:rFonts w:hint="eastAsia" w:ascii="仿宋_GB2312" w:hAnsi="微软雅黑" w:eastAsia="仿宋_GB2312" w:cs="仿宋_GB2312"/>
          <w:color w:val="4C4C4C"/>
          <w:sz w:val="31"/>
          <w:szCs w:val="31"/>
          <w:shd w:val="clear" w:color="auto" w:fill="FFFFFF"/>
        </w:rPr>
        <w:t>、评价标准</w:t>
      </w:r>
    </w:p>
    <w:p>
      <w:pPr>
        <w:pStyle w:val="5"/>
        <w:shd w:val="clear" w:color="auto" w:fill="FFFFFF"/>
        <w:spacing w:before="0" w:beforeAutospacing="0" w:after="0" w:afterAutospacing="0" w:line="450" w:lineRule="atLeast"/>
        <w:ind w:firstLine="420"/>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1、绩效评价原则：（</w:t>
      </w:r>
      <w:r>
        <w:rPr>
          <w:rFonts w:hint="eastAsia" w:ascii="仿宋_GB2312" w:hAnsi="微软雅黑" w:eastAsia="仿宋_GB2312" w:cs="仿宋_GB2312"/>
          <w:color w:val="4C4C4C"/>
          <w:sz w:val="31"/>
          <w:szCs w:val="31"/>
          <w:shd w:val="clear" w:color="auto" w:fill="FFFFFF"/>
        </w:rPr>
        <w:t>1</w:t>
      </w:r>
      <w:r>
        <w:rPr>
          <w:rFonts w:ascii="仿宋_GB2312" w:hAnsi="微软雅黑" w:eastAsia="仿宋_GB2312" w:cs="仿宋_GB2312"/>
          <w:color w:val="4C4C4C"/>
          <w:sz w:val="31"/>
          <w:szCs w:val="31"/>
          <w:shd w:val="clear" w:color="auto" w:fill="FFFFFF"/>
        </w:rPr>
        <w:t>）客观、科学、公正的原则；（</w:t>
      </w:r>
      <w:r>
        <w:rPr>
          <w:rFonts w:hint="eastAsia" w:ascii="仿宋_GB2312" w:hAnsi="微软雅黑" w:eastAsia="仿宋_GB2312" w:cs="仿宋_GB2312"/>
          <w:color w:val="4C4C4C"/>
          <w:sz w:val="31"/>
          <w:szCs w:val="31"/>
          <w:shd w:val="clear" w:color="auto" w:fill="FFFFFF"/>
        </w:rPr>
        <w:t>2</w:t>
      </w:r>
      <w:r>
        <w:rPr>
          <w:rFonts w:ascii="仿宋_GB2312" w:hAnsi="微软雅黑" w:eastAsia="仿宋_GB2312" w:cs="仿宋_GB2312"/>
          <w:color w:val="4C4C4C"/>
          <w:sz w:val="31"/>
          <w:szCs w:val="31"/>
          <w:shd w:val="clear" w:color="auto" w:fill="FFFFFF"/>
        </w:rPr>
        <w:t>）综合绩效评价的原则；（</w:t>
      </w:r>
      <w:r>
        <w:rPr>
          <w:rFonts w:hint="eastAsia" w:ascii="仿宋_GB2312" w:hAnsi="微软雅黑" w:eastAsia="仿宋_GB2312" w:cs="仿宋_GB2312"/>
          <w:color w:val="4C4C4C"/>
          <w:sz w:val="31"/>
          <w:szCs w:val="31"/>
          <w:shd w:val="clear" w:color="auto" w:fill="FFFFFF"/>
        </w:rPr>
        <w:t>3</w:t>
      </w:r>
      <w:r>
        <w:rPr>
          <w:rFonts w:ascii="仿宋_GB2312" w:hAnsi="微软雅黑" w:eastAsia="仿宋_GB2312" w:cs="仿宋_GB2312"/>
          <w:color w:val="4C4C4C"/>
          <w:sz w:val="31"/>
          <w:szCs w:val="31"/>
          <w:shd w:val="clear" w:color="auto" w:fill="FFFFFF"/>
        </w:rPr>
        <w:t>）定量分析与定性分析的原则；（</w:t>
      </w:r>
      <w:r>
        <w:rPr>
          <w:rFonts w:hint="eastAsia" w:ascii="仿宋_GB2312" w:hAnsi="微软雅黑" w:eastAsia="仿宋_GB2312" w:cs="仿宋_GB2312"/>
          <w:color w:val="4C4C4C"/>
          <w:sz w:val="31"/>
          <w:szCs w:val="31"/>
          <w:shd w:val="clear" w:color="auto" w:fill="FFFFFF"/>
        </w:rPr>
        <w:t>4</w:t>
      </w:r>
      <w:r>
        <w:rPr>
          <w:rFonts w:ascii="仿宋_GB2312" w:hAnsi="微软雅黑" w:eastAsia="仿宋_GB2312" w:cs="仿宋_GB2312"/>
          <w:color w:val="4C4C4C"/>
          <w:sz w:val="31"/>
          <w:szCs w:val="31"/>
          <w:shd w:val="clear" w:color="auto" w:fill="FFFFFF"/>
        </w:rPr>
        <w:t>）统筹规划、稳步推进的原则；（</w:t>
      </w:r>
      <w:r>
        <w:rPr>
          <w:rFonts w:hint="eastAsia" w:ascii="仿宋_GB2312" w:hAnsi="微软雅黑" w:eastAsia="仿宋_GB2312" w:cs="仿宋_GB2312"/>
          <w:color w:val="4C4C4C"/>
          <w:sz w:val="31"/>
          <w:szCs w:val="31"/>
          <w:shd w:val="clear" w:color="auto" w:fill="FFFFFF"/>
        </w:rPr>
        <w:t>5</w:t>
      </w:r>
      <w:r>
        <w:rPr>
          <w:rFonts w:ascii="仿宋_GB2312" w:hAnsi="微软雅黑" w:eastAsia="仿宋_GB2312" w:cs="仿宋_GB2312"/>
          <w:color w:val="4C4C4C"/>
          <w:sz w:val="31"/>
          <w:szCs w:val="31"/>
          <w:shd w:val="clear" w:color="auto" w:fill="FFFFFF"/>
        </w:rPr>
        <w:t>）财政支出绩效评价与财政支出管理相结合的原则；（</w:t>
      </w:r>
      <w:r>
        <w:rPr>
          <w:rFonts w:hint="eastAsia" w:ascii="仿宋_GB2312" w:hAnsi="微软雅黑" w:eastAsia="仿宋_GB2312" w:cs="仿宋_GB2312"/>
          <w:color w:val="4C4C4C"/>
          <w:sz w:val="31"/>
          <w:szCs w:val="31"/>
          <w:shd w:val="clear" w:color="auto" w:fill="FFFFFF"/>
        </w:rPr>
        <w:t>6</w:t>
      </w:r>
      <w:r>
        <w:rPr>
          <w:rFonts w:ascii="仿宋_GB2312" w:hAnsi="微软雅黑" w:eastAsia="仿宋_GB2312" w:cs="仿宋_GB2312"/>
          <w:color w:val="4C4C4C"/>
          <w:sz w:val="31"/>
          <w:szCs w:val="31"/>
          <w:shd w:val="clear" w:color="auto" w:fill="FFFFFF"/>
        </w:rPr>
        <w:t>）财政支出绩效评价贯彻事前、事中、事后的原则。</w:t>
      </w:r>
    </w:p>
    <w:p>
      <w:pPr>
        <w:pStyle w:val="5"/>
        <w:shd w:val="clear" w:color="auto" w:fill="FFFFFF"/>
        <w:spacing w:before="0" w:beforeAutospacing="0" w:after="0" w:afterAutospacing="0" w:line="450" w:lineRule="atLeast"/>
        <w:ind w:firstLine="620" w:firstLineChars="2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w:t>
      </w:r>
      <w:r>
        <w:rPr>
          <w:rFonts w:ascii="仿宋_GB2312" w:hAnsi="微软雅黑" w:eastAsia="仿宋_GB2312" w:cs="仿宋_GB2312"/>
          <w:color w:val="4C4C4C"/>
          <w:sz w:val="31"/>
          <w:szCs w:val="31"/>
          <w:shd w:val="clear" w:color="auto" w:fill="FFFFFF"/>
        </w:rPr>
        <w:t>、评价方法</w:t>
      </w:r>
      <w:r>
        <w:rPr>
          <w:rFonts w:hint="eastAsia" w:ascii="仿宋_GB2312" w:hAnsi="微软雅黑" w:eastAsia="仿宋_GB2312" w:cs="仿宋_GB2312"/>
          <w:color w:val="4C4C4C"/>
          <w:sz w:val="31"/>
          <w:szCs w:val="31"/>
          <w:shd w:val="clear" w:color="auto" w:fill="FFFFFF"/>
        </w:rPr>
        <w:t>：</w:t>
      </w:r>
      <w:r>
        <w:rPr>
          <w:rFonts w:ascii="仿宋_GB2312" w:hAnsi="微软雅黑" w:eastAsia="仿宋_GB2312" w:cs="仿宋_GB2312"/>
          <w:color w:val="4C4C4C"/>
          <w:sz w:val="31"/>
          <w:szCs w:val="31"/>
          <w:shd w:val="clear" w:color="auto" w:fill="FFFFFF"/>
        </w:rPr>
        <w:t>因素分析法。</w:t>
      </w:r>
    </w:p>
    <w:p>
      <w:pPr>
        <w:pStyle w:val="5"/>
        <w:shd w:val="clear" w:color="auto" w:fill="FFFFFF"/>
        <w:spacing w:before="0" w:beforeAutospacing="0" w:after="0" w:afterAutospacing="0" w:line="450" w:lineRule="atLeast"/>
        <w:ind w:firstLine="645"/>
        <w:rPr>
          <w:rFonts w:ascii="微软雅黑" w:hAnsi="微软雅黑" w:eastAsia="微软雅黑" w:cs="微软雅黑"/>
          <w:color w:val="4C4C4C"/>
        </w:rPr>
      </w:pPr>
      <w:r>
        <w:rPr>
          <w:rFonts w:hint="eastAsia" w:ascii="仿宋_GB2312" w:hAnsi="微软雅黑" w:eastAsia="仿宋_GB2312" w:cs="仿宋_GB2312"/>
          <w:color w:val="4C4C4C"/>
          <w:sz w:val="31"/>
          <w:szCs w:val="31"/>
          <w:shd w:val="clear" w:color="auto" w:fill="FFFFFF"/>
        </w:rPr>
        <w:t>3</w:t>
      </w:r>
      <w:r>
        <w:rPr>
          <w:rFonts w:ascii="仿宋_GB2312" w:hAnsi="微软雅黑" w:eastAsia="仿宋_GB2312" w:cs="仿宋_GB2312"/>
          <w:color w:val="4C4C4C"/>
          <w:sz w:val="31"/>
          <w:szCs w:val="31"/>
          <w:shd w:val="clear" w:color="auto" w:fill="FFFFFF"/>
        </w:rPr>
        <w:t>、评价指标体系详见附表。</w:t>
      </w:r>
    </w:p>
    <w:p>
      <w:pPr>
        <w:pStyle w:val="5"/>
        <w:shd w:val="clear" w:color="auto" w:fill="FFFFFF"/>
        <w:spacing w:before="0" w:beforeAutospacing="0" w:after="0" w:afterAutospacing="0" w:line="450" w:lineRule="atLeast"/>
        <w:ind w:firstLine="420"/>
        <w:rPr>
          <w:rFonts w:ascii="微软雅黑" w:hAnsi="微软雅黑" w:eastAsia="微软雅黑" w:cs="微软雅黑"/>
          <w:color w:val="4C4C4C"/>
        </w:rPr>
      </w:pPr>
      <w:r>
        <w:rPr>
          <w:rStyle w:val="9"/>
          <w:rFonts w:ascii="楷体_GB2312" w:hAnsi="微软雅黑" w:eastAsia="楷体_GB2312" w:cs="楷体_GB2312"/>
          <w:color w:val="4C4C4C"/>
          <w:sz w:val="31"/>
          <w:szCs w:val="31"/>
          <w:shd w:val="clear" w:color="auto" w:fill="FFFFFF"/>
        </w:rPr>
        <w:t>  </w:t>
      </w:r>
      <w:r>
        <w:rPr>
          <w:rFonts w:ascii="楷体_GB2312" w:hAnsi="微软雅黑" w:eastAsia="楷体_GB2312" w:cs="楷体_GB2312"/>
          <w:color w:val="4C4C4C"/>
          <w:sz w:val="31"/>
          <w:szCs w:val="31"/>
          <w:shd w:val="clear" w:color="auto" w:fill="FFFFFF"/>
        </w:rPr>
        <w:t> </w:t>
      </w:r>
      <w:r>
        <w:rPr>
          <w:rStyle w:val="9"/>
          <w:rFonts w:ascii="楷体_GB2312" w:hAnsi="微软雅黑" w:eastAsia="楷体_GB2312" w:cs="楷体_GB2312"/>
          <w:color w:val="4C4C4C"/>
          <w:sz w:val="31"/>
          <w:szCs w:val="31"/>
          <w:shd w:val="clear" w:color="auto" w:fill="FFFFFF"/>
        </w:rPr>
        <w:t>（三）绩效评价工作过程</w:t>
      </w:r>
    </w:p>
    <w:p>
      <w:pPr>
        <w:pStyle w:val="5"/>
        <w:shd w:val="clear" w:color="auto" w:fill="FFFFFF"/>
        <w:spacing w:before="0" w:beforeAutospacing="0" w:after="0" w:afterAutospacing="0" w:line="450" w:lineRule="atLeast"/>
        <w:ind w:firstLine="420"/>
        <w:jc w:val="left"/>
        <w:rPr>
          <w:rFonts w:ascii="微软雅黑" w:hAnsi="微软雅黑" w:eastAsia="微软雅黑" w:cs="微软雅黑"/>
          <w:color w:val="4C4C4C"/>
        </w:rPr>
      </w:pPr>
      <w:r>
        <w:rPr>
          <w:rFonts w:hint="eastAsia" w:ascii="仿宋_GB2312" w:hAnsi="微软雅黑" w:eastAsia="仿宋_GB2312" w:cs="仿宋_GB2312"/>
          <w:color w:val="4C4C4C"/>
          <w:sz w:val="31"/>
          <w:szCs w:val="31"/>
          <w:shd w:val="clear" w:color="auto" w:fill="FFFFFF"/>
        </w:rPr>
        <w:t xml:space="preserve"> 202</w:t>
      </w:r>
      <w:r>
        <w:rPr>
          <w:rFonts w:hint="eastAsia" w:ascii="仿宋_GB2312" w:hAnsi="微软雅黑" w:eastAsia="仿宋_GB2312" w:cs="仿宋_GB2312"/>
          <w:color w:val="4C4C4C"/>
          <w:sz w:val="31"/>
          <w:szCs w:val="31"/>
          <w:shd w:val="clear" w:color="auto" w:fill="FFFFFF"/>
          <w:lang w:val="en-US" w:eastAsia="zh-CN"/>
        </w:rPr>
        <w:t>1</w:t>
      </w:r>
      <w:r>
        <w:rPr>
          <w:rFonts w:hint="eastAsia" w:ascii="仿宋_GB2312" w:hAnsi="微软雅黑" w:eastAsia="仿宋_GB2312" w:cs="仿宋_GB2312"/>
          <w:color w:val="4C4C4C"/>
          <w:sz w:val="31"/>
          <w:szCs w:val="31"/>
          <w:shd w:val="clear" w:color="auto" w:fill="FFFFFF"/>
        </w:rPr>
        <w:t>年</w:t>
      </w:r>
      <w:r>
        <w:rPr>
          <w:rFonts w:hint="eastAsia" w:ascii="仿宋_GB2312" w:hAnsi="微软雅黑" w:eastAsia="仿宋_GB2312" w:cs="仿宋_GB2312"/>
          <w:color w:val="4C4C4C"/>
          <w:sz w:val="31"/>
          <w:szCs w:val="31"/>
          <w:shd w:val="clear" w:color="auto" w:fill="FFFFFF"/>
          <w:lang w:val="en-US" w:eastAsia="zh-CN"/>
        </w:rPr>
        <w:t>7</w:t>
      </w:r>
      <w:r>
        <w:rPr>
          <w:rFonts w:hint="eastAsia" w:ascii="仿宋_GB2312" w:hAnsi="微软雅黑" w:eastAsia="仿宋_GB2312" w:cs="仿宋_GB2312"/>
          <w:color w:val="4C4C4C"/>
          <w:sz w:val="31"/>
          <w:szCs w:val="31"/>
          <w:shd w:val="clear" w:color="auto" w:fill="FFFFFF"/>
        </w:rPr>
        <w:t>月</w:t>
      </w:r>
      <w:r>
        <w:rPr>
          <w:rFonts w:hint="eastAsia" w:ascii="仿宋_GB2312" w:hAnsi="微软雅黑" w:eastAsia="仿宋_GB2312" w:cs="仿宋_GB2312"/>
          <w:color w:val="4C4C4C"/>
          <w:sz w:val="31"/>
          <w:szCs w:val="31"/>
          <w:shd w:val="clear" w:color="auto" w:fill="FFFFFF"/>
          <w:lang w:eastAsia="zh-CN"/>
        </w:rPr>
        <w:t>初</w:t>
      </w:r>
      <w:r>
        <w:rPr>
          <w:rFonts w:hint="eastAsia" w:ascii="仿宋_GB2312" w:hAnsi="微软雅黑" w:eastAsia="仿宋_GB2312" w:cs="仿宋_GB2312"/>
          <w:color w:val="4C4C4C"/>
          <w:sz w:val="31"/>
          <w:szCs w:val="31"/>
          <w:shd w:val="clear" w:color="auto" w:fill="FFFFFF"/>
        </w:rPr>
        <w:t>，</w:t>
      </w:r>
      <w:r>
        <w:rPr>
          <w:rFonts w:hint="eastAsia" w:ascii="仿宋_GB2312" w:hAnsi="微软雅黑" w:eastAsia="仿宋_GB2312" w:cs="仿宋_GB2312"/>
          <w:color w:val="4C4C4C"/>
          <w:sz w:val="31"/>
          <w:szCs w:val="31"/>
          <w:shd w:val="clear" w:color="auto" w:fill="FFFFFF"/>
          <w:lang w:eastAsia="zh-CN"/>
        </w:rPr>
        <w:t>成立了</w:t>
      </w:r>
      <w:r>
        <w:rPr>
          <w:rFonts w:hint="eastAsia" w:ascii="仿宋_GB2312" w:hAnsi="微软雅黑" w:eastAsia="仿宋_GB2312" w:cs="仿宋_GB2312"/>
          <w:color w:val="4C4C4C"/>
          <w:sz w:val="31"/>
          <w:szCs w:val="31"/>
          <w:shd w:val="clear" w:color="auto" w:fill="FFFFFF"/>
        </w:rPr>
        <w:t>由本局</w:t>
      </w:r>
      <w:r>
        <w:rPr>
          <w:rFonts w:hint="eastAsia" w:ascii="仿宋_GB2312" w:hAnsi="微软雅黑" w:eastAsia="仿宋_GB2312" w:cs="仿宋_GB2312"/>
          <w:color w:val="4C4C4C"/>
          <w:sz w:val="31"/>
          <w:szCs w:val="31"/>
          <w:shd w:val="clear" w:color="auto" w:fill="FFFFFF"/>
          <w:lang w:eastAsia="zh-CN"/>
        </w:rPr>
        <w:t>潘科夫副局长</w:t>
      </w:r>
      <w:r>
        <w:rPr>
          <w:rFonts w:hint="eastAsia" w:ascii="仿宋_GB2312" w:hAnsi="微软雅黑" w:eastAsia="仿宋_GB2312" w:cs="仿宋_GB2312"/>
          <w:color w:val="4C4C4C"/>
          <w:sz w:val="31"/>
          <w:szCs w:val="31"/>
          <w:shd w:val="clear" w:color="auto" w:fill="FFFFFF"/>
        </w:rPr>
        <w:t>主管，财务室牵头，</w:t>
      </w:r>
      <w:r>
        <w:rPr>
          <w:rFonts w:hint="eastAsia" w:ascii="仿宋_GB2312" w:hAnsi="微软雅黑" w:eastAsia="仿宋_GB2312" w:cs="仿宋_GB2312"/>
          <w:color w:val="4C4C4C"/>
          <w:sz w:val="31"/>
          <w:szCs w:val="31"/>
          <w:shd w:val="clear" w:color="auto" w:fill="FFFFFF"/>
          <w:lang w:eastAsia="zh-CN"/>
        </w:rPr>
        <w:t>城乡和人防</w:t>
      </w:r>
      <w:r>
        <w:rPr>
          <w:rFonts w:hint="eastAsia" w:ascii="仿宋_GB2312" w:hAnsi="微软雅黑" w:eastAsia="仿宋_GB2312" w:cs="仿宋_GB2312"/>
          <w:color w:val="4C4C4C"/>
          <w:sz w:val="31"/>
          <w:szCs w:val="31"/>
          <w:shd w:val="clear" w:color="auto" w:fill="FFFFFF"/>
        </w:rPr>
        <w:t>建设管理股和</w:t>
      </w:r>
      <w:r>
        <w:rPr>
          <w:rFonts w:hint="eastAsia" w:ascii="仿宋_GB2312" w:hAnsi="微软雅黑" w:eastAsia="仿宋_GB2312" w:cs="仿宋_GB2312"/>
          <w:color w:val="4C4C4C"/>
          <w:sz w:val="31"/>
          <w:szCs w:val="31"/>
          <w:shd w:val="clear" w:color="auto" w:fill="FFFFFF"/>
          <w:lang w:eastAsia="zh-CN"/>
        </w:rPr>
        <w:t>建筑、人防</w:t>
      </w:r>
      <w:r>
        <w:rPr>
          <w:rFonts w:hint="eastAsia" w:ascii="仿宋_GB2312" w:hAnsi="微软雅黑" w:eastAsia="仿宋_GB2312" w:cs="仿宋_GB2312"/>
          <w:color w:val="4C4C4C"/>
          <w:sz w:val="31"/>
          <w:szCs w:val="31"/>
          <w:shd w:val="clear" w:color="auto" w:fill="FFFFFF"/>
        </w:rPr>
        <w:t>工程管理股</w:t>
      </w:r>
      <w:r>
        <w:rPr>
          <w:rFonts w:hint="eastAsia" w:ascii="仿宋_GB2312" w:hAnsi="微软雅黑" w:eastAsia="仿宋_GB2312" w:cs="仿宋_GB2312"/>
          <w:color w:val="4C4C4C"/>
          <w:sz w:val="31"/>
          <w:szCs w:val="31"/>
          <w:shd w:val="clear" w:color="auto" w:fill="FFFFFF"/>
          <w:lang w:eastAsia="zh-CN"/>
        </w:rPr>
        <w:t>、科技与设计管理股</w:t>
      </w:r>
      <w:r>
        <w:rPr>
          <w:rFonts w:hint="eastAsia" w:ascii="仿宋_GB2312" w:hAnsi="微软雅黑" w:eastAsia="仿宋_GB2312" w:cs="仿宋_GB2312"/>
          <w:color w:val="4C4C4C"/>
          <w:sz w:val="31"/>
          <w:szCs w:val="31"/>
          <w:shd w:val="clear" w:color="auto" w:fill="FFFFFF"/>
        </w:rPr>
        <w:t>负责的绩效自评工作领导小组</w:t>
      </w:r>
      <w:r>
        <w:rPr>
          <w:rFonts w:hint="eastAsia" w:ascii="仿宋_GB2312" w:hAnsi="微软雅黑" w:eastAsia="仿宋_GB2312" w:cs="仿宋_GB2312"/>
          <w:color w:val="000000"/>
          <w:sz w:val="31"/>
          <w:szCs w:val="31"/>
          <w:shd w:val="clear" w:color="auto" w:fill="FFFFFF"/>
        </w:rPr>
        <w:t>。</w:t>
      </w:r>
      <w:r>
        <w:rPr>
          <w:rFonts w:hint="eastAsia" w:ascii="仿宋_GB2312" w:hAnsi="微软雅黑" w:eastAsia="仿宋_GB2312" w:cs="仿宋_GB2312"/>
          <w:color w:val="4C4C4C"/>
          <w:sz w:val="31"/>
          <w:szCs w:val="31"/>
          <w:shd w:val="clear" w:color="auto" w:fill="FFFFFF"/>
        </w:rPr>
        <w:t>根据预算管理和绩效评价相关制度和文件，制定本次绩效评价工作的自评工作方案，向参与本次评价的股室下达绩效通知书，各股</w:t>
      </w:r>
      <w:r>
        <w:rPr>
          <w:rFonts w:ascii="仿宋_GB2312" w:hAnsi="微软雅黑" w:eastAsia="仿宋_GB2312" w:cs="仿宋_GB2312"/>
          <w:color w:val="4C4C4C"/>
          <w:sz w:val="31"/>
          <w:szCs w:val="31"/>
          <w:shd w:val="clear" w:color="auto" w:fill="FFFFFF"/>
        </w:rPr>
        <w:t>到项目现场实地核查、查询填报数据的真实性、准确性、完整性，再根据设定的评价指标、评价方法，并辅以问卷调查、工作座谈等方式进行定量和定性分析，得出最终结果。</w:t>
      </w:r>
      <w:r>
        <w:rPr>
          <w:rFonts w:hint="eastAsia" w:ascii="仿宋_GB2312" w:hAnsi="微软雅黑" w:eastAsia="仿宋_GB2312" w:cs="仿宋_GB2312"/>
          <w:color w:val="4C4C4C"/>
          <w:sz w:val="31"/>
          <w:szCs w:val="31"/>
          <w:shd w:val="clear" w:color="auto" w:fill="FFFFFF"/>
        </w:rPr>
        <w:t>由财务室填写&lt;&lt;项目支出绩效自评表&gt;&gt;进行自评。然后再运用科学、合理的绩效评价指标、评价标准和方法，组织开展绩效评价，</w:t>
      </w:r>
      <w:r>
        <w:rPr>
          <w:rFonts w:ascii="仿宋_GB2312" w:hAnsi="微软雅黑" w:eastAsia="仿宋_GB2312" w:cs="仿宋_GB2312"/>
          <w:color w:val="4C4C4C"/>
          <w:sz w:val="31"/>
          <w:szCs w:val="31"/>
          <w:shd w:val="clear" w:color="auto" w:fill="FFFFFF"/>
        </w:rPr>
        <w:t>撰写</w:t>
      </w:r>
      <w:r>
        <w:rPr>
          <w:rFonts w:hint="eastAsia" w:ascii="仿宋_GB2312" w:hAnsi="微软雅黑" w:eastAsia="仿宋_GB2312" w:cs="仿宋_GB2312"/>
          <w:color w:val="4C4C4C"/>
          <w:sz w:val="31"/>
          <w:szCs w:val="31"/>
          <w:shd w:val="clear" w:color="auto" w:fill="FFFFFF"/>
        </w:rPr>
        <w:t>本项目的</w:t>
      </w:r>
      <w:r>
        <w:rPr>
          <w:rFonts w:ascii="仿宋_GB2312" w:hAnsi="微软雅黑" w:eastAsia="仿宋_GB2312" w:cs="仿宋_GB2312"/>
          <w:color w:val="4C4C4C"/>
          <w:sz w:val="31"/>
          <w:szCs w:val="31"/>
          <w:shd w:val="clear" w:color="auto" w:fill="FFFFFF"/>
        </w:rPr>
        <w:t>绩效评价报告。</w:t>
      </w:r>
    </w:p>
    <w:p>
      <w:pPr>
        <w:pStyle w:val="2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20"/>
        <w:spacing w:line="510" w:lineRule="exact"/>
        <w:ind w:firstLine="620" w:firstLineChars="200"/>
        <w:rPr>
          <w:rFonts w:ascii="仿宋_GB2312" w:hAnsi="微软雅黑" w:eastAsia="仿宋_GB2312" w:cs="仿宋_GB2312"/>
          <w:color w:val="4C4C4C"/>
          <w:kern w:val="0"/>
          <w:sz w:val="31"/>
          <w:szCs w:val="31"/>
          <w:shd w:val="clear" w:color="auto" w:fill="FFFFFF"/>
        </w:rPr>
      </w:pPr>
      <w:r>
        <w:rPr>
          <w:rFonts w:hint="eastAsia" w:ascii="仿宋_GB2312" w:hAnsi="微软雅黑" w:eastAsia="仿宋_GB2312" w:cs="仿宋_GB2312"/>
          <w:color w:val="4C4C4C"/>
          <w:kern w:val="0"/>
          <w:sz w:val="31"/>
          <w:szCs w:val="31"/>
          <w:shd w:val="clear" w:color="auto" w:fill="FFFFFF"/>
        </w:rPr>
        <w:t>按照《规划编制专项工作经费绩效评价指标体系》，评价工作组对20</w:t>
      </w:r>
      <w:r>
        <w:rPr>
          <w:rFonts w:hint="eastAsia" w:ascii="仿宋_GB2312" w:hAnsi="微软雅黑" w:eastAsia="仿宋_GB2312" w:cs="仿宋_GB2312"/>
          <w:color w:val="4C4C4C"/>
          <w:kern w:val="0"/>
          <w:sz w:val="31"/>
          <w:szCs w:val="31"/>
          <w:shd w:val="clear" w:color="auto" w:fill="FFFFFF"/>
          <w:lang w:val="en-US" w:eastAsia="zh-CN"/>
        </w:rPr>
        <w:t>20</w:t>
      </w:r>
      <w:r>
        <w:rPr>
          <w:rFonts w:hint="eastAsia" w:ascii="仿宋_GB2312" w:hAnsi="微软雅黑" w:eastAsia="仿宋_GB2312" w:cs="仿宋_GB2312"/>
          <w:color w:val="4C4C4C"/>
          <w:kern w:val="0"/>
          <w:sz w:val="31"/>
          <w:szCs w:val="31"/>
          <w:shd w:val="clear" w:color="auto" w:fill="FFFFFF"/>
        </w:rPr>
        <w:t>年规划编制专项工作经费绩效进行评价的评分分值为92分。</w:t>
      </w:r>
    </w:p>
    <w:p>
      <w:pPr>
        <w:pStyle w:val="2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Style w:val="9"/>
          <w:rFonts w:ascii="楷体_GB2312" w:hAnsi="微软雅黑" w:eastAsia="楷体_GB2312" w:cs="楷体_GB2312"/>
          <w:color w:val="4C4C4C"/>
          <w:sz w:val="31"/>
          <w:szCs w:val="31"/>
          <w:shd w:val="clear" w:color="auto" w:fill="FFFFFF"/>
        </w:rPr>
        <w:t>（</w:t>
      </w:r>
      <w:r>
        <w:rPr>
          <w:rFonts w:ascii="仿宋_GB2312" w:hAnsi="微软雅黑" w:eastAsia="仿宋_GB2312" w:cs="仿宋_GB2312"/>
          <w:color w:val="4C4C4C"/>
          <w:sz w:val="31"/>
          <w:szCs w:val="31"/>
          <w:shd w:val="clear" w:color="auto" w:fill="FFFFFF"/>
        </w:rPr>
        <w:t>一）</w:t>
      </w:r>
      <w:r>
        <w:rPr>
          <w:rFonts w:hint="eastAsia" w:ascii="仿宋_GB2312" w:hAnsi="微软雅黑" w:eastAsia="仿宋_GB2312" w:cs="仿宋_GB2312"/>
          <w:color w:val="4C4C4C"/>
          <w:sz w:val="31"/>
          <w:szCs w:val="31"/>
          <w:shd w:val="clear" w:color="auto" w:fill="FFFFFF"/>
        </w:rPr>
        <w:t>项目决策情况：</w:t>
      </w:r>
    </w:p>
    <w:p>
      <w:pPr>
        <w:pStyle w:val="5"/>
        <w:shd w:val="clear" w:color="auto" w:fill="FFFFFF"/>
        <w:spacing w:before="0" w:beforeAutospacing="0" w:after="0" w:afterAutospacing="0" w:line="450" w:lineRule="atLeast"/>
        <w:ind w:firstLine="645"/>
        <w:rPr>
          <w:rFonts w:hint="eastAsia"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1、项目立项：</w:t>
      </w:r>
      <w:r>
        <w:rPr>
          <w:rFonts w:hint="eastAsia" w:ascii="仿宋_GB2312" w:hAnsi="微软雅黑" w:eastAsia="仿宋_GB2312" w:cs="仿宋_GB2312"/>
          <w:color w:val="4C4C4C"/>
          <w:sz w:val="31"/>
          <w:szCs w:val="31"/>
          <w:shd w:val="clear" w:color="auto" w:fill="FFFFFF"/>
          <w:lang w:eastAsia="zh-CN"/>
        </w:rPr>
        <w:t>根据县委县政府对我县规划区域建设战略发展目标和县城发展建设的需要，经县领导同意</w:t>
      </w:r>
      <w:r>
        <w:rPr>
          <w:rFonts w:hint="eastAsia" w:ascii="仿宋_GB2312" w:hAnsi="微软雅黑" w:eastAsia="仿宋_GB2312" w:cs="仿宋_GB2312"/>
          <w:color w:val="4C4C4C"/>
          <w:sz w:val="31"/>
          <w:szCs w:val="31"/>
          <w:shd w:val="clear" w:color="auto" w:fill="FFFFFF"/>
          <w:lang w:val="en-US" w:eastAsia="zh-CN"/>
        </w:rPr>
        <w:t>2019年11月开始启动</w:t>
      </w:r>
      <w:r>
        <w:rPr>
          <w:rFonts w:hint="eastAsia" w:ascii="仿宋_GB2312" w:hAnsi="微软雅黑" w:eastAsia="仿宋_GB2312" w:cs="仿宋_GB2312"/>
          <w:color w:val="4C4C4C"/>
          <w:sz w:val="31"/>
          <w:szCs w:val="31"/>
          <w:shd w:val="clear" w:color="auto" w:fill="FFFFFF"/>
          <w:lang w:eastAsia="zh-CN"/>
        </w:rPr>
        <w:t>中方县城北片区概念性规划编制项目</w:t>
      </w:r>
      <w:r>
        <w:rPr>
          <w:rFonts w:hint="eastAsia" w:ascii="仿宋_GB2312" w:hAnsi="微软雅黑" w:eastAsia="仿宋_GB2312" w:cs="仿宋_GB2312"/>
          <w:color w:val="4C4C4C"/>
          <w:sz w:val="31"/>
          <w:szCs w:val="31"/>
          <w:shd w:val="clear" w:color="auto" w:fill="FFFFFF"/>
          <w:lang w:val="en-US" w:eastAsia="zh-CN"/>
        </w:rPr>
        <w:t>的前期工作。</w:t>
      </w:r>
      <w:r>
        <w:rPr>
          <w:rFonts w:hint="eastAsia" w:ascii="仿宋_GB2312" w:hAnsi="微软雅黑" w:eastAsia="仿宋_GB2312" w:cs="仿宋_GB2312"/>
          <w:color w:val="4C4C4C"/>
          <w:sz w:val="31"/>
          <w:szCs w:val="31"/>
          <w:shd w:val="clear" w:color="auto" w:fill="FFFFFF"/>
        </w:rPr>
        <w:t>该项目立项依据充分、程序规范。</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 xml:space="preserve"> 2、绩效目标：该项目设立了科学合理的绩效指标体系，一级指标三个，二级指标9个，三级指标13个，指标清晰、细化、可衡量，能反映和考核项目绩效目标的明化情况。</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3、资金投入：项目资金预算根据上级下拨专项资金，接合项目投资实际情况，投资额与工作任务相匹配，资金分配额度合理，具有一定的科学性和合理性。</w:t>
      </w:r>
    </w:p>
    <w:p>
      <w:pPr>
        <w:pStyle w:val="5"/>
        <w:shd w:val="clear" w:color="auto" w:fill="FFFFFF"/>
        <w:spacing w:before="0" w:beforeAutospacing="0" w:after="0" w:afterAutospacing="0" w:line="450" w:lineRule="atLeast"/>
        <w:ind w:firstLine="645"/>
        <w:rPr>
          <w:rFonts w:ascii="微软雅黑" w:hAnsi="微软雅黑" w:eastAsia="微软雅黑" w:cs="微软雅黑"/>
          <w:color w:val="4C4C4C"/>
        </w:rPr>
      </w:pPr>
      <w:r>
        <w:rPr>
          <w:rStyle w:val="9"/>
          <w:rFonts w:hint="eastAsia" w:ascii="楷体_GB2312" w:hAnsi="微软雅黑" w:eastAsia="楷体_GB2312" w:cs="楷体_GB2312"/>
          <w:color w:val="4C4C4C"/>
          <w:sz w:val="31"/>
          <w:szCs w:val="31"/>
          <w:shd w:val="clear" w:color="auto" w:fill="FFFFFF"/>
        </w:rPr>
        <w:t>（二）</w:t>
      </w:r>
      <w:r>
        <w:rPr>
          <w:rStyle w:val="9"/>
          <w:rFonts w:ascii="楷体_GB2312" w:hAnsi="微软雅黑" w:eastAsia="楷体_GB2312" w:cs="楷体_GB2312"/>
          <w:color w:val="4C4C4C"/>
          <w:sz w:val="31"/>
          <w:szCs w:val="31"/>
          <w:shd w:val="clear" w:color="auto" w:fill="FFFFFF"/>
        </w:rPr>
        <w:t>项目</w:t>
      </w:r>
      <w:r>
        <w:rPr>
          <w:rStyle w:val="9"/>
          <w:rFonts w:hint="eastAsia" w:ascii="楷体_GB2312" w:hAnsi="微软雅黑" w:eastAsia="楷体_GB2312" w:cs="楷体_GB2312"/>
          <w:color w:val="4C4C4C"/>
          <w:sz w:val="31"/>
          <w:szCs w:val="31"/>
          <w:shd w:val="clear" w:color="auto" w:fill="FFFFFF"/>
        </w:rPr>
        <w:t>过程情况：</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１、项目资金到位情况分析</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20</w:t>
      </w:r>
      <w:r>
        <w:rPr>
          <w:rFonts w:hint="eastAsia" w:ascii="仿宋_GB2312" w:hAnsi="微软雅黑" w:eastAsia="仿宋_GB2312" w:cs="仿宋_GB2312"/>
          <w:color w:val="4C4C4C"/>
          <w:sz w:val="31"/>
          <w:szCs w:val="31"/>
          <w:shd w:val="clear" w:color="auto" w:fill="FFFFFF"/>
          <w:lang w:val="en-US" w:eastAsia="zh-CN"/>
        </w:rPr>
        <w:t>20</w:t>
      </w:r>
      <w:r>
        <w:rPr>
          <w:rFonts w:hint="eastAsia" w:ascii="仿宋_GB2312" w:hAnsi="微软雅黑" w:eastAsia="仿宋_GB2312" w:cs="仿宋_GB2312"/>
          <w:color w:val="4C4C4C"/>
          <w:sz w:val="31"/>
          <w:szCs w:val="31"/>
          <w:shd w:val="clear" w:color="auto" w:fill="FFFFFF"/>
        </w:rPr>
        <w:t>年县级财政安排资金</w:t>
      </w:r>
      <w:r>
        <w:rPr>
          <w:rFonts w:hint="eastAsia" w:ascii="仿宋_GB2312" w:hAnsi="微软雅黑" w:eastAsia="仿宋_GB2312" w:cs="仿宋_GB2312"/>
          <w:color w:val="4C4C4C"/>
          <w:sz w:val="31"/>
          <w:szCs w:val="31"/>
          <w:shd w:val="clear" w:color="auto" w:fill="FFFFFF"/>
          <w:lang w:val="en-US" w:eastAsia="zh-CN"/>
        </w:rPr>
        <w:t>66.2</w:t>
      </w:r>
      <w:r>
        <w:rPr>
          <w:rFonts w:hint="eastAsia" w:ascii="仿宋_GB2312" w:hAnsi="微软雅黑" w:eastAsia="仿宋_GB2312" w:cs="仿宋_GB2312"/>
          <w:color w:val="4C4C4C"/>
          <w:sz w:val="31"/>
          <w:szCs w:val="31"/>
          <w:shd w:val="clear" w:color="auto" w:fill="FFFFFF"/>
        </w:rPr>
        <w:t>万元。</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2、项目资金使用情况分析</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auto"/>
          <w:sz w:val="31"/>
          <w:szCs w:val="31"/>
          <w:shd w:val="clear" w:color="auto" w:fill="FFFFFF"/>
        </w:rPr>
      </w:pPr>
      <w:r>
        <w:rPr>
          <w:rFonts w:hint="eastAsia" w:ascii="仿宋_GB2312" w:hAnsi="微软雅黑" w:eastAsia="仿宋_GB2312" w:cs="仿宋_GB2312"/>
          <w:color w:val="4C4C4C"/>
          <w:sz w:val="31"/>
          <w:szCs w:val="31"/>
          <w:shd w:val="clear" w:color="auto" w:fill="FFFFFF"/>
        </w:rPr>
        <w:t>20</w:t>
      </w:r>
      <w:r>
        <w:rPr>
          <w:rFonts w:hint="eastAsia" w:ascii="仿宋_GB2312" w:hAnsi="微软雅黑" w:eastAsia="仿宋_GB2312" w:cs="仿宋_GB2312"/>
          <w:color w:val="4C4C4C"/>
          <w:sz w:val="31"/>
          <w:szCs w:val="31"/>
          <w:shd w:val="clear" w:color="auto" w:fill="FFFFFF"/>
          <w:lang w:val="en-US" w:eastAsia="zh-CN"/>
        </w:rPr>
        <w:t>20</w:t>
      </w:r>
      <w:r>
        <w:rPr>
          <w:rFonts w:hint="eastAsia" w:ascii="仿宋_GB2312" w:hAnsi="微软雅黑" w:eastAsia="仿宋_GB2312" w:cs="仿宋_GB2312"/>
          <w:color w:val="4C4C4C"/>
          <w:sz w:val="31"/>
          <w:szCs w:val="31"/>
          <w:shd w:val="clear" w:color="auto" w:fill="FFFFFF"/>
        </w:rPr>
        <w:t>年</w:t>
      </w:r>
      <w:r>
        <w:rPr>
          <w:rFonts w:hint="eastAsia" w:ascii="仿宋_GB2312" w:hAnsi="微软雅黑" w:eastAsia="仿宋_GB2312" w:cs="仿宋_GB2312"/>
          <w:color w:val="4C4C4C"/>
          <w:sz w:val="31"/>
          <w:szCs w:val="31"/>
          <w:shd w:val="clear" w:color="auto" w:fill="FFFFFF"/>
          <w:lang w:val="en-US" w:eastAsia="zh-CN"/>
        </w:rPr>
        <w:t>6</w:t>
      </w:r>
      <w:r>
        <w:rPr>
          <w:rFonts w:hint="eastAsia" w:ascii="仿宋_GB2312" w:hAnsi="微软雅黑" w:eastAsia="仿宋_GB2312" w:cs="仿宋_GB2312"/>
          <w:color w:val="4C4C4C"/>
          <w:sz w:val="31"/>
          <w:szCs w:val="31"/>
          <w:shd w:val="clear" w:color="auto" w:fill="FFFFFF"/>
        </w:rPr>
        <w:t>月，支付</w:t>
      </w:r>
      <w:r>
        <w:rPr>
          <w:rFonts w:hint="eastAsia" w:ascii="仿宋_GB2312" w:hAnsi="微软雅黑" w:eastAsia="仿宋_GB2312" w:cs="仿宋_GB2312"/>
          <w:color w:val="4C4C4C"/>
          <w:sz w:val="31"/>
          <w:szCs w:val="31"/>
          <w:shd w:val="clear" w:color="auto" w:fill="FFFFFF"/>
          <w:lang w:eastAsia="zh-CN"/>
        </w:rPr>
        <w:t>中方县城北片区概念性规划编制项目</w:t>
      </w:r>
      <w:r>
        <w:rPr>
          <w:rFonts w:hint="eastAsia" w:ascii="仿宋_GB2312" w:hAnsi="微软雅黑" w:eastAsia="仿宋_GB2312" w:cs="仿宋_GB2312"/>
          <w:color w:val="4C4C4C"/>
          <w:sz w:val="31"/>
          <w:szCs w:val="31"/>
          <w:shd w:val="clear" w:color="auto" w:fill="FFFFFF"/>
          <w:lang w:val="en-US" w:eastAsia="zh-CN"/>
        </w:rPr>
        <w:t>25</w:t>
      </w:r>
      <w:r>
        <w:rPr>
          <w:rFonts w:hint="eastAsia" w:ascii="仿宋_GB2312" w:hAnsi="微软雅黑" w:eastAsia="仿宋_GB2312" w:cs="仿宋_GB2312"/>
          <w:color w:val="4C4C4C"/>
          <w:sz w:val="31"/>
          <w:szCs w:val="31"/>
          <w:shd w:val="clear" w:color="auto" w:fill="FFFFFF"/>
        </w:rPr>
        <w:t>万元。20</w:t>
      </w:r>
      <w:r>
        <w:rPr>
          <w:rFonts w:hint="eastAsia" w:ascii="仿宋_GB2312" w:hAnsi="微软雅黑" w:eastAsia="仿宋_GB2312" w:cs="仿宋_GB2312"/>
          <w:color w:val="4C4C4C"/>
          <w:sz w:val="31"/>
          <w:szCs w:val="31"/>
          <w:shd w:val="clear" w:color="auto" w:fill="FFFFFF"/>
          <w:lang w:val="en-US" w:eastAsia="zh-CN"/>
        </w:rPr>
        <w:t>20</w:t>
      </w:r>
      <w:r>
        <w:rPr>
          <w:rFonts w:hint="eastAsia" w:ascii="仿宋_GB2312" w:hAnsi="微软雅黑" w:eastAsia="仿宋_GB2312" w:cs="仿宋_GB2312"/>
          <w:color w:val="4C4C4C"/>
          <w:sz w:val="31"/>
          <w:szCs w:val="31"/>
          <w:shd w:val="clear" w:color="auto" w:fill="FFFFFF"/>
        </w:rPr>
        <w:t>年</w:t>
      </w:r>
      <w:r>
        <w:rPr>
          <w:rFonts w:hint="eastAsia" w:ascii="仿宋_GB2312" w:hAnsi="微软雅黑" w:eastAsia="仿宋_GB2312" w:cs="仿宋_GB2312"/>
          <w:color w:val="4C4C4C"/>
          <w:sz w:val="31"/>
          <w:szCs w:val="31"/>
          <w:shd w:val="clear" w:color="auto" w:fill="FFFFFF"/>
          <w:lang w:val="en-US" w:eastAsia="zh-CN"/>
        </w:rPr>
        <w:t>12</w:t>
      </w:r>
      <w:r>
        <w:rPr>
          <w:rFonts w:hint="eastAsia" w:ascii="仿宋_GB2312" w:hAnsi="微软雅黑" w:eastAsia="仿宋_GB2312" w:cs="仿宋_GB2312"/>
          <w:color w:val="4C4C4C"/>
          <w:sz w:val="31"/>
          <w:szCs w:val="31"/>
          <w:shd w:val="clear" w:color="auto" w:fill="FFFFFF"/>
        </w:rPr>
        <w:t>月，支付</w:t>
      </w:r>
      <w:r>
        <w:rPr>
          <w:rFonts w:hint="eastAsia" w:ascii="仿宋_GB2312" w:hAnsi="微软雅黑" w:eastAsia="仿宋_GB2312" w:cs="仿宋_GB2312"/>
          <w:color w:val="auto"/>
          <w:sz w:val="31"/>
          <w:szCs w:val="31"/>
          <w:shd w:val="clear" w:color="auto" w:fill="FFFFFF"/>
        </w:rPr>
        <w:t>历史文化名城和传统村落建设规划</w:t>
      </w:r>
      <w:r>
        <w:rPr>
          <w:rFonts w:hint="eastAsia" w:ascii="仿宋_GB2312" w:hAnsi="微软雅黑" w:eastAsia="仿宋_GB2312" w:cs="仿宋_GB2312"/>
          <w:color w:val="auto"/>
          <w:sz w:val="31"/>
          <w:szCs w:val="31"/>
          <w:shd w:val="clear" w:color="auto" w:fill="FFFFFF"/>
          <w:lang w:val="en-US" w:eastAsia="zh-CN"/>
        </w:rPr>
        <w:t>41.2万元</w:t>
      </w:r>
      <w:r>
        <w:rPr>
          <w:rFonts w:hint="eastAsia" w:ascii="仿宋_GB2312" w:hAnsi="微软雅黑" w:eastAsia="仿宋_GB2312" w:cs="仿宋_GB2312"/>
          <w:color w:val="auto"/>
          <w:sz w:val="31"/>
          <w:szCs w:val="31"/>
          <w:shd w:val="clear" w:color="auto" w:fill="FFFFFF"/>
        </w:rPr>
        <w:t>。</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3、项目资金管理情况分析</w:t>
      </w:r>
    </w:p>
    <w:p>
      <w:pPr>
        <w:pStyle w:val="5"/>
        <w:shd w:val="clear" w:color="auto" w:fill="FFFFFF"/>
        <w:spacing w:before="0" w:beforeAutospacing="0" w:after="0" w:afterAutospacing="0" w:line="450" w:lineRule="atLeast"/>
        <w:ind w:firstLine="645"/>
        <w:jc w:val="left"/>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20</w:t>
      </w:r>
      <w:r>
        <w:rPr>
          <w:rFonts w:hint="eastAsia" w:ascii="仿宋_GB2312" w:hAnsi="微软雅黑" w:eastAsia="仿宋_GB2312" w:cs="仿宋_GB2312"/>
          <w:color w:val="4C4C4C"/>
          <w:sz w:val="31"/>
          <w:szCs w:val="31"/>
          <w:shd w:val="clear" w:color="auto" w:fill="FFFFFF"/>
          <w:lang w:val="en-US" w:eastAsia="zh-CN"/>
        </w:rPr>
        <w:t>20</w:t>
      </w:r>
      <w:r>
        <w:rPr>
          <w:rFonts w:ascii="仿宋_GB2312" w:hAnsi="微软雅黑" w:eastAsia="仿宋_GB2312" w:cs="仿宋_GB2312"/>
          <w:color w:val="4C4C4C"/>
          <w:sz w:val="31"/>
          <w:szCs w:val="31"/>
          <w:shd w:val="clear" w:color="auto" w:fill="FFFFFF"/>
        </w:rPr>
        <w:t>年规划编制专项资金绩及时足额拨付到位，没有出现违规使用资金行为，使项目的实施得到了资金的保障。资金</w:t>
      </w:r>
      <w:r>
        <w:rPr>
          <w:rFonts w:hint="eastAsia" w:ascii="仿宋_GB2312" w:hAnsi="微软雅黑" w:eastAsia="仿宋_GB2312" w:cs="仿宋_GB2312"/>
          <w:color w:val="4C4C4C"/>
          <w:sz w:val="31"/>
          <w:szCs w:val="31"/>
          <w:shd w:val="clear" w:color="auto" w:fill="FFFFFF"/>
        </w:rPr>
        <w:t>的拨付有完整的审批程序和手续，</w:t>
      </w:r>
      <w:r>
        <w:rPr>
          <w:rFonts w:ascii="仿宋_GB2312" w:hAnsi="微软雅黑" w:eastAsia="仿宋_GB2312" w:cs="仿宋_GB2312"/>
          <w:color w:val="4C4C4C"/>
          <w:sz w:val="31"/>
          <w:szCs w:val="31"/>
          <w:shd w:val="clear" w:color="auto" w:fill="FFFFFF"/>
        </w:rPr>
        <w:t>建立了项目财务管理制度，即专户管理、项目资金预拔和清算、财务公开公示、实行质量保证金等四项制度。所有项目开支通过</w:t>
      </w:r>
      <w:r>
        <w:rPr>
          <w:rFonts w:hint="eastAsia" w:ascii="仿宋_GB2312" w:hAnsi="微软雅黑" w:eastAsia="仿宋_GB2312" w:cs="仿宋_GB2312"/>
          <w:color w:val="4C4C4C"/>
          <w:sz w:val="31"/>
          <w:szCs w:val="31"/>
          <w:shd w:val="clear" w:color="auto" w:fill="FFFFFF"/>
        </w:rPr>
        <w:t>国库</w:t>
      </w:r>
      <w:r>
        <w:rPr>
          <w:rFonts w:ascii="仿宋_GB2312" w:hAnsi="微软雅黑" w:eastAsia="仿宋_GB2312" w:cs="仿宋_GB2312"/>
          <w:color w:val="4C4C4C"/>
          <w:sz w:val="31"/>
          <w:szCs w:val="31"/>
          <w:shd w:val="clear" w:color="auto" w:fill="FFFFFF"/>
        </w:rPr>
        <w:t>集中支付，施工单位领款时必须提供工程施工合同、工程结算单、发票等，财务手续齐全。</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（三）项目产出情况</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1、项目完成数量：截至绩效评价日，完成</w:t>
      </w:r>
      <w:r>
        <w:rPr>
          <w:rFonts w:hint="eastAsia" w:ascii="仿宋_GB2312" w:hAnsi="微软雅黑" w:eastAsia="仿宋_GB2312" w:cs="仿宋_GB2312"/>
          <w:color w:val="4C4C4C"/>
          <w:sz w:val="31"/>
          <w:szCs w:val="31"/>
          <w:shd w:val="clear" w:color="auto" w:fill="FFFFFF"/>
          <w:lang w:eastAsia="zh-CN"/>
        </w:rPr>
        <w:t>了对城北片区的总体规划，</w:t>
      </w:r>
      <w:r>
        <w:rPr>
          <w:rFonts w:hint="eastAsia" w:ascii="仿宋_GB2312" w:hAnsi="微软雅黑" w:eastAsia="仿宋_GB2312" w:cs="仿宋_GB2312"/>
          <w:color w:val="4C4C4C"/>
          <w:sz w:val="31"/>
          <w:szCs w:val="31"/>
          <w:shd w:val="clear" w:color="auto" w:fill="FFFFFF"/>
        </w:rPr>
        <w:t>完成率100%。</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2、项目完成质量：符合相关规定，竣工验收合格率100%。</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3、项目实施进度：截至绩效评价日已完成20</w:t>
      </w:r>
      <w:r>
        <w:rPr>
          <w:rFonts w:hint="eastAsia" w:ascii="仿宋_GB2312" w:hAnsi="微软雅黑" w:eastAsia="仿宋_GB2312" w:cs="仿宋_GB2312"/>
          <w:color w:val="4C4C4C"/>
          <w:sz w:val="31"/>
          <w:szCs w:val="31"/>
          <w:shd w:val="clear" w:color="auto" w:fill="FFFFFF"/>
          <w:lang w:val="en-US" w:eastAsia="zh-CN"/>
        </w:rPr>
        <w:t>20</w:t>
      </w:r>
      <w:r>
        <w:rPr>
          <w:rFonts w:hint="eastAsia" w:ascii="仿宋_GB2312" w:hAnsi="微软雅黑" w:eastAsia="仿宋_GB2312" w:cs="仿宋_GB2312"/>
          <w:color w:val="4C4C4C"/>
          <w:sz w:val="31"/>
          <w:szCs w:val="31"/>
          <w:shd w:val="clear" w:color="auto" w:fill="FFFFFF"/>
        </w:rPr>
        <w:t>年完成</w:t>
      </w:r>
      <w:r>
        <w:rPr>
          <w:rFonts w:hint="eastAsia" w:ascii="仿宋_GB2312" w:hAnsi="微软雅黑" w:eastAsia="仿宋_GB2312" w:cs="仿宋_GB2312"/>
          <w:color w:val="4C4C4C"/>
          <w:sz w:val="31"/>
          <w:szCs w:val="31"/>
          <w:shd w:val="clear" w:color="auto" w:fill="FFFFFF"/>
          <w:lang w:eastAsia="zh-CN"/>
        </w:rPr>
        <w:t>了对城北片区概念性规划的总体</w:t>
      </w:r>
      <w:r>
        <w:rPr>
          <w:rFonts w:hint="eastAsia" w:ascii="仿宋_GB2312" w:hAnsi="微软雅黑" w:eastAsia="仿宋_GB2312" w:cs="仿宋_GB2312"/>
          <w:color w:val="4C4C4C"/>
          <w:sz w:val="31"/>
          <w:szCs w:val="31"/>
          <w:shd w:val="clear" w:color="auto" w:fill="FFFFFF"/>
        </w:rPr>
        <w:t>规划编</w:t>
      </w:r>
      <w:r>
        <w:rPr>
          <w:rFonts w:hint="eastAsia" w:ascii="仿宋_GB2312" w:hAnsi="微软雅黑" w:eastAsia="仿宋_GB2312" w:cs="仿宋_GB2312"/>
          <w:color w:val="4C4C4C"/>
          <w:sz w:val="31"/>
          <w:szCs w:val="31"/>
          <w:shd w:val="clear" w:color="auto" w:fill="FFFFFF"/>
          <w:lang w:eastAsia="zh-CN"/>
        </w:rPr>
        <w:t>制</w:t>
      </w:r>
      <w:r>
        <w:rPr>
          <w:rFonts w:hint="eastAsia" w:ascii="仿宋_GB2312" w:hAnsi="微软雅黑" w:eastAsia="仿宋_GB2312" w:cs="仿宋_GB2312"/>
          <w:color w:val="4C4C4C"/>
          <w:sz w:val="31"/>
          <w:szCs w:val="31"/>
          <w:shd w:val="clear" w:color="auto" w:fill="FFFFFF"/>
        </w:rPr>
        <w:t>。</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4、成本节约率：以预算资金完成绩效目标，成本控制情况良。</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（四）项目效益情况</w:t>
      </w:r>
    </w:p>
    <w:p>
      <w:pPr>
        <w:pStyle w:val="5"/>
        <w:shd w:val="clear" w:color="auto" w:fill="FFFFFF"/>
        <w:spacing w:before="0" w:beforeAutospacing="0" w:after="0" w:afterAutospacing="0" w:line="450" w:lineRule="atLeast"/>
        <w:ind w:firstLine="645"/>
        <w:rPr>
          <w:rFonts w:hint="eastAsia" w:ascii="仿宋_GB2312" w:hAnsi="微软雅黑" w:eastAsia="仿宋_GB2312" w:cs="仿宋_GB2312"/>
          <w:color w:val="4C4C4C"/>
          <w:sz w:val="31"/>
          <w:szCs w:val="31"/>
          <w:shd w:val="clear" w:color="auto" w:fill="FFFFFF"/>
          <w:lang w:eastAsia="zh-CN"/>
        </w:rPr>
      </w:pPr>
      <w:r>
        <w:rPr>
          <w:rFonts w:hint="eastAsia" w:ascii="仿宋_GB2312" w:hAnsi="微软雅黑" w:eastAsia="仿宋_GB2312" w:cs="仿宋_GB2312"/>
          <w:color w:val="4C4C4C"/>
          <w:sz w:val="31"/>
          <w:szCs w:val="31"/>
          <w:shd w:val="clear" w:color="auto" w:fill="FFFFFF"/>
        </w:rPr>
        <w:t>1、经济效益：通过完成</w:t>
      </w:r>
      <w:r>
        <w:rPr>
          <w:rFonts w:hint="eastAsia" w:ascii="仿宋_GB2312" w:hAnsi="微软雅黑" w:eastAsia="仿宋_GB2312" w:cs="仿宋_GB2312"/>
          <w:color w:val="4C4C4C"/>
          <w:sz w:val="31"/>
          <w:szCs w:val="31"/>
          <w:shd w:val="clear" w:color="auto" w:fill="FFFFFF"/>
          <w:lang w:eastAsia="zh-CN"/>
        </w:rPr>
        <w:t>了对城北片区概念性总体规划，使县城总体规划更加科学合理，有利于城北片区的房地产开发，带动全县经济高速发展。</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2、社会效益：通过规划编制使</w:t>
      </w:r>
      <w:r>
        <w:rPr>
          <w:rFonts w:hint="eastAsia" w:ascii="仿宋_GB2312" w:hAnsi="微软雅黑" w:eastAsia="仿宋_GB2312" w:cs="仿宋_GB2312"/>
          <w:color w:val="4C4C4C"/>
          <w:sz w:val="31"/>
          <w:szCs w:val="31"/>
          <w:shd w:val="clear" w:color="auto" w:fill="FFFFFF"/>
          <w:lang w:eastAsia="zh-CN"/>
        </w:rPr>
        <w:t>县城</w:t>
      </w:r>
      <w:r>
        <w:rPr>
          <w:rFonts w:hint="eastAsia" w:ascii="仿宋_GB2312" w:hAnsi="微软雅黑" w:eastAsia="仿宋_GB2312" w:cs="仿宋_GB2312"/>
          <w:color w:val="4C4C4C"/>
          <w:sz w:val="31"/>
          <w:szCs w:val="31"/>
          <w:shd w:val="clear" w:color="auto" w:fill="FFFFFF"/>
        </w:rPr>
        <w:t>规划更加合理， 基础设施更加完善，环境更加优美，公共服务设施更加完善，</w:t>
      </w:r>
      <w:r>
        <w:rPr>
          <w:rFonts w:hint="eastAsia" w:ascii="仿宋_GB2312" w:hAnsi="微软雅黑" w:eastAsia="仿宋_GB2312" w:cs="仿宋_GB2312"/>
          <w:color w:val="4C4C4C"/>
          <w:sz w:val="31"/>
          <w:szCs w:val="31"/>
          <w:shd w:val="clear" w:color="auto" w:fill="FFFFFF"/>
          <w:lang w:eastAsia="zh-CN"/>
        </w:rPr>
        <w:t>居民</w:t>
      </w:r>
      <w:r>
        <w:rPr>
          <w:rFonts w:hint="eastAsia" w:ascii="仿宋_GB2312" w:hAnsi="微软雅黑" w:eastAsia="仿宋_GB2312" w:cs="仿宋_GB2312"/>
          <w:color w:val="4C4C4C"/>
          <w:sz w:val="31"/>
          <w:szCs w:val="31"/>
          <w:shd w:val="clear" w:color="auto" w:fill="FFFFFF"/>
        </w:rPr>
        <w:t>素质及文化建设得到提升，文化娱乐方式得到改善，</w:t>
      </w:r>
      <w:r>
        <w:rPr>
          <w:rFonts w:hint="eastAsia" w:ascii="仿宋_GB2312" w:hAnsi="微软雅黑" w:eastAsia="仿宋_GB2312" w:cs="仿宋_GB2312"/>
          <w:color w:val="4C4C4C"/>
          <w:sz w:val="31"/>
          <w:szCs w:val="31"/>
          <w:shd w:val="clear" w:color="auto" w:fill="FFFFFF"/>
          <w:lang w:eastAsia="zh-CN"/>
        </w:rPr>
        <w:t>社区</w:t>
      </w:r>
      <w:r>
        <w:rPr>
          <w:rFonts w:hint="eastAsia" w:ascii="仿宋_GB2312" w:hAnsi="微软雅黑" w:eastAsia="仿宋_GB2312" w:cs="仿宋_GB2312"/>
          <w:color w:val="4C4C4C"/>
          <w:sz w:val="31"/>
          <w:szCs w:val="31"/>
          <w:shd w:val="clear" w:color="auto" w:fill="FFFFFF"/>
        </w:rPr>
        <w:t>管理更加规范，形成了路平地净，绿树环绕，乡风文明，管理民主的新</w:t>
      </w:r>
      <w:r>
        <w:rPr>
          <w:rFonts w:hint="eastAsia" w:ascii="仿宋_GB2312" w:hAnsi="微软雅黑" w:eastAsia="仿宋_GB2312" w:cs="仿宋_GB2312"/>
          <w:color w:val="4C4C4C"/>
          <w:sz w:val="31"/>
          <w:szCs w:val="31"/>
          <w:shd w:val="clear" w:color="auto" w:fill="FFFFFF"/>
          <w:lang w:eastAsia="zh-CN"/>
        </w:rPr>
        <w:t>风</w:t>
      </w:r>
      <w:r>
        <w:rPr>
          <w:rFonts w:hint="eastAsia" w:ascii="仿宋_GB2312" w:hAnsi="微软雅黑" w:eastAsia="仿宋_GB2312" w:cs="仿宋_GB2312"/>
          <w:color w:val="4C4C4C"/>
          <w:sz w:val="31"/>
          <w:szCs w:val="31"/>
          <w:shd w:val="clear" w:color="auto" w:fill="FFFFFF"/>
        </w:rPr>
        <w:t xml:space="preserve">貌。 </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3、生态效益：通过</w:t>
      </w:r>
      <w:r>
        <w:rPr>
          <w:rFonts w:hint="eastAsia" w:ascii="仿宋_GB2312" w:hAnsi="微软雅黑" w:eastAsia="仿宋_GB2312" w:cs="仿宋_GB2312"/>
          <w:color w:val="4C4C4C"/>
          <w:sz w:val="31"/>
          <w:szCs w:val="31"/>
          <w:shd w:val="clear" w:color="auto" w:fill="FFFFFF"/>
          <w:lang w:eastAsia="zh-CN"/>
        </w:rPr>
        <w:t>对传统村落的</w:t>
      </w:r>
      <w:r>
        <w:rPr>
          <w:rFonts w:hint="eastAsia" w:ascii="仿宋_GB2312" w:hAnsi="微软雅黑" w:eastAsia="仿宋_GB2312" w:cs="仿宋_GB2312"/>
          <w:color w:val="4C4C4C"/>
          <w:sz w:val="31"/>
          <w:szCs w:val="31"/>
          <w:shd w:val="clear" w:color="auto" w:fill="FFFFFF"/>
        </w:rPr>
        <w:t xml:space="preserve">规划编制使各村绿化率得到提升， 垃圾处理设施增加，生活污水有完善的排放系统，对生态环境有一定影响。 </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4、可持续影响：全面贯彻实施乡村振兴战略，实现农村人居环境大力改善。</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5、群众满意度：通过对示范村实地考察、走访群众发放调查问卷，村民对乡村规划编制成果均感到满意或非常满意。</w:t>
      </w:r>
    </w:p>
    <w:p>
      <w:pPr>
        <w:pStyle w:val="20"/>
        <w:spacing w:line="510" w:lineRule="exact"/>
        <w:ind w:firstLine="964" w:firstLineChars="300"/>
        <w:rPr>
          <w:rFonts w:hint="eastAsia" w:ascii="Times New Roman" w:hAnsi="Times New Roman" w:eastAsia="楷体"/>
          <w:b/>
          <w:sz w:val="32"/>
          <w:szCs w:val="32"/>
        </w:rPr>
      </w:pPr>
      <w:r>
        <w:rPr>
          <w:rFonts w:hint="eastAsia" w:ascii="Times New Roman" w:hAnsi="Times New Roman" w:eastAsia="楷体"/>
          <w:b/>
          <w:sz w:val="32"/>
          <w:szCs w:val="32"/>
          <w:lang w:eastAsia="zh-CN"/>
        </w:rPr>
        <w:t>五、</w:t>
      </w:r>
      <w:r>
        <w:rPr>
          <w:rFonts w:hint="eastAsia" w:ascii="Times New Roman" w:hAnsi="Times New Roman" w:eastAsia="楷体"/>
          <w:b/>
          <w:sz w:val="32"/>
          <w:szCs w:val="32"/>
        </w:rPr>
        <w:t>主要经验及做法、存在的问题及原因分析</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lang w:val="en-US" w:eastAsia="zh-CN"/>
        </w:rPr>
        <w:t>1、</w:t>
      </w:r>
      <w:r>
        <w:rPr>
          <w:rFonts w:hint="eastAsia" w:ascii="仿宋_GB2312" w:hAnsi="微软雅黑" w:eastAsia="仿宋_GB2312" w:cs="仿宋_GB2312"/>
          <w:color w:val="4C4C4C"/>
          <w:sz w:val="31"/>
          <w:szCs w:val="31"/>
          <w:shd w:val="clear" w:color="auto" w:fill="FFFFFF"/>
        </w:rPr>
        <w:t>一些乡村规划编制简单地套用其他地方的规划和建筑图纸，建设模式单一，建设风格雷同，主题表现不突出。</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2、有些规划编制过于</w:t>
      </w:r>
      <w:r>
        <w:rPr>
          <w:rFonts w:ascii="仿宋_GB2312" w:hAnsi="微软雅黑" w:eastAsia="仿宋_GB2312" w:cs="仿宋_GB2312"/>
          <w:color w:val="4C4C4C"/>
          <w:sz w:val="31"/>
          <w:szCs w:val="31"/>
          <w:shd w:val="clear" w:color="auto" w:fill="FFFFFF"/>
        </w:rPr>
        <w:t>重视基础设施</w:t>
      </w:r>
      <w:r>
        <w:rPr>
          <w:rFonts w:hint="eastAsia" w:ascii="仿宋_GB2312" w:hAnsi="微软雅黑" w:eastAsia="仿宋_GB2312" w:cs="仿宋_GB2312"/>
          <w:color w:val="4C4C4C"/>
          <w:sz w:val="31"/>
          <w:szCs w:val="31"/>
          <w:shd w:val="clear" w:color="auto" w:fill="FFFFFF"/>
        </w:rPr>
        <w:t>方面，</w:t>
      </w:r>
      <w:r>
        <w:rPr>
          <w:rFonts w:ascii="仿宋_GB2312" w:hAnsi="微软雅黑" w:eastAsia="仿宋_GB2312" w:cs="仿宋_GB2312"/>
          <w:color w:val="4C4C4C"/>
          <w:sz w:val="31"/>
          <w:szCs w:val="31"/>
          <w:shd w:val="clear" w:color="auto" w:fill="FFFFFF"/>
        </w:rPr>
        <w:t>对如何</w:t>
      </w:r>
      <w:r>
        <w:rPr>
          <w:rFonts w:hint="eastAsia" w:ascii="仿宋_GB2312" w:hAnsi="微软雅黑" w:eastAsia="仿宋_GB2312" w:cs="仿宋_GB2312"/>
          <w:color w:val="4C4C4C"/>
          <w:sz w:val="31"/>
          <w:szCs w:val="31"/>
          <w:shd w:val="clear" w:color="auto" w:fill="FFFFFF"/>
        </w:rPr>
        <w:t>有利于</w:t>
      </w:r>
      <w:r>
        <w:rPr>
          <w:rFonts w:ascii="仿宋_GB2312" w:hAnsi="微软雅黑" w:eastAsia="仿宋_GB2312" w:cs="仿宋_GB2312"/>
          <w:color w:val="4C4C4C"/>
          <w:sz w:val="31"/>
          <w:szCs w:val="31"/>
          <w:shd w:val="clear" w:color="auto" w:fill="FFFFFF"/>
        </w:rPr>
        <w:t>农业生</w:t>
      </w:r>
      <w:r>
        <w:rPr>
          <w:rFonts w:hint="eastAsia" w:ascii="仿宋_GB2312" w:hAnsi="微软雅黑" w:eastAsia="仿宋_GB2312" w:cs="仿宋_GB2312"/>
          <w:color w:val="4C4C4C"/>
          <w:sz w:val="31"/>
          <w:szCs w:val="31"/>
          <w:shd w:val="clear" w:color="auto" w:fill="FFFFFF"/>
        </w:rPr>
        <w:t>产、提高农业可持续发展能力、增加农民收入等方面重视不够。</w:t>
      </w:r>
    </w:p>
    <w:p>
      <w:pPr>
        <w:pStyle w:val="20"/>
        <w:spacing w:line="510" w:lineRule="exact"/>
        <w:ind w:firstLine="964" w:firstLineChars="300"/>
        <w:rPr>
          <w:rFonts w:ascii="Times New Roman" w:hAnsi="Times New Roman" w:eastAsia="楷体"/>
          <w:b/>
          <w:sz w:val="32"/>
          <w:szCs w:val="32"/>
        </w:rPr>
      </w:pPr>
      <w:r>
        <w:rPr>
          <w:rFonts w:hint="eastAsia" w:ascii="Times New Roman" w:hAnsi="Times New Roman" w:eastAsia="楷体"/>
          <w:b/>
          <w:sz w:val="32"/>
          <w:szCs w:val="32"/>
        </w:rPr>
        <w:t>六、有关建议</w:t>
      </w:r>
    </w:p>
    <w:p>
      <w:pPr>
        <w:pStyle w:val="5"/>
        <w:shd w:val="clear" w:color="auto" w:fill="FFFFFF"/>
        <w:spacing w:before="0" w:beforeAutospacing="0" w:after="0" w:afterAutospacing="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1、 建议项目实施单位在以后村庄规划中结合地方实际和文化特色，充分征求群众</w:t>
      </w:r>
      <w:r>
        <w:rPr>
          <w:rFonts w:ascii="仿宋_GB2312" w:hAnsi="微软雅黑" w:eastAsia="仿宋_GB2312" w:cs="仿宋_GB2312"/>
          <w:color w:val="4C4C4C"/>
          <w:sz w:val="31"/>
          <w:szCs w:val="31"/>
          <w:shd w:val="clear" w:color="auto" w:fill="FFFFFF"/>
        </w:rPr>
        <w:t>意见，结合村庄特点，建设具有独 特风格的美丽乡村。</w:t>
      </w:r>
    </w:p>
    <w:p>
      <w:pPr>
        <w:widowControl/>
        <w:ind w:firstLine="800" w:firstLineChars="250"/>
        <w:jc w:val="left"/>
        <w:rPr>
          <w:rFonts w:ascii="仿宋_GB2312" w:hAnsi="微软雅黑" w:eastAsia="仿宋_GB2312" w:cs="仿宋_GB2312"/>
          <w:color w:val="4C4C4C"/>
          <w:kern w:val="0"/>
          <w:sz w:val="32"/>
          <w:szCs w:val="31"/>
          <w:shd w:val="clear" w:color="auto" w:fill="FFFFFF"/>
        </w:rPr>
      </w:pPr>
      <w:r>
        <w:rPr>
          <w:rFonts w:hint="eastAsia" w:ascii="仿宋_GB2312" w:hAnsi="微软雅黑" w:eastAsia="仿宋_GB2312" w:cs="仿宋_GB2312"/>
          <w:color w:val="4C4C4C"/>
          <w:kern w:val="0"/>
          <w:sz w:val="32"/>
          <w:szCs w:val="31"/>
          <w:shd w:val="clear" w:color="auto" w:fill="FFFFFF"/>
        </w:rPr>
        <w:t>2、</w:t>
      </w:r>
      <w:r>
        <w:rPr>
          <w:rFonts w:ascii="仿宋_GB2312" w:hAnsi="微软雅黑" w:eastAsia="仿宋_GB2312" w:cs="仿宋_GB2312"/>
          <w:color w:val="4C4C4C"/>
          <w:kern w:val="0"/>
          <w:sz w:val="32"/>
          <w:szCs w:val="31"/>
          <w:shd w:val="clear" w:color="auto" w:fill="FFFFFF"/>
        </w:rPr>
        <w:t>加强污水排放系统</w:t>
      </w:r>
      <w:r>
        <w:rPr>
          <w:rFonts w:hint="eastAsia" w:ascii="仿宋_GB2312" w:hAnsi="微软雅黑" w:eastAsia="仿宋_GB2312" w:cs="仿宋_GB2312"/>
          <w:color w:val="4C4C4C"/>
          <w:kern w:val="0"/>
          <w:sz w:val="32"/>
          <w:szCs w:val="31"/>
          <w:shd w:val="clear" w:color="auto" w:fill="FFFFFF"/>
        </w:rPr>
        <w:t>规划编制</w:t>
      </w:r>
      <w:r>
        <w:rPr>
          <w:rFonts w:ascii="仿宋_GB2312" w:hAnsi="微软雅黑" w:eastAsia="仿宋_GB2312" w:cs="仿宋_GB2312"/>
          <w:color w:val="4C4C4C"/>
          <w:kern w:val="0"/>
          <w:sz w:val="32"/>
          <w:szCs w:val="31"/>
          <w:shd w:val="clear" w:color="auto" w:fill="FFFFFF"/>
        </w:rPr>
        <w:t>，完善村庄布局规划。</w:t>
      </w:r>
    </w:p>
    <w:p>
      <w:pPr>
        <w:pStyle w:val="20"/>
        <w:spacing w:line="510" w:lineRule="exact"/>
        <w:ind w:firstLine="964" w:firstLineChars="300"/>
        <w:rPr>
          <w:rFonts w:ascii="Times New Roman" w:hAnsi="Times New Roman" w:eastAsia="楷体"/>
          <w:b/>
          <w:sz w:val="32"/>
          <w:szCs w:val="32"/>
        </w:rPr>
      </w:pPr>
      <w:r>
        <w:rPr>
          <w:rFonts w:ascii="Times New Roman" w:hAnsi="Times New Roman" w:eastAsia="楷体"/>
          <w:b/>
          <w:sz w:val="32"/>
          <w:szCs w:val="32"/>
        </w:rPr>
        <w:t>七、其他需要说明的问题</w:t>
      </w:r>
    </w:p>
    <w:p>
      <w:pPr>
        <w:widowControl/>
        <w:spacing w:line="510" w:lineRule="exact"/>
        <w:ind w:firstLine="1942" w:firstLineChars="607"/>
        <w:jc w:val="left"/>
        <w:rPr>
          <w:rFonts w:hint="eastAsia" w:ascii="Times New Roman" w:hAnsi="Times New Roman" w:eastAsia="仿宋_GB2312"/>
          <w:sz w:val="32"/>
          <w:szCs w:val="32"/>
          <w:lang w:eastAsia="zh-CN"/>
        </w:rPr>
      </w:pPr>
      <w:r>
        <w:rPr>
          <w:rFonts w:hint="eastAsia" w:ascii="Times New Roman" w:hAnsi="Times New Roman" w:eastAsia="仿宋"/>
          <w:sz w:val="32"/>
          <w:szCs w:val="32"/>
          <w:lang w:eastAsia="zh-CN"/>
        </w:rPr>
        <w:t>无</w:t>
      </w: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960" w:firstLineChars="300"/>
        <w:jc w:val="left"/>
        <w:rPr>
          <w:rFonts w:ascii="Times New Roman" w:hAnsi="Times New Roman" w:eastAsia="仿宋_GB2312"/>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ind w:left="15" w:leftChars="7" w:firstLine="340" w:firstLineChars="162"/>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7"/>
        <w:tblW w:w="9137" w:type="dxa"/>
        <w:jc w:val="center"/>
        <w:tblLayout w:type="fixed"/>
        <w:tblCellMar>
          <w:top w:w="0" w:type="dxa"/>
          <w:left w:w="108" w:type="dxa"/>
          <w:bottom w:w="0" w:type="dxa"/>
          <w:right w:w="108" w:type="dxa"/>
        </w:tblCellMar>
      </w:tblPr>
      <w:tblGrid>
        <w:gridCol w:w="588"/>
        <w:gridCol w:w="980"/>
        <w:gridCol w:w="1112"/>
        <w:gridCol w:w="730"/>
        <w:gridCol w:w="1134"/>
        <w:gridCol w:w="284"/>
        <w:gridCol w:w="1097"/>
        <w:gridCol w:w="887"/>
        <w:gridCol w:w="105"/>
        <w:gridCol w:w="539"/>
        <w:gridCol w:w="65"/>
        <w:gridCol w:w="340"/>
        <w:gridCol w:w="511"/>
        <w:gridCol w:w="708"/>
        <w:gridCol w:w="57"/>
      </w:tblGrid>
      <w:tr>
        <w:tblPrEx>
          <w:tblCellMar>
            <w:top w:w="0" w:type="dxa"/>
            <w:left w:w="108" w:type="dxa"/>
            <w:bottom w:w="0" w:type="dxa"/>
            <w:right w:w="108" w:type="dxa"/>
          </w:tblCellMar>
        </w:tblPrEx>
        <w:trPr>
          <w:gridAfter w:val="1"/>
          <w:wAfter w:w="57" w:type="dxa"/>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7" w:type="dxa"/>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kern w:val="0"/>
                <w:sz w:val="22"/>
              </w:rPr>
            </w:pPr>
            <w:r>
              <w:rPr>
                <w:rFonts w:ascii="Times New Roman" w:hAnsi="Times New Roman"/>
                <w:kern w:val="0"/>
                <w:sz w:val="22"/>
              </w:rPr>
              <w:t>（20</w:t>
            </w:r>
            <w:r>
              <w:rPr>
                <w:rFonts w:hint="eastAsia" w:ascii="Times New Roman" w:hAnsi="Times New Roman"/>
                <w:kern w:val="0"/>
                <w:sz w:val="22"/>
                <w:lang w:val="en-US" w:eastAsia="zh-CN"/>
              </w:rPr>
              <w:t>20</w:t>
            </w:r>
            <w:r>
              <w:rPr>
                <w:rFonts w:ascii="Times New Roman" w:hAnsi="Times New Roman"/>
                <w:kern w:val="0"/>
                <w:sz w:val="22"/>
              </w:rPr>
              <w:t>年度）</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2020</w:t>
            </w:r>
            <w:r>
              <w:rPr>
                <w:rFonts w:hint="eastAsia" w:ascii="Times New Roman" w:hAnsi="Times New Roman"/>
                <w:kern w:val="0"/>
                <w:sz w:val="18"/>
                <w:szCs w:val="18"/>
              </w:rPr>
              <w:t>规划编制专项工作经费</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5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c>
          <w:tcPr>
            <w:tcW w:w="8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r>
      <w:tr>
        <w:tblPrEx>
          <w:tblCellMar>
            <w:top w:w="0" w:type="dxa"/>
            <w:left w:w="108" w:type="dxa"/>
            <w:bottom w:w="0" w:type="dxa"/>
            <w:right w:w="108" w:type="dxa"/>
          </w:tblCellMar>
        </w:tblPrEx>
        <w:trPr>
          <w:gridAfter w:val="1"/>
          <w:wAfter w:w="57" w:type="dxa"/>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8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0</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66.2</w:t>
            </w:r>
          </w:p>
        </w:tc>
        <w:tc>
          <w:tcPr>
            <w:tcW w:w="8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66.2</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66.2</w:t>
            </w:r>
          </w:p>
        </w:tc>
        <w:tc>
          <w:tcPr>
            <w:tcW w:w="887"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66.2</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FF0000"/>
                <w:kern w:val="0"/>
                <w:sz w:val="18"/>
                <w:szCs w:val="18"/>
              </w:rPr>
            </w:pPr>
          </w:p>
        </w:tc>
        <w:tc>
          <w:tcPr>
            <w:tcW w:w="8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FF0000"/>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3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5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7" w:type="dxa"/>
          <w:trHeight w:val="78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37" w:type="dxa"/>
            <w:gridSpan w:val="6"/>
            <w:tcBorders>
              <w:top w:val="single" w:color="auto" w:sz="4" w:space="0"/>
              <w:left w:val="nil"/>
              <w:bottom w:val="single" w:color="auto" w:sz="4" w:space="0"/>
              <w:right w:val="single" w:color="auto" w:sz="4" w:space="0"/>
            </w:tcBorders>
            <w:vAlign w:val="center"/>
          </w:tcPr>
          <w:p>
            <w:pPr>
              <w:pStyle w:val="5"/>
              <w:shd w:val="clear" w:color="auto" w:fill="FFFFFF"/>
              <w:spacing w:before="0" w:beforeAutospacing="0" w:after="0" w:afterAutospacing="0" w:line="600" w:lineRule="atLeas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s="Times New Roman"/>
                <w:color w:val="000000"/>
                <w:kern w:val="0"/>
                <w:sz w:val="18"/>
                <w:szCs w:val="18"/>
                <w:lang w:val="en-US" w:eastAsia="zh-CN" w:bidi="ar-SA"/>
              </w:rPr>
              <w:t>完成中方县城北片区概念性规划编制项目的编制工作</w:t>
            </w:r>
          </w:p>
          <w:p>
            <w:pPr>
              <w:pStyle w:val="5"/>
              <w:shd w:val="clear" w:color="auto" w:fill="FFFFFF"/>
              <w:spacing w:before="0" w:beforeAutospacing="0" w:after="0" w:afterAutospacing="0" w:line="600" w:lineRule="atLeast"/>
              <w:ind w:firstLine="645"/>
              <w:rPr>
                <w:rFonts w:hint="eastAsia" w:ascii="Times New Roman" w:hAnsi="Times New Roman" w:eastAsia="宋体" w:cs="Times New Roman"/>
                <w:color w:val="000000"/>
                <w:kern w:val="0"/>
                <w:sz w:val="18"/>
                <w:szCs w:val="18"/>
                <w:lang w:val="en-US" w:eastAsia="zh-CN" w:bidi="ar-SA"/>
              </w:rPr>
            </w:pPr>
          </w:p>
        </w:tc>
        <w:tc>
          <w:tcPr>
            <w:tcW w:w="3155" w:type="dxa"/>
            <w:gridSpan w:val="7"/>
            <w:tcBorders>
              <w:top w:val="single" w:color="auto" w:sz="4" w:space="0"/>
              <w:left w:val="nil"/>
              <w:bottom w:val="single" w:color="auto" w:sz="4" w:space="0"/>
              <w:right w:val="single" w:color="auto" w:sz="4" w:space="0"/>
            </w:tcBorders>
            <w:vAlign w:val="center"/>
          </w:tcPr>
          <w:p>
            <w:pPr>
              <w:pStyle w:val="5"/>
              <w:shd w:val="clear" w:color="auto" w:fill="FFFFFF"/>
              <w:spacing w:before="0" w:beforeAutospacing="0" w:after="0" w:afterAutospacing="0" w:line="600" w:lineRule="atLeast"/>
              <w:ind w:firstLine="645"/>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s="Times New Roman"/>
                <w:color w:val="000000"/>
                <w:kern w:val="0"/>
                <w:sz w:val="18"/>
                <w:szCs w:val="18"/>
                <w:lang w:val="en-US" w:eastAsia="zh-CN" w:bidi="ar-SA"/>
              </w:rPr>
              <w:t>完成100%</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城北片区概念性规划建设规模（公顷）</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173.</w:t>
            </w:r>
            <w:r>
              <w:rPr>
                <w:rFonts w:hint="eastAsia" w:ascii="Times New Roman" w:hAnsi="Times New Roman"/>
                <w:kern w:val="0"/>
                <w:sz w:val="18"/>
                <w:szCs w:val="18"/>
              </w:rPr>
              <w:t>3</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5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历史名城和传统村落个数</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4</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4</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规划编制合格率</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规划编制合理性</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完成及时率</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及时</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及时</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成本控制有效性</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有效</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有效</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97"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97"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jc w:val="left"/>
              <w:rPr>
                <w:rFonts w:ascii="黑体" w:hAnsi="黑体" w:eastAsia="黑体" w:cs="黑体"/>
              </w:rPr>
            </w:pPr>
            <w:r>
              <w:rPr>
                <w:rFonts w:hint="eastAsia" w:ascii="黑体" w:hAnsi="黑体" w:eastAsia="黑体" w:cs="黑体"/>
                <w:color w:val="000000"/>
                <w:kern w:val="0"/>
                <w:sz w:val="19"/>
                <w:szCs w:val="19"/>
                <w:lang w:eastAsia="zh-CN"/>
              </w:rPr>
              <w:t>居民村民</w:t>
            </w:r>
            <w:r>
              <w:rPr>
                <w:rFonts w:hint="eastAsia" w:ascii="黑体" w:hAnsi="黑体" w:eastAsia="黑体" w:cs="黑体"/>
                <w:color w:val="000000"/>
                <w:kern w:val="0"/>
                <w:sz w:val="19"/>
                <w:szCs w:val="19"/>
              </w:rPr>
              <w:t>居住环境改善</w:t>
            </w:r>
          </w:p>
          <w:p>
            <w:pPr>
              <w:widowControl/>
              <w:spacing w:line="240" w:lineRule="exact"/>
              <w:jc w:val="left"/>
              <w:rPr>
                <w:rFonts w:ascii="Times New Roman" w:hAnsi="Times New Roman"/>
                <w:color w:val="000000"/>
                <w:kern w:val="0"/>
                <w:sz w:val="18"/>
                <w:szCs w:val="18"/>
              </w:rPr>
            </w:pP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提高程度</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很大提高</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jc w:val="left"/>
            </w:pPr>
            <w:r>
              <w:rPr>
                <w:rFonts w:ascii="仿宋_GB2312" w:hAnsi="仿宋_GB2312" w:eastAsia="仿宋_GB2312" w:cs="仿宋_GB2312"/>
                <w:color w:val="000000"/>
                <w:kern w:val="0"/>
                <w:sz w:val="19"/>
                <w:szCs w:val="19"/>
              </w:rPr>
              <w:t>垃圾处理设施</w:t>
            </w:r>
            <w:r>
              <w:rPr>
                <w:rFonts w:hint="eastAsia" w:ascii="仿宋_GB2312" w:hAnsi="仿宋_GB2312" w:eastAsia="仿宋_GB2312" w:cs="仿宋_GB2312"/>
                <w:color w:val="000000"/>
                <w:kern w:val="0"/>
                <w:sz w:val="19"/>
                <w:szCs w:val="19"/>
              </w:rPr>
              <w:t>完善</w:t>
            </w:r>
          </w:p>
          <w:p>
            <w:pPr>
              <w:widowControl/>
              <w:spacing w:line="240" w:lineRule="exact"/>
              <w:jc w:val="left"/>
              <w:rPr>
                <w:rFonts w:ascii="Times New Roman" w:hAnsi="Times New Roman"/>
                <w:color w:val="000000"/>
                <w:kern w:val="0"/>
                <w:sz w:val="18"/>
                <w:szCs w:val="18"/>
              </w:rPr>
            </w:pP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是否有利完善</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有利</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污水处理设施完善</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是否有利完善</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有利</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实现农村大振兴战略</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是否有利</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有利</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城市总体规划科学性</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科学合理</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科学合理</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群众满意度</w:t>
            </w:r>
          </w:p>
        </w:tc>
        <w:tc>
          <w:tcPr>
            <w:tcW w:w="109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群众满意</w:t>
            </w:r>
          </w:p>
        </w:tc>
        <w:tc>
          <w:tcPr>
            <w:tcW w:w="99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9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17"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3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0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92</w:t>
            </w:r>
          </w:p>
        </w:tc>
        <w:tc>
          <w:tcPr>
            <w:tcW w:w="127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snapToGrid w:val="0"/>
        <w:spacing w:line="20" w:lineRule="exact"/>
        <w:rPr>
          <w:rFonts w:ascii="Times New Roman" w:hAnsi="Times New Roman" w:eastAsia="仿宋_GB2312"/>
          <w:sz w:val="20"/>
          <w:szCs w:val="20"/>
        </w:rPr>
        <w:sectPr>
          <w:pgSz w:w="11906" w:h="16838"/>
          <w:pgMar w:top="1701" w:right="1531" w:bottom="1928" w:left="1531" w:header="737" w:footer="851" w:gutter="0"/>
          <w:cols w:space="720" w:num="1"/>
          <w:docGrid w:type="lines" w:linePitch="408" w:charSpace="0"/>
        </w:sectPr>
      </w:pPr>
      <w:r>
        <w:rPr>
          <w:rFonts w:ascii="Times New Roman" w:hAnsi="Times New Roman"/>
          <w:color w:val="000000"/>
          <w:kern w:val="0"/>
          <w:sz w:val="18"/>
          <w:szCs w:val="18"/>
        </w:rPr>
        <w:br w:type="page"/>
      </w: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7"/>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①项目立项是否符合国家法律法规、国民经济发展规划和相关政策；</w:t>
            </w:r>
            <w:r>
              <w:rPr>
                <w:rFonts w:ascii="Times New Roman" w:hAnsi="Times New Roman"/>
                <w:color w:val="000000"/>
                <w:kern w:val="0"/>
                <w:sz w:val="22"/>
              </w:rPr>
              <w:br w:type="textWrapping"/>
            </w:r>
            <w:r>
              <w:rPr>
                <w:rFonts w:ascii="Times New Roman" w:hAnsi="Times New Roman"/>
                <w:color w:val="000000"/>
                <w:kern w:val="0"/>
                <w:sz w:val="22"/>
              </w:rPr>
              <w:t>②项目立项是否符合行业发展规划和政策要求；</w:t>
            </w:r>
            <w:r>
              <w:rPr>
                <w:rFonts w:ascii="Times New Roman" w:hAnsi="Times New Roman"/>
                <w:color w:val="000000"/>
                <w:kern w:val="0"/>
                <w:sz w:val="22"/>
              </w:rPr>
              <w:br w:type="textWrapping"/>
            </w:r>
            <w:r>
              <w:rPr>
                <w:rFonts w:ascii="Times New Roman" w:hAnsi="Times New Roman"/>
                <w:color w:val="000000"/>
                <w:kern w:val="0"/>
                <w:sz w:val="22"/>
              </w:rPr>
              <w:t>③项目立项是否与部门职责范围相符，属于部门履职所需；</w:t>
            </w:r>
            <w:r>
              <w:rPr>
                <w:rFonts w:ascii="Times New Roman" w:hAnsi="Times New Roman"/>
                <w:color w:val="000000"/>
                <w:kern w:val="0"/>
                <w:sz w:val="22"/>
              </w:rPr>
              <w:br w:type="textWrapping"/>
            </w:r>
            <w:r>
              <w:rPr>
                <w:rFonts w:ascii="Times New Roman" w:hAnsi="Times New Roman"/>
                <w:color w:val="000000"/>
                <w:kern w:val="0"/>
                <w:sz w:val="22"/>
              </w:rPr>
              <w:t>④项目是否属于公共财政支持范围，是否符合中央、地方事权支出责任划分原则；</w:t>
            </w:r>
            <w:r>
              <w:rPr>
                <w:rFonts w:ascii="Times New Roman" w:hAnsi="Times New Roman"/>
                <w:color w:val="000000"/>
                <w:kern w:val="0"/>
                <w:sz w:val="22"/>
              </w:rPr>
              <w:br w:type="textWrapping"/>
            </w:r>
            <w:r>
              <w:rPr>
                <w:rFonts w:ascii="Times New Roman" w:hAnsi="Times New Roman"/>
                <w:color w:val="000000"/>
                <w:kern w:val="0"/>
                <w:sz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①项目是否按照规定的程序申请设立；</w:t>
            </w:r>
            <w:r>
              <w:rPr>
                <w:rFonts w:ascii="Times New Roman" w:hAnsi="Times New Roman"/>
                <w:color w:val="000000"/>
                <w:kern w:val="0"/>
                <w:sz w:val="22"/>
              </w:rPr>
              <w:br w:type="textWrapping"/>
            </w:r>
            <w:r>
              <w:rPr>
                <w:rFonts w:ascii="Times New Roman" w:hAnsi="Times New Roman"/>
                <w:color w:val="000000"/>
                <w:kern w:val="0"/>
                <w:sz w:val="22"/>
              </w:rPr>
              <w:t>②审批文件、材料是否符合相关要求；</w:t>
            </w:r>
            <w:r>
              <w:rPr>
                <w:rFonts w:ascii="Times New Roman" w:hAnsi="Times New Roman"/>
                <w:color w:val="000000"/>
                <w:kern w:val="0"/>
                <w:sz w:val="22"/>
              </w:rPr>
              <w:br w:type="textWrapping"/>
            </w:r>
            <w:r>
              <w:rPr>
                <w:rFonts w:ascii="Times New Roman" w:hAnsi="Times New Roman"/>
                <w:color w:val="000000"/>
                <w:kern w:val="0"/>
                <w:sz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ype="textWrapping"/>
            </w:r>
            <w:r>
              <w:rPr>
                <w:rFonts w:ascii="Times New Roman" w:hAnsi="Times New Roman"/>
                <w:color w:val="000000"/>
                <w:kern w:val="0"/>
                <w:sz w:val="22"/>
              </w:rPr>
              <w:t>①项目是否有绩效目标；</w:t>
            </w:r>
            <w:r>
              <w:rPr>
                <w:rFonts w:ascii="Times New Roman" w:hAnsi="Times New Roman"/>
                <w:color w:val="000000"/>
                <w:kern w:val="0"/>
                <w:sz w:val="22"/>
              </w:rPr>
              <w:br w:type="textWrapping"/>
            </w:r>
            <w:r>
              <w:rPr>
                <w:rFonts w:ascii="Times New Roman" w:hAnsi="Times New Roman"/>
                <w:color w:val="000000"/>
                <w:kern w:val="0"/>
                <w:sz w:val="22"/>
              </w:rPr>
              <w:t>②项目绩效目标与实际工作内容是否具有相关性；</w:t>
            </w:r>
            <w:r>
              <w:rPr>
                <w:rFonts w:ascii="Times New Roman" w:hAnsi="Times New Roman"/>
                <w:color w:val="000000"/>
                <w:kern w:val="0"/>
                <w:sz w:val="22"/>
              </w:rPr>
              <w:br w:type="textWrapping"/>
            </w:r>
            <w:r>
              <w:rPr>
                <w:rFonts w:ascii="Times New Roman" w:hAnsi="Times New Roman"/>
                <w:color w:val="000000"/>
                <w:kern w:val="0"/>
                <w:sz w:val="22"/>
              </w:rPr>
              <w:t>③项目预期产出效益和效果是否符合正常的业绩水平；</w:t>
            </w:r>
          </w:p>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①是否将项目绩效目标细化分解为具体的绩效指标；</w:t>
            </w:r>
            <w:r>
              <w:rPr>
                <w:rFonts w:ascii="Times New Roman" w:hAnsi="Times New Roman"/>
                <w:color w:val="000000"/>
                <w:kern w:val="0"/>
                <w:sz w:val="22"/>
              </w:rPr>
              <w:br w:type="textWrapping"/>
            </w:r>
            <w:r>
              <w:rPr>
                <w:rFonts w:ascii="Times New Roman" w:hAnsi="Times New Roman"/>
                <w:color w:val="000000"/>
                <w:kern w:val="0"/>
                <w:sz w:val="22"/>
              </w:rPr>
              <w:t>②是否通过清晰、可衡量的指标值予以体现；</w:t>
            </w:r>
            <w:r>
              <w:rPr>
                <w:rFonts w:ascii="Times New Roman" w:hAnsi="Times New Roman"/>
                <w:color w:val="000000"/>
                <w:kern w:val="0"/>
                <w:sz w:val="22"/>
              </w:rPr>
              <w:br w:type="textWrapping"/>
            </w:r>
            <w:r>
              <w:rPr>
                <w:rFonts w:ascii="Times New Roman" w:hAnsi="Times New Roman"/>
                <w:color w:val="000000"/>
                <w:kern w:val="0"/>
                <w:sz w:val="22"/>
              </w:rPr>
              <w:t>③是否与项目目标任务数或计划数相对应。</w:t>
            </w:r>
            <w:r>
              <w:rPr>
                <w:rFonts w:ascii="Times New Roman" w:hAnsi="Times New Roman"/>
                <w:color w:val="000000"/>
                <w:kern w:val="0"/>
                <w:sz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①预算编制是否经过科学论证；</w:t>
            </w:r>
            <w:r>
              <w:rPr>
                <w:rFonts w:ascii="Times New Roman" w:hAnsi="Times New Roman"/>
                <w:color w:val="000000"/>
                <w:kern w:val="0"/>
                <w:sz w:val="22"/>
              </w:rPr>
              <w:br w:type="textWrapping"/>
            </w:r>
            <w:r>
              <w:rPr>
                <w:rFonts w:ascii="Times New Roman" w:hAnsi="Times New Roman"/>
                <w:color w:val="000000"/>
                <w:kern w:val="0"/>
                <w:sz w:val="22"/>
              </w:rPr>
              <w:t>②预算内容与项目内容是否匹配；</w:t>
            </w:r>
            <w:r>
              <w:rPr>
                <w:rFonts w:ascii="Times New Roman" w:hAnsi="Times New Roman"/>
                <w:color w:val="000000"/>
                <w:kern w:val="0"/>
                <w:sz w:val="22"/>
              </w:rPr>
              <w:br w:type="textWrapping"/>
            </w:r>
            <w:r>
              <w:rPr>
                <w:rFonts w:ascii="Times New Roman" w:hAnsi="Times New Roman"/>
                <w:color w:val="000000"/>
                <w:kern w:val="0"/>
                <w:sz w:val="22"/>
              </w:rPr>
              <w:t>③预算额度测算依据是否充分，是否按照标准编制；</w:t>
            </w:r>
            <w:r>
              <w:rPr>
                <w:rFonts w:ascii="Times New Roman" w:hAnsi="Times New Roman"/>
                <w:color w:val="000000"/>
                <w:kern w:val="0"/>
                <w:sz w:val="22"/>
              </w:rPr>
              <w:br w:type="textWrapping"/>
            </w:r>
            <w:r>
              <w:rPr>
                <w:rFonts w:ascii="Times New Roman" w:hAnsi="Times New Roman"/>
                <w:color w:val="000000"/>
                <w:kern w:val="0"/>
                <w:sz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①预算资金分配依据是否充分；</w:t>
            </w:r>
            <w:r>
              <w:rPr>
                <w:rFonts w:ascii="Times New Roman" w:hAnsi="Times New Roman"/>
                <w:color w:val="000000"/>
                <w:kern w:val="0"/>
                <w:sz w:val="22"/>
              </w:rPr>
              <w:br w:type="textWrapping"/>
            </w:r>
            <w:r>
              <w:rPr>
                <w:rFonts w:ascii="Times New Roman" w:hAnsi="Times New Roman"/>
                <w:color w:val="000000"/>
                <w:kern w:val="0"/>
                <w:sz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资金到位率=（实际到位资金/预算资金）×100%。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预算执行率=（实际支出资金/实际到位资金）×100%。</w:t>
            </w:r>
            <w:r>
              <w:rPr>
                <w:rFonts w:ascii="Times New Roman" w:hAnsi="Times New Roman"/>
                <w:color w:val="000000"/>
                <w:kern w:val="0"/>
                <w:sz w:val="22"/>
              </w:rPr>
              <w:br w:type="textWrapping"/>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①是否符合国家财经法规和财务管理制度以及有关专项资金管理办法的规定；</w:t>
            </w:r>
            <w:r>
              <w:rPr>
                <w:rFonts w:ascii="Times New Roman" w:hAnsi="Times New Roman"/>
                <w:color w:val="000000"/>
                <w:kern w:val="0"/>
                <w:sz w:val="22"/>
              </w:rPr>
              <w:br w:type="textWrapping"/>
            </w:r>
            <w:r>
              <w:rPr>
                <w:rFonts w:ascii="Times New Roman" w:hAnsi="Times New Roman"/>
                <w:color w:val="000000"/>
                <w:kern w:val="0"/>
                <w:sz w:val="22"/>
              </w:rPr>
              <w:t>②资金的拨付是否有完整的审批程序和手续；</w:t>
            </w:r>
            <w:r>
              <w:rPr>
                <w:rFonts w:ascii="Times New Roman" w:hAnsi="Times New Roman"/>
                <w:color w:val="000000"/>
                <w:kern w:val="0"/>
                <w:sz w:val="22"/>
              </w:rPr>
              <w:br w:type="textWrapping"/>
            </w:r>
            <w:r>
              <w:rPr>
                <w:rFonts w:ascii="Times New Roman" w:hAnsi="Times New Roman"/>
                <w:color w:val="000000"/>
                <w:kern w:val="0"/>
                <w:sz w:val="22"/>
              </w:rPr>
              <w:t>③是否符合项目预算批复或合同规定的用途；</w:t>
            </w:r>
            <w:r>
              <w:rPr>
                <w:rFonts w:ascii="Times New Roman" w:hAnsi="Times New Roman"/>
                <w:color w:val="000000"/>
                <w:kern w:val="0"/>
                <w:sz w:val="22"/>
              </w:rPr>
              <w:br w:type="textWrapping"/>
            </w:r>
            <w:r>
              <w:rPr>
                <w:rFonts w:ascii="Times New Roman" w:hAnsi="Times New Roman"/>
                <w:color w:val="000000"/>
                <w:kern w:val="0"/>
                <w:sz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①是否已制定或具有相应的财务和业务管理制度；</w:t>
            </w:r>
            <w:r>
              <w:rPr>
                <w:rFonts w:ascii="Times New Roman" w:hAnsi="Times New Roman"/>
                <w:color w:val="000000"/>
                <w:kern w:val="0"/>
                <w:sz w:val="22"/>
              </w:rPr>
              <w:br w:type="textWrapping"/>
            </w:r>
            <w:r>
              <w:rPr>
                <w:rFonts w:ascii="Times New Roman" w:hAnsi="Times New Roman"/>
                <w:color w:val="000000"/>
                <w:kern w:val="0"/>
                <w:sz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①是否遵守相关法律法规和相关管理规定；</w:t>
            </w:r>
            <w:r>
              <w:rPr>
                <w:rFonts w:ascii="Times New Roman" w:hAnsi="Times New Roman"/>
                <w:color w:val="000000"/>
                <w:kern w:val="0"/>
                <w:sz w:val="22"/>
              </w:rPr>
              <w:br w:type="textWrapping"/>
            </w:r>
            <w:r>
              <w:rPr>
                <w:rFonts w:ascii="Times New Roman" w:hAnsi="Times New Roman"/>
                <w:color w:val="000000"/>
                <w:kern w:val="0"/>
                <w:sz w:val="22"/>
              </w:rPr>
              <w:t>②项目调整及支出调整手续是否完备；</w:t>
            </w:r>
            <w:r>
              <w:rPr>
                <w:rFonts w:ascii="Times New Roman" w:hAnsi="Times New Roman"/>
                <w:color w:val="000000"/>
                <w:kern w:val="0"/>
                <w:sz w:val="22"/>
              </w:rPr>
              <w:br w:type="textWrapping"/>
            </w:r>
            <w:r>
              <w:rPr>
                <w:rFonts w:ascii="Times New Roman" w:hAnsi="Times New Roman"/>
                <w:color w:val="000000"/>
                <w:kern w:val="0"/>
                <w:sz w:val="22"/>
              </w:rPr>
              <w:t>③项目合同书、验收报告、技术鉴定等资料是否齐全并及时归档；</w:t>
            </w:r>
            <w:r>
              <w:rPr>
                <w:rFonts w:ascii="Times New Roman" w:hAnsi="Times New Roman"/>
                <w:color w:val="000000"/>
                <w:kern w:val="0"/>
                <w:sz w:val="22"/>
              </w:rPr>
              <w:br w:type="textWrapping"/>
            </w:r>
            <w:r>
              <w:rPr>
                <w:rFonts w:ascii="Times New Roman" w:hAnsi="Times New Roman"/>
                <w:color w:val="000000"/>
                <w:kern w:val="0"/>
                <w:sz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实际完成率=（实际产出数/计划产出数）×100%。</w:t>
            </w:r>
            <w:r>
              <w:rPr>
                <w:rFonts w:ascii="Times New Roman" w:hAnsi="Times New Roman"/>
                <w:color w:val="000000"/>
                <w:kern w:val="0"/>
                <w:sz w:val="22"/>
              </w:rPr>
              <w:br w:type="textWrapping"/>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type="textWrapping"/>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质量达标率=（质量达标产出数/实际产出数）×100%。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type="textWrapping"/>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br w:type="textWrapping"/>
            </w:r>
            <w:r>
              <w:rPr>
                <w:rFonts w:ascii="Times New Roman" w:hAnsi="Times New Roman"/>
                <w:color w:val="000000"/>
                <w:kern w:val="0"/>
                <w:sz w:val="22"/>
              </w:rPr>
              <w:t>成本节约率=[（计划成本-实际成本）/计划成本]×100%。</w:t>
            </w:r>
            <w:r>
              <w:rPr>
                <w:rFonts w:ascii="Times New Roman" w:hAnsi="Times New Roman"/>
                <w:color w:val="000000"/>
                <w:kern w:val="0"/>
                <w:sz w:val="22"/>
              </w:rPr>
              <w:br w:type="textWrapping"/>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type="textWrapping"/>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pPr>
              <w:widowControl/>
              <w:spacing w:line="0" w:lineRule="atLeast"/>
              <w:rPr>
                <w:rFonts w:ascii="Times New Roman" w:hAnsi="Times New Roman"/>
                <w:color w:val="000000"/>
                <w:kern w:val="0"/>
                <w:sz w:val="22"/>
              </w:rPr>
            </w:pPr>
          </w:p>
        </w:tc>
        <w:tc>
          <w:tcPr>
            <w:tcW w:w="6096" w:type="dxa"/>
            <w:shd w:val="clear" w:color="auto" w:fill="FFFFFF"/>
            <w:vAlign w:val="center"/>
          </w:tcPr>
          <w:p>
            <w:pPr>
              <w:widowControl/>
              <w:spacing w:line="0" w:lineRule="atLeast"/>
              <w:rPr>
                <w:rFonts w:ascii="Times New Roman" w:hAnsi="Times New Roman"/>
                <w:color w:val="000000"/>
                <w:kern w:val="0"/>
                <w:sz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92</w:t>
            </w:r>
          </w:p>
        </w:tc>
      </w:tr>
    </w:tbl>
    <w:p>
      <w:pPr>
        <w:spacing w:line="560" w:lineRule="exact"/>
        <w:ind w:firstLine="200" w:firstLineChars="100"/>
      </w:pPr>
      <w:r>
        <w:rPr>
          <w:rFonts w:ascii="Times New Roman" w:hAnsi="Times New Roman" w:eastAsia="仿宋_GB2312"/>
          <w:sz w:val="20"/>
          <w:szCs w:val="20"/>
        </w:rPr>
        <w:t>注：单位可以根据专项资金的管理要求和绩效要求增设个性指标</w:t>
      </w:r>
      <w:r>
        <w:rPr>
          <w:rFonts w:hint="eastAsia"/>
          <w:kern w:val="0"/>
          <w:sz w:val="18"/>
          <w:szCs w:val="18"/>
          <w:lang w:val="en-US" w:eastAsia="zh-CN"/>
        </w:rPr>
        <w:t>100</w:t>
      </w:r>
    </w:p>
    <w:p>
      <w:pPr>
        <w:pStyle w:val="6"/>
        <w:spacing w:line="20" w:lineRule="exact"/>
        <w:jc w:val="both"/>
      </w:pPr>
      <w:r>
        <w:tab/>
      </w: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HorizontalSpacing w:val="105"/>
  <w:drawingGridVerticalSpacing w:val="204"/>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8376C94"/>
    <w:rsid w:val="0003405C"/>
    <w:rsid w:val="00054BB6"/>
    <w:rsid w:val="0005693D"/>
    <w:rsid w:val="000A5911"/>
    <w:rsid w:val="000B396E"/>
    <w:rsid w:val="000F7B97"/>
    <w:rsid w:val="00131716"/>
    <w:rsid w:val="00147FAD"/>
    <w:rsid w:val="00161634"/>
    <w:rsid w:val="001C3249"/>
    <w:rsid w:val="002562BF"/>
    <w:rsid w:val="00273AC2"/>
    <w:rsid w:val="002B236C"/>
    <w:rsid w:val="002D693E"/>
    <w:rsid w:val="00301FF4"/>
    <w:rsid w:val="003110CB"/>
    <w:rsid w:val="003369A3"/>
    <w:rsid w:val="00357988"/>
    <w:rsid w:val="003B20E2"/>
    <w:rsid w:val="003E0518"/>
    <w:rsid w:val="00457296"/>
    <w:rsid w:val="00472180"/>
    <w:rsid w:val="004815D6"/>
    <w:rsid w:val="00483617"/>
    <w:rsid w:val="004D0560"/>
    <w:rsid w:val="00560802"/>
    <w:rsid w:val="00582D87"/>
    <w:rsid w:val="005858C4"/>
    <w:rsid w:val="005D59C5"/>
    <w:rsid w:val="005E18BD"/>
    <w:rsid w:val="00623984"/>
    <w:rsid w:val="00633EF3"/>
    <w:rsid w:val="006344FC"/>
    <w:rsid w:val="006B1126"/>
    <w:rsid w:val="006C4E2A"/>
    <w:rsid w:val="006F4647"/>
    <w:rsid w:val="00725C59"/>
    <w:rsid w:val="00755C4B"/>
    <w:rsid w:val="007B69E7"/>
    <w:rsid w:val="007B7B9B"/>
    <w:rsid w:val="007F0BE8"/>
    <w:rsid w:val="008348C9"/>
    <w:rsid w:val="00846EFB"/>
    <w:rsid w:val="008A5DDF"/>
    <w:rsid w:val="008B7F4D"/>
    <w:rsid w:val="008F7B9F"/>
    <w:rsid w:val="009824F6"/>
    <w:rsid w:val="00997A19"/>
    <w:rsid w:val="009D680D"/>
    <w:rsid w:val="009E21A1"/>
    <w:rsid w:val="00A21579"/>
    <w:rsid w:val="00A53779"/>
    <w:rsid w:val="00A54C6F"/>
    <w:rsid w:val="00AA38EE"/>
    <w:rsid w:val="00B04F06"/>
    <w:rsid w:val="00B07FE1"/>
    <w:rsid w:val="00B319BC"/>
    <w:rsid w:val="00BA06D5"/>
    <w:rsid w:val="00BA206D"/>
    <w:rsid w:val="00C00B08"/>
    <w:rsid w:val="00C402D4"/>
    <w:rsid w:val="00C543E0"/>
    <w:rsid w:val="00C62CFB"/>
    <w:rsid w:val="00CA0F75"/>
    <w:rsid w:val="00CC73BB"/>
    <w:rsid w:val="00D54F8C"/>
    <w:rsid w:val="00DB5854"/>
    <w:rsid w:val="00DD2B84"/>
    <w:rsid w:val="00DD3970"/>
    <w:rsid w:val="00E01628"/>
    <w:rsid w:val="00E05DE1"/>
    <w:rsid w:val="00E3667E"/>
    <w:rsid w:val="00EA6C87"/>
    <w:rsid w:val="00F1572F"/>
    <w:rsid w:val="00FA19FF"/>
    <w:rsid w:val="00FF6700"/>
    <w:rsid w:val="00FF7B97"/>
    <w:rsid w:val="03E96353"/>
    <w:rsid w:val="04321C72"/>
    <w:rsid w:val="189B3D6B"/>
    <w:rsid w:val="18F2467B"/>
    <w:rsid w:val="19B37777"/>
    <w:rsid w:val="1A3813A4"/>
    <w:rsid w:val="1E4C3F61"/>
    <w:rsid w:val="1F2008F7"/>
    <w:rsid w:val="237E38EC"/>
    <w:rsid w:val="240062CC"/>
    <w:rsid w:val="3CEB079D"/>
    <w:rsid w:val="48B524A7"/>
    <w:rsid w:val="4C052007"/>
    <w:rsid w:val="4D4F460F"/>
    <w:rsid w:val="54635373"/>
    <w:rsid w:val="5E0768AF"/>
    <w:rsid w:val="651462C1"/>
    <w:rsid w:val="67D064AF"/>
    <w:rsid w:val="68376C94"/>
    <w:rsid w:val="6D535020"/>
    <w:rsid w:val="6D6A7774"/>
    <w:rsid w:val="723D2115"/>
    <w:rsid w:val="77400980"/>
    <w:rsid w:val="7A2B0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21"/>
    <w:qFormat/>
    <w:uiPriority w:val="0"/>
    <w:pPr>
      <w:keepNext/>
      <w:keepLines/>
      <w:spacing w:before="260" w:after="260" w:line="413" w:lineRule="auto"/>
      <w:outlineLvl w:val="1"/>
    </w:pPr>
    <w:rPr>
      <w:rFonts w:ascii="Arial" w:hAnsi="Arial" w:eastAsia="黑体"/>
      <w:b/>
      <w:sz w:val="32"/>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9"/>
    <w:qFormat/>
    <w:uiPriority w:val="0"/>
    <w:pPr>
      <w:tabs>
        <w:tab w:val="center" w:pos="4153"/>
        <w:tab w:val="right" w:pos="8306"/>
      </w:tabs>
      <w:snapToGrid w:val="0"/>
      <w:jc w:val="left"/>
    </w:pPr>
    <w:rPr>
      <w:sz w:val="18"/>
      <w:szCs w:val="18"/>
    </w:rPr>
  </w:style>
  <w:style w:type="paragraph" w:styleId="4">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6">
    <w:name w:val="Title"/>
    <w:basedOn w:val="1"/>
    <w:next w:val="1"/>
    <w:link w:val="25"/>
    <w:qFormat/>
    <w:uiPriority w:val="0"/>
    <w:pPr>
      <w:spacing w:before="240" w:after="60"/>
      <w:jc w:val="center"/>
      <w:outlineLvl w:val="0"/>
    </w:pPr>
    <w:rPr>
      <w:rFonts w:asciiTheme="majorHAnsi" w:hAnsiTheme="majorHAnsi" w:cstheme="majorBidi"/>
      <w:b/>
      <w:bCs/>
      <w:sz w:val="32"/>
      <w:szCs w:val="32"/>
    </w:rPr>
  </w:style>
  <w:style w:type="character" w:styleId="9">
    <w:name w:val="Strong"/>
    <w:basedOn w:val="8"/>
    <w:qFormat/>
    <w:uiPriority w:val="22"/>
    <w:rPr>
      <w:b/>
      <w:bCs/>
    </w:rPr>
  </w:style>
  <w:style w:type="character" w:styleId="10">
    <w:name w:val="FollowedHyperlink"/>
    <w:basedOn w:val="8"/>
    <w:qFormat/>
    <w:uiPriority w:val="0"/>
    <w:rPr>
      <w:color w:val="7C8081"/>
      <w:u w:val="none"/>
    </w:rPr>
  </w:style>
  <w:style w:type="character" w:styleId="11">
    <w:name w:val="Emphasis"/>
    <w:basedOn w:val="8"/>
    <w:qFormat/>
    <w:uiPriority w:val="0"/>
  </w:style>
  <w:style w:type="character" w:styleId="12">
    <w:name w:val="HTML Definition"/>
    <w:basedOn w:val="8"/>
    <w:qFormat/>
    <w:uiPriority w:val="0"/>
  </w:style>
  <w:style w:type="character" w:styleId="13">
    <w:name w:val="HTML Variable"/>
    <w:basedOn w:val="8"/>
    <w:qFormat/>
    <w:uiPriority w:val="0"/>
  </w:style>
  <w:style w:type="character" w:styleId="14">
    <w:name w:val="Hyperlink"/>
    <w:basedOn w:val="8"/>
    <w:qFormat/>
    <w:uiPriority w:val="0"/>
    <w:rPr>
      <w:color w:val="7C8081"/>
      <w:u w:val="none"/>
    </w:rPr>
  </w:style>
  <w:style w:type="character" w:styleId="15">
    <w:name w:val="HTML Code"/>
    <w:basedOn w:val="8"/>
    <w:qFormat/>
    <w:uiPriority w:val="0"/>
    <w:rPr>
      <w:rFonts w:ascii="Courier New" w:hAnsi="Courier New"/>
      <w:sz w:val="20"/>
    </w:rPr>
  </w:style>
  <w:style w:type="character" w:styleId="16">
    <w:name w:val="HTML Cite"/>
    <w:basedOn w:val="8"/>
    <w:qFormat/>
    <w:uiPriority w:val="0"/>
  </w:style>
  <w:style w:type="paragraph" w:customStyle="1" w:styleId="17">
    <w:name w:val="p15"/>
    <w:basedOn w:val="1"/>
    <w:qFormat/>
    <w:uiPriority w:val="0"/>
    <w:pPr>
      <w:widowControl/>
      <w:jc w:val="left"/>
    </w:pPr>
    <w:rPr>
      <w:rFonts w:ascii="宋体" w:hAnsi="宋体" w:cs="宋体"/>
      <w:kern w:val="0"/>
      <w:sz w:val="24"/>
    </w:rPr>
  </w:style>
  <w:style w:type="character" w:customStyle="1" w:styleId="18">
    <w:name w:val="页眉 Char"/>
    <w:basedOn w:val="8"/>
    <w:link w:val="4"/>
    <w:qFormat/>
    <w:uiPriority w:val="0"/>
    <w:rPr>
      <w:kern w:val="2"/>
      <w:sz w:val="18"/>
      <w:szCs w:val="18"/>
    </w:rPr>
  </w:style>
  <w:style w:type="character" w:customStyle="1" w:styleId="19">
    <w:name w:val="页脚 Char"/>
    <w:basedOn w:val="8"/>
    <w:link w:val="3"/>
    <w:qFormat/>
    <w:uiPriority w:val="0"/>
    <w:rPr>
      <w:kern w:val="2"/>
      <w:sz w:val="18"/>
      <w:szCs w:val="18"/>
    </w:rPr>
  </w:style>
  <w:style w:type="paragraph" w:styleId="20">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21">
    <w:name w:val="标题 2 Char"/>
    <w:basedOn w:val="8"/>
    <w:link w:val="2"/>
    <w:qFormat/>
    <w:uiPriority w:val="0"/>
    <w:rPr>
      <w:rFonts w:ascii="Arial" w:hAnsi="Arial" w:eastAsia="黑体"/>
      <w:b/>
      <w:kern w:val="2"/>
      <w:sz w:val="32"/>
      <w:szCs w:val="24"/>
    </w:rPr>
  </w:style>
  <w:style w:type="character" w:customStyle="1" w:styleId="22">
    <w:name w:val="current11"/>
    <w:basedOn w:val="8"/>
    <w:qFormat/>
    <w:uiPriority w:val="0"/>
    <w:rPr>
      <w:color w:val="FFFFFF"/>
      <w:shd w:val="clear" w:color="auto" w:fill="1E61A5"/>
    </w:rPr>
  </w:style>
  <w:style w:type="character" w:customStyle="1" w:styleId="23">
    <w:name w:val="hj-easyread-speakerprocesser-position-action-icon"/>
    <w:basedOn w:val="8"/>
    <w:qFormat/>
    <w:uiPriority w:val="0"/>
  </w:style>
  <w:style w:type="character" w:customStyle="1" w:styleId="24">
    <w:name w:val="current"/>
    <w:basedOn w:val="8"/>
    <w:qFormat/>
    <w:uiPriority w:val="0"/>
    <w:rPr>
      <w:color w:val="FFFFFF"/>
      <w:shd w:val="clear" w:color="auto" w:fill="1E61A5"/>
    </w:rPr>
  </w:style>
  <w:style w:type="character" w:customStyle="1" w:styleId="25">
    <w:name w:val="标题 Char"/>
    <w:basedOn w:val="8"/>
    <w:link w:val="6"/>
    <w:qFormat/>
    <w:uiPriority w:val="0"/>
    <w:rPr>
      <w:rFonts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E7DFC0-7745-48D7-A556-FF1BA4A74277}">
  <ds:schemaRefs/>
</ds:datastoreItem>
</file>

<file path=docProps/app.xml><?xml version="1.0" encoding="utf-8"?>
<Properties xmlns="http://schemas.openxmlformats.org/officeDocument/2006/extended-properties" xmlns:vt="http://schemas.openxmlformats.org/officeDocument/2006/docPropsVTypes">
  <Template>0</Template>
  <Pages>1</Pages>
  <Words>923</Words>
  <Characters>5265</Characters>
  <Lines>43</Lines>
  <Paragraphs>12</Paragraphs>
  <TotalTime>35</TotalTime>
  <ScaleCrop>false</ScaleCrop>
  <LinksUpToDate>false</LinksUpToDate>
  <CharactersWithSpaces>6176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忘忧草</cp:lastModifiedBy>
  <dcterms:modified xsi:type="dcterms:W3CDTF">2021-07-26T01:42:47Z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611DFB95DA24433CAB4DFE0A953F5A52</vt:lpwstr>
  </property>
</Properties>
</file>