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jc w:val="center"/>
        <w:rPr>
          <w:rFonts w:hint="eastAsia" w:ascii="黑体" w:hAnsi="黑体" w:eastAsia="黑体" w:cs="黑体"/>
          <w:sz w:val="36"/>
          <w:szCs w:val="36"/>
        </w:rPr>
      </w:pPr>
      <w:r>
        <w:rPr>
          <w:rFonts w:hint="eastAsia" w:ascii="黑体" w:hAnsi="黑体" w:eastAsia="黑体" w:cs="黑体"/>
          <w:sz w:val="36"/>
          <w:szCs w:val="36"/>
          <w:lang w:eastAsia="zh-CN"/>
        </w:rPr>
        <w:t>中方县住房和城乡建设局</w:t>
      </w:r>
      <w:r>
        <w:rPr>
          <w:rFonts w:hint="eastAsia" w:ascii="黑体" w:hAnsi="黑体" w:eastAsia="黑体" w:cs="黑体"/>
          <w:sz w:val="36"/>
          <w:szCs w:val="36"/>
        </w:rPr>
        <w:t>20</w:t>
      </w:r>
      <w:r>
        <w:rPr>
          <w:rFonts w:hint="eastAsia" w:ascii="黑体" w:hAnsi="黑体" w:eastAsia="黑体" w:cs="黑体"/>
          <w:sz w:val="36"/>
          <w:szCs w:val="36"/>
          <w:lang w:val="en-US" w:eastAsia="zh-CN"/>
        </w:rPr>
        <w:t>20</w:t>
      </w:r>
      <w:r>
        <w:rPr>
          <w:rFonts w:hint="eastAsia" w:ascii="黑体" w:hAnsi="黑体" w:eastAsia="黑体" w:cs="黑体"/>
          <w:sz w:val="36"/>
          <w:szCs w:val="36"/>
        </w:rPr>
        <w:t>年度住房和城乡建设行政事务项目</w:t>
      </w:r>
      <w:r>
        <w:rPr>
          <w:rFonts w:hint="eastAsia" w:ascii="黑体" w:hAnsi="黑体" w:eastAsia="黑体" w:cs="黑体"/>
          <w:sz w:val="36"/>
          <w:szCs w:val="36"/>
          <w:lang w:eastAsia="zh-CN"/>
        </w:rPr>
        <w:t>支出</w:t>
      </w:r>
      <w:r>
        <w:rPr>
          <w:rFonts w:hint="eastAsia" w:ascii="黑体" w:hAnsi="黑体" w:eastAsia="黑体" w:cs="黑体"/>
          <w:sz w:val="36"/>
          <w:szCs w:val="36"/>
        </w:rPr>
        <w:t>绩效</w:t>
      </w:r>
      <w:r>
        <w:rPr>
          <w:rFonts w:hint="eastAsia" w:ascii="黑体" w:hAnsi="黑体" w:eastAsia="黑体" w:cs="黑体"/>
          <w:sz w:val="36"/>
          <w:szCs w:val="36"/>
          <w:lang w:eastAsia="zh-CN"/>
        </w:rPr>
        <w:t>自</w:t>
      </w:r>
      <w:r>
        <w:rPr>
          <w:rFonts w:hint="eastAsia" w:ascii="黑体" w:hAnsi="黑体" w:eastAsia="黑体" w:cs="黑体"/>
          <w:sz w:val="36"/>
          <w:szCs w:val="36"/>
        </w:rPr>
        <w:t>评报告</w:t>
      </w:r>
    </w:p>
    <w:p>
      <w:pPr>
        <w:pStyle w:val="20"/>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一、基本情况</w:t>
      </w:r>
    </w:p>
    <w:p>
      <w:pPr>
        <w:pStyle w:val="20"/>
        <w:spacing w:line="510" w:lineRule="exact"/>
        <w:ind w:firstLine="640" w:firstLineChars="200"/>
        <w:rPr>
          <w:rFonts w:hint="eastAsia" w:ascii="Times New Roman" w:hAnsi="Times New Roman" w:eastAsia="仿宋"/>
          <w:sz w:val="32"/>
          <w:szCs w:val="32"/>
          <w:lang w:val="en-US" w:eastAsia="zh-CN"/>
        </w:rPr>
      </w:pPr>
      <w:r>
        <w:rPr>
          <w:rFonts w:hint="eastAsia" w:ascii="Times New Roman" w:hAnsi="Times New Roman" w:eastAsia="仿宋"/>
          <w:sz w:val="32"/>
          <w:szCs w:val="32"/>
        </w:rPr>
        <w:t>（一）项目概况：</w:t>
      </w:r>
      <w:r>
        <w:rPr>
          <w:rFonts w:hint="eastAsia" w:ascii="Times New Roman" w:hAnsi="Times New Roman" w:eastAsia="仿宋"/>
          <w:sz w:val="32"/>
          <w:szCs w:val="32"/>
          <w:lang w:val="en-US" w:eastAsia="zh-CN"/>
        </w:rPr>
        <w:t>2020年度建设行政事务工作经费共</w:t>
      </w:r>
      <w:r>
        <w:rPr>
          <w:rFonts w:hint="eastAsia" w:ascii="Times New Roman" w:hAnsi="Times New Roman" w:eastAsia="仿宋"/>
          <w:color w:val="auto"/>
          <w:sz w:val="32"/>
          <w:szCs w:val="32"/>
          <w:lang w:val="en-US" w:eastAsia="zh-CN"/>
        </w:rPr>
        <w:t>112</w:t>
      </w:r>
      <w:r>
        <w:rPr>
          <w:rFonts w:hint="eastAsia" w:ascii="Times New Roman" w:hAnsi="Times New Roman" w:eastAsia="仿宋"/>
          <w:sz w:val="32"/>
          <w:szCs w:val="32"/>
          <w:lang w:val="en-US" w:eastAsia="zh-CN"/>
        </w:rPr>
        <w:t>万元，</w:t>
      </w:r>
      <w:r>
        <w:rPr>
          <w:rFonts w:hint="eastAsia" w:ascii="Times New Roman" w:hAnsi="Times New Roman" w:eastAsia="仿宋"/>
          <w:sz w:val="32"/>
          <w:szCs w:val="32"/>
        </w:rPr>
        <w:t>该项目为住房和城乡建设行政事务工作</w:t>
      </w:r>
      <w:r>
        <w:rPr>
          <w:rFonts w:hint="eastAsia" w:ascii="Times New Roman" w:hAnsi="Times New Roman" w:eastAsia="仿宋"/>
          <w:sz w:val="32"/>
          <w:szCs w:val="32"/>
          <w:lang w:eastAsia="zh-CN"/>
        </w:rPr>
        <w:t>，主要有</w:t>
      </w:r>
      <w:r>
        <w:rPr>
          <w:rFonts w:hint="eastAsia" w:ascii="Times New Roman" w:hAnsi="Times New Roman" w:eastAsia="仿宋"/>
          <w:sz w:val="32"/>
          <w:szCs w:val="32"/>
          <w:lang w:val="en-US" w:eastAsia="zh-CN"/>
        </w:rPr>
        <w:t>湖南锦帆建设有限公司荣获2019民营企业高质量发展单项奖“提质增效贡献奖”27万；对2019年度“四上”企业高质量发展评比良好企业奖30万；对湖南康维京等9家企业进行创新创业带动就业奖励55万元。</w:t>
      </w:r>
      <w:r>
        <w:rPr>
          <w:rFonts w:hint="eastAsia" w:ascii="Times New Roman" w:hAnsi="Times New Roman" w:eastAsia="仿宋"/>
          <w:sz w:val="32"/>
          <w:szCs w:val="32"/>
          <w:lang w:eastAsia="zh-CN"/>
        </w:rPr>
        <w:t>根据中方发</w:t>
      </w:r>
      <w:r>
        <w:rPr>
          <w:rFonts w:hint="eastAsia" w:ascii="Times New Roman" w:hAnsi="Times New Roman" w:eastAsia="仿宋"/>
          <w:sz w:val="32"/>
          <w:szCs w:val="32"/>
          <w:lang w:val="en-US" w:eastAsia="zh-CN"/>
        </w:rPr>
        <w:t>[2019]2号文件中共中方县委中方县人民政府印发《关于促进民营企业高质理发展的若干激励措施》的通知，经县相关部门的考核 ，湖南锦帆建设有限公司荣获2019民营企业高质量发展单项奖“提质增效贡献奖”27万，2020年10月发放给企业。2020年5月支付2019年度“四上”企业高质量发展奖30万元，2020年12月份拨付湖南康斯维京等企业创新创业带动就业奖励55万元。</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（二）项目绩效目标：</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根据业务需要及时完成拨付资金。</w:t>
      </w:r>
    </w:p>
    <w:p>
      <w:pPr>
        <w:pStyle w:val="2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20"/>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（一）绩效评价目的、对象和范围。</w:t>
      </w:r>
    </w:p>
    <w:p>
      <w:pPr>
        <w:pStyle w:val="20"/>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1、加强和规范行政事务项目资金管理，提高行政事务项目资金使用效益；</w:t>
      </w:r>
    </w:p>
    <w:p>
      <w:pPr>
        <w:pStyle w:val="20"/>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2、建立健全绩效评价机制，更好实现行政事务项目资金绩效目标。</w:t>
      </w:r>
    </w:p>
    <w:p>
      <w:pPr>
        <w:pStyle w:val="20"/>
        <w:spacing w:line="510" w:lineRule="exact"/>
        <w:ind w:firstLine="640" w:firstLineChars="200"/>
        <w:rPr>
          <w:rFonts w:hint="eastAsia" w:ascii="Times New Roman" w:hAnsi="Times New Roman" w:eastAsia="仿宋"/>
          <w:sz w:val="32"/>
          <w:szCs w:val="32"/>
        </w:rPr>
      </w:pPr>
    </w:p>
    <w:p>
      <w:pPr>
        <w:pStyle w:val="20"/>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（二）绩效评价原则、评价指标体系（附表说明）、评价方法、评价标准等。</w:t>
      </w:r>
    </w:p>
    <w:p>
      <w:pPr>
        <w:pStyle w:val="20"/>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1、绩效评价原则：（1）客观、科学、公正的原则；（2）综合绩效评价的原则；（3）定量分析与定性分析的原则；（4）统筹规划、稳步推进的原则；（5）财政支出绩效评价与财政支出管理相结合的原则；（6）财政支出绩效评价贯彻事前、事中、事后的原则。目标导向、依法评价；科学规范、分级实施；客观公正、公开透明。</w:t>
      </w:r>
    </w:p>
    <w:p>
      <w:pPr>
        <w:pStyle w:val="20"/>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2、评价方法：因素分析法。</w:t>
      </w:r>
    </w:p>
    <w:p>
      <w:pPr>
        <w:pStyle w:val="20"/>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3、评价指标体系详见附表。</w:t>
      </w:r>
    </w:p>
    <w:p>
      <w:pPr>
        <w:pStyle w:val="5"/>
        <w:shd w:val="clear" w:color="auto" w:fill="FFFFFF"/>
        <w:spacing w:before="0" w:beforeAutospacing="0" w:after="0" w:afterAutospacing="0" w:line="450" w:lineRule="atLeast"/>
        <w:ind w:firstLine="420"/>
        <w:rPr>
          <w:rFonts w:ascii="微软雅黑" w:hAnsi="微软雅黑" w:eastAsia="微软雅黑" w:cs="微软雅黑"/>
          <w:color w:val="4C4C4C"/>
        </w:rPr>
      </w:pPr>
      <w:r>
        <w:rPr>
          <w:rStyle w:val="8"/>
          <w:rFonts w:ascii="楷体_GB2312" w:hAnsi="微软雅黑" w:eastAsia="楷体_GB2312" w:cs="楷体_GB2312"/>
          <w:color w:val="4C4C4C"/>
          <w:sz w:val="31"/>
          <w:szCs w:val="31"/>
          <w:shd w:val="clear" w:color="auto" w:fill="FFFFFF"/>
        </w:rPr>
        <w:t>  </w:t>
      </w:r>
      <w:r>
        <w:rPr>
          <w:rFonts w:ascii="楷体_GB2312" w:hAnsi="微软雅黑" w:eastAsia="楷体_GB2312" w:cs="楷体_GB2312"/>
          <w:color w:val="4C4C4C"/>
          <w:sz w:val="31"/>
          <w:szCs w:val="31"/>
          <w:shd w:val="clear" w:color="auto" w:fill="FFFFFF"/>
        </w:rPr>
        <w:t> </w:t>
      </w:r>
      <w:r>
        <w:rPr>
          <w:rStyle w:val="8"/>
          <w:rFonts w:ascii="楷体_GB2312" w:hAnsi="微软雅黑" w:eastAsia="楷体_GB2312" w:cs="楷体_GB2312"/>
          <w:color w:val="4C4C4C"/>
          <w:sz w:val="31"/>
          <w:szCs w:val="31"/>
          <w:shd w:val="clear" w:color="auto" w:fill="FFFFFF"/>
        </w:rPr>
        <w:t>（三）绩效评价工作过程</w:t>
      </w:r>
    </w:p>
    <w:p>
      <w:pPr>
        <w:pStyle w:val="5"/>
        <w:shd w:val="clear" w:color="auto" w:fill="FFFFFF"/>
        <w:spacing w:before="0" w:beforeAutospacing="0" w:after="0" w:afterAutospacing="0" w:line="450" w:lineRule="atLeast"/>
        <w:ind w:firstLine="420"/>
        <w:rPr>
          <w:rFonts w:ascii="微软雅黑" w:hAnsi="微软雅黑" w:eastAsia="微软雅黑" w:cs="微软雅黑"/>
          <w:color w:val="4C4C4C"/>
        </w:rPr>
      </w:pPr>
      <w:r>
        <w:rPr>
          <w:rFonts w:hint="eastAsia" w:ascii="仿宋_GB2312" w:hAnsi="微软雅黑" w:eastAsia="仿宋_GB2312" w:cs="仿宋_GB2312"/>
          <w:color w:val="4C4C4C"/>
          <w:sz w:val="31"/>
          <w:szCs w:val="31"/>
          <w:shd w:val="clear" w:color="auto" w:fill="FFFFFF"/>
        </w:rPr>
        <w:t xml:space="preserve"> 202</w:t>
      </w:r>
      <w:r>
        <w:rPr>
          <w:rFonts w:hint="eastAsia" w:ascii="仿宋_GB2312" w:hAnsi="微软雅黑" w:eastAsia="仿宋_GB2312" w:cs="仿宋_GB2312"/>
          <w:color w:val="4C4C4C"/>
          <w:sz w:val="31"/>
          <w:szCs w:val="31"/>
          <w:shd w:val="clear" w:color="auto" w:fill="FFFFFF"/>
          <w:lang w:val="en-US" w:eastAsia="zh-CN"/>
        </w:rPr>
        <w:t>1</w:t>
      </w:r>
      <w:r>
        <w:rPr>
          <w:rFonts w:hint="eastAsia" w:ascii="仿宋_GB2312" w:hAnsi="微软雅黑" w:eastAsia="仿宋_GB2312" w:cs="仿宋_GB2312"/>
          <w:color w:val="4C4C4C"/>
          <w:sz w:val="31"/>
          <w:szCs w:val="31"/>
          <w:shd w:val="clear" w:color="auto" w:fill="FFFFFF"/>
        </w:rPr>
        <w:t>年</w:t>
      </w:r>
      <w:r>
        <w:rPr>
          <w:rFonts w:hint="eastAsia" w:ascii="仿宋_GB2312" w:hAnsi="微软雅黑" w:eastAsia="仿宋_GB2312" w:cs="仿宋_GB2312"/>
          <w:color w:val="4C4C4C"/>
          <w:sz w:val="31"/>
          <w:szCs w:val="31"/>
          <w:shd w:val="clear" w:color="auto" w:fill="FFFFFF"/>
          <w:lang w:val="en-US" w:eastAsia="zh-CN"/>
        </w:rPr>
        <w:t>7</w:t>
      </w:r>
      <w:r>
        <w:rPr>
          <w:rFonts w:hint="eastAsia" w:ascii="仿宋_GB2312" w:hAnsi="微软雅黑" w:eastAsia="仿宋_GB2312" w:cs="仿宋_GB2312"/>
          <w:color w:val="4C4C4C"/>
          <w:sz w:val="31"/>
          <w:szCs w:val="31"/>
          <w:shd w:val="clear" w:color="auto" w:fill="FFFFFF"/>
        </w:rPr>
        <w:t>月</w:t>
      </w:r>
      <w:r>
        <w:rPr>
          <w:rFonts w:hint="eastAsia" w:ascii="仿宋_GB2312" w:hAnsi="微软雅黑" w:eastAsia="仿宋_GB2312" w:cs="仿宋_GB2312"/>
          <w:color w:val="4C4C4C"/>
          <w:sz w:val="31"/>
          <w:szCs w:val="31"/>
          <w:shd w:val="clear" w:color="auto" w:fill="FFFFFF"/>
          <w:lang w:eastAsia="zh-CN"/>
        </w:rPr>
        <w:t>初</w:t>
      </w:r>
      <w:r>
        <w:rPr>
          <w:rFonts w:hint="eastAsia" w:ascii="仿宋_GB2312" w:hAnsi="微软雅黑" w:eastAsia="仿宋_GB2312" w:cs="仿宋_GB2312"/>
          <w:color w:val="4C4C4C"/>
          <w:sz w:val="31"/>
          <w:szCs w:val="31"/>
          <w:shd w:val="clear" w:color="auto" w:fill="FFFFFF"/>
        </w:rPr>
        <w:t>，</w:t>
      </w:r>
      <w:r>
        <w:rPr>
          <w:rFonts w:hint="eastAsia" w:ascii="仿宋_GB2312" w:hAnsi="微软雅黑" w:eastAsia="仿宋_GB2312" w:cs="仿宋_GB2312"/>
          <w:color w:val="4C4C4C"/>
          <w:sz w:val="31"/>
          <w:szCs w:val="31"/>
          <w:shd w:val="clear" w:color="auto" w:fill="FFFFFF"/>
          <w:lang w:eastAsia="zh-CN"/>
        </w:rPr>
        <w:t>成立了</w:t>
      </w:r>
      <w:r>
        <w:rPr>
          <w:rFonts w:hint="eastAsia" w:ascii="仿宋_GB2312" w:hAnsi="微软雅黑" w:eastAsia="仿宋_GB2312" w:cs="仿宋_GB2312"/>
          <w:color w:val="4C4C4C"/>
          <w:sz w:val="31"/>
          <w:szCs w:val="31"/>
          <w:shd w:val="clear" w:color="auto" w:fill="FFFFFF"/>
        </w:rPr>
        <w:t>由本局</w:t>
      </w:r>
      <w:r>
        <w:rPr>
          <w:rFonts w:hint="eastAsia" w:ascii="仿宋_GB2312" w:hAnsi="微软雅黑" w:eastAsia="仿宋_GB2312" w:cs="仿宋_GB2312"/>
          <w:color w:val="4C4C4C"/>
          <w:sz w:val="31"/>
          <w:szCs w:val="31"/>
          <w:shd w:val="clear" w:color="auto" w:fill="FFFFFF"/>
          <w:lang w:eastAsia="zh-CN"/>
        </w:rPr>
        <w:t>潘科夫副局长</w:t>
      </w:r>
      <w:r>
        <w:rPr>
          <w:rFonts w:hint="eastAsia" w:ascii="仿宋_GB2312" w:hAnsi="微软雅黑" w:eastAsia="仿宋_GB2312" w:cs="仿宋_GB2312"/>
          <w:color w:val="4C4C4C"/>
          <w:sz w:val="31"/>
          <w:szCs w:val="31"/>
          <w:shd w:val="clear" w:color="auto" w:fill="FFFFFF"/>
        </w:rPr>
        <w:t>主管，财务室牵头，</w:t>
      </w:r>
      <w:r>
        <w:rPr>
          <w:rFonts w:hint="eastAsia" w:ascii="仿宋_GB2312" w:hAnsi="微软雅黑" w:eastAsia="仿宋_GB2312" w:cs="仿宋_GB2312"/>
          <w:color w:val="4C4C4C"/>
          <w:sz w:val="31"/>
          <w:szCs w:val="31"/>
          <w:shd w:val="clear" w:color="auto" w:fill="FFFFFF"/>
          <w:lang w:eastAsia="zh-CN"/>
        </w:rPr>
        <w:t>城乡和人防</w:t>
      </w:r>
      <w:r>
        <w:rPr>
          <w:rFonts w:hint="eastAsia" w:ascii="仿宋_GB2312" w:hAnsi="微软雅黑" w:eastAsia="仿宋_GB2312" w:cs="仿宋_GB2312"/>
          <w:color w:val="4C4C4C"/>
          <w:sz w:val="31"/>
          <w:szCs w:val="31"/>
          <w:shd w:val="clear" w:color="auto" w:fill="FFFFFF"/>
        </w:rPr>
        <w:t>建设管理股和</w:t>
      </w:r>
      <w:r>
        <w:rPr>
          <w:rFonts w:hint="eastAsia" w:ascii="仿宋_GB2312" w:hAnsi="微软雅黑" w:eastAsia="仿宋_GB2312" w:cs="仿宋_GB2312"/>
          <w:color w:val="4C4C4C"/>
          <w:sz w:val="31"/>
          <w:szCs w:val="31"/>
          <w:shd w:val="clear" w:color="auto" w:fill="FFFFFF"/>
          <w:lang w:eastAsia="zh-CN"/>
        </w:rPr>
        <w:t>建筑、人防</w:t>
      </w:r>
      <w:r>
        <w:rPr>
          <w:rFonts w:hint="eastAsia" w:ascii="仿宋_GB2312" w:hAnsi="微软雅黑" w:eastAsia="仿宋_GB2312" w:cs="仿宋_GB2312"/>
          <w:color w:val="4C4C4C"/>
          <w:sz w:val="31"/>
          <w:szCs w:val="31"/>
          <w:shd w:val="clear" w:color="auto" w:fill="FFFFFF"/>
        </w:rPr>
        <w:t>工程管理股</w:t>
      </w:r>
      <w:r>
        <w:rPr>
          <w:rFonts w:hint="eastAsia" w:ascii="仿宋_GB2312" w:hAnsi="微软雅黑" w:eastAsia="仿宋_GB2312" w:cs="仿宋_GB2312"/>
          <w:color w:val="4C4C4C"/>
          <w:sz w:val="31"/>
          <w:szCs w:val="31"/>
          <w:shd w:val="clear" w:color="auto" w:fill="FFFFFF"/>
          <w:lang w:eastAsia="zh-CN"/>
        </w:rPr>
        <w:t>、科技与设计管理股</w:t>
      </w:r>
      <w:r>
        <w:rPr>
          <w:rFonts w:hint="eastAsia" w:ascii="仿宋_GB2312" w:hAnsi="微软雅黑" w:eastAsia="仿宋_GB2312" w:cs="仿宋_GB2312"/>
          <w:color w:val="4C4C4C"/>
          <w:sz w:val="31"/>
          <w:szCs w:val="31"/>
          <w:shd w:val="clear" w:color="auto" w:fill="FFFFFF"/>
        </w:rPr>
        <w:t>负责的绩效自评工作领导小组</w:t>
      </w:r>
      <w:r>
        <w:rPr>
          <w:rFonts w:hint="eastAsia" w:ascii="仿宋_GB2312" w:hAnsi="微软雅黑" w:eastAsia="仿宋_GB2312" w:cs="仿宋_GB2312"/>
          <w:color w:val="000000"/>
          <w:sz w:val="31"/>
          <w:szCs w:val="31"/>
          <w:shd w:val="clear" w:color="auto" w:fill="FFFFFF"/>
        </w:rPr>
        <w:t>。</w:t>
      </w:r>
      <w:r>
        <w:rPr>
          <w:rFonts w:hint="eastAsia" w:ascii="仿宋_GB2312" w:hAnsi="微软雅黑" w:eastAsia="仿宋_GB2312" w:cs="仿宋_GB2312"/>
          <w:color w:val="4C4C4C"/>
          <w:sz w:val="31"/>
          <w:szCs w:val="31"/>
          <w:shd w:val="clear" w:color="auto" w:fill="FFFFFF"/>
        </w:rPr>
        <w:t>根据预算管理和绩效评价相关制度和文件，制定本次绩效评价工作的自评工作方案，向参与本次评价的股室下达绩效通知书，各股</w:t>
      </w:r>
      <w:r>
        <w:rPr>
          <w:rFonts w:ascii="仿宋_GB2312" w:hAnsi="微软雅黑" w:eastAsia="仿宋_GB2312" w:cs="仿宋_GB2312"/>
          <w:color w:val="4C4C4C"/>
          <w:sz w:val="31"/>
          <w:szCs w:val="31"/>
          <w:shd w:val="clear" w:color="auto" w:fill="FFFFFF"/>
        </w:rPr>
        <w:t>到项目现场实地核查、查询填报数据的真实性、准确性、完整性，再根据设定的评价指标、评价方法，并辅以问卷调查、工作座谈等方式进行定量和定性分析，得出最终结果。</w:t>
      </w:r>
      <w:r>
        <w:rPr>
          <w:rFonts w:hint="eastAsia" w:ascii="仿宋_GB2312" w:hAnsi="微软雅黑" w:eastAsia="仿宋_GB2312" w:cs="仿宋_GB2312"/>
          <w:color w:val="4C4C4C"/>
          <w:sz w:val="31"/>
          <w:szCs w:val="31"/>
          <w:shd w:val="clear" w:color="auto" w:fill="FFFFFF"/>
        </w:rPr>
        <w:t>由财务室填写&lt;&lt;项目支出绩效自评表&gt;&gt;进行自评。然后再运用科学、合理的绩效评价指标、评价标准和方法，组织开展绩效评价，</w:t>
      </w:r>
      <w:r>
        <w:rPr>
          <w:rFonts w:ascii="仿宋_GB2312" w:hAnsi="微软雅黑" w:eastAsia="仿宋_GB2312" w:cs="仿宋_GB2312"/>
          <w:color w:val="4C4C4C"/>
          <w:sz w:val="31"/>
          <w:szCs w:val="31"/>
          <w:shd w:val="clear" w:color="auto" w:fill="FFFFFF"/>
        </w:rPr>
        <w:t>撰写</w:t>
      </w:r>
      <w:r>
        <w:rPr>
          <w:rFonts w:hint="eastAsia" w:ascii="仿宋_GB2312" w:hAnsi="微软雅黑" w:eastAsia="仿宋_GB2312" w:cs="仿宋_GB2312"/>
          <w:color w:val="4C4C4C"/>
          <w:sz w:val="31"/>
          <w:szCs w:val="31"/>
          <w:shd w:val="clear" w:color="auto" w:fill="FFFFFF"/>
        </w:rPr>
        <w:t>本项目的</w:t>
      </w:r>
      <w:r>
        <w:rPr>
          <w:rFonts w:ascii="仿宋_GB2312" w:hAnsi="微软雅黑" w:eastAsia="仿宋_GB2312" w:cs="仿宋_GB2312"/>
          <w:color w:val="4C4C4C"/>
          <w:sz w:val="31"/>
          <w:szCs w:val="31"/>
          <w:shd w:val="clear" w:color="auto" w:fill="FFFFFF"/>
        </w:rPr>
        <w:t>绩效评价报告。</w:t>
      </w:r>
    </w:p>
    <w:p>
      <w:pPr>
        <w:pStyle w:val="2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20"/>
        <w:spacing w:line="510" w:lineRule="exact"/>
        <w:ind w:firstLine="640" w:firstLineChars="200"/>
        <w:rPr>
          <w:rFonts w:ascii="仿宋_GB2312" w:eastAsia="仿宋_GB2312"/>
          <w:color w:val="FF0000"/>
          <w:sz w:val="32"/>
          <w:szCs w:val="32"/>
          <w:shd w:val="clear" w:color="auto" w:fill="FFFFFF"/>
        </w:rPr>
      </w:pPr>
      <w:r>
        <w:rPr>
          <w:rFonts w:hint="eastAsia" w:ascii="Times New Roman" w:hAnsi="Times New Roman" w:eastAsia="仿宋"/>
          <w:sz w:val="32"/>
          <w:szCs w:val="32"/>
        </w:rPr>
        <w:t>按照《20</w:t>
      </w:r>
      <w:r>
        <w:rPr>
          <w:rFonts w:hint="eastAsia" w:ascii="Times New Roman" w:hAnsi="Times New Roman" w:eastAsia="仿宋"/>
          <w:sz w:val="32"/>
          <w:szCs w:val="32"/>
          <w:lang w:val="en-US" w:eastAsia="zh-CN"/>
        </w:rPr>
        <w:t>20</w:t>
      </w:r>
      <w:r>
        <w:rPr>
          <w:rFonts w:hint="eastAsia" w:ascii="Times New Roman" w:hAnsi="Times New Roman" w:eastAsia="仿宋"/>
          <w:sz w:val="32"/>
          <w:szCs w:val="32"/>
        </w:rPr>
        <w:t>年住房和城乡建设行政事务项目绩效评价指标体系》，评价工作组对20</w:t>
      </w:r>
      <w:r>
        <w:rPr>
          <w:rFonts w:hint="eastAsia" w:ascii="Times New Roman" w:hAnsi="Times New Roman" w:eastAsia="仿宋"/>
          <w:sz w:val="32"/>
          <w:szCs w:val="32"/>
          <w:lang w:val="en-US" w:eastAsia="zh-CN"/>
        </w:rPr>
        <w:t>20</w:t>
      </w:r>
      <w:r>
        <w:rPr>
          <w:rFonts w:hint="eastAsia" w:ascii="Times New Roman" w:hAnsi="Times New Roman" w:eastAsia="仿宋"/>
          <w:sz w:val="32"/>
          <w:szCs w:val="32"/>
        </w:rPr>
        <w:t>年住房和城乡建设行政事务项目绩效进行评价的评分分值为9</w:t>
      </w:r>
      <w:r>
        <w:rPr>
          <w:rFonts w:hint="eastAsia" w:ascii="Times New Roman" w:hAnsi="Times New Roman" w:eastAsia="仿宋"/>
          <w:sz w:val="32"/>
          <w:szCs w:val="32"/>
          <w:lang w:val="en-US" w:eastAsia="zh-CN"/>
        </w:rPr>
        <w:t>4</w:t>
      </w:r>
      <w:r>
        <w:rPr>
          <w:rFonts w:hint="eastAsia" w:ascii="Times New Roman" w:hAnsi="Times New Roman" w:eastAsia="仿宋"/>
          <w:sz w:val="32"/>
          <w:szCs w:val="32"/>
        </w:rPr>
        <w:t>分。</w:t>
      </w:r>
    </w:p>
    <w:p>
      <w:pPr>
        <w:pStyle w:val="20"/>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2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（一）</w:t>
      </w:r>
      <w:r>
        <w:rPr>
          <w:rFonts w:hint="eastAsia" w:ascii="Times New Roman" w:hAnsi="Times New Roman" w:eastAsia="仿宋"/>
          <w:sz w:val="32"/>
          <w:szCs w:val="32"/>
        </w:rPr>
        <w:t>项目决策情况</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项目资金根据预算分配，预算编制科学、资金分配合理、绩效指标明确性。</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（二）项目过程情况</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１、项目资金到位情况分析</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20</w:t>
      </w:r>
      <w:r>
        <w:rPr>
          <w:rFonts w:hint="eastAsia" w:ascii="Times New Roman" w:hAnsi="Times New Roman" w:eastAsia="仿宋"/>
          <w:sz w:val="32"/>
          <w:szCs w:val="32"/>
          <w:lang w:val="en-US" w:eastAsia="zh-CN"/>
        </w:rPr>
        <w:t>20</w:t>
      </w:r>
      <w:r>
        <w:rPr>
          <w:rFonts w:hint="eastAsia" w:ascii="Times New Roman" w:hAnsi="Times New Roman" w:eastAsia="仿宋"/>
          <w:sz w:val="32"/>
          <w:szCs w:val="32"/>
        </w:rPr>
        <w:t>年县级财政安排资金</w:t>
      </w:r>
      <w:r>
        <w:rPr>
          <w:rFonts w:hint="eastAsia" w:ascii="Times New Roman" w:hAnsi="Times New Roman" w:eastAsia="仿宋"/>
          <w:sz w:val="32"/>
          <w:szCs w:val="32"/>
          <w:lang w:val="en-US" w:eastAsia="zh-CN"/>
        </w:rPr>
        <w:t>112</w:t>
      </w:r>
      <w:r>
        <w:rPr>
          <w:rFonts w:hint="eastAsia" w:ascii="Times New Roman" w:hAnsi="Times New Roman" w:eastAsia="仿宋"/>
          <w:sz w:val="32"/>
          <w:szCs w:val="32"/>
        </w:rPr>
        <w:t>万元。</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2、项目资金使用情况分析</w:t>
      </w:r>
    </w:p>
    <w:p>
      <w:pPr>
        <w:pStyle w:val="20"/>
        <w:spacing w:line="510" w:lineRule="exact"/>
        <w:ind w:firstLine="640" w:firstLineChars="200"/>
        <w:rPr>
          <w:rFonts w:hint="eastAsia" w:ascii="Times New Roman" w:hAnsi="Times New Roman" w:eastAsia="仿宋"/>
          <w:sz w:val="32"/>
          <w:szCs w:val="32"/>
          <w:lang w:val="en-US" w:eastAsia="zh-CN"/>
        </w:rPr>
      </w:pPr>
      <w:r>
        <w:rPr>
          <w:rFonts w:hint="eastAsia" w:ascii="Times New Roman" w:hAnsi="Times New Roman" w:eastAsia="仿宋"/>
          <w:sz w:val="32"/>
          <w:szCs w:val="32"/>
          <w:lang w:val="en-US" w:eastAsia="zh-CN"/>
        </w:rPr>
        <w:t>2020年5月支付2019年度“四上”企业高质量发展奖30万元，2020年10月发放湖南锦帆建设有限公司荣获2019民营企业高质量发展单项奖“提质增效贡献奖”27万。2020年12月份拨付湖南康斯维京等企业创新创业带动就业奖励55万元。</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3、</w:t>
      </w:r>
      <w:r>
        <w:rPr>
          <w:rFonts w:ascii="Times New Roman" w:hAnsi="Times New Roman" w:eastAsia="仿宋"/>
          <w:sz w:val="32"/>
          <w:szCs w:val="32"/>
        </w:rPr>
        <w:t>项目资金管理情况分析</w:t>
      </w:r>
    </w:p>
    <w:p>
      <w:pPr>
        <w:pStyle w:val="20"/>
        <w:spacing w:line="51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我局20</w:t>
      </w:r>
      <w:r>
        <w:rPr>
          <w:rFonts w:hint="eastAsia" w:ascii="Times New Roman" w:hAnsi="Times New Roman" w:eastAsia="仿宋"/>
          <w:sz w:val="32"/>
          <w:szCs w:val="32"/>
          <w:lang w:val="en-US" w:eastAsia="zh-CN"/>
        </w:rPr>
        <w:t>20</w:t>
      </w:r>
      <w:r>
        <w:rPr>
          <w:rFonts w:hint="eastAsia" w:ascii="Times New Roman" w:hAnsi="Times New Roman" w:eastAsia="仿宋"/>
          <w:sz w:val="32"/>
          <w:szCs w:val="32"/>
        </w:rPr>
        <w:t>年项目制定了一些专门办法和细则，按照通用财务管理制度、办法进行了业务管理，设有专账或账页核算，纳入财政统一核算管理，有单独的记账凭证、账本、会计报表，财务上由计划财务股负责管理，项目资金管理到位，项目工程造价全部由县财政财评中心评审。</w:t>
      </w:r>
    </w:p>
    <w:p>
      <w:pPr>
        <w:pStyle w:val="2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（三）项目产出情况。</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通过财政监督，部门审核住房和城乡建设行政事务项目资金得到充足、高效利用。通过增加住房和城乡建设行政事务项目专项经费，进一步加强了县城建设美观，确保了城建推进工作。</w:t>
      </w:r>
    </w:p>
    <w:p>
      <w:pPr>
        <w:pStyle w:val="20"/>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（四）项目效益情况。</w:t>
      </w:r>
    </w:p>
    <w:p>
      <w:pPr>
        <w:pStyle w:val="20"/>
        <w:spacing w:line="510" w:lineRule="exact"/>
        <w:ind w:firstLine="640" w:firstLineChars="200"/>
        <w:rPr>
          <w:rFonts w:ascii="Times New Roman" w:hAnsi="Times New Roman" w:eastAsia="仿宋"/>
          <w:color w:val="auto"/>
          <w:sz w:val="32"/>
          <w:szCs w:val="32"/>
        </w:rPr>
      </w:pPr>
      <w:r>
        <w:rPr>
          <w:rFonts w:ascii="Times New Roman" w:hAnsi="Times New Roman" w:eastAsia="仿宋"/>
          <w:color w:val="auto"/>
          <w:sz w:val="32"/>
          <w:szCs w:val="32"/>
        </w:rPr>
        <w:t>1、经济性分析。通过财政监督，部门审核</w:t>
      </w:r>
      <w:r>
        <w:rPr>
          <w:rFonts w:hint="eastAsia" w:ascii="Times New Roman" w:hAnsi="Times New Roman" w:eastAsia="仿宋"/>
          <w:color w:val="auto"/>
          <w:sz w:val="32"/>
          <w:szCs w:val="32"/>
        </w:rPr>
        <w:t>，</w:t>
      </w:r>
      <w:r>
        <w:rPr>
          <w:rFonts w:ascii="Times New Roman" w:hAnsi="Times New Roman" w:eastAsia="仿宋"/>
          <w:color w:val="auto"/>
          <w:sz w:val="32"/>
          <w:szCs w:val="32"/>
        </w:rPr>
        <w:t>住房和城乡建设行政事务项目资金得到充足、高效利用。</w:t>
      </w:r>
    </w:p>
    <w:p>
      <w:pPr>
        <w:pStyle w:val="20"/>
        <w:spacing w:line="510" w:lineRule="exact"/>
        <w:ind w:firstLine="640" w:firstLineChars="200"/>
        <w:rPr>
          <w:rFonts w:ascii="Times New Roman" w:hAnsi="Times New Roman" w:eastAsia="仿宋"/>
          <w:color w:val="auto"/>
          <w:sz w:val="32"/>
          <w:szCs w:val="32"/>
        </w:rPr>
      </w:pPr>
      <w:r>
        <w:rPr>
          <w:rFonts w:hint="eastAsia" w:ascii="Times New Roman" w:hAnsi="Times New Roman" w:eastAsia="仿宋"/>
          <w:color w:val="auto"/>
          <w:sz w:val="32"/>
          <w:szCs w:val="32"/>
        </w:rPr>
        <w:t>2、效率性分析。</w:t>
      </w:r>
      <w:r>
        <w:rPr>
          <w:rFonts w:ascii="Times New Roman" w:hAnsi="Times New Roman" w:eastAsia="仿宋"/>
          <w:color w:val="auto"/>
          <w:sz w:val="32"/>
          <w:szCs w:val="32"/>
        </w:rPr>
        <w:t>通过增加住房和城乡建设行政事务项目专项经费，进一步加强了县城建设美观，确保了</w:t>
      </w:r>
      <w:r>
        <w:rPr>
          <w:rFonts w:hint="eastAsia" w:ascii="Times New Roman" w:hAnsi="Times New Roman" w:eastAsia="仿宋"/>
          <w:color w:val="auto"/>
          <w:sz w:val="32"/>
          <w:szCs w:val="32"/>
        </w:rPr>
        <w:t>城建推进工作</w:t>
      </w:r>
      <w:r>
        <w:rPr>
          <w:rFonts w:ascii="Times New Roman" w:hAnsi="Times New Roman" w:eastAsia="仿宋"/>
          <w:color w:val="auto"/>
          <w:sz w:val="32"/>
          <w:szCs w:val="32"/>
        </w:rPr>
        <w:t>。</w:t>
      </w:r>
    </w:p>
    <w:p>
      <w:pPr>
        <w:pStyle w:val="20"/>
        <w:spacing w:line="510" w:lineRule="exact"/>
        <w:ind w:firstLine="640" w:firstLineChars="200"/>
        <w:rPr>
          <w:rFonts w:ascii="Times New Roman" w:hAnsi="Times New Roman" w:eastAsia="仿宋"/>
          <w:color w:val="auto"/>
          <w:sz w:val="32"/>
          <w:szCs w:val="32"/>
        </w:rPr>
      </w:pPr>
      <w:r>
        <w:rPr>
          <w:rFonts w:hint="eastAsia" w:ascii="Times New Roman" w:hAnsi="Times New Roman" w:eastAsia="仿宋"/>
          <w:color w:val="auto"/>
          <w:sz w:val="32"/>
          <w:szCs w:val="32"/>
        </w:rPr>
        <w:t>3、有效性分析。</w:t>
      </w:r>
      <w:r>
        <w:rPr>
          <w:rFonts w:ascii="Times New Roman" w:hAnsi="Times New Roman" w:eastAsia="仿宋"/>
          <w:color w:val="auto"/>
          <w:sz w:val="32"/>
          <w:szCs w:val="32"/>
        </w:rPr>
        <w:t>通过增加住房和城乡建设行政事务项目专项经费，使县确保了</w:t>
      </w:r>
      <w:r>
        <w:rPr>
          <w:rFonts w:hint="eastAsia" w:ascii="Times New Roman" w:hAnsi="Times New Roman" w:eastAsia="仿宋"/>
          <w:color w:val="auto"/>
          <w:sz w:val="32"/>
          <w:szCs w:val="32"/>
        </w:rPr>
        <w:t>城建推进工作</w:t>
      </w:r>
      <w:r>
        <w:rPr>
          <w:rFonts w:ascii="Times New Roman" w:hAnsi="Times New Roman" w:eastAsia="仿宋"/>
          <w:color w:val="auto"/>
          <w:sz w:val="32"/>
          <w:szCs w:val="32"/>
        </w:rPr>
        <w:t>。</w:t>
      </w:r>
    </w:p>
    <w:p>
      <w:pPr>
        <w:pStyle w:val="20"/>
        <w:spacing w:line="510" w:lineRule="exact"/>
        <w:ind w:firstLine="640" w:firstLineChars="200"/>
        <w:rPr>
          <w:rFonts w:ascii="Times New Roman" w:hAnsi="Times New Roman" w:eastAsia="仿宋"/>
          <w:color w:val="auto"/>
          <w:sz w:val="32"/>
          <w:szCs w:val="32"/>
        </w:rPr>
      </w:pPr>
      <w:r>
        <w:rPr>
          <w:rFonts w:hint="eastAsia" w:ascii="Times New Roman" w:hAnsi="Times New Roman" w:eastAsia="仿宋"/>
          <w:color w:val="auto"/>
          <w:sz w:val="32"/>
          <w:szCs w:val="32"/>
        </w:rPr>
        <w:t>4、可持续性分析。</w:t>
      </w:r>
      <w:r>
        <w:rPr>
          <w:rFonts w:ascii="Times New Roman" w:hAnsi="Times New Roman" w:eastAsia="仿宋"/>
          <w:color w:val="auto"/>
          <w:sz w:val="32"/>
          <w:szCs w:val="32"/>
        </w:rPr>
        <w:t>通过增加住房和城乡建设行政事务项目专项经费，有效加提升城市形象，优化发展环境，提高了市民生活质量。</w:t>
      </w:r>
    </w:p>
    <w:p>
      <w:pPr>
        <w:pStyle w:val="20"/>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五、主要经验及做法、存在的问题及原因分析</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在资金的拨付过程中，有时未能严格按预算批复用途运行经费，做到专款专用，有时会突破计划、改变计划用途支付资金。以提高财政资金支出的计划性和可控性。</w:t>
      </w:r>
    </w:p>
    <w:p>
      <w:pPr>
        <w:pStyle w:val="20"/>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六、有关建议</w:t>
      </w:r>
    </w:p>
    <w:p>
      <w:pPr>
        <w:pStyle w:val="20"/>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坚持专款专用的原则，严格按年初拟定的资金计划安排支出，不得随意突破计划、改变计划或进行无计划的支出，以提高财政资金支出的计划性和可控性。</w:t>
      </w:r>
    </w:p>
    <w:p>
      <w:pPr>
        <w:pStyle w:val="20"/>
        <w:spacing w:line="510" w:lineRule="exact"/>
        <w:ind w:firstLine="640" w:firstLineChars="200"/>
        <w:rPr>
          <w:rFonts w:ascii="Times New Roman" w:hAnsi="Times New Roman" w:eastAsia="楷体"/>
          <w:b/>
          <w:color w:val="FF0000"/>
          <w:sz w:val="32"/>
          <w:szCs w:val="32"/>
        </w:rPr>
      </w:pPr>
      <w:r>
        <w:rPr>
          <w:rFonts w:hint="eastAsia" w:ascii="Times New Roman" w:hAnsi="Times New Roman" w:eastAsia="仿宋"/>
          <w:sz w:val="32"/>
          <w:szCs w:val="32"/>
        </w:rPr>
        <w:t>合理编制预算，严格按预算批复用途运行经费，避免出现超预算支出，资金使用不合理，挤占专用资金的现象。</w:t>
      </w:r>
    </w:p>
    <w:p>
      <w:pPr>
        <w:pStyle w:val="20"/>
        <w:numPr>
          <w:ilvl w:val="0"/>
          <w:numId w:val="1"/>
        </w:numPr>
        <w:spacing w:line="510" w:lineRule="exact"/>
        <w:ind w:left="800" w:leftChars="0" w:firstLine="0" w:firstLineChars="0"/>
        <w:rPr>
          <w:rFonts w:ascii="Times New Roman" w:hAnsi="Times New Roman" w:eastAsia="楷体"/>
          <w:b/>
          <w:sz w:val="32"/>
          <w:szCs w:val="32"/>
        </w:rPr>
      </w:pPr>
      <w:r>
        <w:rPr>
          <w:rFonts w:ascii="Times New Roman" w:hAnsi="Times New Roman" w:eastAsia="楷体"/>
          <w:b/>
          <w:sz w:val="32"/>
          <w:szCs w:val="32"/>
        </w:rPr>
        <w:t>其他需要说明的问题</w:t>
      </w:r>
    </w:p>
    <w:p>
      <w:pPr>
        <w:pStyle w:val="20"/>
        <w:numPr>
          <w:ilvl w:val="0"/>
          <w:numId w:val="0"/>
        </w:numPr>
        <w:spacing w:line="510" w:lineRule="exact"/>
        <w:ind w:left="800" w:leftChars="0" w:firstLine="1280" w:firstLineChars="400"/>
        <w:rPr>
          <w:rFonts w:ascii="Times New Roman" w:hAnsi="Times New Roman" w:eastAsia="仿宋"/>
          <w:sz w:val="32"/>
          <w:szCs w:val="32"/>
        </w:rPr>
      </w:pPr>
      <w:r>
        <w:rPr>
          <w:rFonts w:hint="eastAsia" w:ascii="Times New Roman" w:hAnsi="Times New Roman" w:eastAsia="仿宋"/>
          <w:sz w:val="32"/>
          <w:szCs w:val="32"/>
        </w:rPr>
        <w:t>无</w:t>
      </w: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p>
    <w:p>
      <w:pPr>
        <w:widowControl/>
        <w:spacing w:line="510" w:lineRule="exact"/>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960" w:firstLineChars="300"/>
        <w:jc w:val="left"/>
        <w:rPr>
          <w:rFonts w:ascii="Times New Roman" w:hAnsi="Times New Roman" w:eastAsia="仿宋_GB2312"/>
          <w:bCs/>
          <w:color w:val="00000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9137" w:type="dxa"/>
        <w:jc w:val="center"/>
        <w:tblLayout w:type="fixed"/>
        <w:tblCellMar>
          <w:top w:w="0" w:type="dxa"/>
          <w:left w:w="108" w:type="dxa"/>
          <w:bottom w:w="0" w:type="dxa"/>
          <w:right w:w="108" w:type="dxa"/>
        </w:tblCellMar>
      </w:tblPr>
      <w:tblGrid>
        <w:gridCol w:w="588"/>
        <w:gridCol w:w="980"/>
        <w:gridCol w:w="1112"/>
        <w:gridCol w:w="730"/>
        <w:gridCol w:w="1134"/>
        <w:gridCol w:w="284"/>
        <w:gridCol w:w="978"/>
        <w:gridCol w:w="945"/>
        <w:gridCol w:w="61"/>
        <w:gridCol w:w="559"/>
        <w:gridCol w:w="150"/>
        <w:gridCol w:w="275"/>
        <w:gridCol w:w="576"/>
        <w:gridCol w:w="708"/>
        <w:gridCol w:w="57"/>
      </w:tblGrid>
      <w:tr>
        <w:tblPrEx>
          <w:tblCellMar>
            <w:top w:w="0" w:type="dxa"/>
            <w:left w:w="108" w:type="dxa"/>
            <w:bottom w:w="0" w:type="dxa"/>
            <w:right w:w="108" w:type="dxa"/>
          </w:tblCellMar>
        </w:tblPrEx>
        <w:trPr>
          <w:gridAfter w:val="1"/>
          <w:wAfter w:w="57" w:type="dxa"/>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gridAfter w:val="1"/>
          <w:wAfter w:w="57" w:type="dxa"/>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kern w:val="0"/>
                <w:sz w:val="22"/>
              </w:rPr>
            </w:pPr>
            <w:r>
              <w:rPr>
                <w:rFonts w:ascii="Times New Roman" w:hAnsi="Times New Roman"/>
                <w:kern w:val="0"/>
                <w:sz w:val="22"/>
              </w:rPr>
              <w:t>（20</w:t>
            </w:r>
            <w:r>
              <w:rPr>
                <w:rFonts w:hint="eastAsia" w:ascii="Times New Roman" w:hAnsi="Times New Roman"/>
                <w:kern w:val="0"/>
                <w:sz w:val="22"/>
                <w:lang w:val="en-US" w:eastAsia="zh-CN"/>
              </w:rPr>
              <w:t>20</w:t>
            </w:r>
            <w:r>
              <w:rPr>
                <w:rFonts w:ascii="Times New Roman" w:hAnsi="Times New Roman"/>
                <w:kern w:val="0"/>
                <w:sz w:val="22"/>
              </w:rPr>
              <w:t>年度）</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住房和城乡建设行政事务项目</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3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c>
          <w:tcPr>
            <w:tcW w:w="10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中方县住房和城乡建设局</w:t>
            </w:r>
          </w:p>
        </w:tc>
      </w:tr>
      <w:tr>
        <w:tblPrEx>
          <w:tblCellMar>
            <w:top w:w="0" w:type="dxa"/>
            <w:left w:w="108" w:type="dxa"/>
            <w:bottom w:w="0" w:type="dxa"/>
            <w:right w:w="108" w:type="dxa"/>
          </w:tblCellMar>
        </w:tblPrEx>
        <w:trPr>
          <w:gridAfter w:val="1"/>
          <w:wAfter w:w="57" w:type="dxa"/>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26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10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0</w:t>
            </w:r>
          </w:p>
        </w:tc>
        <w:tc>
          <w:tcPr>
            <w:tcW w:w="1262"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112</w:t>
            </w:r>
          </w:p>
        </w:tc>
        <w:tc>
          <w:tcPr>
            <w:tcW w:w="1006"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112</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9</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6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6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62"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006"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gridAfter w:val="1"/>
          <w:wAfter w:w="57" w:type="dxa"/>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1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27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gridAfter w:val="1"/>
          <w:wAfter w:w="57" w:type="dxa"/>
          <w:trHeight w:val="57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21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根据工作需要及时完成</w:t>
            </w:r>
          </w:p>
        </w:tc>
        <w:tc>
          <w:tcPr>
            <w:tcW w:w="3274"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完成100%</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9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获奖项目个数</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2个</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2</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获奖单位家数</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8家</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kern w:val="0"/>
                <w:sz w:val="18"/>
                <w:szCs w:val="18"/>
              </w:rPr>
            </w:pP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2本</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lang w:eastAsia="zh-CN"/>
              </w:rPr>
              <w:t>评奖指标科学</w:t>
            </w:r>
            <w:r>
              <w:rPr>
                <w:rFonts w:hint="eastAsia" w:ascii="Times New Roman" w:hAnsi="Times New Roman"/>
                <w:color w:val="000000"/>
                <w:kern w:val="0"/>
                <w:sz w:val="18"/>
                <w:szCs w:val="18"/>
              </w:rPr>
              <w:t>合格率</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 xml:space="preserve"> </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按期完成</w:t>
            </w:r>
            <w:r>
              <w:rPr>
                <w:rFonts w:hint="eastAsia" w:ascii="Times New Roman" w:hAnsi="Times New Roman"/>
                <w:color w:val="000000"/>
                <w:kern w:val="0"/>
                <w:sz w:val="18"/>
                <w:szCs w:val="18"/>
                <w:lang w:eastAsia="zh-CN"/>
              </w:rPr>
              <w:t>兑奖</w:t>
            </w:r>
            <w:r>
              <w:rPr>
                <w:rFonts w:hint="eastAsia" w:ascii="Times New Roman" w:hAnsi="Times New Roman"/>
                <w:color w:val="000000"/>
                <w:kern w:val="0"/>
                <w:sz w:val="18"/>
                <w:szCs w:val="18"/>
              </w:rPr>
              <w:t>率</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100%</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kern w:val="0"/>
                <w:sz w:val="18"/>
                <w:szCs w:val="18"/>
                <w:lang w:eastAsia="zh-CN"/>
              </w:rPr>
              <w:t>兑奖金额</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83</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83</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15</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4</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249</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4</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为企业增利减负</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lang w:val="en-US" w:eastAsia="zh-CN"/>
              </w:rPr>
            </w:pPr>
            <w:r>
              <w:rPr>
                <w:rFonts w:hint="eastAsia" w:ascii="Times New Roman" w:hAnsi="Times New Roman"/>
                <w:kern w:val="0"/>
                <w:sz w:val="18"/>
                <w:szCs w:val="18"/>
                <w:lang w:val="en-US" w:eastAsia="zh-CN"/>
              </w:rPr>
              <w:t>83</w:t>
            </w:r>
          </w:p>
          <w:p>
            <w:pPr>
              <w:widowControl/>
              <w:spacing w:line="240" w:lineRule="exact"/>
              <w:jc w:val="center"/>
              <w:rPr>
                <w:rFonts w:hint="default" w:ascii="Times New Roman" w:hAnsi="Times New Roman"/>
                <w:kern w:val="0"/>
                <w:sz w:val="18"/>
                <w:szCs w:val="18"/>
                <w:lang w:val="en-US" w:eastAsia="zh-CN"/>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83</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lang w:eastAsia="zh-CN"/>
              </w:rPr>
              <w:t>激励企业高效发展</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是否有利</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有利</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val="en-US" w:eastAsia="zh-CN"/>
              </w:rPr>
              <w:t>9</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olor w:val="000000"/>
                <w:kern w:val="0"/>
                <w:sz w:val="18"/>
                <w:szCs w:val="18"/>
                <w:lang w:eastAsia="zh-CN"/>
              </w:rPr>
            </w:pPr>
            <w:r>
              <w:rPr>
                <w:rFonts w:hint="eastAsia" w:ascii="Times New Roman" w:hAnsi="Times New Roman"/>
                <w:color w:val="000000"/>
                <w:kern w:val="0"/>
                <w:sz w:val="18"/>
                <w:szCs w:val="18"/>
              </w:rPr>
              <w:t>有利于</w:t>
            </w:r>
            <w:r>
              <w:rPr>
                <w:rFonts w:hint="eastAsia" w:ascii="Times New Roman" w:hAnsi="Times New Roman"/>
                <w:color w:val="000000"/>
                <w:kern w:val="0"/>
                <w:sz w:val="18"/>
                <w:szCs w:val="18"/>
                <w:lang w:eastAsia="zh-CN"/>
              </w:rPr>
              <w:t>企业高效发展</w:t>
            </w: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是否有利</w:t>
            </w: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有利</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8</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p>
        </w:tc>
        <w:tc>
          <w:tcPr>
            <w:tcW w:w="97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4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9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lang w:eastAsia="zh-CN"/>
              </w:rPr>
              <w:t>企业</w:t>
            </w:r>
            <w:r>
              <w:rPr>
                <w:rFonts w:hint="eastAsia" w:ascii="Times New Roman" w:hAnsi="Times New Roman"/>
                <w:color w:val="000000"/>
                <w:kern w:val="0"/>
                <w:sz w:val="18"/>
                <w:szCs w:val="18"/>
              </w:rPr>
              <w:t>满意度</w:t>
            </w:r>
          </w:p>
        </w:tc>
        <w:tc>
          <w:tcPr>
            <w:tcW w:w="97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eastAsia="zh-CN"/>
              </w:rPr>
              <w:t>企业</w:t>
            </w:r>
            <w:r>
              <w:rPr>
                <w:rFonts w:hint="eastAsia" w:ascii="Times New Roman" w:hAnsi="Times New Roman"/>
                <w:kern w:val="0"/>
                <w:sz w:val="18"/>
                <w:szCs w:val="18"/>
              </w:rPr>
              <w:t>满意</w:t>
            </w:r>
          </w:p>
        </w:tc>
        <w:tc>
          <w:tcPr>
            <w:tcW w:w="94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62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c>
          <w:tcPr>
            <w:tcW w:w="425"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751"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620"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42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olor w:val="000000"/>
                <w:kern w:val="0"/>
                <w:sz w:val="18"/>
                <w:szCs w:val="18"/>
                <w:lang w:val="en-US" w:eastAsia="zh-CN"/>
              </w:rPr>
            </w:pPr>
            <w:r>
              <w:rPr>
                <w:rFonts w:hint="eastAsia" w:ascii="Times New Roman" w:hAnsi="Times New Roman"/>
                <w:color w:val="000000"/>
                <w:kern w:val="0"/>
                <w:sz w:val="18"/>
                <w:szCs w:val="18"/>
              </w:rPr>
              <w:t>9</w:t>
            </w:r>
            <w:r>
              <w:rPr>
                <w:rFonts w:hint="eastAsia" w:ascii="Times New Roman" w:hAnsi="Times New Roman"/>
                <w:color w:val="000000"/>
                <w:kern w:val="0"/>
                <w:sz w:val="18"/>
                <w:szCs w:val="18"/>
                <w:lang w:val="en-US" w:eastAsia="zh-CN"/>
              </w:rPr>
              <w:t>4</w:t>
            </w:r>
          </w:p>
        </w:tc>
        <w:tc>
          <w:tcPr>
            <w:tcW w:w="1341"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spacing w:line="560" w:lineRule="exact"/>
        <w:ind w:firstLine="180" w:firstLineChars="100"/>
        <w:rPr>
          <w:rFonts w:ascii="Times New Roman" w:hAnsi="Times New Roman" w:eastAsia="仿宋_GB2312"/>
          <w:sz w:val="20"/>
          <w:szCs w:val="20"/>
        </w:rPr>
        <w:sectPr>
          <w:pgSz w:w="11906" w:h="16838"/>
          <w:pgMar w:top="1701" w:right="1531" w:bottom="1928" w:left="1531" w:header="737" w:footer="851" w:gutter="0"/>
          <w:cols w:space="720" w:num="1"/>
          <w:docGrid w:type="lines" w:linePitch="408" w:charSpace="0"/>
        </w:sectPr>
      </w:pPr>
      <w:r>
        <w:rPr>
          <w:rFonts w:ascii="Times New Roman" w:hAnsi="Times New Roman"/>
          <w:color w:val="000000"/>
          <w:kern w:val="0"/>
          <w:sz w:val="18"/>
          <w:szCs w:val="18"/>
        </w:rPr>
        <w:br w:type="page"/>
      </w:r>
    </w:p>
    <w:p>
      <w:pPr>
        <w:spacing w:line="56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项目支出绩效评价共性指标表（参考）</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①项目立项是否符合国家法律法规、国民经济发展规划和相关政策；</w:t>
            </w:r>
            <w:r>
              <w:rPr>
                <w:rFonts w:ascii="Times New Roman" w:hAnsi="Times New Roman"/>
                <w:color w:val="000000"/>
                <w:kern w:val="0"/>
                <w:sz w:val="22"/>
              </w:rPr>
              <w:br w:type="textWrapping"/>
            </w:r>
            <w:r>
              <w:rPr>
                <w:rFonts w:ascii="Times New Roman" w:hAnsi="Times New Roman"/>
                <w:color w:val="000000"/>
                <w:kern w:val="0"/>
                <w:sz w:val="22"/>
              </w:rPr>
              <w:t>②项目立项是否符合行业发展规划和政策要求；</w:t>
            </w:r>
            <w:r>
              <w:rPr>
                <w:rFonts w:ascii="Times New Roman" w:hAnsi="Times New Roman"/>
                <w:color w:val="000000"/>
                <w:kern w:val="0"/>
                <w:sz w:val="22"/>
              </w:rPr>
              <w:br w:type="textWrapping"/>
            </w:r>
            <w:r>
              <w:rPr>
                <w:rFonts w:ascii="Times New Roman" w:hAnsi="Times New Roman"/>
                <w:color w:val="000000"/>
                <w:kern w:val="0"/>
                <w:sz w:val="22"/>
              </w:rPr>
              <w:t>③项目立项是否与部门职责范围相符，属于部门履职所需；</w:t>
            </w:r>
            <w:r>
              <w:rPr>
                <w:rFonts w:ascii="Times New Roman" w:hAnsi="Times New Roman"/>
                <w:color w:val="000000"/>
                <w:kern w:val="0"/>
                <w:sz w:val="22"/>
              </w:rPr>
              <w:br w:type="textWrapping"/>
            </w:r>
            <w:r>
              <w:rPr>
                <w:rFonts w:ascii="Times New Roman" w:hAnsi="Times New Roman"/>
                <w:color w:val="000000"/>
                <w:kern w:val="0"/>
                <w:sz w:val="22"/>
              </w:rPr>
              <w:t>④项目是否属于公共财政支持范围，是否符合中央、地方事权支出责任划分原则；</w:t>
            </w:r>
            <w:r>
              <w:rPr>
                <w:rFonts w:ascii="Times New Roman" w:hAnsi="Times New Roman"/>
                <w:color w:val="000000"/>
                <w:kern w:val="0"/>
                <w:sz w:val="22"/>
              </w:rPr>
              <w:br w:type="textWrapping"/>
            </w:r>
            <w:r>
              <w:rPr>
                <w:rFonts w:ascii="Times New Roman" w:hAnsi="Times New Roman"/>
                <w:color w:val="000000"/>
                <w:kern w:val="0"/>
                <w:sz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①项目是否按照规定的程序申请设立；</w:t>
            </w:r>
            <w:r>
              <w:rPr>
                <w:rFonts w:ascii="Times New Roman" w:hAnsi="Times New Roman"/>
                <w:color w:val="000000"/>
                <w:kern w:val="0"/>
                <w:sz w:val="22"/>
              </w:rPr>
              <w:br w:type="textWrapping"/>
            </w:r>
            <w:r>
              <w:rPr>
                <w:rFonts w:ascii="Times New Roman" w:hAnsi="Times New Roman"/>
                <w:color w:val="000000"/>
                <w:kern w:val="0"/>
                <w:sz w:val="22"/>
              </w:rPr>
              <w:t>②审批文件、材料是否符合相关要求；</w:t>
            </w:r>
            <w:r>
              <w:rPr>
                <w:rFonts w:ascii="Times New Roman" w:hAnsi="Times New Roman"/>
                <w:color w:val="000000"/>
                <w:kern w:val="0"/>
                <w:sz w:val="22"/>
              </w:rPr>
              <w:br w:type="textWrapping"/>
            </w:r>
            <w:r>
              <w:rPr>
                <w:rFonts w:ascii="Times New Roman" w:hAnsi="Times New Roman"/>
                <w:color w:val="000000"/>
                <w:kern w:val="0"/>
                <w:sz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ype="textWrapping"/>
            </w:r>
            <w:r>
              <w:rPr>
                <w:rFonts w:ascii="Times New Roman" w:hAnsi="Times New Roman"/>
                <w:color w:val="000000"/>
                <w:kern w:val="0"/>
                <w:sz w:val="22"/>
              </w:rPr>
              <w:t>①项目是否有绩效目标；</w:t>
            </w:r>
            <w:r>
              <w:rPr>
                <w:rFonts w:ascii="Times New Roman" w:hAnsi="Times New Roman"/>
                <w:color w:val="000000"/>
                <w:kern w:val="0"/>
                <w:sz w:val="22"/>
              </w:rPr>
              <w:br w:type="textWrapping"/>
            </w:r>
            <w:r>
              <w:rPr>
                <w:rFonts w:ascii="Times New Roman" w:hAnsi="Times New Roman"/>
                <w:color w:val="000000"/>
                <w:kern w:val="0"/>
                <w:sz w:val="22"/>
              </w:rPr>
              <w:t>②项目绩效目标与实际工作内容是否具有相关性；</w:t>
            </w:r>
            <w:r>
              <w:rPr>
                <w:rFonts w:ascii="Times New Roman" w:hAnsi="Times New Roman"/>
                <w:color w:val="000000"/>
                <w:kern w:val="0"/>
                <w:sz w:val="22"/>
              </w:rPr>
              <w:br w:type="textWrapping"/>
            </w:r>
            <w:r>
              <w:rPr>
                <w:rFonts w:ascii="Times New Roman" w:hAnsi="Times New Roman"/>
                <w:color w:val="000000"/>
                <w:kern w:val="0"/>
                <w:sz w:val="22"/>
              </w:rPr>
              <w:t>③项目预期产出效益和效果是否符合正常的业绩水平；</w:t>
            </w:r>
          </w:p>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①是否将项目绩效目标细化分解为具体的绩效指标；</w:t>
            </w:r>
            <w:r>
              <w:rPr>
                <w:rFonts w:ascii="Times New Roman" w:hAnsi="Times New Roman"/>
                <w:color w:val="000000"/>
                <w:kern w:val="0"/>
                <w:sz w:val="22"/>
              </w:rPr>
              <w:br w:type="textWrapping"/>
            </w:r>
            <w:r>
              <w:rPr>
                <w:rFonts w:ascii="Times New Roman" w:hAnsi="Times New Roman"/>
                <w:color w:val="000000"/>
                <w:kern w:val="0"/>
                <w:sz w:val="22"/>
              </w:rPr>
              <w:t>②是否通过清晰、可衡量的指标值予以体现；</w:t>
            </w:r>
            <w:r>
              <w:rPr>
                <w:rFonts w:ascii="Times New Roman" w:hAnsi="Times New Roman"/>
                <w:color w:val="000000"/>
                <w:kern w:val="0"/>
                <w:sz w:val="22"/>
              </w:rPr>
              <w:br w:type="textWrapping"/>
            </w:r>
            <w:r>
              <w:rPr>
                <w:rFonts w:ascii="Times New Roman" w:hAnsi="Times New Roman"/>
                <w:color w:val="000000"/>
                <w:kern w:val="0"/>
                <w:sz w:val="22"/>
              </w:rPr>
              <w:t>③是否与项目目标任务数或计划数相对应。</w:t>
            </w:r>
            <w:r>
              <w:rPr>
                <w:rFonts w:ascii="Times New Roman" w:hAnsi="Times New Roman"/>
                <w:color w:val="000000"/>
                <w:kern w:val="0"/>
                <w:sz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①预算编制是否经过科学论证；</w:t>
            </w:r>
            <w:r>
              <w:rPr>
                <w:rFonts w:ascii="Times New Roman" w:hAnsi="Times New Roman"/>
                <w:color w:val="000000"/>
                <w:kern w:val="0"/>
                <w:sz w:val="22"/>
              </w:rPr>
              <w:br w:type="textWrapping"/>
            </w:r>
            <w:r>
              <w:rPr>
                <w:rFonts w:ascii="Times New Roman" w:hAnsi="Times New Roman"/>
                <w:color w:val="000000"/>
                <w:kern w:val="0"/>
                <w:sz w:val="22"/>
              </w:rPr>
              <w:t>②预算内容与项目内容是否匹配；</w:t>
            </w:r>
            <w:r>
              <w:rPr>
                <w:rFonts w:ascii="Times New Roman" w:hAnsi="Times New Roman"/>
                <w:color w:val="000000"/>
                <w:kern w:val="0"/>
                <w:sz w:val="22"/>
              </w:rPr>
              <w:br w:type="textWrapping"/>
            </w:r>
            <w:r>
              <w:rPr>
                <w:rFonts w:ascii="Times New Roman" w:hAnsi="Times New Roman"/>
                <w:color w:val="000000"/>
                <w:kern w:val="0"/>
                <w:sz w:val="22"/>
              </w:rPr>
              <w:t>③预算额度测算依据是否充分，是否按照标准编制；</w:t>
            </w:r>
            <w:r>
              <w:rPr>
                <w:rFonts w:ascii="Times New Roman" w:hAnsi="Times New Roman"/>
                <w:color w:val="000000"/>
                <w:kern w:val="0"/>
                <w:sz w:val="22"/>
              </w:rPr>
              <w:br w:type="textWrapping"/>
            </w:r>
            <w:r>
              <w:rPr>
                <w:rFonts w:ascii="Times New Roman" w:hAnsi="Times New Roman"/>
                <w:color w:val="000000"/>
                <w:kern w:val="0"/>
                <w:sz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①预算资金分配依据是否充分；</w:t>
            </w:r>
            <w:r>
              <w:rPr>
                <w:rFonts w:ascii="Times New Roman" w:hAnsi="Times New Roman"/>
                <w:color w:val="000000"/>
                <w:kern w:val="0"/>
                <w:sz w:val="22"/>
              </w:rPr>
              <w:br w:type="textWrapping"/>
            </w:r>
            <w:r>
              <w:rPr>
                <w:rFonts w:ascii="Times New Roman" w:hAnsi="Times New Roman"/>
                <w:color w:val="000000"/>
                <w:kern w:val="0"/>
                <w:sz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资金到位率=（实际到位资金/预算资金）×100%。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预算执行率=（实际支出资金/实际到位资金）×100%。</w:t>
            </w:r>
            <w:r>
              <w:rPr>
                <w:rFonts w:ascii="Times New Roman" w:hAnsi="Times New Roman"/>
                <w:color w:val="000000"/>
                <w:kern w:val="0"/>
                <w:sz w:val="22"/>
              </w:rPr>
              <w:br w:type="textWrapping"/>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①是否符合国家财经法规和财务管理制度以及有关专项资金管理办法的规定；</w:t>
            </w:r>
            <w:r>
              <w:rPr>
                <w:rFonts w:ascii="Times New Roman" w:hAnsi="Times New Roman"/>
                <w:color w:val="000000"/>
                <w:kern w:val="0"/>
                <w:sz w:val="22"/>
              </w:rPr>
              <w:br w:type="textWrapping"/>
            </w:r>
            <w:r>
              <w:rPr>
                <w:rFonts w:ascii="Times New Roman" w:hAnsi="Times New Roman"/>
                <w:color w:val="000000"/>
                <w:kern w:val="0"/>
                <w:sz w:val="22"/>
              </w:rPr>
              <w:t>②资金的拨付是否有完整的审批程序和手续；</w:t>
            </w:r>
            <w:r>
              <w:rPr>
                <w:rFonts w:ascii="Times New Roman" w:hAnsi="Times New Roman"/>
                <w:color w:val="000000"/>
                <w:kern w:val="0"/>
                <w:sz w:val="22"/>
              </w:rPr>
              <w:br w:type="textWrapping"/>
            </w:r>
            <w:r>
              <w:rPr>
                <w:rFonts w:ascii="Times New Roman" w:hAnsi="Times New Roman"/>
                <w:color w:val="000000"/>
                <w:kern w:val="0"/>
                <w:sz w:val="22"/>
              </w:rPr>
              <w:t>③是否符合项目预算批复或合同规定的用途；</w:t>
            </w:r>
            <w:r>
              <w:rPr>
                <w:rFonts w:ascii="Times New Roman" w:hAnsi="Times New Roman"/>
                <w:color w:val="000000"/>
                <w:kern w:val="0"/>
                <w:sz w:val="22"/>
              </w:rPr>
              <w:br w:type="textWrapping"/>
            </w:r>
            <w:r>
              <w:rPr>
                <w:rFonts w:ascii="Times New Roman" w:hAnsi="Times New Roman"/>
                <w:color w:val="000000"/>
                <w:kern w:val="0"/>
                <w:sz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①是否已制定或具有相应的财务和业务管理制度；</w:t>
            </w:r>
            <w:r>
              <w:rPr>
                <w:rFonts w:ascii="Times New Roman" w:hAnsi="Times New Roman"/>
                <w:color w:val="000000"/>
                <w:kern w:val="0"/>
                <w:sz w:val="22"/>
              </w:rPr>
              <w:br w:type="textWrapping"/>
            </w:r>
            <w:r>
              <w:rPr>
                <w:rFonts w:ascii="Times New Roman" w:hAnsi="Times New Roman"/>
                <w:color w:val="000000"/>
                <w:kern w:val="0"/>
                <w:sz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①是否遵守相关法律法规和相关管理规定；</w:t>
            </w:r>
            <w:r>
              <w:rPr>
                <w:rFonts w:ascii="Times New Roman" w:hAnsi="Times New Roman"/>
                <w:color w:val="000000"/>
                <w:kern w:val="0"/>
                <w:sz w:val="22"/>
              </w:rPr>
              <w:br w:type="textWrapping"/>
            </w:r>
            <w:r>
              <w:rPr>
                <w:rFonts w:ascii="Times New Roman" w:hAnsi="Times New Roman"/>
                <w:color w:val="000000"/>
                <w:kern w:val="0"/>
                <w:sz w:val="22"/>
              </w:rPr>
              <w:t>②项目调整及支出调整手续是否完备；</w:t>
            </w:r>
            <w:r>
              <w:rPr>
                <w:rFonts w:ascii="Times New Roman" w:hAnsi="Times New Roman"/>
                <w:color w:val="000000"/>
                <w:kern w:val="0"/>
                <w:sz w:val="22"/>
              </w:rPr>
              <w:br w:type="textWrapping"/>
            </w:r>
            <w:r>
              <w:rPr>
                <w:rFonts w:ascii="Times New Roman" w:hAnsi="Times New Roman"/>
                <w:color w:val="000000"/>
                <w:kern w:val="0"/>
                <w:sz w:val="22"/>
              </w:rPr>
              <w:t>③项目合同书、验收报告、技术鉴定等资料是否齐全并及时归档；</w:t>
            </w:r>
            <w:r>
              <w:rPr>
                <w:rFonts w:ascii="Times New Roman" w:hAnsi="Times New Roman"/>
                <w:color w:val="000000"/>
                <w:kern w:val="0"/>
                <w:sz w:val="22"/>
              </w:rPr>
              <w:br w:type="textWrapping"/>
            </w:r>
            <w:r>
              <w:rPr>
                <w:rFonts w:ascii="Times New Roman" w:hAnsi="Times New Roman"/>
                <w:color w:val="000000"/>
                <w:kern w:val="0"/>
                <w:sz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实际完成率=（实际产出数/计划产出数）×100%。</w:t>
            </w:r>
            <w:r>
              <w:rPr>
                <w:rFonts w:ascii="Times New Roman" w:hAnsi="Times New Roman"/>
                <w:color w:val="000000"/>
                <w:kern w:val="0"/>
                <w:sz w:val="22"/>
              </w:rPr>
              <w:br w:type="textWrapping"/>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type="textWrapping"/>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质量达标率=（质量达标产出数/实际产出数）×100%。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bookmarkStart w:id="0" w:name="_GoBack"/>
            <w:bookmarkEnd w:id="0"/>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type="textWrapping"/>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br w:type="textWrapping"/>
            </w:r>
            <w:r>
              <w:rPr>
                <w:rFonts w:ascii="Times New Roman" w:hAnsi="Times New Roman"/>
                <w:color w:val="000000"/>
                <w:kern w:val="0"/>
                <w:sz w:val="22"/>
              </w:rPr>
              <w:t>成本节约率=[（计划成本-实际成本）/计划成本]×100%。</w:t>
            </w:r>
            <w:r>
              <w:rPr>
                <w:rFonts w:ascii="Times New Roman" w:hAnsi="Times New Roman"/>
                <w:color w:val="000000"/>
                <w:kern w:val="0"/>
                <w:sz w:val="22"/>
              </w:rPr>
              <w:br w:type="textWrapping"/>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type="textWrapping"/>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pPr>
              <w:widowControl/>
              <w:spacing w:line="0" w:lineRule="atLeast"/>
              <w:rPr>
                <w:rFonts w:ascii="Times New Roman" w:hAnsi="Times New Roman"/>
                <w:color w:val="000000"/>
                <w:kern w:val="0"/>
                <w:sz w:val="22"/>
              </w:rPr>
            </w:pPr>
          </w:p>
        </w:tc>
        <w:tc>
          <w:tcPr>
            <w:tcW w:w="6096" w:type="dxa"/>
            <w:shd w:val="clear" w:color="auto" w:fill="FFFFFF"/>
            <w:vAlign w:val="center"/>
          </w:tcPr>
          <w:p>
            <w:pPr>
              <w:widowControl/>
              <w:spacing w:line="0" w:lineRule="atLeast"/>
              <w:rPr>
                <w:rFonts w:ascii="Times New Roman" w:hAnsi="Times New Roman"/>
                <w:color w:val="000000"/>
                <w:kern w:val="0"/>
                <w:sz w:val="22"/>
              </w:rPr>
            </w:pPr>
          </w:p>
        </w:tc>
        <w:tc>
          <w:tcPr>
            <w:tcW w:w="566" w:type="dxa"/>
            <w:shd w:val="clear" w:color="auto" w:fill="FFFFFF"/>
            <w:vAlign w:val="center"/>
          </w:tcPr>
          <w:p>
            <w:pPr>
              <w:widowControl/>
              <w:spacing w:line="0" w:lineRule="atLeast"/>
              <w:jc w:val="center"/>
              <w:rPr>
                <w:rFonts w:hint="eastAsia" w:ascii="Times New Roman" w:hAnsi="Times New Roman" w:eastAsia="宋体"/>
                <w:color w:val="000000"/>
                <w:kern w:val="0"/>
                <w:sz w:val="22"/>
                <w:lang w:eastAsia="zh-CN"/>
              </w:rPr>
            </w:pPr>
            <w:r>
              <w:rPr>
                <w:rFonts w:hint="eastAsia" w:ascii="Times New Roman" w:hAnsi="Times New Roman"/>
                <w:color w:val="000000"/>
                <w:kern w:val="0"/>
                <w:sz w:val="22"/>
              </w:rPr>
              <w:t>9</w:t>
            </w:r>
            <w:r>
              <w:rPr>
                <w:rFonts w:hint="eastAsia" w:ascii="Times New Roman" w:hAnsi="Times New Roman"/>
                <w:color w:val="000000"/>
                <w:kern w:val="0"/>
                <w:sz w:val="22"/>
                <w:lang w:val="en-US" w:eastAsia="zh-CN"/>
              </w:rPr>
              <w:t>1</w:t>
            </w:r>
          </w:p>
        </w:tc>
      </w:tr>
    </w:tbl>
    <w:p>
      <w:pPr>
        <w:spacing w:line="560" w:lineRule="exact"/>
        <w:ind w:firstLine="200" w:firstLineChars="100"/>
        <w:rPr>
          <w:rFonts w:hint="eastAsia"/>
        </w:rPr>
      </w:pPr>
      <w:r>
        <w:rPr>
          <w:rFonts w:ascii="Times New Roman" w:hAnsi="Times New Roman" w:eastAsia="仿宋_GB2312"/>
          <w:sz w:val="20"/>
          <w:szCs w:val="20"/>
        </w:rPr>
        <w:t>注：单位可以根据专项资金的管理要求和绩效要求增设个性指标。</w:t>
      </w:r>
    </w:p>
    <w:p>
      <w:pPr>
        <w:spacing w:line="20" w:lineRule="exact"/>
        <w:rPr>
          <w:rFonts w:hint="eastAsia"/>
        </w:rPr>
      </w:pPr>
    </w:p>
    <w:p>
      <w:pPr>
        <w:spacing w:line="20" w:lineRule="exact"/>
      </w:pPr>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6896E"/>
    <w:multiLevelType w:val="singleLevel"/>
    <w:tmpl w:val="B2E6896E"/>
    <w:lvl w:ilvl="0" w:tentative="0">
      <w:start w:val="7"/>
      <w:numFmt w:val="chineseCounting"/>
      <w:suff w:val="nothing"/>
      <w:lvlText w:val="%1、"/>
      <w:lvlJc w:val="left"/>
      <w:pPr>
        <w:ind w:left="80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attachedTemplate r:id="rId1"/>
  <w:documentProtection w:enforcement="0"/>
  <w:defaultTabStop w:val="420"/>
  <w:drawingGridHorizontalSpacing w:val="105"/>
  <w:drawingGridVerticalSpacing w:val="204"/>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8376C94"/>
    <w:rsid w:val="0005693D"/>
    <w:rsid w:val="00080367"/>
    <w:rsid w:val="00147FAD"/>
    <w:rsid w:val="001C3249"/>
    <w:rsid w:val="002353CD"/>
    <w:rsid w:val="00273AC2"/>
    <w:rsid w:val="00292793"/>
    <w:rsid w:val="002A1017"/>
    <w:rsid w:val="003369A3"/>
    <w:rsid w:val="003E0518"/>
    <w:rsid w:val="00457296"/>
    <w:rsid w:val="00472180"/>
    <w:rsid w:val="00483617"/>
    <w:rsid w:val="004D0560"/>
    <w:rsid w:val="00582D87"/>
    <w:rsid w:val="005858C4"/>
    <w:rsid w:val="005E18BD"/>
    <w:rsid w:val="00623984"/>
    <w:rsid w:val="006C4E2A"/>
    <w:rsid w:val="00725C59"/>
    <w:rsid w:val="00755C4B"/>
    <w:rsid w:val="007B69E7"/>
    <w:rsid w:val="007B7B9B"/>
    <w:rsid w:val="008348C9"/>
    <w:rsid w:val="008A5DDF"/>
    <w:rsid w:val="008B7F4D"/>
    <w:rsid w:val="009824F6"/>
    <w:rsid w:val="00997A19"/>
    <w:rsid w:val="009C4EA8"/>
    <w:rsid w:val="009D680D"/>
    <w:rsid w:val="00A0563A"/>
    <w:rsid w:val="00A53779"/>
    <w:rsid w:val="00AA38EE"/>
    <w:rsid w:val="00B04F06"/>
    <w:rsid w:val="00B07FE1"/>
    <w:rsid w:val="00B319BC"/>
    <w:rsid w:val="00BA06D5"/>
    <w:rsid w:val="00D54F8C"/>
    <w:rsid w:val="00DD2B84"/>
    <w:rsid w:val="00E01628"/>
    <w:rsid w:val="00E05DE1"/>
    <w:rsid w:val="00E3667E"/>
    <w:rsid w:val="00EA6C87"/>
    <w:rsid w:val="00F1572F"/>
    <w:rsid w:val="00FA19FF"/>
    <w:rsid w:val="00FF6700"/>
    <w:rsid w:val="022B5B12"/>
    <w:rsid w:val="063F4A78"/>
    <w:rsid w:val="06B31C7D"/>
    <w:rsid w:val="09A90060"/>
    <w:rsid w:val="0D2A24A6"/>
    <w:rsid w:val="14DD19E1"/>
    <w:rsid w:val="16BE48C1"/>
    <w:rsid w:val="174204CF"/>
    <w:rsid w:val="18B54E8F"/>
    <w:rsid w:val="1EE07E2D"/>
    <w:rsid w:val="200717C1"/>
    <w:rsid w:val="20CC76FC"/>
    <w:rsid w:val="20F9482C"/>
    <w:rsid w:val="300C5A8F"/>
    <w:rsid w:val="313A4795"/>
    <w:rsid w:val="333E6B8A"/>
    <w:rsid w:val="33C275C4"/>
    <w:rsid w:val="3F7871E8"/>
    <w:rsid w:val="4847378F"/>
    <w:rsid w:val="4BE449C7"/>
    <w:rsid w:val="523024FB"/>
    <w:rsid w:val="58196D36"/>
    <w:rsid w:val="62AC0856"/>
    <w:rsid w:val="6583316B"/>
    <w:rsid w:val="68376C94"/>
    <w:rsid w:val="6A3A7BCD"/>
    <w:rsid w:val="6C03623D"/>
    <w:rsid w:val="6D535020"/>
    <w:rsid w:val="771A2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21"/>
    <w:qFormat/>
    <w:uiPriority w:val="0"/>
    <w:pPr>
      <w:keepNext/>
      <w:keepLines/>
      <w:spacing w:before="260" w:after="260" w:line="413" w:lineRule="auto"/>
      <w:outlineLvl w:val="1"/>
    </w:pPr>
    <w:rPr>
      <w:rFonts w:ascii="Arial" w:hAnsi="Arial" w:eastAsia="黑体"/>
      <w:b/>
      <w:sz w:val="32"/>
      <w:szCs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9"/>
    <w:qFormat/>
    <w:uiPriority w:val="0"/>
    <w:pPr>
      <w:tabs>
        <w:tab w:val="center" w:pos="4153"/>
        <w:tab w:val="right" w:pos="8306"/>
      </w:tabs>
      <w:snapToGrid w:val="0"/>
      <w:jc w:val="left"/>
    </w:pPr>
    <w:rPr>
      <w:sz w:val="18"/>
      <w:szCs w:val="18"/>
    </w:rPr>
  </w:style>
  <w:style w:type="paragraph" w:styleId="4">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character" w:styleId="9">
    <w:name w:val="FollowedHyperlink"/>
    <w:basedOn w:val="7"/>
    <w:qFormat/>
    <w:uiPriority w:val="0"/>
    <w:rPr>
      <w:color w:val="333333"/>
      <w:u w:val="none"/>
    </w:rPr>
  </w:style>
  <w:style w:type="character" w:styleId="10">
    <w:name w:val="Emphasis"/>
    <w:basedOn w:val="7"/>
    <w:qFormat/>
    <w:uiPriority w:val="0"/>
    <w:rPr>
      <w:sz w:val="24"/>
      <w:szCs w:val="24"/>
    </w:rPr>
  </w:style>
  <w:style w:type="character" w:styleId="11">
    <w:name w:val="HTML Definition"/>
    <w:basedOn w:val="7"/>
    <w:qFormat/>
    <w:uiPriority w:val="0"/>
  </w:style>
  <w:style w:type="character" w:styleId="12">
    <w:name w:val="HTML Acronym"/>
    <w:basedOn w:val="7"/>
    <w:qFormat/>
    <w:uiPriority w:val="0"/>
  </w:style>
  <w:style w:type="character" w:styleId="13">
    <w:name w:val="HTML Variable"/>
    <w:basedOn w:val="7"/>
    <w:qFormat/>
    <w:uiPriority w:val="0"/>
  </w:style>
  <w:style w:type="character" w:styleId="14">
    <w:name w:val="Hyperlink"/>
    <w:basedOn w:val="7"/>
    <w:qFormat/>
    <w:uiPriority w:val="0"/>
    <w:rPr>
      <w:color w:val="333333"/>
      <w:u w:val="none"/>
    </w:rPr>
  </w:style>
  <w:style w:type="character" w:styleId="15">
    <w:name w:val="HTML Code"/>
    <w:basedOn w:val="7"/>
    <w:qFormat/>
    <w:uiPriority w:val="0"/>
    <w:rPr>
      <w:rFonts w:ascii="Courier New" w:hAnsi="Courier New"/>
      <w:sz w:val="20"/>
    </w:rPr>
  </w:style>
  <w:style w:type="character" w:styleId="16">
    <w:name w:val="HTML Cite"/>
    <w:basedOn w:val="7"/>
    <w:qFormat/>
    <w:uiPriority w:val="0"/>
  </w:style>
  <w:style w:type="paragraph" w:customStyle="1" w:styleId="17">
    <w:name w:val="p15"/>
    <w:basedOn w:val="1"/>
    <w:qFormat/>
    <w:uiPriority w:val="0"/>
    <w:pPr>
      <w:widowControl/>
      <w:jc w:val="left"/>
    </w:pPr>
    <w:rPr>
      <w:rFonts w:ascii="宋体" w:hAnsi="宋体" w:cs="宋体"/>
      <w:kern w:val="0"/>
      <w:sz w:val="24"/>
    </w:rPr>
  </w:style>
  <w:style w:type="character" w:customStyle="1" w:styleId="18">
    <w:name w:val="页眉 Char"/>
    <w:basedOn w:val="7"/>
    <w:link w:val="4"/>
    <w:qFormat/>
    <w:uiPriority w:val="0"/>
    <w:rPr>
      <w:kern w:val="2"/>
      <w:sz w:val="18"/>
      <w:szCs w:val="18"/>
    </w:rPr>
  </w:style>
  <w:style w:type="character" w:customStyle="1" w:styleId="19">
    <w:name w:val="页脚 Char"/>
    <w:basedOn w:val="7"/>
    <w:link w:val="3"/>
    <w:qFormat/>
    <w:uiPriority w:val="0"/>
    <w:rPr>
      <w:kern w:val="2"/>
      <w:sz w:val="18"/>
      <w:szCs w:val="18"/>
    </w:rPr>
  </w:style>
  <w:style w:type="paragraph" w:styleId="20">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21">
    <w:name w:val="标题 2 Char"/>
    <w:basedOn w:val="7"/>
    <w:link w:val="2"/>
    <w:qFormat/>
    <w:uiPriority w:val="0"/>
    <w:rPr>
      <w:rFonts w:ascii="Arial" w:hAnsi="Arial" w:eastAsia="黑体"/>
      <w:b/>
      <w:kern w:val="2"/>
      <w:sz w:val="32"/>
      <w:szCs w:val="24"/>
    </w:rPr>
  </w:style>
  <w:style w:type="character" w:customStyle="1" w:styleId="22">
    <w:name w:val="before1"/>
    <w:basedOn w:val="7"/>
    <w:qFormat/>
    <w:uiPriority w:val="0"/>
    <w:rPr>
      <w:bdr w:val="single" w:color="0466C7" w:sz="36" w:space="0"/>
    </w:rPr>
  </w:style>
  <w:style w:type="character" w:customStyle="1" w:styleId="23">
    <w:name w:val="bsharetext"/>
    <w:basedOn w:val="7"/>
    <w:qFormat/>
    <w:uiPriority w:val="0"/>
  </w:style>
  <w:style w:type="character" w:customStyle="1" w:styleId="24">
    <w:name w:val="slidebook_bg"/>
    <w:basedOn w:val="7"/>
    <w:qFormat/>
    <w:uiPriority w:val="0"/>
    <w:rPr>
      <w:bdr w:val="single" w:color="666666" w:sz="6" w:space="0"/>
      <w:shd w:val="clear" w:color="auto" w:fill="FFFFFF"/>
    </w:rPr>
  </w:style>
  <w:style w:type="character" w:customStyle="1" w:styleId="25">
    <w:name w:val="last-child"/>
    <w:basedOn w:val="7"/>
    <w:qFormat/>
    <w:uiPriority w:val="0"/>
  </w:style>
  <w:style w:type="character" w:customStyle="1" w:styleId="26">
    <w:name w:val="wx-space"/>
    <w:basedOn w:val="7"/>
    <w:qFormat/>
    <w:uiPriority w:val="0"/>
  </w:style>
  <w:style w:type="character" w:customStyle="1" w:styleId="27">
    <w:name w:val="wx-space1"/>
    <w:basedOn w:val="7"/>
    <w:qFormat/>
    <w:uiPriority w:val="0"/>
  </w:style>
  <w:style w:type="character" w:customStyle="1" w:styleId="28">
    <w:name w:val="hover10"/>
    <w:basedOn w:val="7"/>
    <w:qFormat/>
    <w:uiPriority w:val="0"/>
    <w:rPr>
      <w:color w:val="000000"/>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16867D-1C2F-49A2-99D3-07D477B14F39}">
  <ds:schemaRefs/>
</ds:datastoreItem>
</file>

<file path=docProps/app.xml><?xml version="1.0" encoding="utf-8"?>
<Properties xmlns="http://schemas.openxmlformats.org/officeDocument/2006/extended-properties" xmlns:vt="http://schemas.openxmlformats.org/officeDocument/2006/docPropsVTypes">
  <Template>0</Template>
  <Pages>10</Pages>
  <Words>789</Words>
  <Characters>4503</Characters>
  <Lines>37</Lines>
  <Paragraphs>10</Paragraphs>
  <TotalTime>4</TotalTime>
  <ScaleCrop>false</ScaleCrop>
  <LinksUpToDate>false</LinksUpToDate>
  <CharactersWithSpaces>5282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2020-06-05T02:37:00Z</dcterms:created>
  <dc:creator>坐车压马路</dc:creator>
  <cp:lastModifiedBy>忘忧草</cp:lastModifiedBy>
  <dcterms:modified xsi:type="dcterms:W3CDTF">2021-07-28T07:51:02Z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224F1A79376E4EC38A5E846EA5FF35D4</vt:lpwstr>
  </property>
</Properties>
</file>