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中方县住房和城乡建设局</w:t>
      </w: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城市基础设施补短板</w:t>
      </w:r>
      <w:r>
        <w:rPr>
          <w:rFonts w:hint="eastAsia" w:ascii="方正小标宋简体" w:hAnsi="方正小标宋简体" w:eastAsia="方正小标宋简体" w:cs="方正小标宋简体"/>
          <w:sz w:val="36"/>
          <w:szCs w:val="36"/>
        </w:rPr>
        <w:t>项目专项资金</w:t>
      </w:r>
      <w:r>
        <w:rPr>
          <w:rFonts w:hint="eastAsia" w:ascii="方正小标宋简体" w:hAnsi="方正小标宋简体" w:eastAsia="方正小标宋简体" w:cs="方正小标宋简体"/>
          <w:sz w:val="36"/>
          <w:szCs w:val="36"/>
          <w:lang w:eastAsia="zh-CN"/>
        </w:rPr>
        <w:t>支出</w:t>
      </w:r>
      <w:r>
        <w:rPr>
          <w:rFonts w:hint="eastAsia" w:ascii="方正小标宋简体" w:hAnsi="方正小标宋简体" w:eastAsia="方正小标宋简体" w:cs="方正小标宋简体"/>
          <w:sz w:val="36"/>
          <w:szCs w:val="36"/>
        </w:rPr>
        <w:t>绩效</w:t>
      </w:r>
      <w:r>
        <w:rPr>
          <w:rFonts w:hint="eastAsia" w:ascii="方正小标宋简体" w:hAnsi="方正小标宋简体" w:eastAsia="方正小标宋简体" w:cs="方正小标宋简体"/>
          <w:sz w:val="36"/>
          <w:szCs w:val="36"/>
          <w:lang w:eastAsia="zh-CN"/>
        </w:rPr>
        <w:t>自</w:t>
      </w:r>
      <w:r>
        <w:rPr>
          <w:rFonts w:hint="eastAsia" w:ascii="方正小标宋简体" w:hAnsi="方正小标宋简体" w:eastAsia="方正小标宋简体" w:cs="方正小标宋简体"/>
          <w:sz w:val="36"/>
          <w:szCs w:val="36"/>
        </w:rPr>
        <w:t>评报告</w:t>
      </w:r>
    </w:p>
    <w:p>
      <w:pPr>
        <w:pStyle w:val="9"/>
        <w:spacing w:line="560" w:lineRule="exact"/>
        <w:jc w:val="both"/>
        <w:rPr>
          <w:rFonts w:ascii="仿宋_GB2312" w:eastAsia="仿宋_GB2312"/>
          <w:sz w:val="32"/>
          <w:szCs w:val="32"/>
        </w:rPr>
      </w:pPr>
    </w:p>
    <w:p>
      <w:pPr>
        <w:pStyle w:val="12"/>
        <w:spacing w:line="51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rPr>
        <w:t>一、基本情况</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ascii="仿宋" w:hAnsi="仿宋" w:eastAsia="仿宋"/>
          <w:color w:val="000000"/>
          <w:sz w:val="32"/>
          <w:szCs w:val="32"/>
        </w:rPr>
      </w:pPr>
      <w:r>
        <w:rPr>
          <w:rFonts w:hint="eastAsia" w:ascii="Times New Roman" w:hAnsi="Times New Roman" w:eastAsia="仿宋"/>
          <w:b/>
          <w:bCs/>
          <w:sz w:val="32"/>
          <w:szCs w:val="32"/>
        </w:rPr>
        <w:t>（一）项目概况：</w:t>
      </w:r>
      <w:r>
        <w:rPr>
          <w:rFonts w:hint="eastAsia" w:ascii="Times New Roman" w:hAnsi="Times New Roman" w:eastAsia="仿宋"/>
          <w:sz w:val="32"/>
          <w:szCs w:val="32"/>
          <w:lang w:eastAsia="zh-CN"/>
        </w:rPr>
        <w:t>城市基础设施补短板</w:t>
      </w:r>
      <w:r>
        <w:rPr>
          <w:rFonts w:hint="eastAsia" w:ascii="仿宋" w:hAnsi="仿宋" w:eastAsia="仿宋"/>
          <w:color w:val="000000"/>
          <w:sz w:val="32"/>
          <w:szCs w:val="32"/>
          <w:lang w:eastAsia="zh-CN"/>
        </w:rPr>
        <w:t>项目</w:t>
      </w:r>
      <w:r>
        <w:rPr>
          <w:rFonts w:hint="eastAsia" w:ascii="仿宋" w:hAnsi="仿宋" w:eastAsia="仿宋"/>
          <w:color w:val="000000"/>
          <w:sz w:val="32"/>
          <w:szCs w:val="32"/>
        </w:rPr>
        <w:t>共实施</w:t>
      </w:r>
      <w:r>
        <w:rPr>
          <w:rFonts w:hint="eastAsia" w:ascii="仿宋" w:hAnsi="仿宋" w:eastAsia="仿宋"/>
          <w:color w:val="000000"/>
          <w:sz w:val="32"/>
          <w:szCs w:val="32"/>
          <w:lang w:val="en-US" w:eastAsia="zh-CN"/>
        </w:rPr>
        <w:t>24个，其中</w:t>
      </w:r>
      <w:r>
        <w:rPr>
          <w:rFonts w:hint="eastAsia" w:ascii="仿宋" w:hAnsi="仿宋" w:eastAsia="仿宋"/>
          <w:color w:val="000000"/>
          <w:sz w:val="32"/>
          <w:szCs w:val="32"/>
        </w:rPr>
        <w:t>专项债券项目</w:t>
      </w:r>
      <w:r>
        <w:rPr>
          <w:rFonts w:ascii="仿宋" w:hAnsi="仿宋" w:eastAsia="仿宋"/>
          <w:color w:val="000000"/>
          <w:sz w:val="32"/>
          <w:szCs w:val="32"/>
        </w:rPr>
        <w:t>2</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个</w:t>
      </w:r>
      <w:r>
        <w:rPr>
          <w:rFonts w:hint="eastAsia" w:ascii="仿宋" w:hAnsi="仿宋" w:eastAsia="仿宋"/>
          <w:color w:val="000000"/>
          <w:sz w:val="32"/>
          <w:szCs w:val="32"/>
          <w:lang w:val="en-US" w:eastAsia="zh-CN"/>
        </w:rPr>
        <w:t>（分别是：香樟西路、石榴路、同乐安置区供水改造、丹桂路电缆沟改造、同乐新村污水管网改造、迎松东路、中方大道污水配套、枫杨路挡土墙、翠竹路一期、枫杨路一期、月桂路一期、茶花北路、茶花中路、芙蓉东路、银杏路北延伸段、荷花池污水泵房、香樟东路给水工程改造、香樟西路与中方大道交叉口道路项目、县应急局围墙拆除及恢复重建项目、县城污水收集连管网项目、南湖南路）</w:t>
      </w:r>
      <w:r>
        <w:rPr>
          <w:rFonts w:hint="eastAsia" w:ascii="仿宋" w:hAnsi="仿宋" w:eastAsia="仿宋"/>
          <w:color w:val="000000"/>
          <w:sz w:val="32"/>
          <w:szCs w:val="32"/>
        </w:rPr>
        <w:t>，</w:t>
      </w:r>
      <w:r>
        <w:rPr>
          <w:rFonts w:hint="eastAsia" w:ascii="仿宋" w:hAnsi="仿宋" w:eastAsia="仿宋"/>
          <w:color w:val="000000"/>
          <w:sz w:val="32"/>
          <w:szCs w:val="32"/>
          <w:lang w:eastAsia="zh-CN"/>
        </w:rPr>
        <w:t>中央预算内资金项目</w:t>
      </w:r>
      <w:r>
        <w:rPr>
          <w:rFonts w:hint="eastAsia" w:ascii="仿宋" w:hAnsi="仿宋" w:eastAsia="仿宋"/>
          <w:color w:val="000000"/>
          <w:sz w:val="32"/>
          <w:szCs w:val="32"/>
          <w:lang w:val="en-US" w:eastAsia="zh-CN"/>
        </w:rPr>
        <w:t>3个（分别是枫香西路、香樟西路污水泵房、滨江中路），</w:t>
      </w:r>
      <w:r>
        <w:rPr>
          <w:rFonts w:hint="eastAsia" w:ascii="仿宋" w:hAnsi="仿宋" w:eastAsia="仿宋"/>
          <w:color w:val="000000"/>
          <w:sz w:val="32"/>
          <w:szCs w:val="32"/>
          <w:lang w:eastAsia="zh-CN"/>
        </w:rPr>
        <w:t>项目</w:t>
      </w:r>
      <w:r>
        <w:rPr>
          <w:rFonts w:hint="eastAsia" w:ascii="仿宋" w:hAnsi="仿宋" w:eastAsia="仿宋"/>
          <w:color w:val="000000"/>
          <w:sz w:val="32"/>
          <w:szCs w:val="32"/>
        </w:rPr>
        <w:t>总投资</w:t>
      </w:r>
      <w:r>
        <w:rPr>
          <w:rFonts w:ascii="仿宋" w:hAnsi="仿宋" w:eastAsia="仿宋"/>
          <w:color w:val="000000"/>
          <w:sz w:val="32"/>
          <w:szCs w:val="32"/>
        </w:rPr>
        <w:t>2.</w:t>
      </w:r>
      <w:r>
        <w:rPr>
          <w:rFonts w:hint="eastAsia" w:ascii="仿宋" w:hAnsi="仿宋" w:eastAsia="仿宋"/>
          <w:color w:val="000000"/>
          <w:sz w:val="32"/>
          <w:szCs w:val="32"/>
          <w:lang w:val="en-US" w:eastAsia="zh-CN"/>
        </w:rPr>
        <w:t>1879</w:t>
      </w:r>
      <w:r>
        <w:rPr>
          <w:rFonts w:hint="eastAsia" w:ascii="仿宋" w:hAnsi="仿宋" w:eastAsia="仿宋"/>
          <w:color w:val="000000"/>
          <w:sz w:val="32"/>
          <w:szCs w:val="32"/>
        </w:rPr>
        <w:t>亿元</w:t>
      </w:r>
      <w:r>
        <w:rPr>
          <w:rFonts w:hint="eastAsia" w:ascii="仿宋" w:hAnsi="仿宋" w:eastAsia="仿宋"/>
          <w:color w:val="000000"/>
          <w:sz w:val="32"/>
          <w:szCs w:val="32"/>
          <w:lang w:eastAsia="zh-CN"/>
        </w:rPr>
        <w:t>。截</w:t>
      </w:r>
      <w:r>
        <w:rPr>
          <w:rFonts w:hint="eastAsia" w:ascii="仿宋" w:hAnsi="仿宋" w:eastAsia="仿宋"/>
          <w:color w:val="000000"/>
          <w:sz w:val="32"/>
          <w:szCs w:val="32"/>
          <w:lang w:val="en-US" w:eastAsia="zh-CN"/>
        </w:rPr>
        <w:t>至2020年12月底</w:t>
      </w:r>
      <w:r>
        <w:rPr>
          <w:rFonts w:hint="eastAsia" w:ascii="仿宋" w:hAnsi="仿宋" w:eastAsia="仿宋"/>
          <w:color w:val="000000"/>
          <w:sz w:val="32"/>
          <w:szCs w:val="32"/>
          <w:lang w:eastAsia="zh-CN"/>
        </w:rPr>
        <w:t>，</w:t>
      </w:r>
      <w:r>
        <w:rPr>
          <w:rFonts w:hint="eastAsia" w:ascii="仿宋" w:hAnsi="仿宋" w:eastAsia="仿宋"/>
          <w:color w:val="000000"/>
          <w:sz w:val="32"/>
          <w:szCs w:val="32"/>
        </w:rPr>
        <w:t>支付</w:t>
      </w:r>
      <w:r>
        <w:rPr>
          <w:rFonts w:ascii="仿宋" w:hAnsi="仿宋" w:eastAsia="仿宋"/>
          <w:color w:val="000000"/>
          <w:sz w:val="32"/>
          <w:szCs w:val="32"/>
        </w:rPr>
        <w:t>项目</w:t>
      </w:r>
      <w:r>
        <w:rPr>
          <w:rFonts w:hint="eastAsia" w:ascii="仿宋" w:hAnsi="仿宋" w:eastAsia="仿宋"/>
          <w:color w:val="000000"/>
          <w:sz w:val="32"/>
          <w:szCs w:val="32"/>
        </w:rPr>
        <w:t>工程建设</w:t>
      </w:r>
      <w:r>
        <w:rPr>
          <w:rFonts w:ascii="仿宋" w:hAnsi="仿宋" w:eastAsia="仿宋"/>
          <w:color w:val="000000"/>
          <w:sz w:val="32"/>
          <w:szCs w:val="32"/>
        </w:rPr>
        <w:t>资金共</w:t>
      </w:r>
      <w:r>
        <w:rPr>
          <w:rFonts w:hint="eastAsia" w:ascii="仿宋" w:hAnsi="仿宋" w:eastAsia="仿宋"/>
          <w:color w:val="000000"/>
          <w:sz w:val="32"/>
          <w:szCs w:val="32"/>
          <w:lang w:val="en-US" w:eastAsia="zh-CN"/>
        </w:rPr>
        <w:t>3354.68141</w:t>
      </w:r>
      <w:r>
        <w:rPr>
          <w:rFonts w:hint="eastAsia" w:ascii="仿宋" w:hAnsi="仿宋" w:eastAsia="仿宋"/>
          <w:color w:val="000000"/>
          <w:sz w:val="32"/>
          <w:szCs w:val="32"/>
        </w:rPr>
        <w:t>万元，</w:t>
      </w:r>
      <w:r>
        <w:rPr>
          <w:rFonts w:ascii="仿宋" w:hAnsi="仿宋" w:eastAsia="仿宋"/>
          <w:color w:val="000000"/>
          <w:sz w:val="32"/>
          <w:szCs w:val="32"/>
        </w:rPr>
        <w:t>占</w:t>
      </w:r>
      <w:r>
        <w:rPr>
          <w:rFonts w:hint="eastAsia" w:ascii="仿宋" w:hAnsi="仿宋" w:eastAsia="仿宋"/>
          <w:color w:val="000000"/>
          <w:sz w:val="32"/>
          <w:szCs w:val="32"/>
          <w:lang w:eastAsia="zh-CN"/>
        </w:rPr>
        <w:t>工程建设</w:t>
      </w:r>
      <w:r>
        <w:rPr>
          <w:rFonts w:ascii="仿宋" w:hAnsi="仿宋" w:eastAsia="仿宋"/>
          <w:color w:val="000000"/>
          <w:sz w:val="32"/>
          <w:szCs w:val="32"/>
        </w:rPr>
        <w:t>总投资的</w:t>
      </w:r>
      <w:r>
        <w:rPr>
          <w:rFonts w:hint="eastAsia" w:ascii="仿宋" w:hAnsi="仿宋" w:eastAsia="仿宋"/>
          <w:color w:val="000000"/>
          <w:sz w:val="32"/>
          <w:szCs w:val="32"/>
          <w:lang w:val="en-US" w:eastAsia="zh-CN"/>
        </w:rPr>
        <w:t>15</w:t>
      </w:r>
      <w:r>
        <w:rPr>
          <w:rFonts w:hint="eastAsia" w:ascii="仿宋" w:hAnsi="仿宋" w:eastAsia="仿宋"/>
          <w:color w:val="000000"/>
          <w:sz w:val="32"/>
          <w:szCs w:val="32"/>
        </w:rPr>
        <w:t>%</w:t>
      </w:r>
      <w:r>
        <w:rPr>
          <w:rFonts w:hint="eastAsia" w:ascii="仿宋" w:hAnsi="仿宋" w:eastAsia="仿宋"/>
          <w:color w:val="000000"/>
          <w:sz w:val="32"/>
          <w:szCs w:val="32"/>
          <w:lang w:eastAsia="zh-CN"/>
        </w:rPr>
        <w:t>，项目综合进度</w:t>
      </w:r>
      <w:r>
        <w:rPr>
          <w:rFonts w:hint="eastAsia" w:ascii="仿宋" w:hAnsi="仿宋" w:eastAsia="仿宋"/>
          <w:color w:val="000000"/>
          <w:sz w:val="32"/>
          <w:szCs w:val="32"/>
          <w:lang w:val="en-US" w:eastAsia="zh-CN"/>
        </w:rPr>
        <w:t>50%。</w:t>
      </w:r>
    </w:p>
    <w:p>
      <w:pPr>
        <w:pStyle w:val="12"/>
        <w:spacing w:line="510" w:lineRule="exact"/>
        <w:ind w:firstLine="643" w:firstLineChars="200"/>
        <w:rPr>
          <w:rFonts w:ascii="Times New Roman" w:hAnsi="Times New Roman" w:eastAsia="仿宋"/>
          <w:b/>
          <w:bCs/>
          <w:sz w:val="32"/>
          <w:szCs w:val="32"/>
        </w:rPr>
      </w:pPr>
      <w:r>
        <w:rPr>
          <w:rFonts w:hint="eastAsia" w:ascii="Times New Roman" w:hAnsi="Times New Roman" w:eastAsia="仿宋"/>
          <w:b/>
          <w:bCs/>
          <w:sz w:val="32"/>
          <w:szCs w:val="32"/>
        </w:rPr>
        <w:t>（二）项目绩效目标：</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1、总体目标：</w:t>
      </w:r>
      <w:r>
        <w:rPr>
          <w:rFonts w:hint="eastAsia" w:ascii="Times New Roman" w:hAnsi="Times New Roman" w:eastAsia="仿宋"/>
          <w:sz w:val="32"/>
          <w:szCs w:val="32"/>
          <w:lang w:val="en-US" w:eastAsia="zh-CN"/>
        </w:rPr>
        <w:t>2020年底</w:t>
      </w:r>
      <w:r>
        <w:rPr>
          <w:rFonts w:hint="eastAsia" w:ascii="Times New Roman" w:hAnsi="Times New Roman" w:eastAsia="仿宋"/>
          <w:sz w:val="32"/>
          <w:szCs w:val="32"/>
          <w:lang w:eastAsia="zh-CN"/>
        </w:rPr>
        <w:t>所有基础设施补短板项目实现开工建设，</w:t>
      </w:r>
      <w:r>
        <w:rPr>
          <w:rFonts w:hint="eastAsia" w:ascii="Times New Roman" w:hAnsi="Times New Roman" w:eastAsia="仿宋"/>
          <w:sz w:val="32"/>
          <w:szCs w:val="32"/>
          <w:lang w:val="en-US" w:eastAsia="zh-CN"/>
        </w:rPr>
        <w:t>2021年底全面建成，</w:t>
      </w:r>
      <w:r>
        <w:rPr>
          <w:rFonts w:hint="eastAsia" w:ascii="Times New Roman" w:hAnsi="Times New Roman" w:eastAsia="仿宋"/>
          <w:sz w:val="32"/>
          <w:szCs w:val="32"/>
          <w:lang w:eastAsia="zh-CN"/>
        </w:rPr>
        <w:t>交付使用</w:t>
      </w:r>
      <w:r>
        <w:rPr>
          <w:rFonts w:hint="eastAsia" w:ascii="Times New Roman" w:hAnsi="Times New Roman" w:eastAsia="仿宋"/>
          <w:sz w:val="32"/>
          <w:szCs w:val="32"/>
        </w:rPr>
        <w:t>。</w:t>
      </w:r>
    </w:p>
    <w:p>
      <w:pPr>
        <w:pStyle w:val="12"/>
        <w:spacing w:line="510" w:lineRule="exact"/>
        <w:ind w:firstLine="640" w:firstLineChars="200"/>
        <w:rPr>
          <w:rFonts w:hint="default" w:ascii="Times New Roman" w:hAnsi="Times New Roman" w:eastAsia="仿宋"/>
          <w:sz w:val="32"/>
          <w:szCs w:val="32"/>
          <w:lang w:val="en-US" w:eastAsia="zh-CN"/>
        </w:rPr>
      </w:pPr>
      <w:r>
        <w:rPr>
          <w:rFonts w:hint="eastAsia" w:ascii="Times New Roman" w:hAnsi="Times New Roman" w:eastAsia="仿宋"/>
          <w:sz w:val="32"/>
          <w:szCs w:val="32"/>
        </w:rPr>
        <w:t>2、阶段性目标：</w:t>
      </w:r>
      <w:r>
        <w:rPr>
          <w:rFonts w:hint="eastAsia" w:ascii="Times New Roman" w:hAnsi="Times New Roman" w:eastAsia="仿宋"/>
          <w:sz w:val="32"/>
          <w:szCs w:val="32"/>
          <w:lang w:val="en-US" w:eastAsia="zh-CN"/>
        </w:rPr>
        <w:t>2020年底实施项目建设综合进度达50%以上，</w:t>
      </w:r>
      <w:r>
        <w:rPr>
          <w:rFonts w:hint="eastAsia" w:ascii="Times New Roman" w:hAnsi="Times New Roman" w:eastAsia="仿宋"/>
          <w:sz w:val="32"/>
          <w:szCs w:val="32"/>
          <w:lang w:eastAsia="zh-CN"/>
        </w:rPr>
        <w:t>按照县委张家铣书记</w:t>
      </w:r>
      <w:r>
        <w:rPr>
          <w:rFonts w:hint="eastAsia" w:ascii="Times New Roman" w:hAnsi="Times New Roman" w:eastAsia="仿宋"/>
          <w:sz w:val="32"/>
          <w:szCs w:val="32"/>
          <w:lang w:val="en-US" w:eastAsia="zh-CN"/>
        </w:rPr>
        <w:t>2021年6月3日城市基础设施补短板项目调度会的要求，7月31日前完成所有管网铺设，9月30日前完成所有道路建设任务（道路绿化工程除外）</w:t>
      </w:r>
      <w:r>
        <w:rPr>
          <w:rFonts w:hint="eastAsia" w:ascii="Times New Roman" w:hAnsi="Times New Roman" w:eastAsia="仿宋"/>
          <w:sz w:val="32"/>
          <w:szCs w:val="32"/>
        </w:rPr>
        <w:t>。</w:t>
      </w:r>
      <w:r>
        <w:rPr>
          <w:rFonts w:hint="eastAsia" w:ascii="Times New Roman" w:hAnsi="Times New Roman" w:eastAsia="仿宋"/>
          <w:sz w:val="32"/>
          <w:szCs w:val="32"/>
          <w:lang w:val="en-US" w:eastAsia="zh-CN"/>
        </w:rPr>
        <w:t xml:space="preserve">                                                                                                                                                                                                                                                                                                                                                                                                                                                                                                                                                                                                                                                                                                                                                                                                                                                                                                                                                                                                                                                                                  </w:t>
      </w:r>
    </w:p>
    <w:p>
      <w:pPr>
        <w:pStyle w:val="12"/>
        <w:spacing w:line="510" w:lineRule="exact"/>
        <w:ind w:firstLine="643" w:firstLineChars="200"/>
        <w:rPr>
          <w:rFonts w:hint="eastAsia" w:ascii="Times New Roman" w:hAnsi="Times New Roman" w:eastAsia="楷体"/>
          <w:b/>
          <w:sz w:val="32"/>
          <w:szCs w:val="32"/>
        </w:rPr>
      </w:pPr>
      <w:r>
        <w:rPr>
          <w:rFonts w:hint="eastAsia" w:ascii="Times New Roman" w:hAnsi="Times New Roman" w:eastAsia="楷体"/>
          <w:b/>
          <w:sz w:val="32"/>
          <w:szCs w:val="32"/>
        </w:rPr>
        <w:t>二、绩效评价工作开展情况</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（一）绩效评价目的、对象和范围。</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1、加强和规范</w:t>
      </w:r>
      <w:r>
        <w:rPr>
          <w:rFonts w:hint="eastAsia" w:ascii="Times New Roman" w:hAnsi="Times New Roman" w:eastAsia="仿宋"/>
          <w:sz w:val="32"/>
          <w:szCs w:val="32"/>
          <w:lang w:eastAsia="zh-CN"/>
        </w:rPr>
        <w:t>城市基础设施补短板项目</w:t>
      </w:r>
      <w:r>
        <w:rPr>
          <w:rFonts w:hint="eastAsia" w:ascii="Times New Roman" w:hAnsi="Times New Roman" w:eastAsia="仿宋"/>
          <w:sz w:val="32"/>
          <w:szCs w:val="32"/>
        </w:rPr>
        <w:t>项目资金管理，提高</w:t>
      </w:r>
      <w:r>
        <w:rPr>
          <w:rFonts w:hint="eastAsia" w:ascii="Times New Roman" w:hAnsi="Times New Roman" w:eastAsia="仿宋"/>
          <w:sz w:val="32"/>
          <w:szCs w:val="32"/>
          <w:lang w:eastAsia="zh-CN"/>
        </w:rPr>
        <w:t>城市基础设施补短板</w:t>
      </w:r>
      <w:r>
        <w:rPr>
          <w:rFonts w:hint="eastAsia" w:ascii="Times New Roman" w:hAnsi="Times New Roman" w:eastAsia="仿宋"/>
          <w:sz w:val="32"/>
          <w:szCs w:val="32"/>
        </w:rPr>
        <w:t>项目资金使用效益；</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2、建立健全绩效评价机制，更好实现</w:t>
      </w:r>
      <w:r>
        <w:rPr>
          <w:rFonts w:hint="eastAsia" w:ascii="Times New Roman" w:hAnsi="Times New Roman" w:eastAsia="仿宋"/>
          <w:sz w:val="32"/>
          <w:szCs w:val="32"/>
          <w:lang w:eastAsia="zh-CN"/>
        </w:rPr>
        <w:t>城市基础设施补短板</w:t>
      </w:r>
      <w:r>
        <w:rPr>
          <w:rFonts w:hint="eastAsia" w:ascii="Times New Roman" w:hAnsi="Times New Roman" w:eastAsia="仿宋"/>
          <w:sz w:val="32"/>
          <w:szCs w:val="32"/>
        </w:rPr>
        <w:t>项目资金绩效目标。</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3、本次绩效评价的对象和范围：</w:t>
      </w:r>
      <w:r>
        <w:rPr>
          <w:rFonts w:hint="eastAsia" w:ascii="Times New Roman" w:hAnsi="Times New Roman" w:eastAsia="仿宋"/>
          <w:sz w:val="32"/>
          <w:szCs w:val="32"/>
          <w:lang w:eastAsia="zh-CN"/>
        </w:rPr>
        <w:t>城市基础设施补短板项目</w:t>
      </w:r>
      <w:r>
        <w:rPr>
          <w:rFonts w:hint="eastAsia" w:ascii="Times New Roman" w:hAnsi="Times New Roman" w:eastAsia="仿宋"/>
          <w:sz w:val="32"/>
          <w:szCs w:val="32"/>
        </w:rPr>
        <w:t>项目建设单位和主管单位。</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（二）绩效评价原则、评价指标体系、评价方法</w:t>
      </w:r>
      <w:r>
        <w:rPr>
          <w:rFonts w:hint="eastAsia" w:ascii="Times New Roman" w:hAnsi="Times New Roman" w:eastAsia="仿宋"/>
          <w:sz w:val="32"/>
          <w:szCs w:val="32"/>
        </w:rPr>
        <w:t>、评价标准</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1、绩效评价原则：（</w:t>
      </w:r>
      <w:r>
        <w:rPr>
          <w:rFonts w:hint="eastAsia" w:ascii="Times New Roman" w:hAnsi="Times New Roman" w:eastAsia="仿宋"/>
          <w:sz w:val="32"/>
          <w:szCs w:val="32"/>
        </w:rPr>
        <w:t>1</w:t>
      </w:r>
      <w:r>
        <w:rPr>
          <w:rFonts w:ascii="Times New Roman" w:hAnsi="Times New Roman" w:eastAsia="仿宋"/>
          <w:sz w:val="32"/>
          <w:szCs w:val="32"/>
        </w:rPr>
        <w:t>）客观、科学、公正的原则；（</w:t>
      </w:r>
      <w:r>
        <w:rPr>
          <w:rFonts w:hint="eastAsia" w:ascii="Times New Roman" w:hAnsi="Times New Roman" w:eastAsia="仿宋"/>
          <w:sz w:val="32"/>
          <w:szCs w:val="32"/>
        </w:rPr>
        <w:t>2</w:t>
      </w:r>
      <w:r>
        <w:rPr>
          <w:rFonts w:ascii="Times New Roman" w:hAnsi="Times New Roman" w:eastAsia="仿宋"/>
          <w:sz w:val="32"/>
          <w:szCs w:val="32"/>
        </w:rPr>
        <w:t>）综合绩效评价的原则；（</w:t>
      </w:r>
      <w:r>
        <w:rPr>
          <w:rFonts w:hint="eastAsia" w:ascii="Times New Roman" w:hAnsi="Times New Roman" w:eastAsia="仿宋"/>
          <w:sz w:val="32"/>
          <w:szCs w:val="32"/>
        </w:rPr>
        <w:t>3</w:t>
      </w:r>
      <w:r>
        <w:rPr>
          <w:rFonts w:ascii="Times New Roman" w:hAnsi="Times New Roman" w:eastAsia="仿宋"/>
          <w:sz w:val="32"/>
          <w:szCs w:val="32"/>
        </w:rPr>
        <w:t>）定量分析与定性分析的原则；（</w:t>
      </w:r>
      <w:r>
        <w:rPr>
          <w:rFonts w:hint="eastAsia" w:ascii="Times New Roman" w:hAnsi="Times New Roman" w:eastAsia="仿宋"/>
          <w:sz w:val="32"/>
          <w:szCs w:val="32"/>
        </w:rPr>
        <w:t>4</w:t>
      </w:r>
      <w:r>
        <w:rPr>
          <w:rFonts w:ascii="Times New Roman" w:hAnsi="Times New Roman" w:eastAsia="仿宋"/>
          <w:sz w:val="32"/>
          <w:szCs w:val="32"/>
        </w:rPr>
        <w:t>）统筹规划、稳步推进的原则；（</w:t>
      </w:r>
      <w:r>
        <w:rPr>
          <w:rFonts w:hint="eastAsia" w:ascii="Times New Roman" w:hAnsi="Times New Roman" w:eastAsia="仿宋"/>
          <w:sz w:val="32"/>
          <w:szCs w:val="32"/>
        </w:rPr>
        <w:t>5</w:t>
      </w:r>
      <w:r>
        <w:rPr>
          <w:rFonts w:ascii="Times New Roman" w:hAnsi="Times New Roman" w:eastAsia="仿宋"/>
          <w:sz w:val="32"/>
          <w:szCs w:val="32"/>
        </w:rPr>
        <w:t>）财政支出绩效评价与财政支出管理相结合的原则；（</w:t>
      </w:r>
      <w:r>
        <w:rPr>
          <w:rFonts w:hint="eastAsia" w:ascii="Times New Roman" w:hAnsi="Times New Roman" w:eastAsia="仿宋"/>
          <w:sz w:val="32"/>
          <w:szCs w:val="32"/>
        </w:rPr>
        <w:t>6</w:t>
      </w:r>
      <w:r>
        <w:rPr>
          <w:rFonts w:ascii="Times New Roman" w:hAnsi="Times New Roman" w:eastAsia="仿宋"/>
          <w:sz w:val="32"/>
          <w:szCs w:val="32"/>
        </w:rPr>
        <w:t>）财政支出绩效评价贯彻事前、事中、事后的原则。目标导向、依法评价；科学规范、分级实施；客观公正、公开透明。</w:t>
      </w:r>
    </w:p>
    <w:p>
      <w:pPr>
        <w:pStyle w:val="12"/>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2</w:t>
      </w:r>
      <w:r>
        <w:rPr>
          <w:rFonts w:ascii="Times New Roman" w:hAnsi="Times New Roman" w:eastAsia="仿宋"/>
          <w:sz w:val="32"/>
          <w:szCs w:val="32"/>
        </w:rPr>
        <w:t>、评价方法</w:t>
      </w:r>
      <w:r>
        <w:rPr>
          <w:rFonts w:hint="eastAsia" w:ascii="Times New Roman" w:hAnsi="Times New Roman" w:eastAsia="仿宋"/>
          <w:sz w:val="32"/>
          <w:szCs w:val="32"/>
        </w:rPr>
        <w:t>：</w:t>
      </w:r>
      <w:r>
        <w:rPr>
          <w:rFonts w:ascii="Times New Roman" w:hAnsi="Times New Roman" w:eastAsia="仿宋"/>
          <w:sz w:val="32"/>
          <w:szCs w:val="32"/>
        </w:rPr>
        <w:t>因素分析法。</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3</w:t>
      </w:r>
      <w:r>
        <w:rPr>
          <w:rFonts w:ascii="Times New Roman" w:hAnsi="Times New Roman" w:eastAsia="仿宋"/>
          <w:sz w:val="32"/>
          <w:szCs w:val="32"/>
        </w:rPr>
        <w:t>、评价指标体系详见附表。</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（三）绩效评价工作过程。</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202</w:t>
      </w:r>
      <w:r>
        <w:rPr>
          <w:rFonts w:hint="eastAsia" w:ascii="Times New Roman" w:hAnsi="Times New Roman" w:eastAsia="仿宋"/>
          <w:sz w:val="32"/>
          <w:szCs w:val="32"/>
          <w:lang w:val="en-US" w:eastAsia="zh-CN"/>
        </w:rPr>
        <w:t>1</w:t>
      </w:r>
      <w:r>
        <w:rPr>
          <w:rFonts w:hint="eastAsia" w:ascii="Times New Roman" w:hAnsi="Times New Roman" w:eastAsia="仿宋"/>
          <w:sz w:val="32"/>
          <w:szCs w:val="32"/>
        </w:rPr>
        <w:t>年</w:t>
      </w:r>
      <w:r>
        <w:rPr>
          <w:rFonts w:hint="eastAsia" w:ascii="Times New Roman" w:hAnsi="Times New Roman" w:eastAsia="仿宋"/>
          <w:sz w:val="32"/>
          <w:szCs w:val="32"/>
          <w:lang w:val="en-US" w:eastAsia="zh-CN"/>
        </w:rPr>
        <w:t>7</w:t>
      </w:r>
      <w:r>
        <w:rPr>
          <w:rFonts w:hint="eastAsia" w:ascii="Times New Roman" w:hAnsi="Times New Roman" w:eastAsia="仿宋"/>
          <w:sz w:val="32"/>
          <w:szCs w:val="32"/>
        </w:rPr>
        <w:t>月</w:t>
      </w:r>
      <w:r>
        <w:rPr>
          <w:rFonts w:hint="eastAsia" w:ascii="Times New Roman" w:hAnsi="Times New Roman" w:eastAsia="仿宋"/>
          <w:sz w:val="32"/>
          <w:szCs w:val="32"/>
          <w:lang w:eastAsia="zh-CN"/>
        </w:rPr>
        <w:t>初</w:t>
      </w:r>
      <w:r>
        <w:rPr>
          <w:rFonts w:hint="eastAsia" w:ascii="Times New Roman" w:hAnsi="Times New Roman" w:eastAsia="仿宋"/>
          <w:sz w:val="32"/>
          <w:szCs w:val="32"/>
        </w:rPr>
        <w:t>，由本局</w:t>
      </w:r>
      <w:r>
        <w:rPr>
          <w:rFonts w:hint="eastAsia" w:ascii="Times New Roman" w:hAnsi="Times New Roman" w:eastAsia="仿宋"/>
          <w:sz w:val="32"/>
          <w:szCs w:val="32"/>
          <w:lang w:eastAsia="zh-CN"/>
        </w:rPr>
        <w:t>潘科夫副局长</w:t>
      </w:r>
      <w:r>
        <w:rPr>
          <w:rFonts w:hint="eastAsia" w:ascii="Times New Roman" w:hAnsi="Times New Roman" w:eastAsia="仿宋"/>
          <w:sz w:val="32"/>
          <w:szCs w:val="32"/>
        </w:rPr>
        <w:t>主管，财务室牵头，</w:t>
      </w:r>
      <w:r>
        <w:rPr>
          <w:rFonts w:hint="eastAsia" w:ascii="Times New Roman" w:hAnsi="Times New Roman" w:eastAsia="仿宋"/>
          <w:sz w:val="32"/>
          <w:szCs w:val="32"/>
          <w:lang w:eastAsia="zh-CN"/>
        </w:rPr>
        <w:t>城乡和人防</w:t>
      </w:r>
      <w:r>
        <w:rPr>
          <w:rFonts w:hint="eastAsia" w:ascii="Times New Roman" w:hAnsi="Times New Roman" w:eastAsia="仿宋"/>
          <w:sz w:val="32"/>
          <w:szCs w:val="32"/>
        </w:rPr>
        <w:t>建设管理股和</w:t>
      </w:r>
      <w:r>
        <w:rPr>
          <w:rFonts w:hint="eastAsia" w:ascii="Times New Roman" w:hAnsi="Times New Roman" w:eastAsia="仿宋"/>
          <w:sz w:val="32"/>
          <w:szCs w:val="32"/>
          <w:lang w:eastAsia="zh-CN"/>
        </w:rPr>
        <w:t>建筑、人防</w:t>
      </w:r>
      <w:r>
        <w:rPr>
          <w:rFonts w:hint="eastAsia" w:ascii="Times New Roman" w:hAnsi="Times New Roman" w:eastAsia="仿宋"/>
          <w:sz w:val="32"/>
          <w:szCs w:val="32"/>
        </w:rPr>
        <w:t>工程管理股</w:t>
      </w:r>
      <w:r>
        <w:rPr>
          <w:rFonts w:hint="eastAsia" w:ascii="Times New Roman" w:hAnsi="Times New Roman" w:eastAsia="仿宋"/>
          <w:sz w:val="32"/>
          <w:szCs w:val="32"/>
          <w:lang w:eastAsia="zh-CN"/>
        </w:rPr>
        <w:t>、科技与设计管理股</w:t>
      </w:r>
      <w:r>
        <w:rPr>
          <w:rFonts w:hint="eastAsia" w:ascii="Times New Roman" w:hAnsi="Times New Roman" w:eastAsia="仿宋"/>
          <w:sz w:val="32"/>
          <w:szCs w:val="32"/>
        </w:rPr>
        <w:t>负责的绩效自评工作领导小组。根据预算管理和绩效评价相关制度和文件，制定本次绩效评价工作的自评工作方案，向参与本次评价的股室下达绩效通知书，各股</w:t>
      </w:r>
      <w:r>
        <w:rPr>
          <w:rFonts w:ascii="Times New Roman" w:hAnsi="Times New Roman" w:eastAsia="仿宋"/>
          <w:sz w:val="32"/>
          <w:szCs w:val="32"/>
        </w:rPr>
        <w:t>到项目现场实地核查、查询填报数据的真实性、准确性、完整性，再根据设定的评价指标、评价方法，并辅以问卷调查、工作座谈等方式进行定量和定性分析，得出最终结果。</w:t>
      </w:r>
      <w:r>
        <w:rPr>
          <w:rFonts w:hint="eastAsia" w:ascii="Times New Roman" w:hAnsi="Times New Roman" w:eastAsia="仿宋"/>
          <w:sz w:val="32"/>
          <w:szCs w:val="32"/>
        </w:rPr>
        <w:t>由财务室填写&lt;&lt;项目支出绩效自评表&gt;&gt;进行自评。然后再运用科学、合理的绩效评价指标、评价标准和方法，组织开展绩效评价，</w:t>
      </w:r>
      <w:r>
        <w:rPr>
          <w:rFonts w:ascii="Times New Roman" w:hAnsi="Times New Roman" w:eastAsia="仿宋"/>
          <w:sz w:val="32"/>
          <w:szCs w:val="32"/>
        </w:rPr>
        <w:t>撰写</w:t>
      </w:r>
      <w:r>
        <w:rPr>
          <w:rFonts w:hint="eastAsia" w:ascii="Times New Roman" w:hAnsi="Times New Roman" w:eastAsia="仿宋"/>
          <w:sz w:val="32"/>
          <w:szCs w:val="32"/>
        </w:rPr>
        <w:t>本项目的</w:t>
      </w:r>
      <w:r>
        <w:rPr>
          <w:rFonts w:ascii="Times New Roman" w:hAnsi="Times New Roman" w:eastAsia="仿宋"/>
          <w:sz w:val="32"/>
          <w:szCs w:val="32"/>
        </w:rPr>
        <w:t>绩效评价报告。</w:t>
      </w:r>
    </w:p>
    <w:p>
      <w:pPr>
        <w:pStyle w:val="12"/>
        <w:spacing w:line="510" w:lineRule="exact"/>
        <w:ind w:firstLine="643" w:firstLineChars="200"/>
        <w:rPr>
          <w:rFonts w:ascii="Times New Roman" w:hAnsi="Times New Roman" w:eastAsia="仿宋"/>
          <w:sz w:val="32"/>
          <w:szCs w:val="32"/>
        </w:rPr>
      </w:pPr>
      <w:r>
        <w:rPr>
          <w:rFonts w:hint="eastAsia" w:ascii="Times New Roman" w:hAnsi="Times New Roman" w:eastAsia="楷体"/>
          <w:b/>
          <w:sz w:val="32"/>
          <w:szCs w:val="32"/>
        </w:rPr>
        <w:t>三、综合评价情况及评价结论（附相关评分表）</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按照《</w:t>
      </w:r>
      <w:r>
        <w:rPr>
          <w:rFonts w:hint="eastAsia" w:ascii="Times New Roman" w:hAnsi="Times New Roman" w:eastAsia="仿宋"/>
          <w:sz w:val="32"/>
          <w:szCs w:val="32"/>
          <w:lang w:eastAsia="zh-CN"/>
        </w:rPr>
        <w:t>城市基础设施补短板</w:t>
      </w:r>
      <w:r>
        <w:rPr>
          <w:rFonts w:hint="eastAsia" w:ascii="Times New Roman" w:hAnsi="Times New Roman" w:eastAsia="仿宋"/>
          <w:sz w:val="32"/>
          <w:szCs w:val="32"/>
        </w:rPr>
        <w:t>项目绩效评价指标体系》，评价工作组对</w:t>
      </w:r>
      <w:r>
        <w:rPr>
          <w:rFonts w:hint="eastAsia" w:ascii="Times New Roman" w:hAnsi="Times New Roman" w:eastAsia="仿宋"/>
          <w:sz w:val="32"/>
          <w:szCs w:val="32"/>
          <w:lang w:eastAsia="zh-CN"/>
        </w:rPr>
        <w:t>城市基础设施补短板</w:t>
      </w:r>
      <w:r>
        <w:rPr>
          <w:rFonts w:hint="eastAsia" w:ascii="Times New Roman" w:hAnsi="Times New Roman" w:eastAsia="仿宋"/>
          <w:sz w:val="32"/>
          <w:szCs w:val="32"/>
        </w:rPr>
        <w:t>项目绩效进行评价的评分分值为</w:t>
      </w:r>
      <w:r>
        <w:rPr>
          <w:rFonts w:hint="eastAsia" w:ascii="Times New Roman" w:hAnsi="Times New Roman" w:eastAsia="仿宋"/>
          <w:sz w:val="32"/>
          <w:szCs w:val="32"/>
          <w:lang w:val="en-US" w:eastAsia="zh-CN"/>
        </w:rPr>
        <w:t>92</w:t>
      </w:r>
      <w:r>
        <w:rPr>
          <w:rFonts w:hint="eastAsia" w:ascii="Times New Roman" w:hAnsi="Times New Roman" w:eastAsia="仿宋"/>
          <w:sz w:val="32"/>
          <w:szCs w:val="32"/>
        </w:rPr>
        <w:t>分。</w:t>
      </w:r>
    </w:p>
    <w:p>
      <w:pPr>
        <w:pStyle w:val="12"/>
        <w:spacing w:line="510" w:lineRule="exact"/>
        <w:ind w:firstLine="643" w:firstLineChars="200"/>
        <w:rPr>
          <w:rFonts w:hint="eastAsia" w:ascii="Times New Roman" w:hAnsi="Times New Roman" w:eastAsia="楷体"/>
          <w:b/>
          <w:sz w:val="32"/>
          <w:szCs w:val="32"/>
        </w:rPr>
      </w:pPr>
      <w:r>
        <w:rPr>
          <w:rFonts w:hint="eastAsia" w:ascii="Times New Roman" w:hAnsi="Times New Roman" w:eastAsia="楷体"/>
          <w:b/>
          <w:sz w:val="32"/>
          <w:szCs w:val="32"/>
        </w:rPr>
        <w:t>四、绩效评价指标分析</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w:t>
      </w:r>
      <w:r>
        <w:rPr>
          <w:rFonts w:hint="eastAsia" w:ascii="Times New Roman" w:hAnsi="Times New Roman" w:eastAsia="仿宋"/>
          <w:sz w:val="32"/>
          <w:szCs w:val="32"/>
        </w:rPr>
        <w:t>项目决策情况：</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1、项目立项：</w:t>
      </w:r>
      <w:r>
        <w:rPr>
          <w:rFonts w:hint="eastAsia" w:ascii="Times New Roman" w:hAnsi="Times New Roman" w:eastAsia="仿宋"/>
          <w:sz w:val="32"/>
          <w:szCs w:val="32"/>
          <w:lang w:eastAsia="zh-CN"/>
        </w:rPr>
        <w:t>为了保障重点领域项目建设，实现“六稳”、“六保”的重大举措，根据</w:t>
      </w:r>
      <w:r>
        <w:rPr>
          <w:rFonts w:hint="eastAsia" w:ascii="Times New Roman" w:hAnsi="Times New Roman" w:eastAsia="仿宋"/>
          <w:sz w:val="32"/>
          <w:szCs w:val="32"/>
          <w:lang w:val="en-US" w:eastAsia="zh-CN"/>
        </w:rPr>
        <w:t>2020年6月29日县五届人民政府第44次常务会议第六点《关于2020年债券资金县城基础设施补短板项目及乡镇污水集中处理一体化项目建设工作》议定：（1）原则同意县住建局和县财政局共同商定的17个基础设施补短板项目。2020年8月，县发改局依据县住建局《关于调整中方县县城污水管道建设项目可行性研究报告的申请》做出了《关于调整中方县县城污水管道建设项目可行性研究报告的批复》（中县发改</w:t>
      </w:r>
      <w:r>
        <w:rPr>
          <w:rFonts w:hint="eastAsia" w:ascii="宋体" w:hAnsi="宋体" w:eastAsia="宋体" w:cs="宋体"/>
          <w:sz w:val="32"/>
          <w:szCs w:val="32"/>
          <w:lang w:val="en-US" w:eastAsia="zh-CN"/>
        </w:rPr>
        <w:t>〔</w:t>
      </w:r>
      <w:r>
        <w:rPr>
          <w:rFonts w:hint="eastAsia" w:ascii="Times New Roman" w:hAnsi="Times New Roman" w:eastAsia="仿宋"/>
          <w:sz w:val="32"/>
          <w:szCs w:val="32"/>
          <w:lang w:val="en-US" w:eastAsia="zh-CN"/>
        </w:rPr>
        <w:t>2020</w:t>
      </w:r>
      <w:r>
        <w:rPr>
          <w:rFonts w:hint="eastAsia" w:ascii="微软雅黑" w:hAnsi="微软雅黑" w:eastAsia="微软雅黑" w:cs="微软雅黑"/>
          <w:sz w:val="32"/>
          <w:szCs w:val="32"/>
          <w:lang w:val="en-US" w:eastAsia="zh-CN"/>
        </w:rPr>
        <w:t>〕</w:t>
      </w:r>
      <w:r>
        <w:rPr>
          <w:rFonts w:hint="eastAsia" w:ascii="Times New Roman" w:hAnsi="Times New Roman" w:eastAsia="仿宋"/>
          <w:sz w:val="32"/>
          <w:szCs w:val="32"/>
          <w:lang w:val="en-US" w:eastAsia="zh-CN"/>
        </w:rPr>
        <w:t>95号）</w:t>
      </w:r>
      <w:r>
        <w:rPr>
          <w:rFonts w:hint="eastAsia" w:ascii="Times New Roman" w:hAnsi="Times New Roman" w:eastAsia="仿宋"/>
          <w:sz w:val="32"/>
          <w:szCs w:val="32"/>
        </w:rPr>
        <w:t>，该项目立项依据充分、程序规范。</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2、绩效目标：该项目设立了科学合理的绩效指标体系，一级指标</w:t>
      </w:r>
      <w:r>
        <w:rPr>
          <w:rFonts w:hint="eastAsia" w:ascii="Times New Roman" w:hAnsi="Times New Roman" w:eastAsia="仿宋"/>
          <w:sz w:val="32"/>
          <w:szCs w:val="32"/>
          <w:lang w:val="en-US" w:eastAsia="zh-CN"/>
        </w:rPr>
        <w:t>3</w:t>
      </w:r>
      <w:r>
        <w:rPr>
          <w:rFonts w:hint="eastAsia" w:ascii="Times New Roman" w:hAnsi="Times New Roman" w:eastAsia="仿宋"/>
          <w:sz w:val="32"/>
          <w:szCs w:val="32"/>
        </w:rPr>
        <w:t>个，二级指标9个，三级指标13个，指标清晰、细化、可衡量，能反映和考核项目绩效目标的明化情况。</w:t>
      </w:r>
    </w:p>
    <w:p>
      <w:pPr>
        <w:pStyle w:val="12"/>
        <w:spacing w:line="510" w:lineRule="exact"/>
        <w:ind w:firstLine="640" w:firstLineChars="200"/>
        <w:rPr>
          <w:rFonts w:hint="default" w:ascii="Times New Roman" w:hAnsi="Times New Roman" w:eastAsia="仿宋"/>
          <w:color w:val="auto"/>
          <w:sz w:val="32"/>
          <w:szCs w:val="32"/>
          <w:lang w:val="en-US" w:eastAsia="zh-CN"/>
        </w:rPr>
      </w:pPr>
      <w:r>
        <w:rPr>
          <w:rFonts w:hint="eastAsia" w:ascii="Times New Roman" w:hAnsi="Times New Roman" w:eastAsia="仿宋"/>
          <w:sz w:val="32"/>
          <w:szCs w:val="32"/>
        </w:rPr>
        <w:t>3、资金投入：</w:t>
      </w:r>
      <w:r>
        <w:rPr>
          <w:rFonts w:hint="eastAsia" w:ascii="Times New Roman" w:hAnsi="Times New Roman" w:eastAsia="仿宋"/>
          <w:sz w:val="32"/>
          <w:szCs w:val="32"/>
          <w:lang w:eastAsia="zh-CN"/>
        </w:rPr>
        <w:t>根据</w:t>
      </w:r>
      <w:r>
        <w:rPr>
          <w:rFonts w:hint="eastAsia" w:ascii="Times New Roman" w:hAnsi="Times New Roman" w:eastAsia="仿宋"/>
          <w:sz w:val="32"/>
          <w:szCs w:val="32"/>
          <w:lang w:val="en-US" w:eastAsia="zh-CN"/>
        </w:rPr>
        <w:t>2020年6月29日县五届人民政府第44次常务会议精神，</w:t>
      </w:r>
      <w:r>
        <w:rPr>
          <w:rFonts w:hint="eastAsia" w:ascii="Times New Roman" w:hAnsi="Times New Roman" w:eastAsia="仿宋"/>
          <w:sz w:val="32"/>
          <w:szCs w:val="32"/>
          <w:lang w:eastAsia="zh-CN"/>
        </w:rPr>
        <w:t>给排水管网工程及其必须的路基工程要一并纳入专项债券使用范围内，其他路面工程、亮化工程、绿化工程等要通过县本级专项配套解决</w:t>
      </w:r>
      <w:r>
        <w:rPr>
          <w:rFonts w:hint="eastAsia" w:ascii="Times New Roman" w:hAnsi="Times New Roman" w:eastAsia="仿宋"/>
          <w:color w:val="auto"/>
          <w:sz w:val="32"/>
          <w:szCs w:val="32"/>
          <w:lang w:val="en-US" w:eastAsia="zh-CN"/>
        </w:rPr>
        <w:t>。</w:t>
      </w:r>
    </w:p>
    <w:p>
      <w:pPr>
        <w:pStyle w:val="12"/>
        <w:spacing w:line="510" w:lineRule="exact"/>
        <w:ind w:firstLine="640" w:firstLineChars="200"/>
        <w:rPr>
          <w:rFonts w:ascii="Times New Roman" w:hAnsi="Times New Roman" w:eastAsia="仿宋"/>
          <w:color w:val="auto"/>
          <w:sz w:val="32"/>
          <w:szCs w:val="32"/>
        </w:rPr>
      </w:pPr>
      <w:r>
        <w:rPr>
          <w:rFonts w:hint="eastAsia" w:ascii="Times New Roman" w:hAnsi="Times New Roman" w:eastAsia="仿宋"/>
          <w:color w:val="auto"/>
          <w:sz w:val="32"/>
          <w:szCs w:val="32"/>
        </w:rPr>
        <w:t>（二）</w:t>
      </w:r>
      <w:r>
        <w:rPr>
          <w:rFonts w:ascii="Times New Roman" w:hAnsi="Times New Roman" w:eastAsia="仿宋"/>
          <w:color w:val="auto"/>
          <w:sz w:val="32"/>
          <w:szCs w:val="32"/>
        </w:rPr>
        <w:t>项目</w:t>
      </w:r>
      <w:r>
        <w:rPr>
          <w:rFonts w:hint="eastAsia" w:ascii="Times New Roman" w:hAnsi="Times New Roman" w:eastAsia="仿宋"/>
          <w:color w:val="auto"/>
          <w:sz w:val="32"/>
          <w:szCs w:val="32"/>
        </w:rPr>
        <w:t>过程</w:t>
      </w:r>
      <w:r>
        <w:rPr>
          <w:rFonts w:ascii="Times New Roman" w:hAnsi="Times New Roman" w:eastAsia="仿宋"/>
          <w:color w:val="auto"/>
          <w:sz w:val="32"/>
          <w:szCs w:val="32"/>
        </w:rPr>
        <w:t>情况分析</w:t>
      </w:r>
    </w:p>
    <w:p>
      <w:pPr>
        <w:pStyle w:val="12"/>
        <w:spacing w:line="510" w:lineRule="exact"/>
        <w:ind w:firstLine="640" w:firstLineChars="200"/>
        <w:rPr>
          <w:rFonts w:ascii="Times New Roman" w:hAnsi="Times New Roman" w:eastAsia="仿宋"/>
          <w:color w:val="auto"/>
          <w:sz w:val="32"/>
          <w:szCs w:val="32"/>
        </w:rPr>
      </w:pPr>
      <w:r>
        <w:rPr>
          <w:rFonts w:hint="eastAsia" w:ascii="Times New Roman" w:hAnsi="Times New Roman" w:eastAsia="仿宋"/>
          <w:color w:val="auto"/>
          <w:sz w:val="32"/>
          <w:szCs w:val="32"/>
        </w:rPr>
        <w:t>１、项目资金到位情况分析</w:t>
      </w:r>
    </w:p>
    <w:p>
      <w:pPr>
        <w:pStyle w:val="12"/>
        <w:spacing w:line="510" w:lineRule="exact"/>
        <w:ind w:firstLine="640" w:firstLineChars="200"/>
        <w:rPr>
          <w:rFonts w:hint="eastAsia" w:ascii="Times New Roman" w:hAnsi="Times New Roman" w:eastAsia="仿宋"/>
          <w:color w:val="auto"/>
          <w:sz w:val="32"/>
          <w:szCs w:val="32"/>
          <w:lang w:val="en-US" w:eastAsia="zh-CN"/>
        </w:rPr>
      </w:pPr>
      <w:r>
        <w:rPr>
          <w:rFonts w:hint="eastAsia" w:ascii="Times New Roman" w:hAnsi="Times New Roman" w:eastAsia="仿宋"/>
          <w:color w:val="auto"/>
          <w:sz w:val="32"/>
          <w:szCs w:val="32"/>
          <w:lang w:eastAsia="zh-CN"/>
        </w:rPr>
        <w:t>2020</w:t>
      </w:r>
      <w:r>
        <w:rPr>
          <w:rFonts w:hint="eastAsia" w:ascii="Times New Roman" w:hAnsi="Times New Roman" w:eastAsia="仿宋"/>
          <w:color w:val="auto"/>
          <w:sz w:val="32"/>
          <w:szCs w:val="32"/>
        </w:rPr>
        <w:t>年</w:t>
      </w:r>
      <w:r>
        <w:rPr>
          <w:rFonts w:hint="eastAsia" w:ascii="Times New Roman" w:hAnsi="Times New Roman" w:eastAsia="仿宋"/>
          <w:color w:val="auto"/>
          <w:sz w:val="32"/>
          <w:szCs w:val="32"/>
          <w:lang w:eastAsia="zh-CN"/>
        </w:rPr>
        <w:t>中财预指（</w:t>
      </w:r>
      <w:r>
        <w:rPr>
          <w:rFonts w:hint="eastAsia" w:ascii="Times New Roman" w:hAnsi="Times New Roman" w:eastAsia="仿宋"/>
          <w:color w:val="auto"/>
          <w:sz w:val="32"/>
          <w:szCs w:val="32"/>
          <w:lang w:val="en-US" w:eastAsia="zh-CN"/>
        </w:rPr>
        <w:t>2020</w:t>
      </w:r>
      <w:r>
        <w:rPr>
          <w:rFonts w:hint="eastAsia" w:ascii="Times New Roman" w:hAnsi="Times New Roman" w:eastAsia="仿宋"/>
          <w:color w:val="auto"/>
          <w:sz w:val="32"/>
          <w:szCs w:val="32"/>
          <w:lang w:eastAsia="zh-CN"/>
        </w:rPr>
        <w:t>）</w:t>
      </w:r>
      <w:r>
        <w:rPr>
          <w:rFonts w:hint="eastAsia" w:ascii="Times New Roman" w:hAnsi="Times New Roman" w:eastAsia="仿宋"/>
          <w:color w:val="auto"/>
          <w:sz w:val="32"/>
          <w:szCs w:val="32"/>
          <w:lang w:val="en-US" w:eastAsia="zh-CN"/>
        </w:rPr>
        <w:t>0346</w:t>
      </w:r>
      <w:r>
        <w:rPr>
          <w:rFonts w:hint="eastAsia" w:ascii="Times New Roman" w:hAnsi="Times New Roman" w:eastAsia="仿宋"/>
          <w:color w:val="auto"/>
          <w:sz w:val="32"/>
          <w:szCs w:val="32"/>
        </w:rPr>
        <w:t>安排</w:t>
      </w:r>
      <w:r>
        <w:rPr>
          <w:rFonts w:hint="eastAsia" w:ascii="Times New Roman" w:hAnsi="Times New Roman" w:eastAsia="仿宋"/>
          <w:color w:val="auto"/>
          <w:sz w:val="32"/>
          <w:szCs w:val="32"/>
          <w:lang w:eastAsia="zh-CN"/>
        </w:rPr>
        <w:t>专项债券</w:t>
      </w:r>
      <w:r>
        <w:rPr>
          <w:rFonts w:hint="eastAsia" w:ascii="Times New Roman" w:hAnsi="Times New Roman" w:eastAsia="仿宋"/>
          <w:color w:val="auto"/>
          <w:sz w:val="32"/>
          <w:szCs w:val="32"/>
        </w:rPr>
        <w:t>资金</w:t>
      </w:r>
      <w:r>
        <w:rPr>
          <w:rFonts w:hint="eastAsia" w:ascii="Times New Roman" w:hAnsi="Times New Roman" w:eastAsia="仿宋"/>
          <w:color w:val="auto"/>
          <w:sz w:val="32"/>
          <w:szCs w:val="32"/>
          <w:lang w:val="en-US" w:eastAsia="zh-CN"/>
        </w:rPr>
        <w:t>6764.7</w:t>
      </w:r>
      <w:r>
        <w:rPr>
          <w:rFonts w:hint="eastAsia" w:ascii="Times New Roman" w:hAnsi="Times New Roman" w:eastAsia="仿宋"/>
          <w:color w:val="auto"/>
          <w:sz w:val="32"/>
          <w:szCs w:val="32"/>
        </w:rPr>
        <w:t>万元</w:t>
      </w:r>
      <w:r>
        <w:rPr>
          <w:rFonts w:hint="eastAsia" w:ascii="Times New Roman" w:hAnsi="Times New Roman" w:eastAsia="仿宋"/>
          <w:color w:val="auto"/>
          <w:sz w:val="32"/>
          <w:szCs w:val="32"/>
          <w:lang w:eastAsia="zh-CN"/>
        </w:rPr>
        <w:t>，中财预指（</w:t>
      </w:r>
      <w:r>
        <w:rPr>
          <w:rFonts w:hint="eastAsia" w:ascii="Times New Roman" w:hAnsi="Times New Roman" w:eastAsia="仿宋"/>
          <w:color w:val="auto"/>
          <w:sz w:val="32"/>
          <w:szCs w:val="32"/>
          <w:lang w:val="en-US" w:eastAsia="zh-CN"/>
        </w:rPr>
        <w:t>2020</w:t>
      </w:r>
      <w:r>
        <w:rPr>
          <w:rFonts w:hint="eastAsia" w:ascii="Times New Roman" w:hAnsi="Times New Roman" w:eastAsia="仿宋"/>
          <w:color w:val="auto"/>
          <w:sz w:val="32"/>
          <w:szCs w:val="32"/>
          <w:lang w:eastAsia="zh-CN"/>
        </w:rPr>
        <w:t>）</w:t>
      </w:r>
      <w:r>
        <w:rPr>
          <w:rFonts w:hint="eastAsia" w:ascii="Times New Roman" w:hAnsi="Times New Roman" w:eastAsia="仿宋"/>
          <w:color w:val="auto"/>
          <w:sz w:val="32"/>
          <w:szCs w:val="32"/>
          <w:lang w:val="en-US" w:eastAsia="zh-CN"/>
        </w:rPr>
        <w:t>0347</w:t>
      </w:r>
      <w:r>
        <w:rPr>
          <w:rFonts w:hint="eastAsia" w:ascii="Times New Roman" w:hAnsi="Times New Roman" w:eastAsia="仿宋"/>
          <w:color w:val="auto"/>
          <w:sz w:val="32"/>
          <w:szCs w:val="32"/>
        </w:rPr>
        <w:t>安排</w:t>
      </w:r>
      <w:r>
        <w:rPr>
          <w:rFonts w:hint="eastAsia" w:ascii="Times New Roman" w:hAnsi="Times New Roman" w:eastAsia="仿宋"/>
          <w:color w:val="auto"/>
          <w:sz w:val="32"/>
          <w:szCs w:val="32"/>
          <w:lang w:eastAsia="zh-CN"/>
        </w:rPr>
        <w:t>专项债券</w:t>
      </w:r>
      <w:r>
        <w:rPr>
          <w:rFonts w:hint="eastAsia" w:ascii="Times New Roman" w:hAnsi="Times New Roman" w:eastAsia="仿宋"/>
          <w:color w:val="auto"/>
          <w:sz w:val="32"/>
          <w:szCs w:val="32"/>
        </w:rPr>
        <w:t>资金</w:t>
      </w:r>
      <w:r>
        <w:rPr>
          <w:rFonts w:hint="eastAsia" w:ascii="Times New Roman" w:hAnsi="Times New Roman" w:eastAsia="仿宋"/>
          <w:color w:val="auto"/>
          <w:sz w:val="32"/>
          <w:szCs w:val="32"/>
          <w:lang w:val="en-US" w:eastAsia="zh-CN"/>
        </w:rPr>
        <w:t>5000</w:t>
      </w:r>
      <w:r>
        <w:rPr>
          <w:rFonts w:hint="eastAsia" w:ascii="Times New Roman" w:hAnsi="Times New Roman" w:eastAsia="仿宋"/>
          <w:color w:val="auto"/>
          <w:sz w:val="32"/>
          <w:szCs w:val="32"/>
        </w:rPr>
        <w:t>万元</w:t>
      </w:r>
      <w:r>
        <w:rPr>
          <w:rFonts w:hint="eastAsia" w:ascii="Times New Roman" w:hAnsi="Times New Roman" w:eastAsia="仿宋"/>
          <w:color w:val="auto"/>
          <w:sz w:val="32"/>
          <w:szCs w:val="32"/>
          <w:lang w:eastAsia="zh-CN"/>
        </w:rPr>
        <w:t>，中财预指（</w:t>
      </w:r>
      <w:r>
        <w:rPr>
          <w:rFonts w:hint="eastAsia" w:ascii="Times New Roman" w:hAnsi="Times New Roman" w:eastAsia="仿宋"/>
          <w:color w:val="auto"/>
          <w:sz w:val="32"/>
          <w:szCs w:val="32"/>
          <w:lang w:val="en-US" w:eastAsia="zh-CN"/>
        </w:rPr>
        <w:t>2020</w:t>
      </w:r>
      <w:r>
        <w:rPr>
          <w:rFonts w:hint="eastAsia" w:ascii="Times New Roman" w:hAnsi="Times New Roman" w:eastAsia="仿宋"/>
          <w:color w:val="auto"/>
          <w:sz w:val="32"/>
          <w:szCs w:val="32"/>
          <w:lang w:eastAsia="zh-CN"/>
        </w:rPr>
        <w:t>）</w:t>
      </w:r>
      <w:r>
        <w:rPr>
          <w:rFonts w:hint="eastAsia" w:ascii="Times New Roman" w:hAnsi="Times New Roman" w:eastAsia="仿宋"/>
          <w:color w:val="auto"/>
          <w:sz w:val="32"/>
          <w:szCs w:val="32"/>
          <w:lang w:val="en-US" w:eastAsia="zh-CN"/>
        </w:rPr>
        <w:t>0452</w:t>
      </w:r>
      <w:r>
        <w:rPr>
          <w:rFonts w:hint="eastAsia" w:ascii="Times New Roman" w:hAnsi="Times New Roman" w:eastAsia="仿宋"/>
          <w:color w:val="auto"/>
          <w:sz w:val="32"/>
          <w:szCs w:val="32"/>
        </w:rPr>
        <w:t>安排</w:t>
      </w:r>
      <w:r>
        <w:rPr>
          <w:rFonts w:hint="eastAsia" w:ascii="Times New Roman" w:hAnsi="Times New Roman" w:eastAsia="仿宋"/>
          <w:color w:val="auto"/>
          <w:sz w:val="32"/>
          <w:szCs w:val="32"/>
          <w:lang w:eastAsia="zh-CN"/>
        </w:rPr>
        <w:t>专项债券</w:t>
      </w:r>
      <w:r>
        <w:rPr>
          <w:rFonts w:hint="eastAsia" w:ascii="Times New Roman" w:hAnsi="Times New Roman" w:eastAsia="仿宋"/>
          <w:color w:val="auto"/>
          <w:sz w:val="32"/>
          <w:szCs w:val="32"/>
        </w:rPr>
        <w:t>资金</w:t>
      </w:r>
      <w:r>
        <w:rPr>
          <w:rFonts w:hint="eastAsia" w:ascii="Times New Roman" w:hAnsi="Times New Roman" w:eastAsia="仿宋"/>
          <w:color w:val="auto"/>
          <w:sz w:val="32"/>
          <w:szCs w:val="32"/>
          <w:lang w:val="en-US" w:eastAsia="zh-CN"/>
        </w:rPr>
        <w:t>589.2818万元，</w:t>
      </w:r>
      <w:r>
        <w:rPr>
          <w:rFonts w:hint="eastAsia" w:ascii="Times New Roman" w:hAnsi="Times New Roman" w:eastAsia="仿宋"/>
          <w:color w:val="auto"/>
          <w:sz w:val="32"/>
          <w:szCs w:val="32"/>
          <w:lang w:eastAsia="zh-CN"/>
        </w:rPr>
        <w:t>中财预指（</w:t>
      </w:r>
      <w:r>
        <w:rPr>
          <w:rFonts w:hint="eastAsia" w:ascii="Times New Roman" w:hAnsi="Times New Roman" w:eastAsia="仿宋"/>
          <w:color w:val="auto"/>
          <w:sz w:val="32"/>
          <w:szCs w:val="32"/>
          <w:lang w:val="en-US" w:eastAsia="zh-CN"/>
        </w:rPr>
        <w:t>2020</w:t>
      </w:r>
      <w:r>
        <w:rPr>
          <w:rFonts w:hint="eastAsia" w:ascii="Times New Roman" w:hAnsi="Times New Roman" w:eastAsia="仿宋"/>
          <w:color w:val="auto"/>
          <w:sz w:val="32"/>
          <w:szCs w:val="32"/>
          <w:lang w:eastAsia="zh-CN"/>
        </w:rPr>
        <w:t>）</w:t>
      </w:r>
      <w:r>
        <w:rPr>
          <w:rFonts w:hint="eastAsia" w:ascii="Times New Roman" w:hAnsi="Times New Roman" w:eastAsia="仿宋"/>
          <w:color w:val="auto"/>
          <w:sz w:val="32"/>
          <w:szCs w:val="32"/>
          <w:lang w:val="en-US" w:eastAsia="zh-CN"/>
        </w:rPr>
        <w:t>1385</w:t>
      </w:r>
      <w:r>
        <w:rPr>
          <w:rFonts w:hint="eastAsia" w:ascii="Times New Roman" w:hAnsi="Times New Roman" w:eastAsia="仿宋"/>
          <w:color w:val="auto"/>
          <w:sz w:val="32"/>
          <w:szCs w:val="32"/>
        </w:rPr>
        <w:t>安排</w:t>
      </w:r>
      <w:r>
        <w:rPr>
          <w:rFonts w:hint="eastAsia" w:ascii="Times New Roman" w:hAnsi="Times New Roman" w:eastAsia="仿宋"/>
          <w:color w:val="auto"/>
          <w:sz w:val="32"/>
          <w:szCs w:val="32"/>
          <w:lang w:eastAsia="zh-CN"/>
        </w:rPr>
        <w:t>专项债券</w:t>
      </w:r>
      <w:r>
        <w:rPr>
          <w:rFonts w:hint="eastAsia" w:ascii="Times New Roman" w:hAnsi="Times New Roman" w:eastAsia="仿宋"/>
          <w:color w:val="auto"/>
          <w:sz w:val="32"/>
          <w:szCs w:val="32"/>
        </w:rPr>
        <w:t>资金</w:t>
      </w:r>
      <w:r>
        <w:rPr>
          <w:rFonts w:hint="eastAsia" w:ascii="Times New Roman" w:hAnsi="Times New Roman" w:eastAsia="仿宋"/>
          <w:color w:val="auto"/>
          <w:sz w:val="32"/>
          <w:szCs w:val="32"/>
          <w:lang w:val="en-US" w:eastAsia="zh-CN"/>
        </w:rPr>
        <w:t>1900万元</w:t>
      </w:r>
    </w:p>
    <w:p>
      <w:pPr>
        <w:pStyle w:val="12"/>
        <w:spacing w:line="510" w:lineRule="exact"/>
        <w:ind w:firstLine="640" w:firstLineChars="200"/>
        <w:rPr>
          <w:rFonts w:ascii="Times New Roman" w:hAnsi="Times New Roman" w:eastAsia="仿宋"/>
          <w:color w:val="auto"/>
          <w:sz w:val="32"/>
          <w:szCs w:val="32"/>
        </w:rPr>
      </w:pPr>
      <w:r>
        <w:rPr>
          <w:rFonts w:hint="eastAsia" w:ascii="Times New Roman" w:hAnsi="Times New Roman" w:eastAsia="仿宋"/>
          <w:color w:val="auto"/>
          <w:sz w:val="32"/>
          <w:szCs w:val="32"/>
        </w:rPr>
        <w:t>2、项目资金使用情况分析</w:t>
      </w:r>
    </w:p>
    <w:p>
      <w:pPr>
        <w:pStyle w:val="12"/>
        <w:spacing w:line="510" w:lineRule="exact"/>
        <w:ind w:firstLine="640" w:firstLineChars="200"/>
        <w:rPr>
          <w:rFonts w:hint="default" w:ascii="Times New Roman" w:hAnsi="Times New Roman" w:eastAsia="仿宋"/>
          <w:color w:val="FF0000"/>
          <w:sz w:val="32"/>
          <w:szCs w:val="32"/>
          <w:lang w:val="en-US"/>
        </w:rPr>
      </w:pPr>
      <w:r>
        <w:rPr>
          <w:rFonts w:hint="eastAsia" w:ascii="Times New Roman" w:hAnsi="Times New Roman" w:eastAsia="仿宋"/>
          <w:color w:val="auto"/>
          <w:sz w:val="32"/>
          <w:szCs w:val="32"/>
          <w:lang w:eastAsia="zh-CN"/>
        </w:rPr>
        <w:t>2020</w:t>
      </w:r>
      <w:r>
        <w:rPr>
          <w:rFonts w:hint="eastAsia" w:ascii="Times New Roman" w:hAnsi="Times New Roman" w:eastAsia="仿宋"/>
          <w:color w:val="auto"/>
          <w:sz w:val="32"/>
          <w:szCs w:val="32"/>
        </w:rPr>
        <w:t>年</w:t>
      </w:r>
      <w:r>
        <w:rPr>
          <w:rFonts w:hint="eastAsia" w:ascii="Times New Roman" w:hAnsi="Times New Roman" w:eastAsia="仿宋"/>
          <w:color w:val="auto"/>
          <w:sz w:val="32"/>
          <w:szCs w:val="32"/>
          <w:lang w:eastAsia="zh-CN"/>
        </w:rPr>
        <w:t>城市基础设施补短板</w:t>
      </w:r>
      <w:r>
        <w:rPr>
          <w:rFonts w:hint="eastAsia" w:ascii="仿宋" w:hAnsi="仿宋" w:eastAsia="仿宋"/>
          <w:color w:val="auto"/>
          <w:sz w:val="32"/>
          <w:szCs w:val="32"/>
          <w:lang w:eastAsia="zh-CN"/>
        </w:rPr>
        <w:t>项目</w:t>
      </w:r>
      <w:r>
        <w:rPr>
          <w:rFonts w:hint="eastAsia" w:ascii="仿宋" w:hAnsi="仿宋" w:eastAsia="仿宋"/>
          <w:color w:val="auto"/>
          <w:sz w:val="32"/>
          <w:szCs w:val="32"/>
        </w:rPr>
        <w:t>共实施</w:t>
      </w:r>
      <w:r>
        <w:rPr>
          <w:rFonts w:hint="eastAsia" w:ascii="仿宋" w:hAnsi="仿宋" w:eastAsia="仿宋"/>
          <w:color w:val="auto"/>
          <w:sz w:val="32"/>
          <w:szCs w:val="32"/>
          <w:lang w:val="en-US" w:eastAsia="zh-CN"/>
        </w:rPr>
        <w:t>24个，其中</w:t>
      </w:r>
      <w:r>
        <w:rPr>
          <w:rFonts w:hint="eastAsia" w:ascii="仿宋" w:hAnsi="仿宋" w:eastAsia="仿宋"/>
          <w:color w:val="auto"/>
          <w:sz w:val="32"/>
          <w:szCs w:val="32"/>
        </w:rPr>
        <w:t>专项债券项目</w:t>
      </w:r>
      <w:r>
        <w:rPr>
          <w:rFonts w:ascii="仿宋" w:hAnsi="仿宋" w:eastAsia="仿宋"/>
          <w:color w:val="auto"/>
          <w:sz w:val="32"/>
          <w:szCs w:val="32"/>
        </w:rPr>
        <w:t>2</w:t>
      </w:r>
      <w:r>
        <w:rPr>
          <w:rFonts w:hint="eastAsia" w:ascii="仿宋" w:hAnsi="仿宋" w:eastAsia="仿宋"/>
          <w:color w:val="auto"/>
          <w:sz w:val="32"/>
          <w:szCs w:val="32"/>
          <w:lang w:val="en-US" w:eastAsia="zh-CN"/>
        </w:rPr>
        <w:t>1个，</w:t>
      </w:r>
      <w:r>
        <w:rPr>
          <w:rFonts w:hint="eastAsia" w:ascii="仿宋" w:hAnsi="仿宋" w:eastAsia="仿宋"/>
          <w:color w:val="auto"/>
          <w:sz w:val="32"/>
          <w:szCs w:val="32"/>
          <w:lang w:eastAsia="zh-CN"/>
        </w:rPr>
        <w:t>中央预算内资金项目</w:t>
      </w:r>
      <w:r>
        <w:rPr>
          <w:rFonts w:hint="eastAsia" w:ascii="仿宋" w:hAnsi="仿宋" w:eastAsia="仿宋"/>
          <w:color w:val="000000"/>
          <w:sz w:val="32"/>
          <w:szCs w:val="32"/>
          <w:lang w:val="en-US" w:eastAsia="zh-CN"/>
        </w:rPr>
        <w:t>3个。2020年支付20个项目工程进度款3354.68141万元。</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3、项目资金管理情况分析</w:t>
      </w:r>
    </w:p>
    <w:p>
      <w:pPr>
        <w:pStyle w:val="12"/>
        <w:spacing w:line="510" w:lineRule="exact"/>
        <w:ind w:firstLine="640" w:firstLineChars="200"/>
        <w:rPr>
          <w:rFonts w:hint="eastAsia" w:ascii="Times New Roman" w:hAnsi="Times New Roman" w:eastAsia="仿宋"/>
          <w:sz w:val="32"/>
          <w:szCs w:val="32"/>
          <w:lang w:eastAsia="zh-CN"/>
        </w:rPr>
      </w:pPr>
      <w:r>
        <w:rPr>
          <w:rFonts w:ascii="Times New Roman" w:hAnsi="Times New Roman" w:eastAsia="仿宋"/>
          <w:sz w:val="32"/>
          <w:szCs w:val="32"/>
        </w:rPr>
        <w:t> </w:t>
      </w:r>
      <w:r>
        <w:rPr>
          <w:rFonts w:hint="eastAsia" w:ascii="Times New Roman" w:hAnsi="Times New Roman" w:eastAsia="仿宋"/>
          <w:sz w:val="32"/>
          <w:szCs w:val="32"/>
          <w:lang w:eastAsia="zh-CN"/>
        </w:rPr>
        <w:t>城市基础设施补短板</w:t>
      </w:r>
      <w:r>
        <w:rPr>
          <w:rFonts w:hint="eastAsia" w:ascii="Times New Roman" w:hAnsi="Times New Roman" w:eastAsia="仿宋"/>
          <w:sz w:val="32"/>
          <w:szCs w:val="32"/>
        </w:rPr>
        <w:t>项目</w:t>
      </w:r>
      <w:r>
        <w:rPr>
          <w:rFonts w:ascii="Times New Roman" w:hAnsi="Times New Roman" w:eastAsia="仿宋"/>
          <w:sz w:val="32"/>
          <w:szCs w:val="32"/>
        </w:rPr>
        <w:t>资金及时足额拨付到位，没有出现违规使用资金行为，使项目的实施得到了资金的保障。资金</w:t>
      </w:r>
      <w:r>
        <w:rPr>
          <w:rFonts w:hint="eastAsia" w:ascii="Times New Roman" w:hAnsi="Times New Roman" w:eastAsia="仿宋"/>
          <w:sz w:val="32"/>
          <w:szCs w:val="32"/>
        </w:rPr>
        <w:t>的拨付有完整的审批程序和手续，</w:t>
      </w:r>
      <w:r>
        <w:rPr>
          <w:rFonts w:ascii="Times New Roman" w:hAnsi="Times New Roman" w:eastAsia="仿宋"/>
          <w:sz w:val="32"/>
          <w:szCs w:val="32"/>
        </w:rPr>
        <w:t>建立了项目财务管理制度，即专户管理、项目资金预拔和清算、财务公开公示、实行质量保证金等四项制度。所有项目开支通过</w:t>
      </w:r>
      <w:r>
        <w:rPr>
          <w:rFonts w:hint="eastAsia" w:ascii="Times New Roman" w:hAnsi="Times New Roman" w:eastAsia="仿宋"/>
          <w:sz w:val="32"/>
          <w:szCs w:val="32"/>
        </w:rPr>
        <w:t>国库</w:t>
      </w:r>
      <w:r>
        <w:rPr>
          <w:rFonts w:ascii="Times New Roman" w:hAnsi="Times New Roman" w:eastAsia="仿宋"/>
          <w:sz w:val="32"/>
          <w:szCs w:val="32"/>
        </w:rPr>
        <w:t>集中支</w:t>
      </w:r>
      <w:r>
        <w:rPr>
          <w:rFonts w:hint="eastAsia" w:ascii="Times New Roman" w:hAnsi="Times New Roman" w:eastAsia="仿宋"/>
          <w:sz w:val="32"/>
          <w:szCs w:val="32"/>
          <w:lang w:eastAsia="zh-CN"/>
        </w:rPr>
        <w:t>付，施工单位领款时必须提供工程施工合同、工程结算单、发票等，财务手续齐全。</w:t>
      </w:r>
    </w:p>
    <w:p>
      <w:pPr>
        <w:pStyle w:val="12"/>
        <w:spacing w:line="510" w:lineRule="exact"/>
        <w:ind w:firstLine="640" w:firstLineChars="200"/>
        <w:rPr>
          <w:rFonts w:hint="eastAsia" w:ascii="Times New Roman" w:hAnsi="Times New Roman" w:eastAsia="仿宋"/>
          <w:sz w:val="32"/>
          <w:szCs w:val="32"/>
          <w:lang w:eastAsia="zh-CN"/>
        </w:rPr>
      </w:pPr>
      <w:r>
        <w:rPr>
          <w:rFonts w:hint="eastAsia" w:ascii="Times New Roman" w:hAnsi="Times New Roman" w:eastAsia="仿宋"/>
          <w:sz w:val="32"/>
          <w:szCs w:val="32"/>
          <w:lang w:eastAsia="zh-CN"/>
        </w:rPr>
        <w:t>（三）项目产出情况 </w:t>
      </w:r>
    </w:p>
    <w:p>
      <w:pPr>
        <w:pStyle w:val="12"/>
        <w:spacing w:line="510" w:lineRule="exact"/>
        <w:ind w:firstLine="640" w:firstLineChars="200"/>
        <w:rPr>
          <w:rFonts w:hint="eastAsia" w:ascii="Times New Roman" w:hAnsi="Times New Roman" w:eastAsia="仿宋"/>
          <w:sz w:val="32"/>
          <w:szCs w:val="32"/>
          <w:lang w:eastAsia="zh-CN"/>
        </w:rPr>
      </w:pPr>
      <w:r>
        <w:rPr>
          <w:rFonts w:hint="eastAsia" w:ascii="Times New Roman" w:hAnsi="Times New Roman" w:eastAsia="仿宋"/>
          <w:sz w:val="32"/>
          <w:szCs w:val="32"/>
          <w:lang w:eastAsia="zh-CN"/>
        </w:rPr>
        <w:t> 城市基础设施补短板项目，严格按照确定的建设内容开展项目建设工作，因该项目范围和内容较多，项目存在施工单位对于预算单价有异议等客观因素，截止</w:t>
      </w:r>
      <w:r>
        <w:rPr>
          <w:rFonts w:hint="eastAsia" w:ascii="Times New Roman" w:hAnsi="Times New Roman" w:eastAsia="仿宋"/>
          <w:sz w:val="32"/>
          <w:szCs w:val="32"/>
          <w:lang w:val="en-US" w:eastAsia="zh-CN"/>
        </w:rPr>
        <w:t>2020年12月31日，24个项目完工5个，目前已完工项目正在进行结算审计，现将</w:t>
      </w:r>
      <w:r>
        <w:rPr>
          <w:rFonts w:hint="eastAsia" w:ascii="Times New Roman" w:hAnsi="Times New Roman" w:eastAsia="仿宋"/>
          <w:sz w:val="32"/>
          <w:szCs w:val="32"/>
          <w:lang w:eastAsia="zh-CN"/>
        </w:rPr>
        <w:t>项目实施情况分析如下：</w:t>
      </w:r>
    </w:p>
    <w:p>
      <w:pPr>
        <w:pStyle w:val="12"/>
        <w:spacing w:line="510" w:lineRule="exact"/>
        <w:ind w:firstLine="640" w:firstLineChars="200"/>
        <w:rPr>
          <w:rFonts w:hint="eastAsia" w:ascii="Times New Roman" w:hAnsi="Times New Roman" w:eastAsia="仿宋"/>
          <w:sz w:val="32"/>
          <w:szCs w:val="32"/>
          <w:lang w:eastAsia="zh-CN"/>
        </w:rPr>
      </w:pPr>
      <w:r>
        <w:rPr>
          <w:rFonts w:hint="eastAsia" w:ascii="Times New Roman" w:hAnsi="Times New Roman" w:eastAsia="仿宋"/>
          <w:sz w:val="32"/>
          <w:szCs w:val="32"/>
          <w:lang w:val="en-US" w:eastAsia="zh-CN"/>
        </w:rPr>
        <w:t>1、</w:t>
      </w:r>
      <w:r>
        <w:rPr>
          <w:rFonts w:hint="eastAsia" w:ascii="Times New Roman" w:hAnsi="Times New Roman" w:eastAsia="仿宋"/>
          <w:sz w:val="32"/>
          <w:szCs w:val="32"/>
          <w:lang w:eastAsia="zh-CN"/>
        </w:rPr>
        <w:t>全面完成</w:t>
      </w:r>
      <w:r>
        <w:rPr>
          <w:rFonts w:hint="eastAsia" w:ascii="仿宋" w:hAnsi="仿宋" w:eastAsia="仿宋"/>
          <w:color w:val="000000"/>
          <w:sz w:val="32"/>
          <w:szCs w:val="32"/>
          <w:lang w:val="en-US" w:eastAsia="zh-CN"/>
        </w:rPr>
        <w:t>同乐安置区供水改造、丹桂路电缆沟改造、同乐新村污水管网改造、荷花池污水泵房、香樟东路给水工程改造5个项目的建设任务，其余项目综合建设进度约为58%</w:t>
      </w:r>
      <w:r>
        <w:rPr>
          <w:rFonts w:hint="eastAsia" w:ascii="Times New Roman" w:hAnsi="Times New Roman" w:eastAsia="仿宋"/>
          <w:sz w:val="32"/>
          <w:szCs w:val="32"/>
          <w:lang w:eastAsia="zh-CN"/>
        </w:rPr>
        <w:t>。</w:t>
      </w:r>
    </w:p>
    <w:p>
      <w:pPr>
        <w:pStyle w:val="12"/>
        <w:spacing w:line="510" w:lineRule="exact"/>
        <w:ind w:firstLine="640" w:firstLineChars="200"/>
        <w:rPr>
          <w:rFonts w:hint="eastAsia" w:ascii="Times New Roman" w:hAnsi="Times New Roman" w:eastAsia="仿宋"/>
          <w:color w:val="auto"/>
          <w:sz w:val="32"/>
          <w:szCs w:val="32"/>
          <w:lang w:eastAsia="zh-CN"/>
        </w:rPr>
      </w:pPr>
      <w:r>
        <w:rPr>
          <w:rFonts w:hint="eastAsia" w:ascii="Times New Roman" w:hAnsi="Times New Roman" w:eastAsia="仿宋"/>
          <w:sz w:val="32"/>
          <w:szCs w:val="32"/>
          <w:lang w:val="en-US" w:eastAsia="zh-CN"/>
        </w:rPr>
        <w:t>2、</w:t>
      </w:r>
      <w:r>
        <w:rPr>
          <w:rFonts w:hint="eastAsia" w:ascii="Times New Roman" w:hAnsi="Times New Roman" w:eastAsia="仿宋"/>
          <w:sz w:val="32"/>
          <w:szCs w:val="32"/>
          <w:lang w:eastAsia="zh-CN"/>
        </w:rPr>
        <w:t>项目经责任主体单位及中方县建设工程质量安全监督站实地勘察，已竣工项目的工程质量符合行业标准，在建项目已督促施工单位加快项目建设进度。</w:t>
      </w:r>
    </w:p>
    <w:p>
      <w:pPr>
        <w:pStyle w:val="12"/>
        <w:numPr>
          <w:ilvl w:val="0"/>
          <w:numId w:val="0"/>
        </w:numPr>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（四）项目效益情况。</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通过增加</w:t>
      </w:r>
      <w:r>
        <w:rPr>
          <w:rFonts w:hint="eastAsia" w:ascii="Times New Roman" w:hAnsi="Times New Roman" w:eastAsia="仿宋"/>
          <w:sz w:val="32"/>
          <w:szCs w:val="32"/>
          <w:lang w:eastAsia="zh-CN"/>
        </w:rPr>
        <w:t>城市基础设施补短板项目</w:t>
      </w:r>
      <w:r>
        <w:rPr>
          <w:rFonts w:hint="eastAsia" w:ascii="Times New Roman" w:hAnsi="Times New Roman" w:eastAsia="仿宋"/>
          <w:sz w:val="32"/>
          <w:szCs w:val="32"/>
        </w:rPr>
        <w:t>项目经费，通过财政监督，部门审核</w:t>
      </w:r>
      <w:r>
        <w:rPr>
          <w:rFonts w:hint="eastAsia" w:ascii="Times New Roman" w:hAnsi="Times New Roman" w:eastAsia="仿宋"/>
          <w:sz w:val="32"/>
          <w:szCs w:val="32"/>
          <w:lang w:eastAsia="zh-CN"/>
        </w:rPr>
        <w:t>城市基础设施补短板项目</w:t>
      </w:r>
      <w:r>
        <w:rPr>
          <w:rFonts w:hint="eastAsia" w:ascii="Times New Roman" w:hAnsi="Times New Roman" w:eastAsia="仿宋"/>
          <w:sz w:val="32"/>
          <w:szCs w:val="32"/>
        </w:rPr>
        <w:t>项目资金得到充足、高效利用。</w:t>
      </w:r>
    </w:p>
    <w:p>
      <w:pPr>
        <w:pStyle w:val="12"/>
        <w:spacing w:line="510" w:lineRule="exact"/>
        <w:ind w:firstLine="643" w:firstLineChars="200"/>
        <w:rPr>
          <w:rFonts w:hint="eastAsia" w:ascii="Times New Roman" w:hAnsi="Times New Roman" w:eastAsia="楷体"/>
          <w:b/>
          <w:sz w:val="32"/>
          <w:szCs w:val="32"/>
        </w:rPr>
      </w:pPr>
      <w:r>
        <w:rPr>
          <w:rFonts w:hint="eastAsia" w:ascii="Times New Roman" w:hAnsi="Times New Roman" w:eastAsia="楷体"/>
          <w:b/>
          <w:sz w:val="32"/>
          <w:szCs w:val="32"/>
          <w:lang w:eastAsia="zh-CN"/>
        </w:rPr>
        <w:t>五、</w:t>
      </w:r>
      <w:r>
        <w:rPr>
          <w:rFonts w:hint="eastAsia" w:ascii="Times New Roman" w:hAnsi="Times New Roman" w:eastAsia="楷体"/>
          <w:b/>
          <w:sz w:val="32"/>
          <w:szCs w:val="32"/>
        </w:rPr>
        <w:t>主要经验及做法、存在的问题及原因分析</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（一）主要经验</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10" w:lineRule="exact"/>
        <w:ind w:right="0"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（一）加强组织领导。</w:t>
      </w:r>
      <w:r>
        <w:rPr>
          <w:rFonts w:hint="eastAsia" w:ascii="仿宋" w:hAnsi="仿宋" w:eastAsia="仿宋" w:cstheme="minorBidi"/>
          <w:color w:val="000000"/>
          <w:kern w:val="2"/>
          <w:sz w:val="32"/>
          <w:szCs w:val="32"/>
          <w:lang w:val="en-US" w:eastAsia="zh-CN" w:bidi="ar-SA"/>
        </w:rPr>
        <w:t>我县于3月15日成立了由县委二级调研员潘存金为部长，副县长周怀志为副部长，县委办副主任易艳芳、县住建局局长彭开贵、县城管局副局长潘长水、县交通运输局陈初长、县征收办副主任向明国、县自然资源局潘才利及县住建局陈军、潘玉元为成员的县城市基础设施补短板项目部，项目部办公室设县住建局202室，由陈军任办公室主任，负责处理日常工作</w:t>
      </w:r>
      <w:r>
        <w:rPr>
          <w:rFonts w:hint="eastAsia" w:ascii="仿宋" w:hAnsi="仿宋" w:eastAsia="仿宋" w:cs="仿宋"/>
          <w:b w:val="0"/>
          <w:bCs w:val="0"/>
          <w:kern w:val="2"/>
          <w:sz w:val="32"/>
          <w:szCs w:val="32"/>
          <w:lang w:val="en-US" w:eastAsia="zh-CN" w:bidi="ar-SA"/>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10" w:lineRule="exact"/>
        <w:ind w:right="0"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（二）每月开展督促检查。基础设施补短板项目由县委、县政府督查室每月开展督促巡查，并形成督查通过，以强有力推进项目建设进度。</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10" w:lineRule="exact"/>
        <w:ind w:right="0"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三）每周调度工程进度。2020年我县基础设施补短板项目进度在全市排名滞后，县委、县政府审时度势，从2020年11月份以来，每周都要调度项目进度一次，并在基础设施补短板项目进度挂牌督战表上予以每周更新。</w:t>
      </w:r>
    </w:p>
    <w:p>
      <w:pPr>
        <w:pStyle w:val="12"/>
        <w:keepNext w:val="0"/>
        <w:keepLines w:val="0"/>
        <w:pageBreakBefore w:val="0"/>
        <w:kinsoku/>
        <w:wordWrap/>
        <w:overflowPunct/>
        <w:topLinePunct w:val="0"/>
        <w:autoSpaceDE/>
        <w:autoSpaceDN/>
        <w:bidi w:val="0"/>
        <w:adjustRightInd/>
        <w:snapToGrid/>
        <w:spacing w:line="510" w:lineRule="exact"/>
        <w:ind w:firstLine="640" w:firstLineChars="200"/>
        <w:textAlignment w:val="auto"/>
        <w:rPr>
          <w:rFonts w:ascii="Times New Roman" w:hAnsi="Times New Roman" w:eastAsia="仿宋"/>
          <w:sz w:val="32"/>
          <w:szCs w:val="32"/>
        </w:rPr>
      </w:pPr>
      <w:r>
        <w:rPr>
          <w:rFonts w:hint="eastAsia" w:ascii="仿宋" w:hAnsi="仿宋" w:eastAsia="仿宋" w:cs="仿宋"/>
          <w:b w:val="0"/>
          <w:bCs w:val="0"/>
          <w:kern w:val="2"/>
          <w:sz w:val="32"/>
          <w:szCs w:val="32"/>
          <w:lang w:val="en-US" w:eastAsia="zh-CN" w:bidi="ar-SA"/>
        </w:rPr>
        <w:t>（四）限时下发交办通知书。全年基础设施补短板项目，县委、县政府主要领导共现场调度两次，专题调度两次，梳理了各类问题35个，为进一步压实相关部门责任，县委、县政府两办两次给11个责任单位下发了限时交办通知书。</w:t>
      </w:r>
    </w:p>
    <w:p>
      <w:pPr>
        <w:pStyle w:val="12"/>
        <w:spacing w:line="510" w:lineRule="exact"/>
        <w:ind w:firstLine="960" w:firstLineChars="300"/>
        <w:rPr>
          <w:rFonts w:ascii="Times New Roman" w:hAnsi="Times New Roman" w:eastAsia="仿宋"/>
          <w:sz w:val="32"/>
          <w:szCs w:val="32"/>
        </w:rPr>
      </w:pPr>
      <w:r>
        <w:rPr>
          <w:rFonts w:hint="eastAsia" w:ascii="Times New Roman" w:hAnsi="Times New Roman" w:eastAsia="仿宋"/>
          <w:sz w:val="32"/>
          <w:szCs w:val="32"/>
        </w:rPr>
        <w:t>(二）存在的问题：</w:t>
      </w:r>
      <w:r>
        <w:rPr>
          <w:rFonts w:hint="eastAsia" w:ascii="Times New Roman" w:hAnsi="Times New Roman" w:eastAsia="仿宋"/>
          <w:sz w:val="32"/>
          <w:szCs w:val="32"/>
          <w:lang w:val="en-US" w:eastAsia="zh-CN"/>
        </w:rPr>
        <w:t>1、</w:t>
      </w:r>
      <w:r>
        <w:rPr>
          <w:rFonts w:hint="eastAsia" w:ascii="Times New Roman" w:hAnsi="Times New Roman" w:eastAsia="仿宋"/>
          <w:sz w:val="32"/>
          <w:szCs w:val="32"/>
        </w:rPr>
        <w:t>工程项目范围和内容较多，</w:t>
      </w:r>
      <w:r>
        <w:rPr>
          <w:rFonts w:hint="eastAsia" w:ascii="Times New Roman" w:hAnsi="Times New Roman" w:eastAsia="仿宋"/>
          <w:sz w:val="32"/>
          <w:szCs w:val="32"/>
          <w:lang w:eastAsia="zh-CN"/>
        </w:rPr>
        <w:t>建设施工时间较长，部分项目出现超预算情况。</w:t>
      </w:r>
      <w:r>
        <w:rPr>
          <w:rFonts w:hint="eastAsia" w:ascii="Times New Roman" w:hAnsi="Times New Roman" w:eastAsia="仿宋"/>
          <w:sz w:val="32"/>
          <w:szCs w:val="32"/>
          <w:lang w:val="en-US" w:eastAsia="zh-CN"/>
        </w:rPr>
        <w:t>2、</w:t>
      </w:r>
      <w:r>
        <w:rPr>
          <w:rFonts w:hint="eastAsia" w:ascii="Times New Roman" w:hAnsi="Times New Roman" w:eastAsia="仿宋"/>
          <w:sz w:val="32"/>
          <w:szCs w:val="32"/>
        </w:rPr>
        <w:t>部分目标实</w:t>
      </w:r>
      <w:r>
        <w:rPr>
          <w:rFonts w:hint="eastAsia" w:ascii="Times New Roman" w:hAnsi="Times New Roman" w:eastAsia="仿宋"/>
          <w:sz w:val="32"/>
          <w:szCs w:val="32"/>
          <w:lang w:eastAsia="zh-CN"/>
        </w:rPr>
        <w:t>施</w:t>
      </w:r>
      <w:r>
        <w:rPr>
          <w:rFonts w:hint="eastAsia" w:ascii="Times New Roman" w:hAnsi="Times New Roman" w:eastAsia="仿宋"/>
          <w:sz w:val="32"/>
          <w:szCs w:val="32"/>
        </w:rPr>
        <w:t>需要较长的评价时间，目标实际完成值受年度统计时限影响较大。</w:t>
      </w:r>
    </w:p>
    <w:p>
      <w:pPr>
        <w:pStyle w:val="12"/>
        <w:spacing w:line="510" w:lineRule="exact"/>
        <w:ind w:firstLine="643" w:firstLineChars="200"/>
        <w:rPr>
          <w:rFonts w:hint="eastAsia" w:ascii="Times New Roman" w:hAnsi="Times New Roman" w:eastAsia="楷体"/>
          <w:b/>
          <w:sz w:val="32"/>
          <w:szCs w:val="32"/>
          <w:lang w:eastAsia="zh-CN"/>
        </w:rPr>
      </w:pPr>
      <w:r>
        <w:rPr>
          <w:rFonts w:hint="eastAsia" w:ascii="Times New Roman" w:hAnsi="Times New Roman" w:eastAsia="楷体"/>
          <w:b/>
          <w:sz w:val="32"/>
          <w:szCs w:val="32"/>
          <w:lang w:eastAsia="zh-CN"/>
        </w:rPr>
        <w:t>六、有关建议</w:t>
      </w:r>
    </w:p>
    <w:p>
      <w:pPr>
        <w:numPr>
          <w:ilvl w:val="0"/>
          <w:numId w:val="0"/>
        </w:numPr>
        <w:spacing w:line="480" w:lineRule="exact"/>
        <w:ind w:firstLine="1280" w:firstLineChars="400"/>
        <w:rPr>
          <w:rFonts w:ascii="Times New Roman" w:hAnsi="Times New Roman" w:eastAsia="仿宋"/>
          <w:sz w:val="32"/>
          <w:szCs w:val="32"/>
        </w:rPr>
      </w:pPr>
      <w:r>
        <w:rPr>
          <w:rFonts w:hint="eastAsia" w:ascii="Times New Roman" w:hAnsi="Times New Roman" w:eastAsia="仿宋"/>
          <w:sz w:val="32"/>
          <w:szCs w:val="32"/>
          <w:lang w:val="en-US" w:eastAsia="zh-CN"/>
        </w:rPr>
        <w:t>1、</w:t>
      </w:r>
      <w:r>
        <w:rPr>
          <w:rFonts w:hint="eastAsia" w:ascii="仿宋" w:hAnsi="仿宋" w:eastAsia="仿宋" w:cs="仿宋"/>
          <w:sz w:val="32"/>
          <w:szCs w:val="32"/>
        </w:rPr>
        <w:t>细化预算编制工作，认真做好预算的编制。</w:t>
      </w:r>
      <w:r>
        <w:rPr>
          <w:rFonts w:hint="eastAsia" w:ascii="Times New Roman" w:hAnsi="Times New Roman" w:eastAsia="仿宋"/>
          <w:sz w:val="32"/>
          <w:szCs w:val="32"/>
          <w:lang w:val="en-US" w:eastAsia="zh-CN"/>
        </w:rPr>
        <w:t>2、</w:t>
      </w:r>
      <w:r>
        <w:rPr>
          <w:rFonts w:hint="eastAsia" w:ascii="Times New Roman" w:hAnsi="Times New Roman" w:eastAsia="仿宋"/>
          <w:sz w:val="32"/>
          <w:szCs w:val="32"/>
        </w:rPr>
        <w:t>建</w:t>
      </w:r>
      <w:r>
        <w:rPr>
          <w:rFonts w:hint="eastAsia" w:ascii="Times New Roman" w:hAnsi="Times New Roman" w:eastAsia="仿宋"/>
          <w:sz w:val="32"/>
          <w:szCs w:val="32"/>
          <w:lang w:eastAsia="zh-CN"/>
        </w:rPr>
        <w:t>议</w:t>
      </w:r>
      <w:r>
        <w:rPr>
          <w:rFonts w:hint="eastAsia" w:ascii="Times New Roman" w:hAnsi="Times New Roman" w:eastAsia="仿宋"/>
          <w:sz w:val="32"/>
          <w:szCs w:val="32"/>
        </w:rPr>
        <w:t>对实施跨度大的项目，开展项目实施过程的绩效评价，待项目完成后，再开展项目完成绩效评价，更能准确。</w:t>
      </w:r>
    </w:p>
    <w:p>
      <w:pPr>
        <w:pStyle w:val="12"/>
        <w:spacing w:line="510" w:lineRule="exact"/>
        <w:ind w:firstLine="643" w:firstLineChars="200"/>
        <w:rPr>
          <w:rFonts w:hint="eastAsia" w:ascii="Times New Roman" w:hAnsi="Times New Roman" w:eastAsia="楷体"/>
          <w:b/>
          <w:sz w:val="32"/>
          <w:szCs w:val="32"/>
          <w:lang w:eastAsia="zh-CN"/>
        </w:rPr>
      </w:pPr>
      <w:r>
        <w:rPr>
          <w:rFonts w:hint="eastAsia" w:ascii="Times New Roman" w:hAnsi="Times New Roman" w:eastAsia="楷体"/>
          <w:b/>
          <w:sz w:val="32"/>
          <w:szCs w:val="32"/>
          <w:lang w:eastAsia="zh-CN"/>
        </w:rPr>
        <w:t>七、其他需要说明的问题</w:t>
      </w:r>
    </w:p>
    <w:p>
      <w:pPr>
        <w:pStyle w:val="12"/>
        <w:spacing w:line="510" w:lineRule="exact"/>
        <w:ind w:firstLine="1920" w:firstLineChars="600"/>
        <w:rPr>
          <w:rFonts w:ascii="Times New Roman" w:hAnsi="Times New Roman" w:eastAsia="仿宋"/>
          <w:sz w:val="32"/>
          <w:szCs w:val="32"/>
        </w:rPr>
      </w:pPr>
      <w:r>
        <w:rPr>
          <w:rFonts w:hint="eastAsia" w:ascii="Times New Roman" w:hAnsi="Times New Roman" w:eastAsia="仿宋"/>
          <w:sz w:val="32"/>
          <w:szCs w:val="32"/>
        </w:rPr>
        <w:t>无</w:t>
      </w: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960" w:firstLineChars="300"/>
        <w:jc w:val="left"/>
        <w:rPr>
          <w:rFonts w:ascii="Times New Roman" w:hAnsi="Times New Roman" w:eastAsia="仿宋_GB2312"/>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6"/>
        <w:tblW w:w="9137" w:type="dxa"/>
        <w:jc w:val="center"/>
        <w:tblLayout w:type="fixed"/>
        <w:tblCellMar>
          <w:top w:w="0" w:type="dxa"/>
          <w:left w:w="108" w:type="dxa"/>
          <w:bottom w:w="0" w:type="dxa"/>
          <w:right w:w="108" w:type="dxa"/>
        </w:tblCellMar>
      </w:tblPr>
      <w:tblGrid>
        <w:gridCol w:w="588"/>
        <w:gridCol w:w="980"/>
        <w:gridCol w:w="1112"/>
        <w:gridCol w:w="730"/>
        <w:gridCol w:w="1134"/>
        <w:gridCol w:w="284"/>
        <w:gridCol w:w="1131"/>
        <w:gridCol w:w="853"/>
        <w:gridCol w:w="105"/>
        <w:gridCol w:w="454"/>
        <w:gridCol w:w="150"/>
        <w:gridCol w:w="275"/>
        <w:gridCol w:w="576"/>
        <w:gridCol w:w="708"/>
        <w:gridCol w:w="57"/>
      </w:tblGrid>
      <w:tr>
        <w:tblPrEx>
          <w:tblCellMar>
            <w:top w:w="0" w:type="dxa"/>
            <w:left w:w="108" w:type="dxa"/>
            <w:bottom w:w="0" w:type="dxa"/>
            <w:right w:w="108" w:type="dxa"/>
          </w:tblCellMar>
        </w:tblPrEx>
        <w:trPr>
          <w:gridAfter w:val="1"/>
          <w:wAfter w:w="57" w:type="dxa"/>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After w:val="1"/>
          <w:wAfter w:w="57" w:type="dxa"/>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kern w:val="0"/>
                <w:sz w:val="22"/>
              </w:rPr>
            </w:pPr>
            <w:r>
              <w:rPr>
                <w:rFonts w:ascii="Times New Roman" w:hAnsi="Times New Roman"/>
                <w:kern w:val="0"/>
                <w:sz w:val="22"/>
              </w:rPr>
              <w:t>（20</w:t>
            </w:r>
            <w:r>
              <w:rPr>
                <w:rFonts w:hint="eastAsia" w:ascii="Times New Roman" w:hAnsi="Times New Roman"/>
                <w:kern w:val="0"/>
                <w:sz w:val="22"/>
                <w:lang w:val="en-US" w:eastAsia="zh-CN"/>
              </w:rPr>
              <w:t>20</w:t>
            </w:r>
            <w:r>
              <w:rPr>
                <w:rFonts w:ascii="Times New Roman" w:hAnsi="Times New Roman"/>
                <w:kern w:val="0"/>
                <w:sz w:val="22"/>
              </w:rPr>
              <w:t>年度）</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eastAsia="zh-CN"/>
              </w:rPr>
              <w:t>城市基础设施补短板项目</w:t>
            </w:r>
            <w:r>
              <w:rPr>
                <w:rFonts w:hint="eastAsia" w:ascii="Times New Roman" w:hAnsi="Times New Roman"/>
                <w:kern w:val="0"/>
                <w:sz w:val="18"/>
                <w:szCs w:val="18"/>
              </w:rPr>
              <w:t>项目</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r>
      <w:tr>
        <w:tblPrEx>
          <w:tblCellMar>
            <w:top w:w="0" w:type="dxa"/>
            <w:left w:w="108" w:type="dxa"/>
            <w:bottom w:w="0" w:type="dxa"/>
            <w:right w:w="108" w:type="dxa"/>
          </w:tblCellMar>
        </w:tblPrEx>
        <w:trPr>
          <w:gridAfter w:val="1"/>
          <w:wAfter w:w="57" w:type="dxa"/>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1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kern w:val="0"/>
                <w:sz w:val="20"/>
                <w:szCs w:val="20"/>
              </w:rPr>
              <w:t>（A）</w:t>
            </w: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kern w:val="0"/>
                <w:sz w:val="20"/>
                <w:szCs w:val="20"/>
              </w:rPr>
              <w:t>（B）</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olor w:val="auto"/>
                <w:kern w:val="0"/>
                <w:sz w:val="18"/>
                <w:szCs w:val="18"/>
              </w:rPr>
            </w:pPr>
            <w:r>
              <w:rPr>
                <w:rFonts w:ascii="Times New Roman" w:hAnsi="Times New Roman"/>
                <w:color w:val="auto"/>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olor w:val="auto"/>
                <w:kern w:val="0"/>
                <w:sz w:val="18"/>
                <w:szCs w:val="18"/>
                <w:lang w:val="en-US" w:eastAsia="zh-CN"/>
              </w:rPr>
            </w:pPr>
            <w:r>
              <w:rPr>
                <w:rFonts w:hint="eastAsia" w:ascii="Times New Roman" w:hAnsi="Times New Roman"/>
                <w:color w:val="auto"/>
                <w:kern w:val="0"/>
                <w:sz w:val="18"/>
                <w:szCs w:val="18"/>
                <w:lang w:val="en-US" w:eastAsia="zh-CN"/>
              </w:rPr>
              <w:t>0</w:t>
            </w:r>
          </w:p>
        </w:tc>
        <w:tc>
          <w:tcPr>
            <w:tcW w:w="1415" w:type="dxa"/>
            <w:gridSpan w:val="2"/>
            <w:tcBorders>
              <w:top w:val="nil"/>
              <w:left w:val="nil"/>
              <w:bottom w:val="single" w:color="auto" w:sz="4" w:space="0"/>
              <w:right w:val="single" w:color="auto" w:sz="4" w:space="0"/>
            </w:tcBorders>
          </w:tcPr>
          <w:p>
            <w:pPr>
              <w:rPr>
                <w:rFonts w:hint="default"/>
                <w:color w:val="auto"/>
                <w:lang w:val="en-US"/>
              </w:rPr>
            </w:pPr>
            <w:r>
              <w:rPr>
                <w:rFonts w:hint="eastAsia" w:ascii="Times New Roman" w:hAnsi="Times New Roman"/>
                <w:color w:val="auto"/>
                <w:kern w:val="0"/>
                <w:sz w:val="18"/>
                <w:szCs w:val="18"/>
                <w:lang w:val="en-US" w:eastAsia="zh-CN"/>
              </w:rPr>
              <w:t>3354.68</w:t>
            </w:r>
          </w:p>
        </w:tc>
        <w:tc>
          <w:tcPr>
            <w:tcW w:w="853" w:type="dxa"/>
            <w:tcBorders>
              <w:top w:val="nil"/>
              <w:left w:val="nil"/>
              <w:bottom w:val="single" w:color="auto" w:sz="4" w:space="0"/>
              <w:right w:val="single" w:color="auto" w:sz="4" w:space="0"/>
            </w:tcBorders>
          </w:tcPr>
          <w:p>
            <w:pPr>
              <w:rPr>
                <w:rFonts w:hint="default"/>
                <w:color w:val="auto"/>
                <w:lang w:val="en-US"/>
              </w:rPr>
            </w:pPr>
            <w:r>
              <w:rPr>
                <w:rFonts w:hint="eastAsia" w:ascii="Times New Roman" w:hAnsi="Times New Roman"/>
                <w:color w:val="auto"/>
                <w:kern w:val="0"/>
                <w:sz w:val="18"/>
                <w:szCs w:val="18"/>
                <w:lang w:val="en-US" w:eastAsia="zh-CN"/>
              </w:rPr>
              <w:t>3354.68141</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olor w:val="auto"/>
                <w:kern w:val="0"/>
                <w:sz w:val="18"/>
                <w:szCs w:val="18"/>
                <w:lang w:val="en-US" w:eastAsia="zh-CN"/>
              </w:rPr>
            </w:pPr>
            <w:r>
              <w:rPr>
                <w:rFonts w:hint="eastAsia" w:ascii="Times New Roman" w:hAnsi="Times New Roman"/>
                <w:color w:val="auto"/>
                <w:kern w:val="0"/>
                <w:sz w:val="18"/>
                <w:szCs w:val="18"/>
                <w:lang w:val="en-US" w:eastAsia="zh-CN"/>
              </w:rPr>
              <w:t>8</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tc>
        <w:tc>
          <w:tcPr>
            <w:tcW w:w="1415" w:type="dxa"/>
            <w:gridSpan w:val="2"/>
            <w:tcBorders>
              <w:top w:val="nil"/>
              <w:left w:val="nil"/>
              <w:bottom w:val="single" w:color="auto" w:sz="4" w:space="0"/>
              <w:right w:val="single" w:color="auto" w:sz="4" w:space="0"/>
            </w:tcBorders>
            <w:vAlign w:val="top"/>
          </w:tcPr>
          <w:p>
            <w:pPr>
              <w:rPr>
                <w:rFonts w:hint="default"/>
                <w:color w:val="auto"/>
                <w:lang w:val="en-US"/>
              </w:rPr>
            </w:pPr>
            <w:r>
              <w:rPr>
                <w:rFonts w:hint="eastAsia" w:ascii="Times New Roman" w:hAnsi="Times New Roman"/>
                <w:color w:val="auto"/>
                <w:kern w:val="0"/>
                <w:sz w:val="18"/>
                <w:szCs w:val="18"/>
                <w:lang w:val="en-US" w:eastAsia="zh-CN"/>
              </w:rPr>
              <w:t>3354.68</w:t>
            </w:r>
          </w:p>
        </w:tc>
        <w:tc>
          <w:tcPr>
            <w:tcW w:w="853" w:type="dxa"/>
            <w:tcBorders>
              <w:top w:val="nil"/>
              <w:left w:val="nil"/>
              <w:bottom w:val="single" w:color="auto" w:sz="4" w:space="0"/>
              <w:right w:val="single" w:color="auto" w:sz="4" w:space="0"/>
            </w:tcBorders>
            <w:vAlign w:val="top"/>
          </w:tcPr>
          <w:p>
            <w:pPr>
              <w:rPr>
                <w:color w:val="auto"/>
              </w:rPr>
            </w:pPr>
            <w:r>
              <w:rPr>
                <w:rFonts w:hint="eastAsia" w:ascii="Times New Roman" w:hAnsi="Times New Roman"/>
                <w:color w:val="auto"/>
                <w:kern w:val="0"/>
                <w:sz w:val="18"/>
                <w:szCs w:val="18"/>
                <w:lang w:val="en-US" w:eastAsia="zh-CN"/>
              </w:rPr>
              <w:t>3354.6853</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w:t>
            </w:r>
          </w:p>
        </w:tc>
      </w:tr>
      <w:tr>
        <w:tblPrEx>
          <w:tblCellMar>
            <w:top w:w="0" w:type="dxa"/>
            <w:left w:w="108" w:type="dxa"/>
            <w:bottom w:w="0" w:type="dxa"/>
            <w:right w:w="108" w:type="dxa"/>
          </w:tblCellMar>
        </w:tblPrEx>
        <w:trPr>
          <w:gridAfter w:val="1"/>
          <w:wAfter w:w="57" w:type="dxa"/>
          <w:trHeight w:val="235"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tc>
        <w:tc>
          <w:tcPr>
            <w:tcW w:w="141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p>
            <w:pPr>
              <w:widowControl/>
              <w:spacing w:line="240" w:lineRule="exact"/>
              <w:jc w:val="center"/>
              <w:rPr>
                <w:rFonts w:ascii="Times New Roman" w:hAnsi="Times New Roman"/>
                <w:color w:val="auto"/>
                <w:kern w:val="0"/>
                <w:sz w:val="18"/>
                <w:szCs w:val="18"/>
              </w:rPr>
            </w:pP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kern w:val="0"/>
                <w:sz w:val="18"/>
                <w:szCs w:val="18"/>
              </w:rPr>
            </w:pPr>
            <w:r>
              <w:rPr>
                <w:rFonts w:ascii="Times New Roman" w:hAnsi="Times New Roman"/>
                <w:color w:val="auto"/>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7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1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After w:val="1"/>
          <w:wAfter w:w="57" w:type="dxa"/>
          <w:trHeight w:val="57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7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根据工作需要及时完成</w:t>
            </w:r>
          </w:p>
        </w:tc>
        <w:tc>
          <w:tcPr>
            <w:tcW w:w="31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完成100%</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9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themeColor="text1"/>
                <w:kern w:val="0"/>
                <w:sz w:val="18"/>
                <w:szCs w:val="18"/>
                <w:lang w:eastAsia="zh-CN"/>
                <w14:textFill>
                  <w14:solidFill>
                    <w14:schemeClr w14:val="tx1"/>
                  </w14:solidFill>
                </w14:textFill>
              </w:rPr>
            </w:pPr>
            <w:r>
              <w:rPr>
                <w:rFonts w:hint="eastAsia" w:ascii="Times New Roman" w:hAnsi="Times New Roman"/>
                <w:kern w:val="0"/>
                <w:sz w:val="18"/>
                <w:szCs w:val="18"/>
                <w:lang w:eastAsia="zh-CN"/>
              </w:rPr>
              <w:t>开工工程项目个数</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24</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项目主体实地勘察符合行业标准</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符合</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符合</w:t>
            </w: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9</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项目按期安成率</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95%</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7</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工程总成本（万元）</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3354.68</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18</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新增税收（万元）</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bookmarkStart w:id="0" w:name="_GoBack"/>
            <w:bookmarkEnd w:id="0"/>
            <w:r>
              <w:rPr>
                <w:rFonts w:hint="eastAsia" w:ascii="Times New Roman" w:hAnsi="Times New Roman"/>
                <w:kern w:val="0"/>
                <w:sz w:val="18"/>
                <w:szCs w:val="18"/>
              </w:rPr>
              <w:t>00</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增加就业岗位（个）</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改善生态环</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很大提高</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改</w:t>
            </w:r>
            <w:r>
              <w:rPr>
                <w:rFonts w:hint="eastAsia" w:ascii="Times New Roman" w:hAnsi="Times New Roman"/>
                <w:color w:val="000000"/>
                <w:kern w:val="0"/>
                <w:sz w:val="18"/>
                <w:szCs w:val="18"/>
              </w:rPr>
              <w:t>善</w:t>
            </w:r>
            <w:r>
              <w:rPr>
                <w:rFonts w:hint="eastAsia" w:ascii="Times New Roman" w:hAnsi="Times New Roman"/>
                <w:color w:val="000000"/>
                <w:kern w:val="0"/>
                <w:sz w:val="18"/>
                <w:szCs w:val="18"/>
                <w:lang w:eastAsia="zh-CN"/>
              </w:rPr>
              <w:t>县城基础设施</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很大改</w:t>
            </w:r>
            <w:r>
              <w:rPr>
                <w:rFonts w:hint="eastAsia" w:ascii="Times New Roman" w:hAnsi="Times New Roman"/>
                <w:color w:val="000000"/>
                <w:kern w:val="0"/>
                <w:sz w:val="18"/>
                <w:szCs w:val="18"/>
              </w:rPr>
              <w:t>善</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8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改善</w:t>
            </w:r>
            <w:r>
              <w:rPr>
                <w:rFonts w:hint="eastAsia" w:ascii="Times New Roman" w:hAnsi="Times New Roman"/>
                <w:color w:val="000000"/>
                <w:kern w:val="0"/>
                <w:sz w:val="18"/>
                <w:szCs w:val="18"/>
                <w:lang w:eastAsia="zh-CN"/>
              </w:rPr>
              <w:t>当地</w:t>
            </w:r>
            <w:r>
              <w:rPr>
                <w:rFonts w:hint="eastAsia" w:ascii="Times New Roman" w:hAnsi="Times New Roman"/>
                <w:color w:val="000000"/>
                <w:kern w:val="0"/>
                <w:sz w:val="18"/>
                <w:szCs w:val="18"/>
              </w:rPr>
              <w:t>生活条件</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很大提高</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9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lang w:eastAsia="zh-CN"/>
              </w:rPr>
              <w:t>群众</w:t>
            </w:r>
            <w:r>
              <w:rPr>
                <w:rFonts w:hint="eastAsia" w:ascii="Times New Roman" w:hAnsi="Times New Roman"/>
                <w:color w:val="000000"/>
                <w:kern w:val="0"/>
                <w:sz w:val="18"/>
                <w:szCs w:val="18"/>
              </w:rPr>
              <w:t>满意度</w:t>
            </w:r>
          </w:p>
        </w:tc>
        <w:tc>
          <w:tcPr>
            <w:tcW w:w="113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10000</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17"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92</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spacing w:line="560" w:lineRule="exact"/>
        <w:ind w:firstLine="180" w:firstLineChars="100"/>
        <w:rPr>
          <w:rFonts w:ascii="Times New Roman" w:hAnsi="Times New Roman" w:eastAsia="仿宋_GB2312"/>
          <w:sz w:val="20"/>
          <w:szCs w:val="20"/>
        </w:rPr>
        <w:sectPr>
          <w:pgSz w:w="11906" w:h="16838"/>
          <w:pgMar w:top="1701" w:right="1531" w:bottom="1928" w:left="1531" w:header="737" w:footer="851" w:gutter="0"/>
          <w:cols w:space="720" w:num="1"/>
          <w:docGrid w:type="lines" w:linePitch="408" w:charSpace="0"/>
        </w:sectPr>
      </w:pPr>
      <w:r>
        <w:rPr>
          <w:rFonts w:ascii="Times New Roman" w:hAnsi="Times New Roman"/>
          <w:color w:val="000000"/>
          <w:kern w:val="0"/>
          <w:sz w:val="18"/>
          <w:szCs w:val="18"/>
        </w:rPr>
        <w:br w:type="page"/>
      </w: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项目支出绩效评价共性指标表（参考）</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①项目立项是否符合国家法律法规、国民经济发展规划和相关政策；</w:t>
            </w:r>
            <w:r>
              <w:rPr>
                <w:rFonts w:ascii="Times New Roman" w:hAnsi="Times New Roman"/>
                <w:color w:val="000000"/>
                <w:kern w:val="0"/>
                <w:sz w:val="22"/>
              </w:rPr>
              <w:br w:type="textWrapping"/>
            </w:r>
            <w:r>
              <w:rPr>
                <w:rFonts w:ascii="Times New Roman" w:hAnsi="Times New Roman"/>
                <w:color w:val="000000"/>
                <w:kern w:val="0"/>
                <w:sz w:val="22"/>
              </w:rPr>
              <w:t>②项目立项是否符合行业发展规划和政策要求；</w:t>
            </w:r>
            <w:r>
              <w:rPr>
                <w:rFonts w:ascii="Times New Roman" w:hAnsi="Times New Roman"/>
                <w:color w:val="000000"/>
                <w:kern w:val="0"/>
                <w:sz w:val="22"/>
              </w:rPr>
              <w:br w:type="textWrapping"/>
            </w:r>
            <w:r>
              <w:rPr>
                <w:rFonts w:ascii="Times New Roman" w:hAnsi="Times New Roman"/>
                <w:color w:val="000000"/>
                <w:kern w:val="0"/>
                <w:sz w:val="22"/>
              </w:rPr>
              <w:t>③项目立项是否与部门职责范围相符，属于部门履职所需；</w:t>
            </w:r>
            <w:r>
              <w:rPr>
                <w:rFonts w:ascii="Times New Roman" w:hAnsi="Times New Roman"/>
                <w:color w:val="000000"/>
                <w:kern w:val="0"/>
                <w:sz w:val="22"/>
              </w:rPr>
              <w:br w:type="textWrapping"/>
            </w:r>
            <w:r>
              <w:rPr>
                <w:rFonts w:ascii="Times New Roman" w:hAnsi="Times New Roman"/>
                <w:color w:val="000000"/>
                <w:kern w:val="0"/>
                <w:sz w:val="22"/>
              </w:rPr>
              <w:t>④项目是否属于公共财政支持范围，是否符合中央、地方事权支出责任划分原则；</w:t>
            </w:r>
            <w:r>
              <w:rPr>
                <w:rFonts w:ascii="Times New Roman" w:hAnsi="Times New Roman"/>
                <w:color w:val="000000"/>
                <w:kern w:val="0"/>
                <w:sz w:val="22"/>
              </w:rPr>
              <w:br w:type="textWrapping"/>
            </w:r>
            <w:r>
              <w:rPr>
                <w:rFonts w:ascii="Times New Roman" w:hAnsi="Times New Roman"/>
                <w:color w:val="000000"/>
                <w:kern w:val="0"/>
                <w:sz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①项目是否按照规定的程序申请设立；</w:t>
            </w:r>
            <w:r>
              <w:rPr>
                <w:rFonts w:ascii="Times New Roman" w:hAnsi="Times New Roman"/>
                <w:color w:val="000000"/>
                <w:kern w:val="0"/>
                <w:sz w:val="22"/>
              </w:rPr>
              <w:br w:type="textWrapping"/>
            </w:r>
            <w:r>
              <w:rPr>
                <w:rFonts w:ascii="Times New Roman" w:hAnsi="Times New Roman"/>
                <w:color w:val="000000"/>
                <w:kern w:val="0"/>
                <w:sz w:val="22"/>
              </w:rPr>
              <w:t>②审批文件、材料是否符合相关要求；</w:t>
            </w:r>
            <w:r>
              <w:rPr>
                <w:rFonts w:ascii="Times New Roman" w:hAnsi="Times New Roman"/>
                <w:color w:val="000000"/>
                <w:kern w:val="0"/>
                <w:sz w:val="22"/>
              </w:rPr>
              <w:br w:type="textWrapping"/>
            </w:r>
            <w:r>
              <w:rPr>
                <w:rFonts w:ascii="Times New Roman" w:hAnsi="Times New Roman"/>
                <w:color w:val="000000"/>
                <w:kern w:val="0"/>
                <w:sz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ype="textWrapping"/>
            </w:r>
            <w:r>
              <w:rPr>
                <w:rFonts w:ascii="Times New Roman" w:hAnsi="Times New Roman"/>
                <w:color w:val="000000"/>
                <w:kern w:val="0"/>
                <w:sz w:val="22"/>
              </w:rPr>
              <w:t>①项目是否有绩效目标；</w:t>
            </w:r>
            <w:r>
              <w:rPr>
                <w:rFonts w:ascii="Times New Roman" w:hAnsi="Times New Roman"/>
                <w:color w:val="000000"/>
                <w:kern w:val="0"/>
                <w:sz w:val="22"/>
              </w:rPr>
              <w:br w:type="textWrapping"/>
            </w:r>
            <w:r>
              <w:rPr>
                <w:rFonts w:ascii="Times New Roman" w:hAnsi="Times New Roman"/>
                <w:color w:val="000000"/>
                <w:kern w:val="0"/>
                <w:sz w:val="22"/>
              </w:rPr>
              <w:t>②项目绩效目标与实际工作内容是否具有相关性；</w:t>
            </w:r>
            <w:r>
              <w:rPr>
                <w:rFonts w:ascii="Times New Roman" w:hAnsi="Times New Roman"/>
                <w:color w:val="000000"/>
                <w:kern w:val="0"/>
                <w:sz w:val="22"/>
              </w:rPr>
              <w:br w:type="textWrapping"/>
            </w:r>
            <w:r>
              <w:rPr>
                <w:rFonts w:ascii="Times New Roman" w:hAnsi="Times New Roman"/>
                <w:color w:val="000000"/>
                <w:kern w:val="0"/>
                <w:sz w:val="22"/>
              </w:rPr>
              <w:t>③项目预期产出效益和效果是否符合正常的业绩水平；</w:t>
            </w:r>
          </w:p>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①是否将项目绩效目标细化分解为具体的绩效指标；</w:t>
            </w:r>
            <w:r>
              <w:rPr>
                <w:rFonts w:ascii="Times New Roman" w:hAnsi="Times New Roman"/>
                <w:color w:val="000000"/>
                <w:kern w:val="0"/>
                <w:sz w:val="22"/>
              </w:rPr>
              <w:br w:type="textWrapping"/>
            </w:r>
            <w:r>
              <w:rPr>
                <w:rFonts w:ascii="Times New Roman" w:hAnsi="Times New Roman"/>
                <w:color w:val="000000"/>
                <w:kern w:val="0"/>
                <w:sz w:val="22"/>
              </w:rPr>
              <w:t>②是否通过清晰、可衡量的指标值予以体现；</w:t>
            </w:r>
            <w:r>
              <w:rPr>
                <w:rFonts w:ascii="Times New Roman" w:hAnsi="Times New Roman"/>
                <w:color w:val="000000"/>
                <w:kern w:val="0"/>
                <w:sz w:val="22"/>
              </w:rPr>
              <w:br w:type="textWrapping"/>
            </w:r>
            <w:r>
              <w:rPr>
                <w:rFonts w:ascii="Times New Roman" w:hAnsi="Times New Roman"/>
                <w:color w:val="000000"/>
                <w:kern w:val="0"/>
                <w:sz w:val="22"/>
              </w:rPr>
              <w:t>③是否与项目目标任务数或计划数相对应。</w:t>
            </w:r>
            <w:r>
              <w:rPr>
                <w:rFonts w:ascii="Times New Roman" w:hAnsi="Times New Roman"/>
                <w:color w:val="000000"/>
                <w:kern w:val="0"/>
                <w:sz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①预算编制是否经过科学论证；</w:t>
            </w:r>
            <w:r>
              <w:rPr>
                <w:rFonts w:ascii="Times New Roman" w:hAnsi="Times New Roman"/>
                <w:color w:val="000000"/>
                <w:kern w:val="0"/>
                <w:sz w:val="22"/>
              </w:rPr>
              <w:br w:type="textWrapping"/>
            </w:r>
            <w:r>
              <w:rPr>
                <w:rFonts w:ascii="Times New Roman" w:hAnsi="Times New Roman"/>
                <w:color w:val="000000"/>
                <w:kern w:val="0"/>
                <w:sz w:val="22"/>
              </w:rPr>
              <w:t>②预算内容与项目内容是否匹配；</w:t>
            </w:r>
            <w:r>
              <w:rPr>
                <w:rFonts w:ascii="Times New Roman" w:hAnsi="Times New Roman"/>
                <w:color w:val="000000"/>
                <w:kern w:val="0"/>
                <w:sz w:val="22"/>
              </w:rPr>
              <w:br w:type="textWrapping"/>
            </w:r>
            <w:r>
              <w:rPr>
                <w:rFonts w:ascii="Times New Roman" w:hAnsi="Times New Roman"/>
                <w:color w:val="000000"/>
                <w:kern w:val="0"/>
                <w:sz w:val="22"/>
              </w:rPr>
              <w:t>③预算额度测算依据是否充分，是否按照标准编制；</w:t>
            </w:r>
            <w:r>
              <w:rPr>
                <w:rFonts w:ascii="Times New Roman" w:hAnsi="Times New Roman"/>
                <w:color w:val="000000"/>
                <w:kern w:val="0"/>
                <w:sz w:val="22"/>
              </w:rPr>
              <w:br w:type="textWrapping"/>
            </w:r>
            <w:r>
              <w:rPr>
                <w:rFonts w:ascii="Times New Roman" w:hAnsi="Times New Roman"/>
                <w:color w:val="000000"/>
                <w:kern w:val="0"/>
                <w:sz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①预算资金分配依据是否充分；</w:t>
            </w:r>
            <w:r>
              <w:rPr>
                <w:rFonts w:ascii="Times New Roman" w:hAnsi="Times New Roman"/>
                <w:color w:val="000000"/>
                <w:kern w:val="0"/>
                <w:sz w:val="22"/>
              </w:rPr>
              <w:br w:type="textWrapping"/>
            </w:r>
            <w:r>
              <w:rPr>
                <w:rFonts w:ascii="Times New Roman" w:hAnsi="Times New Roman"/>
                <w:color w:val="000000"/>
                <w:kern w:val="0"/>
                <w:sz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资金到位率=（实际到位资金/预算资金）×100%。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val="en-US" w:eastAsia="zh-CN"/>
              </w:rPr>
            </w:pPr>
            <w:r>
              <w:rPr>
                <w:rFonts w:hint="eastAsia" w:ascii="Times New Roman" w:hAnsi="Times New Roman"/>
                <w:color w:val="000000"/>
                <w:kern w:val="0"/>
                <w:sz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预算执行率=（实际支出资金/实际到位资金）×100%。</w:t>
            </w:r>
            <w:r>
              <w:rPr>
                <w:rFonts w:ascii="Times New Roman" w:hAnsi="Times New Roman"/>
                <w:color w:val="000000"/>
                <w:kern w:val="0"/>
                <w:sz w:val="22"/>
              </w:rPr>
              <w:br w:type="textWrapping"/>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①是否符合国家财经法规和财务管理制度以及有关专项资金管理办法的规定；</w:t>
            </w:r>
            <w:r>
              <w:rPr>
                <w:rFonts w:ascii="Times New Roman" w:hAnsi="Times New Roman"/>
                <w:color w:val="000000"/>
                <w:kern w:val="0"/>
                <w:sz w:val="22"/>
              </w:rPr>
              <w:br w:type="textWrapping"/>
            </w:r>
            <w:r>
              <w:rPr>
                <w:rFonts w:ascii="Times New Roman" w:hAnsi="Times New Roman"/>
                <w:color w:val="000000"/>
                <w:kern w:val="0"/>
                <w:sz w:val="22"/>
              </w:rPr>
              <w:t>②资金的拨付是否有完整的审批程序和手续；</w:t>
            </w:r>
            <w:r>
              <w:rPr>
                <w:rFonts w:ascii="Times New Roman" w:hAnsi="Times New Roman"/>
                <w:color w:val="000000"/>
                <w:kern w:val="0"/>
                <w:sz w:val="22"/>
              </w:rPr>
              <w:br w:type="textWrapping"/>
            </w:r>
            <w:r>
              <w:rPr>
                <w:rFonts w:ascii="Times New Roman" w:hAnsi="Times New Roman"/>
                <w:color w:val="000000"/>
                <w:kern w:val="0"/>
                <w:sz w:val="22"/>
              </w:rPr>
              <w:t>③是否符合项目预算批复或合同规定的用途；</w:t>
            </w:r>
            <w:r>
              <w:rPr>
                <w:rFonts w:ascii="Times New Roman" w:hAnsi="Times New Roman"/>
                <w:color w:val="000000"/>
                <w:kern w:val="0"/>
                <w:sz w:val="22"/>
              </w:rPr>
              <w:br w:type="textWrapping"/>
            </w:r>
            <w:r>
              <w:rPr>
                <w:rFonts w:ascii="Times New Roman" w:hAnsi="Times New Roman"/>
                <w:color w:val="000000"/>
                <w:kern w:val="0"/>
                <w:sz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①是否已制定或具有相应的财务和业务管理制度；</w:t>
            </w:r>
            <w:r>
              <w:rPr>
                <w:rFonts w:ascii="Times New Roman" w:hAnsi="Times New Roman"/>
                <w:color w:val="000000"/>
                <w:kern w:val="0"/>
                <w:sz w:val="22"/>
              </w:rPr>
              <w:br w:type="textWrapping"/>
            </w:r>
            <w:r>
              <w:rPr>
                <w:rFonts w:ascii="Times New Roman" w:hAnsi="Times New Roman"/>
                <w:color w:val="000000"/>
                <w:kern w:val="0"/>
                <w:sz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①是否遵守相关法律法规和相关管理规定；</w:t>
            </w:r>
            <w:r>
              <w:rPr>
                <w:rFonts w:ascii="Times New Roman" w:hAnsi="Times New Roman"/>
                <w:color w:val="000000"/>
                <w:kern w:val="0"/>
                <w:sz w:val="22"/>
              </w:rPr>
              <w:br w:type="textWrapping"/>
            </w:r>
            <w:r>
              <w:rPr>
                <w:rFonts w:ascii="Times New Roman" w:hAnsi="Times New Roman"/>
                <w:color w:val="000000"/>
                <w:kern w:val="0"/>
                <w:sz w:val="22"/>
              </w:rPr>
              <w:t>②项目调整及支出调整手续是否完备；</w:t>
            </w:r>
            <w:r>
              <w:rPr>
                <w:rFonts w:ascii="Times New Roman" w:hAnsi="Times New Roman"/>
                <w:color w:val="000000"/>
                <w:kern w:val="0"/>
                <w:sz w:val="22"/>
              </w:rPr>
              <w:br w:type="textWrapping"/>
            </w:r>
            <w:r>
              <w:rPr>
                <w:rFonts w:ascii="Times New Roman" w:hAnsi="Times New Roman"/>
                <w:color w:val="000000"/>
                <w:kern w:val="0"/>
                <w:sz w:val="22"/>
              </w:rPr>
              <w:t>③项目合同书、验收报告、技术鉴定等资料是否齐全并及时归档；</w:t>
            </w:r>
            <w:r>
              <w:rPr>
                <w:rFonts w:ascii="Times New Roman" w:hAnsi="Times New Roman"/>
                <w:color w:val="000000"/>
                <w:kern w:val="0"/>
                <w:sz w:val="22"/>
              </w:rPr>
              <w:br w:type="textWrapping"/>
            </w:r>
            <w:r>
              <w:rPr>
                <w:rFonts w:ascii="Times New Roman" w:hAnsi="Times New Roman"/>
                <w:color w:val="000000"/>
                <w:kern w:val="0"/>
                <w:sz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实际完成率=（实际产出数/计划产出数）×100%。</w:t>
            </w:r>
            <w:r>
              <w:rPr>
                <w:rFonts w:ascii="Times New Roman" w:hAnsi="Times New Roman"/>
                <w:color w:val="000000"/>
                <w:kern w:val="0"/>
                <w:sz w:val="22"/>
              </w:rPr>
              <w:br w:type="textWrapping"/>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type="textWrapping"/>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质量达标率=（质量达标产出数/实际产出数）×100%。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type="textWrapping"/>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br w:type="textWrapping"/>
            </w:r>
            <w:r>
              <w:rPr>
                <w:rFonts w:ascii="Times New Roman" w:hAnsi="Times New Roman"/>
                <w:color w:val="000000"/>
                <w:kern w:val="0"/>
                <w:sz w:val="22"/>
              </w:rPr>
              <w:t>成本节约率=[（计划成本-实际成本）/计划成本]×100%。</w:t>
            </w:r>
            <w:r>
              <w:rPr>
                <w:rFonts w:ascii="Times New Roman" w:hAnsi="Times New Roman"/>
                <w:color w:val="000000"/>
                <w:kern w:val="0"/>
                <w:sz w:val="22"/>
              </w:rPr>
              <w:br w:type="textWrapping"/>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type="textWrapping"/>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rPr>
              <w:t>1</w:t>
            </w:r>
            <w:r>
              <w:rPr>
                <w:rFonts w:hint="eastAsia" w:ascii="Times New Roman" w:hAnsi="Times New Roman"/>
                <w:color w:val="000000"/>
                <w:kern w:val="0"/>
                <w:sz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pPr>
              <w:widowControl/>
              <w:spacing w:line="0" w:lineRule="atLeast"/>
              <w:rPr>
                <w:rFonts w:ascii="Times New Roman" w:hAnsi="Times New Roman"/>
                <w:color w:val="000000"/>
                <w:kern w:val="0"/>
                <w:sz w:val="22"/>
              </w:rPr>
            </w:pPr>
          </w:p>
        </w:tc>
        <w:tc>
          <w:tcPr>
            <w:tcW w:w="6096" w:type="dxa"/>
            <w:shd w:val="clear" w:color="auto" w:fill="FFFFFF"/>
            <w:vAlign w:val="center"/>
          </w:tcPr>
          <w:p>
            <w:pPr>
              <w:widowControl/>
              <w:spacing w:line="0" w:lineRule="atLeast"/>
              <w:rPr>
                <w:rFonts w:ascii="Times New Roman" w:hAnsi="Times New Roman"/>
                <w:color w:val="000000"/>
                <w:kern w:val="0"/>
                <w:sz w:val="22"/>
              </w:rPr>
            </w:pPr>
          </w:p>
        </w:tc>
        <w:tc>
          <w:tcPr>
            <w:tcW w:w="566" w:type="dxa"/>
            <w:shd w:val="clear" w:color="auto" w:fill="FFFFFF"/>
            <w:vAlign w:val="center"/>
          </w:tcPr>
          <w:p>
            <w:pPr>
              <w:widowControl/>
              <w:spacing w:line="0" w:lineRule="atLeast"/>
              <w:jc w:val="center"/>
              <w:rPr>
                <w:rFonts w:hint="default" w:ascii="Times New Roman" w:hAnsi="Times New Roman" w:eastAsia="宋体"/>
                <w:color w:val="000000"/>
                <w:kern w:val="0"/>
                <w:sz w:val="22"/>
                <w:lang w:val="en-US" w:eastAsia="zh-CN"/>
              </w:rPr>
            </w:pPr>
            <w:r>
              <w:rPr>
                <w:rFonts w:hint="eastAsia" w:ascii="Times New Roman" w:hAnsi="Times New Roman"/>
                <w:color w:val="000000"/>
                <w:kern w:val="0"/>
                <w:sz w:val="22"/>
                <w:lang w:val="en-US" w:eastAsia="zh-CN"/>
              </w:rPr>
              <w:t>92</w:t>
            </w:r>
          </w:p>
        </w:tc>
      </w:tr>
    </w:tbl>
    <w:p>
      <w:pPr>
        <w:spacing w:line="560" w:lineRule="exact"/>
        <w:ind w:firstLine="200" w:firstLineChars="100"/>
      </w:pPr>
      <w:r>
        <w:rPr>
          <w:rFonts w:ascii="Times New Roman" w:hAnsi="Times New Roman" w:eastAsia="仿宋_GB2312"/>
          <w:sz w:val="20"/>
          <w:szCs w:val="20"/>
        </w:rPr>
        <w:t>注：单位可以根据专项资金的管理要求和绩效要求增设个性指标</w:t>
      </w:r>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attachedTemplate r:id="rId1"/>
  <w:documentProtection w:enforcement="0"/>
  <w:defaultTabStop w:val="420"/>
  <w:drawingGridHorizontalSpacing w:val="105"/>
  <w:drawingGridVerticalSpacing w:val="204"/>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76C94"/>
    <w:rsid w:val="0005693D"/>
    <w:rsid w:val="00057AAB"/>
    <w:rsid w:val="000F7B97"/>
    <w:rsid w:val="00131716"/>
    <w:rsid w:val="00147FAD"/>
    <w:rsid w:val="001521F7"/>
    <w:rsid w:val="001C3249"/>
    <w:rsid w:val="001F764B"/>
    <w:rsid w:val="002205F5"/>
    <w:rsid w:val="002314D2"/>
    <w:rsid w:val="00273AC2"/>
    <w:rsid w:val="002B236C"/>
    <w:rsid w:val="002B5CC8"/>
    <w:rsid w:val="002D5C84"/>
    <w:rsid w:val="003369A3"/>
    <w:rsid w:val="003E0518"/>
    <w:rsid w:val="00413AFC"/>
    <w:rsid w:val="00457296"/>
    <w:rsid w:val="00472180"/>
    <w:rsid w:val="00483617"/>
    <w:rsid w:val="004D0560"/>
    <w:rsid w:val="00582D87"/>
    <w:rsid w:val="005858C4"/>
    <w:rsid w:val="005D59C5"/>
    <w:rsid w:val="005E18BD"/>
    <w:rsid w:val="00623984"/>
    <w:rsid w:val="006C4E2A"/>
    <w:rsid w:val="006E4B95"/>
    <w:rsid w:val="00725C59"/>
    <w:rsid w:val="00755C4B"/>
    <w:rsid w:val="007B69E7"/>
    <w:rsid w:val="007B7B9B"/>
    <w:rsid w:val="008348C9"/>
    <w:rsid w:val="008A5DDF"/>
    <w:rsid w:val="008B3735"/>
    <w:rsid w:val="008B7F4D"/>
    <w:rsid w:val="008D4FE4"/>
    <w:rsid w:val="008F7B9F"/>
    <w:rsid w:val="00963A98"/>
    <w:rsid w:val="009824F6"/>
    <w:rsid w:val="009945C8"/>
    <w:rsid w:val="00997A19"/>
    <w:rsid w:val="009D680D"/>
    <w:rsid w:val="00A21579"/>
    <w:rsid w:val="00A53779"/>
    <w:rsid w:val="00AA38EE"/>
    <w:rsid w:val="00B04F06"/>
    <w:rsid w:val="00B07FE1"/>
    <w:rsid w:val="00B319BC"/>
    <w:rsid w:val="00BA06D5"/>
    <w:rsid w:val="00C10BE4"/>
    <w:rsid w:val="00C36803"/>
    <w:rsid w:val="00C543E0"/>
    <w:rsid w:val="00C62CFB"/>
    <w:rsid w:val="00D54F8C"/>
    <w:rsid w:val="00DB5854"/>
    <w:rsid w:val="00DD2B84"/>
    <w:rsid w:val="00DE1EDF"/>
    <w:rsid w:val="00E01628"/>
    <w:rsid w:val="00E05DE1"/>
    <w:rsid w:val="00E3667E"/>
    <w:rsid w:val="00EA6C87"/>
    <w:rsid w:val="00F1572F"/>
    <w:rsid w:val="00F8248C"/>
    <w:rsid w:val="00FA19FF"/>
    <w:rsid w:val="00FF6700"/>
    <w:rsid w:val="036B21FA"/>
    <w:rsid w:val="04420010"/>
    <w:rsid w:val="06CD7E94"/>
    <w:rsid w:val="085B4F39"/>
    <w:rsid w:val="091D6F0B"/>
    <w:rsid w:val="0A28384E"/>
    <w:rsid w:val="0AEB436F"/>
    <w:rsid w:val="0D696073"/>
    <w:rsid w:val="0FD230E9"/>
    <w:rsid w:val="103E78D2"/>
    <w:rsid w:val="11E42A4E"/>
    <w:rsid w:val="165D342C"/>
    <w:rsid w:val="18461F36"/>
    <w:rsid w:val="1B751BA6"/>
    <w:rsid w:val="21C72FF3"/>
    <w:rsid w:val="24E44E74"/>
    <w:rsid w:val="271069AC"/>
    <w:rsid w:val="27CB6416"/>
    <w:rsid w:val="28E62A27"/>
    <w:rsid w:val="2C5926E5"/>
    <w:rsid w:val="2CF35A80"/>
    <w:rsid w:val="354955A1"/>
    <w:rsid w:val="47CE5D24"/>
    <w:rsid w:val="4BC970F8"/>
    <w:rsid w:val="53105D96"/>
    <w:rsid w:val="56DE294B"/>
    <w:rsid w:val="58564D24"/>
    <w:rsid w:val="5B0C30DB"/>
    <w:rsid w:val="5BB143D6"/>
    <w:rsid w:val="60865646"/>
    <w:rsid w:val="62523038"/>
    <w:rsid w:val="67273852"/>
    <w:rsid w:val="68376C94"/>
    <w:rsid w:val="6896136B"/>
    <w:rsid w:val="6987639D"/>
    <w:rsid w:val="6A5024A5"/>
    <w:rsid w:val="6A855668"/>
    <w:rsid w:val="6D535020"/>
    <w:rsid w:val="70D45E79"/>
    <w:rsid w:val="70F04989"/>
    <w:rsid w:val="710467F8"/>
    <w:rsid w:val="71EF502E"/>
    <w:rsid w:val="762159AE"/>
    <w:rsid w:val="79665E69"/>
    <w:rsid w:val="7BFF0A5C"/>
    <w:rsid w:val="7C275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0"/>
    <w:pPr>
      <w:keepNext/>
      <w:keepLines/>
      <w:spacing w:before="260" w:after="260" w:line="413" w:lineRule="auto"/>
      <w:outlineLvl w:val="1"/>
    </w:pPr>
    <w:rPr>
      <w:rFonts w:ascii="Arial" w:hAnsi="Arial" w:eastAsia="黑体"/>
      <w:b/>
      <w:sz w:val="32"/>
      <w:szCs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paragraph" w:customStyle="1" w:styleId="9">
    <w:name w:val="p15"/>
    <w:basedOn w:val="1"/>
    <w:qFormat/>
    <w:uiPriority w:val="0"/>
    <w:pPr>
      <w:widowControl/>
      <w:jc w:val="left"/>
    </w:pPr>
    <w:rPr>
      <w:rFonts w:ascii="宋体" w:hAnsi="宋体" w:cs="宋体"/>
      <w:kern w:val="0"/>
      <w:sz w:val="24"/>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 w:type="paragraph" w:styleId="1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
    <w:name w:val="标题 2 Char"/>
    <w:basedOn w:val="7"/>
    <w:link w:val="2"/>
    <w:qFormat/>
    <w:uiPriority w:val="0"/>
    <w:rPr>
      <w:rFonts w:ascii="Arial" w:hAnsi="Arial" w:eastAsia="黑体"/>
      <w:b/>
      <w:kern w:val="2"/>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44FF56-D80E-44D2-A830-5CAEAB397108}">
  <ds:schemaRefs/>
</ds:datastoreItem>
</file>

<file path=docProps/app.xml><?xml version="1.0" encoding="utf-8"?>
<Properties xmlns="http://schemas.openxmlformats.org/officeDocument/2006/extended-properties" xmlns:vt="http://schemas.openxmlformats.org/officeDocument/2006/docPropsVTypes">
  <Template>0</Template>
  <Pages>11</Pages>
  <Words>882</Words>
  <Characters>5030</Characters>
  <Lines>41</Lines>
  <Paragraphs>11</Paragraphs>
  <TotalTime>16</TotalTime>
  <ScaleCrop>false</ScaleCrop>
  <LinksUpToDate>false</LinksUpToDate>
  <CharactersWithSpaces>5901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2020-06-05T02:37:00Z</dcterms:created>
  <dc:creator>坐车压马路</dc:creator>
  <cp:lastModifiedBy>忘忧草</cp:lastModifiedBy>
  <dcterms:modified xsi:type="dcterms:W3CDTF">2021-08-02T07:37:51Z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287A8130AB0B4D0D822A7C665D12B6F7</vt:lpwstr>
  </property>
</Properties>
</file>