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rFonts w:hint="eastAsia" w:ascii="黑体" w:hAnsi="黑体" w:eastAsia="黑体" w:cs="黑体"/>
          <w:sz w:val="36"/>
          <w:szCs w:val="36"/>
        </w:rPr>
      </w:pPr>
      <w:r>
        <w:rPr>
          <w:rFonts w:hint="eastAsia" w:ascii="黑体" w:hAnsi="黑体" w:eastAsia="黑体" w:cs="黑体"/>
          <w:sz w:val="36"/>
          <w:szCs w:val="36"/>
          <w:lang w:eastAsia="zh-CN"/>
        </w:rPr>
        <w:t>中方县住房和城乡建设局</w:t>
      </w:r>
      <w:bookmarkStart w:id="0" w:name="_GoBack"/>
      <w:r>
        <w:rPr>
          <w:rFonts w:hint="eastAsia" w:ascii="黑体" w:hAnsi="黑体" w:eastAsia="黑体" w:cs="黑体"/>
          <w:sz w:val="36"/>
          <w:szCs w:val="36"/>
          <w:lang w:val="en-US" w:eastAsia="zh-CN"/>
        </w:rPr>
        <w:t>2020年</w:t>
      </w:r>
      <w:r>
        <w:rPr>
          <w:rFonts w:hint="eastAsia" w:ascii="黑体" w:hAnsi="黑体" w:eastAsia="黑体" w:cs="黑体"/>
          <w:sz w:val="36"/>
          <w:szCs w:val="36"/>
        </w:rPr>
        <w:t>中方老街片区老旧小区改造工程项目专项资金</w:t>
      </w:r>
      <w:r>
        <w:rPr>
          <w:rFonts w:hint="eastAsia" w:ascii="黑体" w:hAnsi="黑体" w:eastAsia="黑体" w:cs="黑体"/>
          <w:sz w:val="36"/>
          <w:szCs w:val="36"/>
          <w:lang w:eastAsia="zh-CN"/>
        </w:rPr>
        <w:t>支出</w:t>
      </w:r>
      <w:bookmarkEnd w:id="0"/>
      <w:r>
        <w:rPr>
          <w:rFonts w:hint="eastAsia" w:ascii="黑体" w:hAnsi="黑体" w:eastAsia="黑体" w:cs="黑体"/>
          <w:sz w:val="36"/>
          <w:szCs w:val="36"/>
        </w:rPr>
        <w:t>绩效</w:t>
      </w:r>
      <w:r>
        <w:rPr>
          <w:rFonts w:hint="eastAsia" w:ascii="黑体" w:hAnsi="黑体" w:eastAsia="黑体" w:cs="黑体"/>
          <w:sz w:val="36"/>
          <w:szCs w:val="36"/>
          <w:lang w:eastAsia="zh-CN"/>
        </w:rPr>
        <w:t>自</w:t>
      </w:r>
      <w:r>
        <w:rPr>
          <w:rFonts w:hint="eastAsia" w:ascii="黑体" w:hAnsi="黑体" w:eastAsia="黑体" w:cs="黑体"/>
          <w:sz w:val="36"/>
          <w:szCs w:val="36"/>
        </w:rPr>
        <w:t>评报告</w:t>
      </w:r>
    </w:p>
    <w:p>
      <w:pPr>
        <w:pStyle w:val="12"/>
        <w:spacing w:line="510" w:lineRule="exact"/>
        <w:ind w:firstLine="643" w:firstLineChars="200"/>
        <w:rPr>
          <w:rFonts w:ascii="Times New Roman" w:hAnsi="Times New Roman" w:eastAsia="楷体"/>
          <w:b/>
          <w:sz w:val="32"/>
          <w:szCs w:val="32"/>
        </w:rPr>
      </w:pPr>
      <w:r>
        <w:rPr>
          <w:rFonts w:hint="eastAsia" w:ascii="Times New Roman" w:hAnsi="Times New Roman" w:eastAsia="楷体"/>
          <w:b/>
          <w:sz w:val="32"/>
          <w:szCs w:val="32"/>
        </w:rPr>
        <w:t>一、基本情况</w:t>
      </w:r>
    </w:p>
    <w:p>
      <w:pPr>
        <w:pStyle w:val="12"/>
        <w:spacing w:line="510" w:lineRule="exact"/>
        <w:ind w:firstLine="560" w:firstLineChars="200"/>
        <w:rPr>
          <w:rFonts w:ascii="仿宋" w:hAnsi="仿宋" w:eastAsia="仿宋"/>
          <w:sz w:val="28"/>
          <w:szCs w:val="28"/>
        </w:rPr>
      </w:pPr>
      <w:r>
        <w:rPr>
          <w:rFonts w:hint="eastAsia" w:ascii="仿宋" w:hAnsi="仿宋" w:eastAsia="仿宋"/>
          <w:sz w:val="28"/>
          <w:szCs w:val="28"/>
        </w:rPr>
        <w:t>（一）项目概况：该项目主要包括建设枫香路(滨江路至中方大道段) 440米，宽23米建设南湖南路450米，宽24米:新建给排水管网3180米，改造给水管网8793米，新建污水管网11800米: 新建公厕1座，垃圾中转站1座:强弱电改造3180米:街巷道路改造:设立路灯100杆(老旧小区道路、枫香路)建设小区内小型停车场3处。2020年初开工。</w:t>
      </w:r>
    </w:p>
    <w:p>
      <w:pPr>
        <w:pStyle w:val="12"/>
        <w:spacing w:line="510" w:lineRule="exact"/>
        <w:ind w:firstLine="560" w:firstLineChars="200"/>
        <w:rPr>
          <w:rFonts w:ascii="仿宋" w:hAnsi="仿宋" w:eastAsia="仿宋"/>
          <w:sz w:val="28"/>
          <w:szCs w:val="28"/>
        </w:rPr>
      </w:pPr>
      <w:r>
        <w:rPr>
          <w:rFonts w:hint="eastAsia" w:ascii="仿宋" w:hAnsi="仿宋" w:eastAsia="仿宋"/>
          <w:sz w:val="28"/>
          <w:szCs w:val="28"/>
        </w:rPr>
        <w:t>（二）项目绩效目标：</w:t>
      </w:r>
    </w:p>
    <w:p>
      <w:pPr>
        <w:pStyle w:val="12"/>
        <w:spacing w:line="510" w:lineRule="exact"/>
        <w:ind w:firstLine="560" w:firstLineChars="200"/>
        <w:rPr>
          <w:rFonts w:ascii="仿宋" w:hAnsi="仿宋" w:eastAsia="仿宋"/>
          <w:sz w:val="28"/>
          <w:szCs w:val="28"/>
        </w:rPr>
      </w:pPr>
      <w:r>
        <w:rPr>
          <w:rFonts w:hint="eastAsia" w:ascii="仿宋" w:hAnsi="仿宋" w:eastAsia="仿宋"/>
          <w:sz w:val="28"/>
          <w:szCs w:val="28"/>
        </w:rPr>
        <w:t>1、总体目标：完成老旧小区改造计划，进一步改善群众居住条件:合理高效利用好补助资金，充分发挥资金使用效益。</w:t>
      </w:r>
    </w:p>
    <w:p>
      <w:pPr>
        <w:pStyle w:val="12"/>
        <w:spacing w:line="510" w:lineRule="exact"/>
        <w:ind w:firstLine="560" w:firstLineChars="200"/>
        <w:rPr>
          <w:rFonts w:ascii="仿宋" w:hAnsi="仿宋" w:eastAsia="仿宋"/>
          <w:sz w:val="28"/>
          <w:szCs w:val="28"/>
        </w:rPr>
      </w:pPr>
      <w:r>
        <w:rPr>
          <w:rFonts w:hint="eastAsia" w:ascii="仿宋" w:hAnsi="仿宋" w:eastAsia="仿宋"/>
          <w:sz w:val="28"/>
          <w:szCs w:val="28"/>
        </w:rPr>
        <w:t>2、阶段性目标：加强老旧小区改造项目建设，提高居民的幸福感和获得感，为市民提供一个安全、舒适、优美的工作环境和生活环境。</w:t>
      </w:r>
    </w:p>
    <w:p>
      <w:pPr>
        <w:pStyle w:val="12"/>
        <w:spacing w:line="510" w:lineRule="exact"/>
        <w:ind w:firstLine="643" w:firstLineChars="200"/>
        <w:rPr>
          <w:rFonts w:ascii="Times New Roman" w:hAnsi="Times New Roman" w:eastAsia="楷体"/>
          <w:b/>
          <w:sz w:val="32"/>
          <w:szCs w:val="32"/>
        </w:rPr>
      </w:pPr>
      <w:r>
        <w:rPr>
          <w:rFonts w:hint="eastAsia" w:ascii="Times New Roman" w:hAnsi="Times New Roman" w:eastAsia="楷体"/>
          <w:b/>
          <w:sz w:val="32"/>
          <w:szCs w:val="32"/>
        </w:rPr>
        <w:t>二、绩效评价工作开展情况</w:t>
      </w:r>
    </w:p>
    <w:p>
      <w:pPr>
        <w:pStyle w:val="12"/>
        <w:spacing w:line="510" w:lineRule="exact"/>
        <w:ind w:firstLine="560" w:firstLineChars="200"/>
        <w:rPr>
          <w:rFonts w:ascii="仿宋" w:hAnsi="仿宋" w:eastAsia="仿宋"/>
          <w:sz w:val="28"/>
          <w:szCs w:val="28"/>
        </w:rPr>
      </w:pPr>
      <w:r>
        <w:rPr>
          <w:rFonts w:hint="eastAsia" w:ascii="仿宋" w:hAnsi="仿宋" w:eastAsia="仿宋"/>
          <w:sz w:val="28"/>
          <w:szCs w:val="28"/>
        </w:rPr>
        <w:t>（一）绩效评价目的、对象和范围。</w:t>
      </w:r>
    </w:p>
    <w:p>
      <w:pPr>
        <w:pStyle w:val="12"/>
        <w:spacing w:line="510" w:lineRule="exact"/>
        <w:ind w:firstLine="560" w:firstLineChars="200"/>
        <w:rPr>
          <w:rFonts w:ascii="仿宋" w:hAnsi="仿宋" w:eastAsia="仿宋"/>
          <w:sz w:val="28"/>
          <w:szCs w:val="28"/>
        </w:rPr>
      </w:pPr>
      <w:r>
        <w:rPr>
          <w:rFonts w:hint="eastAsia" w:ascii="仿宋" w:hAnsi="仿宋" w:eastAsia="仿宋"/>
          <w:sz w:val="28"/>
          <w:szCs w:val="28"/>
        </w:rPr>
        <w:t>1、绩效评价目的：通过绩效评价，做到项目专款专用，提高专项资金使用效率；</w:t>
      </w:r>
    </w:p>
    <w:p>
      <w:pPr>
        <w:pStyle w:val="12"/>
        <w:spacing w:line="510" w:lineRule="exact"/>
        <w:ind w:firstLine="560" w:firstLineChars="200"/>
        <w:rPr>
          <w:rFonts w:ascii="仿宋" w:hAnsi="仿宋" w:eastAsia="仿宋"/>
          <w:sz w:val="28"/>
          <w:szCs w:val="28"/>
        </w:rPr>
      </w:pPr>
      <w:r>
        <w:rPr>
          <w:rFonts w:hint="eastAsia" w:ascii="仿宋" w:hAnsi="仿宋" w:eastAsia="仿宋"/>
          <w:sz w:val="28"/>
          <w:szCs w:val="28"/>
        </w:rPr>
        <w:t>2、本次绩效评价的对象和范围：中方老街老旧小区改造工程项目建设单位和主管单位。</w:t>
      </w:r>
    </w:p>
    <w:p>
      <w:pPr>
        <w:pStyle w:val="12"/>
        <w:spacing w:line="510" w:lineRule="exact"/>
        <w:ind w:firstLine="560" w:firstLineChars="200"/>
        <w:rPr>
          <w:rFonts w:ascii="仿宋" w:hAnsi="仿宋" w:eastAsia="仿宋"/>
          <w:sz w:val="28"/>
          <w:szCs w:val="28"/>
        </w:rPr>
      </w:pPr>
      <w:r>
        <w:rPr>
          <w:rFonts w:ascii="仿宋" w:hAnsi="仿宋" w:eastAsia="仿宋"/>
          <w:sz w:val="28"/>
          <w:szCs w:val="28"/>
        </w:rPr>
        <w:t>（二）绩效评价原则、评价指标体系、评价方法</w:t>
      </w:r>
      <w:r>
        <w:rPr>
          <w:rFonts w:hint="eastAsia" w:ascii="仿宋" w:hAnsi="仿宋" w:eastAsia="仿宋"/>
          <w:sz w:val="28"/>
          <w:szCs w:val="28"/>
        </w:rPr>
        <w:t>、评价标准</w:t>
      </w:r>
    </w:p>
    <w:p>
      <w:pPr>
        <w:pStyle w:val="12"/>
        <w:spacing w:line="510" w:lineRule="exact"/>
        <w:ind w:firstLine="560" w:firstLineChars="200"/>
        <w:rPr>
          <w:rFonts w:ascii="仿宋" w:hAnsi="仿宋" w:eastAsia="仿宋"/>
          <w:sz w:val="28"/>
          <w:szCs w:val="28"/>
        </w:rPr>
      </w:pPr>
      <w:r>
        <w:rPr>
          <w:rFonts w:ascii="仿宋" w:hAnsi="仿宋" w:eastAsia="仿宋"/>
          <w:sz w:val="28"/>
          <w:szCs w:val="28"/>
        </w:rPr>
        <w:t>1、绩效评价原则：（</w:t>
      </w:r>
      <w:r>
        <w:rPr>
          <w:rFonts w:hint="eastAsia" w:ascii="仿宋" w:hAnsi="仿宋" w:eastAsia="仿宋"/>
          <w:sz w:val="28"/>
          <w:szCs w:val="28"/>
        </w:rPr>
        <w:t>1</w:t>
      </w:r>
      <w:r>
        <w:rPr>
          <w:rFonts w:ascii="仿宋" w:hAnsi="仿宋" w:eastAsia="仿宋"/>
          <w:sz w:val="28"/>
          <w:szCs w:val="28"/>
        </w:rPr>
        <w:t>）客观、科学、公正的原则；（</w:t>
      </w:r>
      <w:r>
        <w:rPr>
          <w:rFonts w:hint="eastAsia" w:ascii="仿宋" w:hAnsi="仿宋" w:eastAsia="仿宋"/>
          <w:sz w:val="28"/>
          <w:szCs w:val="28"/>
        </w:rPr>
        <w:t>2</w:t>
      </w:r>
      <w:r>
        <w:rPr>
          <w:rFonts w:ascii="仿宋" w:hAnsi="仿宋" w:eastAsia="仿宋"/>
          <w:sz w:val="28"/>
          <w:szCs w:val="28"/>
        </w:rPr>
        <w:t>）综合绩效评价的原则；（</w:t>
      </w:r>
      <w:r>
        <w:rPr>
          <w:rFonts w:hint="eastAsia" w:ascii="仿宋" w:hAnsi="仿宋" w:eastAsia="仿宋"/>
          <w:sz w:val="28"/>
          <w:szCs w:val="28"/>
        </w:rPr>
        <w:t>3</w:t>
      </w:r>
      <w:r>
        <w:rPr>
          <w:rFonts w:ascii="仿宋" w:hAnsi="仿宋" w:eastAsia="仿宋"/>
          <w:sz w:val="28"/>
          <w:szCs w:val="28"/>
        </w:rPr>
        <w:t>）定量分析与定性分析的原则；（</w:t>
      </w:r>
      <w:r>
        <w:rPr>
          <w:rFonts w:hint="eastAsia" w:ascii="仿宋" w:hAnsi="仿宋" w:eastAsia="仿宋"/>
          <w:sz w:val="28"/>
          <w:szCs w:val="28"/>
        </w:rPr>
        <w:t>4</w:t>
      </w:r>
      <w:r>
        <w:rPr>
          <w:rFonts w:ascii="仿宋" w:hAnsi="仿宋" w:eastAsia="仿宋"/>
          <w:sz w:val="28"/>
          <w:szCs w:val="28"/>
        </w:rPr>
        <w:t>）统筹规划、稳步推进的原则；（</w:t>
      </w:r>
      <w:r>
        <w:rPr>
          <w:rFonts w:hint="eastAsia" w:ascii="仿宋" w:hAnsi="仿宋" w:eastAsia="仿宋"/>
          <w:sz w:val="28"/>
          <w:szCs w:val="28"/>
        </w:rPr>
        <w:t>5</w:t>
      </w:r>
      <w:r>
        <w:rPr>
          <w:rFonts w:ascii="仿宋" w:hAnsi="仿宋" w:eastAsia="仿宋"/>
          <w:sz w:val="28"/>
          <w:szCs w:val="28"/>
        </w:rPr>
        <w:t>）财政支出绩效评价与财政支出管理相结合的原则；（</w:t>
      </w:r>
      <w:r>
        <w:rPr>
          <w:rFonts w:hint="eastAsia" w:ascii="仿宋" w:hAnsi="仿宋" w:eastAsia="仿宋"/>
          <w:sz w:val="28"/>
          <w:szCs w:val="28"/>
        </w:rPr>
        <w:t>6</w:t>
      </w:r>
      <w:r>
        <w:rPr>
          <w:rFonts w:ascii="仿宋" w:hAnsi="仿宋" w:eastAsia="仿宋"/>
          <w:sz w:val="28"/>
          <w:szCs w:val="28"/>
        </w:rPr>
        <w:t>）财政支出绩效评价贯彻事前、事中、事后的原则。目标导向、依法评价；科学规范、分级实施；客观公正、公开透明。</w:t>
      </w:r>
    </w:p>
    <w:p>
      <w:pPr>
        <w:pStyle w:val="12"/>
        <w:spacing w:line="510" w:lineRule="exact"/>
        <w:ind w:firstLine="560" w:firstLineChars="200"/>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、评价方法</w:t>
      </w:r>
      <w:r>
        <w:rPr>
          <w:rFonts w:hint="eastAsia" w:ascii="仿宋" w:hAnsi="仿宋" w:eastAsia="仿宋"/>
          <w:sz w:val="28"/>
          <w:szCs w:val="28"/>
        </w:rPr>
        <w:t>：</w:t>
      </w:r>
      <w:r>
        <w:rPr>
          <w:rFonts w:ascii="仿宋" w:hAnsi="仿宋" w:eastAsia="仿宋"/>
          <w:sz w:val="28"/>
          <w:szCs w:val="28"/>
        </w:rPr>
        <w:t>因素分析法。</w:t>
      </w:r>
    </w:p>
    <w:p>
      <w:pPr>
        <w:pStyle w:val="12"/>
        <w:spacing w:line="510" w:lineRule="exact"/>
        <w:ind w:firstLine="560" w:firstLineChars="200"/>
        <w:rPr>
          <w:rFonts w:ascii="仿宋" w:hAnsi="仿宋" w:eastAsia="仿宋"/>
          <w:sz w:val="28"/>
          <w:szCs w:val="28"/>
        </w:rPr>
      </w:pPr>
      <w:r>
        <w:rPr>
          <w:rFonts w:hint="eastAsia" w:ascii="仿宋" w:hAnsi="仿宋" w:eastAsia="仿宋"/>
          <w:sz w:val="28"/>
          <w:szCs w:val="28"/>
        </w:rPr>
        <w:t>3</w:t>
      </w:r>
      <w:r>
        <w:rPr>
          <w:rFonts w:ascii="仿宋" w:hAnsi="仿宋" w:eastAsia="仿宋"/>
          <w:sz w:val="28"/>
          <w:szCs w:val="28"/>
        </w:rPr>
        <w:t>、评价指标体系详见附表。</w:t>
      </w:r>
    </w:p>
    <w:p>
      <w:pPr>
        <w:pStyle w:val="12"/>
        <w:spacing w:line="510" w:lineRule="exact"/>
        <w:ind w:firstLine="560" w:firstLineChars="200"/>
        <w:rPr>
          <w:rFonts w:ascii="仿宋" w:hAnsi="仿宋" w:eastAsia="仿宋"/>
          <w:sz w:val="28"/>
          <w:szCs w:val="28"/>
        </w:rPr>
      </w:pPr>
      <w:r>
        <w:rPr>
          <w:rFonts w:hint="eastAsia" w:ascii="仿宋" w:hAnsi="仿宋" w:eastAsia="仿宋"/>
          <w:sz w:val="28"/>
          <w:szCs w:val="28"/>
        </w:rPr>
        <w:t>（三）绩效评价工作过程。</w:t>
      </w:r>
    </w:p>
    <w:p>
      <w:pPr>
        <w:pStyle w:val="12"/>
        <w:spacing w:line="510" w:lineRule="exact"/>
        <w:ind w:firstLine="560" w:firstLineChars="200"/>
        <w:rPr>
          <w:rFonts w:ascii="仿宋" w:hAnsi="仿宋" w:eastAsia="仿宋"/>
          <w:sz w:val="28"/>
          <w:szCs w:val="28"/>
        </w:rPr>
      </w:pPr>
      <w:r>
        <w:rPr>
          <w:rFonts w:ascii="仿宋" w:hAnsi="仿宋" w:eastAsia="仿宋"/>
          <w:sz w:val="28"/>
          <w:szCs w:val="28"/>
        </w:rPr>
        <w:t>  20</w:t>
      </w:r>
      <w:r>
        <w:rPr>
          <w:rFonts w:hint="eastAsia" w:ascii="仿宋" w:hAnsi="仿宋" w:eastAsia="仿宋"/>
          <w:sz w:val="28"/>
          <w:szCs w:val="28"/>
        </w:rPr>
        <w:t>2</w:t>
      </w:r>
      <w:r>
        <w:rPr>
          <w:rFonts w:hint="eastAsia" w:ascii="仿宋" w:hAnsi="仿宋" w:eastAsia="仿宋"/>
          <w:sz w:val="28"/>
          <w:szCs w:val="28"/>
          <w:lang w:val="en-US" w:eastAsia="zh-CN"/>
        </w:rPr>
        <w:t>1</w:t>
      </w:r>
      <w:r>
        <w:rPr>
          <w:rFonts w:ascii="仿宋" w:hAnsi="仿宋" w:eastAsia="仿宋"/>
          <w:sz w:val="28"/>
          <w:szCs w:val="28"/>
        </w:rPr>
        <w:t>年</w:t>
      </w:r>
      <w:r>
        <w:rPr>
          <w:rFonts w:hint="eastAsia" w:ascii="仿宋" w:hAnsi="仿宋" w:eastAsia="仿宋"/>
          <w:sz w:val="28"/>
          <w:szCs w:val="28"/>
          <w:lang w:val="en-US" w:eastAsia="zh-CN"/>
        </w:rPr>
        <w:t>7</w:t>
      </w:r>
      <w:r>
        <w:rPr>
          <w:rFonts w:ascii="仿宋" w:hAnsi="仿宋" w:eastAsia="仿宋"/>
          <w:sz w:val="28"/>
          <w:szCs w:val="28"/>
        </w:rPr>
        <w:t>月</w:t>
      </w:r>
      <w:r>
        <w:rPr>
          <w:rFonts w:hint="eastAsia" w:ascii="仿宋" w:hAnsi="仿宋" w:eastAsia="仿宋"/>
          <w:sz w:val="28"/>
          <w:szCs w:val="28"/>
          <w:lang w:eastAsia="zh-CN"/>
        </w:rPr>
        <w:t>初</w:t>
      </w:r>
      <w:r>
        <w:rPr>
          <w:rFonts w:ascii="仿宋" w:hAnsi="仿宋" w:eastAsia="仿宋"/>
          <w:sz w:val="28"/>
          <w:szCs w:val="28"/>
        </w:rPr>
        <w:t>，由</w:t>
      </w:r>
      <w:r>
        <w:rPr>
          <w:rFonts w:hint="eastAsia" w:ascii="仿宋" w:hAnsi="仿宋" w:eastAsia="仿宋"/>
          <w:sz w:val="28"/>
          <w:szCs w:val="28"/>
        </w:rPr>
        <w:t>本局</w:t>
      </w:r>
      <w:r>
        <w:rPr>
          <w:rFonts w:hint="eastAsia" w:ascii="仿宋" w:hAnsi="仿宋" w:eastAsia="仿宋"/>
          <w:sz w:val="28"/>
          <w:szCs w:val="28"/>
          <w:lang w:eastAsia="zh-CN"/>
        </w:rPr>
        <w:t>潘科夫</w:t>
      </w:r>
      <w:r>
        <w:rPr>
          <w:rFonts w:hint="eastAsia" w:ascii="仿宋" w:hAnsi="仿宋" w:eastAsia="仿宋"/>
          <w:sz w:val="28"/>
          <w:szCs w:val="28"/>
        </w:rPr>
        <w:t>同志主管</w:t>
      </w:r>
      <w:r>
        <w:rPr>
          <w:rFonts w:ascii="仿宋" w:hAnsi="仿宋" w:eastAsia="仿宋"/>
          <w:sz w:val="28"/>
          <w:szCs w:val="28"/>
        </w:rPr>
        <w:t>，</w:t>
      </w:r>
      <w:r>
        <w:rPr>
          <w:rFonts w:hint="eastAsia" w:ascii="仿宋" w:hAnsi="仿宋" w:eastAsia="仿宋"/>
          <w:sz w:val="28"/>
          <w:szCs w:val="28"/>
        </w:rPr>
        <w:t>本局财务室牵头，</w:t>
      </w:r>
      <w:r>
        <w:rPr>
          <w:rFonts w:hint="eastAsia" w:ascii="仿宋" w:hAnsi="仿宋" w:eastAsia="仿宋"/>
          <w:sz w:val="28"/>
          <w:szCs w:val="28"/>
          <w:lang w:eastAsia="zh-CN"/>
        </w:rPr>
        <w:t>城乡和人防</w:t>
      </w:r>
      <w:r>
        <w:rPr>
          <w:rFonts w:hint="eastAsia" w:ascii="仿宋" w:hAnsi="仿宋" w:eastAsia="仿宋"/>
          <w:sz w:val="28"/>
          <w:szCs w:val="28"/>
        </w:rPr>
        <w:t>建设管理股和</w:t>
      </w:r>
      <w:r>
        <w:rPr>
          <w:rFonts w:hint="eastAsia" w:ascii="仿宋" w:hAnsi="仿宋" w:eastAsia="仿宋"/>
          <w:sz w:val="28"/>
          <w:szCs w:val="28"/>
          <w:lang w:eastAsia="zh-CN"/>
        </w:rPr>
        <w:t>建筑、人防</w:t>
      </w:r>
      <w:r>
        <w:rPr>
          <w:rFonts w:hint="eastAsia" w:ascii="仿宋" w:hAnsi="仿宋" w:eastAsia="仿宋"/>
          <w:sz w:val="28"/>
          <w:szCs w:val="28"/>
        </w:rPr>
        <w:t>工程管理股</w:t>
      </w:r>
      <w:r>
        <w:rPr>
          <w:rFonts w:hint="eastAsia" w:ascii="仿宋" w:hAnsi="仿宋" w:eastAsia="仿宋"/>
          <w:sz w:val="28"/>
          <w:szCs w:val="28"/>
          <w:lang w:eastAsia="zh-CN"/>
        </w:rPr>
        <w:t>、科技与设计管理股</w:t>
      </w:r>
      <w:r>
        <w:rPr>
          <w:rFonts w:hint="eastAsia" w:ascii="仿宋" w:hAnsi="仿宋" w:eastAsia="仿宋"/>
          <w:sz w:val="28"/>
          <w:szCs w:val="28"/>
        </w:rPr>
        <w:t>负责的绩效自评工作领导小组。根据预算管理和绩效评价相关制度和文件，制定本次绩效评价工作的自评工作方案，向参与本次评价的股室下达绩效通知书，各股</w:t>
      </w:r>
      <w:r>
        <w:rPr>
          <w:rFonts w:ascii="仿宋" w:hAnsi="仿宋" w:eastAsia="仿宋"/>
          <w:sz w:val="28"/>
          <w:szCs w:val="28"/>
        </w:rPr>
        <w:t>到项目现场实地核查、查询填报数据的真实性、准确性、完整性，</w:t>
      </w:r>
      <w:r>
        <w:rPr>
          <w:rFonts w:hint="eastAsia" w:ascii="仿宋" w:hAnsi="仿宋" w:eastAsia="仿宋"/>
          <w:sz w:val="28"/>
          <w:szCs w:val="28"/>
        </w:rPr>
        <w:t>考核按照定量和定性相结合，以定量为主的原则，采取查阅台帐、资料等，现场听、查、看等形式进行。对工作成效，工作进度、投资额度、等指标的认定,主要根据省、市的相关规定进行，同时现场了解项目建设情况，查看工程进度,确保评价工作的准确性、客观性。</w:t>
      </w:r>
      <w:r>
        <w:rPr>
          <w:rFonts w:ascii="仿宋" w:hAnsi="仿宋" w:eastAsia="仿宋"/>
          <w:sz w:val="28"/>
          <w:szCs w:val="28"/>
        </w:rPr>
        <w:t>再根据设定的评价指标、评价方法，并辅以问卷调查、工作座谈等方式进行定量和定性分析，得出最终结果。</w:t>
      </w:r>
      <w:r>
        <w:rPr>
          <w:rFonts w:hint="eastAsia" w:ascii="仿宋" w:hAnsi="仿宋" w:eastAsia="仿宋"/>
          <w:sz w:val="28"/>
          <w:szCs w:val="28"/>
        </w:rPr>
        <w:t>由财务室填写&lt;&lt;项目支出绩效自评表&gt;&gt;进行自评。然后再运用科学、合理的绩效评价指标、评价标准和方法，组织开展绩效评价，</w:t>
      </w:r>
      <w:r>
        <w:rPr>
          <w:rFonts w:ascii="仿宋" w:hAnsi="仿宋" w:eastAsia="仿宋"/>
          <w:sz w:val="28"/>
          <w:szCs w:val="28"/>
        </w:rPr>
        <w:t>撰写</w:t>
      </w:r>
      <w:r>
        <w:rPr>
          <w:rFonts w:hint="eastAsia" w:ascii="仿宋" w:hAnsi="仿宋" w:eastAsia="仿宋"/>
          <w:sz w:val="28"/>
          <w:szCs w:val="28"/>
        </w:rPr>
        <w:t>本项目的</w:t>
      </w:r>
      <w:r>
        <w:rPr>
          <w:rFonts w:ascii="仿宋" w:hAnsi="仿宋" w:eastAsia="仿宋"/>
          <w:sz w:val="28"/>
          <w:szCs w:val="28"/>
        </w:rPr>
        <w:t>绩效评价报告。</w:t>
      </w:r>
    </w:p>
    <w:p>
      <w:pPr>
        <w:pStyle w:val="12"/>
        <w:spacing w:line="510" w:lineRule="exact"/>
        <w:ind w:firstLine="562" w:firstLineChars="200"/>
        <w:rPr>
          <w:rFonts w:ascii="仿宋" w:hAnsi="仿宋" w:eastAsia="仿宋"/>
          <w:sz w:val="28"/>
          <w:szCs w:val="28"/>
        </w:rPr>
      </w:pPr>
      <w:r>
        <w:rPr>
          <w:rFonts w:hint="eastAsia" w:ascii="仿宋" w:hAnsi="仿宋" w:eastAsia="仿宋"/>
          <w:b/>
          <w:sz w:val="28"/>
          <w:szCs w:val="28"/>
        </w:rPr>
        <w:t>三、综合评价情况及评价结论（附相关评分表）</w:t>
      </w:r>
    </w:p>
    <w:p>
      <w:pPr>
        <w:pStyle w:val="12"/>
        <w:spacing w:line="510" w:lineRule="exact"/>
        <w:ind w:firstLine="560" w:firstLineChars="200"/>
        <w:rPr>
          <w:rFonts w:ascii="仿宋" w:hAnsi="仿宋" w:eastAsia="仿宋"/>
          <w:sz w:val="28"/>
          <w:szCs w:val="28"/>
        </w:rPr>
      </w:pPr>
      <w:r>
        <w:rPr>
          <w:rFonts w:hint="eastAsia" w:ascii="仿宋" w:hAnsi="仿宋" w:eastAsia="仿宋"/>
          <w:sz w:val="28"/>
          <w:szCs w:val="28"/>
        </w:rPr>
        <w:t>项目综合评价较好，民众满意度较高。从项目管理、项目资金、环境影响、社会评价各方面都得到了社会各界的好评，评份分值为92分。</w:t>
      </w:r>
    </w:p>
    <w:p>
      <w:pPr>
        <w:pStyle w:val="12"/>
        <w:spacing w:line="510" w:lineRule="exact"/>
        <w:ind w:firstLine="643" w:firstLineChars="200"/>
        <w:rPr>
          <w:rFonts w:ascii="Times New Roman" w:hAnsi="Times New Roman" w:eastAsia="楷体"/>
          <w:b/>
          <w:sz w:val="32"/>
          <w:szCs w:val="32"/>
        </w:rPr>
      </w:pPr>
      <w:r>
        <w:rPr>
          <w:rFonts w:hint="eastAsia" w:ascii="Times New Roman" w:hAnsi="Times New Roman" w:eastAsia="楷体"/>
          <w:b/>
          <w:sz w:val="32"/>
          <w:szCs w:val="32"/>
        </w:rPr>
        <w:t>四、绩效评价指标分析</w:t>
      </w:r>
    </w:p>
    <w:p>
      <w:pPr>
        <w:pStyle w:val="12"/>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（一）</w:t>
      </w:r>
      <w:r>
        <w:rPr>
          <w:rFonts w:hint="eastAsia" w:ascii="Times New Roman" w:hAnsi="Times New Roman" w:eastAsia="仿宋"/>
          <w:sz w:val="32"/>
          <w:szCs w:val="32"/>
        </w:rPr>
        <w:t>项目决策情况：</w:t>
      </w:r>
    </w:p>
    <w:p>
      <w:pPr>
        <w:pStyle w:val="12"/>
        <w:spacing w:line="510" w:lineRule="exact"/>
        <w:ind w:firstLine="560" w:firstLineChars="200"/>
        <w:rPr>
          <w:rFonts w:hint="eastAsia" w:ascii="Times New Roman" w:hAnsi="Times New Roman" w:eastAsia="仿宋"/>
          <w:sz w:val="32"/>
          <w:szCs w:val="32"/>
          <w:lang w:val="en-US" w:eastAsia="zh-CN"/>
        </w:rPr>
      </w:pPr>
      <w:r>
        <w:rPr>
          <w:rFonts w:hint="eastAsia" w:ascii="仿宋" w:hAnsi="仿宋" w:eastAsia="仿宋"/>
          <w:sz w:val="28"/>
          <w:szCs w:val="28"/>
        </w:rPr>
        <w:t>1、项目立项：中方老街片区始建于2000年前，与1998年商品房改革之后建设成的居住区相比较，大多已跟不上时代的发展。而随着城市化进程的加快，配套设施不齐、违章搭建严重、停车位不足等问题日益凸显，直接影响了居民生活的质量、和谐社区的构建和美好城市的建设。因此改造该片区势在必行</w:t>
      </w:r>
      <w:r>
        <w:rPr>
          <w:rFonts w:hint="eastAsia" w:ascii="仿宋" w:hAnsi="仿宋" w:eastAsia="仿宋"/>
          <w:sz w:val="28"/>
          <w:szCs w:val="28"/>
          <w:lang w:eastAsia="zh-CN"/>
        </w:rPr>
        <w:t>。</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 xml:space="preserve"> </w:t>
      </w:r>
      <w:r>
        <w:rPr>
          <w:rFonts w:hint="eastAsia" w:ascii="仿宋" w:hAnsi="仿宋" w:eastAsia="仿宋"/>
          <w:sz w:val="28"/>
          <w:szCs w:val="28"/>
        </w:rPr>
        <w:t>2、绩效目标：该项目设立了科学合理的绩效指标体系，一级指标3个，二级指标9个，三级指标13个，指标清晰、细化、可衡量，能反映和考核项目绩效目标的明化情况。</w:t>
      </w:r>
    </w:p>
    <w:p>
      <w:pPr>
        <w:pStyle w:val="12"/>
        <w:spacing w:line="510" w:lineRule="exact"/>
        <w:ind w:firstLine="560" w:firstLineChars="200"/>
        <w:rPr>
          <w:rFonts w:ascii="仿宋" w:hAnsi="仿宋" w:eastAsia="仿宋"/>
          <w:sz w:val="28"/>
          <w:szCs w:val="28"/>
        </w:rPr>
      </w:pPr>
      <w:r>
        <w:rPr>
          <w:rFonts w:hint="eastAsia" w:ascii="仿宋" w:hAnsi="仿宋" w:eastAsia="仿宋"/>
          <w:sz w:val="28"/>
          <w:szCs w:val="28"/>
        </w:rPr>
        <w:t>3、资金投入：该项目预计投入资金2260万元，其中中央预算内投次1379万元，其余部分由县财政补足。</w:t>
      </w:r>
    </w:p>
    <w:p>
      <w:pPr>
        <w:pStyle w:val="12"/>
        <w:spacing w:line="510" w:lineRule="exact"/>
        <w:ind w:firstLine="560" w:firstLineChars="200"/>
        <w:rPr>
          <w:rFonts w:ascii="仿宋" w:hAnsi="仿宋" w:eastAsia="仿宋"/>
          <w:sz w:val="28"/>
          <w:szCs w:val="28"/>
        </w:rPr>
      </w:pPr>
      <w:r>
        <w:rPr>
          <w:rFonts w:hint="eastAsia" w:ascii="仿宋" w:hAnsi="仿宋" w:eastAsia="仿宋"/>
          <w:sz w:val="28"/>
          <w:szCs w:val="28"/>
        </w:rPr>
        <w:t>（二）</w:t>
      </w:r>
      <w:r>
        <w:rPr>
          <w:rFonts w:ascii="仿宋" w:hAnsi="仿宋" w:eastAsia="仿宋"/>
          <w:sz w:val="28"/>
          <w:szCs w:val="28"/>
        </w:rPr>
        <w:t>项目</w:t>
      </w:r>
      <w:r>
        <w:rPr>
          <w:rFonts w:hint="eastAsia" w:ascii="仿宋" w:hAnsi="仿宋" w:eastAsia="仿宋"/>
          <w:sz w:val="28"/>
          <w:szCs w:val="28"/>
        </w:rPr>
        <w:t>过程</w:t>
      </w:r>
      <w:r>
        <w:rPr>
          <w:rFonts w:ascii="仿宋" w:hAnsi="仿宋" w:eastAsia="仿宋"/>
          <w:sz w:val="28"/>
          <w:szCs w:val="28"/>
        </w:rPr>
        <w:t>情况分析</w:t>
      </w:r>
    </w:p>
    <w:p>
      <w:pPr>
        <w:pStyle w:val="12"/>
        <w:spacing w:line="510" w:lineRule="exact"/>
        <w:ind w:firstLine="560" w:firstLineChars="200"/>
        <w:rPr>
          <w:rFonts w:ascii="仿宋" w:hAnsi="仿宋" w:eastAsia="仿宋"/>
          <w:sz w:val="28"/>
          <w:szCs w:val="28"/>
        </w:rPr>
      </w:pPr>
      <w:r>
        <w:rPr>
          <w:rFonts w:hint="eastAsia" w:ascii="仿宋" w:hAnsi="仿宋" w:eastAsia="仿宋"/>
          <w:sz w:val="28"/>
          <w:szCs w:val="28"/>
        </w:rPr>
        <w:t>１、项目资金到位情况分析</w:t>
      </w:r>
    </w:p>
    <w:p>
      <w:pPr>
        <w:pStyle w:val="12"/>
        <w:spacing w:line="510" w:lineRule="exact"/>
        <w:ind w:firstLine="560" w:firstLineChars="200"/>
        <w:rPr>
          <w:rFonts w:ascii="仿宋" w:hAnsi="仿宋" w:eastAsia="仿宋"/>
          <w:sz w:val="28"/>
          <w:szCs w:val="28"/>
        </w:rPr>
      </w:pPr>
      <w:r>
        <w:rPr>
          <w:rFonts w:hint="eastAsia" w:ascii="仿宋" w:hAnsi="仿宋" w:eastAsia="仿宋"/>
          <w:sz w:val="28"/>
          <w:szCs w:val="28"/>
        </w:rPr>
        <w:t>2020年中央预算内资金已到位，不够部分县财政将通过专项债补足。</w:t>
      </w:r>
    </w:p>
    <w:p>
      <w:pPr>
        <w:pStyle w:val="12"/>
        <w:spacing w:line="510" w:lineRule="exact"/>
        <w:ind w:firstLine="560" w:firstLineChars="200"/>
        <w:rPr>
          <w:rFonts w:ascii="仿宋" w:hAnsi="仿宋" w:eastAsia="仿宋"/>
          <w:sz w:val="28"/>
          <w:szCs w:val="28"/>
        </w:rPr>
      </w:pPr>
      <w:r>
        <w:rPr>
          <w:rFonts w:hint="eastAsia" w:ascii="仿宋" w:hAnsi="仿宋" w:eastAsia="仿宋"/>
          <w:sz w:val="28"/>
          <w:szCs w:val="28"/>
        </w:rPr>
        <w:t>2、项目资金使用情况分析</w:t>
      </w:r>
    </w:p>
    <w:p>
      <w:pPr>
        <w:pStyle w:val="12"/>
        <w:spacing w:line="510" w:lineRule="exact"/>
        <w:ind w:firstLine="560" w:firstLineChars="200"/>
        <w:rPr>
          <w:rFonts w:ascii="仿宋" w:hAnsi="仿宋" w:eastAsia="仿宋"/>
          <w:sz w:val="28"/>
          <w:szCs w:val="28"/>
        </w:rPr>
      </w:pPr>
      <w:r>
        <w:rPr>
          <w:rFonts w:hint="eastAsia" w:ascii="仿宋" w:hAnsi="仿宋" w:eastAsia="仿宋"/>
          <w:sz w:val="28"/>
          <w:szCs w:val="28"/>
        </w:rPr>
        <w:t>2020年12月，支付进度款2</w:t>
      </w:r>
      <w:r>
        <w:rPr>
          <w:rFonts w:hint="eastAsia" w:ascii="仿宋" w:hAnsi="仿宋" w:eastAsia="仿宋"/>
          <w:sz w:val="28"/>
          <w:szCs w:val="28"/>
          <w:lang w:val="en-US" w:eastAsia="zh-CN"/>
        </w:rPr>
        <w:t>0</w:t>
      </w:r>
      <w:r>
        <w:rPr>
          <w:rFonts w:hint="eastAsia" w:ascii="仿宋" w:hAnsi="仿宋" w:eastAsia="仿宋"/>
          <w:sz w:val="28"/>
          <w:szCs w:val="28"/>
        </w:rPr>
        <w:t>7万元，该款项通过中央预算内专项资金支付。</w:t>
      </w:r>
    </w:p>
    <w:p>
      <w:pPr>
        <w:pStyle w:val="12"/>
        <w:spacing w:line="510" w:lineRule="exact"/>
        <w:ind w:firstLine="560" w:firstLineChars="200"/>
        <w:rPr>
          <w:rFonts w:ascii="仿宋" w:hAnsi="仿宋" w:eastAsia="仿宋"/>
          <w:sz w:val="28"/>
          <w:szCs w:val="28"/>
        </w:rPr>
      </w:pPr>
      <w:r>
        <w:rPr>
          <w:rFonts w:ascii="仿宋" w:hAnsi="仿宋" w:eastAsia="仿宋"/>
          <w:sz w:val="28"/>
          <w:szCs w:val="28"/>
        </w:rPr>
        <w:t>3、项目资金管理情况分析</w:t>
      </w:r>
    </w:p>
    <w:p>
      <w:pPr>
        <w:pStyle w:val="12"/>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 </w:t>
      </w:r>
      <w:r>
        <w:rPr>
          <w:rFonts w:hint="eastAsia" w:ascii="仿宋" w:hAnsi="仿宋" w:eastAsia="仿宋"/>
          <w:sz w:val="28"/>
          <w:szCs w:val="28"/>
        </w:rPr>
        <w:t>中方老街老旧小区改造工程项目</w:t>
      </w:r>
      <w:r>
        <w:rPr>
          <w:rFonts w:ascii="仿宋" w:hAnsi="仿宋" w:eastAsia="仿宋"/>
          <w:sz w:val="28"/>
          <w:szCs w:val="28"/>
        </w:rPr>
        <w:t>资金及时足额拨付到位，没有出现违规使用资金行为，使项目的实施得到了资金的保障。资金</w:t>
      </w:r>
      <w:r>
        <w:rPr>
          <w:rFonts w:hint="eastAsia" w:ascii="仿宋" w:hAnsi="仿宋" w:eastAsia="仿宋"/>
          <w:sz w:val="28"/>
          <w:szCs w:val="28"/>
        </w:rPr>
        <w:t>的拨付有完整的审批程序和手续</w:t>
      </w:r>
      <w:r>
        <w:rPr>
          <w:rFonts w:ascii="仿宋" w:hAnsi="仿宋" w:eastAsia="仿宋"/>
          <w:sz w:val="28"/>
          <w:szCs w:val="28"/>
        </w:rPr>
        <w:t>。所有项目开支通过</w:t>
      </w:r>
      <w:r>
        <w:rPr>
          <w:rFonts w:hint="eastAsia" w:ascii="仿宋" w:hAnsi="仿宋" w:eastAsia="仿宋"/>
          <w:sz w:val="28"/>
          <w:szCs w:val="28"/>
        </w:rPr>
        <w:t>国库</w:t>
      </w:r>
      <w:r>
        <w:rPr>
          <w:rFonts w:ascii="仿宋" w:hAnsi="仿宋" w:eastAsia="仿宋"/>
          <w:sz w:val="28"/>
          <w:szCs w:val="28"/>
        </w:rPr>
        <w:t>集中支</w:t>
      </w:r>
      <w:r>
        <w:rPr>
          <w:rFonts w:hint="eastAsia" w:ascii="仿宋" w:hAnsi="仿宋" w:eastAsia="仿宋"/>
          <w:sz w:val="28"/>
          <w:szCs w:val="28"/>
        </w:rPr>
        <w:t>付，施工单位领款时必须提供工程施工合同、工程结算单、发票等，财务手续齐全。</w:t>
      </w:r>
    </w:p>
    <w:p>
      <w:pPr>
        <w:pStyle w:val="12"/>
        <w:spacing w:line="510" w:lineRule="exact"/>
        <w:ind w:firstLine="560" w:firstLineChars="200"/>
        <w:rPr>
          <w:rFonts w:ascii="仿宋" w:hAnsi="仿宋" w:eastAsia="仿宋"/>
          <w:sz w:val="28"/>
          <w:szCs w:val="28"/>
        </w:rPr>
      </w:pPr>
      <w:r>
        <w:rPr>
          <w:rFonts w:hint="eastAsia" w:ascii="仿宋" w:hAnsi="仿宋" w:eastAsia="仿宋"/>
          <w:sz w:val="28"/>
          <w:szCs w:val="28"/>
        </w:rPr>
        <w:t>（三）项目产出情况 </w:t>
      </w:r>
    </w:p>
    <w:p>
      <w:pPr>
        <w:pStyle w:val="12"/>
        <w:spacing w:line="510" w:lineRule="exact"/>
        <w:ind w:firstLine="560" w:firstLineChars="200"/>
        <w:rPr>
          <w:rFonts w:hint="eastAsia" w:ascii="仿宋" w:hAnsi="仿宋" w:eastAsia="仿宋"/>
          <w:sz w:val="28"/>
          <w:szCs w:val="28"/>
        </w:rPr>
      </w:pPr>
      <w:r>
        <w:rPr>
          <w:rFonts w:hint="eastAsia" w:ascii="仿宋" w:hAnsi="仿宋" w:eastAsia="仿宋"/>
          <w:sz w:val="28"/>
          <w:szCs w:val="28"/>
        </w:rPr>
        <w:t>1、中方老街老旧小区改造工程项目预期目标完成程度：严格按照确定的建设内容和时间节点推进。</w:t>
      </w:r>
    </w:p>
    <w:p>
      <w:pPr>
        <w:pStyle w:val="12"/>
        <w:spacing w:line="510" w:lineRule="exact"/>
        <w:ind w:firstLine="560" w:firstLineChars="200"/>
        <w:rPr>
          <w:rFonts w:ascii="仿宋" w:hAnsi="仿宋" w:eastAsia="仿宋"/>
          <w:sz w:val="28"/>
          <w:szCs w:val="28"/>
        </w:rPr>
      </w:pPr>
      <w:r>
        <w:rPr>
          <w:rFonts w:hint="eastAsia" w:ascii="仿宋" w:hAnsi="仿宋" w:eastAsia="仿宋"/>
          <w:sz w:val="28"/>
          <w:szCs w:val="28"/>
        </w:rPr>
        <w:t>2、项目实施对经济和社会的影响：通过老旧小区改造项目的建设，有效改善老旧小区居民的住房条件和生活环境，提升居民幸福指数，促进社会和谐稳定，也为城市功能与品质提升打下了基础。</w:t>
      </w:r>
    </w:p>
    <w:p>
      <w:pPr>
        <w:pStyle w:val="12"/>
        <w:spacing w:line="510" w:lineRule="exact"/>
        <w:ind w:firstLine="560" w:firstLineChars="200"/>
        <w:rPr>
          <w:rFonts w:ascii="仿宋" w:hAnsi="仿宋" w:eastAsia="仿宋"/>
          <w:sz w:val="28"/>
          <w:szCs w:val="28"/>
        </w:rPr>
      </w:pPr>
      <w:r>
        <w:rPr>
          <w:rFonts w:hint="eastAsia" w:ascii="仿宋" w:hAnsi="仿宋" w:eastAsia="仿宋"/>
          <w:sz w:val="28"/>
          <w:szCs w:val="28"/>
        </w:rPr>
        <w:t>（四）项目效益情况。</w:t>
      </w:r>
    </w:p>
    <w:p>
      <w:pPr>
        <w:pStyle w:val="12"/>
        <w:spacing w:line="510" w:lineRule="exact"/>
        <w:ind w:firstLine="560" w:firstLineChars="200"/>
        <w:rPr>
          <w:rFonts w:ascii="Times New Roman" w:hAnsi="Times New Roman" w:eastAsia="仿宋"/>
          <w:sz w:val="32"/>
          <w:szCs w:val="32"/>
        </w:rPr>
      </w:pPr>
      <w:r>
        <w:rPr>
          <w:rFonts w:hint="eastAsia" w:ascii="仿宋" w:hAnsi="仿宋" w:eastAsia="仿宋"/>
          <w:sz w:val="28"/>
          <w:szCs w:val="28"/>
        </w:rPr>
        <w:t>项目综合评价较好，民众满意度较高。 从项目管理、项目资金、环境影响、社会评价各方面都得到了社会各界的好评。</w:t>
      </w:r>
    </w:p>
    <w:p>
      <w:pPr>
        <w:pStyle w:val="12"/>
        <w:spacing w:line="510" w:lineRule="exact"/>
        <w:ind w:firstLine="643" w:firstLineChars="200"/>
        <w:rPr>
          <w:rFonts w:ascii="Times New Roman" w:hAnsi="Times New Roman" w:eastAsia="楷体"/>
          <w:b/>
          <w:sz w:val="32"/>
          <w:szCs w:val="32"/>
        </w:rPr>
      </w:pPr>
      <w:r>
        <w:rPr>
          <w:rFonts w:hint="eastAsia" w:ascii="Times New Roman" w:hAnsi="Times New Roman" w:eastAsia="楷体"/>
          <w:b/>
          <w:sz w:val="32"/>
          <w:szCs w:val="32"/>
        </w:rPr>
        <w:t>五、主要经验及做法、存在的问题及原因分析</w:t>
      </w:r>
    </w:p>
    <w:p>
      <w:pPr>
        <w:pStyle w:val="12"/>
        <w:spacing w:line="510" w:lineRule="exact"/>
        <w:ind w:firstLine="560" w:firstLineChars="200"/>
        <w:rPr>
          <w:rFonts w:ascii="仿宋" w:hAnsi="仿宋" w:eastAsia="仿宋"/>
          <w:sz w:val="28"/>
          <w:szCs w:val="28"/>
        </w:rPr>
      </w:pPr>
      <w:r>
        <w:rPr>
          <w:rFonts w:hint="eastAsia" w:ascii="仿宋" w:hAnsi="仿宋" w:eastAsia="仿宋"/>
          <w:sz w:val="28"/>
          <w:szCs w:val="28"/>
        </w:rPr>
        <w:t>（一）主要经验</w:t>
      </w:r>
    </w:p>
    <w:p>
      <w:pPr>
        <w:pStyle w:val="12"/>
        <w:spacing w:line="510" w:lineRule="exact"/>
        <w:ind w:firstLine="560" w:firstLineChars="200"/>
        <w:rPr>
          <w:rFonts w:ascii="仿宋" w:hAnsi="仿宋" w:eastAsia="仿宋"/>
          <w:sz w:val="28"/>
          <w:szCs w:val="28"/>
        </w:rPr>
      </w:pPr>
      <w:r>
        <w:rPr>
          <w:rFonts w:hint="eastAsia" w:ascii="仿宋" w:hAnsi="仿宋" w:eastAsia="仿宋"/>
          <w:sz w:val="28"/>
          <w:szCs w:val="28"/>
        </w:rPr>
        <w:t>一是做好详细摸底。从7月份开始，我局便组织了中方镇政府及社区对各辖区内2000年以前建成的老旧小区进行了摸底,通过多次核实,形成了全区老旧小区情况台账，同时根据小区的基础条件及民意情况等现实情况，按照先急后缓的思路进行了优先级排序，一旦启动申报工作，可立即开展上报。</w:t>
      </w:r>
    </w:p>
    <w:p>
      <w:pPr>
        <w:pStyle w:val="12"/>
        <w:spacing w:line="510" w:lineRule="exact"/>
        <w:ind w:firstLine="840" w:firstLineChars="300"/>
        <w:rPr>
          <w:rFonts w:ascii="Times New Roman" w:hAnsi="Times New Roman" w:eastAsia="仿宋"/>
          <w:sz w:val="28"/>
          <w:szCs w:val="28"/>
        </w:rPr>
      </w:pPr>
      <w:r>
        <w:rPr>
          <w:rFonts w:hint="eastAsia" w:ascii="仿宋" w:hAnsi="仿宋" w:eastAsia="仿宋"/>
          <w:sz w:val="28"/>
          <w:szCs w:val="28"/>
        </w:rPr>
        <w:t>二是统筹安排建设与谋划。为充分利用好国家政策.采取了改造一批、谋划-批的工作模式，在保证开工建设批项目的同时，积极对下一批改造的老旧小区开展项目申报、设计等前期工作。在今年已开工实施3个老旧小区改造的情况下，提前开始谋划了下一批改造点争取年内再启动改造一批 ，做好明年改造计划前期工作。</w:t>
      </w:r>
    </w:p>
    <w:p>
      <w:pPr>
        <w:pStyle w:val="12"/>
        <w:spacing w:line="510" w:lineRule="exact"/>
        <w:ind w:firstLine="840" w:firstLineChars="300"/>
        <w:rPr>
          <w:rFonts w:ascii="Times New Roman" w:hAnsi="Times New Roman" w:eastAsia="仿宋"/>
          <w:sz w:val="28"/>
          <w:szCs w:val="28"/>
        </w:rPr>
      </w:pPr>
      <w:r>
        <w:rPr>
          <w:rFonts w:hint="eastAsia" w:ascii="Times New Roman" w:hAnsi="Times New Roman" w:eastAsia="仿宋"/>
          <w:sz w:val="28"/>
          <w:szCs w:val="28"/>
        </w:rPr>
        <w:t>三是严把改造质量关。采取项目领导挂点制度，由县住建局安排名领导和几名专业技术人员 ，全方位对接服务项目建设，定期到工地现场了解施工情况，严格督导，把好工程质量关。</w:t>
      </w:r>
    </w:p>
    <w:p>
      <w:pPr>
        <w:pStyle w:val="12"/>
        <w:spacing w:line="510" w:lineRule="exact"/>
        <w:ind w:firstLine="840" w:firstLineChars="300"/>
        <w:rPr>
          <w:rFonts w:ascii="Times New Roman" w:hAnsi="Times New Roman" w:eastAsia="仿宋"/>
          <w:sz w:val="28"/>
          <w:szCs w:val="28"/>
        </w:rPr>
      </w:pPr>
      <w:r>
        <w:rPr>
          <w:rFonts w:hint="eastAsia" w:ascii="Times New Roman" w:hAnsi="Times New Roman" w:eastAsia="仿宋"/>
          <w:sz w:val="28"/>
          <w:szCs w:val="28"/>
        </w:rPr>
        <w:t xml:space="preserve"> (二）存在的问题</w:t>
      </w:r>
    </w:p>
    <w:p>
      <w:pPr>
        <w:pStyle w:val="12"/>
        <w:spacing w:line="510" w:lineRule="exact"/>
        <w:ind w:firstLine="840" w:firstLineChars="300"/>
        <w:rPr>
          <w:rFonts w:ascii="Times New Roman" w:hAnsi="Times New Roman" w:eastAsia="仿宋"/>
          <w:sz w:val="28"/>
          <w:szCs w:val="28"/>
        </w:rPr>
      </w:pPr>
      <w:r>
        <w:rPr>
          <w:rFonts w:hint="eastAsia" w:ascii="Times New Roman" w:hAnsi="Times New Roman" w:eastAsia="仿宋"/>
          <w:sz w:val="28"/>
          <w:szCs w:val="28"/>
        </w:rPr>
        <w:t>一是资金压力大。 随着城市功能与品质提升的深入推进和群众对居住环境的需求日益提高，改造规模不断扩大，改造标准也不断提高,对资金的需求也日益增大。建议上级进一步加大资金的支持力度。</w:t>
      </w:r>
    </w:p>
    <w:p>
      <w:pPr>
        <w:pStyle w:val="12"/>
        <w:spacing w:line="510" w:lineRule="exact"/>
        <w:ind w:firstLine="840" w:firstLineChars="300"/>
        <w:rPr>
          <w:rFonts w:ascii="Times New Roman" w:hAnsi="Times New Roman" w:eastAsia="仿宋"/>
          <w:sz w:val="28"/>
          <w:szCs w:val="28"/>
        </w:rPr>
      </w:pPr>
      <w:r>
        <w:rPr>
          <w:rFonts w:hint="eastAsia" w:ascii="Times New Roman" w:hAnsi="Times New Roman" w:eastAsia="仿宋"/>
          <w:sz w:val="28"/>
          <w:szCs w:val="28"/>
        </w:rPr>
        <w:t>二是部门协调难度较大。 在老旧小区的改造过程中往往涉及到供电、供水、供气城管等多个部门，如果没有一个统筹的协调机构，就无法保证项目的实施，由于管理职能权限问题，需要市、县相关单位大量支持，建议从市、县级层面成立相应的协调领导小组，以推动项目的建设。</w:t>
      </w:r>
    </w:p>
    <w:p>
      <w:pPr>
        <w:pStyle w:val="12"/>
        <w:spacing w:line="510" w:lineRule="exact"/>
        <w:ind w:firstLine="643" w:firstLineChars="200"/>
        <w:rPr>
          <w:rFonts w:ascii="Times New Roman" w:hAnsi="Times New Roman" w:eastAsia="楷体"/>
          <w:b/>
          <w:sz w:val="32"/>
          <w:szCs w:val="32"/>
        </w:rPr>
      </w:pPr>
      <w:r>
        <w:rPr>
          <w:rFonts w:hint="eastAsia" w:ascii="Times New Roman" w:hAnsi="Times New Roman" w:eastAsia="楷体"/>
          <w:b/>
          <w:sz w:val="32"/>
          <w:szCs w:val="32"/>
        </w:rPr>
        <w:t>六、有关建议</w:t>
      </w:r>
    </w:p>
    <w:p>
      <w:pPr>
        <w:spacing w:line="480" w:lineRule="exact"/>
        <w:ind w:firstLine="560" w:firstLineChars="200"/>
        <w:rPr>
          <w:rFonts w:ascii="仿宋" w:hAnsi="仿宋" w:eastAsia="仿宋" w:cs="仿宋"/>
          <w:sz w:val="28"/>
          <w:szCs w:val="28"/>
        </w:rPr>
      </w:pPr>
      <w:r>
        <w:rPr>
          <w:rFonts w:hint="eastAsia" w:ascii="Times New Roman" w:hAnsi="Times New Roman" w:eastAsia="仿宋"/>
          <w:sz w:val="28"/>
          <w:szCs w:val="28"/>
        </w:rPr>
        <w:t>1、</w:t>
      </w:r>
      <w:r>
        <w:rPr>
          <w:rFonts w:hint="eastAsia" w:ascii="仿宋" w:hAnsi="仿宋" w:eastAsia="仿宋" w:cs="仿宋"/>
          <w:sz w:val="28"/>
          <w:szCs w:val="28"/>
        </w:rPr>
        <w:t>细化预算编制工作，认真做好预算的编制。</w:t>
      </w:r>
    </w:p>
    <w:p>
      <w:pPr>
        <w:spacing w:line="480" w:lineRule="exact"/>
        <w:ind w:firstLine="560" w:firstLineChars="200"/>
        <w:rPr>
          <w:rFonts w:ascii="Times New Roman" w:hAnsi="Times New Roman" w:eastAsia="仿宋"/>
          <w:sz w:val="28"/>
          <w:szCs w:val="28"/>
        </w:rPr>
      </w:pPr>
      <w:r>
        <w:rPr>
          <w:rFonts w:hint="eastAsia" w:ascii="Times New Roman" w:hAnsi="Times New Roman" w:eastAsia="仿宋"/>
          <w:sz w:val="28"/>
          <w:szCs w:val="28"/>
        </w:rPr>
        <w:t>2、建议对实施跨度大的项目，开展项目实施过程的绩效评价，待项目完成后，再开展项目完成绩效评价，更能准确。</w:t>
      </w:r>
    </w:p>
    <w:p>
      <w:pPr>
        <w:pStyle w:val="12"/>
        <w:spacing w:line="510" w:lineRule="exact"/>
        <w:ind w:firstLine="643" w:firstLineChars="200"/>
        <w:rPr>
          <w:rFonts w:ascii="Times New Roman" w:hAnsi="Times New Roman" w:eastAsia="楷体"/>
          <w:b/>
          <w:sz w:val="32"/>
          <w:szCs w:val="32"/>
        </w:rPr>
      </w:pPr>
      <w:r>
        <w:rPr>
          <w:rFonts w:hint="eastAsia" w:ascii="Times New Roman" w:hAnsi="Times New Roman" w:eastAsia="楷体"/>
          <w:b/>
          <w:sz w:val="32"/>
          <w:szCs w:val="32"/>
        </w:rPr>
        <w:t>七、其他需要说明的问题</w:t>
      </w:r>
    </w:p>
    <w:p>
      <w:pPr>
        <w:pStyle w:val="12"/>
        <w:spacing w:line="510" w:lineRule="exact"/>
        <w:ind w:firstLine="640" w:firstLineChars="200"/>
        <w:rPr>
          <w:rFonts w:ascii="Times New Roman" w:hAnsi="Times New Roman" w:eastAsia="仿宋_GB2312"/>
          <w:sz w:val="32"/>
          <w:szCs w:val="32"/>
        </w:rPr>
      </w:pPr>
      <w:r>
        <w:rPr>
          <w:rFonts w:hint="eastAsia" w:ascii="Times New Roman" w:hAnsi="Times New Roman" w:eastAsia="仿宋"/>
          <w:sz w:val="32"/>
          <w:szCs w:val="32"/>
        </w:rPr>
        <w:t>无</w:t>
      </w: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r>
        <w:rPr>
          <w:rFonts w:ascii="Times New Roman" w:hAnsi="Times New Roman" w:eastAsia="仿宋_GB2312"/>
          <w:sz w:val="32"/>
          <w:szCs w:val="32"/>
        </w:rPr>
        <w:t>附件：1.项目支出绩效自评表</w:t>
      </w:r>
    </w:p>
    <w:p>
      <w:pPr>
        <w:widowControl/>
        <w:spacing w:line="510" w:lineRule="exact"/>
        <w:ind w:firstLine="960" w:firstLineChars="300"/>
        <w:jc w:val="left"/>
        <w:rPr>
          <w:rFonts w:ascii="Times New Roman" w:hAnsi="Times New Roman" w:eastAsia="仿宋_GB2312"/>
          <w:bCs/>
          <w:color w:val="000000"/>
          <w:sz w:val="32"/>
          <w:szCs w:val="32"/>
        </w:rPr>
      </w:pPr>
      <w:r>
        <w:rPr>
          <w:rFonts w:ascii="Times New Roman" w:hAnsi="Times New Roman" w:eastAsia="仿宋_GB2312"/>
          <w:sz w:val="32"/>
          <w:szCs w:val="32"/>
        </w:rPr>
        <w:t>2.项目支出绩效评价指标</w:t>
      </w:r>
      <w:r>
        <w:rPr>
          <w:rFonts w:ascii="Times New Roman" w:hAnsi="Times New Roman" w:eastAsia="仿宋_GB2312"/>
          <w:bCs/>
          <w:color w:val="000000"/>
          <w:kern w:val="0"/>
          <w:sz w:val="32"/>
          <w:szCs w:val="32"/>
        </w:rPr>
        <w:t>评分表</w:t>
      </w: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1</w:t>
      </w:r>
    </w:p>
    <w:tbl>
      <w:tblPr>
        <w:tblStyle w:val="6"/>
        <w:tblW w:w="9137" w:type="dxa"/>
        <w:jc w:val="center"/>
        <w:tblLayout w:type="fixed"/>
        <w:tblCellMar>
          <w:top w:w="0" w:type="dxa"/>
          <w:left w:w="108" w:type="dxa"/>
          <w:bottom w:w="0" w:type="dxa"/>
          <w:right w:w="108" w:type="dxa"/>
        </w:tblCellMar>
      </w:tblPr>
      <w:tblGrid>
        <w:gridCol w:w="587"/>
        <w:gridCol w:w="979"/>
        <w:gridCol w:w="1112"/>
        <w:gridCol w:w="730"/>
        <w:gridCol w:w="1134"/>
        <w:gridCol w:w="284"/>
        <w:gridCol w:w="1131"/>
        <w:gridCol w:w="853"/>
        <w:gridCol w:w="561"/>
        <w:gridCol w:w="148"/>
        <w:gridCol w:w="277"/>
        <w:gridCol w:w="574"/>
        <w:gridCol w:w="708"/>
        <w:gridCol w:w="59"/>
      </w:tblGrid>
      <w:tr>
        <w:tblPrEx>
          <w:tblCellMar>
            <w:top w:w="0" w:type="dxa"/>
            <w:left w:w="108" w:type="dxa"/>
            <w:bottom w:w="0" w:type="dxa"/>
            <w:right w:w="108" w:type="dxa"/>
          </w:tblCellMar>
        </w:tblPrEx>
        <w:trPr>
          <w:gridAfter w:val="1"/>
          <w:wAfter w:w="57" w:type="dxa"/>
          <w:trHeight w:val="349" w:hRule="exact"/>
          <w:jc w:val="center"/>
        </w:trPr>
        <w:tc>
          <w:tcPr>
            <w:tcW w:w="9080" w:type="dxa"/>
            <w:gridSpan w:val="13"/>
            <w:tcBorders>
              <w:top w:val="nil"/>
              <w:left w:val="nil"/>
              <w:bottom w:val="nil"/>
              <w:right w:val="nil"/>
            </w:tcBorders>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gridAfter w:val="1"/>
          <w:wAfter w:w="57" w:type="dxa"/>
          <w:trHeight w:val="201" w:hRule="atLeast"/>
          <w:jc w:val="center"/>
        </w:trPr>
        <w:tc>
          <w:tcPr>
            <w:tcW w:w="9080" w:type="dxa"/>
            <w:gridSpan w:val="13"/>
            <w:tcBorders>
              <w:top w:val="nil"/>
              <w:left w:val="nil"/>
              <w:bottom w:val="nil"/>
              <w:right w:val="nil"/>
            </w:tcBorders>
          </w:tcPr>
          <w:p>
            <w:pPr>
              <w:widowControl/>
              <w:jc w:val="center"/>
              <w:rPr>
                <w:rFonts w:ascii="Times New Roman" w:hAnsi="Times New Roman"/>
                <w:kern w:val="0"/>
                <w:sz w:val="22"/>
              </w:rPr>
            </w:pPr>
            <w:r>
              <w:rPr>
                <w:rFonts w:ascii="Times New Roman" w:hAnsi="Times New Roman"/>
                <w:kern w:val="0"/>
                <w:sz w:val="22"/>
              </w:rPr>
              <w:t>（20</w:t>
            </w:r>
            <w:r>
              <w:rPr>
                <w:rFonts w:hint="eastAsia" w:ascii="Times New Roman" w:hAnsi="Times New Roman"/>
                <w:kern w:val="0"/>
                <w:sz w:val="22"/>
              </w:rPr>
              <w:t>20</w:t>
            </w:r>
            <w:r>
              <w:rPr>
                <w:rFonts w:ascii="Times New Roman" w:hAnsi="Times New Roman"/>
                <w:kern w:val="0"/>
                <w:sz w:val="22"/>
              </w:rPr>
              <w:t>年度）</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kern w:val="0"/>
                <w:sz w:val="18"/>
                <w:szCs w:val="18"/>
              </w:rPr>
            </w:pPr>
            <w:r>
              <w:rPr>
                <w:rFonts w:hint="eastAsia" w:ascii="Times New Roman" w:hAnsi="Times New Roman"/>
                <w:kern w:val="0"/>
                <w:sz w:val="18"/>
                <w:szCs w:val="18"/>
              </w:rPr>
              <w:t>中方老街老旧小区改造工程项目</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3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kern w:val="0"/>
                <w:sz w:val="18"/>
                <w:szCs w:val="18"/>
              </w:rPr>
            </w:pPr>
            <w:r>
              <w:rPr>
                <w:rFonts w:hint="eastAsia" w:ascii="Times New Roman" w:hAnsi="Times New Roman"/>
                <w:kern w:val="0"/>
                <w:sz w:val="18"/>
                <w:szCs w:val="18"/>
              </w:rPr>
              <w:t>中方县住房和城乡建设局</w:t>
            </w:r>
          </w:p>
        </w:tc>
        <w:tc>
          <w:tcPr>
            <w:tcW w:w="853"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kern w:val="0"/>
                <w:sz w:val="18"/>
                <w:szCs w:val="18"/>
              </w:rPr>
            </w:pPr>
            <w:r>
              <w:rPr>
                <w:rFonts w:hint="eastAsia" w:ascii="Times New Roman" w:hAnsi="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kern w:val="0"/>
                <w:sz w:val="18"/>
                <w:szCs w:val="18"/>
              </w:rPr>
            </w:pPr>
            <w:r>
              <w:rPr>
                <w:rFonts w:hint="eastAsia" w:ascii="Times New Roman" w:hAnsi="Times New Roman"/>
                <w:kern w:val="0"/>
                <w:sz w:val="18"/>
                <w:szCs w:val="18"/>
              </w:rPr>
              <w:t>中方县住房和城乡建设局</w:t>
            </w:r>
          </w:p>
        </w:tc>
      </w:tr>
      <w:tr>
        <w:tblPrEx>
          <w:tblCellMar>
            <w:top w:w="0" w:type="dxa"/>
            <w:left w:w="108" w:type="dxa"/>
            <w:bottom w:w="0" w:type="dxa"/>
            <w:right w:w="108" w:type="dxa"/>
          </w:tblCellMar>
        </w:tblPrEx>
        <w:trPr>
          <w:gridAfter w:val="1"/>
          <w:wAfter w:w="57" w:type="dxa"/>
          <w:trHeight w:val="436"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41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kern w:val="0"/>
                <w:sz w:val="20"/>
                <w:szCs w:val="20"/>
              </w:rPr>
              <w:t>（A）</w:t>
            </w:r>
          </w:p>
        </w:tc>
        <w:tc>
          <w:tcPr>
            <w:tcW w:w="85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kern w:val="0"/>
                <w:sz w:val="20"/>
                <w:szCs w:val="20"/>
              </w:rPr>
              <w:t>（B）</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val="en-US" w:eastAsia="zh-CN"/>
              </w:rPr>
              <w:t>0</w:t>
            </w:r>
          </w:p>
        </w:tc>
        <w:tc>
          <w:tcPr>
            <w:tcW w:w="1415" w:type="dxa"/>
            <w:gridSpan w:val="2"/>
            <w:tcBorders>
              <w:top w:val="nil"/>
              <w:left w:val="nil"/>
              <w:bottom w:val="single" w:color="auto" w:sz="4" w:space="0"/>
              <w:right w:val="single" w:color="auto" w:sz="4" w:space="0"/>
            </w:tcBorders>
          </w:tcPr>
          <w:p>
            <w:pPr>
              <w:rPr>
                <w:rFonts w:hint="default" w:eastAsia="宋体"/>
                <w:lang w:val="en-US" w:eastAsia="zh-CN"/>
              </w:rPr>
            </w:pPr>
            <w:r>
              <w:rPr>
                <w:rFonts w:hint="eastAsia" w:ascii="Times New Roman" w:hAnsi="Times New Roman"/>
                <w:kern w:val="0"/>
                <w:sz w:val="18"/>
                <w:szCs w:val="18"/>
                <w:lang w:val="en-US" w:eastAsia="zh-CN"/>
              </w:rPr>
              <w:t>207</w:t>
            </w:r>
          </w:p>
        </w:tc>
        <w:tc>
          <w:tcPr>
            <w:tcW w:w="853" w:type="dxa"/>
            <w:tcBorders>
              <w:top w:val="nil"/>
              <w:left w:val="nil"/>
              <w:bottom w:val="single" w:color="auto" w:sz="4" w:space="0"/>
              <w:right w:val="single" w:color="auto" w:sz="4" w:space="0"/>
            </w:tcBorders>
          </w:tcPr>
          <w:p>
            <w:pPr>
              <w:rPr>
                <w:rFonts w:hint="default" w:eastAsia="宋体"/>
                <w:lang w:val="en-US" w:eastAsia="zh-CN"/>
              </w:rPr>
            </w:pPr>
            <w:r>
              <w:rPr>
                <w:rFonts w:hint="eastAsia" w:ascii="Times New Roman" w:hAnsi="Times New Roman"/>
                <w:kern w:val="0"/>
                <w:sz w:val="18"/>
                <w:szCs w:val="18"/>
                <w:lang w:val="en-US" w:eastAsia="zh-CN"/>
              </w:rPr>
              <w:t>207</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val="en-US" w:eastAsia="zh-CN"/>
              </w:rPr>
              <w:t>9</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both"/>
              <w:rPr>
                <w:rFonts w:hint="eastAsia" w:ascii="Times New Roman" w:hAnsi="Times New Roman" w:eastAsia="宋体"/>
                <w:kern w:val="0"/>
                <w:sz w:val="18"/>
                <w:szCs w:val="18"/>
                <w:lang w:eastAsia="zh-CN"/>
              </w:rPr>
            </w:pPr>
          </w:p>
        </w:tc>
        <w:tc>
          <w:tcPr>
            <w:tcW w:w="1415" w:type="dxa"/>
            <w:gridSpan w:val="2"/>
            <w:tcBorders>
              <w:top w:val="nil"/>
              <w:left w:val="nil"/>
              <w:bottom w:val="single" w:color="auto" w:sz="4" w:space="0"/>
              <w:right w:val="single" w:color="auto" w:sz="4" w:space="0"/>
            </w:tcBorders>
          </w:tcPr>
          <w:p/>
        </w:tc>
        <w:tc>
          <w:tcPr>
            <w:tcW w:w="853" w:type="dxa"/>
            <w:tcBorders>
              <w:top w:val="nil"/>
              <w:left w:val="nil"/>
              <w:bottom w:val="single" w:color="auto" w:sz="4" w:space="0"/>
              <w:right w:val="single" w:color="auto" w:sz="4" w:space="0"/>
            </w:tcBorders>
          </w:tc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1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p>
            <w:pPr>
              <w:widowControl/>
              <w:spacing w:line="240" w:lineRule="exact"/>
              <w:jc w:val="center"/>
              <w:rPr>
                <w:rFonts w:ascii="Times New Roman" w:hAnsi="Times New Roman"/>
                <w:kern w:val="0"/>
                <w:sz w:val="18"/>
                <w:szCs w:val="18"/>
              </w:rPr>
            </w:pPr>
          </w:p>
        </w:tc>
        <w:tc>
          <w:tcPr>
            <w:tcW w:w="85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1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57" w:type="dxa"/>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371"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121"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gridAfter w:val="1"/>
          <w:wAfter w:w="57" w:type="dxa"/>
          <w:trHeight w:val="570"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71"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根据工作需要及时完成</w:t>
            </w:r>
          </w:p>
        </w:tc>
        <w:tc>
          <w:tcPr>
            <w:tcW w:w="3121"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完成100%</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59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12"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kern w:val="0"/>
                <w:sz w:val="18"/>
                <w:szCs w:val="18"/>
              </w:rPr>
              <w:t>建筑面积（万平方米）</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10.15</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9.135</w:t>
            </w: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9</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kern w:val="0"/>
                <w:sz w:val="18"/>
                <w:szCs w:val="18"/>
              </w:rPr>
            </w:pP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4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项目主体实地勘察符合行业标准</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符合</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符合</w:t>
            </w: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9</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项目按期安成率</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95%</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95%</w:t>
            </w: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val="en-US" w:eastAsia="zh-CN"/>
              </w:rPr>
              <w:t>9</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工程总成本（万元）</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207</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207</w:t>
            </w: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18</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新增税收（万元）</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9</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增加就业岗位（个）</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9</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改善生态环</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很大提高</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改善片区居民生活条件</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很大提高</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3</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3</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9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片区居民满意度</w:t>
            </w:r>
          </w:p>
        </w:tc>
        <w:tc>
          <w:tcPr>
            <w:tcW w:w="113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2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10000</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81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w:t>
            </w:r>
            <w:r>
              <w:rPr>
                <w:rFonts w:hint="eastAsia" w:ascii="Times New Roman" w:hAnsi="Times New Roman"/>
                <w:color w:val="000000"/>
                <w:kern w:val="0"/>
                <w:sz w:val="18"/>
                <w:szCs w:val="18"/>
              </w:rPr>
              <w:t>0</w:t>
            </w:r>
            <w:r>
              <w:rPr>
                <w:rFonts w:ascii="Times New Roman" w:hAnsi="Times New Roman"/>
                <w:color w:val="000000"/>
                <w:kern w:val="0"/>
                <w:sz w:val="18"/>
                <w:szCs w:val="18"/>
              </w:rPr>
              <w:t>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hint="eastAsia" w:ascii="Times New Roman" w:hAnsi="Times New Roman"/>
                <w:color w:val="000000"/>
                <w:kern w:val="0"/>
                <w:sz w:val="18"/>
                <w:szCs w:val="18"/>
              </w:rPr>
              <w:t>92</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bl>
    <w:p>
      <w:pPr>
        <w:spacing w:line="560" w:lineRule="exact"/>
        <w:ind w:firstLine="180" w:firstLineChars="100"/>
        <w:rPr>
          <w:rFonts w:ascii="Times New Roman" w:hAnsi="Times New Roman" w:eastAsia="仿宋_GB2312"/>
          <w:sz w:val="20"/>
          <w:szCs w:val="20"/>
        </w:rPr>
        <w:sectPr>
          <w:pgSz w:w="11906" w:h="16838"/>
          <w:pgMar w:top="1701" w:right="1531" w:bottom="1928" w:left="1531" w:header="737" w:footer="851" w:gutter="0"/>
          <w:cols w:space="720" w:num="1"/>
          <w:docGrid w:type="lines" w:linePitch="408" w:charSpace="0"/>
        </w:sectPr>
      </w:pPr>
      <w:r>
        <w:rPr>
          <w:rFonts w:ascii="Times New Roman" w:hAnsi="Times New Roman"/>
          <w:color w:val="000000"/>
          <w:kern w:val="0"/>
          <w:sz w:val="18"/>
          <w:szCs w:val="18"/>
        </w:rPr>
        <w:br w:type="page"/>
      </w:r>
    </w:p>
    <w:p>
      <w:pPr>
        <w:spacing w:line="56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项目支出绩效评价共性指标表（参考）</w:t>
      </w:r>
    </w:p>
    <w:tbl>
      <w:tblPr>
        <w:tblStyle w:val="6"/>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一级指标</w:t>
            </w:r>
          </w:p>
        </w:tc>
        <w:tc>
          <w:tcPr>
            <w:tcW w:w="709"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二级指标</w:t>
            </w:r>
          </w:p>
        </w:tc>
        <w:tc>
          <w:tcPr>
            <w:tcW w:w="1134"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三级指标</w:t>
            </w:r>
          </w:p>
        </w:tc>
        <w:tc>
          <w:tcPr>
            <w:tcW w:w="567" w:type="dxa"/>
            <w:shd w:val="clear" w:color="auto" w:fill="FFFFFF"/>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分</w:t>
            </w:r>
          </w:p>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值</w:t>
            </w:r>
          </w:p>
        </w:tc>
        <w:tc>
          <w:tcPr>
            <w:tcW w:w="2835"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指标解释</w:t>
            </w:r>
          </w:p>
        </w:tc>
        <w:tc>
          <w:tcPr>
            <w:tcW w:w="6096"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指标说明</w:t>
            </w:r>
          </w:p>
        </w:tc>
        <w:tc>
          <w:tcPr>
            <w:tcW w:w="566"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决策　</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项目立项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立项依据</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充分性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①项目立项是否符合国家法律法规、国民经济发展规划和相关政策；</w:t>
            </w:r>
            <w:r>
              <w:rPr>
                <w:rFonts w:ascii="Times New Roman" w:hAnsi="Times New Roman"/>
                <w:color w:val="000000"/>
                <w:kern w:val="0"/>
                <w:sz w:val="22"/>
              </w:rPr>
              <w:br w:type="textWrapping"/>
            </w:r>
            <w:r>
              <w:rPr>
                <w:rFonts w:ascii="Times New Roman" w:hAnsi="Times New Roman"/>
                <w:color w:val="000000"/>
                <w:kern w:val="0"/>
                <w:sz w:val="22"/>
              </w:rPr>
              <w:t>②项目立项是否符合行业发展规划和政策要求；</w:t>
            </w:r>
            <w:r>
              <w:rPr>
                <w:rFonts w:ascii="Times New Roman" w:hAnsi="Times New Roman"/>
                <w:color w:val="000000"/>
                <w:kern w:val="0"/>
                <w:sz w:val="22"/>
              </w:rPr>
              <w:br w:type="textWrapping"/>
            </w:r>
            <w:r>
              <w:rPr>
                <w:rFonts w:ascii="Times New Roman" w:hAnsi="Times New Roman"/>
                <w:color w:val="000000"/>
                <w:kern w:val="0"/>
                <w:sz w:val="22"/>
              </w:rPr>
              <w:t>③项目立项是否与部门职责范围相符，属于部门履职所需；</w:t>
            </w:r>
            <w:r>
              <w:rPr>
                <w:rFonts w:ascii="Times New Roman" w:hAnsi="Times New Roman"/>
                <w:color w:val="000000"/>
                <w:kern w:val="0"/>
                <w:sz w:val="22"/>
              </w:rPr>
              <w:br w:type="textWrapping"/>
            </w:r>
            <w:r>
              <w:rPr>
                <w:rFonts w:ascii="Times New Roman" w:hAnsi="Times New Roman"/>
                <w:color w:val="000000"/>
                <w:kern w:val="0"/>
                <w:sz w:val="22"/>
              </w:rPr>
              <w:t>④项目是否属于公共财政支持范围，是否符合中央、地方事权支出责任划分原则；</w:t>
            </w:r>
            <w:r>
              <w:rPr>
                <w:rFonts w:ascii="Times New Roman" w:hAnsi="Times New Roman"/>
                <w:color w:val="000000"/>
                <w:kern w:val="0"/>
                <w:sz w:val="22"/>
              </w:rPr>
              <w:br w:type="textWrapping"/>
            </w:r>
            <w:r>
              <w:rPr>
                <w:rFonts w:ascii="Times New Roman" w:hAnsi="Times New Roman"/>
                <w:color w:val="000000"/>
                <w:kern w:val="0"/>
                <w:sz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立项程序</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规范性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①项目是否按照规定的程序申请设立；</w:t>
            </w:r>
            <w:r>
              <w:rPr>
                <w:rFonts w:ascii="Times New Roman" w:hAnsi="Times New Roman"/>
                <w:color w:val="000000"/>
                <w:kern w:val="0"/>
                <w:sz w:val="22"/>
              </w:rPr>
              <w:br w:type="textWrapping"/>
            </w:r>
            <w:r>
              <w:rPr>
                <w:rFonts w:ascii="Times New Roman" w:hAnsi="Times New Roman"/>
                <w:color w:val="000000"/>
                <w:kern w:val="0"/>
                <w:sz w:val="22"/>
              </w:rPr>
              <w:t>②审批文件、材料是否符合相关要求；</w:t>
            </w:r>
            <w:r>
              <w:rPr>
                <w:rFonts w:ascii="Times New Roman" w:hAnsi="Times New Roman"/>
                <w:color w:val="000000"/>
                <w:kern w:val="0"/>
                <w:sz w:val="22"/>
              </w:rPr>
              <w:br w:type="textWrapping"/>
            </w:r>
            <w:r>
              <w:rPr>
                <w:rFonts w:ascii="Times New Roman" w:hAnsi="Times New Roman"/>
                <w:color w:val="000000"/>
                <w:kern w:val="0"/>
                <w:sz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（如未设定预算绩效目标，也可考核其他工作任务目标）</w:t>
            </w:r>
            <w:r>
              <w:rPr>
                <w:rFonts w:ascii="Times New Roman" w:hAnsi="Times New Roman"/>
                <w:color w:val="000000"/>
                <w:kern w:val="0"/>
                <w:sz w:val="22"/>
              </w:rPr>
              <w:br w:type="textWrapping"/>
            </w:r>
            <w:r>
              <w:rPr>
                <w:rFonts w:ascii="Times New Roman" w:hAnsi="Times New Roman"/>
                <w:color w:val="000000"/>
                <w:kern w:val="0"/>
                <w:sz w:val="22"/>
              </w:rPr>
              <w:t>①项目是否有绩效目标；</w:t>
            </w:r>
            <w:r>
              <w:rPr>
                <w:rFonts w:ascii="Times New Roman" w:hAnsi="Times New Roman"/>
                <w:color w:val="000000"/>
                <w:kern w:val="0"/>
                <w:sz w:val="22"/>
              </w:rPr>
              <w:br w:type="textWrapping"/>
            </w:r>
            <w:r>
              <w:rPr>
                <w:rFonts w:ascii="Times New Roman" w:hAnsi="Times New Roman"/>
                <w:color w:val="000000"/>
                <w:kern w:val="0"/>
                <w:sz w:val="22"/>
              </w:rPr>
              <w:t>②项目绩效目标与实际工作内容是否具有相关性；</w:t>
            </w:r>
            <w:r>
              <w:rPr>
                <w:rFonts w:ascii="Times New Roman" w:hAnsi="Times New Roman"/>
                <w:color w:val="000000"/>
                <w:kern w:val="0"/>
                <w:sz w:val="22"/>
              </w:rPr>
              <w:br w:type="textWrapping"/>
            </w:r>
            <w:r>
              <w:rPr>
                <w:rFonts w:ascii="Times New Roman" w:hAnsi="Times New Roman"/>
                <w:color w:val="000000"/>
                <w:kern w:val="0"/>
                <w:sz w:val="22"/>
              </w:rPr>
              <w:t>③项目预期产出效益和效果是否符合正常的业绩水平；</w:t>
            </w:r>
          </w:p>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④是否与预算确定的项目投资额或资金量相匹配。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决策　</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绩效指标</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明确性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①是否将项目绩效目标细化分解为具体的绩效指标；</w:t>
            </w:r>
            <w:r>
              <w:rPr>
                <w:rFonts w:ascii="Times New Roman" w:hAnsi="Times New Roman"/>
                <w:color w:val="000000"/>
                <w:kern w:val="0"/>
                <w:sz w:val="22"/>
              </w:rPr>
              <w:br w:type="textWrapping"/>
            </w:r>
            <w:r>
              <w:rPr>
                <w:rFonts w:ascii="Times New Roman" w:hAnsi="Times New Roman"/>
                <w:color w:val="000000"/>
                <w:kern w:val="0"/>
                <w:sz w:val="22"/>
              </w:rPr>
              <w:t>②是否通过清晰、可衡量的指标值予以体现；</w:t>
            </w:r>
            <w:r>
              <w:rPr>
                <w:rFonts w:ascii="Times New Roman" w:hAnsi="Times New Roman"/>
                <w:color w:val="000000"/>
                <w:kern w:val="0"/>
                <w:sz w:val="22"/>
              </w:rPr>
              <w:br w:type="textWrapping"/>
            </w:r>
            <w:r>
              <w:rPr>
                <w:rFonts w:ascii="Times New Roman" w:hAnsi="Times New Roman"/>
                <w:color w:val="000000"/>
                <w:kern w:val="0"/>
                <w:sz w:val="22"/>
              </w:rPr>
              <w:t>③是否与项目目标任务数或计划数相对应。</w:t>
            </w:r>
            <w:r>
              <w:rPr>
                <w:rFonts w:ascii="Times New Roman" w:hAnsi="Times New Roman"/>
                <w:color w:val="000000"/>
                <w:kern w:val="0"/>
                <w:sz w:val="22"/>
              </w:rPr>
              <w:br w:type="textWrapping"/>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资金投入</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预算编制</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科学性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①预算编制是否经过科学论证；</w:t>
            </w:r>
            <w:r>
              <w:rPr>
                <w:rFonts w:ascii="Times New Roman" w:hAnsi="Times New Roman"/>
                <w:color w:val="000000"/>
                <w:kern w:val="0"/>
                <w:sz w:val="22"/>
              </w:rPr>
              <w:br w:type="textWrapping"/>
            </w:r>
            <w:r>
              <w:rPr>
                <w:rFonts w:ascii="Times New Roman" w:hAnsi="Times New Roman"/>
                <w:color w:val="000000"/>
                <w:kern w:val="0"/>
                <w:sz w:val="22"/>
              </w:rPr>
              <w:t>②预算内容与项目内容是否匹配；</w:t>
            </w:r>
            <w:r>
              <w:rPr>
                <w:rFonts w:ascii="Times New Roman" w:hAnsi="Times New Roman"/>
                <w:color w:val="000000"/>
                <w:kern w:val="0"/>
                <w:sz w:val="22"/>
              </w:rPr>
              <w:br w:type="textWrapping"/>
            </w:r>
            <w:r>
              <w:rPr>
                <w:rFonts w:ascii="Times New Roman" w:hAnsi="Times New Roman"/>
                <w:color w:val="000000"/>
                <w:kern w:val="0"/>
                <w:sz w:val="22"/>
              </w:rPr>
              <w:t>③预算额度测算依据是否充分，是否按照标准编制；</w:t>
            </w:r>
            <w:r>
              <w:rPr>
                <w:rFonts w:ascii="Times New Roman" w:hAnsi="Times New Roman"/>
                <w:color w:val="000000"/>
                <w:kern w:val="0"/>
                <w:sz w:val="22"/>
              </w:rPr>
              <w:br w:type="textWrapping"/>
            </w:r>
            <w:r>
              <w:rPr>
                <w:rFonts w:ascii="Times New Roman" w:hAnsi="Times New Roman"/>
                <w:color w:val="000000"/>
                <w:kern w:val="0"/>
                <w:sz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资金分配</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①预算资金分配依据是否充分；</w:t>
            </w:r>
            <w:r>
              <w:rPr>
                <w:rFonts w:ascii="Times New Roman" w:hAnsi="Times New Roman"/>
                <w:color w:val="000000"/>
                <w:kern w:val="0"/>
                <w:sz w:val="22"/>
              </w:rPr>
              <w:br w:type="textWrapping"/>
            </w:r>
            <w:r>
              <w:rPr>
                <w:rFonts w:ascii="Times New Roman" w:hAnsi="Times New Roman"/>
                <w:color w:val="000000"/>
                <w:kern w:val="0"/>
                <w:sz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ascii="Times New Roman" w:hAnsi="Times New Roman"/>
                <w:color w:val="000000"/>
                <w:kern w:val="0"/>
                <w:sz w:val="22"/>
              </w:rPr>
            </w:pPr>
            <w:r>
              <w:rPr>
                <w:rFonts w:ascii="Times New Roman" w:hAnsi="Times New Roman"/>
                <w:color w:val="000000"/>
                <w:kern w:val="0"/>
                <w:sz w:val="22"/>
              </w:rPr>
              <w:t>过程</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资金到位率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资金到位率=（实际到位资金/预算资金）×100%。</w:t>
            </w:r>
          </w:p>
          <w:p>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实际到位资金：一定时期（本年度或项目期）内落实到具体项目的资金。</w:t>
            </w:r>
          </w:p>
          <w:p>
            <w:pPr>
              <w:widowControl/>
              <w:spacing w:line="0" w:lineRule="atLeast"/>
              <w:rPr>
                <w:rFonts w:ascii="Times New Roman" w:hAnsi="Times New Roman"/>
                <w:color w:val="000000"/>
                <w:kern w:val="0"/>
                <w:sz w:val="22"/>
              </w:rPr>
            </w:pPr>
            <w:r>
              <w:rPr>
                <w:rFonts w:ascii="Times New Roman" w:hAnsi="Times New Roman"/>
                <w:color w:val="000000"/>
                <w:kern w:val="0"/>
                <w:sz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预算执行率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项目预算资金是否按照计划执行，用以反映或考核项目预算执行情况。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预算执行率=（实际支出资金/实际到位资金）×100%。</w:t>
            </w:r>
            <w:r>
              <w:rPr>
                <w:rFonts w:ascii="Times New Roman" w:hAnsi="Times New Roman"/>
                <w:color w:val="000000"/>
                <w:kern w:val="0"/>
                <w:sz w:val="22"/>
              </w:rPr>
              <w:br w:type="textWrapping"/>
            </w:r>
            <w:r>
              <w:rPr>
                <w:rFonts w:ascii="Times New Roman" w:hAnsi="Times New Roman"/>
                <w:color w:val="000000"/>
                <w:kern w:val="0"/>
                <w:sz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过程　</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资金使用</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合规性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①是否符合国家财经法规和财务管理制度以及有关专项资金管理办法的规定；</w:t>
            </w:r>
            <w:r>
              <w:rPr>
                <w:rFonts w:ascii="Times New Roman" w:hAnsi="Times New Roman"/>
                <w:color w:val="000000"/>
                <w:kern w:val="0"/>
                <w:sz w:val="22"/>
              </w:rPr>
              <w:br w:type="textWrapping"/>
            </w:r>
            <w:r>
              <w:rPr>
                <w:rFonts w:ascii="Times New Roman" w:hAnsi="Times New Roman"/>
                <w:color w:val="000000"/>
                <w:kern w:val="0"/>
                <w:sz w:val="22"/>
              </w:rPr>
              <w:t>②资金的拨付是否有完整的审批程序和手续；</w:t>
            </w:r>
            <w:r>
              <w:rPr>
                <w:rFonts w:ascii="Times New Roman" w:hAnsi="Times New Roman"/>
                <w:color w:val="000000"/>
                <w:kern w:val="0"/>
                <w:sz w:val="22"/>
              </w:rPr>
              <w:br w:type="textWrapping"/>
            </w:r>
            <w:r>
              <w:rPr>
                <w:rFonts w:ascii="Times New Roman" w:hAnsi="Times New Roman"/>
                <w:color w:val="000000"/>
                <w:kern w:val="0"/>
                <w:sz w:val="22"/>
              </w:rPr>
              <w:t>③是否符合项目预算批复或合同规定的用途；</w:t>
            </w:r>
            <w:r>
              <w:rPr>
                <w:rFonts w:ascii="Times New Roman" w:hAnsi="Times New Roman"/>
                <w:color w:val="000000"/>
                <w:kern w:val="0"/>
                <w:sz w:val="22"/>
              </w:rPr>
              <w:br w:type="textWrapping"/>
            </w:r>
            <w:r>
              <w:rPr>
                <w:rFonts w:ascii="Times New Roman" w:hAnsi="Times New Roman"/>
                <w:color w:val="000000"/>
                <w:kern w:val="0"/>
                <w:sz w:val="22"/>
              </w:rPr>
              <w:t>④是否存在截留、挤占、挪用、虚列支出等情况。</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组织实施</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管理制度</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健全性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①是否已制定或具有相应的财务和业务管理制度；</w:t>
            </w:r>
            <w:r>
              <w:rPr>
                <w:rFonts w:ascii="Times New Roman" w:hAnsi="Times New Roman"/>
                <w:color w:val="000000"/>
                <w:kern w:val="0"/>
                <w:sz w:val="22"/>
              </w:rPr>
              <w:br w:type="textWrapping"/>
            </w:r>
            <w:r>
              <w:rPr>
                <w:rFonts w:ascii="Times New Roman" w:hAnsi="Times New Roman"/>
                <w:color w:val="000000"/>
                <w:kern w:val="0"/>
                <w:sz w:val="22"/>
              </w:rPr>
              <w:t>②财务和业务管理制度是否合法、合规、完整。</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制度执行</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有效性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①是否遵守相关法律法规和相关管理规定；</w:t>
            </w:r>
            <w:r>
              <w:rPr>
                <w:rFonts w:ascii="Times New Roman" w:hAnsi="Times New Roman"/>
                <w:color w:val="000000"/>
                <w:kern w:val="0"/>
                <w:sz w:val="22"/>
              </w:rPr>
              <w:br w:type="textWrapping"/>
            </w:r>
            <w:r>
              <w:rPr>
                <w:rFonts w:ascii="Times New Roman" w:hAnsi="Times New Roman"/>
                <w:color w:val="000000"/>
                <w:kern w:val="0"/>
                <w:sz w:val="22"/>
              </w:rPr>
              <w:t>②项目调整及支出调整手续是否完备；</w:t>
            </w:r>
            <w:r>
              <w:rPr>
                <w:rFonts w:ascii="Times New Roman" w:hAnsi="Times New Roman"/>
                <w:color w:val="000000"/>
                <w:kern w:val="0"/>
                <w:sz w:val="22"/>
              </w:rPr>
              <w:br w:type="textWrapping"/>
            </w:r>
            <w:r>
              <w:rPr>
                <w:rFonts w:ascii="Times New Roman" w:hAnsi="Times New Roman"/>
                <w:color w:val="000000"/>
                <w:kern w:val="0"/>
                <w:sz w:val="22"/>
              </w:rPr>
              <w:t>③项目合同书、验收报告、技术鉴定等资料是否齐全并及时归档；</w:t>
            </w:r>
            <w:r>
              <w:rPr>
                <w:rFonts w:ascii="Times New Roman" w:hAnsi="Times New Roman"/>
                <w:color w:val="000000"/>
                <w:kern w:val="0"/>
                <w:sz w:val="22"/>
              </w:rPr>
              <w:br w:type="textWrapping"/>
            </w:r>
            <w:r>
              <w:rPr>
                <w:rFonts w:ascii="Times New Roman" w:hAnsi="Times New Roman"/>
                <w:color w:val="000000"/>
                <w:kern w:val="0"/>
                <w:sz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产出数量</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实际完成率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实际完成率=（实际产出数/计划产出数）×100%。</w:t>
            </w:r>
            <w:r>
              <w:rPr>
                <w:rFonts w:ascii="Times New Roman" w:hAnsi="Times New Roman"/>
                <w:color w:val="000000"/>
                <w:kern w:val="0"/>
                <w:sz w:val="22"/>
              </w:rPr>
              <w:br w:type="textWrapping"/>
            </w:r>
            <w:r>
              <w:rPr>
                <w:rFonts w:ascii="Times New Roman" w:hAnsi="Times New Roman"/>
                <w:color w:val="000000"/>
                <w:kern w:val="0"/>
                <w:sz w:val="22"/>
              </w:rPr>
              <w:t>实际产出数：一定时期（本年度或项目期）内项目实际产出的产品或提供的服务数量。</w:t>
            </w:r>
            <w:r>
              <w:rPr>
                <w:rFonts w:ascii="Times New Roman" w:hAnsi="Times New Roman"/>
                <w:color w:val="000000"/>
                <w:kern w:val="0"/>
                <w:sz w:val="22"/>
              </w:rPr>
              <w:br w:type="textWrapping"/>
            </w:r>
            <w:r>
              <w:rPr>
                <w:rFonts w:ascii="Times New Roman" w:hAnsi="Times New Roman"/>
                <w:color w:val="000000"/>
                <w:kern w:val="0"/>
                <w:sz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产出质量</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质量达标率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质量达标率=（质量达标产出数/实际产出数）×100%。</w:t>
            </w:r>
          </w:p>
          <w:p>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shd w:val="clear" w:color="auto" w:fill="FFFFFF"/>
            <w:vAlign w:val="center"/>
          </w:tcPr>
          <w:p>
            <w:pPr>
              <w:spacing w:line="0" w:lineRule="atLeast"/>
              <w:jc w:val="center"/>
              <w:rPr>
                <w:rFonts w:ascii="Times New Roman" w:hAnsi="Times New Roman"/>
                <w:color w:val="000000"/>
                <w:kern w:val="0"/>
                <w:sz w:val="22"/>
              </w:rPr>
            </w:pPr>
            <w:r>
              <w:rPr>
                <w:rFonts w:ascii="Times New Roman" w:hAnsi="Times New Roman"/>
                <w:color w:val="000000"/>
                <w:kern w:val="0"/>
                <w:sz w:val="22"/>
              </w:rPr>
              <w:t>产出时效</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完成及时性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实际完成时间：项目实施单位完成该项目实际所耗用的时间。</w:t>
            </w:r>
            <w:r>
              <w:rPr>
                <w:rFonts w:ascii="Times New Roman" w:hAnsi="Times New Roman"/>
                <w:color w:val="000000"/>
                <w:kern w:val="0"/>
                <w:sz w:val="22"/>
              </w:rPr>
              <w:br w:type="textWrapping"/>
            </w:r>
            <w:r>
              <w:rPr>
                <w:rFonts w:ascii="Times New Roman" w:hAnsi="Times New Roman"/>
                <w:color w:val="000000"/>
                <w:kern w:val="0"/>
                <w:sz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产出成本</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成本节约率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br w:type="textWrapping"/>
            </w:r>
            <w:r>
              <w:rPr>
                <w:rFonts w:ascii="Times New Roman" w:hAnsi="Times New Roman"/>
                <w:color w:val="000000"/>
                <w:kern w:val="0"/>
                <w:sz w:val="22"/>
              </w:rPr>
              <w:t>成本节约率=[（计划成本-实际成本）/计划成本]×100%。</w:t>
            </w:r>
            <w:r>
              <w:rPr>
                <w:rFonts w:ascii="Times New Roman" w:hAnsi="Times New Roman"/>
                <w:color w:val="000000"/>
                <w:kern w:val="0"/>
                <w:sz w:val="22"/>
              </w:rPr>
              <w:br w:type="textWrapping"/>
            </w:r>
            <w:r>
              <w:rPr>
                <w:rFonts w:ascii="Times New Roman" w:hAnsi="Times New Roman"/>
                <w:color w:val="000000"/>
                <w:kern w:val="0"/>
                <w:sz w:val="22"/>
              </w:rPr>
              <w:t>实际成本：项目实施单位如期、保质、保量完成既定工作目标实际所耗费的支出。</w:t>
            </w:r>
            <w:r>
              <w:rPr>
                <w:rFonts w:ascii="Times New Roman" w:hAnsi="Times New Roman"/>
                <w:color w:val="000000"/>
                <w:kern w:val="0"/>
                <w:sz w:val="22"/>
              </w:rPr>
              <w:br w:type="textWrapping"/>
            </w:r>
            <w:r>
              <w:rPr>
                <w:rFonts w:ascii="Times New Roman" w:hAnsi="Times New Roman"/>
                <w:color w:val="000000"/>
                <w:kern w:val="0"/>
                <w:sz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效益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项目效益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实施效益</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项目实施所产生的效益。</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19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满意度</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社会公众或服务对象对项目实施效果的满意程度。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总分</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pPr>
              <w:widowControl/>
              <w:spacing w:line="0" w:lineRule="atLeast"/>
              <w:rPr>
                <w:rFonts w:ascii="Times New Roman" w:hAnsi="Times New Roman"/>
                <w:color w:val="000000"/>
                <w:kern w:val="0"/>
                <w:sz w:val="22"/>
              </w:rPr>
            </w:pPr>
          </w:p>
        </w:tc>
        <w:tc>
          <w:tcPr>
            <w:tcW w:w="6096" w:type="dxa"/>
            <w:shd w:val="clear" w:color="auto" w:fill="FFFFFF"/>
            <w:vAlign w:val="center"/>
          </w:tcPr>
          <w:p>
            <w:pPr>
              <w:widowControl/>
              <w:spacing w:line="0" w:lineRule="atLeast"/>
              <w:rPr>
                <w:rFonts w:ascii="Times New Roman" w:hAnsi="Times New Roman"/>
                <w:color w:val="000000"/>
                <w:kern w:val="0"/>
                <w:sz w:val="22"/>
              </w:rPr>
            </w:pP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92</w:t>
            </w:r>
          </w:p>
        </w:tc>
      </w:tr>
    </w:tbl>
    <w:p>
      <w:pPr>
        <w:spacing w:line="560" w:lineRule="exact"/>
        <w:ind w:firstLine="200" w:firstLineChars="100"/>
      </w:pPr>
      <w:r>
        <w:rPr>
          <w:rFonts w:ascii="Times New Roman" w:hAnsi="Times New Roman" w:eastAsia="仿宋_GB2312"/>
          <w:sz w:val="20"/>
          <w:szCs w:val="20"/>
        </w:rPr>
        <w:t>注：单位可以根据专项资金的管理要求和绩效要求增设个性指标</w:t>
      </w:r>
    </w:p>
    <w:sectPr>
      <w:pgSz w:w="16838" w:h="11906" w:orient="landscape"/>
      <w:pgMar w:top="1134" w:right="1440" w:bottom="113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HorizontalSpacing w:val="105"/>
  <w:drawingGridVerticalSpacing w:val="204"/>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376C94"/>
    <w:rsid w:val="00023EEC"/>
    <w:rsid w:val="0005693D"/>
    <w:rsid w:val="00057AAB"/>
    <w:rsid w:val="000A608C"/>
    <w:rsid w:val="000F7B97"/>
    <w:rsid w:val="00131716"/>
    <w:rsid w:val="00147FAD"/>
    <w:rsid w:val="001521F7"/>
    <w:rsid w:val="001C3249"/>
    <w:rsid w:val="001E173B"/>
    <w:rsid w:val="001F764B"/>
    <w:rsid w:val="001F7EC6"/>
    <w:rsid w:val="002205F5"/>
    <w:rsid w:val="002314D2"/>
    <w:rsid w:val="00273AC2"/>
    <w:rsid w:val="002B236C"/>
    <w:rsid w:val="002D5C84"/>
    <w:rsid w:val="00306EC4"/>
    <w:rsid w:val="003369A3"/>
    <w:rsid w:val="003E0518"/>
    <w:rsid w:val="00413AFC"/>
    <w:rsid w:val="00457296"/>
    <w:rsid w:val="00472180"/>
    <w:rsid w:val="00483617"/>
    <w:rsid w:val="004D0560"/>
    <w:rsid w:val="00535305"/>
    <w:rsid w:val="00582D87"/>
    <w:rsid w:val="005858C4"/>
    <w:rsid w:val="005D59C5"/>
    <w:rsid w:val="005E18BD"/>
    <w:rsid w:val="00623984"/>
    <w:rsid w:val="00625CF7"/>
    <w:rsid w:val="006C4E2A"/>
    <w:rsid w:val="006E4B95"/>
    <w:rsid w:val="00725C59"/>
    <w:rsid w:val="00755C4B"/>
    <w:rsid w:val="007840A1"/>
    <w:rsid w:val="007B69E7"/>
    <w:rsid w:val="007B7B9B"/>
    <w:rsid w:val="007C68B1"/>
    <w:rsid w:val="008171B7"/>
    <w:rsid w:val="008348C9"/>
    <w:rsid w:val="008A5DDF"/>
    <w:rsid w:val="008B3735"/>
    <w:rsid w:val="008B7F4D"/>
    <w:rsid w:val="008D4FE4"/>
    <w:rsid w:val="008F7B9F"/>
    <w:rsid w:val="00904D71"/>
    <w:rsid w:val="00963A98"/>
    <w:rsid w:val="009661A1"/>
    <w:rsid w:val="00974AE0"/>
    <w:rsid w:val="009824F6"/>
    <w:rsid w:val="009945C8"/>
    <w:rsid w:val="00997A19"/>
    <w:rsid w:val="009D680D"/>
    <w:rsid w:val="00A21579"/>
    <w:rsid w:val="00A22950"/>
    <w:rsid w:val="00A53779"/>
    <w:rsid w:val="00AA38EE"/>
    <w:rsid w:val="00AD4704"/>
    <w:rsid w:val="00B04F06"/>
    <w:rsid w:val="00B07FE1"/>
    <w:rsid w:val="00B319BC"/>
    <w:rsid w:val="00BA06D5"/>
    <w:rsid w:val="00BF35CA"/>
    <w:rsid w:val="00C10BE4"/>
    <w:rsid w:val="00C36803"/>
    <w:rsid w:val="00C53420"/>
    <w:rsid w:val="00C543E0"/>
    <w:rsid w:val="00C62CFB"/>
    <w:rsid w:val="00CD5716"/>
    <w:rsid w:val="00D54F8C"/>
    <w:rsid w:val="00D65C45"/>
    <w:rsid w:val="00DB5854"/>
    <w:rsid w:val="00DC5D24"/>
    <w:rsid w:val="00DD2B84"/>
    <w:rsid w:val="00DE1EDF"/>
    <w:rsid w:val="00E01628"/>
    <w:rsid w:val="00E05DE1"/>
    <w:rsid w:val="00E3667E"/>
    <w:rsid w:val="00EA6C87"/>
    <w:rsid w:val="00F1572F"/>
    <w:rsid w:val="00F8248C"/>
    <w:rsid w:val="00F95DDE"/>
    <w:rsid w:val="00FA19FF"/>
    <w:rsid w:val="00FC7E1C"/>
    <w:rsid w:val="00FE4BB9"/>
    <w:rsid w:val="00FF6700"/>
    <w:rsid w:val="06CD7E94"/>
    <w:rsid w:val="091D6F0B"/>
    <w:rsid w:val="0AEB436F"/>
    <w:rsid w:val="0D696073"/>
    <w:rsid w:val="103E78D2"/>
    <w:rsid w:val="18461F36"/>
    <w:rsid w:val="1B500507"/>
    <w:rsid w:val="1B751BA6"/>
    <w:rsid w:val="229D45EF"/>
    <w:rsid w:val="24E44E74"/>
    <w:rsid w:val="2C5926E5"/>
    <w:rsid w:val="300F0224"/>
    <w:rsid w:val="354955A1"/>
    <w:rsid w:val="465358D8"/>
    <w:rsid w:val="47CE5D24"/>
    <w:rsid w:val="56DE294B"/>
    <w:rsid w:val="60865646"/>
    <w:rsid w:val="67273852"/>
    <w:rsid w:val="68376C94"/>
    <w:rsid w:val="6A855668"/>
    <w:rsid w:val="6B6A28CE"/>
    <w:rsid w:val="6D535020"/>
    <w:rsid w:val="70D45E79"/>
    <w:rsid w:val="71EF502E"/>
    <w:rsid w:val="7C275E74"/>
    <w:rsid w:val="7F2A2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3"/>
    <w:qFormat/>
    <w:uiPriority w:val="0"/>
    <w:pPr>
      <w:keepNext/>
      <w:keepLines/>
      <w:spacing w:before="260" w:after="260" w:line="413" w:lineRule="auto"/>
      <w:outlineLvl w:val="1"/>
    </w:pPr>
    <w:rPr>
      <w:rFonts w:ascii="Arial" w:hAnsi="Arial" w:eastAsia="黑体"/>
      <w:b/>
      <w:sz w:val="32"/>
      <w:szCs w:val="24"/>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22"/>
    <w:rPr>
      <w:b/>
      <w:bCs/>
    </w:rPr>
  </w:style>
  <w:style w:type="paragraph" w:customStyle="1" w:styleId="9">
    <w:name w:val="p15"/>
    <w:basedOn w:val="1"/>
    <w:qFormat/>
    <w:uiPriority w:val="0"/>
    <w:pPr>
      <w:widowControl/>
      <w:jc w:val="left"/>
    </w:pPr>
    <w:rPr>
      <w:rFonts w:ascii="宋体" w:hAnsi="宋体" w:cs="宋体"/>
      <w:kern w:val="0"/>
      <w:sz w:val="24"/>
    </w:rPr>
  </w:style>
  <w:style w:type="character" w:customStyle="1" w:styleId="10">
    <w:name w:val="页眉 Char"/>
    <w:basedOn w:val="7"/>
    <w:link w:val="4"/>
    <w:qFormat/>
    <w:uiPriority w:val="0"/>
    <w:rPr>
      <w:kern w:val="2"/>
      <w:sz w:val="18"/>
      <w:szCs w:val="18"/>
    </w:rPr>
  </w:style>
  <w:style w:type="character" w:customStyle="1" w:styleId="11">
    <w:name w:val="页脚 Char"/>
    <w:basedOn w:val="7"/>
    <w:link w:val="3"/>
    <w:qFormat/>
    <w:uiPriority w:val="0"/>
    <w:rPr>
      <w:kern w:val="2"/>
      <w:sz w:val="18"/>
      <w:szCs w:val="18"/>
    </w:rPr>
  </w:style>
  <w:style w:type="paragraph" w:styleId="12">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3">
    <w:name w:val="标题 2 Char"/>
    <w:basedOn w:val="7"/>
    <w:link w:val="2"/>
    <w:qFormat/>
    <w:uiPriority w:val="0"/>
    <w:rPr>
      <w:rFonts w:ascii="Arial" w:hAnsi="Arial" w:eastAsia="黑体"/>
      <w:b/>
      <w:kern w:val="2"/>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65180D-FD52-4F89-BB4D-1E6B5AB95B72}">
  <ds:schemaRefs/>
</ds:datastoreItem>
</file>

<file path=docProps/app.xml><?xml version="1.0" encoding="utf-8"?>
<Properties xmlns="http://schemas.openxmlformats.org/officeDocument/2006/extended-properties" xmlns:vt="http://schemas.openxmlformats.org/officeDocument/2006/docPropsVTypes">
  <Template>0.docx</Template>
  <Pages>9</Pages>
  <Words>870</Words>
  <Characters>4961</Characters>
  <Lines>41</Lines>
  <Paragraphs>11</Paragraphs>
  <TotalTime>45</TotalTime>
  <ScaleCrop>false</ScaleCrop>
  <LinksUpToDate>false</LinksUpToDate>
  <CharactersWithSpaces>5820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2020-06-05T02:37:00Z</dcterms:created>
  <dc:creator>坐车压马路</dc:creator>
  <cp:lastModifiedBy>忘忧草</cp:lastModifiedBy>
  <dcterms:modified xsi:type="dcterms:W3CDTF">2021-07-28T01:05:37Z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C2FA6CF5D7A347A2B2AAE542109CDCBD</vt:lpwstr>
  </property>
</Properties>
</file>