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spacing w:line="600" w:lineRule="exact"/>
        <w:jc w:val="center"/>
        <w:rPr>
          <w:rFonts w:ascii="仿宋_GB2312" w:eastAsia="仿宋_GB2312" w:cs="仿宋_GB2312"/>
          <w:b/>
          <w:bCs/>
          <w:sz w:val="44"/>
          <w:szCs w:val="44"/>
        </w:rPr>
      </w:pPr>
      <w:r>
        <w:rPr>
          <w:rFonts w:ascii="仿宋_GB2312" w:eastAsia="仿宋_GB2312" w:cs="仿宋_GB2312" w:hint="eastAsia"/>
          <w:b/>
          <w:bCs/>
          <w:sz w:val="44"/>
          <w:szCs w:val="44"/>
          <w:lang w:eastAsia="zh-CN"/>
        </w:rPr>
        <w:t>中方县住房保障服务中心</w:t>
      </w:r>
      <w:r>
        <w:rPr>
          <w:rFonts w:ascii="仿宋_GB2312" w:eastAsia="仿宋_GB2312" w:cs="仿宋_GB2312" w:hint="eastAsia"/>
          <w:b/>
          <w:bCs/>
          <w:sz w:val="44"/>
          <w:szCs w:val="44"/>
        </w:rPr>
        <w:t>20</w:t>
      </w:r>
      <w:r>
        <w:rPr>
          <w:rFonts w:ascii="仿宋_GB2312" w:eastAsia="仿宋_GB2312" w:cs="仿宋_GB2312" w:hint="eastAsia"/>
          <w:b/>
          <w:bCs/>
          <w:sz w:val="44"/>
          <w:szCs w:val="44"/>
          <w:lang w:val="en-US" w:eastAsia="zh-CN"/>
        </w:rPr>
        <w:t>20</w:t>
      </w:r>
      <w:r>
        <w:rPr>
          <w:rFonts w:ascii="仿宋_GB2312" w:eastAsia="仿宋_GB2312" w:cs="仿宋_GB2312" w:hint="eastAsia"/>
          <w:b/>
          <w:bCs/>
          <w:sz w:val="44"/>
          <w:szCs w:val="44"/>
        </w:rPr>
        <w:t>年度保障性安居工程专项</w:t>
      </w:r>
      <w:r>
        <w:rPr>
          <w:rFonts w:ascii="仿宋_GB2312" w:eastAsia="仿宋_GB2312" w:cs="仿宋_GB2312"/>
          <w:b/>
          <w:bCs/>
          <w:sz w:val="44"/>
          <w:szCs w:val="44"/>
        </w:rPr>
        <w:t>工程</w:t>
      </w:r>
      <w:r>
        <w:rPr>
          <w:rFonts w:ascii="仿宋_GB2312" w:eastAsia="仿宋_GB2312" w:cs="仿宋_GB2312" w:hint="eastAsia"/>
          <w:b/>
          <w:bCs/>
          <w:sz w:val="44"/>
          <w:szCs w:val="44"/>
        </w:rPr>
        <w:t>项目支出绩效自评报告</w:t>
      </w:r>
    </w:p>
    <w:p>
      <w:pPr>
        <w:spacing w:line="600" w:lineRule="exact"/>
        <w:ind w:firstLineChars="200" w:firstLine="640"/>
        <w:rPr>
          <w:rFonts w:ascii="仿宋_GB2312" w:eastAsia="仿宋_GB2312" w:cs="仿宋_GB2312"/>
          <w:b/>
          <w:bCs/>
          <w:sz w:val="32"/>
          <w:szCs w:val="32"/>
        </w:rPr>
      </w:pPr>
    </w:p>
    <w:p>
      <w:pPr>
        <w:spacing w:line="600" w:lineRule="exact"/>
        <w:ind w:firstLineChars="200" w:firstLine="640"/>
        <w:rPr>
          <w:rFonts w:ascii="仿宋_GB2312" w:eastAsia="仿宋_GB2312" w:cs="仿宋_GB2312"/>
          <w:b/>
          <w:bCs/>
          <w:sz w:val="32"/>
          <w:szCs w:val="32"/>
        </w:rPr>
      </w:pPr>
      <w:r>
        <w:rPr>
          <w:rFonts w:ascii="仿宋_GB2312" w:eastAsia="仿宋_GB2312" w:cs="仿宋_GB2312" w:hint="eastAsia"/>
          <w:b/>
          <w:bCs/>
          <w:sz w:val="32"/>
          <w:szCs w:val="32"/>
        </w:rPr>
        <w:t>一、城镇保障性安居工程专项维护概述：</w:t>
      </w:r>
    </w:p>
    <w:p>
      <w:pPr>
        <w:spacing w:line="600" w:lineRule="exact"/>
        <w:ind w:firstLineChars="200" w:firstLine="640"/>
        <w:rPr>
          <w:rFonts w:ascii="仿宋_GB2312" w:eastAsia="仿宋_GB2312" w:cs="仿宋_GB2312"/>
          <w:b/>
          <w:bCs/>
          <w:sz w:val="32"/>
          <w:szCs w:val="32"/>
        </w:rPr>
      </w:pPr>
      <w:r>
        <w:rPr>
          <w:rFonts w:ascii="仿宋_GB2312" w:eastAsia="仿宋_GB2312" w:cs="仿宋_GB2312" w:hint="eastAsia"/>
          <w:b/>
          <w:bCs/>
          <w:sz w:val="32"/>
          <w:szCs w:val="32"/>
        </w:rPr>
        <w:t>(一)、目标任务及完成情况：</w:t>
      </w:r>
    </w:p>
    <w:p>
      <w:pPr>
        <w:spacing w:line="60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根据《中方县保障性住房分配和运营管理办法》（中政办发【2013】45号）第八章 第三十七条、第三十八条规定：保障性住房租金收入按照政府非税收入管理的规定缴入同级财政，实行“收支两条线”管理。租金收入专项用于保障性住房及配套设施的维修、养护和管理。保障性住房维修由县</w:t>
      </w:r>
      <w:r>
        <w:rPr>
          <w:rFonts w:ascii="仿宋_GB2312" w:eastAsia="仿宋_GB2312" w:cs="仿宋_GB2312" w:hint="eastAsia"/>
          <w:sz w:val="32"/>
          <w:szCs w:val="32"/>
          <w:lang w:eastAsia="zh-CN"/>
        </w:rPr>
        <w:t>住房保障服务中心</w:t>
      </w:r>
      <w:r>
        <w:rPr>
          <w:rFonts w:ascii="仿宋_GB2312" w:eastAsia="仿宋_GB2312" w:cs="仿宋_GB2312" w:hint="eastAsia"/>
          <w:sz w:val="32"/>
          <w:szCs w:val="32"/>
        </w:rPr>
        <w:t>组织实施，维修经费经同级财政部门审核后，从保障性住房租金收入以及配套商业服务设施租金收入中解决。县</w:t>
      </w:r>
      <w:r>
        <w:rPr>
          <w:rFonts w:ascii="仿宋_GB2312" w:eastAsia="仿宋_GB2312" w:cs="仿宋_GB2312" w:hint="eastAsia"/>
          <w:sz w:val="32"/>
          <w:szCs w:val="32"/>
          <w:lang w:eastAsia="zh-CN"/>
        </w:rPr>
        <w:t>住房保障服务中心</w:t>
      </w:r>
      <w:r>
        <w:rPr>
          <w:rFonts w:ascii="仿宋_GB2312" w:eastAsia="仿宋_GB2312" w:cs="仿宋_GB2312" w:hint="eastAsia"/>
          <w:sz w:val="32"/>
          <w:szCs w:val="32"/>
        </w:rPr>
        <w:t>每年年初制定维修计划报财政部门核定，年终将维修结算报财政部门审查。</w:t>
      </w:r>
    </w:p>
    <w:p>
      <w:pPr>
        <w:spacing w:line="600" w:lineRule="exact"/>
        <w:ind w:firstLineChars="200" w:firstLine="640"/>
        <w:rPr>
          <w:rFonts w:ascii="仿宋_GB2312" w:eastAsia="仿宋_GB2312" w:cs="仿宋_GB2312"/>
          <w:b/>
          <w:bCs/>
          <w:sz w:val="32"/>
          <w:szCs w:val="32"/>
        </w:rPr>
      </w:pPr>
      <w:r>
        <w:rPr>
          <w:rFonts w:ascii="仿宋_GB2312" w:eastAsia="仿宋_GB2312" w:cs="仿宋_GB2312" w:hint="eastAsia"/>
          <w:b/>
          <w:bCs/>
          <w:sz w:val="32"/>
          <w:szCs w:val="32"/>
        </w:rPr>
        <w:t>（二）、城镇保障性安居工程专项维护绩效目标</w:t>
      </w:r>
    </w:p>
    <w:p>
      <w:pPr>
        <w:widowControl/>
        <w:ind w:firstLineChars="200" w:firstLine="640"/>
        <w:rPr>
          <w:rFonts w:ascii="仿宋_GB2312" w:eastAsia="仿宋_GB2312" w:cs="仿宋_GB2312"/>
          <w:sz w:val="32"/>
          <w:szCs w:val="32"/>
        </w:rPr>
      </w:pPr>
      <w:r>
        <w:rPr>
          <w:rFonts w:ascii="仿宋_GB2312" w:eastAsia="仿宋_GB2312" w:cs="仿宋_GB2312" w:hint="eastAsia"/>
          <w:sz w:val="32"/>
          <w:szCs w:val="32"/>
        </w:rPr>
        <w:t>全县县城内公租房、园区公租房、乡镇公租房、教育公租房、卫生公租房共计299</w:t>
      </w:r>
      <w:r>
        <w:rPr>
          <w:rFonts w:ascii="仿宋_GB2312" w:eastAsia="仿宋_GB2312" w:cs="仿宋_GB2312" w:hint="eastAsia"/>
          <w:sz w:val="32"/>
          <w:szCs w:val="32"/>
          <w:lang w:val="en-US" w:eastAsia="zh-CN"/>
        </w:rPr>
        <w:t>4</w:t>
      </w:r>
      <w:r>
        <w:rPr>
          <w:rFonts w:ascii="仿宋_GB2312" w:eastAsia="仿宋_GB2312" w:cs="仿宋_GB2312" w:hint="eastAsia"/>
          <w:sz w:val="32"/>
          <w:szCs w:val="32"/>
        </w:rPr>
        <w:t>套，全年绩效目标为维护保障性住房的运行和管理及日常维修，保障居住安全，维持周边环境卫生</w:t>
      </w:r>
      <w:r>
        <w:rPr>
          <w:rFonts w:ascii="仿宋_GB2312" w:eastAsia="仿宋_GB2312" w:cs="仿宋_GB2312"/>
          <w:sz w:val="32"/>
          <w:szCs w:val="32"/>
        </w:rPr>
        <w:t>,项目支出118.6万元。</w:t>
      </w:r>
      <w:bookmarkStart w:id="0" w:name="_GoBack"/>
      <w:bookmarkEnd w:id="0"/>
    </w:p>
    <w:p>
      <w:pPr>
        <w:spacing w:line="600" w:lineRule="exact"/>
        <w:ind w:firstLineChars="200" w:firstLine="640"/>
        <w:rPr>
          <w:rFonts w:ascii="仿宋_GB2312" w:eastAsia="仿宋_GB2312" w:cs="仿宋_GB2312"/>
          <w:sz w:val="32"/>
          <w:szCs w:val="32"/>
        </w:rPr>
      </w:pPr>
      <w:r>
        <w:rPr>
          <w:rFonts w:ascii="仿宋_GB2312" w:eastAsia="仿宋_GB2312" w:cs="仿宋_GB2312" w:hint="eastAsia"/>
          <w:b/>
          <w:bCs/>
          <w:sz w:val="32"/>
          <w:szCs w:val="32"/>
        </w:rPr>
        <w:t>二、城镇保障性安居工程财政资金绩效评价工作情况</w:t>
      </w:r>
    </w:p>
    <w:p>
      <w:pPr>
        <w:spacing w:line="600" w:lineRule="exact"/>
        <w:ind w:firstLine="640"/>
        <w:rPr>
          <w:rFonts w:ascii="仿宋_GB2312" w:eastAsia="仿宋_GB2312" w:cs="仿宋_GB2312"/>
          <w:color w:val="333333"/>
          <w:sz w:val="32"/>
          <w:szCs w:val="32"/>
          <w:shd w:val="clear" w:color="auto" w:fill="FFFFFF"/>
        </w:rPr>
      </w:pPr>
      <w:r>
        <w:rPr>
          <w:rFonts w:ascii="仿宋_GB2312" w:eastAsia="仿宋_GB2312" w:cs="仿宋_GB2312" w:hint="eastAsia"/>
          <w:b/>
          <w:bCs/>
          <w:sz w:val="32"/>
          <w:szCs w:val="32"/>
        </w:rPr>
        <w:t>（一）绩效评价目的。</w:t>
      </w:r>
      <w:r>
        <w:rPr>
          <w:rFonts w:ascii="仿宋_GB2312" w:eastAsia="仿宋_GB2312" w:cs="仿宋_GB2312" w:hint="eastAsia"/>
          <w:color w:val="333333"/>
          <w:sz w:val="32"/>
          <w:szCs w:val="32"/>
          <w:shd w:val="clear" w:color="auto" w:fill="FFFFFF"/>
        </w:rPr>
        <w:t>通过对全县保障性住房安居工程专项维护情况进行绩效评价，衡量项目资金的“产出”与“绩效”，了解、分析、检验项目是否达到预期目标，资金的使用是否有效。为今后安排财政资金提供重要依据。同时总结经验，分析问题，采取措施进一步改进和完善财政支出项目管理，提高财政资金使用效益，进一步完善我县绩效评价工作体系。</w:t>
      </w:r>
    </w:p>
    <w:p>
      <w:pPr>
        <w:spacing w:line="600" w:lineRule="exact"/>
        <w:ind w:firstLineChars="200" w:firstLine="640"/>
        <w:rPr>
          <w:rFonts w:ascii="仿宋_GB2312" w:eastAsia="仿宋_GB2312" w:cs="仿宋_GB2312"/>
          <w:b/>
          <w:bCs/>
          <w:sz w:val="32"/>
          <w:szCs w:val="32"/>
        </w:rPr>
      </w:pPr>
      <w:r>
        <w:rPr>
          <w:rFonts w:ascii="仿宋_GB2312" w:eastAsia="仿宋_GB2312" w:cs="仿宋_GB2312" w:hint="eastAsia"/>
          <w:sz w:val="32"/>
          <w:szCs w:val="32"/>
        </w:rPr>
        <w:t>（</w:t>
      </w:r>
      <w:r>
        <w:rPr>
          <w:rFonts w:ascii="仿宋_GB2312" w:eastAsia="仿宋_GB2312" w:cs="仿宋_GB2312" w:hint="eastAsia"/>
          <w:b/>
          <w:bCs/>
          <w:sz w:val="32"/>
          <w:szCs w:val="32"/>
        </w:rPr>
        <w:t>二）绩效评价原则、评价指标体系、评价方法。</w:t>
      </w:r>
    </w:p>
    <w:p>
      <w:pPr>
        <w:spacing w:line="600" w:lineRule="exact"/>
        <w:ind w:firstLineChars="300" w:firstLine="960"/>
        <w:rPr>
          <w:rFonts w:ascii="仿宋_GB2312" w:eastAsia="仿宋_GB2312" w:cs="仿宋_GB2312"/>
          <w:b/>
          <w:bCs/>
          <w:sz w:val="32"/>
          <w:szCs w:val="32"/>
        </w:rPr>
      </w:pPr>
      <w:r>
        <w:rPr>
          <w:rFonts w:ascii="仿宋_GB2312" w:eastAsia="仿宋_GB2312" w:cs="仿宋_GB2312" w:hint="eastAsia"/>
          <w:b/>
          <w:bCs/>
          <w:sz w:val="32"/>
          <w:szCs w:val="32"/>
        </w:rPr>
        <w:t>1、评价原则。</w:t>
      </w:r>
    </w:p>
    <w:p>
      <w:pPr>
        <w:spacing w:line="600" w:lineRule="exact"/>
        <w:ind w:firstLineChars="200" w:firstLine="640"/>
        <w:rPr>
          <w:rFonts w:ascii="仿宋_GB2312" w:eastAsia="仿宋_GB2312" w:cs="仿宋_GB2312"/>
          <w:color w:val="333333"/>
          <w:sz w:val="32"/>
          <w:szCs w:val="32"/>
          <w:shd w:val="clear" w:color="auto" w:fill="FFFFFF"/>
        </w:rPr>
      </w:pPr>
      <w:r>
        <w:rPr>
          <w:rFonts w:ascii="仿宋_GB2312" w:eastAsia="仿宋_GB2312" w:cs="仿宋_GB2312" w:hint="eastAsia"/>
          <w:b/>
          <w:bCs/>
          <w:color w:val="333333"/>
          <w:sz w:val="32"/>
          <w:szCs w:val="32"/>
          <w:shd w:val="clear" w:color="auto" w:fill="FFFFFF"/>
        </w:rPr>
        <w:t>（1）目标导向、依法评价。</w:t>
      </w:r>
      <w:r>
        <w:rPr>
          <w:rFonts w:ascii="仿宋_GB2312" w:eastAsia="仿宋_GB2312" w:cs="仿宋_GB2312" w:hint="eastAsia"/>
          <w:color w:val="333333"/>
          <w:sz w:val="32"/>
          <w:szCs w:val="32"/>
          <w:shd w:val="clear" w:color="auto" w:fill="FFFFFF"/>
        </w:rPr>
        <w:t>以城镇保障性安居工程政策绩效目标为导向，依据相关法律法规和城镇保障性安居工程政策规定开展绩效评价。</w:t>
      </w:r>
    </w:p>
    <w:p>
      <w:pPr>
        <w:spacing w:line="600" w:lineRule="exact"/>
        <w:ind w:firstLineChars="200" w:firstLine="640"/>
        <w:rPr>
          <w:rFonts w:ascii="仿宋_GB2312" w:eastAsia="仿宋_GB2312" w:cs="仿宋_GB2312" w:hint="eastAsia"/>
          <w:color w:val="333333"/>
          <w:sz w:val="32"/>
          <w:szCs w:val="32"/>
          <w:shd w:val="clear" w:color="auto" w:fill="FFFFFF"/>
        </w:rPr>
      </w:pPr>
      <w:r>
        <w:rPr>
          <w:rFonts w:ascii="仿宋_GB2312" w:eastAsia="仿宋_GB2312" w:cs="仿宋_GB2312" w:hint="eastAsia"/>
          <w:b/>
          <w:bCs/>
          <w:color w:val="333333"/>
          <w:sz w:val="32"/>
          <w:szCs w:val="32"/>
          <w:shd w:val="clear" w:color="auto" w:fill="FFFFFF"/>
        </w:rPr>
        <w:t>（2）科学规范、分级实施。</w:t>
      </w:r>
      <w:r>
        <w:rPr>
          <w:rFonts w:ascii="仿宋_GB2312" w:eastAsia="仿宋_GB2312" w:cs="仿宋_GB2312" w:hint="eastAsia"/>
          <w:color w:val="333333"/>
          <w:sz w:val="32"/>
          <w:szCs w:val="32"/>
          <w:shd w:val="clear" w:color="auto" w:fill="FFFFFF"/>
        </w:rPr>
        <w:t>评价方法和指标设计科学合理，评价流程统一规范，评价数据真实准确；</w:t>
      </w:r>
    </w:p>
    <w:p>
      <w:pPr>
        <w:spacing w:line="600" w:lineRule="exact"/>
        <w:ind w:firstLineChars="200" w:firstLine="640"/>
        <w:rPr>
          <w:rFonts w:ascii="仿宋_GB2312" w:eastAsia="仿宋_GB2312" w:cs="仿宋_GB2312"/>
          <w:color w:val="333333"/>
          <w:sz w:val="32"/>
          <w:szCs w:val="32"/>
          <w:shd w:val="clear" w:color="auto" w:fill="FFFFFF"/>
        </w:rPr>
      </w:pPr>
      <w:r>
        <w:rPr>
          <w:rFonts w:ascii="仿宋_GB2312" w:eastAsia="仿宋_GB2312" w:cs="仿宋_GB2312" w:hint="eastAsia"/>
          <w:b/>
          <w:bCs/>
          <w:color w:val="333333"/>
          <w:sz w:val="32"/>
          <w:szCs w:val="32"/>
          <w:shd w:val="clear" w:color="auto" w:fill="FFFFFF"/>
        </w:rPr>
        <w:t>（3）客观公正、公开透明。</w:t>
      </w:r>
      <w:r>
        <w:rPr>
          <w:rFonts w:ascii="仿宋_GB2312" w:eastAsia="仿宋_GB2312" w:cs="仿宋_GB2312" w:hint="eastAsia"/>
          <w:color w:val="333333"/>
          <w:sz w:val="32"/>
          <w:szCs w:val="32"/>
          <w:shd w:val="clear" w:color="auto" w:fill="FFFFFF"/>
        </w:rPr>
        <w:t>绩效评价工作坚持实事求是、从客观实际出发，以全面真实的事实和数据为依据，按照公开、公平、公正的原则开展。</w:t>
      </w:r>
    </w:p>
    <w:p>
      <w:pPr>
        <w:spacing w:line="600" w:lineRule="exact"/>
        <w:ind w:firstLineChars="200" w:firstLine="640"/>
        <w:rPr>
          <w:rFonts w:ascii="仿宋_GB2312" w:eastAsia="仿宋_GB2312" w:cs="仿宋_GB2312"/>
          <w:b/>
          <w:bCs/>
          <w:sz w:val="32"/>
          <w:szCs w:val="32"/>
        </w:rPr>
      </w:pPr>
      <w:r>
        <w:rPr>
          <w:rFonts w:ascii="仿宋_GB2312" w:eastAsia="仿宋_GB2312" w:cs="仿宋_GB2312" w:hint="eastAsia"/>
          <w:b/>
          <w:bCs/>
          <w:color w:val="333333"/>
          <w:sz w:val="32"/>
          <w:szCs w:val="32"/>
          <w:shd w:val="clear" w:color="auto" w:fill="FFFFFF"/>
        </w:rPr>
        <w:t>2、</w:t>
      </w:r>
      <w:r>
        <w:rPr>
          <w:rFonts w:ascii="仿宋_GB2312" w:eastAsia="仿宋_GB2312" w:cs="仿宋_GB2312" w:hint="eastAsia"/>
          <w:b/>
          <w:bCs/>
          <w:sz w:val="32"/>
          <w:szCs w:val="32"/>
        </w:rPr>
        <w:t>评价指标体系</w:t>
      </w:r>
    </w:p>
    <w:p>
      <w:pPr>
        <w:spacing w:line="600" w:lineRule="exact"/>
        <w:ind w:firstLineChars="200" w:firstLine="640"/>
        <w:rPr>
          <w:rFonts w:ascii="仿宋_GB2312" w:eastAsia="仿宋_GB2312" w:cs="仿宋_GB2312"/>
          <w:color w:val="333333"/>
          <w:sz w:val="32"/>
          <w:szCs w:val="32"/>
          <w:shd w:val="clear" w:color="auto" w:fill="FFFFFF"/>
        </w:rPr>
      </w:pPr>
      <w:r>
        <w:rPr>
          <w:rFonts w:ascii="仿宋_GB2312" w:eastAsia="仿宋_GB2312" w:cs="仿宋_GB2312" w:hint="eastAsia"/>
          <w:b/>
          <w:bCs/>
          <w:color w:val="333333"/>
          <w:sz w:val="32"/>
          <w:szCs w:val="32"/>
          <w:shd w:val="clear" w:color="auto" w:fill="FFFFFF"/>
        </w:rPr>
        <w:t>（1）项目产出。</w:t>
      </w:r>
      <w:r>
        <w:rPr>
          <w:rFonts w:ascii="仿宋_GB2312" w:eastAsia="仿宋_GB2312" w:cs="仿宋_GB2312" w:hint="eastAsia"/>
          <w:color w:val="333333"/>
          <w:sz w:val="32"/>
          <w:szCs w:val="32"/>
          <w:shd w:val="clear" w:color="auto" w:fill="FFFFFF"/>
        </w:rPr>
        <w:t>数量指标即全县范围内保障性住房的维护、维修是否均纳入到专项维修范围。质量指标即通过专项维护、维修确保保障性住房达到正常居住标准。时效指标即维护、维修是否及时。成本指标即项目专项维护和管理资金和保障性住房项目经费及奖励资金使用情况。</w:t>
      </w:r>
    </w:p>
    <w:p>
      <w:pPr>
        <w:spacing w:line="600" w:lineRule="exact"/>
        <w:ind w:firstLineChars="200" w:firstLine="640"/>
        <w:rPr>
          <w:rFonts w:ascii="仿宋_GB2312" w:eastAsia="仿宋_GB2312" w:cs="仿宋_GB2312"/>
          <w:color w:val="000000"/>
          <w:kern w:val="0"/>
          <w:sz w:val="32"/>
          <w:szCs w:val="32"/>
        </w:rPr>
      </w:pPr>
      <w:r>
        <w:rPr>
          <w:rFonts w:ascii="仿宋_GB2312" w:eastAsia="仿宋_GB2312" w:cs="仿宋_GB2312" w:hint="eastAsia"/>
          <w:b/>
          <w:bCs/>
          <w:color w:val="333333"/>
          <w:sz w:val="32"/>
          <w:szCs w:val="32"/>
          <w:shd w:val="clear" w:color="auto" w:fill="FFFFFF"/>
        </w:rPr>
        <w:t>（2）项目效益。</w:t>
      </w:r>
      <w:r>
        <w:rPr>
          <w:rFonts w:ascii="仿宋_GB2312" w:eastAsia="仿宋_GB2312" w:cs="仿宋_GB2312" w:hint="eastAsia"/>
          <w:color w:val="333333"/>
          <w:sz w:val="32"/>
          <w:szCs w:val="32"/>
          <w:shd w:val="clear" w:color="auto" w:fill="FFFFFF"/>
        </w:rPr>
        <w:t>包括经济效益：促进县重点项目拆迁和城市发展、拉动消费;社会效益：解决部分住房困难家庭住有所居问题;</w:t>
      </w:r>
      <w:r>
        <w:rPr>
          <w:rFonts w:hint="eastAsia"/>
        </w:rPr>
        <w:t xml:space="preserve"> </w:t>
      </w:r>
      <w:r>
        <w:rPr>
          <w:rFonts w:ascii="仿宋_GB2312" w:eastAsia="仿宋_GB2312" w:cs="仿宋_GB2312" w:hint="eastAsia"/>
          <w:color w:val="333333"/>
          <w:sz w:val="32"/>
          <w:szCs w:val="32"/>
          <w:shd w:val="clear" w:color="auto" w:fill="FFFFFF"/>
        </w:rPr>
        <w:t>可持续影响指标：解决部分住房困难家庭住有所居问题，消除社会不稳定因素。</w:t>
      </w:r>
    </w:p>
    <w:p>
      <w:pPr>
        <w:spacing w:line="600" w:lineRule="exact"/>
        <w:ind w:firstLineChars="200" w:firstLine="640"/>
        <w:rPr>
          <w:rFonts w:ascii="仿宋_GB2312" w:eastAsia="仿宋_GB2312" w:cs="仿宋_GB2312"/>
          <w:color w:val="000000"/>
          <w:kern w:val="0"/>
          <w:sz w:val="32"/>
          <w:szCs w:val="32"/>
        </w:rPr>
      </w:pPr>
      <w:r>
        <w:rPr>
          <w:rFonts w:ascii="仿宋_GB2312" w:eastAsia="仿宋_GB2312" w:cs="仿宋_GB2312" w:hint="eastAsia"/>
          <w:b/>
          <w:bCs/>
          <w:color w:val="000000"/>
          <w:kern w:val="0"/>
          <w:sz w:val="32"/>
          <w:szCs w:val="32"/>
        </w:rPr>
        <w:t>（3）居民满意度。</w:t>
      </w:r>
      <w:r>
        <w:rPr>
          <w:rFonts w:ascii="仿宋_GB2312" w:eastAsia="仿宋_GB2312" w:cs="仿宋_GB2312" w:hint="eastAsia"/>
          <w:color w:val="000000"/>
          <w:kern w:val="0"/>
          <w:sz w:val="32"/>
          <w:szCs w:val="32"/>
        </w:rPr>
        <w:t>城镇低收入住房困难家庭满意度和中等偏下收入住房困难家庭及外来务工任务家庭满意度调查。</w:t>
      </w:r>
    </w:p>
    <w:p>
      <w:pPr>
        <w:spacing w:line="600" w:lineRule="exact"/>
        <w:ind w:firstLineChars="200" w:firstLine="640"/>
        <w:rPr>
          <w:rFonts w:ascii="仿宋_GB2312" w:eastAsia="仿宋_GB2312" w:cs="仿宋_GB2312"/>
          <w:b/>
          <w:bCs/>
          <w:color w:val="333333"/>
          <w:sz w:val="32"/>
          <w:szCs w:val="32"/>
          <w:shd w:val="clear" w:color="auto" w:fill="FFFFFF"/>
        </w:rPr>
      </w:pPr>
      <w:r>
        <w:rPr>
          <w:rFonts w:ascii="仿宋_GB2312" w:eastAsia="仿宋_GB2312" w:cs="仿宋_GB2312" w:hint="eastAsia"/>
          <w:b/>
          <w:bCs/>
          <w:color w:val="333333"/>
          <w:sz w:val="32"/>
          <w:szCs w:val="32"/>
          <w:shd w:val="clear" w:color="auto" w:fill="FFFFFF"/>
        </w:rPr>
        <w:t>3、评价方法。</w:t>
      </w:r>
    </w:p>
    <w:p>
      <w:pPr>
        <w:spacing w:line="600" w:lineRule="exact"/>
        <w:ind w:firstLineChars="200" w:firstLine="640"/>
        <w:rPr>
          <w:rFonts w:ascii="仿宋_GB2312" w:eastAsia="仿宋_GB2312" w:cs="仿宋_GB2312"/>
          <w:color w:val="000000"/>
          <w:kern w:val="0"/>
          <w:sz w:val="32"/>
          <w:szCs w:val="32"/>
        </w:rPr>
      </w:pPr>
      <w:r>
        <w:rPr>
          <w:rFonts w:ascii="仿宋_GB2312" w:eastAsia="仿宋_GB2312" w:cs="仿宋_GB2312" w:hint="eastAsia"/>
          <w:b/>
          <w:bCs/>
          <w:color w:val="333333"/>
          <w:sz w:val="32"/>
          <w:szCs w:val="32"/>
          <w:shd w:val="clear" w:color="auto" w:fill="FFFFFF"/>
        </w:rPr>
        <w:t>自评</w:t>
      </w:r>
      <w:r>
        <w:rPr>
          <w:rFonts w:ascii="仿宋_GB2312" w:eastAsia="仿宋_GB2312" w:cs="仿宋_GB2312"/>
          <w:b/>
          <w:bCs/>
          <w:color w:val="333333"/>
          <w:sz w:val="32"/>
          <w:szCs w:val="32"/>
          <w:shd w:val="clear" w:color="auto" w:fill="FFFFFF"/>
        </w:rPr>
        <w:t>：</w:t>
      </w:r>
      <w:r>
        <w:rPr>
          <w:rFonts w:ascii="仿宋_GB2312" w:eastAsia="仿宋_GB2312" w:cs="仿宋_GB2312" w:hint="eastAsia"/>
          <w:color w:val="333333"/>
          <w:sz w:val="32"/>
          <w:szCs w:val="32"/>
          <w:shd w:val="clear" w:color="auto" w:fill="FFFFFF"/>
        </w:rPr>
        <w:t>由县</w:t>
      </w:r>
      <w:r>
        <w:rPr>
          <w:rFonts w:ascii="仿宋_GB2312" w:eastAsia="仿宋_GB2312" w:cs="仿宋_GB2312"/>
          <w:color w:val="333333"/>
          <w:sz w:val="32"/>
          <w:szCs w:val="32"/>
          <w:shd w:val="clear" w:color="auto" w:fill="FFFFFF"/>
        </w:rPr>
        <w:t>住房保障服务中心</w:t>
      </w:r>
      <w:r>
        <w:rPr>
          <w:rFonts w:ascii="仿宋_GB2312" w:eastAsia="仿宋_GB2312" w:cs="仿宋_GB2312" w:hint="eastAsia"/>
          <w:color w:val="333333"/>
          <w:sz w:val="32"/>
          <w:szCs w:val="32"/>
          <w:shd w:val="clear" w:color="auto" w:fill="FFFFFF"/>
        </w:rPr>
        <w:t>对本地区保障性安居工程专项维护绩效评价工作开展自评，</w:t>
      </w:r>
      <w:r>
        <w:rPr>
          <w:rFonts w:ascii="仿宋_GB2312" w:eastAsia="仿宋_GB2312" w:cs="仿宋_GB2312"/>
          <w:color w:val="333333"/>
          <w:sz w:val="32"/>
          <w:szCs w:val="32"/>
          <w:shd w:val="clear" w:color="auto" w:fill="FFFFFF"/>
        </w:rPr>
        <w:t>依据评分标准，结合工作实际，</w:t>
      </w:r>
      <w:r>
        <w:rPr>
          <w:rFonts w:ascii="仿宋_GB2312" w:eastAsia="仿宋_GB2312" w:cs="仿宋_GB2312" w:hint="eastAsia"/>
          <w:color w:val="333333"/>
          <w:sz w:val="32"/>
          <w:szCs w:val="32"/>
          <w:shd w:val="clear" w:color="auto" w:fill="FFFFFF"/>
        </w:rPr>
        <w:t>计算</w:t>
      </w:r>
      <w:r>
        <w:rPr>
          <w:rFonts w:ascii="仿宋_GB2312" w:eastAsia="仿宋_GB2312" w:cs="仿宋_GB2312"/>
          <w:color w:val="333333"/>
          <w:sz w:val="32"/>
          <w:szCs w:val="32"/>
          <w:shd w:val="clear" w:color="auto" w:fill="FFFFFF"/>
        </w:rPr>
        <w:t>自评</w:t>
      </w:r>
      <w:r>
        <w:rPr>
          <w:rFonts w:ascii="仿宋_GB2312" w:eastAsia="仿宋_GB2312" w:cs="仿宋_GB2312" w:hint="eastAsia"/>
          <w:color w:val="333333"/>
          <w:sz w:val="32"/>
          <w:szCs w:val="32"/>
          <w:shd w:val="clear" w:color="auto" w:fill="FFFFFF"/>
        </w:rPr>
        <w:t>得分</w:t>
      </w:r>
      <w:r>
        <w:rPr>
          <w:rFonts w:ascii="仿宋_GB2312" w:eastAsia="仿宋_GB2312" w:cs="仿宋_GB2312"/>
          <w:color w:val="333333"/>
          <w:sz w:val="32"/>
          <w:szCs w:val="32"/>
          <w:shd w:val="clear" w:color="auto" w:fill="FFFFFF"/>
        </w:rPr>
        <w:t>数</w:t>
      </w:r>
      <w:r>
        <w:rPr>
          <w:rFonts w:ascii="仿宋_GB2312" w:eastAsia="仿宋_GB2312" w:cs="仿宋_GB2312" w:hint="eastAsia"/>
          <w:color w:val="333333"/>
          <w:sz w:val="32"/>
          <w:szCs w:val="32"/>
          <w:shd w:val="clear" w:color="auto" w:fill="FFFFFF"/>
        </w:rPr>
        <w:t>。评价结果划分为四个等级：评价总得分在90分(含)以上为优秀；75(含)－90分为良好；60(含)－75分为合格；60分以下为不合格。</w:t>
      </w:r>
    </w:p>
    <w:p>
      <w:pPr>
        <w:spacing w:line="600" w:lineRule="exact"/>
        <w:ind w:firstLineChars="200" w:firstLine="640"/>
        <w:rPr>
          <w:rFonts w:ascii="仿宋_GB2312" w:eastAsia="仿宋_GB2312" w:cs="仿宋_GB2312"/>
          <w:b/>
          <w:bCs/>
          <w:sz w:val="32"/>
          <w:szCs w:val="32"/>
        </w:rPr>
      </w:pPr>
      <w:r>
        <w:rPr>
          <w:rFonts w:ascii="仿宋_GB2312" w:eastAsia="仿宋_GB2312" w:cs="仿宋_GB2312" w:hint="eastAsia"/>
          <w:b/>
          <w:bCs/>
          <w:sz w:val="32"/>
          <w:szCs w:val="32"/>
        </w:rPr>
        <w:t>（三）绩效评价工作过程。</w:t>
      </w:r>
    </w:p>
    <w:p>
      <w:pPr>
        <w:spacing w:line="560" w:lineRule="exact"/>
        <w:ind w:firstLineChars="200" w:firstLine="640"/>
        <w:jc w:val="left"/>
        <w:rPr>
          <w:rFonts w:ascii="仿宋_GB2312" w:eastAsia="仿宋_GB2312" w:cs="仿宋_GB2312"/>
          <w:sz w:val="32"/>
          <w:szCs w:val="32"/>
        </w:rPr>
      </w:pPr>
      <w:r>
        <w:rPr>
          <w:rFonts w:ascii="仿宋_GB2312" w:eastAsia="仿宋_GB2312" w:cs="仿宋_GB2312" w:hint="eastAsia"/>
          <w:b/>
          <w:bCs/>
          <w:sz w:val="32"/>
          <w:szCs w:val="32"/>
        </w:rPr>
        <w:t>1、前期准备。</w:t>
      </w:r>
      <w:r>
        <w:rPr>
          <w:rFonts w:ascii="仿宋_GB2312" w:eastAsia="仿宋_GB2312" w:cs="仿宋_GB2312" w:hint="eastAsia"/>
          <w:sz w:val="32"/>
          <w:szCs w:val="32"/>
        </w:rPr>
        <w:t>202</w:t>
      </w:r>
      <w:r>
        <w:rPr>
          <w:rFonts w:ascii="仿宋_GB2312" w:eastAsia="仿宋_GB2312" w:cs="仿宋_GB2312" w:hint="eastAsia"/>
          <w:sz w:val="32"/>
          <w:szCs w:val="32"/>
          <w:lang w:val="en-US" w:eastAsia="zh-CN"/>
        </w:rPr>
        <w:t>1</w:t>
      </w:r>
      <w:r>
        <w:rPr>
          <w:rFonts w:ascii="仿宋_GB2312" w:eastAsia="仿宋_GB2312" w:cs="仿宋_GB2312" w:hint="eastAsia"/>
          <w:sz w:val="32"/>
          <w:szCs w:val="32"/>
        </w:rPr>
        <w:t>年</w:t>
      </w:r>
      <w:r>
        <w:rPr>
          <w:rFonts w:ascii="仿宋_GB2312" w:eastAsia="仿宋_GB2312" w:cs="仿宋_GB2312" w:hint="eastAsia"/>
          <w:sz w:val="32"/>
          <w:szCs w:val="32"/>
          <w:lang w:val="en-US" w:eastAsia="zh-CN"/>
        </w:rPr>
        <w:t>6</w:t>
      </w:r>
      <w:r>
        <w:rPr>
          <w:rFonts w:ascii="仿宋_GB2312" w:eastAsia="仿宋_GB2312" w:cs="仿宋_GB2312" w:hint="eastAsia"/>
          <w:sz w:val="32"/>
          <w:szCs w:val="32"/>
        </w:rPr>
        <w:t>月30日前，县</w:t>
      </w:r>
      <w:r>
        <w:rPr>
          <w:rFonts w:ascii="仿宋_GB2312" w:eastAsia="仿宋_GB2312" w:cs="仿宋_GB2312" w:hint="eastAsia"/>
          <w:sz w:val="32"/>
          <w:szCs w:val="32"/>
          <w:lang w:eastAsia="zh-CN"/>
        </w:rPr>
        <w:t>住房保障服务中心</w:t>
      </w:r>
      <w:r>
        <w:rPr>
          <w:rFonts w:ascii="仿宋_GB2312" w:eastAsia="仿宋_GB2312" w:cs="仿宋_GB2312" w:hint="eastAsia"/>
          <w:sz w:val="32"/>
          <w:szCs w:val="32"/>
        </w:rPr>
        <w:t>根据《</w:t>
      </w:r>
      <w:r>
        <w:rPr>
          <w:rFonts w:ascii="仿宋_GB2312" w:eastAsia="仿宋_GB2312" w:cs="仿宋_GB2312" w:hint="eastAsia"/>
          <w:sz w:val="32"/>
          <w:szCs w:val="32"/>
          <w:lang w:eastAsia="zh-CN"/>
        </w:rPr>
        <w:t>关于开展2020年度部门整体支出及项目支出绩效自评工作的通知</w:t>
      </w:r>
      <w:r>
        <w:rPr>
          <w:rFonts w:ascii="仿宋_GB2312" w:eastAsia="仿宋_GB2312" w:cs="仿宋_GB2312" w:hint="eastAsia"/>
          <w:sz w:val="32"/>
          <w:szCs w:val="32"/>
        </w:rPr>
        <w:t>》（</w:t>
      </w:r>
      <w:r>
        <w:rPr>
          <w:rFonts w:ascii="Times New Roman" w:eastAsia="仿宋_GB2312" w:cs="Times New Roman" w:hAnsi="Times New Roman"/>
          <w:color w:val="auto"/>
          <w:sz w:val="32"/>
        </w:rPr>
        <w:t>中财</w:t>
      </w:r>
      <w:r>
        <w:rPr>
          <w:rFonts w:eastAsia="仿宋_GB2312" w:cs="Times New Roman" w:hint="eastAsia"/>
          <w:color w:val="auto"/>
          <w:sz w:val="32"/>
          <w:lang w:eastAsia="zh-CN"/>
        </w:rPr>
        <w:t>绩</w:t>
      </w:r>
      <w:r>
        <w:rPr>
          <w:rFonts w:ascii="Times New Roman" w:eastAsia="仿宋_GB2312" w:cs="Times New Roman" w:hAnsi="Times New Roman"/>
          <w:color w:val="auto"/>
          <w:sz w:val="32"/>
        </w:rPr>
        <w:t>〔20</w:t>
      </w:r>
      <w:r>
        <w:rPr>
          <w:rFonts w:ascii="Times New Roman" w:eastAsia="仿宋_GB2312" w:cs="Times New Roman" w:hAnsi="Times New Roman" w:hint="eastAsia"/>
          <w:color w:val="auto"/>
          <w:sz w:val="32"/>
          <w:lang w:val="en-US" w:eastAsia="zh-CN"/>
        </w:rPr>
        <w:t>21</w:t>
      </w:r>
      <w:r>
        <w:rPr>
          <w:rFonts w:ascii="Times New Roman" w:eastAsia="仿宋_GB2312" w:cs="Times New Roman" w:hAnsi="Times New Roman"/>
          <w:color w:val="auto"/>
          <w:sz w:val="32"/>
        </w:rPr>
        <w:t>〕</w:t>
      </w:r>
      <w:r>
        <w:rPr>
          <w:rFonts w:ascii="Times New Roman" w:eastAsia="仿宋_GB2312" w:cs="Times New Roman" w:hAnsi="Times New Roman" w:hint="eastAsia"/>
          <w:color w:val="auto"/>
          <w:sz w:val="32"/>
          <w:lang w:val="en-US" w:eastAsia="zh-CN"/>
        </w:rPr>
        <w:t>38</w:t>
      </w:r>
      <w:r>
        <w:rPr>
          <w:rFonts w:ascii="Times New Roman" w:eastAsia="仿宋_GB2312" w:cs="Times New Roman" w:hAnsi="Times New Roman"/>
          <w:color w:val="auto"/>
          <w:sz w:val="32"/>
        </w:rPr>
        <w:t>号</w:t>
      </w:r>
      <w:r>
        <w:rPr>
          <w:rFonts w:ascii="仿宋_GB2312" w:eastAsia="仿宋_GB2312" w:cs="仿宋_GB2312" w:hint="eastAsia"/>
          <w:sz w:val="32"/>
          <w:szCs w:val="32"/>
        </w:rPr>
        <w:t>），提出项目单位自我评价、绩效评价工作现场评价等工作要求。</w:t>
      </w:r>
    </w:p>
    <w:p>
      <w:pPr>
        <w:spacing w:line="600" w:lineRule="exact"/>
        <w:rPr>
          <w:rFonts w:ascii="仿宋_GB2312" w:eastAsia="仿宋_GB2312" w:cs="仿宋_GB2312"/>
          <w:sz w:val="32"/>
          <w:szCs w:val="32"/>
        </w:rPr>
      </w:pPr>
      <w:r>
        <w:rPr>
          <w:rFonts w:ascii="仿宋_GB2312" w:eastAsia="仿宋_GB2312" w:cs="仿宋_GB2312" w:hint="eastAsia"/>
          <w:sz w:val="32"/>
          <w:szCs w:val="32"/>
        </w:rPr>
        <w:t xml:space="preserve">   </w:t>
      </w:r>
      <w:r>
        <w:rPr>
          <w:rFonts w:ascii="仿宋_GB2312" w:eastAsia="仿宋_GB2312" w:cs="仿宋_GB2312" w:hint="eastAsia"/>
          <w:b/>
          <w:bCs/>
          <w:sz w:val="32"/>
          <w:szCs w:val="32"/>
        </w:rPr>
        <w:t xml:space="preserve"> 2、组织实施。</w:t>
      </w:r>
    </w:p>
    <w:p>
      <w:pPr>
        <w:spacing w:line="600" w:lineRule="exact"/>
        <w:rPr>
          <w:rFonts w:ascii="仿宋_GB2312" w:eastAsia="仿宋_GB2312" w:cs="仿宋_GB2312"/>
          <w:sz w:val="32"/>
          <w:szCs w:val="32"/>
        </w:rPr>
      </w:pPr>
      <w:r>
        <w:rPr>
          <w:rFonts w:ascii="仿宋_GB2312" w:eastAsia="仿宋_GB2312" w:cs="仿宋_GB2312" w:hint="eastAsia"/>
          <w:sz w:val="32"/>
          <w:szCs w:val="32"/>
        </w:rPr>
        <w:t xml:space="preserve">    2020年</w:t>
      </w:r>
      <w:r>
        <w:rPr>
          <w:rFonts w:ascii="仿宋_GB2312" w:eastAsia="仿宋_GB2312" w:cs="仿宋_GB2312" w:hint="eastAsia"/>
          <w:sz w:val="32"/>
          <w:szCs w:val="32"/>
          <w:lang w:val="en-US" w:eastAsia="zh-CN"/>
        </w:rPr>
        <w:t>6</w:t>
      </w:r>
      <w:r>
        <w:rPr>
          <w:rFonts w:ascii="仿宋_GB2312" w:eastAsia="仿宋_GB2312" w:cs="仿宋_GB2312" w:hint="eastAsia"/>
          <w:sz w:val="32"/>
          <w:szCs w:val="32"/>
        </w:rPr>
        <w:t>月30日至</w:t>
      </w:r>
      <w:r>
        <w:rPr>
          <w:rFonts w:ascii="仿宋_GB2312" w:eastAsia="仿宋_GB2312" w:cs="仿宋_GB2312" w:hint="eastAsia"/>
          <w:sz w:val="32"/>
          <w:szCs w:val="32"/>
          <w:lang w:val="en-US" w:eastAsia="zh-CN"/>
        </w:rPr>
        <w:t>7</w:t>
      </w:r>
      <w:r>
        <w:rPr>
          <w:rFonts w:ascii="仿宋_GB2312" w:eastAsia="仿宋_GB2312" w:cs="仿宋_GB2312" w:hint="eastAsia"/>
          <w:sz w:val="32"/>
          <w:szCs w:val="32"/>
        </w:rPr>
        <w:t>月30日，绩效评价工作组实施现场评价。采取听取情况介绍、检查财务会计资料、检查项目的实施与管理、验收及档案管理等资料、问卷调查、实地走访等必要的工作程序进行现场评价。</w:t>
      </w:r>
    </w:p>
    <w:p>
      <w:pPr>
        <w:spacing w:line="600" w:lineRule="exact"/>
        <w:ind w:left="640"/>
        <w:rPr>
          <w:rFonts w:ascii="仿宋_GB2312" w:eastAsia="仿宋_GB2312" w:cs="仿宋_GB2312"/>
          <w:sz w:val="32"/>
          <w:szCs w:val="32"/>
        </w:rPr>
      </w:pPr>
      <w:r>
        <w:rPr>
          <w:rFonts w:ascii="仿宋_GB2312" w:eastAsia="仿宋_GB2312" w:cs="仿宋_GB2312" w:hint="eastAsia"/>
          <w:b/>
          <w:bCs/>
          <w:sz w:val="32"/>
          <w:szCs w:val="32"/>
        </w:rPr>
        <w:t>三、综合评价情况及分析评价结论。</w:t>
      </w:r>
    </w:p>
    <w:p>
      <w:pPr>
        <w:spacing w:line="600" w:lineRule="exact"/>
        <w:ind w:firstLineChars="200" w:firstLine="640"/>
        <w:rPr>
          <w:rFonts w:ascii="仿宋_GB2312" w:eastAsia="仿宋_GB2312" w:cs="仿宋_GB2312" w:hint="eastAsia"/>
          <w:sz w:val="32"/>
          <w:szCs w:val="32"/>
        </w:rPr>
      </w:pPr>
      <w:r>
        <w:rPr>
          <w:rFonts w:ascii="仿宋_GB2312" w:eastAsia="仿宋_GB2312" w:cs="仿宋_GB2312" w:hint="eastAsia"/>
          <w:sz w:val="32"/>
          <w:szCs w:val="32"/>
        </w:rPr>
        <w:t>通过对全县保障性安居工程项目的维护、维修和棚户区改造居民、社会群众走访调查，社会群体大部分认为保障性安居工程是一项“政府得民心，群众得好处”的惠民工程，该工程资金使用，在一定程度上既解决了县城规划区范围内低收入和低保户的居住困难问题，又通过项目建设拉动了当地的经济发展，起到良好的社会效益和经济效益。为促进我县社会和谐和经济良性发展起到了积极作用。</w:t>
      </w:r>
    </w:p>
    <w:p>
      <w:pPr>
        <w:spacing w:line="600" w:lineRule="exact"/>
        <w:ind w:firstLine="640"/>
        <w:rPr>
          <w:rFonts w:ascii="仿宋_GB2312" w:eastAsia="仿宋_GB2312" w:cs="仿宋_GB2312"/>
          <w:sz w:val="32"/>
          <w:szCs w:val="32"/>
          <w:shd w:val="clear" w:color="auto" w:fill="FFFFFF"/>
        </w:rPr>
      </w:pPr>
      <w:r>
        <w:rPr>
          <w:rFonts w:ascii="仿宋_GB2312" w:eastAsia="仿宋_GB2312" w:cs="仿宋_GB2312" w:hint="eastAsia"/>
          <w:sz w:val="32"/>
          <w:szCs w:val="32"/>
          <w:shd w:val="clear" w:color="auto" w:fill="FFFFFF"/>
        </w:rPr>
        <w:t>根据</w:t>
      </w:r>
      <w:r>
        <w:rPr>
          <w:rFonts w:ascii="仿宋" w:eastAsia="仿宋" w:hint="eastAsia"/>
          <w:color w:val="000000"/>
          <w:kern w:val="0"/>
          <w:sz w:val="32"/>
          <w:szCs w:val="32"/>
        </w:rPr>
        <w:t>《中共中央国务院关于全面实施预算绩效管理的意见》</w:t>
      </w:r>
      <w:r>
        <w:rPr>
          <w:rFonts w:ascii="仿宋" w:eastAsia="仿宋"/>
          <w:color w:val="000000"/>
          <w:kern w:val="0"/>
          <w:sz w:val="32"/>
          <w:szCs w:val="32"/>
        </w:rPr>
        <w:t>（中发〔2018〕34号）</w:t>
      </w:r>
      <w:r>
        <w:rPr>
          <w:rFonts w:ascii="仿宋" w:eastAsia="仿宋" w:hint="eastAsia"/>
          <w:color w:val="000000"/>
          <w:kern w:val="0"/>
          <w:sz w:val="32"/>
          <w:szCs w:val="32"/>
        </w:rPr>
        <w:t>，建立全方位、全过程、全覆盖的预算绩效管理体系，提升预算管理水平，根据</w:t>
      </w:r>
      <w:r>
        <w:rPr>
          <w:rFonts w:ascii="仿宋" w:eastAsia="仿宋"/>
          <w:color w:val="000000"/>
          <w:kern w:val="0"/>
          <w:sz w:val="32"/>
          <w:szCs w:val="32"/>
        </w:rPr>
        <w:t>《中共湖南省委办公厅 湖南省人民政府办公厅关于全面实施预算绩效管理的实施意见》（湘办发〔2019〕10号）等有关规定，</w:t>
      </w:r>
      <w:r>
        <w:rPr>
          <w:rFonts w:ascii="仿宋_GB2312" w:eastAsia="仿宋_GB2312" w:cs="仿宋_GB2312" w:hint="eastAsia"/>
          <w:sz w:val="32"/>
          <w:szCs w:val="32"/>
          <w:shd w:val="clear" w:color="auto" w:fill="FFFFFF"/>
        </w:rPr>
        <w:t>从资金管理、项目管理、项目效益、居民满意度等综合分析评价综合得分为100（祥见附件一），财政支出绩效为优秀。</w:t>
      </w:r>
    </w:p>
    <w:p>
      <w:pPr>
        <w:spacing w:line="600" w:lineRule="exact"/>
        <w:ind w:firstLineChars="200" w:firstLine="608"/>
        <w:rPr>
          <w:rFonts w:ascii="仿宋_GB2312" w:eastAsia="仿宋_GB2312" w:cs="仿宋_GB2312"/>
          <w:b/>
          <w:bCs/>
          <w:w w:val="95"/>
          <w:sz w:val="32"/>
          <w:szCs w:val="32"/>
        </w:rPr>
      </w:pPr>
      <w:r>
        <w:rPr>
          <w:rFonts w:ascii="仿宋_GB2312" w:eastAsia="仿宋_GB2312" w:cs="仿宋_GB2312" w:hint="eastAsia"/>
          <w:b/>
          <w:bCs/>
          <w:w w:val="95"/>
          <w:sz w:val="32"/>
          <w:szCs w:val="32"/>
        </w:rPr>
        <w:t>三、城镇保障性安居工程专项维护绩效评价指标分析情况</w:t>
      </w:r>
    </w:p>
    <w:p>
      <w:pPr>
        <w:spacing w:line="600" w:lineRule="exact"/>
        <w:ind w:firstLineChars="200" w:firstLine="640"/>
        <w:rPr>
          <w:rFonts w:ascii="仿宋_GB2312" w:eastAsia="仿宋_GB2312" w:cs="仿宋_GB2312"/>
          <w:b/>
          <w:bCs/>
          <w:sz w:val="32"/>
          <w:szCs w:val="32"/>
        </w:rPr>
      </w:pPr>
      <w:r>
        <w:rPr>
          <w:rFonts w:ascii="仿宋_GB2312" w:eastAsia="仿宋_GB2312" w:cs="仿宋_GB2312" w:hint="eastAsia"/>
          <w:b/>
          <w:bCs/>
          <w:sz w:val="32"/>
          <w:szCs w:val="32"/>
        </w:rPr>
        <w:t>（一）产出指标（考核分50分，自评得分</w:t>
      </w:r>
      <w:r>
        <w:rPr>
          <w:rFonts w:ascii="仿宋_GB2312" w:eastAsia="仿宋_GB2312" w:cs="仿宋_GB2312"/>
          <w:b/>
          <w:bCs/>
          <w:sz w:val="32"/>
          <w:szCs w:val="32"/>
        </w:rPr>
        <w:t>48</w:t>
      </w:r>
      <w:r>
        <w:rPr>
          <w:rFonts w:ascii="仿宋_GB2312" w:eastAsia="仿宋_GB2312" w:cs="仿宋_GB2312" w:hint="eastAsia"/>
          <w:b/>
          <w:bCs/>
          <w:sz w:val="32"/>
          <w:szCs w:val="32"/>
        </w:rPr>
        <w:t>分）。</w:t>
      </w:r>
    </w:p>
    <w:p>
      <w:pPr>
        <w:spacing w:line="560" w:lineRule="exact"/>
        <w:ind w:firstLineChars="200" w:firstLine="640"/>
        <w:rPr>
          <w:rFonts w:ascii="仿宋_GB2312" w:eastAsia="仿宋_GB2312" w:cs="仿宋_GB2312"/>
          <w:bCs/>
          <w:color w:val="000000"/>
          <w:sz w:val="32"/>
          <w:szCs w:val="32"/>
        </w:rPr>
      </w:pPr>
      <w:r>
        <w:rPr>
          <w:rFonts w:ascii="仿宋_GB2312" w:eastAsia="仿宋_GB2312" w:cs="仿宋_GB2312" w:hint="eastAsia"/>
          <w:b/>
          <w:color w:val="000000"/>
          <w:sz w:val="32"/>
          <w:szCs w:val="32"/>
        </w:rPr>
        <w:t>1、数量指标（分值10分，自评得分</w:t>
      </w:r>
      <w:r>
        <w:rPr>
          <w:rFonts w:ascii="仿宋_GB2312" w:eastAsia="仿宋_GB2312" w:cs="仿宋_GB2312"/>
          <w:b/>
          <w:color w:val="000000"/>
          <w:sz w:val="32"/>
          <w:szCs w:val="32"/>
        </w:rPr>
        <w:t>8</w:t>
      </w:r>
      <w:r>
        <w:rPr>
          <w:rFonts w:ascii="仿宋_GB2312" w:eastAsia="仿宋_GB2312" w:cs="仿宋_GB2312" w:hint="eastAsia"/>
          <w:b/>
          <w:color w:val="000000"/>
          <w:sz w:val="32"/>
          <w:szCs w:val="32"/>
        </w:rPr>
        <w:t>分）。</w:t>
      </w:r>
      <w:r>
        <w:rPr>
          <w:rFonts w:ascii="仿宋_GB2312" w:eastAsia="仿宋_GB2312" w:cs="仿宋_GB2312" w:hint="eastAsia"/>
          <w:bCs/>
          <w:color w:val="000000"/>
          <w:sz w:val="32"/>
          <w:szCs w:val="32"/>
        </w:rPr>
        <w:t>20</w:t>
      </w:r>
      <w:r>
        <w:rPr>
          <w:rFonts w:ascii="仿宋_GB2312" w:eastAsia="仿宋_GB2312" w:cs="仿宋_GB2312" w:hint="eastAsia"/>
          <w:bCs/>
          <w:color w:val="000000"/>
          <w:sz w:val="32"/>
          <w:szCs w:val="32"/>
          <w:lang w:val="en-US" w:eastAsia="zh-CN"/>
        </w:rPr>
        <w:t>20</w:t>
      </w:r>
      <w:r>
        <w:rPr>
          <w:rFonts w:ascii="仿宋_GB2312" w:eastAsia="仿宋_GB2312" w:cs="仿宋_GB2312" w:hint="eastAsia"/>
          <w:bCs/>
          <w:color w:val="000000"/>
          <w:sz w:val="32"/>
          <w:szCs w:val="32"/>
        </w:rPr>
        <w:t>年我县城镇保障性安居工程专项维护项目涉及公租房共计299</w:t>
      </w:r>
      <w:r>
        <w:rPr>
          <w:rFonts w:ascii="仿宋_GB2312" w:eastAsia="仿宋_GB2312" w:cs="仿宋_GB2312" w:hint="eastAsia"/>
          <w:bCs/>
          <w:color w:val="000000"/>
          <w:sz w:val="32"/>
          <w:szCs w:val="32"/>
          <w:lang w:val="en-US" w:eastAsia="zh-CN"/>
        </w:rPr>
        <w:t>4</w:t>
      </w:r>
      <w:r>
        <w:rPr>
          <w:rFonts w:ascii="仿宋_GB2312" w:eastAsia="仿宋_GB2312" w:cs="仿宋_GB2312" w:hint="eastAsia"/>
          <w:bCs/>
          <w:color w:val="000000"/>
          <w:sz w:val="32"/>
          <w:szCs w:val="32"/>
        </w:rPr>
        <w:t>套，项目涉及县城内公租房、园区公租房、乡镇公租房、教育公租房、卫生公租房。</w:t>
      </w:r>
    </w:p>
    <w:p>
      <w:pPr>
        <w:spacing w:line="600" w:lineRule="exact"/>
        <w:ind w:firstLineChars="200" w:firstLine="640"/>
        <w:rPr>
          <w:rFonts w:ascii="仿宋_GB2312" w:eastAsia="仿宋_GB2312" w:cs="仿宋_GB2312"/>
          <w:sz w:val="32"/>
          <w:szCs w:val="32"/>
          <w:shd w:val="clear" w:color="auto" w:fill="FFFFFF"/>
        </w:rPr>
      </w:pPr>
      <w:r>
        <w:rPr>
          <w:rFonts w:ascii="仿宋_GB2312" w:eastAsia="仿宋_GB2312" w:cs="仿宋_GB2312" w:hint="eastAsia"/>
          <w:b/>
          <w:sz w:val="32"/>
          <w:szCs w:val="32"/>
        </w:rPr>
        <w:t>2、质量指标（分值10分，自评得分10分）。</w:t>
      </w:r>
      <w:r>
        <w:rPr>
          <w:rFonts w:ascii="仿宋_GB2312" w:eastAsia="仿宋_GB2312" w:cs="仿宋_GB2312" w:hint="eastAsia"/>
          <w:sz w:val="32"/>
          <w:szCs w:val="32"/>
          <w:shd w:val="clear" w:color="auto" w:fill="FFFFFF"/>
        </w:rPr>
        <w:t>20</w:t>
      </w:r>
      <w:r>
        <w:rPr>
          <w:rFonts w:ascii="仿宋_GB2312" w:eastAsia="仿宋_GB2312" w:cs="仿宋_GB2312" w:hint="eastAsia"/>
          <w:sz w:val="32"/>
          <w:szCs w:val="32"/>
          <w:shd w:val="clear" w:color="auto" w:fill="FFFFFF"/>
          <w:lang w:val="en-US" w:eastAsia="zh-CN"/>
        </w:rPr>
        <w:t>20</w:t>
      </w:r>
      <w:r>
        <w:rPr>
          <w:rFonts w:ascii="仿宋_GB2312" w:eastAsia="仿宋_GB2312" w:cs="仿宋_GB2312" w:hint="eastAsia"/>
          <w:sz w:val="32"/>
          <w:szCs w:val="32"/>
          <w:shd w:val="clear" w:color="auto" w:fill="FFFFFF"/>
        </w:rPr>
        <w:t>年经过城镇保障性安居工程专项维护的公租房项目均符合质量标准，专项维护后项目使用正常。</w:t>
      </w:r>
    </w:p>
    <w:p>
      <w:pPr>
        <w:spacing w:line="600" w:lineRule="exact"/>
        <w:ind w:firstLineChars="200" w:firstLine="640"/>
        <w:rPr>
          <w:rFonts w:ascii="仿宋_GB2312" w:eastAsia="仿宋_GB2312" w:cs="仿宋_GB2312" w:hint="eastAsia"/>
          <w:sz w:val="32"/>
          <w:szCs w:val="32"/>
          <w:shd w:val="clear" w:color="auto" w:fill="FFFFFF"/>
        </w:rPr>
      </w:pPr>
      <w:r>
        <w:rPr>
          <w:rFonts w:ascii="仿宋_GB2312" w:eastAsia="仿宋_GB2312" w:cs="仿宋_GB2312" w:hint="eastAsia"/>
          <w:b/>
          <w:bCs/>
          <w:sz w:val="32"/>
          <w:szCs w:val="32"/>
          <w:shd w:val="clear" w:color="auto" w:fill="FFFFFF"/>
        </w:rPr>
        <w:t>3、时效指标（分值10分，自评得分10分）。</w:t>
      </w:r>
      <w:r>
        <w:rPr>
          <w:rFonts w:ascii="仿宋_GB2312" w:eastAsia="仿宋_GB2312" w:cs="仿宋_GB2312" w:hint="eastAsia"/>
          <w:sz w:val="32"/>
          <w:szCs w:val="32"/>
          <w:shd w:val="clear" w:color="auto" w:fill="FFFFFF"/>
        </w:rPr>
        <w:t>城镇保障性安居工程专项维护项</w:t>
      </w:r>
      <w:r>
        <w:rPr>
          <w:rFonts w:ascii="仿宋_GB2312" w:eastAsia="仿宋_GB2312" w:cs="仿宋_GB2312" w:hint="eastAsia"/>
          <w:sz w:val="32"/>
          <w:szCs w:val="32"/>
          <w:shd w:val="clear" w:color="auto" w:fill="FFFFFF"/>
          <w:lang w:eastAsia="zh-CN"/>
        </w:rPr>
        <w:t>均通过</w:t>
      </w:r>
      <w:r>
        <w:rPr>
          <w:rFonts w:ascii="仿宋_GB2312" w:eastAsia="仿宋_GB2312" w:cs="仿宋_GB2312" w:hint="eastAsia"/>
          <w:sz w:val="32"/>
          <w:szCs w:val="32"/>
          <w:shd w:val="clear" w:color="auto" w:fill="FFFFFF"/>
        </w:rPr>
        <w:t>各公租房使用单位申请维护维修后，县</w:t>
      </w:r>
      <w:r>
        <w:rPr>
          <w:rFonts w:ascii="仿宋_GB2312" w:eastAsia="仿宋_GB2312" w:cs="仿宋_GB2312" w:hint="eastAsia"/>
          <w:sz w:val="32"/>
          <w:szCs w:val="32"/>
          <w:shd w:val="clear" w:color="auto" w:fill="FFFFFF"/>
          <w:lang w:eastAsia="zh-CN"/>
        </w:rPr>
        <w:t>住房保障服务中心</w:t>
      </w:r>
      <w:r>
        <w:rPr>
          <w:rFonts w:ascii="仿宋_GB2312" w:eastAsia="仿宋_GB2312" w:cs="仿宋_GB2312" w:hint="eastAsia"/>
          <w:sz w:val="32"/>
          <w:szCs w:val="32"/>
          <w:shd w:val="clear" w:color="auto" w:fill="FFFFFF"/>
        </w:rPr>
        <w:t>及时会同县财政相关部门对维护维修部分进行实地走访，制定维护维修方案，及时指派专人进行维护维修，确保保障性安居工程专项维护项目取得及时维护维修。</w:t>
      </w:r>
    </w:p>
    <w:p>
      <w:pPr>
        <w:spacing w:line="600" w:lineRule="exact"/>
        <w:ind w:firstLineChars="200" w:firstLine="640"/>
        <w:rPr>
          <w:rFonts w:ascii="仿宋_GB2312" w:eastAsia="仿宋_GB2312" w:cs="仿宋_GB2312" w:hint="eastAsia"/>
          <w:b/>
          <w:sz w:val="32"/>
          <w:szCs w:val="32"/>
          <w:shd w:val="clear" w:color="auto" w:fill="FFFFFF"/>
        </w:rPr>
      </w:pPr>
      <w:r>
        <w:rPr>
          <w:rFonts w:ascii="仿宋_GB2312" w:eastAsia="仿宋_GB2312" w:cs="仿宋_GB2312" w:hint="eastAsia"/>
          <w:b/>
          <w:sz w:val="32"/>
          <w:szCs w:val="32"/>
          <w:shd w:val="clear" w:color="auto" w:fill="FFFFFF"/>
        </w:rPr>
        <w:t>4、成本指标（分值20分，自评得分20分）。</w:t>
      </w:r>
    </w:p>
    <w:p>
      <w:pPr>
        <w:spacing w:line="600" w:lineRule="exact"/>
        <w:ind w:firstLineChars="200" w:firstLine="640"/>
        <w:rPr>
          <w:rFonts w:ascii="仿宋_GB2312" w:eastAsia="仿宋_GB2312" w:cs="仿宋_GB2312"/>
          <w:sz w:val="32"/>
          <w:szCs w:val="32"/>
          <w:shd w:val="clear" w:color="auto" w:fill="FFFFFF"/>
        </w:rPr>
      </w:pPr>
      <w:r>
        <w:rPr>
          <w:rFonts w:ascii="仿宋_GB2312" w:eastAsia="仿宋_GB2312" w:cs="仿宋_GB2312" w:hint="eastAsia"/>
          <w:sz w:val="32"/>
          <w:szCs w:val="32"/>
          <w:shd w:val="clear" w:color="auto" w:fill="FFFFFF"/>
          <w:lang w:val="en-US" w:eastAsia="zh-CN"/>
        </w:rPr>
        <w:t>2020年</w:t>
      </w:r>
      <w:r>
        <w:rPr>
          <w:rFonts w:ascii="仿宋_GB2312" w:eastAsia="仿宋_GB2312" w:cs="仿宋_GB2312" w:hint="eastAsia"/>
          <w:sz w:val="32"/>
          <w:szCs w:val="32"/>
          <w:shd w:val="clear" w:color="auto" w:fill="FFFFFF"/>
        </w:rPr>
        <w:t>项目资金全部拨付到位，</w:t>
      </w:r>
      <w:r>
        <w:rPr>
          <w:rFonts w:ascii="仿宋_GB2312" w:eastAsia="仿宋_GB2312" w:cs="仿宋_GB2312" w:hint="eastAsia"/>
          <w:sz w:val="32"/>
          <w:szCs w:val="32"/>
        </w:rPr>
        <w:t>资金</w:t>
      </w:r>
      <w:r>
        <w:rPr>
          <w:rFonts w:ascii="仿宋_GB2312" w:eastAsia="仿宋_GB2312" w:cs="仿宋_GB2312" w:hint="eastAsia"/>
          <w:sz w:val="32"/>
          <w:szCs w:val="32"/>
          <w:shd w:val="clear" w:color="auto" w:fill="FFFFFF"/>
        </w:rPr>
        <w:t>拨付</w:t>
      </w:r>
      <w:r>
        <w:rPr>
          <w:rFonts w:ascii="仿宋_GB2312" w:eastAsia="仿宋_GB2312" w:cs="仿宋_GB2312" w:hint="eastAsia"/>
          <w:sz w:val="32"/>
          <w:szCs w:val="32"/>
        </w:rPr>
        <w:t>率100%，</w:t>
      </w:r>
      <w:r>
        <w:rPr>
          <w:rFonts w:ascii="仿宋_GB2312" w:eastAsia="仿宋_GB2312" w:cs="仿宋_GB2312" w:hint="eastAsia"/>
          <w:sz w:val="32"/>
          <w:szCs w:val="32"/>
          <w:shd w:val="clear" w:color="auto" w:fill="FFFFFF"/>
        </w:rPr>
        <w:t>未出现截留、挪用等情况。确保资金分配有效针对地改善住房保障对象和棚户区居民居住条件。</w:t>
      </w:r>
    </w:p>
    <w:p>
      <w:pPr>
        <w:spacing w:line="600" w:lineRule="exact"/>
        <w:ind w:firstLineChars="200" w:firstLine="640"/>
        <w:rPr>
          <w:rFonts w:ascii="仿宋_GB2312" w:eastAsia="仿宋_GB2312" w:cs="仿宋_GB2312"/>
          <w:b/>
          <w:bCs/>
          <w:sz w:val="32"/>
          <w:szCs w:val="32"/>
        </w:rPr>
      </w:pPr>
      <w:r>
        <w:rPr>
          <w:rFonts w:ascii="仿宋_GB2312" w:eastAsia="仿宋_GB2312" w:cs="仿宋_GB2312" w:hint="eastAsia"/>
          <w:b/>
          <w:bCs/>
          <w:sz w:val="32"/>
          <w:szCs w:val="32"/>
        </w:rPr>
        <w:t>（二）效益指标方面（考核分为30分，自评得分30分）</w:t>
      </w:r>
    </w:p>
    <w:p>
      <w:pPr>
        <w:spacing w:line="600" w:lineRule="exact"/>
        <w:ind w:firstLineChars="200" w:firstLine="640"/>
        <w:rPr>
          <w:rFonts w:ascii="仿宋_GB2312" w:eastAsia="仿宋_GB2312" w:cs="仿宋_GB2312" w:hint="eastAsia"/>
          <w:sz w:val="32"/>
          <w:szCs w:val="32"/>
          <w:shd w:val="clear" w:color="auto" w:fill="FFFFFF"/>
        </w:rPr>
      </w:pPr>
      <w:r>
        <w:rPr>
          <w:rFonts w:ascii="仿宋_GB2312" w:eastAsia="仿宋_GB2312" w:cs="仿宋_GB2312" w:hint="eastAsia"/>
          <w:b/>
          <w:bCs/>
          <w:sz w:val="32"/>
          <w:szCs w:val="32"/>
          <w:shd w:val="clear" w:color="auto" w:fill="FFFFFF"/>
        </w:rPr>
        <w:t>1、经济效益（分值10分，自评得分10分）。</w:t>
      </w:r>
      <w:r>
        <w:rPr>
          <w:rFonts w:ascii="仿宋_GB2312" w:eastAsia="仿宋_GB2312" w:cs="仿宋_GB2312" w:hint="eastAsia"/>
          <w:sz w:val="32"/>
          <w:szCs w:val="32"/>
          <w:shd w:val="clear" w:color="auto" w:fill="FFFFFF"/>
        </w:rPr>
        <w:t>城镇保障性安居工程专项维护支出，确保了公租房项目的正常运营，其安置人员中的外来务工人员和征拆安置户，促进县重点项目拆迁和城市发展、拉动消费。</w:t>
      </w:r>
    </w:p>
    <w:p>
      <w:pPr>
        <w:spacing w:line="600" w:lineRule="exact"/>
        <w:ind w:firstLineChars="200" w:firstLine="640"/>
        <w:rPr>
          <w:rFonts w:ascii="仿宋_GB2312" w:eastAsia="仿宋_GB2312" w:cs="仿宋_GB2312" w:hint="eastAsia"/>
          <w:sz w:val="32"/>
          <w:szCs w:val="32"/>
          <w:shd w:val="clear" w:color="auto" w:fill="FFFFFF"/>
        </w:rPr>
      </w:pPr>
      <w:r>
        <w:rPr>
          <w:rFonts w:ascii="仿宋_GB2312" w:eastAsia="仿宋_GB2312" w:cs="仿宋_GB2312" w:hint="eastAsia"/>
          <w:b/>
          <w:sz w:val="32"/>
          <w:szCs w:val="32"/>
          <w:shd w:val="clear" w:color="auto" w:fill="FFFFFF"/>
        </w:rPr>
        <w:t>2、社会效益（</w:t>
      </w:r>
      <w:r>
        <w:rPr>
          <w:rFonts w:ascii="仿宋_GB2312" w:eastAsia="仿宋_GB2312" w:cs="仿宋_GB2312" w:hint="eastAsia"/>
          <w:b/>
          <w:bCs/>
          <w:sz w:val="32"/>
          <w:szCs w:val="32"/>
          <w:shd w:val="clear" w:color="auto" w:fill="FFFFFF"/>
        </w:rPr>
        <w:t>分值10分，自评得分10分）。</w:t>
      </w:r>
      <w:r>
        <w:rPr>
          <w:rFonts w:ascii="仿宋_GB2312" w:eastAsia="仿宋_GB2312" w:cs="仿宋_GB2312" w:hint="eastAsia"/>
          <w:sz w:val="32"/>
          <w:szCs w:val="32"/>
          <w:shd w:val="clear" w:color="auto" w:fill="FFFFFF"/>
        </w:rPr>
        <w:t>城镇保障性安居工程专项维护支出，确保了公租房项目的正常运营，其安置人员中的低收入住房困难家庭、中等偏下收入家庭、残疾人员、青年教师、青年医生、优抚家庭等，解决这部分住房困难家庭住有所居问题。</w:t>
      </w:r>
    </w:p>
    <w:p>
      <w:pPr>
        <w:spacing w:line="600" w:lineRule="exact"/>
        <w:ind w:firstLineChars="200" w:firstLine="640"/>
        <w:rPr>
          <w:rFonts w:ascii="仿宋_GB2312" w:eastAsia="仿宋_GB2312" w:cs="仿宋_GB2312"/>
          <w:sz w:val="32"/>
          <w:szCs w:val="32"/>
        </w:rPr>
      </w:pPr>
      <w:r>
        <w:rPr>
          <w:rFonts w:ascii="仿宋_GB2312" w:eastAsia="仿宋_GB2312" w:cs="仿宋_GB2312" w:hint="eastAsia"/>
          <w:b/>
          <w:sz w:val="32"/>
          <w:szCs w:val="32"/>
          <w:shd w:val="clear" w:color="auto" w:fill="FFFFFF"/>
        </w:rPr>
        <w:t>3、可持续影响（</w:t>
      </w:r>
      <w:r>
        <w:rPr>
          <w:rFonts w:ascii="仿宋_GB2312" w:eastAsia="仿宋_GB2312" w:cs="仿宋_GB2312" w:hint="eastAsia"/>
          <w:b/>
          <w:bCs/>
          <w:sz w:val="32"/>
          <w:szCs w:val="32"/>
          <w:shd w:val="clear" w:color="auto" w:fill="FFFFFF"/>
        </w:rPr>
        <w:t>分值10分，自评得分10分）。</w:t>
      </w:r>
      <w:r>
        <w:rPr>
          <w:rFonts w:ascii="仿宋_GB2312" w:eastAsia="仿宋_GB2312" w:cs="仿宋_GB2312" w:hint="eastAsia"/>
          <w:bCs/>
          <w:sz w:val="32"/>
          <w:szCs w:val="32"/>
          <w:shd w:val="clear" w:color="auto" w:fill="FFFFFF"/>
        </w:rPr>
        <w:t>公租房入住家庭租期稳定，既解决部分住房困难家庭住有所居问题，同时消除社会不稳定因素，</w:t>
      </w:r>
      <w:r>
        <w:rPr>
          <w:rFonts w:ascii="仿宋_GB2312" w:eastAsia="仿宋_GB2312" w:cs="仿宋_GB2312" w:hint="eastAsia"/>
          <w:sz w:val="32"/>
          <w:szCs w:val="32"/>
        </w:rPr>
        <w:t>为促进我县社会和谐和经济良性发展起到了长期有效且可持续影响的积极意义。</w:t>
      </w:r>
    </w:p>
    <w:p>
      <w:pPr>
        <w:spacing w:line="600" w:lineRule="exact"/>
        <w:ind w:firstLineChars="200" w:firstLine="640"/>
        <w:rPr>
          <w:rFonts w:ascii="仿宋_GB2312" w:eastAsia="仿宋_GB2312" w:cs="仿宋_GB2312"/>
          <w:b/>
          <w:bCs/>
          <w:sz w:val="32"/>
          <w:szCs w:val="32"/>
          <w:shd w:val="clear" w:color="auto" w:fill="FFFFFF"/>
        </w:rPr>
      </w:pPr>
      <w:r>
        <w:rPr>
          <w:rFonts w:ascii="仿宋_GB2312" w:eastAsia="仿宋_GB2312" w:cs="仿宋_GB2312" w:hint="eastAsia"/>
          <w:b/>
          <w:bCs/>
          <w:sz w:val="32"/>
          <w:szCs w:val="32"/>
          <w:shd w:val="clear" w:color="auto" w:fill="FFFFFF"/>
        </w:rPr>
        <w:t>（四）居民满意度（考核分为10分，自评得分10分）。</w:t>
      </w:r>
    </w:p>
    <w:p>
      <w:pPr>
        <w:spacing w:line="600" w:lineRule="exact"/>
        <w:ind w:firstLineChars="200" w:firstLine="640"/>
        <w:rPr>
          <w:rFonts w:ascii="仿宋_GB2312" w:eastAsia="仿宋_GB2312" w:cs="仿宋_GB2312"/>
          <w:sz w:val="32"/>
          <w:szCs w:val="32"/>
          <w:shd w:val="clear" w:color="auto" w:fill="FFFFFF"/>
        </w:rPr>
      </w:pPr>
      <w:r>
        <w:rPr>
          <w:rFonts w:ascii="仿宋_GB2312" w:eastAsia="仿宋_GB2312" w:cs="仿宋_GB2312" w:hint="eastAsia"/>
          <w:sz w:val="32"/>
          <w:szCs w:val="32"/>
          <w:shd w:val="clear" w:color="auto" w:fill="FFFFFF"/>
        </w:rPr>
        <w:t>城镇低收入住房困难家庭进行抽查和召开座谈会，满意度达100%。</w:t>
      </w:r>
    </w:p>
    <w:p>
      <w:pPr>
        <w:spacing w:line="600" w:lineRule="exact"/>
        <w:rPr>
          <w:rFonts w:ascii="仿宋_GB2312" w:eastAsia="仿宋_GB2312" w:cs="仿宋_GB2312" w:hint="eastAsia"/>
          <w:b/>
          <w:bCs/>
          <w:sz w:val="32"/>
          <w:szCs w:val="32"/>
          <w:shd w:val="clear" w:color="auto" w:fill="FFFFFF"/>
        </w:rPr>
      </w:pPr>
      <w:r>
        <w:rPr>
          <w:rFonts w:ascii="仿宋_GB2312" w:eastAsia="仿宋_GB2312" w:cs="仿宋_GB2312" w:hint="eastAsia"/>
          <w:sz w:val="32"/>
          <w:szCs w:val="32"/>
          <w:shd w:val="clear" w:color="auto" w:fill="FFFFFF"/>
        </w:rPr>
        <w:t xml:space="preserve">   </w:t>
      </w:r>
      <w:r>
        <w:rPr>
          <w:rFonts w:ascii="仿宋_GB2312" w:eastAsia="仿宋_GB2312" w:cs="仿宋_GB2312" w:hint="eastAsia"/>
          <w:b/>
          <w:bCs/>
          <w:sz w:val="32"/>
          <w:szCs w:val="32"/>
          <w:shd w:val="clear" w:color="auto" w:fill="FFFFFF"/>
        </w:rPr>
        <w:t>附件：</w:t>
      </w:r>
      <w:r>
        <w:rPr>
          <w:rFonts w:ascii="仿宋_GB2312" w:eastAsia="仿宋_GB2312" w:cs="仿宋_GB2312" w:hint="eastAsia"/>
          <w:b/>
          <w:bCs/>
          <w:sz w:val="32"/>
          <w:szCs w:val="32"/>
          <w:shd w:val="clear" w:color="auto" w:fill="FFFFFF"/>
          <w:lang w:val="en-US" w:eastAsia="zh-CN"/>
        </w:rPr>
        <w:t xml:space="preserve"> </w:t>
      </w:r>
      <w:r>
        <w:rPr>
          <w:rFonts w:ascii="仿宋_GB2312" w:eastAsia="仿宋_GB2312" w:cs="仿宋_GB2312" w:hint="eastAsia"/>
          <w:b/>
          <w:bCs/>
          <w:sz w:val="32"/>
          <w:szCs w:val="32"/>
          <w:shd w:val="clear" w:color="auto" w:fill="FFFFFF"/>
        </w:rPr>
        <w:t>1、项目支出绩效自评表</w:t>
      </w:r>
    </w:p>
    <w:p>
      <w:pPr>
        <w:widowControl/>
        <w:spacing w:line="510" w:lineRule="exact"/>
        <w:ind w:firstLineChars="500" w:firstLine="1600"/>
        <w:jc w:val="left"/>
        <w:rPr>
          <w:rFonts w:ascii="仿宋_GB2312" w:eastAsia="仿宋_GB2312" w:cs="仿宋_GB2312" w:hint="eastAsia"/>
          <w:b/>
          <w:bCs/>
          <w:sz w:val="32"/>
          <w:szCs w:val="32"/>
          <w:shd w:val="clear" w:color="auto" w:fill="FFFFFF"/>
        </w:rPr>
      </w:pPr>
      <w:r>
        <w:rPr>
          <w:rFonts w:ascii="Times New Roman" w:eastAsia="仿宋_GB2312" w:hAnsi="Times New Roman"/>
          <w:sz w:val="32"/>
          <w:szCs w:val="32"/>
        </w:rPr>
        <w:t>2</w:t>
      </w:r>
      <w:r>
        <w:rPr>
          <w:rFonts w:ascii="仿宋_GB2312" w:eastAsia="仿宋_GB2312" w:cs="仿宋_GB2312" w:hint="eastAsia"/>
          <w:b/>
          <w:bCs/>
          <w:sz w:val="32"/>
          <w:szCs w:val="32"/>
          <w:shd w:val="clear" w:color="auto" w:fill="FFFFFF"/>
        </w:rPr>
        <w:t>.项目支出绩效评价指标评分表</w:t>
      </w:r>
    </w:p>
    <w:p>
      <w:pPr>
        <w:spacing w:line="600" w:lineRule="exact"/>
        <w:rPr>
          <w:rFonts w:ascii="仿宋_GB2312" w:eastAsia="仿宋_GB2312" w:cs="仿宋_GB2312"/>
          <w:b/>
          <w:bCs/>
          <w:sz w:val="32"/>
          <w:szCs w:val="32"/>
          <w:shd w:val="clear" w:color="auto" w:fill="FFFFFF"/>
          <w:lang w:val="en-US" w:eastAsia="zh-CN"/>
        </w:rPr>
      </w:pPr>
    </w:p>
    <w:p/>
    <w:p/>
    <w:p/>
    <w:p/>
    <w:p/>
    <w:p/>
    <w:p/>
    <w:p/>
    <w:p/>
    <w:p/>
    <w:p/>
    <w:p/>
    <w:p/>
    <w:p/>
    <w:p/>
    <w:p/>
    <w:p/>
    <w:p/>
    <w:p/>
    <w:p/>
    <w:p/>
    <w:p/>
    <w:p/>
    <w:p/>
    <w:p/>
    <w:tbl>
      <w:tblPr>
        <w:jc w:val="center"/>
        <w:tblW w:w="9080" w:type="dxa"/>
        <w:tblBorders>
          <w:top w:val="none" w:sz="0" w:space="0" w:color="auto"/>
          <w:left w:val="none" w:sz="0" w:space="0" w:color="auto"/>
          <w:bottom w:val="none" w:sz="0" w:space="0" w:color="auto"/>
          <w:right w:val="none" w:sz="0" w:space="0" w:color="auto"/>
        </w:tblBorders>
        <w:tblLayout w:type="fixed"/>
        <w:tblCellMar>
          <w:top w:w="0" w:type="dxa"/>
          <w:left w:w="108" w:type="dxa"/>
          <w:bottom w:w="0" w:type="dxa"/>
          <w:right w:w="108" w:type="dxa"/>
        </w:tblCellMar>
      </w:tblPr>
      <w:tblGrid>
        <w:gridCol w:w="588"/>
        <w:gridCol w:w="980"/>
        <w:gridCol w:w="1112"/>
        <w:gridCol w:w="730"/>
        <w:gridCol w:w="1134"/>
        <w:gridCol w:w="515"/>
        <w:gridCol w:w="785"/>
        <w:gridCol w:w="827"/>
        <w:gridCol w:w="141"/>
        <w:gridCol w:w="397"/>
        <w:gridCol w:w="312"/>
        <w:gridCol w:w="225"/>
        <w:gridCol w:w="626"/>
        <w:gridCol w:w="708"/>
      </w:tblGrid>
      <w:tr>
        <w:trPr>
          <w:trHeight w:hRule="exact" w:val="349"/>
        </w:trPr>
        <w:tc>
          <w:tcPr>
            <w:tcW w:w="9080" w:type="dxa"/>
            <w:gridSpan w:val="14"/>
            <w:tcBorders>
              <w:top w:val="nil"/>
              <w:left w:val="nil"/>
              <w:bottom w:val="nil"/>
              <w:right w:val="nil"/>
            </w:tcBorders>
            <w:noWrap/>
            <w:vAlign w:val="center"/>
          </w:tcPr>
          <w:p>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trPr>
          <w:trHeight w:val="201"/>
        </w:trPr>
        <w:tc>
          <w:tcPr>
            <w:tcW w:w="9080" w:type="dxa"/>
            <w:gridSpan w:val="14"/>
            <w:tcBorders>
              <w:top w:val="nil"/>
              <w:left w:val="nil"/>
              <w:bottom w:val="nil"/>
              <w:right w:val="nil"/>
            </w:tcBorders>
            <w:noWrap/>
          </w:tcPr>
          <w:p>
            <w:pPr>
              <w:widowControl/>
              <w:jc w:val="center"/>
              <w:rPr>
                <w:rFonts w:ascii="Times New Roman" w:hAnsi="Times New Roman"/>
                <w:kern w:val="0"/>
                <w:sz w:val="22"/>
                <w:szCs w:val="22"/>
              </w:rPr>
            </w:pPr>
            <w:r>
              <w:rPr>
                <w:rFonts w:ascii="Times New Roman" w:hAnsi="Times New Roman"/>
                <w:kern w:val="0"/>
                <w:sz w:val="22"/>
                <w:szCs w:val="22"/>
              </w:rPr>
              <w:t>（2020年度）</w:t>
            </w:r>
          </w:p>
        </w:tc>
      </w:tr>
      <w:tr>
        <w:trPr>
          <w:trHeight w:hRule="exact" w:val="300"/>
        </w:trPr>
        <w:tc>
          <w:tcPr>
            <w:tcW w:w="1568" w:type="dxa"/>
            <w:gridSpan w:val="2"/>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保障性安居工程专项</w:t>
            </w:r>
            <w:r>
              <w:rPr>
                <w:rFonts w:ascii="Times New Roman" w:hAnsi="Times New Roman"/>
                <w:kern w:val="0"/>
                <w:sz w:val="18"/>
                <w:szCs w:val="18"/>
              </w:rPr>
              <w:t>工程</w:t>
            </w:r>
          </w:p>
        </w:tc>
      </w:tr>
      <w:tr>
        <w:trPr>
          <w:trHeight w:hRule="exact" w:val="300"/>
        </w:trPr>
        <w:tc>
          <w:tcPr>
            <w:tcW w:w="1568" w:type="dxa"/>
            <w:gridSpan w:val="2"/>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276" w:type="dxa"/>
            <w:gridSpan w:val="5"/>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Times New Roman" w:eastAsia="宋体" w:hAnsi="Times New Roman"/>
                <w:kern w:val="0"/>
                <w:sz w:val="18"/>
                <w:szCs w:val="18"/>
                <w:lang w:val="en-US" w:eastAsia="zh-CN"/>
              </w:rPr>
            </w:pPr>
            <w:r>
              <w:rPr>
                <w:rFonts w:ascii="Times New Roman" w:hAnsi="Times New Roman" w:hint="eastAsia"/>
                <w:kern w:val="0"/>
                <w:sz w:val="18"/>
                <w:szCs w:val="18"/>
                <w:lang w:val="en-US" w:eastAsia="zh-CN"/>
              </w:rPr>
              <w:t>中方县住房城乡建设局</w:t>
            </w:r>
          </w:p>
        </w:tc>
        <w:tc>
          <w:tcPr>
            <w:tcW w:w="968"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Times New Roman" w:eastAsia="宋体" w:hAnsi="Times New Roman" w:hint="eastAsia"/>
                <w:kern w:val="0"/>
                <w:sz w:val="18"/>
                <w:szCs w:val="18"/>
                <w:lang w:eastAsia="zh-CN"/>
              </w:rPr>
            </w:pPr>
            <w:r>
              <w:rPr>
                <w:rFonts w:ascii="Times New Roman" w:hAnsi="Times New Roman" w:hint="eastAsia"/>
                <w:kern w:val="0"/>
                <w:sz w:val="18"/>
                <w:szCs w:val="18"/>
                <w:lang w:eastAsia="zh-CN"/>
              </w:rPr>
              <w:t>公租房服务中心</w:t>
            </w:r>
          </w:p>
        </w:tc>
      </w:tr>
      <w:tr>
        <w:trPr>
          <w:trHeight w:hRule="exact" w:val="436"/>
        </w:trPr>
        <w:tc>
          <w:tcPr>
            <w:tcW w:w="1568" w:type="dxa"/>
            <w:gridSpan w:val="2"/>
            <w:vMerge w:val="restart"/>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br/>
              <w:t>（万元）</w:t>
            </w:r>
          </w:p>
        </w:tc>
        <w:tc>
          <w:tcPr>
            <w:tcW w:w="1842" w:type="dxa"/>
            <w:gridSpan w:val="2"/>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300"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（A）</w:t>
            </w:r>
          </w:p>
        </w:tc>
        <w:tc>
          <w:tcPr>
            <w:tcW w:w="968"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（B）</w:t>
            </w:r>
          </w:p>
        </w:tc>
        <w:tc>
          <w:tcPr>
            <w:tcW w:w="709"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trPr>
          <w:trHeight w:hRule="exact" w:val="300"/>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tc>
        <w:tc>
          <w:tcPr>
            <w:tcW w:w="1842" w:type="dxa"/>
            <w:gridSpan w:val="2"/>
            <w:tcBorders>
              <w:top w:val="single" w:sz="4" w:space="0" w:color="auto"/>
              <w:left w:val="nil"/>
              <w:bottom w:val="single" w:sz="4" w:space="0" w:color="auto"/>
              <w:right w:val="single" w:sz="4" w:space="0" w:color="auto"/>
            </w:tcBorders>
            <w:noWrap/>
            <w:vAlign w:val="center"/>
          </w:tcPr>
          <w:p>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noWrap/>
            <w:vAlign w:val="center"/>
          </w:tcPr>
          <w:p>
            <w:pPr>
              <w:widowControl/>
              <w:spacing w:line="240" w:lineRule="exact"/>
              <w:jc w:val="center"/>
              <w:rPr>
                <w:rFonts w:ascii="Times New Roman" w:eastAsia="宋体" w:hAnsi="Times New Roman"/>
                <w:kern w:val="0"/>
                <w:sz w:val="18"/>
                <w:szCs w:val="18"/>
                <w:lang w:val="en-US" w:eastAsia="zh-CN"/>
              </w:rPr>
            </w:pPr>
            <w:r>
              <w:rPr>
                <w:rFonts w:ascii="Times New Roman" w:eastAsia="宋体" w:hAnsi="Times New Roman"/>
                <w:kern w:val="0"/>
                <w:sz w:val="18"/>
                <w:szCs w:val="18"/>
                <w:lang w:val="en-US" w:eastAsia="zh-CN"/>
              </w:rPr>
              <w:t>118.6</w:t>
            </w:r>
          </w:p>
        </w:tc>
        <w:tc>
          <w:tcPr>
            <w:tcW w:w="1300"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Times New Roman" w:eastAsia="宋体" w:hAnsi="Times New Roman" w:hint="eastAsia"/>
                <w:kern w:val="0"/>
                <w:sz w:val="18"/>
                <w:szCs w:val="18"/>
                <w:lang w:val="en-US" w:eastAsia="zh-CN"/>
              </w:rPr>
            </w:pPr>
            <w:r>
              <w:rPr>
                <w:rFonts w:ascii="Times New Roman" w:eastAsia="宋体" w:hAnsi="Times New Roman"/>
                <w:kern w:val="0"/>
                <w:sz w:val="18"/>
                <w:szCs w:val="18"/>
                <w:lang w:val="en-US" w:eastAsia="zh-CN"/>
              </w:rPr>
              <w:t>118.6</w:t>
            </w:r>
          </w:p>
        </w:tc>
        <w:tc>
          <w:tcPr>
            <w:tcW w:w="968"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Times New Roman" w:eastAsia="宋体" w:hAnsi="Times New Roman"/>
                <w:kern w:val="0"/>
                <w:sz w:val="18"/>
                <w:szCs w:val="18"/>
                <w:lang w:val="en-US" w:eastAsia="zh-CN"/>
              </w:rPr>
            </w:pPr>
            <w:r>
              <w:rPr>
                <w:rFonts w:ascii="Times New Roman" w:eastAsia="宋体" w:hAnsi="Times New Roman"/>
                <w:kern w:val="0"/>
                <w:sz w:val="18"/>
                <w:szCs w:val="18"/>
                <w:lang w:val="en-US" w:eastAsia="zh-CN"/>
              </w:rPr>
              <w:t>118.6</w:t>
            </w:r>
          </w:p>
        </w:tc>
        <w:tc>
          <w:tcPr>
            <w:tcW w:w="709"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Times New Roman" w:eastAsia="宋体" w:hAnsi="Times New Roman"/>
                <w:kern w:val="0"/>
                <w:sz w:val="18"/>
                <w:szCs w:val="18"/>
                <w:lang w:val="en-US" w:eastAsia="zh-CN"/>
              </w:rPr>
            </w:pPr>
            <w:r>
              <w:rPr>
                <w:rFonts w:ascii="Times New Roman" w:hAnsi="Times New Roman" w:hint="eastAsia"/>
                <w:kern w:val="0"/>
                <w:sz w:val="18"/>
                <w:szCs w:val="18"/>
                <w:lang w:val="en-US" w:eastAsia="zh-CN"/>
              </w:rPr>
              <w:t>10</w:t>
            </w:r>
          </w:p>
        </w:tc>
        <w:tc>
          <w:tcPr>
            <w:tcW w:w="851" w:type="dxa"/>
            <w:gridSpan w:val="2"/>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Times New Roman" w:eastAsia="宋体" w:hAnsi="Times New Roman" w:hint="eastAsia"/>
                <w:kern w:val="0"/>
                <w:sz w:val="18"/>
                <w:szCs w:val="18"/>
                <w:lang w:val="en-US" w:eastAsia="zh-CN"/>
              </w:rPr>
            </w:pPr>
            <w:r>
              <w:rPr>
                <w:rFonts w:ascii="Times New Roman" w:eastAsia="宋体" w:hAnsi="Times New Roman"/>
                <w:kern w:val="0"/>
                <w:sz w:val="18"/>
                <w:szCs w:val="18"/>
                <w:lang w:val="en-US" w:eastAsia="zh-CN"/>
              </w:rPr>
              <w:t>100%</w:t>
            </w:r>
          </w:p>
        </w:tc>
        <w:tc>
          <w:tcPr>
            <w:tcW w:w="708" w:type="dxa"/>
            <w:tcBorders>
              <w:top w:val="nil"/>
              <w:left w:val="nil"/>
              <w:bottom w:val="single" w:sz="4" w:space="0" w:color="auto"/>
              <w:right w:val="single" w:sz="4" w:space="0" w:color="auto"/>
            </w:tcBorders>
            <w:noWrap/>
            <w:vAlign w:val="center"/>
          </w:tcPr>
          <w:p>
            <w:pPr>
              <w:widowControl/>
              <w:spacing w:line="240" w:lineRule="exact"/>
              <w:jc w:val="center"/>
              <w:rPr>
                <w:rFonts w:ascii="Times New Roman" w:eastAsia="宋体" w:hAnsi="Times New Roman"/>
                <w:kern w:val="0"/>
                <w:sz w:val="18"/>
                <w:szCs w:val="18"/>
                <w:lang w:val="en-US" w:eastAsia="zh-CN"/>
              </w:rPr>
            </w:pPr>
            <w:r>
              <w:rPr>
                <w:rFonts w:ascii="Times New Roman" w:eastAsia="宋体" w:hAnsi="Times New Roman"/>
                <w:kern w:val="0"/>
                <w:sz w:val="18"/>
                <w:szCs w:val="18"/>
                <w:lang w:val="en-US" w:eastAsia="zh-CN"/>
              </w:rPr>
              <w:t>10</w:t>
            </w:r>
          </w:p>
        </w:tc>
      </w:tr>
      <w:tr>
        <w:trPr>
          <w:trHeight w:hRule="exact" w:val="300"/>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tc>
        <w:tc>
          <w:tcPr>
            <w:tcW w:w="1842" w:type="dxa"/>
            <w:gridSpan w:val="2"/>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noWrap/>
            <w:vAlign w:val="center"/>
          </w:tcPr>
          <w:p>
            <w:pPr>
              <w:widowControl/>
              <w:spacing w:line="240" w:lineRule="exact"/>
              <w:jc w:val="center"/>
              <w:rPr>
                <w:rFonts w:ascii="Times New Roman" w:eastAsia="宋体" w:hAnsi="Times New Roman"/>
                <w:kern w:val="0"/>
                <w:sz w:val="18"/>
                <w:szCs w:val="18"/>
                <w:lang w:val="en-US" w:eastAsia="zh-CN"/>
              </w:rPr>
            </w:pPr>
            <w:r>
              <w:rPr>
                <w:rFonts w:ascii="Times New Roman" w:eastAsia="宋体" w:hAnsi="Times New Roman"/>
                <w:kern w:val="0"/>
                <w:sz w:val="18"/>
                <w:szCs w:val="18"/>
                <w:lang w:val="en-US" w:eastAsia="zh-CN"/>
              </w:rPr>
              <w:t>118.6</w:t>
            </w:r>
          </w:p>
        </w:tc>
        <w:tc>
          <w:tcPr>
            <w:tcW w:w="1300"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118.6</w:t>
            </w:r>
          </w:p>
        </w:tc>
        <w:tc>
          <w:tcPr>
            <w:tcW w:w="968"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Times New Roman" w:eastAsia="宋体" w:hAnsi="Times New Roman"/>
                <w:kern w:val="0"/>
                <w:sz w:val="18"/>
                <w:szCs w:val="18"/>
                <w:lang w:val="en-US" w:eastAsia="zh-CN"/>
              </w:rPr>
            </w:pPr>
            <w:r>
              <w:rPr>
                <w:rFonts w:ascii="Times New Roman" w:eastAsia="宋体" w:hAnsi="Times New Roman"/>
                <w:kern w:val="0"/>
                <w:sz w:val="18"/>
                <w:szCs w:val="18"/>
                <w:lang w:val="en-US" w:eastAsia="zh-CN"/>
              </w:rPr>
              <w:t>118.6</w:t>
            </w:r>
          </w:p>
        </w:tc>
        <w:tc>
          <w:tcPr>
            <w:tcW w:w="709"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p>
        </w:tc>
        <w:tc>
          <w:tcPr>
            <w:tcW w:w="851" w:type="dxa"/>
            <w:gridSpan w:val="2"/>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100%</w:t>
            </w:r>
          </w:p>
        </w:tc>
        <w:tc>
          <w:tcPr>
            <w:tcW w:w="708" w:type="dxa"/>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p>
        </w:tc>
      </w:tr>
      <w:tr>
        <w:trPr>
          <w:trHeight w:hRule="exact" w:val="300"/>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tc>
        <w:tc>
          <w:tcPr>
            <w:tcW w:w="1842" w:type="dxa"/>
            <w:gridSpan w:val="2"/>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上年结转资金</w:t>
            </w:r>
          </w:p>
        </w:tc>
        <w:tc>
          <w:tcPr>
            <w:tcW w:w="1134" w:type="dxa"/>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p>
        </w:tc>
        <w:tc>
          <w:tcPr>
            <w:tcW w:w="1300"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p>
        </w:tc>
        <w:tc>
          <w:tcPr>
            <w:tcW w:w="968"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p>
        </w:tc>
        <w:tc>
          <w:tcPr>
            <w:tcW w:w="851" w:type="dxa"/>
            <w:gridSpan w:val="2"/>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p>
        </w:tc>
      </w:tr>
      <w:tr>
        <w:trPr>
          <w:trHeight w:hRule="exact" w:val="300"/>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tc>
        <w:tc>
          <w:tcPr>
            <w:tcW w:w="1842" w:type="dxa"/>
            <w:gridSpan w:val="2"/>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其他资金</w:t>
            </w:r>
          </w:p>
        </w:tc>
        <w:tc>
          <w:tcPr>
            <w:tcW w:w="1134" w:type="dxa"/>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p>
        </w:tc>
        <w:tc>
          <w:tcPr>
            <w:tcW w:w="1300"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p>
        </w:tc>
        <w:tc>
          <w:tcPr>
            <w:tcW w:w="968"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p>
        </w:tc>
        <w:tc>
          <w:tcPr>
            <w:tcW w:w="851" w:type="dxa"/>
            <w:gridSpan w:val="2"/>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p>
        </w:tc>
      </w:tr>
      <w:tr>
        <w:trPr>
          <w:trHeight w:hRule="exact" w:val="300"/>
        </w:trPr>
        <w:tc>
          <w:tcPr>
            <w:tcW w:w="588" w:type="dxa"/>
            <w:vMerge w:val="restart"/>
            <w:tcBorders>
              <w:top w:val="nil"/>
              <w:left w:val="single" w:sz="4" w:space="0" w:color="auto"/>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256" w:type="dxa"/>
            <w:gridSpan w:val="6"/>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236" w:type="dxa"/>
            <w:gridSpan w:val="7"/>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trPr>
          <w:trHeight w:hRule="exact" w:val="570"/>
        </w:trPr>
        <w:tc>
          <w:tcPr>
            <w:tcW w:w="588" w:type="dxa"/>
            <w:vMerge/>
            <w:tcBorders>
              <w:top w:val="nil"/>
              <w:left w:val="single" w:sz="4" w:space="0" w:color="auto"/>
              <w:bottom w:val="single" w:sz="4" w:space="0" w:color="auto"/>
              <w:right w:val="single" w:sz="4" w:space="0" w:color="auto"/>
            </w:tcBorders>
            <w:noWrap/>
            <w:vAlign w:val="center"/>
          </w:tcPr>
          <w:p/>
        </w:tc>
        <w:tc>
          <w:tcPr>
            <w:tcW w:w="5256" w:type="dxa"/>
            <w:gridSpan w:val="6"/>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p>
        </w:tc>
        <w:tc>
          <w:tcPr>
            <w:tcW w:w="3236" w:type="dxa"/>
            <w:gridSpan w:val="7"/>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p>
        </w:tc>
      </w:tr>
      <w:tr>
        <w:trPr>
          <w:trHeight w:hRule="exact" w:val="533"/>
        </w:trPr>
        <w:tc>
          <w:tcPr>
            <w:tcW w:w="588" w:type="dxa"/>
            <w:vMerge w:val="restart"/>
            <w:tcBorders>
              <w:top w:val="nil"/>
              <w:left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br/>
              <w:t>效</w:t>
              <w:br/>
              <w:t>指</w:t>
              <w:br/>
              <w:t>标</w:t>
            </w:r>
          </w:p>
        </w:tc>
        <w:tc>
          <w:tcPr>
            <w:tcW w:w="980" w:type="dxa"/>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379" w:type="dxa"/>
            <w:gridSpan w:val="3"/>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785" w:type="dxa"/>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27" w:type="dxa"/>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38"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37"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334" w:type="dxa"/>
            <w:gridSpan w:val="2"/>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trPr>
          <w:trHeight w:hRule="exact" w:val="887"/>
        </w:trPr>
        <w:tc>
          <w:tcPr>
            <w:tcW w:w="588" w:type="dxa"/>
            <w:vMerge/>
            <w:tcBorders>
              <w:left w:val="single" w:sz="4" w:space="0" w:color="auto"/>
              <w:right w:val="single" w:sz="4" w:space="0" w:color="auto"/>
            </w:tcBorders>
            <w:noWrap/>
            <w:vAlign w:val="center"/>
          </w:tcPr>
          <w:p/>
        </w:tc>
        <w:tc>
          <w:tcPr>
            <w:tcW w:w="980" w:type="dxa"/>
            <w:vMerge w:val="restart"/>
            <w:tcBorders>
              <w:top w:val="nil"/>
              <w:left w:val="single" w:sz="4" w:space="0" w:color="auto"/>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(50分)</w:t>
            </w:r>
          </w:p>
        </w:tc>
        <w:tc>
          <w:tcPr>
            <w:tcW w:w="1112" w:type="dxa"/>
            <w:tcBorders>
              <w:top w:val="nil"/>
              <w:left w:val="single" w:sz="4" w:space="0" w:color="auto"/>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379" w:type="dxa"/>
            <w:gridSpan w:val="3"/>
            <w:tcBorders>
              <w:top w:val="single" w:sz="4" w:space="0" w:color="auto"/>
              <w:left w:val="nil"/>
              <w:bottom w:val="single" w:sz="4" w:space="0" w:color="auto"/>
              <w:right w:val="single" w:sz="4" w:space="0" w:color="auto"/>
            </w:tcBorders>
            <w:noWrap/>
            <w:vAlign w:val="center"/>
          </w:tcPr>
          <w:p>
            <w:pPr>
              <w:widowControl/>
              <w:spacing w:line="240" w:lineRule="exact"/>
              <w:jc w:val="left"/>
              <w:rPr>
                <w:rFonts w:ascii="Times New Roman" w:hAnsi="Times New Roman" w:hint="eastAsia"/>
                <w:color w:val="000000"/>
                <w:kern w:val="0"/>
                <w:sz w:val="20"/>
                <w:szCs w:val="20"/>
              </w:rPr>
            </w:pPr>
            <w:r>
              <w:rPr>
                <w:rFonts w:ascii="Times New Roman" w:hAnsi="Times New Roman" w:hint="eastAsia"/>
                <w:color w:val="000000"/>
                <w:kern w:val="0"/>
                <w:sz w:val="20"/>
                <w:szCs w:val="20"/>
              </w:rPr>
              <w:t>全县范围内保障性住房的维护、维修</w:t>
            </w:r>
          </w:p>
          <w:p>
            <w:pPr>
              <w:widowControl/>
              <w:spacing w:line="240" w:lineRule="exact"/>
              <w:jc w:val="left"/>
              <w:rPr>
                <w:rFonts w:ascii="Times New Roman" w:hAnsi="Times New Roman"/>
                <w:color w:val="000000"/>
                <w:kern w:val="0"/>
                <w:sz w:val="18"/>
                <w:szCs w:val="18"/>
              </w:rPr>
            </w:pPr>
          </w:p>
        </w:tc>
        <w:tc>
          <w:tcPr>
            <w:tcW w:w="785" w:type="dxa"/>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hint="eastAsia"/>
              </w:rPr>
              <w:t>299</w:t>
            </w:r>
            <w:r>
              <w:rPr>
                <w:rFonts w:hint="eastAsia"/>
                <w:lang w:val="en-US" w:eastAsia="zh-CN"/>
              </w:rPr>
              <w:t>4</w:t>
            </w:r>
            <w:r>
              <w:rPr>
                <w:rFonts w:hint="eastAsia"/>
              </w:rPr>
              <w:t>套</w:t>
            </w:r>
          </w:p>
        </w:tc>
        <w:tc>
          <w:tcPr>
            <w:tcW w:w="827" w:type="dxa"/>
            <w:tcBorders>
              <w:top w:val="nil"/>
              <w:left w:val="nil"/>
              <w:bottom w:val="single" w:sz="4" w:space="0" w:color="auto"/>
              <w:right w:val="single" w:sz="4" w:space="0" w:color="auto"/>
            </w:tcBorders>
            <w:noWrap/>
            <w:vAlign w:val="center"/>
          </w:tcPr>
          <w:p>
            <w:pPr>
              <w:widowControl/>
              <w:spacing w:line="240" w:lineRule="exact"/>
              <w:jc w:val="center"/>
              <w:rPr>
                <w:rFonts w:ascii="Times New Roman" w:hAnsi="Times New Roman" w:hint="eastAsia"/>
                <w:kern w:val="0"/>
                <w:sz w:val="18"/>
                <w:szCs w:val="18"/>
              </w:rPr>
            </w:pPr>
            <w:r>
              <w:rPr>
                <w:rFonts w:ascii="Times New Roman" w:hAnsi="Times New Roman" w:hint="eastAsia"/>
                <w:kern w:val="0"/>
                <w:sz w:val="18"/>
                <w:szCs w:val="18"/>
              </w:rPr>
              <w:t>299</w:t>
            </w:r>
            <w:r>
              <w:rPr>
                <w:rFonts w:ascii="Times New Roman" w:hAnsi="Times New Roman" w:hint="eastAsia"/>
                <w:kern w:val="0"/>
                <w:sz w:val="18"/>
                <w:szCs w:val="18"/>
                <w:lang w:val="en-US" w:eastAsia="zh-CN"/>
              </w:rPr>
              <w:t>4</w:t>
            </w:r>
            <w:r>
              <w:rPr>
                <w:rFonts w:ascii="Times New Roman" w:hAnsi="Times New Roman" w:hint="eastAsia"/>
                <w:kern w:val="0"/>
                <w:sz w:val="18"/>
                <w:szCs w:val="18"/>
              </w:rPr>
              <w:t>套</w:t>
            </w:r>
          </w:p>
        </w:tc>
        <w:tc>
          <w:tcPr>
            <w:tcW w:w="538"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Times New Roman" w:eastAsia="宋体" w:hAnsi="Times New Roman"/>
                <w:kern w:val="0"/>
                <w:sz w:val="18"/>
                <w:szCs w:val="18"/>
                <w:lang w:val="en-US" w:eastAsia="zh-CN"/>
              </w:rPr>
            </w:pPr>
            <w:r>
              <w:rPr>
                <w:rFonts w:ascii="Times New Roman" w:hAnsi="Times New Roman" w:hint="eastAsia"/>
                <w:kern w:val="0"/>
                <w:sz w:val="18"/>
                <w:szCs w:val="18"/>
                <w:lang w:val="en-US" w:eastAsia="zh-CN"/>
              </w:rPr>
              <w:t>15</w:t>
            </w:r>
          </w:p>
        </w:tc>
        <w:tc>
          <w:tcPr>
            <w:tcW w:w="537"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Times New Roman" w:eastAsia="宋体" w:hAnsi="Times New Roman"/>
                <w:kern w:val="0"/>
                <w:sz w:val="18"/>
                <w:szCs w:val="18"/>
                <w:lang w:val="en-US" w:eastAsia="zh-CN"/>
              </w:rPr>
            </w:pPr>
            <w:r>
              <w:rPr>
                <w:rFonts w:ascii="Times New Roman" w:hAnsi="Times New Roman" w:hint="eastAsia"/>
                <w:kern w:val="0"/>
                <w:sz w:val="18"/>
                <w:szCs w:val="18"/>
                <w:lang w:val="en-US" w:eastAsia="zh-CN"/>
              </w:rPr>
              <w:t>1</w:t>
            </w:r>
            <w:r>
              <w:rPr>
                <w:rFonts w:ascii="Times New Roman" w:hAnsi="Times New Roman"/>
                <w:kern w:val="0"/>
                <w:sz w:val="18"/>
                <w:szCs w:val="18"/>
                <w:lang w:val="en-US" w:eastAsia="zh-CN"/>
              </w:rPr>
              <w:t>3</w:t>
            </w:r>
          </w:p>
        </w:tc>
        <w:tc>
          <w:tcPr>
            <w:tcW w:w="1334" w:type="dxa"/>
            <w:gridSpan w:val="2"/>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p>
        </w:tc>
      </w:tr>
      <w:tr>
        <w:trPr>
          <w:trHeight w:hRule="exact" w:val="812"/>
        </w:trPr>
        <w:tc>
          <w:tcPr>
            <w:tcW w:w="588" w:type="dxa"/>
            <w:vMerge/>
            <w:tcBorders>
              <w:left w:val="single" w:sz="4" w:space="0" w:color="auto"/>
              <w:right w:val="single" w:sz="4" w:space="0" w:color="auto"/>
            </w:tcBorders>
            <w:noWrap/>
            <w:vAlign w:val="center"/>
          </w:tcPr>
          <w:p/>
        </w:tc>
        <w:tc>
          <w:tcPr>
            <w:tcW w:w="980" w:type="dxa"/>
            <w:vMerge/>
            <w:tcBorders>
              <w:top w:val="nil"/>
              <w:left w:val="single" w:sz="4" w:space="0" w:color="auto"/>
              <w:bottom w:val="single" w:sz="4" w:space="0" w:color="auto"/>
              <w:right w:val="single" w:sz="4" w:space="0" w:color="auto"/>
            </w:tcBorders>
            <w:noWrap/>
            <w:vAlign w:val="center"/>
          </w:tcPr>
          <w:p/>
        </w:tc>
        <w:tc>
          <w:tcPr>
            <w:tcW w:w="1112" w:type="dxa"/>
            <w:tcBorders>
              <w:top w:val="nil"/>
              <w:left w:val="single" w:sz="4" w:space="0" w:color="auto"/>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379" w:type="dxa"/>
            <w:gridSpan w:val="3"/>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确保保障性住房达到正常居住标准</w:t>
            </w:r>
          </w:p>
        </w:tc>
        <w:tc>
          <w:tcPr>
            <w:tcW w:w="785" w:type="dxa"/>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达标</w:t>
            </w:r>
          </w:p>
        </w:tc>
        <w:tc>
          <w:tcPr>
            <w:tcW w:w="827" w:type="dxa"/>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Times New Roman" w:hAnsi="Times New Roman" w:hint="eastAsia"/>
                <w:kern w:val="0"/>
                <w:sz w:val="18"/>
                <w:szCs w:val="18"/>
              </w:rPr>
            </w:pPr>
            <w:r>
              <w:rPr>
                <w:rFonts w:ascii="Times New Roman" w:hAnsi="Times New Roman" w:hint="eastAsia"/>
                <w:kern w:val="0"/>
                <w:sz w:val="18"/>
                <w:szCs w:val="18"/>
              </w:rPr>
              <w:t>达标</w:t>
            </w:r>
          </w:p>
        </w:tc>
        <w:tc>
          <w:tcPr>
            <w:tcW w:w="538" w:type="dxa"/>
            <w:gridSpan w:val="2"/>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Times New Roman" w:eastAsia="宋体" w:hAnsi="Times New Roman"/>
                <w:kern w:val="0"/>
                <w:sz w:val="18"/>
                <w:szCs w:val="18"/>
                <w:lang w:val="en-US" w:eastAsia="zh-CN"/>
              </w:rPr>
            </w:pPr>
            <w:r>
              <w:rPr>
                <w:rFonts w:ascii="Times New Roman" w:hAnsi="Times New Roman" w:hint="eastAsia"/>
                <w:kern w:val="0"/>
                <w:sz w:val="18"/>
                <w:szCs w:val="18"/>
                <w:lang w:val="en-US" w:eastAsia="zh-CN"/>
              </w:rPr>
              <w:t>15</w:t>
            </w:r>
          </w:p>
        </w:tc>
        <w:tc>
          <w:tcPr>
            <w:tcW w:w="537" w:type="dxa"/>
            <w:gridSpan w:val="2"/>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Times New Roman" w:eastAsia="宋体" w:hAnsi="Times New Roman"/>
                <w:kern w:val="0"/>
                <w:sz w:val="18"/>
                <w:szCs w:val="18"/>
                <w:lang w:val="en-US" w:eastAsia="zh-CN"/>
              </w:rPr>
            </w:pPr>
            <w:r>
              <w:rPr>
                <w:rFonts w:ascii="Times New Roman" w:hAnsi="Times New Roman" w:hint="eastAsia"/>
                <w:kern w:val="0"/>
                <w:sz w:val="18"/>
                <w:szCs w:val="18"/>
                <w:lang w:val="en-US" w:eastAsia="zh-CN"/>
              </w:rPr>
              <w:t>15</w:t>
            </w:r>
          </w:p>
        </w:tc>
        <w:tc>
          <w:tcPr>
            <w:tcW w:w="1334" w:type="dxa"/>
            <w:gridSpan w:val="2"/>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p>
        </w:tc>
      </w:tr>
      <w:tr>
        <w:trPr>
          <w:trHeight w:hRule="exact" w:val="750"/>
        </w:trPr>
        <w:tc>
          <w:tcPr>
            <w:tcW w:w="588" w:type="dxa"/>
            <w:vMerge/>
            <w:tcBorders>
              <w:left w:val="single" w:sz="4" w:space="0" w:color="auto"/>
              <w:right w:val="single" w:sz="4" w:space="0" w:color="auto"/>
            </w:tcBorders>
            <w:noWrap/>
            <w:vAlign w:val="center"/>
          </w:tcPr>
          <w:p/>
        </w:tc>
        <w:tc>
          <w:tcPr>
            <w:tcW w:w="980" w:type="dxa"/>
            <w:vMerge/>
            <w:tcBorders>
              <w:top w:val="nil"/>
              <w:left w:val="single" w:sz="4" w:space="0" w:color="auto"/>
              <w:bottom w:val="single" w:sz="4" w:space="0" w:color="auto"/>
              <w:right w:val="single" w:sz="4" w:space="0" w:color="auto"/>
            </w:tcBorders>
            <w:noWrap/>
            <w:vAlign w:val="center"/>
          </w:tcPr>
          <w:p/>
        </w:tc>
        <w:tc>
          <w:tcPr>
            <w:tcW w:w="1112" w:type="dxa"/>
            <w:tcBorders>
              <w:top w:val="nil"/>
              <w:left w:val="single" w:sz="4" w:space="0" w:color="auto"/>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379" w:type="dxa"/>
            <w:gridSpan w:val="3"/>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及时维护、维修</w:t>
            </w:r>
          </w:p>
        </w:tc>
        <w:tc>
          <w:tcPr>
            <w:tcW w:w="785" w:type="dxa"/>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及时</w:t>
            </w:r>
          </w:p>
        </w:tc>
        <w:tc>
          <w:tcPr>
            <w:tcW w:w="827" w:type="dxa"/>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left"/>
              <w:rPr>
                <w:rFonts w:ascii="Times New Roman" w:hAnsi="Times New Roman" w:hint="eastAsia"/>
                <w:color w:val="000000"/>
                <w:kern w:val="0"/>
                <w:sz w:val="18"/>
                <w:szCs w:val="18"/>
              </w:rPr>
            </w:pPr>
            <w:r>
              <w:rPr>
                <w:rFonts w:ascii="Times New Roman" w:hAnsi="Times New Roman" w:hint="eastAsia"/>
                <w:color w:val="000000"/>
                <w:kern w:val="0"/>
                <w:sz w:val="18"/>
                <w:szCs w:val="18"/>
              </w:rPr>
              <w:t>及时</w:t>
            </w:r>
          </w:p>
        </w:tc>
        <w:tc>
          <w:tcPr>
            <w:tcW w:w="538" w:type="dxa"/>
            <w:gridSpan w:val="2"/>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left"/>
              <w:rPr>
                <w:rFonts w:ascii="Times New Roman" w:eastAsia="宋体" w:hAnsi="Times New Roman"/>
                <w:color w:val="000000"/>
                <w:kern w:val="0"/>
                <w:sz w:val="18"/>
                <w:szCs w:val="18"/>
                <w:lang w:val="en-US" w:eastAsia="zh-CN"/>
              </w:rPr>
            </w:pPr>
            <w:r>
              <w:rPr>
                <w:rFonts w:ascii="Times New Roman" w:hAnsi="Times New Roman" w:hint="eastAsia"/>
                <w:color w:val="000000"/>
                <w:kern w:val="0"/>
                <w:sz w:val="18"/>
                <w:szCs w:val="18"/>
                <w:lang w:val="en-US" w:eastAsia="zh-CN"/>
              </w:rPr>
              <w:t>10</w:t>
            </w:r>
          </w:p>
        </w:tc>
        <w:tc>
          <w:tcPr>
            <w:tcW w:w="537" w:type="dxa"/>
            <w:gridSpan w:val="2"/>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left"/>
              <w:rPr>
                <w:rFonts w:ascii="Times New Roman" w:eastAsia="宋体" w:hAnsi="Times New Roman"/>
                <w:color w:val="000000"/>
                <w:kern w:val="0"/>
                <w:sz w:val="18"/>
                <w:szCs w:val="18"/>
                <w:lang w:val="en-US" w:eastAsia="zh-CN"/>
              </w:rPr>
            </w:pPr>
            <w:r>
              <w:rPr>
                <w:rFonts w:ascii="Times New Roman" w:hAnsi="Times New Roman" w:hint="eastAsia"/>
                <w:color w:val="000000"/>
                <w:kern w:val="0"/>
                <w:sz w:val="18"/>
                <w:szCs w:val="18"/>
                <w:lang w:val="en-US" w:eastAsia="zh-CN"/>
              </w:rPr>
              <w:t>10</w:t>
            </w:r>
          </w:p>
        </w:tc>
        <w:tc>
          <w:tcPr>
            <w:tcW w:w="1334" w:type="dxa"/>
            <w:gridSpan w:val="2"/>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left"/>
              <w:rPr>
                <w:rFonts w:ascii="Times New Roman" w:hAnsi="Times New Roman"/>
                <w:color w:val="000000"/>
                <w:kern w:val="0"/>
                <w:sz w:val="18"/>
                <w:szCs w:val="18"/>
              </w:rPr>
            </w:pPr>
          </w:p>
        </w:tc>
      </w:tr>
      <w:tr>
        <w:trPr>
          <w:trHeight w:hRule="exact" w:val="738"/>
        </w:trPr>
        <w:tc>
          <w:tcPr>
            <w:tcW w:w="588" w:type="dxa"/>
            <w:vMerge/>
            <w:tcBorders>
              <w:left w:val="single" w:sz="4" w:space="0" w:color="auto"/>
              <w:right w:val="single" w:sz="4" w:space="0" w:color="auto"/>
            </w:tcBorders>
            <w:noWrap/>
            <w:vAlign w:val="center"/>
          </w:tcPr>
          <w:p/>
        </w:tc>
        <w:tc>
          <w:tcPr>
            <w:tcW w:w="980" w:type="dxa"/>
            <w:vMerge/>
            <w:tcBorders>
              <w:top w:val="nil"/>
              <w:left w:val="single" w:sz="4" w:space="0" w:color="auto"/>
              <w:bottom w:val="single" w:sz="4" w:space="0" w:color="auto"/>
              <w:right w:val="single" w:sz="4" w:space="0" w:color="auto"/>
            </w:tcBorders>
            <w:noWrap/>
            <w:vAlign w:val="center"/>
          </w:tcPr>
          <w:p/>
        </w:tc>
        <w:tc>
          <w:tcPr>
            <w:tcW w:w="1112" w:type="dxa"/>
            <w:tcBorders>
              <w:top w:val="nil"/>
              <w:left w:val="single" w:sz="4" w:space="0" w:color="auto"/>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379" w:type="dxa"/>
            <w:gridSpan w:val="3"/>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项目专项维护和管理资金</w:t>
            </w:r>
          </w:p>
        </w:tc>
        <w:tc>
          <w:tcPr>
            <w:tcW w:w="785" w:type="dxa"/>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left"/>
              <w:rPr>
                <w:rFonts w:ascii="Times New Roman" w:hAnsi="Times New Roman" w:hint="eastAsia"/>
                <w:color w:val="000000"/>
                <w:kern w:val="0"/>
                <w:sz w:val="18"/>
                <w:szCs w:val="18"/>
              </w:rPr>
            </w:pPr>
          </w:p>
        </w:tc>
        <w:tc>
          <w:tcPr>
            <w:tcW w:w="827" w:type="dxa"/>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left"/>
              <w:rPr>
                <w:rFonts w:ascii="Times New Roman" w:hAnsi="Times New Roman"/>
                <w:color w:val="000000"/>
                <w:kern w:val="0"/>
                <w:sz w:val="18"/>
                <w:szCs w:val="18"/>
              </w:rPr>
            </w:pPr>
          </w:p>
        </w:tc>
        <w:tc>
          <w:tcPr>
            <w:tcW w:w="538" w:type="dxa"/>
            <w:gridSpan w:val="2"/>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left"/>
              <w:rPr>
                <w:rFonts w:ascii="Times New Roman" w:eastAsia="宋体" w:hAnsi="Times New Roman"/>
                <w:color w:val="000000"/>
                <w:kern w:val="0"/>
                <w:sz w:val="18"/>
                <w:szCs w:val="18"/>
                <w:lang w:val="en-US" w:eastAsia="zh-CN"/>
              </w:rPr>
            </w:pPr>
            <w:r>
              <w:rPr>
                <w:rFonts w:ascii="Times New Roman" w:hAnsi="Times New Roman" w:hint="eastAsia"/>
                <w:color w:val="000000"/>
                <w:kern w:val="0"/>
                <w:sz w:val="18"/>
                <w:szCs w:val="18"/>
                <w:lang w:val="en-US" w:eastAsia="zh-CN"/>
              </w:rPr>
              <w:t>10</w:t>
            </w:r>
          </w:p>
        </w:tc>
        <w:tc>
          <w:tcPr>
            <w:tcW w:w="537" w:type="dxa"/>
            <w:gridSpan w:val="2"/>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left"/>
              <w:rPr>
                <w:rFonts w:ascii="Times New Roman" w:eastAsia="宋体" w:hAnsi="Times New Roman"/>
                <w:color w:val="000000"/>
                <w:kern w:val="0"/>
                <w:sz w:val="18"/>
                <w:szCs w:val="18"/>
                <w:lang w:val="en-US" w:eastAsia="zh-CN"/>
              </w:rPr>
            </w:pPr>
            <w:r>
              <w:rPr>
                <w:rFonts w:ascii="Times New Roman" w:hAnsi="Times New Roman" w:hint="eastAsia"/>
                <w:color w:val="000000"/>
                <w:kern w:val="0"/>
                <w:sz w:val="18"/>
                <w:szCs w:val="18"/>
                <w:lang w:val="en-US" w:eastAsia="zh-CN"/>
              </w:rPr>
              <w:t>10</w:t>
            </w:r>
          </w:p>
        </w:tc>
        <w:tc>
          <w:tcPr>
            <w:tcW w:w="1334" w:type="dxa"/>
            <w:gridSpan w:val="2"/>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left"/>
              <w:rPr>
                <w:rFonts w:ascii="Times New Roman" w:hAnsi="Times New Roman"/>
                <w:color w:val="000000"/>
                <w:kern w:val="0"/>
                <w:sz w:val="18"/>
                <w:szCs w:val="18"/>
              </w:rPr>
            </w:pPr>
          </w:p>
        </w:tc>
      </w:tr>
      <w:tr>
        <w:trPr>
          <w:trHeight w:hRule="exact" w:val="900"/>
        </w:trPr>
        <w:tc>
          <w:tcPr>
            <w:tcW w:w="588" w:type="dxa"/>
            <w:vMerge/>
            <w:tcBorders>
              <w:left w:val="single" w:sz="4" w:space="0" w:color="auto"/>
              <w:right w:val="single" w:sz="4" w:space="0" w:color="auto"/>
            </w:tcBorders>
            <w:noWrap/>
            <w:vAlign w:val="center"/>
          </w:tcPr>
          <w:p/>
        </w:tc>
        <w:tc>
          <w:tcPr>
            <w:tcW w:w="980" w:type="dxa"/>
            <w:vMerge w:val="restart"/>
            <w:tcBorders>
              <w:top w:val="nil"/>
              <w:left w:val="single" w:sz="4" w:space="0" w:color="auto"/>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(30分)</w:t>
            </w:r>
          </w:p>
        </w:tc>
        <w:tc>
          <w:tcPr>
            <w:tcW w:w="1112" w:type="dxa"/>
            <w:tcBorders>
              <w:top w:val="nil"/>
              <w:left w:val="single" w:sz="4" w:space="0" w:color="auto"/>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379" w:type="dxa"/>
            <w:gridSpan w:val="3"/>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促进县重点项目拆迁和城市发展、拉动消费</w:t>
            </w:r>
          </w:p>
        </w:tc>
        <w:tc>
          <w:tcPr>
            <w:tcW w:w="785" w:type="dxa"/>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长期</w:t>
            </w:r>
          </w:p>
        </w:tc>
        <w:tc>
          <w:tcPr>
            <w:tcW w:w="827" w:type="dxa"/>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left"/>
              <w:rPr>
                <w:rFonts w:ascii="Times New Roman" w:hAnsi="Times New Roman" w:hint="eastAsia"/>
                <w:color w:val="000000"/>
                <w:kern w:val="0"/>
                <w:sz w:val="18"/>
                <w:szCs w:val="18"/>
              </w:rPr>
            </w:pPr>
            <w:r>
              <w:rPr>
                <w:rFonts w:ascii="Times New Roman" w:hAnsi="Times New Roman" w:hint="eastAsia"/>
                <w:color w:val="000000"/>
                <w:kern w:val="0"/>
                <w:sz w:val="18"/>
                <w:szCs w:val="18"/>
              </w:rPr>
              <w:t>长期</w:t>
            </w:r>
          </w:p>
        </w:tc>
        <w:tc>
          <w:tcPr>
            <w:tcW w:w="538" w:type="dxa"/>
            <w:gridSpan w:val="2"/>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left"/>
              <w:rPr>
                <w:rFonts w:ascii="Times New Roman" w:eastAsia="宋体" w:hAnsi="Times New Roman"/>
                <w:color w:val="000000"/>
                <w:kern w:val="0"/>
                <w:sz w:val="18"/>
                <w:szCs w:val="18"/>
                <w:lang w:val="en-US" w:eastAsia="zh-CN"/>
              </w:rPr>
            </w:pPr>
            <w:r>
              <w:rPr>
                <w:rFonts w:ascii="Times New Roman" w:hAnsi="Times New Roman" w:hint="eastAsia"/>
                <w:color w:val="000000"/>
                <w:kern w:val="0"/>
                <w:sz w:val="18"/>
                <w:szCs w:val="18"/>
                <w:lang w:val="en-US" w:eastAsia="zh-CN"/>
              </w:rPr>
              <w:t>5</w:t>
            </w:r>
          </w:p>
        </w:tc>
        <w:tc>
          <w:tcPr>
            <w:tcW w:w="537" w:type="dxa"/>
            <w:gridSpan w:val="2"/>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left"/>
              <w:rPr>
                <w:rFonts w:ascii="Times New Roman" w:eastAsia="宋体" w:hAnsi="Times New Roman"/>
                <w:color w:val="000000"/>
                <w:kern w:val="0"/>
                <w:sz w:val="18"/>
                <w:szCs w:val="18"/>
                <w:lang w:val="en-US" w:eastAsia="zh-CN"/>
              </w:rPr>
            </w:pPr>
            <w:r>
              <w:rPr>
                <w:rFonts w:ascii="Times New Roman" w:hAnsi="Times New Roman" w:hint="eastAsia"/>
                <w:color w:val="000000"/>
                <w:kern w:val="0"/>
                <w:sz w:val="18"/>
                <w:szCs w:val="18"/>
                <w:lang w:val="en-US" w:eastAsia="zh-CN"/>
              </w:rPr>
              <w:t>5</w:t>
            </w:r>
          </w:p>
        </w:tc>
        <w:tc>
          <w:tcPr>
            <w:tcW w:w="1334" w:type="dxa"/>
            <w:gridSpan w:val="2"/>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left"/>
              <w:rPr>
                <w:rFonts w:ascii="Times New Roman" w:hAnsi="Times New Roman"/>
                <w:color w:val="000000"/>
                <w:kern w:val="0"/>
                <w:sz w:val="18"/>
                <w:szCs w:val="18"/>
              </w:rPr>
            </w:pPr>
          </w:p>
        </w:tc>
      </w:tr>
      <w:tr>
        <w:trPr>
          <w:trHeight w:hRule="exact" w:val="750"/>
        </w:trPr>
        <w:tc>
          <w:tcPr>
            <w:tcW w:w="588" w:type="dxa"/>
            <w:vMerge/>
            <w:tcBorders>
              <w:left w:val="single" w:sz="4" w:space="0" w:color="auto"/>
              <w:right w:val="single" w:sz="4" w:space="0" w:color="auto"/>
            </w:tcBorders>
            <w:noWrap/>
            <w:vAlign w:val="center"/>
          </w:tcPr>
          <w:p/>
        </w:tc>
        <w:tc>
          <w:tcPr>
            <w:tcW w:w="980" w:type="dxa"/>
            <w:vMerge/>
            <w:tcBorders>
              <w:top w:val="nil"/>
              <w:left w:val="single" w:sz="4" w:space="0" w:color="auto"/>
              <w:bottom w:val="single" w:sz="4" w:space="0" w:color="auto"/>
              <w:right w:val="single" w:sz="4" w:space="0" w:color="auto"/>
            </w:tcBorders>
            <w:noWrap/>
            <w:vAlign w:val="center"/>
          </w:tcPr>
          <w:p/>
        </w:tc>
        <w:tc>
          <w:tcPr>
            <w:tcW w:w="1112" w:type="dxa"/>
            <w:tcBorders>
              <w:top w:val="nil"/>
              <w:left w:val="single" w:sz="4" w:space="0" w:color="auto"/>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379" w:type="dxa"/>
            <w:gridSpan w:val="3"/>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解决低收入人群住房需求</w:t>
            </w:r>
          </w:p>
        </w:tc>
        <w:tc>
          <w:tcPr>
            <w:tcW w:w="785" w:type="dxa"/>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长期</w:t>
            </w:r>
          </w:p>
        </w:tc>
        <w:tc>
          <w:tcPr>
            <w:tcW w:w="827" w:type="dxa"/>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left"/>
              <w:rPr>
                <w:rFonts w:ascii="Times New Roman" w:hAnsi="Times New Roman" w:hint="eastAsia"/>
                <w:color w:val="000000"/>
                <w:kern w:val="0"/>
                <w:sz w:val="18"/>
                <w:szCs w:val="18"/>
              </w:rPr>
            </w:pPr>
            <w:r>
              <w:rPr>
                <w:rFonts w:ascii="Times New Roman" w:hAnsi="Times New Roman" w:hint="eastAsia"/>
                <w:color w:val="000000"/>
                <w:kern w:val="0"/>
                <w:sz w:val="18"/>
                <w:szCs w:val="18"/>
              </w:rPr>
              <w:t>长期</w:t>
            </w:r>
          </w:p>
        </w:tc>
        <w:tc>
          <w:tcPr>
            <w:tcW w:w="538" w:type="dxa"/>
            <w:gridSpan w:val="2"/>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left"/>
              <w:rPr>
                <w:rFonts w:ascii="Times New Roman" w:eastAsia="宋体" w:hAnsi="Times New Roman"/>
                <w:color w:val="000000"/>
                <w:kern w:val="0"/>
                <w:sz w:val="18"/>
                <w:szCs w:val="18"/>
                <w:lang w:val="en-US" w:eastAsia="zh-CN"/>
              </w:rPr>
            </w:pPr>
            <w:r>
              <w:rPr>
                <w:rFonts w:ascii="Times New Roman" w:hAnsi="Times New Roman" w:hint="eastAsia"/>
                <w:color w:val="000000"/>
                <w:kern w:val="0"/>
                <w:sz w:val="18"/>
                <w:szCs w:val="18"/>
                <w:lang w:val="en-US" w:eastAsia="zh-CN"/>
              </w:rPr>
              <w:t>10</w:t>
            </w:r>
          </w:p>
        </w:tc>
        <w:tc>
          <w:tcPr>
            <w:tcW w:w="537" w:type="dxa"/>
            <w:gridSpan w:val="2"/>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left"/>
              <w:rPr>
                <w:rFonts w:ascii="Times New Roman" w:eastAsia="宋体" w:hAnsi="Times New Roman"/>
                <w:color w:val="000000"/>
                <w:kern w:val="0"/>
                <w:sz w:val="18"/>
                <w:szCs w:val="18"/>
                <w:lang w:val="en-US" w:eastAsia="zh-CN"/>
              </w:rPr>
            </w:pPr>
            <w:r>
              <w:rPr>
                <w:rFonts w:ascii="Times New Roman" w:hAnsi="Times New Roman" w:hint="eastAsia"/>
                <w:color w:val="000000"/>
                <w:kern w:val="0"/>
                <w:sz w:val="18"/>
                <w:szCs w:val="18"/>
                <w:lang w:val="en-US" w:eastAsia="zh-CN"/>
              </w:rPr>
              <w:t>10</w:t>
            </w:r>
          </w:p>
        </w:tc>
        <w:tc>
          <w:tcPr>
            <w:tcW w:w="1334" w:type="dxa"/>
            <w:gridSpan w:val="2"/>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left"/>
              <w:rPr>
                <w:rFonts w:ascii="Times New Roman" w:hAnsi="Times New Roman"/>
                <w:color w:val="000000"/>
                <w:kern w:val="0"/>
                <w:sz w:val="18"/>
                <w:szCs w:val="18"/>
              </w:rPr>
            </w:pPr>
          </w:p>
        </w:tc>
      </w:tr>
      <w:tr>
        <w:trPr>
          <w:trHeight w:hRule="exact" w:val="564"/>
        </w:trPr>
        <w:tc>
          <w:tcPr>
            <w:tcW w:w="588" w:type="dxa"/>
            <w:vMerge/>
            <w:tcBorders>
              <w:left w:val="single" w:sz="4" w:space="0" w:color="auto"/>
              <w:right w:val="single" w:sz="4" w:space="0" w:color="auto"/>
            </w:tcBorders>
            <w:noWrap/>
            <w:vAlign w:val="center"/>
          </w:tcPr>
          <w:p/>
        </w:tc>
        <w:tc>
          <w:tcPr>
            <w:tcW w:w="980" w:type="dxa"/>
            <w:vMerge/>
            <w:tcBorders>
              <w:top w:val="nil"/>
              <w:left w:val="single" w:sz="4" w:space="0" w:color="auto"/>
              <w:bottom w:val="single" w:sz="4" w:space="0" w:color="auto"/>
              <w:right w:val="single" w:sz="4" w:space="0" w:color="auto"/>
            </w:tcBorders>
            <w:noWrap/>
            <w:vAlign w:val="center"/>
          </w:tcPr>
          <w:p/>
        </w:tc>
        <w:tc>
          <w:tcPr>
            <w:tcW w:w="1112" w:type="dxa"/>
            <w:tcBorders>
              <w:top w:val="nil"/>
              <w:left w:val="single" w:sz="4" w:space="0" w:color="auto"/>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379" w:type="dxa"/>
            <w:gridSpan w:val="3"/>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left"/>
              <w:rPr>
                <w:rFonts w:ascii="Times New Roman" w:hAnsi="Times New Roman"/>
                <w:color w:val="000000"/>
                <w:kern w:val="0"/>
                <w:sz w:val="18"/>
                <w:szCs w:val="18"/>
              </w:rPr>
            </w:pPr>
          </w:p>
        </w:tc>
        <w:tc>
          <w:tcPr>
            <w:tcW w:w="785" w:type="dxa"/>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p>
        </w:tc>
        <w:tc>
          <w:tcPr>
            <w:tcW w:w="827" w:type="dxa"/>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center"/>
              <w:rPr>
                <w:rFonts w:ascii="Times New Roman" w:hAnsi="Times New Roman" w:hint="eastAsia"/>
                <w:kern w:val="0"/>
                <w:sz w:val="18"/>
                <w:szCs w:val="18"/>
              </w:rPr>
            </w:pPr>
          </w:p>
        </w:tc>
        <w:tc>
          <w:tcPr>
            <w:tcW w:w="538" w:type="dxa"/>
            <w:gridSpan w:val="2"/>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center"/>
              <w:rPr>
                <w:rFonts w:ascii="Times New Roman" w:eastAsia="宋体" w:hAnsi="Times New Roman"/>
                <w:kern w:val="0"/>
                <w:sz w:val="18"/>
                <w:szCs w:val="18"/>
                <w:lang w:val="en-US" w:eastAsia="zh-CN"/>
              </w:rPr>
            </w:pPr>
            <w:r>
              <w:rPr>
                <w:rFonts w:ascii="Times New Roman" w:hAnsi="Times New Roman" w:hint="eastAsia"/>
                <w:kern w:val="0"/>
                <w:sz w:val="18"/>
                <w:szCs w:val="18"/>
                <w:lang w:val="en-US" w:eastAsia="zh-CN"/>
              </w:rPr>
              <w:t>5</w:t>
            </w:r>
          </w:p>
        </w:tc>
        <w:tc>
          <w:tcPr>
            <w:tcW w:w="537" w:type="dxa"/>
            <w:gridSpan w:val="2"/>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center"/>
              <w:rPr>
                <w:rFonts w:ascii="Times New Roman" w:eastAsia="宋体" w:hAnsi="Times New Roman"/>
                <w:kern w:val="0"/>
                <w:sz w:val="18"/>
                <w:szCs w:val="18"/>
                <w:lang w:val="en-US" w:eastAsia="zh-CN"/>
              </w:rPr>
            </w:pPr>
            <w:r>
              <w:rPr>
                <w:rFonts w:ascii="Times New Roman" w:hAnsi="Times New Roman" w:hint="eastAsia"/>
                <w:kern w:val="0"/>
                <w:sz w:val="18"/>
                <w:szCs w:val="18"/>
                <w:lang w:val="en-US" w:eastAsia="zh-CN"/>
              </w:rPr>
              <w:t>5</w:t>
            </w:r>
          </w:p>
        </w:tc>
        <w:tc>
          <w:tcPr>
            <w:tcW w:w="1334" w:type="dxa"/>
            <w:gridSpan w:val="2"/>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p>
        </w:tc>
      </w:tr>
      <w:tr>
        <w:trPr>
          <w:trHeight w:hRule="exact" w:val="900"/>
        </w:trPr>
        <w:tc>
          <w:tcPr>
            <w:tcW w:w="588" w:type="dxa"/>
            <w:vMerge/>
            <w:tcBorders>
              <w:left w:val="single" w:sz="4" w:space="0" w:color="auto"/>
              <w:right w:val="single" w:sz="4" w:space="0" w:color="auto"/>
            </w:tcBorders>
            <w:noWrap/>
            <w:vAlign w:val="center"/>
          </w:tcPr>
          <w:p/>
        </w:tc>
        <w:tc>
          <w:tcPr>
            <w:tcW w:w="980" w:type="dxa"/>
            <w:vMerge/>
            <w:tcBorders>
              <w:top w:val="nil"/>
              <w:left w:val="single" w:sz="4" w:space="0" w:color="auto"/>
              <w:bottom w:val="single" w:sz="4" w:space="0" w:color="auto"/>
              <w:right w:val="single" w:sz="4" w:space="0" w:color="auto"/>
            </w:tcBorders>
            <w:noWrap/>
            <w:vAlign w:val="center"/>
          </w:tcPr>
          <w:p/>
        </w:tc>
        <w:tc>
          <w:tcPr>
            <w:tcW w:w="1112" w:type="dxa"/>
            <w:tcBorders>
              <w:top w:val="nil"/>
              <w:left w:val="single" w:sz="4" w:space="0" w:color="auto"/>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379" w:type="dxa"/>
            <w:gridSpan w:val="3"/>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解决部分住房困难家庭住有所居问题，消除社会不稳定因素</w:t>
            </w:r>
          </w:p>
        </w:tc>
        <w:tc>
          <w:tcPr>
            <w:tcW w:w="785" w:type="dxa"/>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长期</w:t>
            </w:r>
          </w:p>
        </w:tc>
        <w:tc>
          <w:tcPr>
            <w:tcW w:w="827" w:type="dxa"/>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center"/>
              <w:rPr>
                <w:rFonts w:ascii="Times New Roman" w:hAnsi="Times New Roman" w:hint="eastAsia"/>
                <w:kern w:val="0"/>
                <w:sz w:val="18"/>
                <w:szCs w:val="18"/>
              </w:rPr>
            </w:pPr>
            <w:r>
              <w:rPr>
                <w:rFonts w:ascii="Times New Roman" w:hAnsi="Times New Roman" w:hint="eastAsia"/>
                <w:kern w:val="0"/>
                <w:sz w:val="18"/>
                <w:szCs w:val="18"/>
              </w:rPr>
              <w:t>长期</w:t>
            </w:r>
          </w:p>
        </w:tc>
        <w:tc>
          <w:tcPr>
            <w:tcW w:w="538" w:type="dxa"/>
            <w:gridSpan w:val="2"/>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center"/>
              <w:rPr>
                <w:rFonts w:ascii="Times New Roman" w:eastAsia="宋体" w:hAnsi="Times New Roman"/>
                <w:kern w:val="0"/>
                <w:sz w:val="18"/>
                <w:szCs w:val="18"/>
                <w:lang w:val="en-US" w:eastAsia="zh-CN"/>
              </w:rPr>
            </w:pPr>
            <w:r>
              <w:rPr>
                <w:rFonts w:ascii="Times New Roman" w:hAnsi="Times New Roman" w:hint="eastAsia"/>
                <w:kern w:val="0"/>
                <w:sz w:val="18"/>
                <w:szCs w:val="18"/>
                <w:lang w:val="en-US" w:eastAsia="zh-CN"/>
              </w:rPr>
              <w:t>10</w:t>
            </w:r>
          </w:p>
        </w:tc>
        <w:tc>
          <w:tcPr>
            <w:tcW w:w="537" w:type="dxa"/>
            <w:gridSpan w:val="2"/>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center"/>
              <w:rPr>
                <w:rFonts w:ascii="Times New Roman" w:eastAsia="宋体" w:hAnsi="Times New Roman"/>
                <w:kern w:val="0"/>
                <w:sz w:val="18"/>
                <w:szCs w:val="18"/>
                <w:lang w:val="en-US" w:eastAsia="zh-CN"/>
              </w:rPr>
            </w:pPr>
            <w:r>
              <w:rPr>
                <w:rFonts w:ascii="Times New Roman" w:hAnsi="Times New Roman" w:hint="eastAsia"/>
                <w:kern w:val="0"/>
                <w:sz w:val="18"/>
                <w:szCs w:val="18"/>
                <w:lang w:val="en-US" w:eastAsia="zh-CN"/>
              </w:rPr>
              <w:t>10</w:t>
            </w:r>
          </w:p>
        </w:tc>
        <w:tc>
          <w:tcPr>
            <w:tcW w:w="1334" w:type="dxa"/>
            <w:gridSpan w:val="2"/>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p>
        </w:tc>
      </w:tr>
      <w:tr>
        <w:trPr>
          <w:trHeight w:hRule="exact" w:val="890"/>
        </w:trPr>
        <w:tc>
          <w:tcPr>
            <w:tcW w:w="588" w:type="dxa"/>
            <w:vMerge/>
            <w:tcBorders>
              <w:left w:val="single" w:sz="4" w:space="0" w:color="auto"/>
              <w:right w:val="single" w:sz="4" w:space="0" w:color="auto"/>
            </w:tcBorders>
            <w:noWrap/>
            <w:vAlign w:val="center"/>
          </w:tcPr>
          <w:p/>
        </w:tc>
        <w:tc>
          <w:tcPr>
            <w:tcW w:w="980" w:type="dxa"/>
            <w:tcBorders>
              <w:top w:val="single" w:sz="4" w:space="0" w:color="auto"/>
              <w:left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(10分)</w:t>
            </w:r>
          </w:p>
        </w:tc>
        <w:tc>
          <w:tcPr>
            <w:tcW w:w="1112" w:type="dxa"/>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379" w:type="dxa"/>
            <w:gridSpan w:val="3"/>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社会公众或服务对象满意度</w:t>
            </w:r>
          </w:p>
        </w:tc>
        <w:tc>
          <w:tcPr>
            <w:tcW w:w="785" w:type="dxa"/>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27" w:type="dxa"/>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center"/>
              <w:rPr>
                <w:rFonts w:ascii="Times New Roman" w:hAnsi="Times New Roman" w:hint="eastAsia"/>
                <w:kern w:val="0"/>
                <w:sz w:val="18"/>
                <w:szCs w:val="18"/>
              </w:rPr>
            </w:pPr>
            <w:r>
              <w:rPr>
                <w:rFonts w:ascii="Times New Roman" w:hAnsi="Times New Roman" w:hint="eastAsia"/>
                <w:kern w:val="0"/>
                <w:sz w:val="18"/>
                <w:szCs w:val="18"/>
              </w:rPr>
              <w:t>100%</w:t>
            </w:r>
          </w:p>
        </w:tc>
        <w:tc>
          <w:tcPr>
            <w:tcW w:w="538" w:type="dxa"/>
            <w:gridSpan w:val="2"/>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center"/>
              <w:rPr>
                <w:rFonts w:ascii="Times New Roman" w:eastAsia="宋体" w:hAnsi="Times New Roman"/>
                <w:kern w:val="0"/>
                <w:sz w:val="18"/>
                <w:szCs w:val="18"/>
                <w:lang w:val="en-US" w:eastAsia="zh-CN"/>
              </w:rPr>
            </w:pPr>
            <w:r>
              <w:rPr>
                <w:rFonts w:ascii="Times New Roman" w:hAnsi="Times New Roman" w:hint="eastAsia"/>
                <w:kern w:val="0"/>
                <w:sz w:val="18"/>
                <w:szCs w:val="18"/>
                <w:lang w:val="en-US" w:eastAsia="zh-CN"/>
              </w:rPr>
              <w:t>10</w:t>
            </w:r>
          </w:p>
        </w:tc>
        <w:tc>
          <w:tcPr>
            <w:tcW w:w="537" w:type="dxa"/>
            <w:gridSpan w:val="2"/>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center"/>
              <w:rPr>
                <w:rFonts w:ascii="Times New Roman" w:eastAsia="宋体" w:hAnsi="Times New Roman"/>
                <w:kern w:val="0"/>
                <w:sz w:val="18"/>
                <w:szCs w:val="18"/>
                <w:lang w:val="en-US" w:eastAsia="zh-CN"/>
              </w:rPr>
            </w:pPr>
            <w:r>
              <w:rPr>
                <w:rFonts w:ascii="Times New Roman" w:hAnsi="Times New Roman" w:hint="eastAsia"/>
                <w:kern w:val="0"/>
                <w:sz w:val="18"/>
                <w:szCs w:val="18"/>
                <w:lang w:val="en-US" w:eastAsia="zh-CN"/>
              </w:rPr>
              <w:t>10</w:t>
            </w:r>
          </w:p>
        </w:tc>
        <w:tc>
          <w:tcPr>
            <w:tcW w:w="1334" w:type="dxa"/>
            <w:gridSpan w:val="2"/>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p>
        </w:tc>
      </w:tr>
      <w:tr>
        <w:trPr>
          <w:trHeight w:hRule="exact" w:val="300"/>
        </w:trPr>
        <w:tc>
          <w:tcPr>
            <w:tcW w:w="6671" w:type="dxa"/>
            <w:gridSpan w:val="8"/>
            <w:tcBorders>
              <w:top w:val="single" w:sz="4" w:space="0" w:color="auto"/>
              <w:left w:val="single" w:sz="4" w:space="0" w:color="auto"/>
              <w:bottom w:val="single" w:sz="4" w:space="0" w:color="auto"/>
              <w:right w:val="single" w:sz="4" w:space="0" w:color="auto"/>
            </w:tcBorders>
            <w:noWrap/>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38"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Times New Roman" w:eastAsia="宋体" w:hAnsi="Times New Roman"/>
                <w:color w:val="000000"/>
                <w:kern w:val="0"/>
                <w:sz w:val="18"/>
                <w:szCs w:val="18"/>
                <w:lang w:val="en-US" w:eastAsia="zh-CN"/>
              </w:rPr>
            </w:pPr>
            <w:r>
              <w:rPr>
                <w:rFonts w:ascii="Times New Roman" w:hAnsi="Times New Roman" w:hint="eastAsia"/>
                <w:color w:val="000000"/>
                <w:kern w:val="0"/>
                <w:sz w:val="18"/>
                <w:szCs w:val="18"/>
                <w:lang w:val="en-US" w:eastAsia="zh-CN"/>
              </w:rPr>
              <w:t>100</w:t>
            </w:r>
          </w:p>
        </w:tc>
        <w:tc>
          <w:tcPr>
            <w:tcW w:w="537" w:type="dxa"/>
            <w:gridSpan w:val="2"/>
            <w:tcBorders>
              <w:top w:val="nil"/>
              <w:left w:val="nil"/>
              <w:bottom w:val="single" w:sz="4" w:space="0" w:color="auto"/>
              <w:right w:val="single" w:sz="4" w:space="0" w:color="auto"/>
            </w:tcBorders>
            <w:noWrap/>
            <w:vAlign w:val="center"/>
          </w:tcPr>
          <w:p>
            <w:pPr>
              <w:widowControl/>
              <w:spacing w:line="240" w:lineRule="exact"/>
              <w:jc w:val="center"/>
              <w:rPr>
                <w:rFonts w:ascii="Times New Roman" w:eastAsia="宋体" w:hAnsi="Times New Roman"/>
                <w:color w:val="000000"/>
                <w:kern w:val="0"/>
                <w:sz w:val="18"/>
                <w:szCs w:val="18"/>
                <w:lang w:val="en-US" w:eastAsia="zh-CN"/>
              </w:rPr>
            </w:pPr>
            <w:r>
              <w:rPr>
                <w:rFonts w:ascii="Times New Roman" w:hAnsi="Times New Roman"/>
                <w:color w:val="000000"/>
                <w:kern w:val="0"/>
                <w:sz w:val="18"/>
                <w:szCs w:val="18"/>
                <w:lang w:val="en-US" w:eastAsia="zh-CN"/>
              </w:rPr>
              <w:t>98</w:t>
            </w:r>
          </w:p>
        </w:tc>
        <w:tc>
          <w:tcPr>
            <w:tcW w:w="1334" w:type="dxa"/>
            <w:gridSpan w:val="2"/>
            <w:tcBorders>
              <w:top w:val="single" w:sz="4" w:space="0" w:color="auto"/>
              <w:left w:val="nil"/>
              <w:bottom w:val="single" w:sz="4" w:space="0" w:color="auto"/>
              <w:right w:val="single" w:sz="4" w:space="0" w:color="auto"/>
            </w:tcBorders>
            <w:noWrap/>
            <w:vAlign w:val="center"/>
          </w:tcPr>
          <w:p>
            <w:pPr>
              <w:widowControl/>
              <w:spacing w:line="240" w:lineRule="exact"/>
              <w:jc w:val="center"/>
              <w:rPr>
                <w:rFonts w:ascii="Times New Roman" w:hAnsi="Times New Roman"/>
                <w:kern w:val="0"/>
                <w:sz w:val="18"/>
                <w:szCs w:val="18"/>
              </w:rPr>
            </w:pPr>
          </w:p>
        </w:tc>
      </w:tr>
    </w:tbl>
    <w:p/>
    <w:p/>
    <w:p/>
    <w:p/>
    <w:p>
      <w:pPr>
        <w:sectPr>
          <w:pgSz w:w="11906" w:h="16838"/>
          <w:pgMar w:top="1440" w:right="1800" w:bottom="1440" w:left="1800" w:header="851" w:footer="992" w:gutter="0"/>
          <w:docGrid w:type="lines" w:linePitch="312" w:charSpace="0"/>
        </w:sectPr>
      </w:pPr>
    </w:p>
    <w:p>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t>附件5</w:t>
      </w:r>
    </w:p>
    <w:p>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项目支出绩效评价共性指标表（参考）</w:t>
      </w:r>
    </w:p>
    <w:tbl>
      <w:tblPr>
        <w:jc w:val="center"/>
        <w:tblW w:w="125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rPr>
          <w:trHeight w:val="692"/>
          <w:tblHeader/>
        </w:trPr>
        <w:tc>
          <w:tcPr>
            <w:tcW w:w="682"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trPr>
          <w:trHeight w:val="2318"/>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项目立项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br/>
              <w:t>①项目立项是否符合国家法律法规、国民经济发展规划和相关政策；</w:t>
              <w:br/>
              <w:t>②项目立项是否符合行业发展规划和政策要求；</w:t>
              <w:br/>
              <w:t>③项目立项是否与部门职责范围相符，属于部门履职所需；</w:t>
              <w:br/>
              <w:t>④项目是否属于公共财政支持范围，是否符合中央、地方事权支出责任划分原则；</w:t>
              <w:br/>
              <w:t>⑤项目是否与相关部门同类项目或部门内部相关项目重复。</w:t>
            </w:r>
          </w:p>
        </w:tc>
        <w:tc>
          <w:tcPr>
            <w:tcW w:w="56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eastAsia="宋体" w:hAnsi="Times New Roman" w:hint="eastAsia"/>
                <w:color w:val="000000"/>
                <w:kern w:val="0"/>
                <w:sz w:val="22"/>
                <w:szCs w:val="22"/>
                <w:lang w:val="en-US" w:eastAsia="zh-CN"/>
              </w:rPr>
            </w:pPr>
            <w:r>
              <w:rPr>
                <w:rFonts w:ascii="Times New Roman" w:hAnsi="Times New Roman" w:hint="eastAsia"/>
                <w:color w:val="000000"/>
                <w:kern w:val="0"/>
                <w:sz w:val="22"/>
                <w:szCs w:val="22"/>
                <w:lang w:val="en-US" w:eastAsia="zh-CN"/>
              </w:rPr>
              <w:t>4</w:t>
            </w:r>
          </w:p>
        </w:tc>
      </w:tr>
      <w:tr>
        <w:trPr>
          <w:trHeight w:val="1510"/>
        </w:trPr>
        <w:tc>
          <w:tcPr>
            <w:tcW w:w="682" w:type="dxa"/>
            <w:vMerge/>
            <w:tcBorders>
              <w:top w:val="single" w:sz="8" w:space="0" w:color="000000"/>
              <w:left w:val="single" w:sz="8" w:space="0" w:color="000000"/>
              <w:bottom w:val="single" w:sz="8" w:space="0" w:color="000000"/>
              <w:right w:val="single" w:sz="8" w:space="0" w:color="000000"/>
            </w:tcBorders>
            <w:shd w:val="clear" w:color="auto" w:fill="FFFFFF"/>
            <w:noWrap/>
            <w:vAlign w:val="center"/>
          </w:tcPr>
          <w:p/>
        </w:tc>
        <w:tc>
          <w:tcPr>
            <w:tcW w:w="709" w:type="dxa"/>
            <w:vMerge/>
            <w:tcBorders>
              <w:top w:val="single" w:sz="8" w:space="0" w:color="000000"/>
              <w:left w:val="single" w:sz="8" w:space="0" w:color="000000"/>
              <w:bottom w:val="single" w:sz="8" w:space="0" w:color="000000"/>
              <w:right w:val="single" w:sz="8" w:space="0" w:color="000000"/>
            </w:tcBorders>
            <w:shd w:val="clear" w:color="auto" w:fill="FFFFFF"/>
            <w:noWrap/>
            <w:vAlign w:val="center"/>
          </w:tcP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br/>
              <w:t>①项目是否按照规定的程序申请设立；</w:t>
              <w:br/>
              <w:t>②审批文件、材料是否符合相关要求；</w:t>
              <w:br/>
              <w:t>③事前是否已经过必要的可行性研究、专家论证、风险评估、绩效评估、集体决策。</w:t>
            </w:r>
          </w:p>
        </w:tc>
        <w:tc>
          <w:tcPr>
            <w:tcW w:w="56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eastAsia="宋体" w:hAnsi="Times New Roman" w:hint="eastAsia"/>
                <w:color w:val="000000"/>
                <w:kern w:val="0"/>
                <w:sz w:val="22"/>
                <w:szCs w:val="22"/>
                <w:lang w:val="en-US" w:eastAsia="zh-CN"/>
              </w:rPr>
            </w:pPr>
            <w:r>
              <w:rPr>
                <w:rFonts w:ascii="Times New Roman" w:hAnsi="Times New Roman" w:hint="eastAsia"/>
                <w:color w:val="000000"/>
                <w:kern w:val="0"/>
                <w:sz w:val="22"/>
                <w:szCs w:val="22"/>
                <w:lang w:val="en-US" w:eastAsia="zh-CN"/>
              </w:rPr>
              <w:t>3</w:t>
            </w:r>
          </w:p>
        </w:tc>
      </w:tr>
      <w:tr>
        <w:trPr>
          <w:trHeight w:val="1829"/>
        </w:trPr>
        <w:tc>
          <w:tcPr>
            <w:tcW w:w="682" w:type="dxa"/>
            <w:vMerge/>
            <w:tcBorders>
              <w:top w:val="single" w:sz="8" w:space="0" w:color="000000"/>
              <w:left w:val="single" w:sz="8" w:space="0" w:color="000000"/>
              <w:bottom w:val="single" w:sz="8" w:space="0" w:color="000000"/>
              <w:right w:val="single" w:sz="8" w:space="0" w:color="000000"/>
            </w:tcBorders>
            <w:shd w:val="clear" w:color="auto" w:fill="FFFFFF"/>
            <w:noWrap/>
            <w:vAlign w:val="center"/>
          </w:tcP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br/>
              <w:t>（如未设定预算绩效目标，也可考核其他工作任务目标）</w:t>
              <w:br/>
              <w:t>①项目是否有绩效目标；</w:t>
              <w:br/>
              <w:t>②项目绩效目标与实际工作内容是否具有相关性；</w:t>
              <w:br/>
              <w:t>③项目预期产出效益和效果是否符合正常的业绩水平；</w:t>
            </w:r>
          </w:p>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④是否与预算确定的项目投资额或资金量相匹配。</w:t>
            </w:r>
          </w:p>
        </w:tc>
        <w:tc>
          <w:tcPr>
            <w:tcW w:w="56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eastAsia="宋体" w:hAnsi="Times New Roman" w:hint="eastAsia"/>
                <w:color w:val="000000"/>
                <w:kern w:val="0"/>
                <w:sz w:val="22"/>
                <w:szCs w:val="22"/>
                <w:lang w:val="en-US" w:eastAsia="zh-CN"/>
              </w:rPr>
            </w:pPr>
            <w:r>
              <w:rPr>
                <w:rFonts w:ascii="Times New Roman" w:hAnsi="Times New Roman" w:hint="eastAsia"/>
                <w:color w:val="000000"/>
                <w:kern w:val="0"/>
                <w:sz w:val="22"/>
                <w:szCs w:val="22"/>
                <w:lang w:val="en-US" w:eastAsia="zh-CN"/>
              </w:rPr>
              <w:t>3</w:t>
            </w:r>
          </w:p>
        </w:tc>
      </w:tr>
      <w:tr>
        <w:trPr>
          <w:trHeight w:val="1464"/>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br/>
              <w:t>①是否将项目绩效目标细化分解为具体的绩效指标；</w:t>
              <w:br/>
              <w:t>②是否通过清晰、可衡量的指标值予以体现；</w:t>
              <w:br/>
              <w:t>③是否与项目目标任务数或计划数相对应。</w:t>
              <w:br/>
            </w:r>
          </w:p>
        </w:tc>
        <w:tc>
          <w:tcPr>
            <w:tcW w:w="56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eastAsia="宋体" w:hAnsi="Times New Roman" w:hint="eastAsia"/>
                <w:color w:val="000000"/>
                <w:kern w:val="0"/>
                <w:sz w:val="22"/>
                <w:szCs w:val="22"/>
                <w:lang w:val="en-US" w:eastAsia="zh-CN"/>
              </w:rPr>
            </w:pPr>
            <w:r>
              <w:rPr>
                <w:rFonts w:ascii="Times New Roman" w:hAnsi="Times New Roman" w:hint="eastAsia"/>
                <w:color w:val="000000"/>
                <w:kern w:val="0"/>
                <w:sz w:val="22"/>
                <w:szCs w:val="22"/>
                <w:lang w:val="en-US" w:eastAsia="zh-CN"/>
              </w:rPr>
              <w:t>4</w:t>
            </w:r>
          </w:p>
        </w:tc>
      </w:tr>
      <w:tr>
        <w:trPr>
          <w:trHeight w:val="1942"/>
        </w:trPr>
        <w:tc>
          <w:tcPr>
            <w:tcW w:w="682" w:type="dxa"/>
            <w:vMerge/>
            <w:tcBorders>
              <w:top w:val="single" w:sz="8" w:space="0" w:color="000000"/>
              <w:left w:val="single" w:sz="8" w:space="0" w:color="000000"/>
              <w:bottom w:val="single" w:sz="8" w:space="0" w:color="000000"/>
              <w:right w:val="single" w:sz="8" w:space="0" w:color="000000"/>
            </w:tcBorders>
            <w:shd w:val="clear" w:color="auto" w:fill="FFFFFF"/>
            <w:noWrap/>
            <w:vAlign w:val="center"/>
          </w:tc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br/>
              <w:t>①预算编制是否经过科学论证；</w:t>
              <w:br/>
              <w:t>②预算内容与项目内容是否匹配；</w:t>
              <w:br/>
              <w:t>③预算额度测算依据是否充分，是否按照标准编制；</w:t>
              <w:br/>
              <w:t>④预算确定的项目投资额或资金量是否与工作任务相匹配。</w:t>
            </w:r>
          </w:p>
        </w:tc>
        <w:tc>
          <w:tcPr>
            <w:tcW w:w="56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eastAsia="宋体" w:hAnsi="Times New Roman" w:hint="eastAsia"/>
                <w:color w:val="000000"/>
                <w:kern w:val="0"/>
                <w:sz w:val="22"/>
                <w:szCs w:val="22"/>
                <w:lang w:val="en-US" w:eastAsia="zh-CN"/>
              </w:rPr>
            </w:pPr>
            <w:r>
              <w:rPr>
                <w:rFonts w:ascii="Times New Roman" w:hAnsi="Times New Roman" w:hint="eastAsia"/>
                <w:color w:val="000000"/>
                <w:kern w:val="0"/>
                <w:sz w:val="22"/>
                <w:szCs w:val="22"/>
                <w:lang w:val="en-US" w:eastAsia="zh-CN"/>
              </w:rPr>
              <w:t>3</w:t>
            </w:r>
          </w:p>
        </w:tc>
      </w:tr>
      <w:tr>
        <w:trPr>
          <w:trHeight w:val="1706"/>
        </w:trPr>
        <w:tc>
          <w:tcPr>
            <w:tcW w:w="682" w:type="dxa"/>
            <w:vMerge/>
            <w:tcBorders>
              <w:top w:val="single" w:sz="8" w:space="0" w:color="000000"/>
              <w:left w:val="single" w:sz="8" w:space="0" w:color="000000"/>
              <w:bottom w:val="single" w:sz="8" w:space="0" w:color="000000"/>
              <w:right w:val="single" w:sz="8" w:space="0" w:color="000000"/>
            </w:tcBorders>
            <w:shd w:val="clear" w:color="auto" w:fill="FFFFFF"/>
            <w:noWrap/>
            <w:vAlign w:val="center"/>
          </w:tcPr>
          <w:p/>
        </w:tc>
        <w:tc>
          <w:tcPr>
            <w:tcW w:w="709" w:type="dxa"/>
            <w:vMerge/>
            <w:tcBorders>
              <w:top w:val="single" w:sz="8" w:space="0" w:color="000000"/>
              <w:left w:val="single" w:sz="8" w:space="0" w:color="000000"/>
              <w:bottom w:val="single" w:sz="8" w:space="0" w:color="000000"/>
              <w:right w:val="single" w:sz="8" w:space="0" w:color="000000"/>
            </w:tcBorders>
            <w:shd w:val="clear" w:color="auto" w:fill="FFFFFF"/>
            <w:noWrap/>
            <w:vAlign w:val="center"/>
          </w:tcP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br/>
              <w:t>①预算资金分配依据是否充分；</w:t>
              <w:br/>
              <w:t>②资金分配额度是否合理，与项目单位或地方实际是否相适应。</w:t>
            </w:r>
          </w:p>
        </w:tc>
        <w:tc>
          <w:tcPr>
            <w:tcW w:w="56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eastAsia="宋体" w:hAnsi="Times New Roman" w:hint="eastAsia"/>
                <w:color w:val="000000"/>
                <w:kern w:val="0"/>
                <w:sz w:val="22"/>
                <w:szCs w:val="22"/>
                <w:lang w:val="en-US" w:eastAsia="zh-CN"/>
              </w:rPr>
            </w:pPr>
            <w:r>
              <w:rPr>
                <w:rFonts w:ascii="Times New Roman" w:hAnsi="Times New Roman" w:hint="eastAsia"/>
                <w:color w:val="000000"/>
                <w:kern w:val="0"/>
                <w:sz w:val="22"/>
                <w:szCs w:val="22"/>
                <w:lang w:val="en-US" w:eastAsia="zh-CN"/>
              </w:rPr>
              <w:t>3</w:t>
            </w:r>
          </w:p>
        </w:tc>
      </w:tr>
      <w:tr>
        <w:trPr>
          <w:trHeight w:val="1415"/>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noWrap/>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资金到位率=（实际到位资金/预算资金）×100%。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eastAsia="宋体" w:hAnsi="Times New Roman" w:hint="eastAsia"/>
                <w:color w:val="000000"/>
                <w:kern w:val="0"/>
                <w:sz w:val="22"/>
                <w:szCs w:val="22"/>
                <w:lang w:val="en-US" w:eastAsia="zh-CN"/>
              </w:rPr>
            </w:pPr>
            <w:r>
              <w:rPr>
                <w:rFonts w:ascii="Times New Roman" w:hAnsi="Times New Roman" w:hint="eastAsia"/>
                <w:color w:val="000000"/>
                <w:kern w:val="0"/>
                <w:sz w:val="22"/>
                <w:szCs w:val="22"/>
                <w:lang w:val="en-US" w:eastAsia="zh-CN"/>
              </w:rPr>
              <w:t>3</w:t>
            </w:r>
          </w:p>
        </w:tc>
      </w:tr>
      <w:tr>
        <w:trPr>
          <w:trHeight w:val="1320"/>
        </w:trPr>
        <w:tc>
          <w:tcPr>
            <w:tcW w:w="682" w:type="dxa"/>
            <w:vMerge/>
            <w:tcBorders>
              <w:top w:val="single" w:sz="8" w:space="0" w:color="000000"/>
              <w:left w:val="single" w:sz="8" w:space="0" w:color="000000"/>
              <w:bottom w:val="single" w:sz="8" w:space="0" w:color="000000"/>
              <w:right w:val="single" w:sz="8" w:space="0" w:color="000000"/>
            </w:tcBorders>
            <w:shd w:val="clear" w:color="auto" w:fill="FFFFFF"/>
            <w:noWrap/>
            <w:vAlign w:val="center"/>
          </w:tcPr>
          <w:p/>
        </w:tc>
        <w:tc>
          <w:tcPr>
            <w:tcW w:w="709" w:type="dxa"/>
            <w:vMerge/>
            <w:tcBorders>
              <w:top w:val="single" w:sz="8" w:space="0" w:color="000000"/>
              <w:left w:val="single" w:sz="8" w:space="0" w:color="000000"/>
              <w:bottom w:val="single" w:sz="8" w:space="0" w:color="000000"/>
              <w:right w:val="single" w:sz="8" w:space="0" w:color="000000"/>
            </w:tcBorders>
            <w:shd w:val="clear" w:color="auto" w:fill="FFFFFF"/>
            <w:noWrap/>
            <w:vAlign w:val="center"/>
          </w:tcP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预算执行率=（实际支出资金/实际到位资金）×100%。</w:t>
              <w:br/>
              <w:t>实际支出资金：一定时期（本年度或项目期）内项目实际拨付的资金。</w:t>
            </w:r>
          </w:p>
        </w:tc>
        <w:tc>
          <w:tcPr>
            <w:tcW w:w="56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eastAsia="宋体" w:hAnsi="Times New Roman" w:hint="eastAsia"/>
                <w:color w:val="000000"/>
                <w:kern w:val="0"/>
                <w:sz w:val="22"/>
                <w:szCs w:val="22"/>
                <w:lang w:val="en-US" w:eastAsia="zh-CN"/>
              </w:rPr>
            </w:pPr>
            <w:r>
              <w:rPr>
                <w:rFonts w:ascii="Times New Roman" w:hAnsi="Times New Roman" w:hint="eastAsia"/>
                <w:color w:val="000000"/>
                <w:kern w:val="0"/>
                <w:sz w:val="22"/>
                <w:szCs w:val="22"/>
                <w:lang w:val="en-US" w:eastAsia="zh-CN"/>
              </w:rPr>
              <w:t>4</w:t>
            </w:r>
          </w:p>
        </w:tc>
      </w:tr>
      <w:tr>
        <w:trPr>
          <w:trHeight w:val="2076"/>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　</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br/>
              <w:t>①是否符合国家财经法规和财务管理制度以及有关专项资金管理办法的规定；</w:t>
              <w:br/>
              <w:t>②资金的拨付是否有完整的审批程序和手续；</w:t>
              <w:br/>
              <w:t>③是否符合项目预算批复或合同规定的用途；</w:t>
              <w:br/>
              <w:t>④是否存在截留、挤占、挪用、虚列支出等情况。</w:t>
            </w:r>
          </w:p>
        </w:tc>
        <w:tc>
          <w:tcPr>
            <w:tcW w:w="56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eastAsia="宋体" w:hAnsi="Times New Roman" w:hint="eastAsia"/>
                <w:color w:val="000000"/>
                <w:kern w:val="0"/>
                <w:sz w:val="22"/>
                <w:szCs w:val="22"/>
                <w:lang w:val="en-US" w:eastAsia="zh-CN"/>
              </w:rPr>
            </w:pPr>
            <w:r>
              <w:rPr>
                <w:rFonts w:ascii="Times New Roman" w:hAnsi="Times New Roman" w:hint="eastAsia"/>
                <w:color w:val="000000"/>
                <w:kern w:val="0"/>
                <w:sz w:val="22"/>
                <w:szCs w:val="22"/>
                <w:lang w:val="en-US" w:eastAsia="zh-CN"/>
              </w:rPr>
              <w:t>4</w:t>
            </w:r>
          </w:p>
        </w:tc>
      </w:tr>
      <w:tr>
        <w:trPr>
          <w:trHeight w:val="1797"/>
        </w:trPr>
        <w:tc>
          <w:tcPr>
            <w:tcW w:w="682" w:type="dxa"/>
            <w:vMerge/>
            <w:tcBorders>
              <w:top w:val="single" w:sz="8" w:space="0" w:color="000000"/>
              <w:left w:val="single" w:sz="8" w:space="0" w:color="000000"/>
              <w:bottom w:val="single" w:sz="8" w:space="0" w:color="000000"/>
              <w:right w:val="single" w:sz="8" w:space="0" w:color="000000"/>
            </w:tcBorders>
            <w:shd w:val="clear" w:color="auto" w:fill="FFFFFF"/>
            <w:noWrap/>
            <w:vAlign w:val="center"/>
          </w:tc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br/>
              <w:t>①是否已制定或具有相应的财务和业务管理制度；</w:t>
              <w:br/>
              <w:t>②财务和业务管理制度是否合法、合规、完整。</w:t>
            </w:r>
          </w:p>
        </w:tc>
        <w:tc>
          <w:tcPr>
            <w:tcW w:w="56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eastAsia="宋体" w:hAnsi="Times New Roman" w:hint="eastAsia"/>
                <w:color w:val="000000"/>
                <w:kern w:val="0"/>
                <w:sz w:val="22"/>
                <w:szCs w:val="22"/>
                <w:lang w:val="en-US" w:eastAsia="zh-CN"/>
              </w:rPr>
            </w:pPr>
            <w:r>
              <w:rPr>
                <w:rFonts w:ascii="Times New Roman" w:hAnsi="Times New Roman" w:hint="eastAsia"/>
                <w:color w:val="000000"/>
                <w:kern w:val="0"/>
                <w:sz w:val="22"/>
                <w:szCs w:val="22"/>
                <w:lang w:val="en-US" w:eastAsia="zh-CN"/>
              </w:rPr>
              <w:t>4</w:t>
            </w:r>
          </w:p>
        </w:tc>
      </w:tr>
      <w:tr>
        <w:trPr>
          <w:trHeight w:val="1769"/>
        </w:trPr>
        <w:tc>
          <w:tcPr>
            <w:tcW w:w="682" w:type="dxa"/>
            <w:vMerge/>
            <w:tcBorders>
              <w:top w:val="single" w:sz="8" w:space="0" w:color="000000"/>
              <w:left w:val="single" w:sz="8" w:space="0" w:color="000000"/>
              <w:bottom w:val="single" w:sz="8" w:space="0" w:color="000000"/>
              <w:right w:val="single" w:sz="8" w:space="0" w:color="000000"/>
            </w:tcBorders>
            <w:shd w:val="clear" w:color="auto" w:fill="FFFFFF"/>
            <w:noWrap/>
            <w:vAlign w:val="center"/>
          </w:tcPr>
          <w:p/>
        </w:tc>
        <w:tc>
          <w:tcPr>
            <w:tcW w:w="709" w:type="dxa"/>
            <w:vMerge/>
            <w:tcBorders>
              <w:top w:val="single" w:sz="8" w:space="0" w:color="000000"/>
              <w:left w:val="single" w:sz="8" w:space="0" w:color="000000"/>
              <w:bottom w:val="single" w:sz="8" w:space="0" w:color="000000"/>
              <w:right w:val="single" w:sz="8" w:space="0" w:color="000000"/>
            </w:tcBorders>
            <w:shd w:val="clear" w:color="auto" w:fill="FFFFFF"/>
            <w:noWrap/>
            <w:vAlign w:val="center"/>
          </w:tcP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br/>
              <w:t>①是否遵守相关法律法规和相关管理规定；</w:t>
              <w:br/>
              <w:t>②项目调整及支出调整手续是否完备；</w:t>
              <w:br/>
              <w:t>③项目合同书、验收报告、技术鉴定等资料是否齐全并及时归档；</w:t>
              <w:br/>
              <w:t>④项目实施的人员条件、场地设备、信息支撑等是否落实到位。</w:t>
            </w:r>
          </w:p>
        </w:tc>
        <w:tc>
          <w:tcPr>
            <w:tcW w:w="56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eastAsia="宋体" w:hAnsi="Times New Roman" w:hint="eastAsia"/>
                <w:color w:val="000000"/>
                <w:kern w:val="0"/>
                <w:sz w:val="22"/>
                <w:szCs w:val="22"/>
                <w:lang w:val="en-US" w:eastAsia="zh-CN"/>
              </w:rPr>
            </w:pPr>
            <w:r>
              <w:rPr>
                <w:rFonts w:ascii="Times New Roman" w:eastAsia="宋体" w:hAnsi="Times New Roman"/>
                <w:color w:val="000000"/>
                <w:kern w:val="0"/>
                <w:sz w:val="22"/>
                <w:szCs w:val="22"/>
                <w:lang w:val="en-US" w:eastAsia="zh-CN"/>
              </w:rPr>
              <w:t>3</w:t>
            </w:r>
          </w:p>
        </w:tc>
      </w:tr>
      <w:tr>
        <w:trPr>
          <w:trHeight w:val="1917"/>
        </w:trPr>
        <w:tc>
          <w:tcPr>
            <w:tcW w:w="682"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实际完成率=（实际产出数/计划产出数）×100%。</w:t>
              <w:br/>
              <w:t>实际产出数：一定时期（本年度或项目期）内项目实际产出的产品或提供的服务数量。</w:t>
              <w:br/>
              <w:t>计划产出数：项目绩效目标确定的在一定时期（本年度或项目期）内计划产出的产品或提供的服务数量。</w:t>
            </w:r>
          </w:p>
        </w:tc>
        <w:tc>
          <w:tcPr>
            <w:tcW w:w="56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eastAsia="宋体" w:hAnsi="Times New Roman" w:hint="eastAsia"/>
                <w:color w:val="000000"/>
                <w:kern w:val="0"/>
                <w:sz w:val="22"/>
                <w:szCs w:val="22"/>
                <w:lang w:val="en-US" w:eastAsia="zh-CN"/>
              </w:rPr>
            </w:pPr>
            <w:r>
              <w:rPr>
                <w:rFonts w:ascii="Times New Roman" w:hAnsi="Times New Roman" w:hint="eastAsia"/>
                <w:color w:val="000000"/>
                <w:kern w:val="0"/>
                <w:sz w:val="22"/>
                <w:szCs w:val="22"/>
                <w:lang w:val="en-US" w:eastAsia="zh-CN"/>
              </w:rPr>
              <w:t>8</w:t>
            </w:r>
          </w:p>
        </w:tc>
      </w:tr>
      <w:tr>
        <w:trPr>
          <w:trHeight w:val="1536"/>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质量达标率=（质量达标产出数/实际产出数）×100%。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eastAsia="宋体" w:hAnsi="Times New Roman" w:hint="eastAsia"/>
                <w:color w:val="000000"/>
                <w:kern w:val="0"/>
                <w:sz w:val="22"/>
                <w:szCs w:val="22"/>
                <w:lang w:val="en-US" w:eastAsia="zh-CN"/>
              </w:rPr>
            </w:pPr>
            <w:r>
              <w:rPr>
                <w:rFonts w:ascii="Times New Roman" w:hAnsi="Times New Roman" w:hint="eastAsia"/>
                <w:color w:val="000000"/>
                <w:kern w:val="0"/>
                <w:sz w:val="22"/>
                <w:szCs w:val="22"/>
                <w:lang w:val="en-US" w:eastAsia="zh-CN"/>
              </w:rPr>
              <w:t>8</w:t>
            </w:r>
          </w:p>
        </w:tc>
      </w:tr>
      <w:tr>
        <w:trPr>
          <w:trHeight w:val="1336"/>
        </w:trPr>
        <w:tc>
          <w:tcPr>
            <w:tcW w:w="682" w:type="dxa"/>
            <w:vMerge/>
            <w:tcBorders>
              <w:top w:val="single" w:sz="8" w:space="0" w:color="000000"/>
              <w:left w:val="single" w:sz="8" w:space="0" w:color="000000"/>
              <w:bottom w:val="single" w:sz="8" w:space="0" w:color="000000"/>
              <w:right w:val="single" w:sz="8" w:space="0" w:color="000000"/>
            </w:tcBorders>
            <w:shd w:val="clear" w:color="auto" w:fill="FFFFFF"/>
            <w:noWrap/>
            <w:vAlign w:val="center"/>
          </w:tcP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br/>
              <w:t>计划完成时间：按照项目实施计划或相关规定完成该项目所需的时间。</w:t>
            </w:r>
          </w:p>
        </w:tc>
        <w:tc>
          <w:tcPr>
            <w:tcW w:w="56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eastAsia="宋体" w:hAnsi="Times New Roman" w:hint="eastAsia"/>
                <w:color w:val="000000"/>
                <w:kern w:val="0"/>
                <w:sz w:val="22"/>
                <w:szCs w:val="22"/>
                <w:lang w:val="en-US" w:eastAsia="zh-CN"/>
              </w:rPr>
            </w:pPr>
            <w:r>
              <w:rPr>
                <w:rFonts w:ascii="Times New Roman" w:hAnsi="Times New Roman" w:hint="eastAsia"/>
                <w:color w:val="000000"/>
                <w:kern w:val="0"/>
                <w:sz w:val="22"/>
                <w:szCs w:val="22"/>
                <w:lang w:val="en-US" w:eastAsia="zh-CN"/>
              </w:rPr>
              <w:t>8</w:t>
            </w:r>
          </w:p>
        </w:tc>
      </w:tr>
      <w:tr>
        <w:trPr>
          <w:trHeight w:val="1674"/>
        </w:trPr>
        <w:tc>
          <w:tcPr>
            <w:tcW w:w="682" w:type="dxa"/>
            <w:vMerge/>
            <w:tcBorders>
              <w:top w:val="single" w:sz="8" w:space="0" w:color="000000"/>
              <w:left w:val="single" w:sz="8" w:space="0" w:color="000000"/>
              <w:bottom w:val="single" w:sz="8" w:space="0" w:color="000000"/>
              <w:right w:val="single" w:sz="8" w:space="0" w:color="000000"/>
            </w:tcBorders>
            <w:shd w:val="clear" w:color="auto" w:fill="FFFFFF"/>
            <w:noWrap/>
            <w:vAlign w:val="center"/>
          </w:tcP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t>成本节约率=[（计划成本-实际成本）/计划成本]×100%。</w:t>
              <w:br/>
              <w:t>实际成本：项目实施单位如期、保质、保量完成既定工作目标实际所耗费的支出。</w:t>
              <w:br/>
              <w:t>计划成本：项目实施单位为完成工作目标计划安排的支出，一般以项目预算为参考。</w:t>
            </w:r>
          </w:p>
        </w:tc>
        <w:tc>
          <w:tcPr>
            <w:tcW w:w="56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eastAsia="宋体" w:hAnsi="Times New Roman" w:hint="eastAsia"/>
                <w:color w:val="000000"/>
                <w:kern w:val="0"/>
                <w:sz w:val="22"/>
                <w:szCs w:val="22"/>
                <w:lang w:val="en-US" w:eastAsia="zh-CN"/>
              </w:rPr>
            </w:pPr>
            <w:r>
              <w:rPr>
                <w:rFonts w:ascii="Times New Roman" w:hAnsi="Times New Roman" w:hint="eastAsia"/>
                <w:color w:val="000000"/>
                <w:kern w:val="0"/>
                <w:sz w:val="22"/>
                <w:szCs w:val="22"/>
                <w:lang w:val="en-US" w:eastAsia="zh-CN"/>
              </w:rPr>
              <w:t>8</w:t>
            </w:r>
          </w:p>
        </w:tc>
      </w:tr>
      <w:tr>
        <w:trPr>
          <w:trHeight w:val="693"/>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效益　</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项目效益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eastAsia="宋体" w:hAnsi="Times New Roman"/>
                <w:color w:val="000000"/>
                <w:kern w:val="0"/>
                <w:sz w:val="22"/>
                <w:szCs w:val="22"/>
                <w:lang w:val="en-US" w:eastAsia="zh-CN"/>
              </w:rPr>
            </w:pPr>
            <w:r>
              <w:rPr>
                <w:rFonts w:ascii="Times New Roman" w:hAnsi="Times New Roman" w:hint="eastAsia"/>
                <w:color w:val="000000"/>
                <w:kern w:val="0"/>
                <w:sz w:val="22"/>
                <w:szCs w:val="22"/>
                <w:lang w:val="en-US" w:eastAsia="zh-CN"/>
              </w:rPr>
              <w:t>20</w:t>
            </w:r>
          </w:p>
        </w:tc>
      </w:tr>
      <w:tr>
        <w:trPr>
          <w:trHeight w:val="784"/>
        </w:trPr>
        <w:tc>
          <w:tcPr>
            <w:tcW w:w="682" w:type="dxa"/>
            <w:vMerge/>
            <w:tcBorders>
              <w:top w:val="single" w:sz="8" w:space="0" w:color="000000"/>
              <w:left w:val="single" w:sz="8" w:space="0" w:color="000000"/>
              <w:bottom w:val="single" w:sz="8" w:space="0" w:color="000000"/>
              <w:right w:val="single" w:sz="8" w:space="0" w:color="000000"/>
            </w:tcBorders>
            <w:shd w:val="clear" w:color="auto" w:fill="FFFFFF"/>
            <w:noWrap/>
            <w:vAlign w:val="center"/>
          </w:tcPr>
          <w:p/>
        </w:tc>
        <w:tc>
          <w:tcPr>
            <w:tcW w:w="709" w:type="dxa"/>
            <w:vMerge/>
            <w:tcBorders>
              <w:top w:val="single" w:sz="8" w:space="0" w:color="000000"/>
              <w:left w:val="single" w:sz="8" w:space="0" w:color="000000"/>
              <w:bottom w:val="single" w:sz="8" w:space="0" w:color="000000"/>
              <w:right w:val="single" w:sz="8" w:space="0" w:color="000000"/>
            </w:tcBorders>
            <w:shd w:val="clear" w:color="auto" w:fill="FFFFFF"/>
            <w:noWrap/>
            <w:vAlign w:val="center"/>
          </w:tcP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eastAsia="宋体" w:hAnsi="Times New Roman" w:hint="eastAsia"/>
                <w:color w:val="000000"/>
                <w:kern w:val="0"/>
                <w:sz w:val="22"/>
                <w:szCs w:val="22"/>
                <w:lang w:val="en-US" w:eastAsia="zh-CN"/>
              </w:rPr>
            </w:pPr>
            <w:r>
              <w:rPr>
                <w:rFonts w:ascii="Times New Roman" w:hAnsi="Times New Roman" w:hint="eastAsia"/>
                <w:color w:val="000000"/>
                <w:kern w:val="0"/>
                <w:sz w:val="22"/>
                <w:szCs w:val="22"/>
                <w:lang w:val="en-US" w:eastAsia="zh-CN"/>
              </w:rPr>
              <w:t>8</w:t>
            </w:r>
          </w:p>
        </w:tc>
      </w:tr>
      <w:tr>
        <w:trPr>
          <w:trHeight w:val="558"/>
        </w:trPr>
        <w:tc>
          <w:tcPr>
            <w:tcW w:w="2525" w:type="dxa"/>
            <w:gridSpan w:val="3"/>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p>
        </w:tc>
        <w:tc>
          <w:tcPr>
            <w:tcW w:w="609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rPr>
                <w:rFonts w:ascii="Times New Roman" w:hAnsi="Times New Roman"/>
                <w:color w:val="000000"/>
                <w:kern w:val="0"/>
                <w:sz w:val="22"/>
                <w:szCs w:val="22"/>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pPr>
              <w:widowControl/>
              <w:spacing w:line="0" w:lineRule="atLeast"/>
              <w:jc w:val="center"/>
              <w:rPr>
                <w:rFonts w:ascii="Times New Roman" w:eastAsia="宋体" w:hAnsi="Times New Roman"/>
                <w:color w:val="000000"/>
                <w:kern w:val="0"/>
                <w:sz w:val="22"/>
                <w:szCs w:val="22"/>
                <w:lang w:val="en-US" w:eastAsia="zh-CN"/>
              </w:rPr>
            </w:pPr>
            <w:r>
              <w:rPr>
                <w:rFonts w:ascii="Times New Roman" w:hAnsi="Times New Roman" w:hint="eastAsia"/>
                <w:color w:val="000000"/>
                <w:kern w:val="0"/>
                <w:sz w:val="22"/>
                <w:szCs w:val="22"/>
                <w:lang w:val="en-US" w:eastAsia="zh-CN"/>
              </w:rPr>
              <w:t>9</w:t>
            </w:r>
            <w:r>
              <w:rPr>
                <w:rFonts w:ascii="Times New Roman" w:hAnsi="Times New Roman"/>
                <w:color w:val="000000"/>
                <w:kern w:val="0"/>
                <w:sz w:val="22"/>
                <w:szCs w:val="22"/>
                <w:lang w:val="en-US" w:eastAsia="zh-CN"/>
              </w:rPr>
              <w:t>8</w:t>
            </w:r>
          </w:p>
        </w:tc>
      </w:tr>
    </w:tbl>
    <w:p>
      <w:pPr>
        <w:spacing w:line="560" w:lineRule="exact"/>
        <w:ind w:firstLineChars="100" w:firstLine="200"/>
        <w:rPr>
          <w:rFonts w:ascii="Times New Roman" w:hAnsi="Times New Roman"/>
          <w:bCs/>
          <w:sz w:val="32"/>
          <w:szCs w:val="32"/>
        </w:rPr>
        <w:sectPr>
          <w:pgSz w:w="16838" w:h="11906" w:orient="landscape"/>
          <w:pgMar w:top="1531" w:right="1928" w:bottom="1531" w:left="1701" w:header="737" w:footer="851" w:gutter="0"/>
          <w:docGrid w:type="lines" w:linePitch="408" w:charSpace="0"/>
        </w:sectPr>
      </w:pPr>
      <w:r>
        <w:rPr>
          <w:rFonts w:ascii="Times New Roman" w:eastAsia="仿宋_GB2312" w:hAnsi="Times New Roman"/>
          <w:sz w:val="20"/>
          <w:szCs w:val="20"/>
        </w:rPr>
        <w:t>注：单位可以根据专项资金的管理要求和绩效要求增设个性指标。</w:t>
      </w:r>
    </w:p>
    <w:p/>
    <w:sectPr>
      <w:pgSz w:w="16838" w:h="11906" w:orient="landscape"/>
      <w:pgMar w:top="1800" w:right="1440" w:bottom="1800" w:left="144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仿宋_GB2312">
    <w:altName w:val="仿宋"/>
    <w:panose1 w:val="00000000000000000000"/>
    <w:charset w:val="86"/>
    <w:family w:val="modern"/>
    <w:pitch w:val="variable"/>
    <w:sig w:usb0="00000000" w:usb1="00000000" w:usb2="00000010" w:usb3="00000000" w:csb0="00040000" w:csb1="00000000"/>
  </w:font>
  <w:font w:name="Times New Roman">
    <w:panose1 w:val="02020603050405020304"/>
    <w:charset w:val="00"/>
    <w:family w:val="roman"/>
    <w:pitch w:val="variable"/>
    <w:sig w:usb0="20007A87" w:usb1="80000000" w:usb2="00000008" w:usb3="00000000" w:csb0="000001FF" w:csb1="00000000"/>
  </w:font>
  <w:font w:name="仿宋">
    <w:panose1 w:val="02010609060101010101"/>
    <w:charset w:val="86"/>
    <w:family w:val="auto"/>
    <w:pitch w:val="variable"/>
    <w:sig w:usb0="800002BF" w:usb1="38CF7CFA" w:usb2="00000016" w:usb3="00000000" w:csb0="00040001" w:csb1="00000000"/>
  </w:font>
  <w:font w:name="宋体">
    <w:panose1 w:val="02010600030101010101"/>
    <w:charset w:val="86"/>
    <w:family w:val="auto"/>
    <w:pitch w:val="variable"/>
    <w:sig w:usb0="00000003" w:usb1="288F0000" w:usb2="00000006" w:usb3="00000000" w:csb0="00040001" w:csb1="00000000"/>
  </w:font>
  <w:font w:name="Calibri">
    <w:panose1 w:val="020F0502020204030204"/>
    <w:charset w:val="00"/>
    <w:family w:val="swiss"/>
    <w:pitch w:val="variable"/>
    <w:sig w:usb0="E10002FF" w:usb1="4000ACFF" w:usb2="00000009" w:usb3="00000000" w:csb0="2000019F" w:csb1="00000000"/>
  </w:font>
  <w:font w:name="Arial">
    <w:panose1 w:val="020B0604020202020204"/>
    <w:charset w:val="01"/>
    <w:family w:val="swiss"/>
    <w:pitch w:val="variable"/>
    <w:sig w:usb0="E0002AFF" w:usb1="C0007843" w:usb2="00000009" w:usb3="00000000" w:csb0="400001FF" w:csb1="FFFF0000"/>
  </w:font>
  <w:font w:name="黑体">
    <w:panose1 w:val="02010609060101010101"/>
    <w:charset w:val="86"/>
    <w:family w:val="auto"/>
    <w:pitch w:val="variable"/>
    <w:sig w:usb0="800002BF" w:usb1="38CF7CFA" w:usb2="00000016" w:usb3="00000000" w:csb0="00040001"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val="0"/>
  <w:bordersDoNotSurroundFooter w:val="0"/>
  <w:defaultTabStop w:val="420"/>
  <w:drawingGridHorizontalSpacing w:val="105"/>
  <w:drawingGridVerticalSpacing w:val="156"/>
  <w:displayHorizontalDrawingGridEvery w:val="1"/>
  <w:displayVerticalDrawingGridEvery w:val="1"/>
  <w:noPunctuationKerning/>
  <w:characterSpacingControl w:val="compressPunctuation"/>
  <w:compat>
    <w:spaceForUL/>
    <w:balanceSingleByteDoubleByteWidth/>
    <w:ulTrailSpace/>
    <w:doNotExpandShiftReturn/>
    <w:adjustLineHeightInTable/>
    <w:doNotUseIndentAsNumberingTabStop/>
    <w:useAltKinsokuLineBreakRules/>
    <w:compatSetting w:name="compatibilityMode" w:uri="http://schemas.microsoft.com/office/word" w:val="12"/>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qFormat/>
    <w:pPr>
      <w:widowControl w:val="0"/>
      <w:jc w:val="both"/>
    </w:pPr>
    <w:rPr>
      <w:rFonts w:ascii="Calibri" w:eastAsia="宋体" w:cs="Arial" w:hAnsi="Calibri"/>
      <w:kern w:val="2"/>
      <w:sz w:val="21"/>
      <w:szCs w:val="24"/>
      <w:lang w:val="en-US" w:eastAsia="zh-CN" w:bidi="ar-SA"/>
    </w:rPr>
  </w:style>
  <w:style w:type="paragraph" w:styleId="1">
    <w:name w:val="heading 1"/>
    <w:qFormat/>
    <w:basedOn w:val="0"/>
    <w:next w:val="0"/>
    <w:pPr>
      <w:keepNext/>
      <w:keepLines/>
      <w:widowControl w:val="0"/>
      <w:spacing w:before="340" w:after="330" w:line="578" w:lineRule="auto"/>
      <w:outlineLvl w:val="0"/>
    </w:pPr>
    <w:rPr>
      <w:b/>
      <w:bCs/>
      <w:kern w:val="44"/>
      <w:sz w:val="44"/>
    </w:rPr>
  </w:style>
  <w:style w:type="paragraph" w:styleId="2">
    <w:name w:val="heading 2"/>
    <w:qFormat/>
    <w:basedOn w:val="0"/>
    <w:next w:val="0"/>
    <w:pPr>
      <w:keepNext/>
      <w:keepLines/>
      <w:widowControl w:val="0"/>
      <w:spacing w:before="260" w:after="260" w:line="413" w:lineRule="auto"/>
      <w:outlineLvl w:val="1"/>
    </w:pPr>
    <w:rPr>
      <w:rFonts w:ascii="Arial" w:eastAsia="黑体" w:hAnsi="Arial"/>
      <w:b/>
      <w:sz w:val="32"/>
    </w:rPr>
  </w:style>
  <w:style w:type="paragraph" w:styleId="3">
    <w:name w:val="heading 3"/>
    <w:qFormat/>
    <w:basedOn w:val="0"/>
    <w:next w:val="0"/>
    <w:pPr>
      <w:keepNext/>
      <w:keepLines/>
      <w:widowControl w:val="0"/>
      <w:spacing w:before="260" w:after="260" w:line="415" w:lineRule="auto"/>
      <w:outlineLvl w:val="2"/>
    </w:pPr>
    <w:rPr>
      <w:b/>
      <w:sz w:val="32"/>
    </w:rPr>
  </w:style>
  <w:style w:type="character" w:default="1" w:styleId="10">
    <w:name w:val="Default Paragraph Font"/>
    <w:qFormat/>
  </w:style>
  <w:style w:type="paragraph" w:styleId="15">
    <w:name w:val="footer"/>
    <w:qFormat/>
    <w:basedOn w:val="0"/>
    <w:pPr>
      <w:tabs>
        <w:tab w:val="center" w:pos="4153"/>
        <w:tab w:val="right" w:pos="8306"/>
      </w:tabs>
      <w:snapToGrid w:val="0"/>
      <w:jc w:val="left"/>
    </w:pPr>
    <w:rPr>
      <w:sz w:val="18"/>
      <w:szCs w:val="18"/>
    </w:rPr>
  </w:style>
  <w:style w:type="paragraph" w:styleId="16">
    <w:name w:val="header"/>
    <w:qFormat/>
    <w:basedOn w:val="0"/>
    <w:pPr>
      <w:pBdr>
        <w:bottom w:val="single" w:sz="6" w:space="1" w:color="auto"/>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35</TotalTime>
  <Application>Yozo_Office27021597764231180</Application>
  <Pages>12</Pages>
  <Words>0</Words>
  <Characters>4493</Characters>
  <Lines>0</Lines>
  <Paragraphs>79</Paragraphs>
  <CharactersWithSpaces>5991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Administrator</cp:lastModifiedBy>
  <cp:revision>4</cp:revision>
  <cp:lastPrinted>2020-06-29T01:28:00Z</cp:lastPrinted>
  <dcterms:created xsi:type="dcterms:W3CDTF">2020-06-23T01:11:00Z</dcterms:created>
  <dcterms:modified xsi:type="dcterms:W3CDTF">2021-07-29T02:56:01Z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2052-11.1.0.10314</vt:lpwstr>
  </property>
</Properties>
</file>