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jc w:val="center"/>
        <w:rPr>
          <w:rFonts w:ascii="仿宋_GB2312" w:eastAsia="仿宋_GB2312" w:cs="仿宋_GB2312"/>
          <w:b/>
          <w:bCs/>
          <w:sz w:val="44"/>
          <w:szCs w:val="44"/>
        </w:rPr>
      </w:pPr>
      <w:r>
        <w:rPr>
          <w:rFonts w:ascii="仿宋_GB2312" w:eastAsia="仿宋_GB2312" w:cs="仿宋_GB2312" w:hint="eastAsia"/>
          <w:b/>
          <w:bCs/>
          <w:sz w:val="44"/>
          <w:szCs w:val="44"/>
          <w:lang w:eastAsia="zh-CN"/>
        </w:rPr>
        <w:t>中方县住房保障服务中心</w:t>
      </w:r>
      <w:r>
        <w:rPr>
          <w:rFonts w:ascii="仿宋_GB2312" w:eastAsia="仿宋_GB2312" w:cs="仿宋_GB2312" w:hint="eastAsia"/>
          <w:b/>
          <w:bCs/>
          <w:sz w:val="44"/>
          <w:szCs w:val="44"/>
        </w:rPr>
        <w:t>201</w:t>
      </w:r>
      <w:r>
        <w:rPr>
          <w:rFonts w:ascii="仿宋_GB2312" w:eastAsia="仿宋_GB2312" w:cs="仿宋_GB2312" w:hint="eastAsia"/>
          <w:b/>
          <w:bCs/>
          <w:sz w:val="44"/>
          <w:szCs w:val="44"/>
          <w:lang w:val="en-US" w:eastAsia="zh-CN"/>
        </w:rPr>
        <w:t>8</w:t>
      </w:r>
      <w:r>
        <w:rPr>
          <w:rFonts w:ascii="仿宋_GB2312" w:eastAsia="仿宋_GB2312" w:cs="仿宋_GB2312" w:hint="eastAsia"/>
          <w:b/>
          <w:bCs/>
          <w:sz w:val="44"/>
          <w:szCs w:val="44"/>
        </w:rPr>
        <w:t>年</w:t>
      </w:r>
      <w:r>
        <w:rPr>
          <w:rFonts w:ascii="仿宋_GB2312" w:eastAsia="仿宋_GB2312" w:cs="仿宋_GB2312" w:hint="eastAsia"/>
          <w:b/>
          <w:bCs/>
          <w:sz w:val="44"/>
          <w:szCs w:val="44"/>
          <w:lang w:eastAsia="zh-CN"/>
        </w:rPr>
        <w:t>离退休人员住房补贴</w:t>
      </w:r>
      <w:r>
        <w:rPr>
          <w:rFonts w:ascii="仿宋_GB2312" w:eastAsia="仿宋_GB2312" w:cs="仿宋_GB2312"/>
          <w:b/>
          <w:bCs/>
          <w:sz w:val="44"/>
          <w:szCs w:val="44"/>
          <w:lang w:eastAsia="zh-CN"/>
        </w:rPr>
        <w:t>专项</w:t>
      </w:r>
      <w:r>
        <w:rPr>
          <w:rFonts w:ascii="仿宋_GB2312" w:eastAsia="仿宋_GB2312" w:cs="仿宋_GB2312" w:hint="eastAsia"/>
          <w:b/>
          <w:bCs/>
          <w:sz w:val="44"/>
          <w:szCs w:val="44"/>
        </w:rPr>
        <w:t>支出绩效自评报告</w:t>
      </w:r>
    </w:p>
    <w:p>
      <w:pPr>
        <w:spacing w:line="600" w:lineRule="exact"/>
        <w:ind w:firstLineChars="200" w:firstLine="640"/>
        <w:rPr>
          <w:rFonts w:ascii="仿宋_GB2312" w:eastAsia="仿宋_GB2312" w:cs="仿宋_GB2312"/>
          <w:b/>
          <w:bCs/>
          <w:sz w:val="32"/>
          <w:szCs w:val="32"/>
        </w:rPr>
      </w:pP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sz w:val="32"/>
          <w:szCs w:val="32"/>
        </w:rPr>
        <w:t>一、</w:t>
      </w:r>
      <w:r>
        <w:rPr>
          <w:rFonts w:ascii="仿宋_GB2312" w:eastAsia="仿宋_GB2312" w:cs="仿宋_GB2312" w:hint="eastAsia"/>
          <w:b/>
          <w:bCs/>
          <w:sz w:val="32"/>
          <w:szCs w:val="32"/>
          <w:lang w:eastAsia="zh-CN"/>
        </w:rPr>
        <w:t>离退休人员住房补贴</w:t>
      </w:r>
      <w:r>
        <w:rPr>
          <w:rFonts w:ascii="仿宋_GB2312" w:eastAsia="仿宋_GB2312" w:cs="仿宋_GB2312" w:hint="eastAsia"/>
          <w:b/>
          <w:bCs/>
          <w:sz w:val="32"/>
          <w:szCs w:val="32"/>
        </w:rPr>
        <w:t>概述</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sz w:val="32"/>
          <w:szCs w:val="32"/>
        </w:rPr>
        <w:t>(一)、目标任务及完成情况</w:t>
      </w:r>
    </w:p>
    <w:p>
      <w:pPr>
        <w:spacing w:line="600" w:lineRule="exact"/>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eastAsia="zh-CN"/>
        </w:rPr>
        <w:t>根据</w:t>
      </w:r>
      <w:r>
        <w:rPr>
          <w:rFonts w:ascii="仿宋_GB2312" w:eastAsia="仿宋_GB2312" w:cs="仿宋_GB2312" w:hint="eastAsia"/>
          <w:sz w:val="32"/>
          <w:szCs w:val="32"/>
        </w:rPr>
        <w:t>《中方县人民政府转发〈怀化市人民政府关于印发怀化市深化城镇住房制度改革加快住房建设的实施方案和怀化市职工住房货币分配实施细则〉的通知》〔中政发（2016）6号〕文件精神，</w:t>
      </w:r>
      <w:r>
        <w:rPr>
          <w:rFonts w:ascii="仿宋_GB2312" w:eastAsia="仿宋_GB2312" w:cs="仿宋_GB2312" w:hint="eastAsia"/>
          <w:sz w:val="32"/>
          <w:szCs w:val="32"/>
          <w:lang w:eastAsia="zh-CN"/>
        </w:rPr>
        <w:t>根据摸底情况</w:t>
      </w:r>
      <w:r>
        <w:rPr>
          <w:rFonts w:ascii="仿宋_GB2312" w:eastAsia="仿宋_GB2312" w:cs="仿宋_GB2312" w:hint="eastAsia"/>
          <w:sz w:val="32"/>
          <w:szCs w:val="32"/>
          <w:lang w:val="en-US" w:eastAsia="zh-CN"/>
        </w:rPr>
        <w:t>2018年退休人员住房补贴年初预算发放人数159人，</w:t>
      </w:r>
      <w:r>
        <w:rPr>
          <w:rFonts w:ascii="仿宋_GB2312" w:eastAsia="仿宋_GB2312" w:cs="仿宋_GB2312"/>
          <w:sz w:val="32"/>
          <w:szCs w:val="32"/>
          <w:lang w:val="en-US" w:eastAsia="zh-CN"/>
        </w:rPr>
        <w:t>预算</w:t>
      </w:r>
      <w:bookmarkStart w:id="0" w:name="_GoBack"/>
      <w:bookmarkEnd w:id="0"/>
      <w:r>
        <w:rPr>
          <w:rFonts w:ascii="仿宋_GB2312" w:eastAsia="仿宋_GB2312" w:cs="仿宋_GB2312" w:hint="eastAsia"/>
          <w:sz w:val="32"/>
          <w:szCs w:val="32"/>
          <w:lang w:val="en-US" w:eastAsia="zh-CN"/>
        </w:rPr>
        <w:t>发放金额82.</w:t>
      </w:r>
      <w:r>
        <w:rPr>
          <w:rFonts w:ascii="仿宋_GB2312" w:eastAsia="仿宋_GB2312" w:cs="仿宋_GB2312"/>
          <w:sz w:val="32"/>
          <w:szCs w:val="32"/>
          <w:lang w:val="en-US" w:eastAsia="zh-CN"/>
        </w:rPr>
        <w:t>7</w:t>
      </w:r>
      <w:r>
        <w:rPr>
          <w:rFonts w:ascii="仿宋_GB2312" w:eastAsia="仿宋_GB2312" w:cs="仿宋_GB2312" w:hint="eastAsia"/>
          <w:sz w:val="32"/>
          <w:szCs w:val="32"/>
          <w:lang w:val="en-US" w:eastAsia="zh-CN"/>
        </w:rPr>
        <w:t>万元，</w:t>
      </w:r>
      <w:r>
        <w:rPr>
          <w:rFonts w:ascii="仿宋_GB2312" w:eastAsia="仿宋_GB2312" w:cs="仿宋_GB2312"/>
          <w:sz w:val="32"/>
          <w:szCs w:val="32"/>
          <w:lang w:val="en-US" w:eastAsia="zh-CN"/>
        </w:rPr>
        <w:t>决算数</w:t>
      </w:r>
      <w:r>
        <w:rPr>
          <w:rFonts w:ascii="仿宋_GB2312" w:eastAsia="仿宋_GB2312" w:cs="仿宋_GB2312" w:hint="eastAsia"/>
          <w:sz w:val="32"/>
          <w:szCs w:val="32"/>
          <w:lang w:val="en-US" w:eastAsia="zh-CN"/>
        </w:rPr>
        <w:t>实际发放人数144人，发放金额81.26万元（因个别单位未及时上交资料，将于2021年补发2018年离退休人员住房补贴）。</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sz w:val="32"/>
          <w:szCs w:val="32"/>
        </w:rPr>
        <w:t>（二）、</w:t>
      </w:r>
      <w:r>
        <w:rPr>
          <w:rFonts w:ascii="仿宋_GB2312" w:eastAsia="仿宋_GB2312" w:cs="仿宋_GB2312" w:hint="eastAsia"/>
          <w:b/>
          <w:bCs/>
          <w:sz w:val="32"/>
          <w:szCs w:val="32"/>
          <w:lang w:eastAsia="zh-CN"/>
        </w:rPr>
        <w:t>离退休人员住房补贴</w:t>
      </w:r>
      <w:r>
        <w:rPr>
          <w:rFonts w:ascii="仿宋_GB2312" w:eastAsia="仿宋_GB2312" w:cs="仿宋_GB2312" w:hint="eastAsia"/>
          <w:b/>
          <w:bCs/>
          <w:sz w:val="32"/>
          <w:szCs w:val="32"/>
        </w:rPr>
        <w:t>绩效目标</w:t>
      </w:r>
    </w:p>
    <w:p>
      <w:pPr>
        <w:spacing w:line="600" w:lineRule="exact"/>
        <w:ind w:firstLineChars="200" w:firstLine="640"/>
        <w:rPr>
          <w:rFonts w:ascii="仿宋_GB2312" w:eastAsia="仿宋_GB2312" w:cs="仿宋_GB2312" w:hint="eastAsia"/>
          <w:sz w:val="32"/>
          <w:szCs w:val="32"/>
          <w:lang w:eastAsia="zh-CN"/>
        </w:rPr>
      </w:pPr>
      <w:r>
        <w:rPr>
          <w:rFonts w:ascii="仿宋_GB2312" w:eastAsia="仿宋_GB2312" w:hint="eastAsia"/>
          <w:sz w:val="32"/>
          <w:szCs w:val="32"/>
        </w:rPr>
        <w:t>安全、稳妥地发放</w:t>
      </w:r>
      <w:r>
        <w:rPr>
          <w:rFonts w:ascii="仿宋_GB2312" w:eastAsia="仿宋_GB2312" w:hint="eastAsia"/>
          <w:sz w:val="32"/>
          <w:szCs w:val="32"/>
          <w:lang w:val="en-US" w:eastAsia="zh-CN"/>
        </w:rPr>
        <w:t>2018</w:t>
      </w:r>
      <w:r>
        <w:rPr>
          <w:rFonts w:ascii="仿宋_GB2312" w:eastAsia="仿宋_GB2312" w:hint="eastAsia"/>
          <w:sz w:val="32"/>
          <w:szCs w:val="32"/>
        </w:rPr>
        <w:t>年离退休人员住房货币补贴</w:t>
      </w:r>
    </w:p>
    <w:p>
      <w:pPr>
        <w:spacing w:line="600" w:lineRule="exact"/>
        <w:ind w:firstLineChars="200" w:firstLine="640"/>
        <w:rPr>
          <w:rFonts w:ascii="仿宋_GB2312" w:eastAsia="仿宋_GB2312" w:cs="仿宋_GB2312"/>
          <w:sz w:val="32"/>
          <w:szCs w:val="32"/>
        </w:rPr>
      </w:pPr>
      <w:r>
        <w:rPr>
          <w:rFonts w:ascii="仿宋_GB2312" w:eastAsia="仿宋_GB2312" w:cs="仿宋_GB2312" w:hint="eastAsia"/>
          <w:b/>
          <w:bCs/>
          <w:sz w:val="32"/>
          <w:szCs w:val="32"/>
        </w:rPr>
        <w:t>二、</w:t>
      </w:r>
      <w:r>
        <w:rPr>
          <w:rFonts w:ascii="仿宋_GB2312" w:eastAsia="仿宋_GB2312" w:cs="仿宋_GB2312" w:hint="eastAsia"/>
          <w:b/>
          <w:bCs/>
          <w:sz w:val="32"/>
          <w:szCs w:val="32"/>
          <w:lang w:eastAsia="zh-CN"/>
        </w:rPr>
        <w:t>离退休人员住房补贴</w:t>
      </w:r>
      <w:r>
        <w:rPr>
          <w:rFonts w:ascii="仿宋_GB2312" w:eastAsia="仿宋_GB2312" w:cs="仿宋_GB2312" w:hint="eastAsia"/>
          <w:b/>
          <w:bCs/>
          <w:sz w:val="32"/>
          <w:szCs w:val="32"/>
        </w:rPr>
        <w:t>财政资金绩效评价工作情况</w:t>
      </w:r>
    </w:p>
    <w:p>
      <w:pPr>
        <w:spacing w:line="600" w:lineRule="exact"/>
        <w:ind w:firstLineChars="200" w:firstLine="640"/>
        <w:rPr>
          <w:rFonts w:ascii="仿宋_GB2312" w:eastAsia="仿宋_GB2312" w:cs="仿宋_GB2312"/>
          <w:color w:val="333333"/>
          <w:sz w:val="32"/>
          <w:szCs w:val="32"/>
          <w:shd w:val="clear" w:color="auto" w:fill="FFFFFF"/>
        </w:rPr>
      </w:pPr>
      <w:r>
        <w:rPr>
          <w:rFonts w:ascii="仿宋_GB2312" w:eastAsia="仿宋_GB2312" w:cs="仿宋_GB2312" w:hint="eastAsia"/>
          <w:b/>
          <w:bCs/>
          <w:sz w:val="32"/>
          <w:szCs w:val="32"/>
        </w:rPr>
        <w:t>（一）绩效评价目的。</w:t>
      </w:r>
      <w:r>
        <w:rPr>
          <w:rFonts w:ascii="仿宋_GB2312" w:eastAsia="仿宋_GB2312" w:cs="仿宋_GB2312" w:hint="eastAsia"/>
          <w:color w:val="333333"/>
          <w:sz w:val="32"/>
          <w:szCs w:val="32"/>
          <w:shd w:val="clear" w:color="auto" w:fill="FFFFFF"/>
        </w:rPr>
        <w:t>通过对</w:t>
      </w:r>
      <w:r>
        <w:rPr>
          <w:rFonts w:ascii="仿宋_GB2312" w:eastAsia="仿宋_GB2312" w:hint="eastAsia"/>
          <w:sz w:val="32"/>
          <w:szCs w:val="32"/>
          <w:lang w:val="en-US" w:eastAsia="zh-CN"/>
        </w:rPr>
        <w:t>2018</w:t>
      </w:r>
      <w:r>
        <w:rPr>
          <w:rFonts w:ascii="仿宋_GB2312" w:eastAsia="仿宋_GB2312" w:hint="eastAsia"/>
          <w:sz w:val="32"/>
          <w:szCs w:val="32"/>
        </w:rPr>
        <w:t>年离退休人员住房货币补贴</w:t>
      </w:r>
      <w:r>
        <w:rPr>
          <w:rFonts w:ascii="仿宋_GB2312" w:eastAsia="仿宋_GB2312" w:cs="仿宋_GB2312" w:hint="eastAsia"/>
          <w:color w:val="333333"/>
          <w:sz w:val="32"/>
          <w:szCs w:val="32"/>
          <w:shd w:val="clear" w:color="auto" w:fill="FFFFFF"/>
        </w:rPr>
        <w:t>情况进行绩效评价，衡量项目资金的“产出”与“绩效”，了解、分析、检验项目是否达到预期目标，资金的使用是否有效。为今后安排财政资金提供重要依据。同时总结经验，分析问题，采取措施进一步改进和完善财政支出项目管理，提高财政资金使用效益，进一步完善我县绩效评价工作体系。</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sz w:val="32"/>
          <w:szCs w:val="32"/>
        </w:rPr>
        <w:t>（</w:t>
      </w:r>
      <w:r>
        <w:rPr>
          <w:rFonts w:ascii="仿宋_GB2312" w:eastAsia="仿宋_GB2312" w:cs="仿宋_GB2312" w:hint="eastAsia"/>
          <w:b/>
          <w:bCs/>
          <w:sz w:val="32"/>
          <w:szCs w:val="32"/>
        </w:rPr>
        <w:t>二）绩效评价原则、评价指标体系、评价方法。</w:t>
      </w:r>
    </w:p>
    <w:p>
      <w:pPr>
        <w:spacing w:line="600" w:lineRule="exact"/>
        <w:ind w:firstLineChars="300" w:firstLine="960"/>
        <w:rPr>
          <w:rFonts w:ascii="仿宋_GB2312" w:eastAsia="仿宋_GB2312" w:cs="仿宋_GB2312"/>
          <w:b/>
          <w:bCs/>
          <w:sz w:val="32"/>
          <w:szCs w:val="32"/>
        </w:rPr>
      </w:pPr>
      <w:r>
        <w:rPr>
          <w:rFonts w:ascii="仿宋_GB2312" w:eastAsia="仿宋_GB2312" w:cs="仿宋_GB2312" w:hint="eastAsia"/>
          <w:b/>
          <w:bCs/>
          <w:sz w:val="32"/>
          <w:szCs w:val="32"/>
        </w:rPr>
        <w:t>1、评价原则。</w:t>
      </w:r>
    </w:p>
    <w:p>
      <w:pPr>
        <w:spacing w:line="600" w:lineRule="exact"/>
        <w:ind w:firstLineChars="200" w:firstLine="640"/>
        <w:rPr>
          <w:rFonts w:ascii="仿宋_GB2312" w:eastAsia="仿宋_GB2312" w:cs="仿宋_GB2312"/>
          <w:color w:val="333333"/>
          <w:sz w:val="32"/>
          <w:szCs w:val="32"/>
          <w:shd w:val="clear" w:color="auto" w:fill="FFFFFF"/>
        </w:rPr>
      </w:pPr>
      <w:r>
        <w:rPr>
          <w:rFonts w:ascii="仿宋_GB2312" w:eastAsia="仿宋_GB2312" w:cs="仿宋_GB2312" w:hint="eastAsia"/>
          <w:b/>
          <w:bCs/>
          <w:color w:val="333333"/>
          <w:sz w:val="32"/>
          <w:szCs w:val="32"/>
          <w:shd w:val="clear" w:color="auto" w:fill="FFFFFF"/>
        </w:rPr>
        <w:t>（1）目标导向、依法评价。</w:t>
      </w:r>
      <w:r>
        <w:rPr>
          <w:rFonts w:ascii="仿宋_GB2312" w:eastAsia="仿宋_GB2312" w:cs="仿宋_GB2312" w:hint="eastAsia"/>
          <w:color w:val="333333"/>
          <w:sz w:val="32"/>
          <w:szCs w:val="32"/>
          <w:shd w:val="clear" w:color="auto" w:fill="FFFFFF"/>
        </w:rPr>
        <w:t>以</w:t>
      </w:r>
      <w:r>
        <w:rPr>
          <w:rFonts w:ascii="仿宋_GB2312" w:eastAsia="仿宋_GB2312" w:hint="eastAsia"/>
          <w:sz w:val="32"/>
          <w:szCs w:val="32"/>
        </w:rPr>
        <w:t>离退休人员住房货币补贴</w:t>
      </w:r>
      <w:r>
        <w:rPr>
          <w:rFonts w:ascii="仿宋_GB2312" w:eastAsia="仿宋_GB2312" w:cs="仿宋_GB2312" w:hint="eastAsia"/>
          <w:color w:val="333333"/>
          <w:sz w:val="32"/>
          <w:szCs w:val="32"/>
          <w:shd w:val="clear" w:color="auto" w:fill="FFFFFF"/>
        </w:rPr>
        <w:t>绩效目标为导向，依据相关法律法规和</w:t>
      </w:r>
      <w:r>
        <w:rPr>
          <w:rFonts w:ascii="仿宋_GB2312" w:eastAsia="仿宋_GB2312" w:hint="eastAsia"/>
          <w:sz w:val="32"/>
          <w:szCs w:val="32"/>
        </w:rPr>
        <w:t>离退休人员住房货币补贴</w:t>
      </w:r>
      <w:r>
        <w:rPr>
          <w:rFonts w:ascii="仿宋_GB2312" w:eastAsia="仿宋_GB2312" w:hint="eastAsia"/>
          <w:sz w:val="32"/>
          <w:szCs w:val="32"/>
          <w:lang w:eastAsia="zh-CN"/>
        </w:rPr>
        <w:t>发放</w:t>
      </w:r>
      <w:r>
        <w:rPr>
          <w:rFonts w:ascii="仿宋_GB2312" w:eastAsia="仿宋_GB2312" w:cs="仿宋_GB2312" w:hint="eastAsia"/>
          <w:color w:val="333333"/>
          <w:sz w:val="32"/>
          <w:szCs w:val="32"/>
          <w:shd w:val="clear" w:color="auto" w:fill="FFFFFF"/>
        </w:rPr>
        <w:t>政策规定开展绩效评价。</w:t>
      </w:r>
    </w:p>
    <w:p>
      <w:pPr>
        <w:spacing w:line="600" w:lineRule="exact"/>
        <w:ind w:firstLineChars="200" w:firstLine="640"/>
        <w:rPr>
          <w:rFonts w:ascii="仿宋_GB2312" w:eastAsia="仿宋_GB2312" w:cs="仿宋_GB2312" w:hint="eastAsia"/>
          <w:color w:val="333333"/>
          <w:sz w:val="32"/>
          <w:szCs w:val="32"/>
          <w:shd w:val="clear" w:color="auto" w:fill="FFFFFF"/>
        </w:rPr>
      </w:pPr>
      <w:r>
        <w:rPr>
          <w:rFonts w:ascii="仿宋_GB2312" w:eastAsia="仿宋_GB2312" w:cs="仿宋_GB2312" w:hint="eastAsia"/>
          <w:b/>
          <w:bCs/>
          <w:color w:val="333333"/>
          <w:sz w:val="32"/>
          <w:szCs w:val="32"/>
          <w:shd w:val="clear" w:color="auto" w:fill="FFFFFF"/>
        </w:rPr>
        <w:t>（2）科学规范、分级实施。</w:t>
      </w:r>
      <w:r>
        <w:rPr>
          <w:rFonts w:ascii="仿宋_GB2312" w:eastAsia="仿宋_GB2312" w:cs="仿宋_GB2312" w:hint="eastAsia"/>
          <w:color w:val="333333"/>
          <w:sz w:val="32"/>
          <w:szCs w:val="32"/>
          <w:shd w:val="clear" w:color="auto" w:fill="FFFFFF"/>
        </w:rPr>
        <w:t>评价方法和指标设计科学合理，评价流程统一规范，评价数据真实准确；</w:t>
      </w:r>
    </w:p>
    <w:p>
      <w:pPr>
        <w:spacing w:line="600" w:lineRule="exact"/>
        <w:ind w:firstLineChars="200" w:firstLine="640"/>
        <w:rPr>
          <w:rFonts w:ascii="仿宋_GB2312" w:eastAsia="仿宋_GB2312" w:cs="仿宋_GB2312"/>
          <w:color w:val="333333"/>
          <w:sz w:val="32"/>
          <w:szCs w:val="32"/>
          <w:shd w:val="clear" w:color="auto" w:fill="FFFFFF"/>
        </w:rPr>
      </w:pPr>
      <w:r>
        <w:rPr>
          <w:rFonts w:ascii="仿宋_GB2312" w:eastAsia="仿宋_GB2312" w:cs="仿宋_GB2312" w:hint="eastAsia"/>
          <w:b/>
          <w:bCs/>
          <w:color w:val="333333"/>
          <w:sz w:val="32"/>
          <w:szCs w:val="32"/>
          <w:shd w:val="clear" w:color="auto" w:fill="FFFFFF"/>
        </w:rPr>
        <w:t>（3）客观公正、公开透明。</w:t>
      </w:r>
      <w:r>
        <w:rPr>
          <w:rFonts w:ascii="仿宋_GB2312" w:eastAsia="仿宋_GB2312" w:cs="仿宋_GB2312" w:hint="eastAsia"/>
          <w:color w:val="333333"/>
          <w:sz w:val="32"/>
          <w:szCs w:val="32"/>
          <w:shd w:val="clear" w:color="auto" w:fill="FFFFFF"/>
        </w:rPr>
        <w:t>绩效评价工作坚持实事求是、从客观实际出发，以全面真实的事实和数据为依据，按照公开、公平、公正的原则开展。</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color w:val="333333"/>
          <w:sz w:val="32"/>
          <w:szCs w:val="32"/>
          <w:shd w:val="clear" w:color="auto" w:fill="FFFFFF"/>
        </w:rPr>
        <w:t>2、</w:t>
      </w:r>
      <w:r>
        <w:rPr>
          <w:rFonts w:ascii="仿宋_GB2312" w:eastAsia="仿宋_GB2312" w:cs="仿宋_GB2312" w:hint="eastAsia"/>
          <w:b/>
          <w:bCs/>
          <w:sz w:val="32"/>
          <w:szCs w:val="32"/>
        </w:rPr>
        <w:t>评价指标体系</w:t>
      </w:r>
    </w:p>
    <w:p>
      <w:pPr>
        <w:spacing w:line="600" w:lineRule="exact"/>
        <w:ind w:firstLineChars="200" w:firstLine="640"/>
        <w:rPr>
          <w:rFonts w:ascii="仿宋_GB2312" w:eastAsia="仿宋_GB2312" w:cs="仿宋_GB2312"/>
          <w:color w:val="333333"/>
          <w:sz w:val="32"/>
          <w:szCs w:val="32"/>
          <w:shd w:val="clear" w:color="auto" w:fill="FFFFFF"/>
        </w:rPr>
      </w:pPr>
      <w:r>
        <w:rPr>
          <w:rFonts w:ascii="仿宋_GB2312" w:eastAsia="仿宋_GB2312" w:cs="仿宋_GB2312" w:hint="eastAsia"/>
          <w:b/>
          <w:bCs/>
          <w:color w:val="333333"/>
          <w:sz w:val="32"/>
          <w:szCs w:val="32"/>
          <w:shd w:val="clear" w:color="auto" w:fill="FFFFFF"/>
        </w:rPr>
        <w:t>（1）项目产出。</w:t>
      </w:r>
      <w:r>
        <w:rPr>
          <w:rFonts w:ascii="仿宋_GB2312" w:eastAsia="仿宋_GB2312" w:cs="仿宋_GB2312" w:hint="eastAsia"/>
          <w:color w:val="333333"/>
          <w:sz w:val="32"/>
          <w:szCs w:val="32"/>
          <w:shd w:val="clear" w:color="auto" w:fill="FFFFFF"/>
        </w:rPr>
        <w:t>数量指标即</w:t>
      </w:r>
      <w:r>
        <w:rPr>
          <w:rFonts w:ascii="仿宋_GB2312" w:eastAsia="仿宋_GB2312" w:hint="eastAsia"/>
          <w:sz w:val="32"/>
          <w:szCs w:val="32"/>
          <w:lang w:val="en-US" w:eastAsia="zh-CN"/>
        </w:rPr>
        <w:t>2018</w:t>
      </w:r>
      <w:r>
        <w:rPr>
          <w:rFonts w:ascii="仿宋_GB2312" w:eastAsia="仿宋_GB2312" w:hint="eastAsia"/>
          <w:sz w:val="32"/>
          <w:szCs w:val="32"/>
        </w:rPr>
        <w:t>年离退休人员住房货币补贴</w:t>
      </w:r>
      <w:r>
        <w:rPr>
          <w:rFonts w:ascii="仿宋_GB2312" w:eastAsia="仿宋_GB2312" w:hint="eastAsia"/>
          <w:sz w:val="32"/>
          <w:szCs w:val="32"/>
          <w:lang w:eastAsia="zh-CN"/>
        </w:rPr>
        <w:t>发放</w:t>
      </w:r>
      <w:r>
        <w:rPr>
          <w:rFonts w:ascii="仿宋_GB2312" w:eastAsia="仿宋_GB2312" w:cs="仿宋_GB2312" w:hint="eastAsia"/>
          <w:color w:val="333333"/>
          <w:sz w:val="32"/>
          <w:szCs w:val="32"/>
          <w:shd w:val="clear" w:color="auto" w:fill="FFFFFF"/>
        </w:rPr>
        <w:t>是否均纳入到</w:t>
      </w:r>
      <w:r>
        <w:rPr>
          <w:rFonts w:ascii="仿宋_GB2312" w:eastAsia="仿宋_GB2312" w:cs="仿宋_GB2312" w:hint="eastAsia"/>
          <w:color w:val="333333"/>
          <w:sz w:val="32"/>
          <w:szCs w:val="32"/>
          <w:shd w:val="clear" w:color="auto" w:fill="FFFFFF"/>
          <w:lang w:eastAsia="zh-CN"/>
        </w:rPr>
        <w:t>发放</w:t>
      </w:r>
      <w:r>
        <w:rPr>
          <w:rFonts w:ascii="仿宋_GB2312" w:eastAsia="仿宋_GB2312" w:cs="仿宋_GB2312" w:hint="eastAsia"/>
          <w:color w:val="333333"/>
          <w:sz w:val="32"/>
          <w:szCs w:val="32"/>
          <w:shd w:val="clear" w:color="auto" w:fill="FFFFFF"/>
        </w:rPr>
        <w:t>范围。质量指标即</w:t>
      </w:r>
      <w:r>
        <w:rPr>
          <w:rFonts w:ascii="仿宋_GB2312" w:eastAsia="仿宋_GB2312" w:cs="仿宋_GB2312" w:hint="eastAsia"/>
          <w:color w:val="333333"/>
          <w:sz w:val="32"/>
          <w:szCs w:val="32"/>
          <w:shd w:val="clear" w:color="auto" w:fill="FFFFFF"/>
          <w:lang w:eastAsia="zh-CN"/>
        </w:rPr>
        <w:t>是否按照文件要求足额发放补贴</w:t>
      </w:r>
      <w:r>
        <w:rPr>
          <w:rFonts w:ascii="仿宋_GB2312" w:eastAsia="仿宋_GB2312" w:cs="仿宋_GB2312" w:hint="eastAsia"/>
          <w:color w:val="333333"/>
          <w:sz w:val="32"/>
          <w:szCs w:val="32"/>
          <w:shd w:val="clear" w:color="auto" w:fill="FFFFFF"/>
        </w:rPr>
        <w:t>。时效指标即</w:t>
      </w:r>
      <w:r>
        <w:rPr>
          <w:rFonts w:ascii="仿宋_GB2312" w:eastAsia="仿宋_GB2312" w:cs="仿宋_GB2312" w:hint="eastAsia"/>
          <w:color w:val="333333"/>
          <w:sz w:val="32"/>
          <w:szCs w:val="32"/>
          <w:shd w:val="clear" w:color="auto" w:fill="FFFFFF"/>
          <w:lang w:eastAsia="zh-CN"/>
        </w:rPr>
        <w:t>离退休人员住房补贴</w:t>
      </w:r>
      <w:r>
        <w:rPr>
          <w:rFonts w:ascii="仿宋_GB2312" w:eastAsia="仿宋_GB2312" w:cs="仿宋_GB2312" w:hint="eastAsia"/>
          <w:color w:val="333333"/>
          <w:sz w:val="32"/>
          <w:szCs w:val="32"/>
          <w:shd w:val="clear" w:color="auto" w:fill="FFFFFF"/>
        </w:rPr>
        <w:t>是否</w:t>
      </w:r>
      <w:r>
        <w:rPr>
          <w:rFonts w:ascii="仿宋_GB2312" w:eastAsia="仿宋_GB2312" w:cs="仿宋_GB2312" w:hint="eastAsia"/>
          <w:color w:val="333333"/>
          <w:sz w:val="32"/>
          <w:szCs w:val="32"/>
          <w:shd w:val="clear" w:color="auto" w:fill="FFFFFF"/>
          <w:lang w:eastAsia="zh-CN"/>
        </w:rPr>
        <w:t>发放</w:t>
      </w:r>
      <w:r>
        <w:rPr>
          <w:rFonts w:ascii="仿宋_GB2312" w:eastAsia="仿宋_GB2312" w:cs="仿宋_GB2312" w:hint="eastAsia"/>
          <w:color w:val="333333"/>
          <w:sz w:val="32"/>
          <w:szCs w:val="32"/>
          <w:shd w:val="clear" w:color="auto" w:fill="FFFFFF"/>
        </w:rPr>
        <w:t>及时。成本指标即</w:t>
      </w:r>
      <w:r>
        <w:rPr>
          <w:rFonts w:ascii="仿宋_GB2312" w:eastAsia="仿宋_GB2312" w:hint="eastAsia"/>
          <w:sz w:val="32"/>
          <w:szCs w:val="32"/>
          <w:lang w:eastAsia="zh-CN"/>
        </w:rPr>
        <w:t>2018</w:t>
      </w:r>
      <w:r>
        <w:rPr>
          <w:rFonts w:ascii="仿宋_GB2312" w:eastAsia="仿宋_GB2312" w:hint="eastAsia"/>
          <w:sz w:val="32"/>
          <w:szCs w:val="32"/>
        </w:rPr>
        <w:t>年离退休人员住房货币补贴</w:t>
      </w:r>
      <w:r>
        <w:rPr>
          <w:rFonts w:ascii="仿宋_GB2312" w:eastAsia="仿宋_GB2312" w:cs="仿宋_GB2312" w:hint="eastAsia"/>
          <w:color w:val="333333"/>
          <w:sz w:val="32"/>
          <w:szCs w:val="32"/>
          <w:shd w:val="clear" w:color="auto" w:fill="FFFFFF"/>
        </w:rPr>
        <w:t>资金使用情况。</w:t>
      </w:r>
    </w:p>
    <w:p>
      <w:pPr>
        <w:spacing w:line="600" w:lineRule="exact"/>
        <w:ind w:firstLineChars="200" w:firstLine="640"/>
        <w:rPr>
          <w:rFonts w:ascii="仿宋_GB2312" w:eastAsia="仿宋_GB2312" w:cs="仿宋_GB2312"/>
          <w:color w:val="000000"/>
          <w:kern w:val="0"/>
          <w:sz w:val="32"/>
          <w:szCs w:val="32"/>
        </w:rPr>
      </w:pPr>
      <w:r>
        <w:rPr>
          <w:rFonts w:ascii="仿宋_GB2312" w:eastAsia="仿宋_GB2312" w:cs="仿宋_GB2312" w:hint="eastAsia"/>
          <w:b/>
          <w:bCs/>
          <w:color w:val="333333"/>
          <w:sz w:val="32"/>
          <w:szCs w:val="32"/>
          <w:shd w:val="clear" w:color="auto" w:fill="FFFFFF"/>
        </w:rPr>
        <w:t>（2）项目效益。</w:t>
      </w:r>
      <w:r>
        <w:rPr>
          <w:rFonts w:ascii="仿宋_GB2312" w:eastAsia="仿宋_GB2312" w:cs="仿宋_GB2312" w:hint="eastAsia"/>
          <w:color w:val="333333"/>
          <w:sz w:val="32"/>
          <w:szCs w:val="32"/>
          <w:shd w:val="clear" w:color="auto" w:fill="FFFFFF"/>
        </w:rPr>
        <w:t>包括社会效益</w:t>
      </w:r>
      <w:r>
        <w:rPr>
          <w:rFonts w:ascii="仿宋_GB2312" w:eastAsia="仿宋_GB2312" w:cs="仿宋_GB2312" w:hint="eastAsia"/>
          <w:color w:val="333333"/>
          <w:sz w:val="32"/>
          <w:szCs w:val="32"/>
          <w:shd w:val="clear" w:color="auto" w:fill="FFFFFF"/>
          <w:lang w:eastAsia="zh-CN"/>
        </w:rPr>
        <w:t>、可持续影响指标</w:t>
      </w:r>
      <w:r>
        <w:rPr>
          <w:rFonts w:ascii="仿宋_GB2312" w:eastAsia="仿宋_GB2312" w:cs="仿宋_GB2312" w:hint="eastAsia"/>
          <w:color w:val="333333"/>
          <w:sz w:val="32"/>
          <w:szCs w:val="32"/>
          <w:shd w:val="clear" w:color="auto" w:fill="FFFFFF"/>
        </w:rPr>
        <w:t>：</w:t>
      </w:r>
      <w:r>
        <w:rPr>
          <w:rFonts w:ascii="仿宋_GB2312" w:eastAsia="仿宋_GB2312" w:cs="仿宋_GB2312" w:hint="eastAsia"/>
          <w:color w:val="333333"/>
          <w:sz w:val="32"/>
          <w:szCs w:val="32"/>
          <w:shd w:val="clear" w:color="auto" w:fill="FFFFFF"/>
          <w:lang w:eastAsia="zh-CN"/>
        </w:rPr>
        <w:t>保障职工居住需求，体现社会公平公正</w:t>
      </w:r>
      <w:r>
        <w:rPr>
          <w:rFonts w:ascii="仿宋_GB2312" w:eastAsia="仿宋_GB2312" w:cs="仿宋_GB2312" w:hint="eastAsia"/>
          <w:color w:val="333333"/>
          <w:sz w:val="32"/>
          <w:szCs w:val="32"/>
          <w:shd w:val="clear" w:color="auto" w:fill="FFFFFF"/>
        </w:rPr>
        <w:t>。</w:t>
      </w:r>
    </w:p>
    <w:p>
      <w:pPr>
        <w:spacing w:line="600" w:lineRule="exact"/>
        <w:ind w:firstLineChars="200" w:firstLine="640"/>
        <w:rPr>
          <w:rFonts w:ascii="仿宋_GB2312" w:eastAsia="仿宋_GB2312" w:cs="仿宋_GB2312"/>
          <w:color w:val="000000"/>
          <w:kern w:val="0"/>
          <w:sz w:val="32"/>
          <w:szCs w:val="32"/>
        </w:rPr>
      </w:pPr>
      <w:r>
        <w:rPr>
          <w:rFonts w:ascii="仿宋_GB2312" w:eastAsia="仿宋_GB2312" w:cs="仿宋_GB2312" w:hint="eastAsia"/>
          <w:b/>
          <w:bCs/>
          <w:color w:val="000000"/>
          <w:kern w:val="0"/>
          <w:sz w:val="32"/>
          <w:szCs w:val="32"/>
        </w:rPr>
        <w:t>（3）居民满意度。</w:t>
      </w:r>
      <w:r>
        <w:rPr>
          <w:rFonts w:ascii="仿宋_GB2312" w:eastAsia="仿宋_GB2312" w:hint="eastAsia"/>
          <w:sz w:val="32"/>
          <w:szCs w:val="32"/>
          <w:lang w:eastAsia="zh-CN"/>
        </w:rPr>
        <w:t>2018</w:t>
      </w:r>
      <w:r>
        <w:rPr>
          <w:rFonts w:ascii="仿宋_GB2312" w:eastAsia="仿宋_GB2312" w:hint="eastAsia"/>
          <w:sz w:val="32"/>
          <w:szCs w:val="32"/>
        </w:rPr>
        <w:t>年离退休人员</w:t>
      </w:r>
      <w:r>
        <w:rPr>
          <w:rFonts w:ascii="仿宋_GB2312" w:eastAsia="仿宋_GB2312" w:cs="仿宋_GB2312" w:hint="eastAsia"/>
          <w:color w:val="000000"/>
          <w:kern w:val="0"/>
          <w:sz w:val="32"/>
          <w:szCs w:val="32"/>
        </w:rPr>
        <w:t>家庭满意度调查。</w:t>
      </w:r>
    </w:p>
    <w:p>
      <w:pPr>
        <w:spacing w:line="600" w:lineRule="exact"/>
        <w:ind w:firstLineChars="200" w:firstLine="640"/>
        <w:rPr>
          <w:rFonts w:ascii="仿宋_GB2312" w:eastAsia="仿宋_GB2312" w:cs="仿宋_GB2312"/>
          <w:b/>
          <w:bCs/>
          <w:color w:val="333333"/>
          <w:sz w:val="32"/>
          <w:szCs w:val="32"/>
          <w:shd w:val="clear" w:color="auto" w:fill="FFFFFF"/>
        </w:rPr>
      </w:pPr>
      <w:r>
        <w:rPr>
          <w:rFonts w:ascii="仿宋_GB2312" w:eastAsia="仿宋_GB2312" w:cs="仿宋_GB2312" w:hint="eastAsia"/>
          <w:b/>
          <w:bCs/>
          <w:color w:val="333333"/>
          <w:sz w:val="32"/>
          <w:szCs w:val="32"/>
          <w:shd w:val="clear" w:color="auto" w:fill="FFFFFF"/>
        </w:rPr>
        <w:t>3、评价方法。</w:t>
      </w:r>
    </w:p>
    <w:p>
      <w:pPr>
        <w:spacing w:line="600" w:lineRule="exact"/>
        <w:ind w:firstLineChars="200" w:firstLine="640"/>
        <w:rPr>
          <w:rFonts w:ascii="仿宋_GB2312" w:eastAsia="仿宋_GB2312" w:cs="仿宋_GB2312"/>
          <w:color w:val="333333"/>
          <w:sz w:val="32"/>
          <w:szCs w:val="32"/>
          <w:shd w:val="clear" w:color="auto" w:fill="FFFFFF"/>
        </w:rPr>
      </w:pPr>
      <w:r>
        <w:rPr>
          <w:rFonts w:ascii="仿宋_GB2312" w:eastAsia="仿宋_GB2312" w:cs="仿宋_GB2312" w:hint="eastAsia"/>
          <w:b/>
          <w:bCs/>
          <w:color w:val="333333"/>
          <w:sz w:val="32"/>
          <w:szCs w:val="32"/>
          <w:shd w:val="clear" w:color="auto" w:fill="FFFFFF"/>
        </w:rPr>
        <w:t>（1）自评。</w:t>
      </w:r>
      <w:r>
        <w:rPr>
          <w:rFonts w:ascii="仿宋_GB2312" w:eastAsia="仿宋_GB2312" w:cs="仿宋_GB2312" w:hint="eastAsia"/>
          <w:color w:val="333333"/>
          <w:sz w:val="32"/>
          <w:szCs w:val="32"/>
          <w:shd w:val="clear" w:color="auto" w:fill="FFFFFF"/>
        </w:rPr>
        <w:t>由县</w:t>
      </w:r>
      <w:r>
        <w:rPr>
          <w:rFonts w:ascii="仿宋_GB2312" w:eastAsia="仿宋_GB2312" w:cs="仿宋_GB2312"/>
          <w:color w:val="333333"/>
          <w:sz w:val="32"/>
          <w:szCs w:val="32"/>
          <w:shd w:val="clear" w:color="auto" w:fill="FFFFFF"/>
        </w:rPr>
        <w:t>住房保障服务中心对行政事业单位</w:t>
      </w:r>
      <w:r>
        <w:rPr>
          <w:rFonts w:ascii="仿宋_GB2312" w:eastAsia="仿宋_GB2312" w:hint="eastAsia"/>
          <w:sz w:val="32"/>
          <w:szCs w:val="32"/>
          <w:lang w:eastAsia="zh-CN"/>
        </w:rPr>
        <w:t>2018</w:t>
      </w:r>
      <w:r>
        <w:rPr>
          <w:rFonts w:ascii="仿宋_GB2312" w:eastAsia="仿宋_GB2312" w:hint="eastAsia"/>
          <w:sz w:val="32"/>
          <w:szCs w:val="32"/>
        </w:rPr>
        <w:t>年离退休人员</w:t>
      </w:r>
      <w:r>
        <w:rPr>
          <w:rFonts w:ascii="仿宋_GB2312" w:eastAsia="仿宋_GB2312" w:hint="eastAsia"/>
          <w:sz w:val="32"/>
          <w:szCs w:val="32"/>
          <w:lang w:eastAsia="zh-CN"/>
        </w:rPr>
        <w:t>货币补贴发放</w:t>
      </w:r>
      <w:r>
        <w:rPr>
          <w:rFonts w:ascii="仿宋_GB2312" w:eastAsia="仿宋_GB2312" w:cs="仿宋_GB2312" w:hint="eastAsia"/>
          <w:color w:val="333333"/>
          <w:sz w:val="32"/>
          <w:szCs w:val="32"/>
          <w:shd w:val="clear" w:color="auto" w:fill="FFFFFF"/>
        </w:rPr>
        <w:t>绩效评价工作开展自评，逐项说明评分理由，附带评分依据。</w:t>
        <w:br/>
        <w:t xml:space="preserve">  </w:t>
      </w:r>
      <w:r>
        <w:rPr>
          <w:rFonts w:ascii="仿宋_GB2312" w:eastAsia="仿宋_GB2312" w:cs="仿宋_GB2312" w:hint="eastAsia"/>
          <w:b/>
          <w:bCs/>
          <w:color w:val="333333"/>
          <w:sz w:val="32"/>
          <w:szCs w:val="32"/>
          <w:shd w:val="clear" w:color="auto" w:fill="FFFFFF"/>
        </w:rPr>
        <w:t xml:space="preserve"> （2）复评。</w:t>
      </w:r>
      <w:r>
        <w:rPr>
          <w:rFonts w:ascii="仿宋_GB2312" w:eastAsia="仿宋_GB2312" w:cs="仿宋_GB2312" w:hint="eastAsia"/>
          <w:color w:val="333333"/>
          <w:sz w:val="32"/>
          <w:szCs w:val="32"/>
          <w:shd w:val="clear" w:color="auto" w:fill="FFFFFF"/>
        </w:rPr>
        <w:t>县财政厅根据报送的绩效自评报告，对本地区</w:t>
      </w:r>
      <w:r>
        <w:rPr>
          <w:rFonts w:ascii="仿宋_GB2312" w:eastAsia="仿宋_GB2312" w:hint="eastAsia"/>
          <w:sz w:val="32"/>
          <w:szCs w:val="32"/>
          <w:lang w:eastAsia="zh-CN"/>
        </w:rPr>
        <w:t>2018</w:t>
      </w:r>
      <w:r>
        <w:rPr>
          <w:rFonts w:ascii="仿宋_GB2312" w:eastAsia="仿宋_GB2312" w:hint="eastAsia"/>
          <w:sz w:val="32"/>
          <w:szCs w:val="32"/>
        </w:rPr>
        <w:t>年离退休人员</w:t>
      </w:r>
      <w:r>
        <w:rPr>
          <w:rFonts w:ascii="仿宋_GB2312" w:eastAsia="仿宋_GB2312" w:hint="eastAsia"/>
          <w:sz w:val="32"/>
          <w:szCs w:val="32"/>
          <w:lang w:eastAsia="zh-CN"/>
        </w:rPr>
        <w:t>货币补贴发放</w:t>
      </w:r>
      <w:r>
        <w:rPr>
          <w:rFonts w:ascii="仿宋_GB2312" w:eastAsia="仿宋_GB2312" w:cs="仿宋_GB2312" w:hint="eastAsia"/>
          <w:color w:val="333333"/>
          <w:sz w:val="32"/>
          <w:szCs w:val="32"/>
          <w:shd w:val="clear" w:color="auto" w:fill="FFFFFF"/>
        </w:rPr>
        <w:t>绩效评价工作开展复评。</w:t>
      </w:r>
    </w:p>
    <w:p>
      <w:pPr>
        <w:spacing w:line="600" w:lineRule="exact"/>
        <w:ind w:firstLineChars="200" w:firstLine="640"/>
        <w:rPr>
          <w:rFonts w:ascii="仿宋_GB2312" w:eastAsia="仿宋_GB2312" w:cs="仿宋_GB2312"/>
          <w:color w:val="000000"/>
          <w:kern w:val="0"/>
          <w:sz w:val="32"/>
          <w:szCs w:val="32"/>
        </w:rPr>
      </w:pPr>
      <w:r>
        <w:rPr>
          <w:rFonts w:ascii="仿宋_GB2312" w:eastAsia="仿宋_GB2312" w:cs="仿宋_GB2312" w:hint="eastAsia"/>
          <w:color w:val="333333"/>
          <w:sz w:val="32"/>
          <w:szCs w:val="32"/>
          <w:shd w:val="clear" w:color="auto" w:fill="FFFFFF"/>
        </w:rPr>
        <w:t>绩效评价结果实行百分制，根据指标因素评价计算得分。评价结果划分为四个等级：评价总得分在90分(含)以上为优秀；75(含)－90分为良好；60(含)－75分为合格；60分以下为不合格。</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sz w:val="32"/>
          <w:szCs w:val="32"/>
        </w:rPr>
        <w:t>（三）绩效评价工作过程。</w:t>
      </w:r>
    </w:p>
    <w:p>
      <w:pPr>
        <w:spacing w:line="600" w:lineRule="exact"/>
        <w:ind w:firstLineChars="200" w:firstLine="640"/>
        <w:rPr>
          <w:rFonts w:ascii="仿宋_GB2312" w:eastAsia="仿宋_GB2312" w:cs="仿宋_GB2312"/>
          <w:sz w:val="32"/>
          <w:szCs w:val="32"/>
        </w:rPr>
      </w:pPr>
      <w:r>
        <w:rPr>
          <w:rFonts w:ascii="仿宋_GB2312" w:eastAsia="仿宋_GB2312" w:cs="仿宋_GB2312" w:hint="eastAsia"/>
          <w:b/>
          <w:bCs/>
          <w:sz w:val="32"/>
          <w:szCs w:val="32"/>
        </w:rPr>
        <w:t>1、前期准备。</w:t>
      </w:r>
      <w:r>
        <w:rPr>
          <w:rFonts w:ascii="仿宋_GB2312" w:eastAsia="仿宋_GB2312" w:cs="仿宋_GB2312" w:hint="eastAsia"/>
          <w:sz w:val="32"/>
          <w:szCs w:val="32"/>
        </w:rPr>
        <w:t>202</w:t>
      </w:r>
      <w:r>
        <w:rPr>
          <w:rFonts w:ascii="仿宋_GB2312" w:eastAsia="仿宋_GB2312" w:cs="仿宋_GB2312" w:hint="eastAsia"/>
          <w:sz w:val="32"/>
          <w:szCs w:val="32"/>
          <w:lang w:val="en-US" w:eastAsia="zh-CN"/>
        </w:rPr>
        <w:t>1</w:t>
      </w:r>
      <w:r>
        <w:rPr>
          <w:rFonts w:ascii="仿宋_GB2312" w:eastAsia="仿宋_GB2312" w:cs="仿宋_GB2312" w:hint="eastAsia"/>
          <w:sz w:val="32"/>
          <w:szCs w:val="32"/>
        </w:rPr>
        <w:t>年</w:t>
      </w:r>
      <w:r>
        <w:rPr>
          <w:rFonts w:ascii="仿宋_GB2312" w:eastAsia="仿宋_GB2312" w:cs="仿宋_GB2312" w:hint="eastAsia"/>
          <w:sz w:val="32"/>
          <w:szCs w:val="32"/>
          <w:lang w:val="en-US" w:eastAsia="zh-CN"/>
        </w:rPr>
        <w:t>6</w:t>
      </w:r>
      <w:r>
        <w:rPr>
          <w:rFonts w:ascii="仿宋_GB2312" w:eastAsia="仿宋_GB2312" w:cs="仿宋_GB2312" w:hint="eastAsia"/>
          <w:sz w:val="32"/>
          <w:szCs w:val="32"/>
        </w:rPr>
        <w:t>月30日前，县</w:t>
      </w:r>
      <w:r>
        <w:rPr>
          <w:rFonts w:ascii="仿宋_GB2312" w:eastAsia="仿宋_GB2312" w:cs="仿宋_GB2312" w:hint="eastAsia"/>
          <w:sz w:val="32"/>
          <w:szCs w:val="32"/>
          <w:lang w:eastAsia="zh-CN"/>
        </w:rPr>
        <w:t>住房保障服务中心</w:t>
      </w:r>
      <w:r>
        <w:rPr>
          <w:rFonts w:ascii="仿宋_GB2312" w:eastAsia="仿宋_GB2312" w:cs="仿宋_GB2312" w:hint="eastAsia"/>
          <w:sz w:val="32"/>
          <w:szCs w:val="32"/>
        </w:rPr>
        <w:t>根据《</w:t>
      </w:r>
      <w:r>
        <w:rPr>
          <w:rFonts w:ascii="仿宋_GB2312" w:eastAsia="仿宋_GB2312" w:cs="仿宋_GB2312" w:hint="eastAsia"/>
          <w:sz w:val="32"/>
          <w:szCs w:val="32"/>
          <w:lang w:eastAsia="zh-CN"/>
        </w:rPr>
        <w:t>关于开展2020年度部门整体支出及项目支出绩效自评工作的通知</w:t>
      </w:r>
      <w:r>
        <w:rPr>
          <w:rFonts w:ascii="仿宋_GB2312" w:eastAsia="仿宋_GB2312" w:cs="仿宋_GB2312" w:hint="eastAsia"/>
          <w:sz w:val="32"/>
          <w:szCs w:val="32"/>
        </w:rPr>
        <w:t>》（</w:t>
      </w:r>
      <w:r>
        <w:rPr>
          <w:rFonts w:ascii="Times New Roman" w:eastAsia="仿宋_GB2312" w:cs="Times New Roman" w:hAnsi="Times New Roman"/>
          <w:color w:val="auto"/>
          <w:sz w:val="32"/>
        </w:rPr>
        <w:t>中财</w:t>
      </w:r>
      <w:r>
        <w:rPr>
          <w:rFonts w:eastAsia="仿宋_GB2312" w:cs="Times New Roman" w:hint="eastAsia"/>
          <w:color w:val="auto"/>
          <w:sz w:val="32"/>
          <w:lang w:eastAsia="zh-CN"/>
        </w:rPr>
        <w:t>绩</w:t>
      </w:r>
      <w:r>
        <w:rPr>
          <w:rFonts w:ascii="Times New Roman" w:eastAsia="仿宋_GB2312" w:cs="Times New Roman" w:hAnsi="Times New Roman"/>
          <w:color w:val="auto"/>
          <w:sz w:val="32"/>
        </w:rPr>
        <w:t>〔20</w:t>
      </w:r>
      <w:r>
        <w:rPr>
          <w:rFonts w:ascii="Times New Roman" w:eastAsia="仿宋_GB2312" w:cs="Times New Roman" w:hAnsi="Times New Roman" w:hint="eastAsia"/>
          <w:color w:val="auto"/>
          <w:sz w:val="32"/>
          <w:lang w:val="en-US" w:eastAsia="zh-CN"/>
        </w:rPr>
        <w:t>21</w:t>
      </w:r>
      <w:r>
        <w:rPr>
          <w:rFonts w:ascii="Times New Roman" w:eastAsia="仿宋_GB2312" w:cs="Times New Roman" w:hAnsi="Times New Roman"/>
          <w:color w:val="auto"/>
          <w:sz w:val="32"/>
        </w:rPr>
        <w:t>〕</w:t>
      </w:r>
      <w:r>
        <w:rPr>
          <w:rFonts w:ascii="Times New Roman" w:eastAsia="仿宋_GB2312" w:cs="Times New Roman" w:hAnsi="Times New Roman" w:hint="eastAsia"/>
          <w:color w:val="auto"/>
          <w:sz w:val="32"/>
          <w:lang w:val="en-US" w:eastAsia="zh-CN"/>
        </w:rPr>
        <w:t>38</w:t>
      </w:r>
      <w:r>
        <w:rPr>
          <w:rFonts w:ascii="Times New Roman" w:eastAsia="仿宋_GB2312" w:cs="Times New Roman" w:hAnsi="Times New Roman"/>
          <w:color w:val="auto"/>
          <w:sz w:val="32"/>
        </w:rPr>
        <w:t>号</w:t>
      </w:r>
      <w:r>
        <w:rPr>
          <w:rFonts w:ascii="仿宋_GB2312" w:eastAsia="仿宋_GB2312" w:cs="仿宋_GB2312" w:hint="eastAsia"/>
          <w:sz w:val="32"/>
          <w:szCs w:val="32"/>
        </w:rPr>
        <w:t>）</w:t>
      </w:r>
      <w:r>
        <w:rPr>
          <w:rFonts w:ascii="仿宋_GB2312" w:eastAsia="仿宋_GB2312" w:cs="仿宋_GB2312" w:hint="eastAsia"/>
          <w:sz w:val="32"/>
          <w:szCs w:val="32"/>
          <w:lang w:eastAsia="zh-CN"/>
        </w:rPr>
        <w:t>，</w:t>
      </w:r>
      <w:r>
        <w:rPr>
          <w:rFonts w:ascii="仿宋_GB2312" w:eastAsia="仿宋_GB2312" w:cs="仿宋_GB2312" w:hint="eastAsia"/>
          <w:sz w:val="32"/>
          <w:szCs w:val="32"/>
        </w:rPr>
        <w:t>提出项目单位自我评价、绩效评价工作现场评价等工作要求。</w:t>
      </w:r>
    </w:p>
    <w:p>
      <w:pPr>
        <w:spacing w:line="600" w:lineRule="exact"/>
        <w:rPr>
          <w:rFonts w:ascii="仿宋_GB2312" w:eastAsia="仿宋_GB2312" w:cs="仿宋_GB2312"/>
          <w:sz w:val="32"/>
          <w:szCs w:val="32"/>
        </w:rPr>
      </w:pPr>
      <w:r>
        <w:rPr>
          <w:rFonts w:ascii="仿宋_GB2312" w:eastAsia="仿宋_GB2312" w:cs="仿宋_GB2312" w:hint="eastAsia"/>
          <w:sz w:val="32"/>
          <w:szCs w:val="32"/>
        </w:rPr>
        <w:t xml:space="preserve">   </w:t>
      </w:r>
      <w:r>
        <w:rPr>
          <w:rFonts w:ascii="仿宋_GB2312" w:eastAsia="仿宋_GB2312" w:cs="仿宋_GB2312" w:hint="eastAsia"/>
          <w:b/>
          <w:bCs/>
          <w:sz w:val="32"/>
          <w:szCs w:val="32"/>
        </w:rPr>
        <w:t xml:space="preserve"> 2、组织实施。</w:t>
      </w:r>
    </w:p>
    <w:p>
      <w:pPr>
        <w:spacing w:line="600" w:lineRule="exact"/>
        <w:rPr>
          <w:rFonts w:ascii="仿宋_GB2312" w:eastAsia="仿宋_GB2312" w:cs="仿宋_GB2312"/>
          <w:sz w:val="32"/>
          <w:szCs w:val="32"/>
        </w:rPr>
      </w:pPr>
      <w:r>
        <w:rPr>
          <w:rFonts w:ascii="仿宋_GB2312" w:eastAsia="仿宋_GB2312" w:cs="仿宋_GB2312" w:hint="eastAsia"/>
          <w:sz w:val="32"/>
          <w:szCs w:val="32"/>
        </w:rPr>
        <w:t xml:space="preserve">     2020年</w:t>
      </w:r>
      <w:r>
        <w:rPr>
          <w:rFonts w:ascii="仿宋_GB2312" w:eastAsia="仿宋_GB2312" w:cs="仿宋_GB2312" w:hint="eastAsia"/>
          <w:sz w:val="32"/>
          <w:szCs w:val="32"/>
          <w:lang w:val="en-US" w:eastAsia="zh-CN"/>
        </w:rPr>
        <w:t>6</w:t>
      </w:r>
      <w:r>
        <w:rPr>
          <w:rFonts w:ascii="仿宋_GB2312" w:eastAsia="仿宋_GB2312" w:cs="仿宋_GB2312" w:hint="eastAsia"/>
          <w:sz w:val="32"/>
          <w:szCs w:val="32"/>
        </w:rPr>
        <w:t>月30日至</w:t>
      </w:r>
      <w:r>
        <w:rPr>
          <w:rFonts w:ascii="仿宋_GB2312" w:eastAsia="仿宋_GB2312" w:cs="仿宋_GB2312" w:hint="eastAsia"/>
          <w:sz w:val="32"/>
          <w:szCs w:val="32"/>
          <w:lang w:val="en-US" w:eastAsia="zh-CN"/>
        </w:rPr>
        <w:t>7</w:t>
      </w:r>
      <w:r>
        <w:rPr>
          <w:rFonts w:ascii="仿宋_GB2312" w:eastAsia="仿宋_GB2312" w:cs="仿宋_GB2312" w:hint="eastAsia"/>
          <w:sz w:val="32"/>
          <w:szCs w:val="32"/>
        </w:rPr>
        <w:t>月30日，绩效评价工作组实施现场评价。采取听取情况介绍、检查财务会计资料、检查项目的实施与管理、验收及档案管理等资料、问卷调查、实地走访等必要的工作程序进行现场评价。</w:t>
      </w:r>
    </w:p>
    <w:p>
      <w:pPr>
        <w:spacing w:line="600" w:lineRule="exact"/>
        <w:ind w:left="640"/>
        <w:rPr>
          <w:rFonts w:ascii="仿宋_GB2312" w:eastAsia="仿宋_GB2312" w:cs="仿宋_GB2312"/>
          <w:sz w:val="32"/>
          <w:szCs w:val="32"/>
        </w:rPr>
      </w:pPr>
      <w:r>
        <w:rPr>
          <w:rFonts w:ascii="仿宋_GB2312" w:eastAsia="仿宋_GB2312" w:cs="仿宋_GB2312" w:hint="eastAsia"/>
          <w:b/>
          <w:bCs/>
          <w:sz w:val="32"/>
          <w:szCs w:val="32"/>
        </w:rPr>
        <w:t>三、综合评价情况及分析评价结论。</w:t>
      </w:r>
    </w:p>
    <w:p>
      <w:pPr>
        <w:ind w:firstLine="645"/>
        <w:rPr>
          <w:rFonts w:ascii="仿宋_GB2312" w:eastAsia="仿宋_GB2312" w:cs="仿宋_GB2312" w:hint="eastAsia"/>
          <w:sz w:val="32"/>
          <w:szCs w:val="32"/>
          <w:lang w:eastAsia="zh-CN"/>
        </w:rPr>
      </w:pPr>
      <w:r>
        <w:rPr>
          <w:rFonts w:ascii="仿宋_GB2312" w:eastAsia="仿宋_GB2312" w:cs="仿宋_GB2312" w:hint="eastAsia"/>
          <w:sz w:val="32"/>
          <w:szCs w:val="32"/>
        </w:rPr>
        <w:t>通过对</w:t>
      </w:r>
      <w:r>
        <w:rPr>
          <w:rFonts w:ascii="仿宋_GB2312" w:eastAsia="仿宋_GB2312" w:cs="仿宋_GB2312" w:hint="eastAsia"/>
          <w:sz w:val="32"/>
          <w:szCs w:val="32"/>
          <w:lang w:eastAsia="zh-CN"/>
        </w:rPr>
        <w:t>涉及</w:t>
      </w:r>
      <w:r>
        <w:rPr>
          <w:rFonts w:ascii="仿宋_GB2312" w:eastAsia="仿宋_GB2312" w:hint="eastAsia"/>
          <w:sz w:val="32"/>
          <w:szCs w:val="32"/>
          <w:lang w:eastAsia="zh-CN"/>
        </w:rPr>
        <w:t>2018</w:t>
      </w:r>
      <w:r>
        <w:rPr>
          <w:rFonts w:ascii="仿宋_GB2312" w:eastAsia="仿宋_GB2312" w:hint="eastAsia"/>
          <w:sz w:val="32"/>
          <w:szCs w:val="32"/>
        </w:rPr>
        <w:t>年离退休人员</w:t>
      </w:r>
      <w:r>
        <w:rPr>
          <w:rFonts w:ascii="仿宋_GB2312" w:eastAsia="仿宋_GB2312" w:cs="仿宋_GB2312" w:hint="eastAsia"/>
          <w:color w:val="000000"/>
          <w:kern w:val="0"/>
          <w:sz w:val="32"/>
          <w:szCs w:val="32"/>
        </w:rPr>
        <w:t>家庭</w:t>
      </w:r>
      <w:r>
        <w:rPr>
          <w:rFonts w:ascii="仿宋_GB2312" w:eastAsia="仿宋_GB2312" w:cs="仿宋_GB2312" w:hint="eastAsia"/>
          <w:color w:val="000000"/>
          <w:kern w:val="0"/>
          <w:sz w:val="32"/>
          <w:szCs w:val="32"/>
          <w:lang w:eastAsia="zh-CN"/>
        </w:rPr>
        <w:t>、及其所属的相关单位进行</w:t>
      </w:r>
      <w:r>
        <w:rPr>
          <w:rFonts w:ascii="仿宋_GB2312" w:eastAsia="仿宋_GB2312" w:cs="仿宋_GB2312" w:hint="eastAsia"/>
          <w:sz w:val="32"/>
          <w:szCs w:val="32"/>
        </w:rPr>
        <w:t>走访调查，</w:t>
      </w:r>
      <w:r>
        <w:rPr>
          <w:rFonts w:ascii="仿宋_GB2312" w:eastAsia="仿宋_GB2312" w:cs="仿宋_GB2312" w:hint="eastAsia"/>
          <w:sz w:val="32"/>
          <w:szCs w:val="32"/>
          <w:lang w:eastAsia="zh-CN"/>
        </w:rPr>
        <w:t>相关单位及其本人肯定和认可离退休人员货币补贴发放工作，认为发放工作在坚持在国家统一政策目标指导下，住房货币分配贯彻效率优先，兼顾公平的原则，以保障职工基本的住居需求为前提，根据职工的工作年限，职务、职称进行了合理分配。</w:t>
      </w:r>
    </w:p>
    <w:p>
      <w:pPr>
        <w:spacing w:line="600" w:lineRule="exact"/>
        <w:ind w:firstLine="640"/>
        <w:rPr>
          <w:rFonts w:ascii="仿宋_GB2312" w:eastAsia="仿宋_GB2312" w:cs="仿宋_GB2312"/>
          <w:sz w:val="32"/>
          <w:szCs w:val="32"/>
          <w:shd w:val="clear" w:color="auto" w:fill="FFFFFF"/>
        </w:rPr>
      </w:pPr>
      <w:r>
        <w:rPr>
          <w:rFonts w:ascii="仿宋_GB2312" w:eastAsia="仿宋_GB2312" w:cs="仿宋_GB2312" w:hint="eastAsia"/>
          <w:sz w:val="32"/>
          <w:szCs w:val="32"/>
          <w:shd w:val="clear" w:color="auto" w:fill="FFFFFF"/>
        </w:rPr>
        <w:t>根据</w:t>
      </w:r>
      <w:r>
        <w:rPr>
          <w:rFonts w:ascii="仿宋" w:eastAsia="仿宋" w:hint="eastAsia"/>
          <w:color w:val="000000"/>
          <w:kern w:val="0"/>
          <w:sz w:val="32"/>
          <w:szCs w:val="32"/>
        </w:rPr>
        <w:t>《中共中央国务院关于全面实施预算绩效管理的意见》</w:t>
      </w:r>
      <w:r>
        <w:rPr>
          <w:rFonts w:ascii="仿宋" w:eastAsia="仿宋"/>
          <w:color w:val="000000"/>
          <w:kern w:val="0"/>
          <w:sz w:val="32"/>
          <w:szCs w:val="32"/>
        </w:rPr>
        <w:t>（中发〔2018〕34号）</w:t>
      </w:r>
      <w:r>
        <w:rPr>
          <w:rFonts w:ascii="仿宋" w:eastAsia="仿宋" w:hint="eastAsia"/>
          <w:color w:val="000000"/>
          <w:kern w:val="0"/>
          <w:sz w:val="32"/>
          <w:szCs w:val="32"/>
        </w:rPr>
        <w:t>，建立全方位、全过程、全覆盖的预算绩效管理体系，提升预算管理水平，根据</w:t>
      </w:r>
      <w:r>
        <w:rPr>
          <w:rFonts w:ascii="仿宋" w:eastAsia="仿宋"/>
          <w:color w:val="000000"/>
          <w:kern w:val="0"/>
          <w:sz w:val="32"/>
          <w:szCs w:val="32"/>
        </w:rPr>
        <w:t>《中共湖南省委办公厅 湖南省人民政府办公厅关于全面实施预算绩效管理的实施意见》（湘办发〔2019〕10号）等有关规定，</w:t>
      </w:r>
      <w:r>
        <w:rPr>
          <w:rFonts w:ascii="仿宋_GB2312" w:eastAsia="仿宋_GB2312" w:cs="仿宋_GB2312" w:hint="eastAsia"/>
          <w:sz w:val="32"/>
          <w:szCs w:val="32"/>
          <w:shd w:val="clear" w:color="auto" w:fill="FFFFFF"/>
        </w:rPr>
        <w:t>从</w:t>
      </w:r>
      <w:r>
        <w:rPr>
          <w:rFonts w:ascii="仿宋_GB2312" w:eastAsia="仿宋_GB2312" w:cs="仿宋_GB2312" w:hint="eastAsia"/>
          <w:sz w:val="32"/>
          <w:szCs w:val="32"/>
          <w:shd w:val="clear" w:color="auto" w:fill="FFFFFF"/>
          <w:lang w:eastAsia="zh-CN"/>
        </w:rPr>
        <w:t>产出指标</w:t>
      </w:r>
      <w:r>
        <w:rPr>
          <w:rFonts w:ascii="仿宋_GB2312" w:eastAsia="仿宋_GB2312" w:cs="仿宋_GB2312" w:hint="eastAsia"/>
          <w:sz w:val="32"/>
          <w:szCs w:val="32"/>
          <w:shd w:val="clear" w:color="auto" w:fill="FFFFFF"/>
        </w:rPr>
        <w:t>、项目效益</w:t>
      </w:r>
      <w:r>
        <w:rPr>
          <w:rFonts w:ascii="仿宋_GB2312" w:eastAsia="仿宋_GB2312" w:cs="仿宋_GB2312" w:hint="eastAsia"/>
          <w:sz w:val="32"/>
          <w:szCs w:val="32"/>
          <w:shd w:val="clear" w:color="auto" w:fill="FFFFFF"/>
          <w:lang w:eastAsia="zh-CN"/>
        </w:rPr>
        <w:t>指标</w:t>
      </w:r>
      <w:r>
        <w:rPr>
          <w:rFonts w:ascii="仿宋_GB2312" w:eastAsia="仿宋_GB2312" w:cs="仿宋_GB2312" w:hint="eastAsia"/>
          <w:sz w:val="32"/>
          <w:szCs w:val="32"/>
          <w:shd w:val="clear" w:color="auto" w:fill="FFFFFF"/>
        </w:rPr>
        <w:t>、居民满意度等综合分析评价综合得分为</w:t>
      </w:r>
      <w:r>
        <w:rPr>
          <w:rFonts w:ascii="仿宋_GB2312" w:eastAsia="仿宋_GB2312" w:cs="仿宋_GB2312" w:hint="eastAsia"/>
          <w:sz w:val="32"/>
          <w:szCs w:val="32"/>
          <w:shd w:val="clear" w:color="auto" w:fill="FFFFFF"/>
          <w:lang w:val="en-US" w:eastAsia="zh-CN"/>
        </w:rPr>
        <w:t>97</w:t>
      </w:r>
      <w:r>
        <w:rPr>
          <w:rFonts w:ascii="仿宋_GB2312" w:eastAsia="仿宋_GB2312" w:cs="仿宋_GB2312" w:hint="eastAsia"/>
          <w:sz w:val="32"/>
          <w:szCs w:val="32"/>
          <w:shd w:val="clear" w:color="auto" w:fill="FFFFFF"/>
        </w:rPr>
        <w:t>（祥见附件一），财政支出绩效为优秀。</w:t>
      </w:r>
    </w:p>
    <w:p>
      <w:pPr>
        <w:spacing w:line="600" w:lineRule="exact"/>
        <w:ind w:firstLineChars="200" w:firstLine="608"/>
        <w:rPr>
          <w:rFonts w:ascii="仿宋_GB2312" w:eastAsia="仿宋_GB2312" w:cs="仿宋_GB2312"/>
          <w:b/>
          <w:bCs/>
          <w:w w:val="95"/>
          <w:sz w:val="32"/>
          <w:szCs w:val="32"/>
        </w:rPr>
      </w:pPr>
      <w:r>
        <w:rPr>
          <w:rFonts w:ascii="仿宋_GB2312" w:eastAsia="仿宋_GB2312" w:cs="仿宋_GB2312" w:hint="eastAsia"/>
          <w:b/>
          <w:bCs/>
          <w:w w:val="95"/>
          <w:sz w:val="32"/>
          <w:szCs w:val="32"/>
        </w:rPr>
        <w:t>三、城镇保障性安居工程专项维护绩效评价指标分析情况</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sz w:val="32"/>
          <w:szCs w:val="32"/>
        </w:rPr>
        <w:t>（一）产出指标（考核分50分，自评得分</w:t>
      </w:r>
      <w:r>
        <w:rPr>
          <w:rFonts w:ascii="仿宋_GB2312" w:eastAsia="仿宋_GB2312" w:cs="仿宋_GB2312" w:hint="eastAsia"/>
          <w:b/>
          <w:bCs/>
          <w:sz w:val="32"/>
          <w:szCs w:val="32"/>
          <w:lang w:val="en-US" w:eastAsia="zh-CN"/>
        </w:rPr>
        <w:t>48</w:t>
      </w:r>
      <w:r>
        <w:rPr>
          <w:rFonts w:ascii="仿宋_GB2312" w:eastAsia="仿宋_GB2312" w:cs="仿宋_GB2312" w:hint="eastAsia"/>
          <w:b/>
          <w:bCs/>
          <w:sz w:val="32"/>
          <w:szCs w:val="32"/>
        </w:rPr>
        <w:t>分）。</w:t>
      </w:r>
    </w:p>
    <w:p>
      <w:pPr>
        <w:spacing w:line="560" w:lineRule="exact"/>
        <w:ind w:firstLineChars="200" w:firstLine="640"/>
        <w:rPr>
          <w:rFonts w:ascii="仿宋_GB2312" w:eastAsia="仿宋_GB2312" w:cs="仿宋_GB2312" w:hint="eastAsia"/>
          <w:sz w:val="32"/>
          <w:szCs w:val="32"/>
          <w:shd w:val="clear" w:color="auto" w:fill="FFFFFF"/>
        </w:rPr>
      </w:pPr>
      <w:r>
        <w:rPr>
          <w:rFonts w:ascii="仿宋_GB2312" w:eastAsia="仿宋_GB2312" w:cs="仿宋_GB2312" w:hint="eastAsia"/>
          <w:b/>
          <w:color w:val="000000"/>
          <w:sz w:val="32"/>
          <w:szCs w:val="32"/>
        </w:rPr>
        <w:t>1、数量指标（分值</w:t>
      </w:r>
      <w:r>
        <w:rPr>
          <w:rFonts w:ascii="仿宋_GB2312" w:eastAsia="仿宋_GB2312" w:cs="仿宋_GB2312" w:hint="eastAsia"/>
          <w:b/>
          <w:color w:val="000000"/>
          <w:sz w:val="32"/>
          <w:szCs w:val="32"/>
          <w:lang w:val="en-US" w:eastAsia="zh-CN"/>
        </w:rPr>
        <w:t>2</w:t>
      </w:r>
      <w:r>
        <w:rPr>
          <w:rFonts w:ascii="仿宋_GB2312" w:eastAsia="仿宋_GB2312" w:cs="仿宋_GB2312" w:hint="eastAsia"/>
          <w:b/>
          <w:color w:val="000000"/>
          <w:sz w:val="32"/>
          <w:szCs w:val="32"/>
        </w:rPr>
        <w:t>0分，自评得分</w:t>
      </w:r>
      <w:r>
        <w:rPr>
          <w:rFonts w:ascii="仿宋_GB2312" w:eastAsia="仿宋_GB2312" w:cs="仿宋_GB2312" w:hint="eastAsia"/>
          <w:b/>
          <w:color w:val="000000"/>
          <w:sz w:val="32"/>
          <w:szCs w:val="32"/>
          <w:lang w:val="en-US" w:eastAsia="zh-CN"/>
        </w:rPr>
        <w:t>18</w:t>
      </w:r>
      <w:r>
        <w:rPr>
          <w:rFonts w:ascii="仿宋_GB2312" w:eastAsia="仿宋_GB2312" w:cs="仿宋_GB2312" w:hint="eastAsia"/>
          <w:b/>
          <w:color w:val="000000"/>
          <w:sz w:val="32"/>
          <w:szCs w:val="32"/>
        </w:rPr>
        <w:t>分）。</w:t>
      </w:r>
      <w:r>
        <w:rPr>
          <w:rFonts w:ascii="仿宋_GB2312" w:eastAsia="仿宋_GB2312" w:cs="仿宋_GB2312" w:hint="eastAsia"/>
          <w:sz w:val="32"/>
          <w:szCs w:val="32"/>
          <w:shd w:val="clear" w:color="auto" w:fill="FFFFFF"/>
          <w:lang w:val="en-US" w:eastAsia="zh-CN"/>
        </w:rPr>
        <w:t>2018年退休人员住房补贴发放年初预算发放人数159人，</w:t>
      </w:r>
      <w:r>
        <w:rPr>
          <w:rFonts w:ascii="仿宋_GB2312" w:eastAsia="仿宋_GB2312" w:cs="仿宋_GB2312" w:hint="eastAsia"/>
          <w:sz w:val="32"/>
          <w:szCs w:val="32"/>
          <w:lang w:val="en-US" w:eastAsia="zh-CN"/>
        </w:rPr>
        <w:t>发放金额82.06万元，实际发放人数144人，发放金额81.26万元（因个别单位未及时上交资料，将于2021年补发2018年离退休人员住房补贴）。</w:t>
      </w:r>
    </w:p>
    <w:p>
      <w:pPr>
        <w:spacing w:line="600" w:lineRule="exact"/>
        <w:ind w:firstLineChars="200" w:firstLine="640"/>
        <w:rPr>
          <w:rFonts w:ascii="仿宋_GB2312" w:eastAsia="宋体" w:cs="仿宋_GB2312" w:hAnsi="仿宋_GB2312" w:hint="eastAsia"/>
          <w:sz w:val="32"/>
          <w:szCs w:val="32"/>
          <w:shd w:val="clear" w:color="auto" w:fill="FFFFFF"/>
          <w:lang w:val="en-US" w:eastAsia="zh-CN"/>
        </w:rPr>
      </w:pPr>
      <w:r>
        <w:rPr>
          <w:rFonts w:ascii="仿宋_GB2312" w:eastAsia="仿宋_GB2312" w:cs="仿宋_GB2312" w:hint="eastAsia"/>
          <w:b/>
          <w:sz w:val="32"/>
          <w:szCs w:val="32"/>
        </w:rPr>
        <w:t>2、质量指标（分值10分，自评得分10分）。</w:t>
      </w:r>
      <w:r>
        <w:rPr>
          <w:rFonts w:ascii="仿宋_GB2312" w:eastAsia="仿宋_GB2312" w:cs="仿宋_GB2312" w:hint="eastAsia"/>
          <w:sz w:val="32"/>
          <w:szCs w:val="32"/>
          <w:shd w:val="clear" w:color="auto" w:fill="FFFFFF"/>
          <w:lang w:val="en-US" w:eastAsia="zh-CN"/>
        </w:rPr>
        <w:t>2018年退休人员住房补贴发放，根据</w:t>
      </w:r>
      <w:r>
        <w:rPr>
          <w:rFonts w:ascii="仿宋_GB2312" w:eastAsia="仿宋_GB2312" w:hint="eastAsia"/>
          <w:sz w:val="32"/>
          <w:szCs w:val="32"/>
        </w:rPr>
        <w:t>《中方县人民政府转发〈</w:t>
      </w:r>
      <w:r>
        <w:rPr>
          <w:rFonts w:ascii="仿宋_GB2312" w:eastAsia="仿宋_GB2312" w:hint="eastAsia"/>
          <w:sz w:val="32"/>
          <w:szCs w:val="32"/>
          <w:lang w:val="en-US" w:eastAsia="zh-CN"/>
        </w:rPr>
        <w:t>怀</w:t>
      </w:r>
      <w:r>
        <w:rPr>
          <w:rFonts w:ascii="仿宋_GB2312" w:eastAsia="仿宋_GB2312" w:cs="仿宋_GB2312" w:hint="eastAsia"/>
          <w:sz w:val="32"/>
          <w:szCs w:val="32"/>
          <w:shd w:val="clear" w:color="auto" w:fill="FFFFFF"/>
          <w:lang w:val="en-US" w:eastAsia="zh-CN"/>
        </w:rPr>
        <w:t>化市人民政府关于印发（怀化市深化城镇住房制度改革加快住房建设的实施方案）和（怀化市职工住房货币分配实施细则）〉的通知》[中政发（2016）6号]文件精神中的相关要求，根据工作年限，职务、职称合理分配，通过公示无异议。</w:t>
      </w:r>
    </w:p>
    <w:p>
      <w:pPr>
        <w:spacing w:line="600" w:lineRule="exact"/>
        <w:ind w:firstLineChars="200" w:firstLine="640"/>
        <w:rPr>
          <w:rFonts w:ascii="仿宋_GB2312" w:eastAsia="仿宋_GB2312" w:cs="仿宋_GB2312"/>
          <w:sz w:val="32"/>
          <w:szCs w:val="32"/>
          <w:shd w:val="clear" w:color="auto" w:fill="FFFFFF"/>
          <w:lang w:val="en-US" w:eastAsia="zh-CN"/>
        </w:rPr>
      </w:pPr>
      <w:r>
        <w:rPr>
          <w:rFonts w:ascii="仿宋_GB2312" w:eastAsia="仿宋_GB2312" w:cs="仿宋_GB2312" w:hint="eastAsia"/>
          <w:b/>
          <w:bCs/>
          <w:sz w:val="32"/>
          <w:szCs w:val="32"/>
          <w:shd w:val="clear" w:color="auto" w:fill="FFFFFF"/>
        </w:rPr>
        <w:t>3、时效指标（分值10分，自评得分10分）。</w:t>
      </w:r>
      <w:r>
        <w:rPr>
          <w:rFonts w:ascii="仿宋_GB2312" w:eastAsia="仿宋_GB2312" w:cs="仿宋_GB2312" w:hint="eastAsia"/>
          <w:b/>
          <w:bCs/>
          <w:sz w:val="32"/>
          <w:szCs w:val="32"/>
          <w:shd w:val="clear" w:color="auto" w:fill="FFFFFF"/>
          <w:lang w:val="en-US" w:eastAsia="zh-CN"/>
        </w:rPr>
        <w:t>2018</w:t>
      </w:r>
      <w:r>
        <w:rPr>
          <w:rFonts w:ascii="仿宋_GB2312" w:eastAsia="仿宋_GB2312" w:cs="仿宋_GB2312" w:hint="eastAsia"/>
          <w:sz w:val="32"/>
          <w:szCs w:val="32"/>
          <w:shd w:val="clear" w:color="auto" w:fill="FFFFFF"/>
          <w:lang w:val="en-US" w:eastAsia="zh-CN"/>
        </w:rPr>
        <w:t>年退休人员住房补贴发放于2020年4月10日组织实施，于2020年12月26日全部发放到位，确保了住房补贴及时发放到位。</w:t>
      </w:r>
    </w:p>
    <w:p>
      <w:pPr>
        <w:spacing w:line="600" w:lineRule="exact"/>
        <w:ind w:firstLineChars="200" w:firstLine="640"/>
        <w:rPr>
          <w:rFonts w:ascii="仿宋_GB2312" w:eastAsia="仿宋_GB2312" w:cs="仿宋_GB2312" w:hint="eastAsia"/>
          <w:b/>
          <w:sz w:val="32"/>
          <w:szCs w:val="32"/>
          <w:shd w:val="clear" w:color="auto" w:fill="FFFFFF"/>
        </w:rPr>
      </w:pPr>
      <w:r>
        <w:rPr>
          <w:rFonts w:ascii="仿宋_GB2312" w:eastAsia="仿宋_GB2312" w:cs="仿宋_GB2312" w:hint="eastAsia"/>
          <w:b/>
          <w:sz w:val="32"/>
          <w:szCs w:val="32"/>
          <w:shd w:val="clear" w:color="auto" w:fill="FFFFFF"/>
        </w:rPr>
        <w:t>4、成本指标（分值20分，自评得分20分）。</w:t>
      </w:r>
    </w:p>
    <w:p>
      <w:pPr>
        <w:ind w:firstLine="645"/>
        <w:rPr>
          <w:rFonts w:ascii="仿宋_GB2312" w:eastAsia="仿宋_GB2312" w:cs="仿宋_GB2312" w:hint="eastAsia"/>
          <w:sz w:val="32"/>
          <w:szCs w:val="32"/>
          <w:lang w:eastAsia="zh-CN"/>
        </w:rPr>
      </w:pPr>
      <w:r>
        <w:rPr>
          <w:rFonts w:ascii="仿宋_GB2312" w:eastAsia="仿宋_GB2312" w:cs="仿宋_GB2312" w:hint="eastAsia"/>
          <w:sz w:val="32"/>
          <w:szCs w:val="32"/>
          <w:shd w:val="clear" w:color="auto" w:fill="FFFFFF"/>
        </w:rPr>
        <w:t>我县</w:t>
      </w:r>
      <w:r>
        <w:rPr>
          <w:rFonts w:ascii="仿宋_GB2312" w:eastAsia="仿宋_GB2312" w:cs="仿宋_GB2312" w:hint="eastAsia"/>
          <w:sz w:val="32"/>
          <w:szCs w:val="32"/>
          <w:shd w:val="clear" w:color="auto" w:fill="FFFFFF"/>
          <w:lang w:val="en-US" w:eastAsia="zh-CN"/>
        </w:rPr>
        <w:t>2018年退休人员住房补贴发放年初预算金额</w:t>
      </w:r>
      <w:r>
        <w:rPr>
          <w:rFonts w:ascii="仿宋_GB2312" w:eastAsia="仿宋_GB2312" w:cs="仿宋_GB2312" w:hint="eastAsia"/>
          <w:sz w:val="32"/>
          <w:szCs w:val="32"/>
          <w:lang w:val="en-US" w:eastAsia="zh-CN"/>
        </w:rPr>
        <w:t>82.06</w:t>
      </w:r>
      <w:r>
        <w:rPr>
          <w:rFonts w:ascii="仿宋_GB2312" w:eastAsia="仿宋_GB2312" w:cs="仿宋_GB2312" w:hint="eastAsia"/>
          <w:sz w:val="32"/>
          <w:szCs w:val="32"/>
          <w:shd w:val="clear" w:color="auto" w:fill="FFFFFF"/>
          <w:lang w:val="en-US" w:eastAsia="zh-CN"/>
        </w:rPr>
        <w:t>万元</w:t>
      </w:r>
      <w:r>
        <w:rPr>
          <w:rFonts w:ascii="仿宋_GB2312" w:eastAsia="仿宋_GB2312" w:cs="仿宋_GB2312" w:hint="eastAsia"/>
          <w:sz w:val="32"/>
          <w:szCs w:val="32"/>
          <w:shd w:val="clear" w:color="auto" w:fill="FFFFFF"/>
        </w:rPr>
        <w:t>，截至20</w:t>
      </w:r>
      <w:r>
        <w:rPr>
          <w:rFonts w:ascii="仿宋_GB2312" w:eastAsia="仿宋_GB2312" w:cs="仿宋_GB2312" w:hint="eastAsia"/>
          <w:sz w:val="32"/>
          <w:szCs w:val="32"/>
          <w:shd w:val="clear" w:color="auto" w:fill="FFFFFF"/>
          <w:lang w:val="en-US" w:eastAsia="zh-CN"/>
        </w:rPr>
        <w:t>20</w:t>
      </w:r>
      <w:r>
        <w:rPr>
          <w:rFonts w:ascii="仿宋_GB2312" w:eastAsia="仿宋_GB2312" w:cs="仿宋_GB2312" w:hint="eastAsia"/>
          <w:sz w:val="32"/>
          <w:szCs w:val="32"/>
          <w:shd w:val="clear" w:color="auto" w:fill="FFFFFF"/>
        </w:rPr>
        <w:t>年</w:t>
      </w:r>
      <w:r>
        <w:rPr>
          <w:rFonts w:ascii="仿宋_GB2312" w:eastAsia="仿宋_GB2312" w:cs="仿宋_GB2312" w:hint="eastAsia"/>
          <w:sz w:val="32"/>
          <w:szCs w:val="32"/>
          <w:shd w:val="clear" w:color="auto" w:fill="FFFFFF"/>
          <w:lang w:val="en-US" w:eastAsia="zh-CN"/>
        </w:rPr>
        <w:t>12月26日</w:t>
      </w:r>
      <w:r>
        <w:rPr>
          <w:rFonts w:ascii="仿宋_GB2312" w:eastAsia="仿宋_GB2312" w:cs="仿宋_GB2312" w:hint="eastAsia"/>
          <w:sz w:val="32"/>
          <w:szCs w:val="32"/>
          <w:shd w:val="clear" w:color="auto" w:fill="FFFFFF"/>
        </w:rPr>
        <w:t>，</w:t>
      </w:r>
      <w:r>
        <w:rPr>
          <w:rFonts w:ascii="仿宋_GB2312" w:eastAsia="仿宋_GB2312" w:cs="仿宋_GB2312" w:hint="eastAsia"/>
          <w:sz w:val="32"/>
          <w:szCs w:val="32"/>
          <w:shd w:val="clear" w:color="auto" w:fill="FFFFFF"/>
          <w:lang w:val="en-US" w:eastAsia="zh-CN"/>
        </w:rPr>
        <w:t>2019年退休人员住房补贴实际发放</w:t>
      </w:r>
      <w:r>
        <w:rPr>
          <w:rFonts w:ascii="仿宋_GB2312" w:eastAsia="仿宋_GB2312" w:cs="仿宋_GB2312" w:hint="eastAsia"/>
          <w:sz w:val="32"/>
          <w:szCs w:val="32"/>
          <w:lang w:val="en-US" w:eastAsia="zh-CN"/>
        </w:rPr>
        <w:t>81.26</w:t>
      </w:r>
      <w:r>
        <w:rPr>
          <w:rFonts w:ascii="仿宋_GB2312" w:eastAsia="仿宋_GB2312" w:cs="仿宋_GB2312" w:hint="eastAsia"/>
          <w:sz w:val="32"/>
          <w:szCs w:val="32"/>
          <w:shd w:val="clear" w:color="auto" w:fill="FFFFFF"/>
          <w:lang w:val="en-US" w:eastAsia="zh-CN"/>
        </w:rPr>
        <w:t>万元</w:t>
      </w:r>
      <w:r>
        <w:rPr>
          <w:rFonts w:ascii="仿宋_GB2312" w:eastAsia="仿宋_GB2312" w:cs="仿宋_GB2312" w:hint="eastAsia"/>
          <w:sz w:val="32"/>
          <w:szCs w:val="32"/>
          <w:shd w:val="clear" w:color="auto" w:fill="FFFFFF"/>
        </w:rPr>
        <w:t>。未出现截留、挪用等情况。确保</w:t>
      </w:r>
      <w:r>
        <w:rPr>
          <w:rFonts w:ascii="仿宋_GB2312" w:eastAsia="仿宋_GB2312" w:cs="仿宋_GB2312" w:hint="eastAsia"/>
          <w:sz w:val="32"/>
          <w:szCs w:val="32"/>
          <w:lang w:eastAsia="zh-CN"/>
        </w:rPr>
        <w:t>以保障职工基本的住居需求为前提，根据职工的工作年限，职务、职称进行了合理分配。</w:t>
      </w:r>
    </w:p>
    <w:p>
      <w:pPr>
        <w:spacing w:line="600" w:lineRule="exact"/>
        <w:ind w:firstLineChars="200" w:firstLine="640"/>
        <w:rPr>
          <w:rFonts w:ascii="仿宋_GB2312" w:eastAsia="仿宋_GB2312" w:cs="仿宋_GB2312" w:hint="eastAsia"/>
          <w:sz w:val="32"/>
          <w:szCs w:val="32"/>
          <w:shd w:val="clear" w:color="auto" w:fill="FFFFFF"/>
        </w:rPr>
      </w:pPr>
      <w:r>
        <w:rPr>
          <w:rFonts w:ascii="仿宋_GB2312" w:eastAsia="仿宋_GB2312" w:cs="仿宋_GB2312" w:hint="eastAsia"/>
          <w:b/>
          <w:bCs/>
          <w:sz w:val="32"/>
          <w:szCs w:val="32"/>
        </w:rPr>
        <w:t>（二）效益指标方面（考核分为30分，自评得分30分）</w:t>
      </w:r>
    </w:p>
    <w:p>
      <w:pPr>
        <w:ind w:firstLine="645"/>
        <w:rPr>
          <w:rFonts w:ascii="仿宋_GB2312" w:eastAsia="仿宋_GB2312" w:cs="仿宋_GB2312" w:hint="eastAsia"/>
          <w:bCs/>
          <w:sz w:val="32"/>
          <w:szCs w:val="32"/>
          <w:shd w:val="clear" w:color="auto" w:fill="FFFFFF"/>
          <w:lang w:eastAsia="zh-CN"/>
        </w:rPr>
      </w:pPr>
      <w:r>
        <w:rPr>
          <w:rFonts w:ascii="仿宋_GB2312" w:eastAsia="仿宋_GB2312" w:cs="仿宋_GB2312" w:hint="eastAsia"/>
          <w:b/>
          <w:sz w:val="32"/>
          <w:szCs w:val="32"/>
          <w:shd w:val="clear" w:color="auto" w:fill="FFFFFF"/>
          <w:lang w:val="en-US" w:eastAsia="zh-CN"/>
        </w:rPr>
        <w:t>1</w:t>
      </w:r>
      <w:r>
        <w:rPr>
          <w:rFonts w:ascii="仿宋_GB2312" w:eastAsia="仿宋_GB2312" w:cs="仿宋_GB2312" w:hint="eastAsia"/>
          <w:b/>
          <w:sz w:val="32"/>
          <w:szCs w:val="32"/>
          <w:shd w:val="clear" w:color="auto" w:fill="FFFFFF"/>
        </w:rPr>
        <w:t>、社会效益（</w:t>
      </w:r>
      <w:r>
        <w:rPr>
          <w:rFonts w:ascii="仿宋_GB2312" w:eastAsia="仿宋_GB2312" w:cs="仿宋_GB2312" w:hint="eastAsia"/>
          <w:b/>
          <w:bCs/>
          <w:sz w:val="32"/>
          <w:szCs w:val="32"/>
          <w:shd w:val="clear" w:color="auto" w:fill="FFFFFF"/>
        </w:rPr>
        <w:t>分值</w:t>
      </w:r>
      <w:r>
        <w:rPr>
          <w:rFonts w:ascii="仿宋_GB2312" w:eastAsia="仿宋_GB2312" w:cs="仿宋_GB2312" w:hint="eastAsia"/>
          <w:b/>
          <w:bCs/>
          <w:sz w:val="32"/>
          <w:szCs w:val="32"/>
          <w:shd w:val="clear" w:color="auto" w:fill="FFFFFF"/>
          <w:lang w:val="en-US" w:eastAsia="zh-CN"/>
        </w:rPr>
        <w:t>15</w:t>
      </w:r>
      <w:r>
        <w:rPr>
          <w:rFonts w:ascii="仿宋_GB2312" w:eastAsia="仿宋_GB2312" w:cs="仿宋_GB2312" w:hint="eastAsia"/>
          <w:b/>
          <w:bCs/>
          <w:sz w:val="32"/>
          <w:szCs w:val="32"/>
          <w:shd w:val="clear" w:color="auto" w:fill="FFFFFF"/>
        </w:rPr>
        <w:t>分，自评得分</w:t>
      </w:r>
      <w:r>
        <w:rPr>
          <w:rFonts w:ascii="仿宋_GB2312" w:eastAsia="仿宋_GB2312" w:cs="仿宋_GB2312" w:hint="eastAsia"/>
          <w:b/>
          <w:bCs/>
          <w:sz w:val="32"/>
          <w:szCs w:val="32"/>
          <w:shd w:val="clear" w:color="auto" w:fill="FFFFFF"/>
          <w:lang w:val="en-US" w:eastAsia="zh-CN"/>
        </w:rPr>
        <w:t>15</w:t>
      </w:r>
      <w:r>
        <w:rPr>
          <w:rFonts w:ascii="仿宋_GB2312" w:eastAsia="仿宋_GB2312" w:cs="仿宋_GB2312" w:hint="eastAsia"/>
          <w:b/>
          <w:bCs/>
          <w:sz w:val="32"/>
          <w:szCs w:val="32"/>
          <w:shd w:val="clear" w:color="auto" w:fill="FFFFFF"/>
        </w:rPr>
        <w:t>分）。</w:t>
      </w:r>
      <w:r>
        <w:rPr>
          <w:rFonts w:ascii="仿宋_GB2312" w:eastAsia="仿宋_GB2312" w:cs="仿宋_GB2312" w:hint="eastAsia"/>
          <w:bCs/>
          <w:sz w:val="32"/>
          <w:szCs w:val="32"/>
          <w:shd w:val="clear" w:color="auto" w:fill="FFFFFF"/>
        </w:rPr>
        <w:t>坚持在国家统一政策目标指导下，住房货币分配贯彻效率优先，兼顾公平的原则，以保障职工基本的住居需求为前提，根据职工的工作年限，职务、职称合理分配</w:t>
      </w:r>
      <w:r>
        <w:rPr>
          <w:rFonts w:ascii="仿宋_GB2312" w:eastAsia="仿宋_GB2312" w:cs="仿宋_GB2312" w:hint="eastAsia"/>
          <w:bCs/>
          <w:sz w:val="32"/>
          <w:szCs w:val="32"/>
          <w:shd w:val="clear" w:color="auto" w:fill="FFFFFF"/>
          <w:lang w:eastAsia="zh-CN"/>
        </w:rPr>
        <w:t>，体现社会公平公正</w:t>
      </w:r>
      <w:r>
        <w:rPr>
          <w:rFonts w:ascii="仿宋_GB2312" w:eastAsia="仿宋_GB2312" w:cs="仿宋_GB2312" w:hint="eastAsia"/>
          <w:bCs/>
          <w:sz w:val="32"/>
          <w:szCs w:val="32"/>
          <w:shd w:val="clear" w:color="auto" w:fill="FFFFFF"/>
        </w:rPr>
        <w:t>。</w:t>
      </w:r>
    </w:p>
    <w:p>
      <w:pPr>
        <w:spacing w:line="600" w:lineRule="exact"/>
        <w:ind w:firstLineChars="200" w:firstLine="640"/>
        <w:rPr>
          <w:rFonts w:ascii="仿宋_GB2312" w:eastAsia="仿宋_GB2312" w:cs="仿宋_GB2312" w:hint="eastAsia"/>
          <w:bCs/>
          <w:sz w:val="32"/>
          <w:szCs w:val="32"/>
          <w:shd w:val="clear" w:color="auto" w:fill="FFFFFF"/>
        </w:rPr>
      </w:pPr>
      <w:r>
        <w:rPr>
          <w:rFonts w:ascii="仿宋_GB2312" w:eastAsia="仿宋_GB2312" w:cs="仿宋_GB2312" w:hint="eastAsia"/>
          <w:b/>
          <w:sz w:val="32"/>
          <w:szCs w:val="32"/>
          <w:shd w:val="clear" w:color="auto" w:fill="FFFFFF"/>
          <w:lang w:val="en-US" w:eastAsia="zh-CN"/>
        </w:rPr>
        <w:t>2</w:t>
      </w:r>
      <w:r>
        <w:rPr>
          <w:rFonts w:ascii="仿宋_GB2312" w:eastAsia="仿宋_GB2312" w:cs="仿宋_GB2312" w:hint="eastAsia"/>
          <w:b/>
          <w:sz w:val="32"/>
          <w:szCs w:val="32"/>
          <w:shd w:val="clear" w:color="auto" w:fill="FFFFFF"/>
        </w:rPr>
        <w:t>、可持续影响（</w:t>
      </w:r>
      <w:r>
        <w:rPr>
          <w:rFonts w:ascii="仿宋_GB2312" w:eastAsia="仿宋_GB2312" w:cs="仿宋_GB2312" w:hint="eastAsia"/>
          <w:b/>
          <w:bCs/>
          <w:sz w:val="32"/>
          <w:szCs w:val="32"/>
          <w:shd w:val="clear" w:color="auto" w:fill="FFFFFF"/>
        </w:rPr>
        <w:t>分值</w:t>
      </w:r>
      <w:r>
        <w:rPr>
          <w:rFonts w:ascii="仿宋_GB2312" w:eastAsia="仿宋_GB2312" w:cs="仿宋_GB2312" w:hint="eastAsia"/>
          <w:b/>
          <w:bCs/>
          <w:sz w:val="32"/>
          <w:szCs w:val="32"/>
          <w:shd w:val="clear" w:color="auto" w:fill="FFFFFF"/>
          <w:lang w:val="en-US" w:eastAsia="zh-CN"/>
        </w:rPr>
        <w:t>15</w:t>
      </w:r>
      <w:r>
        <w:rPr>
          <w:rFonts w:ascii="仿宋_GB2312" w:eastAsia="仿宋_GB2312" w:cs="仿宋_GB2312" w:hint="eastAsia"/>
          <w:b/>
          <w:bCs/>
          <w:sz w:val="32"/>
          <w:szCs w:val="32"/>
          <w:shd w:val="clear" w:color="auto" w:fill="FFFFFF"/>
        </w:rPr>
        <w:t>分，自评得分</w:t>
      </w:r>
      <w:r>
        <w:rPr>
          <w:rFonts w:ascii="仿宋_GB2312" w:eastAsia="仿宋_GB2312" w:cs="仿宋_GB2312" w:hint="eastAsia"/>
          <w:b/>
          <w:bCs/>
          <w:sz w:val="32"/>
          <w:szCs w:val="32"/>
          <w:shd w:val="clear" w:color="auto" w:fill="FFFFFF"/>
          <w:lang w:val="en-US" w:eastAsia="zh-CN"/>
        </w:rPr>
        <w:t>15</w:t>
      </w:r>
      <w:r>
        <w:rPr>
          <w:rFonts w:ascii="仿宋_GB2312" w:eastAsia="仿宋_GB2312" w:cs="仿宋_GB2312" w:hint="eastAsia"/>
          <w:b/>
          <w:bCs/>
          <w:sz w:val="32"/>
          <w:szCs w:val="32"/>
          <w:shd w:val="clear" w:color="auto" w:fill="FFFFFF"/>
        </w:rPr>
        <w:t>分）。</w:t>
      </w:r>
      <w:r>
        <w:rPr>
          <w:rFonts w:ascii="仿宋_GB2312" w:eastAsia="仿宋_GB2312" w:cs="仿宋_GB2312" w:hint="eastAsia"/>
          <w:bCs/>
          <w:sz w:val="32"/>
          <w:szCs w:val="32"/>
          <w:shd w:val="clear" w:color="auto" w:fill="FFFFFF"/>
        </w:rPr>
        <w:t>坚持在国家统一政策目标指导下，住房货币分配贯彻效率优先，兼顾公平的原则，以保障职工基本的住居需求为前提，根据职工的工作年限，职务、职称合理分配</w:t>
      </w:r>
      <w:r>
        <w:rPr>
          <w:rFonts w:ascii="仿宋_GB2312" w:eastAsia="仿宋_GB2312" w:cs="仿宋_GB2312" w:hint="eastAsia"/>
          <w:bCs/>
          <w:sz w:val="32"/>
          <w:szCs w:val="32"/>
          <w:shd w:val="clear" w:color="auto" w:fill="FFFFFF"/>
          <w:lang w:eastAsia="zh-CN"/>
        </w:rPr>
        <w:t>，体现社会公平公正</w:t>
      </w:r>
      <w:r>
        <w:rPr>
          <w:rFonts w:ascii="仿宋_GB2312" w:eastAsia="仿宋_GB2312" w:cs="仿宋_GB2312" w:hint="eastAsia"/>
          <w:bCs/>
          <w:sz w:val="32"/>
          <w:szCs w:val="32"/>
          <w:shd w:val="clear" w:color="auto" w:fill="FFFFFF"/>
        </w:rPr>
        <w:t>。</w:t>
      </w:r>
    </w:p>
    <w:p>
      <w:pPr>
        <w:spacing w:line="600" w:lineRule="exact"/>
        <w:ind w:firstLineChars="100" w:firstLine="320"/>
        <w:rPr>
          <w:rFonts w:ascii="仿宋_GB2312" w:eastAsia="仿宋_GB2312" w:cs="仿宋_GB2312"/>
          <w:b/>
          <w:bCs/>
          <w:sz w:val="32"/>
          <w:szCs w:val="32"/>
          <w:shd w:val="clear" w:color="auto" w:fill="FFFFFF"/>
        </w:rPr>
      </w:pPr>
      <w:r>
        <w:rPr>
          <w:rFonts w:ascii="仿宋_GB2312" w:eastAsia="仿宋_GB2312" w:cs="仿宋_GB2312" w:hint="eastAsia"/>
          <w:b/>
          <w:bCs/>
          <w:sz w:val="32"/>
          <w:szCs w:val="32"/>
          <w:shd w:val="clear" w:color="auto" w:fill="FFFFFF"/>
        </w:rPr>
        <w:t>（四）居民满意度（考核分为10分，自评得分10分）。</w:t>
      </w:r>
    </w:p>
    <w:p>
      <w:pPr>
        <w:spacing w:line="600" w:lineRule="exact"/>
        <w:ind w:firstLineChars="200" w:firstLine="640"/>
        <w:rPr>
          <w:rFonts w:ascii="仿宋_GB2312" w:eastAsia="仿宋_GB2312" w:cs="仿宋_GB2312"/>
          <w:sz w:val="32"/>
          <w:szCs w:val="32"/>
          <w:shd w:val="clear" w:color="auto" w:fill="FFFFFF"/>
        </w:rPr>
      </w:pPr>
      <w:r>
        <w:rPr>
          <w:rFonts w:ascii="仿宋_GB2312" w:eastAsia="仿宋_GB2312" w:cs="仿宋_GB2312" w:hint="eastAsia"/>
          <w:sz w:val="32"/>
          <w:szCs w:val="32"/>
          <w:shd w:val="clear" w:color="auto" w:fill="FFFFFF"/>
          <w:lang w:eastAsia="zh-CN"/>
        </w:rPr>
        <w:t>对</w:t>
      </w:r>
      <w:r>
        <w:rPr>
          <w:rFonts w:ascii="仿宋_GB2312" w:eastAsia="仿宋_GB2312" w:cs="仿宋_GB2312" w:hint="eastAsia"/>
          <w:sz w:val="32"/>
          <w:szCs w:val="32"/>
          <w:shd w:val="clear" w:color="auto" w:fill="FFFFFF"/>
          <w:lang w:val="en-US" w:eastAsia="zh-CN"/>
        </w:rPr>
        <w:t>2018年</w:t>
      </w:r>
      <w:r>
        <w:rPr>
          <w:rFonts w:ascii="仿宋_GB2312" w:eastAsia="仿宋_GB2312" w:cs="仿宋_GB2312" w:hint="eastAsia"/>
          <w:sz w:val="32"/>
          <w:szCs w:val="32"/>
          <w:shd w:val="clear" w:color="auto" w:fill="FFFFFF"/>
          <w:lang w:eastAsia="zh-CN"/>
        </w:rPr>
        <w:t>离退休住房补贴发放的</w:t>
      </w:r>
      <w:r>
        <w:rPr>
          <w:rFonts w:ascii="仿宋_GB2312" w:eastAsia="仿宋_GB2312" w:cs="仿宋_GB2312" w:hint="eastAsia"/>
          <w:sz w:val="32"/>
          <w:szCs w:val="32"/>
          <w:shd w:val="clear" w:color="auto" w:fill="FFFFFF"/>
        </w:rPr>
        <w:t>家庭进行抽查，满意度达100%。</w:t>
      </w:r>
    </w:p>
    <w:p>
      <w:pPr>
        <w:ind w:firstLineChars="100" w:firstLine="320"/>
        <w:rPr>
          <w:rFonts w:ascii="仿宋_GB2312" w:eastAsia="仿宋_GB2312" w:cs="仿宋_GB2312" w:hint="eastAsia"/>
          <w:b/>
          <w:bCs/>
          <w:sz w:val="32"/>
          <w:szCs w:val="32"/>
          <w:shd w:val="clear" w:color="auto" w:fill="FFFFFF"/>
        </w:rPr>
      </w:pPr>
      <w:r>
        <w:rPr>
          <w:rFonts w:ascii="仿宋_GB2312" w:eastAsia="仿宋_GB2312" w:cs="仿宋_GB2312" w:hint="eastAsia"/>
          <w:sz w:val="32"/>
          <w:szCs w:val="32"/>
          <w:shd w:val="clear" w:color="auto" w:fill="FFFFFF"/>
        </w:rPr>
        <w:t xml:space="preserve">   </w:t>
      </w:r>
      <w:r>
        <w:rPr>
          <w:rFonts w:ascii="仿宋_GB2312" w:eastAsia="仿宋_GB2312" w:cs="仿宋_GB2312" w:hint="eastAsia"/>
          <w:b/>
          <w:bCs/>
          <w:sz w:val="32"/>
          <w:szCs w:val="32"/>
          <w:shd w:val="clear" w:color="auto" w:fill="FFFFFF"/>
        </w:rPr>
        <w:t>附件：</w:t>
      </w:r>
      <w:r>
        <w:rPr>
          <w:rFonts w:ascii="仿宋_GB2312" w:eastAsia="仿宋_GB2312" w:cs="仿宋_GB2312" w:hint="eastAsia"/>
          <w:b/>
          <w:bCs/>
          <w:sz w:val="32"/>
          <w:szCs w:val="32"/>
          <w:shd w:val="clear" w:color="auto" w:fill="FFFFFF"/>
          <w:lang w:val="en-US" w:eastAsia="zh-CN"/>
        </w:rPr>
        <w:t xml:space="preserve"> </w:t>
      </w:r>
      <w:r>
        <w:rPr>
          <w:rFonts w:ascii="仿宋_GB2312" w:eastAsia="仿宋_GB2312" w:cs="仿宋_GB2312" w:hint="eastAsia"/>
          <w:b/>
          <w:bCs/>
          <w:sz w:val="32"/>
          <w:szCs w:val="32"/>
          <w:shd w:val="clear" w:color="auto" w:fill="FFFFFF"/>
        </w:rPr>
        <w:t>1、项目支出绩效自评表</w:t>
      </w:r>
    </w:p>
    <w:p>
      <w:pPr>
        <w:numPr>
          <w:ilvl w:val="0"/>
          <w:numId w:val="1"/>
        </w:numPr>
        <w:ind w:left="0" w:firstLineChars="600" w:firstLine="1920"/>
        <w:rPr>
          <w:rFonts w:ascii="仿宋_GB2312" w:eastAsia="仿宋_GB2312" w:cs="仿宋_GB2312" w:hint="eastAsia"/>
          <w:b/>
          <w:bCs/>
          <w:sz w:val="32"/>
          <w:szCs w:val="32"/>
          <w:shd w:val="clear" w:color="auto" w:fill="FFFFFF"/>
          <w:lang w:val="en-US" w:eastAsia="zh-CN"/>
        </w:rPr>
      </w:pPr>
      <w:r>
        <w:rPr>
          <w:rFonts w:ascii="仿宋_GB2312" w:eastAsia="仿宋_GB2312" w:cs="仿宋_GB2312" w:hint="eastAsia"/>
          <w:b/>
          <w:bCs/>
          <w:sz w:val="32"/>
          <w:szCs w:val="32"/>
          <w:shd w:val="clear" w:color="auto" w:fill="FFFFFF"/>
          <w:lang w:val="en-US" w:eastAsia="zh-CN"/>
        </w:rPr>
        <w:t>项目支出绩效评价指标评分表</w:t>
      </w:r>
    </w:p>
    <w:p>
      <w:pPr>
        <w:widowControl w:val="0"/>
        <w:jc w:val="both"/>
        <w:rPr>
          <w:rFonts w:ascii="仿宋_GB2312" w:eastAsia="仿宋_GB2312" w:cs="仿宋_GB2312" w:hint="eastAsia"/>
          <w:b/>
          <w:bCs/>
          <w:sz w:val="32"/>
          <w:szCs w:val="32"/>
          <w:shd w:val="clear" w:color="auto" w:fill="FFFFFF"/>
          <w:lang w:val="en-US" w:eastAsia="zh-CN"/>
        </w:rPr>
      </w:pPr>
    </w:p>
    <w:p>
      <w:pPr>
        <w:widowControl w:val="0"/>
        <w:jc w:val="both"/>
        <w:rPr>
          <w:rFonts w:ascii="仿宋_GB2312" w:eastAsia="仿宋_GB2312" w:cs="仿宋_GB2312" w:hint="eastAsia"/>
          <w:b/>
          <w:bCs/>
          <w:sz w:val="32"/>
          <w:szCs w:val="32"/>
          <w:shd w:val="clear" w:color="auto" w:fill="FFFFFF"/>
          <w:lang w:val="en-US" w:eastAsia="zh-CN"/>
        </w:rPr>
      </w:pPr>
    </w:p>
    <w:p>
      <w:pPr>
        <w:widowControl w:val="0"/>
        <w:jc w:val="both"/>
        <w:rPr>
          <w:rFonts w:ascii="仿宋_GB2312" w:eastAsia="仿宋_GB2312" w:cs="仿宋_GB2312" w:hint="eastAsia"/>
          <w:b/>
          <w:bCs/>
          <w:sz w:val="32"/>
          <w:szCs w:val="32"/>
          <w:shd w:val="clear" w:color="auto" w:fill="FFFFFF"/>
          <w:lang w:val="en-US" w:eastAsia="zh-CN"/>
        </w:rPr>
      </w:pPr>
    </w:p>
    <w:p/>
    <w:p/>
    <w:p>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附件4</w:t>
      </w:r>
    </w:p>
    <w:tbl>
      <w:tblPr>
        <w:jc w:val="center"/>
        <w:tblW w:w="9080"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rPr>
          <w:trHeight w:hRule="exact" w:val="349"/>
        </w:trPr>
        <w:tc>
          <w:tcPr>
            <w:tcW w:w="9080" w:type="dxa"/>
            <w:gridSpan w:val="14"/>
            <w:tcBorders>
              <w:top w:val="nil"/>
              <w:left w:val="nil"/>
              <w:bottom w:val="nil"/>
              <w:right w:val="nil"/>
            </w:tcBorders>
            <w:noWrap/>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rPr>
          <w:trHeight w:val="201"/>
        </w:trPr>
        <w:tc>
          <w:tcPr>
            <w:tcW w:w="9080" w:type="dxa"/>
            <w:gridSpan w:val="14"/>
            <w:tcBorders>
              <w:top w:val="nil"/>
              <w:left w:val="nil"/>
              <w:bottom w:val="nil"/>
              <w:right w:val="nil"/>
            </w:tcBorders>
            <w:noWrap/>
          </w:tcPr>
          <w:p>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trPr>
          <w:trHeight w:hRule="exact" w:val="300"/>
        </w:trPr>
        <w:tc>
          <w:tcPr>
            <w:tcW w:w="1568"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仿宋_GB2312" w:eastAsia="仿宋_GB2312" w:cs="仿宋_GB2312" w:hint="eastAsia"/>
                <w:b/>
                <w:bCs/>
                <w:sz w:val="24"/>
                <w:szCs w:val="24"/>
                <w:lang w:eastAsia="zh-CN"/>
              </w:rPr>
              <w:t>离退休人员住房补贴</w:t>
            </w:r>
          </w:p>
        </w:tc>
      </w:tr>
      <w:tr>
        <w:trPr>
          <w:trHeight w:hRule="exact" w:val="300"/>
        </w:trPr>
        <w:tc>
          <w:tcPr>
            <w:tcW w:w="1568"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eastAsia="宋体" w:cs="Times New Roman" w:hAnsi="Times New Roman"/>
                <w:kern w:val="0"/>
                <w:sz w:val="18"/>
                <w:szCs w:val="18"/>
                <w:lang w:val="en-US" w:eastAsia="zh-CN" w:bidi="ar-SA"/>
              </w:rPr>
            </w:pPr>
            <w:r>
              <w:rPr>
                <w:rFonts w:ascii="Times New Roman" w:hAnsi="Times New Roman" w:hint="eastAsia"/>
                <w:kern w:val="0"/>
                <w:sz w:val="18"/>
                <w:szCs w:val="18"/>
                <w:lang w:val="en-US" w:eastAsia="zh-CN"/>
              </w:rPr>
              <w:t>中方县住房城乡建设局</w:t>
            </w:r>
          </w:p>
        </w:tc>
        <w:tc>
          <w:tcPr>
            <w:tcW w:w="1134"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cs="Times New Roman" w:hAnsi="Times New Roman"/>
                <w:kern w:val="0"/>
                <w:sz w:val="18"/>
                <w:szCs w:val="18"/>
                <w:lang w:val="en-US" w:eastAsia="zh-CN" w:bidi="ar-SA"/>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eastAsia="宋体" w:cs="Times New Roman" w:hAnsi="Times New Roman" w:hint="eastAsia"/>
                <w:kern w:val="0"/>
                <w:sz w:val="18"/>
                <w:szCs w:val="18"/>
                <w:lang w:val="en-US" w:eastAsia="zh-CN" w:bidi="ar-SA"/>
              </w:rPr>
            </w:pPr>
            <w:r>
              <w:rPr>
                <w:rFonts w:ascii="Times New Roman" w:hAnsi="Times New Roman" w:hint="eastAsia"/>
                <w:kern w:val="0"/>
                <w:sz w:val="18"/>
                <w:szCs w:val="18"/>
                <w:lang w:eastAsia="zh-CN"/>
              </w:rPr>
              <w:t>公租房服务中心</w:t>
            </w:r>
          </w:p>
        </w:tc>
      </w:tr>
      <w:tr>
        <w:trPr>
          <w:trHeight w:hRule="exact" w:val="621"/>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br/>
              <w:t>（万元）</w:t>
            </w:r>
          </w:p>
        </w:tc>
        <w:tc>
          <w:tcPr>
            <w:tcW w:w="1842"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134"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rPr>
          <w:trHeight w:hRule="exact" w:val="300"/>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842" w:type="dxa"/>
            <w:gridSpan w:val="2"/>
            <w:tcBorders>
              <w:top w:val="single" w:sz="4" w:space="0" w:color="auto"/>
              <w:left w:val="nil"/>
              <w:bottom w:val="single" w:sz="4" w:space="0" w:color="auto"/>
              <w:right w:val="single" w:sz="4" w:space="0" w:color="auto"/>
            </w:tcBorders>
            <w:noWrap/>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82.7</w:t>
            </w:r>
          </w:p>
        </w:tc>
        <w:tc>
          <w:tcPr>
            <w:tcW w:w="1134"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82.7</w:t>
            </w:r>
          </w:p>
        </w:tc>
        <w:tc>
          <w:tcPr>
            <w:tcW w:w="1134"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81.26</w:t>
            </w:r>
          </w:p>
        </w:tc>
        <w:tc>
          <w:tcPr>
            <w:tcW w:w="709"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98%</w:t>
            </w:r>
          </w:p>
        </w:tc>
        <w:tc>
          <w:tcPr>
            <w:tcW w:w="708"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r>
      <w:tr>
        <w:trPr>
          <w:trHeight w:hRule="exact" w:val="300"/>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842"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rPr>
          <w:trHeight w:hRule="exact" w:val="300"/>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842"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rPr>
          <w:trHeight w:hRule="exact" w:val="300"/>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842"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rPr>
          <w:trHeight w:hRule="exact" w:val="300"/>
        </w:trPr>
        <w:tc>
          <w:tcPr>
            <w:tcW w:w="588" w:type="dxa"/>
            <w:vMerge w:val="restart"/>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rPr>
          <w:trHeight w:hRule="exact" w:val="570"/>
        </w:trPr>
        <w:tc>
          <w:tcPr>
            <w:tcW w:w="588" w:type="dxa"/>
            <w:vMerge/>
            <w:tcBorders>
              <w:top w:val="nil"/>
              <w:left w:val="single" w:sz="4" w:space="0" w:color="auto"/>
              <w:bottom w:val="single" w:sz="4" w:space="0" w:color="auto"/>
              <w:right w:val="single" w:sz="4" w:space="0" w:color="auto"/>
            </w:tcBorders>
            <w:noWrap/>
            <w:vAlign w:val="center"/>
          </w:tcPr>
          <w:p/>
        </w:tc>
        <w:tc>
          <w:tcPr>
            <w:tcW w:w="5090" w:type="dxa"/>
            <w:gridSpan w:val="6"/>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r>
      <w:tr>
        <w:trPr>
          <w:trHeight w:hRule="exact" w:val="533"/>
        </w:trPr>
        <w:tc>
          <w:tcPr>
            <w:tcW w:w="588" w:type="dxa"/>
            <w:vMerge w:val="restart"/>
            <w:tcBorders>
              <w:top w:val="nil"/>
              <w:left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br/>
              <w:t>效</w:t>
              <w:br/>
              <w:t>指</w:t>
              <w:br/>
              <w:t>标</w:t>
            </w:r>
          </w:p>
        </w:tc>
        <w:tc>
          <w:tcPr>
            <w:tcW w:w="980"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一级指标</w:t>
            </w:r>
          </w:p>
        </w:tc>
        <w:tc>
          <w:tcPr>
            <w:tcW w:w="1112"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三级指标</w:t>
            </w:r>
          </w:p>
        </w:tc>
        <w:tc>
          <w:tcPr>
            <w:tcW w:w="850"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年度</w:t>
            </w:r>
          </w:p>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指标值</w:t>
            </w:r>
          </w:p>
        </w:tc>
        <w:tc>
          <w:tcPr>
            <w:tcW w:w="851"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实际</w:t>
            </w:r>
          </w:p>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完成值</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分值</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偏差原因分析及改进措施</w:t>
            </w:r>
          </w:p>
        </w:tc>
      </w:tr>
      <w:tr>
        <w:trPr>
          <w:trHeight w:hRule="exact" w:val="615"/>
        </w:trPr>
        <w:tc>
          <w:tcPr>
            <w:tcW w:w="588" w:type="dxa"/>
            <w:vMerge/>
            <w:tcBorders>
              <w:left w:val="single" w:sz="4" w:space="0" w:color="auto"/>
              <w:right w:val="single" w:sz="4" w:space="0" w:color="auto"/>
            </w:tcBorders>
            <w:noWrap/>
            <w:vAlign w:val="center"/>
          </w:tcPr>
          <w:p/>
        </w:tc>
        <w:tc>
          <w:tcPr>
            <w:tcW w:w="980" w:type="dxa"/>
            <w:vMerge w:val="restart"/>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产出指标(50分)</w:t>
            </w: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val="en-US" w:eastAsia="zh-CN"/>
              </w:rPr>
              <w:t>2018年离退休人员住房补贴</w:t>
            </w:r>
          </w:p>
        </w:tc>
        <w:tc>
          <w:tcPr>
            <w:tcW w:w="850"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rPr>
            </w:pPr>
            <w:r>
              <w:rPr>
                <w:rFonts w:ascii="仿宋" w:eastAsia="仿宋" w:cs="仿宋" w:hint="eastAsia"/>
                <w:kern w:val="0"/>
                <w:sz w:val="18"/>
                <w:szCs w:val="18"/>
                <w:lang w:val="en-US" w:eastAsia="zh-CN"/>
              </w:rPr>
              <w:t>159人</w:t>
            </w:r>
          </w:p>
        </w:tc>
        <w:tc>
          <w:tcPr>
            <w:tcW w:w="851"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rPr>
            </w:pPr>
            <w:r>
              <w:rPr>
                <w:rFonts w:ascii="仿宋" w:eastAsia="仿宋" w:cs="仿宋" w:hint="eastAsia"/>
                <w:kern w:val="0"/>
                <w:sz w:val="18"/>
                <w:szCs w:val="18"/>
                <w:lang w:val="en-US" w:eastAsia="zh-CN"/>
              </w:rPr>
              <w:t>144人</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val="en-US" w:eastAsia="zh-CN"/>
              </w:rPr>
              <w:t>20</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val="en-US" w:eastAsia="zh-CN"/>
              </w:rPr>
              <w:t>18</w:t>
            </w:r>
          </w:p>
        </w:tc>
        <w:tc>
          <w:tcPr>
            <w:tcW w:w="141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both"/>
              <w:rPr>
                <w:rFonts w:ascii="仿宋" w:eastAsia="仿宋" w:cs="仿宋" w:hint="eastAsia"/>
                <w:kern w:val="0"/>
                <w:sz w:val="18"/>
                <w:szCs w:val="18"/>
                <w:lang w:eastAsia="zh-CN"/>
              </w:rPr>
            </w:pPr>
            <w:r>
              <w:rPr>
                <w:rFonts w:ascii="仿宋" w:eastAsia="仿宋" w:cs="仿宋" w:hint="eastAsia"/>
                <w:kern w:val="0"/>
                <w:sz w:val="18"/>
                <w:szCs w:val="18"/>
                <w:lang w:eastAsia="zh-CN"/>
              </w:rPr>
              <w:t>个别单位未及时上交资料</w:t>
            </w:r>
          </w:p>
        </w:tc>
      </w:tr>
      <w:tr>
        <w:trPr>
          <w:trHeight w:hRule="exact" w:val="615"/>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eastAsia="zh-CN"/>
              </w:rPr>
              <w:t>按工龄、职务、房改面积核算发放数额</w:t>
            </w:r>
          </w:p>
        </w:tc>
        <w:tc>
          <w:tcPr>
            <w:tcW w:w="850"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eastAsia="zh-CN"/>
              </w:rPr>
              <w:t>按文件发放</w:t>
            </w:r>
          </w:p>
        </w:tc>
        <w:tc>
          <w:tcPr>
            <w:tcW w:w="851"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eastAsia="zh-CN"/>
              </w:rPr>
              <w:t>按文件发放</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val="en-US" w:eastAsia="zh-CN"/>
              </w:rPr>
              <w:t>10</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val="en-US" w:eastAsia="zh-CN"/>
              </w:rPr>
              <w:t>10</w:t>
            </w:r>
          </w:p>
        </w:tc>
        <w:tc>
          <w:tcPr>
            <w:tcW w:w="141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p>
        </w:tc>
      </w:tr>
      <w:tr>
        <w:trPr>
          <w:trHeight w:hRule="exact" w:val="300"/>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eastAsia="zh-CN"/>
              </w:rPr>
              <w:t>补贴发放是否及时</w:t>
            </w:r>
          </w:p>
        </w:tc>
        <w:tc>
          <w:tcPr>
            <w:tcW w:w="850" w:type="dxa"/>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eastAsia="zh-CN"/>
              </w:rPr>
              <w:t>及时</w:t>
            </w:r>
          </w:p>
        </w:tc>
        <w:tc>
          <w:tcPr>
            <w:tcW w:w="851" w:type="dxa"/>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eastAsia="zh-CN"/>
              </w:rPr>
              <w:t>及时</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val="en-US" w:eastAsia="zh-CN"/>
              </w:rPr>
              <w:t>10</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val="en-US" w:eastAsia="zh-CN"/>
              </w:rPr>
              <w:t>10</w:t>
            </w:r>
          </w:p>
        </w:tc>
        <w:tc>
          <w:tcPr>
            <w:tcW w:w="141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p>
        </w:tc>
      </w:tr>
      <w:tr>
        <w:trPr>
          <w:trHeight w:hRule="exact" w:val="300"/>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rPr>
            </w:pPr>
            <w:r>
              <w:rPr>
                <w:rFonts w:ascii="仿宋" w:eastAsia="仿宋" w:cs="仿宋" w:hint="eastAsia"/>
                <w:color w:val="000000"/>
                <w:kern w:val="0"/>
                <w:sz w:val="18"/>
                <w:szCs w:val="18"/>
                <w:lang w:eastAsia="zh-CN"/>
              </w:rPr>
              <w:t>补贴金额是否发放到位</w:t>
            </w:r>
          </w:p>
        </w:tc>
        <w:tc>
          <w:tcPr>
            <w:tcW w:w="850" w:type="dxa"/>
            <w:tcBorders>
              <w:top w:val="nil"/>
              <w:left w:val="nil"/>
              <w:bottom w:val="single" w:sz="4" w:space="0" w:color="auto"/>
              <w:right w:val="single" w:sz="4" w:space="0" w:color="auto"/>
            </w:tcBorders>
            <w:noWrap/>
            <w:vAlign w:val="center"/>
          </w:tcPr>
          <w:p>
            <w:pPr>
              <w:keepNext w:val="0"/>
              <w:keepLines w:val="0"/>
              <w:widowControl/>
              <w:suppressLineNumbers w:val="0"/>
              <w:jc w:val="center"/>
              <w:textAlignment w:val="center"/>
              <w:rPr>
                <w:rFonts w:ascii="仿宋" w:eastAsia="仿宋" w:cs="仿宋" w:hint="eastAsia"/>
                <w:i w:val="0"/>
                <w:color w:val="000000"/>
                <w:kern w:val="2"/>
                <w:sz w:val="18"/>
                <w:szCs w:val="18"/>
                <w:u w:val="none"/>
                <w:lang w:val="en-US" w:eastAsia="zh-CN" w:bidi="ar-SA"/>
              </w:rPr>
            </w:pPr>
            <w:r>
              <w:rPr>
                <w:rFonts w:ascii="仿宋" w:eastAsia="仿宋" w:cs="仿宋" w:hint="eastAsia"/>
                <w:i w:val="0"/>
                <w:color w:val="000000"/>
                <w:kern w:val="0"/>
                <w:sz w:val="18"/>
                <w:szCs w:val="18"/>
                <w:u w:val="none"/>
                <w:lang w:val="en-US" w:eastAsia="zh-CN"/>
              </w:rPr>
              <w:t xml:space="preserve">820617 </w:t>
            </w:r>
          </w:p>
        </w:tc>
        <w:tc>
          <w:tcPr>
            <w:tcW w:w="851" w:type="dxa"/>
            <w:tcBorders>
              <w:top w:val="nil"/>
              <w:left w:val="nil"/>
              <w:bottom w:val="single" w:sz="4" w:space="0" w:color="auto"/>
              <w:right w:val="single" w:sz="4" w:space="0" w:color="auto"/>
            </w:tcBorders>
            <w:noWrap/>
            <w:vAlign w:val="center"/>
          </w:tcPr>
          <w:p>
            <w:pPr>
              <w:keepNext w:val="0"/>
              <w:keepLines w:val="0"/>
              <w:widowControl/>
              <w:suppressLineNumbers w:val="0"/>
              <w:jc w:val="center"/>
              <w:textAlignment w:val="center"/>
              <w:rPr>
                <w:rFonts w:ascii="仿宋" w:eastAsia="仿宋" w:cs="仿宋" w:hint="eastAsia"/>
                <w:i w:val="0"/>
                <w:color w:val="000000"/>
                <w:kern w:val="2"/>
                <w:sz w:val="18"/>
                <w:szCs w:val="18"/>
                <w:u w:val="none"/>
                <w:lang w:val="en-US" w:eastAsia="zh-CN" w:bidi="ar-SA"/>
              </w:rPr>
            </w:pPr>
            <w:r>
              <w:rPr>
                <w:rFonts w:ascii="仿宋" w:eastAsia="仿宋" w:cs="仿宋" w:hint="eastAsia"/>
                <w:i w:val="0"/>
                <w:color w:val="000000"/>
                <w:kern w:val="0"/>
                <w:sz w:val="18"/>
                <w:szCs w:val="18"/>
                <w:u w:val="none"/>
                <w:lang w:val="en-US" w:eastAsia="zh-CN"/>
              </w:rPr>
              <w:t xml:space="preserve">812566.06 </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val="en-US" w:eastAsia="zh-CN"/>
              </w:rPr>
              <w:t>10</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val="en-US" w:eastAsia="zh-CN"/>
              </w:rPr>
              <w:t>10</w:t>
            </w:r>
          </w:p>
        </w:tc>
        <w:tc>
          <w:tcPr>
            <w:tcW w:w="141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p>
        </w:tc>
      </w:tr>
      <w:tr>
        <w:trPr>
          <w:trHeight w:hRule="exact" w:val="630"/>
        </w:trPr>
        <w:tc>
          <w:tcPr>
            <w:tcW w:w="588" w:type="dxa"/>
            <w:vMerge/>
            <w:tcBorders>
              <w:left w:val="single" w:sz="4" w:space="0" w:color="auto"/>
              <w:right w:val="single" w:sz="4" w:space="0" w:color="auto"/>
            </w:tcBorders>
            <w:noWrap/>
            <w:vAlign w:val="center"/>
          </w:tcPr>
          <w:p/>
        </w:tc>
        <w:tc>
          <w:tcPr>
            <w:tcW w:w="980" w:type="dxa"/>
            <w:vMerge w:val="restart"/>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效益指标(30分)</w:t>
            </w: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经济效益</w:t>
            </w:r>
          </w:p>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p>
        </w:tc>
        <w:tc>
          <w:tcPr>
            <w:tcW w:w="850" w:type="dxa"/>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p>
        </w:tc>
        <w:tc>
          <w:tcPr>
            <w:tcW w:w="851" w:type="dxa"/>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p>
        </w:tc>
        <w:tc>
          <w:tcPr>
            <w:tcW w:w="141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p>
        </w:tc>
      </w:tr>
      <w:tr>
        <w:trPr>
          <w:trHeight w:hRule="exact" w:val="615"/>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社会效益</w:t>
            </w:r>
          </w:p>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eastAsia="zh-CN"/>
              </w:rPr>
              <w:t>保障职工居住需求，体现社会公平公正</w:t>
            </w:r>
          </w:p>
        </w:tc>
        <w:tc>
          <w:tcPr>
            <w:tcW w:w="850" w:type="dxa"/>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eastAsia="zh-CN"/>
              </w:rPr>
              <w:t>长期</w:t>
            </w:r>
          </w:p>
        </w:tc>
        <w:tc>
          <w:tcPr>
            <w:tcW w:w="851" w:type="dxa"/>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eastAsia="zh-CN"/>
              </w:rPr>
              <w:t>长期</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val="en-US" w:eastAsia="zh-CN"/>
              </w:rPr>
              <w:t>15</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val="en-US" w:eastAsia="zh-CN"/>
              </w:rPr>
              <w:t>15</w:t>
            </w:r>
          </w:p>
        </w:tc>
        <w:tc>
          <w:tcPr>
            <w:tcW w:w="141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p>
        </w:tc>
      </w:tr>
      <w:tr>
        <w:trPr>
          <w:trHeight w:hRule="exact" w:val="585"/>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生态效益</w:t>
            </w:r>
          </w:p>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rPr>
            </w:pPr>
          </w:p>
        </w:tc>
        <w:tc>
          <w:tcPr>
            <w:tcW w:w="850"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p>
        </w:tc>
        <w:tc>
          <w:tcPr>
            <w:tcW w:w="851"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p>
        </w:tc>
        <w:tc>
          <w:tcPr>
            <w:tcW w:w="141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p>
        </w:tc>
      </w:tr>
      <w:tr>
        <w:trPr>
          <w:trHeight w:hRule="exact" w:val="615"/>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eastAsia="zh-CN"/>
              </w:rPr>
              <w:t>保障职工居住需求，体现社会公平公正</w:t>
            </w:r>
          </w:p>
        </w:tc>
        <w:tc>
          <w:tcPr>
            <w:tcW w:w="850"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eastAsia="zh-CN"/>
              </w:rPr>
              <w:t>长期</w:t>
            </w:r>
          </w:p>
        </w:tc>
        <w:tc>
          <w:tcPr>
            <w:tcW w:w="851" w:type="dxa"/>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color w:val="000000"/>
                <w:kern w:val="0"/>
                <w:sz w:val="18"/>
                <w:szCs w:val="18"/>
                <w:lang w:eastAsia="zh-CN"/>
              </w:rPr>
              <w:t>长期</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val="en-US" w:eastAsia="zh-CN"/>
              </w:rPr>
              <w:t>15</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val="en-US" w:eastAsia="zh-CN"/>
              </w:rPr>
              <w:t>15</w:t>
            </w:r>
          </w:p>
        </w:tc>
        <w:tc>
          <w:tcPr>
            <w:tcW w:w="141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p>
        </w:tc>
      </w:tr>
      <w:tr>
        <w:trPr>
          <w:trHeight w:hRule="exact" w:val="795"/>
        </w:trPr>
        <w:tc>
          <w:tcPr>
            <w:tcW w:w="588" w:type="dxa"/>
            <w:vMerge/>
            <w:tcBorders>
              <w:left w:val="single" w:sz="4" w:space="0" w:color="auto"/>
              <w:right w:val="single" w:sz="4" w:space="0" w:color="auto"/>
            </w:tcBorders>
            <w:noWrap/>
            <w:vAlign w:val="center"/>
          </w:tcPr>
          <w:p/>
        </w:tc>
        <w:tc>
          <w:tcPr>
            <w:tcW w:w="980" w:type="dxa"/>
            <w:tcBorders>
              <w:top w:val="single" w:sz="4" w:space="0" w:color="auto"/>
              <w:left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满意度</w:t>
            </w:r>
          </w:p>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指标(10分)</w:t>
            </w:r>
          </w:p>
        </w:tc>
        <w:tc>
          <w:tcPr>
            <w:tcW w:w="1112"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r>
              <w:rPr>
                <w:rFonts w:ascii="仿宋" w:eastAsia="仿宋" w:cs="仿宋"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left"/>
              <w:rPr>
                <w:rFonts w:ascii="仿宋" w:eastAsia="仿宋" w:cs="仿宋" w:hint="eastAsia"/>
                <w:color w:val="000000"/>
                <w:kern w:val="0"/>
                <w:sz w:val="18"/>
                <w:szCs w:val="18"/>
                <w:lang w:val="en-US" w:eastAsia="zh-CN" w:bidi="ar-SA"/>
              </w:rPr>
            </w:pPr>
            <w:r>
              <w:rPr>
                <w:rFonts w:ascii="仿宋" w:eastAsia="仿宋" w:cs="仿宋" w:hint="eastAsia"/>
                <w:color w:val="000000"/>
                <w:kern w:val="0"/>
                <w:sz w:val="18"/>
                <w:szCs w:val="18"/>
                <w:lang w:eastAsia="zh-CN"/>
              </w:rPr>
              <w:t>服务对象满意度</w:t>
            </w:r>
          </w:p>
        </w:tc>
        <w:tc>
          <w:tcPr>
            <w:tcW w:w="850" w:type="dxa"/>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val="en-US" w:eastAsia="zh-CN"/>
              </w:rPr>
              <w:t>100%</w:t>
            </w:r>
          </w:p>
        </w:tc>
        <w:tc>
          <w:tcPr>
            <w:tcW w:w="851" w:type="dxa"/>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val="en-US" w:eastAsia="zh-CN"/>
              </w:rPr>
              <w:t>100%</w:t>
            </w:r>
          </w:p>
        </w:tc>
        <w:tc>
          <w:tcPr>
            <w:tcW w:w="56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val="en-US" w:eastAsia="zh-CN"/>
              </w:rPr>
              <w:t>10</w:t>
            </w:r>
          </w:p>
        </w:tc>
        <w:tc>
          <w:tcPr>
            <w:tcW w:w="56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lang w:val="en-US" w:eastAsia="zh-CN" w:bidi="ar-SA"/>
              </w:rPr>
            </w:pPr>
            <w:r>
              <w:rPr>
                <w:rFonts w:ascii="仿宋" w:eastAsia="仿宋" w:cs="仿宋" w:hint="eastAsia"/>
                <w:kern w:val="0"/>
                <w:sz w:val="18"/>
                <w:szCs w:val="18"/>
                <w:lang w:val="en-US" w:eastAsia="zh-CN"/>
              </w:rPr>
              <w:t>10</w:t>
            </w:r>
          </w:p>
        </w:tc>
        <w:tc>
          <w:tcPr>
            <w:tcW w:w="141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p>
        </w:tc>
      </w:tr>
      <w:tr>
        <w:trPr>
          <w:trHeight w:hRule="exact" w:val="840"/>
        </w:trPr>
        <w:tc>
          <w:tcPr>
            <w:tcW w:w="6529" w:type="dxa"/>
            <w:gridSpan w:val="8"/>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仿宋" w:eastAsia="仿宋" w:cs="仿宋" w:hint="eastAsia"/>
                <w:color w:val="000000"/>
                <w:kern w:val="0"/>
                <w:sz w:val="18"/>
                <w:szCs w:val="18"/>
              </w:rPr>
            </w:pPr>
            <w:r>
              <w:rPr>
                <w:rFonts w:ascii="仿宋" w:eastAsia="仿宋" w:cs="仿宋" w:hint="eastAsia"/>
                <w:color w:val="000000"/>
                <w:kern w:val="0"/>
                <w:sz w:val="18"/>
                <w:szCs w:val="18"/>
              </w:rPr>
              <w:t>总分</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color w:val="000000"/>
                <w:kern w:val="0"/>
                <w:sz w:val="18"/>
                <w:szCs w:val="18"/>
              </w:rPr>
            </w:pPr>
            <w:r>
              <w:rPr>
                <w:rFonts w:ascii="仿宋" w:eastAsia="仿宋" w:cs="仿宋" w:hint="eastAsia"/>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color w:val="000000"/>
                <w:kern w:val="0"/>
                <w:sz w:val="18"/>
                <w:szCs w:val="18"/>
                <w:lang w:val="en-US" w:eastAsia="zh-CN"/>
              </w:rPr>
            </w:pPr>
            <w:r>
              <w:rPr>
                <w:rFonts w:ascii="仿宋" w:eastAsia="仿宋" w:cs="仿宋" w:hint="eastAsia"/>
                <w:color w:val="000000"/>
                <w:kern w:val="0"/>
                <w:sz w:val="18"/>
                <w:szCs w:val="18"/>
                <w:lang w:val="en-US" w:eastAsia="zh-CN"/>
              </w:rPr>
              <w:t>9</w:t>
            </w:r>
            <w:r>
              <w:rPr>
                <w:rFonts w:ascii="仿宋" w:eastAsia="仿宋" w:cs="仿宋"/>
                <w:color w:val="000000"/>
                <w:kern w:val="0"/>
                <w:sz w:val="18"/>
                <w:szCs w:val="18"/>
                <w:lang w:val="en-US" w:eastAsia="zh-CN"/>
              </w:rPr>
              <w:t>8</w:t>
            </w:r>
          </w:p>
        </w:tc>
        <w:tc>
          <w:tcPr>
            <w:tcW w:w="141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仿宋" w:eastAsia="仿宋" w:cs="仿宋" w:hint="eastAsia"/>
                <w:kern w:val="0"/>
                <w:sz w:val="18"/>
                <w:szCs w:val="18"/>
              </w:rPr>
            </w:pPr>
          </w:p>
        </w:tc>
      </w:tr>
    </w:tbl>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Pr>
          <w:sz w:val="18"/>
        </w:rPr>
        <mc:AlternateContent>
          <mc:Choice Requires="wps">
            <w:drawing>
              <wp:anchor distT="0" distB="0" distL="114298" distR="114298" simplePos="0" relativeHeight="12" behindDoc="0" locked="0" layoutInCell="1" hidden="0" allowOverlap="1">
                <wp:simplePos x="0" y="0"/>
                <wp:positionH relativeFrom="column">
                  <wp:posOffset>-107949</wp:posOffset>
                </wp:positionH>
                <wp:positionV relativeFrom="paragraph">
                  <wp:posOffset>185420</wp:posOffset>
                </wp:positionV>
                <wp:extent cx="6400800" cy="123825"/>
                <wp:effectExtent l="0" t="0" r="0" b="0"/>
                <wp:wrapNone/>
                <wp:docPr id="1" name="矩形 49"/>
                <wp:cNvGraphicFramePr>
                  <a:graphicFrameLocks noChangeAspect="0"/>
                </wp:cNvGraphicFramePr>
                <a:graphic>
                  <a:graphicData uri="http://schemas.microsoft.com/office/word/2010/wordprocessingShape">
                    <wps:wsp>
                      <wps:cNvSpPr/>
                      <wps:spPr>
                        <a:xfrm rot="0">
                          <a:off x="0" y="0"/>
                          <a:ext cx="6400800" cy="123825"/>
                        </a:xfrm>
                        <a:prstGeom prst="rect"/>
                        <a:solidFill>
                          <a:srgbClr val="FFFFFF"/>
                        </a:solidFill>
                        <a:ln w="9525" cmpd="sng" cap="flat">
                          <a:solidFill>
                            <a:srgbClr val="FFFFFF"/>
                          </a:solidFill>
                          <a:prstDash val="solid"/>
                          <a:miter/>
                        </a:ln>
                      </wps:spPr>
                      <wps:bodyPr vert="horz" wrap="square" lIns="91440" tIns="45720" rIns="91440" bIns="45720" anchor="t" anchorCtr="0" upright="1">
                        <a:noAutofit/>
                      </wps:bodyPr>
                    </wps:wsp>
                  </a:graphicData>
                </a:graphic>
              </wp:anchor>
            </w:drawing>
          </mc:Choice>
          <mc:Fallback>
            <w:pict>
              <v:rect type="#_x0000_t1" id="矩形 49 2" o:spid="_x0000_s2" fillcolor="#FFFFFF" stroked="t" style="position:absolute;margin-left:-8.5pt;margin-top:14.599999pt;width:504.0pt;height:9.750002pt;z-index:12;mso-position-horizontal:absolute;mso-position-vertical:absolute;mso-wrap-distance-left:8.999863pt;mso-wrap-distance-right:8.999863pt;">
                <v:stroke color="#FFFFFF"/>
              </v:rect>
            </w:pict>
          </mc:Fallback>
        </mc:AlternateContent>
      </w:r>
    </w:p>
    <w:tbl>
      <w:tblPr>
        <w:jc w:val="left"/>
        <w:tblInd w:w="97" w:type="dxa"/>
        <w:tblW w:w="9540"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9540"/>
      </w:tblGrid>
      <w:tr>
        <w:trPr>
          <w:trHeight w:val="465"/>
        </w:trPr>
        <w:tc>
          <w:tcPr>
            <w:tcW w:w="9540" w:type="dxa"/>
            <w:tcBorders>
              <w:top w:val="single" w:sz="4" w:space="0" w:color="auto"/>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rPr>
          <w:trHeight w:val="465"/>
        </w:trPr>
        <w:tc>
          <w:tcPr>
            <w:tcW w:w="9540" w:type="dxa"/>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rPr>
          <w:trHeight w:val="465"/>
        </w:trPr>
        <w:tc>
          <w:tcPr>
            <w:tcW w:w="9540" w:type="dxa"/>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rPr>
          <w:trHeight w:val="210"/>
        </w:trPr>
        <w:tc>
          <w:tcPr>
            <w:tcW w:w="9540" w:type="dxa"/>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sectPr>
          <w:pgSz w:w="11906" w:h="16838"/>
          <w:pgMar w:top="1440" w:right="1800" w:bottom="1440" w:left="1800" w:header="851" w:footer="992" w:gutter="0"/>
          <w:docGrid w:type="lines" w:linePitch="312" w:charSpace="0"/>
        </w:sectPr>
      </w:pPr>
    </w:p>
    <w:p>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jc w:val="center"/>
        <w:tblW w:w="125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rPr>
          <w:trHeight w:val="692"/>
          <w:tblHeader/>
        </w:trPr>
        <w:tc>
          <w:tcPr>
            <w:tcW w:w="682"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rPr>
          <w:trHeight w:val="2318"/>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br/>
              <w:t>①项目立项是否符合国家法律法规、国民经济发展规划和相关政策；</w:t>
              <w:br/>
              <w:t>②项目立项是否符合行业发展规划和政策要求；</w:t>
              <w:br/>
              <w:t>③项目立项是否与部门职责范围相符，属于部门履职所需；</w:t>
              <w:br/>
              <w:t>④项目是否属于公共财政支持范围，是否符合中央、地方事权支出责任划分原则；</w:t>
              <w:br/>
              <w:t>⑤项目是否与相关部门同类项目或部门内部相关项目重复。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4</w:t>
            </w:r>
          </w:p>
        </w:tc>
      </w:tr>
      <w:tr>
        <w:trPr>
          <w:trHeight w:val="1510"/>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br/>
              <w:t>①项目是否按照规定的程序申请设立；</w:t>
              <w:br/>
              <w:t>②审批文件、材料是否符合相关要求；</w:t>
              <w:br/>
              <w:t>③事前是否已经过必要的可行性研究、专家论证、风险评估、绩效评估、集体决策。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3</w:t>
            </w:r>
          </w:p>
        </w:tc>
      </w:tr>
      <w:tr>
        <w:trPr>
          <w:trHeight w:val="1829"/>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br/>
              <w:t>（如未设定预算绩效目标，也可考核其他工作任务目标）</w:t>
              <w:br/>
              <w:t>①项目是否有绩效目标；</w:t>
              <w:br/>
              <w:t>②项目绩效目标与实际工作内容是否具有相关性；</w:t>
              <w:b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4</w:t>
            </w:r>
          </w:p>
        </w:tc>
      </w:tr>
      <w:tr>
        <w:trPr>
          <w:trHeight w:val="1464"/>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①是否将项目绩效目标细化分解为具体的绩效指标；</w:t>
              <w:br/>
              <w:t>②是否通过清晰、可衡量的指标值予以体现；</w:t>
              <w:br/>
              <w:t>③是否与项目目标任务数或计划数相对应。</w:t>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3</w:t>
            </w:r>
          </w:p>
        </w:tc>
      </w:tr>
      <w:tr>
        <w:trPr>
          <w:trHeight w:val="1942"/>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①预算编制是否经过科学论证；</w:t>
              <w:br/>
              <w:t>②预算内容与项目内容是否匹配；</w:t>
              <w:br/>
              <w:t>③预算额度测算依据是否充分，是否按照标准编制；</w:t>
              <w:br/>
              <w:t>④预算确定的项目投资额或资金量是否与工作任务相匹配。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3</w:t>
            </w:r>
          </w:p>
        </w:tc>
      </w:tr>
      <w:tr>
        <w:trPr>
          <w:trHeight w:val="1706"/>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①预算资金分配依据是否充分；</w:t>
              <w:br/>
              <w:t>②资金分配额度是否合理，与项目单位或地方实际是否相适应。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3</w:t>
            </w:r>
          </w:p>
        </w:tc>
      </w:tr>
      <w:tr>
        <w:trPr>
          <w:trHeight w:val="1415"/>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3</w:t>
            </w:r>
          </w:p>
        </w:tc>
      </w:tr>
      <w:tr>
        <w:trPr>
          <w:trHeight w:val="1320"/>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b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4</w:t>
            </w:r>
          </w:p>
        </w:tc>
      </w:tr>
      <w:tr>
        <w:trPr>
          <w:trHeight w:val="2076"/>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①是否符合国家财经法规和财务管理制度以及有关专项资金管理办法的规定；</w:t>
              <w:br/>
              <w:t>②资金的拨付是否有完整的审批程序和手续；</w:t>
              <w:br/>
              <w:t>③是否符合项目预算批复或合同规定的用途；</w:t>
              <w:br/>
              <w:t>④是否存在截留、挤占、挪用、虚列支出等情况。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4</w:t>
            </w:r>
          </w:p>
        </w:tc>
      </w:tr>
      <w:tr>
        <w:trPr>
          <w:trHeight w:val="1797"/>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①是否已制定或具有相应的财务和业务管理制度；</w:t>
              <w:br/>
              <w:t>②财务和业务管理制度是否合法、合规、完整。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4</w:t>
            </w:r>
          </w:p>
        </w:tc>
      </w:tr>
      <w:tr>
        <w:trPr>
          <w:trHeight w:val="1769"/>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①是否遵守相关法律法规和相关管理规定；</w:t>
              <w:br/>
              <w:t>②项目调整及支出调整手续是否完备；</w:t>
              <w:br/>
              <w:t>③项目合同书、验收报告、技术鉴定等资料是否齐全并及时归档；</w:t>
              <w:br/>
              <w:t>④项目实施的人员条件、场地设备、信息支撑等是否落实到位。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4</w:t>
            </w:r>
          </w:p>
        </w:tc>
      </w:tr>
      <w:tr>
        <w:trPr>
          <w:trHeight w:val="1917"/>
        </w:trPr>
        <w:tc>
          <w:tcPr>
            <w:tcW w:w="682"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br/>
              <w:t>实际产出数：一定时期（本年度或项目期）内项目实际产出的产品或提供的服务数量。</w:t>
              <w:b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7</w:t>
            </w:r>
          </w:p>
        </w:tc>
      </w:tr>
      <w:tr>
        <w:trPr>
          <w:trHeight w:val="1718"/>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8</w:t>
            </w:r>
          </w:p>
        </w:tc>
      </w:tr>
      <w:tr>
        <w:trPr>
          <w:trHeight w:val="1506"/>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b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8</w:t>
            </w:r>
          </w:p>
        </w:tc>
      </w:tr>
      <w:tr>
        <w:trPr>
          <w:trHeight w:val="1674"/>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成本节约率=[（计划成本-实际成本）/计划成本]×100%。</w:t>
              <w:br/>
              <w:t>实际成本：项目实施单位如期、保质、保量完成既定工作目标实际所耗费的支出。</w:t>
              <w:b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8</w:t>
            </w:r>
          </w:p>
        </w:tc>
      </w:tr>
      <w:tr>
        <w:trPr>
          <w:trHeight w:val="693"/>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color w:val="000000"/>
                <w:kern w:val="0"/>
                <w:sz w:val="22"/>
                <w:szCs w:val="22"/>
                <w:lang w:val="en-US" w:eastAsia="zh-CN"/>
              </w:rPr>
            </w:pPr>
            <w:r>
              <w:rPr>
                <w:rFonts w:ascii="Times New Roman" w:hAnsi="Times New Roman" w:hint="eastAsia"/>
                <w:color w:val="000000"/>
                <w:kern w:val="0"/>
                <w:sz w:val="22"/>
                <w:szCs w:val="22"/>
                <w:lang w:val="en-US" w:eastAsia="zh-CN"/>
              </w:rPr>
              <w:t>20</w:t>
            </w:r>
          </w:p>
        </w:tc>
      </w:tr>
      <w:tr>
        <w:trPr>
          <w:trHeight w:val="929"/>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8</w:t>
            </w:r>
          </w:p>
        </w:tc>
      </w:tr>
      <w:tr>
        <w:trPr>
          <w:trHeight w:val="558"/>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color w:val="000000"/>
                <w:kern w:val="0"/>
                <w:sz w:val="22"/>
                <w:szCs w:val="22"/>
                <w:lang w:val="en-US" w:eastAsia="zh-CN"/>
              </w:rPr>
            </w:pPr>
            <w:r>
              <w:rPr>
                <w:rFonts w:ascii="Times New Roman" w:hAnsi="Times New Roman" w:hint="eastAsia"/>
                <w:color w:val="000000"/>
                <w:kern w:val="0"/>
                <w:sz w:val="22"/>
                <w:szCs w:val="22"/>
                <w:lang w:val="en-US" w:eastAsia="zh-CN"/>
              </w:rPr>
              <w:t>98</w:t>
            </w:r>
          </w:p>
        </w:tc>
      </w:tr>
    </w:tbl>
    <w:p>
      <w:pPr>
        <w:spacing w:line="560" w:lineRule="exact"/>
        <w:ind w:firstLineChars="100" w:firstLine="200"/>
        <w:rPr>
          <w:rFonts w:ascii="Times New Roman" w:hAnsi="Times New Roman"/>
          <w:bCs/>
          <w:sz w:val="32"/>
          <w:szCs w:val="32"/>
        </w:rPr>
        <w:sectPr>
          <w:pgSz w:w="16838" w:h="11906" w:orient="landscape"/>
          <w:pgMar w:top="1531" w:right="1928" w:bottom="1531" w:left="1701" w:header="737" w:footer="851" w:gutter="0"/>
          <w:docGrid w:type="lines" w:linePitch="408" w:charSpace="0"/>
        </w:sectPr>
      </w:pPr>
      <w:r>
        <w:rPr>
          <w:rFonts w:ascii="Times New Roman" w:eastAsia="仿宋_GB2312" w:hAnsi="Times New Roman"/>
          <w:sz w:val="20"/>
          <w:szCs w:val="20"/>
        </w:rPr>
        <w:t>注：单位可以根据专项资金的管理要求和绩效要求增设个性指标</w:t>
      </w:r>
    </w:p>
    <w:p/>
    <w:p/>
    <w:sectPr>
      <w:pgSz w:w="16838" w:h="11906" w:orient="landscape"/>
      <w:pgMar w:top="1800" w:right="1440" w:bottom="1800" w:left="144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2010609030101010101"/>
    <w:charset w:val="86"/>
    <w:family w:val="modern"/>
    <w:pitch w:val="variable"/>
    <w:sig w:usb0="00000000" w:usb1="00000000" w:usb2="00000000" w:usb3="00000000" w:csb0="00040000" w:csb1="00000000"/>
  </w:font>
  <w:font w:name="Times New Roman">
    <w:panose1 w:val="02020603050405020304"/>
    <w:charset w:val="00"/>
    <w:family w:val="roman"/>
    <w:pitch w:val="variable"/>
    <w:sig w:usb0="20007A87" w:usb1="80000000" w:usb2="00000008" w:usb3="00000000" w:csb0="000001FF" w:csb1="00000000"/>
  </w:font>
  <w:font w:name="仿宋">
    <w:panose1 w:val="02010609060101010101"/>
    <w:charset w:val="86"/>
    <w:family w:val="auto"/>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10002FF" w:usb1="4000ACFF" w:usb2="00000009" w:usb3="00000000" w:csb0="2000019F"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variable"/>
    <w:sig w:usb0="800002BF" w:usb1="38CF7CFA" w:usb2="00000016" w:usb3="00000000" w:csb0="00040001"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4F1BA430"/>
    <w:multiLevelType w:val="singleLevel"/>
    <w:tmpl w:val="4F1BA430"/>
    <w:lvl w:ilvl="0">
      <w:start w:val="2"/>
      <w:numFmt w:val="decimal"/>
      <w:lvlRestart w:val="0"/>
      <w:lvlText w:val="%1."/>
      <w:lvlJc w:val="left"/>
      <w:pPr>
        <w:ind w:left="0" w:hanging="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qFormat/>
    <w:pPr>
      <w:widowControl w:val="0"/>
      <w:jc w:val="both"/>
    </w:pPr>
    <w:rPr>
      <w:rFonts w:ascii="Calibri" w:eastAsia="宋体" w:cs="Arial" w:hAnsi="Calibri"/>
      <w:kern w:val="2"/>
      <w:sz w:val="21"/>
      <w:szCs w:val="24"/>
      <w:lang w:val="en-US" w:eastAsia="zh-CN" w:bidi="ar-SA"/>
    </w:rPr>
  </w:style>
  <w:style w:type="paragraph" w:styleId="1">
    <w:name w:val="heading 1"/>
    <w:qFormat/>
    <w:basedOn w:val="0"/>
    <w:next w:val="0"/>
    <w:pPr>
      <w:keepNext/>
      <w:keepLines/>
      <w:widowControl w:val="0"/>
      <w:spacing w:before="340" w:after="330" w:line="578" w:lineRule="auto"/>
      <w:outlineLvl w:val="0"/>
    </w:pPr>
    <w:rPr>
      <w:b/>
      <w:bCs/>
      <w:kern w:val="44"/>
      <w:sz w:val="44"/>
    </w:rPr>
  </w:style>
  <w:style w:type="paragraph" w:styleId="2">
    <w:name w:val="heading 2"/>
    <w:qFormat/>
    <w:basedOn w:val="0"/>
    <w:next w:val="0"/>
    <w:pPr>
      <w:keepNext/>
      <w:keepLines/>
      <w:widowControl w:val="0"/>
      <w:spacing w:before="260" w:after="260" w:line="413" w:lineRule="auto"/>
      <w:outlineLvl w:val="1"/>
    </w:pPr>
    <w:rPr>
      <w:rFonts w:ascii="Arial" w:eastAsia="黑体" w:hAnsi="Arial"/>
      <w:b/>
      <w:sz w:val="32"/>
    </w:rPr>
  </w:style>
  <w:style w:type="paragraph" w:styleId="3">
    <w:name w:val="heading 3"/>
    <w:qFormat/>
    <w:basedOn w:val="0"/>
    <w:next w:val="0"/>
    <w:pPr>
      <w:keepNext/>
      <w:keepLines/>
      <w:widowControl w:val="0"/>
      <w:spacing w:before="260" w:after="260" w:line="415" w:lineRule="auto"/>
      <w:outlineLvl w:val="2"/>
    </w:pPr>
    <w:rPr>
      <w:b/>
      <w:sz w:val="32"/>
    </w:rPr>
  </w:style>
  <w:style w:type="character" w:default="1" w:styleId="10">
    <w:name w:val="Default Paragraph Font"/>
    <w:qForma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18</TotalTime>
  <Application>Yozo_Office27021597764231180</Application>
  <Pages>12</Pages>
  <Words>0</Words>
  <Characters>4673</Characters>
  <Lines>0</Lines>
  <Paragraphs>57</Paragraphs>
  <CharactersWithSpaces>6231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1</cp:revision>
  <cp:lastPrinted>2020-06-29T01:30:00Z</cp:lastPrinted>
  <dcterms:created xsi:type="dcterms:W3CDTF">2020-06-24T02:15:00Z</dcterms:created>
  <dcterms:modified xsi:type="dcterms:W3CDTF">2021-07-28T01:39:35Z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2052-11.1.0.10314</vt:lpwstr>
  </property>
</Properties>
</file>