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3BF" w:rsidRDefault="001233BF" w:rsidP="001233BF">
      <w:pPr>
        <w:rPr>
          <w:rFonts w:ascii="仿宋" w:eastAsia="仿宋" w:hAnsi="仿宋" w:hint="eastAsia"/>
          <w:b/>
          <w:sz w:val="44"/>
          <w:szCs w:val="44"/>
        </w:rPr>
      </w:pPr>
    </w:p>
    <w:p w:rsidR="00030408" w:rsidRDefault="00083610">
      <w:pPr>
        <w:jc w:val="center"/>
        <w:rPr>
          <w:rFonts w:ascii="仿宋" w:eastAsia="仿宋" w:hAnsi="仿宋"/>
          <w:b/>
          <w:sz w:val="44"/>
          <w:szCs w:val="44"/>
        </w:rPr>
      </w:pPr>
      <w:r w:rsidRPr="00083610">
        <w:rPr>
          <w:rFonts w:ascii="仿宋" w:eastAsia="仿宋" w:hAnsi="仿宋" w:hint="eastAsia"/>
          <w:b/>
          <w:sz w:val="44"/>
          <w:szCs w:val="44"/>
        </w:rPr>
        <w:t>中方县市场监督管理局</w:t>
      </w:r>
      <w:r w:rsidR="00013946">
        <w:rPr>
          <w:rFonts w:ascii="仿宋" w:eastAsia="仿宋" w:hAnsi="仿宋" w:hint="eastAsia"/>
          <w:b/>
          <w:sz w:val="44"/>
          <w:szCs w:val="44"/>
        </w:rPr>
        <w:t>2020</w:t>
      </w:r>
      <w:r w:rsidR="00013946">
        <w:rPr>
          <w:rFonts w:ascii="仿宋" w:eastAsia="仿宋" w:hAnsi="仿宋"/>
          <w:b/>
          <w:sz w:val="44"/>
          <w:szCs w:val="44"/>
        </w:rPr>
        <w:t>年度部门整体支出绩效自评报告</w:t>
      </w:r>
    </w:p>
    <w:p w:rsidR="00030408" w:rsidRDefault="00030408">
      <w:pPr>
        <w:pStyle w:val="a7"/>
        <w:widowControl/>
        <w:spacing w:line="600" w:lineRule="exact"/>
        <w:ind w:firstLineChars="0"/>
        <w:rPr>
          <w:rFonts w:ascii="仿宋" w:eastAsia="仿宋" w:hAnsi="仿宋"/>
          <w:bCs/>
          <w:color w:val="000000"/>
          <w:sz w:val="30"/>
          <w:szCs w:val="30"/>
        </w:rPr>
      </w:pPr>
    </w:p>
    <w:p w:rsidR="00030408" w:rsidRDefault="00013946">
      <w:pPr>
        <w:pStyle w:val="a7"/>
        <w:widowControl/>
        <w:numPr>
          <w:ilvl w:val="0"/>
          <w:numId w:val="1"/>
        </w:numPr>
        <w:spacing w:line="600" w:lineRule="exact"/>
        <w:ind w:firstLineChars="0"/>
        <w:rPr>
          <w:rFonts w:ascii="仿宋" w:eastAsia="仿宋" w:hAnsi="仿宋"/>
          <w:b/>
          <w:bCs/>
          <w:color w:val="000000"/>
          <w:sz w:val="30"/>
          <w:szCs w:val="30"/>
        </w:rPr>
      </w:pPr>
      <w:r>
        <w:rPr>
          <w:rFonts w:ascii="仿宋" w:eastAsia="仿宋" w:hAnsi="仿宋"/>
          <w:b/>
          <w:bCs/>
          <w:color w:val="000000"/>
          <w:sz w:val="30"/>
          <w:szCs w:val="30"/>
        </w:rPr>
        <w:t>单位基本情况</w:t>
      </w:r>
    </w:p>
    <w:p w:rsidR="00030408" w:rsidRDefault="00013946">
      <w:pPr>
        <w:spacing w:line="560" w:lineRule="exact"/>
        <w:ind w:firstLineChars="300" w:firstLine="900"/>
        <w:rPr>
          <w:rFonts w:ascii="仿宋" w:eastAsia="仿宋" w:hAnsi="仿宋" w:cs="仿宋_GB2312"/>
          <w:color w:val="000000"/>
          <w:sz w:val="30"/>
          <w:szCs w:val="30"/>
        </w:rPr>
      </w:pPr>
      <w:r>
        <w:rPr>
          <w:rFonts w:ascii="仿宋" w:eastAsia="仿宋" w:hAnsi="仿宋" w:cs="仿宋_GB2312" w:hint="eastAsia"/>
          <w:color w:val="000000"/>
          <w:sz w:val="30"/>
          <w:szCs w:val="30"/>
        </w:rPr>
        <w:t>（一）单位基本情况。</w:t>
      </w:r>
    </w:p>
    <w:p w:rsidR="00030408" w:rsidRDefault="00013946">
      <w:pPr>
        <w:ind w:firstLineChars="200" w:firstLine="600"/>
        <w:rPr>
          <w:rFonts w:ascii="仿宋" w:eastAsia="仿宋" w:hAnsi="仿宋"/>
          <w:sz w:val="30"/>
          <w:szCs w:val="30"/>
        </w:rPr>
      </w:pPr>
      <w:r>
        <w:rPr>
          <w:rFonts w:ascii="仿宋" w:eastAsia="仿宋" w:hAnsi="仿宋" w:cs="仿宋_GB2312" w:hint="eastAsia"/>
          <w:color w:val="303030"/>
          <w:kern w:val="0"/>
          <w:sz w:val="30"/>
          <w:szCs w:val="30"/>
        </w:rPr>
        <w:t>中方县市场监督管理局为正（或副）科级全额拨款行政单位。内设</w:t>
      </w:r>
      <w:r>
        <w:rPr>
          <w:rFonts w:ascii="仿宋" w:eastAsia="仿宋" w:hAnsi="仿宋" w:hint="eastAsia"/>
          <w:sz w:val="30"/>
          <w:szCs w:val="30"/>
        </w:rPr>
        <w:t>办公室、计划财务股、人事教育股、政策法规股、食品生产和流通安全监督管理股、餐饮服务食品安全监督管理股、药品化妆品医疗器械监督管理股、消费者权益保护股、信用监督管理股、特种设备安全监察股、知识产权监督管理股、网络交易和广告监督管理股、标准质量监督管理股、计量认证管理股、政务服务股</w:t>
      </w:r>
      <w:r>
        <w:rPr>
          <w:rFonts w:ascii="仿宋" w:eastAsia="仿宋" w:hAnsi="仿宋"/>
          <w:sz w:val="30"/>
          <w:szCs w:val="30"/>
        </w:rPr>
        <w:t>等1</w:t>
      </w:r>
      <w:r>
        <w:rPr>
          <w:rFonts w:ascii="仿宋" w:eastAsia="仿宋" w:hAnsi="仿宋" w:hint="eastAsia"/>
          <w:sz w:val="30"/>
          <w:szCs w:val="30"/>
        </w:rPr>
        <w:t>5</w:t>
      </w:r>
      <w:r>
        <w:rPr>
          <w:rFonts w:ascii="仿宋" w:eastAsia="仿宋" w:hAnsi="仿宋"/>
          <w:sz w:val="30"/>
          <w:szCs w:val="30"/>
        </w:rPr>
        <w:t>个职能股室。下设县</w:t>
      </w:r>
      <w:r>
        <w:rPr>
          <w:rFonts w:ascii="仿宋" w:eastAsia="仿宋" w:hAnsi="仿宋" w:hint="eastAsia"/>
          <w:sz w:val="30"/>
          <w:szCs w:val="30"/>
        </w:rPr>
        <w:t>计量检定和食品药品检验检测中心、县食品安全技术审评认证服务中心、县市场监督管理局信息中心、县个体私营经济发展指导中心、县消费者委员会办公室、县知识产权局、县市场监督综合行政执法大队七</w:t>
      </w:r>
      <w:r>
        <w:rPr>
          <w:rFonts w:ascii="仿宋" w:eastAsia="仿宋" w:hAnsi="仿宋"/>
          <w:sz w:val="30"/>
          <w:szCs w:val="30"/>
        </w:rPr>
        <w:t>个二级事业单位</w:t>
      </w:r>
      <w:r>
        <w:rPr>
          <w:rFonts w:ascii="仿宋" w:eastAsia="仿宋" w:hAnsi="仿宋" w:hint="eastAsia"/>
          <w:sz w:val="30"/>
          <w:szCs w:val="30"/>
        </w:rPr>
        <w:t>。</w:t>
      </w:r>
      <w:r>
        <w:rPr>
          <w:rFonts w:ascii="仿宋" w:eastAsia="仿宋" w:hAnsi="仿宋"/>
          <w:sz w:val="30"/>
          <w:szCs w:val="30"/>
        </w:rPr>
        <w:t>下设12个市场监督管理所为派出机构</w:t>
      </w:r>
      <w:r>
        <w:rPr>
          <w:rFonts w:ascii="仿宋" w:eastAsia="仿宋" w:hAnsi="仿宋" w:hint="eastAsia"/>
          <w:sz w:val="30"/>
          <w:szCs w:val="30"/>
        </w:rPr>
        <w:t>。单位核定编制115人，其中：行政编制28人，事业编制81人，工勤编6人。实有在职人员120人，离退休人员33人。现有车辆3台。</w:t>
      </w:r>
    </w:p>
    <w:p w:rsidR="00030408" w:rsidRDefault="00013946">
      <w:pPr>
        <w:widowControl/>
        <w:spacing w:line="360" w:lineRule="auto"/>
        <w:ind w:firstLineChars="200" w:firstLine="600"/>
        <w:rPr>
          <w:rFonts w:ascii="仿宋" w:eastAsia="仿宋" w:hAnsi="仿宋" w:cs="仿宋_GB2312"/>
          <w:sz w:val="30"/>
          <w:szCs w:val="30"/>
        </w:rPr>
      </w:pPr>
      <w:r>
        <w:rPr>
          <w:rFonts w:ascii="仿宋" w:eastAsia="仿宋" w:hAnsi="仿宋" w:cs="仿宋_GB2312" w:hint="eastAsia"/>
          <w:sz w:val="30"/>
          <w:szCs w:val="30"/>
        </w:rPr>
        <w:t>（二）2020年度预算编制的有关情况：预算编制依据《中华人民共和国预算法》的有关规定。标准以“量入为出、适当从紧”，实行“优先安排人员支出，适当安排项目支出，从紧安排</w:t>
      </w:r>
      <w:r>
        <w:rPr>
          <w:rFonts w:ascii="仿宋" w:eastAsia="仿宋" w:hAnsi="仿宋" w:cs="仿宋_GB2312" w:hint="eastAsia"/>
          <w:sz w:val="30"/>
          <w:szCs w:val="30"/>
        </w:rPr>
        <w:lastRenderedPageBreak/>
        <w:t>公用支出”。部门预算编报口径为单位本级（涵盖单位和</w:t>
      </w:r>
      <w:r>
        <w:rPr>
          <w:rFonts w:ascii="仿宋" w:eastAsia="仿宋" w:hAnsi="仿宋"/>
          <w:sz w:val="30"/>
          <w:szCs w:val="30"/>
        </w:rPr>
        <w:t>县</w:t>
      </w:r>
      <w:r>
        <w:rPr>
          <w:rFonts w:ascii="仿宋" w:eastAsia="仿宋" w:hAnsi="仿宋" w:hint="eastAsia"/>
          <w:sz w:val="30"/>
          <w:szCs w:val="30"/>
        </w:rPr>
        <w:t>计量检定和食品药品检验检测中心、县食品安全技术审评认证服务中心、县市场监督管理局信息中心、县个体私营经济发展指导中心、县消费者委员会办公室、县知识产权局、县市场监督综合行政执法大队七</w:t>
      </w:r>
      <w:r>
        <w:rPr>
          <w:rFonts w:ascii="仿宋" w:eastAsia="仿宋" w:hAnsi="仿宋"/>
          <w:sz w:val="30"/>
          <w:szCs w:val="30"/>
        </w:rPr>
        <w:t>个二级事业单位</w:t>
      </w:r>
      <w:r>
        <w:rPr>
          <w:rFonts w:ascii="仿宋" w:eastAsia="仿宋" w:hAnsi="仿宋" w:cs="仿宋_GB2312" w:hint="eastAsia"/>
          <w:sz w:val="30"/>
          <w:szCs w:val="30"/>
        </w:rPr>
        <w:t>及12个派出机构）。程序：我局高度重视预算编制工作，“一把手”负责，班子成员集体研究。按照“先基本支出后项目支出，先重点支出后一般支出”的顺序编制预算。</w:t>
      </w:r>
    </w:p>
    <w:p w:rsidR="00030408" w:rsidRDefault="00013946">
      <w:pPr>
        <w:spacing w:line="560" w:lineRule="exact"/>
        <w:ind w:firstLineChars="200" w:firstLine="602"/>
        <w:rPr>
          <w:rFonts w:ascii="仿宋" w:eastAsia="仿宋" w:hAnsi="仿宋"/>
          <w:b/>
          <w:bCs/>
          <w:color w:val="000000"/>
          <w:sz w:val="30"/>
          <w:szCs w:val="30"/>
        </w:rPr>
      </w:pPr>
      <w:r>
        <w:rPr>
          <w:rFonts w:ascii="仿宋" w:eastAsia="仿宋" w:hAnsi="仿宋"/>
          <w:b/>
          <w:bCs/>
          <w:color w:val="000000"/>
          <w:sz w:val="30"/>
          <w:szCs w:val="30"/>
        </w:rPr>
        <w:t>二、部门整体支出管理及使用情况</w:t>
      </w:r>
    </w:p>
    <w:p w:rsidR="00030408" w:rsidRDefault="00013946">
      <w:pPr>
        <w:spacing w:line="560" w:lineRule="exact"/>
        <w:ind w:firstLineChars="200" w:firstLine="600"/>
        <w:rPr>
          <w:rFonts w:ascii="仿宋" w:eastAsia="仿宋" w:hAnsi="仿宋"/>
          <w:bCs/>
          <w:color w:val="000000"/>
          <w:sz w:val="30"/>
          <w:szCs w:val="30"/>
        </w:rPr>
      </w:pPr>
      <w:r>
        <w:rPr>
          <w:rFonts w:ascii="仿宋" w:eastAsia="仿宋" w:hAnsi="仿宋"/>
          <w:bCs/>
          <w:color w:val="000000"/>
          <w:sz w:val="30"/>
          <w:szCs w:val="30"/>
        </w:rPr>
        <w:t>（一）基本支出</w:t>
      </w:r>
    </w:p>
    <w:p w:rsidR="00030408" w:rsidRDefault="00013946">
      <w:pPr>
        <w:snapToGrid w:val="0"/>
        <w:spacing w:line="520" w:lineRule="exact"/>
        <w:ind w:firstLineChars="200" w:firstLine="600"/>
        <w:rPr>
          <w:rFonts w:ascii="仿宋" w:eastAsia="仿宋" w:hAnsi="仿宋" w:cs="宋体"/>
          <w:color w:val="000000"/>
          <w:sz w:val="30"/>
          <w:szCs w:val="30"/>
        </w:rPr>
      </w:pPr>
      <w:r>
        <w:rPr>
          <w:rFonts w:ascii="仿宋" w:eastAsia="仿宋" w:hAnsi="仿宋" w:hint="eastAsia"/>
          <w:bCs/>
          <w:color w:val="000000"/>
          <w:sz w:val="30"/>
          <w:szCs w:val="30"/>
        </w:rPr>
        <w:t>本部门2020年基本支出预算1350.4万，决算基本支出1359.5万，调整数9.1万。单位基本支出严格按照预算科目金额执行，商品服务支出管理采取厉行节约、实报实销的原则进行管理。</w:t>
      </w:r>
      <w:r>
        <w:rPr>
          <w:rFonts w:ascii="仿宋" w:eastAsia="仿宋" w:hAnsi="仿宋" w:cs="宋体" w:hint="eastAsia"/>
          <w:sz w:val="30"/>
          <w:szCs w:val="30"/>
        </w:rPr>
        <w:t>差异原因分析：</w:t>
      </w:r>
      <w:r>
        <w:rPr>
          <w:rFonts w:ascii="仿宋" w:eastAsia="仿宋" w:hAnsi="仿宋" w:cs="宋体" w:hint="eastAsia"/>
          <w:color w:val="000000"/>
          <w:sz w:val="30"/>
          <w:szCs w:val="30"/>
        </w:rPr>
        <w:t>工资调标、公积金医保金支出增大，造成人员经费增加。“三公”经费2020年预算20.1万（公车运行维护12.1，公务接待8万），决算“三公”经费20.1（公车运行维护12.1，公务接待8万）。</w:t>
      </w:r>
    </w:p>
    <w:p w:rsidR="00030408" w:rsidRDefault="00013946">
      <w:pPr>
        <w:spacing w:line="560" w:lineRule="exact"/>
        <w:ind w:firstLineChars="200" w:firstLine="600"/>
        <w:rPr>
          <w:rFonts w:ascii="仿宋" w:eastAsia="仿宋" w:hAnsi="仿宋"/>
          <w:bCs/>
          <w:color w:val="000000"/>
          <w:sz w:val="30"/>
          <w:szCs w:val="30"/>
        </w:rPr>
      </w:pPr>
      <w:r>
        <w:rPr>
          <w:rFonts w:ascii="仿宋" w:eastAsia="仿宋" w:hAnsi="仿宋"/>
          <w:bCs/>
          <w:color w:val="000000"/>
          <w:sz w:val="30"/>
          <w:szCs w:val="30"/>
        </w:rPr>
        <w:t>（二）项目支出</w:t>
      </w:r>
    </w:p>
    <w:p w:rsidR="00030408" w:rsidRDefault="00013946">
      <w:pPr>
        <w:ind w:firstLineChars="150" w:firstLine="450"/>
        <w:rPr>
          <w:rFonts w:ascii="仿宋" w:eastAsia="仿宋" w:hAnsi="仿宋"/>
          <w:sz w:val="30"/>
          <w:szCs w:val="30"/>
        </w:rPr>
      </w:pPr>
      <w:r>
        <w:rPr>
          <w:rFonts w:ascii="仿宋" w:eastAsia="仿宋" w:hAnsi="仿宋" w:cs="宋体" w:hint="eastAsia"/>
          <w:color w:val="000000"/>
          <w:sz w:val="30"/>
          <w:szCs w:val="30"/>
        </w:rPr>
        <w:t>本部门2020年项目支出预算227万，决算项目支出199.71万，</w:t>
      </w:r>
      <w:r w:rsidRPr="00DB5DAA">
        <w:rPr>
          <w:rFonts w:ascii="仿宋" w:eastAsia="仿宋" w:hAnsi="仿宋" w:cs="宋体" w:hint="eastAsia"/>
          <w:color w:val="000000"/>
          <w:sz w:val="30"/>
          <w:szCs w:val="30"/>
        </w:rPr>
        <w:t>调整数27.29万</w:t>
      </w:r>
      <w:r>
        <w:rPr>
          <w:rFonts w:ascii="仿宋" w:eastAsia="仿宋" w:hAnsi="仿宋" w:cs="宋体" w:hint="eastAsia"/>
          <w:color w:val="000000"/>
          <w:sz w:val="30"/>
          <w:szCs w:val="30"/>
        </w:rPr>
        <w:t>. 项目资金管理严格按照该规定和《湖南省市场监督管理局专项资金管理办法》湘财行［2019］9号执行，实行专款专用。项目资金坚持量入为出的原则，严格控制支出范围，杜绝不符合规定支出，随时接受项目主管部门、财政部门、审计部门的检查。专项资金使用审批实行严格的审批制度，由单位主要领导审批支出项目，并由集体会议研究决定使用数额。如</w:t>
      </w:r>
      <w:r>
        <w:rPr>
          <w:rFonts w:ascii="仿宋" w:eastAsia="仿宋" w:hAnsi="仿宋" w:cs="宋体" w:hint="eastAsia"/>
          <w:color w:val="000000"/>
          <w:sz w:val="30"/>
          <w:szCs w:val="30"/>
        </w:rPr>
        <w:lastRenderedPageBreak/>
        <w:t>果是上级指定使用的必须按照要求使用。专项资金经集体会议研究后方可支付，支付程序：支付内容——凭证——经办人签字——相关科室责任人初审——会计审核——领导审批——支出。</w:t>
      </w:r>
      <w:r>
        <w:rPr>
          <w:rFonts w:ascii="仿宋" w:eastAsia="仿宋" w:hAnsi="仿宋" w:hint="eastAsia"/>
          <w:bCs/>
          <w:color w:val="000000"/>
          <w:sz w:val="30"/>
          <w:szCs w:val="30"/>
        </w:rPr>
        <w:t xml:space="preserve"> </w:t>
      </w:r>
    </w:p>
    <w:p w:rsidR="00030408" w:rsidRDefault="00013946">
      <w:pPr>
        <w:spacing w:line="560" w:lineRule="exact"/>
        <w:ind w:firstLineChars="200" w:firstLine="602"/>
        <w:rPr>
          <w:rFonts w:ascii="仿宋" w:eastAsia="仿宋" w:hAnsi="仿宋"/>
          <w:b/>
          <w:bCs/>
          <w:color w:val="000000"/>
          <w:sz w:val="30"/>
          <w:szCs w:val="30"/>
        </w:rPr>
      </w:pPr>
      <w:r>
        <w:rPr>
          <w:rFonts w:ascii="仿宋" w:eastAsia="仿宋" w:hAnsi="仿宋"/>
          <w:b/>
          <w:bCs/>
          <w:color w:val="000000"/>
          <w:sz w:val="30"/>
          <w:szCs w:val="30"/>
        </w:rPr>
        <w:t>三、部门整体支出绩效情况</w:t>
      </w:r>
    </w:p>
    <w:p w:rsidR="00030408" w:rsidRDefault="00013946">
      <w:pPr>
        <w:spacing w:line="560" w:lineRule="exact"/>
        <w:ind w:firstLineChars="200" w:firstLine="600"/>
        <w:rPr>
          <w:rFonts w:ascii="仿宋" w:eastAsia="仿宋" w:hAnsi="仿宋"/>
          <w:bCs/>
          <w:color w:val="000000"/>
          <w:sz w:val="30"/>
          <w:szCs w:val="30"/>
        </w:rPr>
      </w:pPr>
      <w:r>
        <w:rPr>
          <w:rFonts w:ascii="仿宋" w:eastAsia="仿宋" w:hAnsi="仿宋"/>
          <w:bCs/>
          <w:color w:val="000000"/>
          <w:sz w:val="30"/>
          <w:szCs w:val="30"/>
        </w:rPr>
        <w:t>总结归纳单位各项预算支出的绩效目标完成情况，各项预算支出的产出和效益情况。</w:t>
      </w:r>
    </w:p>
    <w:p w:rsidR="00030408" w:rsidRDefault="00013946">
      <w:pPr>
        <w:spacing w:line="560" w:lineRule="exact"/>
        <w:ind w:firstLineChars="200" w:firstLine="600"/>
        <w:rPr>
          <w:rFonts w:ascii="仿宋" w:eastAsia="仿宋" w:hAnsi="仿宋" w:cs="仿宋_GB2312"/>
          <w:color w:val="303030"/>
          <w:kern w:val="0"/>
          <w:sz w:val="30"/>
          <w:szCs w:val="30"/>
        </w:rPr>
      </w:pPr>
      <w:r>
        <w:rPr>
          <w:rFonts w:ascii="仿宋" w:eastAsia="仿宋" w:hAnsi="仿宋" w:cs="仿宋_GB2312" w:hint="eastAsia"/>
          <w:kern w:val="0"/>
          <w:sz w:val="30"/>
          <w:szCs w:val="30"/>
        </w:rPr>
        <w:t>（一）</w:t>
      </w:r>
      <w:r>
        <w:rPr>
          <w:rFonts w:ascii="仿宋" w:eastAsia="仿宋" w:hAnsi="仿宋" w:cs="仿宋_GB2312" w:hint="eastAsia"/>
          <w:color w:val="303030"/>
          <w:kern w:val="0"/>
          <w:sz w:val="30"/>
          <w:szCs w:val="30"/>
        </w:rPr>
        <w:t>中方县市场监督管理局职责履行情况分析。本年度我局重点工作完成率100%。</w:t>
      </w:r>
    </w:p>
    <w:p w:rsidR="00030408" w:rsidRDefault="00013946">
      <w:pPr>
        <w:spacing w:line="560" w:lineRule="exact"/>
        <w:ind w:firstLineChars="200" w:firstLine="600"/>
        <w:rPr>
          <w:rFonts w:ascii="仿宋" w:eastAsia="仿宋" w:hAnsi="仿宋" w:cs="仿宋_GB2312"/>
          <w:kern w:val="0"/>
          <w:sz w:val="30"/>
          <w:szCs w:val="30"/>
        </w:rPr>
      </w:pPr>
      <w:r>
        <w:rPr>
          <w:rFonts w:ascii="仿宋" w:eastAsia="仿宋" w:hAnsi="仿宋" w:cs="仿宋_GB2312" w:hint="eastAsia"/>
          <w:color w:val="303030"/>
          <w:kern w:val="0"/>
          <w:sz w:val="30"/>
          <w:szCs w:val="30"/>
        </w:rPr>
        <w:t>1、</w:t>
      </w:r>
      <w:r>
        <w:rPr>
          <w:rFonts w:ascii="仿宋" w:eastAsia="仿宋" w:hAnsi="仿宋" w:cs="仿宋_GB2312" w:hint="eastAsia"/>
          <w:kern w:val="0"/>
          <w:sz w:val="30"/>
          <w:szCs w:val="30"/>
        </w:rPr>
        <w:t>年初非税收入预算90万元，实际入库99万元，其中罚没收入入库78万元；</w:t>
      </w:r>
    </w:p>
    <w:p w:rsidR="00030408" w:rsidRDefault="00013946">
      <w:pPr>
        <w:spacing w:line="560" w:lineRule="exact"/>
        <w:ind w:firstLineChars="200" w:firstLine="600"/>
        <w:rPr>
          <w:rFonts w:ascii="仿宋" w:eastAsia="仿宋" w:hAnsi="仿宋" w:cs="仿宋_GB2312"/>
          <w:sz w:val="30"/>
          <w:szCs w:val="30"/>
        </w:rPr>
      </w:pPr>
      <w:r>
        <w:rPr>
          <w:rFonts w:ascii="仿宋" w:eastAsia="仿宋" w:hAnsi="仿宋" w:cs="仿宋_GB2312" w:hint="eastAsia"/>
          <w:kern w:val="0"/>
          <w:sz w:val="30"/>
          <w:szCs w:val="30"/>
        </w:rPr>
        <w:t>2、</w:t>
      </w:r>
      <w:r>
        <w:rPr>
          <w:rFonts w:ascii="仿宋" w:eastAsia="仿宋" w:hAnsi="仿宋" w:cs="仿宋_GB2312" w:hint="eastAsia"/>
          <w:sz w:val="30"/>
          <w:szCs w:val="30"/>
        </w:rPr>
        <w:t>全局立案128起（其中食品案件68起、药械案件12起、特种设备案件4起、产品质量案件21起、其他案件23起），已结案66起，罚没金额77.98万元，其中重大要案（3万以上）的行政案件1起，移送公安机关4起，无一起行政复议、诉讼案件。</w:t>
      </w:r>
      <w:bookmarkStart w:id="0" w:name="_GoBack"/>
      <w:bookmarkEnd w:id="0"/>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3.优化营商环境，持续深化商事制度改革。一是持续推进便民服务改革。推进“同城通办”“局所联动”、“最多跑一次”、“一件事一次办”等多项改革举措，深化“多证合一”、全程电子化、企业名称登记、简易注销等商事登记便利化改革。在一系列改革措施的调动下，全县市场主体快速增长。截至12月底，全县市场经济主体达12142户，其中企业2917户（含农民专业合作社646户），个体工商户9225，注册资本累计达171.68亿元。2020年全县新增市场主体达1887户，其中企业471户（含农民专业合作社39家）、个体工商户1416户，新增注册资本18.66亿元。</w:t>
      </w:r>
      <w:r w:rsidRPr="003457D6">
        <w:rPr>
          <w:rFonts w:ascii="仿宋" w:eastAsia="仿宋" w:hAnsi="仿宋" w:hint="eastAsia"/>
          <w:bCs/>
          <w:color w:val="000000"/>
          <w:sz w:val="30"/>
          <w:szCs w:val="30"/>
        </w:rPr>
        <w:lastRenderedPageBreak/>
        <w:t>二是完善企业退出机制。力推市场主体年报工作，全县2019年度企业、个体、农专年报率分别为88.58%、94.2%、91.86%。力推企业信用监管，推进社会信用建设，近年来我县已有312家企业和80家农民专业合作社被列入“经营异常名录”，有75家企业被列入“严重违法失信企业名单”。经逐级审查，已有237家企业和21家农民专业合作社移出了经营异常，3家企业进行了信用修复，并被移出“严重违法失信企业名单”。三是力推“双随机、一公开”监管工作。牵头制定《中方县市场监管领域全面推行部门联合“双随机、一公开”监管实施方案》，将“双随机、一公开”监管工作上升为政府层面，并纳入全县绩效考核评估内容。成立了中方县市场监管领域部门联合“双随机、一公开”监管联席会议，进一步明确了各成员单位的职责任务，20个成员单位均已完成“一单两库”建立和抽查计划制定。2020年开展“双随机”抽查20批次，抽查各类市场主体232户，检查结果公示率</w:t>
      </w:r>
      <w:r w:rsidRPr="003457D6">
        <w:rPr>
          <w:rFonts w:ascii="仿宋" w:eastAsia="仿宋" w:hAnsi="仿宋"/>
          <w:bCs/>
          <w:color w:val="000000"/>
          <w:sz w:val="30"/>
          <w:szCs w:val="30"/>
        </w:rPr>
        <w:t>100%</w:t>
      </w:r>
      <w:r w:rsidRPr="003457D6">
        <w:rPr>
          <w:rFonts w:ascii="仿宋" w:eastAsia="仿宋" w:hAnsi="仿宋" w:hint="eastAsia"/>
          <w:bCs/>
          <w:color w:val="000000"/>
          <w:sz w:val="30"/>
          <w:szCs w:val="30"/>
        </w:rPr>
        <w:t>。截至目前，我局共有执法事项清单194条，检查对象名录库共收录各类市场主体12088户，检查人员库收录检查人员118名。</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4.强化市场监管，从严从实抓好“四大安全”。全县市场监管领域没有发生系统性、源发性、区域性安全事故。一是狠抓食品安全监管。制定了《关于深化改革加强食品安全工作的实施意见》《2020年食品安全重点工作计划》，充实和调整了县食药安委组成人员，县委书记和县长任县食药安委主任，健全了县食药安委工作规程，明确了工作职责。6月5日召开了县委常委会（扩大）会议，安排部署全县食品安全工作。重点组织开展了“四小”、</w:t>
      </w:r>
      <w:r w:rsidRPr="003457D6">
        <w:rPr>
          <w:rFonts w:ascii="仿宋" w:eastAsia="仿宋" w:hAnsi="仿宋" w:hint="eastAsia"/>
          <w:bCs/>
          <w:color w:val="000000"/>
          <w:sz w:val="30"/>
          <w:szCs w:val="30"/>
        </w:rPr>
        <w:lastRenderedPageBreak/>
        <w:t>“护源”、“护老”、校园及周边食品安全“护苗”行动、农村食品安全、食品安全风险大排查大整治百日行动、无证无照、进口肉类及冷鲜产品、打击非法捕捞渔获物等多个专项行动，严控非洲猪瘟疫情，严查“白板肉”，联合林业、森林公安、商务等部门排查农贸市场22个，餐饮店（含农家乐）180余家次，未发现有违法加工销售野生动物行为。配合县疾控中心对170名从业人员和10个外部环境、4种冷冻食品进行采样，并进行了核酸检测，全部为阴性。共检查食品经营户4621家次、农贸市场1890场次、肉类冷藏冷冻库2个次，收缴“白板肉”等问题猪肉400余公斤；检查学校食堂118家。全面完成了上级规定的640批次食品安全抽检任务，合格率98.75%，对不合格食品均按有关程序处置到位。全力推进学校食堂“明厨亮灶”工程，全县餐饮服务单位量化分级管理率达</w:t>
      </w:r>
      <w:r w:rsidRPr="003457D6">
        <w:rPr>
          <w:rFonts w:ascii="仿宋" w:eastAsia="仿宋" w:hAnsi="仿宋"/>
          <w:bCs/>
          <w:color w:val="000000"/>
          <w:sz w:val="30"/>
          <w:szCs w:val="30"/>
        </w:rPr>
        <w:t>100%</w:t>
      </w:r>
      <w:r w:rsidRPr="003457D6">
        <w:rPr>
          <w:rFonts w:ascii="仿宋" w:eastAsia="仿宋" w:hAnsi="仿宋" w:hint="eastAsia"/>
          <w:bCs/>
          <w:color w:val="000000"/>
          <w:sz w:val="30"/>
          <w:szCs w:val="30"/>
        </w:rPr>
        <w:t>。二是狠抓药械安全监管。开展药品经营企业飞行检查和日常巡查，开展了医疗机构疫苗、血液制品、植入类骨科器材、精麻药品易制毒化学品、含麻复方制剂等高风险药械使用情况专项检查，加大对中药饮片和小药店、小诊所药品质量检查工作力度。共检查县级医疗机构1家、乡镇卫生院12家、药品批发企业2家、药品连锁企业1家、药品零售企业67家,对10家单位下达了《责令改正通知书》。三是强化特种设备安全监管。按时按量对特种设备使用单位进行了日常安全检查，组织实施了特种设备安全集中整治、“年关守护（2020）”行动、特种设备安全隐患治理专项行动等专项检查，全力投入新冠肺炎疫情防控期间特种设备安全保障工作，以及复工复产特种设备安全监管和服务保障工作，确保重大节假日、敏感时段特种</w:t>
      </w:r>
      <w:r w:rsidRPr="003457D6">
        <w:rPr>
          <w:rFonts w:ascii="仿宋" w:eastAsia="仿宋" w:hAnsi="仿宋" w:hint="eastAsia"/>
          <w:bCs/>
          <w:color w:val="000000"/>
          <w:sz w:val="30"/>
          <w:szCs w:val="30"/>
        </w:rPr>
        <w:lastRenderedPageBreak/>
        <w:t>设备安全运行。共出动特种设备安全监察人员358人次，检查特种设备使用单位123家，下达《特种设备安全监察指令书》49份。四是狠抓产品质量监管。加大了对工业产品、食品等产品质量的监督抽查力度，开展了取暖设备、水泥、油品、车检机构、有机食品、烟花爆竹等多个专项整治，对全县的家装建材、汽车配件、消防器材三大市场开展了专项打假整治行动，对2家危化品生产企业开展日常巡查。完成市、县重点工业产品监督抽样50余批次，并完成省、市不合格产品后处理工作17批次。五是着力提升执法办案效能。进一步完善了联动执法机制，加大了行刑衔接的力度。截至12月底，全局共立案查处各类违法案件128件（其中食品案件68件、药械案件12件、特种设备案件4件、产品质量案件21件、其他案件23件），移送公安机关4起，货值36.28万元，罚没77.98万元。</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5.强化知识产权保护，助推经济高质量发展。以创建知识产权建设强县为目标，以服务企业、服务群众为切入点，充分发挥知识产权对县域经济高质量发展的支撑作用，取得了明显成效。今年12月，我县获评2020年度湖南省知识产权建设强县（怀化市唯一）。怀化市局推荐中方县作为2020年湖南省知识产权真抓实干县上报省局。一是知识产权专利数量和质量持续稳步提升。2020年万人有效发明专利拥有量为5.77件（截至10月），连续二年居怀化市第一。1至11月，发明专利申请量571件，完成率129.77%，超额完成年度目标任务。二是有效商标注册数量和质量持续保持高位。目前，全县有效商标注册达908件，其中中国驰名商标1件、国家地理标志保护产品1件、马德里国际商标</w:t>
      </w:r>
      <w:r w:rsidRPr="003457D6">
        <w:rPr>
          <w:rFonts w:ascii="仿宋" w:eastAsia="仿宋" w:hAnsi="仿宋" w:hint="eastAsia"/>
          <w:bCs/>
          <w:color w:val="000000"/>
          <w:sz w:val="30"/>
          <w:szCs w:val="30"/>
        </w:rPr>
        <w:lastRenderedPageBreak/>
        <w:t>3件、湖南省著名商标16件，正在申报地理标志证明商标2件,全县有效商标注册量和商标品牌拥有量连续多年位于怀化市前列。三是大力开展专利权质押融资。与中国银行、工商银行、建设银行、农商行等多家金融机构协作，大力推动企业专利权质押融资工作，有效解决企业融资难的问题。全年共办理专利权质押融资5笔，融资额5908万元。四是全力助企强企。今年以来，共办理动产抵押登记14起、动产抵押注销登记7起，助企融资1.35亿元。</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（四）强化消费维权，不断优化民生环境。一是</w:t>
      </w:r>
      <w:r w:rsidRPr="003457D6">
        <w:rPr>
          <w:rFonts w:ascii="仿宋" w:eastAsia="仿宋" w:hAnsi="仿宋" w:hint="eastAsia"/>
          <w:sz w:val="30"/>
          <w:szCs w:val="30"/>
        </w:rPr>
        <w:t>消费环境大有改观。</w:t>
      </w:r>
      <w:r w:rsidRPr="003457D6">
        <w:rPr>
          <w:rFonts w:ascii="仿宋" w:eastAsia="仿宋" w:hAnsi="仿宋" w:hint="eastAsia"/>
          <w:bCs/>
          <w:color w:val="000000"/>
          <w:sz w:val="30"/>
          <w:szCs w:val="30"/>
        </w:rPr>
        <w:t>消费维权实现“五线合一”，</w:t>
      </w:r>
      <w:r w:rsidRPr="003457D6">
        <w:rPr>
          <w:rFonts w:ascii="仿宋" w:eastAsia="仿宋" w:hAnsi="仿宋" w:hint="eastAsia"/>
          <w:bCs/>
          <w:sz w:val="30"/>
          <w:szCs w:val="30"/>
        </w:rPr>
        <w:t>已将12331、12365平台全部整合为12315平台，12315中心维权网络</w:t>
      </w:r>
      <w:r w:rsidRPr="003457D6">
        <w:rPr>
          <w:rFonts w:ascii="仿宋" w:eastAsia="仿宋" w:hAnsi="仿宋"/>
          <w:bCs/>
          <w:sz w:val="30"/>
          <w:szCs w:val="30"/>
        </w:rPr>
        <w:t>从线上延伸到线下，通过12345市长热线，来电来函及网络投诉等方式进行消费维权。</w:t>
      </w:r>
      <w:r w:rsidRPr="003457D6">
        <w:rPr>
          <w:rFonts w:ascii="仿宋" w:eastAsia="仿宋" w:hAnsi="仿宋" w:hint="eastAsia"/>
          <w:bCs/>
          <w:color w:val="000000"/>
          <w:sz w:val="30"/>
          <w:szCs w:val="30"/>
        </w:rPr>
        <w:t>开展了“3.15”国家消费者权益保护日、假冒伪劣商品集中销毁和“凝聚你我力量”等主题活动，现场发放宣传资料10000余份，接受咨询、建议和投诉352余人次，集中销毁假冒伪劣商品500余公斤。共发布消费警示12条，受理消费者咨询、建议、投诉举报154起，为消费者挽回经济损失81000余元。</w:t>
      </w:r>
      <w:r w:rsidRPr="003457D6">
        <w:rPr>
          <w:rFonts w:ascii="仿宋" w:eastAsia="仿宋" w:hAnsi="仿宋" w:hint="eastAsia"/>
          <w:sz w:val="30"/>
          <w:szCs w:val="30"/>
        </w:rPr>
        <w:t>二是</w:t>
      </w:r>
      <w:r w:rsidRPr="003457D6">
        <w:rPr>
          <w:rFonts w:ascii="仿宋" w:eastAsia="仿宋" w:hAnsi="仿宋" w:hint="eastAsia"/>
          <w:bCs/>
          <w:color w:val="000000"/>
          <w:sz w:val="30"/>
          <w:szCs w:val="30"/>
        </w:rPr>
        <w:t>打击传销、规范直销工作卓有成效。</w:t>
      </w:r>
      <w:r w:rsidRPr="003457D6">
        <w:rPr>
          <w:rFonts w:ascii="仿宋" w:eastAsia="仿宋" w:hAnsi="仿宋"/>
          <w:sz w:val="30"/>
          <w:szCs w:val="30"/>
        </w:rPr>
        <w:t>在全县开展以“拉网毁点”为主要目标的清剿行动，对城乡结合部、社区和出租房较多的区域一一进行摸排，掌握了重点区域流动人口及出租屋的基本情况。</w:t>
      </w:r>
      <w:r w:rsidRPr="003457D6">
        <w:rPr>
          <w:rFonts w:ascii="仿宋" w:eastAsia="仿宋" w:hAnsi="仿宋" w:hint="eastAsia"/>
          <w:bCs/>
          <w:color w:val="000000"/>
          <w:sz w:val="30"/>
          <w:szCs w:val="30"/>
        </w:rPr>
        <w:t>特别在预防传销上，我局坚持从源头抓起，开展的“打击传销进校园”活动，创造了打击传销、预防传销的“中方模式”，并在全省予以推广。每年新生入学、老生毕业时，我局都会在学校开设拒绝传销的宣传知识讲座，有效遏制了传销源头，保证了中方“无传销</w:t>
      </w:r>
      <w:r w:rsidRPr="003457D6">
        <w:rPr>
          <w:rFonts w:ascii="仿宋" w:eastAsia="仿宋" w:hAnsi="仿宋" w:hint="eastAsia"/>
          <w:bCs/>
          <w:color w:val="000000"/>
          <w:sz w:val="30"/>
          <w:szCs w:val="30"/>
        </w:rPr>
        <w:lastRenderedPageBreak/>
        <w:t>示范县”的牌子屹立不倒。三是有效净化农资市场环境。积极开展以农资打假为重点的“红盾护农”行动，督促、指导各乡镇农资经营户建立进销台账，索证索票，从商品流转的各个环节层层把住质量关，实现“打防结合、标本兼治”的工作目标。严格监管农资市场主体，积极引导农资经营主体守法经营，支持和鼓励信用好的农资企业、农村专业合作社直接到乡村设立经营网点，提高放心优质农资商品覆盖面。督促农资经营者建立索证索票、进货台账、质量承诺等可追溯监管制度。以化肥为重点，集中对多种品牌、多个批次的农资商品质量进行抽查，对监测不合格的农资采取立即下架、查封等措施，及时堵住不合格农资流入市场的渠道，确保农民利益不受侵害。</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五）保持高压态势，持续推进扫黑除恶专项斗争。一是强化组织领导。多次召开专题会议，反复研究，科学谋划，坚持问题导向，落实工作责任，净化市场环境，严格按照“一岗双责”要求履职尽责，确保扫黑除恶各项工作整改落实到位。先后召开全局动员会、整改会、推进会8次。二是强化线索摸排。建立了摸排筛查机制，一线执法人员全面摸排线索，分管领导严格把关，局扫黑办对上报的线索层层核实、分析研判，提交局党组会议研究确定后，上报县扫黑办。重点对全县22家农贸市场和2家专业市场进行了线索摸排。三是强化专项治理。组织开展了欺行霸市、套路贷、“重审批轻监管”等10大专项整治,重拳出击，重点治乱，切实解决重点行业、重点领域的突出问题。“行业清源”行动开展以来，仅2020年就立案查处各类案件120余起，有效地净化了市场环境，切实维护了广大人民群众权益。今年在全县</w:t>
      </w:r>
      <w:r w:rsidRPr="003457D6">
        <w:rPr>
          <w:rFonts w:ascii="仿宋" w:eastAsia="仿宋" w:hAnsi="仿宋" w:hint="eastAsia"/>
          <w:bCs/>
          <w:color w:val="000000"/>
          <w:sz w:val="30"/>
          <w:szCs w:val="30"/>
        </w:rPr>
        <w:lastRenderedPageBreak/>
        <w:t>扫黑除恶专项斗争推进会上，我局作了典型发言。</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六）强化宣传教育，营造良好舆论氛围。围绕食品药品、特种设备、产品质量、知识产权等工作，通过咨询服务、发放宣传单、制作展版、悬挂横幅、公开举报电话、设立举报信箱等多种形式，积极开展进农村、进社区、进企业、进学校、进机关、进家庭“六进”宣传活动，营造良好的舆论环境。全年共举办食品药品、产品质量安全等集中宣传活动12次，创办宣传专栏12期，制作悬挂宣传标语408幅次，接待咨询群众10000余人次，发放宣传资料30000余份。积极利用各种信息载体，及时总结和报送本单位中心工作开展情况及好的做法与先进典型，被各种信息载体采用新闻宣传稿件145篇（国家级1篇、省级27篇、市级47篇、县级70篇），积极的宣传效果，树立了单位良好形象，营造了内和外顺、和谐稳定的发展局面。</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七）全面从严治党，全力抓好干部队伍建设。一是抓学习，提升班子领导能力。立足本单位、本系统实际，结合职能特点和行业特色，分层分类确定工作目标，有针对性地制定方案措施，确定工作抓手，全力突破难点问题，提升工作质量和水平。督促领导班子运用好坚持民主集中制、开展批评和自我批评、严格党内生活、加强党的团结统一“四大法宝”，使党内生活真正严格起来，提升领导班子解决自身问题的能力。二是抓培训,提升队伍综合素质。组织全体干部职工开展了集中培训，积极组织网络培训，根据县组织部的工作安排，应参学的干部职工都参加了干部在线学习。并积极选派人员参加了省、市局组织的业务培训，参训人员达100%。三是抓党建，充分发挥党员先锋模范作用。</w:t>
      </w:r>
      <w:r w:rsidRPr="003457D6">
        <w:rPr>
          <w:rFonts w:ascii="仿宋" w:eastAsia="仿宋" w:hAnsi="仿宋" w:hint="eastAsia"/>
          <w:bCs/>
          <w:color w:val="000000"/>
          <w:sz w:val="30"/>
          <w:szCs w:val="30"/>
        </w:rPr>
        <w:lastRenderedPageBreak/>
        <w:t>认真落实好“三会一课”、民主生活会、民主评议党员、谈心谈话等制度，推进“两学一做”学习教育和“不忘初心、牢记使命”主题教育常态化制度化。开展了学习习近平总书记视察湖南重要讲话精神、十九届五中全会精神等一系列党性教育。举行了庆祝中国共产党成立99周年暨“寻初心、守初心、践初心”主题党日活动，表彰2019年度优秀党员5名、学习强国积极分子30名。抓党建促脱贫攻坚，我局负责帮扶的水仙村、大溪新村均顺利通过了国家、省、市、县评估验收。全年党组中心组集中学习12次，领导干部联系支部上党课3次，班子成员共撰写理论调研文章7篇。四是抓作风，推进党风廉政建设常态化。严格落实党风廉政建设责任制，聚焦“四风”问题，开展了公务用车、办公用房、会员卡清退、“吃空饷”、公款走访等专项治理活动。重点整治了党员干部队伍中存在的违规公款吃喝、违规发放津补贴或奖金福利、违规操办婚丧喜庆事宜、违规收送礼品礼金、涉赌涉毒等方面突出问题，营造了风清气正的工作环境。强化内审制度建设，严格执行联审会签制度，公务接待一律凭函接待，没有公函一律不予报账，厉行节约。</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通过对本单位上述工作的评价，各项工作履职情况良好，重点工作完成率100%。</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（一）社会经济效益分析</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食品安全执法行动、“3.15”打假维权、打击传销、红盾护农等民心民生工程的开展，维系了一方安定，深得广大人民群众好评，社会公众满意度95%。</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（二）行政效能分析</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lastRenderedPageBreak/>
        <w:t>商事登记制度改革，落实“五证合一”政策，简化登记程序；企业网上年报申报审批，政务大厅一站式服务等便民工作的开展，从根本上方便了企业和群众，获得服务对象的好评。满意度95%。</w:t>
      </w:r>
    </w:p>
    <w:p w:rsidR="00030408" w:rsidRPr="003457D6" w:rsidRDefault="00013946" w:rsidP="003457D6">
      <w:pPr>
        <w:spacing w:line="560" w:lineRule="exact"/>
        <w:ind w:firstLineChars="200" w:firstLine="602"/>
        <w:rPr>
          <w:rFonts w:ascii="仿宋" w:eastAsia="仿宋" w:hAnsi="仿宋"/>
          <w:b/>
          <w:bCs/>
          <w:color w:val="000000"/>
          <w:sz w:val="30"/>
          <w:szCs w:val="30"/>
        </w:rPr>
      </w:pPr>
      <w:r w:rsidRPr="003457D6">
        <w:rPr>
          <w:rFonts w:ascii="仿宋" w:eastAsia="仿宋" w:hAnsi="仿宋"/>
          <w:b/>
          <w:bCs/>
          <w:color w:val="000000"/>
          <w:sz w:val="30"/>
          <w:szCs w:val="30"/>
        </w:rPr>
        <w:t>四、存在的主要问题及下一步改进措施</w:t>
      </w:r>
      <w:r w:rsidRPr="003457D6">
        <w:rPr>
          <w:rFonts w:ascii="仿宋" w:eastAsia="仿宋" w:hAnsi="仿宋" w:hint="eastAsia"/>
          <w:b/>
          <w:bCs/>
          <w:color w:val="000000"/>
          <w:sz w:val="30"/>
          <w:szCs w:val="30"/>
        </w:rPr>
        <w:t xml:space="preserve">  无</w:t>
      </w:r>
    </w:p>
    <w:p w:rsidR="00030408" w:rsidRPr="003457D6" w:rsidRDefault="00013946" w:rsidP="003457D6">
      <w:pPr>
        <w:spacing w:line="560" w:lineRule="exact"/>
        <w:ind w:firstLineChars="200" w:firstLine="602"/>
        <w:rPr>
          <w:rFonts w:ascii="仿宋" w:eastAsia="仿宋" w:hAnsi="仿宋"/>
          <w:b/>
          <w:bCs/>
          <w:color w:val="000000"/>
          <w:sz w:val="30"/>
          <w:szCs w:val="30"/>
        </w:rPr>
      </w:pPr>
      <w:r w:rsidRPr="003457D6">
        <w:rPr>
          <w:rFonts w:ascii="仿宋" w:eastAsia="仿宋" w:hAnsi="仿宋"/>
          <w:b/>
          <w:bCs/>
          <w:color w:val="000000"/>
          <w:sz w:val="30"/>
          <w:szCs w:val="30"/>
        </w:rPr>
        <w:t>五、绩效自评结果拟应用和公开情况</w:t>
      </w:r>
    </w:p>
    <w:p w:rsidR="00030408" w:rsidRPr="003457D6" w:rsidRDefault="00013946" w:rsidP="003457D6">
      <w:pPr>
        <w:spacing w:line="560" w:lineRule="exact"/>
        <w:ind w:firstLineChars="200" w:firstLine="600"/>
        <w:rPr>
          <w:rFonts w:ascii="仿宋" w:eastAsia="仿宋" w:hAnsi="仿宋"/>
          <w:bCs/>
          <w:color w:val="000000"/>
          <w:sz w:val="30"/>
          <w:szCs w:val="30"/>
        </w:rPr>
      </w:pPr>
      <w:r w:rsidRPr="003457D6">
        <w:rPr>
          <w:rFonts w:ascii="仿宋" w:eastAsia="仿宋" w:hAnsi="仿宋" w:hint="eastAsia"/>
          <w:bCs/>
          <w:color w:val="000000"/>
          <w:sz w:val="30"/>
          <w:szCs w:val="30"/>
        </w:rPr>
        <w:t>本部门通过对单位整体支出评价各项指标进行自评，自评结果、自评报告将在政府网站进行公开，接受社会监督。同时附</w:t>
      </w:r>
      <w:r w:rsidRPr="003457D6">
        <w:rPr>
          <w:rFonts w:ascii="仿宋" w:eastAsia="仿宋" w:hAnsi="仿宋"/>
          <w:bCs/>
          <w:color w:val="000000"/>
          <w:sz w:val="30"/>
          <w:szCs w:val="30"/>
        </w:rPr>
        <w:t>部门整体支出绩效评价基础数据表</w:t>
      </w:r>
      <w:r w:rsidRPr="003457D6">
        <w:rPr>
          <w:rFonts w:ascii="仿宋" w:eastAsia="仿宋" w:hAnsi="仿宋" w:hint="eastAsia"/>
          <w:bCs/>
          <w:color w:val="000000"/>
          <w:sz w:val="30"/>
          <w:szCs w:val="30"/>
        </w:rPr>
        <w:t>、</w:t>
      </w:r>
      <w:r w:rsidRPr="003457D6">
        <w:rPr>
          <w:rFonts w:ascii="仿宋" w:eastAsia="仿宋" w:hAnsi="仿宋"/>
          <w:bCs/>
          <w:color w:val="000000"/>
          <w:sz w:val="30"/>
          <w:szCs w:val="30"/>
        </w:rPr>
        <w:t>部门整体支出绩效评价指标评分表</w:t>
      </w:r>
      <w:r w:rsidRPr="003457D6">
        <w:rPr>
          <w:rFonts w:ascii="仿宋" w:eastAsia="仿宋" w:hAnsi="仿宋" w:hint="eastAsia"/>
          <w:bCs/>
          <w:color w:val="000000"/>
          <w:sz w:val="30"/>
          <w:szCs w:val="30"/>
        </w:rPr>
        <w:t>、项目支出绩效自评表、项目支出绩效评价指标评分表。</w:t>
      </w:r>
    </w:p>
    <w:p w:rsidR="001233BF" w:rsidRDefault="00013946" w:rsidP="001233BF">
      <w:pPr>
        <w:spacing w:line="560" w:lineRule="exact"/>
        <w:rPr>
          <w:rFonts w:ascii="仿宋" w:eastAsia="仿宋" w:hAnsi="仿宋" w:hint="eastAsia"/>
          <w:b/>
          <w:bCs/>
          <w:color w:val="000000"/>
          <w:sz w:val="30"/>
          <w:szCs w:val="30"/>
        </w:rPr>
      </w:pPr>
      <w:r w:rsidRPr="003457D6">
        <w:rPr>
          <w:rFonts w:ascii="仿宋" w:eastAsia="仿宋" w:hAnsi="仿宋"/>
          <w:b/>
          <w:bCs/>
          <w:color w:val="000000"/>
          <w:sz w:val="30"/>
          <w:szCs w:val="30"/>
        </w:rPr>
        <w:t>六、其他需要说明的情</w:t>
      </w:r>
    </w:p>
    <w:p w:rsidR="001233BF" w:rsidRPr="001233BF" w:rsidRDefault="001233BF" w:rsidP="001233BF">
      <w:pPr>
        <w:spacing w:line="560" w:lineRule="exact"/>
        <w:rPr>
          <w:rFonts w:ascii="仿宋" w:eastAsia="仿宋" w:hAnsi="仿宋"/>
          <w:bCs/>
          <w:color w:val="000000"/>
          <w:sz w:val="30"/>
          <w:szCs w:val="30"/>
        </w:rPr>
      </w:pPr>
      <w:r w:rsidRPr="001233BF">
        <w:rPr>
          <w:rFonts w:ascii="仿宋" w:eastAsia="仿宋" w:hAnsi="仿宋"/>
          <w:bCs/>
          <w:color w:val="000000"/>
          <w:sz w:val="30"/>
          <w:szCs w:val="30"/>
        </w:rPr>
        <w:t>附件1</w:t>
      </w:r>
      <w:r w:rsidRPr="001233BF">
        <w:rPr>
          <w:rFonts w:ascii="仿宋" w:eastAsia="仿宋" w:hAnsi="仿宋" w:hint="eastAsia"/>
          <w:bCs/>
          <w:color w:val="000000"/>
          <w:sz w:val="30"/>
          <w:szCs w:val="30"/>
        </w:rPr>
        <w:t>：</w:t>
      </w:r>
      <w:r w:rsidRPr="001233BF">
        <w:rPr>
          <w:rFonts w:ascii="仿宋" w:eastAsia="仿宋" w:hAnsi="仿宋"/>
          <w:bCs/>
          <w:color w:val="000000"/>
          <w:sz w:val="30"/>
          <w:szCs w:val="30"/>
        </w:rPr>
        <w:t>部门整体支出绩效</w:t>
      </w:r>
      <w:r w:rsidRPr="001233BF">
        <w:rPr>
          <w:rFonts w:ascii="仿宋" w:eastAsia="仿宋" w:hAnsi="仿宋" w:hint="eastAsia"/>
          <w:bCs/>
          <w:color w:val="000000"/>
          <w:sz w:val="30"/>
          <w:szCs w:val="30"/>
        </w:rPr>
        <w:t>自评</w:t>
      </w:r>
      <w:r w:rsidRPr="001233BF">
        <w:rPr>
          <w:rFonts w:ascii="仿宋" w:eastAsia="仿宋" w:hAnsi="仿宋"/>
          <w:bCs/>
          <w:color w:val="000000"/>
          <w:sz w:val="30"/>
          <w:szCs w:val="30"/>
        </w:rPr>
        <w:t>基础数据表</w:t>
      </w:r>
    </w:p>
    <w:p w:rsidR="001233BF" w:rsidRPr="001233BF" w:rsidRDefault="001233BF" w:rsidP="001233BF">
      <w:pPr>
        <w:pStyle w:val="a0"/>
        <w:jc w:val="both"/>
        <w:rPr>
          <w:rFonts w:ascii="仿宋" w:eastAsia="仿宋" w:hAnsi="仿宋" w:hint="eastAsia"/>
          <w:bCs/>
          <w:color w:val="000000"/>
          <w:sz w:val="30"/>
          <w:szCs w:val="30"/>
        </w:rPr>
      </w:pPr>
      <w:r w:rsidRPr="001233BF">
        <w:rPr>
          <w:rFonts w:ascii="仿宋" w:eastAsia="仿宋" w:hAnsi="仿宋" w:hint="eastAsia"/>
          <w:bCs/>
          <w:color w:val="000000"/>
          <w:sz w:val="30"/>
          <w:szCs w:val="30"/>
        </w:rPr>
        <w:t>附件2：部门整体支出绩效自评指标表</w:t>
      </w:r>
    </w:p>
    <w:p w:rsidR="001233BF" w:rsidRPr="001233BF" w:rsidRDefault="001233BF" w:rsidP="001233BF">
      <w:pPr>
        <w:pStyle w:val="a0"/>
        <w:rPr>
          <w:rFonts w:ascii="仿宋" w:eastAsia="仿宋" w:hAnsi="仿宋"/>
          <w:bCs/>
          <w:color w:val="000000"/>
          <w:sz w:val="30"/>
          <w:szCs w:val="30"/>
        </w:rPr>
        <w:sectPr w:rsidR="001233BF" w:rsidRPr="001233BF" w:rsidSect="00030408">
          <w:pgSz w:w="11906" w:h="16838"/>
          <w:pgMar w:top="1440" w:right="1800" w:bottom="1440" w:left="1800" w:header="851" w:footer="992" w:gutter="0"/>
          <w:cols w:space="425"/>
          <w:docGrid w:type="lines" w:linePitch="312"/>
        </w:sectPr>
      </w:pPr>
    </w:p>
    <w:p w:rsidR="001233BF" w:rsidRDefault="001233BF" w:rsidP="001233BF">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p w:rsidR="001233BF" w:rsidRDefault="001233BF" w:rsidP="001233BF">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w:t>
      </w:r>
      <w:r>
        <w:rPr>
          <w:rFonts w:ascii="Times New Roman" w:eastAsia="方正小标宋简体" w:hAnsi="Times New Roman" w:hint="eastAsia"/>
          <w:kern w:val="0"/>
          <w:sz w:val="44"/>
          <w:szCs w:val="44"/>
        </w:rPr>
        <w:t>自评</w:t>
      </w:r>
      <w:r>
        <w:rPr>
          <w:rFonts w:ascii="Times New Roman" w:eastAsia="方正小标宋简体" w:hAnsi="Times New Roman"/>
          <w:kern w:val="0"/>
          <w:sz w:val="44"/>
          <w:szCs w:val="44"/>
        </w:rPr>
        <w:t>基础数据表</w:t>
      </w:r>
    </w:p>
    <w:p w:rsidR="001233BF" w:rsidRDefault="001233BF" w:rsidP="001233BF">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r>
        <w:rPr>
          <w:rFonts w:ascii="Times New Roman" w:eastAsia="仿宋_GB2312" w:hAnsi="Times New Roman" w:hint="eastAsia"/>
          <w:kern w:val="0"/>
          <w:sz w:val="30"/>
          <w:szCs w:val="30"/>
        </w:rPr>
        <w:t>:</w:t>
      </w:r>
      <w:r>
        <w:rPr>
          <w:rFonts w:ascii="仿宋" w:eastAsia="仿宋" w:hAnsi="仿宋" w:hint="eastAsia"/>
          <w:kern w:val="0"/>
          <w:sz w:val="30"/>
          <w:szCs w:val="30"/>
        </w:rPr>
        <w:t xml:space="preserve"> 市场监督管理局</w:t>
      </w:r>
    </w:p>
    <w:tbl>
      <w:tblPr>
        <w:tblW w:w="0" w:type="auto"/>
        <w:jc w:val="center"/>
        <w:tblLayout w:type="fixed"/>
        <w:tblLook w:val="04A0"/>
      </w:tblPr>
      <w:tblGrid>
        <w:gridCol w:w="4883"/>
        <w:gridCol w:w="1545"/>
        <w:gridCol w:w="1522"/>
        <w:gridCol w:w="1468"/>
        <w:gridCol w:w="1901"/>
        <w:gridCol w:w="1260"/>
        <w:gridCol w:w="1121"/>
      </w:tblGrid>
      <w:tr w:rsidR="001233BF" w:rsidTr="00A46CC9">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1233BF" w:rsidTr="00A46CC9">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125</w:t>
            </w:r>
          </w:p>
        </w:tc>
        <w:tc>
          <w:tcPr>
            <w:tcW w:w="3369" w:type="dxa"/>
            <w:gridSpan w:val="2"/>
            <w:tcBorders>
              <w:top w:val="single" w:sz="4" w:space="0" w:color="auto"/>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120</w:t>
            </w:r>
          </w:p>
        </w:tc>
        <w:tc>
          <w:tcPr>
            <w:tcW w:w="2381" w:type="dxa"/>
            <w:gridSpan w:val="2"/>
            <w:tcBorders>
              <w:top w:val="single" w:sz="4" w:space="0" w:color="auto"/>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96%</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hint="eastAsia"/>
                <w:kern w:val="0"/>
                <w:sz w:val="24"/>
              </w:rPr>
              <w:t>21.04</w:t>
            </w:r>
            <w:r>
              <w:rPr>
                <w:rFonts w:ascii="仿宋" w:eastAsia="仿宋" w:hAnsi="仿宋"/>
                <w:kern w:val="0"/>
                <w:sz w:val="24"/>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20.1</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20.1</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hint="eastAsia"/>
                <w:kern w:val="0"/>
                <w:sz w:val="24"/>
              </w:rPr>
              <w:t>15.03</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12.1</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12.10</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kern w:val="0"/>
                <w:sz w:val="24"/>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kern w:val="0"/>
                <w:sz w:val="24"/>
              </w:rPr>
              <w:t xml:space="preserve">　</w:t>
            </w:r>
            <w:r>
              <w:rPr>
                <w:rFonts w:ascii="仿宋" w:eastAsia="仿宋" w:hAnsi="仿宋" w:hint="eastAsia"/>
                <w:kern w:val="0"/>
                <w:sz w:val="24"/>
              </w:rPr>
              <w:t>15.03</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12.1</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12.1</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kern w:val="0"/>
                <w:sz w:val="24"/>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hint="eastAsia"/>
                <w:kern w:val="0"/>
                <w:sz w:val="24"/>
              </w:rPr>
              <w:t>6.01</w:t>
            </w:r>
            <w:r>
              <w:rPr>
                <w:rFonts w:ascii="仿宋" w:eastAsia="仿宋" w:hAnsi="仿宋"/>
                <w:kern w:val="0"/>
                <w:sz w:val="24"/>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hint="eastAsia"/>
                <w:kern w:val="0"/>
                <w:sz w:val="24"/>
              </w:rPr>
              <w:t>299.34</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227</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199.71</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、业务工作专项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hint="eastAsia"/>
                <w:kern w:val="0"/>
                <w:sz w:val="24"/>
              </w:rPr>
              <w:t>277.88</w:t>
            </w:r>
            <w:r>
              <w:rPr>
                <w:rFonts w:ascii="仿宋" w:eastAsia="仿宋" w:hAnsi="仿宋"/>
                <w:kern w:val="0"/>
                <w:sz w:val="24"/>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222</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194.71</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、运行维护专项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hint="eastAsia"/>
                <w:kern w:val="0"/>
                <w:sz w:val="24"/>
              </w:rPr>
              <w:t>21.46</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kern w:val="0"/>
                <w:sz w:val="24"/>
              </w:rPr>
              <w:t xml:space="preserve">　</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kern w:val="0"/>
                <w:sz w:val="24"/>
              </w:rPr>
            </w:pPr>
            <w:r>
              <w:rPr>
                <w:rFonts w:ascii="仿宋" w:eastAsia="仿宋" w:hAnsi="仿宋" w:hint="eastAsia"/>
                <w:kern w:val="0"/>
                <w:sz w:val="24"/>
              </w:rPr>
              <w:t>180.47</w:t>
            </w:r>
            <w:r>
              <w:rPr>
                <w:rFonts w:ascii="仿宋" w:eastAsia="仿宋" w:hAnsi="仿宋"/>
                <w:kern w:val="0"/>
                <w:sz w:val="24"/>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154.2</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205.27</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color w:val="FF0000"/>
                <w:kern w:val="0"/>
                <w:sz w:val="24"/>
              </w:rPr>
            </w:pPr>
            <w:r>
              <w:rPr>
                <w:rFonts w:ascii="仿宋" w:eastAsia="仿宋" w:hAnsi="仿宋"/>
                <w:color w:val="FF0000"/>
                <w:kern w:val="0"/>
                <w:sz w:val="24"/>
              </w:rPr>
              <w:t xml:space="preserve">　</w:t>
            </w:r>
            <w:r>
              <w:rPr>
                <w:rFonts w:ascii="仿宋" w:eastAsia="仿宋" w:hAnsi="仿宋" w:hint="eastAsia"/>
                <w:color w:val="FF0000"/>
                <w:kern w:val="0"/>
                <w:sz w:val="24"/>
              </w:rPr>
              <w:t>19.27</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12</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53.45</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color w:val="FF0000"/>
                <w:kern w:val="0"/>
                <w:sz w:val="24"/>
              </w:rPr>
            </w:pPr>
            <w:r>
              <w:rPr>
                <w:rFonts w:ascii="仿宋" w:eastAsia="仿宋" w:hAnsi="仿宋"/>
                <w:color w:val="FF0000"/>
                <w:kern w:val="0"/>
                <w:sz w:val="24"/>
              </w:rPr>
              <w:t xml:space="preserve">　</w:t>
            </w:r>
            <w:r>
              <w:rPr>
                <w:rFonts w:ascii="仿宋" w:eastAsia="仿宋" w:hAnsi="仿宋" w:hint="eastAsia"/>
                <w:color w:val="FF0000"/>
                <w:kern w:val="0"/>
                <w:sz w:val="24"/>
              </w:rPr>
              <w:t>11.69</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17.8</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45.03</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仿宋" w:eastAsia="仿宋" w:hAnsi="仿宋"/>
                <w:color w:val="FF0000"/>
                <w:kern w:val="0"/>
                <w:sz w:val="24"/>
              </w:rPr>
            </w:pPr>
            <w:r>
              <w:rPr>
                <w:rFonts w:ascii="仿宋" w:eastAsia="仿宋" w:hAnsi="仿宋" w:hint="eastAsia"/>
                <w:color w:val="FF0000"/>
                <w:kern w:val="0"/>
                <w:sz w:val="24"/>
              </w:rPr>
              <w:t>4</w:t>
            </w:r>
            <w:r>
              <w:rPr>
                <w:rFonts w:ascii="仿宋" w:eastAsia="仿宋" w:hAnsi="仿宋"/>
                <w:color w:val="FF0000"/>
                <w:kern w:val="0"/>
                <w:sz w:val="24"/>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4</w:t>
            </w:r>
            <w:r>
              <w:rPr>
                <w:rFonts w:ascii="Times New Roman" w:eastAsia="仿宋_GB2312" w:hAnsi="Times New Roman"/>
                <w:color w:val="FF0000"/>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4</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1233BF" w:rsidTr="00A46CC9">
        <w:trPr>
          <w:trHeight w:val="263"/>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1233BF" w:rsidTr="00A46CC9">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1233BF" w:rsidTr="00A46CC9">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522"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468"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901"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260"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121" w:type="dxa"/>
            <w:tcBorders>
              <w:top w:val="nil"/>
              <w:left w:val="nil"/>
              <w:bottom w:val="single" w:sz="4" w:space="0" w:color="auto"/>
              <w:right w:val="single" w:sz="4" w:space="0" w:color="auto"/>
            </w:tcBorders>
            <w:vAlign w:val="center"/>
          </w:tcPr>
          <w:p w:rsidR="001233BF" w:rsidRDefault="001233BF" w:rsidP="00A46CC9">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1233BF" w:rsidTr="00A46CC9">
        <w:trPr>
          <w:trHeight w:val="282"/>
          <w:jc w:val="center"/>
        </w:trPr>
        <w:tc>
          <w:tcPr>
            <w:tcW w:w="488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1233BF" w:rsidRDefault="001233BF" w:rsidP="00A46CC9">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bl>
    <w:p w:rsidR="001233BF" w:rsidRDefault="001233BF" w:rsidP="001233BF">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lastRenderedPageBreak/>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1233BF" w:rsidRDefault="001233BF" w:rsidP="001233BF">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bCs/>
          <w:color w:val="000000"/>
          <w:sz w:val="32"/>
          <w:szCs w:val="32"/>
        </w:rPr>
        <w:t>2</w:t>
      </w:r>
    </w:p>
    <w:p w:rsidR="001233BF" w:rsidRDefault="001233BF" w:rsidP="001233BF">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w:t>
      </w:r>
      <w:r>
        <w:rPr>
          <w:rFonts w:ascii="Times New Roman" w:eastAsia="方正小标宋简体" w:hAnsi="Times New Roman" w:hint="eastAsia"/>
          <w:kern w:val="0"/>
          <w:sz w:val="44"/>
          <w:szCs w:val="44"/>
        </w:rPr>
        <w:t>自评</w:t>
      </w:r>
      <w:r>
        <w:rPr>
          <w:rFonts w:ascii="Times New Roman" w:eastAsia="方正小标宋简体" w:hAnsi="Times New Roman"/>
          <w:kern w:val="0"/>
          <w:sz w:val="44"/>
          <w:szCs w:val="44"/>
        </w:rPr>
        <w:t>指标表</w:t>
      </w:r>
    </w:p>
    <w:tbl>
      <w:tblPr>
        <w:tblW w:w="14196" w:type="dxa"/>
        <w:jc w:val="center"/>
        <w:tblLayout w:type="fixed"/>
        <w:tblLook w:val="04A0"/>
      </w:tblPr>
      <w:tblGrid>
        <w:gridCol w:w="823"/>
        <w:gridCol w:w="519"/>
        <w:gridCol w:w="1258"/>
        <w:gridCol w:w="542"/>
        <w:gridCol w:w="1419"/>
        <w:gridCol w:w="565"/>
        <w:gridCol w:w="4593"/>
        <w:gridCol w:w="3773"/>
        <w:gridCol w:w="704"/>
      </w:tblGrid>
      <w:tr w:rsidR="001233BF" w:rsidTr="00A46CC9">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1233BF" w:rsidTr="00A46CC9">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nil"/>
              <w:right w:val="nil"/>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kern w:val="0"/>
                <w:sz w:val="18"/>
                <w:szCs w:val="18"/>
              </w:rPr>
              <w:t>×100%</w:t>
            </w:r>
            <w:r>
              <w:rPr>
                <w:rFonts w:ascii="Times New Roman" w:eastAsia="仿宋_GB2312" w:hAnsi="Times New Roman"/>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4</w:t>
            </w:r>
          </w:p>
        </w:tc>
      </w:tr>
      <w:tr w:rsidR="001233BF" w:rsidTr="00A46CC9">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8</w:t>
            </w:r>
          </w:p>
        </w:tc>
      </w:tr>
      <w:tr w:rsidR="001233BF" w:rsidTr="00A46CC9">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7</w:t>
            </w:r>
          </w:p>
        </w:tc>
      </w:tr>
      <w:tr w:rsidR="001233BF" w:rsidTr="00A46CC9">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6</w:t>
            </w:r>
          </w:p>
        </w:tc>
      </w:tr>
      <w:tr w:rsidR="001233BF" w:rsidTr="00A46CC9">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1233BF" w:rsidRDefault="001233BF" w:rsidP="00A46CC9">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1233BF" w:rsidRDefault="001233BF" w:rsidP="00A46CC9">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8</w:t>
            </w:r>
          </w:p>
        </w:tc>
      </w:tr>
      <w:tr w:rsidR="001233BF" w:rsidTr="00A46CC9">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6</w:t>
            </w:r>
          </w:p>
        </w:tc>
      </w:tr>
      <w:tr w:rsidR="001233BF" w:rsidTr="00A46CC9">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42"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根据绩效办</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kern w:val="0"/>
                <w:sz w:val="18"/>
                <w:szCs w:val="18"/>
              </w:rPr>
              <w:t>该项得分</w:t>
            </w:r>
            <w:r>
              <w:rPr>
                <w:rFonts w:ascii="Times New Roman" w:eastAsia="仿宋_GB2312" w:hAnsi="Times New Roman"/>
                <w:kern w:val="0"/>
                <w:sz w:val="18"/>
                <w:szCs w:val="18"/>
              </w:rPr>
              <w:t>=</w:t>
            </w:r>
            <w:r>
              <w:rPr>
                <w:rFonts w:ascii="Times New Roman" w:eastAsia="仿宋_GB2312" w:hAnsi="Times New Roman"/>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7</w:t>
            </w:r>
          </w:p>
        </w:tc>
      </w:tr>
      <w:tr w:rsidR="001233BF" w:rsidTr="00A46CC9">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1233BF" w:rsidRDefault="001233BF" w:rsidP="00A46CC9">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1233BF" w:rsidRDefault="001233BF" w:rsidP="00A46CC9">
            <w:pPr>
              <w:spacing w:line="200" w:lineRule="exact"/>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5</w:t>
            </w:r>
          </w:p>
        </w:tc>
      </w:tr>
      <w:tr w:rsidR="001233BF" w:rsidTr="00A46CC9">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6</w:t>
            </w:r>
          </w:p>
        </w:tc>
      </w:tr>
      <w:tr w:rsidR="001233BF" w:rsidTr="00A46CC9">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仿宋" w:eastAsia="仿宋" w:hAnsi="仿宋"/>
                <w:kern w:val="0"/>
                <w:szCs w:val="21"/>
              </w:rPr>
            </w:pPr>
            <w:r>
              <w:rPr>
                <w:rFonts w:ascii="仿宋" w:eastAsia="仿宋" w:hAnsi="仿宋"/>
                <w:kern w:val="0"/>
                <w:szCs w:val="21"/>
              </w:rPr>
              <w:t xml:space="preserve">　</w:t>
            </w:r>
            <w:r>
              <w:rPr>
                <w:rFonts w:ascii="仿宋" w:eastAsia="仿宋" w:hAnsi="仿宋" w:hint="eastAsia"/>
                <w:kern w:val="0"/>
                <w:szCs w:val="21"/>
              </w:rPr>
              <w:t>6</w:t>
            </w:r>
          </w:p>
          <w:p w:rsidR="001233BF" w:rsidRDefault="001233BF" w:rsidP="00A46CC9">
            <w:pPr>
              <w:widowControl/>
              <w:spacing w:line="200" w:lineRule="exact"/>
              <w:jc w:val="left"/>
              <w:rPr>
                <w:rFonts w:ascii="仿宋" w:eastAsia="仿宋" w:hAnsi="仿宋"/>
                <w:kern w:val="0"/>
                <w:szCs w:val="21"/>
              </w:rPr>
            </w:pPr>
          </w:p>
        </w:tc>
      </w:tr>
      <w:tr w:rsidR="001233BF" w:rsidTr="00A46CC9">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5"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tcPr>
          <w:p w:rsidR="001233BF" w:rsidRDefault="001233BF" w:rsidP="00A46CC9">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98</w:t>
            </w:r>
          </w:p>
        </w:tc>
      </w:tr>
    </w:tbl>
    <w:p w:rsidR="001233BF" w:rsidRDefault="001233BF" w:rsidP="001233BF">
      <w:pPr>
        <w:spacing w:line="20" w:lineRule="exact"/>
        <w:rPr>
          <w:rFonts w:ascii="Times New Roman" w:eastAsia="新宋体" w:hAnsi="Times New Roman"/>
          <w:bCs/>
          <w:color w:val="000000"/>
          <w:sz w:val="32"/>
          <w:szCs w:val="32"/>
        </w:rPr>
      </w:pPr>
    </w:p>
    <w:p w:rsidR="001233BF" w:rsidRDefault="001233BF" w:rsidP="001233BF">
      <w:pPr>
        <w:spacing w:line="20" w:lineRule="exact"/>
        <w:rPr>
          <w:rFonts w:ascii="Times New Roman" w:eastAsia="新宋体" w:hAnsi="Times New Roman"/>
          <w:bCs/>
          <w:color w:val="000000"/>
          <w:sz w:val="32"/>
          <w:szCs w:val="32"/>
        </w:rPr>
      </w:pPr>
    </w:p>
    <w:p w:rsidR="00030408" w:rsidRDefault="00030408" w:rsidP="003457D6">
      <w:pPr>
        <w:spacing w:line="560" w:lineRule="exact"/>
        <w:ind w:firstLineChars="200" w:firstLine="600"/>
        <w:rPr>
          <w:rFonts w:ascii="仿宋" w:eastAsia="仿宋" w:hAnsi="仿宋"/>
          <w:bCs/>
          <w:color w:val="000000"/>
          <w:sz w:val="30"/>
          <w:szCs w:val="30"/>
        </w:rPr>
      </w:pPr>
    </w:p>
    <w:p w:rsidR="00030408" w:rsidRPr="003457D6" w:rsidRDefault="00030408" w:rsidP="003457D6">
      <w:pPr>
        <w:spacing w:line="560" w:lineRule="exact"/>
        <w:ind w:firstLineChars="200" w:firstLine="600"/>
        <w:rPr>
          <w:rFonts w:ascii="仿宋" w:eastAsia="仿宋" w:hAnsi="仿宋"/>
          <w:bCs/>
          <w:color w:val="000000"/>
          <w:sz w:val="30"/>
          <w:szCs w:val="30"/>
        </w:rPr>
      </w:pPr>
    </w:p>
    <w:p w:rsidR="00030408" w:rsidRPr="001233BF" w:rsidRDefault="00030408" w:rsidP="001233BF">
      <w:pPr>
        <w:spacing w:line="560" w:lineRule="exact"/>
        <w:rPr>
          <w:rFonts w:ascii="仿宋" w:eastAsia="仿宋" w:hAnsi="仿宋"/>
          <w:bCs/>
          <w:color w:val="000000"/>
          <w:sz w:val="30"/>
          <w:szCs w:val="30"/>
        </w:rPr>
      </w:pPr>
    </w:p>
    <w:sectPr w:rsidR="00030408" w:rsidRPr="001233BF" w:rsidSect="001233B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EE5" w:rsidRDefault="00761EE5" w:rsidP="003457D6">
      <w:r>
        <w:separator/>
      </w:r>
    </w:p>
  </w:endnote>
  <w:endnote w:type="continuationSeparator" w:id="0">
    <w:p w:rsidR="00761EE5" w:rsidRDefault="00761EE5" w:rsidP="00345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EE5" w:rsidRDefault="00761EE5" w:rsidP="003457D6">
      <w:r>
        <w:separator/>
      </w:r>
    </w:p>
  </w:footnote>
  <w:footnote w:type="continuationSeparator" w:id="0">
    <w:p w:rsidR="00761EE5" w:rsidRDefault="00761EE5" w:rsidP="003457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E7CF5"/>
    <w:multiLevelType w:val="multilevel"/>
    <w:tmpl w:val="732E7CF5"/>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2451"/>
    <w:rsid w:val="00013946"/>
    <w:rsid w:val="00030408"/>
    <w:rsid w:val="00071DE6"/>
    <w:rsid w:val="00083610"/>
    <w:rsid w:val="001233BF"/>
    <w:rsid w:val="001A6D06"/>
    <w:rsid w:val="0026663E"/>
    <w:rsid w:val="003457D6"/>
    <w:rsid w:val="003D363A"/>
    <w:rsid w:val="004E2E7E"/>
    <w:rsid w:val="006F4BDB"/>
    <w:rsid w:val="00761EE5"/>
    <w:rsid w:val="00840809"/>
    <w:rsid w:val="00865C02"/>
    <w:rsid w:val="00902D95"/>
    <w:rsid w:val="00946994"/>
    <w:rsid w:val="00994412"/>
    <w:rsid w:val="00B21EE6"/>
    <w:rsid w:val="00B43DB3"/>
    <w:rsid w:val="00C830F0"/>
    <w:rsid w:val="00D0682A"/>
    <w:rsid w:val="00D80992"/>
    <w:rsid w:val="00DB5DAA"/>
    <w:rsid w:val="00E72451"/>
    <w:rsid w:val="00E80C1F"/>
    <w:rsid w:val="00EF1060"/>
    <w:rsid w:val="09A43210"/>
    <w:rsid w:val="258019FC"/>
    <w:rsid w:val="56672C43"/>
    <w:rsid w:val="5B6F6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30408"/>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rsid w:val="00030408"/>
    <w:pPr>
      <w:jc w:val="center"/>
    </w:pPr>
    <w:rPr>
      <w:rFonts w:eastAsia="黑体"/>
      <w:sz w:val="44"/>
      <w:szCs w:val="44"/>
    </w:rPr>
  </w:style>
  <w:style w:type="paragraph" w:styleId="a4">
    <w:name w:val="footer"/>
    <w:basedOn w:val="a"/>
    <w:link w:val="Char"/>
    <w:uiPriority w:val="99"/>
    <w:semiHidden/>
    <w:unhideWhenUsed/>
    <w:rsid w:val="00030408"/>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030408"/>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030408"/>
    <w:pPr>
      <w:widowControl/>
      <w:spacing w:before="100" w:beforeAutospacing="1" w:after="119"/>
      <w:jc w:val="left"/>
    </w:pPr>
    <w:rPr>
      <w:rFonts w:ascii="宋体" w:hAnsi="宋体" w:cs="宋体"/>
      <w:kern w:val="0"/>
      <w:sz w:val="24"/>
    </w:rPr>
  </w:style>
  <w:style w:type="paragraph" w:styleId="a7">
    <w:name w:val="List Paragraph"/>
    <w:basedOn w:val="a"/>
    <w:uiPriority w:val="99"/>
    <w:qFormat/>
    <w:rsid w:val="00030408"/>
    <w:pPr>
      <w:ind w:firstLineChars="200" w:firstLine="420"/>
    </w:pPr>
    <w:rPr>
      <w:szCs w:val="22"/>
    </w:rPr>
  </w:style>
  <w:style w:type="character" w:customStyle="1" w:styleId="ca-21">
    <w:name w:val="ca-21"/>
    <w:basedOn w:val="a1"/>
    <w:qFormat/>
    <w:rsid w:val="00030408"/>
    <w:rPr>
      <w:rFonts w:ascii="仿宋_GB2312" w:eastAsia="仿宋_GB2312" w:hint="eastAsia"/>
      <w:color w:val="000000"/>
      <w:sz w:val="30"/>
    </w:rPr>
  </w:style>
  <w:style w:type="character" w:customStyle="1" w:styleId="Char0">
    <w:name w:val="页眉 Char"/>
    <w:basedOn w:val="a1"/>
    <w:link w:val="a5"/>
    <w:uiPriority w:val="99"/>
    <w:semiHidden/>
    <w:rsid w:val="00030408"/>
    <w:rPr>
      <w:rFonts w:ascii="Calibri" w:eastAsia="宋体" w:hAnsi="Calibri" w:cs="Times New Roman"/>
      <w:sz w:val="18"/>
      <w:szCs w:val="18"/>
    </w:rPr>
  </w:style>
  <w:style w:type="character" w:customStyle="1" w:styleId="Char">
    <w:name w:val="页脚 Char"/>
    <w:basedOn w:val="a1"/>
    <w:link w:val="a4"/>
    <w:uiPriority w:val="99"/>
    <w:semiHidden/>
    <w:rsid w:val="0003040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1415</Words>
  <Characters>8066</Characters>
  <Application>Microsoft Office Word</Application>
  <DocSecurity>0</DocSecurity>
  <Lines>67</Lines>
  <Paragraphs>18</Paragraphs>
  <ScaleCrop>false</ScaleCrop>
  <Company/>
  <LinksUpToDate>false</LinksUpToDate>
  <CharactersWithSpaces>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2021-07-29T00:56:00Z</dcterms:created>
  <dcterms:modified xsi:type="dcterms:W3CDTF">2021-07-30T03:38:00Z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8DCA7DC870AA4621887A9816D8F4055B</vt:lpwstr>
  </property>
</Properties>
</file>