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中方</w:t>
      </w:r>
      <w:r>
        <w:rPr>
          <w:rFonts w:hint="eastAsia" w:ascii="方正小标宋_GBK" w:hAnsi="宋体" w:eastAsia="方正小标宋_GBK"/>
          <w:sz w:val="44"/>
          <w:szCs w:val="44"/>
        </w:rPr>
        <w:t>县</w:t>
      </w:r>
      <w:r>
        <w:rPr>
          <w:rFonts w:hint="eastAsia" w:ascii="方正小标宋_GBK" w:hAnsi="宋体" w:eastAsia="方正小标宋_GBK"/>
          <w:sz w:val="44"/>
          <w:szCs w:val="44"/>
          <w:lang w:eastAsia="zh-CN"/>
        </w:rPr>
        <w:t>城市基础设施投资中心</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2020年</w:t>
      </w:r>
      <w:r>
        <w:rPr>
          <w:rFonts w:hint="eastAsia" w:ascii="方正小标宋_GBK" w:hAnsi="宋体" w:eastAsia="方正小标宋_GBK"/>
          <w:sz w:val="44"/>
          <w:szCs w:val="44"/>
          <w:lang w:eastAsia="zh-CN"/>
        </w:rPr>
        <w:t>茶花北路道路</w:t>
      </w:r>
      <w:r>
        <w:rPr>
          <w:rFonts w:hint="eastAsia" w:ascii="方正小标宋_GBK" w:hAnsi="宋体" w:eastAsia="方正小标宋_GBK"/>
          <w:sz w:val="44"/>
          <w:szCs w:val="44"/>
        </w:rPr>
        <w:t>建设资金</w:t>
      </w:r>
    </w:p>
    <w:p>
      <w:pPr>
        <w:spacing w:line="56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绩效自评报告</w:t>
      </w:r>
    </w:p>
    <w:p>
      <w:pPr>
        <w:spacing w:line="500" w:lineRule="exact"/>
        <w:ind w:firstLine="720" w:firstLineChars="225"/>
        <w:rPr>
          <w:rFonts w:hint="eastAsia" w:ascii="黑体" w:hAnsi="黑体" w:eastAsia="黑体"/>
          <w:sz w:val="32"/>
          <w:szCs w:val="32"/>
        </w:rPr>
      </w:pP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一、 项目基本概况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 xml:space="preserve">（一）项目概况 </w:t>
      </w:r>
    </w:p>
    <w:p>
      <w:pPr>
        <w:keepNext w:val="0"/>
        <w:keepLines w:val="0"/>
        <w:pageBreakBefore w:val="0"/>
        <w:widowControl w:val="0"/>
        <w:kinsoku/>
        <w:wordWrap/>
        <w:overflowPunct/>
        <w:topLinePunct w:val="0"/>
        <w:autoSpaceDE/>
        <w:autoSpaceDN/>
        <w:bidi w:val="0"/>
        <w:adjustRightInd w:val="0"/>
        <w:snapToGrid/>
        <w:spacing w:line="50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该项目建设单位为：中方县经济建设投资有限公司，中标施工单位：凯益环境建设集团有限公司承建。合同金额为：518.33万元，工程于2018年5月1日动工实施，2019年7月23日完工。修筑路段全长：414米，污水管网全长：414米；雨水管长：414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（二）项目绩效目标</w:t>
      </w:r>
    </w:p>
    <w:p>
      <w:pPr>
        <w:spacing w:line="500" w:lineRule="exact"/>
        <w:ind w:firstLine="720" w:firstLineChars="225"/>
        <w:rPr>
          <w:rFonts w:hint="default" w:ascii="仿宋" w:hAnsi="仿宋" w:eastAsia="仿宋"/>
          <w:sz w:val="32"/>
          <w:szCs w:val="32"/>
          <w:highlight w:val="yellow"/>
          <w:lang w:val="en-US" w:eastAsia="zh-CN"/>
        </w:rPr>
      </w:pPr>
      <w:r>
        <w:rPr>
          <w:rFonts w:hint="eastAsia" w:ascii="仿宋" w:hAnsi="仿宋" w:eastAsia="仿宋"/>
          <w:sz w:val="32"/>
          <w:szCs w:val="32"/>
          <w:lang w:eastAsia="zh-CN"/>
        </w:rPr>
        <w:t>作为长塘家园安置区配套道路附属工程，确保该项目在</w:t>
      </w:r>
      <w:r>
        <w:rPr>
          <w:rFonts w:hint="eastAsia" w:ascii="仿宋" w:hAnsi="仿宋" w:eastAsia="仿宋"/>
          <w:sz w:val="32"/>
          <w:szCs w:val="32"/>
          <w:lang w:val="en-US" w:eastAsia="zh-CN"/>
        </w:rPr>
        <w:t>2019年完工，使长塘村、同乐村等安置居民得以正常入住。</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二、绩效评价指标分析情况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（一）项目资金情况分析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1.项目资金到位情况分析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该项目年初预算为</w:t>
      </w:r>
      <w:r>
        <w:rPr>
          <w:rFonts w:hint="eastAsia" w:ascii="仿宋" w:hAnsi="仿宋" w:eastAsia="仿宋"/>
          <w:sz w:val="32"/>
          <w:szCs w:val="32"/>
          <w:lang w:val="en-US" w:eastAsia="zh-CN"/>
        </w:rPr>
        <w:t>0</w:t>
      </w:r>
      <w:r>
        <w:rPr>
          <w:rFonts w:hint="eastAsia" w:ascii="仿宋" w:hAnsi="仿宋" w:eastAsia="仿宋"/>
          <w:sz w:val="32"/>
          <w:szCs w:val="32"/>
        </w:rPr>
        <w:t>万元，决算为</w:t>
      </w:r>
      <w:r>
        <w:rPr>
          <w:rFonts w:hint="eastAsia" w:ascii="仿宋" w:hAnsi="仿宋" w:eastAsia="仿宋"/>
          <w:sz w:val="32"/>
          <w:szCs w:val="32"/>
          <w:lang w:val="en-US" w:eastAsia="zh-CN"/>
        </w:rPr>
        <w:t>240</w:t>
      </w:r>
      <w:r>
        <w:rPr>
          <w:rFonts w:hint="eastAsia" w:ascii="仿宋" w:hAnsi="仿宋" w:eastAsia="仿宋"/>
          <w:sz w:val="32"/>
          <w:szCs w:val="32"/>
        </w:rPr>
        <w:t>万元，该专项资金按照</w:t>
      </w:r>
      <w:r>
        <w:rPr>
          <w:rFonts w:hint="eastAsia" w:ascii="仿宋" w:hAnsi="仿宋" w:eastAsia="仿宋"/>
          <w:sz w:val="32"/>
          <w:szCs w:val="32"/>
          <w:lang w:eastAsia="zh-CN"/>
        </w:rPr>
        <w:t>工程进度</w:t>
      </w:r>
      <w:r>
        <w:rPr>
          <w:rFonts w:hint="eastAsia" w:ascii="仿宋" w:hAnsi="仿宋" w:eastAsia="仿宋"/>
          <w:sz w:val="32"/>
          <w:szCs w:val="32"/>
        </w:rPr>
        <w:t>要求安排，拨付按需求进度进行，到年底资金已全部</w:t>
      </w:r>
      <w:r>
        <w:rPr>
          <w:rFonts w:hint="eastAsia" w:ascii="仿宋" w:hAnsi="仿宋" w:eastAsia="仿宋"/>
          <w:sz w:val="32"/>
          <w:szCs w:val="32"/>
          <w:lang w:eastAsia="zh-CN"/>
        </w:rPr>
        <w:t>支付</w:t>
      </w:r>
      <w:r>
        <w:rPr>
          <w:rFonts w:hint="eastAsia" w:ascii="仿宋" w:hAnsi="仿宋" w:eastAsia="仿宋"/>
          <w:sz w:val="32"/>
          <w:szCs w:val="32"/>
        </w:rPr>
        <w:t>。</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2.项目资金使用情况分析</w:t>
      </w:r>
    </w:p>
    <w:p>
      <w:pPr>
        <w:spacing w:line="500" w:lineRule="exact"/>
        <w:ind w:firstLine="720" w:firstLineChars="225"/>
        <w:rPr>
          <w:rFonts w:hint="default" w:ascii="仿宋" w:hAnsi="仿宋" w:eastAsia="仿宋"/>
          <w:sz w:val="32"/>
          <w:szCs w:val="32"/>
          <w:lang w:val="en-US" w:eastAsia="zh-CN"/>
        </w:rPr>
      </w:pPr>
      <w:r>
        <w:rPr>
          <w:rFonts w:hint="eastAsia" w:ascii="仿宋" w:hAnsi="仿宋" w:eastAsia="仿宋"/>
          <w:sz w:val="32"/>
          <w:szCs w:val="32"/>
        </w:rPr>
        <w:t>2020年，上级下达我</w:t>
      </w:r>
      <w:r>
        <w:rPr>
          <w:rFonts w:hint="eastAsia" w:ascii="仿宋" w:hAnsi="仿宋" w:eastAsia="仿宋"/>
          <w:sz w:val="32"/>
          <w:szCs w:val="32"/>
          <w:lang w:val="en-US" w:eastAsia="zh-CN"/>
        </w:rPr>
        <w:t>县茶花北路道路建设</w:t>
      </w:r>
      <w:r>
        <w:rPr>
          <w:rFonts w:hint="eastAsia" w:ascii="仿宋" w:hAnsi="仿宋" w:eastAsia="仿宋"/>
          <w:sz w:val="32"/>
          <w:szCs w:val="32"/>
          <w:lang w:eastAsia="zh-CN"/>
        </w:rPr>
        <w:t>资金</w:t>
      </w:r>
      <w:r>
        <w:rPr>
          <w:rFonts w:hint="eastAsia" w:ascii="仿宋" w:hAnsi="仿宋" w:eastAsia="仿宋"/>
          <w:sz w:val="32"/>
          <w:szCs w:val="32"/>
          <w:lang w:val="en-US" w:eastAsia="zh-CN"/>
        </w:rPr>
        <w:t>240万元，该资金全部用于该建设项目。</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3.项目资金管理情况分析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该项目所有资金实行专款专用。项目支出均有相关的授权审批，资金拨付严格审批程序，使用规范，会计核算结果真实、准确。项目单位建立健全项目实施预算方案、财务管理制度和会计核算制度，此次绩效评价过程中未发现有截留、挤占或挪用项目资金的情况。</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（二）项目实施情况分析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1.项目组织情况分析</w:t>
      </w:r>
    </w:p>
    <w:p>
      <w:pPr>
        <w:spacing w:line="500" w:lineRule="exact"/>
        <w:ind w:firstLine="640" w:firstLineChars="200"/>
        <w:rPr>
          <w:rFonts w:hint="eastAsia" w:ascii="仿宋" w:hAnsi="仿宋" w:eastAsia="仿宋"/>
          <w:sz w:val="32"/>
          <w:szCs w:val="32"/>
        </w:rPr>
      </w:pPr>
      <w:r>
        <w:rPr>
          <w:rFonts w:hint="eastAsia" w:ascii="仿宋" w:hAnsi="仿宋" w:eastAsia="仿宋"/>
          <w:sz w:val="32"/>
          <w:szCs w:val="32"/>
        </w:rPr>
        <w:t>该项目目标设定依据充分、明确、合理，项目建设符合省委、省政府相关规定。项目实施过程中，遵循先考察、调研，再根据湖南的实际情况制定相应的措施。项目的考察、调研回来后都要经过反复论证，再出台调研报告。实现了项目管理与过程管理的有机结合。</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2.项目管理情况分析</w:t>
      </w:r>
    </w:p>
    <w:p>
      <w:pPr>
        <w:spacing w:line="500" w:lineRule="exact"/>
        <w:ind w:firstLine="720" w:firstLineChars="225"/>
        <w:rPr>
          <w:rFonts w:ascii="仿宋" w:hAnsi="仿宋" w:eastAsia="仿宋"/>
          <w:sz w:val="32"/>
          <w:szCs w:val="32"/>
        </w:rPr>
      </w:pPr>
      <w:r>
        <w:rPr>
          <w:rFonts w:hint="eastAsia" w:ascii="仿宋" w:hAnsi="仿宋" w:eastAsia="仿宋"/>
          <w:sz w:val="32"/>
          <w:szCs w:val="32"/>
        </w:rPr>
        <w:t>一是</w:t>
      </w:r>
      <w:r>
        <w:rPr>
          <w:rFonts w:hint="eastAsia" w:ascii="仿宋" w:hAnsi="仿宋" w:eastAsia="仿宋"/>
          <w:color w:val="000000"/>
          <w:sz w:val="32"/>
          <w:szCs w:val="32"/>
        </w:rPr>
        <w:t>严格监管。</w:t>
      </w:r>
      <w:r>
        <w:rPr>
          <w:rFonts w:hint="eastAsia" w:ascii="仿宋" w:hAnsi="仿宋" w:eastAsia="仿宋"/>
          <w:sz w:val="32"/>
          <w:szCs w:val="32"/>
        </w:rPr>
        <w:t>建立健全项目管理制度，实行建设项目台帐管理，做到有目的、有计划、有内容、有效果。二是认真落实。项目采取全过程监管，做到公开、公正、公平。</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（三）项目绩效情况分析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1.项目的经济性分析</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本项目2020年投入</w:t>
      </w:r>
      <w:r>
        <w:rPr>
          <w:rFonts w:hint="eastAsia" w:ascii="仿宋" w:hAnsi="仿宋" w:eastAsia="仿宋"/>
          <w:sz w:val="32"/>
          <w:szCs w:val="32"/>
          <w:lang w:val="en-US" w:eastAsia="zh-CN"/>
        </w:rPr>
        <w:t>240</w:t>
      </w:r>
      <w:r>
        <w:rPr>
          <w:rFonts w:hint="eastAsia" w:ascii="仿宋" w:hAnsi="仿宋" w:eastAsia="仿宋"/>
          <w:sz w:val="32"/>
          <w:szCs w:val="32"/>
        </w:rPr>
        <w:t>万元，全部用于我县</w:t>
      </w:r>
      <w:r>
        <w:rPr>
          <w:rFonts w:hint="eastAsia" w:ascii="仿宋" w:hAnsi="仿宋" w:eastAsia="仿宋"/>
          <w:sz w:val="32"/>
          <w:szCs w:val="32"/>
          <w:lang w:val="en-US" w:eastAsia="zh-CN"/>
        </w:rPr>
        <w:t>茶花北路道路</w:t>
      </w:r>
      <w:r>
        <w:rPr>
          <w:rFonts w:hint="eastAsia" w:ascii="仿宋" w:hAnsi="仿宋" w:eastAsia="仿宋"/>
          <w:sz w:val="32"/>
          <w:szCs w:val="32"/>
        </w:rPr>
        <w:t>建设支出。在安排资金计划时，我们充分运用现代科学的规划、设计手法，结合项目实际状况，进行合理布局建设，以保障</w:t>
      </w:r>
      <w:r>
        <w:rPr>
          <w:rFonts w:hint="eastAsia" w:ascii="仿宋" w:hAnsi="仿宋" w:eastAsia="仿宋"/>
          <w:sz w:val="32"/>
          <w:szCs w:val="32"/>
          <w:lang w:eastAsia="zh-CN"/>
        </w:rPr>
        <w:t>道路</w:t>
      </w:r>
      <w:r>
        <w:rPr>
          <w:rFonts w:hint="eastAsia" w:ascii="仿宋" w:hAnsi="仿宋" w:eastAsia="仿宋"/>
          <w:sz w:val="32"/>
          <w:szCs w:val="32"/>
        </w:rPr>
        <w:t>安全作为根本宗旨和最终目的的同时，最大限度的减少项目预算成本，并通过成本比较的方式，对项目成本进行控制，有效节约了成本。</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2.项目的效率性分析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（1）项目实施进度</w:t>
      </w:r>
    </w:p>
    <w:p>
      <w:pPr>
        <w:spacing w:line="500" w:lineRule="exact"/>
        <w:ind w:firstLine="720" w:firstLineChars="225"/>
        <w:rPr>
          <w:rFonts w:hint="default" w:ascii="仿宋" w:hAnsi="仿宋" w:eastAsia="仿宋"/>
          <w:sz w:val="32"/>
          <w:szCs w:val="32"/>
          <w:highlight w:val="yellow"/>
          <w:lang w:val="en-US" w:eastAsia="zh-CN"/>
        </w:rPr>
      </w:pPr>
      <w:r>
        <w:rPr>
          <w:rFonts w:hint="eastAsia" w:ascii="仿宋" w:hAnsi="仿宋" w:eastAsia="仿宋"/>
          <w:sz w:val="32"/>
          <w:szCs w:val="32"/>
          <w:lang w:eastAsia="zh-CN"/>
        </w:rPr>
        <w:t>该</w:t>
      </w:r>
      <w:r>
        <w:rPr>
          <w:rFonts w:hint="eastAsia" w:ascii="仿宋" w:hAnsi="仿宋" w:eastAsia="仿宋"/>
          <w:sz w:val="32"/>
          <w:szCs w:val="32"/>
        </w:rPr>
        <w:t>项目</w:t>
      </w:r>
      <w:r>
        <w:rPr>
          <w:rFonts w:hint="eastAsia" w:ascii="仿宋" w:hAnsi="仿宋" w:eastAsia="仿宋"/>
          <w:sz w:val="32"/>
          <w:szCs w:val="32"/>
          <w:lang w:eastAsia="zh-CN"/>
        </w:rPr>
        <w:t>作为长塘家园安置小区的配套道路附属工程，已于</w:t>
      </w:r>
      <w:r>
        <w:rPr>
          <w:rFonts w:hint="eastAsia" w:ascii="仿宋" w:hAnsi="仿宋" w:eastAsia="仿宋"/>
          <w:sz w:val="32"/>
          <w:szCs w:val="32"/>
          <w:lang w:val="en-US" w:eastAsia="zh-CN"/>
        </w:rPr>
        <w:t>2019年7月全面完工，目前正在投入使用。</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（2）项目完成质量</w:t>
      </w:r>
    </w:p>
    <w:p>
      <w:pPr>
        <w:spacing w:line="500" w:lineRule="exact"/>
        <w:ind w:firstLine="720" w:firstLineChars="225"/>
        <w:rPr>
          <w:rFonts w:hint="eastAsia" w:ascii="仿宋" w:hAnsi="仿宋" w:eastAsia="仿宋"/>
          <w:sz w:val="32"/>
          <w:szCs w:val="32"/>
          <w:highlight w:val="yellow"/>
        </w:rPr>
      </w:pPr>
      <w:r>
        <w:rPr>
          <w:rFonts w:hint="eastAsia" w:ascii="仿宋" w:hAnsi="仿宋" w:eastAsia="仿宋"/>
          <w:sz w:val="32"/>
          <w:szCs w:val="32"/>
          <w:highlight w:val="none"/>
        </w:rPr>
        <w:t>项目计划落实后，积极组织实施，进度快，项目质量好。</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3.项目的效益性分析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（1）</w:t>
      </w:r>
      <w:bookmarkStart w:id="0" w:name="OLE_LINK3"/>
      <w:r>
        <w:rPr>
          <w:rFonts w:hint="eastAsia" w:ascii="仿宋" w:hAnsi="仿宋" w:eastAsia="仿宋"/>
          <w:b/>
          <w:sz w:val="32"/>
          <w:szCs w:val="32"/>
        </w:rPr>
        <w:t>项目预期目标完成程度</w:t>
      </w:r>
      <w:bookmarkEnd w:id="0"/>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该项目涉及的</w:t>
      </w:r>
      <w:r>
        <w:rPr>
          <w:rFonts w:hint="eastAsia" w:ascii="仿宋" w:hAnsi="仿宋" w:eastAsia="仿宋"/>
          <w:sz w:val="32"/>
          <w:szCs w:val="32"/>
          <w:highlight w:val="none"/>
          <w:lang w:val="en-US" w:eastAsia="zh-CN"/>
        </w:rPr>
        <w:t>茶花此路道路</w:t>
      </w:r>
      <w:r>
        <w:rPr>
          <w:rFonts w:hint="eastAsia" w:ascii="仿宋" w:hAnsi="仿宋" w:eastAsia="仿宋"/>
          <w:sz w:val="32"/>
          <w:szCs w:val="32"/>
          <w:highlight w:val="none"/>
        </w:rPr>
        <w:t>建设已顺利通过验收，并已投入使用，预期目标已完成。</w:t>
      </w:r>
    </w:p>
    <w:p>
      <w:pPr>
        <w:spacing w:line="500" w:lineRule="exact"/>
        <w:ind w:firstLine="723" w:firstLineChars="225"/>
        <w:rPr>
          <w:rFonts w:hint="eastAsia" w:ascii="仿宋" w:hAnsi="仿宋" w:eastAsia="仿宋"/>
          <w:b/>
          <w:sz w:val="32"/>
          <w:szCs w:val="32"/>
        </w:rPr>
      </w:pPr>
      <w:r>
        <w:rPr>
          <w:rFonts w:hint="eastAsia" w:ascii="仿宋" w:hAnsi="仿宋" w:eastAsia="仿宋"/>
          <w:b/>
          <w:sz w:val="32"/>
          <w:szCs w:val="32"/>
        </w:rPr>
        <w:t>（2）</w:t>
      </w:r>
      <w:bookmarkStart w:id="1" w:name="OLE_LINK2"/>
      <w:r>
        <w:rPr>
          <w:rFonts w:hint="eastAsia" w:ascii="仿宋" w:hAnsi="仿宋" w:eastAsia="仿宋"/>
          <w:b/>
          <w:sz w:val="32"/>
          <w:szCs w:val="32"/>
        </w:rPr>
        <w:t>项目实施对经济和社会的影响</w:t>
      </w:r>
      <w:bookmarkEnd w:id="1"/>
    </w:p>
    <w:p>
      <w:pPr>
        <w:spacing w:line="500" w:lineRule="exact"/>
        <w:ind w:firstLine="720" w:firstLineChars="225"/>
        <w:rPr>
          <w:rFonts w:hint="eastAsia" w:ascii="仿宋" w:hAnsi="仿宋" w:eastAsia="仿宋"/>
          <w:sz w:val="32"/>
          <w:szCs w:val="32"/>
          <w:lang w:eastAsia="zh-CN"/>
        </w:rPr>
      </w:pPr>
      <w:r>
        <w:rPr>
          <w:rFonts w:hint="eastAsia" w:ascii="仿宋" w:hAnsi="仿宋" w:eastAsia="仿宋"/>
          <w:sz w:val="32"/>
          <w:szCs w:val="32"/>
        </w:rPr>
        <w:t>该项目实施后，不仅保障了各项政策贯彻落实和各项资金的有效使用，提高了财政资金的安全高效性，</w:t>
      </w:r>
      <w:r>
        <w:rPr>
          <w:rFonts w:hint="eastAsia" w:ascii="仿宋" w:hAnsi="仿宋" w:eastAsia="仿宋"/>
          <w:sz w:val="32"/>
          <w:szCs w:val="32"/>
          <w:lang w:eastAsia="zh-CN"/>
        </w:rPr>
        <w:t>该项目作为长塘家园安置区的配套道路附属工程，为小区居民出行提供了便利。茶花北路项目作为中方县环城路的连接线一部分，为整个茶花路的拉通奠定了基础。</w:t>
      </w:r>
    </w:p>
    <w:p>
      <w:pPr>
        <w:numPr>
          <w:ilvl w:val="0"/>
          <w:numId w:val="1"/>
        </w:num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项目后续工作计划</w:t>
      </w:r>
    </w:p>
    <w:p>
      <w:pPr>
        <w:spacing w:line="500" w:lineRule="exact"/>
        <w:ind w:firstLine="720" w:firstLineChars="225"/>
        <w:rPr>
          <w:rFonts w:hint="eastAsia" w:ascii="仿宋" w:hAnsi="仿宋" w:eastAsia="仿宋"/>
          <w:sz w:val="32"/>
          <w:szCs w:val="32"/>
          <w:lang w:eastAsia="zh-CN"/>
        </w:rPr>
      </w:pPr>
      <w:r>
        <w:rPr>
          <w:rFonts w:hint="eastAsia" w:ascii="仿宋" w:hAnsi="仿宋" w:eastAsia="仿宋"/>
          <w:sz w:val="32"/>
          <w:szCs w:val="32"/>
          <w:lang w:eastAsia="zh-CN"/>
        </w:rPr>
        <w:t>茶花北路是长塘家园的配套道路附属工程，也是茶花路的一部分，后续将于茶花中路相接，将整个中方环城路拉通。</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四、评价情况及评价结论</w:t>
      </w:r>
    </w:p>
    <w:p>
      <w:pPr>
        <w:spacing w:line="500" w:lineRule="exact"/>
        <w:ind w:firstLine="720" w:firstLineChars="225"/>
        <w:rPr>
          <w:rFonts w:hint="eastAsia" w:ascii="仿宋" w:hAnsi="仿宋" w:eastAsia="仿宋"/>
          <w:sz w:val="32"/>
          <w:szCs w:val="32"/>
          <w:highlight w:val="none"/>
        </w:rPr>
      </w:pPr>
      <w:r>
        <w:rPr>
          <w:rFonts w:hint="eastAsia" w:ascii="仿宋" w:hAnsi="仿宋" w:eastAsia="仿宋"/>
          <w:sz w:val="32"/>
          <w:szCs w:val="32"/>
          <w:highlight w:val="none"/>
        </w:rPr>
        <w:t>该项目从可持续发展角度而言，整体发挥的社会效益明显，在保障</w:t>
      </w:r>
      <w:r>
        <w:rPr>
          <w:rFonts w:hint="eastAsia" w:ascii="仿宋" w:hAnsi="仿宋" w:eastAsia="仿宋"/>
          <w:sz w:val="32"/>
          <w:szCs w:val="32"/>
          <w:highlight w:val="none"/>
          <w:lang w:eastAsia="zh-CN"/>
        </w:rPr>
        <w:t>施工</w:t>
      </w:r>
      <w:r>
        <w:rPr>
          <w:rFonts w:hint="eastAsia" w:ascii="仿宋" w:hAnsi="仿宋" w:eastAsia="仿宋"/>
          <w:sz w:val="32"/>
          <w:szCs w:val="32"/>
          <w:highlight w:val="none"/>
        </w:rPr>
        <w:t>安全的前提下，最大程度便利</w:t>
      </w:r>
      <w:r>
        <w:rPr>
          <w:rFonts w:hint="eastAsia" w:ascii="仿宋" w:hAnsi="仿宋" w:eastAsia="仿宋"/>
          <w:sz w:val="32"/>
          <w:szCs w:val="32"/>
          <w:highlight w:val="none"/>
          <w:lang w:eastAsia="zh-CN"/>
        </w:rPr>
        <w:t>长塘家园安置区居民出行</w:t>
      </w:r>
      <w:r>
        <w:rPr>
          <w:rFonts w:hint="eastAsia" w:ascii="仿宋" w:hAnsi="仿宋" w:eastAsia="仿宋"/>
          <w:sz w:val="32"/>
          <w:szCs w:val="32"/>
          <w:highlight w:val="none"/>
        </w:rPr>
        <w:t>条件，经评价小组综合分析，项目评分</w:t>
      </w:r>
      <w:r>
        <w:rPr>
          <w:rFonts w:hint="eastAsia" w:ascii="仿宋" w:hAnsi="仿宋" w:eastAsia="仿宋"/>
          <w:sz w:val="32"/>
          <w:szCs w:val="32"/>
          <w:highlight w:val="none"/>
          <w:lang w:val="en-US" w:eastAsia="zh-CN"/>
        </w:rPr>
        <w:t>97</w:t>
      </w:r>
      <w:r>
        <w:rPr>
          <w:rFonts w:hint="eastAsia" w:ascii="仿宋" w:hAnsi="仿宋" w:eastAsia="仿宋"/>
          <w:sz w:val="32"/>
          <w:szCs w:val="32"/>
          <w:highlight w:val="none"/>
        </w:rPr>
        <w:t>分，评价结果为优。</w:t>
      </w:r>
    </w:p>
    <w:p>
      <w:pPr>
        <w:spacing w:line="500" w:lineRule="exact"/>
        <w:ind w:firstLine="720" w:firstLineChars="225"/>
        <w:rPr>
          <w:rFonts w:hint="eastAsia" w:ascii="黑体" w:hAnsi="黑体" w:eastAsia="黑体"/>
          <w:sz w:val="32"/>
          <w:szCs w:val="32"/>
        </w:rPr>
      </w:pPr>
      <w:r>
        <w:rPr>
          <w:rFonts w:hint="eastAsia" w:ascii="黑体" w:hAnsi="黑体" w:eastAsia="黑体"/>
          <w:sz w:val="32"/>
          <w:szCs w:val="32"/>
        </w:rPr>
        <w:t>五、主要经验做法、存在问题、改进措施和建议</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（一）主要经验做法</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为使项目资金发挥实效，进一步提高基础设施建设质量，我</w:t>
      </w:r>
      <w:r>
        <w:rPr>
          <w:rFonts w:hint="eastAsia" w:ascii="仿宋" w:hAnsi="仿宋" w:eastAsia="仿宋"/>
          <w:sz w:val="32"/>
          <w:szCs w:val="32"/>
          <w:lang w:eastAsia="zh-CN"/>
        </w:rPr>
        <w:t>公司</w:t>
      </w:r>
      <w:r>
        <w:rPr>
          <w:rFonts w:hint="eastAsia" w:ascii="仿宋" w:hAnsi="仿宋" w:eastAsia="仿宋"/>
          <w:sz w:val="32"/>
          <w:szCs w:val="32"/>
        </w:rPr>
        <w:t>严格按照绩效目标的要求，在每个建设项目和环节实行专人负责，做到职责分明，任务明确。从经费使用和分配、到工程质量，实行全程监控，做到公开透明，阳光操作，优质高效的完成各项建设任务。</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（二）存在问题</w:t>
      </w:r>
      <w:bookmarkStart w:id="2" w:name="_GoBack"/>
      <w:bookmarkEnd w:id="2"/>
    </w:p>
    <w:p>
      <w:pPr>
        <w:spacing w:line="500" w:lineRule="exact"/>
        <w:ind w:firstLine="720" w:firstLineChars="225"/>
        <w:rPr>
          <w:rFonts w:hint="eastAsia" w:ascii="仿宋" w:hAnsi="仿宋" w:eastAsia="仿宋"/>
          <w:sz w:val="32"/>
          <w:szCs w:val="32"/>
          <w:highlight w:val="none"/>
          <w:lang w:eastAsia="zh-CN"/>
        </w:rPr>
      </w:pPr>
      <w:r>
        <w:rPr>
          <w:rFonts w:hint="eastAsia" w:ascii="仿宋" w:hAnsi="仿宋" w:eastAsia="仿宋"/>
          <w:sz w:val="32"/>
          <w:szCs w:val="32"/>
          <w:highlight w:val="none"/>
        </w:rPr>
        <w:t>项目组织实施后，2020年</w:t>
      </w:r>
      <w:r>
        <w:rPr>
          <w:rFonts w:hint="eastAsia" w:ascii="仿宋" w:hAnsi="仿宋" w:eastAsia="仿宋"/>
          <w:sz w:val="32"/>
          <w:szCs w:val="32"/>
          <w:highlight w:val="none"/>
          <w:lang w:eastAsia="zh-CN"/>
        </w:rPr>
        <w:t>茶花北路</w:t>
      </w:r>
      <w:r>
        <w:rPr>
          <w:rFonts w:hint="eastAsia" w:ascii="仿宋" w:hAnsi="仿宋" w:eastAsia="仿宋"/>
          <w:sz w:val="32"/>
          <w:szCs w:val="32"/>
          <w:highlight w:val="none"/>
        </w:rPr>
        <w:t>已全部完成了建设任务，初步实现了既定的年度绩效目标。但是与上级部门的要求还是存在一些差距，主要原因是县级财力十分有限，尽管县委政府非常重视，但能够投入的资金仍非常有限，导致</w:t>
      </w:r>
      <w:r>
        <w:rPr>
          <w:rFonts w:hint="eastAsia" w:ascii="仿宋" w:hAnsi="仿宋" w:eastAsia="仿宋"/>
          <w:sz w:val="32"/>
          <w:szCs w:val="32"/>
          <w:highlight w:val="none"/>
          <w:lang w:eastAsia="zh-CN"/>
        </w:rPr>
        <w:t>整个茶花路不能全面拉通，以致于县环城道路系统滞后。</w:t>
      </w:r>
    </w:p>
    <w:p>
      <w:pPr>
        <w:numPr>
          <w:ilvl w:val="0"/>
          <w:numId w:val="2"/>
        </w:num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改进措施</w:t>
      </w:r>
    </w:p>
    <w:p>
      <w:pPr>
        <w:spacing w:line="500" w:lineRule="exact"/>
        <w:ind w:firstLine="720" w:firstLineChars="225"/>
        <w:rPr>
          <w:rFonts w:hint="eastAsia" w:ascii="楷体" w:hAnsi="楷体" w:eastAsia="楷体"/>
          <w:b/>
          <w:sz w:val="32"/>
          <w:szCs w:val="32"/>
        </w:rPr>
      </w:pPr>
      <w:r>
        <w:rPr>
          <w:rFonts w:hint="eastAsia" w:ascii="仿宋" w:hAnsi="仿宋" w:eastAsia="仿宋"/>
          <w:sz w:val="32"/>
          <w:szCs w:val="32"/>
          <w:highlight w:val="none"/>
        </w:rPr>
        <w:t>进一步做好项目建设规划，</w:t>
      </w:r>
      <w:r>
        <w:rPr>
          <w:rFonts w:hint="eastAsia" w:ascii="仿宋" w:hAnsi="仿宋" w:eastAsia="仿宋"/>
          <w:sz w:val="32"/>
          <w:szCs w:val="32"/>
          <w:highlight w:val="none"/>
          <w:lang w:eastAsia="zh-CN"/>
        </w:rPr>
        <w:t>做好后续服务工作</w:t>
      </w:r>
      <w:r>
        <w:rPr>
          <w:rFonts w:hint="eastAsia" w:ascii="仿宋" w:hAnsi="仿宋" w:eastAsia="仿宋"/>
          <w:sz w:val="32"/>
          <w:szCs w:val="32"/>
          <w:highlight w:val="none"/>
        </w:rPr>
        <w:t>。</w:t>
      </w:r>
    </w:p>
    <w:p>
      <w:pPr>
        <w:spacing w:line="500" w:lineRule="exact"/>
        <w:ind w:firstLine="723" w:firstLineChars="225"/>
        <w:rPr>
          <w:rFonts w:hint="eastAsia" w:ascii="楷体" w:hAnsi="楷体" w:eastAsia="楷体"/>
          <w:b/>
          <w:sz w:val="32"/>
          <w:szCs w:val="32"/>
        </w:rPr>
      </w:pPr>
      <w:r>
        <w:rPr>
          <w:rFonts w:hint="eastAsia" w:ascii="楷体" w:hAnsi="楷体" w:eastAsia="楷体"/>
          <w:b/>
          <w:sz w:val="32"/>
          <w:szCs w:val="32"/>
        </w:rPr>
        <w:t>（四）建议</w:t>
      </w:r>
    </w:p>
    <w:p>
      <w:pPr>
        <w:spacing w:line="500" w:lineRule="exact"/>
        <w:ind w:firstLine="720" w:firstLineChars="225"/>
        <w:rPr>
          <w:rFonts w:hint="eastAsia" w:ascii="仿宋" w:hAnsi="仿宋" w:eastAsia="仿宋"/>
          <w:sz w:val="32"/>
          <w:szCs w:val="32"/>
        </w:rPr>
      </w:pPr>
      <w:r>
        <w:rPr>
          <w:rFonts w:hint="eastAsia" w:ascii="仿宋" w:hAnsi="仿宋" w:eastAsia="仿宋"/>
          <w:sz w:val="32"/>
          <w:szCs w:val="32"/>
        </w:rPr>
        <w:t>争取中央、省级项目资金的投入。</w:t>
      </w: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500" w:lineRule="exact"/>
        <w:ind w:firstLine="720" w:firstLineChars="225"/>
        <w:rPr>
          <w:rFonts w:hint="eastAsia" w:ascii="仿宋" w:hAnsi="仿宋" w:eastAsia="仿宋"/>
          <w:sz w:val="32"/>
          <w:szCs w:val="32"/>
        </w:rPr>
      </w:pPr>
    </w:p>
    <w:p>
      <w:pPr>
        <w:spacing w:line="40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kern w:val="0"/>
                <w:sz w:val="22"/>
                <w:szCs w:val="22"/>
              </w:rPr>
            </w:pPr>
            <w:r>
              <w:rPr>
                <w:kern w:val="0"/>
                <w:sz w:val="22"/>
                <w:szCs w:val="22"/>
              </w:rPr>
              <w:t>（</w:t>
            </w:r>
            <w:r>
              <w:rPr>
                <w:rFonts w:hint="eastAsia"/>
                <w:kern w:val="0"/>
                <w:sz w:val="22"/>
                <w:szCs w:val="22"/>
              </w:rPr>
              <w:t>20</w:t>
            </w:r>
            <w:r>
              <w:rPr>
                <w:rFonts w:hint="eastAsia"/>
                <w:kern w:val="0"/>
                <w:sz w:val="22"/>
                <w:szCs w:val="22"/>
                <w:lang w:val="en-US" w:eastAsia="zh-CN"/>
              </w:rPr>
              <w:t>20</w:t>
            </w:r>
            <w:r>
              <w:rPr>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color w:val="000000"/>
                <w:kern w:val="0"/>
                <w:sz w:val="18"/>
                <w:szCs w:val="18"/>
                <w:lang w:val="en-US" w:eastAsia="zh-CN"/>
              </w:rPr>
              <w:t>茶花北路</w:t>
            </w:r>
            <w:r>
              <w:rPr>
                <w:rFonts w:hint="eastAsia"/>
                <w:kern w:val="0"/>
                <w:sz w:val="18"/>
                <w:szCs w:val="18"/>
              </w:rPr>
              <w:t>专项资金</w:t>
            </w:r>
          </w:p>
        </w:tc>
      </w:tr>
      <w:tr>
        <w:tblPrEx>
          <w:tblCellMar>
            <w:top w:w="0" w:type="dxa"/>
            <w:left w:w="108" w:type="dxa"/>
            <w:bottom w:w="0" w:type="dxa"/>
            <w:right w:w="108" w:type="dxa"/>
          </w:tblCellMar>
        </w:tblPrEx>
        <w:trPr>
          <w:trHeight w:val="307"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Theme="minorEastAsia"/>
                <w:kern w:val="0"/>
                <w:sz w:val="18"/>
                <w:szCs w:val="18"/>
                <w:lang w:eastAsia="zh-CN"/>
              </w:rPr>
            </w:pPr>
            <w:r>
              <w:rPr>
                <w:rFonts w:hint="eastAsia"/>
                <w:kern w:val="0"/>
                <w:sz w:val="18"/>
                <w:szCs w:val="18"/>
              </w:rPr>
              <w:t>中方县</w:t>
            </w:r>
            <w:r>
              <w:rPr>
                <w:rFonts w:hint="eastAsia"/>
                <w:kern w:val="0"/>
                <w:sz w:val="18"/>
                <w:szCs w:val="18"/>
                <w:lang w:eastAsia="zh-CN"/>
              </w:rPr>
              <w:t>发改局</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lang w:eastAsia="zh-CN"/>
              </w:rPr>
              <w:t>城市基础设施投资中心</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全年预算数</w:t>
            </w:r>
            <w:r>
              <w:rPr>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eastAsia="宋体" w:cs="Times New Roman"/>
                <w:kern w:val="0"/>
                <w:sz w:val="18"/>
                <w:szCs w:val="18"/>
                <w:lang w:val="en-US" w:eastAsia="zh-CN"/>
              </w:rPr>
              <w:t>240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97</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eastAsia="宋体"/>
                <w:kern w:val="0"/>
                <w:sz w:val="18"/>
                <w:szCs w:val="18"/>
                <w:lang w:val="en-US" w:eastAsia="zh-CN"/>
              </w:rPr>
              <w:t>240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highlight w:val="yellow"/>
              </w:rPr>
            </w:pPr>
            <w:r>
              <w:rPr>
                <w:rFonts w:hint="eastAsia"/>
                <w:kern w:val="0"/>
                <w:sz w:val="18"/>
                <w:szCs w:val="18"/>
                <w:highlight w:val="none"/>
              </w:rPr>
              <w:t>作为长塘家园安置区配套道路附属工程</w:t>
            </w:r>
            <w:r>
              <w:rPr>
                <w:rFonts w:hint="eastAsia"/>
                <w:kern w:val="0"/>
                <w:sz w:val="18"/>
                <w:szCs w:val="18"/>
                <w:highlight w:val="none"/>
                <w:lang w:eastAsia="zh-CN"/>
              </w:rPr>
              <w:t>，</w:t>
            </w:r>
            <w:r>
              <w:rPr>
                <w:rFonts w:hint="eastAsia"/>
                <w:kern w:val="0"/>
                <w:sz w:val="18"/>
                <w:szCs w:val="18"/>
                <w:highlight w:val="none"/>
              </w:rPr>
              <w:t>使长塘村、同乐村等安置居民得以正常入住</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highlight w:val="yellow"/>
              </w:rPr>
            </w:pPr>
            <w:r>
              <w:rPr>
                <w:rFonts w:hint="eastAsia"/>
                <w:kern w:val="0"/>
                <w:sz w:val="18"/>
                <w:szCs w:val="18"/>
                <w:highlight w:val="none"/>
              </w:rPr>
              <w:t>该项目涉及的茶花此路道路建设已顺利通过验收，并已投入使用</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val="en-US" w:eastAsia="zh-CN"/>
              </w:rPr>
            </w:pPr>
            <w:r>
              <w:rPr>
                <w:rFonts w:hint="eastAsia"/>
                <w:color w:val="000000"/>
                <w:kern w:val="0"/>
                <w:sz w:val="18"/>
                <w:szCs w:val="18"/>
                <w:lang w:eastAsia="zh-CN"/>
              </w:rPr>
              <w:t>指标1：</w:t>
            </w:r>
            <w:r>
              <w:rPr>
                <w:rFonts w:hint="eastAsia"/>
                <w:color w:val="000000"/>
                <w:kern w:val="0"/>
                <w:sz w:val="18"/>
                <w:szCs w:val="18"/>
                <w:lang w:val="en-US" w:eastAsia="zh-CN"/>
              </w:rPr>
              <w:t>茶花北路道路</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val="en-US" w:eastAsia="zh-CN"/>
              </w:rPr>
            </w:pPr>
            <w:r>
              <w:rPr>
                <w:rFonts w:hint="eastAsia"/>
                <w:color w:val="000000"/>
                <w:kern w:val="0"/>
                <w:sz w:val="18"/>
                <w:szCs w:val="18"/>
                <w:lang w:val="en-US" w:eastAsia="zh-CN"/>
              </w:rPr>
              <w:t>1条</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r>
              <w:rPr>
                <w:rFonts w:hint="eastAsia"/>
                <w:color w:val="000000"/>
                <w:kern w:val="0"/>
                <w:sz w:val="18"/>
                <w:szCs w:val="18"/>
                <w:lang w:eastAsia="zh-CN"/>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lang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资金到位率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both"/>
              <w:rPr>
                <w:rFonts w:hint="default" w:eastAsia="宋体"/>
                <w:kern w:val="0"/>
                <w:sz w:val="18"/>
                <w:szCs w:val="18"/>
                <w:lang w:val="en-US" w:eastAsia="zh-CN"/>
              </w:rPr>
            </w:pPr>
            <w:r>
              <w:rPr>
                <w:rFonts w:hint="eastAsia"/>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宋体"/>
                <w:color w:val="000000"/>
                <w:kern w:val="0"/>
                <w:sz w:val="18"/>
                <w:szCs w:val="18"/>
                <w:lang w:val="en-US" w:eastAsia="zh-CN"/>
              </w:rPr>
            </w:pPr>
            <w:r>
              <w:rPr>
                <w:color w:val="000000"/>
                <w:kern w:val="0"/>
                <w:sz w:val="18"/>
                <w:szCs w:val="18"/>
              </w:rPr>
              <w:t>指标1</w:t>
            </w:r>
            <w:r>
              <w:rPr>
                <w:rFonts w:hint="eastAsia"/>
                <w:color w:val="000000"/>
                <w:kern w:val="0"/>
                <w:sz w:val="18"/>
                <w:szCs w:val="18"/>
                <w:lang w:eastAsia="zh-CN"/>
              </w:rPr>
              <w:t>预算年度内完成</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5"/>
                <w:szCs w:val="15"/>
              </w:rPr>
              <w:t>按进度</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rFonts w:hint="eastAsia"/>
                <w:color w:val="000000"/>
                <w:kern w:val="0"/>
                <w:sz w:val="18"/>
                <w:szCs w:val="18"/>
                <w:lang w:val="en-US" w:eastAsia="zh-CN"/>
              </w:rPr>
              <w:t>茶花北路道路</w:t>
            </w:r>
            <w:r>
              <w:rPr>
                <w:rFonts w:hint="eastAsia"/>
                <w:kern w:val="0"/>
                <w:sz w:val="18"/>
                <w:szCs w:val="18"/>
              </w:rPr>
              <w:t>专项资金</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eastAsia="宋体"/>
                <w:kern w:val="0"/>
                <w:sz w:val="18"/>
                <w:szCs w:val="18"/>
                <w:lang w:val="en-US" w:eastAsia="zh-CN"/>
              </w:rPr>
              <w:t>240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eastAsia="宋体"/>
                <w:kern w:val="0"/>
                <w:sz w:val="18"/>
                <w:szCs w:val="18"/>
                <w:lang w:val="en-US" w:eastAsia="zh-CN"/>
              </w:rPr>
              <w:t>240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eastAsia="zh-CN"/>
              </w:rPr>
            </w:pPr>
            <w:r>
              <w:rPr>
                <w:rFonts w:hint="eastAsia"/>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5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eastAsia="zh-CN"/>
              </w:rPr>
            </w:pPr>
            <w:r>
              <w:rPr>
                <w:color w:val="000000"/>
                <w:kern w:val="0"/>
                <w:sz w:val="18"/>
                <w:szCs w:val="18"/>
              </w:rPr>
              <w:t>指标1：</w:t>
            </w:r>
            <w:r>
              <w:rPr>
                <w:rFonts w:hint="eastAsia"/>
                <w:color w:val="000000"/>
                <w:kern w:val="0"/>
                <w:sz w:val="18"/>
                <w:szCs w:val="18"/>
                <w:lang w:eastAsia="zh-CN"/>
              </w:rPr>
              <w:t>方便居民出行，改善生活条件</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7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Theme="minorEastAsia"/>
                <w:color w:val="000000"/>
                <w:kern w:val="0"/>
                <w:sz w:val="18"/>
                <w:szCs w:val="18"/>
                <w:lang w:eastAsia="zh-CN"/>
              </w:rPr>
            </w:pPr>
            <w:r>
              <w:rPr>
                <w:color w:val="000000"/>
                <w:kern w:val="0"/>
                <w:sz w:val="18"/>
                <w:szCs w:val="18"/>
                <w:highlight w:val="none"/>
              </w:rPr>
              <w:t>指标1：</w:t>
            </w:r>
            <w:r>
              <w:rPr>
                <w:rFonts w:hint="eastAsia"/>
                <w:color w:val="000000"/>
                <w:kern w:val="0"/>
                <w:sz w:val="18"/>
                <w:szCs w:val="18"/>
                <w:highlight w:val="none"/>
                <w:lang w:eastAsia="zh-CN"/>
              </w:rPr>
              <w:t>提高居民生活质量</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长期</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color w:val="000000"/>
                <w:kern w:val="0"/>
                <w:sz w:val="18"/>
                <w:szCs w:val="18"/>
              </w:rPr>
            </w:pPr>
            <w:r>
              <w:rPr>
                <w:color w:val="000000"/>
                <w:kern w:val="0"/>
                <w:sz w:val="18"/>
                <w:szCs w:val="18"/>
              </w:rPr>
              <w:t>指标1</w:t>
            </w:r>
            <w:r>
              <w:rPr>
                <w:color w:val="000000"/>
                <w:kern w:val="0"/>
                <w:sz w:val="18"/>
                <w:szCs w:val="18"/>
                <w:highlight w:val="none"/>
              </w:rPr>
              <w:t>：</w:t>
            </w:r>
            <w:r>
              <w:rPr>
                <w:rFonts w:hint="eastAsia"/>
                <w:color w:val="000000"/>
                <w:kern w:val="0"/>
                <w:sz w:val="18"/>
                <w:szCs w:val="18"/>
                <w:highlight w:val="none"/>
              </w:rPr>
              <w:t>社会满意度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85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r>
              <w:rPr>
                <w:rFonts w:hint="eastAsia"/>
                <w:kern w:val="0"/>
                <w:sz w:val="18"/>
                <w:szCs w:val="18"/>
              </w:rPr>
              <w:t>满意</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97</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sectPr>
          <w:pgSz w:w="11906" w:h="16838"/>
          <w:pgMar w:top="1587" w:right="1587" w:bottom="1587" w:left="1587" w:header="737" w:footer="850" w:gutter="0"/>
          <w:cols w:space="720" w:num="1"/>
          <w:docGrid w:type="lines" w:linePitch="408" w:charSpace="0"/>
        </w:sectPr>
      </w:pPr>
    </w:p>
    <w:p>
      <w:pPr>
        <w:spacing w:line="560" w:lineRule="exact"/>
        <w:rPr>
          <w:rFonts w:hint="eastAsia"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noWrap w:val="0"/>
            <w:vAlign w:val="top"/>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noWrap w:val="0"/>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09"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2"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6"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continue"/>
            <w:shd w:val="clear" w:color="auto" w:fill="FFFFFF"/>
            <w:noWrap w:val="0"/>
            <w:vAlign w:val="center"/>
          </w:tcPr>
          <w:p>
            <w:pPr>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6"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67"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1" w:hRule="atLeast"/>
          <w:jc w:val="center"/>
        </w:trPr>
        <w:tc>
          <w:tcPr>
            <w:tcW w:w="682" w:type="dxa"/>
            <w:vMerge w:val="continue"/>
            <w:shd w:val="clear" w:color="auto" w:fill="FFFFFF"/>
            <w:noWrap w:val="0"/>
            <w:vAlign w:val="center"/>
          </w:tcPr>
          <w:p>
            <w:pPr>
              <w:spacing w:line="0" w:lineRule="atLeast"/>
              <w:jc w:val="center"/>
              <w:rPr>
                <w:color w:val="000000"/>
                <w:kern w:val="0"/>
                <w:sz w:val="22"/>
                <w:szCs w:val="22"/>
              </w:rPr>
            </w:pPr>
          </w:p>
        </w:tc>
        <w:tc>
          <w:tcPr>
            <w:tcW w:w="709" w:type="dxa"/>
            <w:shd w:val="clear" w:color="auto" w:fill="FFFFFF"/>
            <w:noWrap w:val="0"/>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noWrap w:val="0"/>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noWrap w:val="0"/>
            <w:vAlign w:val="center"/>
          </w:tcPr>
          <w:p>
            <w:pPr>
              <w:widowControl/>
              <w:spacing w:line="0" w:lineRule="atLeast"/>
              <w:jc w:val="center"/>
              <w:rPr>
                <w:rFonts w:hint="eastAsia"/>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noWrap w:val="0"/>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color w:val="000000"/>
                <w:kern w:val="0"/>
                <w:sz w:val="22"/>
                <w:szCs w:val="22"/>
              </w:rPr>
            </w:pPr>
          </w:p>
        </w:tc>
        <w:tc>
          <w:tcPr>
            <w:tcW w:w="709" w:type="dxa"/>
            <w:vMerge w:val="continue"/>
            <w:shd w:val="clear" w:color="auto" w:fill="FFFFFF"/>
            <w:noWrap w:val="0"/>
            <w:vAlign w:val="center"/>
          </w:tcPr>
          <w:p>
            <w:pPr>
              <w:widowControl/>
              <w:spacing w:line="0" w:lineRule="atLeast"/>
              <w:jc w:val="center"/>
              <w:rPr>
                <w:color w:val="000000"/>
                <w:kern w:val="0"/>
                <w:sz w:val="22"/>
                <w:szCs w:val="22"/>
              </w:rPr>
            </w:pPr>
          </w:p>
        </w:tc>
        <w:tc>
          <w:tcPr>
            <w:tcW w:w="1134"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noWrap w:val="0"/>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eastAsia="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noWrap w:val="0"/>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noWrap w:val="0"/>
            <w:vAlign w:val="center"/>
          </w:tcPr>
          <w:p>
            <w:pPr>
              <w:widowControl/>
              <w:spacing w:line="0" w:lineRule="atLeast"/>
              <w:rPr>
                <w:color w:val="000000"/>
                <w:kern w:val="0"/>
                <w:sz w:val="22"/>
                <w:szCs w:val="22"/>
              </w:rPr>
            </w:pPr>
          </w:p>
        </w:tc>
        <w:tc>
          <w:tcPr>
            <w:tcW w:w="6096" w:type="dxa"/>
            <w:shd w:val="clear" w:color="auto" w:fill="FFFFFF"/>
            <w:noWrap w:val="0"/>
            <w:vAlign w:val="center"/>
          </w:tcPr>
          <w:p>
            <w:pPr>
              <w:widowControl/>
              <w:spacing w:line="0" w:lineRule="atLeast"/>
              <w:rPr>
                <w:color w:val="000000"/>
                <w:kern w:val="0"/>
                <w:sz w:val="22"/>
                <w:szCs w:val="22"/>
              </w:rPr>
            </w:pPr>
          </w:p>
        </w:tc>
        <w:tc>
          <w:tcPr>
            <w:tcW w:w="566" w:type="dxa"/>
            <w:shd w:val="clear" w:color="auto" w:fill="FFFFFF"/>
            <w:noWrap w:val="0"/>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97</w:t>
            </w:r>
          </w:p>
        </w:tc>
      </w:tr>
    </w:tbl>
    <w:p>
      <w:pPr>
        <w:spacing w:line="440" w:lineRule="exact"/>
        <w:ind w:firstLine="450" w:firstLineChars="225"/>
        <w:rPr>
          <w:rFonts w:hint="default"/>
          <w:sz w:val="32"/>
          <w:szCs w:val="32"/>
          <w:lang w:val="en-US" w:eastAsia="zh-CN"/>
        </w:rPr>
      </w:pPr>
      <w:r>
        <w:rPr>
          <w:rFonts w:eastAsia="仿宋_GB2312"/>
          <w:sz w:val="20"/>
          <w:szCs w:val="20"/>
        </w:rPr>
        <w:t>注：单位可以根据专项资金的管理要求和绩效要求增设个性指标。</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1F496"/>
    <w:multiLevelType w:val="singleLevel"/>
    <w:tmpl w:val="1491F496"/>
    <w:lvl w:ilvl="0" w:tentative="0">
      <w:start w:val="3"/>
      <w:numFmt w:val="chineseCounting"/>
      <w:suff w:val="nothing"/>
      <w:lvlText w:val="%1、"/>
      <w:lvlJc w:val="left"/>
      <w:rPr>
        <w:rFonts w:hint="eastAsia"/>
      </w:rPr>
    </w:lvl>
  </w:abstractNum>
  <w:abstractNum w:abstractNumId="1">
    <w:nsid w:val="3D1EA74D"/>
    <w:multiLevelType w:val="singleLevel"/>
    <w:tmpl w:val="3D1EA74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3512C"/>
    <w:rsid w:val="05697F0F"/>
    <w:rsid w:val="0795448D"/>
    <w:rsid w:val="081D0B44"/>
    <w:rsid w:val="0C194AC6"/>
    <w:rsid w:val="18B83DE7"/>
    <w:rsid w:val="1D3126C6"/>
    <w:rsid w:val="1E9858FF"/>
    <w:rsid w:val="231A33F6"/>
    <w:rsid w:val="2E882B2E"/>
    <w:rsid w:val="2F87454E"/>
    <w:rsid w:val="33555E79"/>
    <w:rsid w:val="453D3559"/>
    <w:rsid w:val="50156B3D"/>
    <w:rsid w:val="51AA5DF4"/>
    <w:rsid w:val="52B43E79"/>
    <w:rsid w:val="5B585F27"/>
    <w:rsid w:val="5FBC5A04"/>
    <w:rsid w:val="62372D6F"/>
    <w:rsid w:val="6C8F6A96"/>
    <w:rsid w:val="6EB90F22"/>
    <w:rsid w:val="78853B0B"/>
    <w:rsid w:val="7A523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cp:lastModifiedBy>
  <cp:lastPrinted>2021-08-23T09:02:00Z</cp:lastPrinted>
  <dcterms:modified xsi:type="dcterms:W3CDTF">2021-08-27T01:47:02Z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B4ED834C8A1746698277D7E3D5EE5A66</vt:lpwstr>
  </property>
</Properties>
</file>