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中方</w:t>
      </w:r>
      <w:r>
        <w:rPr>
          <w:rFonts w:hint="eastAsia" w:ascii="方正小标宋_GBK" w:hAnsi="宋体" w:eastAsia="方正小标宋_GBK"/>
          <w:sz w:val="44"/>
          <w:szCs w:val="44"/>
        </w:rPr>
        <w:t>县</w:t>
      </w:r>
      <w:r>
        <w:rPr>
          <w:rFonts w:hint="eastAsia" w:ascii="方正小标宋_GBK" w:hAnsi="宋体" w:eastAsia="方正小标宋_GBK"/>
          <w:sz w:val="44"/>
          <w:szCs w:val="44"/>
          <w:lang w:eastAsia="zh-CN"/>
        </w:rPr>
        <w:t>城市基础设施投资中心</w:t>
      </w:r>
    </w:p>
    <w:p>
      <w:pPr>
        <w:spacing w:line="56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w:t>
      </w:r>
      <w:r>
        <w:rPr>
          <w:rFonts w:hint="eastAsia" w:ascii="方正小标宋_GBK" w:hAnsi="宋体" w:eastAsia="方正小标宋_GBK" w:cs="Times New Roman"/>
          <w:sz w:val="44"/>
          <w:szCs w:val="44"/>
        </w:rPr>
        <w:t>0</w:t>
      </w:r>
      <w:r>
        <w:rPr>
          <w:rFonts w:hint="eastAsia" w:ascii="方正小标宋_GBK" w:hAnsi="宋体" w:eastAsia="方正小标宋_GBK"/>
          <w:sz w:val="44"/>
          <w:szCs w:val="44"/>
        </w:rPr>
        <w:t>年</w:t>
      </w:r>
      <w:r>
        <w:rPr>
          <w:rFonts w:hint="eastAsia" w:ascii="方正小标宋_GBK" w:hAnsi="宋体" w:eastAsia="方正小标宋_GBK"/>
          <w:sz w:val="44"/>
          <w:szCs w:val="44"/>
          <w:lang w:eastAsia="zh-CN"/>
        </w:rPr>
        <w:t>污水管网</w:t>
      </w:r>
      <w:r>
        <w:rPr>
          <w:rFonts w:hint="eastAsia" w:ascii="方正小标宋_GBK" w:hAnsi="宋体" w:eastAsia="方正小标宋_GBK"/>
          <w:sz w:val="44"/>
          <w:szCs w:val="44"/>
          <w:lang w:val="en-US" w:eastAsia="zh-CN"/>
        </w:rPr>
        <w:t>建设</w:t>
      </w:r>
      <w:r>
        <w:rPr>
          <w:rFonts w:hint="eastAsia" w:ascii="方正小标宋_GBK" w:hAnsi="宋体" w:eastAsia="方正小标宋_GBK"/>
          <w:sz w:val="44"/>
          <w:szCs w:val="44"/>
        </w:rPr>
        <w:t>资金</w:t>
      </w:r>
    </w:p>
    <w:p>
      <w:pPr>
        <w:spacing w:line="56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绩效自评报告</w:t>
      </w:r>
    </w:p>
    <w:p>
      <w:pPr>
        <w:spacing w:line="500" w:lineRule="exact"/>
        <w:ind w:firstLine="720" w:firstLineChars="225"/>
        <w:rPr>
          <w:rFonts w:hint="eastAsia" w:ascii="黑体" w:hAnsi="黑体" w:eastAsia="黑体"/>
          <w:sz w:val="32"/>
          <w:szCs w:val="32"/>
        </w:rPr>
      </w:pPr>
    </w:p>
    <w:p>
      <w:pPr>
        <w:spacing w:line="500" w:lineRule="exact"/>
        <w:ind w:firstLine="720" w:firstLineChars="225"/>
        <w:rPr>
          <w:rFonts w:hint="eastAsia" w:ascii="黑体" w:hAnsi="黑体" w:eastAsia="黑体"/>
          <w:sz w:val="32"/>
          <w:szCs w:val="32"/>
        </w:rPr>
      </w:pPr>
      <w:r>
        <w:rPr>
          <w:rFonts w:hint="eastAsia" w:ascii="黑体" w:hAnsi="黑体" w:eastAsia="黑体"/>
          <w:sz w:val="32"/>
          <w:szCs w:val="32"/>
        </w:rPr>
        <w:t>一、 项目基本概况</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 xml:space="preserve">（一）项目概况 </w:t>
      </w:r>
    </w:p>
    <w:p>
      <w:pPr>
        <w:spacing w:line="500" w:lineRule="exact"/>
        <w:ind w:firstLine="720" w:firstLineChars="225"/>
        <w:rPr>
          <w:rFonts w:hint="eastAsia" w:ascii="仿宋" w:hAnsi="仿宋" w:eastAsia="仿宋"/>
          <w:sz w:val="32"/>
          <w:szCs w:val="32"/>
          <w:lang w:eastAsia="zh-CN"/>
        </w:rPr>
      </w:pPr>
      <w:r>
        <w:rPr>
          <w:rFonts w:hint="eastAsia" w:ascii="仿宋" w:hAnsi="仿宋" w:eastAsia="仿宋"/>
          <w:sz w:val="32"/>
          <w:szCs w:val="32"/>
          <w:lang w:val="en-US" w:eastAsia="zh-CN"/>
        </w:rPr>
        <w:t>该项目由中方县城市投资集团有限公司建设，总投资金额为：5383万元，改造污水管网总长：43000米，2017年4月开始施工，2020年12月完工。</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（二）项目绩效目标</w:t>
      </w:r>
    </w:p>
    <w:p>
      <w:pPr>
        <w:spacing w:line="500" w:lineRule="exact"/>
        <w:ind w:firstLine="720" w:firstLineChars="225"/>
        <w:rPr>
          <w:rFonts w:hint="eastAsia" w:ascii="仿宋" w:hAnsi="仿宋" w:eastAsia="仿宋"/>
          <w:sz w:val="32"/>
          <w:szCs w:val="32"/>
          <w:lang w:val="en-US" w:eastAsia="zh-CN"/>
        </w:rPr>
      </w:pPr>
      <w:r>
        <w:rPr>
          <w:rFonts w:hint="eastAsia" w:ascii="仿宋" w:hAnsi="仿宋" w:eastAsia="仿宋"/>
          <w:sz w:val="32"/>
          <w:szCs w:val="32"/>
          <w:lang w:val="en-US" w:eastAsia="zh-CN"/>
        </w:rPr>
        <w:t>完善县城功能、提升县城品位，改善居民生活环境、提升群众生活幸福指数，满足群众美好生活的需要。</w:t>
      </w:r>
    </w:p>
    <w:p>
      <w:pPr>
        <w:spacing w:line="500" w:lineRule="exact"/>
        <w:ind w:firstLine="720" w:firstLineChars="225"/>
        <w:rPr>
          <w:rFonts w:hint="eastAsia" w:ascii="黑体" w:hAnsi="黑体" w:eastAsia="黑体"/>
          <w:sz w:val="32"/>
          <w:szCs w:val="32"/>
        </w:rPr>
      </w:pPr>
      <w:r>
        <w:rPr>
          <w:rFonts w:hint="eastAsia" w:ascii="黑体" w:hAnsi="黑体" w:eastAsia="黑体"/>
          <w:sz w:val="32"/>
          <w:szCs w:val="32"/>
        </w:rPr>
        <w:t>二、绩效评价指标分析情况</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（一）项目资金情况分析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1.项目资金到位情况分析</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该项目年初预算为</w:t>
      </w:r>
      <w:r>
        <w:rPr>
          <w:rFonts w:hint="eastAsia" w:ascii="仿宋" w:hAnsi="仿宋" w:eastAsia="仿宋"/>
          <w:sz w:val="32"/>
          <w:szCs w:val="32"/>
          <w:lang w:val="en-US" w:eastAsia="zh-CN"/>
        </w:rPr>
        <w:t>0</w:t>
      </w:r>
      <w:r>
        <w:rPr>
          <w:rFonts w:hint="eastAsia" w:ascii="仿宋" w:hAnsi="仿宋" w:eastAsia="仿宋"/>
          <w:sz w:val="32"/>
          <w:szCs w:val="32"/>
        </w:rPr>
        <w:t>万元，决算为</w:t>
      </w:r>
      <w:r>
        <w:rPr>
          <w:rFonts w:hint="eastAsia" w:ascii="仿宋" w:hAnsi="仿宋" w:eastAsia="仿宋"/>
          <w:sz w:val="32"/>
          <w:szCs w:val="32"/>
          <w:lang w:val="en-US" w:eastAsia="zh-CN"/>
        </w:rPr>
        <w:t>5074.87</w:t>
      </w:r>
      <w:r>
        <w:rPr>
          <w:rFonts w:hint="eastAsia" w:ascii="仿宋" w:hAnsi="仿宋" w:eastAsia="仿宋"/>
          <w:sz w:val="32"/>
          <w:szCs w:val="32"/>
        </w:rPr>
        <w:t>万元，该专项资金按照</w:t>
      </w:r>
      <w:r>
        <w:rPr>
          <w:rFonts w:hint="eastAsia" w:ascii="仿宋" w:hAnsi="仿宋" w:eastAsia="仿宋"/>
          <w:sz w:val="32"/>
          <w:szCs w:val="32"/>
          <w:lang w:eastAsia="zh-CN"/>
        </w:rPr>
        <w:t>工程进度</w:t>
      </w:r>
      <w:r>
        <w:rPr>
          <w:rFonts w:hint="eastAsia" w:ascii="仿宋" w:hAnsi="仿宋" w:eastAsia="仿宋"/>
          <w:sz w:val="32"/>
          <w:szCs w:val="32"/>
        </w:rPr>
        <w:t>要求安排，拨付按需求进度进行，到年底资金已全部</w:t>
      </w:r>
      <w:r>
        <w:rPr>
          <w:rFonts w:hint="eastAsia" w:ascii="仿宋" w:hAnsi="仿宋" w:eastAsia="仿宋"/>
          <w:sz w:val="32"/>
          <w:szCs w:val="32"/>
          <w:lang w:eastAsia="zh-CN"/>
        </w:rPr>
        <w:t>支付</w:t>
      </w:r>
      <w:r>
        <w:rPr>
          <w:rFonts w:hint="eastAsia" w:ascii="仿宋" w:hAnsi="仿宋" w:eastAsia="仿宋"/>
          <w:sz w:val="32"/>
          <w:szCs w:val="32"/>
        </w:rPr>
        <w:t>。</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2.项目资金使用情况分析</w:t>
      </w:r>
    </w:p>
    <w:p>
      <w:pPr>
        <w:spacing w:line="500" w:lineRule="exact"/>
        <w:ind w:firstLine="720" w:firstLineChars="225"/>
        <w:rPr>
          <w:rFonts w:hint="default" w:ascii="仿宋" w:hAnsi="仿宋" w:eastAsia="仿宋"/>
          <w:sz w:val="32"/>
          <w:szCs w:val="32"/>
          <w:lang w:val="en-US" w:eastAsia="zh-CN"/>
        </w:rPr>
      </w:pPr>
      <w:r>
        <w:rPr>
          <w:rFonts w:hint="eastAsia" w:ascii="仿宋" w:hAnsi="仿宋" w:eastAsia="仿宋"/>
          <w:sz w:val="32"/>
          <w:szCs w:val="32"/>
        </w:rPr>
        <w:t>2020年，上级下达我</w:t>
      </w:r>
      <w:r>
        <w:rPr>
          <w:rFonts w:hint="eastAsia" w:ascii="仿宋" w:hAnsi="仿宋" w:eastAsia="仿宋"/>
          <w:sz w:val="32"/>
          <w:szCs w:val="32"/>
          <w:lang w:val="en-US" w:eastAsia="zh-CN"/>
        </w:rPr>
        <w:t>县污水管网工程建设</w:t>
      </w:r>
      <w:r>
        <w:rPr>
          <w:rFonts w:hint="eastAsia" w:ascii="仿宋" w:hAnsi="仿宋" w:eastAsia="仿宋"/>
          <w:sz w:val="32"/>
          <w:szCs w:val="32"/>
          <w:lang w:eastAsia="zh-CN"/>
        </w:rPr>
        <w:t>资金</w:t>
      </w:r>
      <w:r>
        <w:rPr>
          <w:rFonts w:hint="eastAsia" w:ascii="仿宋" w:hAnsi="仿宋" w:eastAsia="仿宋"/>
          <w:sz w:val="32"/>
          <w:szCs w:val="32"/>
          <w:lang w:val="en-US" w:eastAsia="zh-CN"/>
        </w:rPr>
        <w:t>5074.87万元，该资金全部用于该建设项目。</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3.项目资金管理情况分析</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该项目所有资金实行专款专用。项目支出均有相关的授权审批，资金拨付严格审批程序，使用规范，会计核算结果真实、准确。项目单位建立健全项目实施预算方案、财务管理制度和会计核算制度，此次绩效评价过程中未发现有截留、挤占或挪用项目资金的情况。</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（二）项目实施情况分析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1.项目组织情况分析</w:t>
      </w:r>
    </w:p>
    <w:p>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该项目目标设定依据充分、明确、合理，项目建设符合省委、省政府相关规定。项目实施过程中，遵循先考察、调研，再根据湖南的实际情况制定相应的措施。项目的考察、调研回来后都要经过反复论证，再出台调研报告。实现了项目管理与过程管理的有机结合。</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2.项目管理情况分析</w:t>
      </w:r>
    </w:p>
    <w:p>
      <w:pPr>
        <w:spacing w:line="500" w:lineRule="exact"/>
        <w:ind w:firstLine="720" w:firstLineChars="225"/>
        <w:rPr>
          <w:rFonts w:ascii="仿宋" w:hAnsi="仿宋" w:eastAsia="仿宋"/>
          <w:sz w:val="32"/>
          <w:szCs w:val="32"/>
        </w:rPr>
      </w:pPr>
      <w:r>
        <w:rPr>
          <w:rFonts w:hint="eastAsia" w:ascii="仿宋" w:hAnsi="仿宋" w:eastAsia="仿宋"/>
          <w:sz w:val="32"/>
          <w:szCs w:val="32"/>
        </w:rPr>
        <w:t>一是</w:t>
      </w:r>
      <w:r>
        <w:rPr>
          <w:rFonts w:hint="eastAsia" w:ascii="仿宋" w:hAnsi="仿宋" w:eastAsia="仿宋"/>
          <w:color w:val="000000"/>
          <w:sz w:val="32"/>
          <w:szCs w:val="32"/>
        </w:rPr>
        <w:t>严格监管。</w:t>
      </w:r>
      <w:r>
        <w:rPr>
          <w:rFonts w:hint="eastAsia" w:ascii="仿宋" w:hAnsi="仿宋" w:eastAsia="仿宋"/>
          <w:sz w:val="32"/>
          <w:szCs w:val="32"/>
        </w:rPr>
        <w:t>建立健全项目管理制度，实行建设项目台帐管理，做到有目的、有计划、有内容、有效果。二是认真落实。项目采取全过程监管，做到公开、公正、公平。</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（三）项目绩效情况分析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1.项目的经济性分析</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本项目2020年投入</w:t>
      </w:r>
      <w:r>
        <w:rPr>
          <w:rFonts w:hint="eastAsia" w:ascii="仿宋" w:hAnsi="仿宋" w:eastAsia="仿宋"/>
          <w:sz w:val="32"/>
          <w:szCs w:val="32"/>
          <w:lang w:val="en-US" w:eastAsia="zh-CN"/>
        </w:rPr>
        <w:t>5074.87</w:t>
      </w:r>
      <w:r>
        <w:rPr>
          <w:rFonts w:hint="eastAsia" w:ascii="仿宋" w:hAnsi="仿宋" w:eastAsia="仿宋"/>
          <w:sz w:val="32"/>
          <w:szCs w:val="32"/>
        </w:rPr>
        <w:t>万元，全部用于我县</w:t>
      </w:r>
      <w:r>
        <w:rPr>
          <w:rFonts w:hint="eastAsia" w:ascii="仿宋" w:hAnsi="仿宋" w:eastAsia="仿宋"/>
          <w:sz w:val="32"/>
          <w:szCs w:val="32"/>
          <w:lang w:val="en-US" w:eastAsia="zh-CN"/>
        </w:rPr>
        <w:t>污水管网工程</w:t>
      </w:r>
      <w:r>
        <w:rPr>
          <w:rFonts w:hint="eastAsia" w:ascii="仿宋" w:hAnsi="仿宋" w:eastAsia="仿宋" w:cs="Times New Roman"/>
          <w:sz w:val="32"/>
          <w:szCs w:val="32"/>
          <w:lang w:val="en-US" w:eastAsia="zh-CN"/>
        </w:rPr>
        <w:t>建设</w:t>
      </w:r>
      <w:r>
        <w:rPr>
          <w:rFonts w:hint="eastAsia" w:ascii="仿宋" w:hAnsi="仿宋" w:eastAsia="仿宋"/>
          <w:sz w:val="32"/>
          <w:szCs w:val="32"/>
        </w:rPr>
        <w:t>支出。在安排资金计划时，我们充分运用现代科学的规划、设计手法，结合项目实际状况，进行合理布局建设，以保障</w:t>
      </w:r>
      <w:r>
        <w:rPr>
          <w:rFonts w:hint="eastAsia" w:ascii="仿宋" w:hAnsi="仿宋" w:eastAsia="仿宋"/>
          <w:sz w:val="32"/>
          <w:szCs w:val="32"/>
          <w:lang w:eastAsia="zh-CN"/>
        </w:rPr>
        <w:t>居民生活条件</w:t>
      </w:r>
      <w:r>
        <w:rPr>
          <w:rFonts w:hint="eastAsia" w:ascii="仿宋" w:hAnsi="仿宋" w:eastAsia="仿宋"/>
          <w:sz w:val="32"/>
          <w:szCs w:val="32"/>
        </w:rPr>
        <w:t>作为根本宗旨和最终目的的同时，最大限度的减少项目预算成本，并通过成本比较的方式，对项目成本进行控制，有效节约了成本。</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2.项目的效率性分析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（1）项目实施进度</w:t>
      </w:r>
    </w:p>
    <w:p>
      <w:pPr>
        <w:spacing w:line="500" w:lineRule="exact"/>
        <w:ind w:firstLine="720" w:firstLineChars="225"/>
        <w:rPr>
          <w:rFonts w:hint="eastAsia" w:ascii="仿宋" w:hAnsi="仿宋" w:eastAsia="仿宋"/>
          <w:sz w:val="32"/>
          <w:szCs w:val="32"/>
          <w:highlight w:val="none"/>
        </w:rPr>
      </w:pPr>
      <w:r>
        <w:rPr>
          <w:rFonts w:hint="eastAsia" w:ascii="仿宋" w:hAnsi="仿宋" w:eastAsia="仿宋"/>
          <w:sz w:val="32"/>
          <w:szCs w:val="32"/>
          <w:highlight w:val="none"/>
        </w:rPr>
        <w:t>该项目是按照工程的需求逐步进行，到2020年底已完成了全部工程。</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（2）项目完成质量</w:t>
      </w:r>
    </w:p>
    <w:p>
      <w:pPr>
        <w:spacing w:line="500" w:lineRule="exact"/>
        <w:ind w:firstLine="720" w:firstLineChars="225"/>
        <w:rPr>
          <w:rFonts w:hint="eastAsia" w:ascii="仿宋" w:hAnsi="仿宋" w:eastAsia="仿宋"/>
          <w:color w:val="auto"/>
          <w:sz w:val="32"/>
          <w:szCs w:val="32"/>
          <w:highlight w:val="none"/>
        </w:rPr>
      </w:pPr>
      <w:r>
        <w:rPr>
          <w:rFonts w:hint="eastAsia" w:ascii="仿宋" w:hAnsi="仿宋" w:eastAsia="仿宋"/>
          <w:color w:val="auto"/>
          <w:sz w:val="32"/>
          <w:szCs w:val="32"/>
          <w:highlight w:val="none"/>
        </w:rPr>
        <w:t>项目计划落实后，积极组织实施，进度快，项目质量好。</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3.项目的效益性分析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（1）</w:t>
      </w:r>
      <w:bookmarkStart w:id="0" w:name="OLE_LINK3"/>
      <w:r>
        <w:rPr>
          <w:rFonts w:hint="eastAsia" w:ascii="仿宋" w:hAnsi="仿宋" w:eastAsia="仿宋"/>
          <w:b/>
          <w:sz w:val="32"/>
          <w:szCs w:val="32"/>
        </w:rPr>
        <w:t>项目预期目标完成程度</w:t>
      </w:r>
      <w:bookmarkEnd w:id="0"/>
    </w:p>
    <w:p>
      <w:pPr>
        <w:spacing w:line="500" w:lineRule="exact"/>
        <w:ind w:firstLine="720" w:firstLineChars="225"/>
        <w:rPr>
          <w:rFonts w:hint="eastAsia" w:ascii="仿宋" w:hAnsi="仿宋" w:eastAsia="仿宋"/>
          <w:color w:val="auto"/>
          <w:sz w:val="32"/>
          <w:szCs w:val="32"/>
          <w:highlight w:val="none"/>
        </w:rPr>
      </w:pPr>
      <w:r>
        <w:rPr>
          <w:rFonts w:hint="eastAsia" w:ascii="仿宋" w:hAnsi="仿宋" w:eastAsia="仿宋"/>
          <w:color w:val="auto"/>
          <w:sz w:val="32"/>
          <w:szCs w:val="32"/>
          <w:highlight w:val="none"/>
        </w:rPr>
        <w:t>该项目涉及的</w:t>
      </w:r>
      <w:r>
        <w:rPr>
          <w:rFonts w:hint="eastAsia" w:ascii="仿宋" w:hAnsi="仿宋" w:eastAsia="仿宋"/>
          <w:sz w:val="32"/>
          <w:szCs w:val="32"/>
          <w:lang w:val="en-US" w:eastAsia="zh-CN"/>
        </w:rPr>
        <w:t>污水管网工程建设</w:t>
      </w:r>
      <w:r>
        <w:rPr>
          <w:rFonts w:hint="eastAsia" w:ascii="仿宋" w:hAnsi="仿宋" w:eastAsia="仿宋"/>
          <w:color w:val="auto"/>
          <w:sz w:val="32"/>
          <w:szCs w:val="32"/>
          <w:highlight w:val="none"/>
        </w:rPr>
        <w:t>已顺利通过验收，并已投入使用，预期目标已完成。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（2）</w:t>
      </w:r>
      <w:bookmarkStart w:id="1" w:name="OLE_LINK2"/>
      <w:r>
        <w:rPr>
          <w:rFonts w:hint="eastAsia" w:ascii="仿宋" w:hAnsi="仿宋" w:eastAsia="仿宋"/>
          <w:b/>
          <w:sz w:val="32"/>
          <w:szCs w:val="32"/>
        </w:rPr>
        <w:t>项目实施对经济和社会的影响</w:t>
      </w:r>
      <w:bookmarkEnd w:id="1"/>
    </w:p>
    <w:p>
      <w:pPr>
        <w:spacing w:line="500" w:lineRule="exact"/>
        <w:ind w:firstLine="720" w:firstLineChars="225"/>
        <w:rPr>
          <w:rFonts w:hint="eastAsia" w:ascii="仿宋" w:hAnsi="仿宋" w:eastAsia="仿宋"/>
          <w:color w:val="auto"/>
          <w:sz w:val="32"/>
          <w:szCs w:val="32"/>
          <w:highlight w:val="none"/>
        </w:rPr>
      </w:pPr>
      <w:r>
        <w:rPr>
          <w:rFonts w:hint="eastAsia" w:ascii="仿宋" w:hAnsi="仿宋" w:eastAsia="仿宋"/>
          <w:sz w:val="32"/>
          <w:szCs w:val="32"/>
        </w:rPr>
        <w:t>该项目实施后，不仅保障了各项政策贯彻落实和各项资金的有效使用，提高了财政资金的安全高效性，</w:t>
      </w:r>
      <w:r>
        <w:rPr>
          <w:rFonts w:hint="eastAsia" w:ascii="仿宋" w:hAnsi="仿宋" w:eastAsia="仿宋"/>
          <w:color w:val="auto"/>
          <w:sz w:val="32"/>
          <w:szCs w:val="32"/>
          <w:highlight w:val="none"/>
        </w:rPr>
        <w:t>随着经济的发展，</w:t>
      </w:r>
      <w:r>
        <w:rPr>
          <w:rFonts w:hint="eastAsia" w:ascii="仿宋" w:hAnsi="仿宋" w:eastAsia="仿宋"/>
          <w:color w:val="auto"/>
          <w:sz w:val="32"/>
          <w:szCs w:val="32"/>
          <w:highlight w:val="none"/>
          <w:lang w:eastAsia="zh-CN"/>
        </w:rPr>
        <w:t>居民</w:t>
      </w:r>
      <w:r>
        <w:rPr>
          <w:rFonts w:hint="eastAsia" w:ascii="仿宋" w:hAnsi="仿宋" w:eastAsia="仿宋"/>
          <w:color w:val="auto"/>
          <w:sz w:val="32"/>
          <w:szCs w:val="32"/>
          <w:highlight w:val="none"/>
        </w:rPr>
        <w:t>生活水平的提高，日均污水排放量增加，大量污水的无序排放，污染地表水及地下水</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严重影响居住环境。污水管网主要收集日常生活产生的杂用污水，统一排至污水处理设施，从源头控制了污水的排放，从而改善生态环境，保证</w:t>
      </w:r>
      <w:r>
        <w:rPr>
          <w:rFonts w:hint="eastAsia" w:ascii="仿宋" w:hAnsi="仿宋" w:eastAsia="仿宋"/>
          <w:color w:val="auto"/>
          <w:sz w:val="32"/>
          <w:szCs w:val="32"/>
          <w:highlight w:val="none"/>
          <w:lang w:eastAsia="zh-CN"/>
        </w:rPr>
        <w:t>居民</w:t>
      </w:r>
      <w:r>
        <w:rPr>
          <w:rFonts w:hint="eastAsia" w:ascii="仿宋" w:hAnsi="仿宋" w:eastAsia="仿宋"/>
          <w:color w:val="auto"/>
          <w:sz w:val="32"/>
          <w:szCs w:val="32"/>
          <w:highlight w:val="none"/>
        </w:rPr>
        <w:t>的居住环境与生活质量。</w:t>
      </w:r>
    </w:p>
    <w:p>
      <w:pPr>
        <w:spacing w:line="500" w:lineRule="exact"/>
        <w:ind w:firstLine="720" w:firstLineChars="225"/>
        <w:rPr>
          <w:rFonts w:hint="eastAsia" w:ascii="黑体" w:hAnsi="黑体" w:eastAsia="黑体"/>
          <w:sz w:val="32"/>
          <w:szCs w:val="32"/>
        </w:rPr>
      </w:pPr>
      <w:r>
        <w:rPr>
          <w:rFonts w:hint="eastAsia" w:ascii="黑体" w:hAnsi="黑体" w:eastAsia="黑体"/>
          <w:sz w:val="32"/>
          <w:szCs w:val="32"/>
        </w:rPr>
        <w:t>三、项目后续工作计划</w:t>
      </w:r>
    </w:p>
    <w:p>
      <w:pPr>
        <w:spacing w:line="500" w:lineRule="exact"/>
        <w:ind w:firstLine="720" w:firstLineChars="225"/>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在充分利用现有污水管网的基础上结合地形情况,改造和规划建成区污水排水系统,杜绝污水外溢,最大程度减少污水对</w:t>
      </w:r>
      <w:r>
        <w:rPr>
          <w:rFonts w:hint="eastAsia" w:ascii="仿宋" w:hAnsi="仿宋" w:eastAsia="仿宋"/>
          <w:color w:val="auto"/>
          <w:sz w:val="32"/>
          <w:szCs w:val="32"/>
          <w:highlight w:val="none"/>
          <w:lang w:eastAsia="zh-CN"/>
        </w:rPr>
        <w:t>县城</w:t>
      </w:r>
      <w:r>
        <w:rPr>
          <w:rFonts w:hint="eastAsia" w:ascii="仿宋" w:hAnsi="仿宋" w:eastAsia="仿宋"/>
          <w:color w:val="auto"/>
          <w:sz w:val="32"/>
          <w:szCs w:val="32"/>
          <w:highlight w:val="none"/>
        </w:rPr>
        <w:t>环境的污染.实行污水治理,改善</w:t>
      </w:r>
      <w:r>
        <w:rPr>
          <w:rFonts w:hint="eastAsia" w:ascii="仿宋" w:hAnsi="仿宋" w:eastAsia="仿宋"/>
          <w:color w:val="auto"/>
          <w:sz w:val="32"/>
          <w:szCs w:val="32"/>
          <w:highlight w:val="none"/>
          <w:lang w:eastAsia="zh-CN"/>
        </w:rPr>
        <w:t>县城</w:t>
      </w:r>
      <w:r>
        <w:rPr>
          <w:rFonts w:hint="eastAsia" w:ascii="仿宋" w:hAnsi="仿宋" w:eastAsia="仿宋"/>
          <w:color w:val="auto"/>
          <w:sz w:val="32"/>
          <w:szCs w:val="32"/>
          <w:highlight w:val="none"/>
        </w:rPr>
        <w:t>河流的水体质量,达到经济效益、社会效益和环境效益的统一</w:t>
      </w:r>
      <w:r>
        <w:rPr>
          <w:rFonts w:hint="eastAsia" w:ascii="仿宋" w:hAnsi="仿宋" w:eastAsia="仿宋"/>
          <w:color w:val="auto"/>
          <w:sz w:val="32"/>
          <w:szCs w:val="32"/>
          <w:highlight w:val="none"/>
          <w:lang w:eastAsia="zh-CN"/>
        </w:rPr>
        <w:t>。</w:t>
      </w:r>
    </w:p>
    <w:p>
      <w:pPr>
        <w:spacing w:line="500" w:lineRule="exact"/>
        <w:ind w:firstLine="720" w:firstLineChars="225"/>
        <w:rPr>
          <w:rFonts w:hint="eastAsia" w:ascii="黑体" w:hAnsi="黑体" w:eastAsia="黑体"/>
          <w:sz w:val="32"/>
          <w:szCs w:val="32"/>
        </w:rPr>
      </w:pPr>
      <w:r>
        <w:rPr>
          <w:rFonts w:hint="eastAsia" w:ascii="黑体" w:hAnsi="黑体" w:eastAsia="黑体"/>
          <w:sz w:val="32"/>
          <w:szCs w:val="32"/>
        </w:rPr>
        <w:t>四、评价情况及评价结论</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该项目从可持续发展角度而言，整体发挥的社会效益明显，污水管网工程建设对社会经济效益有重大影响，是城市基础设施项目，其效益主要表现为社会效益。可减少各工业企业分散进行污水处理所增加的投资和运行管理费，减轻企业负担。完善生态保护后可为</w:t>
      </w:r>
      <w:r>
        <w:rPr>
          <w:rFonts w:hint="eastAsia" w:ascii="仿宋" w:hAnsi="仿宋" w:eastAsia="仿宋"/>
          <w:sz w:val="32"/>
          <w:szCs w:val="32"/>
          <w:lang w:eastAsia="zh-CN"/>
        </w:rPr>
        <w:t>县城</w:t>
      </w:r>
      <w:r>
        <w:rPr>
          <w:rFonts w:hint="eastAsia" w:ascii="仿宋" w:hAnsi="仿宋" w:eastAsia="仿宋"/>
          <w:sz w:val="32"/>
          <w:szCs w:val="32"/>
        </w:rPr>
        <w:t>居民创造清洁适宜的生活和工作环境，保护人民身体健康，保护自然风景，促进旅游业发展，可改善投资环境，有利于对外开放，维护社会稳定和促进国民经济持续、稳定、健康的发展。</w:t>
      </w:r>
    </w:p>
    <w:p>
      <w:pPr>
        <w:spacing w:line="500" w:lineRule="exact"/>
        <w:ind w:firstLine="720" w:firstLineChars="225"/>
        <w:rPr>
          <w:rFonts w:hint="eastAsia" w:ascii="黑体" w:hAnsi="黑体" w:eastAsia="黑体"/>
          <w:sz w:val="32"/>
          <w:szCs w:val="32"/>
        </w:rPr>
      </w:pPr>
      <w:r>
        <w:rPr>
          <w:rFonts w:hint="eastAsia" w:ascii="黑体" w:hAnsi="黑体" w:eastAsia="黑体"/>
          <w:sz w:val="32"/>
          <w:szCs w:val="32"/>
        </w:rPr>
        <w:t>五、主要经验做法、存在问题、改进措施和建议</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（一）主要经验做法</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为使项目资金发挥实效，进一步提高基础设施建设质量，我</w:t>
      </w:r>
      <w:r>
        <w:rPr>
          <w:rFonts w:hint="eastAsia" w:ascii="仿宋" w:hAnsi="仿宋" w:eastAsia="仿宋"/>
          <w:sz w:val="32"/>
          <w:szCs w:val="32"/>
          <w:lang w:eastAsia="zh-CN"/>
        </w:rPr>
        <w:t>公司</w:t>
      </w:r>
      <w:r>
        <w:rPr>
          <w:rFonts w:hint="eastAsia" w:ascii="仿宋" w:hAnsi="仿宋" w:eastAsia="仿宋"/>
          <w:sz w:val="32"/>
          <w:szCs w:val="32"/>
        </w:rPr>
        <w:t>严格按照绩效目标的要求，在每个建设项目和环节实行专人负责，做到职责分明，任务明确。从经费使用和分配、到工程质量，实行全程监控，做到公开透明，阳光操作，优质高效的完成各项建设任务。</w:t>
      </w:r>
      <w:bookmarkStart w:id="2" w:name="_GoBack"/>
      <w:bookmarkEnd w:id="2"/>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（二）存在问题</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雨污合流、污水无序自排的情况仍然存在，</w:t>
      </w:r>
      <w:r>
        <w:rPr>
          <w:rFonts w:hint="eastAsia" w:ascii="仿宋" w:hAnsi="仿宋" w:eastAsia="仿宋"/>
          <w:sz w:val="32"/>
          <w:szCs w:val="32"/>
          <w:lang w:eastAsia="zh-CN"/>
        </w:rPr>
        <w:t>污水流入河道，</w:t>
      </w:r>
      <w:r>
        <w:rPr>
          <w:rFonts w:hint="eastAsia" w:ascii="仿宋" w:hAnsi="仿宋" w:eastAsia="仿宋"/>
          <w:sz w:val="32"/>
          <w:szCs w:val="32"/>
        </w:rPr>
        <w:t>对水体造成污染</w:t>
      </w:r>
      <w:r>
        <w:rPr>
          <w:rFonts w:hint="eastAsia" w:ascii="仿宋" w:hAnsi="仿宋" w:eastAsia="仿宋"/>
          <w:sz w:val="32"/>
          <w:szCs w:val="32"/>
          <w:lang w:eastAsia="zh-CN"/>
        </w:rPr>
        <w:t>，</w:t>
      </w:r>
      <w:r>
        <w:rPr>
          <w:rFonts w:hint="eastAsia" w:ascii="仿宋" w:hAnsi="仿宋" w:eastAsia="仿宋"/>
          <w:sz w:val="32"/>
          <w:szCs w:val="32"/>
        </w:rPr>
        <w:t>对</w:t>
      </w:r>
      <w:r>
        <w:rPr>
          <w:rFonts w:hint="eastAsia" w:ascii="仿宋" w:hAnsi="仿宋" w:eastAsia="仿宋"/>
          <w:sz w:val="32"/>
          <w:szCs w:val="32"/>
          <w:lang w:eastAsia="zh-CN"/>
        </w:rPr>
        <w:t>环境</w:t>
      </w:r>
      <w:r>
        <w:rPr>
          <w:rFonts w:hint="eastAsia" w:ascii="仿宋" w:hAnsi="仿宋" w:eastAsia="仿宋"/>
          <w:sz w:val="32"/>
          <w:szCs w:val="32"/>
        </w:rPr>
        <w:t>污染极大</w:t>
      </w:r>
      <w:r>
        <w:rPr>
          <w:rFonts w:hint="eastAsia" w:ascii="仿宋" w:hAnsi="仿宋" w:eastAsia="仿宋"/>
          <w:sz w:val="32"/>
          <w:szCs w:val="32"/>
          <w:lang w:eastAsia="zh-CN"/>
        </w:rPr>
        <w:t>。</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（三）改进措施</w:t>
      </w:r>
    </w:p>
    <w:p>
      <w:pPr>
        <w:spacing w:line="500" w:lineRule="exact"/>
        <w:ind w:firstLine="720" w:firstLineChars="225"/>
        <w:rPr>
          <w:rFonts w:hint="eastAsia" w:ascii="仿宋" w:hAnsi="仿宋" w:eastAsia="仿宋"/>
          <w:sz w:val="32"/>
          <w:szCs w:val="32"/>
          <w:highlight w:val="none"/>
        </w:rPr>
      </w:pPr>
      <w:r>
        <w:rPr>
          <w:rFonts w:hint="eastAsia" w:ascii="仿宋" w:hAnsi="仿宋" w:eastAsia="仿宋"/>
          <w:sz w:val="32"/>
          <w:szCs w:val="32"/>
          <w:highlight w:val="none"/>
        </w:rPr>
        <w:t>进一步做好项目建设规划，确立系统、科学、严谨的规划方案，并以完善的行政法规加以保障，确保在实际建设过程中发挥应有的指导和规范作用，进而加强污水管网的质量控制，确保污水管网的建设质量。在涉及污水管网改造的规划和建设过程中，结合实际情况衔接现有的排水设施，通过整合使新建的污水管网和旧有的排水设施能达到协调统一，也有助于以后污水管网运行管理工作的开展。</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（四）建议</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争取中央、省级项目资金的投入。</w:t>
      </w: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400" w:lineRule="exact"/>
        <w:rPr>
          <w:rFonts w:hint="eastAsia" w:eastAsia="仿宋_GB2312"/>
          <w:bCs/>
          <w:color w:val="000000"/>
          <w:sz w:val="32"/>
          <w:szCs w:val="32"/>
        </w:rPr>
      </w:pPr>
      <w:r>
        <w:rPr>
          <w:rFonts w:eastAsia="仿宋_GB2312"/>
          <w:bCs/>
          <w:color w:val="000000"/>
          <w:sz w:val="32"/>
          <w:szCs w:val="32"/>
        </w:rPr>
        <w:t>附件</w:t>
      </w:r>
      <w:r>
        <w:rPr>
          <w:rFonts w:hint="eastAsia" w:eastAsia="仿宋_GB2312"/>
          <w:bCs/>
          <w:color w:val="000000"/>
          <w:sz w:val="32"/>
          <w:szCs w:val="32"/>
        </w:rPr>
        <w:t>1</w:t>
      </w:r>
    </w:p>
    <w:tbl>
      <w:tblPr>
        <w:tblStyle w:val="3"/>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929"/>
        <w:gridCol w:w="983"/>
        <w:gridCol w:w="184"/>
        <w:gridCol w:w="400"/>
        <w:gridCol w:w="197"/>
        <w:gridCol w:w="436"/>
        <w:gridCol w:w="415"/>
        <w:gridCol w:w="708"/>
      </w:tblGrid>
      <w:tr>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noWrap w:val="0"/>
            <w:vAlign w:val="center"/>
          </w:tcPr>
          <w:p>
            <w:pPr>
              <w:widowControl/>
              <w:spacing w:line="320" w:lineRule="exact"/>
              <w:jc w:val="center"/>
              <w:rPr>
                <w:b/>
                <w:bCs/>
                <w:kern w:val="0"/>
                <w:sz w:val="32"/>
                <w:szCs w:val="32"/>
              </w:rPr>
            </w:pPr>
            <w:r>
              <w:rPr>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pPr>
              <w:widowControl/>
              <w:jc w:val="center"/>
              <w:rPr>
                <w:kern w:val="0"/>
                <w:sz w:val="22"/>
                <w:szCs w:val="22"/>
              </w:rPr>
            </w:pPr>
            <w:r>
              <w:rPr>
                <w:kern w:val="0"/>
                <w:sz w:val="22"/>
                <w:szCs w:val="22"/>
              </w:rPr>
              <w:t>（</w:t>
            </w:r>
            <w:r>
              <w:rPr>
                <w:rFonts w:hint="eastAsia"/>
                <w:kern w:val="0"/>
                <w:sz w:val="22"/>
                <w:szCs w:val="22"/>
              </w:rPr>
              <w:t>20</w:t>
            </w:r>
            <w:r>
              <w:rPr>
                <w:rFonts w:hint="eastAsia"/>
                <w:kern w:val="0"/>
                <w:sz w:val="22"/>
                <w:szCs w:val="22"/>
                <w:lang w:val="en-US" w:eastAsia="zh-CN"/>
              </w:rPr>
              <w:t>20</w:t>
            </w:r>
            <w:r>
              <w:rPr>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color w:val="000000"/>
                <w:kern w:val="0"/>
                <w:sz w:val="18"/>
                <w:szCs w:val="18"/>
                <w:lang w:val="en-US" w:eastAsia="zh-CN"/>
              </w:rPr>
              <w:t>污水管网工程</w:t>
            </w:r>
            <w:r>
              <w:rPr>
                <w:rFonts w:hint="eastAsia" w:cs="Times New Roman"/>
                <w:kern w:val="0"/>
                <w:sz w:val="18"/>
                <w:szCs w:val="18"/>
                <w:lang w:val="en-US" w:eastAsia="zh-CN"/>
              </w:rPr>
              <w:t>建设</w:t>
            </w:r>
            <w:r>
              <w:rPr>
                <w:rFonts w:hint="eastAsia" w:cs="Times New Roman"/>
                <w:kern w:val="0"/>
                <w:sz w:val="18"/>
                <w:szCs w:val="18"/>
              </w:rPr>
              <w:t>专项资金</w:t>
            </w:r>
          </w:p>
        </w:tc>
      </w:tr>
      <w:tr>
        <w:tblPrEx>
          <w:tblCellMar>
            <w:top w:w="0" w:type="dxa"/>
            <w:left w:w="108" w:type="dxa"/>
            <w:bottom w:w="0" w:type="dxa"/>
            <w:right w:w="108" w:type="dxa"/>
          </w:tblCellMar>
        </w:tblPrEx>
        <w:trPr>
          <w:trHeight w:val="364"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主管部门</w:t>
            </w:r>
          </w:p>
        </w:tc>
        <w:tc>
          <w:tcPr>
            <w:tcW w:w="4189"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eastAsiaTheme="minorEastAsia"/>
                <w:kern w:val="0"/>
                <w:sz w:val="18"/>
                <w:szCs w:val="18"/>
                <w:lang w:eastAsia="zh-CN"/>
              </w:rPr>
            </w:pPr>
            <w:r>
              <w:rPr>
                <w:rFonts w:hint="eastAsia"/>
                <w:kern w:val="0"/>
                <w:sz w:val="18"/>
                <w:szCs w:val="18"/>
              </w:rPr>
              <w:t>中方县</w:t>
            </w:r>
            <w:r>
              <w:rPr>
                <w:rFonts w:hint="eastAsia"/>
                <w:kern w:val="0"/>
                <w:sz w:val="18"/>
                <w:szCs w:val="18"/>
                <w:lang w:eastAsia="zh-CN"/>
              </w:rPr>
              <w:t>发改局</w:t>
            </w:r>
          </w:p>
        </w:tc>
        <w:tc>
          <w:tcPr>
            <w:tcW w:w="11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实施单位</w:t>
            </w:r>
          </w:p>
        </w:tc>
        <w:tc>
          <w:tcPr>
            <w:tcW w:w="215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lang w:eastAsia="zh-CN"/>
              </w:rPr>
              <w:t>城市基础设施投资中心</w:t>
            </w:r>
          </w:p>
        </w:tc>
      </w:tr>
      <w:tr>
        <w:tblPrEx>
          <w:tblCellMar>
            <w:top w:w="0" w:type="dxa"/>
            <w:left w:w="108" w:type="dxa"/>
            <w:bottom w:w="0" w:type="dxa"/>
            <w:right w:w="108" w:type="dxa"/>
          </w:tblCellMar>
        </w:tblPrEx>
        <w:trPr>
          <w:trHeight w:val="43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项目资金</w:t>
            </w:r>
            <w:r>
              <w:rPr>
                <w:kern w:val="0"/>
                <w:sz w:val="18"/>
                <w:szCs w:val="18"/>
              </w:rPr>
              <w:br w:type="textWrapping"/>
            </w:r>
            <w:r>
              <w:rPr>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年初预算数</w:t>
            </w:r>
          </w:p>
        </w:tc>
        <w:tc>
          <w:tcPr>
            <w:tcW w:w="121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全年预算数</w:t>
            </w:r>
            <w:r>
              <w:rPr>
                <w:color w:val="000000"/>
                <w:kern w:val="0"/>
                <w:sz w:val="20"/>
                <w:szCs w:val="20"/>
              </w:rPr>
              <w:t>（A）</w:t>
            </w:r>
          </w:p>
        </w:tc>
        <w:tc>
          <w:tcPr>
            <w:tcW w:w="11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全年执行数</w:t>
            </w:r>
            <w:r>
              <w:rPr>
                <w:color w:val="000000"/>
                <w:kern w:val="0"/>
                <w:sz w:val="20"/>
                <w:szCs w:val="20"/>
              </w:rPr>
              <w:t>（B）</w:t>
            </w:r>
          </w:p>
        </w:tc>
        <w:tc>
          <w:tcPr>
            <w:tcW w:w="59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执行率</w:t>
            </w:r>
            <w:r>
              <w:rPr>
                <w:color w:val="000000"/>
                <w:kern w:val="0"/>
                <w:sz w:val="20"/>
                <w:szCs w:val="20"/>
              </w:rPr>
              <w:t>（B/A)</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kern w:val="0"/>
                <w:sz w:val="18"/>
                <w:szCs w:val="18"/>
              </w:rPr>
            </w:pPr>
            <w:r>
              <w:rPr>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p>
        </w:tc>
        <w:tc>
          <w:tcPr>
            <w:tcW w:w="121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11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s="Times New Roman"/>
                <w:kern w:val="0"/>
                <w:sz w:val="18"/>
                <w:szCs w:val="18"/>
                <w:lang w:val="en-US" w:eastAsia="zh-CN"/>
              </w:rPr>
            </w:pPr>
            <w:r>
              <w:rPr>
                <w:rFonts w:hint="eastAsia" w:cs="Times New Roman"/>
                <w:kern w:val="0"/>
                <w:sz w:val="18"/>
                <w:szCs w:val="18"/>
                <w:lang w:val="en-US" w:eastAsia="zh-CN"/>
              </w:rPr>
              <w:t>5074.87</w:t>
            </w:r>
          </w:p>
        </w:tc>
        <w:tc>
          <w:tcPr>
            <w:tcW w:w="59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eastAsia="宋体" w:cs="Times New Roman"/>
                <w:kern w:val="0"/>
                <w:sz w:val="18"/>
                <w:szCs w:val="18"/>
                <w:lang w:val="en-US" w:eastAsia="zh-CN"/>
              </w:rPr>
            </w:pPr>
            <w:r>
              <w:rPr>
                <w:rFonts w:hint="eastAsia" w:eastAsia="宋体" w:cs="Times New Roman"/>
                <w:kern w:val="0"/>
                <w:sz w:val="18"/>
                <w:szCs w:val="18"/>
                <w:lang w:val="en-US" w:eastAsia="zh-CN"/>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eastAsia="宋体" w:cs="Times New Roman"/>
                <w:kern w:val="0"/>
                <w:sz w:val="18"/>
                <w:szCs w:val="18"/>
                <w:lang w:val="en-US" w:eastAsia="zh-CN"/>
              </w:rPr>
            </w:pPr>
            <w:r>
              <w:rPr>
                <w:rFonts w:hint="eastAsia" w:eastAsia="宋体" w:cs="Times New Roman"/>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s="Times New Roman"/>
                <w:kern w:val="0"/>
                <w:sz w:val="18"/>
                <w:szCs w:val="18"/>
                <w:lang w:val="en-US" w:eastAsia="zh-CN"/>
              </w:rPr>
            </w:pPr>
            <w:r>
              <w:rPr>
                <w:rFonts w:hint="eastAsia" w:eastAsia="宋体" w:cs="Times New Roman"/>
                <w:kern w:val="0"/>
                <w:sz w:val="18"/>
                <w:szCs w:val="18"/>
                <w:lang w:val="en-US" w:eastAsia="zh-CN"/>
              </w:rPr>
              <w:t>97</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p>
        </w:tc>
        <w:tc>
          <w:tcPr>
            <w:tcW w:w="121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p>
        </w:tc>
        <w:tc>
          <w:tcPr>
            <w:tcW w:w="11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cs="Times New Roman"/>
                <w:kern w:val="0"/>
                <w:sz w:val="18"/>
                <w:szCs w:val="18"/>
                <w:lang w:val="en-US" w:eastAsia="zh-CN"/>
              </w:rPr>
              <w:t>5074.87</w:t>
            </w:r>
          </w:p>
        </w:tc>
        <w:tc>
          <w:tcPr>
            <w:tcW w:w="59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21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9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21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9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年度总体目标</w:t>
            </w:r>
          </w:p>
        </w:tc>
        <w:tc>
          <w:tcPr>
            <w:tcW w:w="5169"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预期目标</w:t>
            </w:r>
          </w:p>
        </w:tc>
        <w:tc>
          <w:tcPr>
            <w:tcW w:w="3323"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实际完成情况</w:t>
            </w:r>
          </w:p>
        </w:tc>
      </w:tr>
      <w:tr>
        <w:tblPrEx>
          <w:tblCellMar>
            <w:top w:w="0" w:type="dxa"/>
            <w:left w:w="108" w:type="dxa"/>
            <w:bottom w:w="0" w:type="dxa"/>
            <w:right w:w="108" w:type="dxa"/>
          </w:tblCellMar>
        </w:tblPrEx>
        <w:trPr>
          <w:trHeight w:val="57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169"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highlight w:val="none"/>
              </w:rPr>
            </w:pPr>
            <w:r>
              <w:rPr>
                <w:rFonts w:hint="eastAsia"/>
                <w:kern w:val="0"/>
                <w:sz w:val="18"/>
                <w:szCs w:val="18"/>
                <w:highlight w:val="none"/>
              </w:rPr>
              <w:t>减少污水对环境的污染</w:t>
            </w:r>
          </w:p>
        </w:tc>
        <w:tc>
          <w:tcPr>
            <w:tcW w:w="3323"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eastAsiaTheme="minorEastAsia"/>
                <w:kern w:val="0"/>
                <w:sz w:val="18"/>
                <w:szCs w:val="18"/>
                <w:highlight w:val="none"/>
                <w:lang w:eastAsia="zh-CN"/>
              </w:rPr>
            </w:pPr>
            <w:r>
              <w:rPr>
                <w:rFonts w:hint="eastAsia"/>
                <w:kern w:val="0"/>
                <w:sz w:val="18"/>
                <w:szCs w:val="18"/>
                <w:highlight w:val="none"/>
                <w:lang w:eastAsia="zh-CN"/>
              </w:rPr>
              <w:t>已投入使用</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绩</w:t>
            </w:r>
            <w:r>
              <w:rPr>
                <w:kern w:val="0"/>
                <w:sz w:val="18"/>
                <w:szCs w:val="18"/>
              </w:rPr>
              <w:br w:type="textWrapping"/>
            </w:r>
            <w:r>
              <w:rPr>
                <w:kern w:val="0"/>
                <w:sz w:val="18"/>
                <w:szCs w:val="18"/>
              </w:rPr>
              <w:t>效</w:t>
            </w:r>
            <w:r>
              <w:rPr>
                <w:kern w:val="0"/>
                <w:sz w:val="18"/>
                <w:szCs w:val="18"/>
              </w:rPr>
              <w:br w:type="textWrapping"/>
            </w:r>
            <w:r>
              <w:rPr>
                <w:kern w:val="0"/>
                <w:sz w:val="18"/>
                <w:szCs w:val="18"/>
              </w:rPr>
              <w:t>指</w:t>
            </w:r>
            <w:r>
              <w:rPr>
                <w:kern w:val="0"/>
                <w:sz w:val="18"/>
                <w:szCs w:val="18"/>
              </w:rPr>
              <w:br w:type="textWrapping"/>
            </w:r>
            <w:r>
              <w:rPr>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三级指标</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年度</w:t>
            </w:r>
          </w:p>
          <w:p>
            <w:pPr>
              <w:widowControl/>
              <w:spacing w:line="240" w:lineRule="exact"/>
              <w:jc w:val="center"/>
              <w:rPr>
                <w:kern w:val="0"/>
                <w:sz w:val="18"/>
                <w:szCs w:val="18"/>
              </w:rPr>
            </w:pPr>
            <w:r>
              <w:rPr>
                <w:kern w:val="0"/>
                <w:sz w:val="18"/>
                <w:szCs w:val="18"/>
              </w:rPr>
              <w:t>指标值</w:t>
            </w: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实际</w:t>
            </w:r>
          </w:p>
          <w:p>
            <w:pPr>
              <w:widowControl/>
              <w:spacing w:line="240" w:lineRule="exact"/>
              <w:jc w:val="center"/>
              <w:rPr>
                <w:kern w:val="0"/>
                <w:sz w:val="18"/>
                <w:szCs w:val="18"/>
              </w:rPr>
            </w:pPr>
            <w:r>
              <w:rPr>
                <w:kern w:val="0"/>
                <w:sz w:val="18"/>
                <w:szCs w:val="18"/>
              </w:rPr>
              <w:t>完成值</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分值</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得分</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偏差原因分析及改进措施</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产出指标</w:t>
            </w:r>
            <w:r>
              <w:rPr>
                <w:kern w:val="0"/>
                <w:sz w:val="20"/>
                <w:szCs w:val="20"/>
              </w:rPr>
              <w:t>(50分)</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eastAsiaTheme="minorEastAsia"/>
                <w:color w:val="000000"/>
                <w:kern w:val="0"/>
                <w:sz w:val="18"/>
                <w:szCs w:val="18"/>
                <w:lang w:val="en-US" w:eastAsia="zh-CN"/>
              </w:rPr>
            </w:pPr>
            <w:r>
              <w:rPr>
                <w:rFonts w:hint="eastAsia"/>
                <w:color w:val="000000"/>
                <w:kern w:val="0"/>
                <w:sz w:val="18"/>
                <w:szCs w:val="18"/>
                <w:lang w:eastAsia="zh-CN"/>
              </w:rPr>
              <w:t>指标1：</w:t>
            </w:r>
            <w:r>
              <w:rPr>
                <w:rFonts w:hint="eastAsia"/>
                <w:color w:val="000000"/>
                <w:kern w:val="0"/>
                <w:sz w:val="18"/>
                <w:szCs w:val="18"/>
                <w:lang w:val="en-US" w:eastAsia="zh-CN"/>
              </w:rPr>
              <w:t>污水管网工程</w:t>
            </w:r>
          </w:p>
        </w:tc>
        <w:tc>
          <w:tcPr>
            <w:tcW w:w="92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Theme="minorEastAsia"/>
                <w:color w:val="000000"/>
                <w:kern w:val="0"/>
                <w:sz w:val="18"/>
                <w:szCs w:val="18"/>
                <w:lang w:val="en-US" w:eastAsia="zh-CN"/>
              </w:rPr>
            </w:pPr>
            <w:r>
              <w:rPr>
                <w:rFonts w:hint="eastAsia"/>
                <w:color w:val="000000"/>
                <w:kern w:val="0"/>
                <w:sz w:val="18"/>
                <w:szCs w:val="18"/>
                <w:lang w:val="en-US" w:eastAsia="zh-CN"/>
              </w:rPr>
              <w:t>1条</w:t>
            </w:r>
          </w:p>
        </w:tc>
        <w:tc>
          <w:tcPr>
            <w:tcW w:w="98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Theme="minorEastAsia"/>
                <w:color w:val="000000"/>
                <w:kern w:val="0"/>
                <w:sz w:val="18"/>
                <w:szCs w:val="18"/>
                <w:lang w:val="en-US" w:eastAsia="zh-CN"/>
              </w:rPr>
            </w:pPr>
            <w:r>
              <w:rPr>
                <w:rFonts w:hint="eastAsia"/>
                <w:color w:val="000000"/>
                <w:kern w:val="0"/>
                <w:sz w:val="18"/>
                <w:szCs w:val="18"/>
                <w:lang w:val="en-US" w:eastAsia="zh-CN"/>
              </w:rPr>
              <w:t>1条</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20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20</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lang w:eastAsia="zh-CN"/>
              </w:rPr>
            </w:pPr>
            <w:r>
              <w:rPr>
                <w:rFonts w:hint="eastAsia"/>
                <w:color w:val="000000"/>
                <w:kern w:val="0"/>
                <w:sz w:val="18"/>
                <w:szCs w:val="18"/>
                <w:lang w:eastAsia="zh-CN"/>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lang w:eastAsia="zh-CN"/>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lang w:eastAsia="zh-CN"/>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宋体"/>
                <w:color w:val="000000"/>
                <w:kern w:val="0"/>
                <w:sz w:val="18"/>
                <w:szCs w:val="18"/>
                <w:lang w:val="en-US" w:eastAsia="zh-CN"/>
              </w:rPr>
            </w:pPr>
            <w:r>
              <w:rPr>
                <w:color w:val="000000"/>
                <w:kern w:val="0"/>
                <w:sz w:val="18"/>
                <w:szCs w:val="18"/>
              </w:rPr>
              <w:t>指标1：</w:t>
            </w:r>
            <w:r>
              <w:rPr>
                <w:rFonts w:hint="eastAsia"/>
                <w:color w:val="000000"/>
                <w:kern w:val="0"/>
                <w:sz w:val="18"/>
                <w:szCs w:val="18"/>
                <w:lang w:eastAsia="zh-CN"/>
              </w:rPr>
              <w:t>资金到位率</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100;%</w:t>
            </w:r>
          </w:p>
        </w:tc>
        <w:tc>
          <w:tcPr>
            <w:tcW w:w="983" w:type="dxa"/>
            <w:tcBorders>
              <w:top w:val="nil"/>
              <w:left w:val="nil"/>
              <w:bottom w:val="single" w:color="auto" w:sz="4" w:space="0"/>
              <w:right w:val="single" w:color="auto" w:sz="4" w:space="0"/>
            </w:tcBorders>
            <w:noWrap w:val="0"/>
            <w:vAlign w:val="center"/>
          </w:tcPr>
          <w:p>
            <w:pPr>
              <w:widowControl/>
              <w:spacing w:line="240" w:lineRule="exact"/>
              <w:jc w:val="both"/>
              <w:rPr>
                <w:rFonts w:hint="default" w:eastAsia="宋体"/>
                <w:kern w:val="0"/>
                <w:sz w:val="18"/>
                <w:szCs w:val="18"/>
                <w:lang w:val="en-US" w:eastAsia="zh-CN"/>
              </w:rPr>
            </w:pPr>
            <w:r>
              <w:rPr>
                <w:rFonts w:hint="eastAsia"/>
                <w:kern w:val="0"/>
                <w:sz w:val="18"/>
                <w:szCs w:val="18"/>
                <w:lang w:val="en-US" w:eastAsia="zh-CN"/>
              </w:rPr>
              <w:t>100%</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宋体"/>
                <w:color w:val="000000"/>
                <w:kern w:val="0"/>
                <w:sz w:val="18"/>
                <w:szCs w:val="18"/>
                <w:lang w:val="en-US" w:eastAsia="zh-CN"/>
              </w:rPr>
            </w:pPr>
            <w:r>
              <w:rPr>
                <w:color w:val="000000"/>
                <w:kern w:val="0"/>
                <w:sz w:val="18"/>
                <w:szCs w:val="18"/>
              </w:rPr>
              <w:t>指标1</w:t>
            </w:r>
            <w:r>
              <w:rPr>
                <w:rFonts w:hint="eastAsia"/>
                <w:color w:val="000000"/>
                <w:kern w:val="0"/>
                <w:sz w:val="18"/>
                <w:szCs w:val="18"/>
                <w:lang w:eastAsia="zh-CN"/>
              </w:rPr>
              <w:t>预算年度内完成</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5"/>
                <w:szCs w:val="15"/>
              </w:rPr>
              <w:t>按进度</w:t>
            </w: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5"/>
                <w:szCs w:val="15"/>
              </w:rPr>
              <w:t>按进度</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6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rPr>
            </w:pPr>
            <w:r>
              <w:rPr>
                <w:color w:val="000000"/>
                <w:kern w:val="0"/>
                <w:sz w:val="18"/>
                <w:szCs w:val="18"/>
              </w:rPr>
              <w:t>指标1：</w:t>
            </w:r>
            <w:r>
              <w:rPr>
                <w:rFonts w:hint="eastAsia"/>
                <w:color w:val="000000"/>
                <w:kern w:val="0"/>
                <w:sz w:val="18"/>
                <w:szCs w:val="18"/>
                <w:lang w:val="en-US" w:eastAsia="zh-CN"/>
              </w:rPr>
              <w:t>污水管网工程</w:t>
            </w:r>
            <w:r>
              <w:rPr>
                <w:rFonts w:hint="eastAsia"/>
                <w:kern w:val="0"/>
                <w:sz w:val="18"/>
                <w:szCs w:val="18"/>
              </w:rPr>
              <w:t>专项资金</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cs="Times New Roman"/>
                <w:kern w:val="0"/>
                <w:sz w:val="18"/>
                <w:szCs w:val="18"/>
                <w:lang w:val="en-US" w:eastAsia="zh-CN"/>
              </w:rPr>
              <w:t>5074.87</w:t>
            </w: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cs="Times New Roman"/>
                <w:kern w:val="0"/>
                <w:sz w:val="18"/>
                <w:szCs w:val="18"/>
                <w:lang w:val="en-US" w:eastAsia="zh-CN"/>
              </w:rPr>
              <w:t>5074.87</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58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效益指标</w:t>
            </w:r>
            <w:r>
              <w:rPr>
                <w:kern w:val="0"/>
                <w:sz w:val="20"/>
                <w:szCs w:val="20"/>
              </w:rPr>
              <w:t>(30分)</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经济效益</w:t>
            </w:r>
          </w:p>
          <w:p>
            <w:pPr>
              <w:widowControl/>
              <w:spacing w:line="240" w:lineRule="exact"/>
              <w:jc w:val="center"/>
              <w:rPr>
                <w:kern w:val="0"/>
                <w:sz w:val="18"/>
                <w:szCs w:val="18"/>
              </w:rPr>
            </w:pPr>
            <w:r>
              <w:rPr>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指标1：</w:t>
            </w:r>
            <w:r>
              <w:rPr>
                <w:rFonts w:hint="eastAsia"/>
                <w:color w:val="000000"/>
                <w:kern w:val="0"/>
                <w:sz w:val="18"/>
                <w:szCs w:val="18"/>
              </w:rPr>
              <w:t>促进经济发展，维护社会稳定</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eastAsia="宋体"/>
                <w:kern w:val="0"/>
                <w:sz w:val="18"/>
                <w:szCs w:val="18"/>
                <w:lang w:eastAsia="zh-CN"/>
              </w:rPr>
            </w:pPr>
            <w:r>
              <w:rPr>
                <w:rFonts w:hint="eastAsia"/>
                <w:kern w:val="0"/>
                <w:sz w:val="18"/>
                <w:szCs w:val="18"/>
                <w:lang w:val="en-US" w:eastAsia="zh-CN"/>
              </w:rPr>
              <w:t>8</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75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highlight w:val="none"/>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highlight w:val="none"/>
              </w:rPr>
            </w:pPr>
            <w:r>
              <w:rPr>
                <w:kern w:val="0"/>
                <w:sz w:val="18"/>
                <w:szCs w:val="18"/>
                <w:highlight w:val="none"/>
              </w:rPr>
              <w:t>社会效益</w:t>
            </w:r>
          </w:p>
          <w:p>
            <w:pPr>
              <w:widowControl/>
              <w:spacing w:line="240" w:lineRule="exact"/>
              <w:jc w:val="center"/>
              <w:rPr>
                <w:kern w:val="0"/>
                <w:sz w:val="18"/>
                <w:szCs w:val="18"/>
                <w:highlight w:val="none"/>
              </w:rPr>
            </w:pPr>
            <w:r>
              <w:rPr>
                <w:kern w:val="0"/>
                <w:sz w:val="18"/>
                <w:szCs w:val="18"/>
                <w:highlight w:val="none"/>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Theme="minorEastAsia"/>
                <w:color w:val="000000"/>
                <w:kern w:val="0"/>
                <w:sz w:val="18"/>
                <w:szCs w:val="18"/>
                <w:highlight w:val="none"/>
                <w:lang w:eastAsia="zh-CN"/>
              </w:rPr>
            </w:pPr>
            <w:r>
              <w:rPr>
                <w:color w:val="000000"/>
                <w:kern w:val="0"/>
                <w:sz w:val="18"/>
                <w:szCs w:val="18"/>
                <w:highlight w:val="none"/>
              </w:rPr>
              <w:t>指标1：</w:t>
            </w:r>
            <w:r>
              <w:rPr>
                <w:rFonts w:hint="eastAsia"/>
                <w:color w:val="000000"/>
                <w:kern w:val="0"/>
                <w:sz w:val="18"/>
                <w:szCs w:val="18"/>
                <w:highlight w:val="none"/>
                <w:lang w:eastAsia="zh-CN"/>
              </w:rPr>
              <w:t>改善生活条件，减少污水对环境的污染</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highlight w:val="none"/>
              </w:rPr>
            </w:pPr>
            <w:r>
              <w:rPr>
                <w:rFonts w:hint="eastAsia"/>
                <w:kern w:val="0"/>
                <w:sz w:val="18"/>
                <w:szCs w:val="18"/>
                <w:highlight w:val="none"/>
              </w:rPr>
              <w:t>长期</w:t>
            </w: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长期</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5</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5</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生态效益</w:t>
            </w:r>
          </w:p>
          <w:p>
            <w:pPr>
              <w:widowControl/>
              <w:spacing w:line="240" w:lineRule="exact"/>
              <w:jc w:val="center"/>
              <w:rPr>
                <w:kern w:val="0"/>
                <w:sz w:val="18"/>
                <w:szCs w:val="18"/>
              </w:rPr>
            </w:pPr>
            <w:r>
              <w:rPr>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指标1：</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5</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5</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72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highlight w:val="none"/>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highlight w:val="none"/>
              </w:rPr>
            </w:pPr>
            <w:r>
              <w:rPr>
                <w:kern w:val="0"/>
                <w:sz w:val="18"/>
                <w:szCs w:val="18"/>
                <w:highlight w:val="none"/>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highlight w:val="none"/>
              </w:rPr>
            </w:pPr>
            <w:r>
              <w:rPr>
                <w:color w:val="000000"/>
                <w:kern w:val="0"/>
                <w:sz w:val="18"/>
                <w:szCs w:val="18"/>
                <w:highlight w:val="none"/>
              </w:rPr>
              <w:t>指标1：</w:t>
            </w:r>
            <w:r>
              <w:rPr>
                <w:rFonts w:hint="eastAsia"/>
                <w:color w:val="000000"/>
                <w:kern w:val="0"/>
                <w:sz w:val="18"/>
                <w:szCs w:val="18"/>
                <w:highlight w:val="none"/>
              </w:rPr>
              <w:t>改善环境，促进经济持续、稳定、健康的发展</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highlight w:val="none"/>
              </w:rPr>
            </w:pPr>
            <w:r>
              <w:rPr>
                <w:rFonts w:hint="eastAsia"/>
                <w:kern w:val="0"/>
                <w:sz w:val="18"/>
                <w:szCs w:val="18"/>
                <w:highlight w:val="none"/>
              </w:rPr>
              <w:t>长期</w:t>
            </w: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长期</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满意度</w:t>
            </w:r>
          </w:p>
          <w:p>
            <w:pPr>
              <w:widowControl/>
              <w:spacing w:line="240" w:lineRule="exact"/>
              <w:jc w:val="center"/>
              <w:rPr>
                <w:kern w:val="0"/>
                <w:sz w:val="18"/>
                <w:szCs w:val="18"/>
              </w:rPr>
            </w:pPr>
            <w:r>
              <w:rPr>
                <w:kern w:val="0"/>
                <w:sz w:val="18"/>
                <w:szCs w:val="18"/>
              </w:rPr>
              <w:t>指标</w:t>
            </w:r>
            <w:r>
              <w:rPr>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rPr>
            </w:pPr>
            <w:r>
              <w:rPr>
                <w:color w:val="000000"/>
                <w:kern w:val="0"/>
                <w:sz w:val="18"/>
                <w:szCs w:val="18"/>
              </w:rPr>
              <w:t>指标1</w:t>
            </w:r>
            <w:r>
              <w:rPr>
                <w:color w:val="000000"/>
                <w:kern w:val="0"/>
                <w:sz w:val="18"/>
                <w:szCs w:val="18"/>
                <w:highlight w:val="none"/>
              </w:rPr>
              <w:t>：</w:t>
            </w:r>
            <w:r>
              <w:rPr>
                <w:rFonts w:hint="eastAsia"/>
                <w:color w:val="000000"/>
                <w:kern w:val="0"/>
                <w:sz w:val="18"/>
                <w:szCs w:val="18"/>
                <w:highlight w:val="none"/>
              </w:rPr>
              <w:t>社会满意度</w:t>
            </w:r>
          </w:p>
        </w:tc>
        <w:tc>
          <w:tcPr>
            <w:tcW w:w="92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满意</w:t>
            </w:r>
          </w:p>
        </w:tc>
        <w:tc>
          <w:tcPr>
            <w:tcW w:w="98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满意</w:t>
            </w:r>
          </w:p>
        </w:tc>
        <w:tc>
          <w:tcPr>
            <w:tcW w:w="58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63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9</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6740"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color w:val="000000"/>
                <w:kern w:val="0"/>
                <w:sz w:val="18"/>
                <w:szCs w:val="18"/>
              </w:rPr>
            </w:pPr>
            <w:r>
              <w:rPr>
                <w:color w:val="000000"/>
                <w:kern w:val="0"/>
                <w:sz w:val="18"/>
                <w:szCs w:val="18"/>
              </w:rPr>
              <w:t>总分</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color w:val="000000"/>
                <w:kern w:val="0"/>
                <w:sz w:val="18"/>
                <w:szCs w:val="18"/>
              </w:rPr>
            </w:pPr>
            <w:r>
              <w:rPr>
                <w:color w:val="000000"/>
                <w:kern w:val="0"/>
                <w:sz w:val="18"/>
                <w:szCs w:val="18"/>
              </w:rPr>
              <w:t>100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97</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bl>
    <w:p>
      <w:pPr>
        <w:widowControl/>
        <w:spacing w:line="400" w:lineRule="exact"/>
        <w:jc w:val="left"/>
        <w:rPr>
          <w:color w:val="000000"/>
          <w:kern w:val="0"/>
          <w:sz w:val="18"/>
          <w:szCs w:val="18"/>
        </w:rPr>
      </w:pP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v:fill on="t" focussize="0,0"/>
                <v:stroke color="#FFFFFF" joinstyle="miter"/>
                <v:imagedata o:title=""/>
                <o:lock v:ext="edit" aspectratio="f"/>
              </v:rect>
            </w:pict>
          </mc:Fallback>
        </mc:AlternateContent>
      </w:r>
    </w:p>
    <w:tbl>
      <w:tblPr>
        <w:tblStyle w:val="3"/>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noWrap w:val="0"/>
            <w:vAlign w:val="center"/>
          </w:tcPr>
          <w:p>
            <w:pPr>
              <w:widowControl/>
              <w:spacing w:line="400" w:lineRule="exact"/>
              <w:jc w:val="left"/>
              <w:rPr>
                <w:color w:val="000000"/>
                <w:kern w:val="0"/>
                <w:sz w:val="18"/>
                <w:szCs w:val="18"/>
              </w:rPr>
            </w:pPr>
            <w:r>
              <w:rPr>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noWrap w:val="0"/>
            <w:vAlign w:val="center"/>
          </w:tcPr>
          <w:p>
            <w:pPr>
              <w:widowControl/>
              <w:spacing w:line="400" w:lineRule="exact"/>
              <w:jc w:val="left"/>
              <w:rPr>
                <w:color w:val="000000"/>
                <w:kern w:val="0"/>
                <w:sz w:val="18"/>
                <w:szCs w:val="18"/>
              </w:rPr>
            </w:pPr>
            <w:r>
              <w:rPr>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noWrap w:val="0"/>
            <w:vAlign w:val="center"/>
          </w:tcPr>
          <w:p>
            <w:pPr>
              <w:widowControl/>
              <w:spacing w:line="400" w:lineRule="exact"/>
              <w:jc w:val="left"/>
              <w:rPr>
                <w:color w:val="000000"/>
                <w:kern w:val="0"/>
                <w:sz w:val="18"/>
                <w:szCs w:val="18"/>
              </w:rPr>
            </w:pPr>
            <w:r>
              <w:rPr>
                <w:color w:val="000000"/>
                <w:kern w:val="0"/>
                <w:sz w:val="18"/>
                <w:szCs w:val="18"/>
              </w:rPr>
              <w:t xml:space="preserve">    3.定量指标若为正向指标（即指标值为≥*），则得分计算方法应用全年实际值（B）/年度指标值（A）</w:t>
            </w:r>
            <w:r>
              <w:rPr>
                <w:color w:val="000000"/>
                <w:kern w:val="0"/>
                <w:sz w:val="12"/>
                <w:szCs w:val="12"/>
              </w:rPr>
              <w:t>╳</w:t>
            </w:r>
            <w:r>
              <w:rPr>
                <w:color w:val="000000"/>
                <w:kern w:val="0"/>
                <w:sz w:val="18"/>
                <w:szCs w:val="18"/>
              </w:rPr>
              <w:t>该指标分值；若定量指标为反向指标（即指标值为≤*），则得分计算方法应用年度指标值（A）/全年实际值（B）</w:t>
            </w:r>
            <w:r>
              <w:rPr>
                <w:color w:val="000000"/>
                <w:kern w:val="0"/>
                <w:sz w:val="12"/>
                <w:szCs w:val="12"/>
              </w:rPr>
              <w:t>╳</w:t>
            </w:r>
            <w:r>
              <w:rPr>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noWrap/>
            <w:vAlign w:val="center"/>
          </w:tcPr>
          <w:p>
            <w:pPr>
              <w:widowControl/>
              <w:spacing w:line="400" w:lineRule="exact"/>
              <w:jc w:val="left"/>
              <w:rPr>
                <w:color w:val="000000"/>
                <w:kern w:val="0"/>
                <w:sz w:val="18"/>
                <w:szCs w:val="18"/>
              </w:rPr>
            </w:pPr>
            <w:r>
              <w:rPr>
                <w:color w:val="000000"/>
                <w:kern w:val="0"/>
                <w:sz w:val="18"/>
                <w:szCs w:val="18"/>
              </w:rPr>
              <w:t xml:space="preserve">    4.请在“</w:t>
            </w:r>
            <w:r>
              <w:rPr>
                <w:kern w:val="0"/>
                <w:sz w:val="18"/>
                <w:szCs w:val="18"/>
              </w:rPr>
              <w:t>偏差原因分析及改进措施</w:t>
            </w:r>
            <w:r>
              <w:rPr>
                <w:color w:val="000000"/>
                <w:kern w:val="0"/>
                <w:sz w:val="18"/>
                <w:szCs w:val="18"/>
              </w:rPr>
              <w:t>”中说明偏离目标、不能完成目标的原因及拟采取的措施。</w:t>
            </w:r>
          </w:p>
        </w:tc>
      </w:tr>
    </w:tbl>
    <w:p>
      <w:pPr>
        <w:widowControl/>
        <w:spacing w:line="400" w:lineRule="exact"/>
        <w:jc w:val="left"/>
        <w:rPr>
          <w:color w:val="000000"/>
          <w:kern w:val="0"/>
          <w:sz w:val="18"/>
          <w:szCs w:val="18"/>
        </w:rPr>
        <w:sectPr>
          <w:pgSz w:w="11906" w:h="16838"/>
          <w:pgMar w:top="1587" w:right="1587" w:bottom="1587" w:left="1587" w:header="737" w:footer="850" w:gutter="0"/>
          <w:cols w:space="720" w:num="1"/>
          <w:docGrid w:type="lines" w:linePitch="408" w:charSpace="0"/>
        </w:sectPr>
      </w:pPr>
    </w:p>
    <w:p>
      <w:pPr>
        <w:spacing w:line="560" w:lineRule="exact"/>
        <w:rPr>
          <w:rFonts w:hint="eastAsia" w:eastAsia="仿宋_GB2312"/>
          <w:bCs/>
          <w:color w:val="000000"/>
          <w:sz w:val="32"/>
          <w:szCs w:val="32"/>
        </w:rPr>
      </w:pPr>
      <w:r>
        <w:rPr>
          <w:rFonts w:eastAsia="仿宋_GB2312"/>
          <w:bCs/>
          <w:color w:val="000000"/>
          <w:sz w:val="32"/>
          <w:szCs w:val="32"/>
        </w:rPr>
        <w:t>附件</w:t>
      </w:r>
      <w:r>
        <w:rPr>
          <w:rFonts w:hint="eastAsia"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3"/>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noWrap w:val="0"/>
            <w:vAlign w:val="top"/>
          </w:tcPr>
          <w:p>
            <w:pPr>
              <w:widowControl/>
              <w:spacing w:line="0" w:lineRule="atLeast"/>
              <w:jc w:val="center"/>
              <w:rPr>
                <w:b/>
                <w:bCs/>
                <w:color w:val="000000"/>
                <w:kern w:val="0"/>
                <w:sz w:val="22"/>
                <w:szCs w:val="22"/>
              </w:rPr>
            </w:pPr>
            <w:r>
              <w:rPr>
                <w:b/>
                <w:bCs/>
                <w:color w:val="000000"/>
                <w:kern w:val="0"/>
                <w:sz w:val="22"/>
                <w:szCs w:val="22"/>
              </w:rPr>
              <w:t>分</w:t>
            </w:r>
          </w:p>
          <w:p>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项目立项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noWrap w:val="0"/>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vMerge w:val="continue"/>
            <w:shd w:val="clear" w:color="auto" w:fill="FFFFFF"/>
            <w:noWrap w:val="0"/>
            <w:vAlign w:val="center"/>
          </w:tcPr>
          <w:p>
            <w:pPr>
              <w:widowControl/>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noWrap w:val="0"/>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绩效目标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noWrap w:val="0"/>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39"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决策　</w:t>
            </w: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2"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1" w:hRule="atLeast"/>
          <w:jc w:val="center"/>
        </w:trPr>
        <w:tc>
          <w:tcPr>
            <w:tcW w:w="682" w:type="dxa"/>
            <w:vMerge w:val="continue"/>
            <w:shd w:val="clear" w:color="auto" w:fill="FFFFFF"/>
            <w:noWrap w:val="0"/>
            <w:vAlign w:val="center"/>
          </w:tcPr>
          <w:p>
            <w:pPr>
              <w:widowControl/>
              <w:spacing w:line="0" w:lineRule="atLeast"/>
              <w:jc w:val="center"/>
              <w:rPr>
                <w:color w:val="000000"/>
                <w:kern w:val="0"/>
                <w:sz w:val="22"/>
                <w:szCs w:val="22"/>
              </w:rPr>
            </w:pPr>
          </w:p>
        </w:tc>
        <w:tc>
          <w:tcPr>
            <w:tcW w:w="709" w:type="dxa"/>
            <w:vMerge w:val="continue"/>
            <w:shd w:val="clear" w:color="auto" w:fill="FFFFFF"/>
            <w:noWrap w:val="0"/>
            <w:vAlign w:val="center"/>
          </w:tcPr>
          <w:p>
            <w:pPr>
              <w:widowControl/>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noWrap w:val="0"/>
            <w:vAlign w:val="center"/>
          </w:tcPr>
          <w:p>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vMerge w:val="continue"/>
            <w:shd w:val="clear" w:color="auto" w:fill="FFFFFF"/>
            <w:noWrap w:val="0"/>
            <w:vAlign w:val="center"/>
          </w:tcPr>
          <w:p>
            <w:pPr>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06"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66" w:type="dxa"/>
            <w:shd w:val="clear" w:color="auto" w:fill="FFFFFF"/>
            <w:noWrap w:val="0"/>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22"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noWrap w:val="0"/>
            <w:vAlign w:val="center"/>
          </w:tcPr>
          <w:p>
            <w:pPr>
              <w:widowControl/>
              <w:spacing w:line="0" w:lineRule="atLeast"/>
              <w:jc w:val="center"/>
              <w:rPr>
                <w:color w:val="000000"/>
                <w:kern w:val="0"/>
                <w:sz w:val="22"/>
                <w:szCs w:val="22"/>
              </w:rPr>
            </w:pPr>
          </w:p>
        </w:tc>
        <w:tc>
          <w:tcPr>
            <w:tcW w:w="709" w:type="dxa"/>
            <w:vMerge w:val="continue"/>
            <w:shd w:val="clear" w:color="auto" w:fill="FFFFFF"/>
            <w:noWrap w:val="0"/>
            <w:vAlign w:val="center"/>
          </w:tcPr>
          <w:p>
            <w:pPr>
              <w:widowControl/>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66" w:type="dxa"/>
            <w:shd w:val="clear" w:color="auto" w:fill="FFFFFF"/>
            <w:noWrap w:val="0"/>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76"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shd w:val="clear" w:color="auto" w:fill="FFFFFF"/>
            <w:noWrap w:val="0"/>
            <w:vAlign w:val="center"/>
          </w:tcPr>
          <w:p>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66" w:type="dxa"/>
            <w:shd w:val="clear" w:color="auto" w:fill="FFFFFF"/>
            <w:noWrap w:val="0"/>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noWrap w:val="0"/>
            <w:vAlign w:val="center"/>
          </w:tcPr>
          <w:p>
            <w:pPr>
              <w:widowControl/>
              <w:spacing w:line="0" w:lineRule="atLeast"/>
              <w:jc w:val="center"/>
              <w:rPr>
                <w:color w:val="000000"/>
                <w:kern w:val="0"/>
                <w:sz w:val="22"/>
                <w:szCs w:val="22"/>
              </w:rPr>
            </w:pP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效益　</w:t>
            </w: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项目效益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noWrap w:val="0"/>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noWrap w:val="0"/>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19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noWrap w:val="0"/>
            <w:vAlign w:val="center"/>
          </w:tcPr>
          <w:p>
            <w:pPr>
              <w:widowControl/>
              <w:spacing w:line="0" w:lineRule="atLeast"/>
              <w:jc w:val="center"/>
              <w:rPr>
                <w:color w:val="000000"/>
                <w:kern w:val="0"/>
                <w:sz w:val="22"/>
                <w:szCs w:val="22"/>
              </w:rPr>
            </w:pPr>
          </w:p>
        </w:tc>
        <w:tc>
          <w:tcPr>
            <w:tcW w:w="709" w:type="dxa"/>
            <w:vMerge w:val="continue"/>
            <w:shd w:val="clear" w:color="auto" w:fill="FFFFFF"/>
            <w:noWrap w:val="0"/>
            <w:vAlign w:val="center"/>
          </w:tcPr>
          <w:p>
            <w:pPr>
              <w:widowControl/>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noWrap w:val="0"/>
            <w:vAlign w:val="center"/>
          </w:tcPr>
          <w:p>
            <w:pPr>
              <w:widowControl/>
              <w:spacing w:line="0" w:lineRule="atLeast"/>
              <w:jc w:val="center"/>
              <w:rPr>
                <w:rFonts w:hint="default" w:eastAsia="宋体"/>
                <w:color w:val="000000"/>
                <w:kern w:val="0"/>
                <w:sz w:val="22"/>
                <w:szCs w:val="22"/>
                <w:lang w:val="en-US" w:eastAsia="zh-CN"/>
              </w:rPr>
            </w:pPr>
            <w:r>
              <w:rPr>
                <w:rFonts w:hint="eastAsia" w:eastAsia="宋体"/>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noWrap w:val="0"/>
            <w:vAlign w:val="center"/>
          </w:tcPr>
          <w:p>
            <w:pPr>
              <w:widowControl/>
              <w:spacing w:line="0" w:lineRule="atLeast"/>
              <w:rPr>
                <w:color w:val="000000"/>
                <w:kern w:val="0"/>
                <w:sz w:val="22"/>
                <w:szCs w:val="22"/>
              </w:rPr>
            </w:pPr>
          </w:p>
        </w:tc>
        <w:tc>
          <w:tcPr>
            <w:tcW w:w="6096" w:type="dxa"/>
            <w:shd w:val="clear" w:color="auto" w:fill="FFFFFF"/>
            <w:noWrap w:val="0"/>
            <w:vAlign w:val="center"/>
          </w:tcPr>
          <w:p>
            <w:pPr>
              <w:widowControl/>
              <w:spacing w:line="0" w:lineRule="atLeast"/>
              <w:rPr>
                <w:color w:val="000000"/>
                <w:kern w:val="0"/>
                <w:sz w:val="22"/>
                <w:szCs w:val="22"/>
              </w:rPr>
            </w:pPr>
          </w:p>
        </w:tc>
        <w:tc>
          <w:tcPr>
            <w:tcW w:w="566" w:type="dxa"/>
            <w:shd w:val="clear" w:color="auto" w:fill="FFFFFF"/>
            <w:noWrap w:val="0"/>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97</w:t>
            </w:r>
          </w:p>
        </w:tc>
      </w:tr>
    </w:tbl>
    <w:p>
      <w:pPr>
        <w:spacing w:line="440" w:lineRule="exact"/>
        <w:ind w:firstLine="450" w:firstLineChars="225"/>
        <w:rPr>
          <w:rFonts w:hint="eastAsia"/>
          <w:b/>
          <w:bCs/>
          <w:lang w:val="en-US" w:eastAsia="zh-CN"/>
        </w:rPr>
      </w:pPr>
      <w:r>
        <w:rPr>
          <w:rFonts w:eastAsia="仿宋_GB2312"/>
          <w:sz w:val="20"/>
          <w:szCs w:val="20"/>
        </w:rPr>
        <w:t>注：单位可以根据专项资金的管理要求和绩效要求增设个性指标。</w:t>
      </w:r>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94D27"/>
    <w:rsid w:val="040A1069"/>
    <w:rsid w:val="052E247F"/>
    <w:rsid w:val="094F1297"/>
    <w:rsid w:val="0A172A06"/>
    <w:rsid w:val="0BDA3A19"/>
    <w:rsid w:val="0C64194A"/>
    <w:rsid w:val="0F673498"/>
    <w:rsid w:val="172E4265"/>
    <w:rsid w:val="19172184"/>
    <w:rsid w:val="1C5D5FB7"/>
    <w:rsid w:val="218D7752"/>
    <w:rsid w:val="22A207D1"/>
    <w:rsid w:val="24B54000"/>
    <w:rsid w:val="278140AF"/>
    <w:rsid w:val="2E6A469E"/>
    <w:rsid w:val="2F396BEC"/>
    <w:rsid w:val="318B3C14"/>
    <w:rsid w:val="32AA09D0"/>
    <w:rsid w:val="33A203C7"/>
    <w:rsid w:val="35225DC8"/>
    <w:rsid w:val="3E543E23"/>
    <w:rsid w:val="400A0D40"/>
    <w:rsid w:val="41885870"/>
    <w:rsid w:val="41DF33A8"/>
    <w:rsid w:val="45C836D6"/>
    <w:rsid w:val="461E1D91"/>
    <w:rsid w:val="4D6700F7"/>
    <w:rsid w:val="4FEB6AAA"/>
    <w:rsid w:val="50CC7C13"/>
    <w:rsid w:val="54A14EC5"/>
    <w:rsid w:val="58E51C6B"/>
    <w:rsid w:val="61BD5C1C"/>
    <w:rsid w:val="64EC1AC2"/>
    <w:rsid w:val="69B47FE7"/>
    <w:rsid w:val="6C3B400F"/>
    <w:rsid w:val="719259C5"/>
    <w:rsid w:val="74A2303F"/>
    <w:rsid w:val="764439E2"/>
    <w:rsid w:val="7D873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*K～*</cp:lastModifiedBy>
  <dcterms:modified xsi:type="dcterms:W3CDTF">2021-08-27T01:48:21Z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F10453B23E1F41AFA98B29D6E0D8A2A0</vt:lpwstr>
  </property>
</Properties>
</file>