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中方</w:t>
      </w:r>
      <w:r>
        <w:rPr>
          <w:rFonts w:hint="eastAsia" w:ascii="方正小标宋_GBK" w:hAnsi="宋体" w:eastAsia="方正小标宋_GBK"/>
          <w:sz w:val="44"/>
          <w:szCs w:val="44"/>
        </w:rPr>
        <w:t>县</w:t>
      </w:r>
      <w:r>
        <w:rPr>
          <w:rFonts w:hint="eastAsia" w:ascii="方正小标宋_GBK" w:hAnsi="宋体" w:eastAsia="方正小标宋_GBK"/>
          <w:sz w:val="44"/>
          <w:szCs w:val="44"/>
          <w:lang w:eastAsia="zh-CN"/>
        </w:rPr>
        <w:t>城市基础设施投资中心</w:t>
      </w:r>
    </w:p>
    <w:p>
      <w:pPr>
        <w:spacing w:line="560" w:lineRule="exact"/>
        <w:jc w:val="center"/>
        <w:rPr>
          <w:rFonts w:hint="eastAsia" w:ascii="方正小标宋_GBK" w:hAnsi="宋体" w:eastAsia="方正小标宋_GBK" w:cs="Times New Roman"/>
          <w:sz w:val="44"/>
          <w:szCs w:val="44"/>
        </w:rPr>
      </w:pPr>
      <w:r>
        <w:rPr>
          <w:rFonts w:hint="eastAsia" w:ascii="方正小标宋_GBK" w:hAnsi="宋体" w:eastAsia="方正小标宋_GBK"/>
          <w:sz w:val="44"/>
          <w:szCs w:val="44"/>
        </w:rPr>
        <w:t>202</w:t>
      </w:r>
      <w:r>
        <w:rPr>
          <w:rFonts w:hint="eastAsia" w:ascii="方正小标宋_GBK" w:hAnsi="宋体" w:eastAsia="方正小标宋_GBK" w:cs="Times New Roman"/>
          <w:sz w:val="44"/>
          <w:szCs w:val="44"/>
        </w:rPr>
        <w:t>0</w:t>
      </w:r>
      <w:r>
        <w:rPr>
          <w:rFonts w:hint="eastAsia" w:ascii="方正小标宋_GBK" w:hAnsi="宋体" w:eastAsia="方正小标宋_GBK"/>
          <w:sz w:val="44"/>
          <w:szCs w:val="44"/>
        </w:rPr>
        <w:t>年</w:t>
      </w:r>
      <w:r>
        <w:rPr>
          <w:rFonts w:hint="eastAsia" w:ascii="方正小标宋_GBK" w:hAnsi="宋体" w:eastAsia="方正小标宋_GBK"/>
          <w:sz w:val="44"/>
          <w:szCs w:val="44"/>
          <w:lang w:eastAsia="zh-CN"/>
        </w:rPr>
        <w:t>农村综合服务平台</w:t>
      </w:r>
      <w:r>
        <w:rPr>
          <w:rFonts w:hint="eastAsia" w:ascii="方正小标宋_GBK" w:hAnsi="宋体" w:eastAsia="方正小标宋_GBK"/>
          <w:sz w:val="44"/>
          <w:szCs w:val="44"/>
          <w:lang w:val="en-US" w:eastAsia="zh-CN"/>
        </w:rPr>
        <w:t>建设</w:t>
      </w:r>
      <w:r>
        <w:rPr>
          <w:rFonts w:hint="eastAsia" w:ascii="方正小标宋_GBK" w:hAnsi="宋体" w:eastAsia="方正小标宋_GBK" w:cs="Times New Roman"/>
          <w:sz w:val="44"/>
          <w:szCs w:val="44"/>
        </w:rPr>
        <w:t>资金</w:t>
      </w:r>
    </w:p>
    <w:p>
      <w:pPr>
        <w:spacing w:line="56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绩效自评报告</w:t>
      </w:r>
    </w:p>
    <w:p>
      <w:pPr>
        <w:spacing w:line="500" w:lineRule="exact"/>
        <w:ind w:firstLine="720" w:firstLineChars="225"/>
        <w:rPr>
          <w:rFonts w:hint="eastAsia" w:ascii="黑体" w:hAnsi="黑体" w:eastAsia="黑体"/>
          <w:sz w:val="32"/>
          <w:szCs w:val="32"/>
        </w:rPr>
      </w:pP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一、 项目基本概况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 xml:space="preserve">（一）项目概况 </w:t>
      </w:r>
    </w:p>
    <w:p>
      <w:pPr>
        <w:spacing w:line="500" w:lineRule="exact"/>
        <w:ind w:firstLine="720" w:firstLineChars="225"/>
        <w:rPr>
          <w:rFonts w:hint="eastAsia" w:eastAsia="仿宋_GB2312"/>
          <w:sz w:val="32"/>
          <w:szCs w:val="32"/>
          <w:lang w:eastAsia="zh-CN"/>
        </w:rPr>
      </w:pPr>
      <w:r>
        <w:rPr>
          <w:rFonts w:hint="eastAsia" w:eastAsia="仿宋_GB2312"/>
          <w:sz w:val="32"/>
          <w:szCs w:val="32"/>
        </w:rPr>
        <w:t>根据县发改局《关于中方县农村综合服务平台建设项目可行性研究报告的批复》（</w:t>
      </w:r>
      <w:r>
        <w:rPr>
          <w:rFonts w:eastAsia="仿宋_GB2312"/>
          <w:sz w:val="32"/>
          <w:szCs w:val="32"/>
        </w:rPr>
        <w:t>中</w:t>
      </w:r>
      <w:r>
        <w:rPr>
          <w:rFonts w:hint="eastAsia" w:eastAsia="仿宋_GB2312"/>
          <w:sz w:val="32"/>
          <w:szCs w:val="32"/>
        </w:rPr>
        <w:t>县发改</w:t>
      </w:r>
      <w:r>
        <w:rPr>
          <w:rFonts w:eastAsia="仿宋_GB2312"/>
          <w:sz w:val="32"/>
          <w:szCs w:val="32"/>
        </w:rPr>
        <w:t>〔2016〕</w:t>
      </w:r>
      <w:r>
        <w:rPr>
          <w:rFonts w:hint="eastAsia" w:eastAsia="仿宋_GB2312"/>
          <w:sz w:val="32"/>
          <w:szCs w:val="32"/>
        </w:rPr>
        <w:t>71</w:t>
      </w:r>
      <w:r>
        <w:rPr>
          <w:rFonts w:eastAsia="仿宋_GB2312"/>
          <w:sz w:val="32"/>
          <w:szCs w:val="32"/>
        </w:rPr>
        <w:t>号</w:t>
      </w:r>
      <w:r>
        <w:rPr>
          <w:rFonts w:hint="eastAsia" w:eastAsia="仿宋_GB2312"/>
          <w:sz w:val="32"/>
          <w:szCs w:val="32"/>
        </w:rPr>
        <w:t>）精神，共建设136个农村综合服务平台（未含村级文化服务中心），总建设面积63800平方米，项目估算总投资10314.80万元</w:t>
      </w:r>
      <w:r>
        <w:rPr>
          <w:rFonts w:hint="eastAsia" w:eastAsia="仿宋_GB2312"/>
          <w:sz w:val="32"/>
          <w:szCs w:val="32"/>
          <w:lang w:eastAsia="zh-CN"/>
        </w:rPr>
        <w:t>。</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（二）项目绩效目标</w:t>
      </w:r>
    </w:p>
    <w:p>
      <w:pPr>
        <w:spacing w:line="500" w:lineRule="exact"/>
        <w:ind w:firstLine="720" w:firstLineChars="225"/>
        <w:rPr>
          <w:rFonts w:hint="eastAsia" w:eastAsia="仿宋_GB2312"/>
          <w:color w:val="000000"/>
          <w:sz w:val="32"/>
          <w:szCs w:val="32"/>
          <w:lang w:val="en-US" w:eastAsia="zh-CN"/>
        </w:rPr>
      </w:pPr>
      <w:r>
        <w:rPr>
          <w:rFonts w:hint="eastAsia" w:eastAsia="仿宋_GB2312"/>
          <w:color w:val="000000"/>
          <w:sz w:val="32"/>
          <w:szCs w:val="32"/>
          <w:lang w:eastAsia="zh-CN"/>
        </w:rPr>
        <w:t>确保</w:t>
      </w:r>
      <w:r>
        <w:rPr>
          <w:rFonts w:hint="eastAsia" w:eastAsia="仿宋_GB2312"/>
          <w:color w:val="000000"/>
          <w:sz w:val="32"/>
          <w:szCs w:val="32"/>
          <w:lang w:val="en-US" w:eastAsia="zh-CN"/>
        </w:rPr>
        <w:t>2017年底，中方县136个农村服务平台建设完成。完成2018年国务院下达的贫困县摘帽任务，保证脱贫攻坚任务各项指标验收合格。</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二、绩效评价指标分析情况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（一）项目资金情况分析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1.项目资金到位情况分析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该项目年初预算为</w:t>
      </w:r>
      <w:r>
        <w:rPr>
          <w:rFonts w:hint="eastAsia" w:ascii="仿宋" w:hAnsi="仿宋" w:eastAsia="仿宋"/>
          <w:sz w:val="32"/>
          <w:szCs w:val="32"/>
          <w:lang w:val="en-US" w:eastAsia="zh-CN"/>
        </w:rPr>
        <w:t>0</w:t>
      </w:r>
      <w:r>
        <w:rPr>
          <w:rFonts w:hint="eastAsia" w:ascii="仿宋" w:hAnsi="仿宋" w:eastAsia="仿宋"/>
          <w:sz w:val="32"/>
          <w:szCs w:val="32"/>
        </w:rPr>
        <w:t>万元，决算为</w:t>
      </w:r>
      <w:r>
        <w:rPr>
          <w:rFonts w:hint="eastAsia" w:ascii="仿宋" w:hAnsi="仿宋" w:eastAsia="仿宋"/>
          <w:sz w:val="32"/>
          <w:szCs w:val="32"/>
          <w:lang w:val="en-US" w:eastAsia="zh-CN"/>
        </w:rPr>
        <w:t>1079.15</w:t>
      </w:r>
      <w:r>
        <w:rPr>
          <w:rFonts w:hint="eastAsia" w:ascii="仿宋" w:hAnsi="仿宋" w:eastAsia="仿宋"/>
          <w:sz w:val="32"/>
          <w:szCs w:val="32"/>
        </w:rPr>
        <w:t>万元，该专项资金按照</w:t>
      </w:r>
      <w:r>
        <w:rPr>
          <w:rFonts w:hint="eastAsia" w:ascii="仿宋" w:hAnsi="仿宋" w:eastAsia="仿宋"/>
          <w:sz w:val="32"/>
          <w:szCs w:val="32"/>
          <w:lang w:eastAsia="zh-CN"/>
        </w:rPr>
        <w:t>工程进度</w:t>
      </w:r>
      <w:r>
        <w:rPr>
          <w:rFonts w:hint="eastAsia" w:ascii="仿宋" w:hAnsi="仿宋" w:eastAsia="仿宋"/>
          <w:sz w:val="32"/>
          <w:szCs w:val="32"/>
        </w:rPr>
        <w:t>要求安排，拨付按需求进度进行，到年底资金已全部</w:t>
      </w:r>
      <w:r>
        <w:rPr>
          <w:rFonts w:hint="eastAsia" w:ascii="仿宋" w:hAnsi="仿宋" w:eastAsia="仿宋"/>
          <w:sz w:val="32"/>
          <w:szCs w:val="32"/>
          <w:lang w:eastAsia="zh-CN"/>
        </w:rPr>
        <w:t>支付</w:t>
      </w:r>
      <w:r>
        <w:rPr>
          <w:rFonts w:hint="eastAsia" w:ascii="仿宋" w:hAnsi="仿宋" w:eastAsia="仿宋"/>
          <w:sz w:val="32"/>
          <w:szCs w:val="32"/>
        </w:rPr>
        <w:t>。</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2.项目资金使用情况分析</w:t>
      </w:r>
    </w:p>
    <w:p>
      <w:pPr>
        <w:spacing w:line="500" w:lineRule="exact"/>
        <w:ind w:firstLine="720" w:firstLineChars="225"/>
        <w:rPr>
          <w:rFonts w:hint="default" w:ascii="仿宋" w:hAnsi="仿宋" w:eastAsia="仿宋"/>
          <w:sz w:val="32"/>
          <w:szCs w:val="32"/>
          <w:lang w:val="en-US" w:eastAsia="zh-CN"/>
        </w:rPr>
      </w:pPr>
      <w:r>
        <w:rPr>
          <w:rFonts w:hint="eastAsia" w:ascii="仿宋" w:hAnsi="仿宋" w:eastAsia="仿宋"/>
          <w:sz w:val="32"/>
          <w:szCs w:val="32"/>
        </w:rPr>
        <w:t>2020年，上级下达我</w:t>
      </w:r>
      <w:r>
        <w:rPr>
          <w:rFonts w:hint="eastAsia" w:ascii="仿宋" w:hAnsi="仿宋" w:eastAsia="仿宋"/>
          <w:sz w:val="32"/>
          <w:szCs w:val="32"/>
          <w:lang w:val="en-US" w:eastAsia="zh-CN"/>
        </w:rPr>
        <w:t>县</w:t>
      </w:r>
      <w:r>
        <w:rPr>
          <w:rFonts w:hint="eastAsia" w:eastAsia="仿宋_GB2312"/>
          <w:sz w:val="32"/>
          <w:szCs w:val="32"/>
        </w:rPr>
        <w:t>农村综合服务平台</w:t>
      </w:r>
      <w:r>
        <w:rPr>
          <w:rFonts w:hint="eastAsia" w:ascii="仿宋" w:hAnsi="仿宋" w:eastAsia="仿宋" w:cs="Times New Roman"/>
          <w:sz w:val="32"/>
          <w:szCs w:val="32"/>
          <w:lang w:val="en-US" w:eastAsia="zh-CN"/>
        </w:rPr>
        <w:t>建设</w:t>
      </w:r>
      <w:r>
        <w:rPr>
          <w:rFonts w:hint="eastAsia" w:ascii="仿宋" w:hAnsi="仿宋" w:eastAsia="仿宋" w:cs="Times New Roman"/>
          <w:sz w:val="32"/>
          <w:szCs w:val="32"/>
          <w:lang w:eastAsia="zh-CN"/>
        </w:rPr>
        <w:t>资金</w:t>
      </w:r>
      <w:r>
        <w:rPr>
          <w:rFonts w:hint="eastAsia" w:ascii="仿宋" w:hAnsi="仿宋" w:eastAsia="仿宋"/>
          <w:sz w:val="32"/>
          <w:szCs w:val="32"/>
          <w:lang w:val="en-US" w:eastAsia="zh-CN"/>
        </w:rPr>
        <w:t>1079.15万元，该资金全部用于该建设项目。</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3.项目资金管理情况分析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该项目所有资金实行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（二）项目实施情况分析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1.项目组织情况分析</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该项目目标设定依据充分、明确、合理，项目建设符合省委、省政府相关规定。项目实施过程中，遵循先考察、调研，再根据湖南的实际情况制定相应的措施。项目的考察、调研回来后都要经过反复论证，再出台调研报告。实现了项目管理与过程管理的有机结合。</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2.项目管理情况分析</w:t>
      </w:r>
    </w:p>
    <w:p>
      <w:pPr>
        <w:spacing w:line="500" w:lineRule="exact"/>
        <w:ind w:firstLine="720" w:firstLineChars="225"/>
        <w:rPr>
          <w:rFonts w:ascii="仿宋" w:hAnsi="仿宋" w:eastAsia="仿宋"/>
          <w:sz w:val="32"/>
          <w:szCs w:val="32"/>
        </w:rPr>
      </w:pPr>
      <w:r>
        <w:rPr>
          <w:rFonts w:hint="eastAsia" w:ascii="仿宋" w:hAnsi="仿宋" w:eastAsia="仿宋"/>
          <w:sz w:val="32"/>
          <w:szCs w:val="32"/>
        </w:rPr>
        <w:t>一是</w:t>
      </w:r>
      <w:r>
        <w:rPr>
          <w:rFonts w:hint="eastAsia" w:ascii="仿宋" w:hAnsi="仿宋" w:eastAsia="仿宋"/>
          <w:color w:val="000000"/>
          <w:sz w:val="32"/>
          <w:szCs w:val="32"/>
        </w:rPr>
        <w:t>严格监管。</w:t>
      </w:r>
      <w:r>
        <w:rPr>
          <w:rFonts w:hint="eastAsia" w:ascii="仿宋" w:hAnsi="仿宋" w:eastAsia="仿宋"/>
          <w:sz w:val="32"/>
          <w:szCs w:val="32"/>
        </w:rPr>
        <w:t>建立健全项目管理制度，实行建设项目台帐管理，做到有目的、有计划、有内容、有效果。二是认真落实。项目采取全过程监管，做到公开、公正、公平。</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（三）项目绩效情况分析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1.项目的经济性分析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本项目2020年投入</w:t>
      </w:r>
      <w:r>
        <w:rPr>
          <w:rFonts w:hint="eastAsia" w:ascii="仿宋" w:hAnsi="仿宋" w:eastAsia="仿宋"/>
          <w:sz w:val="32"/>
          <w:szCs w:val="32"/>
          <w:lang w:val="en-US" w:eastAsia="zh-CN"/>
        </w:rPr>
        <w:t>1079.15</w:t>
      </w:r>
      <w:r>
        <w:rPr>
          <w:rFonts w:hint="eastAsia" w:ascii="仿宋" w:hAnsi="仿宋" w:eastAsia="仿宋"/>
          <w:sz w:val="32"/>
          <w:szCs w:val="32"/>
        </w:rPr>
        <w:t>万元，全部用于我县</w:t>
      </w:r>
      <w:r>
        <w:rPr>
          <w:rFonts w:hint="eastAsia" w:eastAsia="仿宋_GB2312"/>
          <w:sz w:val="32"/>
          <w:szCs w:val="32"/>
        </w:rPr>
        <w:t>农村综合服务平台</w:t>
      </w:r>
      <w:r>
        <w:rPr>
          <w:rFonts w:hint="eastAsia" w:ascii="仿宋" w:hAnsi="仿宋" w:eastAsia="仿宋" w:cs="Times New Roman"/>
          <w:sz w:val="32"/>
          <w:szCs w:val="32"/>
          <w:lang w:val="en-US" w:eastAsia="zh-CN"/>
        </w:rPr>
        <w:t>建设</w:t>
      </w:r>
      <w:r>
        <w:rPr>
          <w:rFonts w:hint="eastAsia" w:ascii="仿宋" w:hAnsi="仿宋" w:eastAsia="仿宋"/>
          <w:sz w:val="32"/>
          <w:szCs w:val="32"/>
        </w:rPr>
        <w:t>支出。在安排资金计划时，我们充分运用现代科学的规划、设计手法，结合项目实际状况，进行合理布局建设，以保障安全作为根本宗旨和最终目的的同时，最大限度的减少项目预算成本，并通过成本比较的方式，对项目成本进行控制，有效节约了成本。</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2.项目的效率性分析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（1）项目实施进度</w:t>
      </w:r>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该项目是按照工程的需求逐步进行，到2020年底已完成了全部工程。</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（2）项目完成质量</w:t>
      </w:r>
    </w:p>
    <w:p>
      <w:pPr>
        <w:spacing w:line="500" w:lineRule="exact"/>
        <w:ind w:firstLine="720" w:firstLineChars="225"/>
        <w:rPr>
          <w:rFonts w:hint="eastAsia" w:ascii="仿宋" w:hAnsi="仿宋" w:eastAsia="仿宋"/>
          <w:color w:val="auto"/>
          <w:sz w:val="32"/>
          <w:szCs w:val="32"/>
          <w:highlight w:val="none"/>
        </w:rPr>
      </w:pPr>
      <w:r>
        <w:rPr>
          <w:rFonts w:hint="eastAsia" w:ascii="仿宋" w:hAnsi="仿宋" w:eastAsia="仿宋"/>
          <w:color w:val="auto"/>
          <w:sz w:val="32"/>
          <w:szCs w:val="32"/>
          <w:highlight w:val="none"/>
        </w:rPr>
        <w:t>项目计划落实后，积极组织实施，进度快，项目质量好。</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3.项目的效益性分析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w:t>
      </w:r>
      <w:bookmarkStart w:id="0" w:name="OLE_LINK3"/>
      <w:r>
        <w:rPr>
          <w:rFonts w:hint="eastAsia" w:ascii="仿宋" w:hAnsi="仿宋" w:eastAsia="仿宋"/>
          <w:b/>
          <w:sz w:val="32"/>
          <w:szCs w:val="32"/>
        </w:rPr>
        <w:t>项目预期目标完成程度</w:t>
      </w:r>
      <w:bookmarkEnd w:id="0"/>
    </w:p>
    <w:p>
      <w:pPr>
        <w:spacing w:line="500" w:lineRule="exact"/>
        <w:ind w:firstLine="720" w:firstLineChars="225"/>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该项目涉及的</w:t>
      </w:r>
      <w:r>
        <w:rPr>
          <w:rFonts w:hint="eastAsia" w:eastAsia="仿宋_GB2312"/>
          <w:color w:val="auto"/>
          <w:sz w:val="32"/>
          <w:szCs w:val="32"/>
          <w:highlight w:val="none"/>
        </w:rPr>
        <w:t>农村综合服务平台</w:t>
      </w:r>
      <w:r>
        <w:rPr>
          <w:rFonts w:hint="eastAsia" w:ascii="仿宋" w:hAnsi="仿宋" w:eastAsia="仿宋"/>
          <w:color w:val="auto"/>
          <w:sz w:val="32"/>
          <w:szCs w:val="32"/>
          <w:highlight w:val="none"/>
        </w:rPr>
        <w:t>已顺利通过验收，并已投入使用，预期目标已完成。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w:t>
      </w:r>
      <w:bookmarkStart w:id="1" w:name="OLE_LINK2"/>
      <w:r>
        <w:rPr>
          <w:rFonts w:hint="eastAsia" w:ascii="仿宋" w:hAnsi="仿宋" w:eastAsia="仿宋"/>
          <w:b/>
          <w:sz w:val="32"/>
          <w:szCs w:val="32"/>
        </w:rPr>
        <w:t>项目实施对经济和社会的影响</w:t>
      </w:r>
      <w:bookmarkEnd w:id="1"/>
    </w:p>
    <w:p>
      <w:pPr>
        <w:spacing w:line="500" w:lineRule="exact"/>
        <w:ind w:firstLine="720" w:firstLineChars="225"/>
        <w:rPr>
          <w:rFonts w:hint="eastAsia" w:ascii="仿宋" w:hAnsi="仿宋" w:eastAsia="仿宋" w:cs="仿宋"/>
          <w:sz w:val="32"/>
          <w:szCs w:val="32"/>
        </w:rPr>
      </w:pPr>
      <w:r>
        <w:rPr>
          <w:rFonts w:hint="eastAsia" w:ascii="仿宋" w:hAnsi="仿宋" w:eastAsia="仿宋"/>
          <w:sz w:val="32"/>
          <w:szCs w:val="32"/>
        </w:rPr>
        <w:t>该项目实施后，不仅保障了各项政策贯彻落实和各项资金的有效使用，提高了财政资金的安全高效性，</w:t>
      </w:r>
      <w:r>
        <w:rPr>
          <w:rFonts w:eastAsia="仿宋_GB2312"/>
          <w:sz w:val="32"/>
          <w:szCs w:val="32"/>
        </w:rPr>
        <w:t>按照“服务群众最大化，干部办公最小化”的思路，将一站式便民服务大厅、村级卫生室、留守人员关爱中心、农家书屋等规划设计在一楼，将村组干部办公、党员群众活动中心等设计在二、三楼，</w:t>
      </w:r>
      <w:r>
        <w:rPr>
          <w:rFonts w:hint="eastAsia" w:ascii="仿宋" w:hAnsi="仿宋" w:eastAsia="仿宋" w:cs="仿宋"/>
          <w:sz w:val="32"/>
          <w:szCs w:val="32"/>
        </w:rPr>
        <w:t>集政务、商务、事务等功能于一体，打造“智慧民生”，畅通拓宽联系服务群众“最后一公里”和农副产品进城“最先一公里”；</w:t>
      </w:r>
    </w:p>
    <w:p>
      <w:pPr>
        <w:spacing w:line="500" w:lineRule="exact"/>
        <w:ind w:firstLine="720" w:firstLineChars="225"/>
        <w:rPr>
          <w:rFonts w:hint="eastAsia" w:ascii="仿宋" w:hAnsi="仿宋" w:eastAsia="仿宋" w:cs="仿宋"/>
          <w:sz w:val="32"/>
          <w:szCs w:val="32"/>
        </w:rPr>
      </w:pPr>
      <w:r>
        <w:rPr>
          <w:rFonts w:hint="eastAsia" w:ascii="仿宋" w:hAnsi="仿宋" w:eastAsia="仿宋" w:cs="仿宋"/>
          <w:sz w:val="32"/>
          <w:szCs w:val="32"/>
        </w:rPr>
        <w:t>三、项目后续工作计划</w:t>
      </w:r>
    </w:p>
    <w:p>
      <w:pPr>
        <w:spacing w:line="500" w:lineRule="exact"/>
        <w:ind w:firstLine="720" w:firstLineChars="225"/>
        <w:rPr>
          <w:rFonts w:hint="eastAsia" w:ascii="仿宋" w:hAnsi="仿宋" w:eastAsia="仿宋"/>
          <w:sz w:val="32"/>
          <w:szCs w:val="32"/>
          <w:highlight w:val="yellow"/>
          <w:lang w:eastAsia="zh-CN"/>
        </w:rPr>
      </w:pPr>
      <w:r>
        <w:rPr>
          <w:rFonts w:hint="eastAsia" w:ascii="仿宋" w:hAnsi="仿宋" w:eastAsia="仿宋"/>
          <w:sz w:val="32"/>
          <w:szCs w:val="32"/>
          <w:highlight w:val="none"/>
          <w:lang w:eastAsia="zh-CN"/>
        </w:rPr>
        <w:t>该项目农村服务平台已全面修建完成，后续平台</w:t>
      </w:r>
      <w:r>
        <w:rPr>
          <w:rFonts w:eastAsia="仿宋_GB2312"/>
          <w:color w:val="000000"/>
          <w:sz w:val="32"/>
          <w:szCs w:val="32"/>
        </w:rPr>
        <w:t>采用PPP模式，引进电商企业，在推行农产品上线和农资下乡的基础上，全面建立为民办事全程代理制，积极为群众代办各类事务。</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四、评价情况及评价结论</w:t>
      </w:r>
    </w:p>
    <w:p>
      <w:pPr>
        <w:spacing w:line="500" w:lineRule="exact"/>
        <w:ind w:firstLine="720" w:firstLineChars="225"/>
        <w:rPr>
          <w:rFonts w:eastAsia="仿宋_GB2312"/>
          <w:color w:val="000000"/>
          <w:sz w:val="32"/>
          <w:szCs w:val="32"/>
        </w:rPr>
      </w:pPr>
      <w:r>
        <w:rPr>
          <w:rFonts w:eastAsia="仿宋_GB2312"/>
          <w:color w:val="000000"/>
          <w:sz w:val="32"/>
          <w:szCs w:val="32"/>
        </w:rPr>
        <w:t>2017年底，已如期完成农村综合服务平台建设任务，深受全县广大农村群众认可和好评，</w:t>
      </w:r>
      <w:r>
        <w:rPr>
          <w:rFonts w:hint="eastAsia" w:eastAsia="仿宋_GB2312"/>
          <w:color w:val="000000"/>
          <w:sz w:val="32"/>
          <w:szCs w:val="32"/>
          <w:lang w:eastAsia="zh-CN"/>
        </w:rPr>
        <w:t>工程建设情况，自评为优。</w:t>
      </w:r>
      <w:r>
        <w:rPr>
          <w:rFonts w:eastAsia="仿宋_GB2312"/>
          <w:color w:val="000000"/>
          <w:sz w:val="32"/>
          <w:szCs w:val="32"/>
        </w:rPr>
        <w:t>在</w:t>
      </w:r>
      <w:r>
        <w:rPr>
          <w:rFonts w:hint="eastAsia" w:eastAsia="仿宋_GB2312"/>
          <w:color w:val="000000"/>
          <w:sz w:val="32"/>
          <w:szCs w:val="32"/>
          <w:lang w:val="en-US" w:eastAsia="zh-CN"/>
        </w:rPr>
        <w:t>2018年</w:t>
      </w:r>
      <w:r>
        <w:rPr>
          <w:rFonts w:eastAsia="仿宋_GB2312"/>
          <w:color w:val="000000"/>
          <w:sz w:val="32"/>
          <w:szCs w:val="32"/>
        </w:rPr>
        <w:t>4月份召开的全市农村综合服务平台表彰大会上，我县名列第一，荣获全市先进单位。</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五、主要经验做法、存在问题、改进措施和建议</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（一）主要经验做法</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为使项目资金发挥实效，进一步提高基础设施建设质量，我</w:t>
      </w:r>
      <w:r>
        <w:rPr>
          <w:rFonts w:hint="eastAsia" w:ascii="仿宋" w:hAnsi="仿宋" w:eastAsia="仿宋"/>
          <w:sz w:val="32"/>
          <w:szCs w:val="32"/>
          <w:lang w:eastAsia="zh-CN"/>
        </w:rPr>
        <w:t>公司</w:t>
      </w:r>
      <w:r>
        <w:rPr>
          <w:rFonts w:hint="eastAsia" w:ascii="仿宋" w:hAnsi="仿宋" w:eastAsia="仿宋"/>
          <w:sz w:val="32"/>
          <w:szCs w:val="32"/>
        </w:rPr>
        <w:t>严格按照绩效目标的要求，在每个建设项目和环节实行专人负责，做到职责分明，任务明确。从经费使用和分配、到</w:t>
      </w:r>
      <w:bookmarkStart w:id="2" w:name="_GoBack"/>
      <w:bookmarkEnd w:id="2"/>
      <w:r>
        <w:rPr>
          <w:rFonts w:hint="eastAsia" w:ascii="仿宋" w:hAnsi="仿宋" w:eastAsia="仿宋"/>
          <w:sz w:val="32"/>
          <w:szCs w:val="32"/>
        </w:rPr>
        <w:t>工程质量，实行全程监控，做到公开透明，阳光操作，优质高效的完成各项建设任务。</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（二）存在问题</w:t>
      </w:r>
    </w:p>
    <w:p>
      <w:pPr>
        <w:spacing w:line="500" w:lineRule="exact"/>
        <w:ind w:firstLine="720" w:firstLineChars="225"/>
        <w:rPr>
          <w:rFonts w:hint="eastAsia" w:ascii="仿宋" w:hAnsi="仿宋" w:eastAsia="仿宋"/>
          <w:sz w:val="32"/>
          <w:szCs w:val="32"/>
          <w:lang w:val="en-US"/>
        </w:rPr>
      </w:pPr>
      <w:r>
        <w:rPr>
          <w:rFonts w:hint="eastAsia" w:ascii="仿宋" w:hAnsi="仿宋" w:eastAsia="仿宋"/>
          <w:sz w:val="32"/>
          <w:szCs w:val="32"/>
        </w:rPr>
        <w:t>目前我县农村平台建设用地问题一直未得到有效解决，</w:t>
      </w:r>
      <w:r>
        <w:rPr>
          <w:rFonts w:hint="eastAsia" w:ascii="仿宋" w:hAnsi="仿宋" w:eastAsia="仿宋"/>
          <w:sz w:val="32"/>
          <w:szCs w:val="32"/>
          <w:lang w:eastAsia="zh-CN"/>
        </w:rPr>
        <w:t>且目前已有部分村平台被卫片执法抓拍，形成违规用地，</w:t>
      </w:r>
      <w:r>
        <w:rPr>
          <w:rFonts w:hint="eastAsia" w:ascii="仿宋" w:hAnsi="仿宋" w:eastAsia="仿宋"/>
          <w:sz w:val="32"/>
          <w:szCs w:val="32"/>
        </w:rPr>
        <w:t>为不给农村平台留下瑕疵，造成不必</w:t>
      </w:r>
      <w:r>
        <w:rPr>
          <w:rFonts w:hint="eastAsia" w:ascii="仿宋" w:hAnsi="仿宋" w:eastAsia="仿宋"/>
          <w:sz w:val="32"/>
          <w:szCs w:val="32"/>
          <w:lang w:val="en-US" w:eastAsia="zh-CN"/>
        </w:rPr>
        <w:t xml:space="preserve"> </w:t>
      </w:r>
      <w:r>
        <w:rPr>
          <w:rFonts w:hint="eastAsia" w:ascii="仿宋" w:hAnsi="仿宋" w:eastAsia="仿宋"/>
          <w:sz w:val="32"/>
          <w:szCs w:val="32"/>
        </w:rPr>
        <w:t>要的负面影响，请求市平台办予以支持，协调市国土局解决农村平台建设用地问题</w:t>
      </w:r>
      <w:r>
        <w:rPr>
          <w:rFonts w:hint="eastAsia" w:ascii="仿宋" w:hAnsi="仿宋" w:eastAsia="仿宋"/>
          <w:sz w:val="32"/>
          <w:szCs w:val="32"/>
          <w:lang w:val="en-US" w:eastAsia="zh-CN"/>
        </w:rPr>
        <w:t>;另根据怀办【2017】2号文件要求，平台建设将综合文化服务中心纳入一并实施，并按怀办【2016】20号文“七个一”标准来建设文体活动设施，而实际我们的贷款金额仅仅只是平台房建部分的建设资金，综合文化服务中心建设资金未包含在其中，资金缺口较大。</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（三）改进措施</w:t>
      </w:r>
    </w:p>
    <w:p>
      <w:pPr>
        <w:spacing w:line="500" w:lineRule="exact"/>
        <w:ind w:firstLine="720" w:firstLineChars="225"/>
        <w:rPr>
          <w:rFonts w:eastAsia="仿宋_GB2312"/>
          <w:sz w:val="32"/>
          <w:szCs w:val="32"/>
        </w:rPr>
      </w:pPr>
      <w:r>
        <w:rPr>
          <w:rFonts w:hint="eastAsia" w:eastAsia="楷体_GB2312"/>
          <w:sz w:val="32"/>
          <w:szCs w:val="32"/>
        </w:rPr>
        <w:t>按照建好是基础，</w:t>
      </w:r>
      <w:r>
        <w:rPr>
          <w:rFonts w:eastAsia="楷体_GB2312"/>
          <w:sz w:val="32"/>
          <w:szCs w:val="32"/>
        </w:rPr>
        <w:t>管好用活</w:t>
      </w:r>
      <w:r>
        <w:rPr>
          <w:rFonts w:hint="eastAsia" w:eastAsia="楷体_GB2312"/>
          <w:sz w:val="32"/>
          <w:szCs w:val="32"/>
        </w:rPr>
        <w:t>是关键的要求</w:t>
      </w:r>
      <w:r>
        <w:rPr>
          <w:rFonts w:eastAsia="楷体_GB2312"/>
          <w:sz w:val="32"/>
          <w:szCs w:val="32"/>
        </w:rPr>
        <w:t>，</w:t>
      </w:r>
      <w:r>
        <w:rPr>
          <w:rFonts w:hint="eastAsia" w:eastAsia="楷体_GB2312"/>
          <w:sz w:val="32"/>
          <w:szCs w:val="32"/>
        </w:rPr>
        <w:t>我们</w:t>
      </w:r>
      <w:r>
        <w:rPr>
          <w:rFonts w:eastAsia="仿宋_GB2312"/>
          <w:sz w:val="32"/>
          <w:szCs w:val="32"/>
        </w:rPr>
        <w:t>坚持制度先行，出台《中方县农村综合服务平台管理暂行办法》，注重从服务队伍、服务内容、服务手段、服务机制入手，打算从七个方面进行管理促进平台有序运转、作用</w:t>
      </w:r>
      <w:r>
        <w:rPr>
          <w:rFonts w:eastAsia="方正仿宋_GBK"/>
          <w:sz w:val="32"/>
          <w:szCs w:val="32"/>
        </w:rPr>
        <w:t>有</w:t>
      </w:r>
      <w:r>
        <w:rPr>
          <w:rFonts w:eastAsia="仿宋_GB2312"/>
          <w:sz w:val="32"/>
          <w:szCs w:val="32"/>
        </w:rPr>
        <w:t>效发挥</w:t>
      </w:r>
      <w:r>
        <w:rPr>
          <w:rFonts w:eastAsia="方正仿宋_GBK"/>
          <w:sz w:val="32"/>
          <w:szCs w:val="32"/>
        </w:rPr>
        <w:t>。</w:t>
      </w:r>
      <w:r>
        <w:rPr>
          <w:rFonts w:eastAsia="仿宋_GB2312"/>
          <w:b/>
          <w:bCs/>
          <w:sz w:val="32"/>
          <w:szCs w:val="32"/>
        </w:rPr>
        <w:t>一、功能设置。</w:t>
      </w:r>
      <w:r>
        <w:rPr>
          <w:rFonts w:eastAsia="仿宋_GB2312"/>
          <w:kern w:val="0"/>
          <w:sz w:val="32"/>
        </w:rPr>
        <w:t>农村综合服务中心内部设置划分为多个功能区域。包括便民服务中心(包含“德一民生”）、留守人员关爱中心、农家书屋、卫生室、村“两委”办公室、扶贫工作站、村务监督委员办公室、两代表一委员办公室、广播室、青年民兵营、党员活动室（包含道德讲堂、实用技术培训、远程教育）、档案室等。在明确各自功能的基础上，根据本村实际，科学合理组合，切实发挥场所作用。</w:t>
      </w:r>
      <w:r>
        <w:rPr>
          <w:rFonts w:eastAsia="仿宋_GB2312"/>
          <w:b/>
          <w:bCs/>
          <w:kern w:val="0"/>
          <w:sz w:val="32"/>
        </w:rPr>
        <w:t>二、基础设施建设。</w:t>
      </w:r>
      <w:r>
        <w:rPr>
          <w:rFonts w:eastAsia="仿宋_GB2312"/>
          <w:kern w:val="0"/>
          <w:sz w:val="32"/>
        </w:rPr>
        <w:t>按照“边配置、边完善、边利用、边维护”的原则，通过协调利用、捐赠、购买等方式添置各项配套设施，充分整合资源，按照我县农村基层党组织“五化”治理阵地建设标准化的要求，保证村级党组织办公室做到“七个一”，党员活动室做到“十有”，建立“七个名册”“两个计划和总结”“六套资料”“八个记录”，促进农村综合服务中心的各项配套设施不断提档升级。</w:t>
      </w:r>
      <w:r>
        <w:rPr>
          <w:rFonts w:eastAsia="仿宋_GB2312"/>
          <w:b/>
          <w:bCs/>
          <w:kern w:val="0"/>
          <w:sz w:val="32"/>
        </w:rPr>
        <w:t>三、版面建设。</w:t>
      </w:r>
      <w:r>
        <w:rPr>
          <w:rFonts w:eastAsia="仿宋_GB2312"/>
          <w:kern w:val="0"/>
          <w:sz w:val="32"/>
        </w:rPr>
        <w:t>各村须根据县委组织部和县平台办的标准，结合实际情况，统一规范制度上墙的内容、样式。</w:t>
      </w:r>
      <w:r>
        <w:rPr>
          <w:rFonts w:eastAsia="仿宋_GB2312"/>
          <w:b/>
          <w:bCs/>
          <w:kern w:val="0"/>
          <w:sz w:val="32"/>
        </w:rPr>
        <w:t>四、阵地使用。</w:t>
      </w:r>
      <w:r>
        <w:rPr>
          <w:rFonts w:eastAsia="仿宋_GB2312"/>
          <w:kern w:val="0"/>
          <w:sz w:val="32"/>
        </w:rPr>
        <w:t>把农村综合服务平台建成党员活动中心、村级组织议事中心、便民服务中心、农民培训中心、群众文化中心。</w:t>
      </w:r>
      <w:r>
        <w:rPr>
          <w:rFonts w:eastAsia="仿宋_GB2312"/>
          <w:b/>
          <w:bCs/>
          <w:kern w:val="0"/>
          <w:sz w:val="32"/>
        </w:rPr>
        <w:t>五、制订工作制度。六、维护与管理。</w:t>
      </w:r>
      <w:r>
        <w:rPr>
          <w:rFonts w:eastAsia="仿宋_GB2312"/>
          <w:color w:val="000000"/>
          <w:sz w:val="32"/>
          <w:szCs w:val="32"/>
        </w:rPr>
        <w:t>要依照有关法律法规，确保农村综合服务中心所有权明晰。</w:t>
      </w:r>
      <w:r>
        <w:rPr>
          <w:rFonts w:eastAsia="仿宋_GB2312"/>
          <w:color w:val="000000"/>
          <w:spacing w:val="-6"/>
          <w:sz w:val="32"/>
          <w:szCs w:val="32"/>
        </w:rPr>
        <w:t>村党组织书记是</w:t>
      </w:r>
      <w:r>
        <w:rPr>
          <w:rFonts w:eastAsia="仿宋_GB2312"/>
          <w:color w:val="000000"/>
          <w:sz w:val="32"/>
          <w:szCs w:val="32"/>
        </w:rPr>
        <w:t>农村综合服务中心</w:t>
      </w:r>
      <w:r>
        <w:rPr>
          <w:rFonts w:eastAsia="仿宋_GB2312"/>
          <w:color w:val="000000"/>
          <w:spacing w:val="-6"/>
          <w:sz w:val="32"/>
          <w:szCs w:val="32"/>
        </w:rPr>
        <w:t>管理的直接责任人，对活动场所的管理使用、设施设备的维护维修以及活动场所的安全防范工作负全责。</w:t>
      </w:r>
      <w:r>
        <w:rPr>
          <w:rFonts w:eastAsia="仿宋_GB2312"/>
          <w:b/>
          <w:bCs/>
          <w:color w:val="000000"/>
          <w:spacing w:val="-6"/>
          <w:sz w:val="32"/>
          <w:szCs w:val="32"/>
        </w:rPr>
        <w:t>七、组织领导。</w:t>
      </w:r>
      <w:r>
        <w:rPr>
          <w:rFonts w:eastAsia="仿宋_GB2312"/>
          <w:color w:val="000000"/>
          <w:sz w:val="32"/>
          <w:szCs w:val="32"/>
        </w:rPr>
        <w:t>县委建立农村综合服务中心工作联席会议制度，县委常委、组织部长为召集人，县委办、县政府办、县委组织部、县委宣传部、县财政局、县民政局、县卫计局、县扶贫办、县农业局、县文体旅游广电新闻出版局、县电视台、县档案史志局、县政府政务服务中心等相关部门主要负责同志为成员。联席会议下设办公室，由县委组织部分管党建副部长任办公室主任，负责日常工作。</w:t>
      </w:r>
      <w:r>
        <w:rPr>
          <w:rFonts w:eastAsia="仿宋_GB2312"/>
          <w:sz w:val="32"/>
          <w:szCs w:val="32"/>
        </w:rPr>
        <w:t>成员单位要加强沟通、经常联系，特别是组织、财政部门要建立定期沟通协调机制，对</w:t>
      </w:r>
      <w:r>
        <w:rPr>
          <w:rFonts w:eastAsia="仿宋_GB2312"/>
          <w:color w:val="000000"/>
          <w:sz w:val="32"/>
          <w:szCs w:val="32"/>
        </w:rPr>
        <w:t>农村综合服务中心</w:t>
      </w:r>
      <w:r>
        <w:rPr>
          <w:rFonts w:eastAsia="仿宋_GB2312"/>
          <w:sz w:val="32"/>
          <w:szCs w:val="32"/>
        </w:rPr>
        <w:t>管理中遇到的重大问题及时研究解决。</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（四）建议</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争取中央、省级项目资金的投入。</w:t>
      </w: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400" w:lineRule="exact"/>
        <w:rPr>
          <w:rFonts w:hint="eastAsia"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1</w:t>
      </w:r>
    </w:p>
    <w:tbl>
      <w:tblPr>
        <w:tblStyle w:val="3"/>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929"/>
        <w:gridCol w:w="983"/>
        <w:gridCol w:w="184"/>
        <w:gridCol w:w="400"/>
        <w:gridCol w:w="197"/>
        <w:gridCol w:w="436"/>
        <w:gridCol w:w="415"/>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noWrap w:val="0"/>
            <w:vAlign w:val="center"/>
          </w:tcPr>
          <w:p>
            <w:pPr>
              <w:widowControl/>
              <w:spacing w:line="320" w:lineRule="exact"/>
              <w:jc w:val="center"/>
              <w:rPr>
                <w:b/>
                <w:bCs/>
                <w:kern w:val="0"/>
                <w:sz w:val="32"/>
                <w:szCs w:val="32"/>
              </w:rPr>
            </w:pPr>
            <w:r>
              <w:rPr>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jc w:val="center"/>
              <w:rPr>
                <w:kern w:val="0"/>
                <w:sz w:val="22"/>
                <w:szCs w:val="22"/>
              </w:rPr>
            </w:pPr>
            <w:r>
              <w:rPr>
                <w:kern w:val="0"/>
                <w:sz w:val="22"/>
                <w:szCs w:val="22"/>
              </w:rPr>
              <w:t>（</w:t>
            </w:r>
            <w:r>
              <w:rPr>
                <w:rFonts w:hint="eastAsia"/>
                <w:kern w:val="0"/>
                <w:sz w:val="22"/>
                <w:szCs w:val="22"/>
              </w:rPr>
              <w:t>20</w:t>
            </w:r>
            <w:r>
              <w:rPr>
                <w:rFonts w:hint="eastAsia"/>
                <w:kern w:val="0"/>
                <w:sz w:val="22"/>
                <w:szCs w:val="22"/>
                <w:lang w:val="en-US" w:eastAsia="zh-CN"/>
              </w:rPr>
              <w:t>20</w:t>
            </w:r>
            <w:r>
              <w:rPr>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cs="Times New Roman"/>
                <w:kern w:val="0"/>
                <w:sz w:val="18"/>
                <w:szCs w:val="18"/>
              </w:rPr>
              <w:t>农村综合服务平台</w:t>
            </w:r>
            <w:r>
              <w:rPr>
                <w:rFonts w:hint="eastAsia" w:cs="Times New Roman"/>
                <w:kern w:val="0"/>
                <w:sz w:val="18"/>
                <w:szCs w:val="18"/>
                <w:lang w:val="en-US" w:eastAsia="zh-CN"/>
              </w:rPr>
              <w:t>建设</w:t>
            </w:r>
            <w:r>
              <w:rPr>
                <w:rFonts w:hint="eastAsia" w:cs="Times New Roman"/>
                <w:kern w:val="0"/>
                <w:sz w:val="18"/>
                <w:szCs w:val="18"/>
              </w:rPr>
              <w:t>专项资金</w:t>
            </w:r>
          </w:p>
        </w:tc>
      </w:tr>
      <w:tr>
        <w:tblPrEx>
          <w:tblCellMar>
            <w:top w:w="0" w:type="dxa"/>
            <w:left w:w="108" w:type="dxa"/>
            <w:bottom w:w="0" w:type="dxa"/>
            <w:right w:w="108" w:type="dxa"/>
          </w:tblCellMar>
        </w:tblPrEx>
        <w:trPr>
          <w:trHeight w:val="364"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主管部门</w:t>
            </w:r>
          </w:p>
        </w:tc>
        <w:tc>
          <w:tcPr>
            <w:tcW w:w="418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Theme="minorEastAsia"/>
                <w:kern w:val="0"/>
                <w:sz w:val="18"/>
                <w:szCs w:val="18"/>
                <w:lang w:eastAsia="zh-CN"/>
              </w:rPr>
            </w:pPr>
            <w:r>
              <w:rPr>
                <w:rFonts w:hint="eastAsia"/>
                <w:kern w:val="0"/>
                <w:sz w:val="18"/>
                <w:szCs w:val="18"/>
              </w:rPr>
              <w:t>中方县</w:t>
            </w:r>
            <w:r>
              <w:rPr>
                <w:rFonts w:hint="eastAsia"/>
                <w:kern w:val="0"/>
                <w:sz w:val="18"/>
                <w:szCs w:val="18"/>
                <w:lang w:eastAsia="zh-CN"/>
              </w:rPr>
              <w:t>发改局</w:t>
            </w: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实施单位</w:t>
            </w:r>
          </w:p>
        </w:tc>
        <w:tc>
          <w:tcPr>
            <w:tcW w:w="215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lang w:eastAsia="zh-CN"/>
              </w:rPr>
              <w:t>城市基础设施投资中心</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项目资金</w:t>
            </w:r>
            <w:r>
              <w:rPr>
                <w:kern w:val="0"/>
                <w:sz w:val="18"/>
                <w:szCs w:val="18"/>
              </w:rPr>
              <w:br w:type="textWrapping"/>
            </w:r>
            <w:r>
              <w:rPr>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年初预算数</w:t>
            </w: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全年预算数</w:t>
            </w:r>
            <w:r>
              <w:rPr>
                <w:color w:val="000000"/>
                <w:kern w:val="0"/>
                <w:sz w:val="20"/>
                <w:szCs w:val="20"/>
              </w:rPr>
              <w:t>（A）</w:t>
            </w: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全年执行数</w:t>
            </w:r>
            <w:r>
              <w:rPr>
                <w:color w:val="000000"/>
                <w:kern w:val="0"/>
                <w:sz w:val="20"/>
                <w:szCs w:val="20"/>
              </w:rPr>
              <w:t>（B）</w:t>
            </w: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执行率</w:t>
            </w:r>
            <w:r>
              <w:rPr>
                <w:color w:val="000000"/>
                <w:kern w:val="0"/>
                <w:sz w:val="20"/>
                <w:szCs w:val="20"/>
              </w:rPr>
              <w:t>（B/A)</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kern w:val="0"/>
                <w:sz w:val="18"/>
                <w:szCs w:val="18"/>
              </w:rPr>
            </w:pPr>
            <w:r>
              <w:rPr>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s="Times New Roman"/>
                <w:kern w:val="0"/>
                <w:sz w:val="18"/>
                <w:szCs w:val="18"/>
                <w:lang w:val="en-US" w:eastAsia="zh-CN"/>
              </w:rPr>
            </w:pPr>
            <w:r>
              <w:rPr>
                <w:rFonts w:hint="eastAsia" w:cs="Times New Roman"/>
                <w:kern w:val="0"/>
                <w:sz w:val="18"/>
                <w:szCs w:val="18"/>
                <w:lang w:val="en-US" w:eastAsia="zh-CN"/>
              </w:rPr>
              <w:t>1079.15</w:t>
            </w: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eastAsia="宋体" w:cs="Times New Roman"/>
                <w:kern w:val="0"/>
                <w:sz w:val="18"/>
                <w:szCs w:val="18"/>
                <w:lang w:val="en-US" w:eastAsia="zh-CN"/>
              </w:rPr>
            </w:pPr>
            <w:r>
              <w:rPr>
                <w:rFonts w:hint="eastAsia" w:eastAsia="宋体" w:cs="Times New Roman"/>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cs="Times New Roman"/>
                <w:kern w:val="0"/>
                <w:sz w:val="18"/>
                <w:szCs w:val="18"/>
                <w:lang w:val="en-US" w:eastAsia="zh-CN"/>
              </w:rPr>
            </w:pPr>
            <w:r>
              <w:rPr>
                <w:rFonts w:hint="eastAsia" w:eastAsia="宋体" w:cs="Times New Roman"/>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s="Times New Roman"/>
                <w:kern w:val="0"/>
                <w:sz w:val="18"/>
                <w:szCs w:val="18"/>
                <w:lang w:val="en-US" w:eastAsia="zh-CN"/>
              </w:rPr>
            </w:pPr>
            <w:r>
              <w:rPr>
                <w:rFonts w:hint="eastAsia" w:eastAsia="宋体" w:cs="Times New Roman"/>
                <w:kern w:val="0"/>
                <w:sz w:val="18"/>
                <w:szCs w:val="18"/>
                <w:lang w:val="en-US" w:eastAsia="zh-CN"/>
              </w:rPr>
              <w:t>97</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cs="Times New Roman"/>
                <w:kern w:val="0"/>
                <w:sz w:val="18"/>
                <w:szCs w:val="18"/>
                <w:lang w:val="en-US" w:eastAsia="zh-CN"/>
              </w:rPr>
              <w:t>1079.15</w:t>
            </w: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21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9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年度总体目标</w:t>
            </w:r>
          </w:p>
        </w:tc>
        <w:tc>
          <w:tcPr>
            <w:tcW w:w="516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预期目标</w:t>
            </w:r>
          </w:p>
        </w:tc>
        <w:tc>
          <w:tcPr>
            <w:tcW w:w="332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16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color w:val="auto"/>
                <w:kern w:val="0"/>
                <w:sz w:val="18"/>
                <w:szCs w:val="18"/>
                <w:highlight w:val="none"/>
              </w:rPr>
            </w:pPr>
            <w:r>
              <w:rPr>
                <w:rFonts w:hint="eastAsia"/>
                <w:color w:val="auto"/>
                <w:kern w:val="0"/>
                <w:sz w:val="18"/>
                <w:szCs w:val="18"/>
                <w:highlight w:val="none"/>
              </w:rPr>
              <w:t>中方县136个农村服务平台建设完成</w:t>
            </w:r>
          </w:p>
        </w:tc>
        <w:tc>
          <w:tcPr>
            <w:tcW w:w="332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color w:val="auto"/>
                <w:kern w:val="0"/>
                <w:sz w:val="18"/>
                <w:szCs w:val="18"/>
                <w:highlight w:val="none"/>
              </w:rPr>
            </w:pPr>
            <w:r>
              <w:rPr>
                <w:rFonts w:hint="eastAsia"/>
                <w:color w:val="auto"/>
                <w:kern w:val="0"/>
                <w:sz w:val="18"/>
                <w:szCs w:val="18"/>
                <w:highlight w:val="none"/>
              </w:rPr>
              <w:t>农村综合服务平台已顺利通过验收，并已投入使用</w:t>
            </w:r>
          </w:p>
        </w:tc>
      </w:tr>
      <w:tr>
        <w:tblPrEx>
          <w:tblCellMar>
            <w:top w:w="0" w:type="dxa"/>
            <w:left w:w="108" w:type="dxa"/>
            <w:bottom w:w="0" w:type="dxa"/>
            <w:right w:w="108" w:type="dxa"/>
          </w:tblCellMar>
        </w:tblPrEx>
        <w:trPr>
          <w:trHeight w:val="698"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三级指标</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年度</w:t>
            </w:r>
          </w:p>
          <w:p>
            <w:pPr>
              <w:widowControl/>
              <w:spacing w:line="240" w:lineRule="exact"/>
              <w:jc w:val="center"/>
              <w:rPr>
                <w:kern w:val="0"/>
                <w:sz w:val="18"/>
                <w:szCs w:val="18"/>
              </w:rPr>
            </w:pPr>
            <w:r>
              <w:rPr>
                <w:kern w:val="0"/>
                <w:sz w:val="18"/>
                <w:szCs w:val="18"/>
              </w:rPr>
              <w:t>指标值</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实际</w:t>
            </w:r>
          </w:p>
          <w:p>
            <w:pPr>
              <w:widowControl/>
              <w:spacing w:line="240" w:lineRule="exact"/>
              <w:jc w:val="center"/>
              <w:rPr>
                <w:kern w:val="0"/>
                <w:sz w:val="18"/>
                <w:szCs w:val="18"/>
              </w:rPr>
            </w:pPr>
            <w:r>
              <w:rPr>
                <w:kern w:val="0"/>
                <w:sz w:val="18"/>
                <w:szCs w:val="18"/>
              </w:rPr>
              <w:t>完成值</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分值</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得分</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偏差原因分析及改进措施</w:t>
            </w:r>
          </w:p>
        </w:tc>
      </w:tr>
      <w:tr>
        <w:tblPrEx>
          <w:tblCellMar>
            <w:top w:w="0" w:type="dxa"/>
            <w:left w:w="108" w:type="dxa"/>
            <w:bottom w:w="0" w:type="dxa"/>
            <w:right w:w="108" w:type="dxa"/>
          </w:tblCellMar>
        </w:tblPrEx>
        <w:trPr>
          <w:trHeight w:val="52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产出指标</w:t>
            </w:r>
            <w:r>
              <w:rPr>
                <w:kern w:val="0"/>
                <w:sz w:val="20"/>
                <w:szCs w:val="20"/>
              </w:rPr>
              <w:t>(50分)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val="en-US" w:eastAsia="zh-CN"/>
              </w:rPr>
            </w:pPr>
            <w:r>
              <w:rPr>
                <w:rFonts w:hint="eastAsia"/>
                <w:color w:val="000000"/>
                <w:kern w:val="0"/>
                <w:sz w:val="18"/>
                <w:szCs w:val="18"/>
                <w:lang w:eastAsia="zh-CN"/>
              </w:rPr>
              <w:t>指标1：</w:t>
            </w:r>
            <w:r>
              <w:rPr>
                <w:rFonts w:hint="eastAsia"/>
                <w:color w:val="000000"/>
                <w:kern w:val="0"/>
                <w:sz w:val="18"/>
                <w:szCs w:val="18"/>
                <w:lang w:val="en-US" w:eastAsia="zh-CN"/>
              </w:rPr>
              <w:t>农村综合服务平台建设</w:t>
            </w:r>
          </w:p>
        </w:tc>
        <w:tc>
          <w:tcPr>
            <w:tcW w:w="92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val="en-US" w:eastAsia="zh-CN"/>
              </w:rPr>
            </w:pPr>
            <w:r>
              <w:rPr>
                <w:rFonts w:hint="eastAsia"/>
                <w:color w:val="000000"/>
                <w:kern w:val="0"/>
                <w:sz w:val="18"/>
                <w:szCs w:val="18"/>
                <w:lang w:val="en-US" w:eastAsia="zh-CN"/>
              </w:rPr>
              <w:t>1条</w:t>
            </w:r>
          </w:p>
        </w:tc>
        <w:tc>
          <w:tcPr>
            <w:tcW w:w="98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val="en-US" w:eastAsia="zh-CN"/>
              </w:rPr>
            </w:pPr>
            <w:r>
              <w:rPr>
                <w:rFonts w:hint="eastAsia"/>
                <w:color w:val="000000"/>
                <w:kern w:val="0"/>
                <w:sz w:val="18"/>
                <w:szCs w:val="18"/>
                <w:lang w:val="en-US" w:eastAsia="zh-CN"/>
              </w:rPr>
              <w:t>1条</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20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20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r>
              <w:rPr>
                <w:rFonts w:hint="eastAsia"/>
                <w:color w:val="000000"/>
                <w:kern w:val="0"/>
                <w:sz w:val="18"/>
                <w:szCs w:val="18"/>
                <w:lang w:eastAsia="zh-CN"/>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val="en-US" w:eastAsia="zh-CN"/>
              </w:rPr>
            </w:pPr>
            <w:r>
              <w:rPr>
                <w:color w:val="000000"/>
                <w:kern w:val="0"/>
                <w:sz w:val="18"/>
                <w:szCs w:val="18"/>
              </w:rPr>
              <w:t>指标1：</w:t>
            </w:r>
            <w:r>
              <w:rPr>
                <w:rFonts w:hint="eastAsia"/>
                <w:color w:val="000000"/>
                <w:kern w:val="0"/>
                <w:sz w:val="18"/>
                <w:szCs w:val="18"/>
                <w:lang w:eastAsia="zh-CN"/>
              </w:rPr>
              <w:t>资金到位率</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100;%</w:t>
            </w:r>
          </w:p>
        </w:tc>
        <w:tc>
          <w:tcPr>
            <w:tcW w:w="983" w:type="dxa"/>
            <w:tcBorders>
              <w:top w:val="nil"/>
              <w:left w:val="nil"/>
              <w:bottom w:val="single" w:color="auto" w:sz="4" w:space="0"/>
              <w:right w:val="single" w:color="auto" w:sz="4" w:space="0"/>
            </w:tcBorders>
            <w:noWrap w:val="0"/>
            <w:vAlign w:val="center"/>
          </w:tcPr>
          <w:p>
            <w:pPr>
              <w:widowControl/>
              <w:spacing w:line="240" w:lineRule="exact"/>
              <w:jc w:val="both"/>
              <w:rPr>
                <w:rFonts w:hint="default" w:eastAsia="宋体"/>
                <w:kern w:val="0"/>
                <w:sz w:val="18"/>
                <w:szCs w:val="18"/>
                <w:lang w:val="en-US" w:eastAsia="zh-CN"/>
              </w:rPr>
            </w:pPr>
            <w:r>
              <w:rPr>
                <w:rFonts w:hint="eastAsia"/>
                <w:kern w:val="0"/>
                <w:sz w:val="18"/>
                <w:szCs w:val="18"/>
                <w:lang w:val="en-US" w:eastAsia="zh-CN"/>
              </w:rPr>
              <w:t>100%</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val="en-US" w:eastAsia="zh-CN"/>
              </w:rPr>
            </w:pPr>
            <w:r>
              <w:rPr>
                <w:color w:val="000000"/>
                <w:kern w:val="0"/>
                <w:sz w:val="18"/>
                <w:szCs w:val="18"/>
              </w:rPr>
              <w:t>指标1</w:t>
            </w:r>
            <w:r>
              <w:rPr>
                <w:rFonts w:hint="eastAsia"/>
                <w:color w:val="000000"/>
                <w:kern w:val="0"/>
                <w:sz w:val="18"/>
                <w:szCs w:val="18"/>
                <w:lang w:eastAsia="zh-CN"/>
              </w:rPr>
              <w:t>预算年度内完成</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5"/>
                <w:szCs w:val="15"/>
              </w:rPr>
              <w:t>按进度</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5"/>
                <w:szCs w:val="15"/>
              </w:rPr>
              <w:t>按进度</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rPr>
            </w:pPr>
            <w:r>
              <w:rPr>
                <w:color w:val="000000"/>
                <w:kern w:val="0"/>
                <w:sz w:val="18"/>
                <w:szCs w:val="18"/>
              </w:rPr>
              <w:t>指标1：</w:t>
            </w:r>
            <w:r>
              <w:rPr>
                <w:rFonts w:hint="eastAsia"/>
                <w:color w:val="000000"/>
                <w:kern w:val="0"/>
                <w:sz w:val="18"/>
                <w:szCs w:val="18"/>
                <w:lang w:val="en-US" w:eastAsia="zh-CN"/>
              </w:rPr>
              <w:t>农村综合服务平台建设</w:t>
            </w:r>
            <w:r>
              <w:rPr>
                <w:rFonts w:hint="eastAsia"/>
                <w:kern w:val="0"/>
                <w:sz w:val="18"/>
                <w:szCs w:val="18"/>
              </w:rPr>
              <w:t>专项资金</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cs="Times New Roman"/>
                <w:kern w:val="0"/>
                <w:sz w:val="18"/>
                <w:szCs w:val="18"/>
                <w:lang w:val="en-US" w:eastAsia="zh-CN"/>
              </w:rPr>
              <w:t>1079.15</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cs="Times New Roman"/>
                <w:kern w:val="0"/>
                <w:sz w:val="18"/>
                <w:szCs w:val="18"/>
                <w:lang w:val="en-US" w:eastAsia="zh-CN"/>
              </w:rPr>
              <w:t>1079.15</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效益指标</w:t>
            </w:r>
            <w:r>
              <w:rPr>
                <w:kern w:val="0"/>
                <w:sz w:val="20"/>
                <w:szCs w:val="20"/>
              </w:rPr>
              <w:t>(30分)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经济效益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指标1：</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lang w:eastAsia="zh-CN"/>
              </w:rPr>
            </w:pPr>
            <w:r>
              <w:rPr>
                <w:rFonts w:hint="eastAsia"/>
                <w:kern w:val="0"/>
                <w:sz w:val="18"/>
                <w:szCs w:val="18"/>
                <w:lang w:val="en-US" w:eastAsia="zh-CN"/>
              </w:rPr>
              <w:t>8</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75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社会效益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eastAsia="zh-CN"/>
              </w:rPr>
            </w:pPr>
            <w:r>
              <w:rPr>
                <w:color w:val="000000"/>
                <w:kern w:val="0"/>
                <w:sz w:val="18"/>
                <w:szCs w:val="18"/>
                <w:highlight w:val="none"/>
              </w:rPr>
              <w:t>指标1：</w:t>
            </w:r>
            <w:r>
              <w:rPr>
                <w:rFonts w:hint="eastAsia"/>
                <w:color w:val="000000"/>
                <w:kern w:val="0"/>
                <w:sz w:val="18"/>
                <w:szCs w:val="18"/>
                <w:highlight w:val="none"/>
              </w:rPr>
              <w:t>改善</w:t>
            </w:r>
            <w:r>
              <w:rPr>
                <w:rFonts w:hint="eastAsia"/>
                <w:color w:val="000000"/>
                <w:kern w:val="0"/>
                <w:sz w:val="18"/>
                <w:szCs w:val="18"/>
                <w:highlight w:val="none"/>
                <w:lang w:eastAsia="zh-CN"/>
              </w:rPr>
              <w:t>生活条件，增强幸福指数</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生态效益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指标1：</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7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eastAsia="zh-CN"/>
              </w:rPr>
            </w:pPr>
            <w:r>
              <w:rPr>
                <w:color w:val="000000"/>
                <w:kern w:val="0"/>
                <w:sz w:val="18"/>
                <w:szCs w:val="18"/>
                <w:highlight w:val="none"/>
              </w:rPr>
              <w:t>指标1：</w:t>
            </w:r>
            <w:r>
              <w:rPr>
                <w:rFonts w:hint="eastAsia"/>
                <w:color w:val="000000"/>
                <w:kern w:val="0"/>
                <w:sz w:val="18"/>
                <w:szCs w:val="18"/>
                <w:highlight w:val="none"/>
                <w:lang w:eastAsia="zh-CN"/>
              </w:rPr>
              <w:t>为群众提供便捷及时的信息化服务，促进经济发展</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满意度</w:t>
            </w:r>
          </w:p>
          <w:p>
            <w:pPr>
              <w:widowControl/>
              <w:spacing w:line="240" w:lineRule="exact"/>
              <w:jc w:val="center"/>
              <w:rPr>
                <w:kern w:val="0"/>
                <w:sz w:val="18"/>
                <w:szCs w:val="18"/>
              </w:rPr>
            </w:pPr>
            <w:r>
              <w:rPr>
                <w:kern w:val="0"/>
                <w:sz w:val="18"/>
                <w:szCs w:val="18"/>
              </w:rPr>
              <w:t>指标</w:t>
            </w:r>
            <w:r>
              <w:rPr>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rPr>
            </w:pPr>
            <w:r>
              <w:rPr>
                <w:color w:val="000000"/>
                <w:kern w:val="0"/>
                <w:sz w:val="18"/>
                <w:szCs w:val="18"/>
              </w:rPr>
              <w:t>指标1</w:t>
            </w:r>
            <w:r>
              <w:rPr>
                <w:color w:val="000000"/>
                <w:kern w:val="0"/>
                <w:sz w:val="18"/>
                <w:szCs w:val="18"/>
                <w:highlight w:val="none"/>
              </w:rPr>
              <w:t>：</w:t>
            </w:r>
            <w:r>
              <w:rPr>
                <w:rFonts w:hint="eastAsia"/>
                <w:color w:val="000000"/>
                <w:kern w:val="0"/>
                <w:sz w:val="18"/>
                <w:szCs w:val="18"/>
                <w:highlight w:val="none"/>
              </w:rPr>
              <w:t>社会满意度</w:t>
            </w:r>
          </w:p>
        </w:tc>
        <w:tc>
          <w:tcPr>
            <w:tcW w:w="92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满意</w:t>
            </w:r>
          </w:p>
        </w:tc>
        <w:tc>
          <w:tcPr>
            <w:tcW w:w="98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满意</w:t>
            </w:r>
          </w:p>
        </w:tc>
        <w:tc>
          <w:tcPr>
            <w:tcW w:w="58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63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9</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929"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3"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74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color w:val="000000"/>
                <w:kern w:val="0"/>
                <w:sz w:val="18"/>
                <w:szCs w:val="18"/>
              </w:rPr>
            </w:pPr>
            <w:r>
              <w:rPr>
                <w:color w:val="000000"/>
                <w:kern w:val="0"/>
                <w:sz w:val="18"/>
                <w:szCs w:val="18"/>
              </w:rPr>
              <w:t>总分</w:t>
            </w:r>
          </w:p>
        </w:tc>
        <w:tc>
          <w:tcPr>
            <w:tcW w:w="584" w:type="dxa"/>
            <w:gridSpan w:val="2"/>
            <w:tcBorders>
              <w:top w:val="nil"/>
              <w:left w:val="nil"/>
              <w:bottom w:val="single" w:color="auto" w:sz="4" w:space="0"/>
              <w:right w:val="single" w:color="auto" w:sz="4" w:space="0"/>
            </w:tcBorders>
            <w:noWrap w:val="0"/>
            <w:vAlign w:val="center"/>
          </w:tcPr>
          <w:p>
            <w:pPr>
              <w:widowControl/>
              <w:spacing w:line="240" w:lineRule="exact"/>
              <w:jc w:val="center"/>
              <w:rPr>
                <w:color w:val="000000"/>
                <w:kern w:val="0"/>
                <w:sz w:val="18"/>
                <w:szCs w:val="18"/>
              </w:rPr>
            </w:pPr>
            <w:r>
              <w:rPr>
                <w:color w:val="000000"/>
                <w:kern w:val="0"/>
                <w:sz w:val="18"/>
                <w:szCs w:val="18"/>
              </w:rPr>
              <w:t>100</w:t>
            </w:r>
          </w:p>
        </w:tc>
        <w:tc>
          <w:tcPr>
            <w:tcW w:w="63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97</w:t>
            </w:r>
          </w:p>
        </w:tc>
        <w:tc>
          <w:tcPr>
            <w:tcW w:w="112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widowControl/>
        <w:spacing w:line="400" w:lineRule="exact"/>
        <w:jc w:val="left"/>
        <w:rPr>
          <w:color w:val="000000"/>
          <w:kern w:val="0"/>
          <w:sz w:val="18"/>
          <w:szCs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3"/>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 xml:space="preserve">    3.定量指标若为正向指标（即指标值为≥*），则得分计算方法应用全年实际值（B）/年度指标值（A）</w:t>
            </w:r>
            <w:r>
              <w:rPr>
                <w:color w:val="000000"/>
                <w:kern w:val="0"/>
                <w:sz w:val="12"/>
                <w:szCs w:val="12"/>
              </w:rPr>
              <w:t>╳</w:t>
            </w:r>
            <w:r>
              <w:rPr>
                <w:color w:val="000000"/>
                <w:kern w:val="0"/>
                <w:sz w:val="18"/>
                <w:szCs w:val="18"/>
              </w:rPr>
              <w:t>该指标分值；若定量指标为反向指标（即指标值为≤*），则得分计算方法应用年度指标值（A）/全年实际值（B）</w:t>
            </w:r>
            <w:r>
              <w:rPr>
                <w:color w:val="000000"/>
                <w:kern w:val="0"/>
                <w:sz w:val="12"/>
                <w:szCs w:val="12"/>
              </w:rPr>
              <w:t>╳</w:t>
            </w:r>
            <w:r>
              <w:rPr>
                <w:color w:val="000000"/>
                <w:kern w:val="0"/>
                <w:sz w:val="18"/>
                <w:szCs w:val="18"/>
              </w:rPr>
              <w:t>该指标分值。</w:t>
            </w:r>
          </w:p>
        </w:tc>
      </w:tr>
      <w:tr>
        <w:tblPrEx>
          <w:tblCellMar>
            <w:top w:w="0" w:type="dxa"/>
            <w:left w:w="108" w:type="dxa"/>
            <w:bottom w:w="0" w:type="dxa"/>
            <w:right w:w="108" w:type="dxa"/>
          </w:tblCellMar>
        </w:tblPrEx>
        <w:trPr>
          <w:trHeight w:val="90" w:hRule="atLeast"/>
        </w:trPr>
        <w:tc>
          <w:tcPr>
            <w:tcW w:w="9540" w:type="dxa"/>
            <w:tcBorders>
              <w:top w:val="nil"/>
              <w:left w:val="nil"/>
              <w:bottom w:val="nil"/>
              <w:right w:val="nil"/>
            </w:tcBorders>
            <w:noWrap/>
            <w:vAlign w:val="center"/>
          </w:tcPr>
          <w:p>
            <w:pPr>
              <w:widowControl/>
              <w:spacing w:line="400" w:lineRule="exact"/>
              <w:jc w:val="left"/>
              <w:rPr>
                <w:color w:val="000000"/>
                <w:kern w:val="0"/>
                <w:sz w:val="18"/>
                <w:szCs w:val="18"/>
              </w:rPr>
            </w:pPr>
            <w:r>
              <w:rPr>
                <w:color w:val="000000"/>
                <w:kern w:val="0"/>
                <w:sz w:val="18"/>
                <w:szCs w:val="18"/>
              </w:rPr>
              <w:t xml:space="preserve">    4.请在“</w:t>
            </w:r>
            <w:r>
              <w:rPr>
                <w:kern w:val="0"/>
                <w:sz w:val="18"/>
                <w:szCs w:val="18"/>
              </w:rPr>
              <w:t>偏差原因分析及改进措施</w:t>
            </w:r>
            <w:r>
              <w:rPr>
                <w:color w:val="000000"/>
                <w:kern w:val="0"/>
                <w:sz w:val="18"/>
                <w:szCs w:val="18"/>
              </w:rPr>
              <w:t>”中说明偏离目标、不能完成目标的原因及拟采取的措施。</w:t>
            </w:r>
          </w:p>
        </w:tc>
      </w:tr>
    </w:tbl>
    <w:p>
      <w:pPr>
        <w:widowControl/>
        <w:spacing w:line="400" w:lineRule="exact"/>
        <w:jc w:val="left"/>
        <w:rPr>
          <w:color w:val="000000"/>
          <w:kern w:val="0"/>
          <w:sz w:val="18"/>
          <w:szCs w:val="18"/>
        </w:rPr>
        <w:sectPr>
          <w:pgSz w:w="11906" w:h="16838"/>
          <w:pgMar w:top="1587" w:right="1587" w:bottom="1587" w:left="1587" w:header="737" w:footer="850" w:gutter="0"/>
          <w:cols w:space="720" w:num="1"/>
          <w:docGrid w:type="lines" w:linePitch="408" w:charSpace="0"/>
        </w:sectPr>
      </w:pPr>
    </w:p>
    <w:p>
      <w:pPr>
        <w:spacing w:line="560" w:lineRule="exact"/>
        <w:rPr>
          <w:rFonts w:hint="eastAsia"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3"/>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noWrap w:val="0"/>
            <w:vAlign w:val="top"/>
          </w:tcPr>
          <w:p>
            <w:pPr>
              <w:widowControl/>
              <w:spacing w:line="0" w:lineRule="atLeast"/>
              <w:jc w:val="center"/>
              <w:rPr>
                <w:b/>
                <w:bCs/>
                <w:color w:val="000000"/>
                <w:kern w:val="0"/>
                <w:sz w:val="22"/>
                <w:szCs w:val="22"/>
              </w:rPr>
            </w:pPr>
            <w:r>
              <w:rPr>
                <w:b/>
                <w:bCs/>
                <w:color w:val="000000"/>
                <w:kern w:val="0"/>
                <w:sz w:val="22"/>
                <w:szCs w:val="22"/>
              </w:rPr>
              <w:t>分</w:t>
            </w:r>
          </w:p>
          <w:p>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项目立项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52"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6"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noWrap w:val="0"/>
            <w:vAlign w:val="center"/>
          </w:tcPr>
          <w:p>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6"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52"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08"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1"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效益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项目效益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eastAsia="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noWrap w:val="0"/>
            <w:vAlign w:val="center"/>
          </w:tcPr>
          <w:p>
            <w:pPr>
              <w:widowControl/>
              <w:spacing w:line="0" w:lineRule="atLeast"/>
              <w:rPr>
                <w:color w:val="000000"/>
                <w:kern w:val="0"/>
                <w:sz w:val="22"/>
                <w:szCs w:val="22"/>
              </w:rPr>
            </w:pPr>
          </w:p>
        </w:tc>
        <w:tc>
          <w:tcPr>
            <w:tcW w:w="6096" w:type="dxa"/>
            <w:shd w:val="clear" w:color="auto" w:fill="FFFFFF"/>
            <w:noWrap w:val="0"/>
            <w:vAlign w:val="center"/>
          </w:tcPr>
          <w:p>
            <w:pPr>
              <w:widowControl/>
              <w:spacing w:line="0" w:lineRule="atLeast"/>
              <w:rPr>
                <w:color w:val="000000"/>
                <w:kern w:val="0"/>
                <w:sz w:val="22"/>
                <w:szCs w:val="22"/>
              </w:rPr>
            </w:pP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97</w:t>
            </w:r>
          </w:p>
        </w:tc>
      </w:tr>
    </w:tbl>
    <w:p>
      <w:pPr>
        <w:spacing w:line="440" w:lineRule="exact"/>
        <w:ind w:firstLine="450" w:firstLineChars="225"/>
        <w:rPr>
          <w:rFonts w:hint="eastAsia" w:ascii="仿宋" w:hAnsi="仿宋" w:eastAsia="仿宋"/>
          <w:sz w:val="32"/>
          <w:szCs w:val="32"/>
        </w:rPr>
      </w:pPr>
      <w:r>
        <w:rPr>
          <w:rFonts w:eastAsia="仿宋_GB2312"/>
          <w:sz w:val="20"/>
          <w:szCs w:val="20"/>
        </w:rPr>
        <w:t>注：单位可以根据专项资金的管理要求和绩效要求增设个性指标。</w:t>
      </w:r>
    </w:p>
    <w:p>
      <w:pPr>
        <w:rPr>
          <w:b/>
          <w:bCs/>
        </w:rPr>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93CE0"/>
    <w:rsid w:val="082456DA"/>
    <w:rsid w:val="09C4793E"/>
    <w:rsid w:val="0FE35751"/>
    <w:rsid w:val="10BF2477"/>
    <w:rsid w:val="13516BC5"/>
    <w:rsid w:val="1AE64DF4"/>
    <w:rsid w:val="1D445A08"/>
    <w:rsid w:val="214721DF"/>
    <w:rsid w:val="251C5E9C"/>
    <w:rsid w:val="26B13221"/>
    <w:rsid w:val="2A1E0543"/>
    <w:rsid w:val="2C8F5D93"/>
    <w:rsid w:val="33D5437C"/>
    <w:rsid w:val="39A857F8"/>
    <w:rsid w:val="3BA96369"/>
    <w:rsid w:val="3BC67AF5"/>
    <w:rsid w:val="42C46945"/>
    <w:rsid w:val="44F376E7"/>
    <w:rsid w:val="46175460"/>
    <w:rsid w:val="4D0F7FFB"/>
    <w:rsid w:val="5016675C"/>
    <w:rsid w:val="5BAC1602"/>
    <w:rsid w:val="5BF20084"/>
    <w:rsid w:val="62EB2D3D"/>
    <w:rsid w:val="638E10DE"/>
    <w:rsid w:val="64AA2347"/>
    <w:rsid w:val="65240847"/>
    <w:rsid w:val="69EF30FD"/>
    <w:rsid w:val="750C65D8"/>
    <w:rsid w:val="7640559B"/>
    <w:rsid w:val="782D13EA"/>
    <w:rsid w:val="7BB95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*K～*</cp:lastModifiedBy>
  <cp:lastPrinted>2021-08-23T08:50:00Z</cp:lastPrinted>
  <dcterms:modified xsi:type="dcterms:W3CDTF">2021-08-27T01:48:13Z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3141B1CA911E4DF681C9224B5AC78FE2</vt:lpwstr>
  </property>
</Properties>
</file>