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spacing w:line="510" w:lineRule="exact"/>
        <w:jc w:val="center"/>
        <w:rPr>
          <w:rFonts w:hint="eastAsia" w:ascii="Times New Roman" w:hAnsi="Times New Roman" w:eastAsia="黑体" w:cs="Times New Roman"/>
          <w:sz w:val="44"/>
          <w:szCs w:val="44"/>
          <w:lang w:eastAsia="zh-CN"/>
        </w:rPr>
      </w:pPr>
      <w:r>
        <w:rPr>
          <w:rFonts w:hint="eastAsia" w:ascii="Times New Roman" w:hAnsi="Times New Roman" w:eastAsia="黑体" w:cs="Times New Roman"/>
          <w:sz w:val="44"/>
          <w:szCs w:val="44"/>
          <w:lang w:eastAsia="zh-CN"/>
        </w:rPr>
        <w:t>中方县人民政府办公室</w:t>
      </w:r>
    </w:p>
    <w:p>
      <w:pPr>
        <w:pStyle w:val="7"/>
        <w:spacing w:line="510" w:lineRule="exact"/>
        <w:jc w:val="center"/>
        <w:rPr>
          <w:rFonts w:hint="eastAsia" w:ascii="Times New Roman" w:hAnsi="Times New Roman" w:eastAsia="黑体" w:cs="Times New Roman"/>
          <w:sz w:val="44"/>
          <w:szCs w:val="44"/>
          <w:lang w:eastAsia="zh-CN"/>
        </w:rPr>
      </w:pPr>
      <w:r>
        <w:rPr>
          <w:rFonts w:hint="eastAsia" w:ascii="Times New Roman" w:hAnsi="Times New Roman" w:eastAsia="黑体" w:cs="Times New Roman"/>
          <w:sz w:val="44"/>
          <w:szCs w:val="44"/>
        </w:rPr>
        <w:t>20</w:t>
      </w:r>
      <w:r>
        <w:rPr>
          <w:rFonts w:hint="eastAsia" w:ascii="Times New Roman" w:hAnsi="Times New Roman" w:eastAsia="黑体" w:cs="Times New Roman"/>
          <w:sz w:val="44"/>
          <w:szCs w:val="44"/>
          <w:lang w:val="en-US" w:eastAsia="zh-CN"/>
        </w:rPr>
        <w:t>20</w:t>
      </w:r>
      <w:r>
        <w:rPr>
          <w:rFonts w:hint="eastAsia" w:ascii="Times New Roman" w:hAnsi="Times New Roman" w:eastAsia="黑体" w:cs="Times New Roman"/>
          <w:sz w:val="44"/>
          <w:szCs w:val="44"/>
        </w:rPr>
        <w:t>年度</w:t>
      </w:r>
      <w:r>
        <w:rPr>
          <w:rFonts w:hint="eastAsia" w:ascii="Times New Roman" w:hAnsi="Times New Roman" w:eastAsia="黑体" w:cs="Times New Roman"/>
          <w:sz w:val="44"/>
          <w:szCs w:val="44"/>
          <w:lang w:eastAsia="zh-CN"/>
        </w:rPr>
        <w:t>应急管理</w:t>
      </w:r>
    </w:p>
    <w:p>
      <w:pPr>
        <w:pStyle w:val="7"/>
        <w:spacing w:line="510" w:lineRule="exact"/>
        <w:ind w:firstLine="2200" w:firstLineChars="500"/>
        <w:jc w:val="both"/>
        <w:rPr>
          <w:rFonts w:hint="default" w:ascii="Times New Roman" w:hAnsi="Times New Roman" w:eastAsia="黑体" w:cs="Times New Roman"/>
          <w:sz w:val="44"/>
          <w:szCs w:val="44"/>
        </w:rPr>
      </w:pPr>
      <w:r>
        <w:rPr>
          <w:rFonts w:hint="default" w:ascii="Times New Roman" w:hAnsi="Times New Roman" w:eastAsia="黑体" w:cs="Times New Roman"/>
          <w:sz w:val="44"/>
          <w:szCs w:val="44"/>
        </w:rPr>
        <w:t>项目支出绩效</w:t>
      </w:r>
      <w:r>
        <w:rPr>
          <w:rFonts w:hint="eastAsia" w:ascii="Times New Roman" w:hAnsi="Times New Roman" w:eastAsia="黑体" w:cs="Times New Roman"/>
          <w:sz w:val="44"/>
          <w:szCs w:val="44"/>
          <w:lang w:eastAsia="zh-CN"/>
        </w:rPr>
        <w:t>自评</w:t>
      </w:r>
      <w:r>
        <w:rPr>
          <w:rFonts w:hint="default" w:ascii="Times New Roman" w:hAnsi="Times New Roman" w:eastAsia="黑体" w:cs="Times New Roman"/>
          <w:sz w:val="44"/>
          <w:szCs w:val="44"/>
        </w:rPr>
        <w:t>报告</w:t>
      </w:r>
    </w:p>
    <w:p>
      <w:pPr>
        <w:pStyle w:val="7"/>
        <w:spacing w:line="510" w:lineRule="exact"/>
        <w:ind w:firstLine="643" w:firstLineChars="200"/>
        <w:rPr>
          <w:rFonts w:hint="default" w:ascii="Times New Roman" w:hAnsi="Times New Roman" w:eastAsia="楷体" w:cs="Times New Roman"/>
          <w:b/>
          <w:sz w:val="32"/>
          <w:szCs w:val="32"/>
        </w:rPr>
      </w:pPr>
    </w:p>
    <w:p>
      <w:pPr>
        <w:pStyle w:val="7"/>
        <w:spacing w:line="510" w:lineRule="exact"/>
        <w:ind w:firstLine="643" w:firstLineChars="200"/>
        <w:rPr>
          <w:rFonts w:hint="default" w:ascii="Times New Roman" w:hAnsi="Times New Roman" w:eastAsia="楷体" w:cs="Times New Roman"/>
          <w:b/>
          <w:sz w:val="32"/>
          <w:szCs w:val="32"/>
        </w:rPr>
      </w:pPr>
      <w:r>
        <w:rPr>
          <w:rFonts w:hint="default" w:ascii="Times New Roman" w:hAnsi="Times New Roman" w:eastAsia="楷体" w:cs="Times New Roman"/>
          <w:b/>
          <w:sz w:val="32"/>
          <w:szCs w:val="32"/>
        </w:rPr>
        <w:t>一、基本情况</w:t>
      </w:r>
    </w:p>
    <w:p>
      <w:pPr>
        <w:pStyle w:val="7"/>
        <w:numPr>
          <w:ilvl w:val="0"/>
          <w:numId w:val="1"/>
        </w:numPr>
        <w:spacing w:line="510" w:lineRule="exact"/>
        <w:ind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项目概况。包括项目背景、主要内容及实施情况、资金投入和使用情况等。</w:t>
      </w:r>
    </w:p>
    <w:p>
      <w:pPr>
        <w:pStyle w:val="7"/>
        <w:numPr>
          <w:ilvl w:val="0"/>
          <w:numId w:val="0"/>
        </w:numPr>
        <w:spacing w:line="510" w:lineRule="exact"/>
        <w:ind w:firstLine="640" w:firstLineChars="200"/>
        <w:rPr>
          <w:rFonts w:hint="eastAsia" w:ascii="微软雅黑" w:hAnsi="微软雅黑" w:eastAsia="微软雅黑" w:cs="微软雅黑"/>
          <w:i w:val="0"/>
          <w:iCs w:val="0"/>
          <w:caps w:val="0"/>
          <w:color w:val="333333"/>
          <w:spacing w:val="0"/>
          <w:sz w:val="23"/>
          <w:szCs w:val="23"/>
          <w:shd w:val="clear" w:fill="FFFFFF"/>
          <w:lang w:eastAsia="zh-CN"/>
        </w:rPr>
      </w:pPr>
      <w:r>
        <w:rPr>
          <w:rFonts w:hint="eastAsia" w:ascii="Times New Roman" w:hAnsi="Times New Roman" w:eastAsia="仿宋" w:cs="Times New Roman"/>
          <w:sz w:val="32"/>
          <w:szCs w:val="32"/>
          <w:highlight w:val="none"/>
          <w:lang w:val="en-US" w:eastAsia="zh-CN"/>
        </w:rPr>
        <w:t>应急管理</w:t>
      </w:r>
      <w:r>
        <w:rPr>
          <w:rFonts w:hint="default" w:ascii="Times New Roman" w:hAnsi="Times New Roman" w:eastAsia="仿宋" w:cs="Times New Roman"/>
          <w:sz w:val="32"/>
          <w:szCs w:val="32"/>
          <w:highlight w:val="none"/>
          <w:lang w:val="en-US" w:eastAsia="zh-CN"/>
        </w:rPr>
        <w:t>，主要</w:t>
      </w:r>
      <w:r>
        <w:rPr>
          <w:rFonts w:hint="eastAsia" w:ascii="Times New Roman" w:hAnsi="Times New Roman" w:eastAsia="仿宋" w:cs="Times New Roman"/>
          <w:sz w:val="32"/>
          <w:szCs w:val="32"/>
          <w:highlight w:val="none"/>
          <w:lang w:val="en-US" w:eastAsia="zh-CN"/>
        </w:rPr>
        <w:t>用于</w:t>
      </w:r>
      <w:r>
        <w:rPr>
          <w:rFonts w:hint="eastAsia" w:ascii="Times New Roman" w:hAnsi="Times New Roman" w:eastAsia="仿宋" w:cs="Times New Roman"/>
          <w:sz w:val="32"/>
          <w:szCs w:val="32"/>
          <w:lang w:val="en-US" w:eastAsia="zh-CN"/>
        </w:rPr>
        <w:t>成立应对紧急情况专制机构,配备应急值班人员(白班8人，晚班14人，全天全年轮班）</w:t>
      </w:r>
      <w:r>
        <w:rPr>
          <w:rFonts w:hint="eastAsia" w:ascii="Times New Roman" w:hAnsi="Times New Roman" w:eastAsia="仿宋" w:cs="Times New Roman"/>
          <w:sz w:val="32"/>
          <w:szCs w:val="32"/>
        </w:rPr>
        <w:t>应急与值守，及时掌握和报告县内相关重大情况和动态，向县政府报送紧急事项，保证县政府各部门、各乡镇（社区）联络畅通，指导全县政府系统应急值守工作</w:t>
      </w:r>
      <w:r>
        <w:rPr>
          <w:rFonts w:hint="eastAsia" w:ascii="Times New Roman" w:hAnsi="Times New Roman" w:eastAsia="仿宋" w:cs="Times New Roman"/>
          <w:sz w:val="32"/>
          <w:szCs w:val="32"/>
          <w:lang w:eastAsia="zh-CN"/>
        </w:rPr>
        <w:t>。</w:t>
      </w:r>
      <w:r>
        <w:rPr>
          <w:rFonts w:hint="default" w:ascii="Times New Roman" w:hAnsi="Times New Roman" w:eastAsia="仿宋" w:cs="Times New Roman"/>
          <w:sz w:val="32"/>
          <w:szCs w:val="32"/>
        </w:rPr>
        <w:t>此项目资金主要用于</w:t>
      </w:r>
      <w:r>
        <w:rPr>
          <w:rFonts w:hint="eastAsia" w:ascii="Times New Roman" w:hAnsi="Times New Roman" w:eastAsia="仿宋" w:cs="Times New Roman"/>
          <w:sz w:val="32"/>
          <w:szCs w:val="32"/>
          <w:highlight w:val="none"/>
          <w:lang w:val="en-US" w:eastAsia="zh-CN"/>
        </w:rPr>
        <w:t>应急管理</w:t>
      </w:r>
      <w:r>
        <w:rPr>
          <w:rFonts w:hint="default" w:ascii="Times New Roman" w:hAnsi="Times New Roman" w:eastAsia="仿宋" w:cs="Times New Roman"/>
          <w:sz w:val="32"/>
          <w:szCs w:val="32"/>
        </w:rPr>
        <w:t>时所发生的</w:t>
      </w:r>
      <w:r>
        <w:rPr>
          <w:rFonts w:hint="eastAsia" w:ascii="Times New Roman" w:hAnsi="Times New Roman" w:eastAsia="仿宋" w:cs="Times New Roman"/>
          <w:sz w:val="32"/>
          <w:szCs w:val="32"/>
          <w:lang w:eastAsia="zh-CN"/>
        </w:rPr>
        <w:t>工资</w:t>
      </w:r>
      <w:r>
        <w:rPr>
          <w:rFonts w:hint="default" w:ascii="Times New Roman" w:hAnsi="Times New Roman" w:eastAsia="仿宋" w:cs="Times New Roman"/>
          <w:sz w:val="32"/>
          <w:szCs w:val="32"/>
        </w:rPr>
        <w:t>等开支。</w:t>
      </w:r>
    </w:p>
    <w:p>
      <w:pPr>
        <w:pStyle w:val="7"/>
        <w:numPr>
          <w:ilvl w:val="0"/>
          <w:numId w:val="0"/>
        </w:numPr>
        <w:spacing w:line="510" w:lineRule="exact"/>
        <w:ind w:firstLine="640" w:firstLineChars="200"/>
        <w:rPr>
          <w:rFonts w:hint="default" w:ascii="Times New Roman" w:hAnsi="Times New Roman" w:eastAsia="仿宋" w:cs="Times New Roman"/>
          <w:sz w:val="32"/>
          <w:szCs w:val="32"/>
          <w:highlight w:val="none"/>
        </w:rPr>
      </w:pPr>
      <w:r>
        <w:rPr>
          <w:rFonts w:hint="default" w:ascii="Times New Roman" w:hAnsi="Times New Roman" w:eastAsia="仿宋" w:cs="Times New Roman"/>
          <w:sz w:val="32"/>
          <w:szCs w:val="32"/>
          <w:highlight w:val="none"/>
        </w:rPr>
        <w:t>20</w:t>
      </w:r>
      <w:r>
        <w:rPr>
          <w:rFonts w:hint="eastAsia" w:ascii="Times New Roman" w:hAnsi="Times New Roman" w:eastAsia="仿宋" w:cs="Times New Roman"/>
          <w:sz w:val="32"/>
          <w:szCs w:val="32"/>
          <w:highlight w:val="none"/>
          <w:lang w:val="en-US" w:eastAsia="zh-CN"/>
        </w:rPr>
        <w:t>20</w:t>
      </w:r>
      <w:r>
        <w:rPr>
          <w:rFonts w:hint="default" w:ascii="Times New Roman" w:hAnsi="Times New Roman" w:eastAsia="仿宋" w:cs="Times New Roman"/>
          <w:sz w:val="32"/>
          <w:szCs w:val="32"/>
          <w:highlight w:val="none"/>
        </w:rPr>
        <w:t>年</w:t>
      </w:r>
      <w:r>
        <w:rPr>
          <w:rFonts w:hint="eastAsia" w:ascii="Times New Roman" w:hAnsi="Times New Roman" w:eastAsia="仿宋" w:cs="Times New Roman"/>
          <w:sz w:val="32"/>
          <w:szCs w:val="32"/>
          <w:highlight w:val="none"/>
          <w:lang w:eastAsia="zh-CN"/>
        </w:rPr>
        <w:t>中方县人民政府办公室应急管理项目</w:t>
      </w:r>
      <w:r>
        <w:rPr>
          <w:rFonts w:hint="default" w:ascii="Times New Roman" w:hAnsi="Times New Roman" w:eastAsia="仿宋" w:cs="Times New Roman"/>
          <w:sz w:val="32"/>
          <w:szCs w:val="32"/>
          <w:highlight w:val="none"/>
        </w:rPr>
        <w:t>财政预算安排资金</w:t>
      </w:r>
      <w:r>
        <w:rPr>
          <w:rFonts w:hint="eastAsia" w:ascii="Times New Roman" w:hAnsi="Times New Roman" w:eastAsia="仿宋" w:cs="Times New Roman"/>
          <w:sz w:val="32"/>
          <w:szCs w:val="32"/>
          <w:highlight w:val="none"/>
          <w:lang w:val="en-US" w:eastAsia="zh-CN"/>
        </w:rPr>
        <w:t>50000元</w:t>
      </w:r>
      <w:r>
        <w:rPr>
          <w:rFonts w:hint="default" w:ascii="Times New Roman" w:hAnsi="Times New Roman" w:eastAsia="仿宋" w:cs="Times New Roman"/>
          <w:sz w:val="32"/>
          <w:szCs w:val="32"/>
          <w:highlight w:val="none"/>
        </w:rPr>
        <w:t>，执行过程中，财政拨付专项经</w:t>
      </w:r>
      <w:r>
        <w:rPr>
          <w:rFonts w:hint="default" w:ascii="Times New Roman" w:hAnsi="Times New Roman" w:eastAsia="仿宋" w:cs="Times New Roman"/>
          <w:color w:val="auto"/>
          <w:sz w:val="32"/>
          <w:szCs w:val="32"/>
          <w:highlight w:val="none"/>
        </w:rPr>
        <w:t>费</w:t>
      </w:r>
      <w:r>
        <w:rPr>
          <w:rFonts w:hint="eastAsia" w:ascii="Times New Roman" w:hAnsi="Times New Roman" w:eastAsia="仿宋" w:cs="Times New Roman"/>
          <w:color w:val="auto"/>
          <w:sz w:val="32"/>
          <w:szCs w:val="32"/>
          <w:highlight w:val="none"/>
          <w:lang w:val="en-US" w:eastAsia="zh-CN"/>
        </w:rPr>
        <w:t>200000</w:t>
      </w:r>
      <w:r>
        <w:rPr>
          <w:rFonts w:hint="default" w:ascii="Times New Roman" w:hAnsi="Times New Roman" w:eastAsia="仿宋" w:cs="Times New Roman"/>
          <w:color w:val="auto"/>
          <w:sz w:val="32"/>
          <w:szCs w:val="32"/>
          <w:highlight w:val="none"/>
        </w:rPr>
        <w:t>元。本年度，用于</w:t>
      </w:r>
      <w:r>
        <w:rPr>
          <w:rFonts w:hint="eastAsia" w:ascii="Times New Roman" w:hAnsi="Times New Roman" w:eastAsia="仿宋" w:cs="Times New Roman"/>
          <w:color w:val="auto"/>
          <w:sz w:val="32"/>
          <w:szCs w:val="32"/>
          <w:highlight w:val="none"/>
          <w:lang w:eastAsia="zh-CN"/>
        </w:rPr>
        <w:t>应急管理项目</w:t>
      </w:r>
      <w:r>
        <w:rPr>
          <w:rFonts w:hint="default" w:ascii="Times New Roman" w:hAnsi="Times New Roman" w:eastAsia="仿宋" w:cs="Times New Roman"/>
          <w:color w:val="auto"/>
          <w:sz w:val="32"/>
          <w:szCs w:val="32"/>
          <w:highlight w:val="none"/>
        </w:rPr>
        <w:t>经费共计</w:t>
      </w:r>
      <w:r>
        <w:rPr>
          <w:rFonts w:hint="eastAsia" w:ascii="Times New Roman" w:hAnsi="Times New Roman" w:eastAsia="仿宋" w:cs="Times New Roman"/>
          <w:color w:val="auto"/>
          <w:sz w:val="32"/>
          <w:szCs w:val="32"/>
          <w:highlight w:val="none"/>
          <w:lang w:val="en-US" w:eastAsia="zh-CN"/>
        </w:rPr>
        <w:t>200000</w:t>
      </w:r>
      <w:r>
        <w:rPr>
          <w:rFonts w:hint="default" w:ascii="Times New Roman" w:hAnsi="Times New Roman" w:eastAsia="仿宋" w:cs="Times New Roman"/>
          <w:color w:val="auto"/>
          <w:sz w:val="32"/>
          <w:szCs w:val="32"/>
          <w:highlight w:val="none"/>
        </w:rPr>
        <w:t>元</w:t>
      </w:r>
      <w:r>
        <w:rPr>
          <w:rFonts w:hint="default" w:ascii="Times New Roman" w:hAnsi="Times New Roman" w:eastAsia="仿宋" w:cs="Times New Roman"/>
          <w:sz w:val="32"/>
          <w:szCs w:val="32"/>
          <w:highlight w:val="none"/>
        </w:rPr>
        <w:t>。</w:t>
      </w:r>
    </w:p>
    <w:p>
      <w:pPr>
        <w:spacing w:line="560" w:lineRule="exact"/>
        <w:ind w:firstLine="640" w:firstLineChars="200"/>
        <w:rPr>
          <w:rFonts w:hint="default" w:ascii="仿宋_GB2312" w:hAnsi="Times New Roman" w:eastAsia="仿宋_GB2312" w:cs="Times New Roman"/>
          <w:snapToGrid w:val="0"/>
          <w:kern w:val="0"/>
          <w:sz w:val="32"/>
          <w:szCs w:val="32"/>
          <w:lang w:val="en-US" w:eastAsia="zh-CN" w:bidi="ar-SA"/>
        </w:rPr>
      </w:pPr>
      <w:r>
        <w:rPr>
          <w:rFonts w:hint="eastAsia" w:ascii="仿宋_GB2312" w:eastAsia="仿宋_GB2312" w:cs="Times New Roman"/>
          <w:snapToGrid w:val="0"/>
          <w:kern w:val="0"/>
          <w:sz w:val="32"/>
          <w:szCs w:val="32"/>
          <w:lang w:val="en-US" w:eastAsia="zh-CN" w:bidi="ar-SA"/>
        </w:rPr>
        <w:t>我单位</w:t>
      </w:r>
      <w:r>
        <w:rPr>
          <w:rFonts w:hint="eastAsia" w:ascii="仿宋_GB2312" w:hAnsi="Times New Roman" w:eastAsia="仿宋_GB2312" w:cs="Times New Roman"/>
          <w:snapToGrid w:val="0"/>
          <w:kern w:val="0"/>
          <w:sz w:val="32"/>
          <w:szCs w:val="32"/>
          <w:lang w:val="en-US" w:eastAsia="zh-CN" w:bidi="ar-SA"/>
        </w:rPr>
        <w:t>按照财务制度，严格专项资金管理，对项目资金使用按制度审批、按程序报销，严把审核关，同时，不断加强对项目经费管理使用的检查力度，应用于对口项目的支出，确保了专项工作的有序开展。近几年来，</w:t>
      </w:r>
      <w:r>
        <w:rPr>
          <w:rFonts w:hint="eastAsia" w:ascii="仿宋_GB2312" w:eastAsia="仿宋_GB2312" w:cs="Times New Roman"/>
          <w:snapToGrid w:val="0"/>
          <w:kern w:val="0"/>
          <w:sz w:val="32"/>
          <w:szCs w:val="32"/>
          <w:lang w:val="en-US" w:eastAsia="zh-CN" w:bidi="ar-SA"/>
        </w:rPr>
        <w:t>我单位</w:t>
      </w:r>
      <w:r>
        <w:rPr>
          <w:rFonts w:hint="eastAsia" w:ascii="仿宋_GB2312" w:hAnsi="Times New Roman" w:eastAsia="仿宋_GB2312" w:cs="Times New Roman"/>
          <w:snapToGrid w:val="0"/>
          <w:kern w:val="0"/>
          <w:sz w:val="32"/>
          <w:szCs w:val="32"/>
          <w:lang w:val="en-US" w:eastAsia="zh-CN" w:bidi="ar-SA"/>
        </w:rPr>
        <w:t>每年对专项项目经费的使用情况进行检查，发现问题及时纠正。</w:t>
      </w:r>
    </w:p>
    <w:p>
      <w:pPr>
        <w:pStyle w:val="7"/>
        <w:numPr>
          <w:ilvl w:val="0"/>
          <w:numId w:val="1"/>
        </w:numPr>
        <w:spacing w:line="510" w:lineRule="exact"/>
        <w:ind w:left="0" w:leftChars="0"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项目绩效目标。包括总体目标和阶段性目标。</w:t>
      </w:r>
    </w:p>
    <w:p>
      <w:pPr>
        <w:pStyle w:val="7"/>
        <w:numPr>
          <w:ilvl w:val="0"/>
          <w:numId w:val="0"/>
        </w:numPr>
        <w:spacing w:line="510" w:lineRule="exact"/>
        <w:ind w:firstLine="640" w:firstLineChars="200"/>
        <w:rPr>
          <w:rFonts w:hint="default" w:ascii="仿宋_GB2312" w:hAnsi="Times New Roman" w:eastAsia="仿宋_GB2312"/>
          <w:snapToGrid w:val="0"/>
          <w:kern w:val="0"/>
          <w:sz w:val="32"/>
          <w:szCs w:val="32"/>
          <w:lang w:val="en-US" w:eastAsia="zh-CN" w:bidi="ar-SA"/>
        </w:rPr>
      </w:pPr>
      <w:r>
        <w:rPr>
          <w:rFonts w:hint="eastAsia" w:ascii="Times New Roman" w:hAnsi="Times New Roman" w:eastAsia="仿宋" w:cs="Times New Roman"/>
          <w:sz w:val="32"/>
          <w:szCs w:val="32"/>
          <w:lang w:eastAsia="zh-CN"/>
        </w:rPr>
        <w:t>应急管理项目</w:t>
      </w:r>
      <w:r>
        <w:rPr>
          <w:rFonts w:hint="eastAsia" w:ascii="Times New Roman" w:hAnsi="Times New Roman" w:eastAsia="仿宋" w:cs="Times New Roman"/>
          <w:sz w:val="32"/>
          <w:szCs w:val="32"/>
          <w:lang w:val="en-US" w:eastAsia="zh-CN"/>
        </w:rPr>
        <w:t>实施期绩效目标为严格执行湘政办[2019]11号《关于进一步加强全省政府系统值班工作的通知》</w:t>
      </w:r>
      <w:r>
        <w:rPr>
          <w:rFonts w:hint="eastAsia" w:ascii="仿宋_GB2312" w:hAnsi="Times New Roman" w:eastAsia="仿宋_GB2312"/>
          <w:snapToGrid w:val="0"/>
          <w:kern w:val="0"/>
          <w:sz w:val="32"/>
          <w:szCs w:val="32"/>
          <w:lang w:val="en-US" w:eastAsia="zh-CN" w:bidi="ar-SA"/>
        </w:rPr>
        <w:t>，提高财政资金使用绩效，加强作风建设，维护群众利益。本年度的绩效目标是维护和保持正常的应急管理机制配备。关注财政收支的真实合法效益、预算管理、政府性债务、专项资金分配使用、财政存量资金、预算执行、解决算草案编制等。</w:t>
      </w:r>
    </w:p>
    <w:p>
      <w:pPr>
        <w:pStyle w:val="7"/>
        <w:spacing w:line="510" w:lineRule="exact"/>
        <w:ind w:firstLine="643" w:firstLineChars="200"/>
        <w:rPr>
          <w:rFonts w:hint="default" w:ascii="Times New Roman" w:hAnsi="Times New Roman" w:eastAsia="楷体" w:cs="Times New Roman"/>
          <w:b/>
          <w:sz w:val="32"/>
          <w:szCs w:val="32"/>
        </w:rPr>
      </w:pPr>
      <w:r>
        <w:rPr>
          <w:rFonts w:hint="default" w:ascii="Times New Roman" w:hAnsi="Times New Roman" w:eastAsia="楷体" w:cs="Times New Roman"/>
          <w:b/>
          <w:sz w:val="32"/>
          <w:szCs w:val="32"/>
        </w:rPr>
        <w:t>二、绩效评价工作开展情况</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default" w:ascii="仿宋_GB2312" w:hAnsi="Times New Roman" w:eastAsia="仿宋_GB2312"/>
          <w:snapToGrid w:val="0"/>
          <w:kern w:val="0"/>
          <w:sz w:val="32"/>
          <w:szCs w:val="32"/>
          <w:lang w:val="en-US" w:eastAsia="zh-CN" w:bidi="ar-SA"/>
        </w:rPr>
        <w:t>（一）绩效评价目的、对象和范围。</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eastAsia" w:ascii="仿宋_GB2312" w:hAnsi="Times New Roman" w:eastAsia="仿宋_GB2312"/>
          <w:snapToGrid w:val="0"/>
          <w:kern w:val="0"/>
          <w:sz w:val="32"/>
          <w:szCs w:val="32"/>
          <w:lang w:val="en-US" w:eastAsia="zh-CN" w:bidi="ar-SA"/>
        </w:rPr>
        <w:t>应急管理项目系根据县委、县政府领导</w:t>
      </w:r>
      <w:r>
        <w:rPr>
          <w:rFonts w:hint="eastAsia" w:ascii="仿宋" w:hAnsi="仿宋" w:eastAsia="仿宋"/>
          <w:color w:val="000000"/>
          <w:kern w:val="0"/>
          <w:sz w:val="32"/>
          <w:szCs w:val="32"/>
        </w:rPr>
        <w:t>对</w:t>
      </w:r>
      <w:r>
        <w:rPr>
          <w:rFonts w:ascii="仿宋" w:hAnsi="仿宋" w:eastAsia="仿宋"/>
          <w:color w:val="000000"/>
          <w:kern w:val="0"/>
          <w:sz w:val="32"/>
          <w:szCs w:val="32"/>
        </w:rPr>
        <w:t>预算单位20</w:t>
      </w:r>
      <w:r>
        <w:rPr>
          <w:rFonts w:hint="eastAsia" w:ascii="仿宋" w:hAnsi="仿宋" w:eastAsia="仿宋"/>
          <w:color w:val="000000"/>
          <w:kern w:val="0"/>
          <w:sz w:val="32"/>
          <w:szCs w:val="32"/>
        </w:rPr>
        <w:t>20</w:t>
      </w:r>
      <w:r>
        <w:rPr>
          <w:rFonts w:ascii="仿宋" w:hAnsi="仿宋" w:eastAsia="仿宋"/>
          <w:color w:val="000000"/>
          <w:kern w:val="0"/>
          <w:sz w:val="32"/>
          <w:szCs w:val="32"/>
        </w:rPr>
        <w:t>年度使用的全部财政性资金分项目逐项进行绩效自评</w:t>
      </w:r>
      <w:r>
        <w:rPr>
          <w:rFonts w:hint="eastAsia" w:ascii="仿宋_GB2312" w:hAnsi="Times New Roman" w:eastAsia="仿宋_GB2312"/>
          <w:snapToGrid w:val="0"/>
          <w:kern w:val="0"/>
          <w:sz w:val="32"/>
          <w:szCs w:val="32"/>
          <w:lang w:val="en-US" w:eastAsia="zh-CN" w:bidi="ar-SA"/>
        </w:rPr>
        <w:t>。</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eastAsia" w:ascii="仿宋_GB2312" w:hAnsi="Times New Roman" w:eastAsia="仿宋_GB2312"/>
          <w:snapToGrid w:val="0"/>
          <w:kern w:val="0"/>
          <w:sz w:val="32"/>
          <w:szCs w:val="32"/>
          <w:lang w:val="en-US" w:eastAsia="zh-CN" w:bidi="ar-SA"/>
        </w:rPr>
        <w:t>（二）</w:t>
      </w:r>
      <w:r>
        <w:rPr>
          <w:rFonts w:hint="default" w:ascii="仿宋_GB2312" w:hAnsi="Times New Roman" w:eastAsia="仿宋_GB2312"/>
          <w:snapToGrid w:val="0"/>
          <w:kern w:val="0"/>
          <w:sz w:val="32"/>
          <w:szCs w:val="32"/>
          <w:lang w:val="en-US" w:eastAsia="zh-CN" w:bidi="ar-SA"/>
        </w:rPr>
        <w:t>绩效评价原则、评价指标体系（附表说明）、评价方法、评价标准等。</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eastAsia" w:ascii="仿宋_GB2312" w:hAnsi="Times New Roman" w:eastAsia="仿宋_GB2312"/>
          <w:snapToGrid w:val="0"/>
          <w:kern w:val="0"/>
          <w:sz w:val="32"/>
          <w:szCs w:val="32"/>
          <w:lang w:val="en-US" w:eastAsia="zh-CN" w:bidi="ar-SA"/>
        </w:rPr>
        <w:t>本项目的</w:t>
      </w:r>
      <w:r>
        <w:rPr>
          <w:rFonts w:hint="default" w:ascii="仿宋_GB2312" w:hAnsi="Times New Roman" w:eastAsia="仿宋_GB2312"/>
          <w:snapToGrid w:val="0"/>
          <w:kern w:val="0"/>
          <w:sz w:val="32"/>
          <w:szCs w:val="32"/>
          <w:lang w:val="en-US" w:eastAsia="zh-CN" w:bidi="ar-SA"/>
        </w:rPr>
        <w:t>绩效评价原则</w:t>
      </w:r>
      <w:r>
        <w:rPr>
          <w:rFonts w:hint="eastAsia" w:ascii="仿宋_GB2312" w:hAnsi="Times New Roman" w:eastAsia="仿宋_GB2312"/>
          <w:snapToGrid w:val="0"/>
          <w:kern w:val="0"/>
          <w:sz w:val="32"/>
          <w:szCs w:val="32"/>
          <w:lang w:val="en-US" w:eastAsia="zh-CN" w:bidi="ar-SA"/>
        </w:rPr>
        <w:t>和</w:t>
      </w:r>
      <w:r>
        <w:rPr>
          <w:rFonts w:hint="default" w:ascii="仿宋_GB2312" w:hAnsi="Times New Roman" w:eastAsia="仿宋_GB2312"/>
          <w:snapToGrid w:val="0"/>
          <w:kern w:val="0"/>
          <w:sz w:val="32"/>
          <w:szCs w:val="32"/>
          <w:lang w:val="en-US" w:eastAsia="zh-CN" w:bidi="ar-SA"/>
        </w:rPr>
        <w:t>评价指标</w:t>
      </w:r>
      <w:r>
        <w:rPr>
          <w:rFonts w:hint="eastAsia" w:ascii="仿宋_GB2312" w:hAnsi="Times New Roman" w:eastAsia="仿宋_GB2312"/>
          <w:snapToGrid w:val="0"/>
          <w:kern w:val="0"/>
          <w:sz w:val="32"/>
          <w:szCs w:val="32"/>
          <w:lang w:val="en-US" w:eastAsia="zh-CN" w:bidi="ar-SA"/>
        </w:rPr>
        <w:t>紧密联系，相互融通。本年度该项目绩效指标分别有一级指标、二级指标、三级指标以及指标值及单位。详见</w:t>
      </w:r>
      <w:r>
        <w:rPr>
          <w:rFonts w:hint="default" w:ascii="仿宋_GB2312" w:hAnsi="Times New Roman" w:eastAsia="仿宋_GB2312"/>
          <w:snapToGrid w:val="0"/>
          <w:kern w:val="0"/>
          <w:sz w:val="32"/>
          <w:szCs w:val="32"/>
          <w:lang w:val="en-US" w:eastAsia="zh-CN" w:bidi="ar-SA"/>
        </w:rPr>
        <w:t>附表</w:t>
      </w:r>
      <w:r>
        <w:rPr>
          <w:rFonts w:hint="eastAsia" w:ascii="仿宋_GB2312" w:hAnsi="Times New Roman" w:eastAsia="仿宋_GB2312"/>
          <w:snapToGrid w:val="0"/>
          <w:kern w:val="0"/>
          <w:sz w:val="32"/>
          <w:szCs w:val="32"/>
          <w:lang w:val="en-US" w:eastAsia="zh-CN" w:bidi="ar-SA"/>
        </w:rPr>
        <w:t>。</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eastAsia" w:ascii="仿宋_GB2312" w:hAnsi="Times New Roman" w:eastAsia="仿宋_GB2312"/>
          <w:snapToGrid w:val="0"/>
          <w:kern w:val="0"/>
          <w:sz w:val="32"/>
          <w:szCs w:val="32"/>
          <w:lang w:val="en-US" w:eastAsia="zh-CN" w:bidi="ar-SA"/>
        </w:rPr>
        <w:t>（三）</w:t>
      </w:r>
      <w:r>
        <w:rPr>
          <w:rFonts w:hint="default" w:ascii="仿宋_GB2312" w:hAnsi="Times New Roman" w:eastAsia="仿宋_GB2312"/>
          <w:snapToGrid w:val="0"/>
          <w:kern w:val="0"/>
          <w:sz w:val="32"/>
          <w:szCs w:val="32"/>
          <w:lang w:val="en-US" w:eastAsia="zh-CN" w:bidi="ar-SA"/>
        </w:rPr>
        <w:t>绩效评价工作过程。</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eastAsia" w:ascii="仿宋_GB2312" w:hAnsi="Times New Roman" w:eastAsia="仿宋_GB2312"/>
          <w:snapToGrid w:val="0"/>
          <w:kern w:val="0"/>
          <w:sz w:val="32"/>
          <w:szCs w:val="32"/>
          <w:lang w:val="en-US" w:eastAsia="zh-CN" w:bidi="ar-SA"/>
        </w:rPr>
        <w:t>在按照预算申报项目经费后，在资金下达后的使用过程中实施严格按照《湖南省财政专项资金管理办法》等文件中相关规定进行操作。资金管理由专人负责，中方县政府办对项目实施建设初期、建设中期、建设后期管理方面进行全过程监督，并及时对项目实施情况进行了公示公告，项目实施后严格执行项目绩效评价，确保全面完成绩效目标。</w:t>
      </w:r>
    </w:p>
    <w:p>
      <w:pPr>
        <w:pStyle w:val="7"/>
        <w:keepNext w:val="0"/>
        <w:keepLines w:val="0"/>
        <w:pageBreakBefore w:val="0"/>
        <w:widowControl w:val="0"/>
        <w:kinsoku/>
        <w:wordWrap/>
        <w:overflowPunct/>
        <w:topLinePunct w:val="0"/>
        <w:autoSpaceDE/>
        <w:autoSpaceDN/>
        <w:bidi w:val="0"/>
        <w:adjustRightInd/>
        <w:snapToGrid/>
        <w:spacing w:line="510" w:lineRule="exact"/>
        <w:ind w:firstLine="643" w:firstLineChars="200"/>
        <w:textAlignment w:val="auto"/>
        <w:outlineLvl w:val="9"/>
        <w:rPr>
          <w:rFonts w:hint="default" w:ascii="Times New Roman" w:hAnsi="Times New Roman" w:eastAsia="楷体" w:cs="Times New Roman"/>
          <w:b/>
          <w:sz w:val="32"/>
          <w:szCs w:val="32"/>
        </w:rPr>
      </w:pPr>
      <w:r>
        <w:rPr>
          <w:rFonts w:hint="default" w:ascii="Times New Roman" w:hAnsi="Times New Roman" w:eastAsia="楷体" w:cs="Times New Roman"/>
          <w:b/>
          <w:sz w:val="32"/>
          <w:szCs w:val="32"/>
        </w:rPr>
        <w:t>三、综合评价情况及评价结论（附相关评分表）</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default" w:ascii="仿宋_GB2312" w:hAnsi="Times New Roman" w:eastAsia="仿宋_GB2312"/>
          <w:snapToGrid w:val="0"/>
          <w:kern w:val="0"/>
          <w:sz w:val="32"/>
          <w:szCs w:val="32"/>
          <w:lang w:val="en-US" w:eastAsia="zh-CN" w:bidi="ar-SA"/>
        </w:rPr>
        <w:t>绩效评价等级一般划分为四档：90分（含）—100分为优，80分（含）—90分为良，60分（含）—80分为中，60分以下为差。</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eastAsia" w:ascii="仿宋_GB2312" w:hAnsi="Times New Roman" w:eastAsia="仿宋_GB2312"/>
          <w:snapToGrid w:val="0"/>
          <w:kern w:val="0"/>
          <w:sz w:val="32"/>
          <w:szCs w:val="32"/>
          <w:lang w:val="en-US" w:eastAsia="zh-CN" w:bidi="ar-SA"/>
        </w:rPr>
        <w:t>2020年度，本单位应急管理项目</w:t>
      </w:r>
      <w:r>
        <w:rPr>
          <w:rFonts w:hint="default" w:ascii="仿宋_GB2312" w:hAnsi="Times New Roman" w:eastAsia="仿宋_GB2312"/>
          <w:snapToGrid w:val="0"/>
          <w:kern w:val="0"/>
          <w:sz w:val="32"/>
          <w:szCs w:val="32"/>
          <w:lang w:val="en-US" w:eastAsia="zh-CN" w:bidi="ar-SA"/>
        </w:rPr>
        <w:t>绩效评价等级</w:t>
      </w:r>
      <w:r>
        <w:rPr>
          <w:rFonts w:hint="eastAsia" w:ascii="仿宋_GB2312" w:hAnsi="Times New Roman" w:eastAsia="仿宋_GB2312"/>
          <w:snapToGrid w:val="0"/>
          <w:kern w:val="0"/>
          <w:sz w:val="32"/>
          <w:szCs w:val="32"/>
          <w:lang w:val="en-US" w:eastAsia="zh-CN" w:bidi="ar-SA"/>
        </w:rPr>
        <w:t>为良。</w:t>
      </w:r>
    </w:p>
    <w:p>
      <w:pPr>
        <w:pStyle w:val="7"/>
        <w:spacing w:line="510" w:lineRule="exact"/>
        <w:ind w:firstLine="643" w:firstLineChars="200"/>
        <w:rPr>
          <w:rFonts w:hint="default" w:ascii="Times New Roman" w:hAnsi="Times New Roman" w:eastAsia="楷体" w:cs="Times New Roman"/>
          <w:b/>
          <w:sz w:val="32"/>
          <w:szCs w:val="32"/>
        </w:rPr>
      </w:pPr>
      <w:r>
        <w:rPr>
          <w:rFonts w:hint="default" w:ascii="Times New Roman" w:hAnsi="Times New Roman" w:eastAsia="楷体" w:cs="Times New Roman"/>
          <w:b/>
          <w:sz w:val="32"/>
          <w:szCs w:val="32"/>
        </w:rPr>
        <w:t>四、绩效评价指标分析</w:t>
      </w:r>
    </w:p>
    <w:p>
      <w:pPr>
        <w:pStyle w:val="7"/>
        <w:spacing w:line="510" w:lineRule="exact"/>
        <w:ind w:firstLine="643" w:firstLineChars="200"/>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rPr>
        <w:t>1.项目的经济性分析。</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default" w:ascii="仿宋_GB2312" w:hAnsi="Times New Roman" w:eastAsia="仿宋_GB2312"/>
          <w:snapToGrid w:val="0"/>
          <w:kern w:val="0"/>
          <w:sz w:val="32"/>
          <w:szCs w:val="32"/>
          <w:lang w:val="en-US" w:eastAsia="zh-CN" w:bidi="ar-SA"/>
        </w:rPr>
        <w:t>项目成本（预算）控制情况。财政预算安排资金</w:t>
      </w:r>
      <w:r>
        <w:rPr>
          <w:rFonts w:hint="eastAsia" w:ascii="仿宋_GB2312" w:hAnsi="Times New Roman" w:eastAsia="仿宋_GB2312"/>
          <w:snapToGrid w:val="0"/>
          <w:kern w:val="0"/>
          <w:sz w:val="32"/>
          <w:szCs w:val="32"/>
          <w:lang w:val="en-US" w:eastAsia="zh-CN" w:bidi="ar-SA"/>
        </w:rPr>
        <w:t>50000</w:t>
      </w:r>
      <w:r>
        <w:rPr>
          <w:rFonts w:hint="default" w:ascii="仿宋_GB2312" w:hAnsi="Times New Roman" w:eastAsia="仿宋_GB2312"/>
          <w:snapToGrid w:val="0"/>
          <w:kern w:val="0"/>
          <w:sz w:val="32"/>
          <w:szCs w:val="32"/>
          <w:lang w:val="en-US" w:eastAsia="zh-CN" w:bidi="ar-SA"/>
        </w:rPr>
        <w:t>元，实际支</w:t>
      </w:r>
      <w:r>
        <w:rPr>
          <w:rFonts w:hint="default" w:ascii="仿宋_GB2312" w:hAnsi="Times New Roman" w:eastAsia="仿宋_GB2312"/>
          <w:snapToGrid w:val="0"/>
          <w:color w:val="auto"/>
          <w:kern w:val="0"/>
          <w:sz w:val="32"/>
          <w:szCs w:val="32"/>
          <w:lang w:val="en-US" w:eastAsia="zh-CN" w:bidi="ar-SA"/>
        </w:rPr>
        <w:t>出</w:t>
      </w:r>
      <w:r>
        <w:rPr>
          <w:rFonts w:hint="eastAsia" w:ascii="Times New Roman" w:hAnsi="Times New Roman" w:eastAsia="仿宋" w:cs="Times New Roman"/>
          <w:color w:val="auto"/>
          <w:sz w:val="32"/>
          <w:szCs w:val="32"/>
          <w:highlight w:val="none"/>
          <w:lang w:val="en-US" w:eastAsia="zh-CN"/>
        </w:rPr>
        <w:t>200000</w:t>
      </w:r>
      <w:r>
        <w:rPr>
          <w:rFonts w:hint="default" w:ascii="Times New Roman" w:hAnsi="Times New Roman" w:eastAsia="仿宋" w:cs="Times New Roman"/>
          <w:color w:val="auto"/>
          <w:sz w:val="32"/>
          <w:szCs w:val="32"/>
          <w:highlight w:val="none"/>
        </w:rPr>
        <w:t>元</w:t>
      </w:r>
      <w:r>
        <w:rPr>
          <w:rFonts w:hint="default" w:ascii="仿宋_GB2312" w:hAnsi="Times New Roman" w:eastAsia="仿宋_GB2312"/>
          <w:snapToGrid w:val="0"/>
          <w:kern w:val="0"/>
          <w:sz w:val="32"/>
          <w:szCs w:val="32"/>
          <w:lang w:val="en-US" w:eastAsia="zh-CN" w:bidi="ar-SA"/>
        </w:rPr>
        <w:t>，</w:t>
      </w:r>
      <w:r>
        <w:rPr>
          <w:rFonts w:hint="eastAsia" w:ascii="仿宋_GB2312" w:hAnsi="Times New Roman" w:eastAsia="仿宋_GB2312"/>
          <w:snapToGrid w:val="0"/>
          <w:kern w:val="0"/>
          <w:sz w:val="32"/>
          <w:szCs w:val="32"/>
          <w:lang w:val="en-US" w:eastAsia="zh-CN" w:bidi="ar-SA"/>
        </w:rPr>
        <w:t>属于</w:t>
      </w:r>
      <w:r>
        <w:rPr>
          <w:rFonts w:hint="default" w:ascii="仿宋_GB2312" w:hAnsi="Times New Roman" w:eastAsia="仿宋_GB2312"/>
          <w:snapToGrid w:val="0"/>
          <w:kern w:val="0"/>
          <w:sz w:val="32"/>
          <w:szCs w:val="32"/>
          <w:lang w:val="en-US" w:eastAsia="zh-CN" w:bidi="ar-SA"/>
        </w:rPr>
        <w:t>预算范围内使用财政资金。</w:t>
      </w:r>
    </w:p>
    <w:p>
      <w:pPr>
        <w:pStyle w:val="7"/>
        <w:spacing w:line="510" w:lineRule="exact"/>
        <w:ind w:firstLine="643" w:firstLineChars="200"/>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rPr>
        <w:t>2.项目的效率性分析。</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default" w:ascii="仿宋_GB2312" w:hAnsi="Times New Roman" w:eastAsia="仿宋_GB2312"/>
          <w:snapToGrid w:val="0"/>
          <w:kern w:val="0"/>
          <w:sz w:val="32"/>
          <w:szCs w:val="32"/>
          <w:lang w:val="en-US" w:eastAsia="zh-CN" w:bidi="ar-SA"/>
        </w:rPr>
        <w:t>（1）项目的实施进度。经过</w:t>
      </w:r>
      <w:r>
        <w:rPr>
          <w:rFonts w:hint="eastAsia" w:ascii="仿宋_GB2312" w:hAnsi="Times New Roman" w:eastAsia="仿宋_GB2312"/>
          <w:snapToGrid w:val="0"/>
          <w:kern w:val="0"/>
          <w:sz w:val="32"/>
          <w:szCs w:val="32"/>
          <w:lang w:val="en-US" w:eastAsia="zh-CN" w:bidi="ar-SA"/>
        </w:rPr>
        <w:t>分阶段安排</w:t>
      </w:r>
      <w:r>
        <w:rPr>
          <w:rFonts w:hint="default" w:ascii="仿宋_GB2312" w:hAnsi="Times New Roman" w:eastAsia="仿宋_GB2312"/>
          <w:snapToGrid w:val="0"/>
          <w:kern w:val="0"/>
          <w:sz w:val="32"/>
          <w:szCs w:val="32"/>
          <w:lang w:val="en-US" w:eastAsia="zh-CN" w:bidi="ar-SA"/>
        </w:rPr>
        <w:t>，</w:t>
      </w:r>
      <w:r>
        <w:rPr>
          <w:rFonts w:hint="eastAsia" w:ascii="仿宋_GB2312" w:hAnsi="Times New Roman" w:eastAsia="仿宋_GB2312"/>
          <w:snapToGrid w:val="0"/>
          <w:kern w:val="0"/>
          <w:sz w:val="32"/>
          <w:szCs w:val="32"/>
          <w:lang w:val="en-US" w:eastAsia="zh-CN" w:bidi="ar-SA"/>
        </w:rPr>
        <w:t>我单位</w:t>
      </w:r>
      <w:r>
        <w:rPr>
          <w:rFonts w:hint="default" w:ascii="仿宋_GB2312" w:hAnsi="Times New Roman" w:eastAsia="仿宋_GB2312"/>
          <w:snapToGrid w:val="0"/>
          <w:kern w:val="0"/>
          <w:sz w:val="32"/>
          <w:szCs w:val="32"/>
          <w:lang w:val="en-US" w:eastAsia="zh-CN" w:bidi="ar-SA"/>
        </w:rPr>
        <w:t>按</w:t>
      </w:r>
      <w:r>
        <w:rPr>
          <w:rFonts w:hint="eastAsia" w:ascii="仿宋_GB2312" w:hAnsi="Times New Roman" w:eastAsia="仿宋_GB2312"/>
          <w:snapToGrid w:val="0"/>
          <w:kern w:val="0"/>
          <w:sz w:val="32"/>
          <w:szCs w:val="32"/>
          <w:lang w:val="en-US" w:eastAsia="zh-CN" w:bidi="ar-SA"/>
        </w:rPr>
        <w:t>计划完成了2020年度的应急管理</w:t>
      </w:r>
      <w:r>
        <w:rPr>
          <w:rFonts w:hint="eastAsia" w:ascii="Times New Roman" w:hAnsi="Times New Roman" w:eastAsia="仿宋" w:cs="Times New Roman"/>
          <w:sz w:val="32"/>
          <w:szCs w:val="32"/>
          <w:highlight w:val="none"/>
          <w:lang w:val="en-US" w:eastAsia="zh-CN"/>
        </w:rPr>
        <w:t>项目支出</w:t>
      </w:r>
      <w:r>
        <w:rPr>
          <w:rFonts w:hint="default" w:ascii="仿宋_GB2312" w:hAnsi="Times New Roman" w:eastAsia="仿宋_GB2312"/>
          <w:snapToGrid w:val="0"/>
          <w:kern w:val="0"/>
          <w:sz w:val="32"/>
          <w:szCs w:val="32"/>
          <w:lang w:val="en-US" w:eastAsia="zh-CN" w:bidi="ar-SA"/>
        </w:rPr>
        <w:t>。</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default" w:ascii="仿宋_GB2312" w:hAnsi="Times New Roman" w:eastAsia="仿宋_GB2312"/>
          <w:snapToGrid w:val="0"/>
          <w:kern w:val="0"/>
          <w:sz w:val="32"/>
          <w:szCs w:val="32"/>
          <w:lang w:val="en-US" w:eastAsia="zh-CN" w:bidi="ar-SA"/>
        </w:rPr>
        <w:t>（2）项目完成质量。</w:t>
      </w:r>
      <w:r>
        <w:rPr>
          <w:rFonts w:hint="eastAsia" w:ascii="仿宋_GB2312" w:hAnsi="Times New Roman" w:eastAsia="仿宋_GB2312"/>
          <w:snapToGrid w:val="0"/>
          <w:kern w:val="0"/>
          <w:sz w:val="32"/>
          <w:szCs w:val="32"/>
          <w:lang w:val="en-US" w:eastAsia="zh-CN" w:bidi="ar-SA"/>
        </w:rPr>
        <w:t>绩效目标科学完整，资金管理到位，预算执行规范，按期完成开支进度。</w:t>
      </w:r>
    </w:p>
    <w:p>
      <w:pPr>
        <w:pStyle w:val="7"/>
        <w:spacing w:line="510" w:lineRule="exact"/>
        <w:ind w:firstLine="643" w:firstLineChars="200"/>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rPr>
        <w:t>3.项目的效益性分析。</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eastAsia" w:ascii="仿宋_GB2312" w:hAnsi="Times New Roman" w:eastAsia="仿宋_GB2312"/>
          <w:snapToGrid w:val="0"/>
          <w:kern w:val="0"/>
          <w:sz w:val="32"/>
          <w:szCs w:val="32"/>
          <w:lang w:val="en-US" w:eastAsia="zh-CN" w:bidi="ar-SA"/>
        </w:rPr>
      </w:pPr>
      <w:r>
        <w:rPr>
          <w:rFonts w:hint="eastAsia" w:ascii="仿宋_GB2312" w:hAnsi="Times New Roman" w:eastAsia="仿宋_GB2312"/>
          <w:snapToGrid w:val="0"/>
          <w:kern w:val="0"/>
          <w:sz w:val="32"/>
          <w:szCs w:val="32"/>
          <w:lang w:val="en-US" w:eastAsia="zh-CN" w:bidi="ar-SA"/>
        </w:rPr>
        <w:t>严格按照湘政办[2019]11号《关于进一步加强全省政府系统值班工作的通知》的要求成立专制机构,配备应急值班人员(白班8人，晚班14人，全天全年轮班）。</w:t>
      </w:r>
      <w:r>
        <w:rPr>
          <w:rFonts w:hint="eastAsia" w:ascii="Times New Roman" w:hAnsi="Times New Roman" w:eastAsia="仿宋" w:cs="Times New Roman"/>
          <w:sz w:val="32"/>
          <w:szCs w:val="32"/>
        </w:rPr>
        <w:t>指导全县政府系统应急值守工作</w:t>
      </w:r>
    </w:p>
    <w:p>
      <w:pPr>
        <w:pStyle w:val="7"/>
        <w:spacing w:line="510" w:lineRule="exact"/>
        <w:ind w:firstLine="643" w:firstLineChars="200"/>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rPr>
        <w:t>4.项目的可持续性分析。</w:t>
      </w:r>
    </w:p>
    <w:p>
      <w:pPr>
        <w:pStyle w:val="7"/>
        <w:spacing w:line="510" w:lineRule="exact"/>
        <w:ind w:firstLine="640" w:firstLineChars="200"/>
        <w:rPr>
          <w:rFonts w:hint="eastAsia" w:ascii="Times New Roman" w:hAnsi="Times New Roman" w:eastAsia="楷体" w:cs="Times New Roman"/>
          <w:b/>
          <w:sz w:val="32"/>
          <w:szCs w:val="32"/>
          <w:lang w:val="en-US" w:eastAsia="zh-CN"/>
        </w:rPr>
      </w:pPr>
      <w:r>
        <w:rPr>
          <w:rFonts w:hint="default" w:ascii="Times New Roman" w:hAnsi="Times New Roman" w:eastAsia="仿宋" w:cs="Times New Roman"/>
          <w:sz w:val="32"/>
          <w:szCs w:val="32"/>
        </w:rPr>
        <w:t>继续</w:t>
      </w:r>
      <w:r>
        <w:rPr>
          <w:rFonts w:hint="eastAsia" w:ascii="Times New Roman" w:hAnsi="Times New Roman" w:eastAsia="仿宋" w:cs="Times New Roman"/>
          <w:sz w:val="32"/>
          <w:szCs w:val="32"/>
        </w:rPr>
        <w:t>保持经费使用进度的循序</w:t>
      </w:r>
      <w:r>
        <w:rPr>
          <w:rFonts w:hint="eastAsia" w:ascii="Times New Roman" w:hAnsi="Times New Roman" w:eastAsia="仿宋" w:cs="Times New Roman"/>
          <w:sz w:val="32"/>
          <w:szCs w:val="32"/>
          <w:lang w:eastAsia="zh-CN"/>
        </w:rPr>
        <w:t>推进</w:t>
      </w:r>
      <w:r>
        <w:rPr>
          <w:rFonts w:hint="default" w:ascii="Times New Roman" w:hAnsi="Times New Roman" w:eastAsia="仿宋" w:cs="Times New Roman"/>
          <w:sz w:val="32"/>
          <w:szCs w:val="32"/>
        </w:rPr>
        <w:t>，推动落实国家重大政策措施和重要决策部署，提高财政资金使用绩效</w:t>
      </w:r>
      <w:r>
        <w:rPr>
          <w:rFonts w:hint="eastAsia" w:ascii="Times New Roman" w:hAnsi="Times New Roman" w:eastAsia="仿宋" w:cs="Times New Roman"/>
          <w:sz w:val="32"/>
          <w:szCs w:val="32"/>
          <w:lang w:eastAsia="zh-CN"/>
        </w:rPr>
        <w:t>，</w:t>
      </w:r>
      <w:r>
        <w:rPr>
          <w:rFonts w:hint="eastAsia" w:ascii="仿宋_GB2312" w:hAnsi="Times New Roman" w:eastAsia="仿宋_GB2312"/>
          <w:snapToGrid w:val="0"/>
          <w:kern w:val="0"/>
          <w:sz w:val="32"/>
          <w:szCs w:val="32"/>
          <w:lang w:val="en-US" w:eastAsia="zh-CN" w:bidi="ar-SA"/>
        </w:rPr>
        <w:t>提高为群众办实事的水平</w:t>
      </w:r>
      <w:r>
        <w:rPr>
          <w:rFonts w:hint="default" w:ascii="Times New Roman" w:hAnsi="Times New Roman" w:eastAsia="仿宋" w:cs="Times New Roman"/>
          <w:sz w:val="32"/>
          <w:szCs w:val="32"/>
        </w:rPr>
        <w:t>。</w:t>
      </w:r>
      <w:r>
        <w:rPr>
          <w:rFonts w:hint="eastAsia" w:ascii="Times New Roman" w:hAnsi="Times New Roman" w:eastAsia="楷体" w:cs="Times New Roman"/>
          <w:b/>
          <w:sz w:val="32"/>
          <w:szCs w:val="32"/>
          <w:lang w:val="en-US" w:eastAsia="zh-CN"/>
        </w:rPr>
        <w:t xml:space="preserve">  </w:t>
      </w:r>
    </w:p>
    <w:p>
      <w:pPr>
        <w:pStyle w:val="7"/>
        <w:spacing w:line="510" w:lineRule="exact"/>
        <w:ind w:firstLine="643" w:firstLineChars="200"/>
        <w:rPr>
          <w:rFonts w:hint="default" w:ascii="Times New Roman" w:hAnsi="Times New Roman" w:eastAsia="楷体" w:cs="Times New Roman"/>
          <w:b/>
          <w:sz w:val="32"/>
          <w:szCs w:val="32"/>
        </w:rPr>
      </w:pPr>
      <w:r>
        <w:rPr>
          <w:rFonts w:hint="eastAsia" w:ascii="Times New Roman" w:hAnsi="Times New Roman" w:eastAsia="楷体" w:cs="Times New Roman"/>
          <w:b/>
          <w:sz w:val="32"/>
          <w:szCs w:val="32"/>
          <w:lang w:val="en-US" w:eastAsia="zh-CN"/>
        </w:rPr>
        <w:t>五、</w:t>
      </w:r>
      <w:r>
        <w:rPr>
          <w:rFonts w:hint="default" w:ascii="Times New Roman" w:hAnsi="Times New Roman" w:eastAsia="楷体" w:cs="Times New Roman"/>
          <w:b/>
          <w:sz w:val="32"/>
          <w:szCs w:val="32"/>
        </w:rPr>
        <w:t>主要经验及做法、存在的问题及原因分析</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default" w:ascii="仿宋_GB2312" w:hAnsi="Times New Roman" w:eastAsia="仿宋_GB2312"/>
          <w:snapToGrid w:val="0"/>
          <w:kern w:val="0"/>
          <w:sz w:val="32"/>
          <w:szCs w:val="32"/>
          <w:lang w:val="en-US" w:eastAsia="zh-CN" w:bidi="ar-SA"/>
        </w:rPr>
        <w:t>主要经验及做法：20</w:t>
      </w:r>
      <w:r>
        <w:rPr>
          <w:rFonts w:hint="eastAsia" w:ascii="仿宋_GB2312" w:hAnsi="Times New Roman" w:eastAsia="仿宋_GB2312"/>
          <w:snapToGrid w:val="0"/>
          <w:kern w:val="0"/>
          <w:sz w:val="32"/>
          <w:szCs w:val="32"/>
          <w:lang w:val="en-US" w:eastAsia="zh-CN" w:bidi="ar-SA"/>
        </w:rPr>
        <w:t>20</w:t>
      </w:r>
      <w:r>
        <w:rPr>
          <w:rFonts w:hint="default" w:ascii="仿宋_GB2312" w:hAnsi="Times New Roman" w:eastAsia="仿宋_GB2312"/>
          <w:snapToGrid w:val="0"/>
          <w:kern w:val="0"/>
          <w:sz w:val="32"/>
          <w:szCs w:val="32"/>
          <w:lang w:val="en-US" w:eastAsia="zh-CN" w:bidi="ar-SA"/>
        </w:rPr>
        <w:t>年度，本单位根据往年经验和年初工作规划制定预算，加强预算收支管理，不断建立健全内部管理制度，梳理内部管理流程，较好的完成了工作目标，部门整体支出管理情况得到提升。在今后，进一步强化会议预算管理及严格预算执行;加强财务管理，对会议专项经费独立核算、专人负责，确保各项政策制度有效执行。</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Times New Roman" w:hAnsi="Times New Roman" w:eastAsia="仿宋" w:cs="Times New Roman"/>
          <w:sz w:val="32"/>
          <w:szCs w:val="32"/>
        </w:rPr>
      </w:pPr>
      <w:r>
        <w:rPr>
          <w:rFonts w:hint="default" w:ascii="仿宋_GB2312" w:hAnsi="Times New Roman" w:eastAsia="仿宋_GB2312"/>
          <w:snapToGrid w:val="0"/>
          <w:kern w:val="0"/>
          <w:sz w:val="32"/>
          <w:szCs w:val="32"/>
          <w:lang w:val="en-US" w:eastAsia="zh-CN" w:bidi="ar-SA"/>
        </w:rPr>
        <w:t>存在问题：部门预算主要是根据年初的工作目标及重点，结合上一年度的预算执行情况编制，部分指标编制欠科学。</w:t>
      </w:r>
    </w:p>
    <w:p>
      <w:pPr>
        <w:pStyle w:val="7"/>
        <w:numPr>
          <w:ilvl w:val="0"/>
          <w:numId w:val="0"/>
        </w:numPr>
        <w:spacing w:line="510" w:lineRule="exact"/>
        <w:ind w:left="645" w:leftChars="0"/>
        <w:rPr>
          <w:rFonts w:hint="default" w:ascii="Times New Roman" w:hAnsi="Times New Roman" w:eastAsia="楷体" w:cs="Times New Roman"/>
          <w:b/>
          <w:sz w:val="32"/>
          <w:szCs w:val="32"/>
        </w:rPr>
      </w:pPr>
      <w:r>
        <w:rPr>
          <w:rFonts w:hint="eastAsia" w:ascii="Times New Roman" w:hAnsi="Times New Roman" w:eastAsia="楷体" w:cs="Times New Roman"/>
          <w:b/>
          <w:sz w:val="32"/>
          <w:szCs w:val="32"/>
          <w:lang w:val="en-US" w:eastAsia="zh-CN"/>
        </w:rPr>
        <w:t>六、</w:t>
      </w:r>
      <w:r>
        <w:rPr>
          <w:rFonts w:hint="default" w:ascii="Times New Roman" w:hAnsi="Times New Roman" w:eastAsia="楷体" w:cs="Times New Roman"/>
          <w:b/>
          <w:sz w:val="32"/>
          <w:szCs w:val="32"/>
        </w:rPr>
        <w:t>有关建议</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eastAsia" w:ascii="仿宋_GB2312" w:hAnsi="Times New Roman" w:eastAsia="仿宋_GB2312"/>
          <w:snapToGrid w:val="0"/>
          <w:kern w:val="0"/>
          <w:sz w:val="32"/>
          <w:szCs w:val="32"/>
          <w:lang w:val="en-US" w:eastAsia="zh-CN" w:bidi="ar-SA"/>
        </w:rPr>
        <w:t>在编制本部门预算的过过程中，除了参考上年度的预决算情况，还要保持一定的科学性和前瞻性，以便更合理地制定年度预算。</w:t>
      </w:r>
    </w:p>
    <w:p>
      <w:pPr>
        <w:pStyle w:val="7"/>
        <w:spacing w:line="510" w:lineRule="exact"/>
        <w:ind w:firstLine="643" w:firstLineChars="200"/>
        <w:rPr>
          <w:rFonts w:hint="default" w:ascii="Times New Roman" w:hAnsi="Times New Roman" w:eastAsia="楷体" w:cs="Times New Roman"/>
          <w:b/>
          <w:sz w:val="32"/>
          <w:szCs w:val="32"/>
        </w:rPr>
      </w:pPr>
      <w:r>
        <w:rPr>
          <w:rFonts w:hint="default" w:ascii="Times New Roman" w:hAnsi="Times New Roman" w:eastAsia="楷体" w:cs="Times New Roman"/>
          <w:b/>
          <w:sz w:val="32"/>
          <w:szCs w:val="32"/>
        </w:rPr>
        <w:t>七、其他需要说明的问题</w:t>
      </w:r>
    </w:p>
    <w:p>
      <w:pPr>
        <w:widowControl/>
        <w:spacing w:line="510" w:lineRule="exact"/>
        <w:ind w:firstLine="645"/>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附件：1.项目支出绩效自评表</w:t>
      </w:r>
    </w:p>
    <w:p>
      <w:pPr>
        <w:widowControl/>
        <w:spacing w:line="510" w:lineRule="exact"/>
        <w:ind w:firstLine="1600" w:firstLineChars="500"/>
        <w:jc w:val="left"/>
        <w:rPr>
          <w:rFonts w:hint="default" w:ascii="Times New Roman" w:hAnsi="Times New Roman" w:eastAsia="仿宋_GB2312" w:cs="Times New Roman"/>
          <w:bCs/>
          <w:color w:val="000000"/>
          <w:sz w:val="32"/>
          <w:szCs w:val="32"/>
        </w:rPr>
      </w:pPr>
      <w:r>
        <w:rPr>
          <w:rFonts w:hint="default" w:ascii="Times New Roman" w:hAnsi="Times New Roman" w:eastAsia="仿宋_GB2312" w:cs="Times New Roman"/>
          <w:sz w:val="32"/>
          <w:szCs w:val="32"/>
        </w:rPr>
        <w:t>2.项目支出绩效评价指标</w:t>
      </w:r>
      <w:r>
        <w:rPr>
          <w:rFonts w:hint="default" w:ascii="Times New Roman" w:hAnsi="Times New Roman" w:eastAsia="仿宋_GB2312" w:cs="Times New Roman"/>
          <w:bCs/>
          <w:color w:val="000000"/>
          <w:kern w:val="0"/>
          <w:sz w:val="32"/>
          <w:szCs w:val="32"/>
        </w:rPr>
        <w:t>评分表</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eastAsia="仿宋_GB2312" w:cs="Times New Roman"/>
          <w:bCs/>
          <w:color w:val="000000"/>
          <w:sz w:val="32"/>
          <w:szCs w:val="32"/>
        </w:rPr>
      </w:pPr>
    </w:p>
    <w:p>
      <w:pPr>
        <w:keepNext/>
        <w:keepLines/>
        <w:pageBreakBefore/>
        <w:widowControl/>
        <w:kinsoku/>
        <w:wordWrap/>
        <w:overflowPunct/>
        <w:topLinePunct w:val="0"/>
        <w:autoSpaceDE/>
        <w:autoSpaceDN/>
        <w:bidi w:val="0"/>
        <w:adjustRightInd/>
        <w:snapToGrid/>
        <w:spacing w:line="400" w:lineRule="exact"/>
        <w:textAlignment w:val="auto"/>
        <w:rPr>
          <w:rFonts w:hint="eastAsia" w:ascii="Times New Roman" w:hAnsi="Times New Roman" w:eastAsia="仿宋_GB2312" w:cs="Times New Roman"/>
          <w:bCs/>
          <w:color w:val="000000"/>
          <w:sz w:val="32"/>
          <w:szCs w:val="32"/>
          <w:lang w:val="en-US" w:eastAsia="zh-CN"/>
        </w:rPr>
      </w:pPr>
      <w:r>
        <w:rPr>
          <w:rFonts w:hint="default" w:ascii="Times New Roman" w:hAnsi="Times New Roman" w:eastAsia="仿宋_GB2312" w:cs="Times New Roman"/>
          <w:bCs/>
          <w:color w:val="000000"/>
          <w:sz w:val="32"/>
          <w:szCs w:val="32"/>
        </w:rPr>
        <w:t>附件</w:t>
      </w:r>
      <w:r>
        <w:rPr>
          <w:rFonts w:hint="eastAsia" w:ascii="Times New Roman" w:hAnsi="Times New Roman" w:eastAsia="仿宋_GB2312" w:cs="Times New Roman"/>
          <w:bCs/>
          <w:color w:val="000000"/>
          <w:sz w:val="32"/>
          <w:szCs w:val="32"/>
          <w:lang w:val="en-US" w:eastAsia="zh-CN"/>
        </w:rPr>
        <w:t>1</w:t>
      </w:r>
    </w:p>
    <w:tbl>
      <w:tblPr>
        <w:tblStyle w:val="5"/>
        <w:tblW w:w="9080" w:type="dxa"/>
        <w:jc w:val="center"/>
        <w:tblLayout w:type="fixed"/>
        <w:tblCellMar>
          <w:top w:w="0" w:type="dxa"/>
          <w:left w:w="108" w:type="dxa"/>
          <w:bottom w:w="0" w:type="dxa"/>
          <w:right w:w="108" w:type="dxa"/>
        </w:tblCellMar>
      </w:tblPr>
      <w:tblGrid>
        <w:gridCol w:w="588"/>
        <w:gridCol w:w="980"/>
        <w:gridCol w:w="1112"/>
        <w:gridCol w:w="730"/>
        <w:gridCol w:w="1134"/>
        <w:gridCol w:w="284"/>
        <w:gridCol w:w="850"/>
        <w:gridCol w:w="851"/>
        <w:gridCol w:w="283"/>
        <w:gridCol w:w="284"/>
        <w:gridCol w:w="347"/>
        <w:gridCol w:w="220"/>
        <w:gridCol w:w="709"/>
        <w:gridCol w:w="708"/>
      </w:tblGrid>
      <w:tr>
        <w:tblPrEx>
          <w:tblCellMar>
            <w:top w:w="0" w:type="dxa"/>
            <w:left w:w="108" w:type="dxa"/>
            <w:bottom w:w="0" w:type="dxa"/>
            <w:right w:w="108" w:type="dxa"/>
          </w:tblCellMar>
        </w:tblPrEx>
        <w:trPr>
          <w:trHeight w:val="349" w:hRule="exact"/>
          <w:jc w:val="center"/>
        </w:trPr>
        <w:tc>
          <w:tcPr>
            <w:tcW w:w="9080" w:type="dxa"/>
            <w:gridSpan w:val="14"/>
            <w:tcBorders>
              <w:top w:val="nil"/>
              <w:left w:val="nil"/>
              <w:bottom w:val="nil"/>
              <w:right w:val="nil"/>
            </w:tcBorders>
            <w:vAlign w:val="center"/>
          </w:tcPr>
          <w:p>
            <w:pPr>
              <w:widowControl/>
              <w:spacing w:line="320" w:lineRule="exact"/>
              <w:jc w:val="center"/>
              <w:rPr>
                <w:rFonts w:hint="default" w:ascii="Times New Roman" w:hAnsi="Times New Roman" w:cs="Times New Roman"/>
                <w:b/>
                <w:bCs/>
                <w:kern w:val="0"/>
                <w:sz w:val="32"/>
                <w:szCs w:val="32"/>
              </w:rPr>
            </w:pPr>
            <w:r>
              <w:rPr>
                <w:rFonts w:hint="default" w:ascii="Times New Roman" w:hAnsi="Times New Roman" w:cs="Times New Roman"/>
                <w:b/>
                <w:bCs/>
                <w:kern w:val="0"/>
                <w:sz w:val="32"/>
                <w:szCs w:val="32"/>
              </w:rPr>
              <w:t>项目支出绩效自评表</w:t>
            </w:r>
          </w:p>
        </w:tc>
      </w:tr>
      <w:tr>
        <w:tblPrEx>
          <w:tblCellMar>
            <w:top w:w="0" w:type="dxa"/>
            <w:left w:w="108" w:type="dxa"/>
            <w:bottom w:w="0" w:type="dxa"/>
            <w:right w:w="108" w:type="dxa"/>
          </w:tblCellMar>
        </w:tblPrEx>
        <w:trPr>
          <w:trHeight w:val="201" w:hRule="atLeast"/>
          <w:jc w:val="center"/>
        </w:trPr>
        <w:tc>
          <w:tcPr>
            <w:tcW w:w="9080" w:type="dxa"/>
            <w:gridSpan w:val="14"/>
            <w:tcBorders>
              <w:top w:val="nil"/>
              <w:left w:val="nil"/>
              <w:bottom w:val="nil"/>
              <w:right w:val="nil"/>
            </w:tcBorders>
            <w:vAlign w:val="top"/>
          </w:tcPr>
          <w:p>
            <w:pPr>
              <w:widowControl/>
              <w:jc w:val="center"/>
              <w:rPr>
                <w:rFonts w:hint="default" w:ascii="Times New Roman" w:hAnsi="Times New Roman" w:cs="Times New Roman"/>
                <w:kern w:val="0"/>
                <w:sz w:val="22"/>
                <w:szCs w:val="22"/>
              </w:rPr>
            </w:pPr>
            <w:r>
              <w:rPr>
                <w:rFonts w:hint="default" w:ascii="Times New Roman" w:hAnsi="Times New Roman" w:cs="Times New Roman"/>
                <w:kern w:val="0"/>
                <w:sz w:val="22"/>
                <w:szCs w:val="22"/>
              </w:rPr>
              <w:t>（20</w:t>
            </w:r>
            <w:r>
              <w:rPr>
                <w:rFonts w:hint="eastAsia" w:cs="Times New Roman"/>
                <w:kern w:val="0"/>
                <w:sz w:val="22"/>
                <w:szCs w:val="22"/>
                <w:lang w:val="en-US" w:eastAsia="zh-CN"/>
              </w:rPr>
              <w:t>20</w:t>
            </w:r>
            <w:r>
              <w:rPr>
                <w:rFonts w:hint="default" w:ascii="Times New Roman" w:hAnsi="Times New Roman" w:cs="Times New Roman"/>
                <w:kern w:val="0"/>
                <w:sz w:val="22"/>
                <w:szCs w:val="22"/>
              </w:rPr>
              <w:t>年度）</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项目名称</w:t>
            </w:r>
          </w:p>
        </w:tc>
        <w:tc>
          <w:tcPr>
            <w:tcW w:w="7512"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r>
              <w:rPr>
                <w:rFonts w:hint="eastAsia" w:cs="Times New Roman"/>
                <w:kern w:val="0"/>
                <w:sz w:val="18"/>
                <w:szCs w:val="18"/>
                <w:lang w:eastAsia="zh-CN"/>
              </w:rPr>
              <w:t>应急管理</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主管部门</w:t>
            </w:r>
          </w:p>
        </w:tc>
        <w:tc>
          <w:tcPr>
            <w:tcW w:w="4110"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中方县政府办</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实施单位</w:t>
            </w:r>
          </w:p>
        </w:tc>
        <w:tc>
          <w:tcPr>
            <w:tcW w:w="2268"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eastAsia" w:cs="Times New Roman"/>
                <w:kern w:val="0"/>
                <w:sz w:val="18"/>
                <w:szCs w:val="18"/>
                <w:lang w:val="en-US" w:eastAsia="zh-CN"/>
              </w:rPr>
              <w:t>中方县政府办</w:t>
            </w:r>
          </w:p>
        </w:tc>
      </w:tr>
      <w:tr>
        <w:tblPrEx>
          <w:tblCellMar>
            <w:top w:w="0" w:type="dxa"/>
            <w:left w:w="108" w:type="dxa"/>
            <w:bottom w:w="0" w:type="dxa"/>
            <w:right w:w="108" w:type="dxa"/>
          </w:tblCellMar>
        </w:tblPrEx>
        <w:trPr>
          <w:trHeight w:val="494" w:hRule="exact"/>
          <w:jc w:val="center"/>
        </w:trPr>
        <w:tc>
          <w:tcPr>
            <w:tcW w:w="1568"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项目资金</w:t>
            </w:r>
            <w:r>
              <w:rPr>
                <w:rFonts w:hint="default" w:ascii="Times New Roman" w:hAnsi="Times New Roman" w:cs="Times New Roman"/>
                <w:kern w:val="0"/>
                <w:sz w:val="18"/>
                <w:szCs w:val="18"/>
              </w:rPr>
              <w:br w:type="textWrapping"/>
            </w:r>
            <w:r>
              <w:rPr>
                <w:rFonts w:hint="default" w:ascii="Times New Roman" w:hAnsi="Times New Roman" w:cs="Times New Roman"/>
                <w:kern w:val="0"/>
                <w:sz w:val="18"/>
                <w:szCs w:val="18"/>
              </w:rPr>
              <w:t>（万元）</w:t>
            </w: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r>
              <w:rPr>
                <w:rFonts w:hint="default" w:ascii="Times New Roman" w:hAnsi="Times New Roman" w:cs="Times New Roman"/>
                <w:kern w:val="0"/>
                <w:sz w:val="18"/>
                <w:szCs w:val="18"/>
              </w:rPr>
              <w:t>年初</w:t>
            </w:r>
            <w:r>
              <w:rPr>
                <w:rFonts w:hint="eastAsia" w:ascii="Times New Roman" w:hAnsi="Times New Roman" w:cs="Times New Roman"/>
                <w:kern w:val="0"/>
                <w:sz w:val="18"/>
                <w:szCs w:val="18"/>
                <w:lang w:eastAsia="zh-CN"/>
              </w:rPr>
              <w:t>预算金额</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全年</w:t>
            </w:r>
            <w:r>
              <w:rPr>
                <w:rFonts w:hint="eastAsia" w:ascii="Times New Roman" w:hAnsi="Times New Roman" w:cs="Times New Roman"/>
                <w:kern w:val="0"/>
                <w:sz w:val="18"/>
                <w:szCs w:val="18"/>
                <w:lang w:eastAsia="zh-CN"/>
              </w:rPr>
              <w:t>预算金额</w:t>
            </w:r>
            <w:r>
              <w:rPr>
                <w:rFonts w:hint="default" w:ascii="Times New Roman" w:hAnsi="Times New Roman" w:cs="Times New Roman"/>
                <w:color w:val="000000"/>
                <w:kern w:val="0"/>
                <w:sz w:val="20"/>
                <w:szCs w:val="20"/>
              </w:rPr>
              <w:t>（A）</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全年执行数</w:t>
            </w:r>
            <w:r>
              <w:rPr>
                <w:rFonts w:hint="default" w:ascii="Times New Roman" w:hAnsi="Times New Roman" w:cs="Times New Roman"/>
                <w:color w:val="000000"/>
                <w:kern w:val="0"/>
                <w:sz w:val="20"/>
                <w:szCs w:val="20"/>
              </w:rPr>
              <w:t>（B）</w:t>
            </w:r>
          </w:p>
        </w:tc>
        <w:tc>
          <w:tcPr>
            <w:tcW w:w="631"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分值</w:t>
            </w:r>
          </w:p>
        </w:tc>
        <w:tc>
          <w:tcPr>
            <w:tcW w:w="92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执行率</w:t>
            </w:r>
            <w:r>
              <w:rPr>
                <w:rFonts w:hint="default" w:ascii="Times New Roman" w:hAnsi="Times New Roman" w:cs="Times New Roman"/>
                <w:color w:val="000000"/>
                <w:kern w:val="0"/>
                <w:sz w:val="20"/>
                <w:szCs w:val="20"/>
              </w:rPr>
              <w:t>（B/A)</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得分</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hint="default" w:ascii="Times New Roman" w:hAnsi="Times New Roman" w:cs="Times New Roman"/>
                <w:kern w:val="0"/>
                <w:sz w:val="18"/>
                <w:szCs w:val="18"/>
              </w:rPr>
            </w:pPr>
            <w:r>
              <w:rPr>
                <w:rFonts w:hint="default" w:ascii="Times New Roman" w:hAnsi="Times New Roman" w:cs="Times New Roman"/>
                <w:kern w:val="0"/>
                <w:sz w:val="18"/>
                <w:szCs w:val="18"/>
              </w:rPr>
              <w:t>年度资金总额</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5</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5</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cs="Times New Roman"/>
                <w:color w:val="auto"/>
                <w:kern w:val="0"/>
                <w:sz w:val="18"/>
                <w:szCs w:val="18"/>
                <w:lang w:val="en-US" w:eastAsia="zh-CN"/>
              </w:rPr>
            </w:pPr>
            <w:r>
              <w:rPr>
                <w:rFonts w:hint="eastAsia" w:cs="Times New Roman"/>
                <w:color w:val="auto"/>
                <w:kern w:val="0"/>
                <w:sz w:val="18"/>
                <w:szCs w:val="18"/>
                <w:lang w:val="en-US" w:eastAsia="zh-CN"/>
              </w:rPr>
              <w:t>20</w:t>
            </w:r>
          </w:p>
        </w:tc>
        <w:tc>
          <w:tcPr>
            <w:tcW w:w="631"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10</w:t>
            </w:r>
          </w:p>
        </w:tc>
        <w:tc>
          <w:tcPr>
            <w:tcW w:w="92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color w:val="auto"/>
                <w:kern w:val="0"/>
                <w:sz w:val="18"/>
                <w:szCs w:val="18"/>
                <w:lang w:val="en-US" w:eastAsia="zh-CN"/>
              </w:rPr>
            </w:pPr>
            <w:r>
              <w:rPr>
                <w:rFonts w:hint="eastAsia" w:cs="Times New Roman"/>
                <w:color w:val="auto"/>
                <w:kern w:val="0"/>
                <w:sz w:val="18"/>
                <w:szCs w:val="18"/>
                <w:lang w:val="en-US" w:eastAsia="zh-CN"/>
              </w:rPr>
              <w:t>400%</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color w:val="auto"/>
                <w:kern w:val="0"/>
                <w:sz w:val="18"/>
                <w:szCs w:val="18"/>
                <w:lang w:val="en-US" w:eastAsia="zh-CN"/>
              </w:rPr>
            </w:pPr>
            <w:r>
              <w:rPr>
                <w:rFonts w:hint="eastAsia" w:cs="Times New Roman"/>
                <w:color w:val="auto"/>
                <w:kern w:val="0"/>
                <w:sz w:val="18"/>
                <w:szCs w:val="18"/>
                <w:lang w:val="en-US" w:eastAsia="zh-CN"/>
              </w:rPr>
              <w:t>10</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其中：当年财政拨款</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5</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5</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cs="Times New Roman"/>
                <w:color w:val="auto"/>
                <w:kern w:val="0"/>
                <w:sz w:val="18"/>
                <w:szCs w:val="18"/>
                <w:lang w:val="en-US" w:eastAsia="zh-CN"/>
              </w:rPr>
            </w:pPr>
            <w:r>
              <w:rPr>
                <w:rFonts w:hint="eastAsia" w:cs="Times New Roman"/>
                <w:color w:val="auto"/>
                <w:kern w:val="0"/>
                <w:sz w:val="18"/>
                <w:szCs w:val="18"/>
                <w:lang w:val="en-US" w:eastAsia="zh-CN"/>
              </w:rPr>
              <w:t>20</w:t>
            </w:r>
          </w:p>
        </w:tc>
        <w:tc>
          <w:tcPr>
            <w:tcW w:w="631"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w:t>
            </w:r>
          </w:p>
        </w:tc>
        <w:tc>
          <w:tcPr>
            <w:tcW w:w="92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color w:val="auto"/>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 xml:space="preserve">      上年结转资金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631"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w:t>
            </w:r>
          </w:p>
        </w:tc>
        <w:tc>
          <w:tcPr>
            <w:tcW w:w="92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 xml:space="preserve">  其他资金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631"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w:t>
            </w:r>
          </w:p>
        </w:tc>
        <w:tc>
          <w:tcPr>
            <w:tcW w:w="92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w:t>
            </w:r>
          </w:p>
        </w:tc>
      </w:tr>
      <w:tr>
        <w:tblPrEx>
          <w:tblCellMar>
            <w:top w:w="0" w:type="dxa"/>
            <w:left w:w="108" w:type="dxa"/>
            <w:bottom w:w="0" w:type="dxa"/>
            <w:right w:w="108" w:type="dxa"/>
          </w:tblCellMar>
        </w:tblPrEx>
        <w:trPr>
          <w:trHeight w:val="300" w:hRule="exact"/>
          <w:jc w:val="center"/>
        </w:trPr>
        <w:tc>
          <w:tcPr>
            <w:tcW w:w="58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年度总体目标</w:t>
            </w:r>
          </w:p>
        </w:tc>
        <w:tc>
          <w:tcPr>
            <w:tcW w:w="5090"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预期目标</w:t>
            </w:r>
          </w:p>
        </w:tc>
        <w:tc>
          <w:tcPr>
            <w:tcW w:w="3402"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实际完成情况</w:t>
            </w:r>
          </w:p>
        </w:tc>
      </w:tr>
      <w:tr>
        <w:tblPrEx>
          <w:tblCellMar>
            <w:top w:w="0" w:type="dxa"/>
            <w:left w:w="108" w:type="dxa"/>
            <w:bottom w:w="0" w:type="dxa"/>
            <w:right w:w="108" w:type="dxa"/>
          </w:tblCellMar>
        </w:tblPrEx>
        <w:trPr>
          <w:trHeight w:val="565" w:hRule="exact"/>
          <w:jc w:val="center"/>
        </w:trPr>
        <w:tc>
          <w:tcPr>
            <w:tcW w:w="58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090"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 xml:space="preserve">  关注财政收支的真实合法效益、预算管理、政府性债务、专项资金分配使用、财政存量资金、预算执行、决算草案编制等。</w:t>
            </w:r>
            <w:r>
              <w:rPr>
                <w:rFonts w:hint="default" w:ascii="Times New Roman" w:hAnsi="Times New Roman" w:cs="Times New Roman"/>
                <w:kern w:val="0"/>
                <w:sz w:val="18"/>
                <w:szCs w:val="18"/>
              </w:rPr>
              <w:tab/>
            </w:r>
            <w:r>
              <w:rPr>
                <w:rFonts w:hint="default" w:ascii="Times New Roman" w:hAnsi="Times New Roman" w:cs="Times New Roman"/>
                <w:kern w:val="0"/>
                <w:sz w:val="18"/>
                <w:szCs w:val="18"/>
              </w:rPr>
              <w:tab/>
            </w:r>
          </w:p>
        </w:tc>
        <w:tc>
          <w:tcPr>
            <w:tcW w:w="3402"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基本实现</w:t>
            </w:r>
          </w:p>
        </w:tc>
      </w:tr>
      <w:tr>
        <w:tblPrEx>
          <w:tblCellMar>
            <w:top w:w="0" w:type="dxa"/>
            <w:left w:w="108" w:type="dxa"/>
            <w:bottom w:w="0" w:type="dxa"/>
            <w:right w:w="108" w:type="dxa"/>
          </w:tblCellMar>
        </w:tblPrEx>
        <w:trPr>
          <w:trHeight w:val="533" w:hRule="exact"/>
          <w:jc w:val="center"/>
        </w:trPr>
        <w:tc>
          <w:tcPr>
            <w:tcW w:w="588" w:type="dxa"/>
            <w:vMerge w:val="restart"/>
            <w:tcBorders>
              <w:top w:val="nil"/>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绩</w:t>
            </w:r>
            <w:r>
              <w:rPr>
                <w:rFonts w:hint="default" w:ascii="Times New Roman" w:hAnsi="Times New Roman" w:cs="Times New Roman"/>
                <w:kern w:val="0"/>
                <w:sz w:val="18"/>
                <w:szCs w:val="18"/>
              </w:rPr>
              <w:br w:type="textWrapping"/>
            </w:r>
            <w:r>
              <w:rPr>
                <w:rFonts w:hint="default" w:ascii="Times New Roman" w:hAnsi="Times New Roman" w:cs="Times New Roman"/>
                <w:kern w:val="0"/>
                <w:sz w:val="18"/>
                <w:szCs w:val="18"/>
              </w:rPr>
              <w:t>效</w:t>
            </w:r>
            <w:r>
              <w:rPr>
                <w:rFonts w:hint="default" w:ascii="Times New Roman" w:hAnsi="Times New Roman" w:cs="Times New Roman"/>
                <w:kern w:val="0"/>
                <w:sz w:val="18"/>
                <w:szCs w:val="18"/>
              </w:rPr>
              <w:br w:type="textWrapping"/>
            </w:r>
            <w:r>
              <w:rPr>
                <w:rFonts w:hint="default" w:ascii="Times New Roman" w:hAnsi="Times New Roman" w:cs="Times New Roman"/>
                <w:kern w:val="0"/>
                <w:sz w:val="18"/>
                <w:szCs w:val="18"/>
              </w:rPr>
              <w:t>指</w:t>
            </w:r>
            <w:r>
              <w:rPr>
                <w:rFonts w:hint="default" w:ascii="Times New Roman" w:hAnsi="Times New Roman" w:cs="Times New Roman"/>
                <w:kern w:val="0"/>
                <w:sz w:val="18"/>
                <w:szCs w:val="18"/>
              </w:rPr>
              <w:br w:type="textWrapping"/>
            </w:r>
            <w:r>
              <w:rPr>
                <w:rFonts w:hint="default" w:ascii="Times New Roman" w:hAnsi="Times New Roman" w:cs="Times New Roman"/>
                <w:kern w:val="0"/>
                <w:sz w:val="18"/>
                <w:szCs w:val="18"/>
              </w:rPr>
              <w:t>标</w:t>
            </w:r>
          </w:p>
        </w:tc>
        <w:tc>
          <w:tcPr>
            <w:tcW w:w="98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一级指标</w:t>
            </w: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二级指标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三级指标</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年度</w:t>
            </w:r>
          </w:p>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指标值</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实际</w:t>
            </w:r>
          </w:p>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完成值</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分值</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得分</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偏差原因分析及改进措施</w:t>
            </w:r>
          </w:p>
        </w:tc>
      </w:tr>
      <w:tr>
        <w:tblPrEx>
          <w:tblCellMar>
            <w:top w:w="0" w:type="dxa"/>
            <w:left w:w="108" w:type="dxa"/>
            <w:bottom w:w="0" w:type="dxa"/>
            <w:right w:w="108" w:type="dxa"/>
          </w:tblCellMar>
        </w:tblPrEx>
        <w:trPr>
          <w:trHeight w:val="769"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产出指标</w:t>
            </w:r>
            <w:r>
              <w:rPr>
                <w:rFonts w:hint="default" w:ascii="Times New Roman" w:hAnsi="Times New Roman" w:cs="Times New Roman"/>
                <w:kern w:val="0"/>
                <w:sz w:val="20"/>
                <w:szCs w:val="20"/>
              </w:rPr>
              <w:t>(50分)</w:t>
            </w: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数量指标</w:t>
            </w:r>
          </w:p>
        </w:tc>
        <w:tc>
          <w:tcPr>
            <w:tcW w:w="2148" w:type="dxa"/>
            <w:gridSpan w:val="3"/>
            <w:tcBorders>
              <w:top w:val="single" w:color="auto" w:sz="4" w:space="0"/>
              <w:left w:val="nil"/>
              <w:bottom w:val="single" w:color="auto" w:sz="4" w:space="0"/>
              <w:right w:val="single" w:color="auto" w:sz="4" w:space="0"/>
            </w:tcBorders>
            <w:vAlign w:val="center"/>
          </w:tcPr>
          <w:p>
            <w:pPr>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指标1：</w:t>
            </w:r>
            <w:r>
              <w:rPr>
                <w:rFonts w:hint="eastAsia"/>
                <w:sz w:val="16"/>
                <w:szCs w:val="16"/>
              </w:rPr>
              <w:t>成立</w:t>
            </w:r>
            <w:r>
              <w:rPr>
                <w:rFonts w:hint="eastAsia"/>
                <w:sz w:val="16"/>
                <w:szCs w:val="16"/>
                <w:lang w:eastAsia="zh-CN"/>
              </w:rPr>
              <w:t>专职</w:t>
            </w:r>
            <w:r>
              <w:rPr>
                <w:rFonts w:hint="eastAsia"/>
                <w:sz w:val="16"/>
                <w:szCs w:val="16"/>
              </w:rPr>
              <w:t>机构</w:t>
            </w:r>
          </w:p>
          <w:p>
            <w:pPr>
              <w:widowControl/>
              <w:spacing w:line="240" w:lineRule="exact"/>
              <w:jc w:val="left"/>
              <w:rPr>
                <w:rFonts w:hint="default" w:ascii="Times New Roman" w:hAnsi="Times New Roman" w:cs="Times New Roman"/>
                <w:color w:val="000000"/>
                <w:kern w:val="0"/>
                <w:sz w:val="18"/>
                <w:szCs w:val="18"/>
              </w:rPr>
            </w:pP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lang w:val="en-US"/>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602"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指标2：</w:t>
            </w:r>
            <w:r>
              <w:rPr>
                <w:rFonts w:hint="eastAsia" w:ascii="Times New Roman" w:hAnsi="Times New Roman" w:cs="Times New Roman"/>
                <w:color w:val="000000"/>
                <w:kern w:val="0"/>
                <w:sz w:val="18"/>
                <w:szCs w:val="18"/>
              </w:rPr>
              <w:t>白班8人，晚班14人，全天全年轮班</w:t>
            </w:r>
          </w:p>
          <w:p>
            <w:pPr>
              <w:widowControl/>
              <w:spacing w:line="240" w:lineRule="exact"/>
              <w:jc w:val="left"/>
              <w:rPr>
                <w:rFonts w:hint="default" w:ascii="Times New Roman" w:hAnsi="Times New Roman" w:cs="Times New Roman"/>
                <w:color w:val="000000"/>
                <w:kern w:val="0"/>
                <w:sz w:val="18"/>
                <w:szCs w:val="18"/>
              </w:rPr>
            </w:pP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583"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质量指标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指标1：</w:t>
            </w:r>
            <w:r>
              <w:rPr>
                <w:rFonts w:hint="eastAsia" w:ascii="Times New Roman" w:hAnsi="Times New Roman" w:cs="Times New Roman"/>
                <w:color w:val="000000"/>
                <w:kern w:val="0"/>
                <w:sz w:val="18"/>
                <w:szCs w:val="18"/>
              </w:rPr>
              <w:t>确保无重大特大事故</w:t>
            </w:r>
          </w:p>
          <w:p>
            <w:pPr>
              <w:widowControl/>
              <w:spacing w:line="240" w:lineRule="exact"/>
              <w:jc w:val="left"/>
              <w:rPr>
                <w:rFonts w:hint="default" w:ascii="Times New Roman" w:hAnsi="Times New Roman" w:cs="Times New Roman"/>
                <w:color w:val="000000"/>
                <w:kern w:val="0"/>
                <w:sz w:val="18"/>
                <w:szCs w:val="18"/>
              </w:rPr>
            </w:pP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eastAsia" w:ascii="Times New Roman" w:hAnsi="Times New Roman"/>
                <w:kern w:val="0"/>
                <w:sz w:val="18"/>
                <w:szCs w:val="18"/>
              </w:rPr>
              <w:t>100%</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eastAsia" w:ascii="Times New Roman" w:hAnsi="Times New Roman"/>
                <w:kern w:val="0"/>
                <w:sz w:val="18"/>
                <w:szCs w:val="18"/>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478"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jc w:val="left"/>
              <w:rPr>
                <w:rFonts w:ascii="宋体" w:hAnsi="宋体" w:cs="宋体"/>
                <w:sz w:val="16"/>
                <w:szCs w:val="16"/>
              </w:rPr>
            </w:pPr>
            <w:r>
              <w:rPr>
                <w:rFonts w:hint="default" w:ascii="Times New Roman" w:hAnsi="Times New Roman" w:cs="Times New Roman"/>
                <w:color w:val="000000"/>
                <w:kern w:val="0"/>
                <w:sz w:val="18"/>
                <w:szCs w:val="18"/>
              </w:rPr>
              <w:t>指标2：</w:t>
            </w:r>
            <w:r>
              <w:rPr>
                <w:rFonts w:hint="eastAsia"/>
                <w:sz w:val="16"/>
                <w:szCs w:val="16"/>
              </w:rPr>
              <w:t>值班人员到位率</w:t>
            </w:r>
          </w:p>
          <w:p>
            <w:pPr>
              <w:widowControl/>
              <w:spacing w:line="240" w:lineRule="exact"/>
              <w:jc w:val="left"/>
              <w:rPr>
                <w:rFonts w:hint="default" w:ascii="Times New Roman" w:hAnsi="Times New Roman" w:cs="Times New Roman"/>
                <w:color w:val="000000"/>
                <w:kern w:val="0"/>
                <w:sz w:val="18"/>
                <w:szCs w:val="18"/>
              </w:rPr>
            </w:pP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eastAsia" w:ascii="Times New Roman" w:hAnsi="Times New Roman"/>
                <w:kern w:val="0"/>
                <w:sz w:val="18"/>
                <w:szCs w:val="18"/>
              </w:rPr>
              <w:t>100%</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eastAsia" w:ascii="Times New Roman" w:hAnsi="Times New Roman"/>
                <w:kern w:val="0"/>
                <w:sz w:val="18"/>
                <w:szCs w:val="18"/>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523"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时效指标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eastAsia="宋体" w:cs="Times New Roman"/>
                <w:color w:val="000000"/>
                <w:kern w:val="0"/>
                <w:sz w:val="18"/>
                <w:szCs w:val="18"/>
                <w:lang w:val="en-US" w:eastAsia="zh-CN"/>
              </w:rPr>
            </w:pPr>
            <w:r>
              <w:rPr>
                <w:rFonts w:hint="default" w:ascii="Times New Roman" w:hAnsi="Times New Roman" w:cs="Times New Roman"/>
                <w:color w:val="000000"/>
                <w:kern w:val="0"/>
                <w:sz w:val="18"/>
                <w:szCs w:val="18"/>
              </w:rPr>
              <w:t>指标1：</w:t>
            </w:r>
            <w:r>
              <w:rPr>
                <w:rFonts w:hint="eastAsia"/>
                <w:sz w:val="16"/>
                <w:szCs w:val="16"/>
                <w:lang w:val="en-US" w:eastAsia="zh-CN"/>
              </w:rPr>
              <w:t>2020年1-12月</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kern w:val="0"/>
                <w:sz w:val="18"/>
                <w:szCs w:val="18"/>
              </w:rPr>
              <w:t>及时</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r>
              <w:rPr>
                <w:rFonts w:hint="eastAsia" w:ascii="Times New Roman" w:hAnsi="Times New Roman"/>
                <w:kern w:val="0"/>
                <w:sz w:val="18"/>
                <w:szCs w:val="18"/>
              </w:rPr>
              <w:t>及时</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val="en-US" w:eastAsia="zh-CN"/>
              </w:rPr>
            </w:pPr>
            <w:r>
              <w:rPr>
                <w:rFonts w:hint="eastAsia" w:cs="Times New Roman"/>
                <w:kern w:val="0"/>
                <w:sz w:val="18"/>
                <w:szCs w:val="18"/>
                <w:lang w:val="en-US" w:eastAsia="zh-CN"/>
              </w:rPr>
              <w:t>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663"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指标2：</w:t>
            </w:r>
            <w:r>
              <w:rPr>
                <w:rFonts w:hint="eastAsia" w:ascii="Times New Roman" w:hAnsi="Times New Roman" w:cs="Times New Roman"/>
                <w:color w:val="000000"/>
                <w:kern w:val="0"/>
                <w:sz w:val="18"/>
                <w:szCs w:val="18"/>
              </w:rPr>
              <w:t>确保年内无重大特大事故</w:t>
            </w:r>
          </w:p>
          <w:p>
            <w:pPr>
              <w:widowControl/>
              <w:spacing w:line="240" w:lineRule="exact"/>
              <w:jc w:val="left"/>
              <w:rPr>
                <w:rFonts w:hint="default" w:ascii="Times New Roman" w:hAnsi="Times New Roman" w:cs="Times New Roman"/>
                <w:color w:val="000000"/>
                <w:kern w:val="0"/>
                <w:sz w:val="18"/>
                <w:szCs w:val="18"/>
              </w:rPr>
            </w:pP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505"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成本指标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eastAsia="宋体" w:cs="Times New Roman"/>
                <w:color w:val="000000"/>
                <w:kern w:val="0"/>
                <w:sz w:val="18"/>
                <w:szCs w:val="18"/>
                <w:lang w:val="en-US" w:eastAsia="zh-CN"/>
              </w:rPr>
            </w:pPr>
            <w:r>
              <w:rPr>
                <w:rFonts w:hint="default" w:ascii="Times New Roman" w:hAnsi="Times New Roman" w:cs="Times New Roman"/>
                <w:color w:val="000000"/>
                <w:kern w:val="0"/>
                <w:sz w:val="18"/>
                <w:szCs w:val="18"/>
              </w:rPr>
              <w:t>指标1：</w:t>
            </w:r>
            <w:r>
              <w:rPr>
                <w:rFonts w:hint="eastAsia" w:cs="Times New Roman"/>
                <w:color w:val="000000"/>
                <w:kern w:val="0"/>
                <w:sz w:val="18"/>
                <w:szCs w:val="18"/>
                <w:lang w:eastAsia="zh-CN"/>
              </w:rPr>
              <w:t>不超过预算</w:t>
            </w:r>
          </w:p>
          <w:p>
            <w:pPr>
              <w:widowControl/>
              <w:spacing w:line="240" w:lineRule="exact"/>
              <w:jc w:val="left"/>
              <w:rPr>
                <w:rFonts w:hint="default" w:ascii="Times New Roman" w:hAnsi="Times New Roman" w:cs="Times New Roman"/>
                <w:color w:val="000000"/>
                <w:kern w:val="0"/>
                <w:sz w:val="18"/>
                <w:szCs w:val="18"/>
              </w:rPr>
            </w:pP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cs="Times New Roman"/>
                <w:kern w:val="0"/>
                <w:sz w:val="18"/>
                <w:szCs w:val="18"/>
                <w:lang w:val="en-US" w:eastAsia="zh-CN"/>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cs="Times New Roman"/>
                <w:kern w:val="0"/>
                <w:sz w:val="18"/>
                <w:szCs w:val="18"/>
                <w:lang w:val="en-US" w:eastAsia="zh-CN"/>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r>
              <w:rPr>
                <w:rFonts w:hint="eastAsia" w:cs="Times New Roman"/>
                <w:kern w:val="0"/>
                <w:sz w:val="18"/>
                <w:szCs w:val="18"/>
                <w:lang w:eastAsia="zh-CN"/>
              </w:rPr>
              <w:t>人员经费预估不足</w:t>
            </w: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指标2：</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449"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效益指标</w:t>
            </w:r>
            <w:r>
              <w:rPr>
                <w:rFonts w:hint="default" w:ascii="Times New Roman" w:hAnsi="Times New Roman" w:cs="Times New Roman"/>
                <w:kern w:val="0"/>
                <w:sz w:val="20"/>
                <w:szCs w:val="20"/>
              </w:rPr>
              <w:t>(30分)</w:t>
            </w:r>
          </w:p>
        </w:tc>
        <w:tc>
          <w:tcPr>
            <w:tcW w:w="111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经济效益</w:t>
            </w:r>
          </w:p>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imes New Roman" w:hAnsi="Times New Roman" w:eastAsia="宋体" w:cs="Times New Roman"/>
                <w:color w:val="000000"/>
                <w:kern w:val="0"/>
                <w:sz w:val="18"/>
                <w:szCs w:val="18"/>
                <w:lang w:eastAsia="zh-CN"/>
              </w:rPr>
            </w:pPr>
            <w:r>
              <w:rPr>
                <w:rFonts w:hint="default" w:ascii="Times New Roman" w:hAnsi="Times New Roman" w:cs="Times New Roman"/>
                <w:color w:val="000000"/>
                <w:kern w:val="0"/>
                <w:sz w:val="18"/>
                <w:szCs w:val="18"/>
              </w:rPr>
              <w:t>指标1：</w:t>
            </w:r>
            <w:r>
              <w:rPr>
                <w:rFonts w:hint="eastAsia" w:cs="Times New Roman"/>
                <w:color w:val="000000"/>
                <w:kern w:val="0"/>
                <w:sz w:val="18"/>
                <w:szCs w:val="18"/>
                <w:lang w:eastAsia="zh-CN"/>
              </w:rPr>
              <w:t>节约成本</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2</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eastAsia" w:cs="Times New Roman"/>
                <w:kern w:val="0"/>
                <w:sz w:val="18"/>
                <w:szCs w:val="18"/>
                <w:lang w:eastAsia="zh-CN"/>
              </w:rPr>
              <w:t>人员经费预估不足</w:t>
            </w:r>
            <w:bookmarkStart w:id="0" w:name="_GoBack"/>
            <w:bookmarkEnd w:id="0"/>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指标2：</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756"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社会效益</w:t>
            </w:r>
          </w:p>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指标1：</w:t>
            </w:r>
            <w:r>
              <w:rPr>
                <w:rFonts w:hint="eastAsia" w:ascii="Times New Roman" w:hAnsi="Times New Roman" w:cs="Times New Roman"/>
                <w:color w:val="000000"/>
                <w:kern w:val="0"/>
                <w:sz w:val="18"/>
                <w:szCs w:val="18"/>
              </w:rPr>
              <w:t>处理突发事故，提高工作质量和办事效率</w:t>
            </w:r>
          </w:p>
          <w:p>
            <w:pPr>
              <w:widowControl/>
              <w:spacing w:line="240" w:lineRule="exact"/>
              <w:jc w:val="left"/>
              <w:rPr>
                <w:rFonts w:hint="default" w:ascii="Times New Roman" w:hAnsi="Times New Roman" w:cs="Times New Roman"/>
                <w:color w:val="000000"/>
                <w:kern w:val="0"/>
                <w:sz w:val="18"/>
                <w:szCs w:val="18"/>
              </w:rPr>
            </w:pPr>
          </w:p>
          <w:p>
            <w:pPr>
              <w:widowControl/>
              <w:spacing w:line="240" w:lineRule="exact"/>
              <w:jc w:val="left"/>
              <w:rPr>
                <w:rFonts w:hint="default" w:ascii="Times New Roman" w:hAnsi="Times New Roman" w:cs="Times New Roman"/>
                <w:color w:val="000000"/>
                <w:kern w:val="0"/>
                <w:sz w:val="18"/>
                <w:szCs w:val="18"/>
              </w:rPr>
            </w:pP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eastAsia" w:ascii="Times New Roman" w:hAnsi="Times New Roman"/>
                <w:kern w:val="0"/>
                <w:sz w:val="18"/>
                <w:szCs w:val="18"/>
              </w:rPr>
              <w:t>100%</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eastAsia" w:ascii="Times New Roman" w:hAnsi="Times New Roman"/>
                <w:kern w:val="0"/>
                <w:sz w:val="18"/>
                <w:szCs w:val="18"/>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指标2：</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生态效益</w:t>
            </w:r>
          </w:p>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指标1：</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指标2：</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575"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可持续影响指标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指标1：</w:t>
            </w:r>
            <w:r>
              <w:rPr>
                <w:rFonts w:hint="eastAsia" w:ascii="Times New Roman" w:hAnsi="Times New Roman" w:cs="Times New Roman"/>
                <w:color w:val="000000"/>
                <w:kern w:val="0"/>
                <w:sz w:val="18"/>
                <w:szCs w:val="18"/>
              </w:rPr>
              <w:t>确保全县政府系统联系畅通</w:t>
            </w:r>
          </w:p>
          <w:p>
            <w:pPr>
              <w:widowControl/>
              <w:spacing w:line="240" w:lineRule="exact"/>
              <w:jc w:val="left"/>
              <w:rPr>
                <w:rFonts w:hint="default" w:ascii="Times New Roman" w:hAnsi="Times New Roman" w:cs="Times New Roman"/>
                <w:color w:val="000000"/>
                <w:kern w:val="0"/>
                <w:sz w:val="18"/>
                <w:szCs w:val="18"/>
              </w:rPr>
            </w:pPr>
          </w:p>
          <w:p>
            <w:pPr>
              <w:widowControl/>
              <w:spacing w:line="240" w:lineRule="exact"/>
              <w:jc w:val="left"/>
              <w:rPr>
                <w:rFonts w:hint="default" w:ascii="Times New Roman" w:hAnsi="Times New Roman" w:cs="Times New Roman"/>
                <w:color w:val="000000"/>
                <w:kern w:val="0"/>
                <w:sz w:val="18"/>
                <w:szCs w:val="18"/>
              </w:rPr>
            </w:pPr>
          </w:p>
          <w:p>
            <w:pPr>
              <w:widowControl/>
              <w:spacing w:line="240" w:lineRule="exact"/>
              <w:jc w:val="left"/>
              <w:rPr>
                <w:rFonts w:hint="default" w:ascii="Times New Roman" w:hAnsi="Times New Roman" w:cs="Times New Roman"/>
                <w:color w:val="000000"/>
                <w:kern w:val="0"/>
                <w:sz w:val="18"/>
                <w:szCs w:val="18"/>
              </w:rPr>
            </w:pP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r>
              <w:rPr>
                <w:rFonts w:hint="eastAsia" w:cs="Times New Roman"/>
                <w:kern w:val="0"/>
                <w:sz w:val="18"/>
                <w:szCs w:val="18"/>
                <w:lang w:eastAsia="zh-CN"/>
              </w:rPr>
              <w:t>长期</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指标2：</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491"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restart"/>
            <w:tcBorders>
              <w:top w:val="single" w:color="auto" w:sz="4" w:space="0"/>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满意度</w:t>
            </w:r>
          </w:p>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指标</w:t>
            </w:r>
            <w:r>
              <w:rPr>
                <w:rFonts w:hint="default" w:ascii="Times New Roman" w:hAnsi="Times New Roman" w:cs="Times New Roman"/>
                <w:kern w:val="0"/>
                <w:sz w:val="20"/>
                <w:szCs w:val="20"/>
              </w:rPr>
              <w:t>(10分)</w:t>
            </w:r>
          </w:p>
        </w:tc>
        <w:tc>
          <w:tcPr>
            <w:tcW w:w="111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服务对象满意度指标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指标1：</w:t>
            </w:r>
            <w:r>
              <w:rPr>
                <w:rFonts w:hint="eastAsia" w:cs="Times New Roman"/>
                <w:color w:val="000000"/>
                <w:kern w:val="0"/>
                <w:sz w:val="18"/>
                <w:szCs w:val="18"/>
                <w:lang w:eastAsia="zh-CN"/>
              </w:rPr>
              <w:t>受众</w:t>
            </w:r>
            <w:r>
              <w:rPr>
                <w:rFonts w:hint="eastAsia" w:ascii="Times New Roman" w:hAnsi="Times New Roman" w:cs="Times New Roman"/>
                <w:color w:val="000000"/>
                <w:kern w:val="0"/>
                <w:sz w:val="18"/>
                <w:szCs w:val="18"/>
              </w:rPr>
              <w:t>满意</w:t>
            </w:r>
          </w:p>
        </w:tc>
        <w:tc>
          <w:tcPr>
            <w:tcW w:w="85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color w:val="000000"/>
                <w:kern w:val="0"/>
                <w:sz w:val="18"/>
                <w:szCs w:val="18"/>
              </w:rPr>
              <w:t>100%</w:t>
            </w:r>
          </w:p>
        </w:tc>
        <w:tc>
          <w:tcPr>
            <w:tcW w:w="851"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both"/>
              <w:textAlignment w:val="center"/>
              <w:rPr>
                <w:rFonts w:hint="default" w:ascii="仿宋_GB2312" w:hAnsi="宋体" w:eastAsia="仿宋_GB2312" w:cs="仿宋_GB2312"/>
                <w:i w:val="0"/>
                <w:color w:val="000000"/>
                <w:kern w:val="2"/>
                <w:sz w:val="16"/>
                <w:szCs w:val="16"/>
                <w:u w:val="none"/>
                <w:lang w:val="en-US" w:eastAsia="zh-CN" w:bidi="ar-SA"/>
              </w:rPr>
            </w:pPr>
            <w:r>
              <w:rPr>
                <w:rFonts w:hint="default" w:ascii="Times New Roman" w:hAnsi="Times New Roman" w:cs="Times New Roman"/>
                <w:color w:val="000000"/>
                <w:kern w:val="0"/>
                <w:sz w:val="18"/>
                <w:szCs w:val="18"/>
              </w:rPr>
              <w:t>100%</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指标2：</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300" w:hRule="exact"/>
          <w:jc w:val="center"/>
        </w:trPr>
        <w:tc>
          <w:tcPr>
            <w:tcW w:w="6529"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总分</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color w:val="000000"/>
                <w:kern w:val="0"/>
                <w:sz w:val="18"/>
                <w:szCs w:val="18"/>
                <w:lang w:val="en-US" w:eastAsia="zh-CN"/>
              </w:rPr>
            </w:pPr>
            <w:r>
              <w:rPr>
                <w:rFonts w:hint="eastAsia" w:cs="Times New Roman"/>
                <w:color w:val="000000"/>
                <w:kern w:val="0"/>
                <w:sz w:val="18"/>
                <w:szCs w:val="18"/>
                <w:lang w:val="en-US" w:eastAsia="zh-CN"/>
              </w:rPr>
              <w:t>82</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bl>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br w:type="page"/>
      </w:r>
      <w:r>
        <w:rPr>
          <w:sz w:val="18"/>
        </w:rPr>
        <mc:AlternateContent>
          <mc:Choice Requires="wps">
            <w:drawing>
              <wp:anchor distT="0" distB="0" distL="114300" distR="114300" simplePos="0" relativeHeight="251659264" behindDoc="0" locked="0" layoutInCell="1" allowOverlap="1">
                <wp:simplePos x="0" y="0"/>
                <wp:positionH relativeFrom="column">
                  <wp:posOffset>-107950</wp:posOffset>
                </wp:positionH>
                <wp:positionV relativeFrom="paragraph">
                  <wp:posOffset>185420</wp:posOffset>
                </wp:positionV>
                <wp:extent cx="6400800" cy="123825"/>
                <wp:effectExtent l="4445" t="5080" r="14605" b="4445"/>
                <wp:wrapNone/>
                <wp:docPr id="1" name="矩形 1"/>
                <wp:cNvGraphicFramePr/>
                <a:graphic xmlns:a="http://schemas.openxmlformats.org/drawingml/2006/main">
                  <a:graphicData uri="http://schemas.microsoft.com/office/word/2010/wordprocessingShape">
                    <wps:wsp>
                      <wps:cNvSpPr/>
                      <wps:spPr>
                        <a:xfrm>
                          <a:off x="0" y="0"/>
                          <a:ext cx="6400800" cy="123825"/>
                        </a:xfrm>
                        <a:prstGeom prst="rect">
                          <a:avLst/>
                        </a:prstGeom>
                        <a:solidFill>
                          <a:srgbClr val="FFFFFF"/>
                        </a:solidFill>
                        <a:ln w="9525" cap="flat" cmpd="sng">
                          <a:solidFill>
                            <a:srgbClr val="FFFFFF"/>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8.5pt;margin-top:14.6pt;height:9.75pt;width:504pt;z-index:251659264;mso-width-relative:page;mso-height-relative:page;" fillcolor="#FFFFFF" filled="t" stroked="t" coordsize="21600,21600" o:gfxdata="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Vzptq1wAAAAkBAAAPAAAAAAAAAAEAIAAAACIAAABkcnMvZG93bnJldi54bWxQSwEC&#10;FAAUAAAACACHTuJAyINEW/UBAAAeBAAADgAAAAAAAAABACAAAAAmAQAAZHJzL2Uyb0RvYy54bWxQ&#10;SwUGAAAAAAYABgBZAQAAjQUAAAAA&#10;">
                <v:fill on="t" focussize="0,0"/>
                <v:stroke color="#FFFFFF" joinstyle="miter"/>
                <v:imagedata o:title=""/>
                <o:lock v:ext="edit" aspectratio="f"/>
              </v:rect>
            </w:pict>
          </mc:Fallback>
        </mc:AlternateContent>
      </w:r>
    </w:p>
    <w:tbl>
      <w:tblPr>
        <w:tblStyle w:val="5"/>
        <w:tblW w:w="9540" w:type="dxa"/>
        <w:tblInd w:w="97" w:type="dxa"/>
        <w:tblLayout w:type="fixed"/>
        <w:tblCellMar>
          <w:top w:w="0" w:type="dxa"/>
          <w:left w:w="108" w:type="dxa"/>
          <w:bottom w:w="0" w:type="dxa"/>
          <w:right w:w="108" w:type="dxa"/>
        </w:tblCellMar>
      </w:tblPr>
      <w:tblGrid>
        <w:gridCol w:w="9540"/>
      </w:tblGrid>
      <w:tr>
        <w:tblPrEx>
          <w:tblCellMar>
            <w:top w:w="0" w:type="dxa"/>
            <w:left w:w="108" w:type="dxa"/>
            <w:bottom w:w="0" w:type="dxa"/>
            <w:right w:w="108" w:type="dxa"/>
          </w:tblCellMar>
        </w:tblPrEx>
        <w:trPr>
          <w:trHeight w:val="465" w:hRule="atLeast"/>
        </w:trPr>
        <w:tc>
          <w:tcPr>
            <w:tcW w:w="9540" w:type="dxa"/>
            <w:tcBorders>
              <w:top w:val="single" w:color="auto" w:sz="4" w:space="0"/>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注：1.一级指标分值统一设置为：产出指标50分、效益指标30分、服务对象满意度指标10分、预算资金执行率10分。如有特殊情况，上述权重可做适当调整，但加总后应等于100分。各部门根据各项指标重要程度确定三级指标的分值。得分一档最高不能超过该指标分值上限。</w:t>
            </w:r>
          </w:p>
        </w:tc>
      </w:tr>
      <w:tr>
        <w:tblPrEx>
          <w:tblCellMar>
            <w:top w:w="0" w:type="dxa"/>
            <w:left w:w="108" w:type="dxa"/>
            <w:bottom w:w="0" w:type="dxa"/>
            <w:right w:w="108" w:type="dxa"/>
          </w:tblCellMar>
        </w:tblPrEx>
        <w:trPr>
          <w:trHeight w:val="465" w:hRule="atLeast"/>
        </w:trPr>
        <w:tc>
          <w:tcPr>
            <w:tcW w:w="9540"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xml:space="preserve">    2.定性指标根据指标完成情况分为：达成预期指标、部分达成预期指标并具有一定效果、未达成预期指标且效果较差三档，分别按照该指标对应分值区间100-80%(含80%)、80-50%(含50%)、50-0%合理确定分值。</w:t>
            </w:r>
          </w:p>
        </w:tc>
      </w:tr>
      <w:tr>
        <w:tblPrEx>
          <w:tblCellMar>
            <w:top w:w="0" w:type="dxa"/>
            <w:left w:w="108" w:type="dxa"/>
            <w:bottom w:w="0" w:type="dxa"/>
            <w:right w:w="108" w:type="dxa"/>
          </w:tblCellMar>
        </w:tblPrEx>
        <w:trPr>
          <w:trHeight w:val="465" w:hRule="atLeast"/>
        </w:trPr>
        <w:tc>
          <w:tcPr>
            <w:tcW w:w="9540"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xml:space="preserve">    3.定量指标若为正向指标（即指标值为≥*），则得分计算方法应用全年实际值（B）/年度指标值（A）</w:t>
            </w:r>
            <w:r>
              <w:rPr>
                <w:rFonts w:hint="default" w:ascii="Times New Roman" w:hAnsi="Times New Roman" w:cs="Times New Roman"/>
                <w:color w:val="000000"/>
                <w:kern w:val="0"/>
                <w:sz w:val="12"/>
                <w:szCs w:val="12"/>
              </w:rPr>
              <w:t>╳</w:t>
            </w:r>
            <w:r>
              <w:rPr>
                <w:rFonts w:hint="default" w:ascii="Times New Roman" w:hAnsi="Times New Roman" w:cs="Times New Roman"/>
                <w:color w:val="000000"/>
                <w:kern w:val="0"/>
                <w:sz w:val="18"/>
                <w:szCs w:val="18"/>
              </w:rPr>
              <w:t>该指标分值；若定量指标为反向指标（即指标值为≤*），则得分计算方法应用年度指标值（A）/全年实际值（B）</w:t>
            </w:r>
            <w:r>
              <w:rPr>
                <w:rFonts w:hint="default" w:ascii="Times New Roman" w:hAnsi="Times New Roman" w:cs="Times New Roman"/>
                <w:color w:val="000000"/>
                <w:kern w:val="0"/>
                <w:sz w:val="12"/>
                <w:szCs w:val="12"/>
              </w:rPr>
              <w:t>╳</w:t>
            </w:r>
            <w:r>
              <w:rPr>
                <w:rFonts w:hint="default" w:ascii="Times New Roman" w:hAnsi="Times New Roman" w:cs="Times New Roman"/>
                <w:color w:val="000000"/>
                <w:kern w:val="0"/>
                <w:sz w:val="18"/>
                <w:szCs w:val="18"/>
              </w:rPr>
              <w:t>该指标分值。</w:t>
            </w:r>
          </w:p>
        </w:tc>
      </w:tr>
      <w:tr>
        <w:tblPrEx>
          <w:tblCellMar>
            <w:top w:w="0" w:type="dxa"/>
            <w:left w:w="108" w:type="dxa"/>
            <w:bottom w:w="0" w:type="dxa"/>
            <w:right w:w="108" w:type="dxa"/>
          </w:tblCellMar>
        </w:tblPrEx>
        <w:trPr>
          <w:trHeight w:val="210" w:hRule="atLeast"/>
        </w:trPr>
        <w:tc>
          <w:tcPr>
            <w:tcW w:w="9540"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xml:space="preserve"> </w:t>
            </w:r>
            <w:r>
              <w:rPr>
                <w:rFonts w:hint="default" w:ascii="Times New Roman" w:hAnsi="Times New Roman" w:cs="Times New Roman"/>
                <w:color w:val="000000"/>
                <w:kern w:val="0"/>
                <w:sz w:val="18"/>
                <w:szCs w:val="18"/>
                <w:highlight w:val="none"/>
              </w:rPr>
              <w:t xml:space="preserve">   4.请在“</w:t>
            </w:r>
            <w:r>
              <w:rPr>
                <w:rFonts w:hint="default" w:ascii="Times New Roman" w:hAnsi="Times New Roman" w:cs="Times New Roman"/>
                <w:kern w:val="0"/>
                <w:sz w:val="18"/>
                <w:szCs w:val="18"/>
                <w:highlight w:val="none"/>
              </w:rPr>
              <w:t>偏差原因分析及改进措施</w:t>
            </w:r>
            <w:r>
              <w:rPr>
                <w:rFonts w:hint="default" w:ascii="Times New Roman" w:hAnsi="Times New Roman" w:cs="Times New Roman"/>
                <w:color w:val="000000"/>
                <w:kern w:val="0"/>
                <w:sz w:val="18"/>
                <w:szCs w:val="18"/>
                <w:highlight w:val="none"/>
              </w:rPr>
              <w:t>”中说明偏离目标、不能完成目标的原因及拟采取的措施。</w:t>
            </w:r>
          </w:p>
        </w:tc>
      </w:tr>
    </w:tbl>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default" w:ascii="Times New Roman" w:hAnsi="Times New Roman" w:cs="Times New Roman"/>
          <w:color w:val="000000"/>
          <w:kern w:val="0"/>
          <w:sz w:val="18"/>
          <w:szCs w:val="18"/>
        </w:rPr>
      </w:pPr>
    </w:p>
    <w:p>
      <w:pPr>
        <w:rPr>
          <w:rFonts w:hint="default" w:ascii="Times New Roman" w:hAnsi="Times New Roman" w:cs="Times New Roman"/>
        </w:rPr>
      </w:pPr>
    </w:p>
    <w:p>
      <w:pPr>
        <w:rPr>
          <w:rFonts w:hint="default" w:ascii="Times New Roman" w:hAnsi="Times New Roman" w:eastAsia="黑体" w:cs="Times New Roman"/>
        </w:rPr>
        <w:sectPr>
          <w:pgSz w:w="11906" w:h="16838"/>
          <w:pgMar w:top="1587" w:right="1587" w:bottom="1587" w:left="1587" w:header="737" w:footer="850" w:gutter="0"/>
          <w:pgBorders>
            <w:top w:val="none" w:sz="0" w:space="0"/>
            <w:left w:val="none" w:sz="0" w:space="0"/>
            <w:bottom w:val="none" w:sz="0" w:space="0"/>
            <w:right w:val="none" w:sz="0" w:space="0"/>
          </w:pgBorders>
          <w:cols w:space="720" w:num="1"/>
          <w:rtlGutter w:val="0"/>
          <w:docGrid w:type="lines" w:linePitch="408" w:charSpace="0"/>
        </w:sectPr>
      </w:pPr>
    </w:p>
    <w:p>
      <w:pPr>
        <w:keepNext/>
        <w:keepLines/>
        <w:pageBreakBefore/>
        <w:widowControl/>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Cs/>
          <w:color w:val="000000"/>
          <w:sz w:val="32"/>
          <w:szCs w:val="32"/>
          <w:lang w:eastAsia="zh-CN"/>
        </w:rPr>
      </w:pPr>
      <w:r>
        <w:rPr>
          <w:rFonts w:hint="default" w:ascii="Times New Roman" w:hAnsi="Times New Roman" w:eastAsia="仿宋_GB2312" w:cs="Times New Roman"/>
          <w:bCs/>
          <w:color w:val="000000"/>
          <w:sz w:val="32"/>
          <w:szCs w:val="32"/>
        </w:rPr>
        <w:t>附件</w:t>
      </w:r>
      <w:r>
        <w:rPr>
          <w:rFonts w:hint="eastAsia" w:ascii="Times New Roman" w:hAnsi="Times New Roman" w:eastAsia="仿宋_GB2312" w:cs="Times New Roman"/>
          <w:bCs/>
          <w:color w:val="000000"/>
          <w:sz w:val="32"/>
          <w:szCs w:val="32"/>
          <w:lang w:val="en-US" w:eastAsia="zh-CN"/>
        </w:rPr>
        <w:t>2</w:t>
      </w:r>
    </w:p>
    <w:p>
      <w:pPr>
        <w:pStyle w:val="2"/>
        <w:spacing w:before="0" w:after="0" w:line="240" w:lineRule="auto"/>
        <w:jc w:val="center"/>
        <w:rPr>
          <w:rFonts w:hint="default" w:ascii="Times New Roman" w:hAnsi="Times New Roman" w:eastAsia="宋体" w:cs="Times New Roman"/>
          <w:bCs/>
          <w:color w:val="000000"/>
          <w:sz w:val="36"/>
          <w:szCs w:val="28"/>
        </w:rPr>
      </w:pPr>
      <w:r>
        <w:rPr>
          <w:rFonts w:hint="default" w:ascii="Times New Roman" w:hAnsi="Times New Roman" w:eastAsia="宋体" w:cs="Times New Roman"/>
          <w:bCs/>
          <w:color w:val="000000"/>
          <w:sz w:val="36"/>
          <w:szCs w:val="28"/>
        </w:rPr>
        <w:t>项目支出绩效评价共性指标表</w:t>
      </w:r>
    </w:p>
    <w:tbl>
      <w:tblPr>
        <w:tblStyle w:val="5"/>
        <w:tblW w:w="1258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682"/>
        <w:gridCol w:w="709"/>
        <w:gridCol w:w="1134"/>
        <w:gridCol w:w="567"/>
        <w:gridCol w:w="2835"/>
        <w:gridCol w:w="6096"/>
        <w:gridCol w:w="5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682"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一级指标</w:t>
            </w:r>
          </w:p>
        </w:tc>
        <w:tc>
          <w:tcPr>
            <w:tcW w:w="709"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二级指标</w:t>
            </w:r>
          </w:p>
        </w:tc>
        <w:tc>
          <w:tcPr>
            <w:tcW w:w="1134"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三级指标</w:t>
            </w:r>
          </w:p>
        </w:tc>
        <w:tc>
          <w:tcPr>
            <w:tcW w:w="567" w:type="dxa"/>
            <w:shd w:val="clear" w:color="auto" w:fill="FFFFFF"/>
            <w:vAlign w:val="top"/>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分</w:t>
            </w:r>
          </w:p>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值</w:t>
            </w:r>
          </w:p>
        </w:tc>
        <w:tc>
          <w:tcPr>
            <w:tcW w:w="2835"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指标解释</w:t>
            </w:r>
          </w:p>
        </w:tc>
        <w:tc>
          <w:tcPr>
            <w:tcW w:w="6096"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指标说明</w:t>
            </w:r>
          </w:p>
        </w:tc>
        <w:tc>
          <w:tcPr>
            <w:tcW w:w="566"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682"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决策　</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　</w:t>
            </w:r>
          </w:p>
          <w:p>
            <w:pPr>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　</w:t>
            </w:r>
          </w:p>
        </w:tc>
        <w:tc>
          <w:tcPr>
            <w:tcW w:w="709"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项目立项　</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立项依据</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充分性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4</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pPr>
              <w:widowControl/>
              <w:spacing w:line="0" w:lineRule="atLeast"/>
              <w:jc w:val="lef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①项目立项是否符合国家法律法规、国民经济发展规划和相关政策；</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②项目立项是否符合行业发展规划和政策要求；</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③项目立项是否与部门职责范围相符，属于部门履职所需；</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④项目是否属于公共财政支持范围，是否符合中央、地方事权支出责任划分原则；</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⑤项目是否与相关部门同类项目或部门内部相关项目重复。</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10" w:hRule="atLeast"/>
          <w:jc w:val="center"/>
        </w:trPr>
        <w:tc>
          <w:tcPr>
            <w:tcW w:w="682"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rPr>
            </w:pPr>
          </w:p>
        </w:tc>
        <w:tc>
          <w:tcPr>
            <w:tcW w:w="709"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立项程序</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规范性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3</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项目申请、设立过程是否符合相关要求，用以反映和考核项目立项的规范情况。</w:t>
            </w:r>
          </w:p>
        </w:tc>
        <w:tc>
          <w:tcPr>
            <w:tcW w:w="6096" w:type="dxa"/>
            <w:shd w:val="clear" w:color="auto" w:fill="FFFFFF"/>
            <w:vAlign w:val="center"/>
          </w:tcPr>
          <w:p>
            <w:pPr>
              <w:widowControl/>
              <w:spacing w:line="0" w:lineRule="atLeast"/>
              <w:jc w:val="lef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①项目是否按照规定的程序申请设立；</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②审批文件、材料是否符合相关要求；</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③事前是否已经过必要的可行性研究、专家论证、风险评估、绩效评估、集体决策。</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29" w:hRule="atLeast"/>
          <w:jc w:val="center"/>
        </w:trPr>
        <w:tc>
          <w:tcPr>
            <w:tcW w:w="682"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rPr>
            </w:pPr>
          </w:p>
        </w:tc>
        <w:tc>
          <w:tcPr>
            <w:tcW w:w="709"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绩效目标　</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绩效目标</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合理性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4</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pPr>
              <w:widowControl/>
              <w:spacing w:line="0" w:lineRule="atLeast"/>
              <w:jc w:val="lef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（如未设定预算绩效目标，也可考核其他工作任务目标）</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①项目是否有绩效目标；</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②项目绩效目标与实际工作内容是否具有相关性；</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③项目预期产出效益和效果是否符合正常的业绩水平；</w:t>
            </w:r>
          </w:p>
          <w:p>
            <w:pPr>
              <w:widowControl/>
              <w:spacing w:line="0" w:lineRule="atLeast"/>
              <w:jc w:val="lef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④是否与预算确定的项目投资额或资金量相匹配。</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682"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决策　</w:t>
            </w:r>
          </w:p>
        </w:tc>
        <w:tc>
          <w:tcPr>
            <w:tcW w:w="709"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绩效目标</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绩效指标</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明确性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4</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①是否将项目绩效目标细化分解为具体的绩效指标；</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②是否通过清晰、可衡量的指标值予以体现；</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③是否与项目目标任务数或计划数相对应。</w:t>
            </w:r>
            <w:r>
              <w:rPr>
                <w:rFonts w:hint="default" w:ascii="Times New Roman" w:hAnsi="Times New Roman" w:cs="Times New Roman"/>
                <w:color w:val="000000"/>
                <w:kern w:val="0"/>
                <w:sz w:val="22"/>
                <w:szCs w:val="22"/>
              </w:rPr>
              <w:br w:type="textWrapping"/>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682"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rPr>
            </w:pPr>
          </w:p>
        </w:tc>
        <w:tc>
          <w:tcPr>
            <w:tcW w:w="709"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资金投入</w:t>
            </w:r>
          </w:p>
          <w:p>
            <w:pPr>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　</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预算编制</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科学性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3</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①预算编制是否经过科学论证；</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②预算内容与项目内容是否匹配；</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③预算额度测算依据是否充分，是否按照标准编制；</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④预算确定的项目投资额或资金量是否与工作任务相匹配。</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682"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709"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资金分配</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合理性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3</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①预算资金分配依据是否充分；</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②资金分配额度是否合理，与项目单位或地方实际是否相适应。</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682" w:type="dxa"/>
            <w:vMerge w:val="restart"/>
            <w:shd w:val="clear" w:color="auto" w:fill="FFFFFF"/>
            <w:vAlign w:val="center"/>
          </w:tcPr>
          <w:p>
            <w:pPr>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过程</w:t>
            </w:r>
          </w:p>
        </w:tc>
        <w:tc>
          <w:tcPr>
            <w:tcW w:w="709"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资金管理</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资金到位率</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3</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资金到位率=（实际到位资金/预算资金）×100%。</w:t>
            </w:r>
          </w:p>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实际到位资金：一定时期（本年度或项目期）内落实到具体项目的资金。</w:t>
            </w:r>
          </w:p>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预算资金：一定时期（本年度或项目期）内预算安排到具体项目的资金。</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682"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rPr>
            </w:pPr>
          </w:p>
        </w:tc>
        <w:tc>
          <w:tcPr>
            <w:tcW w:w="709"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rPr>
            </w:pP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预算执行率</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4</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项目预算资金是否按照计划执行，用以反映或考核项目预算执行情况。</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预算执行率=（实际支出资金/实际到位资金）×100%。</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实际支出资金：一定时期（本年度或项目期）内项目实际拨付的资金。</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682"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　</w:t>
            </w:r>
          </w:p>
          <w:p>
            <w:pPr>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过程　</w:t>
            </w:r>
          </w:p>
        </w:tc>
        <w:tc>
          <w:tcPr>
            <w:tcW w:w="709"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资金管理</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资金使用</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合规性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4</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①是否符合国家财经法规和财务管理制度以及有关专项资金管理办法的规定；</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②资金的拨付是否有完整的审批程序和手续；</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③是否符合项目预算批复或合同规定的用途；</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④是否存在截留、挤占、挪用、虚列支出等情况。</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682"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rPr>
            </w:pPr>
          </w:p>
        </w:tc>
        <w:tc>
          <w:tcPr>
            <w:tcW w:w="709"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组织实施</w:t>
            </w:r>
          </w:p>
          <w:p>
            <w:pPr>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　</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管理制度</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健全性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4</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①是否已制定或具有相应的财务和业务管理制度；</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②财务和业务管理制度是否合法、合规、完整。</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682"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709"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制度执行</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有效性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4</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项目实施是否符合相关管理规定，用以反映和考核相关管理制度的有效执行情况。</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①是否遵守相关法律法规和相关管理规定；</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②项目调整及支出调整手续是否完备；</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③项目合同书、验收报告、技术鉴定等资料是否齐全并及时归档；</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④项目实施的人员条件、场地设备、信息支撑等是否落实到位。</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682"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产出</w:t>
            </w:r>
          </w:p>
        </w:tc>
        <w:tc>
          <w:tcPr>
            <w:tcW w:w="709"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产出数量</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实际完成率</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8</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实际完成率=（实际产出数/计划产出数）×100%。</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实际产出数：一定时期（本年度或项目期）内项目实际产出的产品或提供的服务数量。</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682"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产出</w:t>
            </w:r>
          </w:p>
        </w:tc>
        <w:tc>
          <w:tcPr>
            <w:tcW w:w="709"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产出质量</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质量达标率</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8</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质量达标率=（质量达标产出数/实际产出数）×100%。</w:t>
            </w:r>
          </w:p>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682"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rPr>
            </w:pPr>
          </w:p>
        </w:tc>
        <w:tc>
          <w:tcPr>
            <w:tcW w:w="709" w:type="dxa"/>
            <w:shd w:val="clear" w:color="auto" w:fill="FFFFFF"/>
            <w:vAlign w:val="center"/>
          </w:tcPr>
          <w:p>
            <w:pPr>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产出时效</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完成及时性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8</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实际完成时间：项目实施单位完成该项目实际所耗用的时间。</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计划完成时间：按照项目实施计划或相关规定完成该项目所需的时间。</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74" w:hRule="atLeast"/>
          <w:jc w:val="center"/>
        </w:trPr>
        <w:tc>
          <w:tcPr>
            <w:tcW w:w="682"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709"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产出成本</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成本节约率</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8</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成本节约率=[（计划成本-实际成本）/计划成本]×100%。</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实际成本：项目实施单位如期、保质、保量完成既定工作目标实际所耗费的支出。</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计划成本：项目实施单位为完成工作目标计划安排的支出，一般以项目预算为参考。</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3" w:hRule="atLeast"/>
          <w:jc w:val="center"/>
        </w:trPr>
        <w:tc>
          <w:tcPr>
            <w:tcW w:w="682"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效益　</w:t>
            </w:r>
          </w:p>
        </w:tc>
        <w:tc>
          <w:tcPr>
            <w:tcW w:w="709"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项目效益　</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实施效益</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20</w:t>
            </w:r>
          </w:p>
        </w:tc>
        <w:tc>
          <w:tcPr>
            <w:tcW w:w="2835" w:type="dxa"/>
            <w:shd w:val="clear" w:color="auto" w:fill="FFFFFF"/>
            <w:vAlign w:val="center"/>
          </w:tcPr>
          <w:p>
            <w:pPr>
              <w:widowControl/>
              <w:spacing w:line="0" w:lineRule="atLeast"/>
              <w:jc w:val="lef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项目实施所产生的效益。</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pPr>
              <w:widowControl/>
              <w:spacing w:line="0" w:lineRule="atLeast"/>
              <w:jc w:val="center"/>
              <w:rPr>
                <w:rFonts w:hint="default"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29" w:hRule="atLeast"/>
          <w:jc w:val="center"/>
        </w:trPr>
        <w:tc>
          <w:tcPr>
            <w:tcW w:w="682"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709"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满意度</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8</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社会公众或服务对象对项目实施效果的满意程度。</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8" w:hRule="atLeast"/>
          <w:jc w:val="center"/>
        </w:trPr>
        <w:tc>
          <w:tcPr>
            <w:tcW w:w="2525" w:type="dxa"/>
            <w:gridSpan w:val="3"/>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总分</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100</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p>
        </w:tc>
        <w:tc>
          <w:tcPr>
            <w:tcW w:w="566" w:type="dxa"/>
            <w:shd w:val="clear" w:color="auto" w:fill="FFFFFF"/>
            <w:vAlign w:val="center"/>
          </w:tcPr>
          <w:p>
            <w:pPr>
              <w:widowControl/>
              <w:spacing w:line="0" w:lineRule="atLeast"/>
              <w:jc w:val="center"/>
              <w:rPr>
                <w:rFonts w:hint="default"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90</w:t>
            </w:r>
          </w:p>
        </w:tc>
      </w:tr>
    </w:tbl>
    <w:p>
      <w:pPr>
        <w:spacing w:line="560" w:lineRule="exact"/>
        <w:ind w:firstLine="200" w:firstLineChars="100"/>
      </w:pPr>
      <w:r>
        <w:rPr>
          <w:rFonts w:hint="default" w:ascii="Times New Roman" w:hAnsi="Times New Roman" w:eastAsia="仿宋_GB2312" w:cs="Times New Roman"/>
          <w:sz w:val="20"/>
          <w:szCs w:val="20"/>
        </w:rPr>
        <w:t>注：单位可以根据专项资金的管理要求和绩效要求增设个性指标。</w:t>
      </w:r>
    </w:p>
    <w:sectPr>
      <w:pgSz w:w="16838" w:h="11906" w:orient="landscape"/>
      <w:pgMar w:top="1474" w:right="1474" w:bottom="1474" w:left="1474" w:header="851" w:footer="1361" w:gutter="0"/>
      <w:pgBorders>
        <w:top w:val="none" w:sz="0" w:space="0"/>
        <w:left w:val="none" w:sz="0" w:space="0"/>
        <w:bottom w:val="none" w:sz="0" w:space="0"/>
        <w:right w:val="none" w:sz="0" w:space="0"/>
      </w:pgBorders>
      <w:cols w:space="720" w:num="1"/>
      <w:docGrid w:type="lines" w:linePitch="32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B9AE55"/>
    <w:multiLevelType w:val="singleLevel"/>
    <w:tmpl w:val="D9B9AE5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6F1FEF"/>
    <w:rsid w:val="0176339A"/>
    <w:rsid w:val="07B24833"/>
    <w:rsid w:val="07E04E2A"/>
    <w:rsid w:val="08F83EC7"/>
    <w:rsid w:val="0CC53E21"/>
    <w:rsid w:val="0D2964EB"/>
    <w:rsid w:val="11601083"/>
    <w:rsid w:val="14B91FAE"/>
    <w:rsid w:val="16343B67"/>
    <w:rsid w:val="1AAD7B7A"/>
    <w:rsid w:val="1C1E6B01"/>
    <w:rsid w:val="20FF1E89"/>
    <w:rsid w:val="226851E0"/>
    <w:rsid w:val="247A18E4"/>
    <w:rsid w:val="2C990014"/>
    <w:rsid w:val="2CDF658E"/>
    <w:rsid w:val="389802E9"/>
    <w:rsid w:val="3E460296"/>
    <w:rsid w:val="41F950CB"/>
    <w:rsid w:val="42EA5FB8"/>
    <w:rsid w:val="431E1162"/>
    <w:rsid w:val="43603FF5"/>
    <w:rsid w:val="45381E27"/>
    <w:rsid w:val="46330DEC"/>
    <w:rsid w:val="520859BB"/>
    <w:rsid w:val="56813666"/>
    <w:rsid w:val="5B8A34D4"/>
    <w:rsid w:val="5C805932"/>
    <w:rsid w:val="6243247B"/>
    <w:rsid w:val="6244348C"/>
    <w:rsid w:val="6AF01A6D"/>
    <w:rsid w:val="70487917"/>
    <w:rsid w:val="70D668A0"/>
    <w:rsid w:val="71901AB5"/>
    <w:rsid w:val="78D07F64"/>
    <w:rsid w:val="7B8E443D"/>
    <w:rsid w:val="7C0F2C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unhideWhenUsed/>
    <w:qFormat/>
    <w:uiPriority w:val="0"/>
    <w:pPr>
      <w:tabs>
        <w:tab w:val="center" w:pos="4153"/>
        <w:tab w:val="right" w:pos="8306"/>
      </w:tabs>
      <w:snapToGrid w:val="0"/>
      <w:jc w:val="left"/>
    </w:pPr>
    <w:rPr>
      <w:kern w:val="0"/>
      <w:sz w:val="18"/>
      <w:szCs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7">
    <w:name w:val="No Spacing"/>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2020-06-27T08:43:00Z</dcterms:created>
  <dc:creator>Lenovo</dc:creator>
  <cp:lastModifiedBy>南乔木</cp:lastModifiedBy>
  <dcterms:modified xsi:type="dcterms:W3CDTF">2021-07-25T16:03:20Z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32A835A9484340CB86B58F6B0546564C</vt:lpwstr>
  </property>
</Properties>
</file>