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lang w:eastAsia="zh-CN"/>
        </w:rPr>
        <w:t>中方县人民政府办公室</w:t>
      </w:r>
    </w:p>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rPr>
        <w:t>20</w:t>
      </w:r>
      <w:r>
        <w:rPr>
          <w:rFonts w:hint="eastAsia" w:ascii="Times New Roman" w:hAnsi="Times New Roman" w:eastAsia="黑体" w:cs="Times New Roman"/>
          <w:sz w:val="44"/>
          <w:szCs w:val="44"/>
          <w:lang w:val="en-US" w:eastAsia="zh-CN"/>
        </w:rPr>
        <w:t>20</w:t>
      </w:r>
      <w:r>
        <w:rPr>
          <w:rFonts w:hint="eastAsia" w:ascii="Times New Roman" w:hAnsi="Times New Roman" w:eastAsia="黑体" w:cs="Times New Roman"/>
          <w:sz w:val="44"/>
          <w:szCs w:val="44"/>
        </w:rPr>
        <w:t>年度</w:t>
      </w:r>
      <w:r>
        <w:rPr>
          <w:rFonts w:hint="eastAsia" w:ascii="Times New Roman" w:hAnsi="Times New Roman" w:eastAsia="黑体" w:cs="Times New Roman"/>
          <w:sz w:val="44"/>
          <w:szCs w:val="44"/>
          <w:lang w:eastAsia="zh-CN"/>
        </w:rPr>
        <w:t>网络安全建设</w:t>
      </w:r>
    </w:p>
    <w:p>
      <w:pPr>
        <w:pStyle w:val="7"/>
        <w:spacing w:line="510" w:lineRule="exact"/>
        <w:ind w:firstLine="2200" w:firstLineChars="500"/>
        <w:jc w:val="both"/>
        <w:rPr>
          <w:rFonts w:hint="default" w:ascii="Times New Roman" w:hAnsi="Times New Roman" w:eastAsia="黑体" w:cs="Times New Roman"/>
          <w:sz w:val="44"/>
          <w:szCs w:val="44"/>
        </w:rPr>
      </w:pPr>
      <w:r>
        <w:rPr>
          <w:rFonts w:hint="default" w:ascii="Times New Roman" w:hAnsi="Times New Roman" w:eastAsia="黑体" w:cs="Times New Roman"/>
          <w:sz w:val="44"/>
          <w:szCs w:val="44"/>
        </w:rPr>
        <w:t>项目支出绩效</w:t>
      </w:r>
      <w:r>
        <w:rPr>
          <w:rFonts w:hint="eastAsia" w:ascii="Times New Roman" w:hAnsi="Times New Roman" w:eastAsia="黑体" w:cs="Times New Roman"/>
          <w:sz w:val="44"/>
          <w:szCs w:val="44"/>
          <w:lang w:eastAsia="zh-CN"/>
        </w:rPr>
        <w:t>自评</w:t>
      </w:r>
      <w:r>
        <w:rPr>
          <w:rFonts w:hint="default" w:ascii="Times New Roman" w:hAnsi="Times New Roman" w:eastAsia="黑体" w:cs="Times New Roman"/>
          <w:sz w:val="44"/>
          <w:szCs w:val="44"/>
        </w:rPr>
        <w:t>报告</w:t>
      </w:r>
    </w:p>
    <w:p>
      <w:pPr>
        <w:pStyle w:val="7"/>
        <w:spacing w:line="510" w:lineRule="exact"/>
        <w:ind w:firstLine="643" w:firstLineChars="200"/>
        <w:rPr>
          <w:rFonts w:hint="default" w:ascii="Times New Roman" w:hAnsi="Times New Roman" w:eastAsia="楷体" w:cs="Times New Roman"/>
          <w:b/>
          <w:sz w:val="32"/>
          <w:szCs w:val="32"/>
        </w:rPr>
      </w:pP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一、基本情况</w:t>
      </w:r>
    </w:p>
    <w:p>
      <w:pPr>
        <w:pStyle w:val="7"/>
        <w:numPr>
          <w:ilvl w:val="0"/>
          <w:numId w:val="1"/>
        </w:numPr>
        <w:spacing w:line="51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项目概况。包括项目背景、主要内容及实施情况、资金投入和使用情况等。</w:t>
      </w:r>
    </w:p>
    <w:p>
      <w:pPr>
        <w:pStyle w:val="7"/>
        <w:numPr>
          <w:ilvl w:val="0"/>
          <w:numId w:val="0"/>
        </w:numPr>
        <w:spacing w:line="510" w:lineRule="exact"/>
        <w:ind w:firstLine="640" w:firstLineChars="200"/>
        <w:rPr>
          <w:rFonts w:hint="eastAsia" w:ascii="微软雅黑" w:hAnsi="微软雅黑" w:eastAsia="微软雅黑" w:cs="微软雅黑"/>
          <w:i w:val="0"/>
          <w:iCs w:val="0"/>
          <w:caps w:val="0"/>
          <w:color w:val="333333"/>
          <w:spacing w:val="0"/>
          <w:sz w:val="23"/>
          <w:szCs w:val="23"/>
          <w:shd w:val="clear" w:fill="FFFFFF"/>
          <w:lang w:eastAsia="zh-CN"/>
        </w:rPr>
      </w:pPr>
      <w:r>
        <w:rPr>
          <w:rFonts w:hint="eastAsia" w:ascii="Times New Roman" w:hAnsi="Times New Roman" w:eastAsia="仿宋" w:cs="Times New Roman"/>
          <w:sz w:val="32"/>
          <w:szCs w:val="32"/>
          <w:highlight w:val="none"/>
          <w:lang w:val="en-US" w:eastAsia="zh-CN"/>
        </w:rPr>
        <w:t>网络安全建设</w:t>
      </w:r>
      <w:r>
        <w:rPr>
          <w:rFonts w:hint="default" w:ascii="Times New Roman" w:hAnsi="Times New Roman" w:eastAsia="仿宋" w:cs="Times New Roman"/>
          <w:sz w:val="32"/>
          <w:szCs w:val="32"/>
          <w:highlight w:val="none"/>
          <w:lang w:val="en-US" w:eastAsia="zh-CN"/>
        </w:rPr>
        <w:t>，主要</w:t>
      </w:r>
      <w:r>
        <w:rPr>
          <w:rFonts w:hint="eastAsia" w:ascii="Times New Roman" w:hAnsi="Times New Roman" w:eastAsia="仿宋" w:cs="Times New Roman"/>
          <w:sz w:val="32"/>
          <w:szCs w:val="32"/>
          <w:lang w:val="en-US" w:eastAsia="zh-CN"/>
        </w:rPr>
        <w:t>用于</w:t>
      </w:r>
      <w:r>
        <w:rPr>
          <w:rFonts w:hint="eastAsia" w:ascii="Times New Roman" w:hAnsi="Times New Roman" w:eastAsia="仿宋" w:cs="Times New Roman"/>
          <w:sz w:val="32"/>
          <w:szCs w:val="32"/>
        </w:rPr>
        <w:t>保障政府保密网络、办公网络、内网络畅通及网站安全</w:t>
      </w:r>
      <w:r>
        <w:rPr>
          <w:rFonts w:hint="eastAsia" w:ascii="Times New Roman" w:hAnsi="Times New Roman" w:eastAsia="仿宋" w:cs="Times New Roman"/>
          <w:sz w:val="32"/>
          <w:szCs w:val="32"/>
          <w:lang w:eastAsia="zh-CN"/>
        </w:rPr>
        <w:t>。</w:t>
      </w:r>
      <w:r>
        <w:rPr>
          <w:rFonts w:hint="default" w:ascii="Times New Roman" w:hAnsi="Times New Roman" w:eastAsia="仿宋" w:cs="Times New Roman"/>
          <w:sz w:val="32"/>
          <w:szCs w:val="32"/>
        </w:rPr>
        <w:t>此项目资金主要用于</w:t>
      </w:r>
      <w:r>
        <w:rPr>
          <w:rFonts w:hint="eastAsia" w:ascii="Times New Roman" w:hAnsi="Times New Roman" w:eastAsia="仿宋" w:cs="Times New Roman"/>
          <w:sz w:val="32"/>
          <w:szCs w:val="32"/>
          <w:highlight w:val="none"/>
          <w:lang w:val="en-US" w:eastAsia="zh-CN"/>
        </w:rPr>
        <w:t>网络安全建设</w:t>
      </w:r>
      <w:r>
        <w:rPr>
          <w:rFonts w:hint="default" w:ascii="Times New Roman" w:hAnsi="Times New Roman" w:eastAsia="仿宋" w:cs="Times New Roman"/>
          <w:sz w:val="32"/>
          <w:szCs w:val="32"/>
        </w:rPr>
        <w:t>时所发生的办公费、</w:t>
      </w:r>
      <w:r>
        <w:rPr>
          <w:rFonts w:hint="eastAsia" w:ascii="Times New Roman" w:hAnsi="Times New Roman" w:eastAsia="仿宋" w:cs="Times New Roman"/>
          <w:sz w:val="32"/>
          <w:szCs w:val="32"/>
          <w:lang w:eastAsia="zh-CN"/>
        </w:rPr>
        <w:t>服务费、</w:t>
      </w:r>
      <w:r>
        <w:rPr>
          <w:rFonts w:hint="eastAsia" w:ascii="Times New Roman" w:hAnsi="Times New Roman" w:eastAsia="仿宋" w:cs="Times New Roman"/>
          <w:sz w:val="32"/>
          <w:szCs w:val="32"/>
          <w:lang w:val="en-US" w:eastAsia="zh-CN"/>
        </w:rPr>
        <w:t>租赁费</w:t>
      </w:r>
      <w:r>
        <w:rPr>
          <w:rFonts w:hint="default" w:ascii="Times New Roman" w:hAnsi="Times New Roman" w:eastAsia="仿宋" w:cs="Times New Roman"/>
          <w:sz w:val="32"/>
          <w:szCs w:val="32"/>
        </w:rPr>
        <w:t>等开支。</w:t>
      </w:r>
    </w:p>
    <w:p>
      <w:pPr>
        <w:pStyle w:val="7"/>
        <w:numPr>
          <w:ilvl w:val="0"/>
          <w:numId w:val="0"/>
        </w:numPr>
        <w:spacing w:line="510" w:lineRule="exact"/>
        <w:ind w:firstLine="640" w:firstLineChars="200"/>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20</w:t>
      </w:r>
      <w:r>
        <w:rPr>
          <w:rFonts w:hint="eastAsia" w:ascii="Times New Roman" w:hAnsi="Times New Roman" w:eastAsia="仿宋" w:cs="Times New Roman"/>
          <w:sz w:val="32"/>
          <w:szCs w:val="32"/>
          <w:highlight w:val="none"/>
          <w:lang w:val="en-US" w:eastAsia="zh-CN"/>
        </w:rPr>
        <w:t>20</w:t>
      </w:r>
      <w:r>
        <w:rPr>
          <w:rFonts w:hint="default" w:ascii="Times New Roman" w:hAnsi="Times New Roman" w:eastAsia="仿宋" w:cs="Times New Roman"/>
          <w:sz w:val="32"/>
          <w:szCs w:val="32"/>
          <w:highlight w:val="none"/>
        </w:rPr>
        <w:t>年</w:t>
      </w:r>
      <w:r>
        <w:rPr>
          <w:rFonts w:hint="eastAsia" w:ascii="Times New Roman" w:hAnsi="Times New Roman" w:eastAsia="仿宋" w:cs="Times New Roman"/>
          <w:sz w:val="32"/>
          <w:szCs w:val="32"/>
          <w:highlight w:val="none"/>
          <w:lang w:eastAsia="zh-CN"/>
        </w:rPr>
        <w:t>中方县人民政府办公室网络安全建设项目</w:t>
      </w:r>
      <w:r>
        <w:rPr>
          <w:rFonts w:hint="default" w:ascii="Times New Roman" w:hAnsi="Times New Roman" w:eastAsia="仿宋" w:cs="Times New Roman"/>
          <w:sz w:val="32"/>
          <w:szCs w:val="32"/>
          <w:highlight w:val="none"/>
        </w:rPr>
        <w:t>财政预算安排资金</w:t>
      </w:r>
      <w:r>
        <w:rPr>
          <w:rFonts w:hint="eastAsia" w:ascii="Times New Roman" w:hAnsi="Times New Roman" w:eastAsia="仿宋" w:cs="Times New Roman"/>
          <w:sz w:val="32"/>
          <w:szCs w:val="32"/>
          <w:highlight w:val="none"/>
          <w:lang w:val="en-US" w:eastAsia="zh-CN"/>
        </w:rPr>
        <w:t>100000元</w:t>
      </w:r>
      <w:r>
        <w:rPr>
          <w:rFonts w:hint="default" w:ascii="Times New Roman" w:hAnsi="Times New Roman" w:eastAsia="仿宋" w:cs="Times New Roman"/>
          <w:sz w:val="32"/>
          <w:szCs w:val="32"/>
          <w:highlight w:val="none"/>
        </w:rPr>
        <w:t>，执行过程中，财政拨付专项</w:t>
      </w:r>
      <w:r>
        <w:rPr>
          <w:rFonts w:hint="default" w:ascii="Times New Roman" w:hAnsi="Times New Roman" w:eastAsia="仿宋" w:cs="Times New Roman"/>
          <w:color w:val="auto"/>
          <w:sz w:val="32"/>
          <w:szCs w:val="32"/>
          <w:highlight w:val="none"/>
        </w:rPr>
        <w:t>经</w:t>
      </w:r>
      <w:r>
        <w:rPr>
          <w:rFonts w:hint="default" w:ascii="Times New Roman" w:hAnsi="Times New Roman" w:eastAsia="仿宋" w:cs="Times New Roman"/>
          <w:color w:val="auto"/>
          <w:sz w:val="32"/>
          <w:szCs w:val="32"/>
          <w:highlight w:val="none"/>
        </w:rPr>
        <w:t>费</w:t>
      </w:r>
      <w:r>
        <w:rPr>
          <w:rFonts w:hint="eastAsia" w:ascii="Times New Roman" w:hAnsi="Times New Roman" w:eastAsia="仿宋" w:cs="Times New Roman"/>
          <w:color w:val="auto"/>
          <w:sz w:val="32"/>
          <w:szCs w:val="32"/>
          <w:highlight w:val="none"/>
          <w:lang w:val="en-US" w:eastAsia="zh-CN"/>
        </w:rPr>
        <w:t>20000</w:t>
      </w:r>
      <w:r>
        <w:rPr>
          <w:rFonts w:hint="default" w:ascii="Times New Roman" w:hAnsi="Times New Roman" w:eastAsia="仿宋" w:cs="Times New Roman"/>
          <w:color w:val="auto"/>
          <w:sz w:val="32"/>
          <w:szCs w:val="32"/>
          <w:highlight w:val="none"/>
        </w:rPr>
        <w:t>元。本年度，用于</w:t>
      </w:r>
      <w:r>
        <w:rPr>
          <w:rFonts w:hint="eastAsia" w:ascii="Times New Roman" w:hAnsi="Times New Roman" w:eastAsia="仿宋" w:cs="Times New Roman"/>
          <w:color w:val="auto"/>
          <w:sz w:val="32"/>
          <w:szCs w:val="32"/>
          <w:highlight w:val="none"/>
          <w:lang w:eastAsia="zh-CN"/>
        </w:rPr>
        <w:t>网络安全建设项目</w:t>
      </w:r>
      <w:r>
        <w:rPr>
          <w:rFonts w:hint="default" w:ascii="Times New Roman" w:hAnsi="Times New Roman" w:eastAsia="仿宋" w:cs="Times New Roman"/>
          <w:color w:val="auto"/>
          <w:sz w:val="32"/>
          <w:szCs w:val="32"/>
          <w:highlight w:val="none"/>
        </w:rPr>
        <w:t>经费共计</w:t>
      </w:r>
      <w:r>
        <w:rPr>
          <w:rFonts w:hint="eastAsia" w:ascii="Times New Roman" w:hAnsi="Times New Roman" w:eastAsia="仿宋" w:cs="Times New Roman"/>
          <w:color w:val="auto"/>
          <w:sz w:val="32"/>
          <w:szCs w:val="32"/>
          <w:highlight w:val="none"/>
          <w:lang w:val="en-US" w:eastAsia="zh-CN"/>
        </w:rPr>
        <w:t>20000</w:t>
      </w:r>
      <w:r>
        <w:rPr>
          <w:rFonts w:hint="default" w:ascii="Times New Roman" w:hAnsi="Times New Roman" w:eastAsia="仿宋" w:cs="Times New Roman"/>
          <w:color w:val="auto"/>
          <w:sz w:val="32"/>
          <w:szCs w:val="32"/>
          <w:highlight w:val="none"/>
        </w:rPr>
        <w:t>元</w:t>
      </w:r>
      <w:r>
        <w:rPr>
          <w:rFonts w:hint="default" w:ascii="Times New Roman" w:hAnsi="Times New Roman" w:eastAsia="仿宋" w:cs="Times New Roman"/>
          <w:sz w:val="32"/>
          <w:szCs w:val="32"/>
          <w:highlight w:val="none"/>
        </w:rPr>
        <w:t>。</w:t>
      </w:r>
    </w:p>
    <w:p>
      <w:pPr>
        <w:spacing w:line="560" w:lineRule="exact"/>
        <w:ind w:firstLine="640" w:firstLineChars="200"/>
        <w:rPr>
          <w:rFonts w:hint="default" w:ascii="仿宋_GB2312" w:hAnsi="Times New Roman" w:eastAsia="仿宋_GB2312" w:cs="Times New Roman"/>
          <w:snapToGrid w:val="0"/>
          <w:kern w:val="0"/>
          <w:sz w:val="32"/>
          <w:szCs w:val="32"/>
          <w:lang w:val="en-US" w:eastAsia="zh-CN" w:bidi="ar-SA"/>
        </w:rPr>
      </w:pPr>
      <w:r>
        <w:rPr>
          <w:rFonts w:hint="eastAsia" w:ascii="仿宋_GB2312" w:eastAsia="仿宋_GB2312" w:cs="Times New Roman"/>
          <w:snapToGrid w:val="0"/>
          <w:kern w:val="0"/>
          <w:sz w:val="32"/>
          <w:szCs w:val="32"/>
          <w:lang w:val="en-US" w:eastAsia="zh-CN" w:bidi="ar-SA"/>
        </w:rPr>
        <w:t>我单位</w:t>
      </w:r>
      <w:r>
        <w:rPr>
          <w:rFonts w:hint="eastAsia" w:ascii="仿宋_GB2312" w:hAnsi="Times New Roman" w:eastAsia="仿宋_GB2312" w:cs="Times New Roman"/>
          <w:snapToGrid w:val="0"/>
          <w:kern w:val="0"/>
          <w:sz w:val="32"/>
          <w:szCs w:val="32"/>
          <w:lang w:val="en-US" w:eastAsia="zh-CN" w:bidi="ar-SA"/>
        </w:rPr>
        <w:t>按照财务制度，严格专项资金管理，对项目资金使用按制度审批、按程序报销，严把审核关，同时，不断加强对项目经费管理使用的检查力度，应用于对口项目的支出，确保了专项工作的有序开展。近几年来，</w:t>
      </w:r>
      <w:r>
        <w:rPr>
          <w:rFonts w:hint="eastAsia" w:ascii="仿宋_GB2312" w:eastAsia="仿宋_GB2312" w:cs="Times New Roman"/>
          <w:snapToGrid w:val="0"/>
          <w:kern w:val="0"/>
          <w:sz w:val="32"/>
          <w:szCs w:val="32"/>
          <w:lang w:val="en-US" w:eastAsia="zh-CN" w:bidi="ar-SA"/>
        </w:rPr>
        <w:t>我单位</w:t>
      </w:r>
      <w:r>
        <w:rPr>
          <w:rFonts w:hint="eastAsia" w:ascii="仿宋_GB2312" w:hAnsi="Times New Roman" w:eastAsia="仿宋_GB2312" w:cs="Times New Roman"/>
          <w:snapToGrid w:val="0"/>
          <w:kern w:val="0"/>
          <w:sz w:val="32"/>
          <w:szCs w:val="32"/>
          <w:lang w:val="en-US" w:eastAsia="zh-CN" w:bidi="ar-SA"/>
        </w:rPr>
        <w:t>每年对专项项目经费的使用情况进行检查，发现问题及时纠正。</w:t>
      </w:r>
    </w:p>
    <w:p>
      <w:pPr>
        <w:pStyle w:val="7"/>
        <w:numPr>
          <w:ilvl w:val="0"/>
          <w:numId w:val="1"/>
        </w:numPr>
        <w:spacing w:line="510" w:lineRule="exact"/>
        <w:ind w:left="0" w:leftChars="0"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项目绩效目标。包括总体目标和阶段性目标。</w:t>
      </w:r>
    </w:p>
    <w:p>
      <w:pPr>
        <w:pStyle w:val="7"/>
        <w:numPr>
          <w:ilvl w:val="0"/>
          <w:numId w:val="0"/>
        </w:numPr>
        <w:spacing w:line="510" w:lineRule="exact"/>
        <w:ind w:firstLine="640" w:firstLineChars="200"/>
        <w:rPr>
          <w:rFonts w:hint="default" w:ascii="仿宋_GB2312" w:hAnsi="Times New Roman" w:eastAsia="仿宋_GB2312"/>
          <w:snapToGrid w:val="0"/>
          <w:kern w:val="0"/>
          <w:sz w:val="32"/>
          <w:szCs w:val="32"/>
          <w:lang w:val="en-US" w:eastAsia="zh-CN" w:bidi="ar-SA"/>
        </w:rPr>
      </w:pPr>
      <w:r>
        <w:rPr>
          <w:rFonts w:hint="eastAsia" w:ascii="Times New Roman" w:hAnsi="Times New Roman" w:eastAsia="仿宋" w:cs="Times New Roman"/>
          <w:sz w:val="32"/>
          <w:szCs w:val="32"/>
          <w:lang w:eastAsia="zh-CN"/>
        </w:rPr>
        <w:t>网络安全建设项目</w:t>
      </w:r>
      <w:r>
        <w:rPr>
          <w:rFonts w:hint="eastAsia" w:ascii="Times New Roman" w:hAnsi="Times New Roman" w:eastAsia="仿宋" w:cs="Times New Roman"/>
          <w:sz w:val="32"/>
          <w:szCs w:val="32"/>
          <w:lang w:val="en-US" w:eastAsia="zh-CN"/>
        </w:rPr>
        <w:t>实施期绩效目标为推动落实国家重大</w:t>
      </w:r>
      <w:r>
        <w:rPr>
          <w:rFonts w:hint="eastAsia" w:ascii="仿宋_GB2312" w:hAnsi="Times New Roman" w:eastAsia="仿宋_GB2312"/>
          <w:snapToGrid w:val="0"/>
          <w:kern w:val="0"/>
          <w:sz w:val="32"/>
          <w:szCs w:val="32"/>
          <w:lang w:val="en-US" w:eastAsia="zh-CN" w:bidi="ar-SA"/>
        </w:rPr>
        <w:t>政策措施，提高财政资金使用绩效，加强作风建设，维护群众利益。本年度的绩效目标是保障政府保密网络、办公网络、局域网络畅通及网站安全。关注财政收支的真实合法效益、预算管理、政府性债务、专项资金分配使用、财政存量资金、预算执行、解决算草案编制等。</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二、绩效评价工作开展情况</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（一）绩效评价目的、对象和范围。</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网络安全建设项目系根据县委、县政府领导</w:t>
      </w:r>
      <w:r>
        <w:rPr>
          <w:rFonts w:hint="eastAsia" w:ascii="仿宋" w:hAnsi="仿宋" w:eastAsia="仿宋"/>
          <w:color w:val="000000"/>
          <w:kern w:val="0"/>
          <w:sz w:val="32"/>
          <w:szCs w:val="32"/>
        </w:rPr>
        <w:t>对</w:t>
      </w:r>
      <w:r>
        <w:rPr>
          <w:rFonts w:ascii="仿宋" w:hAnsi="仿宋" w:eastAsia="仿宋"/>
          <w:color w:val="000000"/>
          <w:kern w:val="0"/>
          <w:sz w:val="32"/>
          <w:szCs w:val="32"/>
        </w:rPr>
        <w:t>预算单位20</w:t>
      </w:r>
      <w:r>
        <w:rPr>
          <w:rFonts w:hint="eastAsia" w:ascii="仿宋" w:hAnsi="仿宋" w:eastAsia="仿宋"/>
          <w:color w:val="000000"/>
          <w:kern w:val="0"/>
          <w:sz w:val="32"/>
          <w:szCs w:val="32"/>
        </w:rPr>
        <w:t>20</w:t>
      </w:r>
      <w:r>
        <w:rPr>
          <w:rFonts w:ascii="仿宋" w:hAnsi="仿宋" w:eastAsia="仿宋"/>
          <w:color w:val="000000"/>
          <w:kern w:val="0"/>
          <w:sz w:val="32"/>
          <w:szCs w:val="32"/>
        </w:rPr>
        <w:t>年度使用的全部财政性资金分项目逐项进行绩效自评</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（二）</w:t>
      </w:r>
      <w:r>
        <w:rPr>
          <w:rFonts w:hint="default" w:ascii="仿宋_GB2312" w:hAnsi="Times New Roman" w:eastAsia="仿宋_GB2312"/>
          <w:snapToGrid w:val="0"/>
          <w:kern w:val="0"/>
          <w:sz w:val="32"/>
          <w:szCs w:val="32"/>
          <w:lang w:val="en-US" w:eastAsia="zh-CN" w:bidi="ar-SA"/>
        </w:rPr>
        <w:t>绩效评价原则、评价指标体系（附表说明）、评价方法、评价标准等。</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本项目的</w:t>
      </w:r>
      <w:r>
        <w:rPr>
          <w:rFonts w:hint="default" w:ascii="仿宋_GB2312" w:hAnsi="Times New Roman" w:eastAsia="仿宋_GB2312"/>
          <w:snapToGrid w:val="0"/>
          <w:kern w:val="0"/>
          <w:sz w:val="32"/>
          <w:szCs w:val="32"/>
          <w:lang w:val="en-US" w:eastAsia="zh-CN" w:bidi="ar-SA"/>
        </w:rPr>
        <w:t>绩效评价原则</w:t>
      </w:r>
      <w:r>
        <w:rPr>
          <w:rFonts w:hint="eastAsia" w:ascii="仿宋_GB2312" w:hAnsi="Times New Roman" w:eastAsia="仿宋_GB2312"/>
          <w:snapToGrid w:val="0"/>
          <w:kern w:val="0"/>
          <w:sz w:val="32"/>
          <w:szCs w:val="32"/>
          <w:lang w:val="en-US" w:eastAsia="zh-CN" w:bidi="ar-SA"/>
        </w:rPr>
        <w:t>和</w:t>
      </w:r>
      <w:r>
        <w:rPr>
          <w:rFonts w:hint="default" w:ascii="仿宋_GB2312" w:hAnsi="Times New Roman" w:eastAsia="仿宋_GB2312"/>
          <w:snapToGrid w:val="0"/>
          <w:kern w:val="0"/>
          <w:sz w:val="32"/>
          <w:szCs w:val="32"/>
          <w:lang w:val="en-US" w:eastAsia="zh-CN" w:bidi="ar-SA"/>
        </w:rPr>
        <w:t>评价指标</w:t>
      </w:r>
      <w:r>
        <w:rPr>
          <w:rFonts w:hint="eastAsia" w:ascii="仿宋_GB2312" w:hAnsi="Times New Roman" w:eastAsia="仿宋_GB2312"/>
          <w:snapToGrid w:val="0"/>
          <w:kern w:val="0"/>
          <w:sz w:val="32"/>
          <w:szCs w:val="32"/>
          <w:lang w:val="en-US" w:eastAsia="zh-CN" w:bidi="ar-SA"/>
        </w:rPr>
        <w:t>紧密联系，相互融通。本年度该项目绩效指标分别有一级指标、二级指标、三级指标以及指标值及单位。详见</w:t>
      </w:r>
      <w:r>
        <w:rPr>
          <w:rFonts w:hint="default" w:ascii="仿宋_GB2312" w:hAnsi="Times New Roman" w:eastAsia="仿宋_GB2312"/>
          <w:snapToGrid w:val="0"/>
          <w:kern w:val="0"/>
          <w:sz w:val="32"/>
          <w:szCs w:val="32"/>
          <w:lang w:val="en-US" w:eastAsia="zh-CN" w:bidi="ar-SA"/>
        </w:rPr>
        <w:t>附表</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（三）</w:t>
      </w:r>
      <w:r>
        <w:rPr>
          <w:rFonts w:hint="default" w:ascii="仿宋_GB2312" w:hAnsi="Times New Roman" w:eastAsia="仿宋_GB2312"/>
          <w:snapToGrid w:val="0"/>
          <w:kern w:val="0"/>
          <w:sz w:val="32"/>
          <w:szCs w:val="32"/>
          <w:lang w:val="en-US" w:eastAsia="zh-CN" w:bidi="ar-SA"/>
        </w:rPr>
        <w:t>绩效评价工作过程。</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在按照预算申报项目经费后，在资金下达后的使用过程中实施严格按照《湖南省财政专项资金管理办法》等文件中相关规定进行操作。资金管理由专人负责，中方县政府办对项目实施建设初期、建设中期、建设后期管理方面进行全过程监督，并及时对项目实施情况进行了公示公告，项目实施后严格执行项目绩效评价，确保全面完成绩效目标。</w:t>
      </w:r>
    </w:p>
    <w:p>
      <w:pPr>
        <w:pStyle w:val="7"/>
        <w:keepNext w:val="0"/>
        <w:keepLines w:val="0"/>
        <w:pageBreakBefore w:val="0"/>
        <w:widowControl w:val="0"/>
        <w:kinsoku/>
        <w:wordWrap/>
        <w:overflowPunct/>
        <w:topLinePunct w:val="0"/>
        <w:autoSpaceDE/>
        <w:autoSpaceDN/>
        <w:bidi w:val="0"/>
        <w:adjustRightInd/>
        <w:snapToGrid/>
        <w:spacing w:line="510" w:lineRule="exact"/>
        <w:ind w:firstLine="643" w:firstLineChars="200"/>
        <w:textAlignment w:val="auto"/>
        <w:outlineLvl w:val="9"/>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三、综合评价情况及评价结论（附相关评分表）</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绩效评价等级一般划分为四档：90分（含）—100分为优，80分（含）—90分为良，60分（含）—80分为中，60分以下为差。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2020年度，本单位网络安全建设项目</w:t>
      </w:r>
      <w:r>
        <w:rPr>
          <w:rFonts w:hint="default" w:ascii="仿宋_GB2312" w:hAnsi="Times New Roman" w:eastAsia="仿宋_GB2312"/>
          <w:snapToGrid w:val="0"/>
          <w:kern w:val="0"/>
          <w:sz w:val="32"/>
          <w:szCs w:val="32"/>
          <w:lang w:val="en-US" w:eastAsia="zh-CN" w:bidi="ar-SA"/>
        </w:rPr>
        <w:t>绩效评价等级</w:t>
      </w:r>
      <w:r>
        <w:rPr>
          <w:rFonts w:hint="eastAsia" w:ascii="仿宋_GB2312" w:hAnsi="Times New Roman" w:eastAsia="仿宋_GB2312"/>
          <w:snapToGrid w:val="0"/>
          <w:kern w:val="0"/>
          <w:sz w:val="32"/>
          <w:szCs w:val="32"/>
          <w:lang w:val="en-US" w:eastAsia="zh-CN" w:bidi="ar-SA"/>
        </w:rPr>
        <w:t>为良。</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四、绩效评价指标分析</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1.项目的经济性分析。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项目成本（预算）控制情况。财政预算安排资金</w:t>
      </w:r>
      <w:r>
        <w:rPr>
          <w:rFonts w:hint="eastAsia" w:ascii="仿宋_GB2312" w:hAnsi="Times New Roman" w:eastAsia="仿宋_GB2312"/>
          <w:snapToGrid w:val="0"/>
          <w:kern w:val="0"/>
          <w:sz w:val="32"/>
          <w:szCs w:val="32"/>
          <w:lang w:val="en-US" w:eastAsia="zh-CN" w:bidi="ar-SA"/>
        </w:rPr>
        <w:t>100000</w:t>
      </w:r>
      <w:r>
        <w:rPr>
          <w:rFonts w:hint="default" w:ascii="仿宋_GB2312" w:hAnsi="Times New Roman" w:eastAsia="仿宋_GB2312"/>
          <w:snapToGrid w:val="0"/>
          <w:kern w:val="0"/>
          <w:sz w:val="32"/>
          <w:szCs w:val="32"/>
          <w:lang w:val="en-US" w:eastAsia="zh-CN" w:bidi="ar-SA"/>
        </w:rPr>
        <w:t>元，实际支</w:t>
      </w:r>
      <w:r>
        <w:rPr>
          <w:rFonts w:hint="default" w:ascii="仿宋_GB2312" w:hAnsi="Times New Roman" w:eastAsia="仿宋_GB2312"/>
          <w:snapToGrid w:val="0"/>
          <w:color w:val="auto"/>
          <w:kern w:val="0"/>
          <w:sz w:val="32"/>
          <w:szCs w:val="32"/>
          <w:lang w:val="en-US" w:eastAsia="zh-CN" w:bidi="ar-SA"/>
        </w:rPr>
        <w:t>出</w:t>
      </w:r>
      <w:r>
        <w:rPr>
          <w:rFonts w:hint="eastAsia" w:ascii="仿宋_GB2312" w:hAnsi="Times New Roman" w:eastAsia="仿宋_GB2312"/>
          <w:snapToGrid w:val="0"/>
          <w:color w:val="auto"/>
          <w:kern w:val="0"/>
          <w:sz w:val="32"/>
          <w:szCs w:val="32"/>
          <w:lang w:val="en-US" w:eastAsia="zh-CN" w:bidi="ar-SA"/>
        </w:rPr>
        <w:t>20000</w:t>
      </w:r>
      <w:r>
        <w:rPr>
          <w:rFonts w:hint="default" w:ascii="仿宋_GB2312" w:hAnsi="Times New Roman" w:eastAsia="仿宋_GB2312"/>
          <w:snapToGrid w:val="0"/>
          <w:kern w:val="0"/>
          <w:sz w:val="32"/>
          <w:szCs w:val="32"/>
          <w:lang w:val="en-US" w:eastAsia="zh-CN" w:bidi="ar-SA"/>
        </w:rPr>
        <w:t>元，</w:t>
      </w:r>
      <w:r>
        <w:rPr>
          <w:rFonts w:hint="eastAsia" w:ascii="仿宋_GB2312" w:hAnsi="Times New Roman" w:eastAsia="仿宋_GB2312"/>
          <w:snapToGrid w:val="0"/>
          <w:kern w:val="0"/>
          <w:sz w:val="32"/>
          <w:szCs w:val="32"/>
          <w:lang w:val="en-US" w:eastAsia="zh-CN" w:bidi="ar-SA"/>
        </w:rPr>
        <w:t>属于</w:t>
      </w:r>
      <w:r>
        <w:rPr>
          <w:rFonts w:hint="default" w:ascii="仿宋_GB2312" w:hAnsi="Times New Roman" w:eastAsia="仿宋_GB2312"/>
          <w:snapToGrid w:val="0"/>
          <w:kern w:val="0"/>
          <w:sz w:val="32"/>
          <w:szCs w:val="32"/>
          <w:lang w:val="en-US" w:eastAsia="zh-CN" w:bidi="ar-SA"/>
        </w:rPr>
        <w:t>预算范围内使用财政资金。</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2.项目的效率性分析。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（1）项目的实施进度。经过</w:t>
      </w:r>
      <w:r>
        <w:rPr>
          <w:rFonts w:hint="eastAsia" w:ascii="仿宋_GB2312" w:hAnsi="Times New Roman" w:eastAsia="仿宋_GB2312"/>
          <w:snapToGrid w:val="0"/>
          <w:kern w:val="0"/>
          <w:sz w:val="32"/>
          <w:szCs w:val="32"/>
          <w:lang w:val="en-US" w:eastAsia="zh-CN" w:bidi="ar-SA"/>
        </w:rPr>
        <w:t>分阶段安排</w:t>
      </w:r>
      <w:r>
        <w:rPr>
          <w:rFonts w:hint="default" w:ascii="仿宋_GB2312" w:hAnsi="Times New Roman" w:eastAsia="仿宋_GB2312"/>
          <w:snapToGrid w:val="0"/>
          <w:kern w:val="0"/>
          <w:sz w:val="32"/>
          <w:szCs w:val="32"/>
          <w:lang w:val="en-US" w:eastAsia="zh-CN" w:bidi="ar-SA"/>
        </w:rPr>
        <w:t>，</w:t>
      </w:r>
      <w:r>
        <w:rPr>
          <w:rFonts w:hint="eastAsia" w:ascii="仿宋_GB2312" w:hAnsi="Times New Roman" w:eastAsia="仿宋_GB2312"/>
          <w:snapToGrid w:val="0"/>
          <w:kern w:val="0"/>
          <w:sz w:val="32"/>
          <w:szCs w:val="32"/>
          <w:lang w:val="en-US" w:eastAsia="zh-CN" w:bidi="ar-SA"/>
        </w:rPr>
        <w:t>我单位</w:t>
      </w:r>
      <w:r>
        <w:rPr>
          <w:rFonts w:hint="default" w:ascii="仿宋_GB2312" w:hAnsi="Times New Roman" w:eastAsia="仿宋_GB2312"/>
          <w:snapToGrid w:val="0"/>
          <w:kern w:val="0"/>
          <w:sz w:val="32"/>
          <w:szCs w:val="32"/>
          <w:lang w:val="en-US" w:eastAsia="zh-CN" w:bidi="ar-SA"/>
        </w:rPr>
        <w:t>按</w:t>
      </w:r>
      <w:r>
        <w:rPr>
          <w:rFonts w:hint="eastAsia" w:ascii="仿宋_GB2312" w:hAnsi="Times New Roman" w:eastAsia="仿宋_GB2312"/>
          <w:snapToGrid w:val="0"/>
          <w:kern w:val="0"/>
          <w:sz w:val="32"/>
          <w:szCs w:val="32"/>
          <w:lang w:val="en-US" w:eastAsia="zh-CN" w:bidi="ar-SA"/>
        </w:rPr>
        <w:t>计划完成了2020年度的网络安全建设</w:t>
      </w:r>
      <w:r>
        <w:rPr>
          <w:rFonts w:hint="eastAsia" w:ascii="Times New Roman" w:hAnsi="Times New Roman" w:eastAsia="仿宋" w:cs="Times New Roman"/>
          <w:sz w:val="32"/>
          <w:szCs w:val="32"/>
          <w:highlight w:val="none"/>
          <w:lang w:val="en-US" w:eastAsia="zh-CN"/>
        </w:rPr>
        <w:t>项目支出</w:t>
      </w:r>
      <w:r>
        <w:rPr>
          <w:rFonts w:hint="default"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（2）项目完成质量。</w:t>
      </w:r>
      <w:r>
        <w:rPr>
          <w:rFonts w:hint="eastAsia" w:ascii="仿宋_GB2312" w:hAnsi="Times New Roman" w:eastAsia="仿宋_GB2312"/>
          <w:snapToGrid w:val="0"/>
          <w:kern w:val="0"/>
          <w:sz w:val="32"/>
          <w:szCs w:val="32"/>
          <w:lang w:val="en-US" w:eastAsia="zh-CN" w:bidi="ar-SA"/>
        </w:rPr>
        <w:t>绩效目标科学完整，资金管理到位，预算执行规范，按期完成开支进度。</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3.项目的效益性分析。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eastAsia"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保障政府保密网络、办公网络、内网络畅通及网站安全。</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4.项目的可持续性分析。</w:t>
      </w:r>
    </w:p>
    <w:p>
      <w:pPr>
        <w:pStyle w:val="7"/>
        <w:spacing w:line="510" w:lineRule="exact"/>
        <w:ind w:firstLine="640" w:firstLineChars="200"/>
        <w:rPr>
          <w:rFonts w:hint="eastAsia" w:ascii="Times New Roman" w:hAnsi="Times New Roman" w:eastAsia="楷体" w:cs="Times New Roman"/>
          <w:b/>
          <w:sz w:val="32"/>
          <w:szCs w:val="32"/>
          <w:lang w:val="en-US" w:eastAsia="zh-CN"/>
        </w:rPr>
      </w:pPr>
      <w:r>
        <w:rPr>
          <w:rFonts w:hint="default" w:ascii="Times New Roman" w:hAnsi="Times New Roman" w:eastAsia="仿宋" w:cs="Times New Roman"/>
          <w:sz w:val="32"/>
          <w:szCs w:val="32"/>
        </w:rPr>
        <w:t>继续</w:t>
      </w:r>
      <w:r>
        <w:rPr>
          <w:rFonts w:hint="eastAsia" w:ascii="Times New Roman" w:hAnsi="Times New Roman" w:eastAsia="仿宋" w:cs="Times New Roman"/>
          <w:sz w:val="32"/>
          <w:szCs w:val="32"/>
        </w:rPr>
        <w:t>保持经费使用进度的循序</w:t>
      </w:r>
      <w:r>
        <w:rPr>
          <w:rFonts w:hint="eastAsia" w:ascii="Times New Roman" w:hAnsi="Times New Roman" w:eastAsia="仿宋" w:cs="Times New Roman"/>
          <w:sz w:val="32"/>
          <w:szCs w:val="32"/>
          <w:lang w:eastAsia="zh-CN"/>
        </w:rPr>
        <w:t>推进</w:t>
      </w:r>
      <w:r>
        <w:rPr>
          <w:rFonts w:hint="default" w:ascii="Times New Roman" w:hAnsi="Times New Roman" w:eastAsia="仿宋" w:cs="Times New Roman"/>
          <w:sz w:val="32"/>
          <w:szCs w:val="32"/>
        </w:rPr>
        <w:t>，推动落实国家重大政策措施和重要决策部署，提高财政资金使用绩效</w:t>
      </w:r>
      <w:r>
        <w:rPr>
          <w:rFonts w:hint="eastAsia" w:ascii="Times New Roman" w:hAnsi="Times New Roman" w:eastAsia="仿宋" w:cs="Times New Roman"/>
          <w:sz w:val="32"/>
          <w:szCs w:val="32"/>
          <w:lang w:eastAsia="zh-CN"/>
        </w:rPr>
        <w:t>，</w:t>
      </w:r>
      <w:r>
        <w:rPr>
          <w:rFonts w:hint="eastAsia" w:ascii="仿宋_GB2312" w:hAnsi="Times New Roman" w:eastAsia="仿宋_GB2312"/>
          <w:snapToGrid w:val="0"/>
          <w:kern w:val="0"/>
          <w:sz w:val="32"/>
          <w:szCs w:val="32"/>
          <w:lang w:val="en-US" w:eastAsia="zh-CN" w:bidi="ar-SA"/>
        </w:rPr>
        <w:t>提高为群众办实事的水平</w:t>
      </w:r>
      <w:r>
        <w:rPr>
          <w:rFonts w:hint="default" w:ascii="Times New Roman" w:hAnsi="Times New Roman" w:eastAsia="仿宋" w:cs="Times New Roman"/>
          <w:sz w:val="32"/>
          <w:szCs w:val="32"/>
        </w:rPr>
        <w:t>。</w:t>
      </w:r>
      <w:r>
        <w:rPr>
          <w:rFonts w:hint="eastAsia" w:ascii="Times New Roman" w:hAnsi="Times New Roman" w:eastAsia="楷体" w:cs="Times New Roman"/>
          <w:b/>
          <w:sz w:val="32"/>
          <w:szCs w:val="32"/>
          <w:lang w:val="en-US" w:eastAsia="zh-CN"/>
        </w:rPr>
        <w:t xml:space="preserve">  </w:t>
      </w:r>
    </w:p>
    <w:p>
      <w:pPr>
        <w:pStyle w:val="7"/>
        <w:spacing w:line="510" w:lineRule="exact"/>
        <w:ind w:firstLine="643" w:firstLineChars="20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五、</w:t>
      </w:r>
      <w:r>
        <w:rPr>
          <w:rFonts w:hint="default" w:ascii="Times New Roman" w:hAnsi="Times New Roman" w:eastAsia="楷体" w:cs="Times New Roman"/>
          <w:b/>
          <w:sz w:val="32"/>
          <w:szCs w:val="32"/>
        </w:rPr>
        <w:t>主要经验及做法、存在的问题及原因分析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主要经验及做法：20</w:t>
      </w:r>
      <w:r>
        <w:rPr>
          <w:rFonts w:hint="eastAsia" w:ascii="仿宋_GB2312" w:hAnsi="Times New Roman" w:eastAsia="仿宋_GB2312"/>
          <w:snapToGrid w:val="0"/>
          <w:kern w:val="0"/>
          <w:sz w:val="32"/>
          <w:szCs w:val="32"/>
          <w:lang w:val="en-US" w:eastAsia="zh-CN" w:bidi="ar-SA"/>
        </w:rPr>
        <w:t>20</w:t>
      </w:r>
      <w:r>
        <w:rPr>
          <w:rFonts w:hint="default" w:ascii="仿宋_GB2312" w:hAnsi="Times New Roman" w:eastAsia="仿宋_GB2312"/>
          <w:snapToGrid w:val="0"/>
          <w:kern w:val="0"/>
          <w:sz w:val="32"/>
          <w:szCs w:val="32"/>
          <w:lang w:val="en-US" w:eastAsia="zh-CN" w:bidi="ar-SA"/>
        </w:rPr>
        <w:t>年度，本单位根据往年经验和年初工作规划制定预算，加强预算收支管理，不断建立健全内部管理制度，梳理内部管理流程，较好的完成了工作目标，部门整体支出管理情况得到提升。在今后，进一步强化会议预算管理及严格预算执行;加强财务管理，对会议专项经费独立核算、专人负责，确保各项政策制度有效执行。</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Times New Roman" w:hAnsi="Times New Roman" w:eastAsia="仿宋" w:cs="Times New Roman"/>
          <w:sz w:val="32"/>
          <w:szCs w:val="32"/>
        </w:rPr>
      </w:pPr>
      <w:r>
        <w:rPr>
          <w:rFonts w:hint="default" w:ascii="仿宋_GB2312" w:hAnsi="Times New Roman" w:eastAsia="仿宋_GB2312"/>
          <w:snapToGrid w:val="0"/>
          <w:kern w:val="0"/>
          <w:sz w:val="32"/>
          <w:szCs w:val="32"/>
          <w:lang w:val="en-US" w:eastAsia="zh-CN" w:bidi="ar-SA"/>
        </w:rPr>
        <w:t>存在问题：部门预算主要是根据年初的工作目标及重点，结合上一年度的预算执行情况编制，部分指标编制欠科学。</w:t>
      </w:r>
    </w:p>
    <w:p>
      <w:pPr>
        <w:pStyle w:val="7"/>
        <w:numPr>
          <w:ilvl w:val="0"/>
          <w:numId w:val="0"/>
        </w:numPr>
        <w:spacing w:line="510" w:lineRule="exact"/>
        <w:ind w:left="645" w:leftChars="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六、</w:t>
      </w:r>
      <w:r>
        <w:rPr>
          <w:rFonts w:hint="default" w:ascii="Times New Roman" w:hAnsi="Times New Roman" w:eastAsia="楷体" w:cs="Times New Roman"/>
          <w:b/>
          <w:sz w:val="32"/>
          <w:szCs w:val="32"/>
        </w:rPr>
        <w:t>有关建议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在编制本部门预算的过过程中，除了参考上年度的预决算情况，还要保持一定的科学性和前瞻性，以便更合理地制定年度预算。</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七、其他需要说明的问题</w:t>
      </w:r>
    </w:p>
    <w:p>
      <w:pPr>
        <w:widowControl/>
        <w:spacing w:line="510" w:lineRule="exact"/>
        <w:ind w:firstLine="645"/>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附件：1.项目支出绩效自评表</w:t>
      </w:r>
    </w:p>
    <w:p>
      <w:pPr>
        <w:widowControl/>
        <w:spacing w:line="510" w:lineRule="exact"/>
        <w:ind w:firstLine="1600" w:firstLineChars="500"/>
        <w:jc w:val="left"/>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sz w:val="32"/>
          <w:szCs w:val="32"/>
        </w:rPr>
        <w:t>2.项目支出绩效评价指标</w:t>
      </w:r>
      <w:r>
        <w:rPr>
          <w:rFonts w:hint="default" w:ascii="Times New Roman" w:hAnsi="Times New Roman" w:eastAsia="仿宋_GB2312" w:cs="Times New Roman"/>
          <w:bCs/>
          <w:color w:val="000000"/>
          <w:kern w:val="0"/>
          <w:sz w:val="32"/>
          <w:szCs w:val="32"/>
        </w:rPr>
        <w:t>评分表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keepLines/>
        <w:pageBreakBefore/>
        <w:widowControl/>
        <w:kinsoku/>
        <w:wordWrap/>
        <w:overflowPunct/>
        <w:topLinePunct w:val="0"/>
        <w:autoSpaceDE/>
        <w:autoSpaceDN/>
        <w:bidi w:val="0"/>
        <w:adjustRightInd/>
        <w:snapToGrid/>
        <w:spacing w:line="400" w:lineRule="exact"/>
        <w:textAlignment w:val="auto"/>
        <w:rPr>
          <w:rFonts w:hint="eastAsia" w:ascii="Times New Roman" w:hAnsi="Times New Roman" w:eastAsia="仿宋_GB2312" w:cs="Times New Roman"/>
          <w:bCs/>
          <w:color w:val="000000"/>
          <w:sz w:val="32"/>
          <w:szCs w:val="32"/>
          <w:lang w:val="en-US"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1</w:t>
      </w:r>
    </w:p>
    <w:tbl>
      <w:tblPr>
        <w:tblStyle w:val="5"/>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347"/>
        <w:gridCol w:w="220"/>
        <w:gridCol w:w="709"/>
        <w:gridCol w:w="708"/>
      </w:tblGrid>
      <w:tr>
        <w:tblPrEx>
          <w:tblCellMar>
            <w:top w:w="0" w:type="dxa"/>
            <w:left w:w="108" w:type="dxa"/>
            <w:bottom w:w="0" w:type="dxa"/>
            <w:right w:w="108" w:type="dxa"/>
          </w:tblCellMar>
        </w:tblPrEx>
        <w:trPr>
          <w:trHeight w:val="349" w:hRule="exact"/>
          <w:jc w:val="center"/>
        </w:trPr>
        <w:tc>
          <w:tcPr>
            <w:tcW w:w="9080" w:type="dxa"/>
            <w:gridSpan w:val="14"/>
            <w:tcBorders>
              <w:top w:val="nil"/>
              <w:left w:val="nil"/>
              <w:bottom w:val="nil"/>
              <w:right w:val="nil"/>
            </w:tcBorders>
            <w:vAlign w:val="center"/>
          </w:tcPr>
          <w:p>
            <w:pPr>
              <w:widowControl/>
              <w:spacing w:line="320" w:lineRule="exact"/>
              <w:jc w:val="center"/>
              <w:rPr>
                <w:rFonts w:hint="default" w:ascii="Times New Roman" w:hAnsi="Times New Roman" w:cs="Times New Roman"/>
                <w:b/>
                <w:bCs/>
                <w:kern w:val="0"/>
                <w:sz w:val="32"/>
                <w:szCs w:val="32"/>
              </w:rPr>
            </w:pPr>
            <w:r>
              <w:rPr>
                <w:rFonts w:hint="default" w:ascii="Times New Roman" w:hAnsi="Times New Roman" w:cs="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vAlign w:val="top"/>
          </w:tcPr>
          <w:p>
            <w:pPr>
              <w:widowControl/>
              <w:jc w:val="center"/>
              <w:rPr>
                <w:rFonts w:hint="default" w:ascii="Times New Roman" w:hAnsi="Times New Roman" w:cs="Times New Roman"/>
                <w:kern w:val="0"/>
                <w:sz w:val="22"/>
                <w:szCs w:val="22"/>
              </w:rPr>
            </w:pPr>
            <w:r>
              <w:rPr>
                <w:rFonts w:hint="default" w:ascii="Times New Roman" w:hAnsi="Times New Roman" w:cs="Times New Roman"/>
                <w:kern w:val="0"/>
                <w:sz w:val="22"/>
                <w:szCs w:val="22"/>
              </w:rPr>
              <w:t>（20</w:t>
            </w:r>
            <w:r>
              <w:rPr>
                <w:rFonts w:hint="eastAsia" w:cs="Times New Roman"/>
                <w:kern w:val="0"/>
                <w:sz w:val="22"/>
                <w:szCs w:val="22"/>
                <w:lang w:val="en-US" w:eastAsia="zh-CN"/>
              </w:rPr>
              <w:t>20</w:t>
            </w:r>
            <w:r>
              <w:rPr>
                <w:rFonts w:hint="default" w:ascii="Times New Roman" w:hAnsi="Times New Roman" w:cs="Times New Roman"/>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网络安全建设</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中方县政府办</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cs="Times New Roman"/>
                <w:kern w:val="0"/>
                <w:sz w:val="18"/>
                <w:szCs w:val="18"/>
                <w:lang w:val="en-US" w:eastAsia="zh-CN"/>
              </w:rPr>
              <w:t>中方县政府办</w:t>
            </w:r>
          </w:p>
        </w:tc>
      </w:tr>
      <w:tr>
        <w:tblPrEx>
          <w:tblCellMar>
            <w:top w:w="0" w:type="dxa"/>
            <w:left w:w="108" w:type="dxa"/>
            <w:bottom w:w="0" w:type="dxa"/>
            <w:right w:w="108" w:type="dxa"/>
          </w:tblCellMar>
        </w:tblPrEx>
        <w:trPr>
          <w:trHeight w:val="494"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项目资金</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年初</w:t>
            </w:r>
            <w:r>
              <w:rPr>
                <w:rFonts w:hint="eastAsia" w:ascii="Times New Roman" w:hAnsi="Times New Roman" w:cs="Times New Roman"/>
                <w:kern w:val="0"/>
                <w:sz w:val="18"/>
                <w:szCs w:val="18"/>
                <w:lang w:eastAsia="zh-CN"/>
              </w:rPr>
              <w:t>预算金额</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w:t>
            </w:r>
            <w:r>
              <w:rPr>
                <w:rFonts w:hint="eastAsia" w:ascii="Times New Roman" w:hAnsi="Times New Roman" w:cs="Times New Roman"/>
                <w:kern w:val="0"/>
                <w:sz w:val="18"/>
                <w:szCs w:val="18"/>
                <w:lang w:eastAsia="zh-CN"/>
              </w:rPr>
              <w:t>预算金额</w:t>
            </w:r>
            <w:r>
              <w:rPr>
                <w:rFonts w:hint="default" w:ascii="Times New Roman" w:hAnsi="Times New Roman" w:cs="Times New Roman"/>
                <w:color w:val="000000"/>
                <w:kern w:val="0"/>
                <w:sz w:val="20"/>
                <w:szCs w:val="20"/>
              </w:rPr>
              <w:t>（A）</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全年执行数</w:t>
            </w:r>
            <w:r>
              <w:rPr>
                <w:rFonts w:hint="default" w:ascii="Times New Roman" w:hAnsi="Times New Roman" w:cs="Times New Roman"/>
                <w:color w:val="000000"/>
                <w:kern w:val="0"/>
                <w:sz w:val="20"/>
                <w:szCs w:val="20"/>
              </w:rPr>
              <w:t>（B）</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执行率</w:t>
            </w:r>
            <w:r>
              <w:rPr>
                <w:rFonts w:hint="default" w:ascii="Times New Roman" w:hAnsi="Times New Roman" w:cs="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default" w:ascii="Times New Roman" w:hAnsi="Times New Roman" w:cs="Times New Roman"/>
                <w:kern w:val="0"/>
                <w:sz w:val="18"/>
                <w:szCs w:val="18"/>
              </w:rPr>
            </w:pPr>
            <w:r>
              <w:rPr>
                <w:rFonts w:hint="default" w:ascii="Times New Roman" w:hAnsi="Times New Roman" w:cs="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color w:val="auto"/>
                <w:kern w:val="0"/>
                <w:sz w:val="18"/>
                <w:szCs w:val="18"/>
                <w:lang w:val="en-US" w:eastAsia="zh-CN"/>
              </w:rPr>
            </w:pPr>
            <w:r>
              <w:rPr>
                <w:rFonts w:hint="eastAsia" w:cs="Times New Roman"/>
                <w:color w:val="auto"/>
                <w:kern w:val="0"/>
                <w:sz w:val="18"/>
                <w:szCs w:val="18"/>
                <w:lang w:val="en-US" w:eastAsia="zh-CN"/>
              </w:rPr>
              <w:t>2</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10</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20%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2</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color w:val="auto"/>
                <w:kern w:val="0"/>
                <w:sz w:val="18"/>
                <w:szCs w:val="18"/>
                <w:lang w:val="en-US" w:eastAsia="zh-CN"/>
              </w:rPr>
            </w:pPr>
            <w:r>
              <w:rPr>
                <w:rFonts w:hint="eastAsia" w:cs="Times New Roman"/>
                <w:color w:val="auto"/>
                <w:kern w:val="0"/>
                <w:sz w:val="18"/>
                <w:szCs w:val="18"/>
                <w:lang w:val="en-US" w:eastAsia="zh-CN"/>
              </w:rPr>
              <w:t>2</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实际完成情况</w:t>
            </w:r>
          </w:p>
        </w:tc>
      </w:tr>
      <w:tr>
        <w:tblPrEx>
          <w:tblCellMar>
            <w:top w:w="0" w:type="dxa"/>
            <w:left w:w="108" w:type="dxa"/>
            <w:bottom w:w="0" w:type="dxa"/>
            <w:right w:w="108" w:type="dxa"/>
          </w:tblCellMar>
        </w:tblPrEx>
        <w:trPr>
          <w:trHeight w:val="565"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关注财政收支的真实合法效益、预算管理、政府性债务、专项资金分配使用、财政存量资金、预算执行、决算草案编制等。</w:t>
            </w:r>
            <w:r>
              <w:rPr>
                <w:rFonts w:hint="default" w:ascii="Times New Roman" w:hAnsi="Times New Roman" w:cs="Times New Roman"/>
                <w:kern w:val="0"/>
                <w:sz w:val="18"/>
                <w:szCs w:val="18"/>
              </w:rPr>
              <w:tab/>
            </w:r>
            <w:r>
              <w:rPr>
                <w:rFonts w:hint="default" w:ascii="Times New Roman" w:hAnsi="Times New Roman" w:cs="Times New Roman"/>
                <w:kern w:val="0"/>
                <w:sz w:val="18"/>
                <w:szCs w:val="18"/>
              </w:rPr>
              <w:tab/>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基本实现</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绩</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效</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指</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偏差原因分析及改进措施</w:t>
            </w:r>
          </w:p>
        </w:tc>
      </w:tr>
      <w:tr>
        <w:tblPrEx>
          <w:tblCellMar>
            <w:top w:w="0" w:type="dxa"/>
            <w:left w:w="108" w:type="dxa"/>
            <w:bottom w:w="0" w:type="dxa"/>
            <w:right w:w="108" w:type="dxa"/>
          </w:tblCellMar>
        </w:tblPrEx>
        <w:trPr>
          <w:trHeight w:val="49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产出指标</w:t>
            </w:r>
            <w:r>
              <w:rPr>
                <w:rFonts w:hint="default" w:ascii="Times New Roman" w:hAnsi="Times New Roman" w:cs="Times New Roman"/>
                <w:kern w:val="0"/>
                <w:sz w:val="20"/>
                <w:szCs w:val="20"/>
              </w:rPr>
              <w:t>(50分)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sz w:val="16"/>
                <w:szCs w:val="16"/>
              </w:rPr>
              <w:t>建网站云防护等，建入侵防御系统</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lang w:val="en-US"/>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77"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32"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s="Times New Roman"/>
                <w:color w:val="000000"/>
                <w:kern w:val="0"/>
                <w:sz w:val="18"/>
                <w:szCs w:val="18"/>
              </w:rPr>
              <w:t>服务器维护，网络通信维护</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7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72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sz w:val="16"/>
                <w:szCs w:val="16"/>
              </w:rPr>
              <w:t>乙方必须在本协议生效之日起三个月内完成系统升级改造</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kern w:val="0"/>
                <w:sz w:val="18"/>
                <w:szCs w:val="18"/>
              </w:rPr>
              <w:t>及时</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kern w:val="0"/>
                <w:sz w:val="18"/>
                <w:szCs w:val="18"/>
              </w:rPr>
              <w:t>及时</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0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color w:val="000000"/>
                <w:kern w:val="0"/>
                <w:sz w:val="18"/>
                <w:szCs w:val="18"/>
                <w:lang w:val="en-US"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不超过预算</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4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效益指标</w:t>
            </w:r>
            <w:r>
              <w:rPr>
                <w:rFonts w:hint="default" w:ascii="Times New Roman" w:hAnsi="Times New Roman" w:cs="Times New Roman"/>
                <w:kern w:val="0"/>
                <w:sz w:val="20"/>
                <w:szCs w:val="20"/>
              </w:rPr>
              <w:t>(30分)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经济效益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节约成本</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756"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社会效益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olor w:val="000000"/>
                <w:kern w:val="0"/>
                <w:sz w:val="18"/>
                <w:szCs w:val="18"/>
              </w:rPr>
              <w:t>做好信息发布、政策解读、互动交流、政务公开</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6</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生态效益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7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s="Times New Roman"/>
                <w:color w:val="000000"/>
                <w:kern w:val="0"/>
                <w:sz w:val="18"/>
                <w:szCs w:val="18"/>
              </w:rPr>
              <w:t>加强网络保密管理，确保安全</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长期</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9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满意度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r>
              <w:rPr>
                <w:rFonts w:hint="default" w:ascii="Times New Roman" w:hAnsi="Times New Roman" w:cs="Times New Roman"/>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s="Times New Roman"/>
                <w:color w:val="000000"/>
                <w:kern w:val="0"/>
                <w:sz w:val="18"/>
                <w:szCs w:val="18"/>
              </w:rPr>
              <w:t>乡、村、街道、群众满意</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color w:val="000000"/>
                <w:kern w:val="0"/>
                <w:sz w:val="18"/>
                <w:szCs w:val="18"/>
              </w:rPr>
              <w:t>100%</w:t>
            </w:r>
          </w:p>
        </w:tc>
        <w:tc>
          <w:tcPr>
            <w:tcW w:w="851"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2"/>
                <w:sz w:val="16"/>
                <w:szCs w:val="16"/>
                <w:u w:val="none"/>
                <w:lang w:val="en-US" w:eastAsia="zh-CN" w:bidi="ar-SA"/>
              </w:rPr>
            </w:pPr>
            <w:r>
              <w:rPr>
                <w:rFonts w:hint="default" w:ascii="Times New Roman" w:hAnsi="Times New Roman" w:cs="Times New Roman"/>
                <w:color w:val="000000"/>
                <w:kern w:val="0"/>
                <w:sz w:val="18"/>
                <w:szCs w:val="18"/>
              </w:rPr>
              <w:t>100%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000000"/>
                <w:kern w:val="0"/>
                <w:sz w:val="18"/>
                <w:szCs w:val="18"/>
                <w:lang w:val="en-US" w:eastAsia="zh-CN"/>
              </w:rPr>
            </w:pPr>
            <w:r>
              <w:rPr>
                <w:rFonts w:hint="eastAsia" w:cs="Times New Roman"/>
                <w:color w:val="000000"/>
                <w:kern w:val="0"/>
                <w:sz w:val="18"/>
                <w:szCs w:val="18"/>
                <w:lang w:val="en-US" w:eastAsia="zh-CN"/>
              </w:rPr>
              <w:t>88</w:t>
            </w:r>
            <w:bookmarkStart w:id="0" w:name="_GoBack"/>
            <w:bookmarkEnd w:id="0"/>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br w:type="page"/>
      </w:r>
      <w:r>
        <w:rPr>
          <w:sz w:val="18"/>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1" name="矩形 1"/>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8.5pt;margin-top:14.6pt;height:9.75pt;width:504pt;z-index:251659264;mso-width-relative:page;mso-height-relative:page;" fillcolor="#FFFFFF" filled="t" stroked="t" coordsize="21600,2160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v:fill on="t" focussize="0,0"/>
                <v:stroke color="#FFFFFF" joinstyle="miter"/>
                <v:imagedata o:title=""/>
                <o:lock v:ext="edit" aspectratio="f"/>
              </v:rect>
            </w:pict>
          </mc:Fallback>
        </mc:AlternateContent>
      </w:r>
    </w:p>
    <w:tbl>
      <w:tblPr>
        <w:tblStyle w:val="5"/>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3.定量指标若为正向指标（即指标值为≥*），则得分计算方法应用全年实际值（B）/年度指标值（A）</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该指标分值；若定量指标为反向指标（即指标值为≤*），则得分计算方法应用年度指标值（A）/全年实际值（B）</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w:t>
            </w:r>
            <w:r>
              <w:rPr>
                <w:rFonts w:hint="default" w:ascii="Times New Roman" w:hAnsi="Times New Roman" w:cs="Times New Roman"/>
                <w:color w:val="000000"/>
                <w:kern w:val="0"/>
                <w:sz w:val="18"/>
                <w:szCs w:val="18"/>
                <w:highlight w:val="none"/>
              </w:rPr>
              <w:t xml:space="preserve">   4.请在“</w:t>
            </w:r>
            <w:r>
              <w:rPr>
                <w:rFonts w:hint="default" w:ascii="Times New Roman" w:hAnsi="Times New Roman" w:cs="Times New Roman"/>
                <w:kern w:val="0"/>
                <w:sz w:val="18"/>
                <w:szCs w:val="18"/>
                <w:highlight w:val="none"/>
              </w:rPr>
              <w:t>偏差原因分析及改进措施</w:t>
            </w:r>
            <w:r>
              <w:rPr>
                <w:rFonts w:hint="default" w:ascii="Times New Roman" w:hAnsi="Times New Roman" w:cs="Times New Roman"/>
                <w:color w:val="000000"/>
                <w:kern w:val="0"/>
                <w:sz w:val="18"/>
                <w:szCs w:val="18"/>
                <w:highlight w:val="none"/>
              </w:rPr>
              <w:t>”中说明偏离目标、不能完成目标的原因及拟采取的措施。</w:t>
            </w: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p>
    <w:p>
      <w:pPr>
        <w:rPr>
          <w:rFonts w:hint="default" w:ascii="Times New Roman" w:hAnsi="Times New Roman" w:cs="Times New Roman"/>
        </w:rPr>
      </w:pPr>
    </w:p>
    <w:p>
      <w:pPr>
        <w:rPr>
          <w:rFonts w:hint="default" w:ascii="Times New Roman" w:hAnsi="Times New Roman" w:eastAsia="黑体" w:cs="Times New Roman"/>
        </w:rPr>
        <w:sectPr>
          <w:pgSz w:w="11906" w:h="16838"/>
          <w:pgMar w:top="1587" w:right="1587" w:bottom="1587" w:left="1587" w:header="737" w:footer="850" w:gutter="0"/>
          <w:pgBorders>
            <w:top w:val="none" w:sz="0" w:space="0"/>
            <w:left w:val="none" w:sz="0" w:space="0"/>
            <w:bottom w:val="none" w:sz="0" w:space="0"/>
            <w:right w:val="none" w:sz="0" w:space="0"/>
          </w:pgBorders>
          <w:cols w:space="720" w:num="1"/>
          <w:rtlGutter w:val="0"/>
          <w:docGrid w:type="lines" w:linePitch="408" w:charSpace="0"/>
        </w:sectPr>
      </w:pPr>
    </w:p>
    <w:p>
      <w:pPr>
        <w:keepNext/>
        <w:keepLines/>
        <w:pageBreakBefore/>
        <w:widowControl/>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Cs/>
          <w:color w:val="000000"/>
          <w:sz w:val="32"/>
          <w:szCs w:val="32"/>
          <w:lang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2</w:t>
      </w:r>
    </w:p>
    <w:p>
      <w:pPr>
        <w:pStyle w:val="2"/>
        <w:spacing w:before="0" w:after="0" w:line="240" w:lineRule="auto"/>
        <w:jc w:val="center"/>
        <w:rPr>
          <w:rFonts w:hint="default" w:ascii="Times New Roman" w:hAnsi="Times New Roman" w:eastAsia="宋体" w:cs="Times New Roman"/>
          <w:bCs/>
          <w:color w:val="000000"/>
          <w:sz w:val="36"/>
          <w:szCs w:val="28"/>
        </w:rPr>
      </w:pPr>
      <w:r>
        <w:rPr>
          <w:rFonts w:hint="default" w:ascii="Times New Roman" w:hAnsi="Times New Roman" w:eastAsia="宋体" w:cs="Times New Roman"/>
          <w:bCs/>
          <w:color w:val="000000"/>
          <w:sz w:val="36"/>
          <w:szCs w:val="28"/>
        </w:rPr>
        <w:t>项目支出绩效评价共性指标表</w:t>
      </w:r>
    </w:p>
    <w:tbl>
      <w:tblPr>
        <w:tblStyle w:val="5"/>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一级指标</w:t>
            </w:r>
          </w:p>
        </w:tc>
        <w:tc>
          <w:tcPr>
            <w:tcW w:w="709"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二级指标</w:t>
            </w:r>
          </w:p>
        </w:tc>
        <w:tc>
          <w:tcPr>
            <w:tcW w:w="1134"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三级指标</w:t>
            </w:r>
          </w:p>
        </w:tc>
        <w:tc>
          <w:tcPr>
            <w:tcW w:w="567" w:type="dxa"/>
            <w:shd w:val="clear" w:color="auto" w:fill="FFFFFF"/>
            <w:vAlign w:val="top"/>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分</w:t>
            </w:r>
          </w:p>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值</w:t>
            </w:r>
          </w:p>
        </w:tc>
        <w:tc>
          <w:tcPr>
            <w:tcW w:w="2835"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指标解释</w:t>
            </w:r>
          </w:p>
        </w:tc>
        <w:tc>
          <w:tcPr>
            <w:tcW w:w="609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指标说明</w:t>
            </w:r>
          </w:p>
        </w:tc>
        <w:tc>
          <w:tcPr>
            <w:tcW w:w="56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立项依据</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充分性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①项目立项是否符合国家法律法规、国民经济发展规划和相关政策；</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②项目立项是否符合行业发展规划和政策要求；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③项目立项是否与部门职责范围相符，属于部门履职所需；</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④项目是否属于公共财政支持范围，是否符合中央、地方事权支出责任划分原则；</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立项程序</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规范性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①项目是否按照规定的程序申请设立；</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②审批文件、材料是否符合相关要求；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（如未设定预算绩效目标，也可考核其他工作任务目标）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①项目是否有绩效目标；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②项目绩效目标与实际工作内容是否具有相关性；</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③项目预期产出效益和效果是否符合正常的业绩水平；</w:t>
            </w:r>
          </w:p>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④是否与预算确定的项目投资额或资金量相匹配。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绩效指标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明确性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①是否将项目绩效目标细化分解为具体的绩效指标；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②是否通过清晰、可衡量的指标值予以体现；</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③是否与项目目标任务数或计划数相对应。</w:t>
            </w:r>
            <w:r>
              <w:rPr>
                <w:rFonts w:hint="default" w:ascii="Times New Roman" w:hAnsi="Times New Roman" w:cs="Times New Roman"/>
                <w:color w:val="000000"/>
                <w:kern w:val="0"/>
                <w:sz w:val="22"/>
                <w:szCs w:val="22"/>
              </w:rPr>
              <w:br w:type="textWrapping"/>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资金投入</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预算编制</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科学性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①预算编制是否经过科学论证；</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②预算内容与项目内容是否匹配；</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③预算额度测算依据是否充分，是否按照标准编制；</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资金分配</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①预算资金分配依据是否充分；</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资金到位率=（实际到位资金/预算资金）×100%。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实际到位资金：一定时期（本年度或项目期）内落实到具体项目的资金。</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预算执行率=（实际支出资金/实际到位资金）×100%。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资金使用</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合规性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①是否符合国家财经法规和财务管理制度以及有关专项资金管理办法的规定；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②资金的拨付是否有完整的审批程序和手续；</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③是否符合项目预算批复或合同规定的用途；</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④是否存在截留、挤占、挪用、虚列支出等情况。</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组织实施</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管理制度</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健全性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①是否已制定或具有相应的财务和业务管理制度；</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②财务和业务管理制度是否合法、合规、完整。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制度执行</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有效性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①是否遵守相关法律法规和相关管理规定；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②项目调整及支出调整手续是否完备；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③项目合同书、验收报告、技术鉴定等资料是否齐全并及时归档；</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产出数量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实际完成率=（实际产出数/计划产出数）×100%。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实际产出数：一定时期（本年度或项目期）内项目实际产出的产品或提供的服务数量。</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产出质量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质量达标率=（质量达标产出数/实际产出数）×100%。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产出时效</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完成及时性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实际完成时间：项目实施单位完成该项目实际所耗用的时间。</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产出成本</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成本节约率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成本节约率=[（计划成本-实际成本）/计划成本]×100%。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实际成本：项目实施单位如期、保质、保量完成既定工作目标实际所耗费的支出。</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效益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项目效益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实施效益</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20</w:t>
            </w:r>
          </w:p>
        </w:tc>
        <w:tc>
          <w:tcPr>
            <w:tcW w:w="2835"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项目实施所产生的效益。</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满意度</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总分</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90</w:t>
            </w:r>
          </w:p>
        </w:tc>
      </w:tr>
    </w:tbl>
    <w:p>
      <w:pPr>
        <w:spacing w:line="560" w:lineRule="exact"/>
        <w:ind w:firstLine="200" w:firstLineChars="100"/>
      </w:pPr>
      <w:r>
        <w:rPr>
          <w:rFonts w:hint="default" w:ascii="Times New Roman" w:hAnsi="Times New Roman" w:eastAsia="仿宋_GB2312" w:cs="Times New Roman"/>
          <w:sz w:val="20"/>
          <w:szCs w:val="20"/>
        </w:rPr>
        <w:t>注：单位可以根据专项资金的管理要求和绩效要求增设个性指标。</w:t>
      </w:r>
    </w:p>
    <w:sectPr>
      <w:pgSz w:w="16838" w:h="11906" w:orient="landscape"/>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B9AE55"/>
    <w:multiLevelType w:val="singleLevel"/>
    <w:tmpl w:val="D9B9AE5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F1FEF"/>
    <w:rsid w:val="0176339A"/>
    <w:rsid w:val="07B24833"/>
    <w:rsid w:val="07E04E2A"/>
    <w:rsid w:val="08F83EC7"/>
    <w:rsid w:val="0CC53E21"/>
    <w:rsid w:val="0D2964EB"/>
    <w:rsid w:val="11601083"/>
    <w:rsid w:val="13F5172F"/>
    <w:rsid w:val="14B91FAE"/>
    <w:rsid w:val="16343B67"/>
    <w:rsid w:val="1AAD7B7A"/>
    <w:rsid w:val="1C1E6B01"/>
    <w:rsid w:val="20FF1E89"/>
    <w:rsid w:val="226851E0"/>
    <w:rsid w:val="247A18E4"/>
    <w:rsid w:val="2C990014"/>
    <w:rsid w:val="389802E9"/>
    <w:rsid w:val="3E460296"/>
    <w:rsid w:val="41F950CB"/>
    <w:rsid w:val="431E1162"/>
    <w:rsid w:val="43603FF5"/>
    <w:rsid w:val="45381E27"/>
    <w:rsid w:val="54B256CF"/>
    <w:rsid w:val="56813666"/>
    <w:rsid w:val="5B8A34D4"/>
    <w:rsid w:val="5C805932"/>
    <w:rsid w:val="6243247B"/>
    <w:rsid w:val="6244348C"/>
    <w:rsid w:val="6AF01A6D"/>
    <w:rsid w:val="70487917"/>
    <w:rsid w:val="70D668A0"/>
    <w:rsid w:val="71901AB5"/>
    <w:rsid w:val="78D07F64"/>
    <w:rsid w:val="7B8E443D"/>
    <w:rsid w:val="7C0F2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kern w:val="0"/>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2020-06-27T08:43:00Z</dcterms:created>
  <dc:creator>Lenovo</dc:creator>
  <cp:lastModifiedBy>南乔木</cp:lastModifiedBy>
  <dcterms:modified xsi:type="dcterms:W3CDTF">2021-07-25T15:45:00Z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32A835A9484340CB86B58F6B0546564C</vt:lpwstr>
  </property>
</Properties>
</file>