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kinsoku/>
        <w:wordWrap/>
        <w:overflowPunct/>
        <w:topLinePunct w:val="0"/>
        <w:autoSpaceDE/>
        <w:autoSpaceDN/>
        <w:bidi w:val="0"/>
        <w:adjustRightInd/>
        <w:snapToGrid/>
        <w:spacing w:line="520" w:lineRule="exact"/>
        <w:jc w:val="center"/>
        <w:textAlignment w:val="auto"/>
        <w:rPr>
          <w:rFonts w:hint="eastAsia" w:ascii="Times New Roman" w:hAnsi="Times New Roman" w:eastAsia="黑体"/>
          <w:sz w:val="44"/>
          <w:szCs w:val="44"/>
          <w:lang w:eastAsia="zh-CN"/>
        </w:rPr>
      </w:pPr>
      <w:r>
        <w:rPr>
          <w:rFonts w:hint="eastAsia" w:ascii="Times New Roman" w:hAnsi="Times New Roman" w:eastAsia="黑体"/>
          <w:sz w:val="44"/>
          <w:szCs w:val="44"/>
          <w:lang w:val="en-US" w:eastAsia="zh-CN"/>
        </w:rPr>
        <w:t>中方县计划生育协会2020年度计划生育</w:t>
      </w:r>
      <w:r>
        <w:rPr>
          <w:rFonts w:hint="eastAsia" w:eastAsia="黑体"/>
          <w:sz w:val="44"/>
          <w:szCs w:val="44"/>
          <w:lang w:val="en-US" w:eastAsia="zh-CN"/>
        </w:rPr>
        <w:t>家庭创业贷款贴息</w:t>
      </w:r>
      <w:r>
        <w:rPr>
          <w:rFonts w:hint="eastAsia" w:ascii="Times New Roman" w:hAnsi="Times New Roman" w:eastAsia="黑体"/>
          <w:sz w:val="44"/>
          <w:szCs w:val="44"/>
          <w:lang w:val="en-US" w:eastAsia="zh-CN"/>
        </w:rPr>
        <w:t>项目支出</w:t>
      </w:r>
      <w:r>
        <w:rPr>
          <w:rFonts w:ascii="Times New Roman" w:hAnsi="Times New Roman" w:eastAsia="黑体"/>
          <w:sz w:val="44"/>
          <w:szCs w:val="44"/>
        </w:rPr>
        <w:t>绩效</w:t>
      </w:r>
      <w:r>
        <w:rPr>
          <w:rFonts w:hint="eastAsia" w:ascii="Times New Roman" w:hAnsi="Times New Roman" w:eastAsia="黑体"/>
          <w:sz w:val="44"/>
          <w:szCs w:val="44"/>
          <w:lang w:eastAsia="zh-CN"/>
        </w:rPr>
        <w:t>自评报告</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ascii="仿宋_GB2312" w:eastAsia="仿宋_GB2312"/>
          <w:sz w:val="32"/>
          <w:szCs w:val="32"/>
        </w:rPr>
      </w:pPr>
      <w:r>
        <w:rPr>
          <w:rFonts w:hint="eastAsia" w:ascii="仿宋" w:hAnsi="仿宋" w:eastAsia="仿宋" w:cs="仿宋"/>
          <w:sz w:val="32"/>
          <w:szCs w:val="32"/>
        </w:rPr>
        <w:t>为了进一步规范财政资金管理，强化部门责任意识，切实提高财政资金使用效益。根据中方县财政局《关于开展2020年度部门整体支出及项目支出绩效自评工作的通知》(中财绩﹝</w:t>
      </w:r>
      <w:r>
        <w:rPr>
          <w:rFonts w:hint="eastAsia" w:ascii="仿宋" w:hAnsi="仿宋" w:eastAsia="仿宋" w:cs="仿宋"/>
          <w:sz w:val="32"/>
          <w:szCs w:val="32"/>
          <w:lang w:val="en-US" w:eastAsia="zh-CN"/>
        </w:rPr>
        <w:t>2021</w:t>
      </w:r>
      <w:r>
        <w:rPr>
          <w:rFonts w:hint="eastAsia" w:ascii="仿宋" w:hAnsi="仿宋" w:eastAsia="仿宋" w:cs="仿宋"/>
          <w:sz w:val="32"/>
          <w:szCs w:val="32"/>
        </w:rPr>
        <w:t>﹞</w:t>
      </w:r>
      <w:r>
        <w:rPr>
          <w:rFonts w:hint="eastAsia" w:ascii="仿宋" w:hAnsi="仿宋" w:eastAsia="仿宋" w:cs="仿宋"/>
          <w:sz w:val="32"/>
          <w:szCs w:val="32"/>
          <w:lang w:val="en-US" w:eastAsia="zh-CN"/>
        </w:rPr>
        <w:t>38</w:t>
      </w:r>
      <w:r>
        <w:rPr>
          <w:rFonts w:hint="eastAsia" w:ascii="仿宋" w:hAnsi="仿宋" w:eastAsia="仿宋" w:cs="仿宋"/>
          <w:sz w:val="32"/>
          <w:szCs w:val="32"/>
        </w:rPr>
        <w:t>号）有关要求，对中方县</w:t>
      </w:r>
      <w:r>
        <w:rPr>
          <w:rFonts w:hint="eastAsia" w:ascii="仿宋" w:hAnsi="仿宋" w:eastAsia="仿宋" w:cs="仿宋"/>
          <w:sz w:val="32"/>
          <w:szCs w:val="32"/>
          <w:lang w:val="en-US" w:eastAsia="zh-CN"/>
        </w:rPr>
        <w:t>计划生育协会2020年度计划生育家庭创业贷款贴息项目</w:t>
      </w:r>
      <w:r>
        <w:rPr>
          <w:rFonts w:hint="eastAsia" w:ascii="仿宋" w:hAnsi="仿宋" w:eastAsia="仿宋" w:cs="仿宋"/>
          <w:sz w:val="32"/>
          <w:szCs w:val="32"/>
        </w:rPr>
        <w:t>专项资金开展绩效评价自评。</w:t>
      </w:r>
    </w:p>
    <w:p>
      <w:pPr>
        <w:pStyle w:val="7"/>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ascii="Times New Roman" w:hAnsi="Times New Roman" w:eastAsia="楷体"/>
          <w:b/>
          <w:sz w:val="32"/>
          <w:szCs w:val="32"/>
        </w:rPr>
      </w:pPr>
      <w:r>
        <w:rPr>
          <w:rFonts w:ascii="Times New Roman" w:hAnsi="Times New Roman" w:eastAsia="楷体"/>
          <w:b/>
          <w:sz w:val="32"/>
          <w:szCs w:val="32"/>
        </w:rPr>
        <w:t>一、基本情况</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（一）项目概况</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ascii="仿宋_GB2312" w:hAnsi="宋体" w:eastAsia="仿宋_GB2312" w:cs="仿宋_GB2312"/>
          <w:i w:val="0"/>
          <w:caps w:val="0"/>
          <w:color w:val="4C4C4C"/>
          <w:spacing w:val="0"/>
          <w:sz w:val="25"/>
          <w:szCs w:val="25"/>
          <w:shd w:val="clear" w:color="auto" w:fill="FFFFFF"/>
        </w:rPr>
      </w:pPr>
      <w:r>
        <w:rPr>
          <w:rFonts w:hint="eastAsia" w:ascii="仿宋" w:hAnsi="仿宋" w:eastAsia="仿宋" w:cs="仿宋"/>
          <w:sz w:val="32"/>
          <w:szCs w:val="32"/>
          <w:lang w:eastAsia="zh-CN"/>
        </w:rPr>
        <w:t>根据</w:t>
      </w:r>
      <w:r>
        <w:rPr>
          <w:rFonts w:hint="eastAsia" w:ascii="仿宋" w:hAnsi="仿宋" w:eastAsia="仿宋" w:cs="仿宋"/>
          <w:sz w:val="32"/>
          <w:szCs w:val="32"/>
        </w:rPr>
        <w:t>湖南省计划生育家庭创业贷款贴息项目专项资金管理办法（湘财社2016年3号）</w:t>
      </w:r>
      <w:r>
        <w:rPr>
          <w:rFonts w:hint="eastAsia" w:ascii="仿宋" w:hAnsi="仿宋" w:eastAsia="仿宋" w:cs="仿宋"/>
          <w:sz w:val="32"/>
          <w:szCs w:val="32"/>
          <w:lang w:eastAsia="zh-CN"/>
        </w:rPr>
        <w:t>，旨在</w:t>
      </w:r>
      <w:r>
        <w:rPr>
          <w:rFonts w:hint="eastAsia" w:ascii="仿宋" w:hAnsi="仿宋" w:eastAsia="仿宋" w:cs="仿宋"/>
          <w:sz w:val="32"/>
          <w:szCs w:val="32"/>
        </w:rPr>
        <w:t>帮助计划生育家庭发展生产、创业致富、辐射面广的实体经济或“双创”经济组织，在各类银行符合《湖南省计划生育家庭创业贷款贴息项目专项资金管理办法》条件的贴息</w:t>
      </w:r>
      <w:r>
        <w:rPr>
          <w:rFonts w:hint="eastAsia" w:ascii="仿宋" w:hAnsi="仿宋" w:eastAsia="仿宋" w:cs="仿宋"/>
          <w:sz w:val="32"/>
          <w:szCs w:val="32"/>
          <w:lang w:eastAsia="zh-CN"/>
        </w:rPr>
        <w:t>。</w:t>
      </w:r>
    </w:p>
    <w:p>
      <w:pPr>
        <w:pStyle w:val="7"/>
        <w:keepNext w:val="0"/>
        <w:keepLines w:val="0"/>
        <w:pageBreakBefore w:val="0"/>
        <w:numPr>
          <w:ilvl w:val="0"/>
          <w:numId w:val="1"/>
        </w:numPr>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
          <w:sz w:val="32"/>
          <w:szCs w:val="32"/>
          <w:lang w:eastAsia="zh-CN"/>
        </w:rPr>
      </w:pPr>
      <w:r>
        <w:rPr>
          <w:rFonts w:hint="eastAsia" w:ascii="Times New Roman" w:hAnsi="Times New Roman" w:eastAsia="仿宋"/>
          <w:sz w:val="32"/>
          <w:szCs w:val="32"/>
          <w:lang w:eastAsia="zh-CN"/>
        </w:rPr>
        <w:t>绩效目标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 w:eastAsia="仿宋_GB2312" w:cs="Times New Roman"/>
          <w:kern w:val="2"/>
          <w:sz w:val="32"/>
          <w:szCs w:val="32"/>
          <w:lang w:eastAsia="zh-CN"/>
        </w:rPr>
      </w:pPr>
      <w:r>
        <w:rPr>
          <w:rFonts w:hint="eastAsia" w:ascii="仿宋_GB2312" w:hAnsi="仿宋" w:eastAsia="仿宋_GB2312" w:cs="Times New Roman"/>
          <w:kern w:val="2"/>
          <w:sz w:val="32"/>
          <w:szCs w:val="32"/>
        </w:rPr>
        <w:t>总体目标</w:t>
      </w:r>
      <w:r>
        <w:rPr>
          <w:rFonts w:hint="eastAsia" w:ascii="仿宋_GB2312" w:hAnsi="仿宋" w:eastAsia="仿宋_GB2312" w:cs="Times New Roman"/>
          <w:kern w:val="2"/>
          <w:sz w:val="32"/>
          <w:szCs w:val="32"/>
          <w:lang w:eastAsia="zh-CN"/>
        </w:rPr>
        <w:t>：</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_GB2312" w:hAnsi="宋体" w:eastAsia="仿宋" w:cs="仿宋_GB2312"/>
          <w:i w:val="0"/>
          <w:caps w:val="0"/>
          <w:color w:val="4C4C4C"/>
          <w:spacing w:val="0"/>
          <w:sz w:val="25"/>
          <w:szCs w:val="25"/>
          <w:shd w:val="clear" w:color="auto" w:fill="FFFFFF"/>
          <w:lang w:val="en-US" w:eastAsia="zh-CN"/>
        </w:rPr>
      </w:pPr>
      <w:r>
        <w:rPr>
          <w:rFonts w:hint="eastAsia" w:ascii="仿宋" w:hAnsi="仿宋" w:eastAsia="仿宋" w:cs="仿宋"/>
          <w:sz w:val="32"/>
          <w:szCs w:val="32"/>
        </w:rPr>
        <w:t>落实地方计划生育关怀政策，兑现党和政府对实行计划生育家庭的承诺，提高政府公信力，密切党群干群关系，缓解计划生育家庭生产、生活困难，增强计划生育家庭创业增收能力</w:t>
      </w:r>
      <w:r>
        <w:rPr>
          <w:rFonts w:hint="eastAsia" w:ascii="仿宋" w:hAnsi="仿宋" w:eastAsia="仿宋" w:cs="仿宋"/>
          <w:sz w:val="32"/>
          <w:szCs w:val="32"/>
          <w:lang w:eastAsia="zh-CN"/>
        </w:rPr>
        <w:t>，</w:t>
      </w:r>
      <w:r>
        <w:rPr>
          <w:rFonts w:hint="eastAsia" w:ascii="仿宋" w:hAnsi="仿宋" w:eastAsia="仿宋" w:cs="仿宋"/>
          <w:sz w:val="32"/>
          <w:szCs w:val="32"/>
        </w:rPr>
        <w:t>对符合条件的对象按标准贴息1－</w:t>
      </w:r>
      <w:r>
        <w:rPr>
          <w:rFonts w:hint="eastAsia" w:ascii="仿宋" w:hAnsi="仿宋" w:eastAsia="仿宋" w:cs="仿宋"/>
          <w:sz w:val="32"/>
          <w:szCs w:val="32"/>
          <w:lang w:val="en-US" w:eastAsia="zh-CN"/>
        </w:rPr>
        <w:t>10</w:t>
      </w:r>
      <w:r>
        <w:rPr>
          <w:rFonts w:hint="eastAsia" w:ascii="仿宋" w:hAnsi="仿宋" w:eastAsia="仿宋" w:cs="仿宋"/>
          <w:sz w:val="32"/>
          <w:szCs w:val="32"/>
        </w:rPr>
        <w:t>万元</w:t>
      </w:r>
      <w:r>
        <w:rPr>
          <w:rFonts w:hint="eastAsia" w:ascii="仿宋" w:hAnsi="仿宋" w:eastAsia="仿宋" w:cs="仿宋"/>
          <w:sz w:val="32"/>
          <w:szCs w:val="32"/>
          <w:lang w:val="en-US" w:eastAsia="zh-CN"/>
        </w:rPr>
        <w:t>.</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阶段性目标</w:t>
      </w:r>
    </w:p>
    <w:p>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sz w:val="32"/>
          <w:szCs w:val="32"/>
          <w:lang w:val="en-US" w:eastAsia="zh-CN"/>
        </w:rPr>
      </w:pPr>
      <w:r>
        <w:rPr>
          <w:rFonts w:hint="eastAsia" w:ascii="仿宋" w:hAnsi="仿宋" w:eastAsia="仿宋" w:cs="仿宋"/>
          <w:sz w:val="32"/>
          <w:szCs w:val="32"/>
          <w:lang w:eastAsia="zh-CN"/>
        </w:rPr>
        <w:t>根据</w:t>
      </w:r>
      <w:r>
        <w:rPr>
          <w:rFonts w:hint="eastAsia" w:ascii="仿宋" w:hAnsi="仿宋" w:eastAsia="仿宋" w:cs="仿宋"/>
          <w:sz w:val="32"/>
          <w:szCs w:val="32"/>
          <w:lang w:val="en-US" w:eastAsia="zh-CN"/>
        </w:rPr>
        <w:t>计划生育家庭</w:t>
      </w:r>
      <w:r>
        <w:rPr>
          <w:rFonts w:hint="eastAsia" w:ascii="仿宋" w:hAnsi="仿宋" w:eastAsia="仿宋" w:cs="仿宋"/>
          <w:sz w:val="32"/>
          <w:szCs w:val="32"/>
        </w:rPr>
        <w:t>创业贷款贴息项目</w:t>
      </w:r>
      <w:r>
        <w:rPr>
          <w:rFonts w:hint="eastAsia" w:ascii="仿宋" w:hAnsi="仿宋" w:eastAsia="仿宋" w:cs="仿宋"/>
          <w:sz w:val="32"/>
          <w:szCs w:val="32"/>
          <w:lang w:val="en-US" w:eastAsia="zh-CN"/>
        </w:rPr>
        <w:t>项目</w:t>
      </w:r>
      <w:r>
        <w:rPr>
          <w:rFonts w:hint="eastAsia" w:ascii="仿宋" w:hAnsi="仿宋" w:eastAsia="仿宋" w:cs="仿宋"/>
          <w:sz w:val="32"/>
          <w:szCs w:val="32"/>
          <w:lang w:eastAsia="zh-CN"/>
        </w:rPr>
        <w:t>资金绩效目标实施开展工作。</w:t>
      </w:r>
    </w:p>
    <w:p>
      <w:pPr>
        <w:pStyle w:val="7"/>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ascii="Times New Roman" w:hAnsi="Times New Roman" w:eastAsia="楷体"/>
          <w:b/>
          <w:sz w:val="32"/>
          <w:szCs w:val="32"/>
        </w:rPr>
      </w:pPr>
      <w:r>
        <w:rPr>
          <w:rFonts w:ascii="Times New Roman" w:hAnsi="Times New Roman" w:eastAsia="楷体"/>
          <w:b/>
          <w:sz w:val="32"/>
          <w:szCs w:val="32"/>
        </w:rPr>
        <w:t>二、绩效评价工作开展情况</w:t>
      </w:r>
    </w:p>
    <w:p>
      <w:pPr>
        <w:pStyle w:val="7"/>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1.湖南省计划生育家庭创业贷款贴息项目专项资金管理办</w:t>
      </w:r>
    </w:p>
    <w:p>
      <w:pPr>
        <w:pStyle w:val="7"/>
        <w:keepNext w:val="0"/>
        <w:keepLines w:val="0"/>
        <w:pageBreakBefore w:val="0"/>
        <w:kinsoku/>
        <w:wordWrap/>
        <w:overflowPunct/>
        <w:topLinePunct w:val="0"/>
        <w:autoSpaceDE/>
        <w:autoSpaceDN/>
        <w:bidi w:val="0"/>
        <w:adjustRightInd/>
        <w:snapToGrid/>
        <w:spacing w:line="520" w:lineRule="exact"/>
        <w:ind w:left="638" w:leftChars="304" w:firstLine="0" w:firstLineChars="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法；                                                                                                                     2.湖南省计划生育创业扶贫贷款贴息协议；                                                                                                                                      3.湖南省计划生育创业扶贫贷款贴息审批表。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20" w:lineRule="exact"/>
        <w:ind w:left="0" w:right="0" w:firstLine="516"/>
        <w:textAlignment w:val="auto"/>
        <w:rPr>
          <w:rFonts w:hint="eastAsia" w:ascii="Times New Roman" w:hAnsi="Times New Roman" w:eastAsia="仿宋"/>
          <w:sz w:val="32"/>
          <w:szCs w:val="32"/>
          <w:lang w:eastAsia="zh-CN"/>
        </w:rPr>
      </w:pPr>
      <w:r>
        <w:rPr>
          <w:rFonts w:ascii="Times New Roman" w:hAnsi="Times New Roman" w:eastAsia="仿宋"/>
          <w:sz w:val="32"/>
          <w:szCs w:val="32"/>
        </w:rPr>
        <w:t>（一）绩效评价目的、对象和范围</w:t>
      </w:r>
      <w:r>
        <w:rPr>
          <w:rFonts w:hint="eastAsia" w:ascii="Times New Roman" w:hAnsi="Times New Roman" w:eastAsia="仿宋"/>
          <w:sz w:val="32"/>
          <w:szCs w:val="32"/>
          <w:lang w:eastAsia="zh-CN"/>
        </w:rPr>
        <w:t>。</w:t>
      </w:r>
    </w:p>
    <w:p>
      <w:pPr>
        <w:pStyle w:val="7"/>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绩效评价目的：</w:t>
      </w:r>
    </w:p>
    <w:p>
      <w:pPr>
        <w:pStyle w:val="7"/>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default" w:ascii="仿宋" w:hAnsi="仿宋" w:eastAsia="仿宋" w:cs="仿宋"/>
          <w:sz w:val="32"/>
          <w:szCs w:val="32"/>
          <w:lang w:val="en-US" w:eastAsia="zh-CN"/>
        </w:rPr>
        <w:t>、加强和规范</w:t>
      </w:r>
      <w:r>
        <w:rPr>
          <w:rFonts w:hint="eastAsia" w:ascii="仿宋" w:hAnsi="仿宋" w:eastAsia="仿宋" w:cs="仿宋"/>
          <w:sz w:val="32"/>
          <w:szCs w:val="32"/>
          <w:lang w:val="en-US" w:eastAsia="zh-CN"/>
        </w:rPr>
        <w:t>计划生育家庭创业贷款贴息贴息项目</w:t>
      </w:r>
      <w:r>
        <w:rPr>
          <w:rFonts w:hint="default" w:ascii="仿宋" w:hAnsi="仿宋" w:eastAsia="仿宋" w:cs="仿宋"/>
          <w:sz w:val="32"/>
          <w:szCs w:val="32"/>
          <w:lang w:val="en-US" w:eastAsia="zh-CN"/>
        </w:rPr>
        <w:t>资金管理，增强计划生育家庭创业增收能力；</w:t>
      </w:r>
    </w:p>
    <w:p>
      <w:pPr>
        <w:pStyle w:val="7"/>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绩效</w:t>
      </w:r>
      <w:r>
        <w:rPr>
          <w:rFonts w:hint="eastAsia" w:ascii="仿宋" w:hAnsi="仿宋" w:eastAsia="仿宋" w:cs="仿宋"/>
          <w:sz w:val="32"/>
          <w:szCs w:val="32"/>
          <w:lang w:eastAsia="zh-CN"/>
        </w:rPr>
        <w:t>评价对象：</w:t>
      </w:r>
    </w:p>
    <w:p>
      <w:pPr>
        <w:pStyle w:val="7"/>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计划生育家庭发展农业产业贷款贴息数额</w:t>
      </w:r>
    </w:p>
    <w:p>
      <w:pPr>
        <w:pStyle w:val="7"/>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绩效评价范围：</w:t>
      </w:r>
    </w:p>
    <w:p>
      <w:pPr>
        <w:pStyle w:val="7"/>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全县计划生育家庭创业贷款贴息项目</w:t>
      </w:r>
      <w:r>
        <w:rPr>
          <w:rFonts w:hint="eastAsia" w:ascii="仿宋" w:hAnsi="仿宋" w:eastAsia="仿宋" w:cs="仿宋"/>
          <w:sz w:val="32"/>
          <w:szCs w:val="32"/>
          <w:lang w:eastAsia="zh-CN"/>
        </w:rPr>
        <w:t>资金</w:t>
      </w:r>
    </w:p>
    <w:p>
      <w:pPr>
        <w:pStyle w:val="7"/>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二）绩效评价原则、评价指标体系（附表说明）、评价方法、评价标准等。此次绩效评价，设立预算执行率和绩效指标，其中绩效指标又分为产出指标、效益指标、满意度指标，分别有一级指标、二级指标、三级指标，项目绩效自评满分为100分。其中预算执行率10分，绩效指标90分，绩效指标中产出指标设置(50分)，主要评价</w:t>
      </w:r>
      <w:r>
        <w:rPr>
          <w:rFonts w:hint="eastAsia" w:ascii="Times New Roman" w:hAnsi="Times New Roman" w:eastAsia="仿宋"/>
          <w:sz w:val="32"/>
          <w:szCs w:val="32"/>
          <w:lang w:val="en-US" w:eastAsia="zh-CN"/>
        </w:rPr>
        <w:t>贷款贴息</w:t>
      </w:r>
      <w:r>
        <w:rPr>
          <w:rFonts w:hint="eastAsia" w:ascii="Times New Roman" w:hAnsi="Times New Roman" w:eastAsia="仿宋" w:cs="Times New Roman"/>
          <w:sz w:val="32"/>
          <w:szCs w:val="32"/>
          <w:lang w:val="en-US" w:eastAsia="zh-CN"/>
        </w:rPr>
        <w:t>支出的数量、质量、时效和成本；绩效指标效益指标（30分），主要评价</w:t>
      </w:r>
      <w:r>
        <w:rPr>
          <w:rFonts w:hint="eastAsia" w:ascii="Times New Roman" w:hAnsi="Times New Roman" w:eastAsia="仿宋"/>
          <w:sz w:val="32"/>
          <w:szCs w:val="32"/>
          <w:lang w:val="en-US" w:eastAsia="zh-CN"/>
        </w:rPr>
        <w:t>贷款贴息</w:t>
      </w:r>
      <w:r>
        <w:rPr>
          <w:rFonts w:hint="eastAsia" w:ascii="Times New Roman" w:hAnsi="Times New Roman" w:eastAsia="仿宋" w:cs="Times New Roman"/>
          <w:sz w:val="32"/>
          <w:szCs w:val="32"/>
          <w:lang w:val="en-US" w:eastAsia="zh-CN"/>
        </w:rPr>
        <w:t>支出对经济、社会、生态、可持续影响；绩效指标中满意度指标（10分）主要评价</w:t>
      </w:r>
      <w:r>
        <w:rPr>
          <w:rFonts w:hint="eastAsia" w:ascii="Times New Roman" w:hAnsi="Times New Roman" w:eastAsia="仿宋"/>
          <w:sz w:val="32"/>
          <w:szCs w:val="32"/>
          <w:lang w:val="en-US" w:eastAsia="zh-CN"/>
        </w:rPr>
        <w:t>贷款贴息</w:t>
      </w:r>
      <w:r>
        <w:rPr>
          <w:rFonts w:hint="eastAsia" w:ascii="Times New Roman" w:hAnsi="Times New Roman" w:eastAsia="仿宋" w:cs="Times New Roman"/>
          <w:sz w:val="32"/>
          <w:szCs w:val="32"/>
          <w:lang w:val="en-US" w:eastAsia="zh-CN"/>
        </w:rPr>
        <w:t>支出的有效性、社会知晓度和群众满意率。</w:t>
      </w:r>
    </w:p>
    <w:p>
      <w:pPr>
        <w:pStyle w:val="7"/>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（三）绩效评价工作过程。借鉴以往年度做法，此次评价继续采取部门自评，财务评价相结合。</w:t>
      </w:r>
      <w:r>
        <w:rPr>
          <w:rFonts w:hint="eastAsia" w:ascii="仿宋" w:hAnsi="仿宋" w:eastAsia="仿宋" w:cs="仿宋"/>
          <w:sz w:val="32"/>
          <w:szCs w:val="32"/>
        </w:rPr>
        <w:t>采取检查财务会计资料、问卷调查、实地走访等工作程序进行评价。</w:t>
      </w:r>
      <w:r>
        <w:rPr>
          <w:rFonts w:hint="eastAsia" w:ascii="仿宋" w:hAnsi="仿宋" w:eastAsia="仿宋" w:cs="仿宋"/>
          <w:sz w:val="32"/>
          <w:szCs w:val="32"/>
          <w:lang w:eastAsia="zh-CN"/>
        </w:rPr>
        <w:t>在绩效评价过程中</w:t>
      </w:r>
      <w:r>
        <w:rPr>
          <w:rFonts w:hint="eastAsia" w:ascii="Times New Roman" w:hAnsi="Times New Roman" w:eastAsia="仿宋" w:cs="Times New Roman"/>
          <w:sz w:val="32"/>
          <w:szCs w:val="32"/>
          <w:lang w:val="en-US" w:eastAsia="zh-CN"/>
        </w:rPr>
        <w:t>坚守绩效评价五大原则，平等对待每个项目，对于结果也是“三公”公平、公正、公开。</w:t>
      </w:r>
    </w:p>
    <w:p>
      <w:pPr>
        <w:pStyle w:val="7"/>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ascii="Times New Roman" w:hAnsi="Times New Roman" w:eastAsia="楷体"/>
          <w:b/>
          <w:sz w:val="32"/>
          <w:szCs w:val="32"/>
        </w:rPr>
      </w:pPr>
      <w:r>
        <w:rPr>
          <w:rFonts w:ascii="Times New Roman" w:hAnsi="Times New Roman" w:eastAsia="楷体"/>
          <w:b/>
          <w:sz w:val="32"/>
          <w:szCs w:val="32"/>
        </w:rPr>
        <w:t>三、综合评价情况及评价结论（附相关评分表）</w:t>
      </w:r>
    </w:p>
    <w:p>
      <w:pPr>
        <w:pStyle w:val="7"/>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ascii="Times New Roman" w:hAnsi="Times New Roman" w:eastAsia="仿宋"/>
          <w:sz w:val="32"/>
          <w:szCs w:val="32"/>
        </w:rPr>
      </w:pPr>
      <w:r>
        <w:rPr>
          <w:rFonts w:ascii="Times New Roman" w:hAnsi="Times New Roman" w:eastAsia="仿宋"/>
          <w:sz w:val="32"/>
          <w:szCs w:val="32"/>
        </w:rPr>
        <w:t>绩效评价等级一般划分为四档：90分（含）—100分为优，80分（含）—90分为良，60分（含）—80分为中，60分以下为差。</w:t>
      </w:r>
      <w:r>
        <w:rPr>
          <w:rFonts w:hint="eastAsia" w:ascii="Times New Roman" w:hAnsi="Times New Roman" w:eastAsia="仿宋"/>
          <w:sz w:val="32"/>
          <w:szCs w:val="32"/>
          <w:lang w:eastAsia="zh-CN"/>
        </w:rPr>
        <w:t>经自评，</w:t>
      </w:r>
      <w:r>
        <w:rPr>
          <w:rFonts w:hint="eastAsia" w:ascii="仿宋" w:hAnsi="仿宋" w:eastAsia="仿宋" w:cs="仿宋"/>
          <w:sz w:val="32"/>
          <w:szCs w:val="32"/>
          <w:lang w:val="en-US" w:eastAsia="zh-CN"/>
        </w:rPr>
        <w:t>计划生育“三结合”贴息项目</w:t>
      </w:r>
      <w:r>
        <w:rPr>
          <w:rFonts w:hint="eastAsia" w:ascii="Times New Roman" w:hAnsi="Times New Roman" w:eastAsia="仿宋"/>
          <w:sz w:val="32"/>
          <w:szCs w:val="32"/>
          <w:lang w:eastAsia="zh-CN"/>
        </w:rPr>
        <w:t>绩效自评等级为优秀。</w:t>
      </w:r>
    </w:p>
    <w:p>
      <w:pPr>
        <w:pStyle w:val="7"/>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ascii="Times New Roman" w:hAnsi="Times New Roman" w:eastAsia="楷体"/>
          <w:b/>
          <w:sz w:val="32"/>
          <w:szCs w:val="32"/>
        </w:rPr>
      </w:pPr>
      <w:r>
        <w:rPr>
          <w:rFonts w:ascii="Times New Roman" w:hAnsi="Times New Roman" w:eastAsia="楷体"/>
          <w:b/>
          <w:sz w:val="32"/>
          <w:szCs w:val="32"/>
        </w:rPr>
        <w:t>四、绩效评价指标分析</w:t>
      </w:r>
    </w:p>
    <w:p>
      <w:pPr>
        <w:pStyle w:val="7"/>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Times New Roman" w:hAnsi="Times New Roman" w:eastAsia="仿宋"/>
          <w:sz w:val="32"/>
          <w:szCs w:val="32"/>
          <w:lang w:eastAsia="zh-CN"/>
        </w:rPr>
      </w:pPr>
      <w:r>
        <w:rPr>
          <w:rFonts w:ascii="Times New Roman" w:hAnsi="Times New Roman" w:eastAsia="仿宋"/>
          <w:sz w:val="32"/>
          <w:szCs w:val="32"/>
        </w:rPr>
        <w:t>（一）项目决策情况。</w:t>
      </w:r>
      <w:r>
        <w:rPr>
          <w:rFonts w:hint="eastAsia" w:ascii="Times New Roman" w:hAnsi="Times New Roman" w:eastAsia="仿宋"/>
          <w:sz w:val="32"/>
          <w:szCs w:val="32"/>
          <w:lang w:eastAsia="zh-CN"/>
        </w:rPr>
        <w:t>年初预算是已经将</w:t>
      </w:r>
      <w:r>
        <w:rPr>
          <w:rFonts w:hint="eastAsia" w:ascii="仿宋" w:hAnsi="仿宋" w:eastAsia="仿宋" w:cs="仿宋"/>
          <w:sz w:val="32"/>
          <w:szCs w:val="32"/>
          <w:lang w:val="en-US" w:eastAsia="zh-CN"/>
        </w:rPr>
        <w:t>计划生育“三结合”贴息项目</w:t>
      </w:r>
      <w:r>
        <w:rPr>
          <w:rFonts w:hint="eastAsia" w:ascii="Times New Roman" w:hAnsi="Times New Roman" w:eastAsia="仿宋"/>
          <w:sz w:val="32"/>
          <w:szCs w:val="32"/>
          <w:lang w:eastAsia="zh-CN"/>
        </w:rPr>
        <w:t>支出项目绩效目标细化分解为具体的绩效指标，并通过清晰可衡量的指标值予以体现。</w:t>
      </w:r>
    </w:p>
    <w:p>
      <w:pPr>
        <w:pStyle w:val="7"/>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sz w:val="32"/>
          <w:szCs w:val="32"/>
          <w:lang w:val="en-US" w:eastAsia="zh-CN"/>
        </w:rPr>
      </w:pPr>
      <w:r>
        <w:rPr>
          <w:rFonts w:ascii="Times New Roman" w:hAnsi="Times New Roman" w:eastAsia="仿宋"/>
          <w:sz w:val="32"/>
          <w:szCs w:val="32"/>
        </w:rPr>
        <w:t>（二）项目过程情况。</w:t>
      </w:r>
      <w:r>
        <w:rPr>
          <w:rFonts w:hint="eastAsia" w:ascii="Times New Roman" w:hAnsi="Times New Roman" w:eastAsia="仿宋"/>
          <w:sz w:val="32"/>
          <w:szCs w:val="32"/>
          <w:lang w:eastAsia="zh-CN"/>
        </w:rPr>
        <w:t>项目资金使用符合相关的财务管理制度规定，资金规范运行，具有合法、合规、完整的财务和业务管理制度。</w:t>
      </w:r>
      <w:r>
        <w:rPr>
          <w:rFonts w:hint="eastAsia" w:ascii="Times New Roman" w:hAnsi="Times New Roman" w:eastAsia="仿宋"/>
          <w:sz w:val="32"/>
          <w:szCs w:val="32"/>
          <w:lang w:val="en-US" w:eastAsia="zh-CN"/>
        </w:rPr>
        <w:t>2020年</w:t>
      </w:r>
      <w:r>
        <w:rPr>
          <w:rFonts w:hint="eastAsia" w:ascii="仿宋" w:hAnsi="仿宋" w:eastAsia="仿宋" w:cs="仿宋"/>
          <w:sz w:val="32"/>
          <w:szCs w:val="32"/>
          <w:lang w:val="en-US" w:eastAsia="zh-CN"/>
        </w:rPr>
        <w:t>计划生育“三结合”贴息</w:t>
      </w:r>
      <w:r>
        <w:rPr>
          <w:rFonts w:hint="eastAsia" w:ascii="Times New Roman" w:hAnsi="Times New Roman" w:eastAsia="仿宋"/>
          <w:sz w:val="32"/>
          <w:szCs w:val="32"/>
          <w:lang w:val="en-US" w:eastAsia="zh-CN"/>
        </w:rPr>
        <w:t>资金预算4万元，实际到位资金7万元，</w:t>
      </w:r>
      <w:r>
        <w:rPr>
          <w:rFonts w:hint="eastAsia" w:ascii="Times New Roman" w:hAnsi="Times New Roman" w:eastAsia="仿宋"/>
          <w:sz w:val="32"/>
          <w:szCs w:val="32"/>
          <w:lang w:eastAsia="zh-CN"/>
        </w:rPr>
        <w:t>资金到位率</w:t>
      </w:r>
      <w:r>
        <w:rPr>
          <w:rFonts w:hint="eastAsia" w:ascii="Times New Roman" w:hAnsi="Times New Roman" w:eastAsia="仿宋"/>
          <w:sz w:val="32"/>
          <w:szCs w:val="32"/>
          <w:lang w:val="en-US" w:eastAsia="zh-CN"/>
        </w:rPr>
        <w:t>100% ；2020年</w:t>
      </w:r>
      <w:r>
        <w:rPr>
          <w:rFonts w:hint="eastAsia" w:ascii="仿宋" w:hAnsi="仿宋" w:eastAsia="仿宋" w:cs="仿宋"/>
          <w:sz w:val="32"/>
          <w:szCs w:val="32"/>
          <w:lang w:val="en-US" w:eastAsia="zh-CN"/>
        </w:rPr>
        <w:t>计划生育“三结合”贴息</w:t>
      </w:r>
      <w:r>
        <w:rPr>
          <w:rFonts w:hint="eastAsia" w:ascii="Times New Roman" w:hAnsi="Times New Roman" w:eastAsia="仿宋"/>
          <w:sz w:val="32"/>
          <w:szCs w:val="32"/>
          <w:lang w:val="en-US" w:eastAsia="zh-CN"/>
        </w:rPr>
        <w:t>项目实际支出7万元，预算执行率100%。</w:t>
      </w:r>
    </w:p>
    <w:p>
      <w:pPr>
        <w:pStyle w:val="7"/>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sz w:val="32"/>
          <w:szCs w:val="32"/>
          <w:lang w:val="en-US" w:eastAsia="zh-CN"/>
        </w:rPr>
      </w:pPr>
      <w:r>
        <w:rPr>
          <w:rFonts w:ascii="Times New Roman" w:hAnsi="Times New Roman" w:eastAsia="仿宋"/>
          <w:sz w:val="32"/>
          <w:szCs w:val="32"/>
        </w:rPr>
        <w:t>（三）项目产出情况。</w:t>
      </w:r>
      <w:r>
        <w:rPr>
          <w:rFonts w:hint="eastAsia" w:ascii="Times New Roman" w:hAnsi="Times New Roman" w:eastAsia="仿宋"/>
          <w:sz w:val="32"/>
          <w:szCs w:val="32"/>
          <w:lang w:eastAsia="zh-CN"/>
        </w:rPr>
        <w:t>项目实际完成率</w:t>
      </w:r>
      <w:r>
        <w:rPr>
          <w:rFonts w:hint="eastAsia" w:ascii="Times New Roman" w:hAnsi="Times New Roman" w:eastAsia="仿宋"/>
          <w:sz w:val="32"/>
          <w:szCs w:val="32"/>
          <w:lang w:val="en-US" w:eastAsia="zh-CN"/>
        </w:rPr>
        <w:t>100%；项目质量达标率100%；项目完成及时性100%；成本节约率0%。</w:t>
      </w: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firstLineChars="200"/>
        <w:jc w:val="left"/>
        <w:textAlignment w:val="auto"/>
        <w:rPr>
          <w:rFonts w:hint="default" w:ascii="Times New Roman" w:hAnsi="Times New Roman" w:eastAsia="仿宋"/>
          <w:sz w:val="32"/>
          <w:szCs w:val="32"/>
          <w:lang w:val="en-US" w:eastAsia="zh-CN"/>
        </w:rPr>
      </w:pPr>
      <w:r>
        <w:rPr>
          <w:rFonts w:ascii="Times New Roman" w:hAnsi="Times New Roman" w:eastAsia="仿宋"/>
          <w:sz w:val="32"/>
          <w:szCs w:val="32"/>
        </w:rPr>
        <w:t>（四）项目效益情况。</w:t>
      </w:r>
      <w:r>
        <w:rPr>
          <w:rFonts w:hint="eastAsia" w:ascii="仿宋" w:hAnsi="仿宋" w:eastAsia="仿宋" w:cs="仿宋"/>
          <w:color w:val="000000"/>
          <w:kern w:val="0"/>
          <w:sz w:val="32"/>
          <w:szCs w:val="32"/>
        </w:rPr>
        <w:t>通过对该项资金群众满意度的调查了解，对该项资金使用的满意度比较高。</w:t>
      </w:r>
      <w:r>
        <w:rPr>
          <w:rFonts w:hint="eastAsia" w:ascii="Times New Roman" w:hAnsi="Times New Roman" w:eastAsia="仿宋"/>
          <w:sz w:val="32"/>
          <w:szCs w:val="32"/>
          <w:lang w:eastAsia="zh-CN"/>
        </w:rPr>
        <w:t>项目实施效果的满意度</w:t>
      </w:r>
      <w:r>
        <w:rPr>
          <w:rFonts w:hint="eastAsia" w:ascii="Times New Roman" w:hAnsi="Times New Roman" w:eastAsia="仿宋"/>
          <w:sz w:val="32"/>
          <w:szCs w:val="32"/>
          <w:lang w:val="en-US" w:eastAsia="zh-CN"/>
        </w:rPr>
        <w:t>100%。</w:t>
      </w:r>
    </w:p>
    <w:p>
      <w:pPr>
        <w:pStyle w:val="7"/>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ascii="Times New Roman" w:hAnsi="Times New Roman" w:eastAsia="楷体"/>
          <w:b/>
          <w:sz w:val="32"/>
          <w:szCs w:val="32"/>
        </w:rPr>
      </w:pPr>
      <w:r>
        <w:rPr>
          <w:rFonts w:ascii="Times New Roman" w:hAnsi="Times New Roman" w:eastAsia="楷体"/>
          <w:b/>
          <w:sz w:val="32"/>
          <w:szCs w:val="32"/>
        </w:rPr>
        <w:t>五、主要经验及做法、存在的问题及原因分析</w:t>
      </w: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lang w:eastAsia="zh-CN"/>
        </w:rPr>
        <w:t>主要经验和做法：</w:t>
      </w:r>
      <w:r>
        <w:rPr>
          <w:rFonts w:hint="eastAsia" w:ascii="Times New Roman" w:hAnsi="Times New Roman" w:eastAsia="仿宋" w:cs="Times New Roman"/>
          <w:sz w:val="32"/>
          <w:szCs w:val="32"/>
        </w:rPr>
        <w:t>在实施工作过程中，我们严格规范财务和稽查考核制度，建立了一套完善的申报审批管理工作制度。</w:t>
      </w:r>
      <w:r>
        <w:rPr>
          <w:rFonts w:hint="eastAsia" w:ascii="Times New Roman" w:hAnsi="Times New Roman" w:eastAsia="仿宋" w:cs="Times New Roman"/>
          <w:sz w:val="32"/>
          <w:szCs w:val="32"/>
          <w:lang w:eastAsia="zh-CN"/>
        </w:rPr>
        <w:t>一</w:t>
      </w:r>
      <w:r>
        <w:rPr>
          <w:rFonts w:hint="eastAsia" w:ascii="Times New Roman" w:hAnsi="Times New Roman" w:eastAsia="仿宋" w:cs="Times New Roman"/>
          <w:sz w:val="32"/>
          <w:szCs w:val="32"/>
        </w:rPr>
        <w:t>是严格审批程序，严格把关每一步程序，确保资金专款专用。</w:t>
      </w:r>
      <w:r>
        <w:rPr>
          <w:rFonts w:hint="eastAsia" w:ascii="Times New Roman" w:hAnsi="Times New Roman" w:eastAsia="仿宋" w:cs="Times New Roman"/>
          <w:sz w:val="32"/>
          <w:szCs w:val="32"/>
          <w:lang w:eastAsia="zh-CN"/>
        </w:rPr>
        <w:t>二</w:t>
      </w:r>
      <w:r>
        <w:rPr>
          <w:rFonts w:hint="eastAsia" w:ascii="Times New Roman" w:hAnsi="Times New Roman" w:eastAsia="仿宋" w:cs="Times New Roman"/>
          <w:sz w:val="32"/>
          <w:szCs w:val="32"/>
        </w:rPr>
        <w:t>是规范资金运行。每一笔的资金都是提出用款申请，财政核拨，通过专账管理，确保资金及时足额到位。</w:t>
      </w: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 w:cs="Times New Roman"/>
          <w:sz w:val="32"/>
          <w:szCs w:val="32"/>
          <w:lang w:eastAsia="zh-CN"/>
        </w:rPr>
      </w:pPr>
      <w:r>
        <w:rPr>
          <w:rFonts w:hint="eastAsia" w:ascii="Times New Roman" w:hAnsi="Times New Roman" w:eastAsia="仿宋" w:cs="Times New Roman"/>
          <w:sz w:val="32"/>
          <w:szCs w:val="32"/>
          <w:lang w:eastAsia="zh-CN"/>
        </w:rPr>
        <w:t>存在的主要问题：</w:t>
      </w:r>
      <w:r>
        <w:rPr>
          <w:rFonts w:hint="eastAsia" w:ascii="Times New Roman" w:hAnsi="Times New Roman" w:eastAsia="仿宋" w:cs="Times New Roman"/>
          <w:sz w:val="32"/>
          <w:szCs w:val="32"/>
        </w:rPr>
        <w:t>缺乏主动性，由于预算绩效管理的专业性、复杂性等特性，业务水平还不能满足绩效管理工作要求，专业素质有待提高；规范高效的预算绩效管理模式还处于起步阶段，预算绩效管理基础工作有待进一步加强。</w:t>
      </w:r>
    </w:p>
    <w:p>
      <w:pPr>
        <w:pStyle w:val="7"/>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ascii="Times New Roman" w:hAnsi="Times New Roman" w:eastAsia="楷体"/>
          <w:b/>
          <w:sz w:val="32"/>
          <w:szCs w:val="32"/>
        </w:rPr>
      </w:pPr>
      <w:r>
        <w:rPr>
          <w:rFonts w:ascii="Times New Roman" w:hAnsi="Times New Roman" w:eastAsia="楷体"/>
          <w:b/>
          <w:sz w:val="32"/>
          <w:szCs w:val="32"/>
        </w:rPr>
        <w:t>六、有关建议</w:t>
      </w: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firstLineChars="200"/>
        <w:jc w:val="left"/>
        <w:textAlignment w:val="auto"/>
        <w:rPr>
          <w:rFonts w:hint="eastAsia" w:ascii="Times New Roman" w:hAnsi="Times New Roman" w:eastAsia="仿宋" w:cs="Times New Roman"/>
          <w:sz w:val="32"/>
          <w:szCs w:val="32"/>
        </w:rPr>
      </w:pPr>
      <w:r>
        <w:rPr>
          <w:rFonts w:hint="eastAsia" w:ascii="Times New Roman" w:hAnsi="Times New Roman" w:eastAsia="仿宋" w:cs="Times New Roman"/>
          <w:sz w:val="32"/>
          <w:szCs w:val="32"/>
        </w:rPr>
        <w:t>重点讲绩效管理工作作为一项日常性的重要工作来抓；彻底改变“重安排，轻监督；重争取，轻管理；重使用，轻绩效”的思想，扭转“只要资金使用合法合规就行，忽视财政资金的使用绩效”的工作方式；完善绩效评价指标体系，科学设定评价指标；丰富绩效评价方法等。</w:t>
      </w:r>
    </w:p>
    <w:p>
      <w:pPr>
        <w:pStyle w:val="7"/>
        <w:keepNext w:val="0"/>
        <w:keepLines w:val="0"/>
        <w:pageBreakBefore w:val="0"/>
        <w:kinsoku/>
        <w:wordWrap/>
        <w:overflowPunct/>
        <w:topLinePunct w:val="0"/>
        <w:autoSpaceDE/>
        <w:autoSpaceDN/>
        <w:bidi w:val="0"/>
        <w:adjustRightInd/>
        <w:snapToGrid/>
        <w:spacing w:line="520" w:lineRule="exact"/>
        <w:ind w:firstLine="643" w:firstLineChars="200"/>
        <w:textAlignment w:val="auto"/>
        <w:rPr>
          <w:rFonts w:ascii="Times New Roman" w:hAnsi="Times New Roman" w:eastAsia="楷体"/>
          <w:b/>
          <w:sz w:val="32"/>
          <w:szCs w:val="32"/>
        </w:rPr>
      </w:pPr>
      <w:r>
        <w:rPr>
          <w:rFonts w:ascii="Times New Roman" w:hAnsi="Times New Roman" w:eastAsia="楷体"/>
          <w:b/>
          <w:sz w:val="32"/>
          <w:szCs w:val="32"/>
        </w:rPr>
        <w:t>七、其他需要说明的问题</w:t>
      </w:r>
    </w:p>
    <w:p>
      <w:pPr>
        <w:keepNext w:val="0"/>
        <w:keepLines w:val="0"/>
        <w:pageBreakBefore w:val="0"/>
        <w:widowControl/>
        <w:shd w:val="clear" w:color="auto" w:fill="FFFFFF"/>
        <w:kinsoku/>
        <w:wordWrap/>
        <w:overflowPunct/>
        <w:topLinePunct w:val="0"/>
        <w:autoSpaceDE/>
        <w:autoSpaceDN/>
        <w:bidi w:val="0"/>
        <w:adjustRightInd/>
        <w:snapToGrid/>
        <w:spacing w:line="520" w:lineRule="exact"/>
        <w:ind w:firstLine="640" w:firstLineChars="200"/>
        <w:jc w:val="left"/>
        <w:textAlignment w:val="auto"/>
        <w:rPr>
          <w:rFonts w:hint="default"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建议县财政加大计生帮扶资金的投入力度。</w:t>
      </w:r>
    </w:p>
    <w:p>
      <w:pPr>
        <w:keepNext w:val="0"/>
        <w:keepLines w:val="0"/>
        <w:pageBreakBefore w:val="0"/>
        <w:widowControl/>
        <w:kinsoku/>
        <w:wordWrap/>
        <w:overflowPunct/>
        <w:topLinePunct w:val="0"/>
        <w:autoSpaceDE/>
        <w:autoSpaceDN/>
        <w:bidi w:val="0"/>
        <w:adjustRightInd/>
        <w:snapToGrid/>
        <w:spacing w:line="520" w:lineRule="exact"/>
        <w:ind w:firstLine="645"/>
        <w:jc w:val="left"/>
        <w:textAlignment w:val="auto"/>
        <w:rPr>
          <w:rFonts w:ascii="Times New Roman" w:hAnsi="Times New Roman" w:eastAsia="仿宋_GB2312"/>
          <w:sz w:val="32"/>
          <w:szCs w:val="32"/>
        </w:rPr>
      </w:pPr>
    </w:p>
    <w:p>
      <w:pPr>
        <w:keepNext w:val="0"/>
        <w:keepLines w:val="0"/>
        <w:pageBreakBefore w:val="0"/>
        <w:widowControl/>
        <w:kinsoku/>
        <w:wordWrap/>
        <w:overflowPunct/>
        <w:topLinePunct w:val="0"/>
        <w:autoSpaceDE/>
        <w:autoSpaceDN/>
        <w:bidi w:val="0"/>
        <w:adjustRightInd/>
        <w:snapToGrid/>
        <w:spacing w:line="520" w:lineRule="exact"/>
        <w:ind w:firstLine="645"/>
        <w:jc w:val="left"/>
        <w:textAlignment w:val="auto"/>
        <w:rPr>
          <w:rFonts w:ascii="Times New Roman" w:hAnsi="Times New Roman" w:eastAsia="仿宋_GB2312"/>
          <w:sz w:val="32"/>
          <w:szCs w:val="32"/>
        </w:rPr>
      </w:pPr>
      <w:r>
        <w:rPr>
          <w:rFonts w:ascii="Times New Roman" w:hAnsi="Times New Roman" w:eastAsia="仿宋_GB2312"/>
          <w:sz w:val="32"/>
          <w:szCs w:val="32"/>
        </w:rPr>
        <w:t>附件：1.项目支出绩效自评表</w:t>
      </w:r>
    </w:p>
    <w:p>
      <w:pPr>
        <w:keepNext w:val="0"/>
        <w:keepLines w:val="0"/>
        <w:pageBreakBefore w:val="0"/>
        <w:widowControl/>
        <w:kinsoku/>
        <w:wordWrap/>
        <w:overflowPunct/>
        <w:topLinePunct w:val="0"/>
        <w:autoSpaceDE/>
        <w:autoSpaceDN/>
        <w:bidi w:val="0"/>
        <w:adjustRightInd/>
        <w:snapToGrid/>
        <w:spacing w:line="520" w:lineRule="exact"/>
        <w:ind w:firstLine="1600" w:firstLineChars="500"/>
        <w:jc w:val="left"/>
        <w:textAlignment w:val="auto"/>
        <w:rPr>
          <w:rFonts w:ascii="Times New Roman" w:hAnsi="Times New Roman" w:eastAsia="仿宋_GB2312"/>
          <w:bCs/>
          <w:color w:val="000000"/>
          <w:kern w:val="0"/>
          <w:sz w:val="32"/>
          <w:szCs w:val="32"/>
        </w:rPr>
      </w:pPr>
      <w:r>
        <w:rPr>
          <w:rFonts w:ascii="Times New Roman" w:hAnsi="Times New Roman" w:eastAsia="仿宋_GB2312"/>
          <w:sz w:val="32"/>
          <w:szCs w:val="32"/>
        </w:rPr>
        <w:t>2.项目支出绩效评价指标</w:t>
      </w:r>
      <w:r>
        <w:rPr>
          <w:rFonts w:ascii="Times New Roman" w:hAnsi="Times New Roman" w:eastAsia="仿宋_GB2312"/>
          <w:bCs/>
          <w:color w:val="000000"/>
          <w:kern w:val="0"/>
          <w:sz w:val="32"/>
          <w:szCs w:val="32"/>
        </w:rPr>
        <w:t>评分表</w:t>
      </w: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hint="eastAsia" w:ascii="Times New Roman" w:hAnsi="Times New Roman" w:eastAsia="仿宋_GB2312"/>
          <w:bCs/>
          <w:color w:val="000000"/>
          <w:sz w:val="32"/>
          <w:szCs w:val="32"/>
          <w:lang w:eastAsia="zh-CN"/>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lang w:val="en-US" w:eastAsia="zh-CN"/>
        </w:rPr>
        <w:t>1</w:t>
      </w:r>
    </w:p>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noWrap w:val="0"/>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jc w:val="center"/>
              <w:rPr>
                <w:rFonts w:ascii="Times New Roman" w:hAnsi="Times New Roman"/>
                <w:kern w:val="0"/>
                <w:sz w:val="22"/>
                <w:szCs w:val="22"/>
              </w:rPr>
            </w:pPr>
            <w:r>
              <w:rPr>
                <w:rFonts w:ascii="Times New Roman" w:hAnsi="Times New Roman"/>
                <w:kern w:val="0"/>
                <w:sz w:val="22"/>
                <w:szCs w:val="22"/>
              </w:rPr>
              <w:t>（</w:t>
            </w:r>
            <w:r>
              <w:rPr>
                <w:rFonts w:hint="eastAsia" w:ascii="Times New Roman" w:hAnsi="Times New Roman"/>
                <w:kern w:val="0"/>
                <w:sz w:val="22"/>
                <w:szCs w:val="22"/>
                <w:lang w:val="en-US" w:eastAsia="zh-CN"/>
              </w:rPr>
              <w:t>2020</w:t>
            </w:r>
            <w:r>
              <w:rPr>
                <w:rFonts w:ascii="Times New Roman" w:hAnsi="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计划生育家庭创业贷款贴息项目支出</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中方县计划生育协会</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中方县计划生育协会</w:t>
            </w:r>
          </w:p>
        </w:tc>
      </w:tr>
      <w:tr>
        <w:tblPrEx>
          <w:tblCellMar>
            <w:top w:w="0" w:type="dxa"/>
            <w:left w:w="108" w:type="dxa"/>
            <w:bottom w:w="0" w:type="dxa"/>
            <w:right w:w="108" w:type="dxa"/>
          </w:tblCellMar>
        </w:tblPrEx>
        <w:trPr>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2</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2</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2</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2</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2</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kern w:val="0"/>
                <w:sz w:val="18"/>
                <w:szCs w:val="18"/>
                <w:lang w:val="en-US" w:eastAsia="zh-CN"/>
              </w:rPr>
              <w:t>2</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trHeight w:val="570"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计划生育家庭创业贷款贴息项目</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eastAsia="zh-CN"/>
              </w:rPr>
              <w:t>完成</w:t>
            </w:r>
            <w:r>
              <w:rPr>
                <w:rFonts w:hint="eastAsia" w:ascii="Times New Roman" w:hAnsi="Times New Roman"/>
                <w:kern w:val="0"/>
                <w:sz w:val="18"/>
                <w:szCs w:val="18"/>
                <w:lang w:val="en-US" w:eastAsia="zh-CN"/>
              </w:rPr>
              <w:t>1个</w:t>
            </w:r>
            <w:r>
              <w:rPr>
                <w:rFonts w:hint="eastAsia"/>
                <w:kern w:val="0"/>
                <w:sz w:val="18"/>
                <w:szCs w:val="18"/>
                <w:lang w:val="en-US" w:eastAsia="zh-CN"/>
              </w:rPr>
              <w:t>计划生育</w:t>
            </w:r>
            <w:bookmarkStart w:id="0" w:name="_GoBack"/>
            <w:bookmarkEnd w:id="0"/>
            <w:r>
              <w:rPr>
                <w:rFonts w:hint="eastAsia" w:ascii="Times New Roman" w:hAnsi="Times New Roman"/>
                <w:kern w:val="0"/>
                <w:sz w:val="18"/>
                <w:szCs w:val="18"/>
                <w:lang w:val="en-US" w:eastAsia="zh-CN"/>
              </w:rPr>
              <w:t>家庭创业贷款贴息</w:t>
            </w:r>
            <w:r>
              <w:rPr>
                <w:rFonts w:hint="eastAsia"/>
                <w:kern w:val="0"/>
                <w:sz w:val="18"/>
                <w:szCs w:val="18"/>
                <w:lang w:val="en-US" w:eastAsia="zh-CN"/>
              </w:rPr>
              <w:t>项目</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84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计划生育家庭</w:t>
            </w:r>
            <w:r>
              <w:rPr>
                <w:rFonts w:hint="eastAsia" w:ascii="Times New Roman" w:hAnsi="Times New Roman"/>
                <w:kern w:val="0"/>
                <w:sz w:val="18"/>
                <w:szCs w:val="18"/>
                <w:lang w:val="en-US" w:eastAsia="zh-CN"/>
              </w:rPr>
              <w:t>创业贷款贴息项目</w:t>
            </w:r>
          </w:p>
          <w:p>
            <w:pPr>
              <w:keepNext w:val="0"/>
              <w:keepLines w:val="0"/>
              <w:widowControl/>
              <w:suppressLineNumbers w:val="0"/>
              <w:jc w:val="center"/>
              <w:textAlignment w:val="center"/>
              <w:rPr>
                <w:rFonts w:hint="default" w:ascii="Times New Roman" w:hAnsi="Times New Roman" w:eastAsia="宋体"/>
                <w:color w:val="000000"/>
                <w:kern w:val="0"/>
                <w:sz w:val="18"/>
                <w:szCs w:val="18"/>
                <w:lang w:val="en-US" w:eastAsia="zh-CN"/>
              </w:rPr>
            </w:pPr>
            <w:r>
              <w:rPr>
                <w:rFonts w:hint="eastAsia" w:ascii="宋体" w:hAnsi="宋体" w:eastAsia="宋体" w:cs="宋体"/>
                <w:i w:val="0"/>
                <w:color w:val="000000"/>
                <w:kern w:val="0"/>
                <w:sz w:val="20"/>
                <w:szCs w:val="20"/>
                <w:u w:val="none"/>
                <w:lang w:val="en-US" w:eastAsia="zh-CN" w:bidi="ar"/>
              </w:rPr>
              <w:t>业产业贷款贴息业产业贷款贴息</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115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imes New Roman" w:hAnsi="Times New Roman" w:eastAsia="宋体"/>
                <w:color w:val="000000"/>
                <w:kern w:val="0"/>
                <w:sz w:val="18"/>
                <w:szCs w:val="18"/>
                <w:lang w:eastAsia="zh-CN"/>
              </w:rPr>
            </w:pPr>
            <w:r>
              <w:rPr>
                <w:rFonts w:hint="eastAsia" w:ascii="宋体" w:hAnsi="宋体" w:eastAsia="宋体" w:cs="宋体"/>
                <w:i w:val="0"/>
                <w:color w:val="000000"/>
                <w:kern w:val="0"/>
                <w:sz w:val="20"/>
                <w:szCs w:val="20"/>
                <w:u w:val="none"/>
                <w:lang w:val="en-US" w:eastAsia="zh-CN" w:bidi="ar"/>
              </w:rPr>
              <w:t>对象申报后，审批发放率或资金使用率</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bidi="ar-SA"/>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126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Times New Roman" w:hAnsi="Times New Roman"/>
                <w:color w:val="000000"/>
                <w:kern w:val="0"/>
                <w:sz w:val="18"/>
                <w:szCs w:val="18"/>
              </w:rPr>
            </w:pPr>
            <w:r>
              <w:rPr>
                <w:rStyle w:val="8"/>
                <w:lang w:val="en-US" w:eastAsia="zh-CN" w:bidi="ar"/>
              </w:rPr>
              <w:t>资料收集齐全后，</w:t>
            </w:r>
            <w:r>
              <w:rPr>
                <w:rStyle w:val="9"/>
                <w:rFonts w:eastAsia="宋体"/>
                <w:lang w:val="en-US" w:eastAsia="zh-CN" w:bidi="ar"/>
              </w:rPr>
              <w:t>15</w:t>
            </w:r>
            <w:r>
              <w:rPr>
                <w:rStyle w:val="8"/>
                <w:lang w:val="en-US" w:eastAsia="zh-CN" w:bidi="ar"/>
              </w:rPr>
              <w:t>个工作日内通过财政直接打卡支付</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20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bidi="ar-SA"/>
              </w:rPr>
            </w:pPr>
            <w:r>
              <w:rPr>
                <w:rFonts w:hint="eastAsia" w:ascii="Times New Roman" w:hAnsi="Times New Roman"/>
                <w:kern w:val="0"/>
                <w:sz w:val="18"/>
                <w:szCs w:val="18"/>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85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imes New Roman" w:hAnsi="Times New Roman" w:eastAsia="宋体"/>
                <w:color w:val="000000"/>
                <w:kern w:val="0"/>
                <w:sz w:val="18"/>
                <w:szCs w:val="18"/>
                <w:lang w:eastAsia="zh-CN"/>
              </w:rPr>
            </w:pPr>
            <w:r>
              <w:rPr>
                <w:rStyle w:val="8"/>
                <w:lang w:val="en-US" w:eastAsia="zh-CN" w:bidi="ar"/>
              </w:rPr>
              <w:t>每户支持</w:t>
            </w:r>
            <w:r>
              <w:rPr>
                <w:rStyle w:val="9"/>
                <w:rFonts w:eastAsia="宋体"/>
                <w:lang w:val="en-US" w:eastAsia="zh-CN" w:bidi="ar"/>
              </w:rPr>
              <w:t>1</w:t>
            </w:r>
            <w:r>
              <w:rPr>
                <w:rStyle w:val="8"/>
                <w:lang w:val="en-US" w:eastAsia="zh-CN" w:bidi="ar"/>
              </w:rPr>
              <w:t>万元以上</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7</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7</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bidi="ar-SA"/>
              </w:rPr>
            </w:pPr>
            <w:r>
              <w:rPr>
                <w:rFonts w:hint="eastAsia" w:ascii="Times New Roman" w:hAnsi="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109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imes New Roman" w:hAnsi="Times New Roman" w:eastAsia="宋体"/>
                <w:color w:val="000000"/>
                <w:kern w:val="0"/>
                <w:sz w:val="18"/>
                <w:szCs w:val="18"/>
                <w:lang w:eastAsia="zh-CN"/>
              </w:rPr>
            </w:pPr>
            <w:r>
              <w:rPr>
                <w:rFonts w:hint="eastAsia" w:ascii="宋体" w:hAnsi="宋体" w:eastAsia="宋体" w:cs="宋体"/>
                <w:i w:val="0"/>
                <w:color w:val="000000"/>
                <w:kern w:val="0"/>
                <w:sz w:val="20"/>
                <w:szCs w:val="20"/>
                <w:u w:val="none"/>
                <w:lang w:val="en-US" w:eastAsia="zh-CN" w:bidi="ar"/>
              </w:rPr>
              <w:t>减轻计划生育家庭发展产业成本，增加收入</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长期</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长期</w:t>
            </w:r>
          </w:p>
        </w:tc>
        <w:tc>
          <w:tcPr>
            <w:tcW w:w="567" w:type="dxa"/>
            <w:gridSpan w:val="2"/>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30</w:t>
            </w:r>
          </w:p>
        </w:tc>
        <w:tc>
          <w:tcPr>
            <w:tcW w:w="567" w:type="dxa"/>
            <w:gridSpan w:val="2"/>
            <w:vMerge w:val="restart"/>
            <w:tcBorders>
              <w:top w:val="nil"/>
              <w:left w:val="nil"/>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30</w:t>
            </w:r>
          </w:p>
        </w:tc>
        <w:tc>
          <w:tcPr>
            <w:tcW w:w="1417" w:type="dxa"/>
            <w:gridSpan w:val="2"/>
            <w:vMerge w:val="restart"/>
            <w:tcBorders>
              <w:top w:val="single" w:color="auto" w:sz="4" w:space="0"/>
              <w:left w:val="nil"/>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52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imes New Roman" w:hAnsi="Times New Roman" w:eastAsia="宋体"/>
                <w:color w:val="000000"/>
                <w:kern w:val="0"/>
                <w:sz w:val="18"/>
                <w:szCs w:val="18"/>
                <w:lang w:val="en-US" w:eastAsia="zh-CN" w:bidi="ar-SA"/>
              </w:rPr>
            </w:pPr>
            <w:r>
              <w:rPr>
                <w:rFonts w:hint="eastAsia" w:ascii="宋体" w:hAnsi="宋体" w:eastAsia="宋体" w:cs="宋体"/>
                <w:i w:val="0"/>
                <w:color w:val="000000"/>
                <w:kern w:val="0"/>
                <w:sz w:val="20"/>
                <w:szCs w:val="20"/>
                <w:u w:val="none"/>
                <w:lang w:val="en-US" w:eastAsia="zh-CN" w:bidi="ar"/>
              </w:rPr>
              <w:t>兑现党和政府对实行计划生育家庭的承诺，提高政府的公信力，缓解计划生育家庭生产创业困难，实现计划生育家稳步增收。</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bidi="ar-SA"/>
              </w:rPr>
            </w:pPr>
            <w:r>
              <w:rPr>
                <w:rFonts w:hint="eastAsia" w:ascii="Times New Roman" w:hAnsi="Times New Roman"/>
                <w:kern w:val="0"/>
                <w:sz w:val="18"/>
                <w:szCs w:val="18"/>
                <w:lang w:eastAsia="zh-CN"/>
              </w:rPr>
              <w:t>长期</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Times New Roman" w:hAnsi="Times New Roman" w:eastAsia="宋体"/>
                <w:kern w:val="0"/>
                <w:sz w:val="18"/>
                <w:szCs w:val="18"/>
                <w:lang w:val="en-US" w:eastAsia="zh-CN" w:bidi="ar-SA"/>
              </w:rPr>
            </w:pPr>
            <w:r>
              <w:rPr>
                <w:rFonts w:hint="eastAsia" w:ascii="Times New Roman" w:hAnsi="Times New Roman"/>
                <w:kern w:val="0"/>
                <w:sz w:val="18"/>
                <w:szCs w:val="18"/>
                <w:lang w:eastAsia="zh-CN"/>
              </w:rPr>
              <w:t>长期</w:t>
            </w:r>
          </w:p>
        </w:tc>
        <w:tc>
          <w:tcPr>
            <w:tcW w:w="567" w:type="dxa"/>
            <w:gridSpan w:val="2"/>
            <w:vMerge w:val="continue"/>
            <w:tcBorders>
              <w:left w:val="nil"/>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567" w:type="dxa"/>
            <w:gridSpan w:val="2"/>
            <w:vMerge w:val="continue"/>
            <w:tcBorders>
              <w:left w:val="nil"/>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417" w:type="dxa"/>
            <w:gridSpan w:val="2"/>
            <w:vMerge w:val="continue"/>
            <w:tcBorders>
              <w:left w:val="nil"/>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jc w:val="center"/>
              <w:rPr>
                <w:rFonts w:ascii="Times New Roman" w:hAnsi="Times New Roman"/>
                <w:color w:val="000000"/>
                <w:kern w:val="0"/>
                <w:sz w:val="18"/>
                <w:szCs w:val="18"/>
              </w:rPr>
            </w:pP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eastAsia="zh-CN"/>
              </w:rPr>
              <w:t>长期</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eastAsia="zh-CN"/>
              </w:rPr>
              <w:t>长期</w:t>
            </w:r>
          </w:p>
        </w:tc>
        <w:tc>
          <w:tcPr>
            <w:tcW w:w="567" w:type="dxa"/>
            <w:gridSpan w:val="2"/>
            <w:vMerge w:val="continue"/>
            <w:tcBorders>
              <w:left w:val="nil"/>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567" w:type="dxa"/>
            <w:gridSpan w:val="2"/>
            <w:vMerge w:val="continue"/>
            <w:tcBorders>
              <w:left w:val="nil"/>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417" w:type="dxa"/>
            <w:gridSpan w:val="2"/>
            <w:vMerge w:val="continue"/>
            <w:tcBorders>
              <w:left w:val="nil"/>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Times New Roman" w:hAnsi="Times New Roman"/>
                <w:color w:val="000000"/>
                <w:kern w:val="0"/>
                <w:sz w:val="18"/>
                <w:szCs w:val="18"/>
                <w:lang w:val="en-US" w:eastAsia="zh-CN" w:bidi="ar-SA"/>
              </w:rPr>
            </w:pPr>
            <w:r>
              <w:rPr>
                <w:rFonts w:hint="eastAsia" w:ascii="宋体" w:hAnsi="宋体" w:eastAsia="宋体" w:cs="宋体"/>
                <w:i w:val="0"/>
                <w:color w:val="000000"/>
                <w:kern w:val="0"/>
                <w:sz w:val="20"/>
                <w:szCs w:val="20"/>
                <w:u w:val="none"/>
                <w:lang w:val="en-US" w:eastAsia="zh-CN" w:bidi="ar"/>
              </w:rPr>
              <w:t>密切党群干群关系</w:t>
            </w:r>
          </w:p>
        </w:tc>
        <w:tc>
          <w:tcPr>
            <w:tcW w:w="850"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lang w:val="en-US" w:eastAsia="zh-CN" w:bidi="ar-SA"/>
              </w:rPr>
            </w:pPr>
            <w:r>
              <w:rPr>
                <w:rFonts w:hint="eastAsia" w:ascii="Times New Roman" w:hAnsi="Times New Roman"/>
                <w:kern w:val="0"/>
                <w:sz w:val="18"/>
                <w:szCs w:val="18"/>
                <w:lang w:eastAsia="zh-CN"/>
              </w:rPr>
              <w:t>长期</w:t>
            </w:r>
          </w:p>
        </w:tc>
        <w:tc>
          <w:tcPr>
            <w:tcW w:w="851" w:type="dxa"/>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lang w:val="en-US" w:eastAsia="zh-CN" w:bidi="ar-SA"/>
              </w:rPr>
            </w:pPr>
            <w:r>
              <w:rPr>
                <w:rFonts w:hint="eastAsia" w:ascii="Times New Roman" w:hAnsi="Times New Roman"/>
                <w:kern w:val="0"/>
                <w:sz w:val="18"/>
                <w:szCs w:val="18"/>
                <w:lang w:eastAsia="zh-CN"/>
              </w:rPr>
              <w:t>长期</w:t>
            </w:r>
          </w:p>
        </w:tc>
        <w:tc>
          <w:tcPr>
            <w:tcW w:w="567" w:type="dxa"/>
            <w:gridSpan w:val="2"/>
            <w:vMerge w:val="continue"/>
            <w:tcBorders>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567" w:type="dxa"/>
            <w:gridSpan w:val="2"/>
            <w:vMerge w:val="continue"/>
            <w:tcBorders>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1417" w:type="dxa"/>
            <w:gridSpan w:val="2"/>
            <w:vMerge w:val="continue"/>
            <w:tcBorders>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c>
          <w:tcPr>
            <w:tcW w:w="980" w:type="dxa"/>
            <w:tcBorders>
              <w:top w:val="single" w:color="auto" w:sz="4" w:space="0"/>
              <w:left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Times New Roman" w:hAnsi="Times New Roman" w:eastAsia="宋体"/>
                <w:color w:val="000000"/>
                <w:kern w:val="0"/>
                <w:sz w:val="18"/>
                <w:szCs w:val="18"/>
                <w:lang w:eastAsia="zh-CN"/>
              </w:rPr>
            </w:pPr>
            <w:r>
              <w:rPr>
                <w:rFonts w:hint="eastAsia" w:ascii="宋体" w:hAnsi="宋体" w:eastAsia="宋体" w:cs="宋体"/>
                <w:i w:val="0"/>
                <w:color w:val="000000"/>
                <w:kern w:val="0"/>
                <w:sz w:val="20"/>
                <w:szCs w:val="20"/>
                <w:u w:val="none"/>
                <w:lang w:val="en-US" w:eastAsia="zh-CN" w:bidi="ar"/>
              </w:rPr>
              <w:t>计划生育对象满意度</w:t>
            </w:r>
          </w:p>
        </w:tc>
        <w:tc>
          <w:tcPr>
            <w:tcW w:w="85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100%</w:t>
            </w:r>
          </w:p>
        </w:tc>
        <w:tc>
          <w:tcPr>
            <w:tcW w:w="85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100%</w:t>
            </w:r>
          </w:p>
        </w:tc>
        <w:tc>
          <w:tcPr>
            <w:tcW w:w="5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宋体"/>
                <w:color w:val="000000"/>
                <w:kern w:val="0"/>
                <w:sz w:val="18"/>
                <w:szCs w:val="18"/>
                <w:lang w:val="en-US" w:eastAsia="zh-CN"/>
              </w:rPr>
            </w:pPr>
            <w:r>
              <w:rPr>
                <w:rFonts w:hint="eastAsia" w:ascii="Times New Roman" w:hAnsi="Times New Roman"/>
                <w:color w:val="000000"/>
                <w:kern w:val="0"/>
                <w:sz w:val="18"/>
                <w:szCs w:val="18"/>
                <w:lang w:val="en-US" w:eastAsia="zh-CN"/>
              </w:rPr>
              <w:t>100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Times New Roman" w:hAnsi="Times New Roman"/>
                <w:kern w:val="0"/>
                <w:sz w:val="18"/>
                <w:szCs w:val="18"/>
              </w:rPr>
            </w:pPr>
          </w:p>
        </w:tc>
      </w:tr>
    </w:tbl>
    <w:p>
      <w:pPr>
        <w:widowControl/>
        <w:spacing w:line="400" w:lineRule="exact"/>
        <w:jc w:val="left"/>
        <w:rPr>
          <w:rFonts w:ascii="Times New Roman" w:hAnsi="Times New Roman"/>
          <w:color w:val="000000"/>
          <w:kern w:val="0"/>
          <w:sz w:val="18"/>
          <w:szCs w:val="18"/>
        </w:rPr>
      </w:pP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2" name="矩形 2"/>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txbx>
                        <w:txbxContent>
                          <w:p/>
                        </w:txbxContent>
                      </wps:txbx>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1c6batcAAAAJAQAADwAAAAAAAAABACAAAAAiAAAAZHJzL2Rvd25yZXYu&#10;eG1sUEsBAhQAFAAAAAgAh07iQNIsE0L8AQAAKQQAAA4AAAAAAAAAAQAgAAAAJgEAAGRycy9lMm9E&#10;b2MueG1sUEsFBgAAAAAGAAYAWQEAAJQFAAAAAA==&#10;">
                <v:fill on="t" focussize="0,0"/>
                <v:stroke color="#FFFFFF" joinstyle="miter"/>
                <v:imagedata o:title=""/>
                <o:lock v:ext="edit" aspectratio="f"/>
                <v:textbox>
                  <w:txbxContent>
                    <w:p/>
                  </w:txbxContent>
                </v:textbox>
              </v:rect>
            </w:pict>
          </mc:Fallback>
        </mc:AlternateContent>
      </w:r>
    </w:p>
    <w:tbl>
      <w:tblPr>
        <w:tblStyle w:val="5"/>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noWrap w:val="0"/>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noWrap w:val="0"/>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noWrap w:val="0"/>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3.定量指标若为正向指标（即指标值为≥*），则得分计算方法应用全年实际值（B）/年度指标值（A）</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该指标分值；若定量指标为反向指标（即指标值为≤*），则得分计算方法应用年度指标值（A）/全年实际值（B）</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4.请在“</w:t>
            </w:r>
            <w:r>
              <w:rPr>
                <w:rFonts w:ascii="Times New Roman" w:hAnsi="Times New Roman"/>
                <w:kern w:val="0"/>
                <w:sz w:val="18"/>
                <w:szCs w:val="18"/>
              </w:rPr>
              <w:t>偏差原因分析及改进措施</w:t>
            </w:r>
            <w:r>
              <w:rPr>
                <w:rFonts w:ascii="Times New Roman" w:hAnsi="Times New Roman"/>
                <w:color w:val="000000"/>
                <w:kern w:val="0"/>
                <w:sz w:val="18"/>
                <w:szCs w:val="18"/>
              </w:rPr>
              <w:t>”中说明偏离目标、不能完成目标的原因及拟采取的措施。</w:t>
            </w:r>
          </w:p>
        </w:tc>
      </w:tr>
    </w:tbl>
    <w:p>
      <w:pPr>
        <w:widowControl/>
        <w:spacing w:line="400" w:lineRule="exact"/>
        <w:jc w:val="left"/>
        <w:rPr>
          <w:rFonts w:ascii="Times New Roman" w:hAnsi="Times New Roman"/>
          <w:color w:val="000000"/>
          <w:kern w:val="0"/>
          <w:sz w:val="18"/>
          <w:szCs w:val="18"/>
        </w:rPr>
      </w:pPr>
    </w:p>
    <w:p>
      <w:pPr>
        <w:rPr>
          <w:rFonts w:ascii="Times New Roman" w:hAnsi="Times New Roman"/>
        </w:rPr>
      </w:pPr>
    </w:p>
    <w:p>
      <w:pPr>
        <w:rPr>
          <w:rFonts w:ascii="Times New Roman" w:hAnsi="Times New Roman" w:eastAsia="黑体"/>
        </w:rPr>
        <w:sectPr>
          <w:footerReference r:id="rId3" w:type="default"/>
          <w:pgSz w:w="11906" w:h="16838"/>
          <w:pgMar w:top="1587" w:right="1587" w:bottom="1587" w:left="1587" w:header="737" w:footer="850" w:gutter="0"/>
          <w:pgBorders>
            <w:top w:val="none" w:sz="0" w:space="0"/>
            <w:left w:val="none" w:sz="0" w:space="0"/>
            <w:bottom w:val="none" w:sz="0" w:space="0"/>
            <w:right w:val="none" w:sz="0" w:space="0"/>
          </w:pgBorders>
          <w:cols w:space="720" w:num="1"/>
          <w:docGrid w:type="lines" w:linePitch="408" w:charSpace="0"/>
        </w:sectPr>
      </w:pPr>
    </w:p>
    <w:p>
      <w:pPr>
        <w:spacing w:line="560" w:lineRule="exact"/>
        <w:rPr>
          <w:rFonts w:hint="eastAsia" w:ascii="Times New Roman" w:hAnsi="Times New Roman" w:eastAsia="仿宋_GB2312"/>
          <w:bCs/>
          <w:color w:val="000000"/>
          <w:sz w:val="32"/>
          <w:szCs w:val="32"/>
          <w:lang w:eastAsia="zh-CN"/>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lang w:val="en-US" w:eastAsia="zh-CN"/>
        </w:rPr>
        <w:t>2</w:t>
      </w:r>
    </w:p>
    <w:p>
      <w:pPr>
        <w:pStyle w:val="2"/>
        <w:spacing w:before="0" w:after="0" w:line="240" w:lineRule="auto"/>
        <w:jc w:val="center"/>
        <w:rPr>
          <w:rFonts w:ascii="Times New Roman" w:hAnsi="Times New Roman" w:eastAsia="宋体"/>
          <w:bCs/>
          <w:color w:val="000000"/>
          <w:sz w:val="36"/>
          <w:szCs w:val="28"/>
        </w:rPr>
      </w:pPr>
      <w:r>
        <w:rPr>
          <w:rFonts w:hint="eastAsia" w:ascii="Times New Roman" w:hAnsi="Times New Roman" w:eastAsia="宋体"/>
          <w:bCs/>
          <w:color w:val="000000"/>
          <w:sz w:val="36"/>
          <w:szCs w:val="28"/>
          <w:lang w:val="en-US" w:eastAsia="zh-CN"/>
        </w:rPr>
        <w:t>2020年计划生育家庭创业贷款贴息项目</w:t>
      </w:r>
      <w:r>
        <w:rPr>
          <w:rFonts w:ascii="Times New Roman" w:hAnsi="Times New Roman" w:eastAsia="宋体"/>
          <w:bCs/>
          <w:color w:val="000000"/>
          <w:sz w:val="36"/>
          <w:szCs w:val="28"/>
        </w:rPr>
        <w:t>绩效评价指标</w:t>
      </w:r>
      <w:r>
        <w:rPr>
          <w:rFonts w:hint="eastAsia" w:ascii="Times New Roman" w:hAnsi="Times New Roman" w:eastAsia="宋体"/>
          <w:bCs/>
          <w:color w:val="000000"/>
          <w:sz w:val="36"/>
          <w:szCs w:val="28"/>
          <w:lang w:val="en-US" w:eastAsia="zh-CN"/>
        </w:rPr>
        <w:t>评分</w:t>
      </w:r>
      <w:r>
        <w:rPr>
          <w:rFonts w:ascii="Times New Roman" w:hAnsi="Times New Roman" w:eastAsia="宋体"/>
          <w:bCs/>
          <w:color w:val="000000"/>
          <w:sz w:val="36"/>
          <w:szCs w:val="28"/>
        </w:rPr>
        <w:t>表</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noWrap w:val="0"/>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noWrap w:val="0"/>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noWrap w:val="0"/>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noWrap w:val="0"/>
            <w:vAlign w:val="top"/>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noWrap w:val="0"/>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noWrap w:val="0"/>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noWrap w:val="0"/>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709"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项目立项是符合法律法规、相关政策、发展规划以及部门职责，用以反映和考核项目立项依据情况。</w:t>
            </w:r>
          </w:p>
        </w:tc>
        <w:tc>
          <w:tcPr>
            <w:tcW w:w="6096" w:type="dxa"/>
            <w:shd w:val="clear" w:color="auto" w:fill="FFFFFF"/>
            <w:noWrap w:val="0"/>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①项目立项是符合国家法律法规、国民经济发展规划和相关政策；</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②项目立项是符合行业发展规划和政策要求；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③项目立项是与部门职责范围相符，属于部门履职所需；</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④项目是属于公共财政支持范围，是符合中央、地方事权支出责任划分原则；</w:t>
            </w:r>
            <w:r>
              <w:rPr>
                <w:rFonts w:ascii="Times New Roman" w:hAnsi="Times New Roman"/>
                <w:color w:val="000000"/>
                <w:kern w:val="0"/>
                <w:sz w:val="22"/>
                <w:szCs w:val="22"/>
              </w:rPr>
              <w:br w:type="textWrapping"/>
            </w:r>
            <w:r>
              <w:rPr>
                <w:rFonts w:ascii="Times New Roman" w:hAnsi="Times New Roman"/>
                <w:color w:val="000000"/>
                <w:kern w:val="0"/>
                <w:sz w:val="22"/>
                <w:szCs w:val="22"/>
              </w:rPr>
              <w:t>⑤项目</w:t>
            </w:r>
            <w:r>
              <w:rPr>
                <w:rFonts w:hint="eastAsia" w:ascii="Times New Roman" w:hAnsi="Times New Roman"/>
                <w:color w:val="000000"/>
                <w:kern w:val="0"/>
                <w:sz w:val="22"/>
                <w:szCs w:val="22"/>
                <w:lang w:eastAsia="zh-CN"/>
              </w:rPr>
              <w:t>不与</w:t>
            </w:r>
            <w:r>
              <w:rPr>
                <w:rFonts w:ascii="Times New Roman" w:hAnsi="Times New Roman"/>
                <w:color w:val="000000"/>
                <w:kern w:val="0"/>
                <w:sz w:val="22"/>
                <w:szCs w:val="22"/>
              </w:rPr>
              <w:t>相关部门同类项目或部门内部相关项目重复。</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noWrap w:val="0"/>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noWrap w:val="0"/>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项目申请、设立过程符合相关要求，用以反映和考核项目立项的规范情况。</w:t>
            </w:r>
          </w:p>
        </w:tc>
        <w:tc>
          <w:tcPr>
            <w:tcW w:w="6096" w:type="dxa"/>
            <w:shd w:val="clear" w:color="auto" w:fill="FFFFFF"/>
            <w:noWrap w:val="0"/>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①项目是按照规定的程序申请设立；</w:t>
            </w:r>
            <w:r>
              <w:rPr>
                <w:rFonts w:ascii="Times New Roman" w:hAnsi="Times New Roman"/>
                <w:color w:val="000000"/>
                <w:kern w:val="0"/>
                <w:sz w:val="22"/>
                <w:szCs w:val="22"/>
              </w:rPr>
              <w:br w:type="textWrapping"/>
            </w:r>
            <w:r>
              <w:rPr>
                <w:rFonts w:ascii="Times New Roman" w:hAnsi="Times New Roman"/>
                <w:color w:val="000000"/>
                <w:kern w:val="0"/>
                <w:sz w:val="22"/>
                <w:szCs w:val="22"/>
              </w:rPr>
              <w:t>②审批文件、材料是符合相关要求；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③事前是已经过必要的可行性研究、专家论证、风险评估、绩效评估、集体决策。</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noWrap w:val="0"/>
            <w:vAlign w:val="center"/>
          </w:tcPr>
          <w:p>
            <w:pPr>
              <w:spacing w:line="0" w:lineRule="atLeast"/>
              <w:jc w:val="center"/>
              <w:rPr>
                <w:rFonts w:ascii="Times New Roman" w:hAnsi="Times New Roman"/>
                <w:color w:val="000000"/>
                <w:kern w:val="0"/>
                <w:sz w:val="22"/>
                <w:szCs w:val="22"/>
              </w:rPr>
            </w:pPr>
          </w:p>
        </w:tc>
        <w:tc>
          <w:tcPr>
            <w:tcW w:w="709"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项目所设定的绩效目标依据充分，符合客观实际，用以反映和考核项目绩效目标与项目实施的相符情况。</w:t>
            </w:r>
          </w:p>
        </w:tc>
        <w:tc>
          <w:tcPr>
            <w:tcW w:w="6096" w:type="dxa"/>
            <w:shd w:val="clear" w:color="auto" w:fill="FFFFFF"/>
            <w:noWrap w:val="0"/>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①项目有绩效目标；</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②项目绩效目标与实际工作内容具有相关性；</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③项目预期产出效益和效果符合正常的业绩水平；</w:t>
            </w:r>
          </w:p>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w:t>
            </w:r>
            <w:r>
              <w:rPr>
                <w:rFonts w:hint="eastAsia" w:ascii="Times New Roman" w:hAnsi="Times New Roman"/>
                <w:color w:val="000000"/>
                <w:kern w:val="0"/>
                <w:sz w:val="22"/>
                <w:szCs w:val="22"/>
                <w:lang w:eastAsia="zh-CN"/>
              </w:rPr>
              <w:t>与</w:t>
            </w:r>
            <w:r>
              <w:rPr>
                <w:rFonts w:ascii="Times New Roman" w:hAnsi="Times New Roman"/>
                <w:color w:val="000000"/>
                <w:kern w:val="0"/>
                <w:sz w:val="22"/>
                <w:szCs w:val="22"/>
              </w:rPr>
              <w:t>预算确定的项目投资额或资金量相匹配。</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709"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依据绩效目标设定的绩效指标清晰、细化、可衡量等，</w:t>
            </w:r>
            <w:r>
              <w:rPr>
                <w:rFonts w:hint="eastAsia" w:ascii="Times New Roman" w:hAnsi="Times New Roman"/>
                <w:color w:val="000000"/>
                <w:kern w:val="0"/>
                <w:sz w:val="22"/>
                <w:szCs w:val="22"/>
                <w:lang w:eastAsia="zh-CN"/>
              </w:rPr>
              <w:t>有</w:t>
            </w:r>
            <w:r>
              <w:rPr>
                <w:rFonts w:ascii="Times New Roman" w:hAnsi="Times New Roman"/>
                <w:color w:val="000000"/>
                <w:kern w:val="0"/>
                <w:sz w:val="22"/>
                <w:szCs w:val="22"/>
              </w:rPr>
              <w:t>反映和考核项目绩效目标的明细化情况。</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①</w:t>
            </w:r>
            <w:r>
              <w:rPr>
                <w:rFonts w:hint="eastAsia" w:ascii="Times New Roman" w:hAnsi="Times New Roman"/>
                <w:color w:val="000000"/>
                <w:kern w:val="0"/>
                <w:sz w:val="22"/>
                <w:szCs w:val="22"/>
                <w:lang w:eastAsia="zh-CN"/>
              </w:rPr>
              <w:t>已</w:t>
            </w:r>
            <w:r>
              <w:rPr>
                <w:rFonts w:ascii="Times New Roman" w:hAnsi="Times New Roman"/>
                <w:color w:val="000000"/>
                <w:kern w:val="0"/>
                <w:sz w:val="22"/>
                <w:szCs w:val="22"/>
              </w:rPr>
              <w:t>将项目绩效目标细化分解为具体的绩效指标；</w:t>
            </w:r>
            <w:r>
              <w:rPr>
                <w:rFonts w:ascii="Times New Roman" w:hAnsi="Times New Roman"/>
                <w:color w:val="000000"/>
                <w:kern w:val="0"/>
                <w:sz w:val="22"/>
                <w:szCs w:val="22"/>
              </w:rPr>
              <w:br w:type="textWrapping"/>
            </w:r>
            <w:r>
              <w:rPr>
                <w:rFonts w:ascii="Times New Roman" w:hAnsi="Times New Roman"/>
                <w:color w:val="000000"/>
                <w:kern w:val="0"/>
                <w:sz w:val="22"/>
                <w:szCs w:val="22"/>
              </w:rPr>
              <w:t>②</w:t>
            </w:r>
            <w:r>
              <w:rPr>
                <w:rFonts w:hint="eastAsia" w:ascii="Times New Roman" w:hAnsi="Times New Roman"/>
                <w:color w:val="000000"/>
                <w:kern w:val="0"/>
                <w:sz w:val="22"/>
                <w:szCs w:val="22"/>
                <w:lang w:eastAsia="zh-CN"/>
              </w:rPr>
              <w:t>项目</w:t>
            </w:r>
            <w:r>
              <w:rPr>
                <w:rFonts w:ascii="Times New Roman" w:hAnsi="Times New Roman"/>
                <w:color w:val="000000"/>
                <w:kern w:val="0"/>
                <w:sz w:val="22"/>
                <w:szCs w:val="22"/>
              </w:rPr>
              <w:t>通过清晰、可衡量的指标值予以体现；</w:t>
            </w:r>
            <w:r>
              <w:rPr>
                <w:rFonts w:ascii="Times New Roman" w:hAnsi="Times New Roman"/>
                <w:color w:val="000000"/>
                <w:kern w:val="0"/>
                <w:sz w:val="22"/>
                <w:szCs w:val="22"/>
              </w:rPr>
              <w:br w:type="textWrapping"/>
            </w:r>
            <w:r>
              <w:rPr>
                <w:rFonts w:ascii="Times New Roman" w:hAnsi="Times New Roman"/>
                <w:color w:val="000000"/>
                <w:kern w:val="0"/>
                <w:sz w:val="22"/>
                <w:szCs w:val="22"/>
              </w:rPr>
              <w:t>③与项目目标任务数或计划数相对应。</w:t>
            </w:r>
            <w:r>
              <w:rPr>
                <w:rFonts w:ascii="Times New Roman" w:hAnsi="Times New Roman"/>
                <w:color w:val="000000"/>
                <w:kern w:val="0"/>
                <w:sz w:val="22"/>
                <w:szCs w:val="22"/>
              </w:rPr>
              <w:br w:type="textWrapping"/>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noWrap w:val="0"/>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项目预算编制是经过科学论证、有明确标准，资金额度与年度目标相适应，用以反映和考核项目预算编制的科学性、合理性情况。</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①预算编制是否科学论证；</w:t>
            </w:r>
            <w:r>
              <w:rPr>
                <w:rFonts w:ascii="Times New Roman" w:hAnsi="Times New Roman"/>
                <w:color w:val="000000"/>
                <w:kern w:val="0"/>
                <w:sz w:val="22"/>
                <w:szCs w:val="22"/>
              </w:rPr>
              <w:br w:type="textWrapping"/>
            </w:r>
            <w:r>
              <w:rPr>
                <w:rFonts w:ascii="Times New Roman" w:hAnsi="Times New Roman"/>
                <w:color w:val="000000"/>
                <w:kern w:val="0"/>
                <w:sz w:val="22"/>
                <w:szCs w:val="22"/>
              </w:rPr>
              <w:t>②预算内容与项目内容</w:t>
            </w:r>
            <w:r>
              <w:rPr>
                <w:rFonts w:hint="eastAsia" w:ascii="Times New Roman" w:hAnsi="Times New Roman"/>
                <w:color w:val="000000"/>
                <w:kern w:val="0"/>
                <w:sz w:val="22"/>
                <w:szCs w:val="22"/>
                <w:lang w:eastAsia="zh-CN"/>
              </w:rPr>
              <w:t>相</w:t>
            </w:r>
            <w:r>
              <w:rPr>
                <w:rFonts w:ascii="Times New Roman" w:hAnsi="Times New Roman"/>
                <w:color w:val="000000"/>
                <w:kern w:val="0"/>
                <w:sz w:val="22"/>
                <w:szCs w:val="22"/>
              </w:rPr>
              <w:t>匹配；</w:t>
            </w:r>
            <w:r>
              <w:rPr>
                <w:rFonts w:ascii="Times New Roman" w:hAnsi="Times New Roman"/>
                <w:color w:val="000000"/>
                <w:kern w:val="0"/>
                <w:sz w:val="22"/>
                <w:szCs w:val="22"/>
              </w:rPr>
              <w:br w:type="textWrapping"/>
            </w:r>
            <w:r>
              <w:rPr>
                <w:rFonts w:ascii="Times New Roman" w:hAnsi="Times New Roman"/>
                <w:color w:val="000000"/>
                <w:kern w:val="0"/>
                <w:sz w:val="22"/>
                <w:szCs w:val="22"/>
              </w:rPr>
              <w:t>③预算额度测算依据充分，按照标准编制；</w:t>
            </w:r>
            <w:r>
              <w:rPr>
                <w:rFonts w:ascii="Times New Roman" w:hAnsi="Times New Roman"/>
                <w:color w:val="000000"/>
                <w:kern w:val="0"/>
                <w:sz w:val="22"/>
                <w:szCs w:val="22"/>
              </w:rPr>
              <w:br w:type="textWrapping"/>
            </w:r>
            <w:r>
              <w:rPr>
                <w:rFonts w:ascii="Times New Roman" w:hAnsi="Times New Roman"/>
                <w:color w:val="000000"/>
                <w:kern w:val="0"/>
                <w:sz w:val="22"/>
                <w:szCs w:val="22"/>
              </w:rPr>
              <w:t>④预算确定的项目投资额或资金量与工作任务相匹配。</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noWrap w:val="0"/>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noWrap w:val="0"/>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项目预算资金分配有测算依据，与实际相适应，用以反映和考核项目预算资金分配的科学性、合理性情况。</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①预算资金分配依据充分；</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②资金分配额度合理，与项目单位或地方实际是否相适应。</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noWrap w:val="0"/>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noWrap w:val="0"/>
            <w:vAlign w:val="center"/>
          </w:tcPr>
          <w:p>
            <w:pPr>
              <w:widowControl/>
              <w:spacing w:line="0" w:lineRule="atLeast"/>
              <w:rPr>
                <w:rFonts w:hint="default" w:ascii="Times New Roman" w:hAnsi="Times New Roman" w:eastAsia="宋体"/>
                <w:color w:val="000000"/>
                <w:kern w:val="0"/>
                <w:sz w:val="22"/>
                <w:szCs w:val="22"/>
                <w:lang w:val="en-US" w:eastAsia="zh-CN"/>
              </w:rPr>
            </w:pPr>
            <w:r>
              <w:rPr>
                <w:rFonts w:ascii="Times New Roman" w:hAnsi="Times New Roman"/>
                <w:color w:val="000000"/>
                <w:kern w:val="0"/>
                <w:sz w:val="22"/>
                <w:szCs w:val="22"/>
              </w:rPr>
              <w:t>资金到位率=（</w:t>
            </w:r>
            <w:r>
              <w:rPr>
                <w:rFonts w:hint="eastAsia"/>
                <w:color w:val="000000"/>
                <w:kern w:val="0"/>
                <w:sz w:val="22"/>
                <w:szCs w:val="22"/>
                <w:lang w:val="en-US" w:eastAsia="zh-CN"/>
              </w:rPr>
              <w:t>2</w:t>
            </w:r>
            <w:r>
              <w:rPr>
                <w:rFonts w:ascii="Times New Roman" w:hAnsi="Times New Roman"/>
                <w:color w:val="000000"/>
                <w:kern w:val="0"/>
                <w:sz w:val="22"/>
                <w:szCs w:val="22"/>
              </w:rPr>
              <w:t>/</w:t>
            </w:r>
            <w:r>
              <w:rPr>
                <w:rFonts w:hint="eastAsia"/>
                <w:color w:val="000000"/>
                <w:kern w:val="0"/>
                <w:sz w:val="22"/>
                <w:szCs w:val="22"/>
                <w:lang w:val="en-US" w:eastAsia="zh-CN"/>
              </w:rPr>
              <w:t>2</w:t>
            </w:r>
            <w:r>
              <w:rPr>
                <w:rFonts w:ascii="Times New Roman" w:hAnsi="Times New Roman"/>
                <w:color w:val="000000"/>
                <w:kern w:val="0"/>
                <w:sz w:val="22"/>
                <w:szCs w:val="22"/>
              </w:rPr>
              <w:t>）×100%</w:t>
            </w:r>
            <w:r>
              <w:rPr>
                <w:rFonts w:hint="eastAsia" w:ascii="Times New Roman" w:hAnsi="Times New Roman"/>
                <w:color w:val="000000"/>
                <w:kern w:val="0"/>
                <w:sz w:val="22"/>
                <w:szCs w:val="22"/>
                <w:lang w:val="en-US" w:eastAsia="zh-CN"/>
              </w:rPr>
              <w:t>=100%</w:t>
            </w:r>
          </w:p>
          <w:p>
            <w:pPr>
              <w:widowControl/>
              <w:spacing w:line="0" w:lineRule="atLeast"/>
              <w:rPr>
                <w:rFonts w:ascii="Times New Roman" w:hAnsi="Times New Roman"/>
                <w:color w:val="000000"/>
                <w:kern w:val="0"/>
                <w:sz w:val="22"/>
                <w:szCs w:val="22"/>
              </w:rPr>
            </w:pP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noWrap w:val="0"/>
            <w:vAlign w:val="center"/>
          </w:tcPr>
          <w:p>
            <w:pPr>
              <w:spacing w:line="0" w:lineRule="atLeast"/>
              <w:jc w:val="center"/>
              <w:rPr>
                <w:rFonts w:ascii="Times New Roman" w:hAnsi="Times New Roman"/>
                <w:color w:val="000000"/>
                <w:kern w:val="0"/>
                <w:sz w:val="22"/>
                <w:szCs w:val="22"/>
              </w:rPr>
            </w:pPr>
          </w:p>
        </w:tc>
        <w:tc>
          <w:tcPr>
            <w:tcW w:w="709" w:type="dxa"/>
            <w:vMerge w:val="continue"/>
            <w:shd w:val="clear" w:color="auto" w:fill="FFFFFF"/>
            <w:noWrap w:val="0"/>
            <w:vAlign w:val="center"/>
          </w:tcPr>
          <w:p>
            <w:pPr>
              <w:spacing w:line="0" w:lineRule="atLeast"/>
              <w:jc w:val="center"/>
              <w:rPr>
                <w:rFonts w:ascii="Times New Roman" w:hAnsi="Times New Roman"/>
                <w:color w:val="000000"/>
                <w:kern w:val="0"/>
                <w:sz w:val="22"/>
                <w:szCs w:val="22"/>
              </w:rPr>
            </w:pP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hint="eastAsia"/>
                <w:color w:val="000000"/>
                <w:kern w:val="0"/>
                <w:sz w:val="22"/>
                <w:szCs w:val="22"/>
                <w:lang w:val="en-US" w:eastAsia="zh-CN"/>
              </w:rPr>
              <w:t>2</w:t>
            </w:r>
            <w:r>
              <w:rPr>
                <w:rFonts w:ascii="Times New Roman" w:hAnsi="Times New Roman"/>
                <w:color w:val="000000"/>
                <w:kern w:val="0"/>
                <w:sz w:val="22"/>
                <w:szCs w:val="22"/>
              </w:rPr>
              <w:t>/</w:t>
            </w:r>
            <w:r>
              <w:rPr>
                <w:rFonts w:hint="eastAsia"/>
                <w:color w:val="000000"/>
                <w:kern w:val="0"/>
                <w:sz w:val="22"/>
                <w:szCs w:val="22"/>
                <w:lang w:val="en-US" w:eastAsia="zh-CN"/>
              </w:rPr>
              <w:t>2</w:t>
            </w:r>
            <w:r>
              <w:rPr>
                <w:rFonts w:ascii="Times New Roman" w:hAnsi="Times New Roman"/>
                <w:color w:val="000000"/>
                <w:kern w:val="0"/>
                <w:sz w:val="22"/>
                <w:szCs w:val="22"/>
              </w:rPr>
              <w:t>）×100%</w:t>
            </w:r>
            <w:r>
              <w:rPr>
                <w:rFonts w:hint="eastAsia" w:ascii="Times New Roman" w:hAnsi="Times New Roman"/>
                <w:color w:val="000000"/>
                <w:kern w:val="0"/>
                <w:sz w:val="22"/>
                <w:szCs w:val="22"/>
                <w:lang w:val="en-US" w:eastAsia="zh-CN"/>
              </w:rPr>
              <w:t>=100%</w:t>
            </w:r>
            <w:r>
              <w:rPr>
                <w:rFonts w:ascii="Times New Roman" w:hAnsi="Times New Roman"/>
                <w:color w:val="000000"/>
                <w:kern w:val="0"/>
                <w:sz w:val="22"/>
                <w:szCs w:val="22"/>
              </w:rPr>
              <w:t>。</w:t>
            </w:r>
            <w:r>
              <w:rPr>
                <w:rFonts w:ascii="Times New Roman" w:hAnsi="Times New Roman"/>
                <w:color w:val="000000"/>
                <w:kern w:val="0"/>
                <w:sz w:val="22"/>
                <w:szCs w:val="22"/>
              </w:rPr>
              <w:br w:type="textWrapping"/>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709"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项目资金使用符合相关的财务管理制度规定，用以反映和考核项目资金的规范运行情况。</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①符合国家财经法规和财务管理制度以及有关专项资金管理办法的规定；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②资金的拨付有完整的审批程序和手续；</w:t>
            </w:r>
            <w:r>
              <w:rPr>
                <w:rFonts w:ascii="Times New Roman" w:hAnsi="Times New Roman"/>
                <w:color w:val="000000"/>
                <w:kern w:val="0"/>
                <w:sz w:val="22"/>
                <w:szCs w:val="22"/>
              </w:rPr>
              <w:br w:type="textWrapping"/>
            </w:r>
            <w:r>
              <w:rPr>
                <w:rFonts w:ascii="Times New Roman" w:hAnsi="Times New Roman"/>
                <w:color w:val="000000"/>
                <w:kern w:val="0"/>
                <w:sz w:val="22"/>
                <w:szCs w:val="22"/>
              </w:rPr>
              <w:t>③符合项目预算批复或合同规定的用途；</w:t>
            </w:r>
            <w:r>
              <w:rPr>
                <w:rFonts w:ascii="Times New Roman" w:hAnsi="Times New Roman"/>
                <w:color w:val="000000"/>
                <w:kern w:val="0"/>
                <w:sz w:val="22"/>
                <w:szCs w:val="22"/>
              </w:rPr>
              <w:br w:type="textWrapping"/>
            </w:r>
            <w:r>
              <w:rPr>
                <w:rFonts w:ascii="Times New Roman" w:hAnsi="Times New Roman"/>
                <w:color w:val="000000"/>
                <w:kern w:val="0"/>
                <w:sz w:val="22"/>
                <w:szCs w:val="22"/>
              </w:rPr>
              <w:t>④</w:t>
            </w:r>
            <w:r>
              <w:rPr>
                <w:rFonts w:hint="eastAsia" w:ascii="Times New Roman" w:hAnsi="Times New Roman"/>
                <w:color w:val="000000"/>
                <w:kern w:val="0"/>
                <w:sz w:val="22"/>
                <w:szCs w:val="22"/>
                <w:lang w:eastAsia="zh-CN"/>
              </w:rPr>
              <w:t>不</w:t>
            </w:r>
            <w:r>
              <w:rPr>
                <w:rFonts w:ascii="Times New Roman" w:hAnsi="Times New Roman"/>
                <w:color w:val="000000"/>
                <w:kern w:val="0"/>
                <w:sz w:val="22"/>
                <w:szCs w:val="22"/>
              </w:rPr>
              <w:t>存在截留、挤占、挪用、虚列支出等情况。</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noWrap w:val="0"/>
            <w:vAlign w:val="center"/>
          </w:tcPr>
          <w:p>
            <w:pPr>
              <w:spacing w:line="0" w:lineRule="atLeast"/>
              <w:jc w:val="center"/>
              <w:rPr>
                <w:rFonts w:ascii="Times New Roman" w:hAnsi="Times New Roman"/>
                <w:color w:val="000000"/>
                <w:kern w:val="0"/>
                <w:sz w:val="22"/>
                <w:szCs w:val="22"/>
              </w:rPr>
            </w:pPr>
          </w:p>
        </w:tc>
        <w:tc>
          <w:tcPr>
            <w:tcW w:w="709"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项目实施单位的财务和业务管理制度健全，用以反映和考核财务和业务管理制度对项目顺利实施的保障情况。</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①已制定或具有相应的财务和业务管理制度；</w:t>
            </w:r>
            <w:r>
              <w:rPr>
                <w:rFonts w:ascii="Times New Roman" w:hAnsi="Times New Roman"/>
                <w:color w:val="000000"/>
                <w:kern w:val="0"/>
                <w:sz w:val="22"/>
                <w:szCs w:val="22"/>
              </w:rPr>
              <w:br w:type="textWrapping"/>
            </w:r>
            <w:r>
              <w:rPr>
                <w:rFonts w:ascii="Times New Roman" w:hAnsi="Times New Roman"/>
                <w:color w:val="000000"/>
                <w:kern w:val="0"/>
                <w:sz w:val="22"/>
                <w:szCs w:val="22"/>
              </w:rPr>
              <w:t>②财务和业务管理制度合法、合规、完整。</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noWrap w:val="0"/>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noWrap w:val="0"/>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项目实施符合相关管理规定，用以反映和考核相关管理制度的有效执行情况。</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①遵守相关法律法规和相关管理规定；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②项目调整及支出调整手续完备；</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③项目合同书、验收报告、技术鉴定等资料齐全并及时归档；</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④项目实施的人员条件、场地设备、信息支撑等落实到位。</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noWrap w:val="0"/>
            <w:vAlign w:val="center"/>
          </w:tcPr>
          <w:p>
            <w:pPr>
              <w:widowControl/>
              <w:spacing w:line="0" w:lineRule="atLeast"/>
              <w:rPr>
                <w:rFonts w:hint="eastAsia" w:ascii="Times New Roman" w:hAnsi="Times New Roman"/>
                <w:color w:val="000000"/>
                <w:kern w:val="0"/>
                <w:sz w:val="22"/>
                <w:szCs w:val="22"/>
                <w:lang w:val="en-US" w:eastAsia="zh-CN"/>
              </w:rPr>
            </w:pPr>
            <w:r>
              <w:rPr>
                <w:rFonts w:hint="eastAsia" w:ascii="Times New Roman" w:hAnsi="Times New Roman"/>
                <w:color w:val="000000"/>
                <w:kern w:val="0"/>
                <w:sz w:val="22"/>
                <w:szCs w:val="22"/>
                <w:lang w:val="en-US" w:eastAsia="zh-CN"/>
              </w:rPr>
              <w:t>计划生育</w:t>
            </w:r>
            <w:r>
              <w:rPr>
                <w:rFonts w:hint="eastAsia"/>
                <w:color w:val="000000"/>
                <w:kern w:val="0"/>
                <w:sz w:val="22"/>
                <w:szCs w:val="22"/>
                <w:lang w:val="en-US" w:eastAsia="zh-CN"/>
              </w:rPr>
              <w:t>家庭</w:t>
            </w:r>
            <w:r>
              <w:rPr>
                <w:rFonts w:hint="eastAsia" w:ascii="Times New Roman" w:hAnsi="Times New Roman"/>
                <w:color w:val="000000"/>
                <w:kern w:val="0"/>
                <w:sz w:val="22"/>
                <w:szCs w:val="22"/>
                <w:lang w:val="en-US" w:eastAsia="zh-CN"/>
              </w:rPr>
              <w:t>创业贷款贴息</w:t>
            </w:r>
            <w:r>
              <w:rPr>
                <w:rFonts w:ascii="Times New Roman" w:hAnsi="Times New Roman"/>
                <w:color w:val="000000"/>
                <w:kern w:val="0"/>
                <w:sz w:val="22"/>
                <w:szCs w:val="22"/>
              </w:rPr>
              <w:t>实际完成率=（</w:t>
            </w:r>
            <w:r>
              <w:rPr>
                <w:rFonts w:hint="eastAsia"/>
                <w:color w:val="000000"/>
                <w:kern w:val="0"/>
                <w:sz w:val="22"/>
                <w:szCs w:val="22"/>
                <w:lang w:val="en-US" w:eastAsia="zh-CN"/>
              </w:rPr>
              <w:t>2</w:t>
            </w:r>
            <w:r>
              <w:rPr>
                <w:rFonts w:ascii="Times New Roman" w:hAnsi="Times New Roman"/>
                <w:color w:val="000000"/>
                <w:kern w:val="0"/>
                <w:sz w:val="22"/>
                <w:szCs w:val="22"/>
              </w:rPr>
              <w:t>/</w:t>
            </w:r>
            <w:r>
              <w:rPr>
                <w:rFonts w:hint="eastAsia"/>
                <w:color w:val="000000"/>
                <w:kern w:val="0"/>
                <w:sz w:val="22"/>
                <w:szCs w:val="22"/>
                <w:lang w:val="en-US" w:eastAsia="zh-CN"/>
              </w:rPr>
              <w:t>2</w:t>
            </w:r>
            <w:r>
              <w:rPr>
                <w:rFonts w:ascii="Times New Roman" w:hAnsi="Times New Roman"/>
                <w:color w:val="000000"/>
                <w:kern w:val="0"/>
                <w:sz w:val="22"/>
                <w:szCs w:val="22"/>
              </w:rPr>
              <w:t>）×100%</w:t>
            </w:r>
            <w:r>
              <w:rPr>
                <w:rFonts w:hint="eastAsia" w:ascii="Times New Roman" w:hAnsi="Times New Roman"/>
                <w:color w:val="000000"/>
                <w:kern w:val="0"/>
                <w:sz w:val="22"/>
                <w:szCs w:val="22"/>
                <w:lang w:val="en-US" w:eastAsia="zh-CN"/>
              </w:rPr>
              <w:t>=100%</w:t>
            </w:r>
          </w:p>
          <w:p>
            <w:pPr>
              <w:widowControl/>
              <w:spacing w:line="0" w:lineRule="atLeast"/>
              <w:rPr>
                <w:rFonts w:hint="default" w:ascii="Times New Roman" w:hAnsi="Times New Roman"/>
                <w:color w:val="000000"/>
                <w:kern w:val="0"/>
                <w:sz w:val="22"/>
                <w:szCs w:val="22"/>
                <w:lang w:val="en-US" w:eastAsia="zh-CN"/>
              </w:rPr>
            </w:pPr>
          </w:p>
          <w:p>
            <w:pPr>
              <w:widowControl/>
              <w:spacing w:line="0" w:lineRule="atLeast"/>
              <w:rPr>
                <w:rFonts w:hint="default" w:ascii="Times New Roman" w:hAnsi="Times New Roman"/>
                <w:color w:val="000000"/>
                <w:kern w:val="0"/>
                <w:sz w:val="22"/>
                <w:szCs w:val="22"/>
                <w:lang w:val="en-US" w:eastAsia="zh-CN"/>
              </w:rPr>
            </w:pP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noWrap w:val="0"/>
            <w:vAlign w:val="center"/>
          </w:tcPr>
          <w:p>
            <w:pPr>
              <w:widowControl/>
              <w:spacing w:line="0" w:lineRule="atLeast"/>
              <w:rPr>
                <w:rFonts w:hint="eastAsia" w:ascii="Times New Roman" w:hAnsi="Times New Roman"/>
                <w:color w:val="000000"/>
                <w:kern w:val="0"/>
                <w:sz w:val="22"/>
                <w:szCs w:val="22"/>
                <w:lang w:val="en-US" w:eastAsia="zh-CN"/>
              </w:rPr>
            </w:pPr>
            <w:r>
              <w:rPr>
                <w:rFonts w:hint="eastAsia" w:ascii="Times New Roman" w:hAnsi="Times New Roman"/>
                <w:color w:val="000000"/>
                <w:kern w:val="0"/>
                <w:sz w:val="22"/>
                <w:szCs w:val="22"/>
                <w:lang w:val="en-US" w:eastAsia="zh-CN"/>
              </w:rPr>
              <w:t>计划生育</w:t>
            </w:r>
            <w:r>
              <w:rPr>
                <w:rFonts w:hint="eastAsia"/>
                <w:color w:val="000000"/>
                <w:kern w:val="0"/>
                <w:sz w:val="22"/>
                <w:szCs w:val="22"/>
                <w:lang w:val="en-US" w:eastAsia="zh-CN"/>
              </w:rPr>
              <w:t>家庭</w:t>
            </w:r>
            <w:r>
              <w:rPr>
                <w:rFonts w:hint="eastAsia" w:ascii="Times New Roman" w:hAnsi="Times New Roman"/>
                <w:color w:val="000000"/>
                <w:kern w:val="0"/>
                <w:sz w:val="22"/>
                <w:szCs w:val="22"/>
                <w:lang w:val="en-US" w:eastAsia="zh-CN"/>
              </w:rPr>
              <w:t>创业贷款贴息</w:t>
            </w:r>
            <w:r>
              <w:rPr>
                <w:rFonts w:ascii="Times New Roman" w:hAnsi="Times New Roman"/>
                <w:color w:val="000000"/>
                <w:kern w:val="0"/>
                <w:sz w:val="22"/>
                <w:szCs w:val="22"/>
              </w:rPr>
              <w:t>实际完成率=（</w:t>
            </w:r>
            <w:r>
              <w:rPr>
                <w:rFonts w:hint="eastAsia"/>
                <w:color w:val="000000"/>
                <w:kern w:val="0"/>
                <w:sz w:val="22"/>
                <w:szCs w:val="22"/>
                <w:lang w:val="en-US" w:eastAsia="zh-CN"/>
              </w:rPr>
              <w:t>2</w:t>
            </w:r>
            <w:r>
              <w:rPr>
                <w:rFonts w:ascii="Times New Roman" w:hAnsi="Times New Roman"/>
                <w:color w:val="000000"/>
                <w:kern w:val="0"/>
                <w:sz w:val="22"/>
                <w:szCs w:val="22"/>
              </w:rPr>
              <w:t>/</w:t>
            </w:r>
            <w:r>
              <w:rPr>
                <w:rFonts w:hint="eastAsia"/>
                <w:color w:val="000000"/>
                <w:kern w:val="0"/>
                <w:sz w:val="22"/>
                <w:szCs w:val="22"/>
                <w:lang w:val="en-US" w:eastAsia="zh-CN"/>
              </w:rPr>
              <w:t>2</w:t>
            </w:r>
            <w:r>
              <w:rPr>
                <w:rFonts w:ascii="Times New Roman" w:hAnsi="Times New Roman"/>
                <w:color w:val="000000"/>
                <w:kern w:val="0"/>
                <w:sz w:val="22"/>
                <w:szCs w:val="22"/>
              </w:rPr>
              <w:t>）×100%</w:t>
            </w:r>
            <w:r>
              <w:rPr>
                <w:rFonts w:hint="eastAsia" w:ascii="Times New Roman" w:hAnsi="Times New Roman"/>
                <w:color w:val="000000"/>
                <w:kern w:val="0"/>
                <w:sz w:val="22"/>
                <w:szCs w:val="22"/>
                <w:lang w:val="en-US" w:eastAsia="zh-CN"/>
              </w:rPr>
              <w:t>=100%</w:t>
            </w:r>
          </w:p>
          <w:p>
            <w:pPr>
              <w:widowControl/>
              <w:spacing w:line="0" w:lineRule="atLeast"/>
              <w:rPr>
                <w:rFonts w:hint="eastAsia" w:ascii="Times New Roman" w:hAnsi="Times New Roman"/>
                <w:color w:val="000000"/>
                <w:kern w:val="0"/>
                <w:sz w:val="22"/>
                <w:szCs w:val="22"/>
                <w:lang w:val="en-US" w:eastAsia="zh-CN"/>
              </w:rPr>
            </w:pPr>
          </w:p>
          <w:p>
            <w:pPr>
              <w:widowControl/>
              <w:spacing w:line="0" w:lineRule="atLeast"/>
              <w:rPr>
                <w:rFonts w:ascii="Times New Roman" w:hAnsi="Times New Roman"/>
                <w:color w:val="000000"/>
                <w:kern w:val="0"/>
                <w:sz w:val="22"/>
                <w:szCs w:val="22"/>
              </w:rPr>
            </w:pP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noWrap w:val="0"/>
            <w:vAlign w:val="center"/>
          </w:tcPr>
          <w:p>
            <w:pPr>
              <w:spacing w:line="0" w:lineRule="atLeast"/>
              <w:jc w:val="center"/>
              <w:rPr>
                <w:rFonts w:ascii="Times New Roman" w:hAnsi="Times New Roman"/>
                <w:color w:val="000000"/>
                <w:kern w:val="0"/>
                <w:sz w:val="22"/>
                <w:szCs w:val="22"/>
              </w:rPr>
            </w:pPr>
          </w:p>
        </w:tc>
        <w:tc>
          <w:tcPr>
            <w:tcW w:w="709" w:type="dxa"/>
            <w:shd w:val="clear" w:color="auto" w:fill="FFFFFF"/>
            <w:noWrap w:val="0"/>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w:t>
            </w:r>
            <w:r>
              <w:rPr>
                <w:rFonts w:hint="eastAsia" w:ascii="Times New Roman" w:hAnsi="Times New Roman"/>
                <w:color w:val="000000"/>
                <w:kern w:val="0"/>
                <w:sz w:val="22"/>
                <w:szCs w:val="22"/>
                <w:lang w:val="en-US" w:eastAsia="zh-CN"/>
              </w:rPr>
              <w:t>12个月</w:t>
            </w:r>
            <w:r>
              <w:rPr>
                <w:rFonts w:ascii="Times New Roman" w:hAnsi="Times New Roman"/>
                <w:color w:val="000000"/>
                <w:kern w:val="0"/>
                <w:sz w:val="22"/>
                <w:szCs w:val="22"/>
              </w:rPr>
              <w:t>。</w:t>
            </w:r>
            <w:r>
              <w:rPr>
                <w:rFonts w:ascii="Times New Roman" w:hAnsi="Times New Roman"/>
                <w:color w:val="000000"/>
                <w:kern w:val="0"/>
                <w:sz w:val="22"/>
                <w:szCs w:val="22"/>
              </w:rPr>
              <w:br w:type="textWrapping"/>
            </w:r>
            <w:r>
              <w:rPr>
                <w:rFonts w:ascii="Times New Roman" w:hAnsi="Times New Roman"/>
                <w:color w:val="000000"/>
                <w:kern w:val="0"/>
                <w:sz w:val="22"/>
                <w:szCs w:val="22"/>
              </w:rPr>
              <w:t>计划完成时间：</w:t>
            </w:r>
            <w:r>
              <w:rPr>
                <w:rFonts w:hint="eastAsia" w:ascii="Times New Roman" w:hAnsi="Times New Roman"/>
                <w:color w:val="000000"/>
                <w:kern w:val="0"/>
                <w:sz w:val="22"/>
                <w:szCs w:val="22"/>
                <w:lang w:val="en-US" w:eastAsia="zh-CN"/>
              </w:rPr>
              <w:t>12个月</w:t>
            </w:r>
            <w:r>
              <w:rPr>
                <w:rFonts w:ascii="Times New Roman" w:hAnsi="Times New Roman"/>
                <w:color w:val="000000"/>
                <w:kern w:val="0"/>
                <w:sz w:val="22"/>
                <w:szCs w:val="22"/>
              </w:rPr>
              <w:t>。</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noWrap w:val="0"/>
            <w:vAlign w:val="center"/>
          </w:tcPr>
          <w:p>
            <w:pPr>
              <w:widowControl/>
              <w:spacing w:line="0" w:lineRule="atLeast"/>
              <w:jc w:val="center"/>
              <w:rPr>
                <w:rFonts w:ascii="Times New Roman" w:hAnsi="Times New Roman"/>
                <w:color w:val="000000"/>
                <w:kern w:val="0"/>
                <w:sz w:val="22"/>
                <w:szCs w:val="22"/>
              </w:rPr>
            </w:pPr>
          </w:p>
        </w:tc>
        <w:tc>
          <w:tcPr>
            <w:tcW w:w="709"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noWrap w:val="0"/>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type="textWrapping"/>
            </w:r>
            <w:r>
              <w:rPr>
                <w:rFonts w:hint="eastAsia" w:ascii="Times New Roman" w:hAnsi="Times New Roman"/>
                <w:color w:val="000000"/>
                <w:kern w:val="0"/>
                <w:sz w:val="22"/>
                <w:szCs w:val="22"/>
                <w:lang w:val="en-US" w:eastAsia="zh-CN"/>
              </w:rPr>
              <w:t>计划生育</w:t>
            </w:r>
            <w:r>
              <w:rPr>
                <w:rFonts w:hint="eastAsia"/>
                <w:color w:val="000000"/>
                <w:kern w:val="0"/>
                <w:sz w:val="22"/>
                <w:szCs w:val="22"/>
                <w:lang w:val="en-US" w:eastAsia="zh-CN"/>
              </w:rPr>
              <w:t>家庭</w:t>
            </w:r>
            <w:r>
              <w:rPr>
                <w:rFonts w:hint="eastAsia" w:ascii="Times New Roman" w:hAnsi="Times New Roman"/>
                <w:color w:val="000000"/>
                <w:kern w:val="0"/>
                <w:sz w:val="22"/>
                <w:szCs w:val="22"/>
                <w:lang w:val="en-US" w:eastAsia="zh-CN"/>
              </w:rPr>
              <w:t>创业贷款贴息</w:t>
            </w:r>
            <w:r>
              <w:rPr>
                <w:rFonts w:ascii="Times New Roman" w:hAnsi="Times New Roman"/>
                <w:color w:val="000000"/>
                <w:kern w:val="0"/>
                <w:sz w:val="22"/>
                <w:szCs w:val="22"/>
              </w:rPr>
              <w:t>成本节约率=[（</w:t>
            </w:r>
            <w:r>
              <w:rPr>
                <w:rFonts w:hint="eastAsia"/>
                <w:color w:val="000000"/>
                <w:kern w:val="0"/>
                <w:sz w:val="22"/>
                <w:szCs w:val="22"/>
                <w:lang w:val="en-US" w:eastAsia="zh-CN"/>
              </w:rPr>
              <w:t>2-2</w:t>
            </w:r>
            <w:r>
              <w:rPr>
                <w:rFonts w:ascii="Times New Roman" w:hAnsi="Times New Roman"/>
                <w:color w:val="000000"/>
                <w:kern w:val="0"/>
                <w:sz w:val="22"/>
                <w:szCs w:val="22"/>
              </w:rPr>
              <w:t>）/</w:t>
            </w:r>
            <w:r>
              <w:rPr>
                <w:rFonts w:hint="eastAsia"/>
                <w:color w:val="000000"/>
                <w:kern w:val="0"/>
                <w:sz w:val="22"/>
                <w:szCs w:val="22"/>
                <w:lang w:val="en-US" w:eastAsia="zh-CN"/>
              </w:rPr>
              <w:t>2</w:t>
            </w:r>
            <w:r>
              <w:rPr>
                <w:rFonts w:ascii="Times New Roman" w:hAnsi="Times New Roman"/>
                <w:color w:val="000000"/>
                <w:kern w:val="0"/>
                <w:sz w:val="22"/>
                <w:szCs w:val="22"/>
              </w:rPr>
              <w:t>]×100%</w:t>
            </w:r>
            <w:r>
              <w:rPr>
                <w:rFonts w:hint="eastAsia" w:ascii="Times New Roman" w:hAnsi="Times New Roman"/>
                <w:color w:val="000000"/>
                <w:kern w:val="0"/>
                <w:sz w:val="22"/>
                <w:szCs w:val="22"/>
                <w:lang w:val="en-US" w:eastAsia="zh-CN"/>
              </w:rPr>
              <w:t>=0</w:t>
            </w:r>
            <w:r>
              <w:rPr>
                <w:rFonts w:ascii="Times New Roman" w:hAnsi="Times New Roman"/>
                <w:color w:val="000000"/>
                <w:kern w:val="0"/>
                <w:sz w:val="22"/>
                <w:szCs w:val="22"/>
              </w:rPr>
              <w:t>。</w:t>
            </w:r>
          </w:p>
          <w:p>
            <w:pPr>
              <w:widowControl/>
              <w:spacing w:line="0" w:lineRule="atLeast"/>
              <w:rPr>
                <w:rFonts w:ascii="Times New Roman" w:hAnsi="Times New Roman"/>
                <w:color w:val="000000"/>
                <w:kern w:val="0"/>
                <w:sz w:val="22"/>
                <w:szCs w:val="22"/>
              </w:rPr>
            </w:pP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709" w:type="dxa"/>
            <w:vMerge w:val="restart"/>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noWrap w:val="0"/>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noWrap w:val="0"/>
            <w:vAlign w:val="center"/>
          </w:tcPr>
          <w:p>
            <w:pPr>
              <w:widowControl/>
              <w:spacing w:line="0" w:lineRule="atLeast"/>
              <w:rPr>
                <w:rFonts w:hint="default"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计划生育</w:t>
            </w:r>
            <w:r>
              <w:rPr>
                <w:rFonts w:hint="eastAsia"/>
                <w:color w:val="000000"/>
                <w:kern w:val="0"/>
                <w:sz w:val="22"/>
                <w:szCs w:val="22"/>
                <w:lang w:val="en-US" w:eastAsia="zh-CN"/>
              </w:rPr>
              <w:t>家庭</w:t>
            </w:r>
            <w:r>
              <w:rPr>
                <w:rFonts w:hint="eastAsia" w:ascii="Times New Roman" w:hAnsi="Times New Roman"/>
                <w:color w:val="000000"/>
                <w:kern w:val="0"/>
                <w:sz w:val="22"/>
                <w:szCs w:val="22"/>
                <w:lang w:val="en-US" w:eastAsia="zh-CN"/>
              </w:rPr>
              <w:t>创业贷款贴息项目在一定程度上帮助了困难计生家庭。</w:t>
            </w:r>
          </w:p>
        </w:tc>
        <w:tc>
          <w:tcPr>
            <w:tcW w:w="566" w:type="dxa"/>
            <w:shd w:val="clear" w:color="auto" w:fill="FFFFFF"/>
            <w:noWrap w:val="0"/>
            <w:vAlign w:val="center"/>
          </w:tcPr>
          <w:p>
            <w:pPr>
              <w:widowControl/>
              <w:spacing w:line="0" w:lineRule="atLeast"/>
              <w:jc w:val="center"/>
              <w:rPr>
                <w:rFonts w:hint="default"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noWrap w:val="0"/>
            <w:vAlign w:val="center"/>
          </w:tcPr>
          <w:p>
            <w:pPr>
              <w:widowControl/>
              <w:spacing w:line="0" w:lineRule="atLeast"/>
              <w:jc w:val="center"/>
              <w:rPr>
                <w:rFonts w:ascii="Times New Roman" w:hAnsi="Times New Roman"/>
                <w:color w:val="000000"/>
                <w:kern w:val="0"/>
                <w:sz w:val="22"/>
                <w:szCs w:val="22"/>
              </w:rPr>
            </w:pPr>
          </w:p>
        </w:tc>
        <w:tc>
          <w:tcPr>
            <w:tcW w:w="709" w:type="dxa"/>
            <w:vMerge w:val="continue"/>
            <w:shd w:val="clear" w:color="auto" w:fill="FFFFFF"/>
            <w:noWrap w:val="0"/>
            <w:vAlign w:val="center"/>
          </w:tcPr>
          <w:p>
            <w:pPr>
              <w:widowControl/>
              <w:spacing w:line="0" w:lineRule="atLeast"/>
              <w:jc w:val="center"/>
              <w:rPr>
                <w:rFonts w:ascii="Times New Roman" w:hAnsi="Times New Roman"/>
                <w:color w:val="000000"/>
                <w:kern w:val="0"/>
                <w:sz w:val="22"/>
                <w:szCs w:val="22"/>
              </w:rPr>
            </w:pPr>
          </w:p>
        </w:tc>
        <w:tc>
          <w:tcPr>
            <w:tcW w:w="1134"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noWrap w:val="0"/>
            <w:vAlign w:val="center"/>
          </w:tcPr>
          <w:p>
            <w:pPr>
              <w:widowControl/>
              <w:spacing w:line="0" w:lineRule="atLeast"/>
              <w:rPr>
                <w:rFonts w:hint="eastAsia" w:ascii="Times New Roman" w:hAnsi="Times New Roman"/>
                <w:color w:val="000000"/>
                <w:kern w:val="0"/>
                <w:sz w:val="22"/>
                <w:szCs w:val="22"/>
                <w:lang w:val="en-US" w:eastAsia="zh-CN"/>
              </w:rPr>
            </w:pPr>
            <w:r>
              <w:rPr>
                <w:rFonts w:hint="eastAsia" w:ascii="Times New Roman" w:hAnsi="Times New Roman"/>
                <w:color w:val="000000"/>
                <w:kern w:val="0"/>
                <w:sz w:val="22"/>
                <w:szCs w:val="22"/>
                <w:lang w:val="en-US" w:eastAsia="zh-CN"/>
              </w:rPr>
              <w:t>社会公众或服务对象对项目实施效果的满意程度。</w:t>
            </w:r>
          </w:p>
        </w:tc>
        <w:tc>
          <w:tcPr>
            <w:tcW w:w="6096" w:type="dxa"/>
            <w:shd w:val="clear" w:color="auto" w:fill="FFFFFF"/>
            <w:noWrap w:val="0"/>
            <w:vAlign w:val="center"/>
          </w:tcPr>
          <w:p>
            <w:pPr>
              <w:widowControl/>
              <w:spacing w:line="0" w:lineRule="atLeast"/>
              <w:rPr>
                <w:rFonts w:hint="eastAsia" w:ascii="Times New Roman" w:hAnsi="Times New Roman"/>
                <w:color w:val="000000"/>
                <w:kern w:val="0"/>
                <w:sz w:val="22"/>
                <w:szCs w:val="22"/>
                <w:lang w:val="en-US" w:eastAsia="zh-CN"/>
              </w:rPr>
            </w:pPr>
            <w:r>
              <w:rPr>
                <w:rFonts w:hint="eastAsia" w:ascii="Times New Roman" w:hAnsi="Times New Roman"/>
                <w:color w:val="000000"/>
                <w:kern w:val="0"/>
                <w:sz w:val="22"/>
                <w:szCs w:val="22"/>
                <w:lang w:val="en-US" w:eastAsia="zh-CN"/>
              </w:rPr>
              <w:t>兑现党和政府对实行计划生育家庭的承诺，提高政府的公信力，缓解计划生育家庭生产创业困难，实现计划生育家稳步增收。</w:t>
            </w:r>
          </w:p>
        </w:tc>
        <w:tc>
          <w:tcPr>
            <w:tcW w:w="566" w:type="dxa"/>
            <w:shd w:val="clear" w:color="auto" w:fill="FFFFFF"/>
            <w:noWrap w:val="0"/>
            <w:vAlign w:val="center"/>
          </w:tcPr>
          <w:p>
            <w:pPr>
              <w:widowControl/>
              <w:spacing w:line="0" w:lineRule="atLeast"/>
              <w:jc w:val="center"/>
              <w:rPr>
                <w:rFonts w:hint="eastAsia"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noWrap w:val="0"/>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noWrap w:val="0"/>
            <w:vAlign w:val="center"/>
          </w:tcPr>
          <w:p>
            <w:pPr>
              <w:widowControl/>
              <w:spacing w:line="0" w:lineRule="atLeast"/>
              <w:rPr>
                <w:rFonts w:ascii="Times New Roman" w:hAnsi="Times New Roman"/>
                <w:color w:val="000000"/>
                <w:kern w:val="0"/>
                <w:sz w:val="22"/>
                <w:szCs w:val="22"/>
              </w:rPr>
            </w:pPr>
          </w:p>
        </w:tc>
        <w:tc>
          <w:tcPr>
            <w:tcW w:w="6096" w:type="dxa"/>
            <w:shd w:val="clear" w:color="auto" w:fill="FFFFFF"/>
            <w:noWrap w:val="0"/>
            <w:vAlign w:val="center"/>
          </w:tcPr>
          <w:p>
            <w:pPr>
              <w:widowControl/>
              <w:spacing w:line="0" w:lineRule="atLeast"/>
              <w:rPr>
                <w:rFonts w:hint="default" w:ascii="Times New Roman" w:hAnsi="Times New Roman" w:eastAsia="宋体"/>
                <w:color w:val="000000"/>
                <w:kern w:val="0"/>
                <w:sz w:val="22"/>
                <w:szCs w:val="22"/>
                <w:lang w:val="en-US" w:eastAsia="zh-CN"/>
              </w:rPr>
            </w:pPr>
          </w:p>
        </w:tc>
        <w:tc>
          <w:tcPr>
            <w:tcW w:w="566" w:type="dxa"/>
            <w:shd w:val="clear" w:color="auto" w:fill="FFFFFF"/>
            <w:noWrap w:val="0"/>
            <w:vAlign w:val="center"/>
          </w:tcPr>
          <w:p>
            <w:pPr>
              <w:widowControl/>
              <w:spacing w:line="0" w:lineRule="atLeast"/>
              <w:jc w:val="center"/>
              <w:rPr>
                <w:rFonts w:hint="default" w:ascii="Times New Roman" w:hAnsi="Times New Roman" w:eastAsia="宋体"/>
                <w:color w:val="000000"/>
                <w:kern w:val="0"/>
                <w:sz w:val="22"/>
                <w:szCs w:val="22"/>
                <w:lang w:val="en-US" w:eastAsia="zh-CN"/>
              </w:rPr>
            </w:pPr>
            <w:r>
              <w:rPr>
                <w:rFonts w:hint="eastAsia" w:ascii="Times New Roman" w:hAnsi="Times New Roman"/>
                <w:color w:val="000000"/>
                <w:kern w:val="0"/>
                <w:sz w:val="22"/>
                <w:szCs w:val="22"/>
                <w:lang w:val="en-US" w:eastAsia="zh-CN"/>
              </w:rPr>
              <w:t>100</w:t>
            </w:r>
          </w:p>
        </w:tc>
      </w:tr>
    </w:tbl>
    <w:p>
      <w:pPr>
        <w:spacing w:line="560" w:lineRule="exact"/>
        <w:ind w:firstLine="200" w:firstLineChars="100"/>
        <w:rPr>
          <w:rFonts w:ascii="Times New Roman" w:hAnsi="Times New Roman"/>
          <w:bCs/>
          <w:sz w:val="32"/>
          <w:szCs w:val="32"/>
        </w:rPr>
        <w:sectPr>
          <w:footerReference r:id="rId4" w:type="default"/>
          <w:pgSz w:w="16838" w:h="11906" w:orient="landscape"/>
          <w:pgMar w:top="1531" w:right="1928" w:bottom="1531" w:left="1701" w:header="737" w:footer="851" w:gutter="0"/>
          <w:pgBorders>
            <w:top w:val="none" w:sz="0" w:space="0"/>
            <w:left w:val="none" w:sz="0" w:space="0"/>
            <w:bottom w:val="none" w:sz="0" w:space="0"/>
            <w:right w:val="none" w:sz="0" w:space="0"/>
          </w:pgBorders>
          <w:cols w:space="720" w:num="1"/>
          <w:docGrid w:type="lines" w:linePitch="408" w:charSpace="0"/>
        </w:sectPr>
      </w:pPr>
      <w:r>
        <w:rPr>
          <w:rFonts w:ascii="Times New Roman" w:hAnsi="Times New Roman" w:eastAsia="仿宋_GB2312"/>
          <w:sz w:val="20"/>
          <w:szCs w:val="20"/>
        </w:rPr>
        <w:t>注：单位可以根据专项资金的管理要求和绩效要求增设个性指标</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17</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pPr>
                      <w:pStyle w:val="3"/>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17</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17</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3"/>
                      <w:rPr>
                        <w:rFonts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t>17</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56B096"/>
    <w:multiLevelType w:val="singleLevel"/>
    <w:tmpl w:val="8756B09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436D11"/>
    <w:rsid w:val="43436D11"/>
    <w:rsid w:val="61635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styleId="4">
    <w:name w:val="Normal (Web)"/>
    <w:basedOn w:val="1"/>
    <w:qFormat/>
    <w:uiPriority w:val="0"/>
    <w:pPr>
      <w:widowControl/>
      <w:spacing w:before="100" w:beforeAutospacing="1" w:after="119"/>
      <w:jc w:val="left"/>
    </w:pPr>
    <w:rPr>
      <w:rFonts w:ascii="宋体" w:hAnsi="宋体" w:cs="宋体"/>
      <w:kern w:val="0"/>
      <w:sz w:val="24"/>
    </w:rPr>
  </w:style>
  <w:style w:type="paragraph" w:styleId="7">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8">
    <w:name w:val="font01"/>
    <w:basedOn w:val="6"/>
    <w:qFormat/>
    <w:uiPriority w:val="0"/>
    <w:rPr>
      <w:rFonts w:hint="eastAsia" w:ascii="宋体" w:hAnsi="宋体" w:eastAsia="宋体" w:cs="宋体"/>
      <w:color w:val="000000"/>
      <w:sz w:val="20"/>
      <w:szCs w:val="20"/>
      <w:u w:val="none"/>
    </w:rPr>
  </w:style>
  <w:style w:type="character" w:customStyle="1" w:styleId="9">
    <w:name w:val="font31"/>
    <w:basedOn w:val="6"/>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2021-08-06T08:23:00Z</dcterms:created>
  <dc:creator>五月雨季</dc:creator>
  <cp:lastModifiedBy>五月雨季</cp:lastModifiedBy>
  <dcterms:modified xsi:type="dcterms:W3CDTF">2021-08-06T08:32:43Z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D76C107795FD4DB2B33B3F1997B631E7</vt:lpwstr>
  </property>
</Properties>
</file>