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130" w:rsidRDefault="00EB5130" w:rsidP="00EB5130">
      <w:pPr>
        <w:spacing w:line="600" w:lineRule="exact"/>
        <w:rPr>
          <w:rFonts w:ascii="Times New Roman" w:eastAsia="黑体" w:hAnsi="Times New Roman"/>
          <w:kern w:val="0"/>
          <w:sz w:val="32"/>
          <w:szCs w:val="32"/>
        </w:rPr>
      </w:pPr>
    </w:p>
    <w:p w:rsidR="00EB5130" w:rsidRDefault="00EB5130" w:rsidP="00EB5130">
      <w:pPr>
        <w:jc w:val="center"/>
        <w:rPr>
          <w:rFonts w:ascii="Times New Roman" w:eastAsia="方正小标宋_GBK" w:hAnsi="Times New Roman"/>
          <w:sz w:val="48"/>
          <w:szCs w:val="48"/>
        </w:rPr>
      </w:pPr>
      <w:r>
        <w:rPr>
          <w:rFonts w:ascii="Times New Roman" w:eastAsia="方正小标宋_GBK" w:hAnsi="Times New Roman"/>
          <w:sz w:val="48"/>
          <w:szCs w:val="48"/>
        </w:rPr>
        <w:t>20</w:t>
      </w:r>
      <w:r>
        <w:rPr>
          <w:rFonts w:ascii="Times New Roman" w:eastAsia="方正小标宋_GBK" w:hAnsi="Times New Roman" w:hint="eastAsia"/>
          <w:sz w:val="48"/>
          <w:szCs w:val="48"/>
        </w:rPr>
        <w:t>20</w:t>
      </w:r>
      <w:r>
        <w:rPr>
          <w:rFonts w:ascii="Times New Roman" w:eastAsia="方正小标宋_GBK" w:hAnsi="Times New Roman"/>
          <w:sz w:val="48"/>
          <w:szCs w:val="48"/>
        </w:rPr>
        <w:t>年度部门整体支出绩效自评报告</w:t>
      </w:r>
    </w:p>
    <w:p w:rsidR="00EB5130" w:rsidRDefault="00EB5130" w:rsidP="00EB5130">
      <w:pPr>
        <w:jc w:val="center"/>
        <w:rPr>
          <w:rFonts w:ascii="Times New Roman" w:eastAsia="楷体_GB2312" w:hAnsi="Times New Roman"/>
          <w:b/>
          <w:sz w:val="32"/>
          <w:szCs w:val="32"/>
        </w:rPr>
      </w:pPr>
    </w:p>
    <w:p w:rsidR="003F7EAD" w:rsidRDefault="003F7EAD" w:rsidP="00EB5130">
      <w:pPr>
        <w:jc w:val="center"/>
        <w:rPr>
          <w:rFonts w:ascii="Times New Roman" w:eastAsia="黑体" w:hAnsi="Times New Roman"/>
          <w:sz w:val="32"/>
          <w:szCs w:val="32"/>
        </w:rPr>
      </w:pPr>
    </w:p>
    <w:p w:rsidR="00EB5130" w:rsidRDefault="00EB5130" w:rsidP="00EB5130">
      <w:pPr>
        <w:jc w:val="center"/>
        <w:rPr>
          <w:rFonts w:ascii="Times New Roman" w:eastAsia="黑体" w:hAnsi="Times New Roman"/>
          <w:sz w:val="32"/>
          <w:szCs w:val="32"/>
        </w:rPr>
      </w:pPr>
    </w:p>
    <w:p w:rsidR="00EB5130" w:rsidRDefault="00EB5130" w:rsidP="00EB5130">
      <w:pPr>
        <w:jc w:val="center"/>
        <w:rPr>
          <w:rFonts w:ascii="Times New Roman" w:eastAsia="黑体" w:hAnsi="Times New Roman"/>
          <w:sz w:val="32"/>
          <w:szCs w:val="32"/>
        </w:rPr>
      </w:pPr>
    </w:p>
    <w:p w:rsidR="00EB5130" w:rsidRDefault="00EB5130" w:rsidP="00EB5130">
      <w:pPr>
        <w:jc w:val="center"/>
        <w:rPr>
          <w:rFonts w:ascii="Times New Roman" w:eastAsia="黑体" w:hAnsi="Times New Roman"/>
          <w:sz w:val="32"/>
          <w:szCs w:val="32"/>
        </w:rPr>
      </w:pPr>
    </w:p>
    <w:p w:rsidR="00EB5130" w:rsidRDefault="00EB5130" w:rsidP="00EB5130">
      <w:pPr>
        <w:jc w:val="center"/>
        <w:rPr>
          <w:rFonts w:ascii="Times New Roman" w:eastAsia="黑体" w:hAnsi="Times New Roman"/>
          <w:sz w:val="32"/>
          <w:szCs w:val="32"/>
        </w:rPr>
      </w:pPr>
    </w:p>
    <w:p w:rsidR="00EB5130" w:rsidRDefault="00EB5130" w:rsidP="00EB5130">
      <w:pPr>
        <w:jc w:val="center"/>
        <w:rPr>
          <w:rFonts w:ascii="Times New Roman" w:eastAsia="黑体" w:hAnsi="Times New Roman"/>
          <w:sz w:val="32"/>
          <w:szCs w:val="32"/>
        </w:rPr>
      </w:pPr>
    </w:p>
    <w:p w:rsidR="00EB5130" w:rsidRDefault="00EB5130" w:rsidP="00EB5130">
      <w:pPr>
        <w:jc w:val="center"/>
        <w:rPr>
          <w:rFonts w:ascii="Times New Roman" w:eastAsia="黑体" w:hAnsi="Times New Roman"/>
          <w:sz w:val="32"/>
          <w:szCs w:val="32"/>
        </w:rPr>
      </w:pPr>
    </w:p>
    <w:p w:rsidR="00EB5130" w:rsidRDefault="00EB5130" w:rsidP="00EB5130">
      <w:pPr>
        <w:jc w:val="center"/>
        <w:rPr>
          <w:rFonts w:ascii="Times New Roman" w:eastAsia="黑体" w:hAnsi="Times New Roman"/>
          <w:sz w:val="32"/>
          <w:szCs w:val="32"/>
        </w:rPr>
      </w:pPr>
    </w:p>
    <w:p w:rsidR="00EB5130" w:rsidRDefault="00EB5130" w:rsidP="00EB5130">
      <w:pPr>
        <w:jc w:val="center"/>
        <w:rPr>
          <w:rFonts w:ascii="Times New Roman" w:eastAsia="黑体" w:hAnsi="Times New Roman"/>
          <w:sz w:val="32"/>
          <w:szCs w:val="32"/>
        </w:rPr>
      </w:pPr>
    </w:p>
    <w:p w:rsidR="00080FCA" w:rsidRPr="00080FCA" w:rsidRDefault="00080FCA" w:rsidP="00EB5130">
      <w:pPr>
        <w:jc w:val="center"/>
        <w:rPr>
          <w:rFonts w:ascii="Times New Roman" w:eastAsia="黑体" w:hAnsi="Times New Roman"/>
          <w:sz w:val="32"/>
          <w:szCs w:val="32"/>
        </w:rPr>
      </w:pPr>
    </w:p>
    <w:p w:rsidR="00EB5130" w:rsidRDefault="00EB5130" w:rsidP="00EB5130">
      <w:pPr>
        <w:jc w:val="center"/>
        <w:rPr>
          <w:rFonts w:ascii="Times New Roman" w:eastAsia="黑体" w:hAnsi="Times New Roman"/>
          <w:sz w:val="32"/>
          <w:szCs w:val="32"/>
        </w:rPr>
      </w:pPr>
    </w:p>
    <w:p w:rsidR="00EB5130" w:rsidRDefault="00EB5130" w:rsidP="00EB5130">
      <w:pPr>
        <w:jc w:val="center"/>
        <w:rPr>
          <w:rFonts w:ascii="Times New Roman" w:eastAsia="黑体" w:hAnsi="Times New Roman"/>
          <w:sz w:val="32"/>
          <w:szCs w:val="32"/>
        </w:rPr>
      </w:pPr>
    </w:p>
    <w:p w:rsidR="00EB5130" w:rsidRDefault="00EB5130" w:rsidP="00EB5130">
      <w:pPr>
        <w:jc w:val="center"/>
        <w:rPr>
          <w:rFonts w:ascii="Times New Roman" w:eastAsia="黑体" w:hAnsi="Times New Roman"/>
          <w:sz w:val="32"/>
          <w:szCs w:val="32"/>
        </w:rPr>
      </w:pPr>
    </w:p>
    <w:p w:rsidR="009F459F" w:rsidRDefault="009F459F" w:rsidP="00EB5130">
      <w:pPr>
        <w:jc w:val="center"/>
        <w:rPr>
          <w:rFonts w:ascii="Times New Roman" w:eastAsia="黑体" w:hAnsi="Times New Roman"/>
          <w:sz w:val="32"/>
          <w:szCs w:val="32"/>
        </w:rPr>
      </w:pPr>
    </w:p>
    <w:p w:rsidR="009F459F" w:rsidRDefault="009F459F" w:rsidP="00EB5130">
      <w:pPr>
        <w:jc w:val="center"/>
        <w:rPr>
          <w:rFonts w:ascii="Times New Roman" w:eastAsia="黑体" w:hAnsi="Times New Roman"/>
          <w:sz w:val="32"/>
          <w:szCs w:val="32"/>
        </w:rPr>
      </w:pPr>
    </w:p>
    <w:p w:rsidR="00EB5130" w:rsidRDefault="00EB5130" w:rsidP="00EB5130">
      <w:pPr>
        <w:jc w:val="center"/>
        <w:rPr>
          <w:rFonts w:ascii="Times New Roman" w:eastAsia="黑体" w:hAnsi="Times New Roman"/>
          <w:sz w:val="32"/>
          <w:szCs w:val="32"/>
        </w:rPr>
      </w:pPr>
    </w:p>
    <w:p w:rsidR="00EB5130" w:rsidRDefault="00EE21C1" w:rsidP="00EB5130">
      <w:pPr>
        <w:jc w:val="center"/>
        <w:rPr>
          <w:rFonts w:ascii="Times New Roman" w:eastAsia="黑体" w:hAnsi="Times New Roman"/>
          <w:sz w:val="44"/>
          <w:szCs w:val="44"/>
        </w:rPr>
      </w:pPr>
      <w:r>
        <w:rPr>
          <w:rFonts w:ascii="Times New Roman" w:eastAsia="黑体" w:hAnsi="Times New Roman" w:hint="eastAsia"/>
          <w:sz w:val="44"/>
          <w:szCs w:val="44"/>
        </w:rPr>
        <w:t>中方县商务科技和工业信息化局</w:t>
      </w:r>
    </w:p>
    <w:p w:rsidR="00EB5130" w:rsidRDefault="00EB5130" w:rsidP="00EB5130">
      <w:pPr>
        <w:jc w:val="center"/>
        <w:rPr>
          <w:rFonts w:ascii="Times New Roman" w:eastAsia="黑体" w:hAnsi="Times New Roman"/>
          <w:sz w:val="32"/>
          <w:szCs w:val="32"/>
        </w:rPr>
      </w:pPr>
    </w:p>
    <w:p w:rsidR="00EB5130" w:rsidRDefault="00EB5130" w:rsidP="00EB5130">
      <w:pPr>
        <w:jc w:val="center"/>
        <w:rPr>
          <w:rFonts w:ascii="Times New Roman" w:eastAsia="黑体" w:hAnsi="Times New Roman"/>
          <w:sz w:val="32"/>
          <w:szCs w:val="32"/>
        </w:rPr>
      </w:pPr>
    </w:p>
    <w:p w:rsidR="00EB5130" w:rsidRDefault="00EB5130" w:rsidP="00EB5130">
      <w:pPr>
        <w:jc w:val="center"/>
        <w:rPr>
          <w:rFonts w:ascii="Times New Roman" w:eastAsia="仿宋_GB2312" w:hAnsi="Times New Roman"/>
          <w:sz w:val="32"/>
          <w:szCs w:val="32"/>
        </w:rPr>
      </w:pPr>
      <w:r>
        <w:rPr>
          <w:rFonts w:ascii="Times New Roman" w:eastAsia="仿宋_GB2312" w:hAnsi="Times New Roman"/>
          <w:sz w:val="32"/>
          <w:szCs w:val="32"/>
        </w:rPr>
        <w:t>（此页为封面）</w:t>
      </w:r>
    </w:p>
    <w:p w:rsidR="00EB5130" w:rsidRDefault="00EB5130" w:rsidP="00EB5130">
      <w:pPr>
        <w:pStyle w:val="a5"/>
        <w:widowControl/>
        <w:spacing w:line="600" w:lineRule="exact"/>
        <w:ind w:firstLine="640"/>
        <w:rPr>
          <w:rFonts w:ascii="Times New Roman" w:eastAsia="黑体" w:hAnsi="Times New Roman"/>
          <w:bCs/>
          <w:color w:val="000000"/>
          <w:sz w:val="32"/>
          <w:szCs w:val="32"/>
        </w:rPr>
      </w:pPr>
      <w:r>
        <w:rPr>
          <w:rFonts w:ascii="Times New Roman" w:eastAsia="黑体" w:hAnsi="Times New Roman"/>
          <w:sz w:val="32"/>
          <w:szCs w:val="32"/>
        </w:rPr>
        <w:br w:type="page"/>
      </w:r>
      <w:r>
        <w:rPr>
          <w:rFonts w:ascii="Times New Roman" w:eastAsia="黑体" w:hAnsi="Times New Roman"/>
          <w:bCs/>
          <w:color w:val="000000"/>
          <w:sz w:val="32"/>
          <w:szCs w:val="32"/>
        </w:rPr>
        <w:lastRenderedPageBreak/>
        <w:t>一、单位基本情况</w:t>
      </w:r>
    </w:p>
    <w:p w:rsidR="007557E3" w:rsidRDefault="007557E3" w:rsidP="007557E3">
      <w:pPr>
        <w:snapToGrid w:val="0"/>
        <w:spacing w:line="520" w:lineRule="exact"/>
        <w:ind w:firstLineChars="200" w:firstLine="640"/>
        <w:rPr>
          <w:rFonts w:ascii="仿宋" w:eastAsia="仿宋" w:hAnsi="仿宋"/>
          <w:sz w:val="32"/>
          <w:szCs w:val="32"/>
        </w:rPr>
      </w:pPr>
      <w:r>
        <w:rPr>
          <w:rFonts w:ascii="仿宋" w:eastAsia="仿宋" w:hAnsi="仿宋" w:hint="eastAsia"/>
          <w:sz w:val="32"/>
          <w:szCs w:val="32"/>
        </w:rPr>
        <w:t>1．主要职能</w:t>
      </w:r>
    </w:p>
    <w:p w:rsidR="007557E3" w:rsidRDefault="007557E3" w:rsidP="007557E3">
      <w:pPr>
        <w:spacing w:line="54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1.1、商务工作职责</w:t>
      </w:r>
    </w:p>
    <w:p w:rsidR="007557E3" w:rsidRDefault="007557E3" w:rsidP="007557E3">
      <w:pPr>
        <w:spacing w:line="54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1）贯彻执行国家国内外贸易、国际经济合作和区域经济合作的发展战略、政策，起草我县国内外贸易、招商引资、承接产业转移、对外援助、对外投资和对外经济合作的政策措施和实施办法，研究经济全球化、区域经济合作、现代流通方式的发展趋势和流通体制改革并提出建议。</w:t>
      </w:r>
    </w:p>
    <w:p w:rsidR="007557E3" w:rsidRDefault="007557E3" w:rsidP="007557E3">
      <w:pPr>
        <w:spacing w:line="54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 xml:space="preserve"> （2）负责推进流通产业结构调整，指导流通企业改革，促进商贸服务业和社区商业发展，提出促进商贸中小企业发展的政策建议，推动流通标准化和连锁经营、商业特许经营、物流配送、电子商务等现代流通方式的发展。</w:t>
      </w:r>
    </w:p>
    <w:p w:rsidR="007557E3" w:rsidRDefault="007557E3" w:rsidP="007557E3">
      <w:pPr>
        <w:spacing w:line="56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3）拟订全县国内贸易发展规划，促进城乡市场发展，研究提出引导国内外资金投向市场体系建设的政策建议，指导大宗产品批发市场规划和城市商业网点规划、商业体系建设工作，推进农村市场体系建设，组织实施农村现代流通网络工程。</w:t>
      </w:r>
    </w:p>
    <w:p w:rsidR="007557E3" w:rsidRDefault="007557E3" w:rsidP="007557E3">
      <w:pPr>
        <w:spacing w:line="56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（4）承担牵头协调整顿和规范市场经济秩序工作的责任，拟订规范市场秩序的政策；推动商务领域信用建设，指导商业信用销售，建立市场诚信公共服务平台；按有关规定对特殊流通行业进行监督管理。</w:t>
      </w:r>
    </w:p>
    <w:p w:rsidR="007557E3" w:rsidRDefault="007557E3" w:rsidP="007557E3">
      <w:pPr>
        <w:spacing w:line="56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（5）承担组织实施重要消费品市场调控和重要生产资料流通管理的责任，监测分析市场运行、商品供求状况，调查分析商品价格信息，进行预测预警和信息引导；按有关规定对成品油流</w:t>
      </w:r>
      <w:r>
        <w:rPr>
          <w:rFonts w:ascii="仿宋" w:eastAsia="仿宋" w:hAnsi="仿宋" w:cs="仿宋_GB2312" w:hint="eastAsia"/>
          <w:color w:val="333333"/>
          <w:kern w:val="0"/>
          <w:sz w:val="32"/>
          <w:szCs w:val="32"/>
          <w:shd w:val="clear" w:color="auto" w:fill="FFFFFF"/>
        </w:rPr>
        <w:lastRenderedPageBreak/>
        <w:t>通进行监督管理。</w:t>
      </w:r>
    </w:p>
    <w:p w:rsidR="007557E3" w:rsidRDefault="007557E3" w:rsidP="007557E3">
      <w:pPr>
        <w:spacing w:line="56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6）贯彻执行国家进出口商品、加工贸易管理办法和进出口管理商品、技术目录，拟订促进外贸增长方式转变的政策措施，组织实施重要工业品、原材料和重要农产品进出口总量计划，会同有关部门协调大宗商品的进出口，指导贸易促进活动和外贸促进体系建设。</w:t>
      </w:r>
    </w:p>
    <w:p w:rsidR="007557E3" w:rsidRDefault="007557E3" w:rsidP="007557E3">
      <w:pPr>
        <w:spacing w:line="56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（7）贯彻执行国家对外技术贸易、出口管制以及鼓励技术和成套设备进出口的贸易政策，推进进出口贸易标准化工作；依法监督技术引进、设备进口、国家限制出口技术的工作。</w:t>
      </w:r>
    </w:p>
    <w:p w:rsidR="007557E3" w:rsidRDefault="007557E3" w:rsidP="007557E3">
      <w:pPr>
        <w:spacing w:line="56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（8）牵头拟订服务贸易发展规划并开展相关工作；会同有关部门制定促进服务出口、服务外包的规划、政策并组织实施，推动服务外包平台建设。</w:t>
      </w:r>
    </w:p>
    <w:p w:rsidR="007557E3" w:rsidRDefault="007557E3" w:rsidP="007557E3">
      <w:pPr>
        <w:spacing w:line="56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9）贯彻执行我国多双边(含区域、自由贸易区)经贸合作战略和政策，推进我县与其他国家(地区)的经贸往来与投资贸易合作；牵头承担全县商务领域涉及世界贸易组织事务的相关工作，负责对外经济贸易协调工作。</w:t>
      </w:r>
      <w:r>
        <w:rPr>
          <w:rFonts w:ascii="仿宋_GB2312" w:eastAsia="仿宋" w:hAnsi="仿宋_GB2312" w:cs="仿宋_GB2312" w:hint="eastAsia"/>
          <w:color w:val="333333"/>
          <w:kern w:val="0"/>
          <w:sz w:val="32"/>
          <w:szCs w:val="32"/>
          <w:shd w:val="clear" w:color="auto" w:fill="FFFFFF"/>
        </w:rPr>
        <w:t> </w:t>
      </w:r>
    </w:p>
    <w:p w:rsidR="007557E3" w:rsidRDefault="007557E3" w:rsidP="007557E3">
      <w:pPr>
        <w:spacing w:line="56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（10）负责组织协调反倾销、反补贴、保障措施及其他与进出口公平贸易相关的工作，协助开展对外贸易调查和产业损害调查，指导协调产业安全应对工作。</w:t>
      </w:r>
    </w:p>
    <w:p w:rsidR="007557E3" w:rsidRDefault="007557E3" w:rsidP="007557E3">
      <w:pPr>
        <w:spacing w:line="56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11)指导和管理全县招商引资、投资促进和承接产业转移工作，拟订并组织实施招商引资和承接产业转移政策；依权限实施外商投资企业的设立及变更备案；依权限进行重大外商投资项目的合同章程及法律特别规定的重大变更事项报批；依法监督检</w:t>
      </w:r>
      <w:r>
        <w:rPr>
          <w:rFonts w:ascii="仿宋" w:eastAsia="仿宋" w:hAnsi="仿宋" w:cs="仿宋_GB2312" w:hint="eastAsia"/>
          <w:color w:val="333333"/>
          <w:kern w:val="0"/>
          <w:sz w:val="32"/>
          <w:szCs w:val="32"/>
          <w:shd w:val="clear" w:color="auto" w:fill="FFFFFF"/>
        </w:rPr>
        <w:lastRenderedPageBreak/>
        <w:t>查外商投资企业执行有关法律法规规章、合同章程的情况并协调解决有关问题。</w:t>
      </w:r>
    </w:p>
    <w:p w:rsidR="007557E3" w:rsidRDefault="007557E3" w:rsidP="007557E3">
      <w:pPr>
        <w:spacing w:line="56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(12)拟订并组织实施对外经济合作政策；依法管理和监督对外承包工程、对外劳务合作等；拟订县内人员出境就业管理政策并组织实施，负责牵头外派劳务和境外就业人员的权益保护工作；拟订境外投资的管理办法和具体政策，对县内企业对外投资开办企业(金融企业除外)按程序报批。</w:t>
      </w:r>
    </w:p>
    <w:p w:rsidR="007557E3" w:rsidRDefault="007557E3" w:rsidP="007557E3">
      <w:pPr>
        <w:spacing w:line="56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(13)贯彻执行国家对外援助政策和方案，协调管理全县承担的对外援助项目；协调管理多双边对我县的无偿援助和赠款(不含财政合作项下外国政府及国际金融组织的赠款)等发展合作业务。</w:t>
      </w:r>
    </w:p>
    <w:p w:rsidR="007557E3" w:rsidRDefault="007557E3" w:rsidP="007557E3">
      <w:pPr>
        <w:spacing w:line="56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(14)贯彻执行国家对香港、澳门特别行政区和台湾地区的经贸规划、政策，指导我县对港、澳、台地区贸易和经贸合作活动，协调港、澳、台商投资管理工作。</w:t>
      </w:r>
    </w:p>
    <w:p w:rsidR="007557E3" w:rsidRDefault="007557E3" w:rsidP="007557E3">
      <w:pPr>
        <w:spacing w:line="56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(15) 承担会展业促进与管理有关工作。</w:t>
      </w:r>
    </w:p>
    <w:p w:rsidR="007557E3" w:rsidRDefault="007557E3" w:rsidP="007557E3">
      <w:pPr>
        <w:spacing w:line="56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(16)负责全县对外开放口岸的规划、申报及有关审批工作；协调管理全县口岸工作，推动建立大通关机制。</w:t>
      </w:r>
      <w:r>
        <w:rPr>
          <w:rFonts w:ascii="仿宋_GB2312" w:eastAsia="仿宋" w:hAnsi="仿宋_GB2312" w:cs="仿宋_GB2312" w:hint="eastAsia"/>
          <w:color w:val="333333"/>
          <w:kern w:val="0"/>
          <w:sz w:val="32"/>
          <w:szCs w:val="32"/>
          <w:shd w:val="clear" w:color="auto" w:fill="FFFFFF"/>
        </w:rPr>
        <w:t> </w:t>
      </w:r>
    </w:p>
    <w:p w:rsidR="007557E3" w:rsidRDefault="007557E3" w:rsidP="007557E3">
      <w:pPr>
        <w:spacing w:line="56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 xml:space="preserve"> 1.2、科技工作职责</w:t>
      </w:r>
    </w:p>
    <w:p w:rsidR="007557E3" w:rsidRDefault="007557E3" w:rsidP="007557E3">
      <w:pPr>
        <w:spacing w:line="54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(17)贯彻创新驱动发展战略和创新引领开放崛起战略；拟订全县科技发展规划和方针、政策，起草有关地方性科技政策，规章草案，并组织实施和监督检查。</w:t>
      </w:r>
    </w:p>
    <w:p w:rsidR="007557E3" w:rsidRDefault="007557E3" w:rsidP="007557E3">
      <w:pPr>
        <w:spacing w:line="54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(18)统筹推进全县创新体系建设和科技体制改革，会同有关部门健全技术创新激励机制，推动企业科技创新能力建设。拟订</w:t>
      </w:r>
      <w:r>
        <w:rPr>
          <w:rFonts w:ascii="仿宋" w:eastAsia="仿宋" w:hAnsi="仿宋" w:cs="仿宋_GB2312" w:hint="eastAsia"/>
          <w:color w:val="333333"/>
          <w:kern w:val="0"/>
          <w:sz w:val="32"/>
          <w:szCs w:val="32"/>
          <w:shd w:val="clear" w:color="auto" w:fill="FFFFFF"/>
        </w:rPr>
        <w:lastRenderedPageBreak/>
        <w:t>科学普及和科学传播规划、政策。统筹推进创新型城市建设。</w:t>
      </w:r>
    </w:p>
    <w:p w:rsidR="007557E3" w:rsidRDefault="007557E3" w:rsidP="007557E3">
      <w:pPr>
        <w:spacing w:line="54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(19)会同有关部门提出优化配置科技资源的政策措施建议，推动多元化科技投入体系建设。建立科技风险投资机制，为科技发展创造必要的环境和条件。</w:t>
      </w:r>
    </w:p>
    <w:p w:rsidR="007557E3" w:rsidRDefault="007557E3" w:rsidP="007557E3">
      <w:pPr>
        <w:spacing w:line="54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(20)负责组织制订全县各类年度科技计划，提出各类科技计划的协调、综合平衡和经费配置建议，并组织实施和监督管理。</w:t>
      </w:r>
    </w:p>
    <w:p w:rsidR="007557E3" w:rsidRDefault="007557E3" w:rsidP="007557E3">
      <w:pPr>
        <w:spacing w:line="54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(21)组织拟订高新技术发展及产业化、科技促进农业农村和社会发展的规划、政策和措施。指导科技成果转化和各类科技示范园区的建设，指导科技园区、基地、科技创业及孵化平台建设工作。</w:t>
      </w:r>
    </w:p>
    <w:p w:rsidR="007557E3" w:rsidRDefault="007557E3" w:rsidP="007557E3">
      <w:pPr>
        <w:spacing w:line="54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(22)牵头县级技术转移体系建设，拟订科技成果转移转化和促进产学研结合的相关政策措施并监督实施。指导科技服务业技术市场、科技金融结合和科技中介组织发展。</w:t>
      </w:r>
    </w:p>
    <w:p w:rsidR="007557E3" w:rsidRDefault="007557E3" w:rsidP="007557E3">
      <w:pPr>
        <w:spacing w:line="54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(23)归口管理成果登记、鉴定、科技奖励、科技保密、技术市场等工作；审核县属科技机构的组建与调整；参与全县科技法律、法规落实情况的督促检查。</w:t>
      </w:r>
    </w:p>
    <w:p w:rsidR="007557E3" w:rsidRDefault="007557E3" w:rsidP="007557E3">
      <w:pPr>
        <w:spacing w:line="54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(24)归口管理全县民营科技工作；负责科技型企业、高新技术企业的申报、推荐、管理以及综合服务工作。</w:t>
      </w:r>
    </w:p>
    <w:p w:rsidR="007557E3" w:rsidRDefault="007557E3" w:rsidP="007557E3">
      <w:pPr>
        <w:spacing w:line="54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(25) 负责引进国外和国内智力工作。拟订全县重点引进国外专家总体规划、计划并组织实施，建立国外和国内顶尖科学家、团队吸引集聚机制和重点国内外专家联系服务机制。</w:t>
      </w:r>
    </w:p>
    <w:p w:rsidR="007557E3" w:rsidRDefault="007557E3" w:rsidP="007557E3">
      <w:pPr>
        <w:spacing w:line="54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(26)参与研究科技人才队伍建设规划和政策建立，健全科技人才评价和激励机制，组织实施科技人才计划。指导相关部门和企业对外科技合作与科技人才交流工作。</w:t>
      </w:r>
    </w:p>
    <w:p w:rsidR="007557E3" w:rsidRDefault="007557E3" w:rsidP="007557E3">
      <w:pPr>
        <w:spacing w:line="54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lastRenderedPageBreak/>
        <w:t>(27)指导协调县直各部门、各行业和各乡镇的科技管理工作，协调有关部门搞好科技培训和科技宣传工作。</w:t>
      </w:r>
    </w:p>
    <w:p w:rsidR="007557E3" w:rsidRDefault="007557E3" w:rsidP="007557E3">
      <w:pPr>
        <w:spacing w:line="560" w:lineRule="exact"/>
        <w:ind w:firstLineChars="200" w:firstLine="640"/>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1.3、工业信息化工作职责</w:t>
      </w:r>
    </w:p>
    <w:p w:rsidR="007557E3" w:rsidRDefault="007557E3" w:rsidP="007557E3">
      <w:pPr>
        <w:spacing w:line="560" w:lineRule="exact"/>
        <w:ind w:firstLine="645"/>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（28）贯彻落实国家和省市有关经济和信息化的方针政策和法律法规。</w:t>
      </w:r>
    </w:p>
    <w:p w:rsidR="007557E3" w:rsidRDefault="007557E3" w:rsidP="007557E3">
      <w:pPr>
        <w:spacing w:line="560" w:lineRule="exact"/>
        <w:ind w:firstLine="645"/>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29）拟订并组织实施工业、信息化发展规划、计划及产业政策；研究提出推进产业结构调整、工业与相关产业融合发展及管理创新的政策建议；指导工业和信息化领域加强安全生产、质量管理和应急管理工作；会同有关部门做好全县维护企业稳定工作。</w:t>
      </w:r>
    </w:p>
    <w:p w:rsidR="007557E3" w:rsidRDefault="007557E3" w:rsidP="007557E3">
      <w:pPr>
        <w:spacing w:line="560" w:lineRule="exact"/>
        <w:ind w:firstLine="645"/>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30）负责全县工业和信息化领域的日常经济运行调节，编制并组织实施近期工业和信息化领域的经济运行调控目标、政策和措施；监测分析近期工业和信息化领域的经济运行态势，统计并发布相关信息，统筹协调解决经济运行中的突出矛盾和问题并提出政策建议。</w:t>
      </w:r>
    </w:p>
    <w:p w:rsidR="007557E3" w:rsidRDefault="007557E3" w:rsidP="007557E3">
      <w:pPr>
        <w:spacing w:line="560" w:lineRule="exact"/>
        <w:ind w:firstLine="645"/>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（31）拟订全县新型工业化的发展战略，协调解决有关重大问题；推进信息化和工业化融合，推进高新技术与传统工业改造结合；推进全县国民经济和社会信息化；推进全县工业园区的建设与发展。</w:t>
      </w:r>
    </w:p>
    <w:p w:rsidR="007557E3" w:rsidRDefault="007557E3" w:rsidP="007557E3">
      <w:pPr>
        <w:spacing w:line="560" w:lineRule="exact"/>
        <w:ind w:firstLine="645"/>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32）负责工业和信息化领域的国防动员有关工作；指导工业和信息化领域技术进步、技术创新；推进工业行业体制改革和管理创新，推进产学研结合和科研成果产业化；编制和组织实施技术改造规划，提出工业和信息化固定资产投资规模和方向（含</w:t>
      </w:r>
      <w:r>
        <w:rPr>
          <w:rFonts w:ascii="仿宋" w:eastAsia="仿宋" w:hAnsi="仿宋" w:cs="仿宋_GB2312" w:hint="eastAsia"/>
          <w:color w:val="333333"/>
          <w:kern w:val="0"/>
          <w:sz w:val="32"/>
          <w:szCs w:val="32"/>
          <w:shd w:val="clear" w:color="auto" w:fill="FFFFFF"/>
        </w:rPr>
        <w:lastRenderedPageBreak/>
        <w:t>利用外资和境外投资）。</w:t>
      </w:r>
    </w:p>
    <w:p w:rsidR="007557E3" w:rsidRDefault="007557E3" w:rsidP="007557E3">
      <w:pPr>
        <w:spacing w:line="560" w:lineRule="exact"/>
        <w:ind w:firstLine="645"/>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33）负责中小企业和非公有制经济发展的宏观指导；制订全县中小企业和非公有制经济中长期发展规划并组织实施；推进中小企业服务体系建设和全民创业；综合协调有关部门拟订促进中小企业和非公有制经济发展的改革措施，协调解决有关重大问题。</w:t>
      </w:r>
    </w:p>
    <w:p w:rsidR="007557E3" w:rsidRDefault="007557E3" w:rsidP="007557E3">
      <w:pPr>
        <w:spacing w:line="560" w:lineRule="exact"/>
        <w:ind w:firstLine="645"/>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34）参与拟订能源节约和资源综合利用规划；拟订并组织实施工业能源节约和资源综合利用政策；承担工业企业的节能考核和监察工作；组织推进清洁生产工作；组织协调相关重大示范工程和相关新技术、新设备、新材料、新产品的推广应用；负责新型节能、新型墙体材料和散装水泥的管理工作。</w:t>
      </w:r>
    </w:p>
    <w:p w:rsidR="007557E3" w:rsidRDefault="007557E3" w:rsidP="007557E3">
      <w:pPr>
        <w:spacing w:line="560" w:lineRule="exact"/>
        <w:ind w:firstLine="645"/>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（35）负责煤炭、电力、石油、天然气和原材料等经济运行保障要素的工业经济运行；促进企业内部物流社会化。</w:t>
      </w:r>
    </w:p>
    <w:p w:rsidR="007557E3" w:rsidRDefault="007557E3" w:rsidP="007557E3">
      <w:pPr>
        <w:spacing w:line="560" w:lineRule="exact"/>
        <w:ind w:firstLine="645"/>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36）统筹推进经济和社会领域信息化工作；指导协调电子政务发展；推动跨行业、跨部门的互联互通和重要信息资源的开发利用、共享；推进全县信息化建设；协调全县公用通信网、互联网、广播电视网和其他专用通信网的规划和建设，促进网络资源共享。</w:t>
      </w:r>
    </w:p>
    <w:p w:rsidR="007557E3" w:rsidRDefault="007557E3" w:rsidP="007557E3">
      <w:pPr>
        <w:spacing w:line="560" w:lineRule="exact"/>
        <w:ind w:firstLine="645"/>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（37）拟订全县信息安全发展战略、规划，指导、协调信息安全保障体系建设；指导监督政府部门、重点行业重要信息系统与基础信息网络的安全保障工作；协助处理网络与信息安全的重大事件。</w:t>
      </w:r>
    </w:p>
    <w:p w:rsidR="007557E3" w:rsidRDefault="007557E3" w:rsidP="007557E3">
      <w:pPr>
        <w:spacing w:line="560" w:lineRule="exact"/>
        <w:ind w:firstLine="645"/>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（38）负责推动软件业和信息服务业的发展，协调解决重大</w:t>
      </w:r>
      <w:r>
        <w:rPr>
          <w:rFonts w:ascii="仿宋" w:eastAsia="仿宋" w:hAnsi="仿宋" w:cs="仿宋_GB2312" w:hint="eastAsia"/>
          <w:color w:val="333333"/>
          <w:kern w:val="0"/>
          <w:sz w:val="32"/>
          <w:szCs w:val="32"/>
          <w:shd w:val="clear" w:color="auto" w:fill="FFFFFF"/>
        </w:rPr>
        <w:lastRenderedPageBreak/>
        <w:t>问题；推动软件公共服务体系建设，推进软件服务外包；指导、协调技术开发和相关产业发展；依法监督管理信息服务市场。</w:t>
      </w:r>
    </w:p>
    <w:p w:rsidR="007557E3" w:rsidRDefault="007557E3" w:rsidP="007557E3">
      <w:pPr>
        <w:spacing w:line="560" w:lineRule="exact"/>
        <w:ind w:firstLine="645"/>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39）配合上级部门管理无线电频谱资源，依法监督管理无线电台（站），协调处理军地间无线电管理相关事宜，负责管理无线电监测、检测、干扰查处，协调处理电磁干扰事宜，维护空中电波秩序，依法组织实施无线电管制。</w:t>
      </w:r>
    </w:p>
    <w:p w:rsidR="007557E3" w:rsidRDefault="007557E3" w:rsidP="007557E3">
      <w:pPr>
        <w:spacing w:line="560" w:lineRule="exact"/>
        <w:ind w:firstLine="645"/>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（40）负责全县电力行政执法工作；监督检查电力法律、法规和规章的执行情况。</w:t>
      </w:r>
    </w:p>
    <w:p w:rsidR="007557E3" w:rsidRDefault="007557E3" w:rsidP="007557E3">
      <w:pPr>
        <w:spacing w:line="560" w:lineRule="exact"/>
        <w:ind w:firstLine="645"/>
        <w:rPr>
          <w:rFonts w:ascii="仿宋" w:eastAsia="仿宋" w:hAnsi="仿宋" w:cs="仿宋_GB2312"/>
          <w:color w:val="333333"/>
          <w:kern w:val="0"/>
          <w:sz w:val="32"/>
          <w:szCs w:val="32"/>
          <w:shd w:val="clear" w:color="auto" w:fill="FFFFFF"/>
        </w:rPr>
      </w:pPr>
      <w:r>
        <w:rPr>
          <w:rFonts w:ascii="仿宋" w:eastAsia="仿宋" w:hAnsi="仿宋" w:cs="仿宋_GB2312" w:hint="eastAsia"/>
          <w:color w:val="333333"/>
          <w:kern w:val="0"/>
          <w:sz w:val="32"/>
          <w:szCs w:val="32"/>
          <w:shd w:val="clear" w:color="auto" w:fill="FFFFFF"/>
        </w:rPr>
        <w:t>（41）承办县政府交办的其他事项。</w:t>
      </w:r>
    </w:p>
    <w:p w:rsidR="007557E3" w:rsidRDefault="007557E3" w:rsidP="007557E3">
      <w:pPr>
        <w:snapToGrid w:val="0"/>
        <w:spacing w:line="520" w:lineRule="exact"/>
        <w:ind w:firstLineChars="200" w:firstLine="640"/>
        <w:rPr>
          <w:rFonts w:ascii="仿宋" w:eastAsia="仿宋" w:hAnsi="仿宋"/>
          <w:sz w:val="32"/>
          <w:szCs w:val="32"/>
        </w:rPr>
      </w:pPr>
      <w:r>
        <w:rPr>
          <w:rFonts w:ascii="仿宋" w:eastAsia="仿宋" w:hAnsi="仿宋" w:hint="eastAsia"/>
          <w:sz w:val="32"/>
          <w:szCs w:val="32"/>
        </w:rPr>
        <w:t>2</w:t>
      </w:r>
      <w:r w:rsidR="00502D7F">
        <w:rPr>
          <w:rFonts w:ascii="仿宋" w:eastAsia="仿宋" w:hAnsi="仿宋" w:hint="eastAsia"/>
          <w:sz w:val="32"/>
          <w:szCs w:val="32"/>
        </w:rPr>
        <w:t>．机构情况</w:t>
      </w:r>
    </w:p>
    <w:p w:rsidR="007557E3" w:rsidRDefault="007557E3" w:rsidP="007557E3">
      <w:pPr>
        <w:spacing w:line="560" w:lineRule="exact"/>
        <w:ind w:firstLineChars="200" w:firstLine="640"/>
        <w:rPr>
          <w:rFonts w:ascii="仿宋" w:eastAsia="仿宋" w:hAnsi="仿宋" w:cs="仿宋_GB2312"/>
          <w:snapToGrid w:val="0"/>
          <w:sz w:val="32"/>
          <w:szCs w:val="32"/>
        </w:rPr>
      </w:pPr>
      <w:r>
        <w:rPr>
          <w:rFonts w:ascii="仿宋" w:eastAsia="仿宋" w:hAnsi="仿宋" w:cs="仿宋_GB2312" w:hint="eastAsia"/>
          <w:sz w:val="32"/>
          <w:szCs w:val="32"/>
        </w:rPr>
        <w:t>中方县商务科技工业信息化局为正科级全额拨款行政单位。内设办公室、财务审计股、人事股、行政审批股、运行监测股、投资规划股、信息化股、科学管理股、市场体系建设股、涉外经济股、电子商务股和执法大队等12个机构和投资促进事务中心、中小企业服务中心、新型墙体改革办、科技情报研究所、电力行政执法大队、中小企业培训中心等6个事业单位,没有二级预算单位。</w:t>
      </w:r>
    </w:p>
    <w:p w:rsidR="007557E3" w:rsidRDefault="007557E3" w:rsidP="007557E3">
      <w:pPr>
        <w:snapToGrid w:val="0"/>
        <w:spacing w:line="520" w:lineRule="exact"/>
        <w:ind w:firstLineChars="200" w:firstLine="640"/>
        <w:rPr>
          <w:rFonts w:ascii="仿宋" w:eastAsia="仿宋" w:hAnsi="仿宋"/>
          <w:sz w:val="32"/>
          <w:szCs w:val="32"/>
        </w:rPr>
      </w:pPr>
      <w:r>
        <w:rPr>
          <w:rFonts w:ascii="仿宋" w:eastAsia="仿宋" w:hAnsi="仿宋" w:hint="eastAsia"/>
          <w:sz w:val="32"/>
          <w:szCs w:val="32"/>
        </w:rPr>
        <w:t>3</w:t>
      </w:r>
      <w:r w:rsidR="00502D7F">
        <w:rPr>
          <w:rFonts w:ascii="仿宋" w:eastAsia="仿宋" w:hAnsi="仿宋" w:hint="eastAsia"/>
          <w:sz w:val="32"/>
          <w:szCs w:val="32"/>
        </w:rPr>
        <w:t>．人员情况</w:t>
      </w:r>
    </w:p>
    <w:p w:rsidR="007557E3" w:rsidRDefault="007557E3" w:rsidP="007557E3">
      <w:pPr>
        <w:spacing w:line="560" w:lineRule="exact"/>
        <w:ind w:firstLineChars="200" w:firstLine="640"/>
        <w:rPr>
          <w:rFonts w:ascii="仿宋" w:eastAsia="仿宋" w:hAnsi="仿宋" w:cs="仿宋_GB2312"/>
          <w:snapToGrid w:val="0"/>
          <w:sz w:val="32"/>
          <w:szCs w:val="32"/>
        </w:rPr>
      </w:pPr>
      <w:r>
        <w:rPr>
          <w:rFonts w:ascii="仿宋" w:eastAsia="仿宋" w:hAnsi="仿宋" w:cs="仿宋_GB2312" w:hint="eastAsia"/>
          <w:sz w:val="32"/>
          <w:szCs w:val="32"/>
        </w:rPr>
        <w:t>核定编制61人，其中：行政编制9人，事业编制48人，工勤编制4人。实有在职人员66人，退休人员44人。</w:t>
      </w:r>
    </w:p>
    <w:p w:rsidR="007557E3" w:rsidRPr="007557E3" w:rsidRDefault="007557E3" w:rsidP="00EB5130">
      <w:pPr>
        <w:spacing w:line="560" w:lineRule="exact"/>
        <w:ind w:firstLineChars="200" w:firstLine="640"/>
        <w:rPr>
          <w:rFonts w:ascii="Times New Roman" w:eastAsia="黑体" w:hAnsi="Times New Roman"/>
          <w:bCs/>
          <w:color w:val="000000"/>
          <w:sz w:val="32"/>
          <w:szCs w:val="32"/>
        </w:rPr>
      </w:pPr>
    </w:p>
    <w:p w:rsidR="00EB5130" w:rsidRDefault="00EB5130" w:rsidP="00EB5130">
      <w:pPr>
        <w:spacing w:line="56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t>二、部门整体支出管理及使用情况</w:t>
      </w:r>
    </w:p>
    <w:p w:rsidR="00EB5130" w:rsidRDefault="00EB5130" w:rsidP="00EB5130">
      <w:pPr>
        <w:spacing w:line="560" w:lineRule="exact"/>
        <w:ind w:firstLineChars="200" w:firstLine="640"/>
        <w:rPr>
          <w:rFonts w:ascii="Times New Roman" w:eastAsia="仿宋_GB2312" w:hAnsi="Times New Roman"/>
          <w:bCs/>
          <w:color w:val="000000"/>
          <w:sz w:val="32"/>
          <w:szCs w:val="32"/>
        </w:rPr>
      </w:pPr>
      <w:r>
        <w:rPr>
          <w:rFonts w:ascii="Times New Roman" w:eastAsia="仿宋_GB2312" w:hAnsi="Times New Roman"/>
          <w:bCs/>
          <w:color w:val="000000"/>
          <w:sz w:val="32"/>
          <w:szCs w:val="32"/>
        </w:rPr>
        <w:t>（一）基本支出</w:t>
      </w:r>
    </w:p>
    <w:p w:rsidR="00D10A06" w:rsidRDefault="00D10A06" w:rsidP="00D10A06">
      <w:pPr>
        <w:snapToGrid w:val="0"/>
        <w:spacing w:line="520" w:lineRule="exact"/>
        <w:ind w:firstLineChars="200" w:firstLine="640"/>
        <w:rPr>
          <w:rFonts w:ascii="仿宋" w:eastAsia="仿宋" w:hAnsi="仿宋"/>
          <w:sz w:val="32"/>
          <w:szCs w:val="32"/>
        </w:rPr>
      </w:pPr>
      <w:r w:rsidRPr="003F46EA">
        <w:rPr>
          <w:rFonts w:ascii="仿宋" w:eastAsia="仿宋" w:hAnsi="仿宋" w:hint="eastAsia"/>
          <w:sz w:val="32"/>
          <w:szCs w:val="32"/>
        </w:rPr>
        <w:lastRenderedPageBreak/>
        <w:t>2020年度基本支出预算收入774.62万元；其中工资福利支出621.21万元，商品服务支出80.55万元。基本支出决算收入</w:t>
      </w:r>
      <w:r w:rsidR="006B2C9B" w:rsidRPr="003F46EA">
        <w:rPr>
          <w:rFonts w:ascii="仿宋" w:eastAsia="仿宋" w:hAnsi="仿宋" w:hint="eastAsia"/>
          <w:sz w:val="32"/>
          <w:szCs w:val="32"/>
        </w:rPr>
        <w:t>780.68</w:t>
      </w:r>
      <w:r w:rsidRPr="003F46EA">
        <w:rPr>
          <w:rFonts w:ascii="仿宋" w:eastAsia="仿宋" w:hAnsi="仿宋" w:hint="eastAsia"/>
          <w:sz w:val="32"/>
          <w:szCs w:val="32"/>
        </w:rPr>
        <w:t>万元，主要体现在工资福利支出</w:t>
      </w:r>
      <w:r w:rsidR="006B2C9B" w:rsidRPr="003F46EA">
        <w:rPr>
          <w:rFonts w:ascii="仿宋" w:eastAsia="仿宋" w:hAnsi="仿宋" w:hint="eastAsia"/>
          <w:sz w:val="32"/>
          <w:szCs w:val="32"/>
        </w:rPr>
        <w:t>630.81</w:t>
      </w:r>
      <w:r w:rsidRPr="003F46EA">
        <w:rPr>
          <w:rFonts w:ascii="仿宋" w:eastAsia="仿宋" w:hAnsi="仿宋" w:hint="eastAsia"/>
          <w:sz w:val="32"/>
          <w:szCs w:val="32"/>
        </w:rPr>
        <w:t>万元；商品服务支出</w:t>
      </w:r>
      <w:r w:rsidR="006B2C9B" w:rsidRPr="003F46EA">
        <w:rPr>
          <w:rFonts w:ascii="仿宋" w:eastAsia="仿宋" w:hAnsi="仿宋" w:hint="eastAsia"/>
          <w:sz w:val="32"/>
          <w:szCs w:val="32"/>
        </w:rPr>
        <w:t>60.91</w:t>
      </w:r>
      <w:r w:rsidRPr="003F46EA">
        <w:rPr>
          <w:rFonts w:ascii="仿宋" w:eastAsia="仿宋" w:hAnsi="仿宋" w:hint="eastAsia"/>
          <w:sz w:val="32"/>
          <w:szCs w:val="32"/>
        </w:rPr>
        <w:t>万元，对个人和家庭的补助</w:t>
      </w:r>
      <w:r w:rsidR="00CA755E" w:rsidRPr="003F46EA">
        <w:rPr>
          <w:rFonts w:ascii="仿宋" w:eastAsia="仿宋" w:hAnsi="仿宋" w:hint="eastAsia"/>
          <w:sz w:val="32"/>
          <w:szCs w:val="32"/>
        </w:rPr>
        <w:t>88.96</w:t>
      </w:r>
      <w:r w:rsidRPr="003F46EA">
        <w:rPr>
          <w:rFonts w:ascii="仿宋" w:eastAsia="仿宋" w:hAnsi="仿宋" w:hint="eastAsia"/>
          <w:sz w:val="32"/>
          <w:szCs w:val="32"/>
        </w:rPr>
        <w:t>万元。20</w:t>
      </w:r>
      <w:r w:rsidR="001F78C9" w:rsidRPr="003F46EA">
        <w:rPr>
          <w:rFonts w:ascii="仿宋" w:eastAsia="仿宋" w:hAnsi="仿宋" w:hint="eastAsia"/>
          <w:sz w:val="32"/>
          <w:szCs w:val="32"/>
        </w:rPr>
        <w:t>20</w:t>
      </w:r>
      <w:r w:rsidRPr="003F46EA">
        <w:rPr>
          <w:rFonts w:ascii="仿宋" w:eastAsia="仿宋" w:hAnsi="仿宋" w:hint="eastAsia"/>
          <w:sz w:val="32"/>
          <w:szCs w:val="32"/>
        </w:rPr>
        <w:t>年度预算“三公”经费为</w:t>
      </w:r>
      <w:r w:rsidR="001F78C9" w:rsidRPr="003F46EA">
        <w:rPr>
          <w:rFonts w:ascii="仿宋" w:eastAsia="仿宋" w:hAnsi="仿宋" w:hint="eastAsia"/>
          <w:sz w:val="32"/>
          <w:szCs w:val="32"/>
        </w:rPr>
        <w:t>44</w:t>
      </w:r>
      <w:r w:rsidRPr="003F46EA">
        <w:rPr>
          <w:rFonts w:ascii="仿宋" w:eastAsia="仿宋" w:hAnsi="仿宋" w:hint="eastAsia"/>
          <w:sz w:val="32"/>
          <w:szCs w:val="32"/>
        </w:rPr>
        <w:t>万元，其中：因公出国（境）费为0元，公务车运行及维护开支为</w:t>
      </w:r>
      <w:r w:rsidR="001F78C9" w:rsidRPr="003F46EA">
        <w:rPr>
          <w:rFonts w:ascii="仿宋" w:eastAsia="仿宋" w:hAnsi="仿宋" w:hint="eastAsia"/>
          <w:sz w:val="32"/>
          <w:szCs w:val="32"/>
        </w:rPr>
        <w:t>2</w:t>
      </w:r>
      <w:r w:rsidRPr="003F46EA">
        <w:rPr>
          <w:rFonts w:ascii="仿宋" w:eastAsia="仿宋" w:hAnsi="仿宋" w:hint="eastAsia"/>
          <w:sz w:val="32"/>
          <w:szCs w:val="32"/>
        </w:rPr>
        <w:t>元，因公接待为</w:t>
      </w:r>
      <w:r w:rsidR="001F78C9" w:rsidRPr="003F46EA">
        <w:rPr>
          <w:rFonts w:ascii="仿宋" w:eastAsia="仿宋" w:hAnsi="仿宋" w:hint="eastAsia"/>
          <w:sz w:val="32"/>
          <w:szCs w:val="32"/>
        </w:rPr>
        <w:t>42</w:t>
      </w:r>
      <w:r w:rsidRPr="003F46EA">
        <w:rPr>
          <w:rFonts w:ascii="仿宋" w:eastAsia="仿宋" w:hAnsi="仿宋" w:hint="eastAsia"/>
          <w:sz w:val="32"/>
          <w:szCs w:val="32"/>
        </w:rPr>
        <w:t>万元；20</w:t>
      </w:r>
      <w:r w:rsidR="001F78C9" w:rsidRPr="003F46EA">
        <w:rPr>
          <w:rFonts w:ascii="仿宋" w:eastAsia="仿宋" w:hAnsi="仿宋" w:hint="eastAsia"/>
          <w:sz w:val="32"/>
          <w:szCs w:val="32"/>
        </w:rPr>
        <w:t>20</w:t>
      </w:r>
      <w:r w:rsidRPr="003F46EA">
        <w:rPr>
          <w:rFonts w:ascii="仿宋" w:eastAsia="仿宋" w:hAnsi="仿宋" w:hint="eastAsia"/>
          <w:sz w:val="32"/>
          <w:szCs w:val="32"/>
        </w:rPr>
        <w:t>年度“三公”经费实际支出为29.</w:t>
      </w:r>
      <w:r w:rsidR="001F78C9" w:rsidRPr="003F46EA">
        <w:rPr>
          <w:rFonts w:ascii="仿宋" w:eastAsia="仿宋" w:hAnsi="仿宋" w:hint="eastAsia"/>
          <w:sz w:val="32"/>
          <w:szCs w:val="32"/>
        </w:rPr>
        <w:t>7</w:t>
      </w:r>
      <w:r w:rsidRPr="003F46EA">
        <w:rPr>
          <w:rFonts w:ascii="仿宋" w:eastAsia="仿宋" w:hAnsi="仿宋" w:hint="eastAsia"/>
          <w:sz w:val="32"/>
          <w:szCs w:val="32"/>
        </w:rPr>
        <w:t>万元，其中：因公出国（境）费为0元，公务车运行及维护开支为3.</w:t>
      </w:r>
      <w:r w:rsidR="001F78C9" w:rsidRPr="003F46EA">
        <w:rPr>
          <w:rFonts w:ascii="仿宋" w:eastAsia="仿宋" w:hAnsi="仿宋" w:hint="eastAsia"/>
          <w:sz w:val="32"/>
          <w:szCs w:val="32"/>
        </w:rPr>
        <w:t>42</w:t>
      </w:r>
      <w:r w:rsidRPr="003F46EA">
        <w:rPr>
          <w:rFonts w:ascii="仿宋" w:eastAsia="仿宋" w:hAnsi="仿宋" w:hint="eastAsia"/>
          <w:sz w:val="32"/>
          <w:szCs w:val="32"/>
        </w:rPr>
        <w:t>万元，因公接待为26.</w:t>
      </w:r>
      <w:r w:rsidR="001F78C9" w:rsidRPr="003F46EA">
        <w:rPr>
          <w:rFonts w:ascii="仿宋" w:eastAsia="仿宋" w:hAnsi="仿宋" w:hint="eastAsia"/>
          <w:sz w:val="32"/>
          <w:szCs w:val="32"/>
        </w:rPr>
        <w:t>28</w:t>
      </w:r>
      <w:r w:rsidRPr="003F46EA">
        <w:rPr>
          <w:rFonts w:ascii="仿宋" w:eastAsia="仿宋" w:hAnsi="仿宋" w:hint="eastAsia"/>
          <w:sz w:val="32"/>
          <w:szCs w:val="32"/>
        </w:rPr>
        <w:t>万元, 主要原因为招商引资业务招待增加。20</w:t>
      </w:r>
      <w:r w:rsidR="001F78C9" w:rsidRPr="003F46EA">
        <w:rPr>
          <w:rFonts w:ascii="仿宋" w:eastAsia="仿宋" w:hAnsi="仿宋" w:hint="eastAsia"/>
          <w:sz w:val="32"/>
          <w:szCs w:val="32"/>
        </w:rPr>
        <w:t>20</w:t>
      </w:r>
      <w:r w:rsidRPr="003F46EA">
        <w:rPr>
          <w:rFonts w:ascii="仿宋" w:eastAsia="仿宋" w:hAnsi="仿宋" w:hint="eastAsia"/>
          <w:sz w:val="32"/>
          <w:szCs w:val="32"/>
        </w:rPr>
        <w:t>年度公务接待费比201</w:t>
      </w:r>
      <w:r w:rsidR="001F78C9" w:rsidRPr="003F46EA">
        <w:rPr>
          <w:rFonts w:ascii="仿宋" w:eastAsia="仿宋" w:hAnsi="仿宋" w:hint="eastAsia"/>
          <w:sz w:val="32"/>
          <w:szCs w:val="32"/>
        </w:rPr>
        <w:t>9</w:t>
      </w:r>
      <w:r w:rsidRPr="003F46EA">
        <w:rPr>
          <w:rFonts w:ascii="仿宋" w:eastAsia="仿宋" w:hAnsi="仿宋" w:hint="eastAsia"/>
          <w:sz w:val="32"/>
          <w:szCs w:val="32"/>
        </w:rPr>
        <w:t>年度公务接待费</w:t>
      </w:r>
      <w:r w:rsidR="001F78C9" w:rsidRPr="003F46EA">
        <w:rPr>
          <w:rFonts w:ascii="仿宋" w:eastAsia="仿宋" w:hAnsi="仿宋" w:hint="eastAsia"/>
          <w:sz w:val="32"/>
          <w:szCs w:val="32"/>
        </w:rPr>
        <w:t>减少</w:t>
      </w:r>
      <w:r w:rsidRPr="003F46EA">
        <w:rPr>
          <w:rFonts w:ascii="仿宋" w:eastAsia="仿宋" w:hAnsi="仿宋" w:hint="eastAsia"/>
          <w:sz w:val="32"/>
          <w:szCs w:val="32"/>
        </w:rPr>
        <w:t>0.</w:t>
      </w:r>
      <w:r w:rsidR="001F78C9" w:rsidRPr="003F46EA">
        <w:rPr>
          <w:rFonts w:ascii="仿宋" w:eastAsia="仿宋" w:hAnsi="仿宋" w:hint="eastAsia"/>
          <w:sz w:val="32"/>
          <w:szCs w:val="32"/>
        </w:rPr>
        <w:t>13</w:t>
      </w:r>
      <w:r w:rsidRPr="003F46EA">
        <w:rPr>
          <w:rFonts w:ascii="仿宋" w:eastAsia="仿宋" w:hAnsi="仿宋" w:hint="eastAsia"/>
          <w:sz w:val="32"/>
          <w:szCs w:val="32"/>
        </w:rPr>
        <w:t>万元，主要原因为业务工作中公务接待</w:t>
      </w:r>
      <w:r w:rsidR="001F78C9" w:rsidRPr="003F46EA">
        <w:rPr>
          <w:rFonts w:ascii="仿宋" w:eastAsia="仿宋" w:hAnsi="仿宋" w:hint="eastAsia"/>
          <w:sz w:val="32"/>
          <w:szCs w:val="32"/>
        </w:rPr>
        <w:t>减少</w:t>
      </w:r>
      <w:r w:rsidRPr="003F46EA">
        <w:rPr>
          <w:rFonts w:ascii="仿宋" w:eastAsia="仿宋" w:hAnsi="仿宋" w:hint="eastAsia"/>
          <w:sz w:val="32"/>
          <w:szCs w:val="32"/>
        </w:rPr>
        <w:t>。</w:t>
      </w:r>
    </w:p>
    <w:p w:rsidR="000F1185" w:rsidRDefault="000F1185" w:rsidP="000F1185">
      <w:pPr>
        <w:spacing w:line="560" w:lineRule="exact"/>
        <w:ind w:firstLineChars="200" w:firstLine="640"/>
        <w:rPr>
          <w:rFonts w:ascii="仿宋" w:eastAsia="仿宋" w:hAnsi="仿宋" w:cs="仿宋_GB2312"/>
          <w:sz w:val="32"/>
          <w:szCs w:val="32"/>
        </w:rPr>
      </w:pPr>
      <w:r>
        <w:rPr>
          <w:rFonts w:ascii="仿宋" w:eastAsia="仿宋" w:hAnsi="仿宋" w:cs="仿宋_GB2312" w:hint="eastAsia"/>
          <w:color w:val="000000"/>
          <w:sz w:val="32"/>
          <w:szCs w:val="32"/>
        </w:rPr>
        <w:t>评价基础数据收集工作由局长杨长苟同志牵头，副书记丁仁辉同志具体抓落实，各股室提供资料、财务室进行汇总。资料来源主要依据2020年度财务资料及相关的文件资料。</w:t>
      </w:r>
    </w:p>
    <w:p w:rsidR="00EB5130" w:rsidRDefault="00EB5130" w:rsidP="003F46EA">
      <w:pPr>
        <w:spacing w:line="560" w:lineRule="exact"/>
        <w:ind w:firstLineChars="150" w:firstLine="480"/>
        <w:rPr>
          <w:rFonts w:ascii="Times New Roman" w:eastAsia="仿宋_GB2312" w:hAnsi="Times New Roman"/>
          <w:bCs/>
          <w:color w:val="000000"/>
          <w:sz w:val="32"/>
          <w:szCs w:val="32"/>
        </w:rPr>
      </w:pPr>
      <w:r>
        <w:rPr>
          <w:rFonts w:ascii="Times New Roman" w:eastAsia="仿宋_GB2312" w:hAnsi="Times New Roman"/>
          <w:bCs/>
          <w:color w:val="000000"/>
          <w:sz w:val="32"/>
          <w:szCs w:val="32"/>
        </w:rPr>
        <w:t>（二）项目支出</w:t>
      </w:r>
    </w:p>
    <w:p w:rsidR="004A7388" w:rsidRPr="004A7388" w:rsidRDefault="003F46EA" w:rsidP="004A7388">
      <w:pPr>
        <w:spacing w:line="560" w:lineRule="exact"/>
        <w:ind w:firstLineChars="200" w:firstLine="640"/>
        <w:rPr>
          <w:rFonts w:ascii="仿宋" w:eastAsia="仿宋" w:hAnsi="仿宋" w:cs="仿宋_GB2312"/>
          <w:color w:val="000000"/>
          <w:sz w:val="32"/>
          <w:szCs w:val="32"/>
        </w:rPr>
      </w:pPr>
      <w:r w:rsidRPr="004A7388">
        <w:rPr>
          <w:rFonts w:ascii="仿宋" w:eastAsia="仿宋" w:hAnsi="仿宋"/>
          <w:sz w:val="32"/>
          <w:szCs w:val="32"/>
        </w:rPr>
        <w:t>20</w:t>
      </w:r>
      <w:r w:rsidR="006B5BB8" w:rsidRPr="004A7388">
        <w:rPr>
          <w:rFonts w:ascii="仿宋" w:eastAsia="仿宋" w:hAnsi="仿宋" w:hint="eastAsia"/>
          <w:sz w:val="32"/>
          <w:szCs w:val="32"/>
        </w:rPr>
        <w:t>20</w:t>
      </w:r>
      <w:r w:rsidRPr="004A7388">
        <w:rPr>
          <w:rFonts w:ascii="仿宋" w:eastAsia="仿宋" w:hAnsi="仿宋" w:hint="eastAsia"/>
          <w:sz w:val="32"/>
          <w:szCs w:val="32"/>
        </w:rPr>
        <w:t>年项目资金预算</w:t>
      </w:r>
      <w:r w:rsidR="006B5BB8" w:rsidRPr="004A7388">
        <w:rPr>
          <w:rFonts w:ascii="仿宋" w:eastAsia="仿宋" w:hAnsi="仿宋" w:hint="eastAsia"/>
          <w:sz w:val="32"/>
          <w:szCs w:val="32"/>
        </w:rPr>
        <w:t>2760</w:t>
      </w:r>
      <w:r w:rsidRPr="004A7388">
        <w:rPr>
          <w:rFonts w:ascii="仿宋" w:eastAsia="仿宋" w:hAnsi="仿宋" w:hint="eastAsia"/>
          <w:sz w:val="32"/>
          <w:szCs w:val="32"/>
        </w:rPr>
        <w:t>万元；</w:t>
      </w:r>
      <w:r w:rsidRPr="004A7388">
        <w:rPr>
          <w:rFonts w:ascii="仿宋" w:eastAsia="仿宋" w:hAnsi="仿宋" w:cs="仿宋_GB2312" w:hint="eastAsia"/>
          <w:color w:val="000000"/>
          <w:sz w:val="32"/>
          <w:szCs w:val="32"/>
        </w:rPr>
        <w:t>实际支出</w:t>
      </w:r>
      <w:r w:rsidR="006B5BB8" w:rsidRPr="004A7388">
        <w:rPr>
          <w:rFonts w:ascii="宋体" w:hAnsi="宋体" w:cs="Arial" w:hint="eastAsia"/>
          <w:kern w:val="0"/>
          <w:sz w:val="32"/>
          <w:szCs w:val="32"/>
        </w:rPr>
        <w:t>4895.01</w:t>
      </w:r>
      <w:r w:rsidRPr="004A7388">
        <w:rPr>
          <w:rFonts w:ascii="仿宋" w:eastAsia="仿宋" w:hAnsi="仿宋" w:cs="仿宋_GB2312" w:hint="eastAsia"/>
          <w:color w:val="000000"/>
          <w:sz w:val="32"/>
          <w:szCs w:val="32"/>
        </w:rPr>
        <w:t>万元，占总支出的</w:t>
      </w:r>
      <w:r w:rsidR="006B5BB8" w:rsidRPr="004A7388">
        <w:rPr>
          <w:rFonts w:ascii="仿宋" w:eastAsia="仿宋" w:hAnsi="仿宋" w:hint="eastAsia"/>
          <w:sz w:val="32"/>
          <w:szCs w:val="32"/>
        </w:rPr>
        <w:t>86.2</w:t>
      </w:r>
      <w:r w:rsidRPr="004A7388">
        <w:rPr>
          <w:rFonts w:ascii="仿宋" w:eastAsia="仿宋" w:hAnsi="仿宋" w:cs="仿宋_GB2312" w:hint="eastAsia"/>
          <w:color w:val="000000"/>
          <w:sz w:val="32"/>
          <w:szCs w:val="32"/>
        </w:rPr>
        <w:t>%</w:t>
      </w:r>
      <w:r w:rsidR="004A7388" w:rsidRPr="004A7388">
        <w:rPr>
          <w:rFonts w:ascii="仿宋" w:eastAsia="仿宋" w:hAnsi="仿宋" w:cs="仿宋_GB2312" w:hint="eastAsia"/>
          <w:color w:val="000000"/>
          <w:sz w:val="32"/>
          <w:szCs w:val="32"/>
        </w:rPr>
        <w:t>（主要体现在科学技术支出2127.53万元；其他就业补助支出137.96万元；一般公共服务支出5.28万元，节能环保支出5万元，主要四城同创垃圾清运租用挖机洒水车经费；城乡社区支出219.4万元，主要用于智慧中方一期建设ppp项目及“智慧中方”信息化监理服务费用； 其他农业农村支出144.94万元，主要用于农产品上行、电商平台等建设，其他扶贫支出70万元，主要用于天鸿房地产易地扶贫搬迁香山别院安置项目奖补资金；资源勘探工业信息等支出864.39万元，主要用于对</w:t>
      </w:r>
      <w:r w:rsidR="004A7388" w:rsidRPr="004A7388">
        <w:rPr>
          <w:rFonts w:ascii="仿宋" w:eastAsia="仿宋" w:hAnsi="仿宋" w:cs="仿宋_GB2312" w:hint="eastAsia"/>
          <w:color w:val="000000"/>
          <w:sz w:val="32"/>
          <w:szCs w:val="32"/>
        </w:rPr>
        <w:lastRenderedPageBreak/>
        <w:t>企业的补助；商业服务业等支出897.33万元，主要用于对企业的各专项补助；其他金融发展支出10万元，主要用于股改费用补助资金；住房保障支出6万元，粮油物资储备支出217.64万元，主要用于应急物资保障体系建设补助资金，抗疫特别国债安排的支出187.54万元,公用经费2万元，主要用于对企事业单位的补贴。</w:t>
      </w:r>
      <w:r w:rsidR="004A7388">
        <w:rPr>
          <w:rFonts w:ascii="仿宋" w:eastAsia="仿宋" w:hAnsi="仿宋" w:cs="仿宋_GB2312" w:hint="eastAsia"/>
          <w:color w:val="000000"/>
          <w:sz w:val="32"/>
          <w:szCs w:val="32"/>
        </w:rPr>
        <w:t>）</w:t>
      </w:r>
    </w:p>
    <w:p w:rsidR="00EB5130" w:rsidRDefault="00EB5130" w:rsidP="00EB5130">
      <w:pPr>
        <w:spacing w:line="56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t>三、部门整体支出绩效情况</w:t>
      </w:r>
    </w:p>
    <w:p w:rsidR="002129F7" w:rsidRDefault="002129F7" w:rsidP="002129F7">
      <w:pPr>
        <w:spacing w:line="560" w:lineRule="exact"/>
        <w:ind w:firstLineChars="200" w:firstLine="643"/>
        <w:rPr>
          <w:rFonts w:ascii="仿宋" w:eastAsia="仿宋" w:hAnsi="仿宋" w:cs="仿宋_GB2312"/>
          <w:b/>
          <w:bCs/>
          <w:color w:val="000000"/>
          <w:sz w:val="32"/>
          <w:szCs w:val="32"/>
        </w:rPr>
      </w:pPr>
      <w:r>
        <w:rPr>
          <w:rFonts w:ascii="仿宋" w:eastAsia="仿宋" w:hAnsi="仿宋" w:cs="仿宋_GB2312" w:hint="eastAsia"/>
          <w:b/>
          <w:bCs/>
          <w:color w:val="000000"/>
          <w:sz w:val="32"/>
          <w:szCs w:val="32"/>
        </w:rPr>
        <w:t>1、部门职责履行情况分析。</w:t>
      </w:r>
    </w:p>
    <w:p w:rsidR="002129F7" w:rsidRDefault="002129F7" w:rsidP="002129F7">
      <w:pPr>
        <w:spacing w:line="560" w:lineRule="exact"/>
        <w:ind w:firstLineChars="200" w:firstLine="640"/>
        <w:rPr>
          <w:rFonts w:ascii="仿宋" w:eastAsia="仿宋" w:hAnsi="仿宋" w:cs="仿宋_GB2312"/>
          <w:b/>
          <w:bCs/>
          <w:color w:val="000000"/>
          <w:sz w:val="32"/>
          <w:szCs w:val="32"/>
        </w:rPr>
      </w:pPr>
      <w:r>
        <w:rPr>
          <w:rFonts w:ascii="仿宋" w:eastAsia="仿宋" w:hAnsi="仿宋" w:cs="方正仿宋_GBK" w:hint="eastAsia"/>
          <w:color w:val="000000"/>
          <w:sz w:val="32"/>
          <w:szCs w:val="32"/>
        </w:rPr>
        <w:t>我局认真贯彻落实市委、市政府关于产业及产业园区三年提升行动统一部署，按照“一极两带”和“一个中心、四个怀化”建设的总体部署，以及县委县政府“三个率先”总体目标和“两极一圈”战略，深入贯彻落实2020年县委经济工作会议精神，狠抓各项工作落实。</w:t>
      </w:r>
    </w:p>
    <w:p w:rsidR="002129F7" w:rsidRDefault="002129F7" w:rsidP="002129F7">
      <w:pPr>
        <w:spacing w:line="560" w:lineRule="exact"/>
        <w:ind w:firstLineChars="200" w:firstLine="643"/>
        <w:rPr>
          <w:rFonts w:ascii="仿宋" w:eastAsia="仿宋" w:hAnsi="仿宋" w:cs="仿宋_GB2312"/>
          <w:b/>
          <w:bCs/>
          <w:color w:val="000000"/>
          <w:sz w:val="32"/>
          <w:szCs w:val="32"/>
        </w:rPr>
      </w:pPr>
      <w:r>
        <w:rPr>
          <w:rFonts w:ascii="仿宋" w:eastAsia="仿宋" w:hAnsi="仿宋" w:cs="仿宋_GB2312" w:hint="eastAsia"/>
          <w:b/>
          <w:bCs/>
          <w:color w:val="000000"/>
          <w:sz w:val="32"/>
          <w:szCs w:val="32"/>
        </w:rPr>
        <w:t>2、社会经济效益分析。</w:t>
      </w:r>
    </w:p>
    <w:p w:rsidR="002129F7" w:rsidRDefault="002129F7" w:rsidP="002129F7">
      <w:pPr>
        <w:spacing w:line="560" w:lineRule="exact"/>
        <w:ind w:firstLineChars="200" w:firstLine="643"/>
        <w:rPr>
          <w:rFonts w:ascii="仿宋" w:eastAsia="仿宋" w:hAnsi="仿宋" w:cs="方正仿宋简体"/>
          <w:color w:val="FF0000"/>
          <w:sz w:val="32"/>
          <w:szCs w:val="32"/>
        </w:rPr>
      </w:pPr>
      <w:r>
        <w:rPr>
          <w:rFonts w:ascii="仿宋" w:eastAsia="仿宋" w:hAnsi="仿宋" w:hint="eastAsia"/>
          <w:b/>
          <w:sz w:val="32"/>
          <w:szCs w:val="32"/>
        </w:rPr>
        <w:t>1.行业分析。</w:t>
      </w:r>
      <w:r>
        <w:rPr>
          <w:rFonts w:ascii="仿宋" w:eastAsia="仿宋" w:hAnsi="仿宋" w:cs="方正仿宋简体" w:hint="eastAsia"/>
          <w:sz w:val="32"/>
          <w:szCs w:val="32"/>
        </w:rPr>
        <w:t>1-12月份</w:t>
      </w:r>
      <w:r>
        <w:rPr>
          <w:rFonts w:ascii="仿宋" w:eastAsia="仿宋" w:hAnsi="仿宋" w:cs="方正仿宋简体" w:hint="eastAsia"/>
          <w:b/>
          <w:sz w:val="32"/>
          <w:szCs w:val="32"/>
        </w:rPr>
        <w:t>建材产业</w:t>
      </w:r>
      <w:r>
        <w:rPr>
          <w:rFonts w:ascii="仿宋" w:eastAsia="仿宋" w:hAnsi="仿宋" w:cs="方正仿宋简体" w:hint="eastAsia"/>
          <w:sz w:val="32"/>
          <w:szCs w:val="32"/>
        </w:rPr>
        <w:t>：因疫情相对缓解，项目建设基本复工，建材行业规模工业企业</w:t>
      </w:r>
      <w:r>
        <w:rPr>
          <w:rFonts w:ascii="仿宋" w:eastAsia="仿宋" w:hAnsi="仿宋" w:cs="方正仿宋简体" w:hint="eastAsia"/>
          <w:b/>
          <w:bCs/>
          <w:sz w:val="32"/>
          <w:szCs w:val="32"/>
        </w:rPr>
        <w:t>39</w:t>
      </w:r>
      <w:r>
        <w:rPr>
          <w:rFonts w:ascii="仿宋" w:eastAsia="仿宋" w:hAnsi="仿宋" w:cs="方正仿宋简体" w:hint="eastAsia"/>
          <w:sz w:val="32"/>
          <w:szCs w:val="32"/>
        </w:rPr>
        <w:t>家基本达产，产值达到31.2亿元，同比增长6.6%；增加值9.4亿元，同比增长5.45%；</w:t>
      </w:r>
      <w:r>
        <w:rPr>
          <w:rFonts w:ascii="仿宋" w:eastAsia="仿宋" w:hAnsi="仿宋" w:cs="方正仿宋简体" w:hint="eastAsia"/>
          <w:b/>
          <w:sz w:val="32"/>
          <w:szCs w:val="32"/>
        </w:rPr>
        <w:t>食品加工产业：</w:t>
      </w:r>
      <w:r>
        <w:rPr>
          <w:rFonts w:ascii="仿宋" w:eastAsia="仿宋" w:hAnsi="仿宋" w:cs="方正仿宋简体" w:hint="eastAsia"/>
          <w:sz w:val="32"/>
          <w:szCs w:val="32"/>
        </w:rPr>
        <w:t>规模工业企业</w:t>
      </w:r>
      <w:r>
        <w:rPr>
          <w:rFonts w:ascii="仿宋" w:eastAsia="仿宋" w:hAnsi="仿宋" w:cs="方正仿宋简体" w:hint="eastAsia"/>
          <w:b/>
          <w:bCs/>
          <w:sz w:val="32"/>
          <w:szCs w:val="32"/>
        </w:rPr>
        <w:t>11</w:t>
      </w:r>
      <w:r>
        <w:rPr>
          <w:rFonts w:ascii="仿宋" w:eastAsia="仿宋" w:hAnsi="仿宋" w:cs="方正仿宋简体" w:hint="eastAsia"/>
          <w:sz w:val="32"/>
          <w:szCs w:val="32"/>
        </w:rPr>
        <w:t>家基本达产，产值达到13.5亿元，同比增长13.38%；增加值3.3亿元，同比增长10.82%；</w:t>
      </w:r>
      <w:r>
        <w:rPr>
          <w:rFonts w:ascii="仿宋" w:eastAsia="仿宋" w:hAnsi="仿宋" w:cs="方正仿宋简体" w:hint="eastAsia"/>
          <w:b/>
          <w:sz w:val="32"/>
          <w:szCs w:val="32"/>
        </w:rPr>
        <w:t>机械装备制造产业：</w:t>
      </w:r>
      <w:r>
        <w:rPr>
          <w:rFonts w:ascii="仿宋" w:eastAsia="仿宋" w:hAnsi="仿宋" w:cs="方正仿宋简体" w:hint="eastAsia"/>
          <w:sz w:val="32"/>
          <w:szCs w:val="32"/>
        </w:rPr>
        <w:t>规模工业企业</w:t>
      </w:r>
      <w:r>
        <w:rPr>
          <w:rFonts w:ascii="仿宋" w:eastAsia="仿宋" w:hAnsi="仿宋" w:cs="方正仿宋简体" w:hint="eastAsia"/>
          <w:b/>
          <w:bCs/>
          <w:sz w:val="32"/>
          <w:szCs w:val="32"/>
        </w:rPr>
        <w:t>13</w:t>
      </w:r>
      <w:r>
        <w:rPr>
          <w:rFonts w:ascii="仿宋" w:eastAsia="仿宋" w:hAnsi="仿宋" w:cs="方正仿宋简体" w:hint="eastAsia"/>
          <w:sz w:val="32"/>
          <w:szCs w:val="32"/>
        </w:rPr>
        <w:t>家基本达产，产值达到14.65亿元，同比增长-7.85%；增加值4.1亿元，同比增长-6.31%；</w:t>
      </w:r>
      <w:r>
        <w:rPr>
          <w:rFonts w:ascii="仿宋" w:eastAsia="仿宋" w:hAnsi="仿宋" w:cs="方正仿宋简体" w:hint="eastAsia"/>
          <w:b/>
          <w:sz w:val="32"/>
          <w:szCs w:val="32"/>
        </w:rPr>
        <w:t>电子、能源：</w:t>
      </w:r>
      <w:r>
        <w:rPr>
          <w:rFonts w:ascii="仿宋" w:eastAsia="仿宋" w:hAnsi="仿宋" w:cs="方正仿宋简体" w:hint="eastAsia"/>
          <w:sz w:val="32"/>
          <w:szCs w:val="32"/>
        </w:rPr>
        <w:t>规模工业企业</w:t>
      </w:r>
      <w:r>
        <w:rPr>
          <w:rFonts w:ascii="仿宋" w:eastAsia="仿宋" w:hAnsi="仿宋" w:cs="方正仿宋简体" w:hint="eastAsia"/>
          <w:b/>
          <w:bCs/>
          <w:sz w:val="32"/>
          <w:szCs w:val="32"/>
        </w:rPr>
        <w:t>8</w:t>
      </w:r>
      <w:r>
        <w:rPr>
          <w:rFonts w:ascii="仿宋" w:eastAsia="仿宋" w:hAnsi="仿宋" w:cs="方正仿宋简体" w:hint="eastAsia"/>
          <w:sz w:val="32"/>
          <w:szCs w:val="32"/>
        </w:rPr>
        <w:t>家，产值达到7.01亿元，同比增长-11.68%；增加值3.6亿元，同比增长-7.38%；</w:t>
      </w:r>
      <w:r>
        <w:rPr>
          <w:rFonts w:ascii="仿宋" w:eastAsia="仿宋" w:hAnsi="仿宋" w:cs="方正仿宋简体" w:hint="eastAsia"/>
          <w:b/>
          <w:sz w:val="32"/>
          <w:szCs w:val="32"/>
        </w:rPr>
        <w:t>印刷包装产业：</w:t>
      </w:r>
      <w:r>
        <w:rPr>
          <w:rFonts w:ascii="仿宋" w:eastAsia="仿宋" w:hAnsi="仿宋" w:cs="方正仿宋简体" w:hint="eastAsia"/>
          <w:sz w:val="32"/>
          <w:szCs w:val="32"/>
        </w:rPr>
        <w:lastRenderedPageBreak/>
        <w:t>规模工业企业</w:t>
      </w:r>
      <w:r>
        <w:rPr>
          <w:rFonts w:ascii="仿宋" w:eastAsia="仿宋" w:hAnsi="仿宋" w:cs="方正仿宋简体" w:hint="eastAsia"/>
          <w:b/>
          <w:bCs/>
          <w:sz w:val="32"/>
          <w:szCs w:val="32"/>
        </w:rPr>
        <w:t>3</w:t>
      </w:r>
      <w:r>
        <w:rPr>
          <w:rFonts w:ascii="仿宋" w:eastAsia="仿宋" w:hAnsi="仿宋" w:cs="方正仿宋简体" w:hint="eastAsia"/>
          <w:sz w:val="32"/>
          <w:szCs w:val="32"/>
        </w:rPr>
        <w:t>家基本达产，产值达到1.76亿元，同比增长41.43%；增加值0.58亿元，同比增长48.41%；</w:t>
      </w:r>
      <w:r>
        <w:rPr>
          <w:rFonts w:ascii="仿宋" w:eastAsia="仿宋" w:hAnsi="仿宋" w:cs="方正仿宋简体" w:hint="eastAsia"/>
          <w:b/>
          <w:sz w:val="32"/>
          <w:szCs w:val="32"/>
        </w:rPr>
        <w:t>化工农肥产业：</w:t>
      </w:r>
      <w:r>
        <w:rPr>
          <w:rFonts w:ascii="仿宋" w:eastAsia="仿宋" w:hAnsi="仿宋" w:cs="方正仿宋简体" w:hint="eastAsia"/>
          <w:sz w:val="32"/>
          <w:szCs w:val="32"/>
        </w:rPr>
        <w:t>规模工业企业7家基本达产，产值达到4.3亿元，同比增长14.14%；增加值1.2亿元，同比增长19.28%。</w:t>
      </w:r>
    </w:p>
    <w:p w:rsidR="002129F7" w:rsidRDefault="002129F7" w:rsidP="002129F7">
      <w:pPr>
        <w:widowControl/>
        <w:spacing w:line="560" w:lineRule="exact"/>
        <w:ind w:firstLine="643"/>
        <w:rPr>
          <w:rFonts w:ascii="仿宋" w:eastAsia="仿宋" w:hAnsi="仿宋" w:cs="方正仿宋简体"/>
          <w:sz w:val="32"/>
          <w:szCs w:val="32"/>
        </w:rPr>
      </w:pPr>
      <w:r>
        <w:rPr>
          <w:rFonts w:ascii="仿宋" w:eastAsia="仿宋" w:hAnsi="仿宋" w:hint="eastAsia"/>
          <w:b/>
          <w:sz w:val="32"/>
          <w:szCs w:val="32"/>
        </w:rPr>
        <w:t>2.企业实际生产状况。</w:t>
      </w:r>
      <w:r>
        <w:rPr>
          <w:rFonts w:ascii="仿宋" w:eastAsia="仿宋" w:hAnsi="仿宋" w:cs="仿宋_GB2312" w:hint="eastAsia"/>
          <w:sz w:val="32"/>
          <w:szCs w:val="32"/>
        </w:rPr>
        <w:t>1-12月份，</w:t>
      </w:r>
      <w:r>
        <w:rPr>
          <w:rFonts w:ascii="仿宋" w:eastAsia="仿宋" w:hAnsi="仿宋" w:cs="方正仿宋简体" w:hint="eastAsia"/>
          <w:sz w:val="32"/>
          <w:szCs w:val="32"/>
        </w:rPr>
        <w:t>由于2月份冠状病毒疫情对企业复工复产、产品市场、企业职工到岗等造成严重的影响，大部分企业都未能全面复工复产和满负荷生产，特别是建材行业影响较大。对此，我们针对此次疫情，及时出台一系列帮扶企业复工复产措施，积极调配人员，驻企业对接沟通，及时掌握基本情况，科学调度企业复工复产，在各级政府及多方部门、企业的共同努力下，县属85家规模工业企业，</w:t>
      </w:r>
      <w:r>
        <w:rPr>
          <w:rFonts w:ascii="仿宋" w:eastAsia="仿宋" w:hAnsi="仿宋" w:cs="方正仿宋简体"/>
          <w:sz w:val="32"/>
          <w:szCs w:val="32"/>
        </w:rPr>
        <w:t>实际生产的企业</w:t>
      </w:r>
      <w:r>
        <w:rPr>
          <w:rFonts w:ascii="仿宋" w:eastAsia="仿宋" w:hAnsi="仿宋" w:cs="方正仿宋简体" w:hint="eastAsia"/>
          <w:sz w:val="32"/>
          <w:szCs w:val="32"/>
        </w:rPr>
        <w:t>81</w:t>
      </w:r>
      <w:r>
        <w:rPr>
          <w:rFonts w:ascii="仿宋" w:eastAsia="仿宋" w:hAnsi="仿宋" w:cs="方正仿宋简体"/>
          <w:sz w:val="32"/>
          <w:szCs w:val="32"/>
        </w:rPr>
        <w:t>家，完全停产企业</w:t>
      </w:r>
      <w:r>
        <w:rPr>
          <w:rFonts w:ascii="仿宋" w:eastAsia="仿宋" w:hAnsi="仿宋" w:cs="方正仿宋简体" w:hint="eastAsia"/>
          <w:sz w:val="32"/>
          <w:szCs w:val="32"/>
        </w:rPr>
        <w:t>4</w:t>
      </w:r>
      <w:r>
        <w:rPr>
          <w:rFonts w:ascii="仿宋" w:eastAsia="仿宋" w:hAnsi="仿宋" w:cs="方正仿宋简体"/>
          <w:sz w:val="32"/>
          <w:szCs w:val="32"/>
        </w:rPr>
        <w:t>家（</w:t>
      </w:r>
      <w:r>
        <w:rPr>
          <w:rFonts w:ascii="仿宋" w:eastAsia="仿宋" w:hAnsi="仿宋" w:cs="方正仿宋简体" w:hint="eastAsia"/>
          <w:sz w:val="32"/>
          <w:szCs w:val="32"/>
        </w:rPr>
        <w:t>新坤电子、健立家具、天佑科技、众一风机），</w:t>
      </w:r>
      <w:r>
        <w:rPr>
          <w:rFonts w:ascii="仿宋" w:eastAsia="仿宋" w:hAnsi="仿宋" w:cs="方正仿宋简体"/>
          <w:sz w:val="32"/>
          <w:szCs w:val="32"/>
        </w:rPr>
        <w:t>企业实际开工率只有</w:t>
      </w:r>
      <w:r>
        <w:rPr>
          <w:rFonts w:ascii="仿宋" w:eastAsia="仿宋" w:hAnsi="仿宋" w:cs="方正仿宋简体" w:hint="eastAsia"/>
          <w:sz w:val="32"/>
          <w:szCs w:val="32"/>
        </w:rPr>
        <w:t>95.3</w:t>
      </w:r>
      <w:r>
        <w:rPr>
          <w:rFonts w:ascii="仿宋" w:eastAsia="仿宋" w:hAnsi="仿宋" w:cs="方正仿宋简体"/>
          <w:sz w:val="32"/>
          <w:szCs w:val="32"/>
        </w:rPr>
        <w:t>%</w:t>
      </w:r>
      <w:r>
        <w:rPr>
          <w:rFonts w:ascii="仿宋" w:eastAsia="仿宋" w:hAnsi="仿宋" w:cs="方正仿宋简体" w:hint="eastAsia"/>
          <w:sz w:val="32"/>
          <w:szCs w:val="32"/>
        </w:rPr>
        <w:t>。其中新坤电子因企业自身经营原因准备外迁；健立家具目前以代销售为主；天佑科技因企业自身经营原因准备外迁到鹤城区；众一风机由于自身生产经营销售等原因已停产。</w:t>
      </w:r>
    </w:p>
    <w:p w:rsidR="002129F7" w:rsidRDefault="002129F7" w:rsidP="002129F7">
      <w:pPr>
        <w:spacing w:line="560" w:lineRule="exact"/>
        <w:rPr>
          <w:rFonts w:ascii="仿宋" w:eastAsia="仿宋" w:hAnsi="仿宋" w:cs="方正仿宋简体"/>
          <w:sz w:val="32"/>
          <w:szCs w:val="32"/>
        </w:rPr>
      </w:pPr>
      <w:r>
        <w:rPr>
          <w:rFonts w:ascii="仿宋" w:eastAsia="仿宋" w:hAnsi="仿宋" w:hint="eastAsia"/>
          <w:b/>
          <w:color w:val="FF0000"/>
          <w:sz w:val="32"/>
          <w:szCs w:val="32"/>
        </w:rPr>
        <w:t xml:space="preserve">   </w:t>
      </w:r>
      <w:r>
        <w:rPr>
          <w:rFonts w:ascii="仿宋" w:eastAsia="仿宋" w:hAnsi="仿宋" w:hint="eastAsia"/>
          <w:b/>
          <w:sz w:val="32"/>
          <w:szCs w:val="32"/>
        </w:rPr>
        <w:t xml:space="preserve"> 3.重点产业、重点企业生产经营情况。</w:t>
      </w:r>
      <w:r>
        <w:rPr>
          <w:rFonts w:ascii="仿宋" w:eastAsia="仿宋" w:hAnsi="仿宋" w:cs="方正仿宋简体" w:hint="eastAsia"/>
          <w:sz w:val="32"/>
          <w:szCs w:val="32"/>
        </w:rPr>
        <w:t xml:space="preserve"> 台泥（怀化）水泥有限公司2条日产2500吨生产线正常生产，由于疫情期间全面复工复产要求，市场回暖，基本恢复正常生产运行，由于产品市场价格下滑，目前总产值达5.9亿元，同比增长-8.9%；增加值2亿元，同比增长-7.67%。湖南湘投铜湾水利水电开发有限责任公司由于降雨量较大且均衡，生产正常，受疫情影响较小，产值累计完成2.57亿元，同比增长1.27%，增加值增速1.97%。怀化</w:t>
      </w:r>
      <w:r>
        <w:rPr>
          <w:rFonts w:ascii="仿宋" w:eastAsia="仿宋" w:hAnsi="仿宋" w:cs="方正仿宋简体" w:hint="eastAsia"/>
          <w:sz w:val="32"/>
          <w:szCs w:val="32"/>
        </w:rPr>
        <w:lastRenderedPageBreak/>
        <w:t>大康九鼎饲料有限公司，疫情影响较小，全年未停产，生产正常；由于受生猪市场行情影响，产品供不应求。产值2.5亿元，同比增长4.09%；增加值增速2.09%。湖南中铁五新刚模有限公司，虽受疫情影响，存在市场需求和公司技术人员返工的问题；但通过针对性的帮扶2月底已基本全面复工复产。产值达到3.7亿元，同比增长-20.09%；湖南梨树园涂料有限公司生产线全面投产，市场产品价格上涨，产值0.6亿元，同比增长26.58%。</w:t>
      </w:r>
      <w:r>
        <w:rPr>
          <w:rFonts w:ascii="仿宋" w:eastAsia="仿宋" w:hAnsi="仿宋" w:cs="方正仿宋简体" w:hint="eastAsia"/>
          <w:color w:val="FF0000"/>
          <w:sz w:val="32"/>
          <w:szCs w:val="32"/>
        </w:rPr>
        <w:t xml:space="preserve"> </w:t>
      </w:r>
    </w:p>
    <w:p w:rsidR="002129F7" w:rsidRDefault="002129F7" w:rsidP="002129F7">
      <w:pPr>
        <w:spacing w:line="560" w:lineRule="exact"/>
        <w:ind w:firstLineChars="200" w:firstLine="643"/>
        <w:rPr>
          <w:rFonts w:ascii="仿宋" w:eastAsia="仿宋" w:hAnsi="仿宋" w:cs="方正仿宋简体"/>
          <w:sz w:val="32"/>
          <w:szCs w:val="32"/>
        </w:rPr>
      </w:pPr>
      <w:r>
        <w:rPr>
          <w:rFonts w:ascii="仿宋" w:eastAsia="仿宋" w:hAnsi="仿宋" w:cs="黑体" w:hint="eastAsia"/>
          <w:b/>
          <w:bCs/>
          <w:sz w:val="32"/>
          <w:szCs w:val="32"/>
        </w:rPr>
        <w:t>4.新进规模工业企业情况。</w:t>
      </w:r>
      <w:r>
        <w:rPr>
          <w:rFonts w:ascii="仿宋" w:eastAsia="仿宋" w:hAnsi="仿宋" w:cs="方正仿宋简体" w:hint="eastAsia"/>
          <w:sz w:val="32"/>
          <w:szCs w:val="32"/>
        </w:rPr>
        <w:t>2020年完成工业企业纳规工作8家，其中2019年成长型规模工业7家（中农国泰、唐显湾炭质页岩砖、利顿唯尔食品、善上居建材、秀宝农业、迈科新材料、恒裕汽车零部件），2020年新上规模工业企业1家（高禹涂料），以超额完成任务指标（6家）。</w:t>
      </w:r>
    </w:p>
    <w:p w:rsidR="002129F7" w:rsidRDefault="002129F7" w:rsidP="002129F7">
      <w:pPr>
        <w:spacing w:line="560" w:lineRule="exact"/>
        <w:ind w:firstLineChars="200" w:firstLine="643"/>
        <w:rPr>
          <w:rFonts w:ascii="仿宋" w:eastAsia="仿宋" w:hAnsi="仿宋" w:cs="方正仿宋简体"/>
          <w:sz w:val="32"/>
          <w:szCs w:val="32"/>
        </w:rPr>
      </w:pPr>
      <w:r>
        <w:rPr>
          <w:rFonts w:ascii="仿宋" w:eastAsia="仿宋" w:hAnsi="仿宋" w:cs="黑体" w:hint="eastAsia"/>
          <w:b/>
          <w:bCs/>
          <w:sz w:val="32"/>
          <w:szCs w:val="32"/>
        </w:rPr>
        <w:t>5.完成战略新兴企业上报情况。</w:t>
      </w:r>
      <w:r>
        <w:rPr>
          <w:rFonts w:ascii="仿宋" w:eastAsia="仿宋" w:hAnsi="仿宋" w:cs="方正仿宋简体" w:hint="eastAsia"/>
          <w:sz w:val="32"/>
          <w:szCs w:val="32"/>
        </w:rPr>
        <w:t>2020年10月申报通过战略新兴企业16家，通过14家。12月申报战略新兴企业13家,原有2家。截止目前，我县已有战略新兴企业29家。预计12月份战新企业在工业企业总产值的占比达到37.24%，较三季度增长15个百分点。</w:t>
      </w:r>
    </w:p>
    <w:p w:rsidR="002129F7" w:rsidRDefault="002129F7" w:rsidP="002129F7">
      <w:pPr>
        <w:spacing w:line="560" w:lineRule="exact"/>
        <w:ind w:firstLineChars="200" w:firstLine="643"/>
        <w:rPr>
          <w:rFonts w:ascii="仿宋" w:eastAsia="仿宋" w:hAnsi="仿宋" w:cs="黑体"/>
          <w:bCs/>
          <w:sz w:val="32"/>
          <w:szCs w:val="32"/>
        </w:rPr>
      </w:pPr>
      <w:r>
        <w:rPr>
          <w:rFonts w:ascii="仿宋" w:eastAsia="仿宋" w:hAnsi="仿宋" w:cs="黑体" w:hint="eastAsia"/>
          <w:b/>
          <w:bCs/>
          <w:sz w:val="32"/>
          <w:szCs w:val="32"/>
        </w:rPr>
        <w:t>6.制造业企业占地区生产总值的比重。</w:t>
      </w:r>
      <w:r>
        <w:rPr>
          <w:rFonts w:ascii="仿宋" w:eastAsia="仿宋" w:hAnsi="仿宋" w:cs="黑体" w:hint="eastAsia"/>
          <w:bCs/>
          <w:sz w:val="32"/>
          <w:szCs w:val="32"/>
        </w:rPr>
        <w:t>1-12月，县域制造业工业企业112家，增加值总量47.8亿元，估计占地区生产总值（估计124亿元）比重达到39.8%。</w:t>
      </w:r>
    </w:p>
    <w:p w:rsidR="00EB5130" w:rsidRDefault="00EB5130" w:rsidP="00EB5130">
      <w:pPr>
        <w:widowControl/>
        <w:spacing w:line="600" w:lineRule="exact"/>
        <w:ind w:firstLine="645"/>
        <w:jc w:val="left"/>
        <w:rPr>
          <w:rFonts w:ascii="Times New Roman" w:eastAsia="黑体" w:hAnsi="Times New Roman"/>
          <w:sz w:val="32"/>
          <w:szCs w:val="32"/>
        </w:rPr>
      </w:pPr>
      <w:r>
        <w:rPr>
          <w:rFonts w:ascii="Times New Roman" w:eastAsia="黑体" w:hAnsi="Times New Roman"/>
          <w:color w:val="000000"/>
          <w:sz w:val="32"/>
          <w:szCs w:val="32"/>
        </w:rPr>
        <w:t>四、</w:t>
      </w:r>
      <w:r>
        <w:rPr>
          <w:rFonts w:ascii="Times New Roman" w:eastAsia="黑体" w:hAnsi="Times New Roman"/>
          <w:sz w:val="32"/>
          <w:szCs w:val="32"/>
        </w:rPr>
        <w:t>存在的主要问题及下一步改进措施</w:t>
      </w:r>
    </w:p>
    <w:p w:rsidR="002C7EBC" w:rsidRDefault="002C7EBC" w:rsidP="002C7EBC">
      <w:pPr>
        <w:snapToGrid w:val="0"/>
        <w:spacing w:line="520" w:lineRule="exact"/>
        <w:ind w:firstLineChars="200" w:firstLine="640"/>
        <w:rPr>
          <w:rFonts w:ascii="仿宋" w:eastAsia="仿宋" w:hAnsi="仿宋"/>
          <w:kern w:val="0"/>
          <w:sz w:val="32"/>
          <w:szCs w:val="32"/>
        </w:rPr>
      </w:pPr>
      <w:r>
        <w:rPr>
          <w:rFonts w:ascii="仿宋" w:eastAsia="仿宋" w:hAnsi="仿宋"/>
          <w:kern w:val="0"/>
          <w:sz w:val="32"/>
          <w:szCs w:val="32"/>
        </w:rPr>
        <w:t>20</w:t>
      </w:r>
      <w:r>
        <w:rPr>
          <w:rFonts w:ascii="仿宋" w:eastAsia="仿宋" w:hAnsi="仿宋" w:hint="eastAsia"/>
          <w:kern w:val="0"/>
          <w:sz w:val="32"/>
          <w:szCs w:val="32"/>
        </w:rPr>
        <w:t>20</w:t>
      </w:r>
      <w:r>
        <w:rPr>
          <w:rFonts w:ascii="仿宋" w:eastAsia="仿宋" w:hAnsi="仿宋"/>
          <w:kern w:val="0"/>
          <w:sz w:val="32"/>
          <w:szCs w:val="32"/>
        </w:rPr>
        <w:t>年度</w:t>
      </w:r>
      <w:r>
        <w:rPr>
          <w:rFonts w:ascii="仿宋" w:eastAsia="仿宋" w:hAnsi="仿宋" w:hint="eastAsia"/>
          <w:kern w:val="0"/>
          <w:sz w:val="32"/>
          <w:szCs w:val="32"/>
        </w:rPr>
        <w:t>专项工作量的增加，年度工作重心转移，专项工作收入支出增加，行政运行工作经费减少。希望财政能增加专项</w:t>
      </w:r>
      <w:r>
        <w:rPr>
          <w:rFonts w:ascii="仿宋" w:eastAsia="仿宋" w:hAnsi="仿宋" w:hint="eastAsia"/>
          <w:kern w:val="0"/>
          <w:sz w:val="32"/>
          <w:szCs w:val="32"/>
        </w:rPr>
        <w:lastRenderedPageBreak/>
        <w:t>工作经费利于专项工作的开展。</w:t>
      </w:r>
    </w:p>
    <w:p w:rsidR="00EB5130" w:rsidRDefault="00EB5130" w:rsidP="00EB5130">
      <w:pPr>
        <w:widowControl/>
        <w:spacing w:line="600" w:lineRule="exact"/>
        <w:ind w:firstLine="645"/>
        <w:jc w:val="left"/>
        <w:rPr>
          <w:rFonts w:ascii="Times New Roman" w:eastAsia="黑体" w:hAnsi="Times New Roman"/>
          <w:sz w:val="32"/>
          <w:szCs w:val="32"/>
        </w:rPr>
      </w:pPr>
      <w:r>
        <w:rPr>
          <w:rFonts w:ascii="Times New Roman" w:eastAsia="黑体" w:hAnsi="Times New Roman"/>
          <w:sz w:val="32"/>
          <w:szCs w:val="32"/>
        </w:rPr>
        <w:t>五、绩效自评结果拟应用和公开情况</w:t>
      </w:r>
    </w:p>
    <w:p w:rsidR="00380134" w:rsidRDefault="00380134" w:rsidP="00380134">
      <w:pPr>
        <w:spacing w:line="560" w:lineRule="exact"/>
        <w:ind w:firstLineChars="200" w:firstLine="640"/>
        <w:rPr>
          <w:rFonts w:ascii="仿宋" w:eastAsia="仿宋" w:hAnsi="仿宋"/>
          <w:sz w:val="32"/>
          <w:szCs w:val="32"/>
        </w:rPr>
      </w:pPr>
      <w:r>
        <w:rPr>
          <w:rFonts w:ascii="仿宋" w:eastAsia="仿宋" w:hAnsi="仿宋" w:hint="eastAsia"/>
          <w:sz w:val="32"/>
          <w:szCs w:val="32"/>
        </w:rPr>
        <w:t>根据县财政相关部门统一部署，我单位2020年部门整体支出绩效自评情况将在中方县政府门户网站公开，接受社会监督。对绩效自评工作中发现的问题及时整改，解决好绩效评价管理中存在的问题，提高工作效能。根据</w:t>
      </w:r>
      <w:r>
        <w:rPr>
          <w:rFonts w:ascii="仿宋" w:eastAsia="仿宋" w:hAnsi="仿宋"/>
          <w:sz w:val="32"/>
          <w:szCs w:val="32"/>
        </w:rPr>
        <w:t>部门整体支出绩效评价指标评分</w:t>
      </w:r>
      <w:r>
        <w:rPr>
          <w:rFonts w:ascii="仿宋" w:eastAsia="仿宋" w:hAnsi="仿宋" w:hint="eastAsia"/>
          <w:sz w:val="32"/>
          <w:szCs w:val="32"/>
        </w:rPr>
        <w:t>标准，2020年我单位部门整体绩效评价自评分为91分。</w:t>
      </w:r>
    </w:p>
    <w:p w:rsidR="00EB5130" w:rsidRDefault="00EB5130" w:rsidP="00A619DE">
      <w:pPr>
        <w:widowControl/>
        <w:spacing w:line="600" w:lineRule="exact"/>
        <w:ind w:firstLineChars="200" w:firstLine="640"/>
        <w:jc w:val="left"/>
        <w:rPr>
          <w:rFonts w:ascii="Times New Roman" w:eastAsia="黑体" w:hAnsi="Times New Roman"/>
          <w:sz w:val="32"/>
          <w:szCs w:val="32"/>
        </w:rPr>
      </w:pPr>
      <w:r>
        <w:rPr>
          <w:rFonts w:ascii="Times New Roman" w:eastAsia="黑体" w:hAnsi="Times New Roman"/>
          <w:sz w:val="32"/>
          <w:szCs w:val="32"/>
        </w:rPr>
        <w:t>六、其他需要说明的情况</w:t>
      </w:r>
    </w:p>
    <w:p w:rsidR="00A619DE" w:rsidRPr="00A619DE" w:rsidRDefault="00A619DE" w:rsidP="00A619DE">
      <w:pPr>
        <w:widowControl/>
        <w:spacing w:line="600" w:lineRule="exact"/>
        <w:ind w:firstLineChars="200" w:firstLine="640"/>
        <w:jc w:val="left"/>
        <w:rPr>
          <w:rFonts w:ascii="仿宋" w:eastAsia="仿宋" w:hAnsi="仿宋"/>
          <w:sz w:val="32"/>
          <w:szCs w:val="32"/>
        </w:rPr>
      </w:pPr>
      <w:r w:rsidRPr="00A619DE">
        <w:rPr>
          <w:rFonts w:ascii="仿宋" w:eastAsia="仿宋" w:hAnsi="仿宋" w:hint="eastAsia"/>
          <w:sz w:val="32"/>
          <w:szCs w:val="32"/>
        </w:rPr>
        <w:t>无</w:t>
      </w:r>
      <w:r>
        <w:rPr>
          <w:rFonts w:ascii="仿宋" w:eastAsia="仿宋" w:hAnsi="仿宋" w:hint="eastAsia"/>
          <w:sz w:val="32"/>
          <w:szCs w:val="32"/>
        </w:rPr>
        <w:t>。</w:t>
      </w:r>
    </w:p>
    <w:p w:rsidR="00EB5130" w:rsidRDefault="00EB5130" w:rsidP="00EB5130">
      <w:pPr>
        <w:widowControl/>
        <w:spacing w:line="60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部门整体支出绩效评价基础数据表</w:t>
      </w:r>
    </w:p>
    <w:p w:rsidR="00EB5130" w:rsidRDefault="00EB5130" w:rsidP="00250A42">
      <w:pPr>
        <w:widowControl/>
        <w:spacing w:line="60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部门整体支出绩效评价指标评分表</w:t>
      </w:r>
    </w:p>
    <w:p w:rsidR="00250A42" w:rsidRDefault="00250A42" w:rsidP="00250A42">
      <w:pPr>
        <w:widowControl/>
        <w:spacing w:line="600" w:lineRule="exact"/>
        <w:ind w:firstLineChars="500" w:firstLine="1600"/>
        <w:jc w:val="left"/>
        <w:rPr>
          <w:rFonts w:ascii="Times New Roman" w:eastAsia="仿宋_GB2312" w:hAnsi="Times New Roman"/>
          <w:sz w:val="32"/>
          <w:szCs w:val="32"/>
        </w:rPr>
      </w:pPr>
    </w:p>
    <w:p w:rsidR="00250A42" w:rsidRDefault="00250A42" w:rsidP="00250A42">
      <w:pPr>
        <w:widowControl/>
        <w:spacing w:line="600" w:lineRule="exact"/>
        <w:ind w:firstLineChars="500" w:firstLine="1600"/>
        <w:jc w:val="left"/>
        <w:rPr>
          <w:rFonts w:ascii="Times New Roman" w:eastAsia="仿宋_GB2312" w:hAnsi="Times New Roman"/>
          <w:sz w:val="32"/>
          <w:szCs w:val="32"/>
        </w:rPr>
      </w:pPr>
    </w:p>
    <w:p w:rsidR="00080FCA" w:rsidRDefault="00080FCA" w:rsidP="00250A42">
      <w:pPr>
        <w:widowControl/>
        <w:spacing w:line="600" w:lineRule="exact"/>
        <w:ind w:firstLineChars="500" w:firstLine="1600"/>
        <w:jc w:val="left"/>
        <w:rPr>
          <w:rFonts w:ascii="Times New Roman" w:eastAsia="仿宋_GB2312" w:hAnsi="Times New Roman"/>
          <w:sz w:val="32"/>
          <w:szCs w:val="32"/>
        </w:rPr>
      </w:pPr>
    </w:p>
    <w:p w:rsidR="00080FCA" w:rsidRDefault="00080FCA" w:rsidP="00250A42">
      <w:pPr>
        <w:widowControl/>
        <w:spacing w:line="600" w:lineRule="exact"/>
        <w:ind w:firstLineChars="500" w:firstLine="1600"/>
        <w:jc w:val="left"/>
        <w:rPr>
          <w:rFonts w:ascii="Times New Roman" w:eastAsia="仿宋_GB2312" w:hAnsi="Times New Roman"/>
          <w:sz w:val="32"/>
          <w:szCs w:val="32"/>
        </w:rPr>
      </w:pPr>
    </w:p>
    <w:p w:rsidR="00080FCA" w:rsidRDefault="00080FCA" w:rsidP="00250A42">
      <w:pPr>
        <w:widowControl/>
        <w:spacing w:line="600" w:lineRule="exact"/>
        <w:ind w:firstLineChars="500" w:firstLine="1600"/>
        <w:jc w:val="left"/>
        <w:rPr>
          <w:rFonts w:ascii="Times New Roman" w:eastAsia="仿宋_GB2312" w:hAnsi="Times New Roman"/>
          <w:sz w:val="32"/>
          <w:szCs w:val="32"/>
        </w:rPr>
      </w:pPr>
    </w:p>
    <w:p w:rsidR="00080FCA" w:rsidRDefault="00080FCA" w:rsidP="00250A42">
      <w:pPr>
        <w:widowControl/>
        <w:spacing w:line="600" w:lineRule="exact"/>
        <w:ind w:firstLineChars="500" w:firstLine="1600"/>
        <w:jc w:val="left"/>
        <w:rPr>
          <w:rFonts w:ascii="Times New Roman" w:eastAsia="仿宋_GB2312" w:hAnsi="Times New Roman"/>
          <w:sz w:val="32"/>
          <w:szCs w:val="32"/>
        </w:rPr>
      </w:pPr>
    </w:p>
    <w:p w:rsidR="00080FCA" w:rsidRDefault="00080FCA" w:rsidP="00250A42">
      <w:pPr>
        <w:widowControl/>
        <w:spacing w:line="600" w:lineRule="exact"/>
        <w:ind w:firstLineChars="500" w:firstLine="1600"/>
        <w:jc w:val="left"/>
        <w:rPr>
          <w:rFonts w:ascii="Times New Roman" w:eastAsia="仿宋_GB2312" w:hAnsi="Times New Roman"/>
          <w:sz w:val="32"/>
          <w:szCs w:val="32"/>
        </w:rPr>
      </w:pPr>
    </w:p>
    <w:p w:rsidR="00080FCA" w:rsidRDefault="00080FCA" w:rsidP="00250A42">
      <w:pPr>
        <w:widowControl/>
        <w:spacing w:line="600" w:lineRule="exact"/>
        <w:ind w:firstLineChars="500" w:firstLine="1600"/>
        <w:jc w:val="left"/>
        <w:rPr>
          <w:rFonts w:ascii="Times New Roman" w:eastAsia="仿宋_GB2312" w:hAnsi="Times New Roman"/>
          <w:sz w:val="32"/>
          <w:szCs w:val="32"/>
        </w:rPr>
      </w:pPr>
    </w:p>
    <w:p w:rsidR="00080FCA" w:rsidRDefault="00080FCA" w:rsidP="00250A42">
      <w:pPr>
        <w:widowControl/>
        <w:spacing w:line="600" w:lineRule="exact"/>
        <w:ind w:firstLineChars="500" w:firstLine="1600"/>
        <w:jc w:val="left"/>
        <w:rPr>
          <w:rFonts w:ascii="Times New Roman" w:eastAsia="仿宋_GB2312" w:hAnsi="Times New Roman"/>
          <w:sz w:val="32"/>
          <w:szCs w:val="32"/>
        </w:rPr>
      </w:pPr>
    </w:p>
    <w:p w:rsidR="00080FCA" w:rsidRDefault="00080FCA" w:rsidP="00250A42">
      <w:pPr>
        <w:widowControl/>
        <w:spacing w:line="600" w:lineRule="exact"/>
        <w:ind w:firstLineChars="500" w:firstLine="1600"/>
        <w:jc w:val="left"/>
        <w:rPr>
          <w:rFonts w:ascii="Times New Roman" w:eastAsia="仿宋_GB2312" w:hAnsi="Times New Roman"/>
          <w:sz w:val="32"/>
          <w:szCs w:val="32"/>
        </w:rPr>
      </w:pPr>
    </w:p>
    <w:p w:rsidR="00080FCA" w:rsidRDefault="00080FCA" w:rsidP="00250A42">
      <w:pPr>
        <w:widowControl/>
        <w:spacing w:line="600" w:lineRule="exact"/>
        <w:ind w:firstLineChars="500" w:firstLine="1600"/>
        <w:jc w:val="left"/>
        <w:rPr>
          <w:rFonts w:ascii="Times New Roman" w:eastAsia="仿宋_GB2312" w:hAnsi="Times New Roman"/>
          <w:sz w:val="32"/>
          <w:szCs w:val="32"/>
        </w:rPr>
      </w:pPr>
    </w:p>
    <w:p w:rsidR="00080FCA" w:rsidRPr="00250A42" w:rsidRDefault="00080FCA" w:rsidP="00080FCA">
      <w:pPr>
        <w:widowControl/>
        <w:spacing w:line="600" w:lineRule="exact"/>
        <w:jc w:val="left"/>
        <w:rPr>
          <w:rFonts w:ascii="Times New Roman" w:eastAsia="仿宋_GB2312" w:hAnsi="Times New Roman"/>
          <w:sz w:val="32"/>
          <w:szCs w:val="32"/>
        </w:rPr>
        <w:sectPr w:rsidR="00080FCA" w:rsidRPr="00250A42">
          <w:pgSz w:w="11906" w:h="16838"/>
          <w:pgMar w:top="1928" w:right="1531" w:bottom="1701" w:left="1531" w:header="737" w:footer="851" w:gutter="0"/>
          <w:pgBorders>
            <w:top w:val="none" w:sz="0" w:space="1" w:color="auto"/>
            <w:left w:val="none" w:sz="0" w:space="4" w:color="auto"/>
            <w:bottom w:val="none" w:sz="0" w:space="1" w:color="auto"/>
            <w:right w:val="none" w:sz="0" w:space="4" w:color="auto"/>
          </w:pgBorders>
          <w:cols w:space="720"/>
          <w:docGrid w:type="lines" w:linePitch="408"/>
        </w:sectPr>
      </w:pPr>
    </w:p>
    <w:p w:rsidR="00080FCA" w:rsidRDefault="00080FCA" w:rsidP="00080FCA">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1</w:t>
      </w:r>
    </w:p>
    <w:p w:rsidR="00080FCA" w:rsidRDefault="00080FCA" w:rsidP="004856B1">
      <w:pPr>
        <w:spacing w:beforeLines="50" w:afterLines="50" w:line="360" w:lineRule="exact"/>
        <w:jc w:val="center"/>
        <w:rPr>
          <w:rFonts w:ascii="Times New Roman" w:eastAsia="方正小标宋简体" w:hAnsi="Times New Roman"/>
          <w:kern w:val="0"/>
          <w:sz w:val="44"/>
          <w:szCs w:val="44"/>
        </w:rPr>
      </w:pPr>
      <w:r>
        <w:rPr>
          <w:rFonts w:ascii="Times New Roman" w:eastAsia="方正小标宋简体" w:hAnsi="Times New Roman"/>
          <w:kern w:val="0"/>
          <w:sz w:val="44"/>
          <w:szCs w:val="44"/>
        </w:rPr>
        <w:t>部门整体支出绩效评价基础数据表</w:t>
      </w:r>
    </w:p>
    <w:p w:rsidR="00080FCA" w:rsidRDefault="00080FCA" w:rsidP="00080FCA">
      <w:pPr>
        <w:widowControl/>
        <w:tabs>
          <w:tab w:val="left" w:pos="3611"/>
          <w:tab w:val="left" w:pos="4791"/>
          <w:tab w:val="left" w:pos="5951"/>
          <w:tab w:val="left" w:pos="7071"/>
          <w:tab w:val="left" w:pos="8191"/>
          <w:tab w:val="left" w:pos="9311"/>
        </w:tabs>
        <w:spacing w:line="500" w:lineRule="exact"/>
        <w:ind w:left="91" w:right="600"/>
        <w:rPr>
          <w:rFonts w:ascii="Times New Roman" w:eastAsia="仿宋_GB2312" w:hAnsi="Times New Roman"/>
          <w:kern w:val="0"/>
          <w:sz w:val="30"/>
          <w:szCs w:val="30"/>
        </w:rPr>
      </w:pPr>
      <w:r>
        <w:rPr>
          <w:rFonts w:ascii="Times New Roman" w:eastAsia="仿宋_GB2312" w:hAnsi="Times New Roman"/>
          <w:kern w:val="0"/>
          <w:sz w:val="30"/>
          <w:szCs w:val="30"/>
        </w:rPr>
        <w:t>填报单位</w:t>
      </w:r>
      <w:r>
        <w:rPr>
          <w:rFonts w:ascii="Times New Roman" w:eastAsia="仿宋_GB2312" w:hAnsi="Times New Roman" w:hint="eastAsia"/>
          <w:kern w:val="0"/>
          <w:sz w:val="30"/>
          <w:szCs w:val="30"/>
        </w:rPr>
        <w:t xml:space="preserve">  </w:t>
      </w:r>
      <w:r>
        <w:rPr>
          <w:rFonts w:ascii="Times New Roman" w:eastAsia="仿宋_GB2312" w:hAnsi="Times New Roman" w:hint="eastAsia"/>
          <w:kern w:val="0"/>
          <w:sz w:val="30"/>
          <w:szCs w:val="30"/>
        </w:rPr>
        <w:t>中方县商务科技和工业信息化局</w:t>
      </w:r>
      <w:r>
        <w:rPr>
          <w:rFonts w:ascii="Times New Roman" w:eastAsia="仿宋_GB2312" w:hAnsi="Times New Roman" w:hint="eastAsia"/>
          <w:kern w:val="0"/>
          <w:sz w:val="30"/>
          <w:szCs w:val="30"/>
        </w:rPr>
        <w:t xml:space="preserve">      </w:t>
      </w:r>
      <w:r w:rsidR="004856B1">
        <w:rPr>
          <w:rFonts w:ascii="Times New Roman" w:eastAsia="仿宋_GB2312" w:hAnsi="Times New Roman" w:hint="eastAsia"/>
          <w:kern w:val="0"/>
          <w:sz w:val="30"/>
          <w:szCs w:val="30"/>
        </w:rPr>
        <w:t xml:space="preserve">                             </w:t>
      </w:r>
      <w:r>
        <w:rPr>
          <w:rFonts w:ascii="Times New Roman" w:eastAsia="仿宋_GB2312" w:hAnsi="Times New Roman" w:hint="eastAsia"/>
          <w:kern w:val="0"/>
          <w:sz w:val="30"/>
          <w:szCs w:val="30"/>
        </w:rPr>
        <w:t xml:space="preserve">  </w:t>
      </w:r>
      <w:r>
        <w:rPr>
          <w:rFonts w:ascii="Times New Roman" w:eastAsia="仿宋_GB2312" w:hAnsi="Times New Roman" w:hint="eastAsia"/>
          <w:kern w:val="0"/>
          <w:sz w:val="30"/>
          <w:szCs w:val="30"/>
        </w:rPr>
        <w:t>单位：万元</w:t>
      </w:r>
    </w:p>
    <w:tbl>
      <w:tblPr>
        <w:tblW w:w="0" w:type="auto"/>
        <w:jc w:val="center"/>
        <w:tblLayout w:type="fixed"/>
        <w:tblLook w:val="0000"/>
      </w:tblPr>
      <w:tblGrid>
        <w:gridCol w:w="4883"/>
        <w:gridCol w:w="1545"/>
        <w:gridCol w:w="1522"/>
        <w:gridCol w:w="1468"/>
        <w:gridCol w:w="1901"/>
        <w:gridCol w:w="1260"/>
        <w:gridCol w:w="1121"/>
      </w:tblGrid>
      <w:tr w:rsidR="00080FCA" w:rsidTr="00BE5205">
        <w:trPr>
          <w:trHeight w:val="263"/>
          <w:jc w:val="center"/>
        </w:trPr>
        <w:tc>
          <w:tcPr>
            <w:tcW w:w="4883" w:type="dxa"/>
            <w:vMerge w:val="restart"/>
            <w:tcBorders>
              <w:top w:val="single" w:sz="4" w:space="0" w:color="auto"/>
              <w:left w:val="single" w:sz="4" w:space="0" w:color="auto"/>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财政供养人员情况</w:t>
            </w:r>
          </w:p>
        </w:tc>
        <w:tc>
          <w:tcPr>
            <w:tcW w:w="3067" w:type="dxa"/>
            <w:gridSpan w:val="2"/>
            <w:tcBorders>
              <w:top w:val="single" w:sz="4" w:space="0" w:color="auto"/>
              <w:left w:val="nil"/>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编制数</w:t>
            </w:r>
          </w:p>
        </w:tc>
        <w:tc>
          <w:tcPr>
            <w:tcW w:w="3369" w:type="dxa"/>
            <w:gridSpan w:val="2"/>
            <w:tcBorders>
              <w:top w:val="single" w:sz="4" w:space="0" w:color="auto"/>
              <w:left w:val="nil"/>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年实际在职人数</w:t>
            </w:r>
          </w:p>
        </w:tc>
        <w:tc>
          <w:tcPr>
            <w:tcW w:w="2381" w:type="dxa"/>
            <w:gridSpan w:val="2"/>
            <w:tcBorders>
              <w:top w:val="single" w:sz="4" w:space="0" w:color="auto"/>
              <w:left w:val="nil"/>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控制率</w:t>
            </w:r>
          </w:p>
        </w:tc>
      </w:tr>
      <w:tr w:rsidR="00080FCA" w:rsidTr="00BE5205">
        <w:trPr>
          <w:trHeight w:val="263"/>
          <w:jc w:val="center"/>
        </w:trPr>
        <w:tc>
          <w:tcPr>
            <w:tcW w:w="4883" w:type="dxa"/>
            <w:vMerge/>
            <w:tcBorders>
              <w:top w:val="single" w:sz="4" w:space="0" w:color="auto"/>
              <w:left w:val="single" w:sz="4" w:space="0" w:color="auto"/>
              <w:bottom w:val="single" w:sz="4" w:space="0" w:color="auto"/>
              <w:right w:val="single" w:sz="4" w:space="0" w:color="auto"/>
            </w:tcBorders>
            <w:vAlign w:val="center"/>
          </w:tcPr>
          <w:p w:rsidR="00080FCA" w:rsidRDefault="00080FCA" w:rsidP="00BE5205">
            <w:pPr>
              <w:widowControl/>
              <w:spacing w:line="240" w:lineRule="exact"/>
              <w:jc w:val="left"/>
              <w:rPr>
                <w:rFonts w:ascii="Times New Roman" w:eastAsia="仿宋_GB2312" w:hAnsi="Times New Roman"/>
                <w:kern w:val="0"/>
                <w:sz w:val="18"/>
                <w:szCs w:val="18"/>
              </w:rPr>
            </w:pPr>
          </w:p>
        </w:tc>
        <w:tc>
          <w:tcPr>
            <w:tcW w:w="3067" w:type="dxa"/>
            <w:gridSpan w:val="2"/>
            <w:tcBorders>
              <w:top w:val="single" w:sz="4" w:space="0" w:color="auto"/>
              <w:left w:val="nil"/>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61</w:t>
            </w:r>
          </w:p>
        </w:tc>
        <w:tc>
          <w:tcPr>
            <w:tcW w:w="3369" w:type="dxa"/>
            <w:gridSpan w:val="2"/>
            <w:tcBorders>
              <w:top w:val="single" w:sz="4" w:space="0" w:color="auto"/>
              <w:left w:val="nil"/>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66</w:t>
            </w:r>
          </w:p>
        </w:tc>
        <w:tc>
          <w:tcPr>
            <w:tcW w:w="2381" w:type="dxa"/>
            <w:gridSpan w:val="2"/>
            <w:tcBorders>
              <w:top w:val="single" w:sz="4" w:space="0" w:color="auto"/>
              <w:left w:val="nil"/>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108%</w:t>
            </w:r>
          </w:p>
        </w:tc>
      </w:tr>
      <w:tr w:rsidR="00080FCA" w:rsidTr="00BE5205">
        <w:trPr>
          <w:trHeight w:val="263"/>
          <w:jc w:val="center"/>
        </w:trPr>
        <w:tc>
          <w:tcPr>
            <w:tcW w:w="4883" w:type="dxa"/>
            <w:tcBorders>
              <w:top w:val="nil"/>
              <w:left w:val="single" w:sz="4" w:space="0" w:color="auto"/>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经费控制情况</w:t>
            </w:r>
          </w:p>
        </w:tc>
        <w:tc>
          <w:tcPr>
            <w:tcW w:w="3067"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19</w:t>
            </w:r>
            <w:r>
              <w:rPr>
                <w:rFonts w:ascii="Times New Roman" w:eastAsia="仿宋_GB2312" w:hAnsi="Times New Roman"/>
                <w:kern w:val="0"/>
                <w:sz w:val="18"/>
                <w:szCs w:val="18"/>
              </w:rPr>
              <w:t>年决算数</w:t>
            </w:r>
          </w:p>
        </w:tc>
        <w:tc>
          <w:tcPr>
            <w:tcW w:w="3369"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年预算数</w:t>
            </w:r>
          </w:p>
        </w:tc>
        <w:tc>
          <w:tcPr>
            <w:tcW w:w="2381"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年决算数</w:t>
            </w:r>
          </w:p>
        </w:tc>
      </w:tr>
      <w:tr w:rsidR="00080FCA" w:rsidTr="00BE5205">
        <w:trPr>
          <w:trHeight w:val="263"/>
          <w:jc w:val="center"/>
        </w:trPr>
        <w:tc>
          <w:tcPr>
            <w:tcW w:w="4883" w:type="dxa"/>
            <w:tcBorders>
              <w:top w:val="nil"/>
              <w:left w:val="single" w:sz="4" w:space="0" w:color="auto"/>
              <w:bottom w:val="single" w:sz="4" w:space="0" w:color="auto"/>
              <w:right w:val="single" w:sz="4" w:space="0" w:color="auto"/>
            </w:tcBorders>
            <w:vAlign w:val="center"/>
          </w:tcPr>
          <w:p w:rsidR="00080FCA" w:rsidRDefault="00080FCA" w:rsidP="00BE5205">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三公经费</w:t>
            </w:r>
          </w:p>
        </w:tc>
        <w:tc>
          <w:tcPr>
            <w:tcW w:w="3067"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29.91</w:t>
            </w:r>
          </w:p>
        </w:tc>
        <w:tc>
          <w:tcPr>
            <w:tcW w:w="3369"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44</w:t>
            </w:r>
          </w:p>
        </w:tc>
        <w:tc>
          <w:tcPr>
            <w:tcW w:w="2381"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29.7</w:t>
            </w:r>
          </w:p>
        </w:tc>
      </w:tr>
      <w:tr w:rsidR="00080FCA" w:rsidTr="00BE5205">
        <w:trPr>
          <w:trHeight w:val="263"/>
          <w:jc w:val="center"/>
        </w:trPr>
        <w:tc>
          <w:tcPr>
            <w:tcW w:w="4883" w:type="dxa"/>
            <w:tcBorders>
              <w:top w:val="nil"/>
              <w:left w:val="single" w:sz="4" w:space="0" w:color="auto"/>
              <w:bottom w:val="single" w:sz="4" w:space="0" w:color="auto"/>
              <w:right w:val="single" w:sz="4" w:space="0" w:color="auto"/>
            </w:tcBorders>
            <w:vAlign w:val="center"/>
          </w:tcPr>
          <w:p w:rsidR="00080FCA" w:rsidRDefault="00080FCA" w:rsidP="00BE5205">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1</w:t>
            </w:r>
            <w:r>
              <w:rPr>
                <w:rFonts w:ascii="Times New Roman" w:eastAsia="仿宋_GB2312" w:hAnsi="Times New Roman"/>
                <w:kern w:val="0"/>
                <w:sz w:val="18"/>
                <w:szCs w:val="18"/>
              </w:rPr>
              <w:t>、公务用车购置和维护经费</w:t>
            </w:r>
          </w:p>
        </w:tc>
        <w:tc>
          <w:tcPr>
            <w:tcW w:w="3067"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3.5</w:t>
            </w:r>
          </w:p>
        </w:tc>
        <w:tc>
          <w:tcPr>
            <w:tcW w:w="3369"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w:t>
            </w:r>
          </w:p>
        </w:tc>
        <w:tc>
          <w:tcPr>
            <w:tcW w:w="2381"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3.42</w:t>
            </w:r>
          </w:p>
        </w:tc>
      </w:tr>
      <w:tr w:rsidR="00080FCA" w:rsidTr="00BE5205">
        <w:trPr>
          <w:trHeight w:val="263"/>
          <w:jc w:val="center"/>
        </w:trPr>
        <w:tc>
          <w:tcPr>
            <w:tcW w:w="4883" w:type="dxa"/>
            <w:tcBorders>
              <w:top w:val="nil"/>
              <w:left w:val="single" w:sz="4" w:space="0" w:color="auto"/>
              <w:bottom w:val="single" w:sz="4" w:space="0" w:color="auto"/>
              <w:right w:val="single" w:sz="4" w:space="0" w:color="auto"/>
            </w:tcBorders>
            <w:vAlign w:val="center"/>
          </w:tcPr>
          <w:p w:rsidR="00080FCA" w:rsidRDefault="00080FCA" w:rsidP="00BE5205">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其中：公车购置</w:t>
            </w:r>
          </w:p>
        </w:tc>
        <w:tc>
          <w:tcPr>
            <w:tcW w:w="3067"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c>
          <w:tcPr>
            <w:tcW w:w="3369"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c>
          <w:tcPr>
            <w:tcW w:w="2381"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r>
      <w:tr w:rsidR="00080FCA" w:rsidTr="00BE5205">
        <w:trPr>
          <w:trHeight w:val="263"/>
          <w:jc w:val="center"/>
        </w:trPr>
        <w:tc>
          <w:tcPr>
            <w:tcW w:w="4883" w:type="dxa"/>
            <w:tcBorders>
              <w:top w:val="nil"/>
              <w:left w:val="single" w:sz="4" w:space="0" w:color="auto"/>
              <w:bottom w:val="single" w:sz="4" w:space="0" w:color="auto"/>
              <w:right w:val="single" w:sz="4" w:space="0" w:color="auto"/>
            </w:tcBorders>
            <w:vAlign w:val="center"/>
          </w:tcPr>
          <w:p w:rsidR="00080FCA" w:rsidRDefault="00080FCA" w:rsidP="00BE5205">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公车运行维护</w:t>
            </w:r>
          </w:p>
        </w:tc>
        <w:tc>
          <w:tcPr>
            <w:tcW w:w="3067"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3.5</w:t>
            </w:r>
          </w:p>
        </w:tc>
        <w:tc>
          <w:tcPr>
            <w:tcW w:w="3369"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w:t>
            </w:r>
          </w:p>
        </w:tc>
        <w:tc>
          <w:tcPr>
            <w:tcW w:w="2381"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3.42</w:t>
            </w:r>
          </w:p>
        </w:tc>
      </w:tr>
      <w:tr w:rsidR="00080FCA" w:rsidTr="00BE5205">
        <w:trPr>
          <w:trHeight w:val="177"/>
          <w:jc w:val="center"/>
        </w:trPr>
        <w:tc>
          <w:tcPr>
            <w:tcW w:w="4883" w:type="dxa"/>
            <w:tcBorders>
              <w:top w:val="nil"/>
              <w:left w:val="single" w:sz="4" w:space="0" w:color="auto"/>
              <w:bottom w:val="single" w:sz="4" w:space="0" w:color="auto"/>
              <w:right w:val="single" w:sz="4" w:space="0" w:color="auto"/>
            </w:tcBorders>
            <w:vAlign w:val="center"/>
          </w:tcPr>
          <w:p w:rsidR="00080FCA" w:rsidRDefault="00080FCA" w:rsidP="00BE5205">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2</w:t>
            </w:r>
            <w:r>
              <w:rPr>
                <w:rFonts w:ascii="Times New Roman" w:eastAsia="仿宋_GB2312" w:hAnsi="Times New Roman"/>
                <w:kern w:val="0"/>
                <w:sz w:val="18"/>
                <w:szCs w:val="18"/>
              </w:rPr>
              <w:t>、出国经费</w:t>
            </w:r>
          </w:p>
        </w:tc>
        <w:tc>
          <w:tcPr>
            <w:tcW w:w="3067"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c>
          <w:tcPr>
            <w:tcW w:w="3369"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c>
          <w:tcPr>
            <w:tcW w:w="2381"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r>
      <w:tr w:rsidR="00080FCA" w:rsidTr="00BE5205">
        <w:trPr>
          <w:trHeight w:val="263"/>
          <w:jc w:val="center"/>
        </w:trPr>
        <w:tc>
          <w:tcPr>
            <w:tcW w:w="4883" w:type="dxa"/>
            <w:tcBorders>
              <w:top w:val="nil"/>
              <w:left w:val="single" w:sz="4" w:space="0" w:color="auto"/>
              <w:bottom w:val="single" w:sz="4" w:space="0" w:color="auto"/>
              <w:right w:val="single" w:sz="4" w:space="0" w:color="auto"/>
            </w:tcBorders>
            <w:vAlign w:val="center"/>
          </w:tcPr>
          <w:p w:rsidR="00080FCA" w:rsidRDefault="00080FCA" w:rsidP="00BE5205">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3</w:t>
            </w:r>
            <w:r>
              <w:rPr>
                <w:rFonts w:ascii="Times New Roman" w:eastAsia="仿宋_GB2312" w:hAnsi="Times New Roman"/>
                <w:kern w:val="0"/>
                <w:sz w:val="18"/>
                <w:szCs w:val="18"/>
              </w:rPr>
              <w:t>、公务接待</w:t>
            </w:r>
          </w:p>
        </w:tc>
        <w:tc>
          <w:tcPr>
            <w:tcW w:w="3067"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26.41</w:t>
            </w:r>
          </w:p>
        </w:tc>
        <w:tc>
          <w:tcPr>
            <w:tcW w:w="3369"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42</w:t>
            </w:r>
          </w:p>
        </w:tc>
        <w:tc>
          <w:tcPr>
            <w:tcW w:w="2381"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26.28</w:t>
            </w:r>
          </w:p>
        </w:tc>
      </w:tr>
      <w:tr w:rsidR="00080FCA" w:rsidTr="00BE5205">
        <w:trPr>
          <w:trHeight w:val="263"/>
          <w:jc w:val="center"/>
        </w:trPr>
        <w:tc>
          <w:tcPr>
            <w:tcW w:w="4883" w:type="dxa"/>
            <w:tcBorders>
              <w:top w:val="nil"/>
              <w:left w:val="single" w:sz="4" w:space="0" w:color="auto"/>
              <w:bottom w:val="single" w:sz="4" w:space="0" w:color="auto"/>
              <w:right w:val="single" w:sz="4" w:space="0" w:color="auto"/>
            </w:tcBorders>
            <w:vAlign w:val="center"/>
          </w:tcPr>
          <w:p w:rsidR="00080FCA" w:rsidRDefault="00080FCA" w:rsidP="00BE5205">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项目支出：</w:t>
            </w:r>
            <w:r>
              <w:rPr>
                <w:rFonts w:ascii="Times New Roman" w:eastAsia="仿宋_GB2312" w:hAnsi="Times New Roman"/>
                <w:kern w:val="0"/>
                <w:sz w:val="18"/>
                <w:szCs w:val="18"/>
              </w:rPr>
              <w:t xml:space="preserve">        </w:t>
            </w:r>
            <w:r>
              <w:rPr>
                <w:rFonts w:ascii="Times New Roman" w:eastAsia="仿宋_GB2312" w:hAnsi="Times New Roman"/>
                <w:kern w:val="0"/>
                <w:sz w:val="18"/>
                <w:szCs w:val="18"/>
              </w:rPr>
              <w:t>（一个项目一行）</w:t>
            </w:r>
          </w:p>
        </w:tc>
        <w:tc>
          <w:tcPr>
            <w:tcW w:w="3067"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3038.36</w:t>
            </w:r>
          </w:p>
        </w:tc>
        <w:tc>
          <w:tcPr>
            <w:tcW w:w="3369"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2874.62</w:t>
            </w:r>
          </w:p>
        </w:tc>
        <w:tc>
          <w:tcPr>
            <w:tcW w:w="2381"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sidRPr="00B27BA3">
              <w:rPr>
                <w:rFonts w:ascii="Times New Roman" w:eastAsia="仿宋_GB2312" w:hAnsi="Times New Roman" w:hint="eastAsia"/>
                <w:kern w:val="0"/>
                <w:sz w:val="18"/>
                <w:szCs w:val="18"/>
              </w:rPr>
              <w:t>4895.0</w:t>
            </w:r>
            <w:r>
              <w:rPr>
                <w:rFonts w:ascii="Times New Roman" w:eastAsia="仿宋_GB2312" w:hAnsi="Times New Roman" w:hint="eastAsia"/>
                <w:kern w:val="0"/>
                <w:sz w:val="18"/>
                <w:szCs w:val="18"/>
              </w:rPr>
              <w:t>1</w:t>
            </w:r>
          </w:p>
        </w:tc>
      </w:tr>
      <w:tr w:rsidR="00080FCA" w:rsidTr="00BE5205">
        <w:trPr>
          <w:trHeight w:val="263"/>
          <w:jc w:val="center"/>
        </w:trPr>
        <w:tc>
          <w:tcPr>
            <w:tcW w:w="4883" w:type="dxa"/>
            <w:tcBorders>
              <w:top w:val="nil"/>
              <w:left w:val="single" w:sz="4" w:space="0" w:color="auto"/>
              <w:bottom w:val="single" w:sz="4" w:space="0" w:color="auto"/>
              <w:right w:val="single" w:sz="4" w:space="0" w:color="auto"/>
            </w:tcBorders>
            <w:vAlign w:val="center"/>
          </w:tcPr>
          <w:p w:rsidR="00080FCA" w:rsidRDefault="00080FCA" w:rsidP="00BE5205">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1</w:t>
            </w:r>
            <w:r>
              <w:rPr>
                <w:rFonts w:ascii="Times New Roman" w:eastAsia="仿宋_GB2312" w:hAnsi="Times New Roman"/>
                <w:kern w:val="0"/>
                <w:sz w:val="18"/>
                <w:szCs w:val="18"/>
              </w:rPr>
              <w:t>、业务工作专项</w:t>
            </w:r>
          </w:p>
        </w:tc>
        <w:tc>
          <w:tcPr>
            <w:tcW w:w="3067"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3038.36</w:t>
            </w:r>
          </w:p>
        </w:tc>
        <w:tc>
          <w:tcPr>
            <w:tcW w:w="3369"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2874.62</w:t>
            </w:r>
          </w:p>
        </w:tc>
        <w:tc>
          <w:tcPr>
            <w:tcW w:w="2381"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4895.01</w:t>
            </w:r>
          </w:p>
        </w:tc>
      </w:tr>
      <w:tr w:rsidR="00080FCA" w:rsidTr="00BE5205">
        <w:trPr>
          <w:trHeight w:val="263"/>
          <w:jc w:val="center"/>
        </w:trPr>
        <w:tc>
          <w:tcPr>
            <w:tcW w:w="4883" w:type="dxa"/>
            <w:tcBorders>
              <w:top w:val="nil"/>
              <w:left w:val="single" w:sz="4" w:space="0" w:color="auto"/>
              <w:bottom w:val="single" w:sz="4" w:space="0" w:color="auto"/>
              <w:right w:val="single" w:sz="4" w:space="0" w:color="auto"/>
            </w:tcBorders>
            <w:vAlign w:val="center"/>
          </w:tcPr>
          <w:p w:rsidR="00080FCA" w:rsidRDefault="00080FCA" w:rsidP="00BE5205">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2</w:t>
            </w:r>
            <w:r>
              <w:rPr>
                <w:rFonts w:ascii="Times New Roman" w:eastAsia="仿宋_GB2312" w:hAnsi="Times New Roman"/>
                <w:kern w:val="0"/>
                <w:sz w:val="18"/>
                <w:szCs w:val="18"/>
              </w:rPr>
              <w:t>、运行维护专项</w:t>
            </w:r>
          </w:p>
        </w:tc>
        <w:tc>
          <w:tcPr>
            <w:tcW w:w="3067"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c>
          <w:tcPr>
            <w:tcW w:w="3369"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0</w:t>
            </w:r>
          </w:p>
        </w:tc>
        <w:tc>
          <w:tcPr>
            <w:tcW w:w="2381"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080FCA" w:rsidTr="00BE5205">
        <w:trPr>
          <w:trHeight w:val="263"/>
          <w:jc w:val="center"/>
        </w:trPr>
        <w:tc>
          <w:tcPr>
            <w:tcW w:w="4883" w:type="dxa"/>
            <w:tcBorders>
              <w:top w:val="single" w:sz="4" w:space="0" w:color="auto"/>
              <w:left w:val="single" w:sz="4" w:space="0" w:color="auto"/>
              <w:bottom w:val="single" w:sz="4" w:space="0" w:color="auto"/>
              <w:right w:val="single" w:sz="4" w:space="0" w:color="auto"/>
            </w:tcBorders>
            <w:vAlign w:val="center"/>
          </w:tcPr>
          <w:p w:rsidR="00080FCA" w:rsidRDefault="00080FCA" w:rsidP="00BE5205">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067" w:type="dxa"/>
            <w:gridSpan w:val="2"/>
            <w:tcBorders>
              <w:top w:val="single" w:sz="4" w:space="0" w:color="auto"/>
              <w:left w:val="single" w:sz="4" w:space="0" w:color="auto"/>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p>
        </w:tc>
        <w:tc>
          <w:tcPr>
            <w:tcW w:w="3369" w:type="dxa"/>
            <w:gridSpan w:val="2"/>
            <w:tcBorders>
              <w:top w:val="single" w:sz="4" w:space="0" w:color="auto"/>
              <w:left w:val="single" w:sz="4" w:space="0" w:color="auto"/>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080FCA" w:rsidTr="00BE5205">
        <w:trPr>
          <w:trHeight w:val="263"/>
          <w:jc w:val="center"/>
        </w:trPr>
        <w:tc>
          <w:tcPr>
            <w:tcW w:w="4883" w:type="dxa"/>
            <w:tcBorders>
              <w:top w:val="single" w:sz="4" w:space="0" w:color="auto"/>
              <w:left w:val="single" w:sz="4" w:space="0" w:color="auto"/>
              <w:bottom w:val="single" w:sz="4" w:space="0" w:color="auto"/>
              <w:right w:val="single" w:sz="4" w:space="0" w:color="auto"/>
            </w:tcBorders>
            <w:vAlign w:val="center"/>
          </w:tcPr>
          <w:p w:rsidR="00080FCA" w:rsidRDefault="00080FCA" w:rsidP="00BE5205">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公用经费</w:t>
            </w:r>
          </w:p>
        </w:tc>
        <w:tc>
          <w:tcPr>
            <w:tcW w:w="3067"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97.69</w:t>
            </w:r>
          </w:p>
        </w:tc>
        <w:tc>
          <w:tcPr>
            <w:tcW w:w="3369"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sidRPr="00BB3A47">
              <w:rPr>
                <w:rFonts w:ascii="Times New Roman" w:eastAsia="仿宋_GB2312" w:hAnsi="Times New Roman"/>
                <w:kern w:val="0"/>
                <w:sz w:val="18"/>
                <w:szCs w:val="18"/>
              </w:rPr>
              <w:t>82.55</w:t>
            </w:r>
          </w:p>
        </w:tc>
        <w:tc>
          <w:tcPr>
            <w:tcW w:w="2381"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60.91</w:t>
            </w:r>
          </w:p>
        </w:tc>
      </w:tr>
      <w:tr w:rsidR="00080FCA" w:rsidTr="00BE5205">
        <w:trPr>
          <w:trHeight w:val="263"/>
          <w:jc w:val="center"/>
        </w:trPr>
        <w:tc>
          <w:tcPr>
            <w:tcW w:w="4883" w:type="dxa"/>
            <w:tcBorders>
              <w:top w:val="nil"/>
              <w:left w:val="single" w:sz="4" w:space="0" w:color="auto"/>
              <w:bottom w:val="single" w:sz="4" w:space="0" w:color="auto"/>
              <w:right w:val="single" w:sz="4" w:space="0" w:color="auto"/>
            </w:tcBorders>
            <w:vAlign w:val="center"/>
          </w:tcPr>
          <w:p w:rsidR="00080FCA" w:rsidRDefault="00080FCA" w:rsidP="00BE5205">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其中：办公经费</w:t>
            </w:r>
          </w:p>
        </w:tc>
        <w:tc>
          <w:tcPr>
            <w:tcW w:w="3067"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12.23</w:t>
            </w:r>
          </w:p>
        </w:tc>
        <w:tc>
          <w:tcPr>
            <w:tcW w:w="3369"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9.5</w:t>
            </w:r>
          </w:p>
        </w:tc>
        <w:tc>
          <w:tcPr>
            <w:tcW w:w="2381"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2.77</w:t>
            </w:r>
          </w:p>
        </w:tc>
      </w:tr>
      <w:tr w:rsidR="00080FCA" w:rsidTr="00BE5205">
        <w:trPr>
          <w:trHeight w:val="263"/>
          <w:jc w:val="center"/>
        </w:trPr>
        <w:tc>
          <w:tcPr>
            <w:tcW w:w="4883" w:type="dxa"/>
            <w:tcBorders>
              <w:top w:val="nil"/>
              <w:left w:val="single" w:sz="4" w:space="0" w:color="auto"/>
              <w:bottom w:val="single" w:sz="4" w:space="0" w:color="auto"/>
              <w:right w:val="single" w:sz="4" w:space="0" w:color="auto"/>
            </w:tcBorders>
            <w:vAlign w:val="center"/>
          </w:tcPr>
          <w:p w:rsidR="00080FCA" w:rsidRDefault="00080FCA" w:rsidP="00BE5205">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水费、电费、差旅费</w:t>
            </w:r>
          </w:p>
        </w:tc>
        <w:tc>
          <w:tcPr>
            <w:tcW w:w="3067"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9.3</w:t>
            </w:r>
          </w:p>
        </w:tc>
        <w:tc>
          <w:tcPr>
            <w:tcW w:w="3369"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10.5</w:t>
            </w:r>
          </w:p>
        </w:tc>
        <w:tc>
          <w:tcPr>
            <w:tcW w:w="2381"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27.15</w:t>
            </w:r>
          </w:p>
        </w:tc>
      </w:tr>
      <w:tr w:rsidR="00080FCA" w:rsidTr="00BE5205">
        <w:trPr>
          <w:trHeight w:val="263"/>
          <w:jc w:val="center"/>
        </w:trPr>
        <w:tc>
          <w:tcPr>
            <w:tcW w:w="4883" w:type="dxa"/>
            <w:tcBorders>
              <w:top w:val="nil"/>
              <w:left w:val="single" w:sz="4" w:space="0" w:color="auto"/>
              <w:bottom w:val="single" w:sz="4" w:space="0" w:color="auto"/>
              <w:right w:val="single" w:sz="4" w:space="0" w:color="auto"/>
            </w:tcBorders>
            <w:vAlign w:val="center"/>
          </w:tcPr>
          <w:p w:rsidR="00080FCA" w:rsidRDefault="00080FCA" w:rsidP="00BE5205">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会议费、培训费</w:t>
            </w:r>
          </w:p>
        </w:tc>
        <w:tc>
          <w:tcPr>
            <w:tcW w:w="3067"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2.4</w:t>
            </w:r>
          </w:p>
        </w:tc>
        <w:tc>
          <w:tcPr>
            <w:tcW w:w="3369"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color w:val="FF0000"/>
                <w:kern w:val="0"/>
                <w:sz w:val="18"/>
                <w:szCs w:val="18"/>
              </w:rPr>
              <w:t xml:space="preserve">　</w:t>
            </w:r>
            <w:r>
              <w:rPr>
                <w:rFonts w:ascii="Times New Roman" w:eastAsia="仿宋_GB2312" w:hAnsi="Times New Roman" w:hint="eastAsia"/>
                <w:color w:val="FF0000"/>
                <w:kern w:val="0"/>
                <w:sz w:val="18"/>
                <w:szCs w:val="18"/>
              </w:rPr>
              <w:t>4</w:t>
            </w:r>
          </w:p>
        </w:tc>
        <w:tc>
          <w:tcPr>
            <w:tcW w:w="2381"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color w:val="FF0000"/>
                <w:kern w:val="0"/>
                <w:sz w:val="18"/>
                <w:szCs w:val="18"/>
              </w:rPr>
              <w:t xml:space="preserve">　</w:t>
            </w:r>
            <w:r>
              <w:rPr>
                <w:rFonts w:ascii="Times New Roman" w:eastAsia="仿宋_GB2312" w:hAnsi="Times New Roman" w:hint="eastAsia"/>
                <w:color w:val="FF0000"/>
                <w:kern w:val="0"/>
                <w:sz w:val="18"/>
                <w:szCs w:val="18"/>
              </w:rPr>
              <w:t>0</w:t>
            </w:r>
          </w:p>
        </w:tc>
      </w:tr>
      <w:tr w:rsidR="00080FCA" w:rsidTr="00BE5205">
        <w:trPr>
          <w:trHeight w:val="263"/>
          <w:jc w:val="center"/>
        </w:trPr>
        <w:tc>
          <w:tcPr>
            <w:tcW w:w="4883" w:type="dxa"/>
            <w:tcBorders>
              <w:top w:val="nil"/>
              <w:left w:val="single" w:sz="4" w:space="0" w:color="auto"/>
              <w:bottom w:val="single" w:sz="4" w:space="0" w:color="auto"/>
              <w:right w:val="single" w:sz="4" w:space="0" w:color="auto"/>
            </w:tcBorders>
            <w:vAlign w:val="center"/>
          </w:tcPr>
          <w:p w:rsidR="00080FCA" w:rsidRDefault="00080FCA" w:rsidP="00BE5205">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政府采购金额</w:t>
            </w:r>
          </w:p>
        </w:tc>
        <w:tc>
          <w:tcPr>
            <w:tcW w:w="3067"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p>
        </w:tc>
        <w:tc>
          <w:tcPr>
            <w:tcW w:w="3369"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51</w:t>
            </w:r>
          </w:p>
        </w:tc>
        <w:tc>
          <w:tcPr>
            <w:tcW w:w="2381"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51</w:t>
            </w:r>
            <w:r>
              <w:rPr>
                <w:rFonts w:ascii="Times New Roman" w:eastAsia="仿宋_GB2312" w:hAnsi="Times New Roman"/>
                <w:kern w:val="0"/>
                <w:sz w:val="18"/>
                <w:szCs w:val="18"/>
              </w:rPr>
              <w:t xml:space="preserve">　</w:t>
            </w:r>
          </w:p>
        </w:tc>
      </w:tr>
      <w:tr w:rsidR="00080FCA" w:rsidTr="00BE5205">
        <w:trPr>
          <w:trHeight w:val="263"/>
          <w:jc w:val="center"/>
        </w:trPr>
        <w:tc>
          <w:tcPr>
            <w:tcW w:w="4883" w:type="dxa"/>
            <w:tcBorders>
              <w:top w:val="nil"/>
              <w:left w:val="single" w:sz="4" w:space="0" w:color="auto"/>
              <w:bottom w:val="single" w:sz="4" w:space="0" w:color="auto"/>
              <w:right w:val="single" w:sz="4" w:space="0" w:color="auto"/>
            </w:tcBorders>
            <w:vAlign w:val="center"/>
          </w:tcPr>
          <w:p w:rsidR="00080FCA" w:rsidRDefault="00080FCA" w:rsidP="00BE5205">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部门基本支出预算调整</w:t>
            </w:r>
            <w:r>
              <w:rPr>
                <w:rFonts w:ascii="Times New Roman" w:eastAsia="仿宋_GB2312" w:hAnsi="Times New Roman"/>
                <w:kern w:val="0"/>
                <w:sz w:val="18"/>
                <w:szCs w:val="18"/>
              </w:rPr>
              <w:t xml:space="preserve"> </w:t>
            </w:r>
          </w:p>
        </w:tc>
        <w:tc>
          <w:tcPr>
            <w:tcW w:w="3067"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p>
        </w:tc>
        <w:tc>
          <w:tcPr>
            <w:tcW w:w="3369"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3534.62</w:t>
            </w:r>
          </w:p>
        </w:tc>
        <w:tc>
          <w:tcPr>
            <w:tcW w:w="2381" w:type="dxa"/>
            <w:gridSpan w:val="2"/>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5675.69</w:t>
            </w:r>
          </w:p>
        </w:tc>
      </w:tr>
      <w:tr w:rsidR="00080FCA" w:rsidTr="00BE5205">
        <w:trPr>
          <w:trHeight w:val="505"/>
          <w:jc w:val="center"/>
        </w:trPr>
        <w:tc>
          <w:tcPr>
            <w:tcW w:w="4883" w:type="dxa"/>
            <w:vMerge w:val="restart"/>
            <w:tcBorders>
              <w:top w:val="nil"/>
              <w:left w:val="single" w:sz="4" w:space="0" w:color="auto"/>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楼堂馆所控制情况</w:t>
            </w:r>
            <w:r>
              <w:rPr>
                <w:rFonts w:ascii="Times New Roman" w:eastAsia="仿宋_GB2312" w:hAnsi="Times New Roman"/>
                <w:kern w:val="0"/>
                <w:sz w:val="18"/>
                <w:szCs w:val="18"/>
              </w:rPr>
              <w:br/>
            </w:r>
            <w:r>
              <w:rPr>
                <w:rFonts w:ascii="Times New Roman" w:eastAsia="仿宋_GB2312" w:hAnsi="Times New Roman"/>
                <w:kern w:val="0"/>
                <w:sz w:val="18"/>
                <w:szCs w:val="18"/>
              </w:rPr>
              <w:t>（</w:t>
            </w: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年完工项目）</w:t>
            </w:r>
          </w:p>
        </w:tc>
        <w:tc>
          <w:tcPr>
            <w:tcW w:w="1545" w:type="dxa"/>
            <w:tcBorders>
              <w:top w:val="nil"/>
              <w:left w:val="nil"/>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批复规模</w:t>
            </w:r>
            <w:r>
              <w:rPr>
                <w:rFonts w:ascii="Times New Roman" w:eastAsia="仿宋_GB2312" w:hAnsi="Times New Roman"/>
                <w:kern w:val="0"/>
                <w:sz w:val="18"/>
                <w:szCs w:val="18"/>
              </w:rPr>
              <w:br/>
            </w:r>
            <w:r>
              <w:rPr>
                <w:rFonts w:ascii="Times New Roman" w:eastAsia="仿宋_GB2312" w:hAnsi="Times New Roman"/>
                <w:kern w:val="0"/>
                <w:sz w:val="18"/>
                <w:szCs w:val="18"/>
              </w:rPr>
              <w:t>（㎡）</w:t>
            </w:r>
          </w:p>
        </w:tc>
        <w:tc>
          <w:tcPr>
            <w:tcW w:w="1522" w:type="dxa"/>
            <w:tcBorders>
              <w:top w:val="nil"/>
              <w:left w:val="nil"/>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实际规模（㎡）</w:t>
            </w:r>
          </w:p>
        </w:tc>
        <w:tc>
          <w:tcPr>
            <w:tcW w:w="1468" w:type="dxa"/>
            <w:tcBorders>
              <w:top w:val="nil"/>
              <w:left w:val="nil"/>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规模控制率</w:t>
            </w:r>
          </w:p>
        </w:tc>
        <w:tc>
          <w:tcPr>
            <w:tcW w:w="1901" w:type="dxa"/>
            <w:tcBorders>
              <w:top w:val="nil"/>
              <w:left w:val="nil"/>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预算投资（万元）</w:t>
            </w:r>
          </w:p>
        </w:tc>
        <w:tc>
          <w:tcPr>
            <w:tcW w:w="1260" w:type="dxa"/>
            <w:tcBorders>
              <w:top w:val="nil"/>
              <w:left w:val="nil"/>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实际投资（万元）</w:t>
            </w:r>
          </w:p>
        </w:tc>
        <w:tc>
          <w:tcPr>
            <w:tcW w:w="1121" w:type="dxa"/>
            <w:tcBorders>
              <w:top w:val="nil"/>
              <w:left w:val="nil"/>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投资概算控制率</w:t>
            </w:r>
          </w:p>
        </w:tc>
      </w:tr>
      <w:tr w:rsidR="00080FCA" w:rsidTr="00BE5205">
        <w:trPr>
          <w:trHeight w:val="263"/>
          <w:jc w:val="center"/>
        </w:trPr>
        <w:tc>
          <w:tcPr>
            <w:tcW w:w="4883" w:type="dxa"/>
            <w:vMerge/>
            <w:tcBorders>
              <w:top w:val="nil"/>
              <w:left w:val="single" w:sz="4" w:space="0" w:color="auto"/>
              <w:bottom w:val="single" w:sz="4" w:space="0" w:color="auto"/>
              <w:right w:val="single" w:sz="4" w:space="0" w:color="auto"/>
            </w:tcBorders>
            <w:vAlign w:val="center"/>
          </w:tcPr>
          <w:p w:rsidR="00080FCA" w:rsidRDefault="00080FCA" w:rsidP="00BE5205">
            <w:pPr>
              <w:widowControl/>
              <w:spacing w:line="240" w:lineRule="exact"/>
              <w:jc w:val="left"/>
              <w:rPr>
                <w:rFonts w:ascii="Times New Roman" w:eastAsia="仿宋_GB2312" w:hAnsi="Times New Roman"/>
                <w:kern w:val="0"/>
                <w:sz w:val="18"/>
                <w:szCs w:val="18"/>
              </w:rPr>
            </w:pPr>
          </w:p>
        </w:tc>
        <w:tc>
          <w:tcPr>
            <w:tcW w:w="1545" w:type="dxa"/>
            <w:tcBorders>
              <w:top w:val="nil"/>
              <w:left w:val="nil"/>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c>
          <w:tcPr>
            <w:tcW w:w="1522" w:type="dxa"/>
            <w:tcBorders>
              <w:top w:val="nil"/>
              <w:left w:val="nil"/>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c>
          <w:tcPr>
            <w:tcW w:w="1468" w:type="dxa"/>
            <w:tcBorders>
              <w:top w:val="nil"/>
              <w:left w:val="nil"/>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c>
          <w:tcPr>
            <w:tcW w:w="1901" w:type="dxa"/>
            <w:tcBorders>
              <w:top w:val="nil"/>
              <w:left w:val="nil"/>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c>
          <w:tcPr>
            <w:tcW w:w="1260" w:type="dxa"/>
            <w:tcBorders>
              <w:top w:val="nil"/>
              <w:left w:val="nil"/>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c>
          <w:tcPr>
            <w:tcW w:w="1121" w:type="dxa"/>
            <w:tcBorders>
              <w:top w:val="nil"/>
              <w:left w:val="nil"/>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r>
      <w:tr w:rsidR="00080FCA" w:rsidTr="00BE5205">
        <w:trPr>
          <w:trHeight w:val="282"/>
          <w:jc w:val="center"/>
        </w:trPr>
        <w:tc>
          <w:tcPr>
            <w:tcW w:w="4883" w:type="dxa"/>
            <w:tcBorders>
              <w:top w:val="nil"/>
              <w:left w:val="single" w:sz="4" w:space="0" w:color="auto"/>
              <w:bottom w:val="single" w:sz="4" w:space="0" w:color="auto"/>
              <w:right w:val="single" w:sz="4" w:space="0" w:color="auto"/>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厉行节约保障措施</w:t>
            </w:r>
          </w:p>
        </w:tc>
        <w:tc>
          <w:tcPr>
            <w:tcW w:w="8817" w:type="dxa"/>
            <w:gridSpan w:val="6"/>
            <w:tcBorders>
              <w:top w:val="single" w:sz="4" w:space="0" w:color="auto"/>
              <w:left w:val="nil"/>
              <w:bottom w:val="single" w:sz="4" w:space="0" w:color="auto"/>
              <w:right w:val="single" w:sz="4" w:space="0" w:color="000000"/>
            </w:tcBorders>
            <w:vAlign w:val="center"/>
          </w:tcPr>
          <w:p w:rsidR="00080FCA" w:rsidRDefault="00080FCA" w:rsidP="00BE5205">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bl>
    <w:p w:rsidR="00080FCA" w:rsidRDefault="00080FCA" w:rsidP="00080FCA">
      <w:pPr>
        <w:widowControl/>
        <w:spacing w:line="300" w:lineRule="exact"/>
        <w:ind w:firstLineChars="200" w:firstLine="560"/>
        <w:jc w:val="left"/>
        <w:rPr>
          <w:rFonts w:ascii="Times New Roman" w:eastAsia="楷体_GB2312" w:hAnsi="Times New Roman"/>
          <w:kern w:val="0"/>
          <w:sz w:val="28"/>
          <w:szCs w:val="28"/>
        </w:rPr>
      </w:pPr>
      <w:r>
        <w:rPr>
          <w:rFonts w:ascii="Times New Roman" w:eastAsia="楷体_GB2312" w:hAnsi="Times New Roman"/>
          <w:kern w:val="0"/>
          <w:sz w:val="28"/>
          <w:szCs w:val="28"/>
        </w:rPr>
        <w:t>说明：</w:t>
      </w:r>
      <w:r>
        <w:rPr>
          <w:rFonts w:ascii="Times New Roman" w:eastAsia="楷体_GB2312" w:hAnsi="Times New Roman"/>
          <w:kern w:val="0"/>
          <w:sz w:val="28"/>
          <w:szCs w:val="28"/>
        </w:rPr>
        <w:t>“</w:t>
      </w:r>
      <w:r>
        <w:rPr>
          <w:rFonts w:ascii="Times New Roman" w:eastAsia="楷体_GB2312" w:hAnsi="Times New Roman"/>
          <w:kern w:val="0"/>
          <w:sz w:val="28"/>
          <w:szCs w:val="28"/>
        </w:rPr>
        <w:t>项目支出</w:t>
      </w:r>
      <w:r>
        <w:rPr>
          <w:rFonts w:ascii="Times New Roman" w:eastAsia="楷体_GB2312" w:hAnsi="Times New Roman"/>
          <w:kern w:val="0"/>
          <w:sz w:val="28"/>
          <w:szCs w:val="28"/>
        </w:rPr>
        <w:t>”</w:t>
      </w:r>
      <w:r>
        <w:rPr>
          <w:rFonts w:ascii="Times New Roman" w:eastAsia="楷体_GB2312" w:hAnsi="Times New Roman"/>
          <w:kern w:val="0"/>
          <w:sz w:val="28"/>
          <w:szCs w:val="28"/>
        </w:rPr>
        <w:t>需要填报基本支出以外的所有项目情况，包括业务工作项目、运行维护项目等；</w:t>
      </w:r>
      <w:r>
        <w:rPr>
          <w:rFonts w:ascii="Times New Roman" w:eastAsia="楷体_GB2312" w:hAnsi="Times New Roman"/>
          <w:kern w:val="0"/>
          <w:sz w:val="28"/>
          <w:szCs w:val="28"/>
        </w:rPr>
        <w:t>“</w:t>
      </w:r>
      <w:r>
        <w:rPr>
          <w:rFonts w:ascii="Times New Roman" w:eastAsia="楷体_GB2312" w:hAnsi="Times New Roman"/>
          <w:kern w:val="0"/>
          <w:sz w:val="28"/>
          <w:szCs w:val="28"/>
        </w:rPr>
        <w:t>公用经费</w:t>
      </w:r>
      <w:r>
        <w:rPr>
          <w:rFonts w:ascii="Times New Roman" w:eastAsia="楷体_GB2312" w:hAnsi="Times New Roman"/>
          <w:kern w:val="0"/>
          <w:sz w:val="28"/>
          <w:szCs w:val="28"/>
        </w:rPr>
        <w:t>”</w:t>
      </w:r>
      <w:r>
        <w:rPr>
          <w:rFonts w:ascii="Times New Roman" w:eastAsia="楷体_GB2312" w:hAnsi="Times New Roman"/>
          <w:kern w:val="0"/>
          <w:sz w:val="28"/>
          <w:szCs w:val="28"/>
        </w:rPr>
        <w:t>填报基本支出中的一般商品和服务支出。</w:t>
      </w:r>
    </w:p>
    <w:p w:rsidR="00080FCA" w:rsidRDefault="00080FCA" w:rsidP="00080FCA">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2</w:t>
      </w:r>
    </w:p>
    <w:p w:rsidR="00080FCA" w:rsidRDefault="00080FCA" w:rsidP="004856B1">
      <w:pPr>
        <w:spacing w:afterLines="50" w:line="560" w:lineRule="exact"/>
        <w:jc w:val="center"/>
        <w:rPr>
          <w:rFonts w:ascii="Times New Roman" w:eastAsia="方正小标宋简体" w:hAnsi="Times New Roman"/>
          <w:kern w:val="0"/>
          <w:sz w:val="44"/>
          <w:szCs w:val="44"/>
        </w:rPr>
      </w:pPr>
      <w:r>
        <w:rPr>
          <w:rFonts w:ascii="Times New Roman" w:eastAsia="方正小标宋简体" w:hAnsi="Times New Roman"/>
          <w:kern w:val="0"/>
          <w:sz w:val="44"/>
          <w:szCs w:val="44"/>
        </w:rPr>
        <w:t>部门整体支出绩效评价指标表</w:t>
      </w:r>
    </w:p>
    <w:tbl>
      <w:tblPr>
        <w:tblW w:w="14196" w:type="dxa"/>
        <w:jc w:val="center"/>
        <w:tblLayout w:type="fixed"/>
        <w:tblLook w:val="0000"/>
      </w:tblPr>
      <w:tblGrid>
        <w:gridCol w:w="823"/>
        <w:gridCol w:w="519"/>
        <w:gridCol w:w="1258"/>
        <w:gridCol w:w="542"/>
        <w:gridCol w:w="1419"/>
        <w:gridCol w:w="565"/>
        <w:gridCol w:w="4593"/>
        <w:gridCol w:w="3773"/>
        <w:gridCol w:w="704"/>
      </w:tblGrid>
      <w:tr w:rsidR="00080FCA" w:rsidTr="00BE5205">
        <w:trPr>
          <w:trHeight w:val="679"/>
          <w:tblHeader/>
          <w:jc w:val="center"/>
        </w:trPr>
        <w:tc>
          <w:tcPr>
            <w:tcW w:w="823" w:type="dxa"/>
            <w:tcBorders>
              <w:top w:val="single" w:sz="4" w:space="0" w:color="auto"/>
              <w:left w:val="single" w:sz="4" w:space="0" w:color="auto"/>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一级指标</w:t>
            </w:r>
          </w:p>
        </w:tc>
        <w:tc>
          <w:tcPr>
            <w:tcW w:w="519" w:type="dxa"/>
            <w:tcBorders>
              <w:top w:val="single" w:sz="4" w:space="0" w:color="auto"/>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1258" w:type="dxa"/>
            <w:tcBorders>
              <w:top w:val="single" w:sz="4" w:space="0" w:color="auto"/>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二级指标</w:t>
            </w:r>
          </w:p>
        </w:tc>
        <w:tc>
          <w:tcPr>
            <w:tcW w:w="542" w:type="dxa"/>
            <w:tcBorders>
              <w:top w:val="single" w:sz="4" w:space="0" w:color="auto"/>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1419" w:type="dxa"/>
            <w:tcBorders>
              <w:top w:val="single" w:sz="4" w:space="0" w:color="auto"/>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三级</w:t>
            </w:r>
          </w:p>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指标</w:t>
            </w:r>
          </w:p>
        </w:tc>
        <w:tc>
          <w:tcPr>
            <w:tcW w:w="565" w:type="dxa"/>
            <w:tcBorders>
              <w:top w:val="single" w:sz="4" w:space="0" w:color="auto"/>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4593" w:type="dxa"/>
            <w:tcBorders>
              <w:top w:val="single" w:sz="4" w:space="0" w:color="auto"/>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评价标准</w:t>
            </w:r>
          </w:p>
        </w:tc>
        <w:tc>
          <w:tcPr>
            <w:tcW w:w="3773" w:type="dxa"/>
            <w:tcBorders>
              <w:top w:val="single" w:sz="4" w:space="0" w:color="auto"/>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指标说明</w:t>
            </w:r>
          </w:p>
        </w:tc>
        <w:tc>
          <w:tcPr>
            <w:tcW w:w="704" w:type="dxa"/>
            <w:tcBorders>
              <w:top w:val="single" w:sz="4" w:space="0" w:color="auto"/>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得分</w:t>
            </w:r>
          </w:p>
        </w:tc>
      </w:tr>
      <w:tr w:rsidR="00080FCA" w:rsidTr="00BE5205">
        <w:trPr>
          <w:trHeight w:val="750"/>
          <w:jc w:val="center"/>
        </w:trPr>
        <w:tc>
          <w:tcPr>
            <w:tcW w:w="823" w:type="dxa"/>
            <w:vMerge w:val="restart"/>
            <w:tcBorders>
              <w:top w:val="nil"/>
              <w:left w:val="single" w:sz="4" w:space="0" w:color="auto"/>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投入</w:t>
            </w:r>
          </w:p>
        </w:tc>
        <w:tc>
          <w:tcPr>
            <w:tcW w:w="519" w:type="dxa"/>
            <w:vMerge w:val="restart"/>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258" w:type="dxa"/>
            <w:vMerge w:val="restart"/>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预算配置</w:t>
            </w:r>
          </w:p>
        </w:tc>
        <w:tc>
          <w:tcPr>
            <w:tcW w:w="542" w:type="dxa"/>
            <w:vMerge w:val="restart"/>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419"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在职人员控制率</w:t>
            </w:r>
          </w:p>
        </w:tc>
        <w:tc>
          <w:tcPr>
            <w:tcW w:w="565"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nil"/>
              <w:right w:val="nil"/>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以</w:t>
            </w:r>
            <w:r>
              <w:rPr>
                <w:rFonts w:ascii="Times New Roman" w:eastAsia="仿宋_GB2312" w:hAnsi="Times New Roman"/>
                <w:kern w:val="0"/>
                <w:sz w:val="18"/>
                <w:szCs w:val="18"/>
              </w:rPr>
              <w:t>100%</w:t>
            </w:r>
            <w:r>
              <w:rPr>
                <w:rFonts w:ascii="Times New Roman" w:eastAsia="仿宋_GB2312" w:hAnsi="Times New Roman"/>
                <w:kern w:val="0"/>
                <w:sz w:val="18"/>
                <w:szCs w:val="18"/>
              </w:rPr>
              <w:t>为标准。在职人员控制率</w:t>
            </w:r>
            <w:r>
              <w:rPr>
                <w:rFonts w:ascii="Times New Roman" w:eastAsia="仿宋_GB2312" w:hAnsi="Times New Roman"/>
                <w:kern w:val="0"/>
                <w:sz w:val="18"/>
                <w:szCs w:val="18"/>
              </w:rPr>
              <w:t>≦100%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分；每超过一个百分点扣</w:t>
            </w:r>
            <w:r>
              <w:rPr>
                <w:rFonts w:ascii="Times New Roman" w:eastAsia="仿宋_GB2312" w:hAnsi="Times New Roman"/>
                <w:kern w:val="0"/>
                <w:sz w:val="18"/>
                <w:szCs w:val="18"/>
              </w:rPr>
              <w:t>0.5</w:t>
            </w:r>
            <w:r>
              <w:rPr>
                <w:rFonts w:ascii="Times New Roman" w:eastAsia="仿宋_GB2312" w:hAnsi="Times New Roman"/>
                <w:kern w:val="0"/>
                <w:sz w:val="18"/>
                <w:szCs w:val="18"/>
              </w:rPr>
              <w:t>分，扣完为止。</w:t>
            </w:r>
          </w:p>
        </w:tc>
        <w:tc>
          <w:tcPr>
            <w:tcW w:w="3773" w:type="dxa"/>
            <w:tcBorders>
              <w:top w:val="nil"/>
              <w:left w:val="single" w:sz="4" w:space="0" w:color="auto"/>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在职人员控制率</w:t>
            </w:r>
            <w:r>
              <w:rPr>
                <w:rFonts w:ascii="Times New Roman" w:eastAsia="仿宋_GB2312" w:hAnsi="Times New Roman"/>
                <w:kern w:val="0"/>
                <w:sz w:val="18"/>
                <w:szCs w:val="18"/>
              </w:rPr>
              <w:t>=</w:t>
            </w:r>
            <w:r>
              <w:rPr>
                <w:rFonts w:ascii="Times New Roman" w:eastAsia="仿宋_GB2312" w:hAnsi="Times New Roman"/>
                <w:kern w:val="0"/>
                <w:sz w:val="18"/>
                <w:szCs w:val="18"/>
              </w:rPr>
              <w:t>（在职人员数</w:t>
            </w:r>
            <w:r>
              <w:rPr>
                <w:rFonts w:ascii="Times New Roman" w:eastAsia="仿宋_GB2312" w:hAnsi="Times New Roman"/>
                <w:kern w:val="0"/>
                <w:sz w:val="18"/>
                <w:szCs w:val="18"/>
              </w:rPr>
              <w:t>/</w:t>
            </w:r>
            <w:r>
              <w:rPr>
                <w:rFonts w:ascii="Times New Roman" w:eastAsia="仿宋_GB2312" w:hAnsi="Times New Roman"/>
                <w:kern w:val="0"/>
                <w:sz w:val="18"/>
                <w:szCs w:val="18"/>
              </w:rPr>
              <w:t>编制数）</w:t>
            </w:r>
            <w:r>
              <w:rPr>
                <w:rFonts w:ascii="Times New Roman" w:eastAsia="仿宋_GB2312" w:hAnsi="Times New Roman"/>
                <w:kern w:val="0"/>
                <w:sz w:val="18"/>
                <w:szCs w:val="18"/>
              </w:rPr>
              <w:t>×100%</w:t>
            </w:r>
            <w:r>
              <w:rPr>
                <w:rFonts w:ascii="Times New Roman" w:eastAsia="仿宋_GB2312" w:hAnsi="Times New Roman"/>
                <w:kern w:val="0"/>
                <w:sz w:val="18"/>
                <w:szCs w:val="18"/>
              </w:rPr>
              <w:t>，在职人员数：部门（单位）实际在职人数，以财政厅确定的部门决算编制口径为准。</w:t>
            </w:r>
            <w:r>
              <w:rPr>
                <w:rFonts w:ascii="Times New Roman" w:eastAsia="仿宋_GB2312" w:hAnsi="Times New Roman"/>
                <w:kern w:val="0"/>
                <w:sz w:val="18"/>
                <w:szCs w:val="18"/>
              </w:rPr>
              <w:br/>
            </w:r>
            <w:r>
              <w:rPr>
                <w:rFonts w:ascii="Times New Roman" w:eastAsia="仿宋_GB2312" w:hAnsi="Times New Roman"/>
                <w:kern w:val="0"/>
                <w:sz w:val="18"/>
                <w:szCs w:val="18"/>
              </w:rPr>
              <w:t>编制数：机构编制部门核定批复的部门（单位）的人员编制数。</w:t>
            </w:r>
          </w:p>
        </w:tc>
        <w:tc>
          <w:tcPr>
            <w:tcW w:w="704"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1</w:t>
            </w:r>
          </w:p>
        </w:tc>
      </w:tr>
      <w:tr w:rsidR="00080FCA" w:rsidTr="00BE5205">
        <w:trPr>
          <w:trHeight w:val="607"/>
          <w:jc w:val="center"/>
        </w:trPr>
        <w:tc>
          <w:tcPr>
            <w:tcW w:w="823" w:type="dxa"/>
            <w:vMerge/>
            <w:tcBorders>
              <w:top w:val="nil"/>
              <w:left w:val="single" w:sz="4" w:space="0" w:color="auto"/>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p>
        </w:tc>
        <w:tc>
          <w:tcPr>
            <w:tcW w:w="565"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r>
              <w:rPr>
                <w:rFonts w:ascii="Times New Roman" w:eastAsia="仿宋_GB2312" w:hAnsi="Times New Roman"/>
                <w:kern w:val="0"/>
                <w:sz w:val="18"/>
                <w:szCs w:val="18"/>
              </w:rPr>
              <w:t>≦0,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0</w:t>
            </w:r>
            <w:r>
              <w:rPr>
                <w:rFonts w:ascii="Times New Roman" w:eastAsia="仿宋_GB2312" w:hAnsi="Times New Roman"/>
                <w:kern w:val="0"/>
                <w:sz w:val="18"/>
                <w:szCs w:val="18"/>
              </w:rPr>
              <w:t>，每超过一个百分点扣</w:t>
            </w:r>
            <w:r>
              <w:rPr>
                <w:rFonts w:ascii="Times New Roman" w:eastAsia="仿宋_GB2312" w:hAnsi="Times New Roman"/>
                <w:kern w:val="0"/>
                <w:sz w:val="18"/>
                <w:szCs w:val="18"/>
              </w:rPr>
              <w:t>0.5</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r>
              <w:rPr>
                <w:rFonts w:ascii="Times New Roman" w:eastAsia="仿宋_GB2312" w:hAnsi="Times New Roman"/>
                <w:kern w:val="0"/>
                <w:sz w:val="18"/>
                <w:szCs w:val="18"/>
              </w:rPr>
              <w:t>=[</w:t>
            </w:r>
            <w:r>
              <w:rPr>
                <w:rFonts w:ascii="Times New Roman" w:eastAsia="仿宋_GB2312" w:hAnsi="Times New Roman"/>
                <w:kern w:val="0"/>
                <w:sz w:val="18"/>
                <w:szCs w:val="18"/>
              </w:rPr>
              <w:t>（本年度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kern w:val="0"/>
                <w:sz w:val="18"/>
                <w:szCs w:val="18"/>
              </w:rPr>
              <w:t>-</w:t>
            </w:r>
            <w:r>
              <w:rPr>
                <w:rFonts w:ascii="Times New Roman" w:eastAsia="仿宋_GB2312" w:hAnsi="Times New Roman"/>
                <w:kern w:val="0"/>
                <w:sz w:val="18"/>
                <w:szCs w:val="18"/>
              </w:rPr>
              <w:t>上年度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kern w:val="0"/>
                <w:sz w:val="18"/>
                <w:szCs w:val="18"/>
              </w:rPr>
              <w:t>/</w:t>
            </w:r>
            <w:r>
              <w:rPr>
                <w:rFonts w:ascii="Times New Roman" w:eastAsia="仿宋_GB2312" w:hAnsi="Times New Roman"/>
                <w:kern w:val="0"/>
                <w:sz w:val="18"/>
                <w:szCs w:val="18"/>
              </w:rPr>
              <w:t>上年度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kern w:val="0"/>
                <w:sz w:val="18"/>
                <w:szCs w:val="18"/>
              </w:rPr>
              <w:t>]×100%</w:t>
            </w:r>
          </w:p>
        </w:tc>
        <w:tc>
          <w:tcPr>
            <w:tcW w:w="704"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080FCA" w:rsidTr="00BE5205">
        <w:trPr>
          <w:trHeight w:val="495"/>
          <w:jc w:val="center"/>
        </w:trPr>
        <w:tc>
          <w:tcPr>
            <w:tcW w:w="823" w:type="dxa"/>
            <w:vMerge w:val="restart"/>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过</w:t>
            </w:r>
            <w:r>
              <w:rPr>
                <w:rFonts w:ascii="Times New Roman" w:eastAsia="仿宋_GB2312" w:hAnsi="Times New Roman"/>
                <w:kern w:val="0"/>
                <w:sz w:val="18"/>
                <w:szCs w:val="18"/>
              </w:rPr>
              <w:t xml:space="preserve">                                                                                                                                       </w:t>
            </w:r>
            <w:r>
              <w:rPr>
                <w:rFonts w:ascii="Times New Roman" w:eastAsia="仿宋_GB2312" w:hAnsi="Times New Roman"/>
                <w:kern w:val="0"/>
                <w:sz w:val="18"/>
                <w:szCs w:val="18"/>
              </w:rPr>
              <w:t>程</w:t>
            </w:r>
          </w:p>
        </w:tc>
        <w:tc>
          <w:tcPr>
            <w:tcW w:w="519" w:type="dxa"/>
            <w:vMerge w:val="restart"/>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60</w:t>
            </w:r>
          </w:p>
        </w:tc>
        <w:tc>
          <w:tcPr>
            <w:tcW w:w="1258" w:type="dxa"/>
            <w:vMerge w:val="restart"/>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预算执行</w:t>
            </w:r>
          </w:p>
        </w:tc>
        <w:tc>
          <w:tcPr>
            <w:tcW w:w="542" w:type="dxa"/>
            <w:vMerge w:val="restart"/>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p>
        </w:tc>
        <w:tc>
          <w:tcPr>
            <w:tcW w:w="1419"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预算完成率</w:t>
            </w:r>
          </w:p>
        </w:tc>
        <w:tc>
          <w:tcPr>
            <w:tcW w:w="565"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计满分，每低于</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预算完成率</w:t>
            </w:r>
            <w:r>
              <w:rPr>
                <w:rFonts w:ascii="Times New Roman" w:eastAsia="仿宋_GB2312" w:hAnsi="Times New Roman"/>
                <w:kern w:val="0"/>
                <w:sz w:val="18"/>
                <w:szCs w:val="18"/>
              </w:rPr>
              <w:t>=</w:t>
            </w:r>
            <w:r>
              <w:rPr>
                <w:rFonts w:ascii="Times New Roman" w:eastAsia="仿宋_GB2312" w:hAnsi="Times New Roman"/>
                <w:kern w:val="0"/>
                <w:sz w:val="18"/>
                <w:szCs w:val="18"/>
              </w:rPr>
              <w:t>（上年结转</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kern w:val="0"/>
                <w:sz w:val="18"/>
                <w:szCs w:val="18"/>
              </w:rPr>
              <w:t>-</w:t>
            </w:r>
            <w:r>
              <w:rPr>
                <w:rFonts w:ascii="Times New Roman" w:eastAsia="仿宋_GB2312" w:hAnsi="Times New Roman"/>
                <w:kern w:val="0"/>
                <w:sz w:val="18"/>
                <w:szCs w:val="18"/>
              </w:rPr>
              <w:t>年末结余）</w:t>
            </w:r>
            <w:r>
              <w:rPr>
                <w:rFonts w:ascii="Times New Roman" w:eastAsia="仿宋_GB2312" w:hAnsi="Times New Roman"/>
                <w:kern w:val="0"/>
                <w:sz w:val="18"/>
                <w:szCs w:val="18"/>
              </w:rPr>
              <w:t>/</w:t>
            </w:r>
            <w:r>
              <w:rPr>
                <w:rFonts w:ascii="Times New Roman" w:eastAsia="仿宋_GB2312" w:hAnsi="Times New Roman"/>
                <w:kern w:val="0"/>
                <w:sz w:val="18"/>
                <w:szCs w:val="18"/>
              </w:rPr>
              <w:t>（上年结转</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kern w:val="0"/>
                <w:sz w:val="18"/>
                <w:szCs w:val="18"/>
              </w:rPr>
              <w:t>×100%</w:t>
            </w:r>
            <w:r>
              <w:rPr>
                <w:rFonts w:ascii="Times New Roman" w:eastAsia="仿宋_GB2312" w:hAnsi="Times New Roman"/>
                <w:kern w:val="0"/>
                <w:sz w:val="18"/>
                <w:szCs w:val="18"/>
              </w:rPr>
              <w:t>。</w:t>
            </w:r>
          </w:p>
        </w:tc>
        <w:tc>
          <w:tcPr>
            <w:tcW w:w="704"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080FCA" w:rsidTr="00BE5205">
        <w:trPr>
          <w:trHeight w:val="582"/>
          <w:jc w:val="center"/>
        </w:trPr>
        <w:tc>
          <w:tcPr>
            <w:tcW w:w="823"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预算控制率</w:t>
            </w:r>
          </w:p>
        </w:tc>
        <w:tc>
          <w:tcPr>
            <w:tcW w:w="565"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预算控制率</w:t>
            </w:r>
            <w:r>
              <w:rPr>
                <w:rFonts w:ascii="Times New Roman" w:eastAsia="仿宋_GB2312" w:hAnsi="Times New Roman"/>
                <w:kern w:val="0"/>
                <w:sz w:val="18"/>
                <w:szCs w:val="18"/>
              </w:rPr>
              <w:t>=0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w:t>
            </w:r>
            <w:r>
              <w:rPr>
                <w:rFonts w:ascii="Times New Roman" w:eastAsia="仿宋_GB2312" w:hAnsi="Times New Roman"/>
                <w:kern w:val="0"/>
                <w:sz w:val="18"/>
                <w:szCs w:val="18"/>
              </w:rPr>
              <w:t>0-10%</w:t>
            </w:r>
            <w:r>
              <w:rPr>
                <w:rFonts w:ascii="Times New Roman" w:eastAsia="仿宋_GB2312" w:hAnsi="Times New Roman"/>
                <w:kern w:val="0"/>
                <w:sz w:val="18"/>
                <w:szCs w:val="18"/>
              </w:rPr>
              <w:t>（含），计</w:t>
            </w:r>
            <w:r>
              <w:rPr>
                <w:rFonts w:ascii="Times New Roman" w:eastAsia="仿宋_GB2312" w:hAnsi="Times New Roman"/>
                <w:kern w:val="0"/>
                <w:sz w:val="18"/>
                <w:szCs w:val="18"/>
              </w:rPr>
              <w:t>4</w:t>
            </w:r>
            <w:r>
              <w:rPr>
                <w:rFonts w:ascii="Times New Roman" w:eastAsia="仿宋_GB2312" w:hAnsi="Times New Roman"/>
                <w:kern w:val="0"/>
                <w:sz w:val="18"/>
                <w:szCs w:val="18"/>
              </w:rPr>
              <w:t>分；</w:t>
            </w:r>
            <w:r>
              <w:rPr>
                <w:rFonts w:ascii="Times New Roman" w:eastAsia="仿宋_GB2312" w:hAnsi="Times New Roman"/>
                <w:kern w:val="0"/>
                <w:sz w:val="18"/>
                <w:szCs w:val="18"/>
              </w:rPr>
              <w:t>10-20%</w:t>
            </w:r>
            <w:r>
              <w:rPr>
                <w:rFonts w:ascii="Times New Roman" w:eastAsia="仿宋_GB2312" w:hAnsi="Times New Roman"/>
                <w:kern w:val="0"/>
                <w:sz w:val="18"/>
                <w:szCs w:val="18"/>
              </w:rPr>
              <w:t>（含），计</w:t>
            </w:r>
            <w:r>
              <w:rPr>
                <w:rFonts w:ascii="Times New Roman" w:eastAsia="仿宋_GB2312" w:hAnsi="Times New Roman"/>
                <w:kern w:val="0"/>
                <w:sz w:val="18"/>
                <w:szCs w:val="18"/>
              </w:rPr>
              <w:t>3</w:t>
            </w:r>
            <w:r>
              <w:rPr>
                <w:rFonts w:ascii="Times New Roman" w:eastAsia="仿宋_GB2312" w:hAnsi="Times New Roman"/>
                <w:kern w:val="0"/>
                <w:sz w:val="18"/>
                <w:szCs w:val="18"/>
              </w:rPr>
              <w:t>分；</w:t>
            </w:r>
            <w:r>
              <w:rPr>
                <w:rFonts w:ascii="Times New Roman" w:eastAsia="仿宋_GB2312" w:hAnsi="Times New Roman"/>
                <w:kern w:val="0"/>
                <w:sz w:val="18"/>
                <w:szCs w:val="18"/>
              </w:rPr>
              <w:t>20-30%</w:t>
            </w:r>
            <w:r>
              <w:rPr>
                <w:rFonts w:ascii="Times New Roman" w:eastAsia="仿宋_GB2312" w:hAnsi="Times New Roman"/>
                <w:kern w:val="0"/>
                <w:sz w:val="18"/>
                <w:szCs w:val="18"/>
              </w:rPr>
              <w:t>（含），计</w:t>
            </w:r>
            <w:r>
              <w:rPr>
                <w:rFonts w:ascii="Times New Roman" w:eastAsia="仿宋_GB2312" w:hAnsi="Times New Roman"/>
                <w:kern w:val="0"/>
                <w:sz w:val="18"/>
                <w:szCs w:val="18"/>
              </w:rPr>
              <w:t>2</w:t>
            </w:r>
            <w:r>
              <w:rPr>
                <w:rFonts w:ascii="Times New Roman" w:eastAsia="仿宋_GB2312" w:hAnsi="Times New Roman"/>
                <w:kern w:val="0"/>
                <w:sz w:val="18"/>
                <w:szCs w:val="18"/>
              </w:rPr>
              <w:t>分；大于</w:t>
            </w:r>
            <w:r>
              <w:rPr>
                <w:rFonts w:ascii="Times New Roman" w:eastAsia="仿宋_GB2312" w:hAnsi="Times New Roman"/>
                <w:kern w:val="0"/>
                <w:sz w:val="18"/>
                <w:szCs w:val="18"/>
              </w:rPr>
              <w:t>30%</w:t>
            </w:r>
            <w:r>
              <w:rPr>
                <w:rFonts w:ascii="Times New Roman" w:eastAsia="仿宋_GB2312" w:hAnsi="Times New Roman"/>
                <w:kern w:val="0"/>
                <w:sz w:val="18"/>
                <w:szCs w:val="18"/>
              </w:rPr>
              <w:t>不得分。</w:t>
            </w:r>
          </w:p>
        </w:tc>
        <w:tc>
          <w:tcPr>
            <w:tcW w:w="377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预算控制率</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kern w:val="0"/>
                <w:sz w:val="18"/>
                <w:szCs w:val="18"/>
              </w:rPr>
              <w:t>×100%</w:t>
            </w:r>
            <w:r>
              <w:rPr>
                <w:rFonts w:ascii="Times New Roman" w:eastAsia="仿宋_GB2312" w:hAnsi="Times New Roman"/>
                <w:kern w:val="0"/>
                <w:sz w:val="18"/>
                <w:szCs w:val="18"/>
              </w:rPr>
              <w:t>。</w:t>
            </w:r>
          </w:p>
        </w:tc>
        <w:tc>
          <w:tcPr>
            <w:tcW w:w="704"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0</w:t>
            </w:r>
          </w:p>
        </w:tc>
      </w:tr>
      <w:tr w:rsidR="00080FCA" w:rsidTr="00BE5205">
        <w:trPr>
          <w:trHeight w:val="582"/>
          <w:jc w:val="center"/>
        </w:trPr>
        <w:tc>
          <w:tcPr>
            <w:tcW w:w="823"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新建楼堂馆所面积控制率</w:t>
            </w:r>
          </w:p>
        </w:tc>
        <w:tc>
          <w:tcPr>
            <w:tcW w:w="565"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分，扣完为止。没有楼堂馆所项目的部门按满分计算。</w:t>
            </w:r>
          </w:p>
        </w:tc>
        <w:tc>
          <w:tcPr>
            <w:tcW w:w="377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楼堂馆所面积控制率</w:t>
            </w:r>
            <w:r>
              <w:rPr>
                <w:rFonts w:ascii="Times New Roman" w:eastAsia="仿宋_GB2312" w:hAnsi="Times New Roman"/>
                <w:kern w:val="0"/>
                <w:sz w:val="18"/>
                <w:szCs w:val="18"/>
              </w:rPr>
              <w:t>=</w:t>
            </w:r>
            <w:r>
              <w:rPr>
                <w:rFonts w:ascii="Times New Roman" w:eastAsia="仿宋_GB2312" w:hAnsi="Times New Roman"/>
                <w:kern w:val="0"/>
                <w:sz w:val="18"/>
                <w:szCs w:val="18"/>
              </w:rPr>
              <w:t>实际建设面积</w:t>
            </w:r>
            <w:r>
              <w:rPr>
                <w:rFonts w:ascii="Times New Roman" w:eastAsia="仿宋_GB2312" w:hAnsi="Times New Roman"/>
                <w:kern w:val="0"/>
                <w:sz w:val="18"/>
                <w:szCs w:val="18"/>
              </w:rPr>
              <w:t>/</w:t>
            </w:r>
            <w:r>
              <w:rPr>
                <w:rFonts w:ascii="Times New Roman" w:eastAsia="仿宋_GB2312" w:hAnsi="Times New Roman"/>
                <w:kern w:val="0"/>
                <w:sz w:val="18"/>
                <w:szCs w:val="18"/>
              </w:rPr>
              <w:t>批准建设面积</w:t>
            </w:r>
            <w:r>
              <w:rPr>
                <w:rFonts w:ascii="Times New Roman" w:eastAsia="仿宋_GB2312" w:hAnsi="Times New Roman"/>
                <w:kern w:val="0"/>
                <w:sz w:val="18"/>
                <w:szCs w:val="18"/>
              </w:rPr>
              <w:t xml:space="preserve">×100% </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该指标以</w:t>
            </w: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年完工的新建楼堂馆所为评价内容。</w:t>
            </w:r>
          </w:p>
        </w:tc>
        <w:tc>
          <w:tcPr>
            <w:tcW w:w="704"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080FCA" w:rsidTr="00BE5205">
        <w:trPr>
          <w:trHeight w:val="686"/>
          <w:jc w:val="center"/>
        </w:trPr>
        <w:tc>
          <w:tcPr>
            <w:tcW w:w="823"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spacing w:val="-14"/>
                <w:kern w:val="0"/>
                <w:sz w:val="18"/>
                <w:szCs w:val="18"/>
              </w:rPr>
            </w:pPr>
            <w:r>
              <w:rPr>
                <w:rFonts w:ascii="Times New Roman" w:eastAsia="仿宋_GB2312" w:hAnsi="Times New Roman"/>
                <w:spacing w:val="-14"/>
                <w:kern w:val="0"/>
                <w:sz w:val="18"/>
                <w:szCs w:val="18"/>
              </w:rPr>
              <w:t>新建楼堂馆所投资概算控制率</w:t>
            </w:r>
          </w:p>
        </w:tc>
        <w:tc>
          <w:tcPr>
            <w:tcW w:w="565"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楼堂馆所投资预算控制率</w:t>
            </w:r>
            <w:r>
              <w:rPr>
                <w:rFonts w:ascii="Times New Roman" w:eastAsia="仿宋_GB2312" w:hAnsi="Times New Roman"/>
                <w:kern w:val="0"/>
                <w:sz w:val="18"/>
                <w:szCs w:val="18"/>
              </w:rPr>
              <w:t>=</w:t>
            </w:r>
            <w:r>
              <w:rPr>
                <w:rFonts w:ascii="Times New Roman" w:eastAsia="仿宋_GB2312" w:hAnsi="Times New Roman"/>
                <w:kern w:val="0"/>
                <w:sz w:val="18"/>
                <w:szCs w:val="18"/>
              </w:rPr>
              <w:t>实际投资金额</w:t>
            </w:r>
            <w:r>
              <w:rPr>
                <w:rFonts w:ascii="Times New Roman" w:eastAsia="仿宋_GB2312" w:hAnsi="Times New Roman"/>
                <w:kern w:val="0"/>
                <w:sz w:val="18"/>
                <w:szCs w:val="18"/>
              </w:rPr>
              <w:t>/</w:t>
            </w:r>
            <w:r>
              <w:rPr>
                <w:rFonts w:ascii="Times New Roman" w:eastAsia="仿宋_GB2312" w:hAnsi="Times New Roman"/>
                <w:kern w:val="0"/>
                <w:sz w:val="18"/>
                <w:szCs w:val="18"/>
              </w:rPr>
              <w:t>批准投资金额</w:t>
            </w:r>
            <w:r>
              <w:rPr>
                <w:rFonts w:ascii="Times New Roman" w:eastAsia="仿宋_GB2312" w:hAnsi="Times New Roman"/>
                <w:kern w:val="0"/>
                <w:sz w:val="18"/>
                <w:szCs w:val="18"/>
              </w:rPr>
              <w:t xml:space="preserve">×100% </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该指标以</w:t>
            </w: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年完工的新建楼堂馆所为评价内容。</w:t>
            </w:r>
          </w:p>
        </w:tc>
        <w:tc>
          <w:tcPr>
            <w:tcW w:w="704"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080FCA" w:rsidTr="00BE5205">
        <w:trPr>
          <w:trHeight w:val="730"/>
          <w:jc w:val="center"/>
        </w:trPr>
        <w:tc>
          <w:tcPr>
            <w:tcW w:w="823"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1258" w:type="dxa"/>
            <w:vMerge w:val="restart"/>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预算管理</w:t>
            </w:r>
          </w:p>
        </w:tc>
        <w:tc>
          <w:tcPr>
            <w:tcW w:w="542" w:type="dxa"/>
            <w:vMerge w:val="restart"/>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40</w:t>
            </w:r>
          </w:p>
        </w:tc>
        <w:tc>
          <w:tcPr>
            <w:tcW w:w="1419"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公用经费控制率</w:t>
            </w:r>
          </w:p>
        </w:tc>
        <w:tc>
          <w:tcPr>
            <w:tcW w:w="565"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1%</w:t>
            </w:r>
            <w:r>
              <w:rPr>
                <w:rFonts w:ascii="Times New Roman" w:eastAsia="仿宋_GB2312" w:hAnsi="Times New Roman"/>
                <w:kern w:val="0"/>
                <w:sz w:val="18"/>
                <w:szCs w:val="18"/>
              </w:rPr>
              <w:t>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公用经费控制率</w:t>
            </w:r>
            <w:r>
              <w:rPr>
                <w:rFonts w:ascii="Times New Roman" w:eastAsia="仿宋_GB2312" w:hAnsi="Times New Roman"/>
                <w:kern w:val="0"/>
                <w:sz w:val="18"/>
                <w:szCs w:val="18"/>
              </w:rPr>
              <w:t>=</w:t>
            </w:r>
            <w:r>
              <w:rPr>
                <w:rFonts w:ascii="Times New Roman" w:eastAsia="仿宋_GB2312" w:hAnsi="Times New Roman"/>
                <w:kern w:val="0"/>
                <w:sz w:val="18"/>
                <w:szCs w:val="18"/>
              </w:rPr>
              <w:t>（实际支出公用经费总额</w:t>
            </w:r>
            <w:r>
              <w:rPr>
                <w:rFonts w:ascii="Times New Roman" w:eastAsia="仿宋_GB2312" w:hAnsi="Times New Roman"/>
                <w:kern w:val="0"/>
                <w:sz w:val="18"/>
                <w:szCs w:val="18"/>
              </w:rPr>
              <w:t>/</w:t>
            </w:r>
            <w:r>
              <w:rPr>
                <w:rFonts w:ascii="Times New Roman" w:eastAsia="仿宋_GB2312" w:hAnsi="Times New Roman"/>
                <w:kern w:val="0"/>
                <w:sz w:val="18"/>
                <w:szCs w:val="18"/>
              </w:rPr>
              <w:t>预算安排公用经费总额）</w:t>
            </w:r>
            <w:r>
              <w:rPr>
                <w:rFonts w:ascii="Times New Roman" w:eastAsia="仿宋_GB2312" w:hAnsi="Times New Roman"/>
                <w:kern w:val="0"/>
                <w:sz w:val="18"/>
                <w:szCs w:val="18"/>
              </w:rPr>
              <w:t>×100%</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公用经费支出是指部门基本支出中的一般商品和服务支出。</w:t>
            </w:r>
          </w:p>
        </w:tc>
        <w:tc>
          <w:tcPr>
            <w:tcW w:w="704"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8</w:t>
            </w:r>
          </w:p>
        </w:tc>
      </w:tr>
      <w:tr w:rsidR="00080FCA" w:rsidTr="00BE5205">
        <w:trPr>
          <w:trHeight w:val="584"/>
          <w:jc w:val="center"/>
        </w:trPr>
        <w:tc>
          <w:tcPr>
            <w:tcW w:w="823"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控制率</w:t>
            </w:r>
          </w:p>
        </w:tc>
        <w:tc>
          <w:tcPr>
            <w:tcW w:w="565"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7</w:t>
            </w:r>
          </w:p>
        </w:tc>
        <w:tc>
          <w:tcPr>
            <w:tcW w:w="459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1%</w:t>
            </w:r>
            <w:r>
              <w:rPr>
                <w:rFonts w:ascii="Times New Roman" w:eastAsia="仿宋_GB2312" w:hAnsi="Times New Roman"/>
                <w:kern w:val="0"/>
                <w:sz w:val="18"/>
                <w:szCs w:val="18"/>
              </w:rPr>
              <w:t>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控制率</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实际支出数</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预算安排数）</w:t>
            </w:r>
            <w:r>
              <w:rPr>
                <w:rFonts w:ascii="Times New Roman" w:eastAsia="仿宋_GB2312" w:hAnsi="Times New Roman"/>
                <w:kern w:val="0"/>
                <w:sz w:val="18"/>
                <w:szCs w:val="18"/>
              </w:rPr>
              <w:t>×100%</w:t>
            </w:r>
            <w:r>
              <w:rPr>
                <w:rFonts w:ascii="Times New Roman" w:eastAsia="仿宋_GB2312" w:hAnsi="Times New Roman"/>
                <w:kern w:val="0"/>
                <w:sz w:val="18"/>
                <w:szCs w:val="18"/>
              </w:rPr>
              <w:t>。</w:t>
            </w:r>
          </w:p>
        </w:tc>
        <w:tc>
          <w:tcPr>
            <w:tcW w:w="704"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7</w:t>
            </w:r>
          </w:p>
        </w:tc>
      </w:tr>
      <w:tr w:rsidR="00080FCA" w:rsidTr="00BE5205">
        <w:trPr>
          <w:trHeight w:val="504"/>
          <w:jc w:val="center"/>
        </w:trPr>
        <w:tc>
          <w:tcPr>
            <w:tcW w:w="823" w:type="dxa"/>
            <w:vMerge/>
            <w:tcBorders>
              <w:top w:val="nil"/>
              <w:left w:val="single" w:sz="4" w:space="0" w:color="auto"/>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政府采购执</w:t>
            </w:r>
            <w:r>
              <w:rPr>
                <w:rFonts w:ascii="Times New Roman" w:eastAsia="仿宋_GB2312" w:hAnsi="Times New Roman"/>
                <w:kern w:val="0"/>
                <w:sz w:val="18"/>
                <w:szCs w:val="18"/>
              </w:rPr>
              <w:t>行率</w:t>
            </w:r>
          </w:p>
        </w:tc>
        <w:tc>
          <w:tcPr>
            <w:tcW w:w="565"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计满分，每超过（降低）</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政府采购执行率</w:t>
            </w:r>
            <w:r>
              <w:rPr>
                <w:rFonts w:ascii="Times New Roman" w:eastAsia="仿宋_GB2312" w:hAnsi="Times New Roman"/>
                <w:kern w:val="0"/>
                <w:sz w:val="18"/>
                <w:szCs w:val="18"/>
              </w:rPr>
              <w:t>=</w:t>
            </w:r>
            <w:r>
              <w:rPr>
                <w:rFonts w:ascii="Times New Roman" w:eastAsia="仿宋_GB2312" w:hAnsi="Times New Roman"/>
                <w:kern w:val="0"/>
                <w:sz w:val="18"/>
                <w:szCs w:val="18"/>
              </w:rPr>
              <w:t>（实际政府采购金额</w:t>
            </w:r>
            <w:r>
              <w:rPr>
                <w:rFonts w:ascii="Times New Roman" w:eastAsia="仿宋_GB2312" w:hAnsi="Times New Roman"/>
                <w:kern w:val="0"/>
                <w:sz w:val="18"/>
                <w:szCs w:val="18"/>
              </w:rPr>
              <w:t>/</w:t>
            </w:r>
            <w:r>
              <w:rPr>
                <w:rFonts w:ascii="Times New Roman" w:eastAsia="仿宋_GB2312" w:hAnsi="Times New Roman"/>
                <w:kern w:val="0"/>
                <w:sz w:val="18"/>
                <w:szCs w:val="18"/>
              </w:rPr>
              <w:t>政府采购预算数）</w:t>
            </w:r>
            <w:r>
              <w:rPr>
                <w:rFonts w:ascii="Times New Roman" w:eastAsia="仿宋_GB2312" w:hAnsi="Times New Roman"/>
                <w:kern w:val="0"/>
                <w:sz w:val="18"/>
                <w:szCs w:val="18"/>
              </w:rPr>
              <w:t>×100%</w:t>
            </w:r>
          </w:p>
        </w:tc>
        <w:tc>
          <w:tcPr>
            <w:tcW w:w="704"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6</w:t>
            </w:r>
          </w:p>
        </w:tc>
      </w:tr>
      <w:tr w:rsidR="00080FCA" w:rsidTr="00BE5205">
        <w:trPr>
          <w:trHeight w:val="1150"/>
          <w:jc w:val="center"/>
        </w:trPr>
        <w:tc>
          <w:tcPr>
            <w:tcW w:w="823" w:type="dxa"/>
            <w:vMerge w:val="restart"/>
            <w:tcBorders>
              <w:top w:val="single" w:sz="4" w:space="0" w:color="auto"/>
              <w:left w:val="single" w:sz="4" w:space="0" w:color="auto"/>
              <w:bottom w:val="single" w:sz="4" w:space="0" w:color="000000"/>
              <w:right w:val="single" w:sz="4" w:space="0" w:color="auto"/>
            </w:tcBorders>
            <w:vAlign w:val="center"/>
          </w:tcPr>
          <w:p w:rsidR="00080FCA" w:rsidRDefault="00080FCA" w:rsidP="00BE5205">
            <w:pPr>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lastRenderedPageBreak/>
              <w:t>过程</w:t>
            </w:r>
          </w:p>
        </w:tc>
        <w:tc>
          <w:tcPr>
            <w:tcW w:w="519" w:type="dxa"/>
            <w:vMerge w:val="restart"/>
            <w:tcBorders>
              <w:top w:val="single" w:sz="4" w:space="0" w:color="auto"/>
              <w:left w:val="single" w:sz="4" w:space="0" w:color="auto"/>
              <w:bottom w:val="single" w:sz="4" w:space="0" w:color="000000"/>
              <w:right w:val="single" w:sz="4" w:space="0" w:color="auto"/>
            </w:tcBorders>
            <w:vAlign w:val="center"/>
          </w:tcPr>
          <w:p w:rsidR="00080FCA" w:rsidRDefault="00080FCA" w:rsidP="00BE5205">
            <w:pPr>
              <w:spacing w:line="200" w:lineRule="exact"/>
              <w:jc w:val="left"/>
              <w:rPr>
                <w:rFonts w:ascii="Times New Roman" w:eastAsia="仿宋_GB2312" w:hAnsi="Times New Roman"/>
                <w:kern w:val="0"/>
                <w:sz w:val="18"/>
                <w:szCs w:val="18"/>
              </w:rPr>
            </w:pPr>
          </w:p>
        </w:tc>
        <w:tc>
          <w:tcPr>
            <w:tcW w:w="1258" w:type="dxa"/>
            <w:vMerge w:val="restart"/>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预算管理</w:t>
            </w:r>
          </w:p>
        </w:tc>
        <w:tc>
          <w:tcPr>
            <w:tcW w:w="542"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管理制度</w:t>
            </w:r>
            <w:r>
              <w:rPr>
                <w:rFonts w:ascii="Times New Roman" w:eastAsia="仿宋_GB2312" w:hAnsi="Times New Roman"/>
                <w:kern w:val="0"/>
                <w:sz w:val="18"/>
                <w:szCs w:val="18"/>
              </w:rPr>
              <w:t>健全性</w:t>
            </w:r>
          </w:p>
        </w:tc>
        <w:tc>
          <w:tcPr>
            <w:tcW w:w="565"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有内部财务管理制度、会计核算制度等管理制度，</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t>②</w:t>
            </w:r>
            <w:r>
              <w:rPr>
                <w:rFonts w:ascii="Times New Roman" w:eastAsia="仿宋_GB2312" w:hAnsi="Times New Roman"/>
                <w:kern w:val="0"/>
                <w:sz w:val="18"/>
                <w:szCs w:val="18"/>
              </w:rPr>
              <w:t>有本部门厉行节约制度</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t>③</w:t>
            </w:r>
            <w:r>
              <w:rPr>
                <w:rFonts w:ascii="Times New Roman" w:eastAsia="仿宋_GB2312" w:hAnsi="Times New Roman"/>
                <w:kern w:val="0"/>
                <w:sz w:val="18"/>
                <w:szCs w:val="18"/>
              </w:rPr>
              <w:t>相关管理制度合法、合规、完整，</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t>④</w:t>
            </w:r>
            <w:r>
              <w:rPr>
                <w:rFonts w:ascii="Times New Roman" w:eastAsia="仿宋_GB2312" w:hAnsi="Times New Roman"/>
                <w:kern w:val="0"/>
                <w:sz w:val="18"/>
                <w:szCs w:val="18"/>
              </w:rPr>
              <w:t>相关管理制度得到有效执行，</w:t>
            </w:r>
            <w:r>
              <w:rPr>
                <w:rFonts w:ascii="Times New Roman" w:eastAsia="仿宋_GB2312" w:hAnsi="Times New Roman"/>
                <w:kern w:val="0"/>
                <w:sz w:val="18"/>
                <w:szCs w:val="18"/>
              </w:rPr>
              <w:t>2</w:t>
            </w:r>
            <w:r>
              <w:rPr>
                <w:rFonts w:ascii="Times New Roman" w:eastAsia="仿宋_GB2312" w:hAnsi="Times New Roman"/>
                <w:kern w:val="0"/>
                <w:sz w:val="18"/>
                <w:szCs w:val="18"/>
              </w:rPr>
              <w:t>分。</w:t>
            </w:r>
          </w:p>
        </w:tc>
        <w:tc>
          <w:tcPr>
            <w:tcW w:w="377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704"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8</w:t>
            </w:r>
          </w:p>
        </w:tc>
      </w:tr>
      <w:tr w:rsidR="00080FCA" w:rsidTr="00BE5205">
        <w:trPr>
          <w:trHeight w:val="1434"/>
          <w:jc w:val="center"/>
        </w:trPr>
        <w:tc>
          <w:tcPr>
            <w:tcW w:w="823"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资金使用</w:t>
            </w:r>
            <w:r>
              <w:rPr>
                <w:rFonts w:ascii="Times New Roman" w:eastAsia="仿宋_GB2312" w:hAnsi="Times New Roman"/>
                <w:kern w:val="0"/>
                <w:sz w:val="18"/>
                <w:szCs w:val="18"/>
              </w:rPr>
              <w:t>合规性</w:t>
            </w:r>
          </w:p>
        </w:tc>
        <w:tc>
          <w:tcPr>
            <w:tcW w:w="565"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支出符合国家财经法规和财务管理制度规定以及有关专项资金管理办法的规定；</w:t>
            </w:r>
            <w:r>
              <w:rPr>
                <w:rFonts w:ascii="Times New Roman" w:eastAsia="仿宋_GB2312" w:hAnsi="Times New Roman"/>
                <w:kern w:val="0"/>
                <w:sz w:val="18"/>
                <w:szCs w:val="18"/>
              </w:rPr>
              <w:t>②</w:t>
            </w:r>
            <w:r>
              <w:rPr>
                <w:rFonts w:ascii="Times New Roman" w:eastAsia="仿宋_GB2312" w:hAnsi="Times New Roman"/>
                <w:kern w:val="0"/>
                <w:sz w:val="18"/>
                <w:szCs w:val="18"/>
              </w:rPr>
              <w:t>资金拨付有完整的审批程序和手续；</w:t>
            </w:r>
            <w:r>
              <w:rPr>
                <w:rFonts w:ascii="Times New Roman" w:eastAsia="仿宋_GB2312" w:hAnsi="Times New Roman"/>
                <w:kern w:val="0"/>
                <w:sz w:val="18"/>
                <w:szCs w:val="18"/>
              </w:rPr>
              <w:t>③</w:t>
            </w:r>
            <w:r>
              <w:rPr>
                <w:rFonts w:ascii="Times New Roman" w:eastAsia="仿宋_GB2312" w:hAnsi="Times New Roman"/>
                <w:kern w:val="0"/>
                <w:sz w:val="18"/>
                <w:szCs w:val="18"/>
              </w:rPr>
              <w:t>项目支出按规定经过评估论证；</w:t>
            </w:r>
            <w:r>
              <w:rPr>
                <w:rFonts w:ascii="Times New Roman" w:eastAsia="仿宋_GB2312" w:hAnsi="Times New Roman"/>
                <w:kern w:val="0"/>
                <w:sz w:val="18"/>
                <w:szCs w:val="18"/>
              </w:rPr>
              <w:t>④</w:t>
            </w:r>
            <w:r>
              <w:rPr>
                <w:rFonts w:ascii="Times New Roman" w:eastAsia="仿宋_GB2312" w:hAnsi="Times New Roman"/>
                <w:kern w:val="0"/>
                <w:sz w:val="18"/>
                <w:szCs w:val="18"/>
              </w:rPr>
              <w:t>支出符合部门预算批复的用途；</w:t>
            </w:r>
            <w:r>
              <w:rPr>
                <w:rFonts w:ascii="Times New Roman" w:eastAsia="仿宋_GB2312" w:hAnsi="Times New Roman"/>
                <w:kern w:val="0"/>
                <w:sz w:val="18"/>
                <w:szCs w:val="18"/>
              </w:rPr>
              <w:t>⑤</w:t>
            </w:r>
            <w:r>
              <w:rPr>
                <w:rFonts w:ascii="Times New Roman" w:eastAsia="仿宋_GB2312" w:hAnsi="Times New Roman"/>
                <w:kern w:val="0"/>
                <w:sz w:val="18"/>
                <w:szCs w:val="18"/>
              </w:rPr>
              <w:t>资金使用无截留、挤占、挪用、虚列支出等情况。</w:t>
            </w:r>
            <w:r>
              <w:rPr>
                <w:rFonts w:ascii="Times New Roman" w:eastAsia="仿宋_GB2312" w:hAnsi="Times New Roman"/>
                <w:kern w:val="0"/>
                <w:sz w:val="18"/>
                <w:szCs w:val="18"/>
              </w:rPr>
              <w:br/>
            </w:r>
            <w:r>
              <w:rPr>
                <w:rFonts w:ascii="Times New Roman" w:eastAsia="仿宋_GB2312" w:hAnsi="Times New Roman"/>
                <w:kern w:val="0"/>
                <w:sz w:val="18"/>
                <w:szCs w:val="18"/>
              </w:rPr>
              <w:t>以上情况每出现一例不符合要求的扣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704"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6</w:t>
            </w:r>
          </w:p>
        </w:tc>
      </w:tr>
      <w:tr w:rsidR="00080FCA" w:rsidTr="00BE5205">
        <w:trPr>
          <w:trHeight w:val="892"/>
          <w:jc w:val="center"/>
        </w:trPr>
        <w:tc>
          <w:tcPr>
            <w:tcW w:w="823"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预决算信息公开性</w:t>
            </w:r>
          </w:p>
        </w:tc>
        <w:tc>
          <w:tcPr>
            <w:tcW w:w="565"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按规定内容公开预决算信息，</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②</w:t>
            </w:r>
            <w:r>
              <w:rPr>
                <w:rFonts w:ascii="Times New Roman" w:eastAsia="仿宋_GB2312" w:hAnsi="Times New Roman"/>
                <w:kern w:val="0"/>
                <w:sz w:val="18"/>
                <w:szCs w:val="18"/>
              </w:rPr>
              <w:t>按规定时限公开预决算信息，</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③</w:t>
            </w:r>
            <w:r>
              <w:rPr>
                <w:rFonts w:ascii="Times New Roman" w:eastAsia="仿宋_GB2312" w:hAnsi="Times New Roman"/>
                <w:kern w:val="0"/>
                <w:sz w:val="18"/>
                <w:szCs w:val="18"/>
              </w:rPr>
              <w:t>基础数据信息和会计信息资料真实，</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④</w:t>
            </w:r>
            <w:r>
              <w:rPr>
                <w:rFonts w:ascii="Times New Roman" w:eastAsia="仿宋_GB2312" w:hAnsi="Times New Roman"/>
                <w:kern w:val="0"/>
                <w:sz w:val="18"/>
                <w:szCs w:val="18"/>
              </w:rPr>
              <w:t>基础数据信息和会计信息资料完整，</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⑤</w:t>
            </w:r>
            <w:r>
              <w:rPr>
                <w:rFonts w:ascii="Times New Roman" w:eastAsia="仿宋_GB2312" w:hAnsi="Times New Roman"/>
                <w:kern w:val="0"/>
                <w:sz w:val="18"/>
                <w:szCs w:val="18"/>
              </w:rPr>
              <w:t>基础数据信息和汇集信息资料准确，</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 xml:space="preserve">  </w:t>
            </w:r>
          </w:p>
        </w:tc>
        <w:tc>
          <w:tcPr>
            <w:tcW w:w="377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预决算信息是指与部门预算、执行、决算、监督、绩效等管理相关的信息。</w:t>
            </w:r>
          </w:p>
        </w:tc>
        <w:tc>
          <w:tcPr>
            <w:tcW w:w="704"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080FCA" w:rsidTr="00BE5205">
        <w:trPr>
          <w:trHeight w:val="622"/>
          <w:jc w:val="center"/>
        </w:trPr>
        <w:tc>
          <w:tcPr>
            <w:tcW w:w="823" w:type="dxa"/>
            <w:vMerge w:val="restart"/>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产出及效率</w:t>
            </w:r>
          </w:p>
        </w:tc>
        <w:tc>
          <w:tcPr>
            <w:tcW w:w="519" w:type="dxa"/>
            <w:vMerge w:val="restart"/>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30</w:t>
            </w:r>
          </w:p>
        </w:tc>
        <w:tc>
          <w:tcPr>
            <w:tcW w:w="1258"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职责履行</w:t>
            </w:r>
          </w:p>
        </w:tc>
        <w:tc>
          <w:tcPr>
            <w:tcW w:w="542"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1419" w:type="dxa"/>
            <w:tcBorders>
              <w:top w:val="nil"/>
              <w:left w:val="nil"/>
              <w:bottom w:val="nil"/>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重点工作实际完成率</w:t>
            </w:r>
          </w:p>
        </w:tc>
        <w:tc>
          <w:tcPr>
            <w:tcW w:w="565"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根据绩效办</w:t>
            </w: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年对各部门为民办实事和部门重点工程与重点工作考核分数折算。</w:t>
            </w:r>
            <w:r>
              <w:rPr>
                <w:rFonts w:ascii="Times New Roman" w:eastAsia="仿宋_GB2312" w:hAnsi="Times New Roman"/>
                <w:kern w:val="0"/>
                <w:sz w:val="18"/>
                <w:szCs w:val="18"/>
              </w:rPr>
              <w:br/>
            </w:r>
            <w:r>
              <w:rPr>
                <w:rFonts w:ascii="Times New Roman" w:eastAsia="仿宋_GB2312" w:hAnsi="Times New Roman"/>
                <w:kern w:val="0"/>
                <w:sz w:val="18"/>
                <w:szCs w:val="18"/>
              </w:rPr>
              <w:t>该项得分</w:t>
            </w:r>
            <w:r>
              <w:rPr>
                <w:rFonts w:ascii="Times New Roman" w:eastAsia="仿宋_GB2312" w:hAnsi="Times New Roman"/>
                <w:kern w:val="0"/>
                <w:sz w:val="18"/>
                <w:szCs w:val="18"/>
              </w:rPr>
              <w:t>=</w:t>
            </w:r>
            <w:r>
              <w:rPr>
                <w:rFonts w:ascii="Times New Roman" w:eastAsia="仿宋_GB2312" w:hAnsi="Times New Roman"/>
                <w:kern w:val="0"/>
                <w:sz w:val="18"/>
                <w:szCs w:val="18"/>
              </w:rPr>
              <w:t>（绩效办对应部分考核得分</w:t>
            </w:r>
            <w:r>
              <w:rPr>
                <w:rFonts w:ascii="Times New Roman" w:eastAsia="仿宋_GB2312" w:hAnsi="Times New Roman"/>
                <w:kern w:val="0"/>
                <w:sz w:val="18"/>
                <w:szCs w:val="18"/>
              </w:rPr>
              <w:t>/</w:t>
            </w:r>
            <w:r>
              <w:rPr>
                <w:rFonts w:ascii="Times New Roman" w:eastAsia="仿宋_GB2312" w:hAnsi="Times New Roman"/>
                <w:kern w:val="0"/>
                <w:sz w:val="18"/>
                <w:szCs w:val="18"/>
              </w:rPr>
              <w:t>该部分总分）</w:t>
            </w:r>
            <w:r>
              <w:rPr>
                <w:rFonts w:ascii="Times New Roman" w:eastAsia="仿宋_GB2312" w:hAnsi="Times New Roman"/>
                <w:kern w:val="0"/>
                <w:sz w:val="18"/>
                <w:szCs w:val="18"/>
              </w:rPr>
              <w:t>*8</w:t>
            </w:r>
          </w:p>
        </w:tc>
        <w:tc>
          <w:tcPr>
            <w:tcW w:w="377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704"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8</w:t>
            </w:r>
          </w:p>
        </w:tc>
      </w:tr>
      <w:tr w:rsidR="00080FCA" w:rsidTr="00BE5205">
        <w:trPr>
          <w:trHeight w:val="439"/>
          <w:jc w:val="center"/>
        </w:trPr>
        <w:tc>
          <w:tcPr>
            <w:tcW w:w="823"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1258" w:type="dxa"/>
            <w:vMerge w:val="restart"/>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履职效益</w:t>
            </w:r>
          </w:p>
        </w:tc>
        <w:tc>
          <w:tcPr>
            <w:tcW w:w="542" w:type="dxa"/>
            <w:vMerge w:val="restart"/>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419" w:type="dxa"/>
            <w:tcBorders>
              <w:top w:val="single" w:sz="4" w:space="0" w:color="auto"/>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经济效益</w:t>
            </w:r>
          </w:p>
        </w:tc>
        <w:tc>
          <w:tcPr>
            <w:tcW w:w="565" w:type="dxa"/>
            <w:tcBorders>
              <w:top w:val="nil"/>
              <w:left w:val="single" w:sz="4" w:space="0" w:color="auto"/>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single" w:sz="4" w:space="0" w:color="auto"/>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对经济发展带来的直接影响和间接影响。</w:t>
            </w:r>
          </w:p>
        </w:tc>
        <w:tc>
          <w:tcPr>
            <w:tcW w:w="3773" w:type="dxa"/>
            <w:vMerge w:val="restart"/>
            <w:tcBorders>
              <w:top w:val="single" w:sz="4" w:space="0" w:color="auto"/>
              <w:left w:val="single" w:sz="4" w:space="0" w:color="auto"/>
              <w:right w:val="single" w:sz="4" w:space="0" w:color="000000"/>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此两项指标为设置部门整体支出绩效评价指标时必须考虑的共性要素，可根据部门实际情况有选择的进行设置，并将其细化为相应的个性化指标。</w:t>
            </w:r>
          </w:p>
        </w:tc>
        <w:tc>
          <w:tcPr>
            <w:tcW w:w="704"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080FCA" w:rsidTr="00BE5205">
        <w:trPr>
          <w:trHeight w:val="428"/>
          <w:jc w:val="center"/>
        </w:trPr>
        <w:tc>
          <w:tcPr>
            <w:tcW w:w="823"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社会效益</w:t>
            </w:r>
          </w:p>
        </w:tc>
        <w:tc>
          <w:tcPr>
            <w:tcW w:w="565" w:type="dxa"/>
            <w:tcBorders>
              <w:top w:val="single" w:sz="4" w:space="0" w:color="auto"/>
              <w:left w:val="single" w:sz="4" w:space="0" w:color="auto"/>
              <w:bottom w:val="nil"/>
              <w:right w:val="single" w:sz="4" w:space="0" w:color="auto"/>
            </w:tcBorders>
            <w:vAlign w:val="center"/>
          </w:tcPr>
          <w:p w:rsidR="00080FCA" w:rsidRDefault="00080FCA" w:rsidP="00BE5205">
            <w:pPr>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single" w:sz="4" w:space="0" w:color="auto"/>
              <w:bottom w:val="nil"/>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对社会发展带来的直接影响和间接影响。</w:t>
            </w:r>
          </w:p>
        </w:tc>
        <w:tc>
          <w:tcPr>
            <w:tcW w:w="3773" w:type="dxa"/>
            <w:vMerge/>
            <w:tcBorders>
              <w:left w:val="single" w:sz="4" w:space="0" w:color="auto"/>
              <w:bottom w:val="nil"/>
              <w:right w:val="single" w:sz="4" w:space="0" w:color="000000"/>
            </w:tcBorders>
            <w:vAlign w:val="center"/>
          </w:tcPr>
          <w:p w:rsidR="00080FCA" w:rsidRDefault="00080FCA" w:rsidP="00BE5205">
            <w:pPr>
              <w:spacing w:line="200" w:lineRule="exact"/>
              <w:jc w:val="left"/>
              <w:rPr>
                <w:rFonts w:ascii="Times New Roman" w:eastAsia="仿宋_GB2312" w:hAnsi="Times New Roman"/>
                <w:kern w:val="0"/>
                <w:sz w:val="18"/>
                <w:szCs w:val="18"/>
              </w:rPr>
            </w:pPr>
          </w:p>
        </w:tc>
        <w:tc>
          <w:tcPr>
            <w:tcW w:w="704" w:type="dxa"/>
            <w:tcBorders>
              <w:top w:val="single" w:sz="4" w:space="0" w:color="auto"/>
              <w:left w:val="nil"/>
              <w:bottom w:val="nil"/>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080FCA" w:rsidTr="00BE5205">
        <w:trPr>
          <w:trHeight w:val="835"/>
          <w:jc w:val="center"/>
        </w:trPr>
        <w:tc>
          <w:tcPr>
            <w:tcW w:w="823"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42" w:type="dxa"/>
            <w:vMerge w:val="restart"/>
            <w:tcBorders>
              <w:top w:val="nil"/>
              <w:left w:val="single" w:sz="4" w:space="0" w:color="auto"/>
              <w:bottom w:val="single" w:sz="4" w:space="0" w:color="000000"/>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12</w:t>
            </w:r>
          </w:p>
        </w:tc>
        <w:tc>
          <w:tcPr>
            <w:tcW w:w="1419"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行政效能</w:t>
            </w:r>
          </w:p>
        </w:tc>
        <w:tc>
          <w:tcPr>
            <w:tcW w:w="565" w:type="dxa"/>
            <w:tcBorders>
              <w:top w:val="single" w:sz="4" w:space="0" w:color="auto"/>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single" w:sz="4" w:space="0" w:color="auto"/>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促进部门改进文风会风，加强经费及资产管理，推动网上办事，提高行政效率，降低行政成本效果较好的计</w:t>
            </w:r>
            <w:r>
              <w:rPr>
                <w:rFonts w:ascii="Times New Roman" w:eastAsia="仿宋_GB2312" w:hAnsi="Times New Roman"/>
                <w:kern w:val="0"/>
                <w:sz w:val="18"/>
                <w:szCs w:val="18"/>
              </w:rPr>
              <w:t>6</w:t>
            </w:r>
            <w:r>
              <w:rPr>
                <w:rFonts w:ascii="Times New Roman" w:eastAsia="仿宋_GB2312" w:hAnsi="Times New Roman"/>
                <w:kern w:val="0"/>
                <w:sz w:val="18"/>
                <w:szCs w:val="18"/>
              </w:rPr>
              <w:t>分；一般</w:t>
            </w:r>
            <w:r>
              <w:rPr>
                <w:rFonts w:ascii="Times New Roman" w:eastAsia="仿宋_GB2312" w:hAnsi="Times New Roman"/>
                <w:kern w:val="0"/>
                <w:sz w:val="18"/>
                <w:szCs w:val="18"/>
              </w:rPr>
              <w:t>3</w:t>
            </w:r>
            <w:r>
              <w:rPr>
                <w:rFonts w:ascii="Times New Roman" w:eastAsia="仿宋_GB2312" w:hAnsi="Times New Roman"/>
                <w:kern w:val="0"/>
                <w:sz w:val="18"/>
                <w:szCs w:val="18"/>
              </w:rPr>
              <w:t>分；无效果或者效果不明显</w:t>
            </w:r>
            <w:r>
              <w:rPr>
                <w:rFonts w:ascii="Times New Roman" w:eastAsia="仿宋_GB2312" w:hAnsi="Times New Roman"/>
                <w:kern w:val="0"/>
                <w:sz w:val="18"/>
                <w:szCs w:val="18"/>
              </w:rPr>
              <w:t>0</w:t>
            </w:r>
            <w:r>
              <w:rPr>
                <w:rFonts w:ascii="Times New Roman" w:eastAsia="仿宋_GB2312" w:hAnsi="Times New Roman"/>
                <w:kern w:val="0"/>
                <w:sz w:val="18"/>
                <w:szCs w:val="18"/>
              </w:rPr>
              <w:t>分。</w:t>
            </w:r>
          </w:p>
        </w:tc>
        <w:tc>
          <w:tcPr>
            <w:tcW w:w="3773" w:type="dxa"/>
            <w:tcBorders>
              <w:top w:val="single" w:sz="4" w:space="0" w:color="auto"/>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根据部门自评材料评定。</w:t>
            </w:r>
          </w:p>
        </w:tc>
        <w:tc>
          <w:tcPr>
            <w:tcW w:w="704" w:type="dxa"/>
            <w:tcBorders>
              <w:top w:val="single" w:sz="4" w:space="0" w:color="auto"/>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6</w:t>
            </w:r>
          </w:p>
        </w:tc>
      </w:tr>
      <w:tr w:rsidR="00080FCA" w:rsidTr="00BE5205">
        <w:trPr>
          <w:trHeight w:val="832"/>
          <w:jc w:val="center"/>
        </w:trPr>
        <w:tc>
          <w:tcPr>
            <w:tcW w:w="823" w:type="dxa"/>
            <w:vMerge/>
            <w:tcBorders>
              <w:top w:val="nil"/>
              <w:left w:val="single" w:sz="4" w:space="0" w:color="auto"/>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社会公众或服务对象满意度</w:t>
            </w:r>
          </w:p>
        </w:tc>
        <w:tc>
          <w:tcPr>
            <w:tcW w:w="565"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90%</w:t>
            </w:r>
            <w:r>
              <w:rPr>
                <w:rFonts w:ascii="Times New Roman" w:eastAsia="仿宋_GB2312" w:hAnsi="Times New Roman"/>
                <w:kern w:val="0"/>
                <w:sz w:val="18"/>
                <w:szCs w:val="18"/>
              </w:rPr>
              <w:t>（含）以上计</w:t>
            </w:r>
            <w:r>
              <w:rPr>
                <w:rFonts w:ascii="Times New Roman" w:eastAsia="仿宋_GB2312" w:hAnsi="Times New Roman"/>
                <w:kern w:val="0"/>
                <w:sz w:val="18"/>
                <w:szCs w:val="18"/>
              </w:rPr>
              <w:t>6</w:t>
            </w:r>
            <w:r>
              <w:rPr>
                <w:rFonts w:ascii="Times New Roman" w:eastAsia="仿宋_GB2312" w:hAnsi="Times New Roman"/>
                <w:kern w:val="0"/>
                <w:sz w:val="18"/>
                <w:szCs w:val="18"/>
              </w:rPr>
              <w:t>分；</w:t>
            </w:r>
            <w:r>
              <w:rPr>
                <w:rFonts w:ascii="Times New Roman" w:eastAsia="仿宋_GB2312" w:hAnsi="Times New Roman"/>
                <w:kern w:val="0"/>
                <w:sz w:val="18"/>
                <w:szCs w:val="18"/>
              </w:rPr>
              <w:br/>
              <w:t>80%</w:t>
            </w:r>
            <w:r>
              <w:rPr>
                <w:rFonts w:ascii="Times New Roman" w:eastAsia="仿宋_GB2312" w:hAnsi="Times New Roman"/>
                <w:kern w:val="0"/>
                <w:sz w:val="18"/>
                <w:szCs w:val="18"/>
              </w:rPr>
              <w:t>（含）</w:t>
            </w:r>
            <w:r>
              <w:rPr>
                <w:rFonts w:ascii="Times New Roman" w:eastAsia="仿宋_GB2312" w:hAnsi="Times New Roman"/>
                <w:kern w:val="0"/>
                <w:sz w:val="18"/>
                <w:szCs w:val="18"/>
              </w:rPr>
              <w:t>-90%</w:t>
            </w:r>
            <w:r>
              <w:rPr>
                <w:rFonts w:ascii="Times New Roman" w:eastAsia="仿宋_GB2312" w:hAnsi="Times New Roman"/>
                <w:kern w:val="0"/>
                <w:sz w:val="18"/>
                <w:szCs w:val="18"/>
              </w:rPr>
              <w:t>，计</w:t>
            </w:r>
            <w:r>
              <w:rPr>
                <w:rFonts w:ascii="Times New Roman" w:eastAsia="仿宋_GB2312" w:hAnsi="Times New Roman"/>
                <w:kern w:val="0"/>
                <w:sz w:val="18"/>
                <w:szCs w:val="18"/>
              </w:rPr>
              <w:t>4</w:t>
            </w:r>
            <w:r>
              <w:rPr>
                <w:rFonts w:ascii="Times New Roman" w:eastAsia="仿宋_GB2312" w:hAnsi="Times New Roman"/>
                <w:kern w:val="0"/>
                <w:sz w:val="18"/>
                <w:szCs w:val="18"/>
              </w:rPr>
              <w:t>分；</w:t>
            </w:r>
            <w:r>
              <w:rPr>
                <w:rFonts w:ascii="Times New Roman" w:eastAsia="仿宋_GB2312" w:hAnsi="Times New Roman"/>
                <w:kern w:val="0"/>
                <w:sz w:val="18"/>
                <w:szCs w:val="18"/>
              </w:rPr>
              <w:br/>
              <w:t>70%</w:t>
            </w:r>
            <w:r>
              <w:rPr>
                <w:rFonts w:ascii="Times New Roman" w:eastAsia="仿宋_GB2312" w:hAnsi="Times New Roman"/>
                <w:kern w:val="0"/>
                <w:sz w:val="18"/>
                <w:szCs w:val="18"/>
              </w:rPr>
              <w:t>（含）</w:t>
            </w:r>
            <w:r>
              <w:rPr>
                <w:rFonts w:ascii="Times New Roman" w:eastAsia="仿宋_GB2312" w:hAnsi="Times New Roman"/>
                <w:kern w:val="0"/>
                <w:sz w:val="18"/>
                <w:szCs w:val="18"/>
              </w:rPr>
              <w:t>-80%</w:t>
            </w:r>
            <w:r>
              <w:rPr>
                <w:rFonts w:ascii="Times New Roman" w:eastAsia="仿宋_GB2312" w:hAnsi="Times New Roman"/>
                <w:kern w:val="0"/>
                <w:sz w:val="18"/>
                <w:szCs w:val="18"/>
              </w:rPr>
              <w:t>，计</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r>
            <w:r>
              <w:rPr>
                <w:rFonts w:ascii="Times New Roman" w:eastAsia="仿宋_GB2312" w:hAnsi="Times New Roman"/>
                <w:kern w:val="0"/>
                <w:sz w:val="18"/>
                <w:szCs w:val="18"/>
              </w:rPr>
              <w:t>低于</w:t>
            </w:r>
            <w:r>
              <w:rPr>
                <w:rFonts w:ascii="Times New Roman" w:eastAsia="仿宋_GB2312" w:hAnsi="Times New Roman"/>
                <w:kern w:val="0"/>
                <w:sz w:val="18"/>
                <w:szCs w:val="18"/>
              </w:rPr>
              <w:t>70%</w:t>
            </w:r>
            <w:r>
              <w:rPr>
                <w:rFonts w:ascii="Times New Roman" w:eastAsia="仿宋_GB2312" w:hAnsi="Times New Roman"/>
                <w:kern w:val="0"/>
                <w:sz w:val="18"/>
                <w:szCs w:val="18"/>
              </w:rPr>
              <w:t>计</w:t>
            </w:r>
            <w:r>
              <w:rPr>
                <w:rFonts w:ascii="Times New Roman" w:eastAsia="仿宋_GB2312" w:hAnsi="Times New Roman"/>
                <w:kern w:val="0"/>
                <w:sz w:val="18"/>
                <w:szCs w:val="18"/>
              </w:rPr>
              <w:t>0</w:t>
            </w:r>
            <w:r>
              <w:rPr>
                <w:rFonts w:ascii="Times New Roman" w:eastAsia="仿宋_GB2312" w:hAnsi="Times New Roman"/>
                <w:kern w:val="0"/>
                <w:sz w:val="18"/>
                <w:szCs w:val="18"/>
              </w:rPr>
              <w:t>分。</w:t>
            </w:r>
          </w:p>
        </w:tc>
        <w:tc>
          <w:tcPr>
            <w:tcW w:w="3773"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社会公众或服务对象是指部门（单位）履行职责而影响到的部门、群体或个人，一般采取社会调查的方式。</w:t>
            </w:r>
          </w:p>
        </w:tc>
        <w:tc>
          <w:tcPr>
            <w:tcW w:w="704"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6</w:t>
            </w:r>
          </w:p>
          <w:p w:rsidR="00080FCA" w:rsidRDefault="00080FCA" w:rsidP="00BE5205">
            <w:pPr>
              <w:widowControl/>
              <w:spacing w:line="200" w:lineRule="exact"/>
              <w:jc w:val="left"/>
              <w:rPr>
                <w:rFonts w:ascii="Times New Roman" w:eastAsia="仿宋_GB2312" w:hAnsi="Times New Roman"/>
                <w:kern w:val="0"/>
                <w:sz w:val="18"/>
                <w:szCs w:val="18"/>
              </w:rPr>
            </w:pPr>
          </w:p>
        </w:tc>
      </w:tr>
      <w:tr w:rsidR="00080FCA" w:rsidTr="00BE5205">
        <w:trPr>
          <w:trHeight w:val="832"/>
          <w:jc w:val="center"/>
        </w:trPr>
        <w:tc>
          <w:tcPr>
            <w:tcW w:w="4561" w:type="dxa"/>
            <w:gridSpan w:val="5"/>
            <w:tcBorders>
              <w:top w:val="nil"/>
              <w:left w:val="single" w:sz="4" w:space="0" w:color="auto"/>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总分</w:t>
            </w:r>
          </w:p>
        </w:tc>
        <w:tc>
          <w:tcPr>
            <w:tcW w:w="565"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100</w:t>
            </w:r>
          </w:p>
        </w:tc>
        <w:tc>
          <w:tcPr>
            <w:tcW w:w="8366" w:type="dxa"/>
            <w:gridSpan w:val="2"/>
            <w:tcBorders>
              <w:top w:val="nil"/>
              <w:left w:val="nil"/>
              <w:bottom w:val="single" w:sz="4" w:space="0" w:color="auto"/>
              <w:right w:val="single" w:sz="4" w:space="0" w:color="auto"/>
            </w:tcBorders>
            <w:vAlign w:val="center"/>
          </w:tcPr>
          <w:p w:rsidR="00080FCA" w:rsidRDefault="00080FCA" w:rsidP="00BE5205">
            <w:pPr>
              <w:widowControl/>
              <w:spacing w:line="200" w:lineRule="exact"/>
              <w:jc w:val="left"/>
              <w:rPr>
                <w:rFonts w:ascii="Times New Roman" w:eastAsia="仿宋_GB2312" w:hAnsi="Times New Roman"/>
                <w:kern w:val="0"/>
                <w:sz w:val="18"/>
                <w:szCs w:val="18"/>
              </w:rPr>
            </w:pPr>
          </w:p>
        </w:tc>
        <w:tc>
          <w:tcPr>
            <w:tcW w:w="704" w:type="dxa"/>
            <w:tcBorders>
              <w:top w:val="nil"/>
              <w:left w:val="nil"/>
              <w:bottom w:val="single" w:sz="4" w:space="0" w:color="auto"/>
              <w:right w:val="single" w:sz="4" w:space="0" w:color="auto"/>
            </w:tcBorders>
            <w:vAlign w:val="center"/>
          </w:tcPr>
          <w:p w:rsidR="00080FCA" w:rsidRDefault="00080FCA" w:rsidP="00BE5205">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91</w:t>
            </w:r>
          </w:p>
        </w:tc>
      </w:tr>
    </w:tbl>
    <w:p w:rsidR="00080FCA" w:rsidRDefault="00080FCA" w:rsidP="00080FCA">
      <w:pPr>
        <w:spacing w:line="20" w:lineRule="exact"/>
        <w:rPr>
          <w:rFonts w:ascii="Times New Roman" w:eastAsia="新宋体" w:hAnsi="Times New Roman"/>
          <w:bCs/>
          <w:color w:val="000000"/>
          <w:sz w:val="32"/>
          <w:szCs w:val="32"/>
        </w:rPr>
      </w:pPr>
    </w:p>
    <w:p w:rsidR="00080FCA" w:rsidRDefault="00080FCA" w:rsidP="00080FCA">
      <w:pPr>
        <w:spacing w:line="20" w:lineRule="exact"/>
        <w:rPr>
          <w:rFonts w:ascii="Times New Roman" w:eastAsia="新宋体" w:hAnsi="Times New Roman"/>
          <w:bCs/>
          <w:color w:val="000000"/>
          <w:sz w:val="32"/>
          <w:szCs w:val="32"/>
        </w:rPr>
      </w:pPr>
    </w:p>
    <w:p w:rsidR="00497C05" w:rsidRPr="00EB5130" w:rsidRDefault="00497C05" w:rsidP="00A36CFB">
      <w:pPr>
        <w:spacing w:line="400" w:lineRule="exact"/>
      </w:pPr>
    </w:p>
    <w:sectPr w:rsidR="00497C05" w:rsidRPr="00EB5130" w:rsidSect="00A36CFB">
      <w:pgSz w:w="16838" w:h="11906" w:orient="landscape"/>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0A4D" w:rsidRDefault="00780A4D" w:rsidP="00EB5130">
      <w:r>
        <w:separator/>
      </w:r>
    </w:p>
  </w:endnote>
  <w:endnote w:type="continuationSeparator" w:id="1">
    <w:p w:rsidR="00780A4D" w:rsidRDefault="00780A4D" w:rsidP="00EB51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楷体_GB2312">
    <w:altName w:val="楷体"/>
    <w:charset w:val="86"/>
    <w:family w:val="auto"/>
    <w:pitch w:val="default"/>
    <w:sig w:usb0="00000001" w:usb1="080E0000" w:usb2="00000000" w:usb3="00000000" w:csb0="00040000"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80E0000" w:usb2="00000000" w:usb3="00000000" w:csb0="00040000" w:csb1="00000000"/>
  </w:font>
  <w:font w:name="方正仿宋简体">
    <w:altName w:val="微软雅黑"/>
    <w:charset w:val="86"/>
    <w:family w:val="auto"/>
    <w:pitch w:val="default"/>
    <w:sig w:usb0="00000000" w:usb1="00000000" w:usb2="00000010" w:usb3="00000000" w:csb0="00040000" w:csb1="00000000"/>
  </w:font>
  <w:font w:name="方正小标宋简体">
    <w:altName w:val="微软雅黑"/>
    <w:charset w:val="86"/>
    <w:family w:val="auto"/>
    <w:pitch w:val="default"/>
    <w:sig w:usb0="00000001" w:usb1="080E0000" w:usb2="00000000" w:usb3="00000000" w:csb0="00040000"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0A4D" w:rsidRDefault="00780A4D" w:rsidP="00EB5130">
      <w:r>
        <w:separator/>
      </w:r>
    </w:p>
  </w:footnote>
  <w:footnote w:type="continuationSeparator" w:id="1">
    <w:p w:rsidR="00780A4D" w:rsidRDefault="00780A4D" w:rsidP="00EB51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204"/>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5130"/>
    <w:rsid w:val="00080FCA"/>
    <w:rsid w:val="000F1185"/>
    <w:rsid w:val="000F1453"/>
    <w:rsid w:val="00172086"/>
    <w:rsid w:val="001F78C9"/>
    <w:rsid w:val="002129F7"/>
    <w:rsid w:val="00250A42"/>
    <w:rsid w:val="002C7EBC"/>
    <w:rsid w:val="002E3559"/>
    <w:rsid w:val="003634A6"/>
    <w:rsid w:val="00371C3A"/>
    <w:rsid w:val="00380134"/>
    <w:rsid w:val="003A5FDA"/>
    <w:rsid w:val="003F46EA"/>
    <w:rsid w:val="003F6035"/>
    <w:rsid w:val="003F7EAD"/>
    <w:rsid w:val="004856B1"/>
    <w:rsid w:val="00497C05"/>
    <w:rsid w:val="004A7388"/>
    <w:rsid w:val="004B7870"/>
    <w:rsid w:val="004E56FD"/>
    <w:rsid w:val="00502D7F"/>
    <w:rsid w:val="00554F56"/>
    <w:rsid w:val="005B27E9"/>
    <w:rsid w:val="005F740E"/>
    <w:rsid w:val="00612F72"/>
    <w:rsid w:val="00622EDB"/>
    <w:rsid w:val="0062536B"/>
    <w:rsid w:val="006B2C9B"/>
    <w:rsid w:val="006B5BB8"/>
    <w:rsid w:val="007557E3"/>
    <w:rsid w:val="00775FAC"/>
    <w:rsid w:val="00780A4D"/>
    <w:rsid w:val="007F3138"/>
    <w:rsid w:val="00806460"/>
    <w:rsid w:val="00963252"/>
    <w:rsid w:val="009B69B6"/>
    <w:rsid w:val="009F459F"/>
    <w:rsid w:val="00A36CFB"/>
    <w:rsid w:val="00A46DF7"/>
    <w:rsid w:val="00A619DE"/>
    <w:rsid w:val="00B27BA3"/>
    <w:rsid w:val="00B6795F"/>
    <w:rsid w:val="00BB3A47"/>
    <w:rsid w:val="00BC13EA"/>
    <w:rsid w:val="00BF4B37"/>
    <w:rsid w:val="00CA755E"/>
    <w:rsid w:val="00CD2872"/>
    <w:rsid w:val="00CE3F2D"/>
    <w:rsid w:val="00D10A06"/>
    <w:rsid w:val="00D50B56"/>
    <w:rsid w:val="00D53CCF"/>
    <w:rsid w:val="00DF7346"/>
    <w:rsid w:val="00E333C4"/>
    <w:rsid w:val="00EB5130"/>
    <w:rsid w:val="00EE21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130"/>
    <w:pPr>
      <w:widowControl w:val="0"/>
      <w:jc w:val="both"/>
    </w:pPr>
    <w:rPr>
      <w:rFonts w:ascii="Calibri" w:eastAsia="宋体" w:hAnsi="Calibri" w:cs="Times New Roman"/>
      <w:szCs w:val="24"/>
    </w:rPr>
  </w:style>
  <w:style w:type="paragraph" w:styleId="2">
    <w:name w:val="heading 2"/>
    <w:basedOn w:val="a"/>
    <w:next w:val="a"/>
    <w:link w:val="2Char"/>
    <w:qFormat/>
    <w:rsid w:val="00EB5130"/>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513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B5130"/>
    <w:rPr>
      <w:sz w:val="18"/>
      <w:szCs w:val="18"/>
    </w:rPr>
  </w:style>
  <w:style w:type="paragraph" w:styleId="a4">
    <w:name w:val="footer"/>
    <w:basedOn w:val="a"/>
    <w:link w:val="Char0"/>
    <w:uiPriority w:val="99"/>
    <w:semiHidden/>
    <w:unhideWhenUsed/>
    <w:rsid w:val="00EB513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B5130"/>
    <w:rPr>
      <w:sz w:val="18"/>
      <w:szCs w:val="18"/>
    </w:rPr>
  </w:style>
  <w:style w:type="character" w:customStyle="1" w:styleId="2Char">
    <w:name w:val="标题 2 Char"/>
    <w:basedOn w:val="a0"/>
    <w:link w:val="2"/>
    <w:rsid w:val="00EB5130"/>
    <w:rPr>
      <w:rFonts w:ascii="Arial" w:eastAsia="黑体" w:hAnsi="Arial" w:cs="Times New Roman"/>
      <w:b/>
      <w:sz w:val="32"/>
      <w:szCs w:val="24"/>
    </w:rPr>
  </w:style>
  <w:style w:type="paragraph" w:styleId="a5">
    <w:name w:val="List Paragraph"/>
    <w:basedOn w:val="a"/>
    <w:uiPriority w:val="99"/>
    <w:qFormat/>
    <w:rsid w:val="00EB5130"/>
    <w:pPr>
      <w:ind w:firstLineChars="200" w:firstLine="420"/>
    </w:pPr>
    <w:rPr>
      <w:szCs w:val="22"/>
    </w:rPr>
  </w:style>
  <w:style w:type="paragraph" w:styleId="a6">
    <w:name w:val="No Spacing"/>
    <w:qFormat/>
    <w:rsid w:val="00EB5130"/>
    <w:pPr>
      <w:widowControl w:val="0"/>
      <w:jc w:val="both"/>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16</Pages>
  <Words>1415</Words>
  <Characters>8071</Characters>
  <Application>Microsoft Office Word</Application>
  <DocSecurity>0</DocSecurity>
  <Lines>67</Lines>
  <Paragraphs>18</Paragraphs>
  <ScaleCrop>false</ScaleCrop>
  <Company/>
  <LinksUpToDate>false</LinksUpToDate>
  <CharactersWithSpaces>9468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66</cp:revision>
  <dcterms:created xsi:type="dcterms:W3CDTF">2021-07-22T09:11:00Z</dcterms:created>
  <dcterms:modified xsi:type="dcterms:W3CDTF">2021-07-23T01:38:00Z</dcterms:modified>
</cp:coreProperties>
</file>