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pacing w:line="360" w:lineRule="auto"/>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湖南中铁五新钢模有限责任公司</w:t>
      </w:r>
    </w:p>
    <w:p>
      <w:pPr>
        <w:pStyle w:val="8"/>
        <w:spacing w:line="360" w:lineRule="auto"/>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20</w:t>
      </w:r>
      <w:r>
        <w:rPr>
          <w:rFonts w:ascii="方正小标宋简体" w:hAnsi="方正小标宋简体" w:eastAsia="方正小标宋简体" w:cs="方正小标宋简体"/>
          <w:color w:val="000000"/>
          <w:kern w:val="0"/>
          <w:sz w:val="44"/>
          <w:szCs w:val="44"/>
        </w:rPr>
        <w:t>20</w:t>
      </w:r>
      <w:r>
        <w:rPr>
          <w:rFonts w:hint="eastAsia" w:ascii="方正小标宋简体" w:hAnsi="方正小标宋简体" w:eastAsia="方正小标宋简体" w:cs="方正小标宋简体"/>
          <w:color w:val="000000"/>
          <w:kern w:val="0"/>
          <w:sz w:val="44"/>
          <w:szCs w:val="44"/>
        </w:rPr>
        <w:t>年度高质量发展奖励资金</w:t>
      </w:r>
    </w:p>
    <w:p>
      <w:pPr>
        <w:pStyle w:val="8"/>
        <w:spacing w:line="360" w:lineRule="auto"/>
        <w:jc w:val="center"/>
        <w:rPr>
          <w:rFonts w:ascii="方正小标宋简体" w:hAnsi="方正小标宋简体" w:eastAsia="方正小标宋简体" w:cs="方正小标宋简体"/>
          <w:color w:val="000000"/>
          <w:kern w:val="0"/>
          <w:sz w:val="44"/>
          <w:szCs w:val="44"/>
        </w:rPr>
      </w:pPr>
      <w:r>
        <w:rPr>
          <w:rFonts w:hint="eastAsia" w:ascii="方正小标宋简体" w:hAnsi="方正小标宋简体" w:eastAsia="方正小标宋简体" w:cs="方正小标宋简体"/>
          <w:color w:val="000000"/>
          <w:kern w:val="0"/>
          <w:sz w:val="44"/>
          <w:szCs w:val="44"/>
        </w:rPr>
        <w:t>绩效评价报告</w:t>
      </w:r>
    </w:p>
    <w:p>
      <w:pPr>
        <w:pStyle w:val="8"/>
        <w:spacing w:line="360" w:lineRule="auto"/>
        <w:ind w:firstLine="1320" w:firstLineChars="300"/>
        <w:rPr>
          <w:rFonts w:ascii="黑体" w:hAnsi="黑体" w:eastAsia="黑体" w:cs="黑体"/>
          <w:color w:val="000000"/>
          <w:kern w:val="0"/>
          <w:sz w:val="44"/>
          <w:szCs w:val="44"/>
        </w:rPr>
      </w:pPr>
    </w:p>
    <w:p>
      <w:pPr>
        <w:pStyle w:val="8"/>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一、单位基本情况</w:t>
      </w:r>
    </w:p>
    <w:p>
      <w:pPr>
        <w:spacing w:line="460" w:lineRule="exact"/>
        <w:ind w:firstLine="565" w:firstLineChars="202"/>
        <w:rPr>
          <w:rFonts w:ascii="仿宋_GB2312" w:hAnsi="Times New Roman" w:eastAsia="仿宋_GB2312"/>
          <w:sz w:val="28"/>
          <w:szCs w:val="28"/>
        </w:rPr>
      </w:pPr>
      <w:r>
        <w:rPr>
          <w:rFonts w:hint="eastAsia" w:ascii="仿宋_GB2312" w:hAnsi="Times New Roman" w:eastAsia="仿宋_GB2312"/>
          <w:sz w:val="28"/>
          <w:szCs w:val="28"/>
        </w:rPr>
        <w:t>湖南中铁五新钢模有限责任公司成立于2005年9月，是湖南省高新技术企业，湖南省“专精特新”小巨人企业，中国模板脚手架行业特级资质企业、骨干企业、名牌企业、3A诚信企业、诚信租赁企业，中国基建物质租赁承包协会特级资质企业，拥有天津中铁五新钢模、四川五新智能、湖南五新模板工程服务、湖南五新模板、湖南五恒模架、长沙分厂、怀化分厂、五新钢模租赁分公司等8家分、子公司，是国内钢模板行业最大的生产企业。</w:t>
      </w:r>
    </w:p>
    <w:p>
      <w:pPr>
        <w:spacing w:line="460" w:lineRule="exact"/>
        <w:ind w:firstLine="565" w:firstLineChars="202"/>
        <w:rPr>
          <w:rFonts w:ascii="仿宋_GB2312" w:hAnsi="Times New Roman" w:eastAsia="仿宋_GB2312"/>
          <w:sz w:val="28"/>
          <w:szCs w:val="28"/>
        </w:rPr>
      </w:pPr>
      <w:r>
        <w:rPr>
          <w:rFonts w:hint="eastAsia" w:ascii="仿宋_GB2312" w:hAnsi="Times New Roman" w:eastAsia="仿宋_GB2312"/>
          <w:sz w:val="28"/>
          <w:szCs w:val="28"/>
        </w:rPr>
        <w:t>公司专业提供铁路公路桥梁施工钢模板设备技术整体解决方案，主要围绕公路、铁路桥梁建设用钢模板的设备化、自动化、标准化进行研发制造，主要产品有高铁箱梁模板、节段箱梁、挂篮、PC梁模板系统、U型梁模板系统、仰拱模板栈桥、M60模架支撑系统等多个产品，并获得近200项专利技术。公司的工程施工模板技术研究设计院为省级企业技术中心。公司是国内钢模板行业具有一流研发设计能力的企业。</w:t>
      </w:r>
    </w:p>
    <w:p>
      <w:pPr>
        <w:spacing w:line="460" w:lineRule="exact"/>
        <w:ind w:firstLine="565" w:firstLineChars="202"/>
        <w:rPr>
          <w:rFonts w:ascii="仿宋_GB2312" w:hAnsi="Times New Roman" w:eastAsia="仿宋_GB2312"/>
          <w:sz w:val="28"/>
          <w:szCs w:val="28"/>
        </w:rPr>
      </w:pPr>
      <w:r>
        <w:rPr>
          <w:rFonts w:hint="eastAsia" w:ascii="仿宋_GB2312" w:hAnsi="Times New Roman" w:eastAsia="仿宋_GB2312"/>
          <w:sz w:val="28"/>
          <w:szCs w:val="28"/>
        </w:rPr>
        <w:t>公司的各类产品已经广泛参与建设了国内130多条高铁客运专线与城际轻轨，以及乐清湾跨海大桥、港珠澳跨海大桥、浙江舟山连岛工程等特大型桥梁工程的施工中，倍受客户青睐。公司是国内钢模板行业具有很强品牌影响力的企业。</w:t>
      </w:r>
    </w:p>
    <w:p>
      <w:pPr>
        <w:spacing w:line="460" w:lineRule="exact"/>
        <w:ind w:firstLine="565" w:firstLineChars="202"/>
        <w:rPr>
          <w:rFonts w:ascii="仿宋_GB2312" w:hAnsi="Times New Roman" w:eastAsia="仿宋_GB2312"/>
          <w:color w:val="000000" w:themeColor="text1"/>
          <w:sz w:val="28"/>
          <w:szCs w:val="28"/>
          <w14:textFill>
            <w14:solidFill>
              <w14:schemeClr w14:val="tx1"/>
            </w14:solidFill>
          </w14:textFill>
        </w:rPr>
      </w:pPr>
      <w:r>
        <w:rPr>
          <w:rFonts w:hint="eastAsia" w:ascii="仿宋_GB2312" w:hAnsi="Times New Roman" w:eastAsia="仿宋_GB2312"/>
          <w:sz w:val="28"/>
          <w:szCs w:val="28"/>
        </w:rPr>
        <w:t>公司现有员工997人,其中专业技术人员达280人,博士、硕士以上学历科研人员50多人。20</w:t>
      </w:r>
      <w:r>
        <w:rPr>
          <w:rFonts w:ascii="仿宋_GB2312" w:hAnsi="Times New Roman" w:eastAsia="仿宋_GB2312"/>
          <w:sz w:val="28"/>
          <w:szCs w:val="28"/>
        </w:rPr>
        <w:t>20</w:t>
      </w:r>
      <w:r>
        <w:rPr>
          <w:rFonts w:hint="eastAsia" w:ascii="仿宋_GB2312" w:hAnsi="Times New Roman" w:eastAsia="仿宋_GB2312"/>
          <w:sz w:val="28"/>
          <w:szCs w:val="28"/>
        </w:rPr>
        <w:t>年，公司营收约</w:t>
      </w:r>
      <w:r>
        <w:rPr>
          <w:rFonts w:ascii="仿宋_GB2312" w:hAnsi="Times New Roman" w:eastAsia="仿宋_GB2312"/>
          <w:sz w:val="28"/>
          <w:szCs w:val="28"/>
        </w:rPr>
        <w:t>3.92</w:t>
      </w:r>
      <w:r>
        <w:rPr>
          <w:rFonts w:hint="eastAsia" w:ascii="仿宋_GB2312" w:hAnsi="Times New Roman" w:eastAsia="仿宋_GB2312"/>
          <w:sz w:val="28"/>
          <w:szCs w:val="28"/>
        </w:rPr>
        <w:t>万元，</w:t>
      </w:r>
      <w:r>
        <w:rPr>
          <w:rFonts w:hint="eastAsia" w:ascii="仿宋_GB2312" w:hAnsi="Times New Roman" w:eastAsia="仿宋_GB2312"/>
          <w:color w:val="000000" w:themeColor="text1"/>
          <w:sz w:val="28"/>
          <w:szCs w:val="28"/>
          <w14:textFill>
            <w14:solidFill>
              <w14:schemeClr w14:val="tx1"/>
            </w14:solidFill>
          </w14:textFill>
        </w:rPr>
        <w:t>纳税</w:t>
      </w:r>
      <w:r>
        <w:rPr>
          <w:rFonts w:ascii="仿宋_GB2312" w:hAnsi="Times New Roman" w:eastAsia="仿宋_GB2312"/>
          <w:color w:val="000000" w:themeColor="text1"/>
          <w:sz w:val="28"/>
          <w:szCs w:val="28"/>
          <w14:textFill>
            <w14:solidFill>
              <w14:schemeClr w14:val="tx1"/>
            </w14:solidFill>
          </w14:textFill>
        </w:rPr>
        <w:t>4227</w:t>
      </w:r>
      <w:r>
        <w:rPr>
          <w:rFonts w:hint="eastAsia" w:ascii="仿宋_GB2312" w:hAnsi="Times New Roman" w:eastAsia="仿宋_GB2312"/>
          <w:color w:val="000000" w:themeColor="text1"/>
          <w:sz w:val="28"/>
          <w:szCs w:val="28"/>
          <w14:textFill>
            <w14:solidFill>
              <w14:schemeClr w14:val="tx1"/>
            </w14:solidFill>
          </w14:textFill>
        </w:rPr>
        <w:t>万元，其中在中方县纳税</w:t>
      </w:r>
      <w:r>
        <w:rPr>
          <w:rFonts w:ascii="仿宋_GB2312" w:hAnsi="Times New Roman" w:eastAsia="仿宋_GB2312"/>
          <w:color w:val="000000" w:themeColor="text1"/>
          <w:sz w:val="28"/>
          <w:szCs w:val="28"/>
          <w14:textFill>
            <w14:solidFill>
              <w14:schemeClr w14:val="tx1"/>
            </w14:solidFill>
          </w14:textFill>
        </w:rPr>
        <w:t>2652.4万元</w:t>
      </w:r>
      <w:r>
        <w:rPr>
          <w:rFonts w:hint="eastAsia" w:ascii="仿宋_GB2312" w:hAnsi="Times New Roman" w:eastAsia="仿宋_GB2312"/>
          <w:color w:val="000000" w:themeColor="text1"/>
          <w:sz w:val="28"/>
          <w:szCs w:val="28"/>
          <w14:textFill>
            <w14:solidFill>
              <w14:schemeClr w14:val="tx1"/>
            </w14:solidFill>
          </w14:textFill>
        </w:rPr>
        <w:t>。</w:t>
      </w:r>
    </w:p>
    <w:p>
      <w:pPr>
        <w:pStyle w:val="8"/>
        <w:spacing w:line="560" w:lineRule="exact"/>
        <w:ind w:firstLine="640" w:firstLineChars="200"/>
        <w:rPr>
          <w:rFonts w:ascii="黑体" w:hAnsi="黑体" w:eastAsia="黑体" w:cs="黑体"/>
          <w:bCs/>
          <w:sz w:val="32"/>
          <w:szCs w:val="32"/>
        </w:rPr>
      </w:pPr>
      <w:r>
        <w:rPr>
          <w:rFonts w:hint="eastAsia" w:ascii="黑体" w:hAnsi="黑体" w:eastAsia="黑体" w:cs="黑体"/>
          <w:bCs/>
          <w:sz w:val="32"/>
          <w:szCs w:val="32"/>
        </w:rPr>
        <w:t>二、专项资金使用及管理情况</w:t>
      </w:r>
    </w:p>
    <w:p>
      <w:pPr>
        <w:spacing w:line="560" w:lineRule="exact"/>
        <w:ind w:firstLine="648"/>
        <w:rPr>
          <w:rFonts w:ascii="楷体" w:eastAsia="楷体"/>
          <w:b/>
          <w:sz w:val="32"/>
          <w:szCs w:val="32"/>
        </w:rPr>
      </w:pPr>
      <w:r>
        <w:rPr>
          <w:rFonts w:hint="eastAsia" w:ascii="楷体" w:eastAsia="楷体"/>
          <w:b/>
          <w:sz w:val="32"/>
          <w:szCs w:val="32"/>
        </w:rPr>
        <w:t>（一）到位情况：</w:t>
      </w:r>
    </w:p>
    <w:p>
      <w:pPr>
        <w:pStyle w:val="8"/>
        <w:spacing w:line="360" w:lineRule="auto"/>
        <w:jc w:val="center"/>
        <w:rPr>
          <w:rFonts w:hint="eastAsia" w:ascii="仿宋_GB2312" w:hAnsi="Times New Roman" w:eastAsia="仿宋_GB2312"/>
          <w:sz w:val="28"/>
          <w:szCs w:val="28"/>
          <w:lang w:eastAsia="zh-CN"/>
        </w:rPr>
      </w:pPr>
      <w:r>
        <w:rPr>
          <w:rFonts w:hint="eastAsia" w:ascii="仿宋_GB2312" w:hAnsi="Times New Roman" w:eastAsia="仿宋_GB2312"/>
          <w:sz w:val="28"/>
          <w:szCs w:val="28"/>
        </w:rPr>
        <w:t xml:space="preserve"> </w:t>
      </w:r>
      <w:r>
        <w:rPr>
          <w:rFonts w:ascii="仿宋_GB2312" w:hAnsi="Times New Roman" w:eastAsia="仿宋_GB2312"/>
          <w:sz w:val="28"/>
          <w:szCs w:val="28"/>
        </w:rPr>
        <w:t xml:space="preserve"> </w:t>
      </w:r>
      <w:r>
        <w:rPr>
          <w:rFonts w:hint="eastAsia" w:ascii="仿宋_GB2312" w:hAnsi="Times New Roman" w:eastAsia="仿宋_GB2312"/>
          <w:sz w:val="28"/>
          <w:szCs w:val="28"/>
        </w:rPr>
        <w:t>五新钢模公司于</w:t>
      </w:r>
      <w:r>
        <w:rPr>
          <w:rFonts w:ascii="仿宋_GB2312" w:hAnsi="Times New Roman" w:eastAsia="仿宋_GB2312"/>
          <w:sz w:val="28"/>
          <w:szCs w:val="28"/>
        </w:rPr>
        <w:t>2020</w:t>
      </w:r>
      <w:r>
        <w:rPr>
          <w:rFonts w:hint="eastAsia" w:ascii="仿宋_GB2312" w:hAnsi="Times New Roman" w:eastAsia="仿宋_GB2312"/>
          <w:sz w:val="28"/>
          <w:szCs w:val="28"/>
        </w:rPr>
        <w:t>年</w:t>
      </w:r>
      <w:r>
        <w:rPr>
          <w:rFonts w:ascii="仿宋_GB2312" w:hAnsi="Times New Roman" w:eastAsia="仿宋_GB2312"/>
          <w:sz w:val="28"/>
          <w:szCs w:val="28"/>
        </w:rPr>
        <w:t>11</w:t>
      </w:r>
      <w:r>
        <w:rPr>
          <w:rFonts w:hint="eastAsia" w:ascii="仿宋_GB2312" w:hAnsi="Times New Roman" w:eastAsia="仿宋_GB2312"/>
          <w:sz w:val="28"/>
          <w:szCs w:val="28"/>
        </w:rPr>
        <w:t>月</w:t>
      </w:r>
      <w:r>
        <w:rPr>
          <w:rFonts w:ascii="仿宋_GB2312" w:hAnsi="Times New Roman" w:eastAsia="仿宋_GB2312"/>
          <w:sz w:val="28"/>
          <w:szCs w:val="28"/>
        </w:rPr>
        <w:t>16</w:t>
      </w:r>
      <w:r>
        <w:rPr>
          <w:rFonts w:hint="eastAsia" w:ascii="仿宋_GB2312" w:hAnsi="Times New Roman" w:eastAsia="仿宋_GB2312"/>
          <w:sz w:val="28"/>
          <w:szCs w:val="28"/>
        </w:rPr>
        <w:t>日到位</w:t>
      </w:r>
      <w:r>
        <w:rPr>
          <w:rFonts w:hint="eastAsia" w:ascii="仿宋_GB2312" w:hAnsi="Times New Roman" w:eastAsia="仿宋_GB2312"/>
          <w:sz w:val="28"/>
          <w:szCs w:val="28"/>
          <w:lang w:val="en-US" w:eastAsia="zh-CN"/>
        </w:rPr>
        <w:t>2017-</w:t>
      </w:r>
      <w:r>
        <w:rPr>
          <w:rFonts w:hint="eastAsia" w:ascii="仿宋_GB2312" w:hAnsi="Times New Roman" w:eastAsia="仿宋_GB2312"/>
          <w:sz w:val="28"/>
          <w:szCs w:val="28"/>
        </w:rPr>
        <w:t>20</w:t>
      </w:r>
      <w:r>
        <w:rPr>
          <w:rFonts w:hint="eastAsia" w:ascii="仿宋_GB2312" w:hAnsi="Times New Roman" w:eastAsia="仿宋_GB2312"/>
          <w:sz w:val="28"/>
          <w:szCs w:val="28"/>
          <w:lang w:val="en-US" w:eastAsia="zh-CN"/>
        </w:rPr>
        <w:t>20</w:t>
      </w:r>
      <w:r>
        <w:rPr>
          <w:rFonts w:hint="eastAsia" w:ascii="仿宋_GB2312" w:hAnsi="Times New Roman" w:eastAsia="仿宋_GB2312"/>
          <w:sz w:val="28"/>
          <w:szCs w:val="28"/>
        </w:rPr>
        <w:t>年度</w:t>
      </w:r>
      <w:r>
        <w:rPr>
          <w:rFonts w:hint="eastAsia" w:ascii="仿宋_GB2312" w:hAnsi="Times New Roman" w:eastAsia="仿宋_GB2312"/>
          <w:sz w:val="28"/>
          <w:szCs w:val="28"/>
          <w:lang w:eastAsia="zh-CN"/>
        </w:rPr>
        <w:t>财政专项资</w:t>
      </w:r>
    </w:p>
    <w:p>
      <w:pPr>
        <w:pStyle w:val="8"/>
        <w:spacing w:line="360" w:lineRule="auto"/>
        <w:rPr>
          <w:rFonts w:hint="eastAsia" w:ascii="仿宋_GB2312" w:hAnsi="Times New Roman" w:eastAsia="仿宋_GB2312"/>
          <w:sz w:val="28"/>
          <w:szCs w:val="28"/>
          <w:lang w:eastAsia="zh-CN"/>
        </w:rPr>
      </w:pPr>
      <w:r>
        <w:rPr>
          <w:rFonts w:hint="eastAsia" w:ascii="仿宋_GB2312" w:hAnsi="Times New Roman" w:eastAsia="仿宋_GB2312"/>
          <w:sz w:val="28"/>
          <w:szCs w:val="28"/>
        </w:rPr>
        <w:t>金</w:t>
      </w:r>
      <w:r>
        <w:rPr>
          <w:rFonts w:hint="eastAsia" w:ascii="仿宋_GB2312" w:hAnsi="Times New Roman" w:eastAsia="仿宋_GB2312"/>
          <w:sz w:val="28"/>
          <w:szCs w:val="28"/>
          <w:lang w:val="en-US" w:eastAsia="zh-CN"/>
        </w:rPr>
        <w:t>451.67</w:t>
      </w:r>
      <w:r>
        <w:rPr>
          <w:rFonts w:hint="eastAsia" w:ascii="仿宋_GB2312" w:hAnsi="Times New Roman" w:eastAsia="仿宋_GB2312"/>
          <w:sz w:val="28"/>
          <w:szCs w:val="28"/>
        </w:rPr>
        <w:t>万元。</w:t>
      </w:r>
      <w:r>
        <w:rPr>
          <w:rFonts w:hint="eastAsia" w:ascii="仿宋_GB2312" w:hAnsi="Times New Roman" w:eastAsia="仿宋_GB2312"/>
          <w:sz w:val="28"/>
          <w:szCs w:val="28"/>
          <w:lang w:eastAsia="zh-CN"/>
        </w:rPr>
        <w:t>具体项目资金明细如下：</w:t>
      </w:r>
      <w:bookmarkStart w:id="0" w:name="_GoBack"/>
      <w:bookmarkEnd w:id="0"/>
    </w:p>
    <w:p>
      <w:pPr>
        <w:pStyle w:val="8"/>
        <w:spacing w:line="360" w:lineRule="auto"/>
        <w:ind w:firstLine="560" w:firstLineChars="200"/>
        <w:rPr>
          <w:rFonts w:hint="eastAsia"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1、2019年度湖南省工业企业技术改造税收增量奖补资金32.25万元；</w:t>
      </w:r>
    </w:p>
    <w:p>
      <w:pPr>
        <w:pStyle w:val="8"/>
        <w:spacing w:line="360" w:lineRule="auto"/>
        <w:ind w:firstLine="560" w:firstLineChars="200"/>
        <w:rPr>
          <w:rFonts w:hint="eastAsia"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2、2019年度“四上”企业高质量发展评比优秀企业奖5万元；</w:t>
      </w:r>
    </w:p>
    <w:p>
      <w:pPr>
        <w:pStyle w:val="8"/>
        <w:spacing w:line="360" w:lineRule="auto"/>
        <w:ind w:firstLine="560" w:firstLineChars="200"/>
        <w:rPr>
          <w:rFonts w:hint="eastAsia"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3、</w:t>
      </w:r>
      <w:r>
        <w:rPr>
          <w:rFonts w:hint="default" w:ascii="仿宋_GB2312" w:hAnsi="Times New Roman" w:eastAsia="仿宋_GB2312"/>
          <w:sz w:val="28"/>
          <w:szCs w:val="28"/>
          <w:lang w:val="en-US" w:eastAsia="zh-CN"/>
        </w:rPr>
        <w:t>2017年－2018年民营企业税收奖励资金</w:t>
      </w:r>
      <w:r>
        <w:rPr>
          <w:rFonts w:hint="eastAsia" w:ascii="仿宋_GB2312" w:hAnsi="Times New Roman" w:eastAsia="仿宋_GB2312"/>
          <w:sz w:val="28"/>
          <w:szCs w:val="28"/>
          <w:lang w:val="en-US" w:eastAsia="zh-CN"/>
        </w:rPr>
        <w:t>240.1万元；</w:t>
      </w:r>
    </w:p>
    <w:p>
      <w:pPr>
        <w:pStyle w:val="8"/>
        <w:spacing w:line="360" w:lineRule="auto"/>
        <w:ind w:firstLine="560" w:firstLineChars="200"/>
        <w:rPr>
          <w:rFonts w:hint="eastAsia"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4、2019年第一批制造强省专项资金88.6万元；</w:t>
      </w:r>
    </w:p>
    <w:p>
      <w:pPr>
        <w:pStyle w:val="8"/>
        <w:spacing w:line="360" w:lineRule="auto"/>
        <w:ind w:firstLine="560" w:firstLineChars="200"/>
        <w:rPr>
          <w:rFonts w:hint="default" w:ascii="仿宋_GB2312" w:hAnsi="Times New Roman" w:eastAsia="仿宋_GB2312"/>
          <w:sz w:val="28"/>
          <w:szCs w:val="28"/>
          <w:lang w:val="en-US" w:eastAsia="zh-CN"/>
        </w:rPr>
      </w:pPr>
      <w:r>
        <w:rPr>
          <w:rFonts w:hint="eastAsia" w:ascii="仿宋_GB2312" w:hAnsi="Times New Roman" w:eastAsia="仿宋_GB2312"/>
          <w:sz w:val="28"/>
          <w:szCs w:val="28"/>
          <w:lang w:val="en-US" w:eastAsia="zh-CN"/>
        </w:rPr>
        <w:t>5、高质量发展奖励（提质增效贡献奖）85.72万元。</w:t>
      </w:r>
    </w:p>
    <w:p>
      <w:pPr>
        <w:pStyle w:val="8"/>
        <w:spacing w:line="360" w:lineRule="auto"/>
        <w:ind w:firstLine="560" w:firstLineChars="200"/>
        <w:rPr>
          <w:rFonts w:ascii="仿宋_GB2312" w:hAnsi="Times New Roman" w:eastAsia="仿宋_GB2312"/>
          <w:sz w:val="28"/>
          <w:szCs w:val="28"/>
        </w:rPr>
      </w:pPr>
      <w:r>
        <w:rPr>
          <w:rFonts w:hint="eastAsia" w:ascii="仿宋_GB2312" w:hAnsi="Times New Roman" w:eastAsia="仿宋_GB2312"/>
          <w:sz w:val="28"/>
          <w:szCs w:val="28"/>
        </w:rPr>
        <w:t>（二）使用情况：</w:t>
      </w:r>
    </w:p>
    <w:p>
      <w:pPr>
        <w:pStyle w:val="8"/>
        <w:spacing w:line="360" w:lineRule="auto"/>
        <w:ind w:firstLine="560" w:firstLineChars="200"/>
        <w:rPr>
          <w:rFonts w:ascii="仿宋_GB2312" w:hAnsi="Times New Roman" w:eastAsia="仿宋_GB2312"/>
          <w:sz w:val="28"/>
          <w:szCs w:val="28"/>
        </w:rPr>
      </w:pPr>
      <w:r>
        <w:rPr>
          <w:rFonts w:hint="eastAsia" w:ascii="仿宋_GB2312" w:hAnsi="Times New Roman" w:eastAsia="仿宋_GB2312"/>
          <w:sz w:val="28"/>
          <w:szCs w:val="28"/>
        </w:rPr>
        <w:t>截止</w:t>
      </w:r>
      <w:r>
        <w:rPr>
          <w:rFonts w:ascii="仿宋_GB2312" w:hAnsi="Times New Roman" w:eastAsia="仿宋_GB2312"/>
          <w:sz w:val="28"/>
          <w:szCs w:val="28"/>
        </w:rPr>
        <w:t>2020</w:t>
      </w:r>
      <w:r>
        <w:rPr>
          <w:rFonts w:hint="eastAsia" w:ascii="仿宋_GB2312" w:hAnsi="Times New Roman" w:eastAsia="仿宋_GB2312"/>
          <w:sz w:val="28"/>
          <w:szCs w:val="28"/>
        </w:rPr>
        <w:t>年</w:t>
      </w:r>
      <w:r>
        <w:rPr>
          <w:rFonts w:ascii="仿宋_GB2312" w:hAnsi="Times New Roman" w:eastAsia="仿宋_GB2312"/>
          <w:sz w:val="28"/>
          <w:szCs w:val="28"/>
        </w:rPr>
        <w:t>12</w:t>
      </w:r>
      <w:r>
        <w:rPr>
          <w:rFonts w:hint="eastAsia" w:ascii="仿宋_GB2312" w:hAnsi="Times New Roman" w:eastAsia="仿宋_GB2312"/>
          <w:sz w:val="28"/>
          <w:szCs w:val="28"/>
        </w:rPr>
        <w:t>月</w:t>
      </w:r>
      <w:r>
        <w:rPr>
          <w:rFonts w:ascii="仿宋_GB2312" w:hAnsi="Times New Roman" w:eastAsia="仿宋_GB2312"/>
          <w:sz w:val="28"/>
          <w:szCs w:val="28"/>
        </w:rPr>
        <w:t>31</w:t>
      </w:r>
      <w:r>
        <w:rPr>
          <w:rFonts w:hint="eastAsia" w:ascii="仿宋_GB2312" w:hAnsi="Times New Roman" w:eastAsia="仿宋_GB2312"/>
          <w:sz w:val="28"/>
          <w:szCs w:val="28"/>
        </w:rPr>
        <w:t>日，高质量发展奖励资金</w:t>
      </w:r>
      <w:r>
        <w:rPr>
          <w:rFonts w:hint="eastAsia" w:ascii="仿宋_GB2312" w:hAnsi="Times New Roman" w:eastAsia="仿宋_GB2312"/>
          <w:sz w:val="28"/>
          <w:szCs w:val="28"/>
          <w:lang w:val="en-US" w:eastAsia="zh-CN"/>
        </w:rPr>
        <w:t>451.67</w:t>
      </w:r>
      <w:r>
        <w:rPr>
          <w:rFonts w:hint="eastAsia" w:ascii="仿宋_GB2312" w:hAnsi="Times New Roman" w:eastAsia="仿宋_GB2312"/>
          <w:sz w:val="28"/>
          <w:szCs w:val="28"/>
        </w:rPr>
        <w:t>万元，主要用已全部用于公司研发以及生产活动。</w:t>
      </w:r>
    </w:p>
    <w:p>
      <w:pPr>
        <w:spacing w:line="460" w:lineRule="exact"/>
        <w:ind w:firstLine="560" w:firstLineChars="200"/>
        <w:rPr>
          <w:rFonts w:ascii="仿宋_GB2312" w:hAnsi="Times New Roman" w:eastAsia="仿宋_GB2312"/>
          <w:sz w:val="28"/>
          <w:szCs w:val="28"/>
        </w:rPr>
      </w:pPr>
      <w:r>
        <w:rPr>
          <w:rFonts w:hint="eastAsia" w:ascii="仿宋_GB2312" w:hAnsi="Times New Roman" w:eastAsia="仿宋_GB2312"/>
          <w:sz w:val="28"/>
          <w:szCs w:val="28"/>
        </w:rPr>
        <w:t>公司建立了相关财务账目。资金使用及管理符合专项资金使用与管理的相关规定。</w:t>
      </w:r>
    </w:p>
    <w:p>
      <w:pPr>
        <w:spacing w:line="560" w:lineRule="exact"/>
        <w:ind w:firstLine="648"/>
        <w:rPr>
          <w:rFonts w:ascii="黑体" w:hAnsi="黑体" w:eastAsia="黑体" w:cs="黑体"/>
          <w:bCs/>
          <w:sz w:val="32"/>
          <w:szCs w:val="32"/>
        </w:rPr>
      </w:pPr>
      <w:r>
        <w:rPr>
          <w:rFonts w:hint="eastAsia" w:ascii="黑体" w:hAnsi="黑体" w:eastAsia="黑体" w:cs="黑体"/>
          <w:bCs/>
          <w:sz w:val="32"/>
          <w:szCs w:val="32"/>
        </w:rPr>
        <w:t>三、专项资金绩效情况</w:t>
      </w:r>
    </w:p>
    <w:p>
      <w:pPr>
        <w:spacing w:line="460" w:lineRule="exact"/>
        <w:ind w:firstLine="565" w:firstLineChars="202"/>
        <w:rPr>
          <w:rFonts w:ascii="仿宋_GB2312" w:hAnsi="Times New Roman" w:eastAsia="仿宋_GB2312"/>
          <w:sz w:val="28"/>
          <w:szCs w:val="28"/>
        </w:rPr>
      </w:pPr>
      <w:r>
        <w:rPr>
          <w:rFonts w:ascii="仿宋_GB2312" w:hAnsi="Times New Roman" w:eastAsia="仿宋_GB2312"/>
          <w:sz w:val="28"/>
          <w:szCs w:val="28"/>
        </w:rPr>
        <w:t>2019年</w:t>
      </w:r>
      <w:r>
        <w:rPr>
          <w:rFonts w:hint="eastAsia" w:ascii="仿宋_GB2312" w:hAnsi="Times New Roman" w:eastAsia="仿宋_GB2312"/>
          <w:sz w:val="28"/>
          <w:szCs w:val="28"/>
        </w:rPr>
        <w:t>，公司拟营收约</w:t>
      </w:r>
      <w:r>
        <w:rPr>
          <w:rFonts w:ascii="仿宋_GB2312" w:hAnsi="Times New Roman" w:eastAsia="仿宋_GB2312"/>
          <w:sz w:val="28"/>
          <w:szCs w:val="28"/>
        </w:rPr>
        <w:t>4.66亿</w:t>
      </w:r>
      <w:r>
        <w:rPr>
          <w:rFonts w:hint="eastAsia" w:ascii="仿宋_GB2312" w:hAnsi="Times New Roman" w:eastAsia="仿宋_GB2312"/>
          <w:sz w:val="28"/>
          <w:szCs w:val="28"/>
        </w:rPr>
        <w:t>元，纳税3</w:t>
      </w:r>
      <w:r>
        <w:rPr>
          <w:rFonts w:ascii="仿宋_GB2312" w:hAnsi="Times New Roman" w:eastAsia="仿宋_GB2312"/>
          <w:sz w:val="28"/>
          <w:szCs w:val="28"/>
        </w:rPr>
        <w:t>719万元</w:t>
      </w:r>
      <w:r>
        <w:rPr>
          <w:rFonts w:hint="eastAsia" w:ascii="仿宋_GB2312" w:hAnsi="Times New Roman" w:eastAsia="仿宋_GB2312"/>
          <w:sz w:val="28"/>
          <w:szCs w:val="28"/>
        </w:rPr>
        <w:t>，</w:t>
      </w:r>
      <w:r>
        <w:rPr>
          <w:rFonts w:ascii="仿宋_GB2312" w:hAnsi="Times New Roman" w:eastAsia="仿宋_GB2312"/>
          <w:sz w:val="28"/>
          <w:szCs w:val="28"/>
        </w:rPr>
        <w:t>其中在</w:t>
      </w:r>
      <w:r>
        <w:rPr>
          <w:rFonts w:hint="eastAsia" w:ascii="仿宋_GB2312" w:hAnsi="Times New Roman" w:eastAsia="仿宋_GB2312"/>
          <w:sz w:val="28"/>
          <w:szCs w:val="28"/>
        </w:rPr>
        <w:t>中方县</w:t>
      </w:r>
      <w:r>
        <w:rPr>
          <w:rFonts w:hint="eastAsia" w:ascii="仿宋_GB2312" w:hAnsi="Times New Roman" w:eastAsia="仿宋_GB2312"/>
          <w:color w:val="000000" w:themeColor="text1"/>
          <w:sz w:val="28"/>
          <w:szCs w:val="28"/>
          <w14:textFill>
            <w14:solidFill>
              <w14:schemeClr w14:val="tx1"/>
            </w14:solidFill>
          </w14:textFill>
        </w:rPr>
        <w:t>纳</w:t>
      </w:r>
      <w:r>
        <w:rPr>
          <w:rFonts w:hint="eastAsia" w:ascii="仿宋_GB2312" w:hAnsi="Times New Roman" w:eastAsia="仿宋_GB2312"/>
          <w:sz w:val="28"/>
          <w:szCs w:val="28"/>
        </w:rPr>
        <w:t>税</w:t>
      </w:r>
      <w:r>
        <w:rPr>
          <w:rFonts w:ascii="仿宋_GB2312" w:hAnsi="Times New Roman" w:eastAsia="仿宋_GB2312"/>
          <w:sz w:val="28"/>
          <w:szCs w:val="28"/>
        </w:rPr>
        <w:t>2017.7</w:t>
      </w:r>
      <w:r>
        <w:rPr>
          <w:rFonts w:hint="eastAsia" w:ascii="仿宋_GB2312" w:hAnsi="Times New Roman" w:eastAsia="仿宋_GB2312"/>
          <w:sz w:val="28"/>
          <w:szCs w:val="28"/>
        </w:rPr>
        <w:t>万元。</w:t>
      </w:r>
    </w:p>
    <w:p>
      <w:pPr>
        <w:spacing w:line="460" w:lineRule="exact"/>
        <w:ind w:firstLine="565" w:firstLineChars="202"/>
        <w:rPr>
          <w:rFonts w:ascii="仿宋_GB2312" w:hAnsi="Times New Roman" w:eastAsia="仿宋_GB2312"/>
          <w:sz w:val="28"/>
          <w:szCs w:val="28"/>
        </w:rPr>
      </w:pPr>
      <w:r>
        <w:rPr>
          <w:rFonts w:hint="eastAsia" w:ascii="仿宋_GB2312" w:hAnsi="Times New Roman" w:eastAsia="仿宋_GB2312"/>
          <w:sz w:val="28"/>
          <w:szCs w:val="28"/>
        </w:rPr>
        <w:t>20</w:t>
      </w:r>
      <w:r>
        <w:rPr>
          <w:rFonts w:ascii="仿宋_GB2312" w:hAnsi="Times New Roman" w:eastAsia="仿宋_GB2312"/>
          <w:sz w:val="28"/>
          <w:szCs w:val="28"/>
        </w:rPr>
        <w:t>20</w:t>
      </w:r>
      <w:r>
        <w:rPr>
          <w:rFonts w:hint="eastAsia" w:ascii="仿宋_GB2312" w:hAnsi="Times New Roman" w:eastAsia="仿宋_GB2312"/>
          <w:sz w:val="28"/>
          <w:szCs w:val="28"/>
        </w:rPr>
        <w:t>年，公司申报专利9个，授权专利</w:t>
      </w:r>
      <w:r>
        <w:rPr>
          <w:rFonts w:ascii="仿宋_GB2312" w:hAnsi="Times New Roman" w:eastAsia="仿宋_GB2312"/>
          <w:sz w:val="28"/>
          <w:szCs w:val="28"/>
        </w:rPr>
        <w:t>5</w:t>
      </w:r>
      <w:r>
        <w:rPr>
          <w:rFonts w:hint="eastAsia" w:ascii="仿宋_GB2312" w:hAnsi="Times New Roman" w:eastAsia="仿宋_GB2312"/>
          <w:sz w:val="28"/>
          <w:szCs w:val="28"/>
        </w:rPr>
        <w:t>个，营收约</w:t>
      </w:r>
      <w:r>
        <w:rPr>
          <w:rFonts w:ascii="仿宋_GB2312" w:hAnsi="Times New Roman" w:eastAsia="仿宋_GB2312"/>
          <w:sz w:val="28"/>
          <w:szCs w:val="28"/>
        </w:rPr>
        <w:t>3.92亿</w:t>
      </w:r>
      <w:r>
        <w:rPr>
          <w:rFonts w:hint="eastAsia" w:ascii="仿宋_GB2312" w:hAnsi="Times New Roman" w:eastAsia="仿宋_GB2312"/>
          <w:sz w:val="28"/>
          <w:szCs w:val="28"/>
        </w:rPr>
        <w:t>元，纳税4227万元，其中在中方县纳税2</w:t>
      </w:r>
      <w:r>
        <w:rPr>
          <w:rFonts w:ascii="仿宋_GB2312" w:hAnsi="Times New Roman" w:eastAsia="仿宋_GB2312"/>
          <w:sz w:val="28"/>
          <w:szCs w:val="28"/>
        </w:rPr>
        <w:t>652.4</w:t>
      </w:r>
      <w:r>
        <w:rPr>
          <w:rFonts w:hint="eastAsia" w:ascii="仿宋_GB2312" w:hAnsi="Times New Roman" w:eastAsia="仿宋_GB2312"/>
          <w:sz w:val="28"/>
          <w:szCs w:val="28"/>
        </w:rPr>
        <w:t>。</w:t>
      </w:r>
    </w:p>
    <w:p>
      <w:pPr>
        <w:spacing w:line="460" w:lineRule="exact"/>
        <w:ind w:firstLine="640" w:firstLineChars="200"/>
        <w:rPr>
          <w:rFonts w:ascii="黑体" w:hAnsi="黑体" w:eastAsia="黑体" w:cs="黑体"/>
          <w:bCs/>
          <w:sz w:val="32"/>
          <w:szCs w:val="32"/>
        </w:rPr>
      </w:pPr>
      <w:r>
        <w:rPr>
          <w:rFonts w:hint="eastAsia" w:ascii="黑体" w:hAnsi="黑体" w:eastAsia="黑体" w:cs="黑体"/>
          <w:bCs/>
          <w:sz w:val="32"/>
          <w:szCs w:val="32"/>
        </w:rPr>
        <w:t>四、其他要求</w:t>
      </w:r>
    </w:p>
    <w:p>
      <w:pPr>
        <w:spacing w:line="460" w:lineRule="exact"/>
        <w:ind w:firstLine="560" w:firstLineChars="200"/>
        <w:rPr>
          <w:rFonts w:ascii="仿宋_GB2312" w:hAnsi="Times New Roman" w:eastAsia="仿宋_GB2312"/>
          <w:sz w:val="28"/>
          <w:szCs w:val="28"/>
        </w:rPr>
      </w:pPr>
      <w:r>
        <w:rPr>
          <w:rFonts w:ascii="仿宋_GB2312" w:hAnsi="Times New Roman" w:eastAsia="仿宋_GB2312"/>
          <w:sz w:val="28"/>
          <w:szCs w:val="28"/>
        </w:rPr>
        <w:t>1</w:t>
      </w:r>
      <w:r>
        <w:rPr>
          <w:rFonts w:hint="eastAsia" w:ascii="仿宋_GB2312" w:hAnsi="Times New Roman" w:eastAsia="仿宋_GB2312"/>
          <w:sz w:val="28"/>
          <w:szCs w:val="28"/>
        </w:rPr>
        <w:t>、企业内部管理规范，制度健全，制定了财务管理等制度并严格执行。</w:t>
      </w:r>
    </w:p>
    <w:p>
      <w:pPr>
        <w:spacing w:line="460" w:lineRule="exact"/>
        <w:ind w:firstLine="560" w:firstLineChars="200"/>
        <w:rPr>
          <w:rFonts w:ascii="仿宋" w:eastAsia="仿宋"/>
          <w:sz w:val="32"/>
          <w:szCs w:val="32"/>
        </w:rPr>
      </w:pPr>
      <w:r>
        <w:rPr>
          <w:rFonts w:ascii="仿宋_GB2312" w:hAnsi="Times New Roman" w:eastAsia="仿宋_GB2312"/>
          <w:sz w:val="28"/>
          <w:szCs w:val="28"/>
        </w:rPr>
        <w:t>2</w:t>
      </w:r>
      <w:r>
        <w:rPr>
          <w:rFonts w:hint="eastAsia" w:ascii="仿宋_GB2312" w:hAnsi="Times New Roman" w:eastAsia="仿宋_GB2312"/>
          <w:sz w:val="28"/>
          <w:szCs w:val="28"/>
        </w:rPr>
        <w:t>、企业建有研发准备金制度并经省科技厅备案。企业按照销售</w:t>
      </w:r>
      <w:r>
        <w:rPr>
          <w:rFonts w:ascii="仿宋_GB2312" w:hAnsi="Times New Roman" w:eastAsia="仿宋_GB2312"/>
          <w:sz w:val="28"/>
          <w:szCs w:val="28"/>
        </w:rPr>
        <w:t>收</w:t>
      </w:r>
      <w:r>
        <w:rPr>
          <w:rFonts w:hint="eastAsia" w:ascii="仿宋_GB2312" w:hAnsi="Times New Roman" w:eastAsia="仿宋_GB2312"/>
          <w:sz w:val="28"/>
          <w:szCs w:val="28"/>
        </w:rPr>
        <w:t>入的4</w:t>
      </w:r>
      <w:r>
        <w:rPr>
          <w:rFonts w:ascii="仿宋_GB2312" w:hAnsi="Times New Roman" w:eastAsia="仿宋_GB2312"/>
          <w:sz w:val="28"/>
          <w:szCs w:val="28"/>
        </w:rPr>
        <w:t>.9</w:t>
      </w:r>
      <w:r>
        <w:rPr>
          <w:rFonts w:hint="eastAsia" w:ascii="仿宋_GB2312" w:hAnsi="Times New Roman" w:eastAsia="仿宋_GB2312"/>
          <w:sz w:val="28"/>
          <w:szCs w:val="28"/>
        </w:rPr>
        <w:t>%</w:t>
      </w:r>
      <w:r>
        <w:rPr>
          <w:rFonts w:ascii="仿宋_GB2312" w:hAnsi="Times New Roman" w:eastAsia="仿宋_GB2312"/>
          <w:sz w:val="28"/>
          <w:szCs w:val="28"/>
        </w:rPr>
        <w:t>的</w:t>
      </w:r>
      <w:r>
        <w:rPr>
          <w:rFonts w:hint="eastAsia" w:ascii="仿宋_GB2312" w:hAnsi="Times New Roman" w:eastAsia="仿宋_GB2312"/>
          <w:sz w:val="28"/>
          <w:szCs w:val="28"/>
        </w:rPr>
        <w:t>方式计提研发准备金，</w:t>
      </w:r>
      <w:r>
        <w:rPr>
          <w:rFonts w:ascii="仿宋_GB2312" w:hAnsi="Times New Roman" w:eastAsia="仿宋_GB2312"/>
          <w:sz w:val="28"/>
          <w:szCs w:val="28"/>
        </w:rPr>
        <w:t>2020</w:t>
      </w:r>
      <w:r>
        <w:rPr>
          <w:rFonts w:hint="eastAsia" w:ascii="仿宋_GB2312" w:hAnsi="Times New Roman" w:eastAsia="仿宋_GB2312"/>
          <w:sz w:val="28"/>
          <w:szCs w:val="28"/>
        </w:rPr>
        <w:t>年企业研发经费投入达到</w:t>
      </w:r>
      <w:r>
        <w:rPr>
          <w:rFonts w:ascii="仿宋_GB2312" w:hAnsi="Times New Roman" w:eastAsia="仿宋_GB2312"/>
          <w:sz w:val="28"/>
          <w:szCs w:val="28"/>
        </w:rPr>
        <w:t>1813</w:t>
      </w:r>
      <w:r>
        <w:rPr>
          <w:rFonts w:hint="eastAsia" w:ascii="仿宋_GB2312" w:hAnsi="Times New Roman" w:eastAsia="仿宋_GB2312"/>
          <w:sz w:val="28"/>
          <w:szCs w:val="28"/>
        </w:rPr>
        <w:t>万元。</w:t>
      </w:r>
      <w:r>
        <w:rPr>
          <w:rFonts w:ascii="仿宋_GB2312" w:hAnsi="Times New Roman" w:eastAsia="仿宋_GB2312"/>
          <w:sz w:val="28"/>
          <w:szCs w:val="28"/>
        </w:rPr>
        <w:br w:type="textWrapping"/>
      </w:r>
    </w:p>
    <w:p>
      <w:pPr>
        <w:pStyle w:val="8"/>
        <w:spacing w:line="560" w:lineRule="exact"/>
        <w:ind w:firstLine="4480" w:firstLineChars="1400"/>
        <w:rPr>
          <w:rFonts w:ascii="仿宋" w:eastAsia="仿宋"/>
          <w:sz w:val="32"/>
          <w:szCs w:val="32"/>
        </w:rPr>
      </w:pPr>
      <w:r>
        <w:rPr>
          <w:rFonts w:hint="eastAsia" w:ascii="仿宋" w:eastAsia="仿宋"/>
          <w:sz w:val="32"/>
          <w:szCs w:val="32"/>
        </w:rPr>
        <w:t>202</w:t>
      </w:r>
      <w:r>
        <w:rPr>
          <w:rFonts w:ascii="仿宋" w:eastAsia="仿宋"/>
          <w:sz w:val="32"/>
          <w:szCs w:val="32"/>
        </w:rPr>
        <w:t>1</w:t>
      </w:r>
      <w:r>
        <w:rPr>
          <w:rFonts w:hint="eastAsia" w:ascii="仿宋" w:eastAsia="仿宋"/>
          <w:sz w:val="32"/>
          <w:szCs w:val="32"/>
        </w:rPr>
        <w:t>年</w:t>
      </w:r>
      <w:r>
        <w:rPr>
          <w:rFonts w:ascii="仿宋" w:eastAsia="仿宋"/>
          <w:sz w:val="32"/>
          <w:szCs w:val="32"/>
        </w:rPr>
        <w:t>7</w:t>
      </w:r>
      <w:r>
        <w:rPr>
          <w:rFonts w:hint="eastAsia" w:ascii="仿宋" w:eastAsia="仿宋"/>
          <w:sz w:val="32"/>
          <w:szCs w:val="32"/>
        </w:rPr>
        <w:t>月</w:t>
      </w:r>
      <w:r>
        <w:rPr>
          <w:rFonts w:ascii="仿宋" w:eastAsia="仿宋"/>
          <w:sz w:val="32"/>
          <w:szCs w:val="32"/>
        </w:rPr>
        <w:t>26</w:t>
      </w:r>
      <w:r>
        <w:rPr>
          <w:rFonts w:hint="eastAsia" w:ascii="仿宋" w:eastAsia="仿宋"/>
          <w:sz w:val="32"/>
          <w:szCs w:val="32"/>
        </w:rPr>
        <w:t>日</w:t>
      </w:r>
    </w:p>
    <w:p>
      <w:pPr>
        <w:pStyle w:val="8"/>
        <w:spacing w:line="560" w:lineRule="exact"/>
        <w:ind w:firstLine="4480" w:firstLineChars="1400"/>
        <w:rPr>
          <w:rFonts w:ascii="仿宋" w:eastAsia="仿宋"/>
          <w:sz w:val="32"/>
          <w:szCs w:val="32"/>
        </w:rPr>
      </w:pPr>
    </w:p>
    <w:tbl>
      <w:tblPr>
        <w:tblStyle w:val="5"/>
        <w:tblW w:w="9080" w:type="dxa"/>
        <w:jc w:val="center"/>
        <w:tblLayout w:type="fixed"/>
        <w:tblCellMar>
          <w:top w:w="0" w:type="dxa"/>
          <w:left w:w="108" w:type="dxa"/>
          <w:bottom w:w="0" w:type="dxa"/>
          <w:right w:w="108" w:type="dxa"/>
        </w:tblCellMar>
      </w:tblPr>
      <w:tblGrid>
        <w:gridCol w:w="588"/>
        <w:gridCol w:w="980"/>
        <w:gridCol w:w="1112"/>
        <w:gridCol w:w="730"/>
        <w:gridCol w:w="1126"/>
        <w:gridCol w:w="8"/>
        <w:gridCol w:w="134"/>
        <w:gridCol w:w="992"/>
        <w:gridCol w:w="284"/>
        <w:gridCol w:w="709"/>
        <w:gridCol w:w="149"/>
        <w:gridCol w:w="418"/>
        <w:gridCol w:w="291"/>
        <w:gridCol w:w="276"/>
        <w:gridCol w:w="575"/>
        <w:gridCol w:w="708"/>
      </w:tblGrid>
      <w:tr>
        <w:tblPrEx>
          <w:tblCellMar>
            <w:top w:w="0" w:type="dxa"/>
            <w:left w:w="108" w:type="dxa"/>
            <w:bottom w:w="0" w:type="dxa"/>
            <w:right w:w="108" w:type="dxa"/>
          </w:tblCellMar>
        </w:tblPrEx>
        <w:trPr>
          <w:trHeight w:val="349" w:hRule="exact"/>
          <w:jc w:val="center"/>
        </w:trPr>
        <w:tc>
          <w:tcPr>
            <w:tcW w:w="9080" w:type="dxa"/>
            <w:gridSpan w:val="16"/>
            <w:tcBorders>
              <w:top w:val="nil"/>
              <w:left w:val="nil"/>
              <w:bottom w:val="nil"/>
              <w:right w:val="nil"/>
            </w:tcBorders>
            <w:vAlign w:val="center"/>
          </w:tcPr>
          <w:p>
            <w:pPr>
              <w:widowControl/>
              <w:spacing w:line="320" w:lineRule="exact"/>
              <w:jc w:val="center"/>
              <w:rPr>
                <w:rFonts w:ascii="Times New Roman" w:hAnsi="Times New Roman"/>
                <w:b/>
                <w:bCs/>
                <w:kern w:val="0"/>
                <w:sz w:val="32"/>
                <w:szCs w:val="32"/>
              </w:rPr>
            </w:pPr>
            <w:r>
              <w:rPr>
                <w:rFonts w:ascii="Times New Roman" w:hAnsi="Times New Roman"/>
                <w:b/>
                <w:bCs/>
                <w:kern w:val="0"/>
                <w:sz w:val="32"/>
                <w:szCs w:val="32"/>
              </w:rPr>
              <w:t>项目支出绩效自评表</w:t>
            </w:r>
          </w:p>
        </w:tc>
      </w:tr>
      <w:tr>
        <w:tblPrEx>
          <w:tblCellMar>
            <w:top w:w="0" w:type="dxa"/>
            <w:left w:w="108" w:type="dxa"/>
            <w:bottom w:w="0" w:type="dxa"/>
            <w:right w:w="108" w:type="dxa"/>
          </w:tblCellMar>
        </w:tblPrEx>
        <w:trPr>
          <w:trHeight w:val="201" w:hRule="atLeast"/>
          <w:jc w:val="center"/>
        </w:trPr>
        <w:tc>
          <w:tcPr>
            <w:tcW w:w="9080" w:type="dxa"/>
            <w:gridSpan w:val="16"/>
            <w:tcBorders>
              <w:top w:val="nil"/>
              <w:left w:val="nil"/>
              <w:bottom w:val="nil"/>
              <w:right w:val="nil"/>
            </w:tcBorders>
          </w:tcPr>
          <w:p>
            <w:pPr>
              <w:widowControl/>
              <w:jc w:val="center"/>
              <w:rPr>
                <w:rFonts w:ascii="Times New Roman" w:hAnsi="Times New Roman"/>
                <w:kern w:val="0"/>
                <w:sz w:val="22"/>
              </w:rPr>
            </w:pPr>
            <w:r>
              <w:rPr>
                <w:rFonts w:ascii="Times New Roman" w:hAnsi="Times New Roman"/>
                <w:kern w:val="0"/>
                <w:sz w:val="22"/>
              </w:rPr>
              <w:t>（2020年度）</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201</w:t>
            </w:r>
            <w:r>
              <w:rPr>
                <w:rFonts w:ascii="Times New Roman" w:hAnsi="Times New Roman"/>
                <w:kern w:val="0"/>
                <w:sz w:val="18"/>
                <w:szCs w:val="18"/>
              </w:rPr>
              <w:t>9</w:t>
            </w:r>
            <w:r>
              <w:rPr>
                <w:rFonts w:hint="eastAsia" w:ascii="Times New Roman" w:hAnsi="Times New Roman"/>
                <w:kern w:val="0"/>
                <w:sz w:val="18"/>
                <w:szCs w:val="18"/>
              </w:rPr>
              <w:t>年高质量发展奖励资金</w:t>
            </w:r>
          </w:p>
        </w:tc>
      </w:tr>
      <w:tr>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2968" w:type="dxa"/>
            <w:gridSpan w:val="3"/>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中方县财政局</w:t>
            </w:r>
          </w:p>
        </w:tc>
        <w:tc>
          <w:tcPr>
            <w:tcW w:w="1418" w:type="dxa"/>
            <w:gridSpan w:val="4"/>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312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湖南中铁五新钢模有限责任公司</w:t>
            </w:r>
          </w:p>
        </w:tc>
      </w:tr>
      <w:tr>
        <w:tblPrEx>
          <w:tblCellMar>
            <w:top w:w="0" w:type="dxa"/>
            <w:left w:w="108" w:type="dxa"/>
            <w:bottom w:w="0" w:type="dxa"/>
            <w:right w:w="108" w:type="dxa"/>
          </w:tblCellMar>
        </w:tblPrEx>
        <w:trPr>
          <w:trHeight w:val="603"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type="textWrapping"/>
            </w:r>
            <w:r>
              <w:rPr>
                <w:rFonts w:ascii="Times New Roman" w:hAnsi="Times New Roman"/>
                <w:kern w:val="0"/>
                <w:sz w:val="18"/>
                <w:szCs w:val="18"/>
              </w:rPr>
              <w:t>（万元）</w:t>
            </w: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10"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（A）</w:t>
            </w:r>
          </w:p>
        </w:tc>
        <w:tc>
          <w:tcPr>
            <w:tcW w:w="8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（B）</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（B/A)</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451.67</w:t>
            </w:r>
          </w:p>
        </w:tc>
        <w:tc>
          <w:tcPr>
            <w:tcW w:w="1410" w:type="dxa"/>
            <w:gridSpan w:val="3"/>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451.67</w:t>
            </w:r>
          </w:p>
        </w:tc>
        <w:tc>
          <w:tcPr>
            <w:tcW w:w="858"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451.67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451.67</w:t>
            </w:r>
          </w:p>
        </w:tc>
        <w:tc>
          <w:tcPr>
            <w:tcW w:w="1410"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451.67</w:t>
            </w:r>
          </w:p>
        </w:tc>
        <w:tc>
          <w:tcPr>
            <w:tcW w:w="8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lang w:val="en-US" w:eastAsia="zh-CN"/>
              </w:rPr>
              <w:t>451.67</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上年结转资金</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410"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8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842"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其他资金</w:t>
            </w:r>
          </w:p>
        </w:tc>
        <w:tc>
          <w:tcPr>
            <w:tcW w:w="1134"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1410" w:type="dxa"/>
            <w:gridSpan w:val="3"/>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858"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0</w:t>
            </w:r>
          </w:p>
        </w:tc>
        <w:tc>
          <w:tcPr>
            <w:tcW w:w="709"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708"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66" w:type="dxa"/>
            <w:gridSpan w:val="8"/>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126" w:type="dxa"/>
            <w:gridSpan w:val="7"/>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tblPrEx>
          <w:tblCellMar>
            <w:top w:w="0" w:type="dxa"/>
            <w:left w:w="108" w:type="dxa"/>
            <w:bottom w:w="0" w:type="dxa"/>
            <w:right w:w="108" w:type="dxa"/>
          </w:tblCellMar>
        </w:tblPrEx>
        <w:trPr>
          <w:trHeight w:val="1084" w:hRule="exact"/>
          <w:jc w:val="center"/>
        </w:trPr>
        <w:tc>
          <w:tcPr>
            <w:tcW w:w="588"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366" w:type="dxa"/>
            <w:gridSpan w:val="8"/>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hint="eastAsia" w:ascii="Times New Roman" w:hAnsi="Times New Roman"/>
                <w:kern w:val="0"/>
                <w:sz w:val="18"/>
                <w:szCs w:val="18"/>
              </w:rPr>
              <w:t>201</w:t>
            </w:r>
            <w:r>
              <w:rPr>
                <w:rFonts w:ascii="Times New Roman" w:hAnsi="Times New Roman"/>
                <w:kern w:val="0"/>
                <w:sz w:val="18"/>
                <w:szCs w:val="18"/>
              </w:rPr>
              <w:t>9</w:t>
            </w:r>
            <w:r>
              <w:rPr>
                <w:rFonts w:hint="eastAsia" w:ascii="Times New Roman" w:hAnsi="Times New Roman"/>
                <w:kern w:val="0"/>
                <w:sz w:val="18"/>
                <w:szCs w:val="18"/>
              </w:rPr>
              <w:t>年公司营收4</w:t>
            </w:r>
            <w:r>
              <w:rPr>
                <w:rFonts w:ascii="Times New Roman" w:hAnsi="Times New Roman"/>
                <w:kern w:val="0"/>
                <w:sz w:val="18"/>
                <w:szCs w:val="18"/>
              </w:rPr>
              <w:t>亿元以上</w:t>
            </w:r>
            <w:r>
              <w:rPr>
                <w:rFonts w:hint="eastAsia" w:ascii="Times New Roman" w:hAnsi="Times New Roman"/>
                <w:kern w:val="0"/>
                <w:sz w:val="18"/>
                <w:szCs w:val="18"/>
              </w:rPr>
              <w:t>，</w:t>
            </w:r>
            <w:r>
              <w:rPr>
                <w:rFonts w:ascii="Times New Roman" w:hAnsi="Times New Roman"/>
                <w:kern w:val="0"/>
                <w:sz w:val="18"/>
                <w:szCs w:val="18"/>
              </w:rPr>
              <w:t>纳税2000万元以上</w:t>
            </w:r>
            <w:r>
              <w:rPr>
                <w:rFonts w:hint="eastAsia" w:ascii="Times New Roman" w:hAnsi="Times New Roman"/>
                <w:kern w:val="0"/>
                <w:sz w:val="18"/>
                <w:szCs w:val="18"/>
              </w:rPr>
              <w:t>。</w:t>
            </w:r>
          </w:p>
        </w:tc>
        <w:tc>
          <w:tcPr>
            <w:tcW w:w="3126" w:type="dxa"/>
            <w:gridSpan w:val="7"/>
            <w:tcBorders>
              <w:top w:val="single" w:color="auto" w:sz="4" w:space="0"/>
              <w:left w:val="nil"/>
              <w:bottom w:val="single" w:color="auto" w:sz="4" w:space="0"/>
              <w:right w:val="single" w:color="auto" w:sz="4" w:space="0"/>
            </w:tcBorders>
            <w:vAlign w:val="center"/>
          </w:tcPr>
          <w:p>
            <w:pPr>
              <w:widowControl/>
              <w:spacing w:line="240" w:lineRule="exact"/>
              <w:rPr>
                <w:rFonts w:ascii="Times New Roman" w:hAnsi="Times New Roman"/>
                <w:kern w:val="0"/>
                <w:sz w:val="18"/>
                <w:szCs w:val="18"/>
              </w:rPr>
            </w:pPr>
            <w:r>
              <w:rPr>
                <w:rFonts w:hint="eastAsia" w:ascii="Times New Roman" w:hAnsi="Times New Roman"/>
                <w:kern w:val="0"/>
                <w:sz w:val="18"/>
                <w:szCs w:val="18"/>
              </w:rPr>
              <w:t>20</w:t>
            </w:r>
            <w:r>
              <w:rPr>
                <w:rFonts w:ascii="Times New Roman" w:hAnsi="Times New Roman"/>
                <w:kern w:val="0"/>
                <w:sz w:val="18"/>
                <w:szCs w:val="18"/>
              </w:rPr>
              <w:t>19</w:t>
            </w:r>
            <w:r>
              <w:rPr>
                <w:rFonts w:hint="eastAsia" w:ascii="Times New Roman" w:hAnsi="Times New Roman"/>
                <w:kern w:val="0"/>
                <w:sz w:val="18"/>
                <w:szCs w:val="18"/>
              </w:rPr>
              <w:t>年公司营收4</w:t>
            </w:r>
            <w:r>
              <w:rPr>
                <w:rFonts w:ascii="Times New Roman" w:hAnsi="Times New Roman"/>
                <w:kern w:val="0"/>
                <w:sz w:val="18"/>
                <w:szCs w:val="18"/>
              </w:rPr>
              <w:t>.66亿元</w:t>
            </w:r>
            <w:r>
              <w:rPr>
                <w:rFonts w:hint="eastAsia" w:ascii="Times New Roman" w:hAnsi="Times New Roman"/>
                <w:kern w:val="0"/>
                <w:sz w:val="18"/>
                <w:szCs w:val="18"/>
              </w:rPr>
              <w:t>，</w:t>
            </w:r>
            <w:r>
              <w:rPr>
                <w:rFonts w:ascii="Times New Roman" w:hAnsi="Times New Roman"/>
                <w:kern w:val="0"/>
                <w:sz w:val="18"/>
                <w:szCs w:val="18"/>
              </w:rPr>
              <w:t>纳税</w:t>
            </w:r>
            <w:r>
              <w:rPr>
                <w:rFonts w:hint="eastAsia" w:ascii="Times New Roman" w:hAnsi="Times New Roman"/>
                <w:kern w:val="0"/>
                <w:sz w:val="18"/>
                <w:szCs w:val="18"/>
              </w:rPr>
              <w:t>2</w:t>
            </w:r>
            <w:r>
              <w:rPr>
                <w:rFonts w:ascii="Times New Roman" w:hAnsi="Times New Roman"/>
                <w:kern w:val="0"/>
                <w:sz w:val="18"/>
                <w:szCs w:val="18"/>
              </w:rPr>
              <w:t>126万元</w:t>
            </w:r>
            <w:r>
              <w:rPr>
                <w:rFonts w:hint="eastAsia" w:ascii="Times New Roman" w:hAnsi="Times New Roman"/>
                <w:kern w:val="0"/>
                <w:sz w:val="18"/>
                <w:szCs w:val="18"/>
              </w:rPr>
              <w:t>。2</w:t>
            </w:r>
            <w:r>
              <w:rPr>
                <w:rFonts w:ascii="Times New Roman" w:hAnsi="Times New Roman"/>
                <w:kern w:val="0"/>
                <w:sz w:val="18"/>
                <w:szCs w:val="18"/>
              </w:rPr>
              <w:t>020年，公司营收</w:t>
            </w:r>
            <w:r>
              <w:rPr>
                <w:rFonts w:hint="eastAsia" w:ascii="Times New Roman" w:hAnsi="Times New Roman"/>
                <w:kern w:val="0"/>
                <w:sz w:val="18"/>
                <w:szCs w:val="18"/>
              </w:rPr>
              <w:t>3</w:t>
            </w:r>
            <w:r>
              <w:rPr>
                <w:rFonts w:ascii="Times New Roman" w:hAnsi="Times New Roman"/>
                <w:kern w:val="0"/>
                <w:sz w:val="18"/>
                <w:szCs w:val="18"/>
              </w:rPr>
              <w:t>.92亿元</w:t>
            </w:r>
            <w:r>
              <w:rPr>
                <w:rFonts w:hint="eastAsia" w:ascii="Times New Roman" w:hAnsi="Times New Roman"/>
                <w:kern w:val="0"/>
                <w:sz w:val="18"/>
                <w:szCs w:val="18"/>
              </w:rPr>
              <w:t>，</w:t>
            </w:r>
            <w:r>
              <w:rPr>
                <w:rFonts w:ascii="Times New Roman" w:hAnsi="Times New Roman"/>
                <w:color w:val="FF0000"/>
                <w:kern w:val="0"/>
                <w:sz w:val="18"/>
                <w:szCs w:val="18"/>
              </w:rPr>
              <w:t>纳税</w:t>
            </w:r>
          </w:p>
        </w:tc>
      </w:tr>
      <w:tr>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type="textWrapping"/>
            </w:r>
            <w:r>
              <w:rPr>
                <w:rFonts w:ascii="Times New Roman" w:hAnsi="Times New Roman"/>
                <w:kern w:val="0"/>
                <w:sz w:val="18"/>
                <w:szCs w:val="18"/>
              </w:rPr>
              <w:t>效</w:t>
            </w:r>
            <w:r>
              <w:rPr>
                <w:rFonts w:ascii="Times New Roman" w:hAnsi="Times New Roman"/>
                <w:kern w:val="0"/>
                <w:sz w:val="18"/>
                <w:szCs w:val="18"/>
              </w:rPr>
              <w:br w:type="textWrapping"/>
            </w:r>
            <w:r>
              <w:rPr>
                <w:rFonts w:ascii="Times New Roman" w:hAnsi="Times New Roman"/>
                <w:kern w:val="0"/>
                <w:sz w:val="18"/>
                <w:szCs w:val="18"/>
              </w:rPr>
              <w:t>指</w:t>
            </w:r>
            <w:r>
              <w:rPr>
                <w:rFonts w:ascii="Times New Roman" w:hAnsi="Times New Roman"/>
                <w:kern w:val="0"/>
                <w:sz w:val="18"/>
                <w:szCs w:val="18"/>
              </w:rPr>
              <w:br w:type="textWrapping"/>
            </w:r>
            <w:r>
              <w:rPr>
                <w:rFonts w:ascii="Times New Roman" w:hAnsi="Times New Roman"/>
                <w:kern w:val="0"/>
                <w:sz w:val="18"/>
                <w:szCs w:val="18"/>
              </w:rPr>
              <w:t>标</w:t>
            </w:r>
          </w:p>
        </w:tc>
        <w:tc>
          <w:tcPr>
            <w:tcW w:w="980"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指标1：新产品</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5</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指标1：专利授权</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r>
              <w:rPr>
                <w:rFonts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r>
              <w:rPr>
                <w:rFonts w:ascii="Times New Roman" w:hAnsi="Times New Roman"/>
                <w:kern w:val="0"/>
                <w:sz w:val="18"/>
                <w:szCs w:val="18"/>
              </w:rPr>
              <w:t>5</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专项</w:t>
            </w:r>
            <w:r>
              <w:rPr>
                <w:rFonts w:ascii="Times New Roman" w:hAnsi="Times New Roman"/>
                <w:color w:val="000000"/>
                <w:kern w:val="0"/>
                <w:sz w:val="18"/>
                <w:szCs w:val="18"/>
              </w:rPr>
              <w:t>资金到位</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451.67</w:t>
            </w: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hint="default" w:ascii="Times New Roman" w:hAnsi="Times New Roman" w:eastAsia="宋体"/>
                <w:kern w:val="0"/>
                <w:sz w:val="18"/>
                <w:szCs w:val="18"/>
                <w:lang w:val="en-US" w:eastAsia="zh-CN"/>
              </w:rPr>
            </w:pPr>
            <w:r>
              <w:rPr>
                <w:rFonts w:hint="eastAsia" w:ascii="Times New Roman" w:hAnsi="Times New Roman"/>
                <w:kern w:val="0"/>
                <w:sz w:val="18"/>
                <w:szCs w:val="18"/>
                <w:lang w:val="en-US" w:eastAsia="zh-CN"/>
              </w:rPr>
              <w:t>451.67</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(30分)</w:t>
            </w: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r>
              <w:rPr>
                <w:rFonts w:hint="eastAsia" w:ascii="Times New Roman" w:hAnsi="Times New Roman"/>
                <w:color w:val="000000"/>
                <w:kern w:val="0"/>
                <w:sz w:val="18"/>
                <w:szCs w:val="18"/>
              </w:rPr>
              <w:t>产值</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4</w:t>
            </w:r>
            <w:r>
              <w:rPr>
                <w:rFonts w:hint="eastAsia" w:ascii="Times New Roman" w:hAnsi="Times New Roman"/>
                <w:kern w:val="0"/>
                <w:sz w:val="18"/>
                <w:szCs w:val="18"/>
              </w:rPr>
              <w:t>00</w:t>
            </w:r>
            <w:r>
              <w:rPr>
                <w:rFonts w:ascii="Times New Roman" w:hAnsi="Times New Roman"/>
                <w:kern w:val="0"/>
                <w:sz w:val="18"/>
                <w:szCs w:val="18"/>
              </w:rPr>
              <w:t>0</w:t>
            </w:r>
            <w:r>
              <w:rPr>
                <w:rFonts w:hint="eastAsia" w:ascii="Times New Roman" w:hAnsi="Times New Roman"/>
                <w:kern w:val="0"/>
                <w:sz w:val="18"/>
                <w:szCs w:val="18"/>
              </w:rPr>
              <w:t>0万</w:t>
            </w: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466</w:t>
            </w:r>
            <w:r>
              <w:rPr>
                <w:rFonts w:hint="eastAsia" w:ascii="Times New Roman" w:hAnsi="Times New Roman"/>
                <w:kern w:val="0"/>
                <w:sz w:val="18"/>
                <w:szCs w:val="18"/>
              </w:rPr>
              <w:t>00万万</w:t>
            </w:r>
            <w:r>
              <w:rPr>
                <w:rFonts w:ascii="Times New Roman" w:hAnsi="Times New Roman"/>
                <w:kern w:val="0"/>
                <w:sz w:val="18"/>
                <w:szCs w:val="18"/>
              </w:rPr>
              <w:t>元</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5</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指标2：税收</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r>
              <w:rPr>
                <w:rFonts w:ascii="Times New Roman" w:hAnsi="Times New Roman"/>
                <w:kern w:val="0"/>
                <w:sz w:val="18"/>
                <w:szCs w:val="18"/>
              </w:rPr>
              <w:t>000万</w:t>
            </w: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2</w:t>
            </w:r>
            <w:r>
              <w:rPr>
                <w:rFonts w:ascii="Times New Roman" w:hAnsi="Times New Roman"/>
                <w:kern w:val="0"/>
                <w:sz w:val="18"/>
                <w:szCs w:val="18"/>
              </w:rPr>
              <w:t>126万</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5</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restart"/>
            <w:tcBorders>
              <w:top w:val="single" w:color="auto" w:sz="4" w:space="0"/>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(10分)</w:t>
            </w:r>
          </w:p>
        </w:tc>
        <w:tc>
          <w:tcPr>
            <w:tcW w:w="111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指标1：服务满意度</w:t>
            </w:r>
          </w:p>
        </w:tc>
        <w:tc>
          <w:tcPr>
            <w:tcW w:w="992"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100</w:t>
            </w:r>
            <w:r>
              <w:rPr>
                <w:rFonts w:hint="eastAsia" w:ascii="Times New Roman" w:hAnsi="Times New Roman"/>
                <w:kern w:val="0"/>
                <w:sz w:val="18"/>
                <w:szCs w:val="18"/>
              </w:rPr>
              <w:t>%</w:t>
            </w:r>
          </w:p>
        </w:tc>
        <w:tc>
          <w:tcPr>
            <w:tcW w:w="99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00</w:t>
            </w:r>
            <w:r>
              <w:rPr>
                <w:rFonts w:hint="eastAsia" w:ascii="Times New Roman" w:hAnsi="Times New Roman"/>
                <w:kern w:val="0"/>
                <w:sz w:val="18"/>
                <w:szCs w:val="18"/>
              </w:rPr>
              <w:t>%</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567"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ascii="Times New Roman" w:hAnsi="Times New Roman"/>
                <w:kern w:val="0"/>
                <w:sz w:val="18"/>
                <w:szCs w:val="18"/>
              </w:rPr>
              <w:t>5</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指标2：技术人满意度</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00</w:t>
            </w:r>
            <w:r>
              <w:rPr>
                <w:rFonts w:hint="eastAsia" w:ascii="Times New Roman" w:hAnsi="Times New Roman"/>
                <w:kern w:val="0"/>
                <w:sz w:val="18"/>
                <w:szCs w:val="18"/>
              </w:rPr>
              <w:t>%</w:t>
            </w: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1</w:t>
            </w:r>
            <w:r>
              <w:rPr>
                <w:rFonts w:ascii="Times New Roman" w:hAnsi="Times New Roman"/>
                <w:kern w:val="0"/>
                <w:sz w:val="18"/>
                <w:szCs w:val="18"/>
              </w:rPr>
              <w:t>00</w:t>
            </w:r>
            <w:r>
              <w:rPr>
                <w:rFonts w:hint="eastAsia" w:ascii="Times New Roman" w:hAnsi="Times New Roman"/>
                <w:kern w:val="0"/>
                <w:sz w:val="18"/>
                <w:szCs w:val="18"/>
              </w:rPr>
              <w:t>%</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r>
              <w:rPr>
                <w:rFonts w:hint="eastAsia" w:ascii="Times New Roman" w:hAnsi="Times New Roman"/>
                <w:kern w:val="0"/>
                <w:sz w:val="18"/>
                <w:szCs w:val="18"/>
              </w:rPr>
              <w:t>5</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588"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80" w:type="dxa"/>
            <w:vMerge w:val="continue"/>
            <w:tcBorders>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112"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998" w:type="dxa"/>
            <w:gridSpan w:val="4"/>
            <w:tcBorders>
              <w:top w:val="single" w:color="auto" w:sz="4" w:space="0"/>
              <w:left w:val="nil"/>
              <w:bottom w:val="single" w:color="auto" w:sz="4" w:space="0"/>
              <w:right w:val="single" w:color="auto" w:sz="4" w:space="0"/>
            </w:tcBorders>
            <w:vAlign w:val="center"/>
          </w:tcPr>
          <w:p>
            <w:pPr>
              <w:widowControl/>
              <w:spacing w:line="240" w:lineRule="exact"/>
              <w:jc w:val="left"/>
              <w:rPr>
                <w:rFonts w:ascii="Times New Roman" w:hAnsi="Times New Roman"/>
                <w:color w:val="000000"/>
                <w:kern w:val="0"/>
                <w:sz w:val="18"/>
                <w:szCs w:val="18"/>
              </w:rPr>
            </w:pPr>
            <w:r>
              <w:rPr>
                <w:rFonts w:ascii="Times New Roman" w:hAnsi="Times New Roman"/>
                <w:color w:val="000000"/>
                <w:kern w:val="0"/>
                <w:sz w:val="18"/>
                <w:szCs w:val="18"/>
              </w:rPr>
              <w:t>……</w:t>
            </w:r>
          </w:p>
        </w:tc>
        <w:tc>
          <w:tcPr>
            <w:tcW w:w="992" w:type="dxa"/>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993"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r>
        <w:tblPrEx>
          <w:tblCellMar>
            <w:top w:w="0" w:type="dxa"/>
            <w:left w:w="108" w:type="dxa"/>
            <w:bottom w:w="0" w:type="dxa"/>
            <w:right w:w="108" w:type="dxa"/>
          </w:tblCellMar>
        </w:tblPrEx>
        <w:trPr>
          <w:trHeight w:val="300" w:hRule="exact"/>
          <w:jc w:val="center"/>
        </w:trPr>
        <w:tc>
          <w:tcPr>
            <w:tcW w:w="6663" w:type="dxa"/>
            <w:gridSpan w:val="10"/>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567" w:type="dxa"/>
            <w:gridSpan w:val="2"/>
            <w:tcBorders>
              <w:top w:val="nil"/>
              <w:left w:val="nil"/>
              <w:bottom w:val="single" w:color="auto" w:sz="4" w:space="0"/>
              <w:right w:val="single" w:color="auto" w:sz="4" w:space="0"/>
            </w:tcBorders>
            <w:vAlign w:val="center"/>
          </w:tcPr>
          <w:p>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100</w:t>
            </w:r>
          </w:p>
        </w:tc>
        <w:tc>
          <w:tcPr>
            <w:tcW w:w="1283"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Times New Roman" w:hAnsi="Times New Roman"/>
                <w:kern w:val="0"/>
                <w:sz w:val="18"/>
                <w:szCs w:val="18"/>
              </w:rPr>
            </w:pPr>
          </w:p>
        </w:tc>
      </w:tr>
    </w:tbl>
    <w:p>
      <w:pPr>
        <w:pStyle w:val="8"/>
        <w:spacing w:line="560" w:lineRule="exact"/>
        <w:ind w:firstLine="4480" w:firstLineChars="1400"/>
        <w:rPr>
          <w:rFonts w:ascii="仿宋" w:eastAsia="仿宋"/>
          <w:sz w:val="32"/>
          <w:szCs w:val="32"/>
        </w:rPr>
      </w:pPr>
    </w:p>
    <w:p>
      <w:pPr>
        <w:sectPr>
          <w:pgSz w:w="11906" w:h="16838"/>
          <w:pgMar w:top="1531" w:right="1531" w:bottom="1531" w:left="1531" w:header="851" w:footer="992" w:gutter="0"/>
          <w:cols w:space="425" w:num="1"/>
          <w:docGrid w:type="lines" w:linePitch="312" w:charSpace="0"/>
        </w:sectPr>
      </w:pPr>
    </w:p>
    <w:p>
      <w:pPr>
        <w:pStyle w:val="2"/>
        <w:spacing w:before="0" w:after="0" w:line="240" w:lineRule="auto"/>
        <w:jc w:val="center"/>
        <w:rPr>
          <w:rFonts w:ascii="Times New Roman" w:hAnsi="Times New Roman" w:eastAsia="宋体"/>
          <w:bCs/>
          <w:color w:val="000000"/>
          <w:sz w:val="36"/>
          <w:szCs w:val="28"/>
        </w:rPr>
      </w:pPr>
      <w:r>
        <w:rPr>
          <w:rFonts w:ascii="Times New Roman" w:hAnsi="Times New Roman" w:eastAsia="宋体"/>
          <w:bCs/>
          <w:color w:val="000000"/>
          <w:sz w:val="36"/>
          <w:szCs w:val="28"/>
        </w:rPr>
        <w:t>项目支出绩效评价共性指标表</w:t>
      </w:r>
    </w:p>
    <w:tbl>
      <w:tblPr>
        <w:tblStyle w:val="5"/>
        <w:tblW w:w="12589"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682"/>
        <w:gridCol w:w="709"/>
        <w:gridCol w:w="1134"/>
        <w:gridCol w:w="567"/>
        <w:gridCol w:w="2835"/>
        <w:gridCol w:w="6096"/>
        <w:gridCol w:w="5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682"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一级指标</w:t>
            </w:r>
          </w:p>
        </w:tc>
        <w:tc>
          <w:tcPr>
            <w:tcW w:w="709"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二级指标</w:t>
            </w:r>
          </w:p>
        </w:tc>
        <w:tc>
          <w:tcPr>
            <w:tcW w:w="1134"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三级指标</w:t>
            </w:r>
          </w:p>
        </w:tc>
        <w:tc>
          <w:tcPr>
            <w:tcW w:w="567" w:type="dxa"/>
            <w:shd w:val="clear" w:color="auto" w:fill="FFFFFF"/>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分</w:t>
            </w:r>
          </w:p>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值</w:t>
            </w:r>
          </w:p>
        </w:tc>
        <w:tc>
          <w:tcPr>
            <w:tcW w:w="2835"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指标解释</w:t>
            </w:r>
          </w:p>
        </w:tc>
        <w:tc>
          <w:tcPr>
            <w:tcW w:w="609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指标说明</w:t>
            </w:r>
          </w:p>
        </w:tc>
        <w:tc>
          <w:tcPr>
            <w:tcW w:w="566" w:type="dxa"/>
            <w:shd w:val="clear" w:color="auto" w:fill="FFFFFF"/>
            <w:vAlign w:val="center"/>
          </w:tcPr>
          <w:p>
            <w:pPr>
              <w:widowControl/>
              <w:spacing w:line="0" w:lineRule="atLeast"/>
              <w:jc w:val="center"/>
              <w:rPr>
                <w:rFonts w:ascii="Times New Roman" w:hAnsi="Times New Roman"/>
                <w:b/>
                <w:bCs/>
                <w:color w:val="000000"/>
                <w:kern w:val="0"/>
                <w:sz w:val="22"/>
              </w:rPr>
            </w:pPr>
            <w:r>
              <w:rPr>
                <w:rFonts w:ascii="Times New Roman" w:hAnsi="Times New Roman"/>
                <w:b/>
                <w:bCs/>
                <w:color w:val="000000"/>
                <w:kern w:val="0"/>
                <w:sz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项目立项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立项依据</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充分性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项目立项是否符合法律法规、相关政策、发展规划以及部门职责，用以反映和考核项目立项依据情况。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①项目立项是否符合国家法律法规、国民经济发展规划和相关政策；</w:t>
            </w:r>
            <w:r>
              <w:rPr>
                <w:rFonts w:ascii="Times New Roman" w:hAnsi="Times New Roman"/>
                <w:color w:val="000000"/>
                <w:kern w:val="0"/>
                <w:sz w:val="22"/>
              </w:rPr>
              <w:br w:type="textWrapping"/>
            </w:r>
            <w:r>
              <w:rPr>
                <w:rFonts w:ascii="Times New Roman" w:hAnsi="Times New Roman"/>
                <w:color w:val="000000"/>
                <w:kern w:val="0"/>
                <w:sz w:val="22"/>
              </w:rPr>
              <w:t>②项目立项是否符合行业发展规划和政策要求；</w:t>
            </w:r>
            <w:r>
              <w:rPr>
                <w:rFonts w:ascii="Times New Roman" w:hAnsi="Times New Roman"/>
                <w:color w:val="000000"/>
                <w:kern w:val="0"/>
                <w:sz w:val="22"/>
              </w:rPr>
              <w:br w:type="textWrapping"/>
            </w:r>
            <w:r>
              <w:rPr>
                <w:rFonts w:ascii="Times New Roman" w:hAnsi="Times New Roman"/>
                <w:color w:val="000000"/>
                <w:kern w:val="0"/>
                <w:sz w:val="22"/>
              </w:rPr>
              <w:t>③项目立项是否与部门职责范围相符，属于部门履职所需；</w:t>
            </w:r>
            <w:r>
              <w:rPr>
                <w:rFonts w:ascii="Times New Roman" w:hAnsi="Times New Roman"/>
                <w:color w:val="000000"/>
                <w:kern w:val="0"/>
                <w:sz w:val="22"/>
              </w:rPr>
              <w:br w:type="textWrapping"/>
            </w:r>
            <w:r>
              <w:rPr>
                <w:rFonts w:ascii="Times New Roman" w:hAnsi="Times New Roman"/>
                <w:color w:val="000000"/>
                <w:kern w:val="0"/>
                <w:sz w:val="22"/>
              </w:rPr>
              <w:t>④项目是否属于公共财政支持范围，是否符合中央、地方事权支出责任划分原则；</w:t>
            </w:r>
            <w:r>
              <w:rPr>
                <w:rFonts w:ascii="Times New Roman" w:hAnsi="Times New Roman"/>
                <w:color w:val="000000"/>
                <w:kern w:val="0"/>
                <w:sz w:val="22"/>
              </w:rPr>
              <w:br w:type="textWrapping"/>
            </w:r>
            <w:r>
              <w:rPr>
                <w:rFonts w:ascii="Times New Roman" w:hAnsi="Times New Roman"/>
                <w:color w:val="000000"/>
                <w:kern w:val="0"/>
                <w:sz w:val="22"/>
              </w:rPr>
              <w:t>⑤项目是否与相关部门同类项目或部门内部相关项目重复。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1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立项程序</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规范性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项目申请、设立过程是否符合相关要求，用以反映和考核项目立项的规范情况。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①项目是否按照规定的程序申请设立；</w:t>
            </w:r>
            <w:r>
              <w:rPr>
                <w:rFonts w:ascii="Times New Roman" w:hAnsi="Times New Roman"/>
                <w:color w:val="000000"/>
                <w:kern w:val="0"/>
                <w:sz w:val="22"/>
              </w:rPr>
              <w:br w:type="textWrapping"/>
            </w:r>
            <w:r>
              <w:rPr>
                <w:rFonts w:ascii="Times New Roman" w:hAnsi="Times New Roman"/>
                <w:color w:val="000000"/>
                <w:kern w:val="0"/>
                <w:sz w:val="22"/>
              </w:rPr>
              <w:t>②审批文件、材料是否符合相关要求；</w:t>
            </w:r>
            <w:r>
              <w:rPr>
                <w:rFonts w:ascii="Times New Roman" w:hAnsi="Times New Roman"/>
                <w:color w:val="000000"/>
                <w:kern w:val="0"/>
                <w:sz w:val="22"/>
              </w:rPr>
              <w:br w:type="textWrapping"/>
            </w:r>
            <w:r>
              <w:rPr>
                <w:rFonts w:ascii="Times New Roman" w:hAnsi="Times New Roman"/>
                <w:color w:val="000000"/>
                <w:kern w:val="0"/>
                <w:sz w:val="22"/>
              </w:rPr>
              <w:t>③事前是否已经过必要的可行性研究、专家论证、风险评估、绩效评估、集体决策。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9"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项目所设定的绩效目标是否依据充分，是否符合客观实际，用以反映和考核项目绩效目标与项目实施的相符情况。</w:t>
            </w:r>
          </w:p>
        </w:tc>
        <w:tc>
          <w:tcPr>
            <w:tcW w:w="6096"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（如未设定预算绩效目标，也可考核其他工作任务目标）</w:t>
            </w:r>
            <w:r>
              <w:rPr>
                <w:rFonts w:ascii="Times New Roman" w:hAnsi="Times New Roman"/>
                <w:color w:val="000000"/>
                <w:kern w:val="0"/>
                <w:sz w:val="22"/>
              </w:rPr>
              <w:br w:type="textWrapping"/>
            </w:r>
            <w:r>
              <w:rPr>
                <w:rFonts w:ascii="Times New Roman" w:hAnsi="Times New Roman"/>
                <w:color w:val="000000"/>
                <w:kern w:val="0"/>
                <w:sz w:val="22"/>
              </w:rPr>
              <w:t>①项目是否有绩效目标；</w:t>
            </w:r>
            <w:r>
              <w:rPr>
                <w:rFonts w:ascii="Times New Roman" w:hAnsi="Times New Roman"/>
                <w:color w:val="000000"/>
                <w:kern w:val="0"/>
                <w:sz w:val="22"/>
              </w:rPr>
              <w:br w:type="textWrapping"/>
            </w:r>
            <w:r>
              <w:rPr>
                <w:rFonts w:ascii="Times New Roman" w:hAnsi="Times New Roman"/>
                <w:color w:val="000000"/>
                <w:kern w:val="0"/>
                <w:sz w:val="22"/>
              </w:rPr>
              <w:t>②项目绩效目标与实际工作内容是否具有相关性；</w:t>
            </w:r>
            <w:r>
              <w:rPr>
                <w:rFonts w:ascii="Times New Roman" w:hAnsi="Times New Roman"/>
                <w:color w:val="000000"/>
                <w:kern w:val="0"/>
                <w:sz w:val="22"/>
              </w:rPr>
              <w:br w:type="textWrapping"/>
            </w:r>
            <w:r>
              <w:rPr>
                <w:rFonts w:ascii="Times New Roman" w:hAnsi="Times New Roman"/>
                <w:color w:val="000000"/>
                <w:kern w:val="0"/>
                <w:sz w:val="22"/>
              </w:rPr>
              <w:t>③项目预期产出效益和效果是否符合正常的业绩水平；</w:t>
            </w:r>
          </w:p>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④是否与预算确定的项目投资额或资金量相匹配。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决策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绩效目标</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绩效指标</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明确性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依据绩效目标设定的绩效指标是否清晰、细化、可衡量等，用以反映和考核项目绩效目标的明细化情况。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①是否将项目绩效目标细化分解为具体的绩效指标；</w:t>
            </w:r>
            <w:r>
              <w:rPr>
                <w:rFonts w:ascii="Times New Roman" w:hAnsi="Times New Roman"/>
                <w:color w:val="000000"/>
                <w:kern w:val="0"/>
                <w:sz w:val="22"/>
              </w:rPr>
              <w:br w:type="textWrapping"/>
            </w:r>
            <w:r>
              <w:rPr>
                <w:rFonts w:ascii="Times New Roman" w:hAnsi="Times New Roman"/>
                <w:color w:val="000000"/>
                <w:kern w:val="0"/>
                <w:sz w:val="22"/>
              </w:rPr>
              <w:t>②是否通过清晰、可衡量的指标值予以体现；</w:t>
            </w:r>
            <w:r>
              <w:rPr>
                <w:rFonts w:ascii="Times New Roman" w:hAnsi="Times New Roman"/>
                <w:color w:val="000000"/>
                <w:kern w:val="0"/>
                <w:sz w:val="22"/>
              </w:rPr>
              <w:br w:type="textWrapping"/>
            </w:r>
            <w:r>
              <w:rPr>
                <w:rFonts w:ascii="Times New Roman" w:hAnsi="Times New Roman"/>
                <w:color w:val="000000"/>
                <w:kern w:val="0"/>
                <w:sz w:val="22"/>
              </w:rPr>
              <w:t>③是否与项目目标任务数或计划数相对应。</w:t>
            </w:r>
            <w:r>
              <w:rPr>
                <w:rFonts w:ascii="Times New Roman" w:hAnsi="Times New Roman"/>
                <w:color w:val="000000"/>
                <w:kern w:val="0"/>
                <w:sz w:val="22"/>
              </w:rPr>
              <w:br w:type="textWrapping"/>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资金投入</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预算编制</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科学性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①预算编制是否经过科学论证；</w:t>
            </w:r>
            <w:r>
              <w:rPr>
                <w:rFonts w:ascii="Times New Roman" w:hAnsi="Times New Roman"/>
                <w:color w:val="000000"/>
                <w:kern w:val="0"/>
                <w:sz w:val="22"/>
              </w:rPr>
              <w:br w:type="textWrapping"/>
            </w:r>
            <w:r>
              <w:rPr>
                <w:rFonts w:ascii="Times New Roman" w:hAnsi="Times New Roman"/>
                <w:color w:val="000000"/>
                <w:kern w:val="0"/>
                <w:sz w:val="22"/>
              </w:rPr>
              <w:t>②预算内容与项目内容是否匹配；</w:t>
            </w:r>
            <w:r>
              <w:rPr>
                <w:rFonts w:ascii="Times New Roman" w:hAnsi="Times New Roman"/>
                <w:color w:val="000000"/>
                <w:kern w:val="0"/>
                <w:sz w:val="22"/>
              </w:rPr>
              <w:br w:type="textWrapping"/>
            </w:r>
            <w:r>
              <w:rPr>
                <w:rFonts w:ascii="Times New Roman" w:hAnsi="Times New Roman"/>
                <w:color w:val="000000"/>
                <w:kern w:val="0"/>
                <w:sz w:val="22"/>
              </w:rPr>
              <w:t>③预算额度测算依据是否充分，是否按照标准编制；</w:t>
            </w:r>
            <w:r>
              <w:rPr>
                <w:rFonts w:ascii="Times New Roman" w:hAnsi="Times New Roman"/>
                <w:color w:val="000000"/>
                <w:kern w:val="0"/>
                <w:sz w:val="22"/>
              </w:rPr>
              <w:br w:type="textWrapping"/>
            </w:r>
            <w:r>
              <w:rPr>
                <w:rFonts w:ascii="Times New Roman" w:hAnsi="Times New Roman"/>
                <w:color w:val="000000"/>
                <w:kern w:val="0"/>
                <w:sz w:val="22"/>
              </w:rPr>
              <w:t>④预算确定的项目投资额或资金量是否与工作任务相匹配。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资金分配</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合理性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①预算资金分配依据是否充分；</w:t>
            </w:r>
            <w:r>
              <w:rPr>
                <w:rFonts w:ascii="Times New Roman" w:hAnsi="Times New Roman"/>
                <w:color w:val="000000"/>
                <w:kern w:val="0"/>
                <w:sz w:val="22"/>
              </w:rPr>
              <w:br w:type="textWrapping"/>
            </w:r>
            <w:r>
              <w:rPr>
                <w:rFonts w:ascii="Times New Roman" w:hAnsi="Times New Roman"/>
                <w:color w:val="000000"/>
                <w:kern w:val="0"/>
                <w:sz w:val="22"/>
              </w:rPr>
              <w:t>②资金分配额度是否合理，与项目单位或地方实际是否相适应。</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682" w:type="dxa"/>
            <w:vMerge w:val="restart"/>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过程</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资金到位率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3</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实际到位资金与预算资金的比率，用以反映和考核资金落实情况对项目实施的总体保障程度。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资金到位率=（实际到位资金/预算资金）×100%。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实际到位资金：一定时期（本年度或项目期）内落实到具体项目的资金。</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预算资金：一定时期（本年度或项目期）内预算安排到具体项目的资金。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预算执行率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项目预算资金是否按照计划执行，用以反映或考核项目预算执行情况。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预算执行率=（实际支出资金/实际到位资金）×100%。</w:t>
            </w:r>
            <w:r>
              <w:rPr>
                <w:rFonts w:ascii="Times New Roman" w:hAnsi="Times New Roman"/>
                <w:color w:val="000000"/>
                <w:kern w:val="0"/>
                <w:sz w:val="22"/>
              </w:rPr>
              <w:br w:type="textWrapping"/>
            </w:r>
            <w:r>
              <w:rPr>
                <w:rFonts w:ascii="Times New Roman" w:hAnsi="Times New Roman"/>
                <w:color w:val="000000"/>
                <w:kern w:val="0"/>
                <w:sz w:val="22"/>
              </w:rPr>
              <w:t>实际支出资金：一定时期（本年度或项目期）内项目实际拨付的资金。</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　</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过程　</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资金管理</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资金使用</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合规性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项目资金使用是否符合相关的财务管理制度规定，用以反映和考核项目资金的规范运行情况。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①是否符合国家财经法规和财务管理制度以及有关专项资金管理办法的规定；</w:t>
            </w:r>
            <w:r>
              <w:rPr>
                <w:rFonts w:ascii="Times New Roman" w:hAnsi="Times New Roman"/>
                <w:color w:val="000000"/>
                <w:kern w:val="0"/>
                <w:sz w:val="22"/>
              </w:rPr>
              <w:br w:type="textWrapping"/>
            </w:r>
            <w:r>
              <w:rPr>
                <w:rFonts w:ascii="Times New Roman" w:hAnsi="Times New Roman"/>
                <w:color w:val="000000"/>
                <w:kern w:val="0"/>
                <w:sz w:val="22"/>
              </w:rPr>
              <w:t>②资金的拨付是否有完整的审批程序和手续；</w:t>
            </w:r>
            <w:r>
              <w:rPr>
                <w:rFonts w:ascii="Times New Roman" w:hAnsi="Times New Roman"/>
                <w:color w:val="000000"/>
                <w:kern w:val="0"/>
                <w:sz w:val="22"/>
              </w:rPr>
              <w:br w:type="textWrapping"/>
            </w:r>
            <w:r>
              <w:rPr>
                <w:rFonts w:ascii="Times New Roman" w:hAnsi="Times New Roman"/>
                <w:color w:val="000000"/>
                <w:kern w:val="0"/>
                <w:sz w:val="22"/>
              </w:rPr>
              <w:t>③是否符合项目预算批复或合同规定的用途；</w:t>
            </w:r>
            <w:r>
              <w:rPr>
                <w:rFonts w:ascii="Times New Roman" w:hAnsi="Times New Roman"/>
                <w:color w:val="000000"/>
                <w:kern w:val="0"/>
                <w:sz w:val="22"/>
              </w:rPr>
              <w:br w:type="textWrapping"/>
            </w:r>
            <w:r>
              <w:rPr>
                <w:rFonts w:ascii="Times New Roman" w:hAnsi="Times New Roman"/>
                <w:color w:val="000000"/>
                <w:kern w:val="0"/>
                <w:sz w:val="22"/>
              </w:rPr>
              <w:t>④是否存在截留、挤占、挪用、虚列支出等情况。</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组织实施</w:t>
            </w:r>
          </w:p>
          <w:p>
            <w:pPr>
              <w:spacing w:line="0" w:lineRule="atLeast"/>
              <w:jc w:val="center"/>
              <w:rPr>
                <w:rFonts w:ascii="Times New Roman" w:hAnsi="Times New Roman"/>
                <w:color w:val="000000"/>
                <w:kern w:val="0"/>
                <w:sz w:val="22"/>
              </w:rPr>
            </w:pPr>
            <w:r>
              <w:rPr>
                <w:rFonts w:ascii="Times New Roman" w:hAnsi="Times New Roman"/>
                <w:color w:val="000000"/>
                <w:kern w:val="0"/>
                <w:sz w:val="22"/>
              </w:rPr>
              <w:t>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管理制度</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健全性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项目实施单位的财务和业务管理制度是否健全，用以反映和考核财务和业务管理制度对项目顺利实施的保障情况。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①是否已制定或具有相应的财务和业务管理制度；</w:t>
            </w:r>
            <w:r>
              <w:rPr>
                <w:rFonts w:ascii="Times New Roman" w:hAnsi="Times New Roman"/>
                <w:color w:val="000000"/>
                <w:kern w:val="0"/>
                <w:sz w:val="22"/>
              </w:rPr>
              <w:br w:type="textWrapping"/>
            </w:r>
            <w:r>
              <w:rPr>
                <w:rFonts w:ascii="Times New Roman" w:hAnsi="Times New Roman"/>
                <w:color w:val="000000"/>
                <w:kern w:val="0"/>
                <w:sz w:val="22"/>
              </w:rPr>
              <w:t>②财务和业务管理制度是否合法、合规、完整。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制度执行</w:t>
            </w:r>
          </w:p>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有效性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4</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项目实施是否符合相关管理规定，用以反映和考核相关管理制度的有效执行情况。</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评价要点：</w:t>
            </w:r>
            <w:r>
              <w:rPr>
                <w:rFonts w:ascii="Times New Roman" w:hAnsi="Times New Roman"/>
                <w:color w:val="000000"/>
                <w:kern w:val="0"/>
                <w:sz w:val="22"/>
              </w:rPr>
              <w:br w:type="textWrapping"/>
            </w:r>
            <w:r>
              <w:rPr>
                <w:rFonts w:ascii="Times New Roman" w:hAnsi="Times New Roman"/>
                <w:color w:val="000000"/>
                <w:kern w:val="0"/>
                <w:sz w:val="22"/>
              </w:rPr>
              <w:t>①是否遵守相关法律法规和相关管理规定；</w:t>
            </w:r>
            <w:r>
              <w:rPr>
                <w:rFonts w:ascii="Times New Roman" w:hAnsi="Times New Roman"/>
                <w:color w:val="000000"/>
                <w:kern w:val="0"/>
                <w:sz w:val="22"/>
              </w:rPr>
              <w:br w:type="textWrapping"/>
            </w:r>
            <w:r>
              <w:rPr>
                <w:rFonts w:ascii="Times New Roman" w:hAnsi="Times New Roman"/>
                <w:color w:val="000000"/>
                <w:kern w:val="0"/>
                <w:sz w:val="22"/>
              </w:rPr>
              <w:t>②项目调整及支出调整手续是否完备；</w:t>
            </w:r>
            <w:r>
              <w:rPr>
                <w:rFonts w:ascii="Times New Roman" w:hAnsi="Times New Roman"/>
                <w:color w:val="000000"/>
                <w:kern w:val="0"/>
                <w:sz w:val="22"/>
              </w:rPr>
              <w:br w:type="textWrapping"/>
            </w:r>
            <w:r>
              <w:rPr>
                <w:rFonts w:ascii="Times New Roman" w:hAnsi="Times New Roman"/>
                <w:color w:val="000000"/>
                <w:kern w:val="0"/>
                <w:sz w:val="22"/>
              </w:rPr>
              <w:t>③项目合同书、验收报告、技术鉴定等资料是否齐全并及时归档；</w:t>
            </w:r>
            <w:r>
              <w:rPr>
                <w:rFonts w:ascii="Times New Roman" w:hAnsi="Times New Roman"/>
                <w:color w:val="000000"/>
                <w:kern w:val="0"/>
                <w:sz w:val="22"/>
              </w:rPr>
              <w:br w:type="textWrapping"/>
            </w:r>
            <w:r>
              <w:rPr>
                <w:rFonts w:ascii="Times New Roman" w:hAnsi="Times New Roman"/>
                <w:color w:val="000000"/>
                <w:kern w:val="0"/>
                <w:sz w:val="22"/>
              </w:rPr>
              <w:t>④项目实施的人员条件、场地设备、信息支撑等是否落实到位。</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682"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产出数量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实际完成率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项目实施的实际产出数与计划产出数的比率，用以反映和考核项目产出数量目标的实现程度。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实际完成率=（实际产出数/计划产出数）×100%。</w:t>
            </w:r>
            <w:r>
              <w:rPr>
                <w:rFonts w:ascii="Times New Roman" w:hAnsi="Times New Roman"/>
                <w:color w:val="000000"/>
                <w:kern w:val="0"/>
                <w:sz w:val="22"/>
              </w:rPr>
              <w:br w:type="textWrapping"/>
            </w:r>
            <w:r>
              <w:rPr>
                <w:rFonts w:ascii="Times New Roman" w:hAnsi="Times New Roman"/>
                <w:color w:val="000000"/>
                <w:kern w:val="0"/>
                <w:sz w:val="22"/>
              </w:rPr>
              <w:t>实际产出数：一定时期（本年度或项目期）内项目实际产出的产品或提供的服务数量。</w:t>
            </w:r>
            <w:r>
              <w:rPr>
                <w:rFonts w:ascii="Times New Roman" w:hAnsi="Times New Roman"/>
                <w:color w:val="000000"/>
                <w:kern w:val="0"/>
                <w:sz w:val="22"/>
              </w:rPr>
              <w:br w:type="textWrapping"/>
            </w:r>
            <w:r>
              <w:rPr>
                <w:rFonts w:ascii="Times New Roman" w:hAnsi="Times New Roman"/>
                <w:color w:val="000000"/>
                <w:kern w:val="0"/>
                <w:sz w:val="22"/>
              </w:rPr>
              <w:t>计划产出数：项目绩效目标确定的在一定时期（本年度或项目期）内计划产出的产品或提供的服务数量。</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w:t>
            </w: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产出质量</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质量达标率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项目完成的质量达标产出数与实际产出数的比率，用以反映和考核项目产出质量目标的实现程度。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质量达标率=（质量达标产出数/实际产出数）×100%。</w:t>
            </w:r>
          </w:p>
          <w:p>
            <w:pPr>
              <w:widowControl/>
              <w:spacing w:line="0" w:lineRule="atLeast"/>
              <w:rPr>
                <w:rFonts w:ascii="Times New Roman" w:hAnsi="Times New Roman"/>
                <w:color w:val="000000"/>
                <w:kern w:val="0"/>
                <w:sz w:val="22"/>
              </w:rPr>
            </w:pPr>
            <w:r>
              <w:rPr>
                <w:rFonts w:ascii="Times New Roman" w:hAnsi="Times New Roman"/>
                <w:color w:val="000000"/>
                <w:kern w:val="0"/>
                <w:sz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682" w:type="dxa"/>
            <w:vMerge w:val="continue"/>
            <w:shd w:val="clear" w:color="auto" w:fill="FFFFFF"/>
            <w:vAlign w:val="center"/>
          </w:tcPr>
          <w:p>
            <w:pPr>
              <w:spacing w:line="0" w:lineRule="atLeast"/>
              <w:jc w:val="center"/>
              <w:rPr>
                <w:rFonts w:ascii="Times New Roman" w:hAnsi="Times New Roman"/>
                <w:color w:val="000000"/>
                <w:kern w:val="0"/>
                <w:sz w:val="22"/>
              </w:rPr>
            </w:pPr>
          </w:p>
        </w:tc>
        <w:tc>
          <w:tcPr>
            <w:tcW w:w="709" w:type="dxa"/>
            <w:shd w:val="clear" w:color="auto" w:fill="FFFFFF"/>
            <w:vAlign w:val="center"/>
          </w:tcPr>
          <w:p>
            <w:pPr>
              <w:spacing w:line="0" w:lineRule="atLeast"/>
              <w:jc w:val="center"/>
              <w:rPr>
                <w:rFonts w:ascii="Times New Roman" w:hAnsi="Times New Roman"/>
                <w:color w:val="000000"/>
                <w:kern w:val="0"/>
                <w:sz w:val="22"/>
              </w:rPr>
            </w:pPr>
            <w:r>
              <w:rPr>
                <w:rFonts w:ascii="Times New Roman" w:hAnsi="Times New Roman"/>
                <w:color w:val="000000"/>
                <w:kern w:val="0"/>
                <w:sz w:val="22"/>
              </w:rPr>
              <w:t>产出时效</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完成及时性</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项目实际完成时间与计划完成时间的比较，用以反映和考核项目产出时效目标的实现程度。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实际完成时间：项目实施单位完成该项目实际所耗用的时间。</w:t>
            </w:r>
            <w:r>
              <w:rPr>
                <w:rFonts w:ascii="Times New Roman" w:hAnsi="Times New Roman"/>
                <w:color w:val="000000"/>
                <w:kern w:val="0"/>
                <w:sz w:val="22"/>
              </w:rPr>
              <w:br w:type="textWrapping"/>
            </w:r>
            <w:r>
              <w:rPr>
                <w:rFonts w:ascii="Times New Roman" w:hAnsi="Times New Roman"/>
                <w:color w:val="000000"/>
                <w:kern w:val="0"/>
                <w:sz w:val="22"/>
              </w:rPr>
              <w:t>计划完成时间：按照项目实施计划或相关规定完成该项目所需的时间。</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74"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产出成本</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成本节约率</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完成项目计划工作目标的实际节约成本与计划成本的比率，用以反映和考核项目的成本节约程度。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br w:type="textWrapping"/>
            </w:r>
            <w:r>
              <w:rPr>
                <w:rFonts w:ascii="Times New Roman" w:hAnsi="Times New Roman"/>
                <w:color w:val="000000"/>
                <w:kern w:val="0"/>
                <w:sz w:val="22"/>
              </w:rPr>
              <w:t>成本节约率=[（计划成本-实际成本）/计划成本]×100%。</w:t>
            </w:r>
            <w:r>
              <w:rPr>
                <w:rFonts w:ascii="Times New Roman" w:hAnsi="Times New Roman"/>
                <w:color w:val="000000"/>
                <w:kern w:val="0"/>
                <w:sz w:val="22"/>
              </w:rPr>
              <w:br w:type="textWrapping"/>
            </w:r>
            <w:r>
              <w:rPr>
                <w:rFonts w:ascii="Times New Roman" w:hAnsi="Times New Roman"/>
                <w:color w:val="000000"/>
                <w:kern w:val="0"/>
                <w:sz w:val="22"/>
              </w:rPr>
              <w:t>实际成本：项目实施单位如期、保质、保量完成既定工作目标实际所耗费的支出。</w:t>
            </w:r>
            <w:r>
              <w:rPr>
                <w:rFonts w:ascii="Times New Roman" w:hAnsi="Times New Roman"/>
                <w:color w:val="000000"/>
                <w:kern w:val="0"/>
                <w:sz w:val="22"/>
              </w:rPr>
              <w:br w:type="textWrapping"/>
            </w:r>
            <w:r>
              <w:rPr>
                <w:rFonts w:ascii="Times New Roman" w:hAnsi="Times New Roman"/>
                <w:color w:val="000000"/>
                <w:kern w:val="0"/>
                <w:sz w:val="22"/>
              </w:rPr>
              <w:t>计划成本：项目实施单位为完成工作目标计划安排的支出，一般以项目预算为参考。</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3" w:hRule="atLeast"/>
          <w:jc w:val="center"/>
        </w:trPr>
        <w:tc>
          <w:tcPr>
            <w:tcW w:w="682"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效益　</w:t>
            </w:r>
          </w:p>
        </w:tc>
        <w:tc>
          <w:tcPr>
            <w:tcW w:w="709" w:type="dxa"/>
            <w:vMerge w:val="restart"/>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项目效益　</w:t>
            </w: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实施效益</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20</w:t>
            </w:r>
          </w:p>
        </w:tc>
        <w:tc>
          <w:tcPr>
            <w:tcW w:w="2835" w:type="dxa"/>
            <w:shd w:val="clear" w:color="auto" w:fill="FFFFFF"/>
            <w:vAlign w:val="center"/>
          </w:tcPr>
          <w:p>
            <w:pPr>
              <w:widowControl/>
              <w:spacing w:line="0" w:lineRule="atLeast"/>
              <w:jc w:val="left"/>
              <w:rPr>
                <w:rFonts w:ascii="Times New Roman" w:hAnsi="Times New Roman"/>
                <w:color w:val="000000"/>
                <w:kern w:val="0"/>
                <w:sz w:val="22"/>
              </w:rPr>
            </w:pPr>
            <w:r>
              <w:rPr>
                <w:rFonts w:ascii="Times New Roman" w:hAnsi="Times New Roman"/>
                <w:color w:val="000000"/>
                <w:kern w:val="0"/>
                <w:sz w:val="22"/>
              </w:rPr>
              <w:t>项目实施所产生的效益。</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项目实施所产生的社会效益、经济效益、生态效益、可持续影响等。可根据项目实际情况有选择地设置和细化。</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2</w:t>
            </w:r>
            <w:r>
              <w:rPr>
                <w:rFonts w:ascii="Times New Roman" w:hAnsi="Times New Roman"/>
                <w:color w:val="000000"/>
                <w:kern w:val="0"/>
                <w:sz w:val="22"/>
              </w:rPr>
              <w:t>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29" w:hRule="atLeast"/>
          <w:jc w:val="center"/>
        </w:trPr>
        <w:tc>
          <w:tcPr>
            <w:tcW w:w="682"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709" w:type="dxa"/>
            <w:vMerge w:val="continue"/>
            <w:shd w:val="clear" w:color="auto" w:fill="FFFFFF"/>
            <w:vAlign w:val="center"/>
          </w:tcPr>
          <w:p>
            <w:pPr>
              <w:widowControl/>
              <w:spacing w:line="0" w:lineRule="atLeast"/>
              <w:jc w:val="center"/>
              <w:rPr>
                <w:rFonts w:ascii="Times New Roman" w:hAnsi="Times New Roman"/>
                <w:color w:val="000000"/>
                <w:kern w:val="0"/>
                <w:sz w:val="22"/>
              </w:rPr>
            </w:pPr>
          </w:p>
        </w:tc>
        <w:tc>
          <w:tcPr>
            <w:tcW w:w="1134"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满意度</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8</w:t>
            </w:r>
          </w:p>
        </w:tc>
        <w:tc>
          <w:tcPr>
            <w:tcW w:w="2835"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社会公众或服务对象对项目实施效果的满意程度。</w:t>
            </w:r>
          </w:p>
        </w:tc>
        <w:tc>
          <w:tcPr>
            <w:tcW w:w="6096" w:type="dxa"/>
            <w:shd w:val="clear" w:color="auto" w:fill="FFFFFF"/>
            <w:vAlign w:val="center"/>
          </w:tcPr>
          <w:p>
            <w:pPr>
              <w:widowControl/>
              <w:spacing w:line="0" w:lineRule="atLeast"/>
              <w:rPr>
                <w:rFonts w:ascii="Times New Roman" w:hAnsi="Times New Roman"/>
                <w:color w:val="000000"/>
                <w:kern w:val="0"/>
                <w:sz w:val="22"/>
              </w:rPr>
            </w:pPr>
            <w:r>
              <w:rPr>
                <w:rFonts w:ascii="Times New Roman" w:hAnsi="Times New Roman"/>
                <w:color w:val="000000"/>
                <w:kern w:val="0"/>
                <w:sz w:val="22"/>
              </w:rPr>
              <w:t>社会公众或服务对象是指因该项目实施而受到影响的部门（单位）、群体或个人。一般采取社会调查的方式。</w:t>
            </w: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8" w:hRule="atLeast"/>
          <w:jc w:val="center"/>
        </w:trPr>
        <w:tc>
          <w:tcPr>
            <w:tcW w:w="2525" w:type="dxa"/>
            <w:gridSpan w:val="3"/>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总分</w:t>
            </w:r>
          </w:p>
        </w:tc>
        <w:tc>
          <w:tcPr>
            <w:tcW w:w="567" w:type="dxa"/>
            <w:shd w:val="clear" w:color="auto" w:fill="FFFFFF"/>
            <w:vAlign w:val="center"/>
          </w:tcPr>
          <w:p>
            <w:pPr>
              <w:widowControl/>
              <w:spacing w:line="0" w:lineRule="atLeast"/>
              <w:jc w:val="center"/>
              <w:rPr>
                <w:rFonts w:ascii="Times New Roman" w:hAnsi="Times New Roman"/>
                <w:color w:val="000000"/>
                <w:kern w:val="0"/>
                <w:sz w:val="22"/>
              </w:rPr>
            </w:pPr>
            <w:r>
              <w:rPr>
                <w:rFonts w:ascii="Times New Roman" w:hAnsi="Times New Roman"/>
                <w:color w:val="000000"/>
                <w:kern w:val="0"/>
                <w:sz w:val="22"/>
              </w:rPr>
              <w:t>100</w:t>
            </w:r>
          </w:p>
        </w:tc>
        <w:tc>
          <w:tcPr>
            <w:tcW w:w="2835" w:type="dxa"/>
            <w:shd w:val="clear" w:color="auto" w:fill="FFFFFF"/>
            <w:vAlign w:val="center"/>
          </w:tcPr>
          <w:p>
            <w:pPr>
              <w:widowControl/>
              <w:spacing w:line="0" w:lineRule="atLeast"/>
              <w:rPr>
                <w:rFonts w:ascii="Times New Roman" w:hAnsi="Times New Roman"/>
                <w:color w:val="000000"/>
                <w:kern w:val="0"/>
                <w:sz w:val="22"/>
              </w:rPr>
            </w:pPr>
          </w:p>
        </w:tc>
        <w:tc>
          <w:tcPr>
            <w:tcW w:w="6096" w:type="dxa"/>
            <w:shd w:val="clear" w:color="auto" w:fill="FFFFFF"/>
            <w:vAlign w:val="center"/>
          </w:tcPr>
          <w:p>
            <w:pPr>
              <w:widowControl/>
              <w:spacing w:line="0" w:lineRule="atLeast"/>
              <w:rPr>
                <w:rFonts w:ascii="Times New Roman" w:hAnsi="Times New Roman"/>
                <w:color w:val="000000"/>
                <w:kern w:val="0"/>
                <w:sz w:val="22"/>
              </w:rPr>
            </w:pPr>
          </w:p>
        </w:tc>
        <w:tc>
          <w:tcPr>
            <w:tcW w:w="566" w:type="dxa"/>
            <w:shd w:val="clear" w:color="auto" w:fill="FFFFFF"/>
            <w:vAlign w:val="center"/>
          </w:tcPr>
          <w:p>
            <w:pPr>
              <w:widowControl/>
              <w:spacing w:line="0" w:lineRule="atLeast"/>
              <w:jc w:val="center"/>
              <w:rPr>
                <w:rFonts w:ascii="Times New Roman" w:hAnsi="Times New Roman"/>
                <w:color w:val="000000"/>
                <w:kern w:val="0"/>
                <w:sz w:val="22"/>
              </w:rPr>
            </w:pPr>
            <w:r>
              <w:rPr>
                <w:rFonts w:hint="eastAsia" w:ascii="Times New Roman" w:hAnsi="Times New Roman"/>
                <w:color w:val="000000"/>
                <w:kern w:val="0"/>
                <w:sz w:val="22"/>
              </w:rPr>
              <w:t>9</w:t>
            </w:r>
            <w:r>
              <w:rPr>
                <w:rFonts w:ascii="Times New Roman" w:hAnsi="Times New Roman"/>
                <w:color w:val="000000"/>
                <w:kern w:val="0"/>
                <w:sz w:val="22"/>
              </w:rPr>
              <w:t>6</w:t>
            </w:r>
          </w:p>
        </w:tc>
      </w:tr>
    </w:tbl>
    <w:p>
      <w:pPr>
        <w:spacing w:line="560" w:lineRule="exact"/>
        <w:ind w:firstLine="200" w:firstLineChars="100"/>
      </w:pPr>
      <w:r>
        <w:rPr>
          <w:rFonts w:ascii="Times New Roman" w:hAnsi="Times New Roman" w:eastAsia="仿宋_GB2312"/>
          <w:sz w:val="20"/>
          <w:szCs w:val="20"/>
        </w:rPr>
        <w:t>注：单位可以根据专项资金的管理要求和绩效要求增设个性指标。</w:t>
      </w:r>
    </w:p>
    <w:sectPr>
      <w:pgSz w:w="16838" w:h="11906" w:orient="landscape"/>
      <w:pgMar w:top="1531" w:right="1531" w:bottom="1531"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1E6C"/>
    <w:rsid w:val="00006CE6"/>
    <w:rsid w:val="000A1E6C"/>
    <w:rsid w:val="001A057B"/>
    <w:rsid w:val="00220415"/>
    <w:rsid w:val="004A6BD0"/>
    <w:rsid w:val="004E0080"/>
    <w:rsid w:val="00541D73"/>
    <w:rsid w:val="005F1737"/>
    <w:rsid w:val="007161B8"/>
    <w:rsid w:val="00926193"/>
    <w:rsid w:val="00C13391"/>
    <w:rsid w:val="00C57395"/>
    <w:rsid w:val="00C6327D"/>
    <w:rsid w:val="7D081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link w:val="7"/>
    <w:qFormat/>
    <w:uiPriority w:val="0"/>
    <w:pPr>
      <w:keepNext/>
      <w:keepLines/>
      <w:spacing w:before="260" w:after="260" w:line="413" w:lineRule="auto"/>
      <w:outlineLvl w:val="1"/>
    </w:pPr>
    <w:rPr>
      <w:rFonts w:ascii="Arial" w:hAnsi="Arial" w:eastAsia="黑体"/>
      <w:b/>
      <w:sz w:val="32"/>
      <w:szCs w:val="24"/>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标题 2 Char"/>
    <w:basedOn w:val="6"/>
    <w:link w:val="2"/>
    <w:qFormat/>
    <w:uiPriority w:val="0"/>
    <w:rPr>
      <w:rFonts w:ascii="Arial" w:hAnsi="Arial" w:eastAsia="黑体" w:cs="Times New Roman"/>
      <w:b/>
      <w:sz w:val="32"/>
      <w:szCs w:val="24"/>
    </w:rPr>
  </w:style>
  <w:style w:type="paragraph" w:styleId="8">
    <w:name w:val="No Spacing"/>
    <w:qFormat/>
    <w:uiPriority w:val="99"/>
    <w:pPr>
      <w:widowControl w:val="0"/>
      <w:jc w:val="both"/>
    </w:pPr>
    <w:rPr>
      <w:rFonts w:ascii="Calibri" w:hAnsi="Calibri" w:eastAsia="宋体" w:cs="Times New Roman"/>
      <w:kern w:val="2"/>
      <w:sz w:val="21"/>
      <w:szCs w:val="22"/>
      <w:lang w:val="en-US" w:eastAsia="zh-CN" w:bidi="ar-SA"/>
    </w:rPr>
  </w:style>
  <w:style w:type="character" w:customStyle="1" w:styleId="9">
    <w:name w:val="页眉 Char"/>
    <w:basedOn w:val="6"/>
    <w:link w:val="4"/>
    <w:uiPriority w:val="99"/>
    <w:rPr>
      <w:rFonts w:ascii="Calibri" w:hAnsi="Calibri" w:eastAsia="宋体" w:cs="Times New Roman"/>
      <w:sz w:val="18"/>
      <w:szCs w:val="18"/>
    </w:rPr>
  </w:style>
  <w:style w:type="character" w:customStyle="1" w:styleId="10">
    <w:name w:val="页脚 Char"/>
    <w:basedOn w:val="6"/>
    <w:link w:val="3"/>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8</Pages>
  <Words>678</Words>
  <Characters>3865</Characters>
  <Lines>32</Lines>
  <Paragraphs>9</Paragraphs>
  <TotalTime>1</TotalTime>
  <ScaleCrop>false</ScaleCrop>
  <LinksUpToDate>false</LinksUpToDate>
  <CharactersWithSpaces>4534</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2021-07-26T00:31:00Z</dcterms:created>
  <dc:creator>王吉平</dc:creator>
  <cp:lastModifiedBy>Administrator</cp:lastModifiedBy>
  <dcterms:modified xsi:type="dcterms:W3CDTF">2021-09-09T01:53:32Z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C101796034C243B387ABAE0AC8225F5D</vt:lpwstr>
  </property>
</Properties>
</file>