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510" w:lineRule="exact"/>
        <w:ind w:firstLine="1320" w:firstLineChars="300"/>
        <w:jc w:val="center"/>
        <w:rPr>
          <w:rFonts w:ascii="Times New Roman" w:hAnsi="Times New Roman" w:eastAsia="黑体"/>
          <w:sz w:val="44"/>
          <w:szCs w:val="44"/>
        </w:rPr>
      </w:pPr>
      <w:r>
        <w:rPr>
          <w:rFonts w:hint="eastAsia" w:ascii="Times New Roman" w:hAnsi="Times New Roman" w:eastAsia="黑体"/>
          <w:sz w:val="44"/>
          <w:szCs w:val="44"/>
        </w:rPr>
        <w:t>湖南省2020年第二批中小企业发展专项资金</w:t>
      </w:r>
      <w:r>
        <w:rPr>
          <w:rFonts w:ascii="Times New Roman" w:hAnsi="Times New Roman" w:eastAsia="黑体"/>
          <w:sz w:val="44"/>
          <w:szCs w:val="44"/>
        </w:rPr>
        <w:t>绩效评价报告</w:t>
      </w:r>
    </w:p>
    <w:p>
      <w:pPr>
        <w:pStyle w:val="10"/>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一、基本情况</w:t>
      </w:r>
    </w:p>
    <w:p>
      <w:pPr>
        <w:pStyle w:val="1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（一）项目概况。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怀化市恒裕实业有限公司，注册资本5800万元；湖南恒裕汽车零部件有限公司（以下简称：恒裕汽零）为怀化市恒裕实业有限公司独资子公司，法定代表人钱吉治，注册资本为1500万元，公司建成迄今为止总投资1.3亿。现有股东4 人，钱吉治任董事长，股东：郭顺月、钱宣文、钱鲸交，出资比列分别为：钱吉治72.77%、郭顺月20%、钱宣文3.79%、钱鲸交3.44% 。</w:t>
      </w:r>
    </w:p>
    <w:p>
      <w:pPr>
        <w:spacing w:line="600" w:lineRule="exact"/>
        <w:ind w:left="160" w:hanging="160" w:hangingChars="50"/>
        <w:rPr>
          <w:rFonts w:ascii="仿宋" w:hAnsi="仿宋" w:eastAsia="仿宋" w:cs="仿宋"/>
          <w:sz w:val="32"/>
          <w:szCs w:val="32"/>
        </w:rPr>
      </w:pPr>
      <w:r>
        <w:rPr>
          <w:rFonts w:hint="eastAsia" w:ascii="仿宋" w:hAnsi="仿宋" w:eastAsia="仿宋" w:cs="仿宋"/>
          <w:sz w:val="32"/>
          <w:szCs w:val="32"/>
        </w:rPr>
        <w:t xml:space="preserve">     湖南恒裕汽车零部件有限公司始建于1958年，原名怀化汽车零部件总厂，是全国最早齿圈生产及汽车联合会指定齿圈生产厂家之一。 2003年由国有企业改制成民营独资企业。恒裕汽零2018年7月由原来怀化市鹤城区鸭嘴岩工业园搬迁至中方湘商文化产业园中500亩新厂区。为了适应市场新技术和工艺的需求，公司自2018年搬厂至今陆续投入资金1500万元左右购置自动化生产线及机器改造，提高产量产值。</w:t>
      </w:r>
    </w:p>
    <w:p>
      <w:pPr>
        <w:spacing w:line="600" w:lineRule="exact"/>
        <w:ind w:firstLine="646" w:firstLineChars="202"/>
        <w:rPr>
          <w:rFonts w:ascii="仿宋" w:hAnsi="仿宋" w:eastAsia="仿宋" w:cs="仿宋"/>
          <w:sz w:val="32"/>
          <w:szCs w:val="32"/>
        </w:rPr>
      </w:pPr>
      <w:r>
        <w:rPr>
          <w:rFonts w:hint="eastAsia" w:ascii="仿宋" w:hAnsi="仿宋" w:eastAsia="仿宋" w:cs="仿宋"/>
          <w:sz w:val="32"/>
          <w:szCs w:val="32"/>
        </w:rPr>
        <w:t>生产车间占地28509平方米，现在职工105余人，其中高级工程师5人，中级以上工程技术人员30余人。拥有两条具有国际先进水平的飞轮齿圈生产线及全套检测设备，具有年产飞轮齿圈80万件和飞轮总成10万件的生产能力，是我国南方地区最大的生产汽车发动机飞轮齿圈与飞轮总成专业厂家。公司不断完善企业管理制度与质量保证体系，2005年通过了TS16949、ISO9001质量体系认证，2017年顺利通过了IATF16949换版认证，公司紧跟市场需求，与各主机厂密切合作，陆续开发国四、国五、国六齿圈产品，现与潍柴动力开发直径1.2米大马力船机齿圈。</w:t>
      </w:r>
    </w:p>
    <w:p>
      <w:pPr>
        <w:spacing w:line="600" w:lineRule="exact"/>
        <w:ind w:firstLine="800" w:firstLineChars="250"/>
        <w:rPr>
          <w:rFonts w:ascii="仿宋" w:hAnsi="仿宋" w:eastAsia="仿宋" w:cs="仿宋"/>
          <w:sz w:val="32"/>
          <w:szCs w:val="32"/>
        </w:rPr>
      </w:pPr>
      <w:r>
        <w:rPr>
          <w:rFonts w:hint="eastAsia" w:ascii="仿宋" w:hAnsi="仿宋" w:eastAsia="仿宋" w:cs="仿宋"/>
          <w:sz w:val="32"/>
          <w:szCs w:val="32"/>
        </w:rPr>
        <w:t>恒裕汽零产品注册商标为“湘园”牌，是湖南省优质产品，主要为重庆康明斯、中国重汽济南动力、中国重汽杭发、潍柴动力、潍柴道依茨、广西玉柴、云内（昆明、成都）动力，中国一拖、东风汽车公司等数十家主机厂配套，部分产品出口北美、东欧、日本及东南亚等国家。</w:t>
      </w:r>
    </w:p>
    <w:p>
      <w:pPr>
        <w:spacing w:line="600" w:lineRule="exact"/>
        <w:ind w:firstLine="640" w:firstLineChars="200"/>
        <w:rPr>
          <w:rFonts w:ascii="仿宋" w:hAnsi="仿宋" w:eastAsia="仿宋" w:cs="仿宋"/>
          <w:b/>
          <w:bCs/>
          <w:sz w:val="32"/>
          <w:szCs w:val="32"/>
        </w:rPr>
      </w:pPr>
      <w:r>
        <w:rPr>
          <w:rFonts w:hint="eastAsia" w:ascii="仿宋" w:hAnsi="仿宋" w:eastAsia="仿宋" w:cs="仿宋"/>
          <w:sz w:val="32"/>
          <w:szCs w:val="32"/>
        </w:rPr>
        <w:t>现主要产品有：康明斯M11、NH、K系列飞轮齿圈，潍柴道依茨2268系列飞轮齿圈，潍柴动力斯太尔、H1、H2、H3、H4、H5、博杜安，中国重汽斯太尔WD615系列，中国重汽曼系列飞轮齿圈，上柴6114A，玉柴二缸、三缸、四缸、六缸系列飞轮总成，云内新柴朝柴扬柴90、100、102、105、108系列飞轮总成，吉利478Q、4G18飞轮总成、奇瑞372、472系列飞轮齿圈。</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技改以来，公司不断投入资金购买和改造机器设备以降低工人劳动强度及提高生产效率，期间陆续购买了全自动化的滚齿机、数控机床、数控钻孔机、改造了多台滚齿机器;另公司投资了200多万购买一套全自动铸造生产线，代替了原来的人工操作的铸造生产线。</w:t>
      </w:r>
    </w:p>
    <w:p>
      <w:pPr>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截止2020年11月到位项目资金542.33万元，其中设备购置542.33万，自筹资金542.33万元,用于购买固定资产。截止2020年12月到位项目专项资金</w:t>
      </w:r>
      <w:r>
        <w:rPr>
          <w:rFonts w:hint="eastAsia" w:ascii="仿宋" w:hAnsi="仿宋" w:eastAsia="仿宋" w:cs="仿宋"/>
          <w:sz w:val="32"/>
          <w:szCs w:val="32"/>
          <w:lang w:val="en-US" w:eastAsia="zh-CN"/>
        </w:rPr>
        <w:t>35</w:t>
      </w:r>
      <w:r>
        <w:rPr>
          <w:rFonts w:hint="eastAsia" w:ascii="仿宋" w:hAnsi="仿宋" w:eastAsia="仿宋" w:cs="仿宋"/>
          <w:sz w:val="32"/>
          <w:szCs w:val="32"/>
        </w:rPr>
        <w:t>万元，用于设备（三坐标测量机）购置93.6万，其中专项资金</w:t>
      </w:r>
      <w:r>
        <w:rPr>
          <w:rFonts w:hint="eastAsia" w:ascii="仿宋" w:hAnsi="仿宋" w:eastAsia="仿宋" w:cs="仿宋"/>
          <w:sz w:val="32"/>
          <w:szCs w:val="32"/>
          <w:lang w:val="en-US" w:eastAsia="zh-CN"/>
        </w:rPr>
        <w:t>35</w:t>
      </w:r>
      <w:r>
        <w:rPr>
          <w:rFonts w:hint="eastAsia" w:ascii="仿宋" w:hAnsi="仿宋" w:eastAsia="仿宋" w:cs="仿宋"/>
          <w:sz w:val="32"/>
          <w:szCs w:val="32"/>
        </w:rPr>
        <w:t>万，自筹资金</w:t>
      </w:r>
      <w:r>
        <w:rPr>
          <w:rFonts w:hint="eastAsia" w:ascii="仿宋" w:hAnsi="仿宋" w:eastAsia="仿宋" w:cs="仿宋"/>
          <w:sz w:val="32"/>
          <w:szCs w:val="32"/>
          <w:lang w:val="en-US" w:eastAsia="zh-CN"/>
        </w:rPr>
        <w:t>58</w:t>
      </w:r>
      <w:r>
        <w:rPr>
          <w:rFonts w:hint="eastAsia" w:ascii="仿宋" w:hAnsi="仿宋" w:eastAsia="仿宋" w:cs="仿宋"/>
          <w:sz w:val="32"/>
          <w:szCs w:val="32"/>
        </w:rPr>
        <w:t>.6万元。</w:t>
      </w:r>
    </w:p>
    <w:p>
      <w:pPr>
        <w:spacing w:line="60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具体专项资金如下：</w:t>
      </w:r>
    </w:p>
    <w:p>
      <w:pPr>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1、2019年度“四上”企业高质量发展评比优秀企业奖5万元；</w:t>
      </w:r>
    </w:p>
    <w:p>
      <w:pPr>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2、2020年就业补助资金（结算）创新创业带动就业资金10万元；</w:t>
      </w:r>
    </w:p>
    <w:p>
      <w:pPr>
        <w:spacing w:line="600" w:lineRule="exact"/>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3、2020年第二批中小企业发展专项资金20万元。</w:t>
      </w:r>
    </w:p>
    <w:p>
      <w:pPr>
        <w:spacing w:line="600" w:lineRule="exact"/>
        <w:rPr>
          <w:rFonts w:ascii="仿宋" w:hAnsi="仿宋" w:eastAsia="仿宋" w:cs="仿宋"/>
          <w:b/>
          <w:sz w:val="32"/>
          <w:szCs w:val="32"/>
        </w:rPr>
      </w:pPr>
      <w:r>
        <w:rPr>
          <w:rFonts w:hint="eastAsia" w:ascii="仿宋" w:hAnsi="仿宋" w:eastAsia="仿宋" w:cs="仿宋"/>
          <w:sz w:val="32"/>
          <w:szCs w:val="32"/>
        </w:rPr>
        <w:t>（二）项目绩效目标。</w:t>
      </w:r>
    </w:p>
    <w:p>
      <w:pPr>
        <w:pStyle w:val="1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湖南恒裕汽车零部件有限公司自成立以来极为重视科技创新和技术研发，为了更好地提升企业的科技创新水平，优选经验丰富和知识水平较高的技术人员组建了一支7人的研发团队，加强对新产品项目的研发力度，提高企业的创新能力，以适应市场发展的需要，形成以企业为主体、市场为导向、产学研紧密结合的完整创新体系，成功申请15项实用新型专利，先后新开发产品40多种，均为企业自主研发。</w:t>
      </w:r>
    </w:p>
    <w:p>
      <w:pPr>
        <w:spacing w:line="600" w:lineRule="exact"/>
        <w:rPr>
          <w:rFonts w:ascii="仿宋" w:hAnsi="仿宋" w:eastAsia="仿宋" w:cs="仿宋"/>
          <w:b/>
          <w:sz w:val="32"/>
          <w:szCs w:val="32"/>
        </w:rPr>
      </w:pPr>
      <w:r>
        <w:rPr>
          <w:rFonts w:hint="eastAsia" w:ascii="仿宋" w:hAnsi="仿宋" w:eastAsia="仿宋" w:cs="仿宋"/>
          <w:b/>
          <w:sz w:val="32"/>
          <w:szCs w:val="32"/>
        </w:rPr>
        <w:t>1、飞轮铸造生产线改造项目</w:t>
      </w:r>
    </w:p>
    <w:p>
      <w:pPr>
        <w:spacing w:line="600" w:lineRule="exact"/>
        <w:ind w:firstLine="643" w:firstLineChars="200"/>
        <w:rPr>
          <w:rFonts w:ascii="仿宋" w:hAnsi="仿宋" w:eastAsia="仿宋" w:cs="仿宋"/>
          <w:sz w:val="32"/>
          <w:szCs w:val="32"/>
        </w:rPr>
      </w:pPr>
      <w:r>
        <w:rPr>
          <w:rFonts w:hint="eastAsia" w:ascii="仿宋" w:hAnsi="仿宋" w:eastAsia="仿宋" w:cs="仿宋"/>
          <w:b/>
          <w:sz w:val="32"/>
          <w:szCs w:val="32"/>
        </w:rPr>
        <w:t>（1）铸造简介：</w:t>
      </w:r>
      <w:r>
        <w:rPr>
          <w:rFonts w:hint="eastAsia" w:ascii="仿宋" w:hAnsi="仿宋" w:eastAsia="仿宋" w:cs="仿宋"/>
          <w:sz w:val="32"/>
          <w:szCs w:val="32"/>
        </w:rPr>
        <w:t>铸造是一种古老的制造方法，在我国可以追溯到6000年前。作为装备制造业基础的铸造行业，铸造装备经过多年的更新换代，各企业的装备水平呈现参差不齐的状态，众企业也针对各自的现状对装备进行改造升级，以应对企业发展过程中遇到的“招人难”“留人难”“环保压力”等社会问题，以及生产效率与成本之间的效益问题等。随着工业技术的发展，铸造技术的发展也很迅速，特别是19世纪末和20世纪上半叶，出现了很多的新的铸造方法，如低压铸造、陶瓷铸造、连续铸造等，在20世纪下半叶得到完善和实用化。由于现今对铸造质量、铸造精度、铸造成本和铸造自动化等要求的提高，铸造技术向着精密化、大型化、高质量、自动化和清洁化的方向发展，例如我国这几年在精密铸造技术、连续铸造技术、特种铸造技术、铸造自动化和铸造成型模拟技术等方面发展迅速。传统的铸造生产线，手动造型、合箱、浇铸、分模、冲砂、清砂等各自独立，没有形成一条完整的自动化生产线，并且，每次只能完成一个工件的成型，自动化程度低、操作环境恶劣、生产效率低，成本高，在生产已经没有竞争力。</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（2） </w:t>
      </w:r>
      <w:r>
        <w:rPr>
          <w:rFonts w:hint="eastAsia" w:ascii="仿宋" w:hAnsi="仿宋" w:eastAsia="仿宋" w:cs="仿宋"/>
          <w:b/>
          <w:sz w:val="32"/>
          <w:szCs w:val="32"/>
        </w:rPr>
        <w:t>项目创新性：</w:t>
      </w:r>
      <w:r>
        <w:rPr>
          <w:rFonts w:hint="eastAsia" w:ascii="仿宋" w:hAnsi="仿宋" w:eastAsia="仿宋" w:cs="仿宋"/>
          <w:sz w:val="32"/>
          <w:szCs w:val="32"/>
        </w:rPr>
        <w:t xml:space="preserve"> 公司为了改变生产过程中遇到的“招人难”“留人难”“环保压力”等问题，于2017年11月份起开始改建飞轮铸造生产线，建设改造项目有自动造型线包括造型主机和砂型输送辅线，铁水环形浇注轨道；砂处理系统；除尘设备一套包含砂处理除尘线和铁水熔炼浇筑除烟除尘线。自动造型线整套设备由造型主机和砂型输送辅线组成。该机是一款代替手工造型的自动造型机，自动化程度高，下芯方便、稳固，双面模板的有效利用率高。该机机构紧凑，外形小巧，采用气流加砂充填技术，液压压实技术，使得造型速度及砂型质量得到提升，造型能力达到60-90型/小时。可以更加高效的生产出大批量、高质量的砂型，所生产的铸件公差范围小，可获得几乎不需打磨的净几何尺寸铸件。</w:t>
      </w:r>
    </w:p>
    <w:p>
      <w:pPr>
        <w:spacing w:line="600" w:lineRule="exact"/>
        <w:ind w:firstLine="643" w:firstLineChars="200"/>
        <w:rPr>
          <w:rFonts w:ascii="仿宋" w:hAnsi="仿宋" w:eastAsia="仿宋" w:cs="仿宋"/>
          <w:sz w:val="32"/>
          <w:szCs w:val="32"/>
        </w:rPr>
      </w:pPr>
      <w:r>
        <w:rPr>
          <w:rFonts w:hint="eastAsia" w:ascii="仿宋" w:hAnsi="仿宋" w:eastAsia="仿宋" w:cs="仿宋"/>
          <w:b/>
          <w:sz w:val="32"/>
          <w:szCs w:val="32"/>
        </w:rPr>
        <w:t>（3）项目已实现或实施情况：</w:t>
      </w:r>
      <w:r>
        <w:rPr>
          <w:rFonts w:hint="eastAsia" w:ascii="仿宋" w:hAnsi="仿宋" w:eastAsia="仿宋" w:cs="仿宋"/>
          <w:sz w:val="32"/>
          <w:szCs w:val="32"/>
        </w:rPr>
        <w:t>该机型在以往水平造型机的基础上进行了机构上的改进，将上、中、下箱同时固定在四根立柱上，保证了合箱精度，解决了错箱问题。砂型输送辅线主要由轨道系统、砂型平板车、套箱、压铁、套箱和压铁转移机构、砂型平板车摆渡车、推缓缸装置、推砂型机、电控系统等组成。自动造型线全线实现砂型造型到浇筑冷却循环到下线出产品自动循环，压铁套箱机械手完成，铁水由环形浇注轨道运输分多工位浇筑快速完成。</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砂处理系统：主要性能指标有①混砂能力：20吨/小时②旧砂能力：20吨/小时。③灰尘排放标准：≤20毫克/立方米。主要设备包括L252振动输送式落砂机、Y33系列皮带输送机、S995悬挂带式永磁分离机、S975永磁头轮，属于二级磁选、Y3725A斗式提升机、S4311精细六角筛、S86系列振动沸腾冷却床、Y41系列带式给料机、Y42系列螺旋给料机、S458直线振动筛沙机、BJS75泵式定量加水器、GS20-55高效转子混砂机、除尘系统。除尘系统采用MC-240和MC-360脉冲反吹布袋除尘器，采用防水拒油针刺毡布袋，过滤效果好，利用压缩空气、脉冲控制仪控制脉冲阀定时反吹，清灰效果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七十年代以来，电子技术广泛地应用到液压锻压领域，新兴的工艺成形方法已有了重大的突破，正处于逐步实用化的阶段。锻件毛坯的精密程度以及为实现毛坯精密化的设备本身，在工作原理、结构型式、传动方式，基础元器件、启动化程度、机组程控和自动化生产线等方面所取得的许多实用性的成果及其应用，都达到了前所未有的高度，揭开了锻压设备发展新的页。新的锻压设备制作锻件的尺寸和形状越来越接近成品零件，从而节约大量金属、减少切削加工量，提高材料利用率和成品的机械性能，从而带来巨大效益。并且可以实现锻压工艺的柔性化、自动化、无人化发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2018年底我公司开始筹划对锻饼工艺进行改进；2019年初投资260万购置了3台液压锻造设备，以及其它配套的加工设备12台套组成了两条全新的锻造生产线。其中一条3600T的液压锻造生产线还购置了一套机械手，已实现上料自动化。</w:t>
      </w:r>
    </w:p>
    <w:p>
      <w:pPr>
        <w:pStyle w:val="10"/>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二、绩效评价工作开展情况</w:t>
      </w:r>
    </w:p>
    <w:p>
      <w:pPr>
        <w:pStyle w:val="1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项目资金投入后，公司成立以董事长为组长，各部门负责人为成员的绩效评估工作领导小组，对项目投入后设备运行情况、操作人员的培训情况、产量产值等情况进行实时跟踪评估，在评估过程中对存在的问题及时修正和完善，通过评估，相关指标达到预定目标（评估结果见自评表）。</w:t>
      </w:r>
    </w:p>
    <w:p>
      <w:pPr>
        <w:pStyle w:val="10"/>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三、综合评价情况及评价结论（附相关评分表）</w:t>
      </w:r>
    </w:p>
    <w:p>
      <w:pPr>
        <w:pStyle w:val="1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经评估，结果为优（评估结果见自评表）。</w:t>
      </w:r>
    </w:p>
    <w:p>
      <w:pPr>
        <w:pStyle w:val="10"/>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四、绩效评价指标分析</w:t>
      </w:r>
    </w:p>
    <w:p>
      <w:pPr>
        <w:pStyle w:val="1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通过对评价指标综合分析，总体情况良好，各项指标均达到预期目标，特别是解决了140人的就业问题，缓解了社会就业压力，为社会经济发展提供了良好的社会效益，同时因技改提高了产量及营业收入，增加了税收。</w:t>
      </w:r>
    </w:p>
    <w:p>
      <w:pPr>
        <w:pStyle w:val="10"/>
        <w:numPr>
          <w:ilvl w:val="0"/>
          <w:numId w:val="1"/>
        </w:numPr>
        <w:spacing w:line="600" w:lineRule="exact"/>
        <w:ind w:firstLine="643" w:firstLineChars="200"/>
        <w:rPr>
          <w:rFonts w:ascii="Times New Roman" w:hAnsi="Times New Roman" w:eastAsia="楷体"/>
          <w:b/>
          <w:sz w:val="32"/>
          <w:szCs w:val="32"/>
        </w:rPr>
      </w:pPr>
      <w:r>
        <w:rPr>
          <w:rFonts w:ascii="Times New Roman" w:hAnsi="Times New Roman" w:eastAsia="楷体"/>
          <w:b/>
          <w:sz w:val="32"/>
          <w:szCs w:val="32"/>
        </w:rPr>
        <w:t>主要经验及做法、存在的问题及原因分析</w:t>
      </w:r>
    </w:p>
    <w:p>
      <w:pPr>
        <w:pStyle w:val="10"/>
        <w:numPr>
          <w:ilvl w:val="0"/>
          <w:numId w:val="2"/>
        </w:numPr>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通过技改，提升了企业产品质量和产量，增强了企业在市场中的竞争力。</w:t>
      </w:r>
    </w:p>
    <w:p>
      <w:pPr>
        <w:pStyle w:val="10"/>
        <w:numPr>
          <w:ilvl w:val="0"/>
          <w:numId w:val="2"/>
        </w:numPr>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改善了一线员工的生产条件，提高了劳动生产率，增加了员工收入。</w:t>
      </w:r>
    </w:p>
    <w:p>
      <w:pPr>
        <w:pStyle w:val="10"/>
        <w:numPr>
          <w:ilvl w:val="0"/>
          <w:numId w:val="2"/>
        </w:numPr>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增加了税收，使政府对企业的投入得到回报，创造了更多的经济效益和社会效益。</w:t>
      </w:r>
    </w:p>
    <w:p>
      <w:pPr>
        <w:pStyle w:val="10"/>
        <w:numPr>
          <w:ilvl w:val="0"/>
          <w:numId w:val="1"/>
        </w:numPr>
        <w:spacing w:line="600" w:lineRule="exact"/>
        <w:ind w:firstLine="643" w:firstLineChars="200"/>
        <w:rPr>
          <w:rFonts w:ascii="Times New Roman" w:hAnsi="Times New Roman" w:eastAsia="楷体"/>
          <w:b/>
          <w:sz w:val="32"/>
          <w:szCs w:val="32"/>
        </w:rPr>
      </w:pPr>
      <w:r>
        <w:rPr>
          <w:rFonts w:ascii="Times New Roman" w:hAnsi="Times New Roman" w:eastAsia="楷体"/>
          <w:b/>
          <w:sz w:val="32"/>
          <w:szCs w:val="32"/>
        </w:rPr>
        <w:t>有关建议</w:t>
      </w:r>
    </w:p>
    <w:p>
      <w:pPr>
        <w:pStyle w:val="10"/>
        <w:spacing w:line="600" w:lineRule="exact"/>
        <w:ind w:left="420" w:leftChars="200"/>
        <w:rPr>
          <w:rFonts w:ascii="Times New Roman" w:hAnsi="Times New Roman" w:eastAsia="楷体"/>
          <w:bCs/>
          <w:sz w:val="32"/>
          <w:szCs w:val="32"/>
        </w:rPr>
      </w:pPr>
      <w:r>
        <w:rPr>
          <w:rFonts w:hint="eastAsia" w:ascii="Times New Roman" w:hAnsi="Times New Roman" w:eastAsia="楷体"/>
          <w:bCs/>
          <w:sz w:val="32"/>
          <w:szCs w:val="32"/>
        </w:rPr>
        <w:t>政府继续加大对企业的技改投入，增强企业在市场中的竞争力。</w:t>
      </w:r>
    </w:p>
    <w:p>
      <w:pPr>
        <w:pStyle w:val="10"/>
        <w:spacing w:line="60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10"/>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无</w:t>
      </w:r>
    </w:p>
    <w:p>
      <w:pPr>
        <w:widowControl/>
        <w:spacing w:line="600" w:lineRule="exact"/>
        <w:ind w:firstLine="645"/>
        <w:jc w:val="left"/>
        <w:rPr>
          <w:rFonts w:ascii="仿宋" w:hAnsi="仿宋" w:eastAsia="仿宋" w:cs="仿宋"/>
          <w:sz w:val="32"/>
          <w:szCs w:val="32"/>
        </w:rPr>
      </w:pPr>
      <w:r>
        <w:rPr>
          <w:rFonts w:hint="eastAsia" w:ascii="仿宋" w:hAnsi="仿宋" w:eastAsia="仿宋" w:cs="仿宋"/>
          <w:sz w:val="32"/>
          <w:szCs w:val="32"/>
        </w:rPr>
        <w:t>附件：1.项目支出绩效自评表</w:t>
      </w:r>
    </w:p>
    <w:p>
      <w:pPr>
        <w:widowControl/>
        <w:spacing w:line="600" w:lineRule="exact"/>
        <w:ind w:firstLine="1600" w:firstLineChars="500"/>
        <w:jc w:val="left"/>
        <w:rPr>
          <w:rFonts w:ascii="仿宋" w:hAnsi="仿宋" w:eastAsia="仿宋" w:cs="仿宋"/>
          <w:sz w:val="32"/>
          <w:szCs w:val="32"/>
        </w:rPr>
      </w:pPr>
      <w:r>
        <w:rPr>
          <w:rFonts w:hint="eastAsia" w:ascii="仿宋" w:hAnsi="仿宋" w:eastAsia="仿宋" w:cs="仿宋"/>
          <w:sz w:val="32"/>
          <w:szCs w:val="32"/>
        </w:rPr>
        <w:t>2.项目支出绩效评价指标</w:t>
      </w:r>
      <w:r>
        <w:rPr>
          <w:rFonts w:hint="eastAsia" w:ascii="仿宋" w:hAnsi="仿宋" w:eastAsia="仿宋" w:cs="仿宋"/>
          <w:bCs/>
          <w:color w:val="000000"/>
          <w:kern w:val="0"/>
          <w:sz w:val="32"/>
          <w:szCs w:val="32"/>
        </w:rPr>
        <w:t>评分表</w:t>
      </w:r>
    </w:p>
    <w:p>
      <w:pPr>
        <w:spacing w:line="600" w:lineRule="exact"/>
        <w:rPr>
          <w:rFonts w:ascii="仿宋" w:hAnsi="仿宋" w:eastAsia="仿宋" w:cs="仿宋"/>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5"/>
        <w:tblW w:w="9637" w:type="dxa"/>
        <w:jc w:val="center"/>
        <w:tblLayout w:type="fixed"/>
        <w:tblCellMar>
          <w:top w:w="0" w:type="dxa"/>
          <w:left w:w="108" w:type="dxa"/>
          <w:bottom w:w="0" w:type="dxa"/>
          <w:right w:w="108" w:type="dxa"/>
        </w:tblCellMar>
      </w:tblPr>
      <w:tblGrid>
        <w:gridCol w:w="617"/>
        <w:gridCol w:w="1029"/>
        <w:gridCol w:w="1250"/>
        <w:gridCol w:w="685"/>
        <w:gridCol w:w="1191"/>
        <w:gridCol w:w="298"/>
        <w:gridCol w:w="1180"/>
        <w:gridCol w:w="903"/>
        <w:gridCol w:w="347"/>
        <w:gridCol w:w="622"/>
        <w:gridCol w:w="669"/>
        <w:gridCol w:w="846"/>
      </w:tblGrid>
      <w:tr>
        <w:tblPrEx>
          <w:tblCellMar>
            <w:top w:w="0" w:type="dxa"/>
            <w:left w:w="108" w:type="dxa"/>
            <w:bottom w:w="0" w:type="dxa"/>
            <w:right w:w="108" w:type="dxa"/>
          </w:tblCellMar>
        </w:tblPrEx>
        <w:trPr>
          <w:trHeight w:val="349" w:hRule="exact"/>
          <w:jc w:val="center"/>
        </w:trPr>
        <w:tc>
          <w:tcPr>
            <w:tcW w:w="9637" w:type="dxa"/>
            <w:gridSpan w:val="12"/>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637" w:type="dxa"/>
            <w:gridSpan w:val="12"/>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0"/>
                <w:szCs w:val="20"/>
              </w:rPr>
              <w:t>（</w:t>
            </w:r>
            <w:r>
              <w:rPr>
                <w:rFonts w:hint="eastAsia" w:ascii="Times New Roman" w:hAnsi="Times New Roman"/>
                <w:kern w:val="0"/>
                <w:sz w:val="20"/>
                <w:szCs w:val="20"/>
              </w:rPr>
              <w:t>2020</w:t>
            </w:r>
            <w:r>
              <w:rPr>
                <w:rFonts w:ascii="Times New Roman" w:hAnsi="Times New Roman"/>
                <w:kern w:val="0"/>
                <w:sz w:val="20"/>
                <w:szCs w:val="20"/>
              </w:rPr>
              <w:t>年度）</w:t>
            </w:r>
          </w:p>
        </w:tc>
      </w:tr>
      <w:tr>
        <w:tblPrEx>
          <w:tblCellMar>
            <w:top w:w="0" w:type="dxa"/>
            <w:left w:w="108" w:type="dxa"/>
            <w:bottom w:w="0" w:type="dxa"/>
            <w:right w:w="108" w:type="dxa"/>
          </w:tblCellMar>
        </w:tblPrEx>
        <w:trPr>
          <w:trHeight w:val="300" w:hRule="exact"/>
          <w:jc w:val="center"/>
        </w:trPr>
        <w:tc>
          <w:tcPr>
            <w:tcW w:w="164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91"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汽零飞轮、齿圈生产线技术升级改造</w:t>
            </w:r>
          </w:p>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w:t>
            </w:r>
          </w:p>
        </w:tc>
      </w:tr>
      <w:tr>
        <w:tblPrEx>
          <w:tblCellMar>
            <w:top w:w="0" w:type="dxa"/>
            <w:left w:w="108" w:type="dxa"/>
            <w:bottom w:w="0" w:type="dxa"/>
            <w:right w:w="108" w:type="dxa"/>
          </w:tblCellMar>
        </w:tblPrEx>
        <w:trPr>
          <w:trHeight w:val="375" w:hRule="exact"/>
          <w:jc w:val="center"/>
        </w:trPr>
        <w:tc>
          <w:tcPr>
            <w:tcW w:w="164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60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中方县商务科技和工业信息化局</w:t>
            </w:r>
          </w:p>
        </w:tc>
        <w:tc>
          <w:tcPr>
            <w:tcW w:w="903"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实施单位</w:t>
            </w:r>
          </w:p>
        </w:tc>
        <w:tc>
          <w:tcPr>
            <w:tcW w:w="2484" w:type="dxa"/>
            <w:gridSpan w:val="4"/>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hint="eastAsia" w:ascii="Times New Roman" w:hAnsi="Times New Roman"/>
                <w:kern w:val="0"/>
                <w:sz w:val="15"/>
                <w:szCs w:val="15"/>
              </w:rPr>
              <w:t>湖南恒裕汽车零部件有限公司</w:t>
            </w:r>
          </w:p>
        </w:tc>
      </w:tr>
      <w:tr>
        <w:tblPrEx>
          <w:tblCellMar>
            <w:top w:w="0" w:type="dxa"/>
            <w:left w:w="108" w:type="dxa"/>
            <w:bottom w:w="0" w:type="dxa"/>
            <w:right w:w="108" w:type="dxa"/>
          </w:tblCellMar>
        </w:tblPrEx>
        <w:trPr>
          <w:trHeight w:val="436" w:hRule="exact"/>
          <w:jc w:val="center"/>
        </w:trPr>
        <w:tc>
          <w:tcPr>
            <w:tcW w:w="164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9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7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90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84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6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3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9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93.6</w:t>
            </w:r>
          </w:p>
        </w:tc>
        <w:tc>
          <w:tcPr>
            <w:tcW w:w="147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93.6</w:t>
            </w:r>
          </w:p>
        </w:tc>
        <w:tc>
          <w:tcPr>
            <w:tcW w:w="90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93.6</w:t>
            </w: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6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84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300" w:hRule="exact"/>
          <w:jc w:val="center"/>
        </w:trPr>
        <w:tc>
          <w:tcPr>
            <w:tcW w:w="16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9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35</w:t>
            </w:r>
          </w:p>
        </w:tc>
        <w:tc>
          <w:tcPr>
            <w:tcW w:w="147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35</w:t>
            </w:r>
          </w:p>
        </w:tc>
        <w:tc>
          <w:tcPr>
            <w:tcW w:w="903"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35</w:t>
            </w: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6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6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9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7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0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6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6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9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7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0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6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617"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63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38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362" w:hRule="exact"/>
          <w:jc w:val="center"/>
        </w:trPr>
        <w:tc>
          <w:tcPr>
            <w:tcW w:w="61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3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设备改造完成后预计年新增产量4万件，全年总目标50万件</w:t>
            </w:r>
          </w:p>
        </w:tc>
        <w:tc>
          <w:tcPr>
            <w:tcW w:w="338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554517</w:t>
            </w:r>
          </w:p>
        </w:tc>
      </w:tr>
      <w:tr>
        <w:tblPrEx>
          <w:tblCellMar>
            <w:top w:w="0" w:type="dxa"/>
            <w:left w:w="108" w:type="dxa"/>
            <w:bottom w:w="0" w:type="dxa"/>
            <w:right w:w="108" w:type="dxa"/>
          </w:tblCellMar>
        </w:tblPrEx>
        <w:trPr>
          <w:trHeight w:val="728" w:hRule="exact"/>
          <w:jc w:val="center"/>
        </w:trPr>
        <w:tc>
          <w:tcPr>
            <w:tcW w:w="617"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102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25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产量</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50</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55</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产值</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5500万元</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6000万元</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产品的使用寿命</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5年</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5年</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37"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09"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劳动生产率</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42.5万元/人</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43.3万元/人</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营业利润</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25%</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25"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25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营业收入</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6000</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6497</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净利润</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1000</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1398</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669"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hint="eastAsia" w:ascii="Times New Roman" w:hAnsi="Times New Roman"/>
                <w:kern w:val="0"/>
                <w:sz w:val="18"/>
                <w:szCs w:val="18"/>
              </w:rPr>
              <w:t xml:space="preserve">  8</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38"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解决就业人数</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125</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140</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上交税收</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13"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环境质量</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达标</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达标</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25"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生产总值</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5500万元</w:t>
            </w: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6000万元</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5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25"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75"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2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客户满意度</w:t>
            </w:r>
          </w:p>
        </w:tc>
        <w:tc>
          <w:tcPr>
            <w:tcW w:w="11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5"/>
                <w:szCs w:val="15"/>
              </w:rPr>
              <w:t>非常满意、满意、一般</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非常满意</w:t>
            </w:r>
          </w:p>
        </w:tc>
        <w:tc>
          <w:tcPr>
            <w:tcW w:w="62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6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17"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p>
            <w:pPr>
              <w:widowControl/>
              <w:spacing w:line="240" w:lineRule="exact"/>
              <w:jc w:val="left"/>
              <w:rPr>
                <w:rFonts w:ascii="Times New Roman" w:hAnsi="Times New Roman"/>
                <w:color w:val="000000"/>
                <w:kern w:val="0"/>
                <w:sz w:val="18"/>
                <w:szCs w:val="18"/>
              </w:rPr>
            </w:pPr>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25" w:hRule="exact"/>
          <w:jc w:val="center"/>
        </w:trPr>
        <w:tc>
          <w:tcPr>
            <w:tcW w:w="617" w:type="dxa"/>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29" w:type="dxa"/>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7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bookmarkStart w:id="0" w:name="_GoBack"/>
            <w:bookmarkEnd w:id="0"/>
          </w:p>
        </w:tc>
        <w:tc>
          <w:tcPr>
            <w:tcW w:w="11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5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7500"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2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100</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100</w:t>
            </w:r>
          </w:p>
        </w:tc>
        <w:tc>
          <w:tcPr>
            <w:tcW w:w="8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tbl>
      <w:tblPr>
        <w:tblStyle w:val="5"/>
        <w:tblpPr w:leftFromText="180" w:rightFromText="180" w:vertAnchor="text" w:horzAnchor="margin" w:tblpY="482"/>
        <w:tblW w:w="9540" w:type="dxa"/>
        <w:tblInd w:w="0"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w:t>
      </w:r>
      <w:r>
        <w:rPr>
          <w:rFonts w:ascii="Times New Roman" w:hAnsi="Times New Roman"/>
          <w:color w:val="000000"/>
          <w:kern w:val="0"/>
          <w:sz w:val="18"/>
          <w:szCs w:val="18"/>
        </w:rPr>
        <w:br w:type="page"/>
      </w:r>
      <w:r>
        <w:rPr>
          <w:sz w:val="18"/>
        </w:rPr>
        <w:pict>
          <v:rect id="矩形 1035" o:spid="_x0000_s2050" o:spt="1" style="position:absolute;left:0pt;margin-left:-8.5pt;margin-top:14.6pt;height:9.75pt;width:504pt;z-index:251659264;mso-width-relative:page;mso-height-relative:page;" stroked="t" coordsize="21600,21600">
            <v:path/>
            <v:fill focussize="0,0"/>
            <v:stroke color="#FFFFFF"/>
            <v:imagedata o:title=""/>
            <o:lock v:ext="edit"/>
            <v:textbox>
              <w:txbxContent>
                <w:p/>
              </w:txbxContent>
            </v:textbox>
          </v:rect>
        </w:pict>
      </w:r>
    </w:p>
    <w:p>
      <w:pPr>
        <w:rPr>
          <w:rFonts w:ascii="Times New Roman" w:hAnsi="Times New Roman" w:eastAsia="黑体"/>
        </w:rPr>
        <w:sectPr>
          <w:pgSz w:w="11906" w:h="16838"/>
          <w:pgMar w:top="1587" w:right="1587" w:bottom="1587" w:left="1587" w:header="737" w:footer="850" w:gutter="0"/>
          <w:cols w:space="720" w:num="1"/>
          <w:docGrid w:type="lines" w:linePitch="408" w:charSpace="0"/>
        </w:sectPr>
      </w:pP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项目支出绩效评价共性指标表（参考）</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99</w:t>
            </w: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Pr>
        <w:spacing w:line="600" w:lineRule="exact"/>
        <w:rPr>
          <w:rFonts w:ascii="Times New Roman" w:hAnsi="Times New Roman"/>
          <w:bCs/>
          <w:sz w:val="32"/>
          <w:szCs w:val="32"/>
        </w:rPr>
        <w:sectPr>
          <w:pgSz w:w="16838" w:h="11906" w:orient="landscape"/>
          <w:pgMar w:top="1531" w:right="1928" w:bottom="1531" w:left="1701" w:header="737" w:footer="851" w:gutter="0"/>
          <w:cols w:space="720" w:num="1"/>
          <w:docGrid w:type="lines" w:linePitch="408" w:charSpace="0"/>
        </w:sectPr>
      </w:pPr>
    </w:p>
    <w:p>
      <w:pPr>
        <w:pStyle w:val="10"/>
        <w:spacing w:line="510" w:lineRule="exact"/>
        <w:ind w:firstLine="960" w:firstLineChars="300"/>
        <w:jc w:val="center"/>
        <w:rPr>
          <w:rFonts w:ascii="仿宋" w:hAnsi="仿宋" w:eastAsia="仿宋" w:cs="仿宋"/>
          <w:sz w:val="32"/>
          <w:szCs w:val="32"/>
        </w:rPr>
      </w:pPr>
    </w:p>
    <w:sectPr>
      <w:pgSz w:w="11906" w:h="16838"/>
      <w:pgMar w:top="1474" w:right="1474" w:bottom="1474" w:left="1474" w:header="851" w:footer="1361" w:gutter="0"/>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242AE7"/>
    <w:multiLevelType w:val="singleLevel"/>
    <w:tmpl w:val="8D242AE7"/>
    <w:lvl w:ilvl="0" w:tentative="0">
      <w:start w:val="1"/>
      <w:numFmt w:val="decimal"/>
      <w:suff w:val="nothing"/>
      <w:lvlText w:val="%1、"/>
      <w:lvlJc w:val="left"/>
    </w:lvl>
  </w:abstractNum>
  <w:abstractNum w:abstractNumId="1">
    <w:nsid w:val="9A3ACB8C"/>
    <w:multiLevelType w:val="singleLevel"/>
    <w:tmpl w:val="9A3ACB8C"/>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34A15"/>
    <w:rsid w:val="001B79C0"/>
    <w:rsid w:val="00334A15"/>
    <w:rsid w:val="004A2684"/>
    <w:rsid w:val="005A3630"/>
    <w:rsid w:val="00862660"/>
    <w:rsid w:val="009262F4"/>
    <w:rsid w:val="00B23B47"/>
    <w:rsid w:val="00BE3A48"/>
    <w:rsid w:val="00C00A39"/>
    <w:rsid w:val="00CD2165"/>
    <w:rsid w:val="00F31065"/>
    <w:rsid w:val="04593AB3"/>
    <w:rsid w:val="07A609B8"/>
    <w:rsid w:val="08E84556"/>
    <w:rsid w:val="09B2676D"/>
    <w:rsid w:val="09E86447"/>
    <w:rsid w:val="0CD53F1F"/>
    <w:rsid w:val="10CE5EFB"/>
    <w:rsid w:val="11E556C7"/>
    <w:rsid w:val="13475E52"/>
    <w:rsid w:val="17031EC6"/>
    <w:rsid w:val="181A6418"/>
    <w:rsid w:val="1DA42F57"/>
    <w:rsid w:val="21323794"/>
    <w:rsid w:val="219708F5"/>
    <w:rsid w:val="22830032"/>
    <w:rsid w:val="2CAA60CE"/>
    <w:rsid w:val="2F4D207E"/>
    <w:rsid w:val="2F6B6DE0"/>
    <w:rsid w:val="305F7420"/>
    <w:rsid w:val="34720B8F"/>
    <w:rsid w:val="36221641"/>
    <w:rsid w:val="380E00F7"/>
    <w:rsid w:val="382A5EC6"/>
    <w:rsid w:val="384658DF"/>
    <w:rsid w:val="3D267E8A"/>
    <w:rsid w:val="40B402EA"/>
    <w:rsid w:val="43ED0DEF"/>
    <w:rsid w:val="46BA0F96"/>
    <w:rsid w:val="46CA55B0"/>
    <w:rsid w:val="478D4A8B"/>
    <w:rsid w:val="4B7A1FB5"/>
    <w:rsid w:val="4BFF24F7"/>
    <w:rsid w:val="4CBE783A"/>
    <w:rsid w:val="4EDD2F31"/>
    <w:rsid w:val="51D47B7F"/>
    <w:rsid w:val="55A4176E"/>
    <w:rsid w:val="5BCC7E0E"/>
    <w:rsid w:val="5D7A16D9"/>
    <w:rsid w:val="5F4215C5"/>
    <w:rsid w:val="60DE1FAD"/>
    <w:rsid w:val="619125CE"/>
    <w:rsid w:val="636F4748"/>
    <w:rsid w:val="64A5450C"/>
    <w:rsid w:val="651B5801"/>
    <w:rsid w:val="65A850CF"/>
    <w:rsid w:val="66D538E5"/>
    <w:rsid w:val="6A300CF0"/>
    <w:rsid w:val="6A9E2B4F"/>
    <w:rsid w:val="6D340ABC"/>
    <w:rsid w:val="6D9018E0"/>
    <w:rsid w:val="6F476A27"/>
    <w:rsid w:val="7047750E"/>
    <w:rsid w:val="710506F0"/>
    <w:rsid w:val="73540E8F"/>
    <w:rsid w:val="73A1074C"/>
    <w:rsid w:val="74CE3B7C"/>
    <w:rsid w:val="75B07F2B"/>
    <w:rsid w:val="7AFB40E9"/>
    <w:rsid w:val="7B94023A"/>
    <w:rsid w:val="7C0D29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标题 2 Char"/>
    <w:basedOn w:val="6"/>
    <w:link w:val="2"/>
    <w:qFormat/>
    <w:uiPriority w:val="0"/>
    <w:rPr>
      <w:rFonts w:ascii="Arial" w:hAnsi="Arial" w:eastAsia="黑体" w:cs="Times New Roman"/>
      <w:b/>
      <w:sz w:val="32"/>
      <w:szCs w:val="24"/>
    </w:rPr>
  </w:style>
  <w:style w:type="paragraph" w:styleId="10">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1135</Words>
  <Characters>6470</Characters>
  <Lines>53</Lines>
  <Paragraphs>15</Paragraphs>
  <TotalTime>0</TotalTime>
  <ScaleCrop>false</ScaleCrop>
  <LinksUpToDate>false</LinksUpToDate>
  <CharactersWithSpaces>7590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2021-08-17T01:59:00Z</dcterms:created>
  <dc:creator>PC</dc:creator>
  <cp:lastModifiedBy>Administrator</cp:lastModifiedBy>
  <dcterms:modified xsi:type="dcterms:W3CDTF">2021-09-09T03:02:36Z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EFB8EDCAA0464B24B7CEF736DD062005</vt:lpwstr>
  </property>
</Properties>
</file>