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0A9" w:rsidRDefault="001C6524">
      <w:pPr>
        <w:pStyle w:val="a5"/>
        <w:spacing w:line="600" w:lineRule="exact"/>
        <w:jc w:val="center"/>
        <w:rPr>
          <w:rFonts w:ascii="黑体" w:eastAsia="黑体" w:hAnsi="黑体" w:cs="方正小标宋简体"/>
          <w:color w:val="000000"/>
          <w:kern w:val="0"/>
          <w:sz w:val="44"/>
          <w:szCs w:val="44"/>
        </w:rPr>
      </w:pPr>
      <w:r>
        <w:rPr>
          <w:rFonts w:ascii="黑体" w:eastAsia="黑体" w:hAnsi="黑体" w:cs="方正小标宋简体" w:hint="eastAsia"/>
          <w:color w:val="000000"/>
          <w:kern w:val="0"/>
          <w:sz w:val="44"/>
          <w:szCs w:val="44"/>
        </w:rPr>
        <w:t>中方县中海油料有限公司桐运加油站</w:t>
      </w:r>
    </w:p>
    <w:p w:rsidR="004D60A9" w:rsidRDefault="00640F8C">
      <w:pPr>
        <w:pStyle w:val="a5"/>
        <w:spacing w:line="600" w:lineRule="exact"/>
        <w:jc w:val="center"/>
        <w:rPr>
          <w:rFonts w:ascii="黑体" w:eastAsia="黑体" w:hAnsi="黑体" w:cs="方正小标宋简体"/>
          <w:color w:val="000000"/>
          <w:kern w:val="0"/>
          <w:sz w:val="44"/>
          <w:szCs w:val="44"/>
        </w:rPr>
      </w:pPr>
      <w:r w:rsidRPr="00640F8C">
        <w:rPr>
          <w:rFonts w:ascii="黑体" w:eastAsia="黑体" w:hAnsi="黑体" w:cs="方正小标宋简体" w:hint="eastAsia"/>
          <w:color w:val="000000"/>
          <w:kern w:val="0"/>
          <w:sz w:val="44"/>
          <w:szCs w:val="44"/>
        </w:rPr>
        <w:t>2020年就业补助资金（结算）创新创业带动就业</w:t>
      </w:r>
      <w:r w:rsidR="001C6524">
        <w:rPr>
          <w:rFonts w:ascii="黑体" w:eastAsia="黑体" w:hAnsi="黑体" w:cs="方正小标宋简体" w:hint="eastAsia"/>
          <w:color w:val="000000"/>
          <w:kern w:val="0"/>
          <w:sz w:val="44"/>
          <w:szCs w:val="44"/>
        </w:rPr>
        <w:t>绩效评价报告</w:t>
      </w:r>
    </w:p>
    <w:p w:rsidR="004D60A9" w:rsidRPr="00640F8C" w:rsidRDefault="004D60A9">
      <w:pPr>
        <w:pStyle w:val="a5"/>
        <w:spacing w:line="600" w:lineRule="exact"/>
        <w:ind w:firstLineChars="300" w:firstLine="1320"/>
        <w:jc w:val="center"/>
        <w:rPr>
          <w:rFonts w:ascii="仿宋" w:eastAsia="仿宋" w:hAnsi="仿宋" w:cs="黑体"/>
          <w:color w:val="000000"/>
          <w:kern w:val="0"/>
          <w:sz w:val="44"/>
          <w:szCs w:val="44"/>
        </w:rPr>
      </w:pPr>
    </w:p>
    <w:p w:rsidR="004D60A9" w:rsidRDefault="001C6524">
      <w:pPr>
        <w:numPr>
          <w:ilvl w:val="0"/>
          <w:numId w:val="1"/>
        </w:numPr>
        <w:spacing w:line="600" w:lineRule="exact"/>
        <w:ind w:firstLineChars="200" w:firstLine="643"/>
        <w:rPr>
          <w:rFonts w:ascii="仿宋" w:eastAsia="仿宋" w:hAnsi="仿宋"/>
          <w:b/>
          <w:sz w:val="32"/>
          <w:szCs w:val="32"/>
        </w:rPr>
      </w:pPr>
      <w:r>
        <w:rPr>
          <w:rFonts w:ascii="仿宋" w:eastAsia="仿宋" w:hAnsi="仿宋" w:cs="黑体" w:hint="eastAsia"/>
          <w:b/>
          <w:bCs/>
          <w:sz w:val="32"/>
          <w:szCs w:val="32"/>
        </w:rPr>
        <w:t>单位基本情况</w:t>
      </w:r>
      <w:r>
        <w:rPr>
          <w:rFonts w:ascii="仿宋" w:eastAsia="仿宋" w:hAnsi="仿宋" w:cs="黑体" w:hint="eastAsia"/>
          <w:b/>
          <w:bCs/>
          <w:sz w:val="32"/>
          <w:szCs w:val="32"/>
        </w:rPr>
        <w:t xml:space="preserve">                                 </w:t>
      </w:r>
    </w:p>
    <w:p w:rsidR="004D60A9" w:rsidRDefault="001C6524">
      <w:pPr>
        <w:spacing w:line="560" w:lineRule="exact"/>
        <w:ind w:firstLineChars="200" w:firstLine="640"/>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中方县中海油料有限公司桐运加油站</w:t>
      </w:r>
      <w:r>
        <w:rPr>
          <w:rFonts w:ascii="仿宋" w:eastAsia="仿宋" w:hAnsi="仿宋" w:hint="eastAsia"/>
          <w:sz w:val="32"/>
          <w:szCs w:val="32"/>
        </w:rPr>
        <w:t>位于</w:t>
      </w:r>
      <w:r>
        <w:rPr>
          <w:rFonts w:ascii="仿宋" w:eastAsia="仿宋" w:hAnsi="仿宋" w:hint="eastAsia"/>
          <w:sz w:val="32"/>
          <w:szCs w:val="32"/>
        </w:rPr>
        <w:t>中方县桐木镇桐木村省道</w:t>
      </w:r>
      <w:r>
        <w:rPr>
          <w:rFonts w:ascii="仿宋" w:eastAsia="仿宋" w:hAnsi="仿宋" w:hint="eastAsia"/>
          <w:sz w:val="32"/>
          <w:szCs w:val="32"/>
        </w:rPr>
        <w:t>S223</w:t>
      </w:r>
      <w:r>
        <w:rPr>
          <w:rFonts w:ascii="仿宋" w:eastAsia="仿宋" w:hAnsi="仿宋" w:hint="eastAsia"/>
          <w:sz w:val="32"/>
          <w:szCs w:val="32"/>
        </w:rPr>
        <w:t>旁，该公司成立于</w:t>
      </w:r>
      <w:r>
        <w:rPr>
          <w:rFonts w:ascii="仿宋" w:eastAsia="仿宋" w:hAnsi="仿宋" w:hint="eastAsia"/>
          <w:sz w:val="32"/>
          <w:szCs w:val="32"/>
        </w:rPr>
        <w:t>2016</w:t>
      </w:r>
      <w:r>
        <w:rPr>
          <w:rFonts w:ascii="仿宋" w:eastAsia="仿宋" w:hAnsi="仿宋" w:hint="eastAsia"/>
          <w:sz w:val="32"/>
          <w:szCs w:val="32"/>
        </w:rPr>
        <w:t>年</w:t>
      </w:r>
      <w:r>
        <w:rPr>
          <w:rFonts w:ascii="仿宋" w:eastAsia="仿宋" w:hAnsi="仿宋" w:hint="eastAsia"/>
          <w:sz w:val="32"/>
          <w:szCs w:val="32"/>
        </w:rPr>
        <w:t>10</w:t>
      </w:r>
      <w:r>
        <w:rPr>
          <w:rFonts w:ascii="仿宋" w:eastAsia="仿宋" w:hAnsi="仿宋" w:hint="eastAsia"/>
          <w:sz w:val="32"/>
          <w:szCs w:val="32"/>
        </w:rPr>
        <w:t>月</w:t>
      </w:r>
      <w:r>
        <w:rPr>
          <w:rFonts w:ascii="仿宋" w:eastAsia="仿宋" w:hAnsi="仿宋" w:hint="eastAsia"/>
          <w:sz w:val="32"/>
          <w:szCs w:val="32"/>
        </w:rPr>
        <w:t>17</w:t>
      </w:r>
      <w:r>
        <w:rPr>
          <w:rFonts w:ascii="仿宋" w:eastAsia="仿宋" w:hAnsi="仿宋" w:hint="eastAsia"/>
          <w:sz w:val="32"/>
          <w:szCs w:val="32"/>
        </w:rPr>
        <w:t>日，</w:t>
      </w:r>
      <w:r>
        <w:rPr>
          <w:rFonts w:ascii="仿宋" w:eastAsia="仿宋" w:hAnsi="仿宋" w:hint="eastAsia"/>
          <w:sz w:val="32"/>
          <w:szCs w:val="32"/>
        </w:rPr>
        <w:t>通过相关职能部门的审批，桐运加油站在办理完相关建设手续并完成加油站建设后，经过相关部门验收合格于</w:t>
      </w:r>
      <w:r>
        <w:rPr>
          <w:rFonts w:ascii="仿宋" w:eastAsia="仿宋" w:hAnsi="仿宋" w:hint="eastAsia"/>
          <w:sz w:val="32"/>
          <w:szCs w:val="32"/>
        </w:rPr>
        <w:t>2019</w:t>
      </w:r>
      <w:r>
        <w:rPr>
          <w:rFonts w:ascii="仿宋" w:eastAsia="仿宋" w:hAnsi="仿宋" w:hint="eastAsia"/>
          <w:sz w:val="32"/>
          <w:szCs w:val="32"/>
        </w:rPr>
        <w:t>年取得了《危险化学品经营许证》与《成品油零售经营批准证书》，现已正式营业。</w:t>
      </w:r>
      <w:r>
        <w:rPr>
          <w:rFonts w:ascii="仿宋" w:eastAsia="仿宋" w:hAnsi="仿宋" w:hint="eastAsia"/>
          <w:sz w:val="32"/>
          <w:szCs w:val="32"/>
        </w:rPr>
        <w:t>主要经营：加油站筹备建设，车用燃油（柴油、汽油）、润滑油、日用百货、饮料、杂志、烟草、车辆养护用品、车辆清洗等，现有员工</w:t>
      </w:r>
      <w:r>
        <w:rPr>
          <w:rFonts w:ascii="仿宋" w:eastAsia="仿宋" w:hAnsi="仿宋" w:hint="eastAsia"/>
          <w:sz w:val="32"/>
          <w:szCs w:val="32"/>
        </w:rPr>
        <w:t>22</w:t>
      </w:r>
      <w:r>
        <w:rPr>
          <w:rFonts w:ascii="仿宋" w:eastAsia="仿宋" w:hAnsi="仿宋" w:hint="eastAsia"/>
          <w:sz w:val="32"/>
          <w:szCs w:val="32"/>
        </w:rPr>
        <w:t>人，加油站实行</w:t>
      </w:r>
      <w:r>
        <w:rPr>
          <w:rFonts w:ascii="仿宋" w:eastAsia="仿宋" w:hAnsi="仿宋" w:hint="eastAsia"/>
          <w:sz w:val="32"/>
          <w:szCs w:val="32"/>
        </w:rPr>
        <w:t>24</w:t>
      </w:r>
      <w:r>
        <w:rPr>
          <w:rFonts w:ascii="仿宋" w:eastAsia="仿宋" w:hAnsi="仿宋" w:hint="eastAsia"/>
          <w:sz w:val="32"/>
          <w:szCs w:val="32"/>
        </w:rPr>
        <w:t>小时营业，给周边人民群众生活生产及农业车辆、机械过往车辆加油补给提供了方便。</w:t>
      </w:r>
    </w:p>
    <w:p w:rsidR="004D60A9" w:rsidRDefault="001C6524">
      <w:pPr>
        <w:spacing w:line="560" w:lineRule="exact"/>
        <w:ind w:firstLineChars="200" w:firstLine="640"/>
        <w:rPr>
          <w:rFonts w:ascii="仿宋" w:eastAsia="仿宋" w:hAnsi="仿宋"/>
          <w:sz w:val="32"/>
          <w:szCs w:val="32"/>
        </w:rPr>
      </w:pPr>
      <w:r>
        <w:rPr>
          <w:rFonts w:ascii="仿宋" w:eastAsia="仿宋" w:hAnsi="仿宋" w:hint="eastAsia"/>
          <w:sz w:val="32"/>
          <w:szCs w:val="32"/>
        </w:rPr>
        <w:t>桐运加油站占地面积约</w:t>
      </w:r>
      <w:r>
        <w:rPr>
          <w:rFonts w:ascii="仿宋" w:eastAsia="仿宋" w:hAnsi="仿宋" w:hint="eastAsia"/>
          <w:sz w:val="32"/>
          <w:szCs w:val="32"/>
        </w:rPr>
        <w:t>1900</w:t>
      </w:r>
      <w:r>
        <w:rPr>
          <w:rFonts w:ascii="仿宋" w:eastAsia="仿宋" w:hAnsi="仿宋" w:hint="eastAsia"/>
          <w:sz w:val="32"/>
          <w:szCs w:val="32"/>
        </w:rPr>
        <w:t>平方米，地下油罐占地</w:t>
      </w:r>
      <w:r>
        <w:rPr>
          <w:rFonts w:ascii="仿宋" w:eastAsia="仿宋" w:hAnsi="仿宋" w:hint="eastAsia"/>
          <w:sz w:val="32"/>
          <w:szCs w:val="32"/>
        </w:rPr>
        <w:t>110</w:t>
      </w:r>
      <w:r>
        <w:rPr>
          <w:rFonts w:ascii="仿宋" w:eastAsia="仿宋" w:hAnsi="仿宋" w:hint="eastAsia"/>
          <w:sz w:val="32"/>
          <w:szCs w:val="32"/>
        </w:rPr>
        <w:t>平方米，设置汽、柴油罐各</w:t>
      </w:r>
      <w:r>
        <w:rPr>
          <w:rFonts w:ascii="仿宋" w:eastAsia="仿宋" w:hAnsi="仿宋" w:hint="eastAsia"/>
          <w:sz w:val="32"/>
          <w:szCs w:val="32"/>
        </w:rPr>
        <w:t>2</w:t>
      </w:r>
      <w:r>
        <w:rPr>
          <w:rFonts w:ascii="仿宋" w:eastAsia="仿宋" w:hAnsi="仿宋" w:hint="eastAsia"/>
          <w:sz w:val="32"/>
          <w:szCs w:val="32"/>
        </w:rPr>
        <w:t>个，每个</w:t>
      </w:r>
      <w:r>
        <w:rPr>
          <w:rFonts w:ascii="仿宋" w:eastAsia="仿宋" w:hAnsi="仿宋" w:hint="eastAsia"/>
          <w:sz w:val="32"/>
          <w:szCs w:val="32"/>
        </w:rPr>
        <w:t>50</w:t>
      </w:r>
      <w:r>
        <w:rPr>
          <w:rFonts w:ascii="仿宋" w:eastAsia="仿宋" w:hAnsi="仿宋" w:hint="eastAsia"/>
          <w:sz w:val="32"/>
          <w:szCs w:val="32"/>
        </w:rPr>
        <w:t>立方米，总罐容</w:t>
      </w:r>
      <w:r>
        <w:rPr>
          <w:rFonts w:ascii="仿宋" w:eastAsia="仿宋" w:hAnsi="仿宋" w:hint="eastAsia"/>
          <w:sz w:val="32"/>
          <w:szCs w:val="32"/>
        </w:rPr>
        <w:t>150</w:t>
      </w:r>
      <w:r>
        <w:rPr>
          <w:rFonts w:ascii="仿宋" w:eastAsia="仿宋" w:hAnsi="仿宋" w:hint="eastAsia"/>
          <w:sz w:val="32"/>
          <w:szCs w:val="32"/>
        </w:rPr>
        <w:t>立方米（柴油容量减半计入总容量），加油机</w:t>
      </w:r>
      <w:r>
        <w:rPr>
          <w:rFonts w:ascii="仿宋" w:eastAsia="仿宋" w:hAnsi="仿宋" w:hint="eastAsia"/>
          <w:sz w:val="32"/>
          <w:szCs w:val="32"/>
        </w:rPr>
        <w:t>4</w:t>
      </w:r>
      <w:r>
        <w:rPr>
          <w:rFonts w:ascii="仿宋" w:eastAsia="仿宋" w:hAnsi="仿宋" w:hint="eastAsia"/>
          <w:sz w:val="32"/>
          <w:szCs w:val="32"/>
        </w:rPr>
        <w:t>台。我站配备主要建筑物有：主营业厅办公楼一栋，员工食堂一栋，贵宾休息厅一间，全功能自动洗车机一台。</w:t>
      </w:r>
    </w:p>
    <w:p w:rsidR="004D60A9" w:rsidRDefault="001C6524">
      <w:pPr>
        <w:spacing w:line="560" w:lineRule="exact"/>
        <w:ind w:firstLineChars="200" w:firstLine="640"/>
        <w:rPr>
          <w:rFonts w:ascii="仿宋" w:eastAsia="仿宋" w:hAnsi="仿宋"/>
          <w:sz w:val="32"/>
          <w:szCs w:val="32"/>
        </w:rPr>
      </w:pPr>
      <w:r>
        <w:rPr>
          <w:rFonts w:ascii="仿宋" w:eastAsia="仿宋" w:hAnsi="仿宋" w:hint="eastAsia"/>
          <w:sz w:val="32"/>
          <w:szCs w:val="32"/>
        </w:rPr>
        <w:t>加油站目前与中国石油怀化分公司、中国石</w:t>
      </w:r>
      <w:r>
        <w:rPr>
          <w:rFonts w:ascii="仿宋" w:eastAsia="仿宋" w:hAnsi="仿宋" w:hint="eastAsia"/>
          <w:sz w:val="32"/>
          <w:szCs w:val="32"/>
        </w:rPr>
        <w:t>油怀化分公司、是合作关系，中国石化怀化分公司与中国石油怀化分公司为主要供货方。销售模式为零售，主要供货对象为周边人民群众生活生产所需、过往车辆、农业车辆机械等。</w:t>
      </w:r>
    </w:p>
    <w:p w:rsidR="004D60A9" w:rsidRDefault="001C6524" w:rsidP="00640F8C">
      <w:pPr>
        <w:pStyle w:val="a5"/>
        <w:spacing w:beforeLines="50" w:afterLines="50" w:line="600" w:lineRule="exact"/>
        <w:ind w:firstLineChars="200" w:firstLine="643"/>
        <w:rPr>
          <w:rFonts w:ascii="仿宋" w:eastAsia="仿宋" w:hAnsi="仿宋" w:cs="黑体"/>
          <w:b/>
          <w:bCs/>
          <w:sz w:val="32"/>
          <w:szCs w:val="32"/>
        </w:rPr>
      </w:pPr>
      <w:r>
        <w:rPr>
          <w:rFonts w:ascii="仿宋" w:eastAsia="仿宋" w:hAnsi="仿宋" w:cs="黑体" w:hint="eastAsia"/>
          <w:b/>
          <w:bCs/>
          <w:sz w:val="32"/>
          <w:szCs w:val="32"/>
        </w:rPr>
        <w:lastRenderedPageBreak/>
        <w:t>二、专项资金使用及管理情况</w:t>
      </w:r>
    </w:p>
    <w:p w:rsidR="004D60A9" w:rsidRDefault="001C6524">
      <w:pPr>
        <w:spacing w:line="600" w:lineRule="exact"/>
        <w:ind w:firstLine="648"/>
        <w:rPr>
          <w:rFonts w:ascii="仿宋" w:eastAsia="仿宋" w:hAnsi="仿宋"/>
          <w:b/>
          <w:sz w:val="32"/>
          <w:szCs w:val="32"/>
        </w:rPr>
      </w:pPr>
      <w:r>
        <w:rPr>
          <w:rFonts w:ascii="仿宋" w:eastAsia="仿宋" w:hAnsi="仿宋" w:hint="eastAsia"/>
          <w:sz w:val="32"/>
          <w:szCs w:val="32"/>
        </w:rPr>
        <w:t>（一）到位情况：</w:t>
      </w:r>
    </w:p>
    <w:p w:rsidR="004D60A9" w:rsidRDefault="001C6524">
      <w:pPr>
        <w:pStyle w:val="a5"/>
        <w:spacing w:line="600" w:lineRule="exact"/>
        <w:ind w:firstLineChars="200" w:firstLine="640"/>
        <w:rPr>
          <w:rFonts w:ascii="仿宋" w:eastAsia="仿宋" w:hAnsi="仿宋"/>
          <w:sz w:val="32"/>
          <w:szCs w:val="32"/>
        </w:rPr>
      </w:pPr>
      <w:r>
        <w:rPr>
          <w:rFonts w:ascii="仿宋" w:eastAsia="仿宋" w:hAnsi="仿宋" w:hint="eastAsia"/>
          <w:sz w:val="32"/>
          <w:szCs w:val="32"/>
        </w:rPr>
        <w:t>中方县中海油料有限公司桐运加油站</w:t>
      </w:r>
      <w:r>
        <w:rPr>
          <w:rFonts w:ascii="仿宋" w:eastAsia="仿宋" w:hAnsi="仿宋" w:hint="eastAsia"/>
          <w:sz w:val="32"/>
          <w:szCs w:val="32"/>
        </w:rPr>
        <w:t>于</w:t>
      </w:r>
      <w:r>
        <w:rPr>
          <w:rFonts w:ascii="仿宋" w:eastAsia="仿宋" w:hAnsi="仿宋" w:hint="eastAsia"/>
          <w:sz w:val="32"/>
          <w:szCs w:val="32"/>
        </w:rPr>
        <w:t xml:space="preserve"> 2020 </w:t>
      </w:r>
      <w:r>
        <w:rPr>
          <w:rFonts w:ascii="仿宋" w:eastAsia="仿宋" w:hAnsi="仿宋" w:hint="eastAsia"/>
          <w:sz w:val="32"/>
          <w:szCs w:val="32"/>
        </w:rPr>
        <w:t>年</w:t>
      </w:r>
      <w:r>
        <w:rPr>
          <w:rFonts w:ascii="仿宋" w:eastAsia="仿宋" w:hAnsi="仿宋" w:hint="eastAsia"/>
          <w:sz w:val="32"/>
          <w:szCs w:val="32"/>
        </w:rPr>
        <w:t xml:space="preserve"> </w:t>
      </w:r>
      <w:r>
        <w:rPr>
          <w:rFonts w:ascii="仿宋" w:eastAsia="仿宋" w:hAnsi="仿宋" w:hint="eastAsia"/>
          <w:sz w:val="32"/>
          <w:szCs w:val="32"/>
        </w:rPr>
        <w:t>4</w:t>
      </w:r>
      <w:r>
        <w:rPr>
          <w:rFonts w:ascii="仿宋" w:eastAsia="仿宋" w:hAnsi="仿宋" w:hint="eastAsia"/>
          <w:sz w:val="32"/>
          <w:szCs w:val="32"/>
        </w:rPr>
        <w:t xml:space="preserve"> </w:t>
      </w:r>
      <w:r>
        <w:rPr>
          <w:rFonts w:ascii="仿宋" w:eastAsia="仿宋" w:hAnsi="仿宋" w:hint="eastAsia"/>
          <w:sz w:val="32"/>
          <w:szCs w:val="32"/>
        </w:rPr>
        <w:t>月</w:t>
      </w:r>
      <w:r>
        <w:rPr>
          <w:rFonts w:ascii="仿宋" w:eastAsia="仿宋" w:hAnsi="仿宋" w:hint="eastAsia"/>
          <w:sz w:val="32"/>
          <w:szCs w:val="32"/>
        </w:rPr>
        <w:t xml:space="preserve">15  </w:t>
      </w:r>
      <w:r>
        <w:rPr>
          <w:rFonts w:ascii="仿宋" w:eastAsia="仿宋" w:hAnsi="仿宋" w:hint="eastAsia"/>
          <w:sz w:val="32"/>
          <w:szCs w:val="32"/>
        </w:rPr>
        <w:t>日到位</w:t>
      </w:r>
      <w:r>
        <w:rPr>
          <w:rFonts w:ascii="仿宋" w:eastAsia="仿宋" w:hAnsi="仿宋" w:hint="eastAsia"/>
          <w:sz w:val="32"/>
          <w:szCs w:val="32"/>
        </w:rPr>
        <w:t>20</w:t>
      </w:r>
      <w:r>
        <w:rPr>
          <w:rFonts w:ascii="仿宋" w:eastAsia="仿宋" w:hAnsi="仿宋"/>
          <w:sz w:val="32"/>
          <w:szCs w:val="32"/>
        </w:rPr>
        <w:t>19</w:t>
      </w:r>
      <w:r>
        <w:rPr>
          <w:rFonts w:ascii="仿宋" w:eastAsia="仿宋" w:hAnsi="仿宋" w:hint="eastAsia"/>
          <w:sz w:val="32"/>
          <w:szCs w:val="32"/>
        </w:rPr>
        <w:t>年度高质量发展奖励资金</w:t>
      </w:r>
      <w:r>
        <w:rPr>
          <w:rFonts w:ascii="仿宋" w:eastAsia="仿宋" w:hAnsi="仿宋" w:hint="eastAsia"/>
          <w:sz w:val="32"/>
          <w:szCs w:val="32"/>
        </w:rPr>
        <w:t xml:space="preserve">  5 </w:t>
      </w:r>
      <w:r>
        <w:rPr>
          <w:rFonts w:ascii="仿宋" w:eastAsia="仿宋" w:hAnsi="仿宋" w:hint="eastAsia"/>
          <w:sz w:val="32"/>
          <w:szCs w:val="32"/>
        </w:rPr>
        <w:t>万元。</w:t>
      </w:r>
    </w:p>
    <w:p w:rsidR="004D60A9" w:rsidRDefault="001C6524">
      <w:pPr>
        <w:spacing w:line="600" w:lineRule="exact"/>
        <w:ind w:firstLine="648"/>
        <w:rPr>
          <w:rFonts w:ascii="仿宋" w:eastAsia="仿宋" w:hAnsi="仿宋"/>
          <w:sz w:val="32"/>
          <w:szCs w:val="32"/>
        </w:rPr>
      </w:pPr>
      <w:r>
        <w:rPr>
          <w:rFonts w:ascii="仿宋" w:eastAsia="仿宋" w:hAnsi="仿宋" w:hint="eastAsia"/>
          <w:sz w:val="32"/>
          <w:szCs w:val="32"/>
        </w:rPr>
        <w:t>（二）使用情况：</w:t>
      </w:r>
    </w:p>
    <w:p w:rsidR="004D60A9" w:rsidRDefault="001C6524">
      <w:pPr>
        <w:pStyle w:val="a5"/>
        <w:spacing w:line="600" w:lineRule="exact"/>
        <w:ind w:firstLineChars="200" w:firstLine="640"/>
        <w:rPr>
          <w:rFonts w:ascii="仿宋" w:eastAsia="仿宋" w:hAnsi="仿宋"/>
          <w:sz w:val="32"/>
          <w:szCs w:val="32"/>
        </w:rPr>
      </w:pPr>
      <w:r>
        <w:rPr>
          <w:rFonts w:ascii="仿宋" w:eastAsia="仿宋" w:hAnsi="仿宋" w:hint="eastAsia"/>
          <w:sz w:val="32"/>
          <w:szCs w:val="32"/>
        </w:rPr>
        <w:t>截止</w:t>
      </w:r>
      <w:r>
        <w:rPr>
          <w:rFonts w:ascii="仿宋" w:eastAsia="仿宋" w:hAnsi="仿宋"/>
          <w:sz w:val="32"/>
          <w:szCs w:val="32"/>
        </w:rPr>
        <w:t>2020</w:t>
      </w:r>
      <w:r>
        <w:rPr>
          <w:rFonts w:ascii="仿宋" w:eastAsia="仿宋" w:hAnsi="仿宋" w:hint="eastAsia"/>
          <w:sz w:val="32"/>
          <w:szCs w:val="32"/>
        </w:rPr>
        <w:t>年</w:t>
      </w:r>
      <w:r>
        <w:rPr>
          <w:rFonts w:ascii="仿宋" w:eastAsia="仿宋" w:hAnsi="仿宋"/>
          <w:sz w:val="32"/>
          <w:szCs w:val="32"/>
        </w:rPr>
        <w:t>12</w:t>
      </w:r>
      <w:r>
        <w:rPr>
          <w:rFonts w:ascii="仿宋" w:eastAsia="仿宋" w:hAnsi="仿宋" w:hint="eastAsia"/>
          <w:sz w:val="32"/>
          <w:szCs w:val="32"/>
        </w:rPr>
        <w:t>月</w:t>
      </w:r>
      <w:r>
        <w:rPr>
          <w:rFonts w:ascii="仿宋" w:eastAsia="仿宋" w:hAnsi="仿宋"/>
          <w:sz w:val="32"/>
          <w:szCs w:val="32"/>
        </w:rPr>
        <w:t>31</w:t>
      </w:r>
      <w:r>
        <w:rPr>
          <w:rFonts w:ascii="仿宋" w:eastAsia="仿宋" w:hAnsi="仿宋" w:hint="eastAsia"/>
          <w:sz w:val="32"/>
          <w:szCs w:val="32"/>
        </w:rPr>
        <w:t>日，高质量发展奖励资金</w:t>
      </w:r>
      <w:r>
        <w:rPr>
          <w:rFonts w:ascii="仿宋" w:eastAsia="仿宋" w:hAnsi="仿宋" w:hint="eastAsia"/>
          <w:sz w:val="32"/>
          <w:szCs w:val="32"/>
        </w:rPr>
        <w:t xml:space="preserve"> 5 </w:t>
      </w:r>
      <w:r>
        <w:rPr>
          <w:rFonts w:ascii="仿宋" w:eastAsia="仿宋" w:hAnsi="仿宋" w:hint="eastAsia"/>
          <w:sz w:val="32"/>
          <w:szCs w:val="32"/>
        </w:rPr>
        <w:t>万元，主要用已全部用于</w:t>
      </w:r>
      <w:r>
        <w:rPr>
          <w:rFonts w:ascii="仿宋" w:eastAsia="仿宋" w:hAnsi="仿宋" w:hint="eastAsia"/>
          <w:sz w:val="32"/>
          <w:szCs w:val="32"/>
        </w:rPr>
        <w:t>加油站改造升级</w:t>
      </w:r>
      <w:r>
        <w:rPr>
          <w:rFonts w:ascii="仿宋" w:eastAsia="仿宋" w:hAnsi="仿宋" w:hint="eastAsia"/>
          <w:sz w:val="32"/>
          <w:szCs w:val="32"/>
        </w:rPr>
        <w:t>。</w:t>
      </w:r>
    </w:p>
    <w:p w:rsidR="004D60A9" w:rsidRDefault="001C6524">
      <w:pPr>
        <w:spacing w:line="600" w:lineRule="exact"/>
        <w:ind w:firstLineChars="200" w:firstLine="640"/>
        <w:rPr>
          <w:rFonts w:ascii="仿宋" w:eastAsia="仿宋" w:hAnsi="仿宋"/>
          <w:sz w:val="32"/>
          <w:szCs w:val="32"/>
        </w:rPr>
      </w:pPr>
      <w:r>
        <w:rPr>
          <w:rFonts w:ascii="仿宋" w:eastAsia="仿宋" w:hAnsi="仿宋" w:hint="eastAsia"/>
          <w:sz w:val="32"/>
          <w:szCs w:val="32"/>
        </w:rPr>
        <w:t>公司建立了相关财务账目。资金使用及管理符合专项资金使用与管理的相关规定。</w:t>
      </w:r>
    </w:p>
    <w:p w:rsidR="004D60A9" w:rsidRDefault="001C6524" w:rsidP="00640F8C">
      <w:pPr>
        <w:spacing w:beforeLines="50" w:afterLines="50" w:line="600" w:lineRule="exact"/>
        <w:ind w:firstLine="646"/>
        <w:rPr>
          <w:rFonts w:ascii="仿宋" w:eastAsia="仿宋" w:hAnsi="仿宋" w:cs="黑体"/>
          <w:b/>
          <w:bCs/>
          <w:sz w:val="32"/>
          <w:szCs w:val="32"/>
        </w:rPr>
      </w:pPr>
      <w:r>
        <w:rPr>
          <w:rFonts w:ascii="仿宋" w:eastAsia="仿宋" w:hAnsi="仿宋" w:cs="黑体" w:hint="eastAsia"/>
          <w:b/>
          <w:bCs/>
          <w:sz w:val="32"/>
          <w:szCs w:val="32"/>
        </w:rPr>
        <w:t>三、专项资金绩效情况</w:t>
      </w:r>
    </w:p>
    <w:p w:rsidR="004D60A9" w:rsidRDefault="001C6524">
      <w:pPr>
        <w:pStyle w:val="a5"/>
        <w:spacing w:line="600" w:lineRule="exact"/>
        <w:ind w:firstLineChars="200" w:firstLine="640"/>
        <w:rPr>
          <w:rFonts w:ascii="仿宋" w:eastAsia="仿宋" w:hAnsi="仿宋"/>
          <w:sz w:val="32"/>
          <w:szCs w:val="32"/>
        </w:rPr>
      </w:pPr>
      <w:r>
        <w:rPr>
          <w:rFonts w:ascii="仿宋" w:eastAsia="仿宋" w:hAnsi="仿宋" w:hint="eastAsia"/>
          <w:sz w:val="32"/>
          <w:szCs w:val="32"/>
        </w:rPr>
        <w:t>2019</w:t>
      </w:r>
      <w:r>
        <w:rPr>
          <w:rFonts w:ascii="仿宋" w:eastAsia="仿宋" w:hAnsi="仿宋" w:hint="eastAsia"/>
          <w:sz w:val="32"/>
          <w:szCs w:val="32"/>
        </w:rPr>
        <w:t>年，公司营收约</w:t>
      </w:r>
      <w:r>
        <w:rPr>
          <w:rFonts w:ascii="仿宋" w:eastAsia="仿宋" w:hAnsi="仿宋" w:hint="eastAsia"/>
          <w:sz w:val="32"/>
          <w:szCs w:val="32"/>
        </w:rPr>
        <w:t xml:space="preserve">  </w:t>
      </w:r>
      <w:r>
        <w:rPr>
          <w:rFonts w:ascii="仿宋" w:eastAsia="仿宋" w:hAnsi="仿宋" w:hint="eastAsia"/>
          <w:sz w:val="32"/>
          <w:szCs w:val="32"/>
        </w:rPr>
        <w:t>350</w:t>
      </w:r>
      <w:r>
        <w:rPr>
          <w:rFonts w:ascii="仿宋" w:eastAsia="仿宋" w:hAnsi="仿宋" w:hint="eastAsia"/>
          <w:sz w:val="32"/>
          <w:szCs w:val="32"/>
        </w:rPr>
        <w:t>万元，在怀化纳税</w:t>
      </w:r>
      <w:r>
        <w:rPr>
          <w:rFonts w:ascii="仿宋" w:eastAsia="仿宋" w:hAnsi="仿宋" w:hint="eastAsia"/>
          <w:sz w:val="32"/>
          <w:szCs w:val="32"/>
        </w:rPr>
        <w:t xml:space="preserve">  </w:t>
      </w:r>
      <w:r>
        <w:rPr>
          <w:rFonts w:ascii="仿宋" w:eastAsia="仿宋" w:hAnsi="仿宋" w:hint="eastAsia"/>
          <w:sz w:val="32"/>
          <w:szCs w:val="32"/>
        </w:rPr>
        <w:t>7</w:t>
      </w:r>
      <w:r>
        <w:rPr>
          <w:rFonts w:ascii="仿宋" w:eastAsia="仿宋" w:hAnsi="仿宋" w:hint="eastAsia"/>
          <w:sz w:val="32"/>
          <w:szCs w:val="32"/>
        </w:rPr>
        <w:t>万元。</w:t>
      </w:r>
    </w:p>
    <w:p w:rsidR="004D60A9" w:rsidRDefault="001C6524">
      <w:pPr>
        <w:pStyle w:val="a5"/>
        <w:spacing w:line="600" w:lineRule="exact"/>
        <w:ind w:firstLineChars="200" w:firstLine="640"/>
        <w:rPr>
          <w:rFonts w:ascii="仿宋" w:eastAsia="仿宋" w:hAnsi="仿宋"/>
          <w:sz w:val="32"/>
          <w:szCs w:val="32"/>
        </w:rPr>
      </w:pPr>
      <w:r>
        <w:rPr>
          <w:rFonts w:ascii="仿宋" w:eastAsia="仿宋" w:hAnsi="仿宋" w:hint="eastAsia"/>
          <w:sz w:val="32"/>
          <w:szCs w:val="32"/>
        </w:rPr>
        <w:t>2020</w:t>
      </w:r>
      <w:r>
        <w:rPr>
          <w:rFonts w:ascii="仿宋" w:eastAsia="仿宋" w:hAnsi="仿宋" w:hint="eastAsia"/>
          <w:sz w:val="32"/>
          <w:szCs w:val="32"/>
        </w:rPr>
        <w:t>年，公司营收约</w:t>
      </w:r>
      <w:r>
        <w:rPr>
          <w:rFonts w:ascii="仿宋" w:eastAsia="仿宋" w:hAnsi="仿宋" w:hint="eastAsia"/>
          <w:sz w:val="32"/>
          <w:szCs w:val="32"/>
        </w:rPr>
        <w:t xml:space="preserve"> </w:t>
      </w:r>
      <w:r>
        <w:rPr>
          <w:rFonts w:ascii="仿宋" w:eastAsia="仿宋" w:hAnsi="仿宋" w:hint="eastAsia"/>
          <w:sz w:val="32"/>
          <w:szCs w:val="32"/>
        </w:rPr>
        <w:t>450</w:t>
      </w:r>
      <w:r>
        <w:rPr>
          <w:rFonts w:ascii="仿宋" w:eastAsia="仿宋" w:hAnsi="仿宋" w:hint="eastAsia"/>
          <w:sz w:val="32"/>
          <w:szCs w:val="32"/>
        </w:rPr>
        <w:t>万元，在怀化纳税</w:t>
      </w:r>
      <w:r>
        <w:rPr>
          <w:rFonts w:ascii="仿宋" w:eastAsia="仿宋" w:hAnsi="仿宋" w:hint="eastAsia"/>
          <w:sz w:val="32"/>
          <w:szCs w:val="32"/>
        </w:rPr>
        <w:t xml:space="preserve">  </w:t>
      </w:r>
      <w:r>
        <w:rPr>
          <w:rFonts w:ascii="仿宋" w:eastAsia="仿宋" w:hAnsi="仿宋" w:hint="eastAsia"/>
          <w:sz w:val="32"/>
          <w:szCs w:val="32"/>
        </w:rPr>
        <w:t>8.5</w:t>
      </w:r>
      <w:r>
        <w:rPr>
          <w:rFonts w:ascii="仿宋" w:eastAsia="仿宋" w:hAnsi="仿宋" w:hint="eastAsia"/>
          <w:sz w:val="32"/>
          <w:szCs w:val="32"/>
        </w:rPr>
        <w:t>万元。</w:t>
      </w:r>
    </w:p>
    <w:p w:rsidR="004D60A9" w:rsidRDefault="001C6524" w:rsidP="00640F8C">
      <w:pPr>
        <w:spacing w:beforeLines="50" w:afterLines="50" w:line="600" w:lineRule="exact"/>
        <w:ind w:firstLineChars="200" w:firstLine="643"/>
        <w:rPr>
          <w:rFonts w:ascii="仿宋" w:eastAsia="仿宋" w:hAnsi="仿宋" w:cs="黑体"/>
          <w:b/>
          <w:bCs/>
          <w:sz w:val="32"/>
          <w:szCs w:val="32"/>
        </w:rPr>
      </w:pPr>
      <w:r>
        <w:rPr>
          <w:rFonts w:ascii="仿宋" w:eastAsia="仿宋" w:hAnsi="仿宋" w:cs="黑体" w:hint="eastAsia"/>
          <w:b/>
          <w:bCs/>
          <w:sz w:val="32"/>
          <w:szCs w:val="32"/>
        </w:rPr>
        <w:t>四、其他要求</w:t>
      </w:r>
    </w:p>
    <w:p w:rsidR="004D60A9" w:rsidRDefault="001C6524">
      <w:pPr>
        <w:spacing w:line="600" w:lineRule="exact"/>
        <w:ind w:firstLineChars="200" w:firstLine="640"/>
        <w:rPr>
          <w:rFonts w:ascii="仿宋" w:eastAsia="仿宋" w:hAnsi="仿宋"/>
          <w:sz w:val="32"/>
          <w:szCs w:val="32"/>
        </w:rPr>
      </w:pPr>
      <w:r>
        <w:rPr>
          <w:rFonts w:ascii="仿宋" w:eastAsia="仿宋" w:hAnsi="仿宋" w:hint="eastAsia"/>
          <w:sz w:val="32"/>
          <w:szCs w:val="32"/>
        </w:rPr>
        <w:t>公司制定了《财务管理制度》、《商务采购制度》等一系列管理文件，做到目标明确，责任到人。公司由财务牵头制订了奖补资金使用规范，保证奖补资金完全用于</w:t>
      </w:r>
      <w:r>
        <w:rPr>
          <w:rFonts w:ascii="仿宋" w:eastAsia="仿宋" w:hAnsi="仿宋" w:hint="eastAsia"/>
          <w:sz w:val="32"/>
          <w:szCs w:val="32"/>
        </w:rPr>
        <w:t>加油站升级改造</w:t>
      </w:r>
      <w:r>
        <w:rPr>
          <w:rFonts w:ascii="仿宋" w:eastAsia="仿宋" w:hAnsi="仿宋" w:hint="eastAsia"/>
          <w:sz w:val="32"/>
          <w:szCs w:val="32"/>
        </w:rPr>
        <w:t>，</w:t>
      </w:r>
      <w:r>
        <w:rPr>
          <w:rFonts w:eastAsia="仿宋" w:cs="Calibri"/>
          <w:sz w:val="32"/>
          <w:szCs w:val="32"/>
        </w:rPr>
        <w:t> </w:t>
      </w:r>
      <w:r>
        <w:rPr>
          <w:rFonts w:ascii="仿宋" w:eastAsia="仿宋" w:hAnsi="仿宋" w:hint="eastAsia"/>
          <w:sz w:val="32"/>
          <w:szCs w:val="32"/>
        </w:rPr>
        <w:t>做到程序规范，开支合理，勤俭节约。</w:t>
      </w:r>
      <w:r>
        <w:rPr>
          <w:rFonts w:eastAsia="仿宋" w:cs="Calibri"/>
          <w:sz w:val="32"/>
          <w:szCs w:val="32"/>
        </w:rPr>
        <w:t> </w:t>
      </w:r>
      <w:r>
        <w:rPr>
          <w:rFonts w:ascii="仿宋" w:eastAsia="仿宋" w:hAnsi="仿宋" w:hint="eastAsia"/>
          <w:sz w:val="32"/>
          <w:szCs w:val="32"/>
        </w:rPr>
        <w:t>项目经费的使用自觉接受公司审计部门的审计。</w:t>
      </w:r>
    </w:p>
    <w:p w:rsidR="004D60A9" w:rsidRDefault="004D60A9">
      <w:pPr>
        <w:pStyle w:val="a5"/>
        <w:spacing w:line="600" w:lineRule="exact"/>
        <w:ind w:firstLineChars="1800" w:firstLine="5760"/>
        <w:rPr>
          <w:rFonts w:ascii="仿宋" w:eastAsia="仿宋" w:hAnsi="仿宋"/>
          <w:sz w:val="32"/>
          <w:szCs w:val="32"/>
        </w:rPr>
      </w:pPr>
    </w:p>
    <w:p w:rsidR="004D60A9" w:rsidRDefault="001C6524">
      <w:pPr>
        <w:pStyle w:val="a5"/>
        <w:spacing w:line="600" w:lineRule="exact"/>
        <w:ind w:firstLineChars="1800" w:firstLine="5760"/>
        <w:rPr>
          <w:rFonts w:ascii="仿宋" w:eastAsia="仿宋" w:hAnsi="仿宋"/>
          <w:sz w:val="32"/>
          <w:szCs w:val="32"/>
        </w:rPr>
      </w:pPr>
      <w:r>
        <w:rPr>
          <w:rFonts w:ascii="仿宋" w:eastAsia="仿宋" w:hAnsi="仿宋" w:hint="eastAsia"/>
          <w:sz w:val="32"/>
          <w:szCs w:val="32"/>
        </w:rPr>
        <w:t>202</w:t>
      </w:r>
      <w:r>
        <w:rPr>
          <w:rFonts w:ascii="仿宋" w:eastAsia="仿宋" w:hAnsi="仿宋"/>
          <w:sz w:val="32"/>
          <w:szCs w:val="32"/>
        </w:rPr>
        <w:t>1</w:t>
      </w:r>
      <w:r>
        <w:rPr>
          <w:rFonts w:ascii="仿宋" w:eastAsia="仿宋" w:hAnsi="仿宋" w:hint="eastAsia"/>
          <w:sz w:val="32"/>
          <w:szCs w:val="32"/>
        </w:rPr>
        <w:t>年</w:t>
      </w:r>
      <w:r>
        <w:rPr>
          <w:rFonts w:ascii="仿宋" w:eastAsia="仿宋" w:hAnsi="仿宋" w:hint="eastAsia"/>
          <w:sz w:val="32"/>
          <w:szCs w:val="32"/>
        </w:rPr>
        <w:t>9</w:t>
      </w:r>
      <w:r>
        <w:rPr>
          <w:rFonts w:ascii="仿宋" w:eastAsia="仿宋" w:hAnsi="仿宋" w:hint="eastAsia"/>
          <w:sz w:val="32"/>
          <w:szCs w:val="32"/>
        </w:rPr>
        <w:t>月</w:t>
      </w:r>
      <w:r>
        <w:rPr>
          <w:rFonts w:ascii="仿宋" w:eastAsia="仿宋" w:hAnsi="仿宋" w:hint="eastAsia"/>
          <w:sz w:val="32"/>
          <w:szCs w:val="32"/>
        </w:rPr>
        <w:t>8</w:t>
      </w:r>
      <w:r>
        <w:rPr>
          <w:rFonts w:ascii="仿宋" w:eastAsia="仿宋" w:hAnsi="仿宋" w:hint="eastAsia"/>
          <w:sz w:val="32"/>
          <w:szCs w:val="32"/>
        </w:rPr>
        <w:t>日</w:t>
      </w:r>
    </w:p>
    <w:p w:rsidR="004D60A9" w:rsidRDefault="004D60A9">
      <w:pPr>
        <w:spacing w:line="600" w:lineRule="exact"/>
        <w:rPr>
          <w:rFonts w:ascii="仿宋" w:eastAsia="仿宋" w:hAnsi="仿宋"/>
          <w:bCs/>
          <w:color w:val="000000"/>
          <w:sz w:val="32"/>
          <w:szCs w:val="32"/>
        </w:rPr>
      </w:pPr>
    </w:p>
    <w:tbl>
      <w:tblPr>
        <w:tblpPr w:leftFromText="180" w:rightFromText="180" w:vertAnchor="text" w:horzAnchor="page" w:tblpX="760" w:tblpY="575"/>
        <w:tblW w:w="9540" w:type="dxa"/>
        <w:tblLayout w:type="fixed"/>
        <w:tblLook w:val="04A0"/>
      </w:tblPr>
      <w:tblGrid>
        <w:gridCol w:w="9540"/>
      </w:tblGrid>
      <w:tr w:rsidR="004D60A9">
        <w:trPr>
          <w:trHeight w:val="210"/>
        </w:trPr>
        <w:tc>
          <w:tcPr>
            <w:tcW w:w="9540" w:type="dxa"/>
            <w:tcBorders>
              <w:top w:val="nil"/>
              <w:left w:val="nil"/>
              <w:bottom w:val="nil"/>
              <w:right w:val="nil"/>
            </w:tcBorders>
            <w:noWrap/>
            <w:vAlign w:val="center"/>
          </w:tcPr>
          <w:p w:rsidR="004D60A9" w:rsidRDefault="004D60A9">
            <w:pPr>
              <w:widowControl/>
              <w:spacing w:line="400" w:lineRule="exact"/>
              <w:jc w:val="left"/>
              <w:rPr>
                <w:rFonts w:ascii="Times New Roman" w:hAnsi="Times New Roman"/>
                <w:color w:val="000000"/>
                <w:kern w:val="0"/>
                <w:sz w:val="18"/>
                <w:szCs w:val="18"/>
              </w:rPr>
            </w:pPr>
          </w:p>
        </w:tc>
      </w:tr>
    </w:tbl>
    <w:p w:rsidR="00640F8C" w:rsidRDefault="00640F8C" w:rsidP="00640F8C">
      <w:pPr>
        <w:spacing w:line="400" w:lineRule="exact"/>
        <w:rPr>
          <w:rFonts w:ascii="Times New Roman" w:eastAsia="仿宋_GB2312" w:hAnsi="Times New Roman"/>
          <w:bCs/>
          <w:color w:val="000000"/>
          <w:sz w:val="32"/>
          <w:szCs w:val="32"/>
        </w:rPr>
      </w:pPr>
      <w:bookmarkStart w:id="0" w:name="_GoBack"/>
      <w:bookmarkEnd w:id="0"/>
      <w:r>
        <w:rPr>
          <w:rFonts w:ascii="Times New Roman" w:eastAsia="仿宋_GB2312" w:hAnsi="Times New Roman"/>
          <w:bCs/>
          <w:color w:val="000000"/>
          <w:sz w:val="32"/>
          <w:szCs w:val="32"/>
        </w:rPr>
        <w:t>附件</w:t>
      </w:r>
      <w:r>
        <w:rPr>
          <w:rFonts w:ascii="Times New Roman" w:eastAsia="仿宋_GB2312" w:hAnsi="Times New Roman" w:hint="eastAsia"/>
          <w:bCs/>
          <w:color w:val="000000"/>
          <w:sz w:val="32"/>
          <w:szCs w:val="32"/>
        </w:rPr>
        <w:t>1</w:t>
      </w:r>
    </w:p>
    <w:tbl>
      <w:tblPr>
        <w:tblW w:w="9637" w:type="dxa"/>
        <w:jc w:val="center"/>
        <w:tblLayout w:type="fixed"/>
        <w:tblLook w:val="04A0"/>
      </w:tblPr>
      <w:tblGrid>
        <w:gridCol w:w="625"/>
        <w:gridCol w:w="1041"/>
        <w:gridCol w:w="1180"/>
        <w:gridCol w:w="775"/>
        <w:gridCol w:w="1204"/>
        <w:gridCol w:w="301"/>
        <w:gridCol w:w="902"/>
        <w:gridCol w:w="903"/>
        <w:gridCol w:w="300"/>
        <w:gridCol w:w="301"/>
        <w:gridCol w:w="451"/>
        <w:gridCol w:w="151"/>
        <w:gridCol w:w="752"/>
        <w:gridCol w:w="751"/>
      </w:tblGrid>
      <w:tr w:rsidR="00640F8C" w:rsidTr="00640F8C">
        <w:trPr>
          <w:trHeight w:hRule="exact" w:val="349"/>
          <w:jc w:val="center"/>
        </w:trPr>
        <w:tc>
          <w:tcPr>
            <w:tcW w:w="9637" w:type="dxa"/>
            <w:gridSpan w:val="14"/>
            <w:tcBorders>
              <w:top w:val="nil"/>
              <w:left w:val="nil"/>
              <w:bottom w:val="nil"/>
              <w:right w:val="nil"/>
            </w:tcBorders>
            <w:vAlign w:val="center"/>
          </w:tcPr>
          <w:p w:rsidR="00640F8C" w:rsidRDefault="00640F8C" w:rsidP="00DA56FB">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640F8C" w:rsidTr="00640F8C">
        <w:trPr>
          <w:trHeight w:val="201"/>
          <w:jc w:val="center"/>
        </w:trPr>
        <w:tc>
          <w:tcPr>
            <w:tcW w:w="9637" w:type="dxa"/>
            <w:gridSpan w:val="14"/>
            <w:tcBorders>
              <w:top w:val="nil"/>
              <w:left w:val="nil"/>
              <w:bottom w:val="nil"/>
              <w:right w:val="nil"/>
            </w:tcBorders>
          </w:tcPr>
          <w:p w:rsidR="00640F8C" w:rsidRDefault="00640F8C" w:rsidP="00DA56FB">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640F8C" w:rsidTr="00640F8C">
        <w:trPr>
          <w:trHeight w:hRule="exac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971" w:type="dxa"/>
            <w:gridSpan w:val="1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sidRPr="00640F8C">
              <w:rPr>
                <w:rFonts w:ascii="Times New Roman" w:hAnsi="Times New Roman" w:hint="eastAsia"/>
                <w:kern w:val="0"/>
                <w:sz w:val="18"/>
                <w:szCs w:val="18"/>
              </w:rPr>
              <w:t>2020</w:t>
            </w:r>
            <w:r w:rsidRPr="00640F8C">
              <w:rPr>
                <w:rFonts w:ascii="Times New Roman" w:hAnsi="Times New Roman" w:hint="eastAsia"/>
                <w:kern w:val="0"/>
                <w:sz w:val="18"/>
                <w:szCs w:val="18"/>
              </w:rPr>
              <w:t>年就业补助资金（结算）创新创业带动就业</w:t>
            </w:r>
            <w:r>
              <w:rPr>
                <w:rFonts w:ascii="Times New Roman" w:hAnsi="Times New Roman" w:hint="eastAsia"/>
                <w:kern w:val="0"/>
                <w:sz w:val="18"/>
                <w:szCs w:val="18"/>
              </w:rPr>
              <w:t>奖励</w:t>
            </w:r>
          </w:p>
        </w:tc>
      </w:tr>
      <w:tr w:rsidR="00640F8C" w:rsidTr="00640F8C">
        <w:trPr>
          <w:trHeight w:hRule="exact" w:val="300"/>
          <w:jc w:val="center"/>
        </w:trPr>
        <w:tc>
          <w:tcPr>
            <w:tcW w:w="1666" w:type="dxa"/>
            <w:gridSpan w:val="2"/>
            <w:tcBorders>
              <w:top w:val="single" w:sz="4" w:space="0" w:color="auto"/>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362" w:type="dxa"/>
            <w:gridSpan w:val="5"/>
            <w:tcBorders>
              <w:top w:val="single" w:sz="4" w:space="0" w:color="auto"/>
              <w:left w:val="nil"/>
              <w:bottom w:val="single" w:sz="4" w:space="0" w:color="auto"/>
              <w:right w:val="single" w:sz="4" w:space="0" w:color="auto"/>
            </w:tcBorders>
            <w:vAlign w:val="center"/>
          </w:tcPr>
          <w:p w:rsidR="00640F8C" w:rsidRDefault="00640F8C" w:rsidP="00640F8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1203"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406" w:type="dxa"/>
            <w:gridSpan w:val="5"/>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中方县中海油料有限公司桐运加油站</w:t>
            </w:r>
          </w:p>
        </w:tc>
      </w:tr>
      <w:tr w:rsidR="00640F8C" w:rsidTr="00640F8C">
        <w:trPr>
          <w:trHeight w:hRule="exact" w:val="436"/>
          <w:jc w:val="center"/>
        </w:trPr>
        <w:tc>
          <w:tcPr>
            <w:tcW w:w="1666" w:type="dxa"/>
            <w:gridSpan w:val="2"/>
            <w:vMerge w:val="restart"/>
            <w:tcBorders>
              <w:top w:val="single" w:sz="4" w:space="0" w:color="auto"/>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955"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204"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203"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203"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5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9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51"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640F8C" w:rsidTr="00640F8C">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204"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5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9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51"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640F8C" w:rsidTr="00640F8C">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204"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03"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40F8C" w:rsidTr="00640F8C">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204"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40F8C" w:rsidTr="00640F8C">
        <w:trPr>
          <w:trHeight w:hRule="exact" w:val="300"/>
          <w:jc w:val="center"/>
        </w:trPr>
        <w:tc>
          <w:tcPr>
            <w:tcW w:w="1666" w:type="dxa"/>
            <w:gridSpan w:val="2"/>
            <w:vMerge/>
            <w:tcBorders>
              <w:top w:val="single" w:sz="4" w:space="0" w:color="auto"/>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204"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203"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40F8C" w:rsidTr="00640F8C">
        <w:trPr>
          <w:trHeight w:hRule="exact" w:val="300"/>
          <w:jc w:val="center"/>
        </w:trPr>
        <w:tc>
          <w:tcPr>
            <w:tcW w:w="625" w:type="dxa"/>
            <w:vMerge w:val="restart"/>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403" w:type="dxa"/>
            <w:gridSpan w:val="6"/>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609" w:type="dxa"/>
            <w:gridSpan w:val="7"/>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640F8C" w:rsidTr="00640F8C">
        <w:trPr>
          <w:trHeight w:hRule="exact" w:val="570"/>
          <w:jc w:val="center"/>
        </w:trPr>
        <w:tc>
          <w:tcPr>
            <w:tcW w:w="625"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5403" w:type="dxa"/>
            <w:gridSpan w:val="6"/>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全全年销售收入</w:t>
            </w:r>
            <w:r>
              <w:rPr>
                <w:rFonts w:ascii="Times New Roman" w:hAnsi="Times New Roman" w:hint="eastAsia"/>
                <w:kern w:val="0"/>
                <w:sz w:val="18"/>
                <w:szCs w:val="18"/>
              </w:rPr>
              <w:t>450</w:t>
            </w:r>
            <w:r>
              <w:rPr>
                <w:rFonts w:ascii="Times New Roman" w:hAnsi="Times New Roman" w:hint="eastAsia"/>
                <w:kern w:val="0"/>
                <w:sz w:val="18"/>
                <w:szCs w:val="18"/>
              </w:rPr>
              <w:t>万元，税收</w:t>
            </w:r>
            <w:r>
              <w:rPr>
                <w:rFonts w:ascii="Times New Roman" w:hAnsi="Times New Roman" w:hint="eastAsia"/>
                <w:kern w:val="0"/>
                <w:sz w:val="18"/>
                <w:szCs w:val="18"/>
              </w:rPr>
              <w:t>8.5</w:t>
            </w:r>
            <w:r>
              <w:rPr>
                <w:rFonts w:ascii="Times New Roman" w:hAnsi="Times New Roman" w:hint="eastAsia"/>
                <w:kern w:val="0"/>
                <w:sz w:val="18"/>
                <w:szCs w:val="18"/>
              </w:rPr>
              <w:t>万元</w:t>
            </w:r>
          </w:p>
        </w:tc>
        <w:tc>
          <w:tcPr>
            <w:tcW w:w="3609" w:type="dxa"/>
            <w:gridSpan w:val="7"/>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超额完成</w:t>
            </w:r>
          </w:p>
        </w:tc>
      </w:tr>
      <w:tr w:rsidR="00640F8C" w:rsidTr="00640F8C">
        <w:trPr>
          <w:trHeight w:hRule="exact" w:val="533"/>
          <w:jc w:val="center"/>
        </w:trPr>
        <w:tc>
          <w:tcPr>
            <w:tcW w:w="625" w:type="dxa"/>
            <w:vMerge w:val="restart"/>
            <w:tcBorders>
              <w:top w:val="nil"/>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1041"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80"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销售</w:t>
            </w:r>
            <w:r>
              <w:rPr>
                <w:rFonts w:ascii="Times New Roman" w:hAnsi="Times New Roman"/>
                <w:kern w:val="0"/>
                <w:sz w:val="18"/>
                <w:szCs w:val="18"/>
              </w:rPr>
              <w:t>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销售</w:t>
            </w: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销售油品</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450</w:t>
            </w: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440</w:t>
            </w: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服务</w:t>
            </w: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服务态度</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及时</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169"/>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销售成本</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320</w:t>
            </w: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310</w:t>
            </w: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hint="eastAsia"/>
                <w:color w:val="000000"/>
                <w:kern w:val="0"/>
                <w:sz w:val="18"/>
                <w:szCs w:val="18"/>
              </w:rPr>
              <w:t>2</w:t>
            </w:r>
            <w:r>
              <w:rPr>
                <w:rFonts w:ascii="Times New Roman" w:hAnsi="Times New Roman" w:hint="eastAsia"/>
                <w:color w:val="000000"/>
                <w:kern w:val="0"/>
                <w:sz w:val="18"/>
                <w:szCs w:val="18"/>
              </w:rPr>
              <w:t>：财务指标</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180</w:t>
            </w: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180</w:t>
            </w: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val="restart"/>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收入</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450</w:t>
            </w: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440</w:t>
            </w: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税收</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环境</w:t>
            </w:r>
            <w:r>
              <w:rPr>
                <w:rFonts w:ascii="Times New Roman" w:hAnsi="Times New Roman"/>
                <w:kern w:val="0"/>
                <w:sz w:val="18"/>
                <w:szCs w:val="18"/>
              </w:rPr>
              <w:t>效益</w:t>
            </w:r>
          </w:p>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环保达标</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可持续发展</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val="restart"/>
            <w:tcBorders>
              <w:top w:val="single" w:sz="4" w:space="0" w:color="auto"/>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全体员工</w:t>
            </w:r>
          </w:p>
        </w:tc>
        <w:tc>
          <w:tcPr>
            <w:tcW w:w="902" w:type="dxa"/>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903" w:type="dxa"/>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601"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left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25" w:type="dxa"/>
            <w:vMerge/>
            <w:tcBorders>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041" w:type="dxa"/>
            <w:vMerge/>
            <w:tcBorders>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2280" w:type="dxa"/>
            <w:gridSpan w:val="3"/>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02"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903" w:type="dxa"/>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r w:rsidR="00640F8C" w:rsidTr="00640F8C">
        <w:trPr>
          <w:trHeight w:hRule="exact" w:val="300"/>
          <w:jc w:val="center"/>
        </w:trPr>
        <w:tc>
          <w:tcPr>
            <w:tcW w:w="6931" w:type="dxa"/>
            <w:gridSpan w:val="8"/>
            <w:tcBorders>
              <w:top w:val="single" w:sz="4" w:space="0" w:color="auto"/>
              <w:left w:val="single" w:sz="4" w:space="0" w:color="auto"/>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601"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602" w:type="dxa"/>
            <w:gridSpan w:val="2"/>
            <w:tcBorders>
              <w:top w:val="nil"/>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98</w:t>
            </w:r>
          </w:p>
        </w:tc>
        <w:tc>
          <w:tcPr>
            <w:tcW w:w="1503" w:type="dxa"/>
            <w:gridSpan w:val="2"/>
            <w:tcBorders>
              <w:top w:val="single" w:sz="4" w:space="0" w:color="auto"/>
              <w:left w:val="nil"/>
              <w:bottom w:val="single" w:sz="4" w:space="0" w:color="auto"/>
              <w:right w:val="single" w:sz="4" w:space="0" w:color="auto"/>
            </w:tcBorders>
            <w:vAlign w:val="center"/>
          </w:tcPr>
          <w:p w:rsidR="00640F8C" w:rsidRDefault="00640F8C" w:rsidP="00DA56FB">
            <w:pPr>
              <w:widowControl/>
              <w:spacing w:line="240" w:lineRule="exact"/>
              <w:jc w:val="center"/>
              <w:rPr>
                <w:rFonts w:ascii="Times New Roman" w:hAnsi="Times New Roman"/>
                <w:kern w:val="0"/>
                <w:sz w:val="18"/>
                <w:szCs w:val="18"/>
              </w:rPr>
            </w:pPr>
          </w:p>
        </w:tc>
      </w:tr>
    </w:tbl>
    <w:tbl>
      <w:tblPr>
        <w:tblpPr w:leftFromText="180" w:rightFromText="180" w:vertAnchor="text" w:horzAnchor="margin" w:tblpY="950"/>
        <w:tblW w:w="9540" w:type="dxa"/>
        <w:tblLayout w:type="fixed"/>
        <w:tblLook w:val="04A0"/>
      </w:tblPr>
      <w:tblGrid>
        <w:gridCol w:w="9540"/>
      </w:tblGrid>
      <w:tr w:rsidR="00640F8C" w:rsidTr="00640F8C">
        <w:trPr>
          <w:trHeight w:val="465"/>
        </w:trPr>
        <w:tc>
          <w:tcPr>
            <w:tcW w:w="9540" w:type="dxa"/>
            <w:tcBorders>
              <w:top w:val="single" w:sz="4" w:space="0" w:color="auto"/>
              <w:left w:val="nil"/>
              <w:bottom w:val="nil"/>
              <w:right w:val="nil"/>
            </w:tcBorders>
            <w:vAlign w:val="center"/>
          </w:tcPr>
          <w:p w:rsidR="00640F8C" w:rsidRDefault="00640F8C" w:rsidP="00640F8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640F8C" w:rsidTr="00640F8C">
        <w:trPr>
          <w:trHeight w:val="465"/>
        </w:trPr>
        <w:tc>
          <w:tcPr>
            <w:tcW w:w="9540" w:type="dxa"/>
            <w:tcBorders>
              <w:top w:val="nil"/>
              <w:left w:val="nil"/>
              <w:bottom w:val="nil"/>
              <w:right w:val="nil"/>
            </w:tcBorders>
            <w:vAlign w:val="center"/>
          </w:tcPr>
          <w:p w:rsidR="00640F8C" w:rsidRDefault="00640F8C" w:rsidP="00640F8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640F8C" w:rsidTr="00640F8C">
        <w:trPr>
          <w:trHeight w:val="465"/>
        </w:trPr>
        <w:tc>
          <w:tcPr>
            <w:tcW w:w="9540" w:type="dxa"/>
            <w:tcBorders>
              <w:top w:val="nil"/>
              <w:left w:val="nil"/>
              <w:bottom w:val="nil"/>
              <w:right w:val="nil"/>
            </w:tcBorders>
            <w:vAlign w:val="center"/>
          </w:tcPr>
          <w:p w:rsidR="00640F8C" w:rsidRDefault="00640F8C" w:rsidP="00640F8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640F8C" w:rsidTr="00640F8C">
        <w:trPr>
          <w:trHeight w:val="210"/>
        </w:trPr>
        <w:tc>
          <w:tcPr>
            <w:tcW w:w="9540" w:type="dxa"/>
            <w:tcBorders>
              <w:top w:val="nil"/>
              <w:left w:val="nil"/>
              <w:bottom w:val="nil"/>
              <w:right w:val="nil"/>
            </w:tcBorders>
            <w:noWrap/>
            <w:vAlign w:val="center"/>
          </w:tcPr>
          <w:p w:rsidR="00640F8C" w:rsidRDefault="00640F8C" w:rsidP="00640F8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r w:rsidR="00640F8C" w:rsidTr="00640F8C">
        <w:trPr>
          <w:trHeight w:val="210"/>
        </w:trPr>
        <w:tc>
          <w:tcPr>
            <w:tcW w:w="9540" w:type="dxa"/>
            <w:tcBorders>
              <w:top w:val="nil"/>
              <w:left w:val="nil"/>
              <w:bottom w:val="nil"/>
              <w:right w:val="nil"/>
            </w:tcBorders>
            <w:noWrap/>
            <w:vAlign w:val="center"/>
          </w:tcPr>
          <w:p w:rsidR="00640F8C" w:rsidRDefault="00640F8C" w:rsidP="00640F8C">
            <w:pPr>
              <w:widowControl/>
              <w:spacing w:line="400" w:lineRule="exact"/>
              <w:jc w:val="left"/>
              <w:rPr>
                <w:rFonts w:ascii="Times New Roman" w:hAnsi="Times New Roman"/>
                <w:color w:val="000000"/>
                <w:kern w:val="0"/>
                <w:sz w:val="18"/>
                <w:szCs w:val="18"/>
              </w:rPr>
            </w:pPr>
          </w:p>
        </w:tc>
      </w:tr>
    </w:tbl>
    <w:p w:rsidR="00640F8C" w:rsidRPr="00640F8C" w:rsidRDefault="00640F8C" w:rsidP="00640F8C">
      <w:pPr>
        <w:widowControl/>
        <w:spacing w:line="400" w:lineRule="exact"/>
        <w:jc w:val="left"/>
        <w:rPr>
          <w:rFonts w:ascii="Times New Roman" w:hAnsi="Times New Roman"/>
          <w:color w:val="000000"/>
          <w:kern w:val="0"/>
          <w:sz w:val="18"/>
          <w:szCs w:val="18"/>
        </w:rPr>
        <w:sectPr w:rsidR="00640F8C" w:rsidRPr="00640F8C">
          <w:pgSz w:w="11906" w:h="16838"/>
          <w:pgMar w:top="1587" w:right="1587" w:bottom="1587" w:left="1587" w:header="737" w:footer="850" w:gutter="0"/>
          <w:cols w:space="720"/>
          <w:docGrid w:type="lines" w:linePitch="408"/>
        </w:sectPr>
      </w:pPr>
      <w:r>
        <w:rPr>
          <w:rFonts w:ascii="Times New Roman" w:hAnsi="Times New Roman"/>
          <w:color w:val="000000"/>
          <w:kern w:val="0"/>
          <w:sz w:val="18"/>
          <w:szCs w:val="18"/>
        </w:rPr>
        <w:br w:type="page"/>
      </w:r>
      <w:r w:rsidRPr="00B333A6">
        <w:rPr>
          <w:sz w:val="18"/>
        </w:rPr>
        <w:pict>
          <v:rect id="_x0000_s2052" style="position:absolute;margin-left:-8.5pt;margin-top:14.6pt;width:7in;height:9.75pt;z-index:251661312" strokecolor="white">
            <v:textbox>
              <w:txbxContent>
                <w:p w:rsidR="00640F8C" w:rsidRDefault="00640F8C" w:rsidP="00640F8C"/>
              </w:txbxContent>
            </v:textbox>
          </v:rect>
        </w:pict>
      </w:r>
    </w:p>
    <w:p w:rsidR="004D60A9" w:rsidRDefault="004D60A9">
      <w:pPr>
        <w:widowControl/>
        <w:spacing w:line="400" w:lineRule="exact"/>
        <w:jc w:val="left"/>
        <w:rPr>
          <w:rFonts w:ascii="Times New Roman" w:eastAsia="黑体" w:hAnsi="Times New Roman"/>
        </w:rPr>
        <w:sectPr w:rsidR="004D60A9">
          <w:pgSz w:w="11906" w:h="16838"/>
          <w:pgMar w:top="1587" w:right="1587" w:bottom="1587" w:left="1587" w:header="737" w:footer="850" w:gutter="0"/>
          <w:cols w:space="720"/>
          <w:docGrid w:type="lines" w:linePitch="408"/>
        </w:sectPr>
      </w:pPr>
      <w:r w:rsidRPr="004D60A9">
        <w:rPr>
          <w:sz w:val="18"/>
        </w:rPr>
        <w:lastRenderedPageBreak/>
        <w:pict>
          <v:rect id="矩形 1035" o:spid="_x0000_s2050" style="position:absolute;margin-left:-8.5pt;margin-top:14.6pt;width:7in;height:9.75pt;z-index:251659264" strokecolor="white">
            <v:textbox>
              <w:txbxContent>
                <w:p w:rsidR="004D60A9" w:rsidRDefault="004D60A9"/>
              </w:txbxContent>
            </v:textbox>
          </v:rect>
        </w:pict>
      </w:r>
    </w:p>
    <w:p w:rsidR="004D60A9" w:rsidRDefault="001C6524">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40F8C">
        <w:rPr>
          <w:rFonts w:ascii="Times New Roman" w:eastAsia="仿宋_GB2312" w:hAnsi="Times New Roman" w:hint="eastAsia"/>
          <w:bCs/>
          <w:color w:val="000000"/>
          <w:sz w:val="32"/>
          <w:szCs w:val="32"/>
        </w:rPr>
        <w:t>2</w:t>
      </w:r>
    </w:p>
    <w:p w:rsidR="004D60A9" w:rsidRDefault="001C6524">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4D60A9">
        <w:trPr>
          <w:trHeight w:val="692"/>
          <w:tblHeader/>
          <w:jc w:val="center"/>
        </w:trPr>
        <w:tc>
          <w:tcPr>
            <w:tcW w:w="682" w:type="dxa"/>
            <w:shd w:val="clear" w:color="auto" w:fill="FFFFFF"/>
            <w:vAlign w:val="center"/>
          </w:tcPr>
          <w:p w:rsidR="004D60A9" w:rsidRDefault="001C652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4D60A9" w:rsidRDefault="001C652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4D60A9" w:rsidRDefault="001C652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4D60A9" w:rsidRDefault="001C652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4D60A9" w:rsidRDefault="001C652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4D60A9" w:rsidRDefault="001C652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4D60A9" w:rsidRDefault="001C652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4D60A9" w:rsidRDefault="001C652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4D60A9">
        <w:trPr>
          <w:trHeight w:val="2318"/>
          <w:jc w:val="center"/>
        </w:trPr>
        <w:tc>
          <w:tcPr>
            <w:tcW w:w="682" w:type="dxa"/>
            <w:vMerge w:val="restart"/>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4D60A9" w:rsidRDefault="001C652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4D60A9" w:rsidRDefault="001C652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Times New Roman" w:hAnsi="Times New Roman"/>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D60A9">
        <w:trPr>
          <w:trHeight w:val="1510"/>
          <w:jc w:val="center"/>
        </w:trPr>
        <w:tc>
          <w:tcPr>
            <w:tcW w:w="682" w:type="dxa"/>
            <w:vMerge/>
            <w:shd w:val="clear" w:color="auto" w:fill="FFFFFF"/>
            <w:vAlign w:val="center"/>
          </w:tcPr>
          <w:p w:rsidR="004D60A9" w:rsidRDefault="004D60A9">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D60A9" w:rsidRDefault="004D60A9">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4D60A9" w:rsidRDefault="001C652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D60A9">
        <w:trPr>
          <w:trHeight w:val="1829"/>
          <w:jc w:val="center"/>
        </w:trPr>
        <w:tc>
          <w:tcPr>
            <w:tcW w:w="682" w:type="dxa"/>
            <w:vMerge/>
            <w:shd w:val="clear" w:color="auto" w:fill="FFFFFF"/>
            <w:vAlign w:val="center"/>
          </w:tcPr>
          <w:p w:rsidR="004D60A9" w:rsidRDefault="004D60A9">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4D60A9" w:rsidRDefault="001C652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4D60A9" w:rsidRDefault="001C652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D60A9">
        <w:trPr>
          <w:trHeight w:val="1464"/>
          <w:jc w:val="center"/>
        </w:trPr>
        <w:tc>
          <w:tcPr>
            <w:tcW w:w="682" w:type="dxa"/>
            <w:vMerge w:val="restart"/>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D60A9">
        <w:trPr>
          <w:trHeight w:val="1942"/>
          <w:jc w:val="center"/>
        </w:trPr>
        <w:tc>
          <w:tcPr>
            <w:tcW w:w="682" w:type="dxa"/>
            <w:vMerge/>
            <w:shd w:val="clear" w:color="auto" w:fill="FFFFFF"/>
            <w:vAlign w:val="center"/>
          </w:tcPr>
          <w:p w:rsidR="004D60A9" w:rsidRDefault="004D60A9">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4D60A9" w:rsidRDefault="001C652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D60A9">
        <w:trPr>
          <w:trHeight w:val="1706"/>
          <w:jc w:val="center"/>
        </w:trPr>
        <w:tc>
          <w:tcPr>
            <w:tcW w:w="682" w:type="dxa"/>
            <w:vMerge/>
            <w:shd w:val="clear" w:color="auto" w:fill="FFFFFF"/>
            <w:vAlign w:val="center"/>
          </w:tcPr>
          <w:p w:rsidR="004D60A9" w:rsidRDefault="004D60A9">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D60A9" w:rsidRDefault="004D60A9">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D60A9">
        <w:trPr>
          <w:trHeight w:val="1415"/>
          <w:jc w:val="center"/>
        </w:trPr>
        <w:tc>
          <w:tcPr>
            <w:tcW w:w="682" w:type="dxa"/>
            <w:vMerge w:val="restart"/>
            <w:shd w:val="clear" w:color="auto" w:fill="FFFFFF"/>
            <w:vAlign w:val="center"/>
          </w:tcPr>
          <w:p w:rsidR="004D60A9" w:rsidRDefault="001C652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D60A9">
        <w:trPr>
          <w:trHeight w:val="1320"/>
          <w:jc w:val="center"/>
        </w:trPr>
        <w:tc>
          <w:tcPr>
            <w:tcW w:w="682" w:type="dxa"/>
            <w:vMerge/>
            <w:shd w:val="clear" w:color="auto" w:fill="FFFFFF"/>
            <w:vAlign w:val="center"/>
          </w:tcPr>
          <w:p w:rsidR="004D60A9" w:rsidRDefault="004D60A9">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D60A9" w:rsidRDefault="004D60A9">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D60A9">
        <w:trPr>
          <w:trHeight w:val="2076"/>
          <w:jc w:val="center"/>
        </w:trPr>
        <w:tc>
          <w:tcPr>
            <w:tcW w:w="682" w:type="dxa"/>
            <w:vMerge w:val="restart"/>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4D60A9" w:rsidRDefault="001C652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D60A9">
        <w:trPr>
          <w:trHeight w:val="1797"/>
          <w:jc w:val="center"/>
        </w:trPr>
        <w:tc>
          <w:tcPr>
            <w:tcW w:w="682" w:type="dxa"/>
            <w:vMerge/>
            <w:shd w:val="clear" w:color="auto" w:fill="FFFFFF"/>
            <w:vAlign w:val="center"/>
          </w:tcPr>
          <w:p w:rsidR="004D60A9" w:rsidRDefault="004D60A9">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4D60A9" w:rsidRDefault="001C652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D60A9">
        <w:trPr>
          <w:trHeight w:val="1769"/>
          <w:jc w:val="center"/>
        </w:trPr>
        <w:tc>
          <w:tcPr>
            <w:tcW w:w="682" w:type="dxa"/>
            <w:vMerge/>
            <w:shd w:val="clear" w:color="auto" w:fill="FFFFFF"/>
            <w:vAlign w:val="center"/>
          </w:tcPr>
          <w:p w:rsidR="004D60A9" w:rsidRDefault="004D60A9">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D60A9" w:rsidRDefault="004D60A9">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Times New Roman" w:hAnsi="Times New Roman"/>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D60A9">
        <w:trPr>
          <w:trHeight w:val="1917"/>
          <w:jc w:val="center"/>
        </w:trPr>
        <w:tc>
          <w:tcPr>
            <w:tcW w:w="682"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D60A9">
        <w:trPr>
          <w:trHeight w:val="1718"/>
          <w:jc w:val="center"/>
        </w:trPr>
        <w:tc>
          <w:tcPr>
            <w:tcW w:w="682" w:type="dxa"/>
            <w:vMerge w:val="restart"/>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D60A9">
        <w:trPr>
          <w:trHeight w:val="1506"/>
          <w:jc w:val="center"/>
        </w:trPr>
        <w:tc>
          <w:tcPr>
            <w:tcW w:w="682" w:type="dxa"/>
            <w:vMerge/>
            <w:shd w:val="clear" w:color="auto" w:fill="FFFFFF"/>
            <w:vAlign w:val="center"/>
          </w:tcPr>
          <w:p w:rsidR="004D60A9" w:rsidRDefault="004D60A9">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4D60A9" w:rsidRDefault="001C652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4D60A9">
        <w:trPr>
          <w:trHeight w:val="1674"/>
          <w:jc w:val="center"/>
        </w:trPr>
        <w:tc>
          <w:tcPr>
            <w:tcW w:w="682" w:type="dxa"/>
            <w:vMerge/>
            <w:shd w:val="clear" w:color="auto" w:fill="FFFFFF"/>
            <w:vAlign w:val="center"/>
          </w:tcPr>
          <w:p w:rsidR="004D60A9" w:rsidRDefault="004D60A9">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4D60A9">
        <w:trPr>
          <w:trHeight w:val="693"/>
          <w:jc w:val="center"/>
        </w:trPr>
        <w:tc>
          <w:tcPr>
            <w:tcW w:w="682" w:type="dxa"/>
            <w:vMerge w:val="restart"/>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4D60A9" w:rsidRDefault="001C652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4D60A9">
        <w:trPr>
          <w:trHeight w:val="929"/>
          <w:jc w:val="center"/>
        </w:trPr>
        <w:tc>
          <w:tcPr>
            <w:tcW w:w="682" w:type="dxa"/>
            <w:vMerge/>
            <w:shd w:val="clear" w:color="auto" w:fill="FFFFFF"/>
            <w:vAlign w:val="center"/>
          </w:tcPr>
          <w:p w:rsidR="004D60A9" w:rsidRDefault="004D60A9">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4D60A9" w:rsidRDefault="004D60A9">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4D60A9" w:rsidRDefault="001C65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4D60A9">
        <w:trPr>
          <w:trHeight w:val="558"/>
          <w:jc w:val="center"/>
        </w:trPr>
        <w:tc>
          <w:tcPr>
            <w:tcW w:w="2525" w:type="dxa"/>
            <w:gridSpan w:val="3"/>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4D60A9" w:rsidRDefault="004D60A9">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4D60A9" w:rsidRDefault="004D60A9">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4D60A9" w:rsidRDefault="001C6524">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4D60A9" w:rsidRDefault="001C6524">
      <w:pPr>
        <w:spacing w:line="560" w:lineRule="exact"/>
        <w:ind w:firstLineChars="100" w:firstLine="200"/>
      </w:pPr>
      <w:r>
        <w:rPr>
          <w:rFonts w:ascii="Times New Roman" w:eastAsia="仿宋_GB2312" w:hAnsi="Times New Roman"/>
          <w:sz w:val="20"/>
          <w:szCs w:val="20"/>
        </w:rPr>
        <w:t>注：单位可以根据专项资金的管理要求和绩效要求增设个性指标。</w:t>
      </w:r>
    </w:p>
    <w:sectPr w:rsidR="004D60A9" w:rsidSect="004D60A9">
      <w:pgSz w:w="16838" w:h="11906" w:orient="landscape"/>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6524" w:rsidRDefault="001C6524" w:rsidP="00640F8C">
      <w:r>
        <w:separator/>
      </w:r>
    </w:p>
  </w:endnote>
  <w:endnote w:type="continuationSeparator" w:id="1">
    <w:p w:rsidR="001C6524" w:rsidRDefault="001C6524" w:rsidP="00640F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6524" w:rsidRDefault="001C6524" w:rsidP="00640F8C">
      <w:r>
        <w:separator/>
      </w:r>
    </w:p>
  </w:footnote>
  <w:footnote w:type="continuationSeparator" w:id="1">
    <w:p w:rsidR="001C6524" w:rsidRDefault="001C6524" w:rsidP="00640F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637002"/>
    <w:multiLevelType w:val="singleLevel"/>
    <w:tmpl w:val="D3637002"/>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HorizontalSpacing w:val="105"/>
  <w:drawingGridVerticalSpacing w:val="323"/>
  <w:noPunctuationKerning/>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34A15"/>
    <w:rsid w:val="000B1731"/>
    <w:rsid w:val="000C7B86"/>
    <w:rsid w:val="00145AF5"/>
    <w:rsid w:val="001C0F91"/>
    <w:rsid w:val="001C6524"/>
    <w:rsid w:val="0023312F"/>
    <w:rsid w:val="002C2B29"/>
    <w:rsid w:val="002E0004"/>
    <w:rsid w:val="00334A15"/>
    <w:rsid w:val="00445F9A"/>
    <w:rsid w:val="004B764F"/>
    <w:rsid w:val="004D60A9"/>
    <w:rsid w:val="00505F1D"/>
    <w:rsid w:val="00555061"/>
    <w:rsid w:val="00564681"/>
    <w:rsid w:val="00640F8C"/>
    <w:rsid w:val="00692496"/>
    <w:rsid w:val="006E32ED"/>
    <w:rsid w:val="00707B97"/>
    <w:rsid w:val="007F6CE5"/>
    <w:rsid w:val="00804E1E"/>
    <w:rsid w:val="0082392E"/>
    <w:rsid w:val="00903F99"/>
    <w:rsid w:val="009748CE"/>
    <w:rsid w:val="00B72207"/>
    <w:rsid w:val="00BF02BC"/>
    <w:rsid w:val="00C07348"/>
    <w:rsid w:val="00CD2165"/>
    <w:rsid w:val="00DD4D5F"/>
    <w:rsid w:val="00E31200"/>
    <w:rsid w:val="00E3349F"/>
    <w:rsid w:val="00FD3D56"/>
    <w:rsid w:val="00FF47AD"/>
    <w:rsid w:val="061658DF"/>
    <w:rsid w:val="08061F0C"/>
    <w:rsid w:val="102D5026"/>
    <w:rsid w:val="116C0428"/>
    <w:rsid w:val="14786C84"/>
    <w:rsid w:val="16E00164"/>
    <w:rsid w:val="1AFB7AEC"/>
    <w:rsid w:val="1EA3456C"/>
    <w:rsid w:val="25E87487"/>
    <w:rsid w:val="32983BAD"/>
    <w:rsid w:val="3405310B"/>
    <w:rsid w:val="347E7F4F"/>
    <w:rsid w:val="354E2218"/>
    <w:rsid w:val="3928337F"/>
    <w:rsid w:val="3AB816E7"/>
    <w:rsid w:val="3B4234DE"/>
    <w:rsid w:val="44880E87"/>
    <w:rsid w:val="46023905"/>
    <w:rsid w:val="4E2C39B3"/>
    <w:rsid w:val="52267702"/>
    <w:rsid w:val="5541108E"/>
    <w:rsid w:val="5A672856"/>
    <w:rsid w:val="5C7B359B"/>
    <w:rsid w:val="5D1466F9"/>
    <w:rsid w:val="5D5357B4"/>
    <w:rsid w:val="608C34FF"/>
    <w:rsid w:val="6244042C"/>
    <w:rsid w:val="6A506FB5"/>
    <w:rsid w:val="6B231E79"/>
    <w:rsid w:val="6D183EEA"/>
    <w:rsid w:val="6ED27D11"/>
    <w:rsid w:val="740A176D"/>
    <w:rsid w:val="749648EE"/>
    <w:rsid w:val="777E5291"/>
    <w:rsid w:val="7CE851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0A9"/>
    <w:pPr>
      <w:widowControl w:val="0"/>
      <w:jc w:val="both"/>
    </w:pPr>
    <w:rPr>
      <w:rFonts w:ascii="Calibri" w:hAnsi="Calibri"/>
      <w:kern w:val="2"/>
      <w:sz w:val="21"/>
      <w:szCs w:val="24"/>
    </w:rPr>
  </w:style>
  <w:style w:type="paragraph" w:styleId="2">
    <w:name w:val="heading 2"/>
    <w:basedOn w:val="a"/>
    <w:next w:val="a"/>
    <w:link w:val="2Char"/>
    <w:qFormat/>
    <w:rsid w:val="004D60A9"/>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4D60A9"/>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rsid w:val="004D60A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sid w:val="004D60A9"/>
    <w:rPr>
      <w:sz w:val="18"/>
      <w:szCs w:val="18"/>
    </w:rPr>
  </w:style>
  <w:style w:type="character" w:customStyle="1" w:styleId="Char">
    <w:name w:val="页脚 Char"/>
    <w:basedOn w:val="a0"/>
    <w:link w:val="a3"/>
    <w:uiPriority w:val="99"/>
    <w:semiHidden/>
    <w:qFormat/>
    <w:rsid w:val="004D60A9"/>
    <w:rPr>
      <w:sz w:val="18"/>
      <w:szCs w:val="18"/>
    </w:rPr>
  </w:style>
  <w:style w:type="character" w:customStyle="1" w:styleId="2Char">
    <w:name w:val="标题 2 Char"/>
    <w:basedOn w:val="a0"/>
    <w:link w:val="2"/>
    <w:qFormat/>
    <w:rsid w:val="004D60A9"/>
    <w:rPr>
      <w:rFonts w:ascii="Arial" w:eastAsia="黑体" w:hAnsi="Arial" w:cs="Times New Roman"/>
      <w:b/>
      <w:sz w:val="32"/>
      <w:szCs w:val="24"/>
    </w:rPr>
  </w:style>
  <w:style w:type="paragraph" w:styleId="a5">
    <w:name w:val="No Spacing"/>
    <w:uiPriority w:val="99"/>
    <w:qFormat/>
    <w:rsid w:val="004D60A9"/>
    <w:pPr>
      <w:widowControl w:val="0"/>
      <w:jc w:val="both"/>
    </w:pPr>
    <w:rPr>
      <w:rFonts w:ascii="Calibri" w:hAnsi="Calibri"/>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732</Words>
  <Characters>4173</Characters>
  <Application>Microsoft Office Word</Application>
  <DocSecurity>0</DocSecurity>
  <Lines>34</Lines>
  <Paragraphs>9</Paragraphs>
  <ScaleCrop>false</ScaleCrop>
  <Company/>
  <LinksUpToDate>false</LinksUpToDate>
  <CharactersWithSpaces>4896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21</cp:revision>
  <dcterms:created xsi:type="dcterms:W3CDTF">2021-09-06T07:52:00Z</dcterms:created>
  <dcterms:modified xsi:type="dcterms:W3CDTF">2021-09-10T01:04:00Z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F4915B35B79C49219FD7BF8C1D63A041</vt:lpwstr>
  </property>
</Properties>
</file>