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D6F" w:rsidRDefault="0093256A" w:rsidP="00AC4584">
      <w:pPr>
        <w:pStyle w:val="a6"/>
        <w:spacing w:line="700" w:lineRule="exact"/>
        <w:jc w:val="center"/>
        <w:rPr>
          <w:rFonts w:ascii="方正小标宋简体" w:eastAsia="方正小标宋简体" w:hAnsi="方正小标宋简体" w:cs="方正小标宋简体"/>
          <w:b/>
          <w:bCs/>
          <w:color w:val="000000"/>
          <w:kern w:val="0"/>
          <w:sz w:val="44"/>
          <w:szCs w:val="44"/>
        </w:rPr>
      </w:pPr>
      <w:r>
        <w:rPr>
          <w:rFonts w:ascii="方正小标宋简体" w:eastAsia="方正小标宋简体" w:hAnsi="方正小标宋简体" w:cs="方正小标宋简体" w:hint="eastAsia"/>
          <w:b/>
          <w:bCs/>
          <w:color w:val="000000"/>
          <w:kern w:val="0"/>
          <w:sz w:val="44"/>
          <w:szCs w:val="44"/>
        </w:rPr>
        <w:t>2020年</w:t>
      </w:r>
      <w:r>
        <w:rPr>
          <w:rFonts w:ascii="Times New Roman" w:eastAsia="方正小标宋_GBK" w:hAnsi="Times New Roman" w:hint="eastAsia"/>
          <w:b/>
          <w:bCs/>
          <w:sz w:val="44"/>
          <w:szCs w:val="44"/>
        </w:rPr>
        <w:t>天鸿房地产易地扶贫搬迁香山别院安置项目奖补</w:t>
      </w:r>
      <w:r>
        <w:rPr>
          <w:rFonts w:ascii="方正小标宋简体" w:eastAsia="方正小标宋简体" w:hAnsi="方正小标宋简体" w:cs="方正小标宋简体" w:hint="eastAsia"/>
          <w:b/>
          <w:bCs/>
          <w:color w:val="000000"/>
          <w:kern w:val="0"/>
          <w:sz w:val="44"/>
          <w:szCs w:val="44"/>
        </w:rPr>
        <w:t>资金绩效评价报告</w:t>
      </w:r>
    </w:p>
    <w:p w:rsidR="000E4D6F" w:rsidRDefault="000E4D6F">
      <w:pPr>
        <w:pStyle w:val="a6"/>
        <w:spacing w:line="360" w:lineRule="auto"/>
        <w:ind w:firstLineChars="300" w:firstLine="1320"/>
        <w:rPr>
          <w:rFonts w:ascii="黑体" w:eastAsia="黑体" w:hAnsi="黑体" w:cs="黑体"/>
          <w:color w:val="000000"/>
          <w:kern w:val="0"/>
          <w:sz w:val="44"/>
          <w:szCs w:val="44"/>
        </w:rPr>
      </w:pPr>
    </w:p>
    <w:p w:rsidR="000E4D6F" w:rsidRPr="00C2175C" w:rsidRDefault="0093256A" w:rsidP="00C2175C">
      <w:pPr>
        <w:pStyle w:val="a6"/>
        <w:spacing w:line="600" w:lineRule="exact"/>
        <w:ind w:firstLineChars="200" w:firstLine="640"/>
        <w:rPr>
          <w:rFonts w:ascii="仿宋" w:eastAsia="仿宋" w:hAnsi="仿宋" w:cs="黑体"/>
          <w:bCs/>
          <w:sz w:val="32"/>
          <w:szCs w:val="32"/>
        </w:rPr>
      </w:pPr>
      <w:r w:rsidRPr="00C2175C">
        <w:rPr>
          <w:rFonts w:ascii="仿宋" w:eastAsia="仿宋" w:hAnsi="仿宋" w:cs="黑体" w:hint="eastAsia"/>
          <w:bCs/>
          <w:sz w:val="32"/>
          <w:szCs w:val="32"/>
        </w:rPr>
        <w:t>一、单位基本情况</w:t>
      </w:r>
      <w:bookmarkStart w:id="0" w:name="_GoBack"/>
      <w:bookmarkEnd w:id="0"/>
    </w:p>
    <w:p w:rsidR="000E4D6F" w:rsidRPr="00C2175C" w:rsidRDefault="0093256A" w:rsidP="00C2175C">
      <w:pPr>
        <w:pStyle w:val="a5"/>
        <w:spacing w:before="0" w:beforeAutospacing="0" w:after="0" w:afterAutospacing="0" w:line="600" w:lineRule="exact"/>
        <w:ind w:firstLineChars="200" w:firstLine="640"/>
        <w:rPr>
          <w:rFonts w:ascii="仿宋" w:eastAsia="仿宋" w:hAnsi="仿宋"/>
          <w:color w:val="000000"/>
          <w:sz w:val="32"/>
        </w:rPr>
      </w:pPr>
      <w:r w:rsidRPr="00C2175C">
        <w:rPr>
          <w:rFonts w:ascii="仿宋" w:eastAsia="仿宋" w:hAnsi="仿宋" w:hint="eastAsia"/>
          <w:color w:val="000000"/>
          <w:sz w:val="32"/>
        </w:rPr>
        <w:t>怀化天鸿房地产开发有限公司成立于2010年1月，是一家房地产开发企业，具有房地产开发三级资质。</w:t>
      </w:r>
      <w:r w:rsidRPr="00C2175C">
        <w:rPr>
          <w:rFonts w:ascii="仿宋" w:eastAsia="仿宋" w:hAnsi="仿宋"/>
          <w:sz w:val="32"/>
        </w:rPr>
        <w:t>公司以“品质保证、服务专业、顾客满意”为经营宗旨，以“求仁为大、求利为小、真正服务为人民”为经营理念，开拓进取，务实创新，将最好的产品与服务带给最需要的消费者。公司资金、实力雄厚，管理机构健全，企业运作规范，具有较高的市场开拓和房地产开发经营的能力。</w:t>
      </w:r>
    </w:p>
    <w:p w:rsidR="000E4D6F" w:rsidRPr="00C2175C" w:rsidRDefault="0093256A" w:rsidP="00C2175C">
      <w:pPr>
        <w:pStyle w:val="a5"/>
        <w:spacing w:before="0" w:beforeAutospacing="0" w:after="0" w:afterAutospacing="0" w:line="600" w:lineRule="exact"/>
        <w:ind w:firstLineChars="200" w:firstLine="640"/>
        <w:rPr>
          <w:rFonts w:ascii="仿宋" w:eastAsia="仿宋" w:hAnsi="仿宋"/>
          <w:color w:val="000000"/>
          <w:sz w:val="32"/>
        </w:rPr>
      </w:pPr>
      <w:r w:rsidRPr="00C2175C">
        <w:rPr>
          <w:rFonts w:ascii="仿宋" w:eastAsia="仿宋" w:hAnsi="仿宋" w:hint="eastAsia"/>
          <w:color w:val="000000"/>
          <w:sz w:val="32"/>
        </w:rPr>
        <w:t>公司</w:t>
      </w:r>
      <w:r w:rsidRPr="00C2175C">
        <w:rPr>
          <w:rFonts w:ascii="仿宋" w:eastAsia="仿宋" w:hAnsi="仿宋"/>
          <w:sz w:val="32"/>
        </w:rPr>
        <w:t>斥巨资</w:t>
      </w:r>
      <w:r w:rsidRPr="00C2175C">
        <w:rPr>
          <w:rFonts w:ascii="仿宋" w:eastAsia="仿宋" w:hAnsi="仿宋" w:hint="eastAsia"/>
          <w:color w:val="000000"/>
          <w:sz w:val="32"/>
        </w:rPr>
        <w:t>开发建设了</w:t>
      </w:r>
      <w:r w:rsidRPr="00C2175C">
        <w:rPr>
          <w:rFonts w:ascii="仿宋" w:eastAsia="仿宋" w:hAnsi="仿宋"/>
          <w:sz w:val="32"/>
        </w:rPr>
        <w:t>天鸿·香山别院，</w:t>
      </w:r>
      <w:r w:rsidRPr="00C2175C">
        <w:rPr>
          <w:rFonts w:ascii="仿宋" w:eastAsia="仿宋" w:hAnsi="仿宋" w:hint="eastAsia"/>
          <w:color w:val="000000"/>
          <w:sz w:val="32"/>
        </w:rPr>
        <w:t>占地132亩，建筑面积达21万平方米，本项目是</w:t>
      </w:r>
      <w:r w:rsidRPr="00C2175C">
        <w:rPr>
          <w:rFonts w:ascii="仿宋" w:eastAsia="仿宋" w:hAnsi="仿宋"/>
          <w:sz w:val="32"/>
        </w:rPr>
        <w:t>以中式简</w:t>
      </w:r>
      <w:r w:rsidRPr="00C2175C">
        <w:rPr>
          <w:rFonts w:ascii="仿宋" w:eastAsia="仿宋" w:hAnsi="仿宋" w:hint="eastAsia"/>
          <w:sz w:val="32"/>
        </w:rPr>
        <w:t>欧</w:t>
      </w:r>
      <w:r w:rsidRPr="00C2175C">
        <w:rPr>
          <w:rFonts w:ascii="仿宋" w:eastAsia="仿宋" w:hAnsi="仿宋"/>
          <w:sz w:val="32"/>
        </w:rPr>
        <w:t>风格为主的设计理念，局部中式古典元素点缀</w:t>
      </w:r>
      <w:r w:rsidRPr="00C2175C">
        <w:rPr>
          <w:rFonts w:ascii="仿宋" w:eastAsia="仿宋" w:hAnsi="仿宋" w:hint="eastAsia"/>
          <w:sz w:val="32"/>
        </w:rPr>
        <w:t>的高品质退台式花园洋房与高层电梯楼相结合的大型房地产项目。</w:t>
      </w:r>
      <w:r w:rsidRPr="00C2175C">
        <w:rPr>
          <w:rFonts w:ascii="仿宋" w:eastAsia="仿宋" w:hAnsi="仿宋" w:hint="eastAsia"/>
          <w:color w:val="000000"/>
          <w:sz w:val="32"/>
        </w:rPr>
        <w:t>天鸿房地产</w:t>
      </w:r>
      <w:r w:rsidRPr="00C2175C">
        <w:rPr>
          <w:rFonts w:ascii="仿宋" w:eastAsia="仿宋" w:hAnsi="仿宋"/>
          <w:color w:val="000000"/>
          <w:sz w:val="32"/>
        </w:rPr>
        <w:t>抓住发展机遇，突出抓好房地产开发</w:t>
      </w:r>
      <w:r w:rsidRPr="00C2175C">
        <w:rPr>
          <w:rFonts w:ascii="仿宋" w:eastAsia="仿宋" w:hAnsi="仿宋" w:hint="eastAsia"/>
          <w:color w:val="000000"/>
          <w:sz w:val="32"/>
        </w:rPr>
        <w:t>项目</w:t>
      </w:r>
      <w:r w:rsidRPr="00C2175C">
        <w:rPr>
          <w:rFonts w:ascii="仿宋" w:eastAsia="仿宋" w:hAnsi="仿宋"/>
          <w:color w:val="000000"/>
          <w:sz w:val="32"/>
        </w:rPr>
        <w:t>。近</w:t>
      </w:r>
      <w:r w:rsidRPr="00C2175C">
        <w:rPr>
          <w:rFonts w:ascii="仿宋" w:eastAsia="仿宋" w:hAnsi="仿宋" w:hint="eastAsia"/>
          <w:color w:val="000000"/>
          <w:sz w:val="32"/>
        </w:rPr>
        <w:t>两</w:t>
      </w:r>
      <w:r w:rsidRPr="00C2175C">
        <w:rPr>
          <w:rFonts w:ascii="仿宋" w:eastAsia="仿宋" w:hAnsi="仿宋"/>
          <w:color w:val="000000"/>
          <w:sz w:val="32"/>
        </w:rPr>
        <w:t>年来公司生产经营和资产经营有了新的发展，实现了比较好的经济效益。</w:t>
      </w:r>
      <w:r w:rsidRPr="00C2175C">
        <w:rPr>
          <w:rFonts w:ascii="仿宋" w:eastAsia="仿宋" w:hAnsi="仿宋" w:hint="eastAsia"/>
          <w:color w:val="000000"/>
          <w:sz w:val="32"/>
        </w:rPr>
        <w:t>天鸿·香山别院</w:t>
      </w:r>
      <w:r w:rsidRPr="00C2175C">
        <w:rPr>
          <w:rFonts w:ascii="仿宋" w:eastAsia="仿宋" w:hAnsi="仿宋"/>
          <w:color w:val="000000"/>
          <w:sz w:val="32"/>
        </w:rPr>
        <w:t>项目开发</w:t>
      </w:r>
      <w:r w:rsidRPr="00C2175C">
        <w:rPr>
          <w:rFonts w:ascii="仿宋" w:eastAsia="仿宋" w:hAnsi="仿宋" w:hint="eastAsia"/>
          <w:color w:val="000000"/>
          <w:sz w:val="32"/>
        </w:rPr>
        <w:t>已</w:t>
      </w:r>
      <w:r w:rsidRPr="00C2175C">
        <w:rPr>
          <w:rFonts w:ascii="仿宋" w:eastAsia="仿宋" w:hAnsi="仿宋"/>
          <w:color w:val="000000"/>
          <w:sz w:val="32"/>
        </w:rPr>
        <w:t>获得了成功，</w:t>
      </w:r>
      <w:r w:rsidRPr="00C2175C">
        <w:rPr>
          <w:rFonts w:ascii="仿宋" w:eastAsia="仿宋" w:hAnsi="仿宋" w:hint="eastAsia"/>
          <w:color w:val="000000"/>
          <w:sz w:val="32"/>
        </w:rPr>
        <w:t>并</w:t>
      </w:r>
      <w:r w:rsidRPr="00C2175C">
        <w:rPr>
          <w:rFonts w:ascii="仿宋" w:eastAsia="仿宋" w:hAnsi="仿宋"/>
          <w:color w:val="000000"/>
          <w:sz w:val="32"/>
        </w:rPr>
        <w:t>在市场上具有较高的知名度。</w:t>
      </w:r>
    </w:p>
    <w:p w:rsidR="000E4D6F" w:rsidRPr="00C2175C" w:rsidRDefault="0093256A" w:rsidP="00C2175C">
      <w:pPr>
        <w:spacing w:line="600" w:lineRule="exact"/>
        <w:ind w:firstLine="570"/>
        <w:rPr>
          <w:rFonts w:ascii="仿宋" w:eastAsia="仿宋" w:hAnsi="仿宋"/>
          <w:color w:val="000000"/>
          <w:sz w:val="32"/>
        </w:rPr>
      </w:pPr>
      <w:r w:rsidRPr="00C2175C">
        <w:rPr>
          <w:rFonts w:ascii="仿宋" w:eastAsia="仿宋" w:hAnsi="仿宋"/>
          <w:color w:val="000000"/>
          <w:sz w:val="32"/>
        </w:rPr>
        <w:t>进入新的历史阶段，</w:t>
      </w:r>
      <w:r w:rsidRPr="00C2175C">
        <w:rPr>
          <w:rFonts w:ascii="仿宋" w:eastAsia="仿宋" w:hAnsi="仿宋" w:hint="eastAsia"/>
          <w:color w:val="000000"/>
          <w:sz w:val="32"/>
        </w:rPr>
        <w:t>天鸿房地产</w:t>
      </w:r>
      <w:r w:rsidRPr="00C2175C">
        <w:rPr>
          <w:rFonts w:ascii="仿宋" w:eastAsia="仿宋" w:hAnsi="仿宋"/>
          <w:color w:val="000000"/>
          <w:sz w:val="32"/>
        </w:rPr>
        <w:t>认真贯彻</w:t>
      </w:r>
      <w:r w:rsidRPr="00C2175C">
        <w:rPr>
          <w:rFonts w:ascii="仿宋" w:eastAsia="仿宋" w:hAnsi="仿宋" w:hint="eastAsia"/>
          <w:color w:val="000000"/>
          <w:sz w:val="32"/>
        </w:rPr>
        <w:t>实干创新</w:t>
      </w:r>
      <w:r w:rsidRPr="00C2175C">
        <w:rPr>
          <w:rFonts w:ascii="仿宋" w:eastAsia="仿宋" w:hAnsi="仿宋"/>
          <w:color w:val="000000"/>
          <w:sz w:val="32"/>
        </w:rPr>
        <w:t>精神，加快改革和发展， 抓住房地产业发展的历史机遇，突出主业，开拓进取，努力建设成为一个具有综合实力和核心竞争力的企业。</w:t>
      </w:r>
    </w:p>
    <w:p w:rsidR="000E4D6F" w:rsidRPr="00C2175C" w:rsidRDefault="0093256A" w:rsidP="00C2175C">
      <w:pPr>
        <w:pStyle w:val="a6"/>
        <w:spacing w:line="600" w:lineRule="exact"/>
        <w:ind w:firstLineChars="200" w:firstLine="640"/>
        <w:rPr>
          <w:rFonts w:ascii="仿宋" w:eastAsia="仿宋" w:hAnsi="仿宋" w:cs="黑体"/>
          <w:bCs/>
          <w:sz w:val="32"/>
          <w:szCs w:val="32"/>
        </w:rPr>
      </w:pPr>
      <w:r w:rsidRPr="00C2175C">
        <w:rPr>
          <w:rFonts w:ascii="仿宋" w:eastAsia="仿宋" w:hAnsi="仿宋" w:cs="黑体" w:hint="eastAsia"/>
          <w:bCs/>
          <w:sz w:val="32"/>
          <w:szCs w:val="32"/>
        </w:rPr>
        <w:t>二、资金使用及管理情况</w:t>
      </w:r>
    </w:p>
    <w:p w:rsidR="000E4D6F" w:rsidRPr="00C2175C" w:rsidRDefault="0093256A" w:rsidP="00C2175C">
      <w:pPr>
        <w:spacing w:line="600" w:lineRule="exact"/>
        <w:ind w:firstLine="648"/>
        <w:rPr>
          <w:rFonts w:ascii="仿宋" w:eastAsia="仿宋" w:hAnsi="仿宋"/>
          <w:b/>
          <w:sz w:val="32"/>
          <w:szCs w:val="32"/>
        </w:rPr>
      </w:pPr>
      <w:r w:rsidRPr="00C2175C">
        <w:rPr>
          <w:rFonts w:ascii="仿宋" w:eastAsia="仿宋" w:hAnsi="仿宋" w:hint="eastAsia"/>
          <w:b/>
          <w:sz w:val="32"/>
          <w:szCs w:val="32"/>
        </w:rPr>
        <w:lastRenderedPageBreak/>
        <w:t>（一）到位情况</w:t>
      </w:r>
    </w:p>
    <w:p w:rsidR="000E4D6F" w:rsidRPr="00C2175C" w:rsidRDefault="0093256A" w:rsidP="00C2175C">
      <w:pPr>
        <w:spacing w:line="600" w:lineRule="exact"/>
        <w:ind w:firstLineChars="200" w:firstLine="640"/>
        <w:rPr>
          <w:rFonts w:ascii="仿宋" w:eastAsia="仿宋" w:hAnsi="仿宋"/>
          <w:sz w:val="32"/>
          <w:szCs w:val="32"/>
        </w:rPr>
      </w:pPr>
      <w:r w:rsidRPr="00C2175C">
        <w:rPr>
          <w:rFonts w:ascii="仿宋" w:eastAsia="仿宋" w:hAnsi="仿宋" w:hint="eastAsia"/>
          <w:sz w:val="32"/>
          <w:szCs w:val="32"/>
        </w:rPr>
        <w:t>根据[2016]第19号县长办公室会议纪要议定：对实施易地扶贫搬迁和统规统建的项目业主按照投资奖励40元/㎡，我公司天鸿香山别院项目奖励金额：1463710.8元（壹佰肆拾陆万叁仟柒佰壹拾元捌角整），经审批分别于2019年、2020年两次拨付，2019年审批到位资金760000元，于2019年11月15日拨付到位；2020年审批到位资金700000元，于2020年11月13日拨付到位。</w:t>
      </w:r>
    </w:p>
    <w:p w:rsidR="000E4D6F" w:rsidRPr="00C2175C" w:rsidRDefault="0093256A" w:rsidP="00C2175C">
      <w:pPr>
        <w:spacing w:line="600" w:lineRule="exact"/>
        <w:ind w:firstLineChars="150" w:firstLine="480"/>
        <w:rPr>
          <w:rFonts w:ascii="仿宋" w:eastAsia="仿宋" w:hAnsi="仿宋"/>
          <w:sz w:val="32"/>
          <w:szCs w:val="28"/>
        </w:rPr>
      </w:pPr>
      <w:r w:rsidRPr="00C2175C">
        <w:rPr>
          <w:rFonts w:ascii="仿宋" w:eastAsia="仿宋" w:hAnsi="仿宋" w:hint="eastAsia"/>
          <w:sz w:val="32"/>
          <w:szCs w:val="28"/>
        </w:rPr>
        <w:t>（二）</w:t>
      </w:r>
      <w:r w:rsidRPr="00C2175C">
        <w:rPr>
          <w:rFonts w:ascii="仿宋" w:eastAsia="仿宋" w:hAnsi="仿宋" w:hint="eastAsia"/>
          <w:b/>
          <w:sz w:val="32"/>
          <w:szCs w:val="32"/>
        </w:rPr>
        <w:t>使用情况</w:t>
      </w:r>
    </w:p>
    <w:p w:rsidR="000E4D6F" w:rsidRPr="00C2175C" w:rsidRDefault="0093256A" w:rsidP="00C2175C">
      <w:pPr>
        <w:spacing w:line="600" w:lineRule="exact"/>
        <w:ind w:firstLineChars="202" w:firstLine="646"/>
        <w:rPr>
          <w:rFonts w:ascii="仿宋" w:eastAsia="仿宋" w:hAnsi="仿宋"/>
          <w:sz w:val="32"/>
          <w:szCs w:val="32"/>
        </w:rPr>
      </w:pPr>
      <w:r w:rsidRPr="00C2175C">
        <w:rPr>
          <w:rFonts w:ascii="仿宋" w:eastAsia="仿宋" w:hAnsi="仿宋" w:hint="eastAsia"/>
          <w:sz w:val="32"/>
          <w:szCs w:val="32"/>
        </w:rPr>
        <w:t>截至目前，易地扶贫搬迁和统规统建的项目投资的奖励全部用于开发香山别院二期。</w:t>
      </w:r>
    </w:p>
    <w:p w:rsidR="000E4D6F" w:rsidRPr="00C2175C" w:rsidRDefault="0093256A" w:rsidP="00C2175C">
      <w:pPr>
        <w:spacing w:line="600" w:lineRule="exact"/>
        <w:ind w:firstLine="648"/>
        <w:rPr>
          <w:rFonts w:ascii="仿宋" w:eastAsia="仿宋" w:hAnsi="仿宋" w:cs="黑体"/>
          <w:bCs/>
          <w:sz w:val="32"/>
          <w:szCs w:val="32"/>
        </w:rPr>
      </w:pPr>
      <w:r w:rsidRPr="00C2175C">
        <w:rPr>
          <w:rFonts w:ascii="仿宋" w:eastAsia="仿宋" w:hAnsi="仿宋" w:cs="黑体" w:hint="eastAsia"/>
          <w:bCs/>
          <w:sz w:val="32"/>
          <w:szCs w:val="32"/>
        </w:rPr>
        <w:t>三、专项资金绩效情况</w:t>
      </w:r>
    </w:p>
    <w:p w:rsidR="000E4D6F" w:rsidRPr="00C2175C" w:rsidRDefault="0093256A" w:rsidP="00C2175C">
      <w:pPr>
        <w:widowControl/>
        <w:spacing w:line="600" w:lineRule="exact"/>
        <w:ind w:firstLineChars="200" w:firstLine="640"/>
        <w:jc w:val="left"/>
        <w:rPr>
          <w:rFonts w:ascii="仿宋" w:eastAsia="仿宋" w:hAnsi="仿宋" w:cs="宋体"/>
          <w:kern w:val="0"/>
          <w:sz w:val="32"/>
          <w:szCs w:val="21"/>
        </w:rPr>
      </w:pPr>
      <w:r w:rsidRPr="00C2175C">
        <w:rPr>
          <w:rFonts w:ascii="仿宋" w:eastAsia="仿宋" w:hAnsi="仿宋" w:cs="宋体" w:hint="eastAsia"/>
          <w:kern w:val="0"/>
          <w:sz w:val="32"/>
          <w:szCs w:val="21"/>
        </w:rPr>
        <w:t>2020年投入开发资金11496万元，新开工面积20963㎡，竣工面积11727㎡，实际实现年营收3157万元，缴纳税款147万元。</w:t>
      </w:r>
    </w:p>
    <w:p w:rsidR="000E4D6F" w:rsidRPr="00C2175C" w:rsidRDefault="000E4D6F" w:rsidP="00C2175C">
      <w:pPr>
        <w:spacing w:line="600" w:lineRule="exact"/>
        <w:ind w:firstLineChars="200" w:firstLine="640"/>
        <w:rPr>
          <w:rFonts w:ascii="仿宋" w:eastAsia="仿宋" w:hAnsi="仿宋"/>
          <w:sz w:val="32"/>
          <w:szCs w:val="32"/>
        </w:rPr>
      </w:pPr>
    </w:p>
    <w:p w:rsidR="000E4D6F" w:rsidRPr="00C2175C" w:rsidRDefault="0093256A" w:rsidP="00C2175C">
      <w:pPr>
        <w:pStyle w:val="a6"/>
        <w:spacing w:line="600" w:lineRule="exact"/>
        <w:ind w:firstLineChars="1900" w:firstLine="6080"/>
        <w:rPr>
          <w:rFonts w:ascii="仿宋" w:eastAsia="仿宋" w:hAnsi="仿宋"/>
          <w:sz w:val="32"/>
          <w:szCs w:val="32"/>
        </w:rPr>
      </w:pPr>
      <w:r w:rsidRPr="00C2175C">
        <w:rPr>
          <w:rFonts w:ascii="仿宋" w:eastAsia="仿宋" w:hAnsi="仿宋" w:hint="eastAsia"/>
          <w:sz w:val="32"/>
          <w:szCs w:val="32"/>
        </w:rPr>
        <w:t>2021年8月10日</w:t>
      </w:r>
    </w:p>
    <w:p w:rsidR="000E4D6F" w:rsidRPr="00C2175C" w:rsidRDefault="000E4D6F" w:rsidP="00C2175C">
      <w:pPr>
        <w:pStyle w:val="a6"/>
        <w:spacing w:line="600" w:lineRule="exact"/>
        <w:ind w:firstLineChars="1400" w:firstLine="4480"/>
        <w:rPr>
          <w:rFonts w:ascii="仿宋" w:eastAsia="仿宋" w:hAnsi="仿宋"/>
          <w:sz w:val="32"/>
          <w:szCs w:val="32"/>
        </w:rPr>
      </w:pPr>
    </w:p>
    <w:p w:rsidR="000E4D6F" w:rsidRDefault="000E4D6F" w:rsidP="00C2175C">
      <w:pPr>
        <w:pStyle w:val="a6"/>
        <w:spacing w:line="560" w:lineRule="exact"/>
        <w:rPr>
          <w:rFonts w:ascii="仿宋" w:eastAsia="仿宋"/>
          <w:sz w:val="32"/>
          <w:szCs w:val="32"/>
        </w:rPr>
      </w:pPr>
    </w:p>
    <w:p w:rsidR="00C2175C" w:rsidRDefault="00C2175C" w:rsidP="00C2175C">
      <w:pPr>
        <w:pStyle w:val="a6"/>
        <w:spacing w:line="560" w:lineRule="exact"/>
        <w:rPr>
          <w:rFonts w:ascii="仿宋" w:eastAsia="仿宋"/>
          <w:sz w:val="32"/>
          <w:szCs w:val="32"/>
        </w:rPr>
      </w:pPr>
    </w:p>
    <w:p w:rsidR="00C2175C" w:rsidRPr="002156AD" w:rsidRDefault="00C2175C" w:rsidP="00C2175C">
      <w:pPr>
        <w:pStyle w:val="a6"/>
        <w:spacing w:line="560" w:lineRule="exact"/>
        <w:rPr>
          <w:rFonts w:ascii="仿宋" w:eastAsia="仿宋"/>
          <w:sz w:val="28"/>
          <w:szCs w:val="28"/>
        </w:rPr>
      </w:pPr>
      <w:r w:rsidRPr="002156AD">
        <w:rPr>
          <w:rFonts w:ascii="仿宋" w:eastAsia="仿宋" w:hint="eastAsia"/>
          <w:sz w:val="28"/>
          <w:szCs w:val="28"/>
        </w:rPr>
        <w:t>附件1</w:t>
      </w:r>
    </w:p>
    <w:tbl>
      <w:tblPr>
        <w:tblW w:w="9407" w:type="dxa"/>
        <w:jc w:val="center"/>
        <w:tblLayout w:type="fixed"/>
        <w:tblLook w:val="04A0"/>
      </w:tblPr>
      <w:tblGrid>
        <w:gridCol w:w="588"/>
        <w:gridCol w:w="779"/>
        <w:gridCol w:w="1176"/>
        <w:gridCol w:w="867"/>
        <w:gridCol w:w="1118"/>
        <w:gridCol w:w="487"/>
        <w:gridCol w:w="828"/>
        <w:gridCol w:w="969"/>
        <w:gridCol w:w="75"/>
        <w:gridCol w:w="540"/>
        <w:gridCol w:w="94"/>
        <w:gridCol w:w="578"/>
        <w:gridCol w:w="273"/>
        <w:gridCol w:w="1035"/>
      </w:tblGrid>
      <w:tr w:rsidR="000E4D6F">
        <w:trPr>
          <w:trHeight w:hRule="exact" w:val="349"/>
          <w:jc w:val="center"/>
        </w:trPr>
        <w:tc>
          <w:tcPr>
            <w:tcW w:w="9407" w:type="dxa"/>
            <w:gridSpan w:val="14"/>
            <w:tcBorders>
              <w:top w:val="nil"/>
              <w:left w:val="nil"/>
              <w:bottom w:val="nil"/>
              <w:right w:val="nil"/>
            </w:tcBorders>
            <w:vAlign w:val="center"/>
          </w:tcPr>
          <w:p w:rsidR="000E4D6F" w:rsidRDefault="0093256A">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0E4D6F">
        <w:trPr>
          <w:trHeight w:val="201"/>
          <w:jc w:val="center"/>
        </w:trPr>
        <w:tc>
          <w:tcPr>
            <w:tcW w:w="9407" w:type="dxa"/>
            <w:gridSpan w:val="14"/>
            <w:tcBorders>
              <w:top w:val="nil"/>
              <w:left w:val="nil"/>
              <w:bottom w:val="nil"/>
              <w:right w:val="nil"/>
            </w:tcBorders>
          </w:tcPr>
          <w:p w:rsidR="000E4D6F" w:rsidRDefault="0093256A">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0E4D6F">
        <w:trPr>
          <w:trHeight w:hRule="exact" w:val="300"/>
          <w:jc w:val="center"/>
        </w:trPr>
        <w:tc>
          <w:tcPr>
            <w:tcW w:w="1367" w:type="dxa"/>
            <w:gridSpan w:val="2"/>
            <w:tcBorders>
              <w:top w:val="single" w:sz="4" w:space="0" w:color="auto"/>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040" w:type="dxa"/>
            <w:gridSpan w:val="1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香山别院</w:t>
            </w:r>
          </w:p>
        </w:tc>
      </w:tr>
      <w:tr w:rsidR="000E4D6F">
        <w:trPr>
          <w:trHeight w:hRule="exact" w:val="300"/>
          <w:jc w:val="center"/>
        </w:trPr>
        <w:tc>
          <w:tcPr>
            <w:tcW w:w="1367" w:type="dxa"/>
            <w:gridSpan w:val="2"/>
            <w:tcBorders>
              <w:top w:val="single" w:sz="4" w:space="0" w:color="auto"/>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主管部门</w:t>
            </w:r>
          </w:p>
        </w:tc>
        <w:tc>
          <w:tcPr>
            <w:tcW w:w="3161" w:type="dxa"/>
            <w:gridSpan w:val="3"/>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15"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3564" w:type="dxa"/>
            <w:gridSpan w:val="7"/>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rPr>
                <w:rFonts w:ascii="Times New Roman" w:hAnsi="Times New Roman"/>
                <w:kern w:val="0"/>
                <w:sz w:val="18"/>
                <w:szCs w:val="18"/>
              </w:rPr>
            </w:pPr>
            <w:r>
              <w:rPr>
                <w:rFonts w:ascii="Times New Roman" w:hAnsi="Times New Roman" w:hint="eastAsia"/>
                <w:kern w:val="0"/>
                <w:sz w:val="18"/>
                <w:szCs w:val="18"/>
              </w:rPr>
              <w:t>怀化天鸿房地产开发有限公司</w:t>
            </w:r>
          </w:p>
        </w:tc>
      </w:tr>
      <w:tr w:rsidR="000E4D6F">
        <w:trPr>
          <w:trHeight w:hRule="exact" w:val="436"/>
          <w:jc w:val="center"/>
        </w:trPr>
        <w:tc>
          <w:tcPr>
            <w:tcW w:w="1367" w:type="dxa"/>
            <w:gridSpan w:val="2"/>
            <w:vMerge w:val="restart"/>
            <w:tcBorders>
              <w:top w:val="single" w:sz="4" w:space="0" w:color="auto"/>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2043"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1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15"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969"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3"/>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1035"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E4D6F">
        <w:trPr>
          <w:trHeight w:hRule="exact" w:val="300"/>
          <w:jc w:val="center"/>
        </w:trPr>
        <w:tc>
          <w:tcPr>
            <w:tcW w:w="1367" w:type="dxa"/>
            <w:gridSpan w:val="2"/>
            <w:vMerge/>
            <w:tcBorders>
              <w:top w:val="single" w:sz="4" w:space="0" w:color="auto"/>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043"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1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11198</w:t>
            </w:r>
          </w:p>
        </w:tc>
        <w:tc>
          <w:tcPr>
            <w:tcW w:w="1315"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11100</w:t>
            </w:r>
          </w:p>
        </w:tc>
        <w:tc>
          <w:tcPr>
            <w:tcW w:w="969"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11150</w:t>
            </w:r>
          </w:p>
        </w:tc>
        <w:tc>
          <w:tcPr>
            <w:tcW w:w="709" w:type="dxa"/>
            <w:gridSpan w:val="3"/>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35"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p>
        </w:tc>
      </w:tr>
      <w:tr w:rsidR="000E4D6F">
        <w:trPr>
          <w:trHeight w:hRule="exact" w:val="300"/>
          <w:jc w:val="center"/>
        </w:trPr>
        <w:tc>
          <w:tcPr>
            <w:tcW w:w="1367" w:type="dxa"/>
            <w:gridSpan w:val="2"/>
            <w:vMerge/>
            <w:tcBorders>
              <w:top w:val="single" w:sz="4" w:space="0" w:color="auto"/>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043"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1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15"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w:t>
            </w:r>
          </w:p>
        </w:tc>
        <w:tc>
          <w:tcPr>
            <w:tcW w:w="969"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w:t>
            </w:r>
          </w:p>
        </w:tc>
        <w:tc>
          <w:tcPr>
            <w:tcW w:w="709" w:type="dxa"/>
            <w:gridSpan w:val="3"/>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35"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E4D6F">
        <w:trPr>
          <w:trHeight w:hRule="exact" w:val="300"/>
          <w:jc w:val="center"/>
        </w:trPr>
        <w:tc>
          <w:tcPr>
            <w:tcW w:w="1367" w:type="dxa"/>
            <w:gridSpan w:val="2"/>
            <w:vMerge/>
            <w:tcBorders>
              <w:top w:val="single" w:sz="4" w:space="0" w:color="auto"/>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043"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1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198</w:t>
            </w:r>
          </w:p>
        </w:tc>
        <w:tc>
          <w:tcPr>
            <w:tcW w:w="1315"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198</w:t>
            </w:r>
          </w:p>
        </w:tc>
        <w:tc>
          <w:tcPr>
            <w:tcW w:w="969"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198</w:t>
            </w:r>
          </w:p>
        </w:tc>
        <w:tc>
          <w:tcPr>
            <w:tcW w:w="709" w:type="dxa"/>
            <w:gridSpan w:val="3"/>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35"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E4D6F">
        <w:trPr>
          <w:trHeight w:hRule="exact" w:val="300"/>
          <w:jc w:val="center"/>
        </w:trPr>
        <w:tc>
          <w:tcPr>
            <w:tcW w:w="1367" w:type="dxa"/>
            <w:gridSpan w:val="2"/>
            <w:vMerge/>
            <w:tcBorders>
              <w:top w:val="single" w:sz="4" w:space="0" w:color="auto"/>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043"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1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11000</w:t>
            </w:r>
          </w:p>
        </w:tc>
        <w:tc>
          <w:tcPr>
            <w:tcW w:w="1315"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10832</w:t>
            </w:r>
          </w:p>
        </w:tc>
        <w:tc>
          <w:tcPr>
            <w:tcW w:w="969"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10882</w:t>
            </w:r>
          </w:p>
        </w:tc>
        <w:tc>
          <w:tcPr>
            <w:tcW w:w="709" w:type="dxa"/>
            <w:gridSpan w:val="3"/>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35"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E4D6F">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55" w:type="dxa"/>
            <w:gridSpan w:val="6"/>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64" w:type="dxa"/>
            <w:gridSpan w:val="7"/>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E4D6F" w:rsidTr="005C7C34">
        <w:trPr>
          <w:trHeight w:hRule="exact" w:val="1785"/>
          <w:jc w:val="center"/>
        </w:trPr>
        <w:tc>
          <w:tcPr>
            <w:tcW w:w="588"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4427" w:type="dxa"/>
            <w:gridSpan w:val="5"/>
            <w:tcBorders>
              <w:top w:val="single" w:sz="4" w:space="0" w:color="auto"/>
              <w:left w:val="nil"/>
              <w:bottom w:val="single" w:sz="4" w:space="0" w:color="auto"/>
              <w:right w:val="single" w:sz="4" w:space="0" w:color="auto"/>
            </w:tcBorders>
            <w:vAlign w:val="center"/>
          </w:tcPr>
          <w:p w:rsidR="000E4D6F" w:rsidRDefault="0093256A">
            <w:pPr>
              <w:widowControl/>
              <w:spacing w:line="26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全年拟投入开发资金11100万元，新开工面积20000㎡，竣工面积11000㎡，计划实现年营收3000万元，缴纳税款140万元。</w:t>
            </w:r>
          </w:p>
          <w:p w:rsidR="000E4D6F" w:rsidRDefault="000E4D6F">
            <w:pPr>
              <w:widowControl/>
              <w:spacing w:line="240" w:lineRule="exact"/>
              <w:ind w:firstLineChars="200" w:firstLine="360"/>
              <w:rPr>
                <w:rFonts w:ascii="Times New Roman" w:hAnsi="Times New Roman"/>
                <w:kern w:val="0"/>
                <w:sz w:val="18"/>
                <w:szCs w:val="18"/>
              </w:rPr>
            </w:pPr>
          </w:p>
        </w:tc>
        <w:tc>
          <w:tcPr>
            <w:tcW w:w="4392" w:type="dxa"/>
            <w:gridSpan w:val="8"/>
            <w:tcBorders>
              <w:top w:val="single" w:sz="4" w:space="0" w:color="auto"/>
              <w:left w:val="nil"/>
              <w:bottom w:val="single" w:sz="4" w:space="0" w:color="auto"/>
              <w:right w:val="single" w:sz="4" w:space="0" w:color="auto"/>
            </w:tcBorders>
            <w:vAlign w:val="center"/>
          </w:tcPr>
          <w:p w:rsidR="000E4D6F" w:rsidRDefault="0093256A">
            <w:pPr>
              <w:widowControl/>
              <w:spacing w:line="26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 xml:space="preserve">   2020年投入开发资金11150万元，新开工面积20963㎡，竣工面积11727㎡，实际实现年营收3157万元，缴纳税款147万元。</w:t>
            </w:r>
          </w:p>
          <w:p w:rsidR="000E4D6F" w:rsidRDefault="000E4D6F">
            <w:pPr>
              <w:widowControl/>
              <w:spacing w:line="240" w:lineRule="exact"/>
              <w:rPr>
                <w:rFonts w:ascii="Times New Roman" w:hAnsi="Times New Roman"/>
                <w:kern w:val="0"/>
                <w:sz w:val="18"/>
                <w:szCs w:val="18"/>
              </w:rPr>
            </w:pPr>
          </w:p>
        </w:tc>
      </w:tr>
      <w:tr w:rsidR="000E4D6F">
        <w:trPr>
          <w:trHeight w:hRule="exact" w:val="533"/>
          <w:jc w:val="center"/>
        </w:trPr>
        <w:tc>
          <w:tcPr>
            <w:tcW w:w="588" w:type="dxa"/>
            <w:vMerge w:val="restart"/>
            <w:tcBorders>
              <w:top w:val="nil"/>
              <w:left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779"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76"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08"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本年新开工面积（㎡）</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20963</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本年竣工面积（㎡）</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11000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11727</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：本年销售面积（㎡）</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13000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13453</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：资金到位</w:t>
            </w:r>
            <w:r>
              <w:rPr>
                <w:rFonts w:ascii="Times New Roman" w:hAnsi="Times New Roman" w:hint="eastAsia"/>
                <w:color w:val="000000"/>
                <w:kern w:val="0"/>
                <w:sz w:val="18"/>
                <w:szCs w:val="18"/>
              </w:rPr>
              <w:t>（万元）</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11100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11150</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工程报批报建及时性</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产值（万元）</w:t>
            </w:r>
          </w:p>
        </w:tc>
        <w:tc>
          <w:tcPr>
            <w:tcW w:w="828" w:type="dxa"/>
            <w:tcBorders>
              <w:top w:val="nil"/>
              <w:left w:val="nil"/>
              <w:bottom w:val="single" w:sz="4" w:space="0" w:color="auto"/>
              <w:right w:val="single" w:sz="4" w:space="0" w:color="auto"/>
            </w:tcBorders>
            <w:vAlign w:val="center"/>
          </w:tcPr>
          <w:p w:rsidR="000E4D6F" w:rsidRDefault="0093256A">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4100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60" w:lineRule="exact"/>
              <w:jc w:val="center"/>
              <w:rPr>
                <w:rFonts w:ascii="Times New Roman" w:hAnsi="Times New Roman"/>
                <w:kern w:val="0"/>
                <w:sz w:val="18"/>
                <w:szCs w:val="18"/>
              </w:rPr>
            </w:pPr>
            <w:r>
              <w:rPr>
                <w:rFonts w:ascii="仿宋_GB2312" w:eastAsia="仿宋_GB2312" w:hAnsi="宋体" w:cs="宋体" w:hint="eastAsia"/>
                <w:kern w:val="0"/>
                <w:sz w:val="18"/>
                <w:szCs w:val="18"/>
              </w:rPr>
              <w:t>4105</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：税收</w:t>
            </w:r>
            <w:r>
              <w:rPr>
                <w:rFonts w:ascii="Times New Roman" w:hAnsi="Times New Roman" w:hint="eastAsia"/>
                <w:color w:val="000000"/>
                <w:kern w:val="0"/>
                <w:sz w:val="18"/>
                <w:szCs w:val="18"/>
              </w:rPr>
              <w:t>（万元）</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140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147</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：销售额（万元）</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3157</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288"/>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60" w:lineRule="exact"/>
              <w:jc w:val="center"/>
              <w:rPr>
                <w:rFonts w:ascii="仿宋_GB2312" w:eastAsia="仿宋_GB2312" w:hAnsi="宋体" w:cs="宋体"/>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60" w:lineRule="exact"/>
              <w:jc w:val="center"/>
              <w:rPr>
                <w:rFonts w:ascii="仿宋_GB2312" w:eastAsia="仿宋_GB2312" w:hAnsi="宋体" w:cs="宋体"/>
                <w:color w:val="000000"/>
                <w:kern w:val="0"/>
                <w:szCs w:val="21"/>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val="restart"/>
            <w:tcBorders>
              <w:top w:val="nil"/>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val="restart"/>
            <w:tcBorders>
              <w:top w:val="single" w:sz="4" w:space="0" w:color="auto"/>
              <w:left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76" w:type="dxa"/>
            <w:vMerge w:val="restart"/>
            <w:tcBorders>
              <w:top w:val="single" w:sz="4" w:space="0" w:color="auto"/>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：服务满意度</w:t>
            </w:r>
          </w:p>
        </w:tc>
        <w:tc>
          <w:tcPr>
            <w:tcW w:w="828" w:type="dxa"/>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w:t>
            </w:r>
          </w:p>
        </w:tc>
        <w:tc>
          <w:tcPr>
            <w:tcW w:w="1044"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40" w:type="dxa"/>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672" w:type="dxa"/>
            <w:gridSpan w:val="2"/>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left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客户</w:t>
            </w:r>
            <w:r>
              <w:rPr>
                <w:rFonts w:ascii="Times New Roman" w:hAnsi="Times New Roman"/>
                <w:color w:val="000000"/>
                <w:kern w:val="0"/>
                <w:sz w:val="18"/>
                <w:szCs w:val="18"/>
              </w:rPr>
              <w:t>满意度</w:t>
            </w:r>
          </w:p>
        </w:tc>
        <w:tc>
          <w:tcPr>
            <w:tcW w:w="828"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1044"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779" w:type="dxa"/>
            <w:vMerge/>
            <w:tcBorders>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176" w:type="dxa"/>
            <w:vMerge/>
            <w:tcBorders>
              <w:top w:val="nil"/>
              <w:left w:val="single" w:sz="4" w:space="0" w:color="auto"/>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2472" w:type="dxa"/>
            <w:gridSpan w:val="3"/>
            <w:tcBorders>
              <w:top w:val="single" w:sz="4" w:space="0" w:color="auto"/>
              <w:left w:val="nil"/>
              <w:bottom w:val="single" w:sz="4" w:space="0" w:color="auto"/>
              <w:right w:val="single" w:sz="4" w:space="0" w:color="auto"/>
            </w:tcBorders>
            <w:vAlign w:val="center"/>
          </w:tcPr>
          <w:p w:rsidR="000E4D6F" w:rsidRDefault="0093256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28"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044"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540" w:type="dxa"/>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672" w:type="dxa"/>
            <w:gridSpan w:val="2"/>
            <w:tcBorders>
              <w:top w:val="nil"/>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r w:rsidR="000E4D6F">
        <w:trPr>
          <w:trHeight w:hRule="exact" w:val="300"/>
          <w:jc w:val="center"/>
        </w:trPr>
        <w:tc>
          <w:tcPr>
            <w:tcW w:w="6887" w:type="dxa"/>
            <w:gridSpan w:val="9"/>
            <w:tcBorders>
              <w:top w:val="single" w:sz="4" w:space="0" w:color="auto"/>
              <w:left w:val="single" w:sz="4" w:space="0" w:color="auto"/>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40" w:type="dxa"/>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Pr>
                <w:rFonts w:ascii="Times New Roman" w:hAnsi="Times New Roman"/>
                <w:color w:val="000000"/>
                <w:kern w:val="0"/>
                <w:sz w:val="18"/>
                <w:szCs w:val="18"/>
              </w:rPr>
              <w:t>0</w:t>
            </w:r>
          </w:p>
        </w:tc>
        <w:tc>
          <w:tcPr>
            <w:tcW w:w="672" w:type="dxa"/>
            <w:gridSpan w:val="2"/>
            <w:tcBorders>
              <w:top w:val="nil"/>
              <w:left w:val="nil"/>
              <w:bottom w:val="single" w:sz="4" w:space="0" w:color="auto"/>
              <w:right w:val="single" w:sz="4" w:space="0" w:color="auto"/>
            </w:tcBorders>
            <w:vAlign w:val="center"/>
          </w:tcPr>
          <w:p w:rsidR="000E4D6F" w:rsidRDefault="0093256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Pr>
                <w:rFonts w:ascii="Times New Roman" w:hAnsi="Times New Roman"/>
                <w:color w:val="000000"/>
                <w:kern w:val="0"/>
                <w:sz w:val="18"/>
                <w:szCs w:val="18"/>
              </w:rPr>
              <w:t>0</w:t>
            </w:r>
          </w:p>
        </w:tc>
        <w:tc>
          <w:tcPr>
            <w:tcW w:w="1308" w:type="dxa"/>
            <w:gridSpan w:val="2"/>
            <w:tcBorders>
              <w:top w:val="single" w:sz="4" w:space="0" w:color="auto"/>
              <w:left w:val="nil"/>
              <w:bottom w:val="single" w:sz="4" w:space="0" w:color="auto"/>
              <w:right w:val="single" w:sz="4" w:space="0" w:color="auto"/>
            </w:tcBorders>
            <w:vAlign w:val="center"/>
          </w:tcPr>
          <w:p w:rsidR="000E4D6F" w:rsidRDefault="000E4D6F">
            <w:pPr>
              <w:widowControl/>
              <w:spacing w:line="240" w:lineRule="exact"/>
              <w:jc w:val="center"/>
              <w:rPr>
                <w:rFonts w:ascii="Times New Roman" w:hAnsi="Times New Roman"/>
                <w:kern w:val="0"/>
                <w:sz w:val="18"/>
                <w:szCs w:val="18"/>
              </w:rPr>
            </w:pPr>
          </w:p>
        </w:tc>
      </w:tr>
    </w:tbl>
    <w:p w:rsidR="000E4D6F" w:rsidRDefault="000E4D6F">
      <w:pPr>
        <w:sectPr w:rsidR="000E4D6F">
          <w:pgSz w:w="11906" w:h="16838"/>
          <w:pgMar w:top="1587" w:right="1531" w:bottom="1587" w:left="1531" w:header="851" w:footer="992" w:gutter="0"/>
          <w:cols w:space="425"/>
          <w:docGrid w:type="lines" w:linePitch="312"/>
        </w:sectPr>
      </w:pPr>
    </w:p>
    <w:p w:rsidR="005C7C34" w:rsidRPr="005C7C34" w:rsidRDefault="005C7C34" w:rsidP="005C7C34">
      <w:pPr>
        <w:pStyle w:val="2"/>
        <w:spacing w:before="0" w:after="0" w:line="240" w:lineRule="auto"/>
        <w:jc w:val="left"/>
        <w:rPr>
          <w:rFonts w:ascii="仿宋" w:eastAsia="仿宋" w:hAnsi="仿宋"/>
          <w:b w:val="0"/>
          <w:bCs/>
          <w:color w:val="000000"/>
          <w:sz w:val="28"/>
          <w:szCs w:val="28"/>
        </w:rPr>
      </w:pPr>
      <w:r w:rsidRPr="005C7C34">
        <w:rPr>
          <w:rFonts w:ascii="仿宋" w:eastAsia="仿宋" w:hAnsi="仿宋" w:hint="eastAsia"/>
          <w:b w:val="0"/>
          <w:bCs/>
          <w:color w:val="000000"/>
          <w:sz w:val="28"/>
          <w:szCs w:val="28"/>
        </w:rPr>
        <w:lastRenderedPageBreak/>
        <w:t>附件2</w:t>
      </w:r>
    </w:p>
    <w:p w:rsidR="000E4D6F" w:rsidRDefault="0093256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E4D6F">
        <w:trPr>
          <w:trHeight w:val="692"/>
          <w:tblHeader/>
          <w:jc w:val="center"/>
        </w:trPr>
        <w:tc>
          <w:tcPr>
            <w:tcW w:w="682" w:type="dxa"/>
            <w:shd w:val="clear" w:color="auto" w:fill="FFFFFF"/>
            <w:vAlign w:val="center"/>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0E4D6F" w:rsidRDefault="0093256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0E4D6F">
        <w:trPr>
          <w:trHeight w:val="2318"/>
          <w:jc w:val="center"/>
        </w:trPr>
        <w:tc>
          <w:tcPr>
            <w:tcW w:w="682"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0E4D6F" w:rsidRDefault="0093256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0E4D6F" w:rsidRDefault="0093256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E4D6F">
        <w:trPr>
          <w:trHeight w:val="1510"/>
          <w:jc w:val="center"/>
        </w:trPr>
        <w:tc>
          <w:tcPr>
            <w:tcW w:w="682"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0E4D6F" w:rsidRDefault="0093256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0E4D6F">
        <w:trPr>
          <w:trHeight w:val="1829"/>
          <w:jc w:val="center"/>
        </w:trPr>
        <w:tc>
          <w:tcPr>
            <w:tcW w:w="682"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709"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0E4D6F" w:rsidRDefault="0093256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0E4D6F" w:rsidRDefault="0093256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E4D6F">
        <w:trPr>
          <w:trHeight w:val="1464"/>
          <w:jc w:val="center"/>
        </w:trPr>
        <w:tc>
          <w:tcPr>
            <w:tcW w:w="682"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0E4D6F">
        <w:trPr>
          <w:trHeight w:val="1942"/>
          <w:jc w:val="center"/>
        </w:trPr>
        <w:tc>
          <w:tcPr>
            <w:tcW w:w="682"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0E4D6F" w:rsidRDefault="0093256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0E4D6F">
        <w:trPr>
          <w:trHeight w:val="1706"/>
          <w:jc w:val="center"/>
        </w:trPr>
        <w:tc>
          <w:tcPr>
            <w:tcW w:w="682"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0E4D6F">
        <w:trPr>
          <w:trHeight w:val="1415"/>
          <w:jc w:val="center"/>
        </w:trPr>
        <w:tc>
          <w:tcPr>
            <w:tcW w:w="682" w:type="dxa"/>
            <w:vMerge w:val="restart"/>
            <w:shd w:val="clear" w:color="auto" w:fill="FFFFFF"/>
            <w:vAlign w:val="center"/>
          </w:tcPr>
          <w:p w:rsidR="000E4D6F" w:rsidRDefault="0093256A">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0E4D6F">
        <w:trPr>
          <w:trHeight w:val="1320"/>
          <w:jc w:val="center"/>
        </w:trPr>
        <w:tc>
          <w:tcPr>
            <w:tcW w:w="682"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E4D6F">
        <w:trPr>
          <w:trHeight w:val="2076"/>
          <w:jc w:val="center"/>
        </w:trPr>
        <w:tc>
          <w:tcPr>
            <w:tcW w:w="682"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0E4D6F" w:rsidRDefault="0093256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E4D6F">
        <w:trPr>
          <w:trHeight w:val="1797"/>
          <w:jc w:val="center"/>
        </w:trPr>
        <w:tc>
          <w:tcPr>
            <w:tcW w:w="682"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0E4D6F" w:rsidRDefault="0093256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E4D6F">
        <w:trPr>
          <w:trHeight w:val="1769"/>
          <w:jc w:val="center"/>
        </w:trPr>
        <w:tc>
          <w:tcPr>
            <w:tcW w:w="682"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E4D6F">
        <w:trPr>
          <w:trHeight w:val="1917"/>
          <w:jc w:val="center"/>
        </w:trPr>
        <w:tc>
          <w:tcPr>
            <w:tcW w:w="682"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0E4D6F">
        <w:trPr>
          <w:trHeight w:val="1718"/>
          <w:jc w:val="center"/>
        </w:trPr>
        <w:tc>
          <w:tcPr>
            <w:tcW w:w="682"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0E4D6F">
        <w:trPr>
          <w:trHeight w:val="1506"/>
          <w:jc w:val="center"/>
        </w:trPr>
        <w:tc>
          <w:tcPr>
            <w:tcW w:w="682" w:type="dxa"/>
            <w:vMerge/>
            <w:shd w:val="clear" w:color="auto" w:fill="FFFFFF"/>
            <w:vAlign w:val="center"/>
          </w:tcPr>
          <w:p w:rsidR="000E4D6F" w:rsidRDefault="000E4D6F">
            <w:pPr>
              <w:spacing w:line="0" w:lineRule="atLeast"/>
              <w:jc w:val="center"/>
              <w:rPr>
                <w:rFonts w:ascii="Times New Roman" w:hAnsi="Times New Roman"/>
                <w:color w:val="000000"/>
                <w:kern w:val="0"/>
                <w:sz w:val="22"/>
              </w:rPr>
            </w:pPr>
          </w:p>
        </w:tc>
        <w:tc>
          <w:tcPr>
            <w:tcW w:w="709" w:type="dxa"/>
            <w:shd w:val="clear" w:color="auto" w:fill="FFFFFF"/>
            <w:vAlign w:val="center"/>
          </w:tcPr>
          <w:p w:rsidR="000E4D6F" w:rsidRDefault="0093256A">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0E4D6F">
        <w:trPr>
          <w:trHeight w:val="1674"/>
          <w:jc w:val="center"/>
        </w:trPr>
        <w:tc>
          <w:tcPr>
            <w:tcW w:w="682"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0E4D6F">
        <w:trPr>
          <w:trHeight w:val="693"/>
          <w:jc w:val="center"/>
        </w:trPr>
        <w:tc>
          <w:tcPr>
            <w:tcW w:w="682"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0E4D6F" w:rsidRDefault="0093256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0E4D6F">
        <w:trPr>
          <w:trHeight w:val="929"/>
          <w:jc w:val="center"/>
        </w:trPr>
        <w:tc>
          <w:tcPr>
            <w:tcW w:w="682"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0E4D6F" w:rsidRDefault="000E4D6F">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0E4D6F" w:rsidRDefault="0093256A">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0E4D6F">
        <w:trPr>
          <w:trHeight w:val="558"/>
          <w:jc w:val="center"/>
        </w:trPr>
        <w:tc>
          <w:tcPr>
            <w:tcW w:w="2525" w:type="dxa"/>
            <w:gridSpan w:val="3"/>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0E4D6F" w:rsidRDefault="000E4D6F">
            <w:pPr>
              <w:widowControl/>
              <w:spacing w:line="0" w:lineRule="atLeast"/>
              <w:rPr>
                <w:rFonts w:ascii="Times New Roman" w:hAnsi="Times New Roman"/>
                <w:color w:val="000000"/>
                <w:kern w:val="0"/>
                <w:sz w:val="22"/>
              </w:rPr>
            </w:pPr>
          </w:p>
        </w:tc>
        <w:tc>
          <w:tcPr>
            <w:tcW w:w="6096" w:type="dxa"/>
            <w:shd w:val="clear" w:color="auto" w:fill="FFFFFF"/>
            <w:vAlign w:val="center"/>
          </w:tcPr>
          <w:p w:rsidR="000E4D6F" w:rsidRDefault="000E4D6F">
            <w:pPr>
              <w:widowControl/>
              <w:spacing w:line="0" w:lineRule="atLeast"/>
              <w:rPr>
                <w:rFonts w:ascii="Times New Roman" w:hAnsi="Times New Roman"/>
                <w:color w:val="000000"/>
                <w:kern w:val="0"/>
                <w:sz w:val="22"/>
              </w:rPr>
            </w:pPr>
          </w:p>
        </w:tc>
        <w:tc>
          <w:tcPr>
            <w:tcW w:w="566" w:type="dxa"/>
            <w:shd w:val="clear" w:color="auto" w:fill="FFFFFF"/>
            <w:vAlign w:val="center"/>
          </w:tcPr>
          <w:p w:rsidR="000E4D6F" w:rsidRDefault="0093256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97</w:t>
            </w:r>
          </w:p>
        </w:tc>
      </w:tr>
    </w:tbl>
    <w:p w:rsidR="000E4D6F" w:rsidRDefault="0093256A">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0E4D6F" w:rsidRDefault="000E4D6F"/>
    <w:sectPr w:rsidR="000E4D6F" w:rsidSect="000E4D6F">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0FB" w:rsidRDefault="000850FB" w:rsidP="005C7C34">
      <w:r>
        <w:separator/>
      </w:r>
    </w:p>
  </w:endnote>
  <w:endnote w:type="continuationSeparator" w:id="1">
    <w:p w:rsidR="000850FB" w:rsidRDefault="000850FB" w:rsidP="005C7C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黑体"/>
    <w:charset w:val="86"/>
    <w:family w:val="auto"/>
    <w:pitch w:val="default"/>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0FB" w:rsidRDefault="000850FB" w:rsidP="005C7C34">
      <w:r>
        <w:separator/>
      </w:r>
    </w:p>
  </w:footnote>
  <w:footnote w:type="continuationSeparator" w:id="1">
    <w:p w:rsidR="000850FB" w:rsidRDefault="000850FB" w:rsidP="005C7C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63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04CD"/>
    <w:rsid w:val="000850FB"/>
    <w:rsid w:val="000E4D6F"/>
    <w:rsid w:val="002156AD"/>
    <w:rsid w:val="00220415"/>
    <w:rsid w:val="005C7C34"/>
    <w:rsid w:val="00800FAE"/>
    <w:rsid w:val="00845213"/>
    <w:rsid w:val="00926193"/>
    <w:rsid w:val="0093256A"/>
    <w:rsid w:val="00AC4584"/>
    <w:rsid w:val="00C2175C"/>
    <w:rsid w:val="00F504CD"/>
    <w:rsid w:val="032D0512"/>
    <w:rsid w:val="06374A2C"/>
    <w:rsid w:val="0949422A"/>
    <w:rsid w:val="0B674253"/>
    <w:rsid w:val="0E3C140C"/>
    <w:rsid w:val="0FB05FE7"/>
    <w:rsid w:val="14DC545E"/>
    <w:rsid w:val="1C1C16FA"/>
    <w:rsid w:val="3961325E"/>
    <w:rsid w:val="3FFE5D3A"/>
    <w:rsid w:val="4379205C"/>
    <w:rsid w:val="45CA4411"/>
    <w:rsid w:val="4E6E6436"/>
    <w:rsid w:val="52337777"/>
    <w:rsid w:val="52A57621"/>
    <w:rsid w:val="54003008"/>
    <w:rsid w:val="573A5BCB"/>
    <w:rsid w:val="5A5F6471"/>
    <w:rsid w:val="63707496"/>
    <w:rsid w:val="69AB38D4"/>
    <w:rsid w:val="69F67D93"/>
    <w:rsid w:val="6BC57636"/>
    <w:rsid w:val="6DFE40B8"/>
    <w:rsid w:val="705322D0"/>
    <w:rsid w:val="777410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D6F"/>
    <w:pPr>
      <w:widowControl w:val="0"/>
      <w:jc w:val="both"/>
    </w:pPr>
    <w:rPr>
      <w:rFonts w:ascii="Calibri" w:hAnsi="Calibri"/>
      <w:kern w:val="2"/>
      <w:sz w:val="21"/>
      <w:szCs w:val="22"/>
    </w:rPr>
  </w:style>
  <w:style w:type="paragraph" w:styleId="2">
    <w:name w:val="heading 2"/>
    <w:basedOn w:val="a"/>
    <w:next w:val="a"/>
    <w:link w:val="2Char"/>
    <w:qFormat/>
    <w:rsid w:val="000E4D6F"/>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0E4D6F"/>
    <w:pPr>
      <w:ind w:leftChars="2500" w:left="100"/>
    </w:pPr>
  </w:style>
  <w:style w:type="paragraph" w:styleId="a4">
    <w:name w:val="footer"/>
    <w:basedOn w:val="a"/>
    <w:unhideWhenUsed/>
    <w:qFormat/>
    <w:rsid w:val="000E4D6F"/>
    <w:pPr>
      <w:tabs>
        <w:tab w:val="center" w:pos="4153"/>
        <w:tab w:val="right" w:pos="8306"/>
      </w:tabs>
      <w:snapToGrid w:val="0"/>
      <w:jc w:val="left"/>
    </w:pPr>
    <w:rPr>
      <w:kern w:val="0"/>
      <w:sz w:val="18"/>
      <w:szCs w:val="18"/>
    </w:rPr>
  </w:style>
  <w:style w:type="paragraph" w:styleId="a5">
    <w:name w:val="Normal (Web)"/>
    <w:basedOn w:val="a"/>
    <w:qFormat/>
    <w:rsid w:val="000E4D6F"/>
    <w:pPr>
      <w:widowControl/>
      <w:spacing w:before="100" w:beforeAutospacing="1" w:after="100" w:afterAutospacing="1"/>
      <w:jc w:val="left"/>
    </w:pPr>
    <w:rPr>
      <w:rFonts w:ascii="宋体" w:hAnsi="宋体" w:cs="宋体"/>
      <w:kern w:val="0"/>
      <w:sz w:val="24"/>
    </w:rPr>
  </w:style>
  <w:style w:type="paragraph" w:styleId="a6">
    <w:name w:val="No Spacing"/>
    <w:uiPriority w:val="99"/>
    <w:qFormat/>
    <w:rsid w:val="000E4D6F"/>
    <w:pPr>
      <w:widowControl w:val="0"/>
      <w:jc w:val="both"/>
    </w:pPr>
    <w:rPr>
      <w:rFonts w:ascii="Calibri" w:hAnsi="Calibri"/>
      <w:kern w:val="2"/>
      <w:sz w:val="21"/>
      <w:szCs w:val="22"/>
    </w:rPr>
  </w:style>
  <w:style w:type="character" w:customStyle="1" w:styleId="Char">
    <w:name w:val="日期 Char"/>
    <w:basedOn w:val="a0"/>
    <w:link w:val="a3"/>
    <w:uiPriority w:val="99"/>
    <w:semiHidden/>
    <w:qFormat/>
    <w:rsid w:val="000E4D6F"/>
    <w:rPr>
      <w:rFonts w:ascii="Calibri" w:eastAsia="宋体" w:hAnsi="Calibri" w:cs="Times New Roman"/>
    </w:rPr>
  </w:style>
  <w:style w:type="character" w:customStyle="1" w:styleId="2Char">
    <w:name w:val="标题 2 Char"/>
    <w:basedOn w:val="a0"/>
    <w:link w:val="2"/>
    <w:qFormat/>
    <w:rsid w:val="000E4D6F"/>
    <w:rPr>
      <w:rFonts w:ascii="Arial" w:eastAsia="黑体" w:hAnsi="Arial" w:cs="Times New Roman"/>
      <w:b/>
      <w:sz w:val="32"/>
      <w:szCs w:val="24"/>
    </w:rPr>
  </w:style>
  <w:style w:type="paragraph" w:styleId="a7">
    <w:name w:val="List Paragraph"/>
    <w:basedOn w:val="a"/>
    <w:uiPriority w:val="99"/>
    <w:qFormat/>
    <w:rsid w:val="000E4D6F"/>
    <w:pPr>
      <w:ind w:firstLineChars="200" w:firstLine="420"/>
    </w:pPr>
  </w:style>
  <w:style w:type="paragraph" w:styleId="a8">
    <w:name w:val="header"/>
    <w:basedOn w:val="a"/>
    <w:link w:val="Char0"/>
    <w:uiPriority w:val="99"/>
    <w:semiHidden/>
    <w:unhideWhenUsed/>
    <w:rsid w:val="005C7C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5C7C3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672</Words>
  <Characters>3837</Characters>
  <Application>Microsoft Office Word</Application>
  <DocSecurity>0</DocSecurity>
  <Lines>31</Lines>
  <Paragraphs>8</Paragraphs>
  <ScaleCrop>false</ScaleCrop>
  <Company>User</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6</cp:revision>
  <cp:lastPrinted>2020-06-25T07:18:00Z</cp:lastPrinted>
  <dcterms:created xsi:type="dcterms:W3CDTF">2020-06-18T01:40:00Z</dcterms:created>
  <dcterms:modified xsi:type="dcterms:W3CDTF">2021-08-16T03:30:00Z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