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A8B" w:rsidRPr="006C1A8B" w:rsidRDefault="006C1A8B" w:rsidP="006C1A8B">
      <w:pPr>
        <w:ind w:firstLineChars="200" w:firstLine="720"/>
        <w:jc w:val="center"/>
        <w:outlineLvl w:val="0"/>
        <w:rPr>
          <w:rFonts w:ascii="黑体" w:eastAsia="黑体" w:hAnsi="黑体" w:cs="宋体"/>
          <w:sz w:val="36"/>
          <w:szCs w:val="36"/>
        </w:rPr>
      </w:pPr>
      <w:r w:rsidRPr="006C1A8B">
        <w:rPr>
          <w:rFonts w:ascii="黑体" w:eastAsia="黑体" w:hAnsi="黑体" w:cs="宋体"/>
          <w:sz w:val="36"/>
          <w:szCs w:val="36"/>
        </w:rPr>
        <w:t>2020 年度湖南省制造强省专项资金</w:t>
      </w:r>
    </w:p>
    <w:p w:rsidR="006C1A8B" w:rsidRPr="006C1A8B" w:rsidRDefault="006C1A8B" w:rsidP="006C1A8B">
      <w:pPr>
        <w:ind w:firstLineChars="200" w:firstLine="720"/>
        <w:jc w:val="center"/>
        <w:outlineLvl w:val="0"/>
        <w:rPr>
          <w:rFonts w:ascii="黑体" w:eastAsia="黑体" w:hAnsi="黑体" w:cs="宋体"/>
          <w:sz w:val="36"/>
          <w:szCs w:val="36"/>
        </w:rPr>
      </w:pPr>
      <w:r w:rsidRPr="006C1A8B">
        <w:rPr>
          <w:rFonts w:ascii="黑体" w:eastAsia="黑体" w:hAnsi="黑体" w:cs="宋体"/>
          <w:sz w:val="36"/>
          <w:szCs w:val="36"/>
        </w:rPr>
        <w:t>绩效自评报告</w:t>
      </w:r>
    </w:p>
    <w:p w:rsidR="006C1A8B" w:rsidRDefault="006C1A8B" w:rsidP="006C1A8B">
      <w:pPr>
        <w:pStyle w:val="a0"/>
      </w:pPr>
    </w:p>
    <w:p w:rsidR="006C1A8B" w:rsidRDefault="006C1A8B" w:rsidP="006C1A8B">
      <w:pPr>
        <w:pStyle w:val="a0"/>
      </w:pPr>
    </w:p>
    <w:p w:rsidR="006C1A8B" w:rsidRDefault="006C1A8B" w:rsidP="006C1A8B">
      <w:pPr>
        <w:pStyle w:val="a0"/>
      </w:pPr>
    </w:p>
    <w:p w:rsidR="006C1A8B" w:rsidRDefault="006C1A8B" w:rsidP="006C1A8B">
      <w:pPr>
        <w:numPr>
          <w:ilvl w:val="0"/>
          <w:numId w:val="1"/>
        </w:numPr>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项目单位基本情况 </w:t>
      </w:r>
    </w:p>
    <w:p w:rsidR="006C1A8B" w:rsidRDefault="006C1A8B" w:rsidP="006C1A8B">
      <w:pPr>
        <w:numPr>
          <w:ilvl w:val="0"/>
          <w:numId w:val="2"/>
        </w:numPr>
        <w:outlineLvl w:val="0"/>
        <w:rPr>
          <w:rFonts w:ascii="仿宋" w:eastAsia="仿宋" w:hAnsi="仿宋" w:cs="仿宋"/>
          <w:sz w:val="32"/>
          <w:szCs w:val="32"/>
        </w:rPr>
      </w:pPr>
      <w:r>
        <w:rPr>
          <w:rFonts w:ascii="仿宋" w:eastAsia="仿宋" w:hAnsi="仿宋" w:cs="仿宋" w:hint="eastAsia"/>
          <w:sz w:val="32"/>
          <w:szCs w:val="32"/>
        </w:rPr>
        <w:t xml:space="preserve">项目实施单位基本情况 怀化市华恒莫来石有限公司成立于 2013 年 8 月 05 日，公司位于中方县工业园，占地面积约 50 亩。是一家服务于冶金，陶瓷，玻璃等高温行业的高新技术企业，注册资金 500 万元，其具体股份构成如 下： </w:t>
      </w:r>
    </w:p>
    <w:p w:rsidR="006C1A8B" w:rsidRDefault="006C1A8B" w:rsidP="006C1A8B">
      <w:pPr>
        <w:ind w:firstLineChars="200" w:firstLine="640"/>
        <w:outlineLvl w:val="0"/>
        <w:rPr>
          <w:rFonts w:ascii="仿宋" w:eastAsia="仿宋" w:hAnsi="仿宋" w:cs="仿宋"/>
          <w:sz w:val="32"/>
          <w:szCs w:val="32"/>
        </w:rPr>
      </w:pPr>
      <w:r>
        <w:rPr>
          <w:rFonts w:ascii="仿宋" w:eastAsia="仿宋" w:hAnsi="仿宋" w:cs="仿宋" w:hint="eastAsia"/>
          <w:sz w:val="32"/>
          <w:szCs w:val="32"/>
        </w:rPr>
        <w:t>公司股份构成：</w:t>
      </w:r>
    </w:p>
    <w:p w:rsidR="006C1A8B" w:rsidRDefault="006C1A8B" w:rsidP="006C1A8B">
      <w:pPr>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 1 文元贵 80% 货币资金 400.00万元 2 文武 20% 货币资金 100.00万元 合计 500.00 </w:t>
      </w:r>
    </w:p>
    <w:p w:rsidR="006C1A8B" w:rsidRDefault="006C1A8B" w:rsidP="006C1A8B">
      <w:pPr>
        <w:ind w:firstLineChars="200" w:firstLine="640"/>
        <w:outlineLvl w:val="0"/>
        <w:rPr>
          <w:rFonts w:ascii="仿宋" w:eastAsia="仿宋" w:hAnsi="仿宋" w:cs="仿宋"/>
          <w:sz w:val="32"/>
          <w:szCs w:val="32"/>
        </w:rPr>
      </w:pPr>
      <w:r>
        <w:rPr>
          <w:rFonts w:ascii="仿宋" w:eastAsia="仿宋" w:hAnsi="仿宋" w:cs="仿宋" w:hint="eastAsia"/>
          <w:sz w:val="32"/>
          <w:szCs w:val="32"/>
        </w:rPr>
        <w:t>公司主要致力于莫来石和堇青石系列产品的研发和生产。公司拥有完整、科学的质量管理体系。公司现拥有固定员工 69 人，其中管 理人员 8 人，技术人员 8 人，销售人员 2 人，生产人员 51 人，其中 拥有大专及以上学历 10 人，占员工总人数的 16%，公司建立一套高效的生产经营管理体系，公司的经营管理机构为总经理领导下的四部 一室制，即财务部、技术部、销售部、生产部和办公室。</w:t>
      </w:r>
    </w:p>
    <w:p w:rsidR="006C1A8B" w:rsidRDefault="006C1A8B" w:rsidP="006C1A8B">
      <w:pPr>
        <w:ind w:firstLineChars="200" w:firstLine="640"/>
        <w:outlineLvl w:val="0"/>
        <w:rPr>
          <w:rFonts w:ascii="仿宋" w:eastAsia="仿宋" w:hAnsi="仿宋" w:cs="仿宋"/>
          <w:sz w:val="32"/>
          <w:szCs w:val="32"/>
        </w:rPr>
      </w:pPr>
      <w:r>
        <w:rPr>
          <w:rFonts w:ascii="仿宋" w:eastAsia="仿宋" w:hAnsi="仿宋" w:cs="仿宋" w:hint="eastAsia"/>
          <w:sz w:val="32"/>
          <w:szCs w:val="32"/>
        </w:rPr>
        <w:t>公司现拥有 自主研发的知识产权： 2 项发明专利、8 项实用新型专利。  1 一种机械式工业颗粒原料筛选装置 发明专利， 2 一种低膨胀系数堇青石 发明专利 ，3 一种</w:t>
      </w:r>
      <w:r>
        <w:rPr>
          <w:rFonts w:ascii="仿宋" w:eastAsia="仿宋" w:hAnsi="仿宋" w:cs="仿宋" w:hint="eastAsia"/>
          <w:sz w:val="32"/>
          <w:szCs w:val="32"/>
        </w:rPr>
        <w:lastRenderedPageBreak/>
        <w:t xml:space="preserve">莫来石型砂除铁装置 实用新型 ，4 一种便于铁渍清理的磁棒除铁机构 实用新型 ，5 一种花洒式喷头的粉尘处理装置 实用新型， 6 一种破碎辊的间距调节装置 实用新型， 7 一种石筛选装置上使用的进料斗 实用新型， 8 一种莫来石筛选装置 实用新型 ，9 一种莫来石原料破碎装置 实用新型 ，10 一种莫来石原料研磨装置 </w:t>
      </w:r>
    </w:p>
    <w:p w:rsidR="006C1A8B" w:rsidRDefault="006C1A8B" w:rsidP="006C1A8B">
      <w:pPr>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 经过十多年的稳定发展，公司生产的“华恒致远”牌电熔莫来石、 合成莫来石、烧结莫来石、合成堇青石四大系列产品由于质量优良、 性能稳定赢得了客户的信赖，产品已畅销全国冶金，陶瓷，玻璃等高 温行业，不但国内市场需求大，而且畅销国外英国、美国、印度、韩 国、日本等国家和地区。近年来公司已经通过高新技术企业认定、科技型中小企业认定。 又获得国家安全生产监督管理总局监制的“安全生产标准化-三级企 业”、阿里巴巴（中国）网络技术有限公司颁布的“百行先锋会员”、 中方县工商联颁发的“常委单位”等荣誉。公司在追求业务增长、科 技进步的同时也没有忘记回馈社会，一如既往的尽可能帮助需要帮助 的家庭，因此获得“助学和帮困爱心企业”荣誉称号。 </w:t>
      </w:r>
    </w:p>
    <w:p w:rsidR="006C1A8B" w:rsidRDefault="006C1A8B" w:rsidP="006C1A8B">
      <w:pPr>
        <w:outlineLvl w:val="0"/>
        <w:rPr>
          <w:rFonts w:ascii="仿宋" w:eastAsia="仿宋" w:hAnsi="仿宋" w:cs="仿宋"/>
          <w:sz w:val="32"/>
          <w:szCs w:val="32"/>
        </w:rPr>
      </w:pPr>
      <w:r>
        <w:rPr>
          <w:rFonts w:ascii="仿宋" w:eastAsia="仿宋" w:hAnsi="仿宋" w:cs="仿宋" w:hint="eastAsia"/>
          <w:sz w:val="32"/>
          <w:szCs w:val="32"/>
        </w:rPr>
        <w:t>（二）2019 年、2020 年财务状况 公司近年来经济及社会效益良好，国家税务总局评价纳税信用等 级为 A。2019 年实现销售收入 2539.65 万元，上缴税收 160.61 万元， 利</w:t>
      </w:r>
      <w:r>
        <w:rPr>
          <w:rFonts w:ascii="仿宋" w:eastAsia="仿宋" w:hAnsi="仿宋" w:cs="仿宋" w:hint="eastAsia"/>
          <w:sz w:val="32"/>
          <w:szCs w:val="32"/>
        </w:rPr>
        <w:lastRenderedPageBreak/>
        <w:t>润 25.79 万元，总资产 3409.10 万元；2020 年公司实现销售收入 3045.99 万元，上缴税收 202.74 万元，净利润 71.35 万元，总资产 3733.15 万元，负债率 66%。近两年主营业务收入年均增长 20%。</w:t>
      </w:r>
    </w:p>
    <w:p w:rsidR="006C1A8B" w:rsidRDefault="006C1A8B" w:rsidP="006C1A8B">
      <w:pPr>
        <w:numPr>
          <w:ilvl w:val="0"/>
          <w:numId w:val="1"/>
        </w:numPr>
        <w:ind w:firstLineChars="200" w:firstLine="640"/>
        <w:outlineLvl w:val="0"/>
        <w:rPr>
          <w:rFonts w:ascii="仿宋" w:eastAsia="仿宋" w:hAnsi="仿宋" w:cs="仿宋"/>
          <w:sz w:val="32"/>
          <w:szCs w:val="32"/>
        </w:rPr>
      </w:pPr>
      <w:r>
        <w:rPr>
          <w:rFonts w:ascii="仿宋" w:eastAsia="仿宋" w:hAnsi="仿宋" w:cs="仿宋" w:hint="eastAsia"/>
          <w:sz w:val="32"/>
          <w:szCs w:val="32"/>
        </w:rPr>
        <w:t>项目资金（含专项资金和自筹资金）管理情况</w:t>
      </w:r>
    </w:p>
    <w:p w:rsidR="006C1A8B" w:rsidRDefault="006C1A8B" w:rsidP="006C1A8B">
      <w:pPr>
        <w:numPr>
          <w:ilvl w:val="0"/>
          <w:numId w:val="3"/>
        </w:numPr>
        <w:outlineLvl w:val="0"/>
        <w:rPr>
          <w:rFonts w:ascii="仿宋" w:eastAsia="仿宋" w:hAnsi="仿宋" w:cs="仿宋"/>
          <w:sz w:val="32"/>
          <w:szCs w:val="32"/>
        </w:rPr>
      </w:pPr>
      <w:r>
        <w:rPr>
          <w:rFonts w:ascii="仿宋" w:eastAsia="仿宋" w:hAnsi="仿宋" w:cs="仿宋" w:hint="eastAsia"/>
          <w:sz w:val="32"/>
          <w:szCs w:val="32"/>
        </w:rPr>
        <w:t>资金（含专项资金和自筹资金）落实情况 本项目建设预计总投资 2100 万元，建设内容主要包括在现有基 础上改建厂房 3300 平方米，对原有的工艺设备进行技术升级，新增 全天然料莫来石生产线，购置雷蒙机、立式冲击破碎机、真空挤出机、 装载机、矿山专用设备、电振给料机等设备及相关的检测设备 20 多 台（套），形成年产 5 万吨合成莫来石产能。 本项目建设预计总投资 2100 万元，其中固定资产投入 650 万元； 厂房升级改造建设 380 万元，改建厂房 5000 平方米；其他辅助建设 175 万元；设备按照与调试 100 万元；建设厂区的环保绿化消防费用 30 万元；人员培训 15 万元；试生产、生产，检测不合格产品重新调 试合格 110 万元；铺底流动资金 640 万元。 本项目总投资全部由企业自筹资金解决。项目资金来源包括项目 利润、应收账款回收、企业现有货币资金等（其中包括申请 2020 年 度专项资金 50 万元）。 截止 2020 年 12 月底止，本次年产 5 万吨合成莫来石生产线技 术改造建设共计支</w:t>
      </w:r>
      <w:r>
        <w:rPr>
          <w:rFonts w:ascii="仿宋" w:eastAsia="仿宋" w:hAnsi="仿宋" w:cs="仿宋" w:hint="eastAsia"/>
          <w:sz w:val="32"/>
          <w:szCs w:val="32"/>
        </w:rPr>
        <w:lastRenderedPageBreak/>
        <w:t xml:space="preserve">出 2100 万元，其中：专项资金预算 20 万元，实际 到位 50 万元，到位率 100%；企业自筹资金 2050 万元，实际到位 2050 万元，到位率 100%。 </w:t>
      </w:r>
    </w:p>
    <w:p w:rsidR="006C1A8B" w:rsidRDefault="006C1A8B" w:rsidP="006C1A8B">
      <w:pPr>
        <w:numPr>
          <w:ilvl w:val="0"/>
          <w:numId w:val="3"/>
        </w:numPr>
        <w:outlineLvl w:val="0"/>
        <w:rPr>
          <w:rFonts w:ascii="仿宋" w:eastAsia="仿宋" w:hAnsi="仿宋" w:cs="仿宋"/>
          <w:sz w:val="32"/>
          <w:szCs w:val="32"/>
        </w:rPr>
      </w:pPr>
      <w:r>
        <w:rPr>
          <w:rFonts w:ascii="仿宋" w:eastAsia="仿宋" w:hAnsi="仿宋" w:cs="仿宋" w:hint="eastAsia"/>
          <w:sz w:val="32"/>
          <w:szCs w:val="32"/>
        </w:rPr>
        <w:t>资金（含专项资金和自筹资金）支出情况。 公司建立并完善了《专项资金管理制度》，明确了资金支付的审 批程序，项目单位均按照《专项资金管理制度》使用资金，项目支出 费用的具体内容对象、用途等事项明确、清晰，项目资金支出基本为 直接支出，不存在违规使用、挪用、占用的情形。 公司针对本项目年产 5 万吨合成莫来石生产线技术改造建设过 程中，做到了严格管理、合理使用，具体量化到资金使用上，一是严 格依照项目建设实施计划，坚决执行资金跟着项目走的原则，决不搞 计划外工程项目，在资金管理上，实行专人管理、专户储存、专账核 算、专款专用,严格财务手续与制度。二是加强对项目资金的监管力 - 5 - 度，按项目计划和施工进度投放资金，确保资金的专款专用。三是为 确保工程建设质量，在拨付施工单位资金时，采取预留工程质量保证 金制度，待项目竣工验收和运行后，经复检确无工程质量问题时，最 后才拨付质量保证金，从而有效避免工程返工和资金流失。 2020 年度共下拨专项资金 50 万元。截至 2020 年底，已拨付 50 万元，资金使用比例为 100%。项目资金主要应用于项目生产设备购 置</w:t>
      </w:r>
      <w:r>
        <w:rPr>
          <w:rFonts w:ascii="仿宋" w:eastAsia="仿宋" w:hAnsi="仿宋" w:cs="仿宋" w:hint="eastAsia"/>
          <w:sz w:val="32"/>
          <w:szCs w:val="32"/>
        </w:rPr>
        <w:lastRenderedPageBreak/>
        <w:t>费列支.支付凭证见附件发票。</w:t>
      </w:r>
    </w:p>
    <w:p w:rsidR="006C1A8B" w:rsidRDefault="006C1A8B" w:rsidP="006C1A8B">
      <w:pPr>
        <w:numPr>
          <w:ilvl w:val="0"/>
          <w:numId w:val="3"/>
        </w:numPr>
        <w:outlineLvl w:val="0"/>
        <w:rPr>
          <w:rFonts w:ascii="仿宋" w:eastAsia="仿宋" w:hAnsi="仿宋" w:cs="仿宋"/>
          <w:sz w:val="32"/>
          <w:szCs w:val="32"/>
        </w:rPr>
      </w:pPr>
      <w:r>
        <w:rPr>
          <w:rFonts w:ascii="仿宋" w:eastAsia="仿宋" w:hAnsi="仿宋" w:cs="仿宋" w:hint="eastAsia"/>
          <w:sz w:val="32"/>
          <w:szCs w:val="32"/>
        </w:rPr>
        <w:t>项目资金管理情况分析 公司对本次年产 5 万吨合成莫来石生产线技术改造建设项目格外重视。实行项目负责人统一制度化管理，技术负责人组织科研具体 实施，中期进行评估考核，及时总结汇报。同时在项目实施过程中实 行三级管理、全方位控制：公司一级由总经理主抓项目，总体协调， 全面统筹管理；部门一级由技术部为主承担产品的研发、设计和研制 工作，公司各职能部门积极全力配合。技术把关由技术副总经理负责， 同时确定项目总体方案和技术路线的确定，协调工作衔接和总体进 度。技术方面由项目负责人负责，技术副总经理负责总体方案和技术 路线的确定，协调四个小组之间的工作衔接和总体进度的控制。经费 管理方面，专款专用，严格按照有关建设项目财务规定进行管理，任 何组织、个人无权截留、挪用。设立快速反应资金，用于有重大理论 或技术突破的子项目。在人才方面，本项目由项目负责人统一主持管 理，全面负责项目总体设计、组织协调和经费调配，由技术人员组织 成立专家小组，负责子课题的实施计划安排和具体实验工作。 - 6 - 为加强项目建设，实行项目负责人统一制度化管理，技术负责人 组织科研具体实施，中期进行评估考核，及时总结汇报。同时在项目 实施过程中实行三级管理、全方位</w:t>
      </w:r>
      <w:r>
        <w:rPr>
          <w:rFonts w:ascii="仿宋" w:eastAsia="仿宋" w:hAnsi="仿宋" w:cs="仿宋" w:hint="eastAsia"/>
          <w:sz w:val="32"/>
          <w:szCs w:val="32"/>
        </w:rPr>
        <w:lastRenderedPageBreak/>
        <w:t xml:space="preserve">控制：公司一级由总经理主抓项目， 总体协调，全面统筹管理；部门一级由技术部为主承担产品的研发、 设计和研制工作，公司各职能部门积极全力配合。技术把关由技术副 总经理负责，同时确定项目总体方案和技术路线的确定，协调工作衔 接和总体进度。 </w:t>
      </w:r>
    </w:p>
    <w:p w:rsidR="006C1A8B" w:rsidRDefault="006C1A8B" w:rsidP="006C1A8B">
      <w:pPr>
        <w:numPr>
          <w:ilvl w:val="0"/>
          <w:numId w:val="1"/>
        </w:numPr>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项目完成情况 </w:t>
      </w:r>
    </w:p>
    <w:p w:rsidR="006C1A8B" w:rsidRDefault="006C1A8B" w:rsidP="006C1A8B">
      <w:pPr>
        <w:numPr>
          <w:ilvl w:val="0"/>
          <w:numId w:val="4"/>
        </w:numPr>
        <w:ind w:leftChars="200" w:left="420"/>
        <w:outlineLvl w:val="0"/>
        <w:rPr>
          <w:rFonts w:ascii="仿宋" w:eastAsia="仿宋" w:hAnsi="仿宋" w:cs="仿宋"/>
          <w:sz w:val="32"/>
          <w:szCs w:val="32"/>
        </w:rPr>
      </w:pPr>
      <w:r>
        <w:rPr>
          <w:rFonts w:ascii="仿宋" w:eastAsia="仿宋" w:hAnsi="仿宋" w:cs="仿宋" w:hint="eastAsia"/>
          <w:sz w:val="32"/>
          <w:szCs w:val="32"/>
        </w:rPr>
        <w:t>申报时项目建设时间及主要内容 1、项目建设期限 2018.07-2020.06 2、项目建设主要内容 本项目在现有基础上改建厂房 3300 平方米，对原有的工艺设备 进行技术升级，新增全天然料莫来石生产线，购置雷蒙机、立式冲击 破碎机、真空挤出机、装载机、矿山专用设备、电振给料机等设备及 相关的检测设备 20 多台（套），形成年产 5 万吨合成莫来石产能。</w:t>
      </w:r>
    </w:p>
    <w:p w:rsidR="006C1A8B" w:rsidRDefault="006C1A8B" w:rsidP="006C1A8B">
      <w:pPr>
        <w:numPr>
          <w:ilvl w:val="0"/>
          <w:numId w:val="4"/>
        </w:numPr>
        <w:ind w:leftChars="200" w:left="420"/>
        <w:outlineLvl w:val="0"/>
        <w:rPr>
          <w:rFonts w:ascii="仿宋" w:eastAsia="仿宋" w:hAnsi="仿宋" w:cs="仿宋"/>
          <w:sz w:val="32"/>
          <w:szCs w:val="32"/>
        </w:rPr>
      </w:pPr>
      <w:r>
        <w:rPr>
          <w:rFonts w:ascii="仿宋" w:eastAsia="仿宋" w:hAnsi="仿宋" w:cs="仿宋" w:hint="eastAsia"/>
          <w:sz w:val="32"/>
          <w:szCs w:val="32"/>
        </w:rPr>
        <w:t>项目实施及完成情况</w:t>
      </w:r>
    </w:p>
    <w:p w:rsidR="006C1A8B" w:rsidRDefault="006C1A8B" w:rsidP="006C1A8B">
      <w:pPr>
        <w:numPr>
          <w:ilvl w:val="0"/>
          <w:numId w:val="5"/>
        </w:numPr>
        <w:outlineLvl w:val="0"/>
        <w:rPr>
          <w:rFonts w:ascii="仿宋" w:eastAsia="仿宋" w:hAnsi="仿宋" w:cs="仿宋"/>
          <w:sz w:val="32"/>
          <w:szCs w:val="32"/>
        </w:rPr>
      </w:pPr>
      <w:r>
        <w:rPr>
          <w:rFonts w:ascii="仿宋" w:eastAsia="仿宋" w:hAnsi="仿宋" w:cs="仿宋" w:hint="eastAsia"/>
          <w:sz w:val="32"/>
          <w:szCs w:val="32"/>
        </w:rPr>
        <w:t xml:space="preserve">项目计划投资 2100 万元，实际完成投资 2100 万元，占计划 投资的 1O0%，专项资金 50 万元已于 2020 年 12 月 16 日拨付到该公司账户，实行了专账管理，并全部用于项目建设； </w:t>
      </w:r>
    </w:p>
    <w:p w:rsidR="006C1A8B" w:rsidRDefault="006C1A8B" w:rsidP="006C1A8B">
      <w:pPr>
        <w:numPr>
          <w:ilvl w:val="0"/>
          <w:numId w:val="5"/>
        </w:numPr>
        <w:outlineLvl w:val="0"/>
        <w:rPr>
          <w:rFonts w:ascii="仿宋" w:eastAsia="仿宋" w:hAnsi="仿宋" w:cs="仿宋"/>
          <w:sz w:val="32"/>
          <w:szCs w:val="32"/>
        </w:rPr>
      </w:pPr>
      <w:r>
        <w:rPr>
          <w:rFonts w:ascii="仿宋" w:eastAsia="仿宋" w:hAnsi="仿宋" w:cs="仿宋" w:hint="eastAsia"/>
          <w:sz w:val="32"/>
          <w:szCs w:val="32"/>
        </w:rPr>
        <w:t>项目完成了厂房升级改造建设任务，购置全天然料莫来石生 - 7 - 产线，购置雷蒙机、立式冲击破碎机、真空挤出机、装载机、矿山专 用设备、电振给料机等设备及相关的检测设备 20 多台（套），保证 了研发和生产</w:t>
      </w:r>
      <w:r>
        <w:rPr>
          <w:rFonts w:ascii="仿宋" w:eastAsia="仿宋" w:hAnsi="仿宋" w:cs="仿宋" w:hint="eastAsia"/>
          <w:sz w:val="32"/>
          <w:szCs w:val="32"/>
        </w:rPr>
        <w:lastRenderedPageBreak/>
        <w:t xml:space="preserve">的正常运行； </w:t>
      </w:r>
    </w:p>
    <w:p w:rsidR="006C1A8B" w:rsidRDefault="006C1A8B" w:rsidP="006C1A8B">
      <w:pPr>
        <w:numPr>
          <w:ilvl w:val="0"/>
          <w:numId w:val="5"/>
        </w:numPr>
        <w:outlineLvl w:val="0"/>
        <w:rPr>
          <w:rFonts w:ascii="仿宋" w:eastAsia="仿宋" w:hAnsi="仿宋" w:cs="仿宋"/>
          <w:sz w:val="32"/>
          <w:szCs w:val="32"/>
        </w:rPr>
      </w:pPr>
      <w:r>
        <w:rPr>
          <w:rFonts w:ascii="仿宋" w:eastAsia="仿宋" w:hAnsi="仿宋" w:cs="仿宋" w:hint="eastAsia"/>
          <w:sz w:val="32"/>
          <w:szCs w:val="32"/>
        </w:rPr>
        <w:t>该项目已竣工投产，投产后生产运行良好，并具有良好的经 济效益和社会效益。</w:t>
      </w:r>
    </w:p>
    <w:p w:rsidR="006C1A8B" w:rsidRDefault="006C1A8B" w:rsidP="006C1A8B">
      <w:pPr>
        <w:numPr>
          <w:ilvl w:val="0"/>
          <w:numId w:val="1"/>
        </w:numPr>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项目产出效益 </w:t>
      </w:r>
    </w:p>
    <w:p w:rsidR="006C1A8B" w:rsidRDefault="006C1A8B" w:rsidP="006C1A8B">
      <w:pPr>
        <w:numPr>
          <w:ilvl w:val="0"/>
          <w:numId w:val="6"/>
        </w:numPr>
        <w:ind w:leftChars="200" w:left="420"/>
        <w:outlineLvl w:val="0"/>
        <w:rPr>
          <w:rFonts w:ascii="仿宋" w:eastAsia="仿宋" w:hAnsi="仿宋" w:cs="仿宋"/>
          <w:sz w:val="32"/>
          <w:szCs w:val="32"/>
        </w:rPr>
      </w:pPr>
      <w:r>
        <w:rPr>
          <w:rFonts w:ascii="仿宋" w:eastAsia="仿宋" w:hAnsi="仿宋" w:cs="仿宋" w:hint="eastAsia"/>
          <w:sz w:val="32"/>
          <w:szCs w:val="32"/>
        </w:rPr>
        <w:t>经济效益 本项目已竣工，已达到 3000 万元，净利润 162 万元，缴税 72 万 元的目标。截至 2020 年底，营业收入为 3045.99 万元，利税 274 万 元。</w:t>
      </w:r>
    </w:p>
    <w:p w:rsidR="006C1A8B" w:rsidRDefault="006C1A8B" w:rsidP="006C1A8B">
      <w:pPr>
        <w:numPr>
          <w:ilvl w:val="0"/>
          <w:numId w:val="6"/>
        </w:numPr>
        <w:ind w:leftChars="200" w:left="420"/>
        <w:outlineLvl w:val="0"/>
        <w:rPr>
          <w:rFonts w:ascii="仿宋" w:eastAsia="仿宋" w:hAnsi="仿宋" w:cs="仿宋"/>
          <w:sz w:val="32"/>
          <w:szCs w:val="32"/>
        </w:rPr>
      </w:pPr>
      <w:r>
        <w:rPr>
          <w:rFonts w:ascii="仿宋" w:eastAsia="仿宋" w:hAnsi="仿宋" w:cs="仿宋" w:hint="eastAsia"/>
          <w:sz w:val="32"/>
          <w:szCs w:val="32"/>
        </w:rPr>
        <w:t xml:space="preserve">社会效益 本项目实施后增加就业岗位 7 个，减少待业人口，给当地社会增 加稳定因素，同时改善地区经济结构、提高地区经济发展的速度。项 目建成之后，在促进区域经济发展上，在增加税收、促进就业和刺激 经济发展方面上凸显出坚实的基础和后劲的宏观经济效应，从而实现 在竞争中加快企业的发展，带动地方其它企业的成长。 </w:t>
      </w:r>
    </w:p>
    <w:p w:rsidR="006C1A8B" w:rsidRDefault="006C1A8B" w:rsidP="006C1A8B">
      <w:pPr>
        <w:numPr>
          <w:ilvl w:val="0"/>
          <w:numId w:val="6"/>
        </w:numPr>
        <w:ind w:leftChars="200" w:left="420"/>
        <w:outlineLvl w:val="0"/>
        <w:rPr>
          <w:rFonts w:ascii="仿宋" w:eastAsia="仿宋" w:hAnsi="仿宋" w:cs="仿宋"/>
          <w:sz w:val="32"/>
          <w:szCs w:val="32"/>
        </w:rPr>
      </w:pPr>
      <w:r>
        <w:rPr>
          <w:rFonts w:ascii="仿宋" w:eastAsia="仿宋" w:hAnsi="仿宋" w:cs="仿宋" w:hint="eastAsia"/>
          <w:sz w:val="32"/>
          <w:szCs w:val="32"/>
        </w:rPr>
        <w:t>可持续影响效益 公司通过多年努力完成了关键技术的研发，需要尽快实现成果转 化，满足国内外市场的需求，同时也加快公司产品结构调整，以推动 企业转型升级，提高核心竞争力，实现企业可持续发展。</w:t>
      </w:r>
    </w:p>
    <w:p w:rsidR="006C1A8B" w:rsidRDefault="006C1A8B" w:rsidP="006C1A8B">
      <w:pPr>
        <w:numPr>
          <w:ilvl w:val="0"/>
          <w:numId w:val="1"/>
        </w:numPr>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项目后续工作计划 </w:t>
      </w:r>
    </w:p>
    <w:p w:rsidR="006C1A8B" w:rsidRDefault="006C1A8B" w:rsidP="006C1A8B">
      <w:pPr>
        <w:ind w:leftChars="200" w:left="420"/>
        <w:outlineLvl w:val="0"/>
        <w:rPr>
          <w:rFonts w:ascii="仿宋" w:eastAsia="仿宋" w:hAnsi="仿宋" w:cs="仿宋"/>
          <w:sz w:val="32"/>
          <w:szCs w:val="32"/>
        </w:rPr>
      </w:pPr>
      <w:r>
        <w:rPr>
          <w:rFonts w:ascii="仿宋" w:eastAsia="仿宋" w:hAnsi="仿宋" w:cs="仿宋" w:hint="eastAsia"/>
          <w:sz w:val="32"/>
          <w:szCs w:val="32"/>
        </w:rPr>
        <w:t>之后公司对本次技术改造项目进行全方面评估检查，从规划到落 实，从技术研发到生产技术等方面多次元探究分析，寻找不足之处， 进行完善优化，保证充分实现这次</w:t>
      </w:r>
      <w:r>
        <w:rPr>
          <w:rFonts w:ascii="仿宋" w:eastAsia="仿宋" w:hAnsi="仿宋" w:cs="仿宋" w:hint="eastAsia"/>
          <w:sz w:val="32"/>
          <w:szCs w:val="32"/>
        </w:rPr>
        <w:lastRenderedPageBreak/>
        <w:t xml:space="preserve">技改项目的投资价值，提升公司生 产水平和技术实力。 </w:t>
      </w:r>
    </w:p>
    <w:p w:rsidR="006C1A8B" w:rsidRDefault="006C1A8B" w:rsidP="006C1A8B">
      <w:pPr>
        <w:numPr>
          <w:ilvl w:val="0"/>
          <w:numId w:val="1"/>
        </w:numPr>
        <w:ind w:firstLineChars="200" w:firstLine="640"/>
        <w:outlineLvl w:val="0"/>
        <w:rPr>
          <w:rFonts w:ascii="仿宋" w:eastAsia="仿宋" w:hAnsi="仿宋" w:cs="仿宋"/>
          <w:sz w:val="32"/>
          <w:szCs w:val="32"/>
        </w:rPr>
      </w:pPr>
      <w:r>
        <w:rPr>
          <w:rFonts w:ascii="仿宋" w:eastAsia="仿宋" w:hAnsi="仿宋" w:cs="仿宋" w:hint="eastAsia"/>
          <w:sz w:val="32"/>
          <w:szCs w:val="32"/>
        </w:rPr>
        <w:t>主要经验做法、存在问题、改进措施和建议 公司对于本项目产品的实施执行过程中主要存在的问题是资金 紧张以及人员技术研发水平跟不上等实际问题，公司针对这些问题， 正在加以积极解决，首先资金上是积极采取融资和开发新产品，并迅 速形成销售，同时加强资金回笼等方式加以解决；其次针对技术人员 的问题，公司更是密切关注，通过招聘、引进、自我培养等方式加以 解决。总之，公司期盼湖南省工信厅、湖南省财政厅等职能部门能加 强对本项目发展的支持和关注，同时公司更将继续努力，加大科技创 新平台和软实力的提升，为振兴我国民族工业作出更大贡献。</w:t>
      </w:r>
    </w:p>
    <w:p w:rsidR="006C1A8B" w:rsidRDefault="006C1A8B" w:rsidP="006C1A8B">
      <w:pPr>
        <w:numPr>
          <w:ilvl w:val="0"/>
          <w:numId w:val="1"/>
        </w:numPr>
        <w:ind w:firstLineChars="200" w:firstLine="640"/>
        <w:outlineLvl w:val="0"/>
        <w:rPr>
          <w:rFonts w:ascii="仿宋" w:eastAsia="仿宋" w:hAnsi="仿宋" w:cs="仿宋"/>
          <w:sz w:val="32"/>
          <w:szCs w:val="32"/>
        </w:rPr>
      </w:pPr>
      <w:r>
        <w:rPr>
          <w:rFonts w:ascii="仿宋" w:eastAsia="仿宋" w:hAnsi="仿宋" w:cs="仿宋" w:hint="eastAsia"/>
          <w:sz w:val="32"/>
          <w:szCs w:val="32"/>
        </w:rPr>
        <w:t xml:space="preserve">其他需要说明的问题 无 </w:t>
      </w:r>
    </w:p>
    <w:p w:rsidR="006C1A8B" w:rsidRDefault="006C1A8B" w:rsidP="006C1A8B">
      <w:pPr>
        <w:pStyle w:val="a0"/>
        <w:rPr>
          <w:rFonts w:ascii="仿宋" w:eastAsia="仿宋" w:hAnsi="仿宋" w:cs="仿宋"/>
          <w:sz w:val="32"/>
          <w:szCs w:val="32"/>
        </w:rPr>
      </w:pPr>
    </w:p>
    <w:p w:rsidR="006C1A8B" w:rsidRDefault="006C1A8B" w:rsidP="006C1A8B">
      <w:pPr>
        <w:pStyle w:val="a0"/>
        <w:rPr>
          <w:rFonts w:ascii="仿宋" w:eastAsia="仿宋" w:hAnsi="仿宋" w:cs="仿宋"/>
          <w:sz w:val="32"/>
          <w:szCs w:val="32"/>
        </w:rPr>
      </w:pPr>
    </w:p>
    <w:p w:rsidR="006C1A8B" w:rsidRDefault="006C1A8B" w:rsidP="006C1A8B">
      <w:pPr>
        <w:pStyle w:val="a0"/>
        <w:rPr>
          <w:rFonts w:ascii="仿宋" w:eastAsia="仿宋" w:hAnsi="仿宋" w:cs="仿宋"/>
          <w:sz w:val="32"/>
          <w:szCs w:val="32"/>
        </w:rPr>
      </w:pPr>
    </w:p>
    <w:p w:rsidR="006C1A8B" w:rsidRDefault="006C1A8B" w:rsidP="006C1A8B">
      <w:pPr>
        <w:pStyle w:val="a0"/>
        <w:rPr>
          <w:rFonts w:ascii="仿宋" w:eastAsia="仿宋" w:hAnsi="仿宋" w:cs="仿宋"/>
          <w:sz w:val="32"/>
          <w:szCs w:val="32"/>
        </w:rPr>
      </w:pPr>
    </w:p>
    <w:p w:rsidR="006C1A8B" w:rsidRDefault="006C1A8B" w:rsidP="006C1A8B">
      <w:pPr>
        <w:ind w:leftChars="200" w:left="420"/>
        <w:jc w:val="right"/>
        <w:outlineLvl w:val="0"/>
        <w:rPr>
          <w:rFonts w:ascii="仿宋" w:eastAsia="仿宋" w:hAnsi="仿宋" w:cs="仿宋"/>
          <w:sz w:val="32"/>
          <w:szCs w:val="32"/>
        </w:rPr>
      </w:pPr>
      <w:r>
        <w:rPr>
          <w:rFonts w:ascii="仿宋" w:eastAsia="仿宋" w:hAnsi="仿宋" w:cs="仿宋" w:hint="eastAsia"/>
          <w:sz w:val="32"/>
          <w:szCs w:val="32"/>
        </w:rPr>
        <w:t xml:space="preserve">怀化市华恒莫来石有限公司 </w:t>
      </w:r>
    </w:p>
    <w:p w:rsidR="006C1A8B" w:rsidRDefault="006C1A8B" w:rsidP="006C1A8B">
      <w:pPr>
        <w:ind w:leftChars="200" w:left="420" w:right="480"/>
        <w:jc w:val="right"/>
        <w:outlineLvl w:val="0"/>
        <w:rPr>
          <w:rFonts w:ascii="仿宋" w:eastAsia="仿宋" w:hAnsi="仿宋" w:cs="仿宋"/>
          <w:sz w:val="32"/>
          <w:szCs w:val="32"/>
        </w:rPr>
        <w:sectPr w:rsidR="006C1A8B">
          <w:footerReference w:type="default" r:id="rId8"/>
          <w:pgSz w:w="11906" w:h="16838"/>
          <w:pgMar w:top="1440" w:right="1800" w:bottom="1440" w:left="1800" w:header="851" w:footer="992" w:gutter="0"/>
          <w:cols w:space="720"/>
          <w:docGrid w:type="lines" w:linePitch="312"/>
        </w:sectPr>
      </w:pPr>
      <w:r>
        <w:rPr>
          <w:rFonts w:ascii="仿宋" w:eastAsia="仿宋" w:hAnsi="仿宋" w:cs="仿宋" w:hint="eastAsia"/>
          <w:sz w:val="32"/>
          <w:szCs w:val="32"/>
        </w:rPr>
        <w:t>2021 年 3 月 2日</w:t>
      </w:r>
    </w:p>
    <w:p w:rsidR="001B7A21" w:rsidRDefault="00C87B58">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C1A8B">
        <w:rPr>
          <w:rFonts w:ascii="Times New Roman" w:eastAsia="仿宋_GB2312" w:hAnsi="Times New Roman" w:hint="eastAsia"/>
          <w:bCs/>
          <w:color w:val="000000"/>
          <w:sz w:val="32"/>
          <w:szCs w:val="32"/>
        </w:rPr>
        <w:t>1</w:t>
      </w:r>
    </w:p>
    <w:tbl>
      <w:tblPr>
        <w:tblW w:w="9637" w:type="dxa"/>
        <w:jc w:val="center"/>
        <w:tblLayout w:type="fixed"/>
        <w:tblLook w:val="04A0"/>
      </w:tblPr>
      <w:tblGrid>
        <w:gridCol w:w="625"/>
        <w:gridCol w:w="1041"/>
        <w:gridCol w:w="1180"/>
        <w:gridCol w:w="775"/>
        <w:gridCol w:w="1204"/>
        <w:gridCol w:w="301"/>
        <w:gridCol w:w="902"/>
        <w:gridCol w:w="903"/>
        <w:gridCol w:w="300"/>
        <w:gridCol w:w="301"/>
        <w:gridCol w:w="451"/>
        <w:gridCol w:w="151"/>
        <w:gridCol w:w="752"/>
        <w:gridCol w:w="751"/>
      </w:tblGrid>
      <w:tr w:rsidR="001B7A21" w:rsidTr="006C1A8B">
        <w:trPr>
          <w:trHeight w:hRule="exact" w:val="349"/>
          <w:jc w:val="center"/>
        </w:trPr>
        <w:tc>
          <w:tcPr>
            <w:tcW w:w="9080" w:type="dxa"/>
            <w:gridSpan w:val="14"/>
            <w:tcBorders>
              <w:top w:val="nil"/>
              <w:left w:val="nil"/>
              <w:bottom w:val="nil"/>
              <w:right w:val="nil"/>
            </w:tcBorders>
            <w:noWrap/>
            <w:vAlign w:val="center"/>
          </w:tcPr>
          <w:p w:rsidR="001B7A21" w:rsidRDefault="00C87B5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B7A21" w:rsidTr="006C1A8B">
        <w:trPr>
          <w:trHeight w:val="201"/>
          <w:jc w:val="center"/>
        </w:trPr>
        <w:tc>
          <w:tcPr>
            <w:tcW w:w="9080" w:type="dxa"/>
            <w:gridSpan w:val="14"/>
            <w:tcBorders>
              <w:top w:val="nil"/>
              <w:left w:val="nil"/>
              <w:bottom w:val="nil"/>
              <w:right w:val="nil"/>
            </w:tcBorders>
            <w:noWrap/>
          </w:tcPr>
          <w:p w:rsidR="001B7A21" w:rsidRDefault="00C87B58">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B7A21" w:rsidTr="006C1A8B">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仿宋" w:eastAsia="仿宋" w:hAnsi="仿宋" w:cs="仿宋" w:hint="eastAsia"/>
                <w:szCs w:val="21"/>
              </w:rPr>
              <w:t>年产</w:t>
            </w:r>
            <w:r>
              <w:rPr>
                <w:rFonts w:ascii="仿宋" w:eastAsia="仿宋" w:hAnsi="仿宋" w:cs="仿宋" w:hint="eastAsia"/>
                <w:szCs w:val="21"/>
              </w:rPr>
              <w:t xml:space="preserve"> 5 </w:t>
            </w:r>
            <w:r>
              <w:rPr>
                <w:rFonts w:ascii="仿宋" w:eastAsia="仿宋" w:hAnsi="仿宋" w:cs="仿宋" w:hint="eastAsia"/>
                <w:szCs w:val="21"/>
              </w:rPr>
              <w:t>万吨合成莫来石生产线技术改造建设项目</w:t>
            </w:r>
          </w:p>
        </w:tc>
      </w:tr>
      <w:tr w:rsidR="001B7A21" w:rsidTr="006C1A8B">
        <w:trPr>
          <w:trHeight w:hRule="exact" w:val="672"/>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noWrap/>
            <w:vAlign w:val="center"/>
          </w:tcPr>
          <w:p w:rsidR="001B7A21" w:rsidRDefault="0069225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Cs w:val="21"/>
              </w:rPr>
            </w:pPr>
            <w:r>
              <w:rPr>
                <w:rFonts w:ascii="仿宋" w:eastAsia="仿宋" w:hAnsi="仿宋" w:cs="仿宋" w:hint="eastAsia"/>
                <w:szCs w:val="21"/>
              </w:rPr>
              <w:t>怀化市华恒莫来石有限公司</w:t>
            </w:r>
            <w:r>
              <w:rPr>
                <w:rFonts w:ascii="仿宋" w:eastAsia="仿宋" w:hAnsi="仿宋" w:cs="仿宋" w:hint="eastAsia"/>
                <w:kern w:val="0"/>
                <w:szCs w:val="21"/>
              </w:rPr>
              <w:t>有限公司</w:t>
            </w:r>
          </w:p>
        </w:tc>
      </w:tr>
      <w:tr w:rsidR="001B7A21" w:rsidTr="006C1A8B">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B7A21" w:rsidTr="006C1A8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noWrap/>
            <w:vAlign w:val="center"/>
          </w:tcPr>
          <w:p w:rsidR="001B7A21" w:rsidRDefault="00C87B58">
            <w:pPr>
              <w:widowControl/>
              <w:tabs>
                <w:tab w:val="left" w:pos="209"/>
              </w:tabs>
              <w:spacing w:line="240" w:lineRule="exact"/>
              <w:jc w:val="left"/>
              <w:rPr>
                <w:rFonts w:ascii="Times New Roman" w:hAnsi="Times New Roman"/>
                <w:kern w:val="0"/>
                <w:sz w:val="18"/>
                <w:szCs w:val="18"/>
              </w:rPr>
            </w:pPr>
            <w:r>
              <w:rPr>
                <w:rFonts w:ascii="Times New Roman" w:hAnsi="Times New Roman" w:hint="eastAsia"/>
                <w:kern w:val="0"/>
                <w:sz w:val="18"/>
                <w:szCs w:val="18"/>
              </w:rPr>
              <w:tab/>
            </w:r>
            <w:r>
              <w:rPr>
                <w:rFonts w:ascii="Times New Roman" w:hAnsi="Times New Roman" w:hint="eastAsia"/>
                <w:kern w:val="0"/>
                <w:sz w:val="18"/>
                <w:szCs w:val="18"/>
              </w:rPr>
              <w:t>2100</w:t>
            </w:r>
          </w:p>
        </w:tc>
        <w:tc>
          <w:tcPr>
            <w:tcW w:w="1134"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2100</w:t>
            </w:r>
          </w:p>
        </w:tc>
        <w:tc>
          <w:tcPr>
            <w:tcW w:w="1134"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2100</w:t>
            </w:r>
          </w:p>
        </w:tc>
        <w:tc>
          <w:tcPr>
            <w:tcW w:w="709"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1B7A21" w:rsidTr="006C1A8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134"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134"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709"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B7A21" w:rsidTr="006C1A8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B7A21" w:rsidTr="006C1A8B">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B7A21" w:rsidTr="006C1A8B">
        <w:trPr>
          <w:trHeight w:hRule="exact" w:val="300"/>
          <w:jc w:val="center"/>
        </w:trPr>
        <w:tc>
          <w:tcPr>
            <w:tcW w:w="588"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B7A21" w:rsidTr="006C1A8B">
        <w:trPr>
          <w:trHeight w:hRule="exact" w:val="424"/>
          <w:jc w:val="center"/>
        </w:trPr>
        <w:tc>
          <w:tcPr>
            <w:tcW w:w="588"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bookmarkStart w:id="0" w:name="_GoBack"/>
            <w:bookmarkEnd w:id="0"/>
          </w:p>
        </w:tc>
      </w:tr>
      <w:tr w:rsidR="001B7A21" w:rsidTr="006C1A8B">
        <w:trPr>
          <w:trHeight w:hRule="exact" w:val="533"/>
          <w:jc w:val="center"/>
        </w:trPr>
        <w:tc>
          <w:tcPr>
            <w:tcW w:w="588" w:type="dxa"/>
            <w:vMerge w:val="restart"/>
            <w:tcBorders>
              <w:top w:val="nil"/>
              <w:left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设备总投资金额</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w:t>
            </w:r>
            <w:r>
              <w:rPr>
                <w:rFonts w:ascii="仿宋" w:eastAsia="仿宋" w:hAnsi="仿宋" w:cs="仿宋" w:hint="eastAsia"/>
                <w:color w:val="000000"/>
                <w:kern w:val="0"/>
                <w:sz w:val="18"/>
                <w:szCs w:val="18"/>
                <w:lang/>
              </w:rPr>
              <w:t>500</w:t>
            </w:r>
            <w:r>
              <w:rPr>
                <w:rFonts w:ascii="仿宋" w:eastAsia="仿宋" w:hAnsi="仿宋" w:cs="仿宋" w:hint="eastAsia"/>
                <w:color w:val="000000"/>
                <w:kern w:val="0"/>
                <w:sz w:val="18"/>
                <w:szCs w:val="18"/>
                <w:lang/>
              </w:rPr>
              <w:t>万元</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带动提质增效</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效果明显</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效果明显</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项目内容匹配度</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高度吻合</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10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10</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资金使用合规性</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12</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12</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项目实施进度</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按申报计划有序推进</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按申报计划有序推进</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成本节约率</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扩大企业生产能力</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促进市场占有率提升</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项目拉动就业人数</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项目建成后税收贡献额</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85%</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环境污染可控程度</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效果良好</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效果良好</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节能减排效果</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企业运行管理状况</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良好</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良好</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提升生产数字化水平</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职工和服务对象对项目实施效果的满意程度</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90%</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85</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9</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9</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设备总投资金额</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w:t>
            </w:r>
            <w:r>
              <w:rPr>
                <w:rFonts w:ascii="仿宋" w:eastAsia="仿宋" w:hAnsi="仿宋" w:cs="仿宋" w:hint="eastAsia"/>
                <w:color w:val="000000"/>
                <w:kern w:val="0"/>
                <w:sz w:val="18"/>
                <w:szCs w:val="18"/>
                <w:lang/>
              </w:rPr>
              <w:t>500</w:t>
            </w:r>
            <w:r>
              <w:rPr>
                <w:rFonts w:ascii="仿宋" w:eastAsia="仿宋" w:hAnsi="仿宋" w:cs="仿宋" w:hint="eastAsia"/>
                <w:color w:val="000000"/>
                <w:kern w:val="0"/>
                <w:sz w:val="18"/>
                <w:szCs w:val="18"/>
                <w:lang/>
              </w:rPr>
              <w:t>万元</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带动提质增效</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效果明显</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效果明显</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项目内容匹配度</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高度吻合</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10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10</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资金使用合规性</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12</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12</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项目实施进度</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按申报计划有序推进</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按申报计划有序推进</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6</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成本节约率</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8</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扩大企业生产能力</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促进市场占有率提升</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5</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项目拉动就业人数</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100%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项目建成后税收贡献额</w:t>
            </w:r>
          </w:p>
        </w:tc>
        <w:tc>
          <w:tcPr>
            <w:tcW w:w="850" w:type="dxa"/>
            <w:tcBorders>
              <w:top w:val="single" w:sz="4" w:space="0" w:color="auto"/>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单位根据申报材料中基本情况表预计目标填列</w:t>
            </w:r>
          </w:p>
        </w:tc>
        <w:tc>
          <w:tcPr>
            <w:tcW w:w="851" w:type="dxa"/>
            <w:tcBorders>
              <w:top w:val="single" w:sz="4" w:space="0" w:color="auto"/>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85%</w:t>
            </w:r>
          </w:p>
        </w:tc>
        <w:tc>
          <w:tcPr>
            <w:tcW w:w="567" w:type="dxa"/>
            <w:gridSpan w:val="2"/>
            <w:tcBorders>
              <w:top w:val="single" w:sz="4" w:space="0" w:color="auto"/>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567" w:type="dxa"/>
            <w:gridSpan w:val="2"/>
            <w:tcBorders>
              <w:top w:val="single" w:sz="4" w:space="0" w:color="auto"/>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4</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环境污染可控程度</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效果良好</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效果良好</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588" w:type="dxa"/>
            <w:vMerge/>
            <w:tcBorders>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noWrap/>
            <w:vAlign w:val="center"/>
          </w:tcPr>
          <w:p w:rsidR="001B7A21" w:rsidRDefault="00C87B58">
            <w:pPr>
              <w:widowControl/>
              <w:jc w:val="left"/>
              <w:textAlignment w:val="center"/>
              <w:rPr>
                <w:rFonts w:ascii="Times New Roman" w:hAnsi="Times New Roman"/>
                <w:color w:val="000000"/>
                <w:kern w:val="0"/>
                <w:sz w:val="18"/>
                <w:szCs w:val="18"/>
              </w:rPr>
            </w:pPr>
            <w:r>
              <w:rPr>
                <w:rFonts w:ascii="仿宋" w:eastAsia="仿宋" w:hAnsi="仿宋" w:cs="仿宋" w:hint="eastAsia"/>
                <w:color w:val="000000"/>
                <w:kern w:val="0"/>
                <w:sz w:val="24"/>
                <w:lang/>
              </w:rPr>
              <w:t>节能减排效果</w:t>
            </w:r>
          </w:p>
        </w:tc>
        <w:tc>
          <w:tcPr>
            <w:tcW w:w="850"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851" w:type="dxa"/>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18"/>
                <w:szCs w:val="18"/>
                <w:lang/>
              </w:rPr>
              <w:t>效果显著</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right"/>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jc w:val="center"/>
              <w:textAlignment w:val="center"/>
              <w:rPr>
                <w:rFonts w:ascii="Times New Roman" w:hAnsi="Times New Roman"/>
                <w:kern w:val="0"/>
                <w:sz w:val="18"/>
                <w:szCs w:val="18"/>
              </w:rPr>
            </w:pPr>
            <w:r>
              <w:rPr>
                <w:rFonts w:ascii="仿宋" w:eastAsia="仿宋" w:hAnsi="仿宋" w:cs="仿宋" w:hint="eastAsia"/>
                <w:color w:val="000000"/>
                <w:kern w:val="0"/>
                <w:sz w:val="24"/>
                <w:lang/>
              </w:rPr>
              <w:t>3</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r w:rsidR="001B7A21" w:rsidTr="006C1A8B">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noWrap/>
            <w:vAlign w:val="center"/>
          </w:tcPr>
          <w:p w:rsidR="001B7A21" w:rsidRDefault="00C87B5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noWrap/>
            <w:vAlign w:val="center"/>
          </w:tcPr>
          <w:p w:rsidR="001B7A21" w:rsidRDefault="001B7A21">
            <w:pPr>
              <w:widowControl/>
              <w:spacing w:line="240" w:lineRule="exact"/>
              <w:jc w:val="center"/>
              <w:rPr>
                <w:rFonts w:ascii="Times New Roman" w:hAnsi="Times New Roman"/>
                <w:kern w:val="0"/>
                <w:sz w:val="18"/>
                <w:szCs w:val="18"/>
              </w:rPr>
            </w:pPr>
          </w:p>
        </w:tc>
      </w:tr>
    </w:tbl>
    <w:tbl>
      <w:tblPr>
        <w:tblpPr w:leftFromText="180" w:rightFromText="180" w:vertAnchor="text" w:horzAnchor="margin" w:tblpY="362"/>
        <w:tblW w:w="9540" w:type="dxa"/>
        <w:tblLayout w:type="fixed"/>
        <w:tblLook w:val="04A0"/>
      </w:tblPr>
      <w:tblGrid>
        <w:gridCol w:w="9540"/>
      </w:tblGrid>
      <w:tr w:rsidR="006C1A8B" w:rsidTr="006C1A8B">
        <w:trPr>
          <w:trHeight w:val="465"/>
        </w:trPr>
        <w:tc>
          <w:tcPr>
            <w:tcW w:w="9540" w:type="dxa"/>
            <w:tcBorders>
              <w:top w:val="single" w:sz="4" w:space="0" w:color="auto"/>
              <w:left w:val="nil"/>
              <w:bottom w:val="nil"/>
              <w:right w:val="nil"/>
            </w:tcBorders>
            <w:noWrap/>
            <w:vAlign w:val="center"/>
          </w:tcPr>
          <w:p w:rsidR="006C1A8B" w:rsidRDefault="006C1A8B" w:rsidP="006C1A8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6C1A8B" w:rsidTr="006C1A8B">
        <w:trPr>
          <w:trHeight w:val="465"/>
        </w:trPr>
        <w:tc>
          <w:tcPr>
            <w:tcW w:w="9540" w:type="dxa"/>
            <w:tcBorders>
              <w:top w:val="nil"/>
              <w:left w:val="nil"/>
              <w:bottom w:val="nil"/>
              <w:right w:val="nil"/>
            </w:tcBorders>
            <w:noWrap/>
            <w:vAlign w:val="center"/>
          </w:tcPr>
          <w:p w:rsidR="006C1A8B" w:rsidRDefault="006C1A8B" w:rsidP="006C1A8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6C1A8B" w:rsidTr="006C1A8B">
        <w:trPr>
          <w:trHeight w:val="465"/>
        </w:trPr>
        <w:tc>
          <w:tcPr>
            <w:tcW w:w="9540" w:type="dxa"/>
            <w:tcBorders>
              <w:top w:val="nil"/>
              <w:left w:val="nil"/>
              <w:bottom w:val="nil"/>
              <w:right w:val="nil"/>
            </w:tcBorders>
            <w:noWrap/>
            <w:vAlign w:val="center"/>
          </w:tcPr>
          <w:p w:rsidR="006C1A8B" w:rsidRDefault="006C1A8B" w:rsidP="006C1A8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6C1A8B" w:rsidTr="006C1A8B">
        <w:trPr>
          <w:trHeight w:val="210"/>
        </w:trPr>
        <w:tc>
          <w:tcPr>
            <w:tcW w:w="9540" w:type="dxa"/>
            <w:tcBorders>
              <w:top w:val="nil"/>
              <w:left w:val="nil"/>
              <w:bottom w:val="nil"/>
              <w:right w:val="nil"/>
            </w:tcBorders>
            <w:noWrap/>
            <w:vAlign w:val="center"/>
          </w:tcPr>
          <w:p w:rsidR="006C1A8B" w:rsidRDefault="006C1A8B" w:rsidP="006C1A8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B7A21" w:rsidRDefault="00C87B5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1B7A21" w:rsidRPr="001B7A21">
        <w:rPr>
          <w:sz w:val="18"/>
        </w:rPr>
        <w:pict>
          <v:rect 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w:txbxContent>
                <w:p w:rsidR="001B7A21" w:rsidRDefault="001B7A21"/>
              </w:txbxContent>
            </v:textbox>
          </v:rect>
        </w:pict>
      </w:r>
    </w:p>
    <w:p w:rsidR="001B7A21" w:rsidRDefault="001B7A21">
      <w:pPr>
        <w:rPr>
          <w:rFonts w:ascii="Times New Roman" w:eastAsia="黑体" w:hAnsi="Times New Roman"/>
        </w:rPr>
        <w:sectPr w:rsidR="001B7A21">
          <w:pgSz w:w="11906" w:h="16838"/>
          <w:pgMar w:top="1587" w:right="1587" w:bottom="1587" w:left="1587" w:header="737" w:footer="850" w:gutter="0"/>
          <w:cols w:space="720"/>
          <w:docGrid w:type="lines" w:linePitch="408"/>
        </w:sectPr>
      </w:pPr>
    </w:p>
    <w:p w:rsidR="001B7A21" w:rsidRDefault="00C87B58">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C1A8B">
        <w:rPr>
          <w:rFonts w:ascii="Times New Roman" w:eastAsia="仿宋_GB2312" w:hAnsi="Times New Roman" w:hint="eastAsia"/>
          <w:bCs/>
          <w:color w:val="000000"/>
          <w:sz w:val="32"/>
          <w:szCs w:val="32"/>
        </w:rPr>
        <w:t>2</w:t>
      </w:r>
    </w:p>
    <w:p w:rsidR="001B7A21" w:rsidRDefault="00C87B58">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7"/>
      </w:tblGrid>
      <w:tr w:rsidR="001B7A21">
        <w:trPr>
          <w:trHeight w:val="692"/>
          <w:tblHeader/>
          <w:jc w:val="center"/>
        </w:trPr>
        <w:tc>
          <w:tcPr>
            <w:tcW w:w="682" w:type="dxa"/>
            <w:shd w:val="clear" w:color="auto" w:fill="FFFFFF"/>
            <w:noWrap/>
            <w:vAlign w:val="center"/>
          </w:tcPr>
          <w:p w:rsidR="001B7A21" w:rsidRDefault="00C87B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noWrap/>
            <w:vAlign w:val="center"/>
          </w:tcPr>
          <w:p w:rsidR="001B7A21" w:rsidRDefault="00C87B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noWrap/>
          </w:tcPr>
          <w:p w:rsidR="001B7A21" w:rsidRDefault="00C87B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B7A21" w:rsidRDefault="00C87B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noWrap/>
            <w:vAlign w:val="center"/>
          </w:tcPr>
          <w:p w:rsidR="001B7A21" w:rsidRDefault="00C87B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noWrap/>
            <w:vAlign w:val="center"/>
          </w:tcPr>
          <w:p w:rsidR="001B7A21" w:rsidRDefault="00C87B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noWrap/>
            <w:vAlign w:val="center"/>
          </w:tcPr>
          <w:p w:rsidR="001B7A21" w:rsidRDefault="00C87B58">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B7A21">
        <w:trPr>
          <w:trHeight w:val="2318"/>
          <w:jc w:val="center"/>
        </w:trPr>
        <w:tc>
          <w:tcPr>
            <w:tcW w:w="682" w:type="dxa"/>
            <w:vMerge w:val="restart"/>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B7A21" w:rsidRDefault="00C87B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noWrap/>
            <w:vAlign w:val="center"/>
          </w:tcPr>
          <w:p w:rsidR="001B7A21" w:rsidRDefault="00C87B5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Times New Roman" w:hAnsi="Times New Roman"/>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1B7A21">
        <w:trPr>
          <w:trHeight w:val="1510"/>
          <w:jc w:val="center"/>
        </w:trPr>
        <w:tc>
          <w:tcPr>
            <w:tcW w:w="682" w:type="dxa"/>
            <w:vMerge/>
            <w:shd w:val="clear" w:color="auto" w:fill="FFFFFF"/>
            <w:noWrap/>
            <w:vAlign w:val="center"/>
          </w:tcPr>
          <w:p w:rsidR="001B7A21" w:rsidRDefault="001B7A21">
            <w:pPr>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1B7A21" w:rsidRDefault="001B7A21">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noWrap/>
            <w:vAlign w:val="center"/>
          </w:tcPr>
          <w:p w:rsidR="001B7A21" w:rsidRDefault="00C87B5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1B7A21">
        <w:trPr>
          <w:trHeight w:val="1829"/>
          <w:jc w:val="center"/>
        </w:trPr>
        <w:tc>
          <w:tcPr>
            <w:tcW w:w="682" w:type="dxa"/>
            <w:vMerge/>
            <w:shd w:val="clear" w:color="auto" w:fill="FFFFFF"/>
            <w:noWrap/>
            <w:vAlign w:val="center"/>
          </w:tcPr>
          <w:p w:rsidR="001B7A21" w:rsidRDefault="001B7A21">
            <w:pPr>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noWrap/>
            <w:vAlign w:val="center"/>
          </w:tcPr>
          <w:p w:rsidR="001B7A21" w:rsidRDefault="00C87B5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B7A21" w:rsidRDefault="00C87B5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1B7A21">
        <w:trPr>
          <w:trHeight w:val="1464"/>
          <w:jc w:val="center"/>
        </w:trPr>
        <w:tc>
          <w:tcPr>
            <w:tcW w:w="682" w:type="dxa"/>
            <w:vMerge w:val="restart"/>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1B7A21">
        <w:trPr>
          <w:trHeight w:val="1942"/>
          <w:jc w:val="center"/>
        </w:trPr>
        <w:tc>
          <w:tcPr>
            <w:tcW w:w="682" w:type="dxa"/>
            <w:vMerge/>
            <w:shd w:val="clear" w:color="auto" w:fill="FFFFFF"/>
            <w:noWrap/>
            <w:vAlign w:val="center"/>
          </w:tcPr>
          <w:p w:rsidR="001B7A21" w:rsidRDefault="001B7A21">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B7A21" w:rsidRDefault="00C87B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1B7A21">
        <w:trPr>
          <w:trHeight w:val="1706"/>
          <w:jc w:val="center"/>
        </w:trPr>
        <w:tc>
          <w:tcPr>
            <w:tcW w:w="682" w:type="dxa"/>
            <w:vMerge/>
            <w:shd w:val="clear" w:color="auto" w:fill="FFFFFF"/>
            <w:noWrap/>
            <w:vAlign w:val="center"/>
          </w:tcPr>
          <w:p w:rsidR="001B7A21" w:rsidRDefault="001B7A21">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1B7A21" w:rsidRDefault="001B7A21">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1B7A21">
        <w:trPr>
          <w:trHeight w:val="1415"/>
          <w:jc w:val="center"/>
        </w:trPr>
        <w:tc>
          <w:tcPr>
            <w:tcW w:w="682" w:type="dxa"/>
            <w:vMerge w:val="restart"/>
            <w:shd w:val="clear" w:color="auto" w:fill="FFFFFF"/>
            <w:noWrap/>
            <w:vAlign w:val="center"/>
          </w:tcPr>
          <w:p w:rsidR="001B7A21" w:rsidRDefault="00C87B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1B7A21">
        <w:trPr>
          <w:trHeight w:val="1320"/>
          <w:jc w:val="center"/>
        </w:trPr>
        <w:tc>
          <w:tcPr>
            <w:tcW w:w="682" w:type="dxa"/>
            <w:vMerge/>
            <w:shd w:val="clear" w:color="auto" w:fill="FFFFFF"/>
            <w:noWrap/>
            <w:vAlign w:val="center"/>
          </w:tcPr>
          <w:p w:rsidR="001B7A21" w:rsidRDefault="001B7A21">
            <w:pPr>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1B7A21" w:rsidRDefault="001B7A21">
            <w:pPr>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1B7A21">
        <w:trPr>
          <w:trHeight w:val="2076"/>
          <w:jc w:val="center"/>
        </w:trPr>
        <w:tc>
          <w:tcPr>
            <w:tcW w:w="682" w:type="dxa"/>
            <w:vMerge w:val="restart"/>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B7A21" w:rsidRDefault="00C87B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Times New Roman" w:hAnsi="Times New Roman"/>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1B7A21">
        <w:trPr>
          <w:trHeight w:val="1797"/>
          <w:jc w:val="center"/>
        </w:trPr>
        <w:tc>
          <w:tcPr>
            <w:tcW w:w="682" w:type="dxa"/>
            <w:vMerge/>
            <w:shd w:val="clear" w:color="auto" w:fill="FFFFFF"/>
            <w:noWrap/>
            <w:vAlign w:val="center"/>
          </w:tcPr>
          <w:p w:rsidR="001B7A21" w:rsidRDefault="001B7A21">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B7A21" w:rsidRDefault="00C87B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1B7A21">
        <w:trPr>
          <w:trHeight w:val="1769"/>
          <w:jc w:val="center"/>
        </w:trPr>
        <w:tc>
          <w:tcPr>
            <w:tcW w:w="682" w:type="dxa"/>
            <w:vMerge/>
            <w:shd w:val="clear" w:color="auto" w:fill="FFFFFF"/>
            <w:noWrap/>
            <w:vAlign w:val="center"/>
          </w:tcPr>
          <w:p w:rsidR="001B7A21" w:rsidRDefault="001B7A21">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1B7A21" w:rsidRDefault="001B7A21">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1B7A21">
        <w:trPr>
          <w:trHeight w:val="1917"/>
          <w:jc w:val="center"/>
        </w:trPr>
        <w:tc>
          <w:tcPr>
            <w:tcW w:w="682"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1B7A21">
        <w:trPr>
          <w:trHeight w:val="1718"/>
          <w:jc w:val="center"/>
        </w:trPr>
        <w:tc>
          <w:tcPr>
            <w:tcW w:w="682" w:type="dxa"/>
            <w:vMerge w:val="restart"/>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1B7A21">
        <w:trPr>
          <w:trHeight w:val="1506"/>
          <w:jc w:val="center"/>
        </w:trPr>
        <w:tc>
          <w:tcPr>
            <w:tcW w:w="682" w:type="dxa"/>
            <w:vMerge/>
            <w:shd w:val="clear" w:color="auto" w:fill="FFFFFF"/>
            <w:noWrap/>
            <w:vAlign w:val="center"/>
          </w:tcPr>
          <w:p w:rsidR="001B7A21" w:rsidRDefault="001B7A21">
            <w:pPr>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1B7A21" w:rsidRDefault="00C87B5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1B7A21">
        <w:trPr>
          <w:trHeight w:val="1674"/>
          <w:jc w:val="center"/>
        </w:trPr>
        <w:tc>
          <w:tcPr>
            <w:tcW w:w="682" w:type="dxa"/>
            <w:vMerge/>
            <w:shd w:val="clear" w:color="auto" w:fill="FFFFFF"/>
            <w:noWrap/>
            <w:vAlign w:val="center"/>
          </w:tcPr>
          <w:p w:rsidR="001B7A21" w:rsidRDefault="001B7A21">
            <w:pPr>
              <w:widowControl/>
              <w:spacing w:line="0" w:lineRule="atLeast"/>
              <w:jc w:val="center"/>
              <w:rPr>
                <w:rFonts w:ascii="Times New Roman" w:hAnsi="Times New Roman"/>
                <w:color w:val="000000"/>
                <w:kern w:val="0"/>
                <w:sz w:val="22"/>
                <w:szCs w:val="22"/>
              </w:rPr>
            </w:pPr>
          </w:p>
        </w:tc>
        <w:tc>
          <w:tcPr>
            <w:tcW w:w="709"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1B7A21">
        <w:trPr>
          <w:trHeight w:val="693"/>
          <w:jc w:val="center"/>
        </w:trPr>
        <w:tc>
          <w:tcPr>
            <w:tcW w:w="682" w:type="dxa"/>
            <w:vMerge w:val="restart"/>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noWrap/>
            <w:vAlign w:val="center"/>
          </w:tcPr>
          <w:p w:rsidR="001B7A21" w:rsidRDefault="00C87B5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r>
      <w:tr w:rsidR="001B7A21">
        <w:trPr>
          <w:trHeight w:val="929"/>
          <w:jc w:val="center"/>
        </w:trPr>
        <w:tc>
          <w:tcPr>
            <w:tcW w:w="682" w:type="dxa"/>
            <w:vMerge/>
            <w:shd w:val="clear" w:color="auto" w:fill="FFFFFF"/>
            <w:noWrap/>
            <w:vAlign w:val="center"/>
          </w:tcPr>
          <w:p w:rsidR="001B7A21" w:rsidRDefault="001B7A21">
            <w:pPr>
              <w:widowControl/>
              <w:spacing w:line="0" w:lineRule="atLeast"/>
              <w:jc w:val="center"/>
              <w:rPr>
                <w:rFonts w:ascii="Times New Roman" w:hAnsi="Times New Roman"/>
                <w:color w:val="000000"/>
                <w:kern w:val="0"/>
                <w:sz w:val="22"/>
                <w:szCs w:val="22"/>
              </w:rPr>
            </w:pPr>
          </w:p>
        </w:tc>
        <w:tc>
          <w:tcPr>
            <w:tcW w:w="709" w:type="dxa"/>
            <w:vMerge/>
            <w:shd w:val="clear" w:color="auto" w:fill="FFFFFF"/>
            <w:noWrap/>
            <w:vAlign w:val="center"/>
          </w:tcPr>
          <w:p w:rsidR="001B7A21" w:rsidRDefault="001B7A21">
            <w:pPr>
              <w:widowControl/>
              <w:spacing w:line="0" w:lineRule="atLeast"/>
              <w:jc w:val="center"/>
              <w:rPr>
                <w:rFonts w:ascii="Times New Roman" w:hAnsi="Times New Roman"/>
                <w:color w:val="000000"/>
                <w:kern w:val="0"/>
                <w:sz w:val="22"/>
                <w:szCs w:val="22"/>
              </w:rPr>
            </w:pPr>
          </w:p>
        </w:tc>
        <w:tc>
          <w:tcPr>
            <w:tcW w:w="1134"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noWrap/>
            <w:vAlign w:val="center"/>
          </w:tcPr>
          <w:p w:rsidR="001B7A21" w:rsidRDefault="00C87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1B7A21">
        <w:trPr>
          <w:trHeight w:val="558"/>
          <w:jc w:val="center"/>
        </w:trPr>
        <w:tc>
          <w:tcPr>
            <w:tcW w:w="2525" w:type="dxa"/>
            <w:gridSpan w:val="3"/>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noWrap/>
            <w:vAlign w:val="center"/>
          </w:tcPr>
          <w:p w:rsidR="001B7A21" w:rsidRDefault="001B7A21">
            <w:pPr>
              <w:widowControl/>
              <w:spacing w:line="0" w:lineRule="atLeast"/>
              <w:rPr>
                <w:rFonts w:ascii="Times New Roman" w:hAnsi="Times New Roman"/>
                <w:color w:val="000000"/>
                <w:kern w:val="0"/>
                <w:sz w:val="22"/>
                <w:szCs w:val="22"/>
              </w:rPr>
            </w:pPr>
          </w:p>
        </w:tc>
        <w:tc>
          <w:tcPr>
            <w:tcW w:w="6096" w:type="dxa"/>
            <w:shd w:val="clear" w:color="auto" w:fill="FFFFFF"/>
            <w:noWrap/>
            <w:vAlign w:val="center"/>
          </w:tcPr>
          <w:p w:rsidR="001B7A21" w:rsidRDefault="001B7A21">
            <w:pPr>
              <w:widowControl/>
              <w:spacing w:line="0" w:lineRule="atLeast"/>
              <w:rPr>
                <w:rFonts w:ascii="Times New Roman" w:hAnsi="Times New Roman"/>
                <w:color w:val="000000"/>
                <w:kern w:val="0"/>
                <w:sz w:val="22"/>
                <w:szCs w:val="22"/>
              </w:rPr>
            </w:pPr>
          </w:p>
        </w:tc>
        <w:tc>
          <w:tcPr>
            <w:tcW w:w="567" w:type="dxa"/>
            <w:shd w:val="clear" w:color="auto" w:fill="FFFFFF"/>
            <w:noWrap/>
            <w:vAlign w:val="center"/>
          </w:tcPr>
          <w:p w:rsidR="001B7A21" w:rsidRDefault="00C87B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r>
    </w:tbl>
    <w:p w:rsidR="001B7A21" w:rsidRDefault="00C87B58">
      <w:pPr>
        <w:spacing w:line="560" w:lineRule="exact"/>
        <w:ind w:firstLineChars="100" w:firstLine="200"/>
        <w:rPr>
          <w:rFonts w:ascii="Times New Roman" w:hAnsi="Times New Roman"/>
          <w:bCs/>
          <w:sz w:val="32"/>
          <w:szCs w:val="32"/>
        </w:rPr>
        <w:sectPr w:rsidR="001B7A21">
          <w:pgSz w:w="16838" w:h="11906" w:orient="landscape"/>
          <w:pgMar w:top="1531" w:right="1928" w:bottom="1531" w:left="1701" w:header="737" w:footer="851" w:gutter="0"/>
          <w:cols w:space="720"/>
          <w:docGrid w:type="lines" w:linePitch="408"/>
        </w:sectPr>
      </w:pPr>
      <w:r>
        <w:rPr>
          <w:rFonts w:ascii="Times New Roman" w:eastAsia="仿宋_GB2312" w:hAnsi="Times New Roman"/>
          <w:sz w:val="20"/>
          <w:szCs w:val="20"/>
        </w:rPr>
        <w:t>注：单位可以根据专项资金的管理要求和绩效要求增设个性指标。</w:t>
      </w:r>
    </w:p>
    <w:p w:rsidR="001B7A21" w:rsidRDefault="001B7A21"/>
    <w:sectPr w:rsidR="001B7A21" w:rsidSect="001B7A2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B58" w:rsidRDefault="00C87B58" w:rsidP="001B7A21">
      <w:r>
        <w:separator/>
      </w:r>
    </w:p>
  </w:endnote>
  <w:endnote w:type="continuationSeparator" w:id="1">
    <w:p w:rsidR="00C87B58" w:rsidRDefault="00C87B58" w:rsidP="001B7A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A8B" w:rsidRDefault="006C1A8B">
    <w:pPr>
      <w:pStyle w:val="a4"/>
    </w:pPr>
    <w:r>
      <w:pict>
        <v:shapetype id="_x0000_t202" coordsize="21600,21600" o:spt="202" path="m,l,21600r21600,l21600,xe">
          <v:stroke joinstyle="miter"/>
          <v:path gradientshapeok="t" o:connecttype="rect"/>
        </v:shapetype>
        <v:shape id="_x0000_s2051" type="#_x0000_t202" style="position:absolute;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6C1A8B" w:rsidRDefault="006C1A8B">
                <w:pPr>
                  <w:pStyle w:val="a4"/>
                </w:pPr>
                <w:fldSimple w:instr=" PAGE  \* MERGEFORMAT ">
                  <w:r>
                    <w:rPr>
                      <w:noProof/>
                    </w:rPr>
                    <w:t>1</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A21" w:rsidRDefault="001B7A21">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1B7A21" w:rsidRDefault="001B7A21">
                <w:pPr>
                  <w:pStyle w:val="a4"/>
                </w:pPr>
                <w:r>
                  <w:rPr>
                    <w:rFonts w:hint="eastAsia"/>
                  </w:rPr>
                  <w:fldChar w:fldCharType="begin"/>
                </w:r>
                <w:r w:rsidR="00C87B58">
                  <w:rPr>
                    <w:rFonts w:hint="eastAsia"/>
                  </w:rPr>
                  <w:instrText xml:space="preserve"> PAGE  \* MERGEFORMAT </w:instrText>
                </w:r>
                <w:r>
                  <w:rPr>
                    <w:rFonts w:hint="eastAsia"/>
                  </w:rPr>
                  <w:fldChar w:fldCharType="separate"/>
                </w:r>
                <w:r w:rsidR="006C1A8B">
                  <w:rPr>
                    <w:noProof/>
                  </w:rPr>
                  <w:t>15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B58" w:rsidRDefault="00C87B58" w:rsidP="001B7A21">
      <w:r>
        <w:separator/>
      </w:r>
    </w:p>
  </w:footnote>
  <w:footnote w:type="continuationSeparator" w:id="1">
    <w:p w:rsidR="00C87B58" w:rsidRDefault="00C87B58" w:rsidP="001B7A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5EC039"/>
    <w:multiLevelType w:val="singleLevel"/>
    <w:tmpl w:val="985EC039"/>
    <w:lvl w:ilvl="0">
      <w:start w:val="1"/>
      <w:numFmt w:val="chineseCounting"/>
      <w:suff w:val="nothing"/>
      <w:lvlText w:val="（%1）"/>
      <w:lvlJc w:val="left"/>
      <w:rPr>
        <w:rFonts w:hint="eastAsia"/>
      </w:rPr>
    </w:lvl>
  </w:abstractNum>
  <w:abstractNum w:abstractNumId="1">
    <w:nsid w:val="BABA157D"/>
    <w:multiLevelType w:val="singleLevel"/>
    <w:tmpl w:val="BABA157D"/>
    <w:lvl w:ilvl="0">
      <w:start w:val="1"/>
      <w:numFmt w:val="chineseCounting"/>
      <w:suff w:val="space"/>
      <w:lvlText w:val="%1、"/>
      <w:lvlJc w:val="left"/>
      <w:rPr>
        <w:rFonts w:hint="eastAsia"/>
      </w:rPr>
    </w:lvl>
  </w:abstractNum>
  <w:abstractNum w:abstractNumId="2">
    <w:nsid w:val="C732B813"/>
    <w:multiLevelType w:val="singleLevel"/>
    <w:tmpl w:val="C732B813"/>
    <w:lvl w:ilvl="0">
      <w:start w:val="1"/>
      <w:numFmt w:val="chineseCounting"/>
      <w:suff w:val="nothing"/>
      <w:lvlText w:val="（%1）"/>
      <w:lvlJc w:val="left"/>
      <w:rPr>
        <w:rFonts w:hint="eastAsia"/>
      </w:rPr>
    </w:lvl>
  </w:abstractNum>
  <w:abstractNum w:abstractNumId="3">
    <w:nsid w:val="E4004431"/>
    <w:multiLevelType w:val="singleLevel"/>
    <w:tmpl w:val="E4004431"/>
    <w:lvl w:ilvl="0">
      <w:start w:val="1"/>
      <w:numFmt w:val="chineseCounting"/>
      <w:suff w:val="nothing"/>
      <w:lvlText w:val="（%1）"/>
      <w:lvlJc w:val="left"/>
      <w:pPr>
        <w:ind w:left="540" w:firstLine="0"/>
      </w:pPr>
      <w:rPr>
        <w:rFonts w:hint="eastAsia"/>
      </w:rPr>
    </w:lvl>
  </w:abstractNum>
  <w:abstractNum w:abstractNumId="4">
    <w:nsid w:val="01B6BEF3"/>
    <w:multiLevelType w:val="singleLevel"/>
    <w:tmpl w:val="01B6BEF3"/>
    <w:lvl w:ilvl="0">
      <w:start w:val="1"/>
      <w:numFmt w:val="decimal"/>
      <w:suff w:val="nothing"/>
      <w:lvlText w:val="%1）"/>
      <w:lvlJc w:val="left"/>
      <w:pPr>
        <w:ind w:left="540" w:firstLine="0"/>
      </w:pPr>
    </w:lvl>
  </w:abstractNum>
  <w:abstractNum w:abstractNumId="5">
    <w:nsid w:val="0CEE3DC7"/>
    <w:multiLevelType w:val="singleLevel"/>
    <w:tmpl w:val="0CEE3DC7"/>
    <w:lvl w:ilvl="0">
      <w:start w:val="1"/>
      <w:numFmt w:val="chineseCounting"/>
      <w:suff w:val="nothing"/>
      <w:lvlText w:val="（%1）"/>
      <w:lvlJc w:val="left"/>
      <w:rPr>
        <w:rFonts w:hint="eastAsia"/>
      </w:rPr>
    </w:lvl>
  </w:abstractNum>
  <w:num w:numId="1">
    <w:abstractNumId w:val="1"/>
  </w:num>
  <w:num w:numId="2">
    <w:abstractNumId w:val="5"/>
  </w:num>
  <w:num w:numId="3">
    <w:abstractNumId w:val="3"/>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420"/>
  <w:drawingGridVerticalSpacing w:val="156"/>
  <w:noPunctuationKerning/>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40820D2"/>
    <w:rsid w:val="001B7A21"/>
    <w:rsid w:val="0069225A"/>
    <w:rsid w:val="006C1A8B"/>
    <w:rsid w:val="00C87B58"/>
    <w:rsid w:val="245454C8"/>
    <w:rsid w:val="436B6240"/>
    <w:rsid w:val="53DB343C"/>
    <w:rsid w:val="669C510D"/>
    <w:rsid w:val="740820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1B7A21"/>
    <w:pPr>
      <w:widowControl w:val="0"/>
      <w:jc w:val="both"/>
    </w:pPr>
    <w:rPr>
      <w:rFonts w:ascii="Calibri" w:hAnsi="Calibri"/>
      <w:kern w:val="2"/>
      <w:sz w:val="21"/>
      <w:szCs w:val="24"/>
    </w:rPr>
  </w:style>
  <w:style w:type="paragraph" w:styleId="2">
    <w:name w:val="heading 2"/>
    <w:basedOn w:val="a"/>
    <w:next w:val="a"/>
    <w:qFormat/>
    <w:rsid w:val="001B7A21"/>
    <w:pPr>
      <w:keepNext/>
      <w:keepLines/>
      <w:spacing w:before="260" w:after="260" w:line="413" w:lineRule="auto"/>
      <w:outlineLvl w:val="1"/>
    </w:pPr>
    <w:rPr>
      <w:rFonts w:ascii="Arial" w:eastAsia="黑体" w:hAnsi="Arial"/>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rsid w:val="001B7A21"/>
    <w:pPr>
      <w:ind w:left="263"/>
    </w:pPr>
    <w:rPr>
      <w:rFonts w:ascii="宋体" w:hAnsi="宋体" w:cs="宋体"/>
      <w:sz w:val="24"/>
      <w:lang w:val="zh-CN" w:bidi="zh-CN"/>
    </w:rPr>
  </w:style>
  <w:style w:type="paragraph" w:styleId="a4">
    <w:name w:val="footer"/>
    <w:basedOn w:val="a"/>
    <w:rsid w:val="001B7A21"/>
    <w:pPr>
      <w:tabs>
        <w:tab w:val="center" w:pos="4153"/>
        <w:tab w:val="right" w:pos="8306"/>
      </w:tabs>
      <w:snapToGrid w:val="0"/>
      <w:jc w:val="left"/>
    </w:pPr>
    <w:rPr>
      <w:sz w:val="18"/>
    </w:rPr>
  </w:style>
  <w:style w:type="table" w:styleId="a5">
    <w:name w:val="Table Grid"/>
    <w:basedOn w:val="a2"/>
    <w:qFormat/>
    <w:rsid w:val="001B7A2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Hyperlink"/>
    <w:basedOn w:val="a1"/>
    <w:qFormat/>
    <w:rsid w:val="001B7A21"/>
    <w:rPr>
      <w:color w:val="0000FF"/>
      <w:u w:val="single"/>
    </w:rPr>
  </w:style>
  <w:style w:type="paragraph" w:styleId="a7">
    <w:name w:val="List Paragraph"/>
    <w:basedOn w:val="a"/>
    <w:uiPriority w:val="99"/>
    <w:qFormat/>
    <w:rsid w:val="001B7A21"/>
    <w:pPr>
      <w:ind w:firstLineChars="200" w:firstLine="420"/>
    </w:pPr>
    <w:rPr>
      <w:szCs w:val="22"/>
    </w:rPr>
  </w:style>
  <w:style w:type="paragraph" w:styleId="a8">
    <w:name w:val="header"/>
    <w:basedOn w:val="a"/>
    <w:link w:val="Char"/>
    <w:rsid w:val="006922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8"/>
    <w:rsid w:val="0069225A"/>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1256</Words>
  <Characters>7160</Characters>
  <Application>Microsoft Office Word</Application>
  <DocSecurity>0</DocSecurity>
  <Lines>59</Lines>
  <Paragraphs>16</Paragraphs>
  <ScaleCrop>false</ScaleCrop>
  <Company/>
  <LinksUpToDate>false</LinksUpToDate>
  <CharactersWithSpaces>8400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资深流浪家</dc:creator>
  <cp:lastModifiedBy>PC</cp:lastModifiedBy>
  <cp:revision>3</cp:revision>
  <dcterms:created xsi:type="dcterms:W3CDTF">2021-08-17T02:02:00Z</dcterms:created>
  <dcterms:modified xsi:type="dcterms:W3CDTF">2021-09-02T02:49:00Z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