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5E6" w:rsidRDefault="0063777D">
      <w:pPr>
        <w:jc w:val="center"/>
        <w:rPr>
          <w:rFonts w:ascii="微软雅黑" w:eastAsia="微软雅黑" w:hAnsi="微软雅黑" w:cs="方正舒体"/>
          <w:sz w:val="40"/>
          <w:szCs w:val="40"/>
          <w:lang w:val="en-US"/>
        </w:rPr>
      </w:pPr>
      <w:r>
        <w:rPr>
          <w:rFonts w:ascii="微软雅黑" w:eastAsia="微软雅黑" w:hAnsi="微软雅黑" w:cs="方正舒体" w:hint="eastAsia"/>
          <w:sz w:val="40"/>
          <w:szCs w:val="40"/>
          <w:lang w:val="en-US"/>
        </w:rPr>
        <w:t>2019年度商贸通载体建设资金（轩琪进出口贸易有</w:t>
      </w:r>
    </w:p>
    <w:p w:rsidR="00CB25E6" w:rsidRDefault="0063777D">
      <w:pPr>
        <w:jc w:val="center"/>
        <w:rPr>
          <w:rFonts w:ascii="微软雅黑" w:eastAsia="微软雅黑" w:hAnsi="微软雅黑" w:cs="方正舒体"/>
          <w:sz w:val="40"/>
          <w:szCs w:val="40"/>
          <w:lang w:val="en-US"/>
        </w:rPr>
      </w:pPr>
      <w:r>
        <w:rPr>
          <w:rFonts w:ascii="微软雅黑" w:eastAsia="微软雅黑" w:hAnsi="微软雅黑" w:cs="方正舒体" w:hint="eastAsia"/>
          <w:sz w:val="40"/>
          <w:szCs w:val="40"/>
          <w:lang w:val="en-US"/>
        </w:rPr>
        <w:t>限公司）绩效评价报告</w:t>
      </w:r>
    </w:p>
    <w:p w:rsidR="00CB25E6" w:rsidRDefault="00CB25E6">
      <w:pPr>
        <w:jc w:val="center"/>
        <w:rPr>
          <w:rFonts w:ascii="楷体" w:eastAsia="楷体" w:hAnsi="楷体" w:cs="楷体"/>
          <w:sz w:val="32"/>
          <w:szCs w:val="32"/>
          <w:lang w:val="en-US"/>
        </w:rPr>
      </w:pPr>
    </w:p>
    <w:p w:rsidR="00CB25E6" w:rsidRDefault="0063777D">
      <w:pPr>
        <w:pStyle w:val="a3"/>
        <w:spacing w:line="520" w:lineRule="exact"/>
        <w:rPr>
          <w:rFonts w:ascii="黑体" w:eastAsia="黑体"/>
          <w:b/>
          <w:bCs/>
        </w:rPr>
      </w:pPr>
      <w:r>
        <w:rPr>
          <w:rFonts w:ascii="黑体" w:eastAsia="黑体" w:hint="eastAsia"/>
          <w:b/>
          <w:bCs/>
        </w:rPr>
        <w:t>一、 基本情况</w:t>
      </w:r>
    </w:p>
    <w:p w:rsidR="00CB25E6" w:rsidRDefault="0063777D">
      <w:pPr>
        <w:numPr>
          <w:ilvl w:val="0"/>
          <w:numId w:val="1"/>
        </w:numPr>
        <w:autoSpaceDE/>
        <w:autoSpaceDN/>
        <w:spacing w:line="520" w:lineRule="exact"/>
        <w:ind w:firstLineChars="200" w:firstLine="643"/>
        <w:rPr>
          <w:rFonts w:ascii="黑体" w:eastAsia="黑体" w:hAnsi="黑体" w:cs="黑体"/>
          <w:b/>
          <w:bCs/>
          <w:sz w:val="32"/>
          <w:szCs w:val="32"/>
          <w:lang w:val="en-US"/>
        </w:rPr>
      </w:pPr>
      <w:bookmarkStart w:id="0" w:name="_Toc12514"/>
      <w:r>
        <w:rPr>
          <w:rFonts w:ascii="黑体" w:eastAsia="黑体" w:hAnsi="黑体" w:cs="黑体" w:hint="eastAsia"/>
          <w:b/>
          <w:bCs/>
          <w:sz w:val="32"/>
          <w:szCs w:val="32"/>
          <w:lang w:val="en-US"/>
        </w:rPr>
        <w:t>使用方向情况</w:t>
      </w:r>
    </w:p>
    <w:p w:rsidR="00CB25E6" w:rsidRDefault="0063777D">
      <w:pPr>
        <w:autoSpaceDE/>
        <w:autoSpaceDN/>
        <w:spacing w:line="520" w:lineRule="exact"/>
        <w:ind w:firstLineChars="200" w:firstLine="640"/>
        <w:rPr>
          <w:rFonts w:cs="微软雅黑"/>
          <w:kern w:val="1"/>
          <w:sz w:val="32"/>
          <w:szCs w:val="32"/>
          <w:lang w:val="en-US"/>
        </w:rPr>
      </w:pPr>
      <w:r>
        <w:rPr>
          <w:rFonts w:hint="eastAsia"/>
          <w:sz w:val="32"/>
          <w:szCs w:val="32"/>
          <w:lang w:val="en-US"/>
        </w:rPr>
        <w:t>2019年度我县获省级专项资金（重点流通产业促进方向）80万元，用于支持</w:t>
      </w:r>
      <w:r>
        <w:rPr>
          <w:rFonts w:cs="宋体" w:hint="eastAsia"/>
          <w:sz w:val="32"/>
          <w:szCs w:val="32"/>
        </w:rPr>
        <w:t>我县怀化轩琪进出口贸易有限公司申报的“轩琪供应链服务及单元化载具循环共用建设项目”</w:t>
      </w:r>
      <w:bookmarkEnd w:id="0"/>
      <w:r>
        <w:rPr>
          <w:rFonts w:cs="宋体" w:hint="eastAsia"/>
          <w:sz w:val="32"/>
          <w:szCs w:val="32"/>
        </w:rPr>
        <w:t>建设。项目总投资800万元（其中：</w:t>
      </w:r>
      <w:r>
        <w:rPr>
          <w:rFonts w:cs="宋体" w:hint="eastAsia"/>
          <w:sz w:val="32"/>
          <w:szCs w:val="32"/>
          <w:lang w:val="en-US"/>
        </w:rPr>
        <w:t>2019年度计划投资380万元，2020年度计划投资420万元</w:t>
      </w:r>
      <w:r>
        <w:rPr>
          <w:rFonts w:cs="宋体" w:hint="eastAsia"/>
          <w:sz w:val="32"/>
          <w:szCs w:val="32"/>
        </w:rPr>
        <w:t>），包括：（1）购置1</w:t>
      </w:r>
      <w:r>
        <w:rPr>
          <w:rFonts w:cs="宋体" w:hint="eastAsia"/>
          <w:sz w:val="32"/>
          <w:szCs w:val="32"/>
          <w:lang w:val="en-US"/>
        </w:rPr>
        <w:t>2</w:t>
      </w:r>
      <w:r>
        <w:rPr>
          <w:rFonts w:cs="宋体" w:hint="eastAsia"/>
          <w:sz w:val="32"/>
          <w:szCs w:val="32"/>
        </w:rPr>
        <w:t>00mm*1</w:t>
      </w:r>
      <w:r>
        <w:rPr>
          <w:rFonts w:cs="宋体" w:hint="eastAsia"/>
          <w:sz w:val="32"/>
          <w:szCs w:val="32"/>
          <w:lang w:val="en-US"/>
        </w:rPr>
        <w:t>0</w:t>
      </w:r>
      <w:r>
        <w:rPr>
          <w:rFonts w:cs="宋体" w:hint="eastAsia"/>
          <w:sz w:val="32"/>
          <w:szCs w:val="32"/>
        </w:rPr>
        <w:t>00mm标准托盘3</w:t>
      </w:r>
      <w:r>
        <w:rPr>
          <w:rFonts w:cs="宋体" w:hint="eastAsia"/>
          <w:sz w:val="32"/>
          <w:szCs w:val="32"/>
          <w:lang w:val="en-US"/>
        </w:rPr>
        <w:t>6</w:t>
      </w:r>
      <w:r>
        <w:rPr>
          <w:rFonts w:cs="宋体" w:hint="eastAsia"/>
          <w:sz w:val="32"/>
          <w:szCs w:val="32"/>
        </w:rPr>
        <w:t>0万元；（2）购置符</w:t>
      </w:r>
      <w:r>
        <w:rPr>
          <w:rFonts w:cs="宋体" w:hint="eastAsia"/>
          <w:sz w:val="32"/>
          <w:szCs w:val="32"/>
          <w:lang w:val="en-US"/>
        </w:rPr>
        <w:t>6</w:t>
      </w:r>
      <w:r>
        <w:rPr>
          <w:rFonts w:cs="宋体" w:hint="eastAsia"/>
          <w:sz w:val="32"/>
          <w:szCs w:val="32"/>
        </w:rPr>
        <w:t>00mm*</w:t>
      </w:r>
      <w:r>
        <w:rPr>
          <w:rFonts w:cs="宋体" w:hint="eastAsia"/>
          <w:sz w:val="32"/>
          <w:szCs w:val="32"/>
          <w:lang w:val="en-US"/>
        </w:rPr>
        <w:t>4</w:t>
      </w:r>
      <w:r>
        <w:rPr>
          <w:rFonts w:cs="宋体" w:hint="eastAsia"/>
          <w:sz w:val="32"/>
          <w:szCs w:val="32"/>
        </w:rPr>
        <w:t>00mm包装模数系列尺寸的循环共用周转筐3</w:t>
      </w:r>
      <w:r>
        <w:rPr>
          <w:rFonts w:cs="宋体" w:hint="eastAsia"/>
          <w:sz w:val="32"/>
          <w:szCs w:val="32"/>
          <w:lang w:val="en-US"/>
        </w:rPr>
        <w:t>0</w:t>
      </w:r>
      <w:r>
        <w:rPr>
          <w:rFonts w:cs="宋体" w:hint="eastAsia"/>
          <w:sz w:val="32"/>
          <w:szCs w:val="32"/>
        </w:rPr>
        <w:t>0万元；（3）建设改造标准化物流基础设施（含装卸月台、装卸工具、配套集装箱、标准货架、标准仓库等）140万元。</w:t>
      </w:r>
    </w:p>
    <w:p w:rsidR="00CB25E6" w:rsidRDefault="0063777D">
      <w:pPr>
        <w:numPr>
          <w:ilvl w:val="0"/>
          <w:numId w:val="1"/>
        </w:numPr>
        <w:autoSpaceDE/>
        <w:autoSpaceDN/>
        <w:spacing w:line="520" w:lineRule="exact"/>
        <w:ind w:firstLineChars="200" w:firstLine="643"/>
        <w:rPr>
          <w:rFonts w:ascii="黑体" w:eastAsia="黑体" w:hAnsi="黑体" w:cs="黑体"/>
          <w:b/>
          <w:bCs/>
          <w:sz w:val="32"/>
          <w:szCs w:val="32"/>
          <w:lang w:val="en-US"/>
        </w:rPr>
      </w:pPr>
      <w:r>
        <w:rPr>
          <w:rFonts w:ascii="黑体" w:eastAsia="黑体" w:hAnsi="黑体" w:cs="黑体" w:hint="eastAsia"/>
          <w:b/>
          <w:bCs/>
          <w:sz w:val="32"/>
          <w:szCs w:val="32"/>
          <w:lang w:val="en-US"/>
        </w:rPr>
        <w:t>使用方向绩效目标情况</w:t>
      </w:r>
    </w:p>
    <w:p w:rsidR="00CB25E6" w:rsidRDefault="0063777D">
      <w:pPr>
        <w:autoSpaceDE/>
        <w:autoSpaceDN/>
        <w:spacing w:line="520" w:lineRule="exact"/>
        <w:ind w:firstLineChars="200" w:firstLine="640"/>
        <w:rPr>
          <w:rFonts w:cs="宋体"/>
          <w:sz w:val="32"/>
          <w:szCs w:val="32"/>
          <w:lang w:val="en-US"/>
        </w:rPr>
      </w:pPr>
      <w:r>
        <w:rPr>
          <w:rFonts w:cs="宋体" w:hint="eastAsia"/>
          <w:sz w:val="32"/>
          <w:szCs w:val="32"/>
        </w:rPr>
        <w:t>轩琪供应链服务及单元化载具循环共用建设项目</w:t>
      </w:r>
      <w:r>
        <w:rPr>
          <w:rFonts w:hint="eastAsia"/>
          <w:sz w:val="32"/>
          <w:szCs w:val="32"/>
          <w:lang w:val="en-US"/>
        </w:rPr>
        <w:t>的绩效目标主要是三个方面，一是企业的产业指标，占比50%，二是企业的效益指标，占比30%，三是企业的满意度指标，占比1</w:t>
      </w:r>
      <w:r>
        <w:rPr>
          <w:rFonts w:cs="宋体" w:hint="eastAsia"/>
          <w:sz w:val="32"/>
          <w:szCs w:val="32"/>
          <w:lang w:val="en-US"/>
        </w:rPr>
        <w:t>0%。具体绩效指标包括</w:t>
      </w:r>
      <w:r>
        <w:rPr>
          <w:rFonts w:cs="宋体" w:hint="eastAsia"/>
          <w:sz w:val="32"/>
          <w:szCs w:val="32"/>
        </w:rPr>
        <w:t>标准化托盘、相关模数周转筐、带板配送率、包装耗材损耗率、货损率、装卸时效率、装卸成本、综合物流成本、企业收入总额、物流货运总量、就业和企业满意度等。</w:t>
      </w:r>
    </w:p>
    <w:p w:rsidR="00CB25E6" w:rsidRDefault="0063777D">
      <w:pPr>
        <w:pStyle w:val="a3"/>
        <w:spacing w:line="520" w:lineRule="exact"/>
        <w:ind w:firstLineChars="200" w:firstLine="640"/>
        <w:rPr>
          <w:rFonts w:ascii="黑体" w:eastAsia="黑体"/>
        </w:rPr>
      </w:pPr>
      <w:r>
        <w:rPr>
          <w:rFonts w:ascii="黑体" w:eastAsia="黑体" w:hint="eastAsia"/>
        </w:rPr>
        <w:t>二、绩效评价工作开展情况</w:t>
      </w:r>
    </w:p>
    <w:p w:rsidR="00CB25E6" w:rsidRDefault="0063777D">
      <w:pPr>
        <w:autoSpaceDE/>
        <w:autoSpaceDN/>
        <w:spacing w:line="520" w:lineRule="exact"/>
        <w:ind w:leftChars="200" w:left="440"/>
        <w:rPr>
          <w:rFonts w:ascii="黑体" w:eastAsia="黑体" w:hAnsi="黑体" w:cs="黑体"/>
          <w:b/>
          <w:bCs/>
          <w:sz w:val="32"/>
          <w:szCs w:val="32"/>
          <w:lang w:val="en-US"/>
        </w:rPr>
      </w:pPr>
      <w:r>
        <w:rPr>
          <w:rFonts w:ascii="黑体" w:eastAsia="黑体" w:hAnsi="黑体" w:cs="黑体" w:hint="eastAsia"/>
          <w:b/>
          <w:bCs/>
          <w:sz w:val="32"/>
          <w:szCs w:val="32"/>
          <w:lang w:val="en-US"/>
        </w:rPr>
        <w:t>（一）目的、对象和范围</w:t>
      </w:r>
    </w:p>
    <w:p w:rsidR="00CB25E6" w:rsidRDefault="0063777D">
      <w:pPr>
        <w:pStyle w:val="a3"/>
        <w:spacing w:line="520" w:lineRule="exact"/>
        <w:ind w:firstLineChars="200" w:firstLine="640"/>
        <w:rPr>
          <w:lang w:val="en-US"/>
        </w:rPr>
      </w:pPr>
      <w:r>
        <w:rPr>
          <w:rFonts w:hint="eastAsia"/>
          <w:lang w:val="en-US"/>
        </w:rPr>
        <w:t>项目建设主要是推进我县实体经济降本增效和武陵山集中连片贫困地区脱贫攻坚，绩效考核评价以我县</w:t>
      </w:r>
      <w:r>
        <w:rPr>
          <w:rFonts w:cs="宋体" w:hint="eastAsia"/>
        </w:rPr>
        <w:t>轩琪供应链服务及单元化载具循环共用建设项目</w:t>
      </w:r>
      <w:r>
        <w:rPr>
          <w:rFonts w:hint="eastAsia"/>
          <w:lang w:val="en-US"/>
        </w:rPr>
        <w:t>为切入点，考核物流标准化水平提升和企业降本增效情况。</w:t>
      </w:r>
    </w:p>
    <w:p w:rsidR="00CB25E6" w:rsidRDefault="0063777D">
      <w:pPr>
        <w:pStyle w:val="a3"/>
        <w:spacing w:line="520" w:lineRule="exact"/>
        <w:ind w:firstLineChars="200" w:firstLine="643"/>
        <w:rPr>
          <w:rFonts w:ascii="黑体" w:eastAsia="黑体" w:hAnsi="黑体" w:cs="黑体"/>
          <w:b/>
          <w:bCs/>
          <w:lang w:val="en-US"/>
        </w:rPr>
      </w:pPr>
      <w:r>
        <w:rPr>
          <w:rFonts w:ascii="黑体" w:eastAsia="黑体" w:hAnsi="黑体" w:cs="黑体" w:hint="eastAsia"/>
          <w:b/>
          <w:bCs/>
          <w:lang w:val="en-US"/>
        </w:rPr>
        <w:lastRenderedPageBreak/>
        <w:t>（二）绩效评价原则、评价方法、评价标准</w:t>
      </w:r>
    </w:p>
    <w:p w:rsidR="00CB25E6" w:rsidRDefault="0063777D">
      <w:pPr>
        <w:pStyle w:val="a3"/>
        <w:spacing w:line="520" w:lineRule="exact"/>
        <w:ind w:right="588" w:firstLineChars="200" w:firstLine="640"/>
        <w:rPr>
          <w:lang w:val="en-US"/>
        </w:rPr>
      </w:pPr>
      <w:r>
        <w:rPr>
          <w:rFonts w:hint="eastAsia"/>
          <w:lang w:val="en-US"/>
        </w:rPr>
        <w:t>绩效评价坚持客观、公正、准确、全面的原则，商务会同财政按照《2019年省级专项资金绩效自评表》中绩效指标进行逐项评比，采取百分制打分的现场评价和企业自评相结合的方法，进行绩效评价。</w:t>
      </w:r>
    </w:p>
    <w:p w:rsidR="00CB25E6" w:rsidRDefault="0063777D">
      <w:pPr>
        <w:pStyle w:val="a3"/>
        <w:spacing w:line="520" w:lineRule="exact"/>
        <w:ind w:firstLineChars="200" w:firstLine="643"/>
        <w:rPr>
          <w:rFonts w:ascii="黑体" w:eastAsia="黑体" w:hAnsi="黑体" w:cs="黑体"/>
          <w:b/>
          <w:bCs/>
          <w:lang w:val="en-US"/>
        </w:rPr>
      </w:pPr>
      <w:r>
        <w:rPr>
          <w:rFonts w:ascii="黑体" w:eastAsia="黑体" w:hAnsi="黑体" w:cs="黑体" w:hint="eastAsia"/>
          <w:b/>
          <w:bCs/>
          <w:lang w:val="en-US"/>
        </w:rPr>
        <w:t>（三）绩效评价工作过程</w:t>
      </w:r>
    </w:p>
    <w:p w:rsidR="00CB25E6" w:rsidRDefault="0063777D">
      <w:pPr>
        <w:pStyle w:val="a3"/>
        <w:spacing w:line="520" w:lineRule="exact"/>
        <w:ind w:right="588" w:firstLineChars="200" w:firstLine="640"/>
        <w:rPr>
          <w:lang w:val="en-US"/>
        </w:rPr>
      </w:pPr>
      <w:r>
        <w:rPr>
          <w:rFonts w:hint="eastAsia"/>
          <w:lang w:val="en-US"/>
        </w:rPr>
        <w:t>4月23日-29日，我局组织人员对</w:t>
      </w:r>
      <w:r>
        <w:rPr>
          <w:rFonts w:cs="宋体" w:hint="eastAsia"/>
        </w:rPr>
        <w:t>轩琪供应链服务及单元化载具循环共用建设项目</w:t>
      </w:r>
      <w:r>
        <w:rPr>
          <w:rFonts w:hint="eastAsia"/>
          <w:lang w:val="en-US"/>
        </w:rPr>
        <w:t>建设情况进行了初步评价，通过公司自评、查阅资料、现场考察等方式开展了相关工作。</w:t>
      </w:r>
    </w:p>
    <w:p w:rsidR="00CB25E6" w:rsidRDefault="0063777D">
      <w:pPr>
        <w:pStyle w:val="a3"/>
        <w:spacing w:line="520" w:lineRule="exact"/>
        <w:ind w:firstLineChars="200" w:firstLine="643"/>
        <w:rPr>
          <w:rFonts w:ascii="黑体" w:eastAsia="黑体"/>
          <w:b/>
          <w:bCs/>
        </w:rPr>
      </w:pPr>
      <w:r>
        <w:rPr>
          <w:rFonts w:ascii="黑体" w:eastAsia="黑体" w:hint="eastAsia"/>
          <w:b/>
          <w:bCs/>
        </w:rPr>
        <w:t>三、综合评价情况及评价结论</w:t>
      </w:r>
    </w:p>
    <w:p w:rsidR="00CB25E6" w:rsidRDefault="0063777D">
      <w:pPr>
        <w:pStyle w:val="a3"/>
        <w:spacing w:line="520" w:lineRule="exact"/>
        <w:ind w:firstLineChars="200" w:firstLine="640"/>
        <w:rPr>
          <w:color w:val="000000"/>
          <w:lang w:val="en-US"/>
        </w:rPr>
      </w:pPr>
      <w:r>
        <w:rPr>
          <w:rFonts w:hint="eastAsia"/>
          <w:color w:val="000000"/>
          <w:lang w:val="en-US"/>
        </w:rPr>
        <w:t>项目建设推动了全县物流标准化水平的提升，从项目的经济性、效率性、有效性和可持续性等方面进行的综合验收情况看，该项目总体上达到了预期目标，</w:t>
      </w:r>
      <w:r>
        <w:rPr>
          <w:rFonts w:hint="eastAsia"/>
          <w:lang w:val="en-US"/>
        </w:rPr>
        <w:t>总体评分为93分</w:t>
      </w:r>
      <w:r>
        <w:rPr>
          <w:rFonts w:hint="eastAsia"/>
          <w:color w:val="000000"/>
          <w:lang w:val="en-US"/>
        </w:rPr>
        <w:t>。</w:t>
      </w:r>
    </w:p>
    <w:p w:rsidR="00CB25E6" w:rsidRDefault="0063777D">
      <w:pPr>
        <w:pStyle w:val="a3"/>
        <w:spacing w:line="520" w:lineRule="exact"/>
        <w:ind w:right="4733" w:firstLineChars="200" w:firstLine="643"/>
        <w:rPr>
          <w:rFonts w:ascii="黑体" w:eastAsia="黑体"/>
          <w:b/>
          <w:bCs/>
        </w:rPr>
      </w:pPr>
      <w:r>
        <w:rPr>
          <w:rFonts w:ascii="黑体" w:eastAsia="黑体" w:hint="eastAsia"/>
          <w:b/>
          <w:bCs/>
        </w:rPr>
        <w:t>四、绩效评价指标分析</w:t>
      </w:r>
    </w:p>
    <w:p w:rsidR="00CB25E6" w:rsidRDefault="0063777D">
      <w:pPr>
        <w:pStyle w:val="a3"/>
        <w:spacing w:line="520" w:lineRule="exact"/>
        <w:ind w:firstLineChars="200" w:firstLine="643"/>
        <w:rPr>
          <w:rFonts w:ascii="黑体" w:eastAsia="黑体" w:hAnsi="黑体" w:cs="黑体"/>
          <w:b/>
          <w:bCs/>
        </w:rPr>
      </w:pPr>
      <w:r>
        <w:rPr>
          <w:rFonts w:ascii="黑体" w:eastAsia="黑体" w:hAnsi="黑体" w:cs="黑体" w:hint="eastAsia"/>
          <w:b/>
          <w:bCs/>
        </w:rPr>
        <w:t>（一）决策情况</w:t>
      </w:r>
    </w:p>
    <w:p w:rsidR="00CB25E6" w:rsidRDefault="0063777D">
      <w:pPr>
        <w:spacing w:line="520" w:lineRule="exact"/>
        <w:ind w:firstLineChars="200" w:firstLine="640"/>
        <w:rPr>
          <w:kern w:val="2"/>
          <w:sz w:val="32"/>
          <w:szCs w:val="32"/>
          <w:lang w:val="en-US" w:bidi="ar-SA"/>
        </w:rPr>
      </w:pPr>
      <w:r>
        <w:rPr>
          <w:rFonts w:hint="eastAsia"/>
          <w:kern w:val="2"/>
          <w:sz w:val="32"/>
          <w:szCs w:val="32"/>
          <w:lang w:val="en-US" w:bidi="ar-SA"/>
        </w:rPr>
        <w:t>1.成立项目建设执行领导小组。项目建设执行领导小组组长由项目公司总经理周小辉担任，领导小组下设办公室，办公室抽调工程技术、网络技术、营销和财务等关联专业技术人员组成。领导小组负责建设项目的决策部署，办公室负责项目的具体工程建设落实和日常事务。</w:t>
      </w:r>
    </w:p>
    <w:p w:rsidR="00CB25E6" w:rsidRDefault="0063777D">
      <w:pPr>
        <w:spacing w:line="520" w:lineRule="exact"/>
        <w:ind w:firstLineChars="200" w:firstLine="640"/>
        <w:rPr>
          <w:kern w:val="2"/>
          <w:sz w:val="32"/>
          <w:szCs w:val="32"/>
          <w:lang w:val="en-US" w:bidi="ar-SA"/>
        </w:rPr>
      </w:pPr>
      <w:r>
        <w:rPr>
          <w:rFonts w:hint="eastAsia"/>
          <w:kern w:val="2"/>
          <w:sz w:val="32"/>
          <w:szCs w:val="32"/>
          <w:lang w:val="en-US" w:bidi="ar-SA"/>
        </w:rPr>
        <w:t>2.成立项目监督管理领导小组。项目监督管理领导小组组长由项目公司董事长聂海强担任，成员由董事组成，项目监督管理领导小组负责监控项目的实施和资金使用。</w:t>
      </w:r>
    </w:p>
    <w:p w:rsidR="00CB25E6" w:rsidRDefault="0063777D">
      <w:pPr>
        <w:pStyle w:val="a3"/>
        <w:spacing w:line="520" w:lineRule="exact"/>
        <w:ind w:firstLineChars="200" w:firstLine="643"/>
        <w:rPr>
          <w:b/>
          <w:bCs/>
        </w:rPr>
      </w:pPr>
      <w:r>
        <w:rPr>
          <w:rFonts w:ascii="黑体" w:eastAsia="黑体" w:hAnsi="黑体" w:cs="黑体" w:hint="eastAsia"/>
          <w:b/>
          <w:bCs/>
        </w:rPr>
        <w:t>（二）过程情况</w:t>
      </w:r>
    </w:p>
    <w:p w:rsidR="00CB25E6" w:rsidRDefault="0063777D">
      <w:pPr>
        <w:spacing w:line="520" w:lineRule="exact"/>
        <w:ind w:firstLine="640"/>
        <w:jc w:val="both"/>
        <w:rPr>
          <w:kern w:val="2"/>
          <w:sz w:val="32"/>
          <w:szCs w:val="32"/>
          <w:lang w:val="en-US" w:bidi="ar-SA"/>
        </w:rPr>
      </w:pPr>
      <w:r>
        <w:rPr>
          <w:rFonts w:hint="eastAsia"/>
          <w:kern w:val="2"/>
          <w:sz w:val="32"/>
          <w:szCs w:val="32"/>
          <w:lang w:val="en-US" w:bidi="ar-SA"/>
        </w:rPr>
        <w:t>1.资金管理。项目采取了以下资金管理措施：一是建立资本金筹集制度。二是建立储备借款制度。三是建立应急储备借款。四是积极争取财政等政策性资金支持。五是严格财政资金的管理相关规定和制度。</w:t>
      </w:r>
    </w:p>
    <w:p w:rsidR="00CB25E6" w:rsidRDefault="0063777D">
      <w:pPr>
        <w:spacing w:line="520" w:lineRule="exact"/>
        <w:ind w:firstLine="640"/>
        <w:jc w:val="both"/>
        <w:rPr>
          <w:kern w:val="2"/>
          <w:sz w:val="32"/>
          <w:szCs w:val="32"/>
          <w:lang w:val="en-US" w:bidi="ar-SA"/>
        </w:rPr>
      </w:pPr>
      <w:r>
        <w:rPr>
          <w:rFonts w:hint="eastAsia"/>
          <w:kern w:val="2"/>
          <w:sz w:val="32"/>
          <w:szCs w:val="32"/>
          <w:lang w:val="en-US" w:bidi="ar-SA"/>
        </w:rPr>
        <w:t>2.项目管理。将建立完善各项项目管理制度作为项目实施的保障措</w:t>
      </w:r>
      <w:r>
        <w:rPr>
          <w:rFonts w:hint="eastAsia"/>
          <w:kern w:val="2"/>
          <w:sz w:val="32"/>
          <w:szCs w:val="32"/>
          <w:lang w:val="en-US" w:bidi="ar-SA"/>
        </w:rPr>
        <w:lastRenderedPageBreak/>
        <w:t>施之一，在项目执行各项立项制度、工程招投标制度、工程施工合同制度的基础上，严格财政资金的管理相关规定和制度，实现财政报账制和工程监理制。建立质量监督保证体系和项目档案管理规范。落实质量管理措施，执行工程质量管理制度。通过制度建设和加强</w:t>
      </w:r>
      <w:r>
        <w:rPr>
          <w:color w:val="000000"/>
          <w:sz w:val="32"/>
          <w:szCs w:val="32"/>
          <w:lang w:val="en-US"/>
        </w:rPr>
        <w:t>日</w:t>
      </w:r>
      <w:r>
        <w:rPr>
          <w:rFonts w:hint="eastAsia"/>
          <w:color w:val="000000"/>
          <w:sz w:val="32"/>
          <w:szCs w:val="32"/>
          <w:lang w:val="en-US"/>
        </w:rPr>
        <w:t>常检查监督管理，</w:t>
      </w:r>
      <w:r>
        <w:rPr>
          <w:rFonts w:hint="eastAsia"/>
          <w:kern w:val="2"/>
          <w:sz w:val="32"/>
          <w:szCs w:val="32"/>
          <w:lang w:val="en-US" w:bidi="ar-SA"/>
        </w:rPr>
        <w:t>使参与实施和管理的人员，各尽其能，各负其责。</w:t>
      </w:r>
    </w:p>
    <w:p w:rsidR="00CB25E6" w:rsidRDefault="0063777D">
      <w:pPr>
        <w:widowControl/>
        <w:spacing w:line="520" w:lineRule="exact"/>
        <w:ind w:firstLineChars="200" w:firstLine="643"/>
        <w:rPr>
          <w:rFonts w:ascii="黑体" w:eastAsia="黑体" w:hAnsi="黑体" w:cs="黑体"/>
          <w:b/>
          <w:bCs/>
          <w:kern w:val="2"/>
          <w:sz w:val="32"/>
          <w:szCs w:val="32"/>
          <w:lang w:val="en-US" w:bidi="ar-SA"/>
        </w:rPr>
      </w:pPr>
      <w:r>
        <w:rPr>
          <w:rFonts w:ascii="黑体" w:eastAsia="黑体" w:hAnsi="黑体" w:cs="黑体" w:hint="eastAsia"/>
          <w:b/>
          <w:bCs/>
          <w:kern w:val="2"/>
          <w:sz w:val="32"/>
          <w:szCs w:val="32"/>
          <w:lang w:val="en-US" w:bidi="ar-SA"/>
        </w:rPr>
        <w:t>（三）产出情况</w:t>
      </w:r>
    </w:p>
    <w:p w:rsidR="00CB25E6" w:rsidRDefault="0063777D">
      <w:pPr>
        <w:autoSpaceDE/>
        <w:autoSpaceDN/>
        <w:spacing w:line="520" w:lineRule="exact"/>
        <w:ind w:firstLineChars="200" w:firstLine="640"/>
        <w:jc w:val="both"/>
        <w:rPr>
          <w:sz w:val="32"/>
          <w:szCs w:val="32"/>
          <w:lang w:val="en-US"/>
        </w:rPr>
      </w:pPr>
      <w:r>
        <w:rPr>
          <w:rFonts w:cs="宋体" w:hint="eastAsia"/>
          <w:sz w:val="32"/>
          <w:szCs w:val="32"/>
        </w:rPr>
        <w:t>项目实施</w:t>
      </w:r>
      <w:r>
        <w:rPr>
          <w:rFonts w:hint="eastAsia"/>
          <w:sz w:val="32"/>
          <w:szCs w:val="32"/>
          <w:shd w:val="clear" w:color="auto" w:fill="FFFFFF"/>
        </w:rPr>
        <w:t>后，</w:t>
      </w:r>
      <w:r>
        <w:rPr>
          <w:rFonts w:hint="eastAsia"/>
          <w:sz w:val="32"/>
          <w:szCs w:val="32"/>
          <w:lang w:val="en-US"/>
        </w:rPr>
        <w:t>带板运输率提高15%左右，物流成本下降7%，</w:t>
      </w:r>
      <w:r>
        <w:rPr>
          <w:rFonts w:hint="eastAsia"/>
          <w:sz w:val="32"/>
          <w:szCs w:val="32"/>
          <w:shd w:val="clear" w:color="auto" w:fill="FFFFFF"/>
          <w:lang w:val="en-US"/>
        </w:rPr>
        <w:t>包装耗材降低8%，</w:t>
      </w:r>
      <w:r>
        <w:rPr>
          <w:rFonts w:hint="eastAsia"/>
          <w:sz w:val="32"/>
          <w:szCs w:val="32"/>
          <w:lang w:val="en-US"/>
        </w:rPr>
        <w:t>货损率下降50%，装卸成本下降47%；车辆运输效率提高50%，装卸时效提高3倍，企业产出成效较显著。</w:t>
      </w:r>
    </w:p>
    <w:p w:rsidR="00CB25E6" w:rsidRDefault="0063777D" w:rsidP="00062B58">
      <w:pPr>
        <w:pStyle w:val="a3"/>
        <w:spacing w:line="520" w:lineRule="exact"/>
        <w:ind w:firstLineChars="200" w:firstLine="613"/>
        <w:rPr>
          <w:rFonts w:ascii="黑体" w:eastAsia="黑体" w:hAnsi="黑体" w:cs="黑体"/>
          <w:b/>
          <w:bCs/>
        </w:rPr>
      </w:pPr>
      <w:r>
        <w:rPr>
          <w:rFonts w:ascii="黑体" w:eastAsia="黑体" w:hAnsi="黑体" w:cs="黑体" w:hint="eastAsia"/>
          <w:b/>
          <w:bCs/>
          <w:w w:val="95"/>
        </w:rPr>
        <w:t>（四）效益情况</w:t>
      </w:r>
    </w:p>
    <w:p w:rsidR="00CB25E6" w:rsidRDefault="0063777D">
      <w:pPr>
        <w:spacing w:line="520" w:lineRule="exact"/>
        <w:ind w:firstLine="640"/>
        <w:jc w:val="both"/>
        <w:rPr>
          <w:kern w:val="2"/>
          <w:sz w:val="32"/>
          <w:szCs w:val="32"/>
          <w:lang w:val="en-US" w:bidi="ar-SA"/>
        </w:rPr>
      </w:pPr>
      <w:r>
        <w:rPr>
          <w:rFonts w:hint="eastAsia"/>
          <w:kern w:val="2"/>
          <w:sz w:val="32"/>
          <w:szCs w:val="32"/>
          <w:lang w:val="en-US" w:bidi="ar-SA"/>
        </w:rPr>
        <w:t>项目实施后，企业营业收入增加了100万元，物流收入增加了80万元，带动人员就业等社会效益较明显。</w:t>
      </w:r>
    </w:p>
    <w:p w:rsidR="00CB25E6" w:rsidRDefault="0063777D">
      <w:pPr>
        <w:pStyle w:val="a3"/>
        <w:spacing w:line="520" w:lineRule="exact"/>
        <w:ind w:firstLineChars="200" w:firstLine="643"/>
        <w:rPr>
          <w:rFonts w:ascii="黑体" w:eastAsia="黑体"/>
          <w:b/>
          <w:bCs/>
        </w:rPr>
      </w:pPr>
      <w:r>
        <w:rPr>
          <w:rFonts w:ascii="黑体" w:eastAsia="黑体" w:hint="eastAsia"/>
          <w:b/>
          <w:bCs/>
        </w:rPr>
        <w:t>五、主要经验与存在问题</w:t>
      </w:r>
    </w:p>
    <w:p w:rsidR="00CB25E6" w:rsidRDefault="0063777D">
      <w:pPr>
        <w:pStyle w:val="a3"/>
        <w:spacing w:line="520" w:lineRule="exact"/>
        <w:ind w:firstLineChars="200" w:firstLine="643"/>
        <w:rPr>
          <w:rFonts w:ascii="黑体" w:eastAsia="黑体"/>
          <w:b/>
          <w:bCs/>
        </w:rPr>
      </w:pPr>
      <w:r>
        <w:rPr>
          <w:rFonts w:ascii="黑体" w:eastAsia="黑体" w:hint="eastAsia"/>
          <w:b/>
          <w:bCs/>
        </w:rPr>
        <w:t>（一）主要经验</w:t>
      </w:r>
    </w:p>
    <w:p w:rsidR="00CB25E6" w:rsidRDefault="0063777D">
      <w:pPr>
        <w:spacing w:line="520" w:lineRule="exact"/>
        <w:ind w:firstLineChars="200" w:firstLine="640"/>
        <w:jc w:val="both"/>
        <w:rPr>
          <w:sz w:val="32"/>
          <w:szCs w:val="32"/>
          <w:lang w:val="en-US"/>
        </w:rPr>
      </w:pPr>
      <w:r>
        <w:rPr>
          <w:rFonts w:hint="eastAsia"/>
          <w:sz w:val="32"/>
          <w:szCs w:val="32"/>
          <w:shd w:val="clear" w:color="auto" w:fill="FFFFFF"/>
        </w:rPr>
        <w:t>一是围绕供应链推广物流标准化。项目围绕“米袋子”和“菜篮子”等供应链开展建设，通过“带尾板物流车</w:t>
      </w:r>
      <w:r>
        <w:rPr>
          <w:rFonts w:hint="eastAsia"/>
          <w:sz w:val="32"/>
          <w:szCs w:val="32"/>
          <w:shd w:val="clear" w:color="auto" w:fill="FFFFFF"/>
          <w:lang w:val="en-US"/>
        </w:rPr>
        <w:t>+单元化物流</w:t>
      </w:r>
      <w:r>
        <w:rPr>
          <w:rFonts w:hint="eastAsia"/>
          <w:sz w:val="32"/>
          <w:szCs w:val="32"/>
          <w:shd w:val="clear" w:color="auto" w:fill="FFFFFF"/>
        </w:rPr>
        <w:t>”带托运输模式提高物流效率，</w:t>
      </w:r>
      <w:r>
        <w:rPr>
          <w:rFonts w:hint="eastAsia"/>
          <w:sz w:val="32"/>
          <w:szCs w:val="32"/>
          <w:shd w:val="clear" w:color="auto" w:fill="FFFFFF"/>
          <w:lang w:val="en-US"/>
        </w:rPr>
        <w:t>积极</w:t>
      </w:r>
      <w:r>
        <w:rPr>
          <w:rFonts w:hint="eastAsia"/>
          <w:sz w:val="32"/>
          <w:szCs w:val="32"/>
          <w:shd w:val="clear" w:color="auto" w:fill="FFFFFF"/>
        </w:rPr>
        <w:t>推广标准化、单元化、机械化、智能化作业，全程实现“不倒盘、不倒筐”，平均装卸时间减少了80%，平均物流效率提高了54%，以可见的降本增效带动关联企业和社会其他企业积极参与标准化工作。二是积极推广物流标准化在农产品冷链领域的应用，通过提高物流效率降低物流成本，推进“山货出山”、“鲜活保鲜”，有效延长农产品在时间上和空间上的产业链条。</w:t>
      </w:r>
    </w:p>
    <w:p w:rsidR="00CB25E6" w:rsidRDefault="0063777D">
      <w:pPr>
        <w:autoSpaceDE/>
        <w:autoSpaceDN/>
        <w:spacing w:line="520" w:lineRule="exact"/>
        <w:ind w:firstLineChars="200" w:firstLine="643"/>
        <w:rPr>
          <w:rFonts w:ascii="黑体" w:eastAsia="黑体" w:hAnsi="黑体" w:cs="黑体"/>
          <w:b/>
          <w:bCs/>
          <w:kern w:val="1"/>
          <w:sz w:val="32"/>
          <w:szCs w:val="32"/>
        </w:rPr>
      </w:pPr>
      <w:r>
        <w:rPr>
          <w:rFonts w:ascii="黑体" w:eastAsia="黑体" w:hAnsi="黑体" w:cs="黑体" w:hint="eastAsia"/>
          <w:b/>
          <w:bCs/>
          <w:kern w:val="1"/>
          <w:sz w:val="32"/>
          <w:szCs w:val="32"/>
        </w:rPr>
        <w:t>（二）存在问题</w:t>
      </w:r>
    </w:p>
    <w:p w:rsidR="00CB25E6" w:rsidRDefault="0063777D">
      <w:pPr>
        <w:pStyle w:val="a8"/>
        <w:spacing w:beforeLines="0" w:afterLines="0" w:line="520" w:lineRule="exact"/>
        <w:ind w:firstLineChars="200" w:firstLine="640"/>
        <w:rPr>
          <w:rFonts w:ascii="仿宋" w:eastAsia="仿宋" w:hAnsi="仿宋" w:cs="仿宋"/>
          <w:kern w:val="2"/>
          <w:sz w:val="32"/>
          <w:szCs w:val="32"/>
        </w:rPr>
      </w:pPr>
      <w:r>
        <w:rPr>
          <w:rFonts w:ascii="仿宋" w:eastAsia="仿宋" w:hAnsi="仿宋" w:cs="仿宋" w:hint="eastAsia"/>
          <w:kern w:val="2"/>
          <w:sz w:val="32"/>
          <w:szCs w:val="32"/>
          <w:lang w:val="zh-CN"/>
        </w:rPr>
        <w:t>托盘租赁市场发育不完善。</w:t>
      </w:r>
      <w:r>
        <w:rPr>
          <w:rFonts w:ascii="仿宋" w:eastAsia="仿宋" w:hAnsi="仿宋" w:cs="仿宋" w:hint="eastAsia"/>
          <w:kern w:val="2"/>
          <w:sz w:val="32"/>
          <w:szCs w:val="32"/>
        </w:rPr>
        <w:t>在托盘与周转箱租赁方面，我县的租赁市场发育尚不完善，很多企业倾向于自购资产的思维惯性，认为“租不</w:t>
      </w:r>
      <w:r>
        <w:rPr>
          <w:rFonts w:ascii="仿宋" w:eastAsia="仿宋" w:hAnsi="仿宋" w:cs="仿宋" w:hint="eastAsia"/>
          <w:kern w:val="2"/>
          <w:sz w:val="32"/>
          <w:szCs w:val="32"/>
        </w:rPr>
        <w:lastRenderedPageBreak/>
        <w:t xml:space="preserve">如买”。 </w:t>
      </w:r>
      <w:r>
        <w:rPr>
          <w:rFonts w:ascii="仿宋" w:eastAsia="仿宋" w:hAnsi="仿宋" w:cs="仿宋" w:hint="eastAsia"/>
          <w:kern w:val="2"/>
          <w:sz w:val="32"/>
          <w:szCs w:val="32"/>
          <w:lang w:val="zh-CN"/>
        </w:rPr>
        <w:t>标准化试点时间短，</w:t>
      </w:r>
      <w:r>
        <w:rPr>
          <w:rFonts w:ascii="仿宋" w:eastAsia="仿宋" w:hAnsi="仿宋" w:cs="仿宋" w:hint="eastAsia"/>
          <w:kern w:val="2"/>
          <w:sz w:val="32"/>
          <w:szCs w:val="32"/>
        </w:rPr>
        <w:t>物流标准化市场机制无法形成，试点成果尚未巩固。托盘循环共用体系尚未形成，造成带托运输返回困难。</w:t>
      </w:r>
    </w:p>
    <w:p w:rsidR="00CB25E6" w:rsidRDefault="0063777D">
      <w:pPr>
        <w:autoSpaceDE/>
        <w:autoSpaceDN/>
        <w:spacing w:line="520" w:lineRule="exact"/>
        <w:ind w:firstLineChars="200" w:firstLine="643"/>
        <w:rPr>
          <w:rFonts w:ascii="黑体" w:eastAsia="黑体" w:hAnsi="黑体" w:cs="黑体"/>
          <w:b/>
          <w:bCs/>
          <w:sz w:val="32"/>
          <w:szCs w:val="32"/>
          <w:shd w:val="clear" w:color="auto" w:fill="FFFFFF"/>
        </w:rPr>
      </w:pPr>
      <w:r>
        <w:rPr>
          <w:rFonts w:ascii="黑体" w:eastAsia="黑体" w:hAnsi="黑体" w:cs="黑体" w:hint="eastAsia"/>
          <w:b/>
          <w:bCs/>
          <w:sz w:val="32"/>
          <w:szCs w:val="32"/>
          <w:shd w:val="clear" w:color="auto" w:fill="FFFFFF"/>
        </w:rPr>
        <w:t>六、建议</w:t>
      </w:r>
    </w:p>
    <w:p w:rsidR="00CB25E6" w:rsidRDefault="0063777D">
      <w:pPr>
        <w:autoSpaceDE/>
        <w:autoSpaceDN/>
        <w:spacing w:line="520" w:lineRule="exact"/>
        <w:ind w:firstLineChars="200" w:firstLine="643"/>
        <w:rPr>
          <w:rFonts w:ascii="黑体" w:eastAsia="黑体" w:hAnsi="Times New Roman"/>
          <w:sz w:val="32"/>
          <w:szCs w:val="32"/>
        </w:rPr>
      </w:pPr>
      <w:r>
        <w:rPr>
          <w:rFonts w:ascii="黑体" w:eastAsia="黑体" w:hAnsi="黑体" w:cs="黑体" w:hint="eastAsia"/>
          <w:b/>
          <w:bCs/>
          <w:sz w:val="32"/>
          <w:szCs w:val="32"/>
          <w:shd w:val="clear" w:color="auto" w:fill="FFFFFF"/>
        </w:rPr>
        <w:t>（一）坚持标准引领，建立长效机制</w:t>
      </w:r>
    </w:p>
    <w:p w:rsidR="00CB25E6" w:rsidRDefault="0063777D">
      <w:pPr>
        <w:autoSpaceDE/>
        <w:autoSpaceDN/>
        <w:spacing w:line="520" w:lineRule="exact"/>
        <w:ind w:firstLine="560"/>
        <w:rPr>
          <w:spacing w:val="-11"/>
          <w:sz w:val="32"/>
          <w:szCs w:val="32"/>
        </w:rPr>
      </w:pPr>
      <w:r>
        <w:rPr>
          <w:rFonts w:hint="eastAsia"/>
          <w:spacing w:val="-10"/>
          <w:sz w:val="32"/>
          <w:szCs w:val="32"/>
        </w:rPr>
        <w:t>建议加强省级</w:t>
      </w:r>
      <w:r>
        <w:rPr>
          <w:rFonts w:hint="eastAsia"/>
          <w:spacing w:val="-3"/>
          <w:sz w:val="32"/>
          <w:szCs w:val="32"/>
        </w:rPr>
        <w:t>层面总体设计，从</w:t>
      </w:r>
      <w:r>
        <w:rPr>
          <w:rFonts w:hint="eastAsia"/>
          <w:spacing w:val="-11"/>
          <w:sz w:val="32"/>
          <w:szCs w:val="32"/>
        </w:rPr>
        <w:t>配套政策、资金扶持等方面建立物流标准化长效运行机制。</w:t>
      </w:r>
    </w:p>
    <w:p w:rsidR="00CB25E6" w:rsidRDefault="0063777D">
      <w:pPr>
        <w:autoSpaceDE/>
        <w:autoSpaceDN/>
        <w:spacing w:line="520" w:lineRule="exact"/>
        <w:ind w:firstLineChars="200" w:firstLine="643"/>
        <w:rPr>
          <w:b/>
          <w:sz w:val="32"/>
          <w:szCs w:val="32"/>
        </w:rPr>
      </w:pPr>
      <w:r>
        <w:rPr>
          <w:rFonts w:ascii="黑体" w:eastAsia="黑体" w:hAnsi="黑体" w:cs="黑体" w:hint="eastAsia"/>
          <w:b/>
          <w:sz w:val="32"/>
          <w:szCs w:val="32"/>
        </w:rPr>
        <w:t>（二）政策向贫困地区倾斜</w:t>
      </w:r>
    </w:p>
    <w:p w:rsidR="00CB25E6" w:rsidRDefault="0063777D">
      <w:pPr>
        <w:autoSpaceDE/>
        <w:autoSpaceDN/>
        <w:spacing w:line="520" w:lineRule="exact"/>
        <w:ind w:firstLineChars="200" w:firstLine="640"/>
        <w:rPr>
          <w:kern w:val="2"/>
          <w:sz w:val="32"/>
          <w:szCs w:val="32"/>
          <w:lang w:bidi="ar-SA"/>
        </w:rPr>
      </w:pPr>
      <w:r>
        <w:rPr>
          <w:rFonts w:hint="eastAsia"/>
          <w:kern w:val="2"/>
          <w:sz w:val="32"/>
          <w:szCs w:val="32"/>
          <w:lang w:val="en-US" w:bidi="ar-SA"/>
        </w:rPr>
        <w:t>助力“山货出山”是武陵山片区农民脱贫致富和企业降本增效重要抓手，也是怀化精准扶贫的践行工程，建议省财政、商务部门制定政策标准时，向贫困地区倾斜。</w:t>
      </w:r>
    </w:p>
    <w:p w:rsidR="00CB25E6" w:rsidRDefault="00CB25E6">
      <w:pPr>
        <w:pStyle w:val="a3"/>
        <w:ind w:firstLineChars="200" w:firstLine="640"/>
      </w:pPr>
    </w:p>
    <w:p w:rsidR="00CB25E6" w:rsidRDefault="00CB25E6">
      <w:pPr>
        <w:pStyle w:val="a3"/>
        <w:ind w:firstLineChars="200" w:firstLine="640"/>
      </w:pPr>
    </w:p>
    <w:p w:rsidR="00CB25E6" w:rsidRDefault="00CB25E6">
      <w:pPr>
        <w:widowControl/>
        <w:ind w:firstLineChars="300" w:firstLine="1320"/>
        <w:jc w:val="both"/>
        <w:rPr>
          <w:rFonts w:eastAsia="方正小标宋简体"/>
          <w:color w:val="000000"/>
          <w:sz w:val="44"/>
          <w:szCs w:val="44"/>
        </w:rPr>
      </w:pPr>
    </w:p>
    <w:p w:rsidR="00CB25E6" w:rsidRDefault="00CB25E6">
      <w:pPr>
        <w:widowControl/>
        <w:ind w:firstLineChars="300" w:firstLine="1320"/>
        <w:jc w:val="both"/>
        <w:rPr>
          <w:rFonts w:eastAsia="方正小标宋简体"/>
          <w:color w:val="000000"/>
          <w:sz w:val="44"/>
          <w:szCs w:val="44"/>
        </w:rPr>
      </w:pPr>
    </w:p>
    <w:p w:rsidR="00CB25E6" w:rsidRDefault="00CB25E6">
      <w:pPr>
        <w:widowControl/>
        <w:ind w:firstLineChars="300" w:firstLine="1320"/>
        <w:jc w:val="both"/>
        <w:rPr>
          <w:rFonts w:eastAsia="方正小标宋简体"/>
          <w:color w:val="000000"/>
          <w:sz w:val="44"/>
          <w:szCs w:val="44"/>
        </w:rPr>
      </w:pPr>
    </w:p>
    <w:p w:rsidR="00CB25E6" w:rsidRDefault="00CB25E6">
      <w:pPr>
        <w:widowControl/>
        <w:ind w:firstLineChars="300" w:firstLine="1320"/>
        <w:jc w:val="both"/>
        <w:rPr>
          <w:rFonts w:eastAsia="方正小标宋简体"/>
          <w:color w:val="000000"/>
          <w:sz w:val="44"/>
          <w:szCs w:val="44"/>
        </w:rPr>
      </w:pPr>
    </w:p>
    <w:p w:rsidR="00CB25E6" w:rsidRDefault="00CB25E6">
      <w:pPr>
        <w:widowControl/>
        <w:ind w:firstLineChars="300" w:firstLine="1320"/>
        <w:jc w:val="both"/>
        <w:rPr>
          <w:rFonts w:eastAsia="方正小标宋简体"/>
          <w:color w:val="000000"/>
          <w:sz w:val="44"/>
          <w:szCs w:val="44"/>
        </w:rPr>
      </w:pPr>
    </w:p>
    <w:p w:rsidR="00CB25E6" w:rsidRDefault="00CB25E6">
      <w:pPr>
        <w:widowControl/>
        <w:ind w:firstLineChars="300" w:firstLine="1320"/>
        <w:jc w:val="both"/>
        <w:rPr>
          <w:rFonts w:eastAsia="方正小标宋简体"/>
          <w:color w:val="000000"/>
          <w:sz w:val="44"/>
          <w:szCs w:val="44"/>
        </w:rPr>
      </w:pPr>
    </w:p>
    <w:p w:rsidR="00CB25E6" w:rsidRDefault="00CB25E6">
      <w:pPr>
        <w:widowControl/>
        <w:ind w:firstLineChars="300" w:firstLine="1320"/>
        <w:jc w:val="both"/>
        <w:rPr>
          <w:rFonts w:eastAsia="方正小标宋简体"/>
          <w:color w:val="000000"/>
          <w:sz w:val="44"/>
          <w:szCs w:val="44"/>
        </w:rPr>
      </w:pPr>
    </w:p>
    <w:p w:rsidR="00CB25E6" w:rsidRDefault="00CB25E6">
      <w:pPr>
        <w:widowControl/>
        <w:ind w:firstLineChars="300" w:firstLine="1320"/>
        <w:jc w:val="both"/>
        <w:rPr>
          <w:rFonts w:eastAsia="方正小标宋简体"/>
          <w:color w:val="000000"/>
          <w:sz w:val="44"/>
          <w:szCs w:val="44"/>
        </w:rPr>
      </w:pPr>
    </w:p>
    <w:p w:rsidR="00CB25E6" w:rsidRDefault="00CB25E6">
      <w:pPr>
        <w:widowControl/>
        <w:ind w:firstLineChars="300" w:firstLine="1320"/>
        <w:jc w:val="both"/>
        <w:rPr>
          <w:rFonts w:eastAsia="方正小标宋简体"/>
          <w:color w:val="000000"/>
          <w:sz w:val="44"/>
          <w:szCs w:val="44"/>
        </w:rPr>
      </w:pPr>
    </w:p>
    <w:p w:rsidR="00CB25E6" w:rsidRDefault="00CB25E6">
      <w:pPr>
        <w:widowControl/>
        <w:ind w:firstLineChars="300" w:firstLine="1320"/>
        <w:jc w:val="both"/>
        <w:rPr>
          <w:rFonts w:eastAsia="方正小标宋简体"/>
          <w:color w:val="000000"/>
          <w:sz w:val="44"/>
          <w:szCs w:val="44"/>
        </w:rPr>
      </w:pPr>
    </w:p>
    <w:p w:rsidR="00CB25E6" w:rsidRDefault="00CB25E6">
      <w:pPr>
        <w:widowControl/>
        <w:ind w:firstLineChars="300" w:firstLine="1320"/>
        <w:jc w:val="both"/>
        <w:rPr>
          <w:rFonts w:eastAsia="方正小标宋简体"/>
          <w:color w:val="000000"/>
          <w:sz w:val="44"/>
          <w:szCs w:val="44"/>
        </w:rPr>
      </w:pPr>
    </w:p>
    <w:p w:rsidR="00CB25E6" w:rsidRDefault="00CB25E6">
      <w:pPr>
        <w:widowControl/>
        <w:ind w:firstLineChars="300" w:firstLine="1320"/>
        <w:jc w:val="both"/>
        <w:rPr>
          <w:rFonts w:eastAsia="方正小标宋简体"/>
          <w:color w:val="000000"/>
          <w:sz w:val="44"/>
          <w:szCs w:val="44"/>
        </w:rPr>
      </w:pPr>
    </w:p>
    <w:p w:rsidR="00CB25E6" w:rsidRDefault="00CB25E6">
      <w:pPr>
        <w:spacing w:line="400" w:lineRule="exact"/>
        <w:rPr>
          <w:rFonts w:ascii="Times New Roman" w:eastAsia="仿宋_GB2312" w:hAnsi="Times New Roman"/>
          <w:bCs/>
          <w:color w:val="000000"/>
          <w:sz w:val="32"/>
          <w:szCs w:val="32"/>
        </w:rPr>
      </w:pPr>
    </w:p>
    <w:p w:rsidR="00CB25E6" w:rsidRDefault="00CB25E6">
      <w:pPr>
        <w:spacing w:line="400" w:lineRule="exact"/>
        <w:rPr>
          <w:rFonts w:ascii="Times New Roman" w:eastAsia="仿宋_GB2312" w:hAnsi="Times New Roman"/>
          <w:bCs/>
          <w:color w:val="000000"/>
          <w:sz w:val="32"/>
          <w:szCs w:val="32"/>
        </w:rPr>
      </w:pPr>
    </w:p>
    <w:p w:rsidR="00CB25E6" w:rsidRDefault="0063777D">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9080" w:type="dxa"/>
        <w:jc w:val="center"/>
        <w:tblLayout w:type="fixed"/>
        <w:tblLook w:val="04A0"/>
      </w:tblPr>
      <w:tblGrid>
        <w:gridCol w:w="9080"/>
      </w:tblGrid>
      <w:tr w:rsidR="00CB25E6">
        <w:trPr>
          <w:trHeight w:hRule="exact" w:val="349"/>
          <w:jc w:val="center"/>
        </w:trPr>
        <w:tc>
          <w:tcPr>
            <w:tcW w:w="9080" w:type="dxa"/>
            <w:tcBorders>
              <w:top w:val="nil"/>
              <w:left w:val="nil"/>
              <w:bottom w:val="nil"/>
              <w:right w:val="nil"/>
            </w:tcBorders>
            <w:vAlign w:val="center"/>
          </w:tcPr>
          <w:p w:rsidR="00CB25E6" w:rsidRDefault="0063777D">
            <w:pPr>
              <w:widowControl/>
              <w:spacing w:line="320" w:lineRule="exact"/>
              <w:jc w:val="center"/>
              <w:rPr>
                <w:rFonts w:ascii="Times New Roman" w:hAnsi="Times New Roman"/>
                <w:b/>
                <w:bCs/>
                <w:sz w:val="32"/>
                <w:szCs w:val="32"/>
              </w:rPr>
            </w:pPr>
            <w:r>
              <w:rPr>
                <w:rFonts w:ascii="Times New Roman" w:hAnsi="Times New Roman"/>
                <w:b/>
                <w:bCs/>
                <w:sz w:val="32"/>
                <w:szCs w:val="32"/>
              </w:rPr>
              <w:t>项目支出绩效自评表</w:t>
            </w:r>
          </w:p>
        </w:tc>
      </w:tr>
      <w:tr w:rsidR="00CB25E6">
        <w:trPr>
          <w:trHeight w:val="201"/>
          <w:jc w:val="center"/>
        </w:trPr>
        <w:tc>
          <w:tcPr>
            <w:tcW w:w="9080" w:type="dxa"/>
            <w:tcBorders>
              <w:top w:val="nil"/>
              <w:left w:val="nil"/>
              <w:bottom w:val="nil"/>
              <w:right w:val="nil"/>
            </w:tcBorders>
          </w:tcPr>
          <w:p w:rsidR="00CB25E6" w:rsidRDefault="0063777D">
            <w:pPr>
              <w:widowControl/>
              <w:jc w:val="center"/>
              <w:rPr>
                <w:rFonts w:ascii="Times New Roman" w:hAnsi="Times New Roman"/>
              </w:rPr>
            </w:pPr>
            <w:r>
              <w:rPr>
                <w:rFonts w:ascii="Times New Roman" w:hAnsi="Times New Roman"/>
              </w:rPr>
              <w:t>（</w:t>
            </w:r>
            <w:r>
              <w:rPr>
                <w:rFonts w:ascii="Times New Roman" w:hAnsi="Times New Roman" w:hint="eastAsia"/>
              </w:rPr>
              <w:t>2020</w:t>
            </w:r>
            <w:r>
              <w:rPr>
                <w:rFonts w:ascii="Times New Roman" w:hAnsi="Times New Roman"/>
              </w:rPr>
              <w:t>年度）</w:t>
            </w:r>
          </w:p>
        </w:tc>
      </w:tr>
    </w:tbl>
    <w:p w:rsidR="00CB25E6" w:rsidRDefault="00CB25E6">
      <w:pPr>
        <w:widowControl/>
        <w:jc w:val="both"/>
        <w:rPr>
          <w:rFonts w:eastAsia="方正小标宋简体"/>
          <w:color w:val="000000"/>
          <w:sz w:val="44"/>
          <w:szCs w:val="44"/>
        </w:rPr>
      </w:pPr>
    </w:p>
    <w:tbl>
      <w:tblPr>
        <w:tblW w:w="9749" w:type="dxa"/>
        <w:jc w:val="center"/>
        <w:tblLook w:val="04A0"/>
      </w:tblPr>
      <w:tblGrid>
        <w:gridCol w:w="1080"/>
        <w:gridCol w:w="1080"/>
        <w:gridCol w:w="861"/>
        <w:gridCol w:w="1559"/>
        <w:gridCol w:w="1296"/>
        <w:gridCol w:w="1105"/>
        <w:gridCol w:w="596"/>
        <w:gridCol w:w="986"/>
        <w:gridCol w:w="1186"/>
      </w:tblGrid>
      <w:tr w:rsidR="00CB25E6">
        <w:trPr>
          <w:jc w:val="center"/>
        </w:trPr>
        <w:tc>
          <w:tcPr>
            <w:tcW w:w="1080" w:type="dxa"/>
            <w:tcBorders>
              <w:top w:val="single" w:sz="4" w:space="0" w:color="auto"/>
              <w:left w:val="single" w:sz="4" w:space="0" w:color="auto"/>
              <w:bottom w:val="single" w:sz="4" w:space="0" w:color="auto"/>
              <w:right w:val="single" w:sz="4" w:space="0" w:color="auto"/>
            </w:tcBorders>
            <w:noWrap/>
            <w:vAlign w:val="center"/>
          </w:tcPr>
          <w:p w:rsidR="00CB25E6" w:rsidRDefault="0063777D">
            <w:pPr>
              <w:widowControl/>
              <w:spacing w:line="26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项目支</w:t>
            </w:r>
          </w:p>
          <w:p w:rsidR="00CB25E6" w:rsidRDefault="0063777D">
            <w:pPr>
              <w:widowControl/>
              <w:spacing w:line="26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出名称</w:t>
            </w:r>
          </w:p>
        </w:tc>
        <w:tc>
          <w:tcPr>
            <w:tcW w:w="8669" w:type="dxa"/>
            <w:gridSpan w:val="8"/>
            <w:tcBorders>
              <w:top w:val="single" w:sz="4" w:space="0" w:color="auto"/>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lang w:val="en-US"/>
              </w:rPr>
              <w:t>2019年度商贸通载体建设资金</w:t>
            </w:r>
          </w:p>
        </w:tc>
      </w:tr>
      <w:tr w:rsidR="00CB25E6">
        <w:trPr>
          <w:jc w:val="center"/>
        </w:trPr>
        <w:tc>
          <w:tcPr>
            <w:tcW w:w="1080" w:type="dxa"/>
            <w:tcBorders>
              <w:top w:val="nil"/>
              <w:left w:val="single" w:sz="4" w:space="0" w:color="auto"/>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主管部门</w:t>
            </w:r>
          </w:p>
        </w:tc>
        <w:tc>
          <w:tcPr>
            <w:tcW w:w="4796" w:type="dxa"/>
            <w:gridSpan w:val="4"/>
            <w:tcBorders>
              <w:top w:val="single" w:sz="4" w:space="0" w:color="auto"/>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eastAsia="仿宋_GB2312"/>
                <w:color w:val="000000"/>
                <w:szCs w:val="21"/>
              </w:rPr>
              <w:t>湖南省商务厅</w:t>
            </w:r>
            <w:r>
              <w:rPr>
                <w:rFonts w:eastAsia="仿宋_GB2312"/>
                <w:color w:val="000000"/>
                <w:szCs w:val="21"/>
              </w:rPr>
              <w:t>-</w:t>
            </w:r>
            <w:r>
              <w:rPr>
                <w:rFonts w:eastAsia="仿宋_GB2312" w:hint="eastAsia"/>
                <w:color w:val="000000"/>
                <w:szCs w:val="21"/>
              </w:rPr>
              <w:t>流通处</w:t>
            </w:r>
          </w:p>
        </w:tc>
        <w:tc>
          <w:tcPr>
            <w:tcW w:w="1105" w:type="dxa"/>
            <w:tcBorders>
              <w:top w:val="single" w:sz="4" w:space="0" w:color="auto"/>
              <w:left w:val="nil"/>
              <w:bottom w:val="single" w:sz="4" w:space="0" w:color="auto"/>
              <w:right w:val="single" w:sz="4" w:space="0" w:color="000000"/>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实施单位</w:t>
            </w:r>
          </w:p>
        </w:tc>
        <w:tc>
          <w:tcPr>
            <w:tcW w:w="2768" w:type="dxa"/>
            <w:gridSpan w:val="3"/>
            <w:tcBorders>
              <w:top w:val="single" w:sz="4" w:space="0" w:color="auto"/>
              <w:left w:val="nil"/>
              <w:bottom w:val="single" w:sz="4" w:space="0" w:color="auto"/>
              <w:right w:val="single" w:sz="4" w:space="0" w:color="auto"/>
            </w:tcBorders>
            <w:noWrap/>
            <w:vAlign w:val="center"/>
          </w:tcPr>
          <w:p w:rsidR="00CB25E6" w:rsidRDefault="0063777D">
            <w:pPr>
              <w:pStyle w:val="a6"/>
              <w:shd w:val="clear" w:color="auto" w:fill="FFFFFF"/>
              <w:autoSpaceDE/>
              <w:autoSpaceDN/>
              <w:spacing w:before="0" w:beforeAutospacing="0" w:after="0" w:afterAutospacing="0"/>
              <w:rPr>
                <w:rFonts w:ascii="仿宋_GB2312" w:eastAsia="仿宋_GB2312" w:cs="宋体"/>
                <w:color w:val="000000"/>
                <w:szCs w:val="21"/>
              </w:rPr>
            </w:pPr>
            <w:r>
              <w:rPr>
                <w:rFonts w:ascii="Times New Roman" w:eastAsia="仿宋_GB2312" w:hAnsi="Times New Roman" w:hint="eastAsia"/>
                <w:color w:val="000000"/>
                <w:spacing w:val="-11"/>
                <w:sz w:val="21"/>
                <w:szCs w:val="21"/>
                <w:lang w:val="en-US" w:bidi="ar-SA"/>
              </w:rPr>
              <w:t>怀化轩琪进出口贸易有限公司</w:t>
            </w:r>
          </w:p>
        </w:tc>
      </w:tr>
      <w:tr w:rsidR="00CB25E6">
        <w:trPr>
          <w:jc w:val="center"/>
        </w:trPr>
        <w:tc>
          <w:tcPr>
            <w:tcW w:w="1080" w:type="dxa"/>
            <w:vMerge w:val="restart"/>
            <w:tcBorders>
              <w:top w:val="nil"/>
              <w:left w:val="single" w:sz="4" w:space="0" w:color="auto"/>
              <w:bottom w:val="single" w:sz="4" w:space="0" w:color="000000"/>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项目资金</w:t>
            </w:r>
            <w:r>
              <w:rPr>
                <w:rFonts w:ascii="仿宋_GB2312" w:eastAsia="仿宋_GB2312" w:hAnsi="宋体" w:cs="宋体" w:hint="eastAsia"/>
                <w:color w:val="000000"/>
                <w:szCs w:val="21"/>
              </w:rPr>
              <w:br/>
              <w:t>（万元）</w:t>
            </w:r>
          </w:p>
        </w:tc>
        <w:tc>
          <w:tcPr>
            <w:tcW w:w="1941" w:type="dxa"/>
            <w:gridSpan w:val="2"/>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1559"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年初</w:t>
            </w:r>
          </w:p>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预算数</w:t>
            </w:r>
          </w:p>
        </w:tc>
        <w:tc>
          <w:tcPr>
            <w:tcW w:w="129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全年</w:t>
            </w:r>
          </w:p>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预算数</w:t>
            </w:r>
          </w:p>
        </w:tc>
        <w:tc>
          <w:tcPr>
            <w:tcW w:w="1105" w:type="dxa"/>
            <w:tcBorders>
              <w:top w:val="nil"/>
              <w:left w:val="nil"/>
              <w:bottom w:val="single" w:sz="4" w:space="0" w:color="auto"/>
              <w:right w:val="single" w:sz="4" w:space="0" w:color="auto"/>
            </w:tcBorders>
            <w:noWrap/>
            <w:vAlign w:val="center"/>
          </w:tcPr>
          <w:p w:rsidR="00CB25E6" w:rsidRDefault="0063777D">
            <w:pPr>
              <w:jc w:val="center"/>
              <w:rPr>
                <w:rFonts w:ascii="仿宋_GB2312" w:eastAsia="仿宋_GB2312"/>
                <w:szCs w:val="21"/>
              </w:rPr>
            </w:pPr>
            <w:r>
              <w:rPr>
                <w:rFonts w:ascii="仿宋_GB2312" w:eastAsia="仿宋_GB2312" w:hint="eastAsia"/>
                <w:szCs w:val="21"/>
              </w:rPr>
              <w:t>全年</w:t>
            </w:r>
          </w:p>
          <w:p w:rsidR="00CB25E6" w:rsidRDefault="0063777D">
            <w:pPr>
              <w:jc w:val="center"/>
              <w:rPr>
                <w:rFonts w:ascii="仿宋_GB2312" w:eastAsia="仿宋_GB2312"/>
                <w:szCs w:val="21"/>
              </w:rPr>
            </w:pPr>
            <w:r>
              <w:rPr>
                <w:rFonts w:ascii="仿宋_GB2312" w:eastAsia="仿宋_GB2312" w:hint="eastAsia"/>
                <w:szCs w:val="21"/>
              </w:rPr>
              <w:t>执行数</w:t>
            </w:r>
          </w:p>
        </w:tc>
        <w:tc>
          <w:tcPr>
            <w:tcW w:w="596" w:type="dxa"/>
            <w:tcBorders>
              <w:top w:val="nil"/>
              <w:left w:val="nil"/>
              <w:bottom w:val="single" w:sz="4" w:space="0" w:color="auto"/>
              <w:right w:val="single" w:sz="4" w:space="0" w:color="auto"/>
            </w:tcBorders>
            <w:noWrap/>
            <w:vAlign w:val="center"/>
          </w:tcPr>
          <w:p w:rsidR="00CB25E6" w:rsidRDefault="0063777D">
            <w:pPr>
              <w:jc w:val="center"/>
              <w:rPr>
                <w:rFonts w:ascii="仿宋_GB2312" w:eastAsia="仿宋_GB2312"/>
                <w:szCs w:val="21"/>
              </w:rPr>
            </w:pPr>
            <w:r>
              <w:rPr>
                <w:rFonts w:ascii="仿宋_GB2312" w:eastAsia="仿宋_GB2312" w:hint="eastAsia"/>
                <w:szCs w:val="21"/>
              </w:rPr>
              <w:t>分值</w:t>
            </w:r>
          </w:p>
        </w:tc>
        <w:tc>
          <w:tcPr>
            <w:tcW w:w="986" w:type="dxa"/>
            <w:tcBorders>
              <w:top w:val="nil"/>
              <w:left w:val="nil"/>
              <w:bottom w:val="single" w:sz="4" w:space="0" w:color="auto"/>
              <w:right w:val="single" w:sz="4" w:space="0" w:color="auto"/>
            </w:tcBorders>
            <w:noWrap/>
            <w:vAlign w:val="center"/>
          </w:tcPr>
          <w:p w:rsidR="00CB25E6" w:rsidRDefault="0063777D">
            <w:pPr>
              <w:jc w:val="center"/>
              <w:rPr>
                <w:rFonts w:ascii="仿宋_GB2312" w:eastAsia="仿宋_GB2312"/>
                <w:szCs w:val="21"/>
              </w:rPr>
            </w:pPr>
            <w:r>
              <w:rPr>
                <w:rFonts w:ascii="仿宋_GB2312" w:eastAsia="仿宋_GB2312" w:hint="eastAsia"/>
                <w:szCs w:val="21"/>
              </w:rPr>
              <w:t>执行率</w:t>
            </w:r>
          </w:p>
        </w:tc>
        <w:tc>
          <w:tcPr>
            <w:tcW w:w="1186" w:type="dxa"/>
            <w:tcBorders>
              <w:top w:val="nil"/>
              <w:left w:val="nil"/>
              <w:bottom w:val="single" w:sz="4" w:space="0" w:color="auto"/>
              <w:right w:val="single" w:sz="4" w:space="0" w:color="auto"/>
            </w:tcBorders>
            <w:noWrap/>
            <w:vAlign w:val="center"/>
          </w:tcPr>
          <w:p w:rsidR="00CB25E6" w:rsidRDefault="0063777D">
            <w:pPr>
              <w:jc w:val="center"/>
              <w:rPr>
                <w:rFonts w:ascii="仿宋_GB2312" w:eastAsia="仿宋_GB2312"/>
                <w:szCs w:val="21"/>
              </w:rPr>
            </w:pPr>
            <w:r>
              <w:rPr>
                <w:rFonts w:ascii="仿宋_GB2312" w:eastAsia="仿宋_GB2312" w:hint="eastAsia"/>
                <w:szCs w:val="21"/>
              </w:rPr>
              <w:t>得分</w:t>
            </w:r>
          </w:p>
        </w:tc>
      </w:tr>
      <w:tr w:rsidR="00CB25E6">
        <w:trPr>
          <w:jc w:val="center"/>
        </w:trPr>
        <w:tc>
          <w:tcPr>
            <w:tcW w:w="1080" w:type="dxa"/>
            <w:vMerge/>
            <w:tcBorders>
              <w:top w:val="nil"/>
              <w:left w:val="single" w:sz="4" w:space="0" w:color="auto"/>
              <w:bottom w:val="single" w:sz="4" w:space="0" w:color="000000"/>
              <w:right w:val="single" w:sz="4" w:space="0" w:color="auto"/>
            </w:tcBorders>
            <w:noWrap/>
            <w:vAlign w:val="center"/>
          </w:tcPr>
          <w:p w:rsidR="00CB25E6" w:rsidRDefault="00CB25E6">
            <w:pPr>
              <w:widowControl/>
              <w:rPr>
                <w:rFonts w:ascii="仿宋_GB2312" w:eastAsia="仿宋_GB2312" w:hAnsi="宋体" w:cs="宋体"/>
                <w:color w:val="000000"/>
                <w:szCs w:val="21"/>
              </w:rPr>
            </w:pPr>
          </w:p>
        </w:tc>
        <w:tc>
          <w:tcPr>
            <w:tcW w:w="1941" w:type="dxa"/>
            <w:gridSpan w:val="2"/>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年度资金总额　</w:t>
            </w: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rPr>
              <w:t xml:space="preserve">　</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380</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lang w:val="en-US"/>
              </w:rPr>
              <w:t>386.248</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10</w:t>
            </w:r>
          </w:p>
        </w:tc>
        <w:tc>
          <w:tcPr>
            <w:tcW w:w="9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lang w:val="en-US"/>
              </w:rPr>
              <w:t>101.64%</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10</w:t>
            </w:r>
          </w:p>
        </w:tc>
      </w:tr>
      <w:tr w:rsidR="00CB25E6">
        <w:trPr>
          <w:jc w:val="center"/>
        </w:trPr>
        <w:tc>
          <w:tcPr>
            <w:tcW w:w="1080" w:type="dxa"/>
            <w:vMerge/>
            <w:tcBorders>
              <w:top w:val="nil"/>
              <w:left w:val="single" w:sz="4" w:space="0" w:color="auto"/>
              <w:bottom w:val="single" w:sz="4" w:space="0" w:color="000000"/>
              <w:right w:val="single" w:sz="4" w:space="0" w:color="auto"/>
            </w:tcBorders>
            <w:noWrap/>
            <w:vAlign w:val="center"/>
          </w:tcPr>
          <w:p w:rsidR="00CB25E6" w:rsidRDefault="00CB25E6">
            <w:pPr>
              <w:widowControl/>
              <w:rPr>
                <w:rFonts w:ascii="仿宋_GB2312" w:eastAsia="仿宋_GB2312" w:hAnsi="宋体" w:cs="宋体"/>
                <w:color w:val="000000"/>
                <w:szCs w:val="21"/>
              </w:rPr>
            </w:pPr>
          </w:p>
        </w:tc>
        <w:tc>
          <w:tcPr>
            <w:tcW w:w="1941" w:type="dxa"/>
            <w:gridSpan w:val="2"/>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其中：当年财政拨款　</w:t>
            </w: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rPr>
              <w:t xml:space="preserve">　</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80</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80</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9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trHeight w:val="486"/>
          <w:jc w:val="center"/>
        </w:trPr>
        <w:tc>
          <w:tcPr>
            <w:tcW w:w="1080" w:type="dxa"/>
            <w:vMerge/>
            <w:tcBorders>
              <w:top w:val="nil"/>
              <w:left w:val="single" w:sz="4" w:space="0" w:color="auto"/>
              <w:bottom w:val="single" w:sz="4" w:space="0" w:color="000000"/>
              <w:right w:val="single" w:sz="4" w:space="0" w:color="auto"/>
            </w:tcBorders>
            <w:noWrap/>
            <w:vAlign w:val="center"/>
          </w:tcPr>
          <w:p w:rsidR="00CB25E6" w:rsidRDefault="00CB25E6">
            <w:pPr>
              <w:widowControl/>
              <w:rPr>
                <w:rFonts w:ascii="仿宋_GB2312" w:eastAsia="仿宋_GB2312" w:hAnsi="宋体" w:cs="宋体"/>
                <w:color w:val="000000"/>
                <w:szCs w:val="21"/>
              </w:rPr>
            </w:pPr>
          </w:p>
        </w:tc>
        <w:tc>
          <w:tcPr>
            <w:tcW w:w="1941" w:type="dxa"/>
            <w:gridSpan w:val="2"/>
            <w:tcBorders>
              <w:top w:val="nil"/>
              <w:left w:val="nil"/>
              <w:bottom w:val="single" w:sz="4" w:space="0" w:color="auto"/>
              <w:right w:val="single" w:sz="4" w:space="0" w:color="auto"/>
            </w:tcBorders>
            <w:noWrap/>
            <w:vAlign w:val="center"/>
          </w:tcPr>
          <w:p w:rsidR="00CB25E6" w:rsidRDefault="0063777D">
            <w:pPr>
              <w:widowControl/>
              <w:ind w:firstLineChars="300" w:firstLine="660"/>
              <w:rPr>
                <w:rFonts w:ascii="仿宋_GB2312" w:eastAsia="仿宋_GB2312" w:hAnsi="宋体" w:cs="宋体"/>
                <w:color w:val="000000"/>
                <w:szCs w:val="21"/>
              </w:rPr>
            </w:pPr>
            <w:r>
              <w:rPr>
                <w:rFonts w:ascii="仿宋_GB2312" w:eastAsia="仿宋_GB2312" w:hAnsi="宋体" w:cs="宋体" w:hint="eastAsia"/>
                <w:color w:val="000000"/>
                <w:szCs w:val="21"/>
              </w:rPr>
              <w:t xml:space="preserve">上年结转资金　</w:t>
            </w: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rPr>
              <w:t xml:space="preserve">　</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9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tcBorders>
              <w:top w:val="nil"/>
              <w:left w:val="single" w:sz="4" w:space="0" w:color="auto"/>
              <w:bottom w:val="single" w:sz="4" w:space="0" w:color="000000"/>
              <w:right w:val="single" w:sz="4" w:space="0" w:color="auto"/>
            </w:tcBorders>
            <w:noWrap/>
            <w:vAlign w:val="center"/>
          </w:tcPr>
          <w:p w:rsidR="00CB25E6" w:rsidRDefault="00CB25E6">
            <w:pPr>
              <w:widowControl/>
              <w:rPr>
                <w:rFonts w:ascii="仿宋_GB2312" w:eastAsia="仿宋_GB2312" w:hAnsi="宋体" w:cs="宋体"/>
                <w:color w:val="000000"/>
                <w:szCs w:val="21"/>
              </w:rPr>
            </w:pPr>
          </w:p>
        </w:tc>
        <w:tc>
          <w:tcPr>
            <w:tcW w:w="1941" w:type="dxa"/>
            <w:gridSpan w:val="2"/>
            <w:tcBorders>
              <w:top w:val="nil"/>
              <w:left w:val="nil"/>
              <w:bottom w:val="single" w:sz="4" w:space="0" w:color="auto"/>
              <w:right w:val="single" w:sz="4" w:space="0" w:color="auto"/>
            </w:tcBorders>
            <w:noWrap/>
            <w:vAlign w:val="center"/>
          </w:tcPr>
          <w:p w:rsidR="00CB25E6" w:rsidRDefault="0063777D">
            <w:pPr>
              <w:widowControl/>
              <w:ind w:firstLineChars="300" w:firstLine="660"/>
              <w:rPr>
                <w:rFonts w:ascii="仿宋_GB2312" w:eastAsia="仿宋_GB2312" w:hAnsi="宋体" w:cs="宋体"/>
                <w:color w:val="000000"/>
                <w:szCs w:val="21"/>
              </w:rPr>
            </w:pPr>
            <w:r>
              <w:rPr>
                <w:rFonts w:ascii="仿宋_GB2312" w:eastAsia="仿宋_GB2312" w:hAnsi="宋体" w:cs="宋体" w:hint="eastAsia"/>
                <w:color w:val="000000"/>
                <w:szCs w:val="21"/>
              </w:rPr>
              <w:t>其他资金</w:t>
            </w: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rPr>
              <w:t xml:space="preserve">　</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300</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lang w:val="en-US"/>
              </w:rPr>
              <w:t>386.248</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9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val="restart"/>
            <w:tcBorders>
              <w:top w:val="nil"/>
              <w:left w:val="single" w:sz="4" w:space="0" w:color="auto"/>
              <w:bottom w:val="single" w:sz="4" w:space="0" w:color="000000"/>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年度总体目标</w:t>
            </w:r>
          </w:p>
        </w:tc>
        <w:tc>
          <w:tcPr>
            <w:tcW w:w="4796" w:type="dxa"/>
            <w:gridSpan w:val="4"/>
            <w:tcBorders>
              <w:top w:val="single" w:sz="4" w:space="0" w:color="auto"/>
              <w:left w:val="nil"/>
              <w:bottom w:val="single" w:sz="4" w:space="0" w:color="auto"/>
              <w:right w:val="single" w:sz="4" w:space="0" w:color="000000"/>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预期目标</w:t>
            </w:r>
          </w:p>
        </w:tc>
        <w:tc>
          <w:tcPr>
            <w:tcW w:w="3873" w:type="dxa"/>
            <w:gridSpan w:val="4"/>
            <w:tcBorders>
              <w:top w:val="single" w:sz="4" w:space="0" w:color="auto"/>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 xml:space="preserve">实际完成情况　</w:t>
            </w:r>
          </w:p>
        </w:tc>
      </w:tr>
      <w:tr w:rsidR="00CB25E6">
        <w:trPr>
          <w:jc w:val="center"/>
        </w:trPr>
        <w:tc>
          <w:tcPr>
            <w:tcW w:w="1080" w:type="dxa"/>
            <w:vMerge/>
            <w:tcBorders>
              <w:top w:val="nil"/>
              <w:left w:val="single" w:sz="4" w:space="0" w:color="auto"/>
              <w:bottom w:val="single" w:sz="4" w:space="0" w:color="000000"/>
              <w:right w:val="single" w:sz="4" w:space="0" w:color="auto"/>
            </w:tcBorders>
            <w:noWrap/>
            <w:vAlign w:val="center"/>
          </w:tcPr>
          <w:p w:rsidR="00CB25E6" w:rsidRDefault="00CB25E6">
            <w:pPr>
              <w:widowControl/>
              <w:rPr>
                <w:rFonts w:ascii="仿宋_GB2312" w:eastAsia="仿宋_GB2312" w:hAnsi="宋体" w:cs="宋体"/>
                <w:color w:val="000000"/>
                <w:szCs w:val="21"/>
              </w:rPr>
            </w:pPr>
          </w:p>
        </w:tc>
        <w:tc>
          <w:tcPr>
            <w:tcW w:w="4796" w:type="dxa"/>
            <w:gridSpan w:val="4"/>
            <w:tcBorders>
              <w:top w:val="single" w:sz="4" w:space="0" w:color="auto"/>
              <w:left w:val="nil"/>
              <w:bottom w:val="single" w:sz="4" w:space="0" w:color="auto"/>
              <w:right w:val="single" w:sz="4" w:space="0" w:color="000000"/>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lang w:val="en-US"/>
              </w:rPr>
              <w:t>380万元</w:t>
            </w:r>
            <w:r>
              <w:rPr>
                <w:rFonts w:ascii="仿宋_GB2312" w:eastAsia="仿宋_GB2312" w:hAnsi="宋体" w:cs="宋体" w:hint="eastAsia"/>
                <w:color w:val="000000"/>
                <w:szCs w:val="21"/>
              </w:rPr>
              <w:t xml:space="preserve">　　</w:t>
            </w:r>
          </w:p>
        </w:tc>
        <w:tc>
          <w:tcPr>
            <w:tcW w:w="3873" w:type="dxa"/>
            <w:gridSpan w:val="4"/>
            <w:tcBorders>
              <w:top w:val="single" w:sz="4" w:space="0" w:color="auto"/>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384.248万元</w:t>
            </w:r>
          </w:p>
        </w:tc>
      </w:tr>
      <w:tr w:rsidR="00CB25E6">
        <w:trPr>
          <w:jc w:val="center"/>
        </w:trPr>
        <w:tc>
          <w:tcPr>
            <w:tcW w:w="1080" w:type="dxa"/>
            <w:vMerge w:val="restart"/>
            <w:tcBorders>
              <w:top w:val="nil"/>
              <w:left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绩</w:t>
            </w:r>
          </w:p>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效</w:t>
            </w:r>
          </w:p>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指</w:t>
            </w:r>
          </w:p>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标</w:t>
            </w:r>
          </w:p>
        </w:tc>
        <w:tc>
          <w:tcPr>
            <w:tcW w:w="1080" w:type="dxa"/>
            <w:tcBorders>
              <w:top w:val="nil"/>
              <w:left w:val="nil"/>
              <w:bottom w:val="single" w:sz="4" w:space="0" w:color="auto"/>
              <w:right w:val="single" w:sz="4" w:space="0" w:color="auto"/>
            </w:tcBorders>
            <w:noWrap/>
            <w:vAlign w:val="center"/>
          </w:tcPr>
          <w:p w:rsidR="00CB25E6" w:rsidRDefault="0063777D">
            <w:pPr>
              <w:widowControl/>
              <w:spacing w:line="24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一级指标</w:t>
            </w:r>
          </w:p>
        </w:tc>
        <w:tc>
          <w:tcPr>
            <w:tcW w:w="861" w:type="dxa"/>
            <w:tcBorders>
              <w:top w:val="nil"/>
              <w:left w:val="nil"/>
              <w:bottom w:val="single" w:sz="4" w:space="0" w:color="auto"/>
              <w:right w:val="single" w:sz="4" w:space="0" w:color="auto"/>
            </w:tcBorders>
            <w:noWrap/>
            <w:vAlign w:val="center"/>
          </w:tcPr>
          <w:p w:rsidR="00CB25E6" w:rsidRDefault="0063777D">
            <w:pPr>
              <w:widowControl/>
              <w:spacing w:line="24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二级指标</w:t>
            </w:r>
          </w:p>
        </w:tc>
        <w:tc>
          <w:tcPr>
            <w:tcW w:w="1559" w:type="dxa"/>
            <w:tcBorders>
              <w:top w:val="nil"/>
              <w:left w:val="nil"/>
              <w:bottom w:val="single" w:sz="4" w:space="0" w:color="auto"/>
              <w:right w:val="single" w:sz="4" w:space="0" w:color="auto"/>
            </w:tcBorders>
            <w:noWrap/>
            <w:vAlign w:val="center"/>
          </w:tcPr>
          <w:p w:rsidR="00CB25E6" w:rsidRDefault="0063777D">
            <w:pPr>
              <w:widowControl/>
              <w:spacing w:line="24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三级指标</w:t>
            </w:r>
          </w:p>
        </w:tc>
        <w:tc>
          <w:tcPr>
            <w:tcW w:w="1296" w:type="dxa"/>
            <w:tcBorders>
              <w:top w:val="nil"/>
              <w:left w:val="nil"/>
              <w:bottom w:val="single" w:sz="4" w:space="0" w:color="auto"/>
              <w:right w:val="single" w:sz="4" w:space="0" w:color="auto"/>
            </w:tcBorders>
            <w:noWrap/>
            <w:vAlign w:val="center"/>
          </w:tcPr>
          <w:p w:rsidR="00CB25E6" w:rsidRDefault="0063777D">
            <w:pPr>
              <w:widowControl/>
              <w:spacing w:line="24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年度</w:t>
            </w:r>
          </w:p>
          <w:p w:rsidR="00CB25E6" w:rsidRDefault="0063777D">
            <w:pPr>
              <w:widowControl/>
              <w:spacing w:line="24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指标值</w:t>
            </w:r>
          </w:p>
        </w:tc>
        <w:tc>
          <w:tcPr>
            <w:tcW w:w="1105" w:type="dxa"/>
            <w:tcBorders>
              <w:top w:val="nil"/>
              <w:left w:val="nil"/>
              <w:bottom w:val="single" w:sz="4" w:space="0" w:color="auto"/>
              <w:right w:val="single" w:sz="4" w:space="0" w:color="auto"/>
            </w:tcBorders>
            <w:noWrap/>
            <w:vAlign w:val="center"/>
          </w:tcPr>
          <w:p w:rsidR="00CB25E6" w:rsidRDefault="0063777D">
            <w:pPr>
              <w:widowControl/>
              <w:spacing w:line="24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实际</w:t>
            </w:r>
          </w:p>
          <w:p w:rsidR="00CB25E6" w:rsidRDefault="0063777D">
            <w:pPr>
              <w:widowControl/>
              <w:spacing w:line="24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完成值</w:t>
            </w:r>
          </w:p>
        </w:tc>
        <w:tc>
          <w:tcPr>
            <w:tcW w:w="596" w:type="dxa"/>
            <w:tcBorders>
              <w:top w:val="nil"/>
              <w:left w:val="nil"/>
              <w:bottom w:val="single" w:sz="4" w:space="0" w:color="auto"/>
              <w:right w:val="single" w:sz="4" w:space="0" w:color="auto"/>
            </w:tcBorders>
            <w:noWrap/>
            <w:vAlign w:val="center"/>
          </w:tcPr>
          <w:p w:rsidR="00CB25E6" w:rsidRDefault="0063777D">
            <w:pPr>
              <w:widowControl/>
              <w:spacing w:line="24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分值</w:t>
            </w:r>
          </w:p>
        </w:tc>
        <w:tc>
          <w:tcPr>
            <w:tcW w:w="986" w:type="dxa"/>
            <w:tcBorders>
              <w:top w:val="nil"/>
              <w:left w:val="nil"/>
              <w:bottom w:val="single" w:sz="4" w:space="0" w:color="auto"/>
              <w:right w:val="single" w:sz="4" w:space="0" w:color="auto"/>
            </w:tcBorders>
            <w:noWrap/>
            <w:vAlign w:val="center"/>
          </w:tcPr>
          <w:p w:rsidR="00CB25E6" w:rsidRDefault="0063777D">
            <w:pPr>
              <w:widowControl/>
              <w:spacing w:line="24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得分</w:t>
            </w:r>
          </w:p>
        </w:tc>
        <w:tc>
          <w:tcPr>
            <w:tcW w:w="1186" w:type="dxa"/>
            <w:tcBorders>
              <w:top w:val="nil"/>
              <w:left w:val="nil"/>
              <w:bottom w:val="single" w:sz="4" w:space="0" w:color="auto"/>
              <w:right w:val="single" w:sz="4" w:space="0" w:color="auto"/>
            </w:tcBorders>
            <w:noWrap/>
            <w:vAlign w:val="center"/>
          </w:tcPr>
          <w:p w:rsidR="00CB25E6" w:rsidRDefault="0063777D">
            <w:pPr>
              <w:widowControl/>
              <w:spacing w:line="24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偏差原因</w:t>
            </w:r>
          </w:p>
          <w:p w:rsidR="00CB25E6" w:rsidRDefault="0063777D">
            <w:pPr>
              <w:widowControl/>
              <w:spacing w:line="24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分析及</w:t>
            </w:r>
          </w:p>
          <w:p w:rsidR="00CB25E6" w:rsidRDefault="0063777D">
            <w:pPr>
              <w:widowControl/>
              <w:spacing w:line="24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改进措施</w:t>
            </w:r>
          </w:p>
        </w:tc>
      </w:tr>
      <w:tr w:rsidR="00CB25E6">
        <w:trPr>
          <w:jc w:val="center"/>
        </w:trPr>
        <w:tc>
          <w:tcPr>
            <w:tcW w:w="1080" w:type="dxa"/>
            <w:vMerge/>
            <w:tcBorders>
              <w:left w:val="single" w:sz="4" w:space="0" w:color="auto"/>
              <w:right w:val="single" w:sz="4" w:space="0" w:color="auto"/>
            </w:tcBorders>
            <w:noWrap/>
            <w:vAlign w:val="center"/>
          </w:tcPr>
          <w:p w:rsidR="00CB25E6" w:rsidRDefault="00CB25E6">
            <w:pPr>
              <w:rPr>
                <w:rFonts w:ascii="仿宋_GB2312" w:eastAsia="仿宋_GB2312" w:hAnsi="宋体" w:cs="宋体"/>
                <w:color w:val="000000"/>
                <w:szCs w:val="21"/>
              </w:rPr>
            </w:pPr>
          </w:p>
        </w:tc>
        <w:tc>
          <w:tcPr>
            <w:tcW w:w="1080" w:type="dxa"/>
            <w:vMerge w:val="restart"/>
            <w:tcBorders>
              <w:top w:val="nil"/>
              <w:left w:val="nil"/>
              <w:right w:val="single" w:sz="4" w:space="0" w:color="auto"/>
            </w:tcBorders>
            <w:noWrap/>
            <w:vAlign w:val="center"/>
          </w:tcPr>
          <w:p w:rsidR="00CB25E6" w:rsidRDefault="0063777D">
            <w:pPr>
              <w:widowControl/>
              <w:spacing w:line="24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产出指标</w:t>
            </w:r>
          </w:p>
          <w:p w:rsidR="00CB25E6" w:rsidRDefault="00CB25E6">
            <w:pPr>
              <w:widowControl/>
              <w:spacing w:line="240" w:lineRule="exact"/>
              <w:jc w:val="center"/>
              <w:rPr>
                <w:rFonts w:ascii="仿宋_GB2312" w:eastAsia="仿宋_GB2312" w:hAnsi="宋体" w:cs="宋体"/>
                <w:color w:val="000000"/>
                <w:szCs w:val="21"/>
              </w:rPr>
            </w:pPr>
          </w:p>
          <w:p w:rsidR="00CB25E6" w:rsidRDefault="0063777D">
            <w:pPr>
              <w:widowControl/>
              <w:spacing w:line="240" w:lineRule="exact"/>
              <w:jc w:val="center"/>
              <w:rPr>
                <w:rFonts w:ascii="仿宋_GB2312" w:eastAsia="仿宋_GB2312" w:hAnsi="宋体" w:cs="宋体"/>
                <w:color w:val="000000"/>
                <w:szCs w:val="21"/>
              </w:rPr>
            </w:pPr>
            <w:r>
              <w:rPr>
                <w:rFonts w:ascii="仿宋_GB2312" w:eastAsia="仿宋_GB2312" w:hAnsi="宋体" w:cs="宋体" w:hint="eastAsia"/>
                <w:color w:val="000000"/>
                <w:szCs w:val="21"/>
              </w:rPr>
              <w:t>(50分)</w:t>
            </w:r>
          </w:p>
        </w:tc>
        <w:tc>
          <w:tcPr>
            <w:tcW w:w="861" w:type="dxa"/>
            <w:vMerge w:val="restart"/>
            <w:tcBorders>
              <w:top w:val="nil"/>
              <w:left w:val="nil"/>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数量指标</w:t>
            </w: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标准化托盘（个）</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lang w:val="en-US"/>
              </w:rPr>
            </w:pPr>
            <w:r>
              <w:rPr>
                <w:rFonts w:eastAsia="仿宋_GB2312" w:hint="eastAsia"/>
                <w:color w:val="000000"/>
                <w:szCs w:val="21"/>
              </w:rPr>
              <w:t xml:space="preserve">　</w:t>
            </w:r>
            <w:r>
              <w:rPr>
                <w:rFonts w:eastAsia="仿宋_GB2312" w:hint="eastAsia"/>
                <w:color w:val="000000"/>
                <w:szCs w:val="21"/>
                <w:lang w:val="en-US"/>
              </w:rPr>
              <w:t>20000</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22000</w:t>
            </w:r>
          </w:p>
        </w:tc>
        <w:tc>
          <w:tcPr>
            <w:tcW w:w="596" w:type="dxa"/>
            <w:vMerge w:val="restart"/>
            <w:tcBorders>
              <w:top w:val="nil"/>
              <w:left w:val="nil"/>
              <w:right w:val="single" w:sz="4" w:space="0" w:color="auto"/>
            </w:tcBorders>
            <w:noWrap/>
            <w:vAlign w:val="center"/>
          </w:tcPr>
          <w:p w:rsidR="00CB25E6" w:rsidRDefault="0063777D">
            <w:pPr>
              <w:rPr>
                <w:rFonts w:ascii="仿宋_GB2312" w:eastAsia="仿宋_GB2312" w:hAnsi="宋体" w:cs="宋体"/>
                <w:color w:val="000000"/>
                <w:szCs w:val="21"/>
              </w:rPr>
            </w:pPr>
            <w:r>
              <w:rPr>
                <w:rFonts w:ascii="仿宋_GB2312" w:eastAsia="仿宋_GB2312" w:hAnsi="宋体" w:cs="宋体" w:hint="eastAsia"/>
                <w:color w:val="000000"/>
                <w:szCs w:val="21"/>
              </w:rPr>
              <w:t>10</w:t>
            </w:r>
          </w:p>
        </w:tc>
        <w:tc>
          <w:tcPr>
            <w:tcW w:w="98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lang w:val="en-US"/>
              </w:rPr>
            </w:pPr>
            <w:r>
              <w:rPr>
                <w:rFonts w:ascii="仿宋_GB2312" w:eastAsia="仿宋_GB2312" w:hAnsi="宋体" w:cs="宋体" w:hint="eastAsia"/>
                <w:color w:val="000000"/>
                <w:szCs w:val="21"/>
                <w:lang w:val="en-US"/>
              </w:rPr>
              <w:t>5</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tcBorders>
              <w:left w:val="single" w:sz="4" w:space="0" w:color="auto"/>
              <w:right w:val="single" w:sz="4" w:space="0" w:color="auto"/>
            </w:tcBorders>
            <w:noWrap/>
            <w:vAlign w:val="center"/>
          </w:tcPr>
          <w:p w:rsidR="00CB25E6" w:rsidRDefault="00CB25E6">
            <w:pPr>
              <w:rPr>
                <w:rFonts w:ascii="仿宋_GB2312" w:eastAsia="仿宋_GB2312" w:hAnsi="宋体" w:cs="宋体"/>
                <w:color w:val="000000"/>
                <w:szCs w:val="21"/>
              </w:rPr>
            </w:pPr>
          </w:p>
        </w:tc>
        <w:tc>
          <w:tcPr>
            <w:tcW w:w="1080" w:type="dxa"/>
            <w:vMerge/>
            <w:tcBorders>
              <w:left w:val="nil"/>
              <w:right w:val="single" w:sz="4" w:space="0" w:color="auto"/>
            </w:tcBorders>
            <w:noWrap/>
            <w:vAlign w:val="center"/>
          </w:tcPr>
          <w:p w:rsidR="00CB25E6" w:rsidRDefault="00CB25E6">
            <w:pPr>
              <w:rPr>
                <w:rFonts w:ascii="仿宋_GB2312" w:eastAsia="仿宋_GB2312" w:hAnsi="宋体" w:cs="宋体"/>
                <w:color w:val="000000"/>
                <w:szCs w:val="21"/>
              </w:rPr>
            </w:pPr>
          </w:p>
        </w:tc>
        <w:tc>
          <w:tcPr>
            <w:tcW w:w="861" w:type="dxa"/>
            <w:vMerge/>
            <w:tcBorders>
              <w:left w:val="nil"/>
              <w:right w:val="single" w:sz="4" w:space="0" w:color="auto"/>
            </w:tcBorders>
            <w:noWrap/>
            <w:vAlign w:val="center"/>
          </w:tcPr>
          <w:p w:rsidR="00CB25E6" w:rsidRDefault="00CB25E6">
            <w:pPr>
              <w:jc w:val="center"/>
              <w:rPr>
                <w:rFonts w:ascii="仿宋_GB2312" w:eastAsia="仿宋_GB2312" w:hAnsi="宋体" w:cs="宋体"/>
                <w:color w:val="000000"/>
                <w:szCs w:val="21"/>
              </w:rPr>
            </w:pP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相关模数周转筐（个）</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lang w:val="en-US"/>
              </w:rPr>
            </w:pPr>
            <w:r>
              <w:rPr>
                <w:rFonts w:eastAsia="仿宋_GB2312" w:hint="eastAsia"/>
                <w:color w:val="000000"/>
                <w:szCs w:val="21"/>
              </w:rPr>
              <w:t xml:space="preserve">　</w:t>
            </w:r>
            <w:r>
              <w:rPr>
                <w:rFonts w:eastAsia="仿宋_GB2312" w:hint="eastAsia"/>
                <w:color w:val="000000"/>
                <w:szCs w:val="21"/>
                <w:lang w:val="en-US"/>
              </w:rPr>
              <w:t>50000</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67240</w:t>
            </w:r>
          </w:p>
        </w:tc>
        <w:tc>
          <w:tcPr>
            <w:tcW w:w="596" w:type="dxa"/>
            <w:vMerge/>
            <w:tcBorders>
              <w:left w:val="nil"/>
              <w:bottom w:val="single" w:sz="4" w:space="0" w:color="auto"/>
              <w:right w:val="single" w:sz="4" w:space="0" w:color="auto"/>
            </w:tcBorders>
            <w:noWrap/>
            <w:vAlign w:val="center"/>
          </w:tcPr>
          <w:p w:rsidR="00CB25E6" w:rsidRDefault="00CB25E6">
            <w:pPr>
              <w:widowControl/>
              <w:rPr>
                <w:rFonts w:ascii="仿宋_GB2312" w:eastAsia="仿宋_GB2312" w:hAnsi="宋体" w:cs="宋体"/>
                <w:color w:val="000000"/>
                <w:szCs w:val="21"/>
              </w:rPr>
            </w:pPr>
          </w:p>
        </w:tc>
        <w:tc>
          <w:tcPr>
            <w:tcW w:w="98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lang w:val="en-US"/>
              </w:rPr>
            </w:pPr>
            <w:r>
              <w:rPr>
                <w:rFonts w:ascii="仿宋_GB2312" w:eastAsia="仿宋_GB2312" w:hAnsi="宋体" w:cs="宋体" w:hint="eastAsia"/>
                <w:color w:val="000000"/>
                <w:szCs w:val="21"/>
                <w:lang w:val="en-US"/>
              </w:rPr>
              <w:t>5</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tcBorders>
              <w:left w:val="single" w:sz="4" w:space="0" w:color="auto"/>
              <w:right w:val="single" w:sz="4" w:space="0" w:color="auto"/>
            </w:tcBorders>
            <w:noWrap/>
            <w:vAlign w:val="center"/>
          </w:tcPr>
          <w:p w:rsidR="00CB25E6" w:rsidRDefault="00CB25E6">
            <w:pPr>
              <w:rPr>
                <w:rFonts w:ascii="仿宋_GB2312" w:eastAsia="仿宋_GB2312" w:hAnsi="宋体" w:cs="宋体"/>
                <w:color w:val="000000"/>
                <w:szCs w:val="21"/>
              </w:rPr>
            </w:pPr>
          </w:p>
        </w:tc>
        <w:tc>
          <w:tcPr>
            <w:tcW w:w="1080" w:type="dxa"/>
            <w:vMerge/>
            <w:tcBorders>
              <w:left w:val="nil"/>
              <w:right w:val="single" w:sz="4" w:space="0" w:color="auto"/>
            </w:tcBorders>
            <w:noWrap/>
            <w:vAlign w:val="center"/>
          </w:tcPr>
          <w:p w:rsidR="00CB25E6" w:rsidRDefault="00CB25E6">
            <w:pPr>
              <w:rPr>
                <w:rFonts w:ascii="仿宋_GB2312" w:eastAsia="仿宋_GB2312" w:hAnsi="宋体" w:cs="宋体"/>
                <w:color w:val="000000"/>
                <w:szCs w:val="21"/>
              </w:rPr>
            </w:pPr>
          </w:p>
        </w:tc>
        <w:tc>
          <w:tcPr>
            <w:tcW w:w="861" w:type="dxa"/>
            <w:vMerge w:val="restart"/>
            <w:tcBorders>
              <w:top w:val="nil"/>
              <w:left w:val="nil"/>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质量指标</w:t>
            </w: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带板配送率</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上升</w:t>
            </w:r>
            <w:r>
              <w:rPr>
                <w:rFonts w:eastAsia="仿宋_GB2312" w:hint="eastAsia"/>
                <w:color w:val="000000"/>
                <w:szCs w:val="21"/>
              </w:rPr>
              <w:t>10%</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15%</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5</w:t>
            </w:r>
          </w:p>
        </w:tc>
        <w:tc>
          <w:tcPr>
            <w:tcW w:w="98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lang w:val="en-US"/>
              </w:rPr>
              <w:t>5</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tcBorders>
              <w:left w:val="single" w:sz="4" w:space="0" w:color="auto"/>
              <w:right w:val="single" w:sz="4" w:space="0" w:color="auto"/>
            </w:tcBorders>
            <w:noWrap/>
            <w:vAlign w:val="center"/>
          </w:tcPr>
          <w:p w:rsidR="00CB25E6" w:rsidRDefault="00CB25E6">
            <w:pPr>
              <w:rPr>
                <w:rFonts w:ascii="仿宋_GB2312" w:eastAsia="仿宋_GB2312" w:hAnsi="宋体" w:cs="宋体"/>
                <w:color w:val="000000"/>
                <w:szCs w:val="21"/>
              </w:rPr>
            </w:pPr>
          </w:p>
        </w:tc>
        <w:tc>
          <w:tcPr>
            <w:tcW w:w="1080" w:type="dxa"/>
            <w:vMerge/>
            <w:tcBorders>
              <w:left w:val="nil"/>
              <w:right w:val="single" w:sz="4" w:space="0" w:color="auto"/>
            </w:tcBorders>
            <w:noWrap/>
            <w:vAlign w:val="center"/>
          </w:tcPr>
          <w:p w:rsidR="00CB25E6" w:rsidRDefault="00CB25E6">
            <w:pPr>
              <w:rPr>
                <w:rFonts w:ascii="仿宋_GB2312" w:eastAsia="仿宋_GB2312" w:hAnsi="宋体" w:cs="宋体"/>
                <w:color w:val="000000"/>
                <w:szCs w:val="21"/>
              </w:rPr>
            </w:pPr>
          </w:p>
        </w:tc>
        <w:tc>
          <w:tcPr>
            <w:tcW w:w="861" w:type="dxa"/>
            <w:vMerge/>
            <w:tcBorders>
              <w:left w:val="nil"/>
              <w:right w:val="single" w:sz="4" w:space="0" w:color="auto"/>
            </w:tcBorders>
            <w:noWrap/>
            <w:vAlign w:val="center"/>
          </w:tcPr>
          <w:p w:rsidR="00CB25E6" w:rsidRDefault="00CB25E6">
            <w:pPr>
              <w:jc w:val="center"/>
              <w:rPr>
                <w:rFonts w:ascii="仿宋_GB2312" w:eastAsia="仿宋_GB2312" w:hAnsi="宋体" w:cs="宋体"/>
                <w:color w:val="000000"/>
                <w:szCs w:val="21"/>
              </w:rPr>
            </w:pP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包装耗材损耗率</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下降</w:t>
            </w:r>
            <w:r>
              <w:rPr>
                <w:rFonts w:eastAsia="仿宋_GB2312" w:hint="eastAsia"/>
                <w:color w:val="000000"/>
                <w:szCs w:val="21"/>
              </w:rPr>
              <w:t>30%</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8%</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5</w:t>
            </w:r>
          </w:p>
        </w:tc>
        <w:tc>
          <w:tcPr>
            <w:tcW w:w="98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lang w:val="en-US"/>
              </w:rPr>
            </w:pPr>
            <w:r>
              <w:rPr>
                <w:rFonts w:ascii="仿宋_GB2312" w:eastAsia="仿宋_GB2312" w:hAnsi="宋体" w:cs="宋体" w:hint="eastAsia"/>
                <w:color w:val="000000"/>
                <w:szCs w:val="21"/>
                <w:lang w:val="en-US"/>
              </w:rPr>
              <w:t>3</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tcBorders>
              <w:left w:val="single" w:sz="4" w:space="0" w:color="auto"/>
              <w:right w:val="single" w:sz="4" w:space="0" w:color="auto"/>
            </w:tcBorders>
            <w:noWrap/>
            <w:vAlign w:val="center"/>
          </w:tcPr>
          <w:p w:rsidR="00CB25E6" w:rsidRDefault="00CB25E6">
            <w:pPr>
              <w:rPr>
                <w:rFonts w:ascii="仿宋_GB2312" w:eastAsia="仿宋_GB2312" w:hAnsi="宋体" w:cs="宋体"/>
                <w:color w:val="000000"/>
                <w:szCs w:val="21"/>
              </w:rPr>
            </w:pPr>
          </w:p>
        </w:tc>
        <w:tc>
          <w:tcPr>
            <w:tcW w:w="1080" w:type="dxa"/>
            <w:vMerge/>
            <w:tcBorders>
              <w:left w:val="nil"/>
              <w:right w:val="single" w:sz="4" w:space="0" w:color="auto"/>
            </w:tcBorders>
            <w:noWrap/>
            <w:vAlign w:val="center"/>
          </w:tcPr>
          <w:p w:rsidR="00CB25E6" w:rsidRDefault="00CB25E6">
            <w:pPr>
              <w:rPr>
                <w:rFonts w:ascii="仿宋_GB2312" w:eastAsia="仿宋_GB2312" w:hAnsi="宋体" w:cs="宋体"/>
                <w:color w:val="000000"/>
                <w:szCs w:val="21"/>
              </w:rPr>
            </w:pPr>
          </w:p>
        </w:tc>
        <w:tc>
          <w:tcPr>
            <w:tcW w:w="861" w:type="dxa"/>
            <w:vMerge/>
            <w:tcBorders>
              <w:left w:val="nil"/>
              <w:bottom w:val="single" w:sz="4" w:space="0" w:color="auto"/>
              <w:right w:val="single" w:sz="4" w:space="0" w:color="auto"/>
            </w:tcBorders>
            <w:noWrap/>
            <w:vAlign w:val="center"/>
          </w:tcPr>
          <w:p w:rsidR="00CB25E6" w:rsidRDefault="00CB25E6">
            <w:pPr>
              <w:widowControl/>
              <w:jc w:val="center"/>
              <w:rPr>
                <w:rFonts w:ascii="仿宋_GB2312" w:eastAsia="仿宋_GB2312" w:hAnsi="宋体" w:cs="宋体"/>
                <w:color w:val="000000"/>
                <w:szCs w:val="21"/>
              </w:rPr>
            </w:pP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货损率</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降低</w:t>
            </w:r>
            <w:r>
              <w:rPr>
                <w:rFonts w:eastAsia="仿宋_GB2312" w:hint="eastAsia"/>
                <w:color w:val="000000"/>
                <w:szCs w:val="21"/>
              </w:rPr>
              <w:t>10%</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50%</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5</w:t>
            </w:r>
          </w:p>
        </w:tc>
        <w:tc>
          <w:tcPr>
            <w:tcW w:w="98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lang w:val="en-US"/>
              </w:rPr>
              <w:t>5</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tcBorders>
              <w:left w:val="single" w:sz="4" w:space="0" w:color="auto"/>
              <w:right w:val="single" w:sz="4" w:space="0" w:color="auto"/>
            </w:tcBorders>
            <w:noWrap/>
            <w:vAlign w:val="center"/>
          </w:tcPr>
          <w:p w:rsidR="00CB25E6" w:rsidRDefault="00CB25E6">
            <w:pPr>
              <w:rPr>
                <w:rFonts w:ascii="仿宋_GB2312" w:eastAsia="仿宋_GB2312" w:hAnsi="宋体" w:cs="宋体"/>
                <w:color w:val="000000"/>
                <w:szCs w:val="21"/>
              </w:rPr>
            </w:pPr>
          </w:p>
        </w:tc>
        <w:tc>
          <w:tcPr>
            <w:tcW w:w="1080" w:type="dxa"/>
            <w:vMerge/>
            <w:tcBorders>
              <w:left w:val="nil"/>
              <w:right w:val="single" w:sz="4" w:space="0" w:color="auto"/>
            </w:tcBorders>
            <w:noWrap/>
            <w:vAlign w:val="center"/>
          </w:tcPr>
          <w:p w:rsidR="00CB25E6" w:rsidRDefault="00CB25E6">
            <w:pPr>
              <w:rPr>
                <w:rFonts w:ascii="仿宋_GB2312" w:eastAsia="仿宋_GB2312" w:hAnsi="宋体" w:cs="宋体"/>
                <w:color w:val="000000"/>
                <w:szCs w:val="21"/>
              </w:rPr>
            </w:pPr>
          </w:p>
        </w:tc>
        <w:tc>
          <w:tcPr>
            <w:tcW w:w="861" w:type="dxa"/>
            <w:vMerge w:val="restart"/>
            <w:tcBorders>
              <w:top w:val="nil"/>
              <w:left w:val="nil"/>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时效指标</w:t>
            </w: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资金支付是否及时</w:t>
            </w:r>
          </w:p>
        </w:tc>
        <w:tc>
          <w:tcPr>
            <w:tcW w:w="1296" w:type="dxa"/>
            <w:tcBorders>
              <w:top w:val="nil"/>
              <w:left w:val="nil"/>
              <w:bottom w:val="single" w:sz="4" w:space="0" w:color="auto"/>
              <w:right w:val="single" w:sz="4" w:space="0" w:color="auto"/>
            </w:tcBorders>
            <w:noWrap/>
            <w:vAlign w:val="center"/>
          </w:tcPr>
          <w:p w:rsidR="00CB25E6" w:rsidRDefault="00CB25E6">
            <w:pPr>
              <w:widowControl/>
              <w:rPr>
                <w:rFonts w:eastAsia="仿宋_GB2312"/>
                <w:color w:val="000000"/>
                <w:szCs w:val="21"/>
              </w:rPr>
            </w:pP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及时</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 xml:space="preserve">　</w:t>
            </w:r>
          </w:p>
        </w:tc>
        <w:tc>
          <w:tcPr>
            <w:tcW w:w="98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lang w:val="en-US"/>
              </w:rPr>
              <w:t>5</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tcBorders>
              <w:left w:val="single" w:sz="4" w:space="0" w:color="auto"/>
              <w:right w:val="single" w:sz="4" w:space="0" w:color="auto"/>
            </w:tcBorders>
            <w:noWrap/>
            <w:vAlign w:val="center"/>
          </w:tcPr>
          <w:p w:rsidR="00CB25E6" w:rsidRDefault="00CB25E6">
            <w:pPr>
              <w:rPr>
                <w:rFonts w:ascii="仿宋_GB2312" w:eastAsia="仿宋_GB2312" w:hAnsi="宋体" w:cs="宋体"/>
                <w:color w:val="000000"/>
                <w:szCs w:val="21"/>
              </w:rPr>
            </w:pPr>
          </w:p>
        </w:tc>
        <w:tc>
          <w:tcPr>
            <w:tcW w:w="1080" w:type="dxa"/>
            <w:vMerge/>
            <w:tcBorders>
              <w:left w:val="nil"/>
              <w:right w:val="single" w:sz="4" w:space="0" w:color="auto"/>
            </w:tcBorders>
            <w:noWrap/>
            <w:vAlign w:val="center"/>
          </w:tcPr>
          <w:p w:rsidR="00CB25E6" w:rsidRDefault="00CB25E6">
            <w:pPr>
              <w:rPr>
                <w:rFonts w:ascii="仿宋_GB2312" w:eastAsia="仿宋_GB2312" w:hAnsi="宋体" w:cs="宋体"/>
                <w:color w:val="000000"/>
                <w:szCs w:val="21"/>
              </w:rPr>
            </w:pPr>
          </w:p>
        </w:tc>
        <w:tc>
          <w:tcPr>
            <w:tcW w:w="861" w:type="dxa"/>
            <w:vMerge/>
            <w:tcBorders>
              <w:left w:val="nil"/>
              <w:right w:val="single" w:sz="4" w:space="0" w:color="auto"/>
            </w:tcBorders>
            <w:noWrap/>
            <w:vAlign w:val="center"/>
          </w:tcPr>
          <w:p w:rsidR="00CB25E6" w:rsidRDefault="00CB25E6">
            <w:pPr>
              <w:jc w:val="center"/>
              <w:rPr>
                <w:rFonts w:ascii="仿宋_GB2312" w:eastAsia="仿宋_GB2312" w:hAnsi="宋体" w:cs="宋体"/>
                <w:color w:val="000000"/>
                <w:szCs w:val="21"/>
              </w:rPr>
            </w:pP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装卸时效率</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提高</w:t>
            </w:r>
            <w:r>
              <w:rPr>
                <w:rFonts w:eastAsia="仿宋_GB2312" w:hint="eastAsia"/>
                <w:color w:val="000000"/>
                <w:szCs w:val="21"/>
              </w:rPr>
              <w:t>80%</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300%</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5</w:t>
            </w:r>
          </w:p>
        </w:tc>
        <w:tc>
          <w:tcPr>
            <w:tcW w:w="98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lang w:val="en-US"/>
              </w:rPr>
              <w:t>5</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tcBorders>
              <w:left w:val="single" w:sz="4" w:space="0" w:color="auto"/>
              <w:right w:val="single" w:sz="4" w:space="0" w:color="auto"/>
            </w:tcBorders>
            <w:noWrap/>
            <w:vAlign w:val="center"/>
          </w:tcPr>
          <w:p w:rsidR="00CB25E6" w:rsidRDefault="00CB25E6">
            <w:pPr>
              <w:rPr>
                <w:rFonts w:ascii="仿宋_GB2312" w:eastAsia="仿宋_GB2312" w:hAnsi="宋体" w:cs="宋体"/>
                <w:color w:val="000000"/>
                <w:szCs w:val="21"/>
              </w:rPr>
            </w:pPr>
          </w:p>
        </w:tc>
        <w:tc>
          <w:tcPr>
            <w:tcW w:w="1080" w:type="dxa"/>
            <w:vMerge/>
            <w:tcBorders>
              <w:left w:val="nil"/>
              <w:right w:val="single" w:sz="4" w:space="0" w:color="auto"/>
            </w:tcBorders>
            <w:noWrap/>
            <w:vAlign w:val="center"/>
          </w:tcPr>
          <w:p w:rsidR="00CB25E6" w:rsidRDefault="00CB25E6">
            <w:pPr>
              <w:rPr>
                <w:rFonts w:ascii="仿宋_GB2312" w:eastAsia="仿宋_GB2312" w:hAnsi="宋体" w:cs="宋体"/>
                <w:color w:val="000000"/>
                <w:szCs w:val="21"/>
              </w:rPr>
            </w:pPr>
          </w:p>
        </w:tc>
        <w:tc>
          <w:tcPr>
            <w:tcW w:w="861" w:type="dxa"/>
            <w:vMerge w:val="restart"/>
            <w:tcBorders>
              <w:top w:val="nil"/>
              <w:left w:val="nil"/>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成本指标</w:t>
            </w:r>
          </w:p>
          <w:p w:rsidR="00CB25E6" w:rsidRDefault="00CB25E6">
            <w:pPr>
              <w:widowControl/>
              <w:jc w:val="center"/>
              <w:rPr>
                <w:rFonts w:ascii="仿宋_GB2312" w:eastAsia="仿宋_GB2312" w:hAnsi="宋体" w:cs="宋体"/>
                <w:color w:val="000000"/>
                <w:szCs w:val="21"/>
              </w:rPr>
            </w:pP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装卸成本</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下降</w:t>
            </w:r>
            <w:r>
              <w:rPr>
                <w:rFonts w:eastAsia="仿宋_GB2312" w:hint="eastAsia"/>
                <w:color w:val="000000"/>
                <w:szCs w:val="21"/>
              </w:rPr>
              <w:t>20%</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47%</w:t>
            </w:r>
          </w:p>
        </w:tc>
        <w:tc>
          <w:tcPr>
            <w:tcW w:w="596" w:type="dxa"/>
            <w:tcBorders>
              <w:top w:val="nil"/>
              <w:left w:val="nil"/>
              <w:bottom w:val="single" w:sz="4" w:space="0" w:color="auto"/>
              <w:right w:val="single" w:sz="4" w:space="0" w:color="auto"/>
            </w:tcBorders>
            <w:noWrap/>
            <w:vAlign w:val="center"/>
          </w:tcPr>
          <w:p w:rsidR="00CB25E6" w:rsidRDefault="0063777D">
            <w:pPr>
              <w:widowControl/>
              <w:ind w:firstLineChars="100" w:firstLine="220"/>
              <w:rPr>
                <w:rFonts w:ascii="仿宋_GB2312" w:eastAsia="仿宋_GB2312" w:hAnsi="宋体" w:cs="宋体"/>
                <w:color w:val="000000"/>
                <w:szCs w:val="21"/>
              </w:rPr>
            </w:pPr>
            <w:r>
              <w:rPr>
                <w:rFonts w:ascii="仿宋_GB2312" w:eastAsia="仿宋_GB2312" w:hAnsi="宋体" w:cs="宋体" w:hint="eastAsia"/>
                <w:color w:val="000000"/>
                <w:szCs w:val="21"/>
              </w:rPr>
              <w:t>10</w:t>
            </w:r>
          </w:p>
        </w:tc>
        <w:tc>
          <w:tcPr>
            <w:tcW w:w="98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lang w:val="en-US"/>
              </w:rPr>
              <w:t>10</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tcBorders>
              <w:left w:val="single" w:sz="4" w:space="0" w:color="auto"/>
              <w:right w:val="single" w:sz="4" w:space="0" w:color="auto"/>
            </w:tcBorders>
            <w:noWrap/>
            <w:vAlign w:val="center"/>
          </w:tcPr>
          <w:p w:rsidR="00CB25E6" w:rsidRDefault="00CB25E6">
            <w:pPr>
              <w:rPr>
                <w:rFonts w:ascii="仿宋_GB2312" w:eastAsia="仿宋_GB2312" w:hAnsi="宋体" w:cs="宋体"/>
                <w:color w:val="000000"/>
                <w:szCs w:val="21"/>
              </w:rPr>
            </w:pPr>
          </w:p>
        </w:tc>
        <w:tc>
          <w:tcPr>
            <w:tcW w:w="1080" w:type="dxa"/>
            <w:vMerge/>
            <w:tcBorders>
              <w:left w:val="nil"/>
              <w:right w:val="single" w:sz="4" w:space="0" w:color="auto"/>
            </w:tcBorders>
            <w:noWrap/>
            <w:vAlign w:val="center"/>
          </w:tcPr>
          <w:p w:rsidR="00CB25E6" w:rsidRDefault="00CB25E6">
            <w:pPr>
              <w:rPr>
                <w:rFonts w:ascii="仿宋_GB2312" w:eastAsia="仿宋_GB2312" w:hAnsi="宋体" w:cs="宋体"/>
                <w:color w:val="000000"/>
                <w:szCs w:val="21"/>
              </w:rPr>
            </w:pPr>
          </w:p>
        </w:tc>
        <w:tc>
          <w:tcPr>
            <w:tcW w:w="861" w:type="dxa"/>
            <w:vMerge/>
            <w:tcBorders>
              <w:left w:val="nil"/>
              <w:right w:val="single" w:sz="4" w:space="0" w:color="auto"/>
            </w:tcBorders>
            <w:noWrap/>
            <w:vAlign w:val="center"/>
          </w:tcPr>
          <w:p w:rsidR="00CB25E6" w:rsidRDefault="00CB25E6">
            <w:pPr>
              <w:rPr>
                <w:rFonts w:ascii="仿宋_GB2312" w:eastAsia="仿宋_GB2312" w:hAnsi="宋体" w:cs="宋体"/>
                <w:color w:val="000000"/>
                <w:szCs w:val="21"/>
              </w:rPr>
            </w:pP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综合物流成本</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eastAsia="仿宋_GB2312"/>
                <w:color w:val="000000"/>
                <w:szCs w:val="21"/>
              </w:rPr>
            </w:pPr>
            <w:r>
              <w:rPr>
                <w:rFonts w:eastAsia="仿宋_GB2312" w:hint="eastAsia"/>
                <w:color w:val="000000"/>
                <w:szCs w:val="21"/>
              </w:rPr>
              <w:t>下降</w:t>
            </w:r>
            <w:r>
              <w:rPr>
                <w:rFonts w:eastAsia="仿宋_GB2312" w:hint="eastAsia"/>
                <w:color w:val="000000"/>
                <w:szCs w:val="21"/>
              </w:rPr>
              <w:t>5%</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7%</w:t>
            </w:r>
          </w:p>
        </w:tc>
        <w:tc>
          <w:tcPr>
            <w:tcW w:w="59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5</w:t>
            </w:r>
          </w:p>
        </w:tc>
        <w:tc>
          <w:tcPr>
            <w:tcW w:w="98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lang w:val="en-US"/>
              </w:rPr>
              <w:t>5</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tcBorders>
              <w:left w:val="single" w:sz="4" w:space="0" w:color="auto"/>
              <w:right w:val="single" w:sz="4" w:space="0" w:color="auto"/>
            </w:tcBorders>
            <w:noWrap/>
            <w:vAlign w:val="center"/>
          </w:tcPr>
          <w:p w:rsidR="00CB25E6" w:rsidRDefault="00CB25E6">
            <w:pPr>
              <w:rPr>
                <w:rFonts w:ascii="仿宋_GB2312" w:eastAsia="仿宋_GB2312" w:hAnsi="宋体" w:cs="宋体"/>
                <w:color w:val="000000"/>
                <w:szCs w:val="21"/>
              </w:rPr>
            </w:pPr>
          </w:p>
        </w:tc>
        <w:tc>
          <w:tcPr>
            <w:tcW w:w="1080" w:type="dxa"/>
            <w:vMerge w:val="restart"/>
            <w:tcBorders>
              <w:top w:val="nil"/>
              <w:left w:val="nil"/>
              <w:right w:val="single" w:sz="4" w:space="0" w:color="auto"/>
            </w:tcBorders>
            <w:noWrap/>
            <w:vAlign w:val="center"/>
          </w:tcPr>
          <w:p w:rsidR="00CB25E6" w:rsidRDefault="00CB25E6">
            <w:pPr>
              <w:spacing w:line="240" w:lineRule="exact"/>
              <w:rPr>
                <w:rFonts w:ascii="仿宋_GB2312" w:eastAsia="仿宋_GB2312" w:hAnsi="宋体" w:cs="宋体"/>
                <w:color w:val="000000"/>
                <w:szCs w:val="21"/>
              </w:rPr>
            </w:pPr>
          </w:p>
          <w:p w:rsidR="00CB25E6" w:rsidRDefault="0063777D">
            <w:pPr>
              <w:widowControl/>
              <w:spacing w:line="240" w:lineRule="exact"/>
              <w:rPr>
                <w:rFonts w:ascii="仿宋_GB2312" w:eastAsia="仿宋_GB2312" w:hAnsi="宋体" w:cs="宋体"/>
                <w:color w:val="000000"/>
                <w:szCs w:val="21"/>
              </w:rPr>
            </w:pPr>
            <w:r>
              <w:rPr>
                <w:rFonts w:ascii="仿宋_GB2312" w:eastAsia="仿宋_GB2312" w:hAnsi="宋体" w:cs="宋体" w:hint="eastAsia"/>
                <w:color w:val="000000"/>
                <w:szCs w:val="21"/>
              </w:rPr>
              <w:t>效益指标</w:t>
            </w:r>
          </w:p>
          <w:p w:rsidR="00CB25E6" w:rsidRDefault="00CB25E6">
            <w:pPr>
              <w:widowControl/>
              <w:spacing w:line="240" w:lineRule="exact"/>
              <w:rPr>
                <w:rFonts w:ascii="仿宋_GB2312" w:eastAsia="仿宋_GB2312" w:hAnsi="宋体" w:cs="宋体"/>
                <w:color w:val="000000"/>
                <w:szCs w:val="21"/>
              </w:rPr>
            </w:pPr>
          </w:p>
          <w:p w:rsidR="00CB25E6" w:rsidRDefault="0063777D">
            <w:pPr>
              <w:widowControl/>
              <w:spacing w:line="240" w:lineRule="exact"/>
              <w:rPr>
                <w:rFonts w:ascii="仿宋_GB2312" w:eastAsia="仿宋_GB2312" w:hAnsi="宋体" w:cs="宋体"/>
                <w:color w:val="000000"/>
                <w:szCs w:val="21"/>
              </w:rPr>
            </w:pPr>
            <w:r>
              <w:rPr>
                <w:rFonts w:ascii="仿宋_GB2312" w:eastAsia="仿宋_GB2312" w:hAnsi="宋体" w:cs="宋体" w:hint="eastAsia"/>
                <w:color w:val="000000"/>
                <w:szCs w:val="21"/>
              </w:rPr>
              <w:t>（30分）</w:t>
            </w:r>
          </w:p>
          <w:p w:rsidR="00CB25E6" w:rsidRDefault="0063777D">
            <w:pPr>
              <w:spacing w:line="240" w:lineRule="exact"/>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861" w:type="dxa"/>
            <w:vMerge w:val="restart"/>
            <w:tcBorders>
              <w:top w:val="nil"/>
              <w:left w:val="nil"/>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经济效</w:t>
            </w:r>
          </w:p>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益指标</w:t>
            </w:r>
          </w:p>
        </w:tc>
        <w:tc>
          <w:tcPr>
            <w:tcW w:w="1559" w:type="dxa"/>
            <w:tcBorders>
              <w:top w:val="nil"/>
              <w:left w:val="nil"/>
              <w:bottom w:val="single" w:sz="4" w:space="0" w:color="auto"/>
              <w:right w:val="single" w:sz="4" w:space="0" w:color="auto"/>
            </w:tcBorders>
            <w:noWrap/>
            <w:vAlign w:val="bottom"/>
          </w:tcPr>
          <w:p w:rsidR="00CB25E6" w:rsidRDefault="0063777D">
            <w:pPr>
              <w:widowControl/>
              <w:rPr>
                <w:rFonts w:ascii="仿宋_GB2312" w:eastAsia="仿宋_GB2312" w:hAnsi="宋体" w:cs="宋体"/>
                <w:color w:val="000000"/>
                <w:szCs w:val="21"/>
              </w:rPr>
            </w:pPr>
            <w:r>
              <w:rPr>
                <w:rFonts w:eastAsia="仿宋_GB2312" w:hint="eastAsia"/>
                <w:color w:val="000000"/>
                <w:szCs w:val="21"/>
              </w:rPr>
              <w:t>全年企业收入</w:t>
            </w:r>
            <w:r>
              <w:rPr>
                <w:rFonts w:eastAsia="仿宋_GB2312"/>
                <w:color w:val="000000"/>
                <w:szCs w:val="21"/>
              </w:rPr>
              <w:t>总额增幅（万元）</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100</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5</w:t>
            </w:r>
          </w:p>
        </w:tc>
        <w:tc>
          <w:tcPr>
            <w:tcW w:w="98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lang w:val="en-US"/>
              </w:rPr>
              <w:t>4</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tcBorders>
              <w:left w:val="single" w:sz="4" w:space="0" w:color="auto"/>
              <w:right w:val="single" w:sz="4" w:space="0" w:color="auto"/>
            </w:tcBorders>
            <w:noWrap/>
            <w:vAlign w:val="center"/>
          </w:tcPr>
          <w:p w:rsidR="00CB25E6" w:rsidRDefault="00CB25E6">
            <w:pPr>
              <w:rPr>
                <w:rFonts w:ascii="仿宋_GB2312" w:eastAsia="仿宋_GB2312" w:hAnsi="宋体" w:cs="宋体"/>
                <w:color w:val="000000"/>
                <w:szCs w:val="21"/>
              </w:rPr>
            </w:pPr>
          </w:p>
        </w:tc>
        <w:tc>
          <w:tcPr>
            <w:tcW w:w="1080" w:type="dxa"/>
            <w:vMerge/>
            <w:tcBorders>
              <w:left w:val="nil"/>
              <w:right w:val="single" w:sz="4" w:space="0" w:color="auto"/>
            </w:tcBorders>
            <w:noWrap/>
            <w:vAlign w:val="center"/>
          </w:tcPr>
          <w:p w:rsidR="00CB25E6" w:rsidRDefault="00CB25E6">
            <w:pPr>
              <w:rPr>
                <w:rFonts w:ascii="仿宋_GB2312" w:eastAsia="仿宋_GB2312" w:hAnsi="宋体" w:cs="宋体"/>
                <w:color w:val="000000"/>
                <w:szCs w:val="21"/>
              </w:rPr>
            </w:pPr>
          </w:p>
        </w:tc>
        <w:tc>
          <w:tcPr>
            <w:tcW w:w="861" w:type="dxa"/>
            <w:vMerge/>
            <w:tcBorders>
              <w:left w:val="nil"/>
              <w:right w:val="single" w:sz="4" w:space="0" w:color="auto"/>
            </w:tcBorders>
            <w:noWrap/>
            <w:vAlign w:val="center"/>
          </w:tcPr>
          <w:p w:rsidR="00CB25E6" w:rsidRDefault="00CB25E6">
            <w:pPr>
              <w:jc w:val="center"/>
              <w:rPr>
                <w:rFonts w:ascii="仿宋_GB2312" w:eastAsia="仿宋_GB2312" w:hAnsi="宋体" w:cs="宋体"/>
                <w:color w:val="000000"/>
                <w:szCs w:val="21"/>
              </w:rPr>
            </w:pPr>
          </w:p>
        </w:tc>
        <w:tc>
          <w:tcPr>
            <w:tcW w:w="1559" w:type="dxa"/>
            <w:tcBorders>
              <w:top w:val="nil"/>
              <w:left w:val="nil"/>
              <w:bottom w:val="single" w:sz="4" w:space="0" w:color="auto"/>
              <w:right w:val="single" w:sz="4" w:space="0" w:color="auto"/>
            </w:tcBorders>
            <w:noWrap/>
            <w:vAlign w:val="bottom"/>
          </w:tcPr>
          <w:p w:rsidR="00CB25E6" w:rsidRDefault="0063777D">
            <w:pPr>
              <w:widowControl/>
              <w:ind w:firstLineChars="100" w:firstLine="220"/>
              <w:rPr>
                <w:rFonts w:ascii="仿宋_GB2312" w:eastAsia="仿宋_GB2312" w:hAnsi="宋体" w:cs="宋体"/>
                <w:color w:val="000000"/>
                <w:szCs w:val="21"/>
              </w:rPr>
            </w:pPr>
            <w:r>
              <w:rPr>
                <w:rFonts w:eastAsia="仿宋_GB2312" w:hint="eastAsia"/>
                <w:color w:val="000000"/>
                <w:szCs w:val="21"/>
              </w:rPr>
              <w:t>物流货运总量</w:t>
            </w:r>
            <w:r>
              <w:rPr>
                <w:rFonts w:eastAsia="仿宋_GB2312"/>
                <w:color w:val="000000"/>
                <w:szCs w:val="21"/>
              </w:rPr>
              <w:t>（万元）</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80</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10</w:t>
            </w:r>
          </w:p>
        </w:tc>
        <w:tc>
          <w:tcPr>
            <w:tcW w:w="98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lang w:val="en-US"/>
              </w:rPr>
              <w:t>9</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trHeight w:val="247"/>
          <w:jc w:val="center"/>
        </w:trPr>
        <w:tc>
          <w:tcPr>
            <w:tcW w:w="1080" w:type="dxa"/>
            <w:vMerge/>
            <w:tcBorders>
              <w:left w:val="single" w:sz="4" w:space="0" w:color="auto"/>
              <w:right w:val="single" w:sz="4" w:space="0" w:color="auto"/>
            </w:tcBorders>
            <w:noWrap/>
            <w:vAlign w:val="center"/>
          </w:tcPr>
          <w:p w:rsidR="00CB25E6" w:rsidRDefault="00CB25E6">
            <w:pPr>
              <w:rPr>
                <w:rFonts w:ascii="仿宋_GB2312" w:eastAsia="仿宋_GB2312" w:hAnsi="宋体" w:cs="宋体"/>
                <w:color w:val="000000"/>
                <w:szCs w:val="21"/>
              </w:rPr>
            </w:pPr>
          </w:p>
        </w:tc>
        <w:tc>
          <w:tcPr>
            <w:tcW w:w="1080" w:type="dxa"/>
            <w:vMerge/>
            <w:tcBorders>
              <w:left w:val="nil"/>
              <w:right w:val="single" w:sz="4" w:space="0" w:color="auto"/>
            </w:tcBorders>
            <w:noWrap/>
            <w:vAlign w:val="center"/>
          </w:tcPr>
          <w:p w:rsidR="00CB25E6" w:rsidRDefault="00CB25E6">
            <w:pPr>
              <w:rPr>
                <w:rFonts w:ascii="仿宋_GB2312" w:eastAsia="仿宋_GB2312" w:hAnsi="宋体" w:cs="宋体"/>
                <w:color w:val="000000"/>
                <w:szCs w:val="21"/>
              </w:rPr>
            </w:pPr>
          </w:p>
        </w:tc>
        <w:tc>
          <w:tcPr>
            <w:tcW w:w="861" w:type="dxa"/>
            <w:vMerge/>
            <w:tcBorders>
              <w:left w:val="nil"/>
              <w:bottom w:val="single" w:sz="4" w:space="0" w:color="auto"/>
              <w:right w:val="single" w:sz="4" w:space="0" w:color="auto"/>
            </w:tcBorders>
            <w:noWrap/>
            <w:vAlign w:val="center"/>
          </w:tcPr>
          <w:p w:rsidR="00CB25E6" w:rsidRDefault="00CB25E6">
            <w:pPr>
              <w:widowControl/>
              <w:jc w:val="center"/>
              <w:rPr>
                <w:rFonts w:ascii="仿宋_GB2312" w:eastAsia="仿宋_GB2312" w:hAnsi="宋体" w:cs="宋体"/>
                <w:color w:val="000000"/>
                <w:szCs w:val="21"/>
              </w:rPr>
            </w:pP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986" w:type="dxa"/>
            <w:tcBorders>
              <w:top w:val="nil"/>
              <w:left w:val="nil"/>
              <w:bottom w:val="single" w:sz="4" w:space="0" w:color="auto"/>
              <w:right w:val="single" w:sz="4" w:space="0" w:color="auto"/>
            </w:tcBorders>
            <w:noWrap/>
            <w:vAlign w:val="center"/>
          </w:tcPr>
          <w:p w:rsidR="00CB25E6" w:rsidRDefault="00CB25E6">
            <w:pPr>
              <w:widowControl/>
              <w:jc w:val="center"/>
              <w:rPr>
                <w:rFonts w:ascii="仿宋_GB2312" w:eastAsia="仿宋_GB2312" w:hAnsi="宋体" w:cs="宋体"/>
                <w:color w:val="000000"/>
                <w:szCs w:val="21"/>
              </w:rPr>
            </w:pP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tcBorders>
              <w:left w:val="single" w:sz="4" w:space="0" w:color="auto"/>
              <w:right w:val="single" w:sz="4" w:space="0" w:color="auto"/>
            </w:tcBorders>
            <w:noWrap/>
            <w:vAlign w:val="center"/>
          </w:tcPr>
          <w:p w:rsidR="00CB25E6" w:rsidRDefault="00CB25E6">
            <w:pPr>
              <w:rPr>
                <w:rFonts w:ascii="仿宋_GB2312" w:eastAsia="仿宋_GB2312" w:hAnsi="宋体" w:cs="宋体"/>
                <w:color w:val="000000"/>
                <w:szCs w:val="21"/>
              </w:rPr>
            </w:pPr>
          </w:p>
        </w:tc>
        <w:tc>
          <w:tcPr>
            <w:tcW w:w="1080" w:type="dxa"/>
            <w:vMerge/>
            <w:tcBorders>
              <w:left w:val="nil"/>
              <w:right w:val="single" w:sz="4" w:space="0" w:color="auto"/>
            </w:tcBorders>
            <w:noWrap/>
            <w:vAlign w:val="center"/>
          </w:tcPr>
          <w:p w:rsidR="00CB25E6" w:rsidRDefault="00CB25E6">
            <w:pPr>
              <w:rPr>
                <w:rFonts w:ascii="仿宋_GB2312" w:eastAsia="仿宋_GB2312" w:hAnsi="宋体" w:cs="宋体"/>
                <w:color w:val="000000"/>
                <w:szCs w:val="21"/>
              </w:rPr>
            </w:pPr>
          </w:p>
        </w:tc>
        <w:tc>
          <w:tcPr>
            <w:tcW w:w="861" w:type="dxa"/>
            <w:tcBorders>
              <w:top w:val="nil"/>
              <w:left w:val="nil"/>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社会效</w:t>
            </w:r>
          </w:p>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益指标</w:t>
            </w: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带动就业人数</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lang w:val="en-US"/>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10</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15</w:t>
            </w:r>
          </w:p>
        </w:tc>
        <w:tc>
          <w:tcPr>
            <w:tcW w:w="98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lang w:val="en-US"/>
              </w:rPr>
              <w:t>13</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tcBorders>
              <w:left w:val="single" w:sz="4" w:space="0" w:color="auto"/>
              <w:right w:val="single" w:sz="4" w:space="0" w:color="auto"/>
            </w:tcBorders>
            <w:noWrap/>
            <w:vAlign w:val="center"/>
          </w:tcPr>
          <w:p w:rsidR="00CB25E6" w:rsidRDefault="00CB25E6">
            <w:pPr>
              <w:rPr>
                <w:rFonts w:ascii="仿宋_GB2312" w:eastAsia="仿宋_GB2312" w:hAnsi="宋体" w:cs="宋体"/>
                <w:color w:val="000000"/>
                <w:szCs w:val="21"/>
              </w:rPr>
            </w:pPr>
          </w:p>
        </w:tc>
        <w:tc>
          <w:tcPr>
            <w:tcW w:w="1080" w:type="dxa"/>
            <w:vMerge w:val="restart"/>
            <w:tcBorders>
              <w:top w:val="nil"/>
              <w:left w:val="nil"/>
              <w:right w:val="single" w:sz="4" w:space="0" w:color="auto"/>
            </w:tcBorders>
            <w:noWrap/>
            <w:vAlign w:val="center"/>
          </w:tcPr>
          <w:p w:rsidR="00CB25E6" w:rsidRDefault="00CB25E6">
            <w:pPr>
              <w:spacing w:line="240" w:lineRule="exact"/>
              <w:rPr>
                <w:rFonts w:ascii="仿宋_GB2312" w:eastAsia="仿宋_GB2312" w:hAnsi="宋体" w:cs="宋体"/>
                <w:color w:val="000000"/>
                <w:szCs w:val="21"/>
              </w:rPr>
            </w:pPr>
          </w:p>
        </w:tc>
        <w:tc>
          <w:tcPr>
            <w:tcW w:w="861" w:type="dxa"/>
            <w:vMerge w:val="restart"/>
            <w:tcBorders>
              <w:top w:val="nil"/>
              <w:left w:val="nil"/>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服务</w:t>
            </w:r>
            <w:r>
              <w:rPr>
                <w:rFonts w:ascii="仿宋_GB2312" w:eastAsia="仿宋_GB2312" w:hAnsi="宋体" w:cs="宋体" w:hint="eastAsia"/>
                <w:color w:val="000000"/>
                <w:szCs w:val="21"/>
              </w:rPr>
              <w:lastRenderedPageBreak/>
              <w:t>对象满意度指标</w:t>
            </w: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eastAsia="仿宋_GB2312"/>
                <w:color w:val="000000"/>
                <w:szCs w:val="21"/>
              </w:rPr>
              <w:lastRenderedPageBreak/>
              <w:t>企业满意度</w:t>
            </w:r>
            <w:r>
              <w:rPr>
                <w:rFonts w:eastAsia="仿宋_GB2312"/>
                <w:color w:val="000000"/>
                <w:szCs w:val="21"/>
              </w:rPr>
              <w:lastRenderedPageBreak/>
              <w:t>（</w:t>
            </w:r>
            <w:r>
              <w:rPr>
                <w:rFonts w:eastAsia="仿宋_GB2312"/>
                <w:color w:val="000000"/>
                <w:szCs w:val="21"/>
              </w:rPr>
              <w:t>%</w:t>
            </w:r>
            <w:r>
              <w:rPr>
                <w:rFonts w:eastAsia="仿宋_GB2312"/>
                <w:color w:val="000000"/>
                <w:szCs w:val="21"/>
              </w:rPr>
              <w:t>）</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lastRenderedPageBreak/>
              <w:t xml:space="preserve">　</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r>
              <w:rPr>
                <w:rFonts w:ascii="仿宋_GB2312" w:eastAsia="仿宋_GB2312" w:hAnsi="宋体" w:cs="宋体" w:hint="eastAsia"/>
                <w:color w:val="000000"/>
                <w:szCs w:val="21"/>
                <w:lang w:val="en-US"/>
              </w:rPr>
              <w:t>99%</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10</w:t>
            </w:r>
          </w:p>
        </w:tc>
        <w:tc>
          <w:tcPr>
            <w:tcW w:w="98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lang w:val="en-US"/>
              </w:rPr>
              <w:t>9</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1080" w:type="dxa"/>
            <w:vMerge/>
            <w:tcBorders>
              <w:left w:val="single" w:sz="4" w:space="0" w:color="auto"/>
              <w:bottom w:val="single" w:sz="4" w:space="0" w:color="auto"/>
              <w:right w:val="single" w:sz="4" w:space="0" w:color="auto"/>
            </w:tcBorders>
            <w:noWrap/>
            <w:vAlign w:val="center"/>
          </w:tcPr>
          <w:p w:rsidR="00CB25E6" w:rsidRDefault="00CB25E6">
            <w:pPr>
              <w:widowControl/>
              <w:rPr>
                <w:rFonts w:ascii="仿宋_GB2312" w:eastAsia="仿宋_GB2312" w:hAnsi="宋体" w:cs="宋体"/>
                <w:color w:val="000000"/>
                <w:szCs w:val="21"/>
              </w:rPr>
            </w:pPr>
          </w:p>
        </w:tc>
        <w:tc>
          <w:tcPr>
            <w:tcW w:w="1080" w:type="dxa"/>
            <w:vMerge/>
            <w:tcBorders>
              <w:left w:val="nil"/>
              <w:bottom w:val="single" w:sz="4" w:space="0" w:color="auto"/>
              <w:right w:val="single" w:sz="4" w:space="0" w:color="auto"/>
            </w:tcBorders>
            <w:noWrap/>
            <w:vAlign w:val="center"/>
          </w:tcPr>
          <w:p w:rsidR="00CB25E6" w:rsidRDefault="00CB25E6">
            <w:pPr>
              <w:widowControl/>
              <w:rPr>
                <w:rFonts w:ascii="仿宋_GB2312" w:eastAsia="仿宋_GB2312" w:hAnsi="宋体" w:cs="宋体"/>
                <w:color w:val="000000"/>
                <w:szCs w:val="21"/>
              </w:rPr>
            </w:pPr>
          </w:p>
        </w:tc>
        <w:tc>
          <w:tcPr>
            <w:tcW w:w="861" w:type="dxa"/>
            <w:vMerge/>
            <w:tcBorders>
              <w:left w:val="nil"/>
              <w:bottom w:val="single" w:sz="4" w:space="0" w:color="auto"/>
              <w:right w:val="single" w:sz="4" w:space="0" w:color="auto"/>
            </w:tcBorders>
            <w:noWrap/>
            <w:vAlign w:val="center"/>
          </w:tcPr>
          <w:p w:rsidR="00CB25E6" w:rsidRDefault="00CB25E6">
            <w:pPr>
              <w:widowControl/>
              <w:rPr>
                <w:rFonts w:ascii="仿宋_GB2312" w:eastAsia="仿宋_GB2312" w:hAnsi="宋体" w:cs="宋体"/>
                <w:color w:val="000000"/>
                <w:szCs w:val="21"/>
              </w:rPr>
            </w:pPr>
          </w:p>
        </w:tc>
        <w:tc>
          <w:tcPr>
            <w:tcW w:w="1559"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w:t>
            </w:r>
          </w:p>
        </w:tc>
        <w:tc>
          <w:tcPr>
            <w:tcW w:w="12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1105"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59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c>
          <w:tcPr>
            <w:tcW w:w="986" w:type="dxa"/>
            <w:tcBorders>
              <w:top w:val="nil"/>
              <w:left w:val="nil"/>
              <w:bottom w:val="single" w:sz="4" w:space="0" w:color="auto"/>
              <w:right w:val="single" w:sz="4" w:space="0" w:color="auto"/>
            </w:tcBorders>
            <w:noWrap/>
            <w:vAlign w:val="center"/>
          </w:tcPr>
          <w:p w:rsidR="00CB25E6" w:rsidRDefault="00CB25E6">
            <w:pPr>
              <w:widowControl/>
              <w:jc w:val="center"/>
              <w:rPr>
                <w:rFonts w:ascii="仿宋_GB2312" w:eastAsia="仿宋_GB2312" w:hAnsi="宋体" w:cs="宋体"/>
                <w:color w:val="000000"/>
                <w:szCs w:val="21"/>
              </w:rPr>
            </w:pP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r w:rsidR="00CB25E6">
        <w:trPr>
          <w:jc w:val="center"/>
        </w:trPr>
        <w:tc>
          <w:tcPr>
            <w:tcW w:w="6981" w:type="dxa"/>
            <w:gridSpan w:val="6"/>
            <w:tcBorders>
              <w:top w:val="single" w:sz="4" w:space="0" w:color="auto"/>
              <w:left w:val="single" w:sz="4" w:space="0" w:color="auto"/>
              <w:bottom w:val="single" w:sz="4" w:space="0" w:color="auto"/>
              <w:right w:val="single" w:sz="4" w:space="0" w:color="000000"/>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总分</w:t>
            </w:r>
          </w:p>
        </w:tc>
        <w:tc>
          <w:tcPr>
            <w:tcW w:w="59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rPr>
            </w:pPr>
            <w:r>
              <w:rPr>
                <w:rFonts w:ascii="仿宋_GB2312" w:eastAsia="仿宋_GB2312" w:hAnsi="宋体" w:cs="宋体" w:hint="eastAsia"/>
                <w:color w:val="000000"/>
                <w:szCs w:val="21"/>
              </w:rPr>
              <w:t>100</w:t>
            </w:r>
          </w:p>
        </w:tc>
        <w:tc>
          <w:tcPr>
            <w:tcW w:w="986" w:type="dxa"/>
            <w:tcBorders>
              <w:top w:val="nil"/>
              <w:left w:val="nil"/>
              <w:bottom w:val="single" w:sz="4" w:space="0" w:color="auto"/>
              <w:right w:val="single" w:sz="4" w:space="0" w:color="auto"/>
            </w:tcBorders>
            <w:noWrap/>
            <w:vAlign w:val="center"/>
          </w:tcPr>
          <w:p w:rsidR="00CB25E6" w:rsidRDefault="0063777D">
            <w:pPr>
              <w:widowControl/>
              <w:jc w:val="center"/>
              <w:rPr>
                <w:rFonts w:ascii="仿宋_GB2312" w:eastAsia="仿宋_GB2312" w:hAnsi="宋体" w:cs="宋体"/>
                <w:color w:val="000000"/>
                <w:szCs w:val="21"/>
                <w:lang w:val="en-US"/>
              </w:rPr>
            </w:pPr>
            <w:r>
              <w:rPr>
                <w:rFonts w:ascii="仿宋_GB2312" w:eastAsia="仿宋_GB2312" w:hAnsi="宋体" w:cs="宋体" w:hint="eastAsia"/>
                <w:color w:val="000000"/>
                <w:szCs w:val="21"/>
                <w:lang w:val="en-US"/>
              </w:rPr>
              <w:t>93</w:t>
            </w:r>
          </w:p>
        </w:tc>
        <w:tc>
          <w:tcPr>
            <w:tcW w:w="1186" w:type="dxa"/>
            <w:tcBorders>
              <w:top w:val="nil"/>
              <w:left w:val="nil"/>
              <w:bottom w:val="single" w:sz="4" w:space="0" w:color="auto"/>
              <w:right w:val="single" w:sz="4" w:space="0" w:color="auto"/>
            </w:tcBorders>
            <w:noWrap/>
            <w:vAlign w:val="center"/>
          </w:tcPr>
          <w:p w:rsidR="00CB25E6" w:rsidRDefault="0063777D">
            <w:pPr>
              <w:widowControl/>
              <w:rPr>
                <w:rFonts w:ascii="仿宋_GB2312" w:eastAsia="仿宋_GB2312" w:hAnsi="宋体" w:cs="宋体"/>
                <w:color w:val="000000"/>
                <w:szCs w:val="21"/>
              </w:rPr>
            </w:pPr>
            <w:r>
              <w:rPr>
                <w:rFonts w:ascii="仿宋_GB2312" w:eastAsia="仿宋_GB2312" w:hAnsi="宋体" w:cs="宋体" w:hint="eastAsia"/>
                <w:color w:val="000000"/>
                <w:szCs w:val="21"/>
              </w:rPr>
              <w:t xml:space="preserve">　</w:t>
            </w:r>
          </w:p>
        </w:tc>
      </w:tr>
    </w:tbl>
    <w:p w:rsidR="00CB25E6" w:rsidRDefault="00CB25E6">
      <w:pPr>
        <w:widowControl/>
        <w:spacing w:line="240" w:lineRule="exact"/>
        <w:ind w:firstLineChars="200" w:firstLine="440"/>
        <w:rPr>
          <w:rFonts w:ascii="仿宋_GB2312" w:eastAsia="仿宋_GB2312"/>
          <w:szCs w:val="21"/>
        </w:rPr>
      </w:pPr>
    </w:p>
    <w:p w:rsidR="00CB25E6" w:rsidRDefault="00CB25E6"/>
    <w:tbl>
      <w:tblPr>
        <w:tblW w:w="9540" w:type="dxa"/>
        <w:tblInd w:w="293" w:type="dxa"/>
        <w:tblLayout w:type="fixed"/>
        <w:tblLook w:val="04A0"/>
      </w:tblPr>
      <w:tblGrid>
        <w:gridCol w:w="9540"/>
      </w:tblGrid>
      <w:tr w:rsidR="00CB25E6">
        <w:trPr>
          <w:trHeight w:val="465"/>
        </w:trPr>
        <w:tc>
          <w:tcPr>
            <w:tcW w:w="9540" w:type="dxa"/>
            <w:tcBorders>
              <w:top w:val="single" w:sz="4" w:space="0" w:color="auto"/>
              <w:left w:val="nil"/>
              <w:bottom w:val="nil"/>
              <w:right w:val="nil"/>
            </w:tcBorders>
            <w:vAlign w:val="center"/>
          </w:tcPr>
          <w:p w:rsidR="00CB25E6" w:rsidRDefault="0063777D">
            <w:pPr>
              <w:widowControl/>
              <w:spacing w:line="400" w:lineRule="exact"/>
              <w:rPr>
                <w:rFonts w:ascii="Times New Roman" w:hAnsi="Times New Roman"/>
                <w:color w:val="000000"/>
                <w:sz w:val="18"/>
                <w:szCs w:val="18"/>
              </w:rPr>
            </w:pPr>
            <w:r>
              <w:rPr>
                <w:rFonts w:ascii="Times New Roman" w:hAnsi="Times New Roman"/>
                <w:color w:val="000000"/>
                <w:sz w:val="18"/>
                <w:szCs w:val="18"/>
              </w:rPr>
              <w:t>注：</w:t>
            </w:r>
            <w:r>
              <w:rPr>
                <w:rFonts w:ascii="Times New Roman" w:hAnsi="Times New Roman"/>
                <w:color w:val="000000"/>
                <w:sz w:val="18"/>
                <w:szCs w:val="18"/>
              </w:rPr>
              <w:t>1.</w:t>
            </w:r>
            <w:r>
              <w:rPr>
                <w:rFonts w:ascii="Times New Roman" w:hAnsi="Times New Roman"/>
                <w:color w:val="000000"/>
                <w:sz w:val="18"/>
                <w:szCs w:val="18"/>
              </w:rPr>
              <w:t>一级指标分值统一设置为：产出指标</w:t>
            </w:r>
            <w:r>
              <w:rPr>
                <w:rFonts w:ascii="Times New Roman" w:hAnsi="Times New Roman"/>
                <w:color w:val="000000"/>
                <w:sz w:val="18"/>
                <w:szCs w:val="18"/>
              </w:rPr>
              <w:t>50</w:t>
            </w:r>
            <w:r>
              <w:rPr>
                <w:rFonts w:ascii="Times New Roman" w:hAnsi="Times New Roman"/>
                <w:color w:val="000000"/>
                <w:sz w:val="18"/>
                <w:szCs w:val="18"/>
              </w:rPr>
              <w:t>分、效益指标</w:t>
            </w:r>
            <w:r>
              <w:rPr>
                <w:rFonts w:ascii="Times New Roman" w:hAnsi="Times New Roman"/>
                <w:color w:val="000000"/>
                <w:sz w:val="18"/>
                <w:szCs w:val="18"/>
              </w:rPr>
              <w:t>30</w:t>
            </w:r>
            <w:r>
              <w:rPr>
                <w:rFonts w:ascii="Times New Roman" w:hAnsi="Times New Roman"/>
                <w:color w:val="000000"/>
                <w:sz w:val="18"/>
                <w:szCs w:val="18"/>
              </w:rPr>
              <w:t>分、服务对象满意度指标</w:t>
            </w:r>
            <w:r>
              <w:rPr>
                <w:rFonts w:ascii="Times New Roman" w:hAnsi="Times New Roman"/>
                <w:color w:val="000000"/>
                <w:sz w:val="18"/>
                <w:szCs w:val="18"/>
              </w:rPr>
              <w:t>10</w:t>
            </w:r>
            <w:r>
              <w:rPr>
                <w:rFonts w:ascii="Times New Roman" w:hAnsi="Times New Roman"/>
                <w:color w:val="000000"/>
                <w:sz w:val="18"/>
                <w:szCs w:val="18"/>
              </w:rPr>
              <w:t>分、预算资金执行率</w:t>
            </w:r>
            <w:r>
              <w:rPr>
                <w:rFonts w:ascii="Times New Roman" w:hAnsi="Times New Roman"/>
                <w:color w:val="000000"/>
                <w:sz w:val="18"/>
                <w:szCs w:val="18"/>
              </w:rPr>
              <w:t>10</w:t>
            </w:r>
            <w:r>
              <w:rPr>
                <w:rFonts w:ascii="Times New Roman" w:hAnsi="Times New Roman"/>
                <w:color w:val="000000"/>
                <w:sz w:val="18"/>
                <w:szCs w:val="18"/>
              </w:rPr>
              <w:t>分。如有特殊情况，上述权重可做适当调整，但加总后应等于</w:t>
            </w:r>
            <w:r>
              <w:rPr>
                <w:rFonts w:ascii="Times New Roman" w:hAnsi="Times New Roman"/>
                <w:color w:val="000000"/>
                <w:sz w:val="18"/>
                <w:szCs w:val="18"/>
              </w:rPr>
              <w:t>100</w:t>
            </w:r>
            <w:r>
              <w:rPr>
                <w:rFonts w:ascii="Times New Roman" w:hAnsi="Times New Roman"/>
                <w:color w:val="000000"/>
                <w:sz w:val="18"/>
                <w:szCs w:val="18"/>
              </w:rPr>
              <w:t>分。各部门根据各项指标重要程度确定三级指标的分值。得分一档最高不能超过该指标分值上限。</w:t>
            </w:r>
          </w:p>
        </w:tc>
      </w:tr>
      <w:tr w:rsidR="00CB25E6">
        <w:trPr>
          <w:trHeight w:val="465"/>
        </w:trPr>
        <w:tc>
          <w:tcPr>
            <w:tcW w:w="9540" w:type="dxa"/>
            <w:tcBorders>
              <w:top w:val="nil"/>
              <w:left w:val="nil"/>
              <w:bottom w:val="nil"/>
              <w:right w:val="nil"/>
            </w:tcBorders>
            <w:vAlign w:val="center"/>
          </w:tcPr>
          <w:p w:rsidR="00CB25E6" w:rsidRDefault="0063777D">
            <w:pPr>
              <w:widowControl/>
              <w:spacing w:line="400" w:lineRule="exact"/>
              <w:rPr>
                <w:rFonts w:ascii="Times New Roman" w:hAnsi="Times New Roman"/>
                <w:color w:val="000000"/>
                <w:sz w:val="18"/>
                <w:szCs w:val="18"/>
              </w:rPr>
            </w:pPr>
            <w:r>
              <w:rPr>
                <w:rFonts w:ascii="Times New Roman" w:hAnsi="Times New Roman"/>
                <w:color w:val="000000"/>
                <w:sz w:val="18"/>
                <w:szCs w:val="18"/>
              </w:rPr>
              <w:t xml:space="preserve">    2.</w:t>
            </w:r>
            <w:r>
              <w:rPr>
                <w:rFonts w:ascii="Times New Roman" w:hAnsi="Times New Roman"/>
                <w:color w:val="00000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sz w:val="18"/>
                <w:szCs w:val="18"/>
              </w:rPr>
              <w:t>100-80%(</w:t>
            </w:r>
            <w:r>
              <w:rPr>
                <w:rFonts w:ascii="Times New Roman" w:hAnsi="Times New Roman"/>
                <w:color w:val="000000"/>
                <w:sz w:val="18"/>
                <w:szCs w:val="18"/>
              </w:rPr>
              <w:t>含</w:t>
            </w:r>
            <w:r>
              <w:rPr>
                <w:rFonts w:ascii="Times New Roman" w:hAnsi="Times New Roman"/>
                <w:color w:val="000000"/>
                <w:sz w:val="18"/>
                <w:szCs w:val="18"/>
              </w:rPr>
              <w:t>80%)</w:t>
            </w:r>
            <w:r>
              <w:rPr>
                <w:rFonts w:ascii="Times New Roman" w:hAnsi="Times New Roman"/>
                <w:color w:val="000000"/>
                <w:sz w:val="18"/>
                <w:szCs w:val="18"/>
              </w:rPr>
              <w:t>、</w:t>
            </w:r>
            <w:r>
              <w:rPr>
                <w:rFonts w:ascii="Times New Roman" w:hAnsi="Times New Roman"/>
                <w:color w:val="000000"/>
                <w:sz w:val="18"/>
                <w:szCs w:val="18"/>
              </w:rPr>
              <w:t>80-50%(</w:t>
            </w:r>
            <w:r>
              <w:rPr>
                <w:rFonts w:ascii="Times New Roman" w:hAnsi="Times New Roman"/>
                <w:color w:val="000000"/>
                <w:sz w:val="18"/>
                <w:szCs w:val="18"/>
              </w:rPr>
              <w:t>含</w:t>
            </w:r>
            <w:r>
              <w:rPr>
                <w:rFonts w:ascii="Times New Roman" w:hAnsi="Times New Roman"/>
                <w:color w:val="000000"/>
                <w:sz w:val="18"/>
                <w:szCs w:val="18"/>
              </w:rPr>
              <w:t>50%)</w:t>
            </w:r>
            <w:r>
              <w:rPr>
                <w:rFonts w:ascii="Times New Roman" w:hAnsi="Times New Roman"/>
                <w:color w:val="000000"/>
                <w:sz w:val="18"/>
                <w:szCs w:val="18"/>
              </w:rPr>
              <w:t>、</w:t>
            </w:r>
            <w:r>
              <w:rPr>
                <w:rFonts w:ascii="Times New Roman" w:hAnsi="Times New Roman"/>
                <w:color w:val="000000"/>
                <w:sz w:val="18"/>
                <w:szCs w:val="18"/>
              </w:rPr>
              <w:t>50-0%</w:t>
            </w:r>
            <w:r>
              <w:rPr>
                <w:rFonts w:ascii="Times New Roman" w:hAnsi="Times New Roman"/>
                <w:color w:val="000000"/>
                <w:sz w:val="18"/>
                <w:szCs w:val="18"/>
              </w:rPr>
              <w:t>合理确定分值。</w:t>
            </w:r>
          </w:p>
        </w:tc>
      </w:tr>
      <w:tr w:rsidR="00CB25E6">
        <w:trPr>
          <w:trHeight w:val="465"/>
        </w:trPr>
        <w:tc>
          <w:tcPr>
            <w:tcW w:w="9540" w:type="dxa"/>
            <w:tcBorders>
              <w:top w:val="nil"/>
              <w:left w:val="nil"/>
              <w:bottom w:val="nil"/>
              <w:right w:val="nil"/>
            </w:tcBorders>
            <w:vAlign w:val="center"/>
          </w:tcPr>
          <w:p w:rsidR="00CB25E6" w:rsidRDefault="0063777D">
            <w:pPr>
              <w:widowControl/>
              <w:spacing w:line="400" w:lineRule="exact"/>
              <w:rPr>
                <w:rFonts w:ascii="Times New Roman" w:hAnsi="Times New Roman"/>
                <w:color w:val="000000"/>
                <w:sz w:val="18"/>
                <w:szCs w:val="18"/>
              </w:rPr>
            </w:pPr>
            <w:r>
              <w:rPr>
                <w:rFonts w:ascii="Times New Roman" w:hAnsi="Times New Roman"/>
                <w:color w:val="000000"/>
                <w:sz w:val="18"/>
                <w:szCs w:val="18"/>
              </w:rPr>
              <w:t xml:space="preserve">    3.</w:t>
            </w:r>
            <w:r>
              <w:rPr>
                <w:rFonts w:ascii="Times New Roman" w:hAnsi="Times New Roman"/>
                <w:color w:val="000000"/>
                <w:sz w:val="18"/>
                <w:szCs w:val="18"/>
              </w:rPr>
              <w:t>定量指标若为正向指标（即指标值为</w:t>
            </w:r>
            <w:r>
              <w:rPr>
                <w:rFonts w:ascii="Times New Roman" w:hAnsi="Times New Roman"/>
                <w:color w:val="000000"/>
                <w:sz w:val="18"/>
                <w:szCs w:val="18"/>
              </w:rPr>
              <w:t>≥*</w:t>
            </w:r>
            <w:r>
              <w:rPr>
                <w:rFonts w:ascii="Times New Roman" w:hAnsi="Times New Roman"/>
                <w:color w:val="000000"/>
                <w:sz w:val="18"/>
                <w:szCs w:val="18"/>
              </w:rPr>
              <w:t>），则得分计算方法应用全年实际值（</w:t>
            </w:r>
            <w:r>
              <w:rPr>
                <w:rFonts w:ascii="Times New Roman" w:hAnsi="Times New Roman"/>
                <w:color w:val="000000"/>
                <w:sz w:val="18"/>
                <w:szCs w:val="18"/>
              </w:rPr>
              <w:t>B</w:t>
            </w:r>
            <w:r>
              <w:rPr>
                <w:rFonts w:ascii="Times New Roman" w:hAnsi="Times New Roman"/>
                <w:color w:val="000000"/>
                <w:sz w:val="18"/>
                <w:szCs w:val="18"/>
              </w:rPr>
              <w:t>）</w:t>
            </w:r>
            <w:r>
              <w:rPr>
                <w:rFonts w:ascii="Times New Roman" w:hAnsi="Times New Roman"/>
                <w:color w:val="000000"/>
                <w:sz w:val="18"/>
                <w:szCs w:val="18"/>
              </w:rPr>
              <w:t>/</w:t>
            </w:r>
            <w:r>
              <w:rPr>
                <w:rFonts w:ascii="Times New Roman" w:hAnsi="Times New Roman"/>
                <w:color w:val="000000"/>
                <w:sz w:val="18"/>
                <w:szCs w:val="18"/>
              </w:rPr>
              <w:t>年度指标值（</w:t>
            </w:r>
            <w:r>
              <w:rPr>
                <w:rFonts w:ascii="Times New Roman" w:hAnsi="Times New Roman"/>
                <w:color w:val="000000"/>
                <w:sz w:val="18"/>
                <w:szCs w:val="18"/>
              </w:rPr>
              <w:t>A</w:t>
            </w:r>
            <w:r>
              <w:rPr>
                <w:rFonts w:ascii="Times New Roman" w:hAnsi="Times New Roman"/>
                <w:color w:val="000000"/>
                <w:sz w:val="18"/>
                <w:szCs w:val="18"/>
              </w:rPr>
              <w:t>）</w:t>
            </w:r>
            <w:r>
              <w:rPr>
                <w:rFonts w:ascii="宋体" w:hAnsi="宋体" w:cs="宋体" w:hint="eastAsia"/>
                <w:color w:val="000000"/>
                <w:sz w:val="12"/>
                <w:szCs w:val="12"/>
              </w:rPr>
              <w:t>╳</w:t>
            </w:r>
            <w:r>
              <w:rPr>
                <w:rFonts w:ascii="Times New Roman" w:hAnsi="Times New Roman"/>
                <w:color w:val="000000"/>
                <w:sz w:val="18"/>
                <w:szCs w:val="18"/>
              </w:rPr>
              <w:t>该指标分值；若定量指标为反向指标（即指标值为</w:t>
            </w:r>
            <w:r>
              <w:rPr>
                <w:rFonts w:ascii="Times New Roman" w:hAnsi="Times New Roman"/>
                <w:color w:val="000000"/>
                <w:sz w:val="18"/>
                <w:szCs w:val="18"/>
              </w:rPr>
              <w:t>≤*</w:t>
            </w:r>
            <w:r>
              <w:rPr>
                <w:rFonts w:ascii="Times New Roman" w:hAnsi="Times New Roman"/>
                <w:color w:val="000000"/>
                <w:sz w:val="18"/>
                <w:szCs w:val="18"/>
              </w:rPr>
              <w:t>），则得分计算方法应用年度指标值（</w:t>
            </w:r>
            <w:r>
              <w:rPr>
                <w:rFonts w:ascii="Times New Roman" w:hAnsi="Times New Roman"/>
                <w:color w:val="000000"/>
                <w:sz w:val="18"/>
                <w:szCs w:val="18"/>
              </w:rPr>
              <w:t>A</w:t>
            </w:r>
            <w:r>
              <w:rPr>
                <w:rFonts w:ascii="Times New Roman" w:hAnsi="Times New Roman"/>
                <w:color w:val="000000"/>
                <w:sz w:val="18"/>
                <w:szCs w:val="18"/>
              </w:rPr>
              <w:t>）</w:t>
            </w:r>
            <w:r>
              <w:rPr>
                <w:rFonts w:ascii="Times New Roman" w:hAnsi="Times New Roman"/>
                <w:color w:val="000000"/>
                <w:sz w:val="18"/>
                <w:szCs w:val="18"/>
              </w:rPr>
              <w:t>/</w:t>
            </w:r>
            <w:r>
              <w:rPr>
                <w:rFonts w:ascii="Times New Roman" w:hAnsi="Times New Roman"/>
                <w:color w:val="000000"/>
                <w:sz w:val="18"/>
                <w:szCs w:val="18"/>
              </w:rPr>
              <w:t>全年实际值（</w:t>
            </w:r>
            <w:r>
              <w:rPr>
                <w:rFonts w:ascii="Times New Roman" w:hAnsi="Times New Roman"/>
                <w:color w:val="000000"/>
                <w:sz w:val="18"/>
                <w:szCs w:val="18"/>
              </w:rPr>
              <w:t>B</w:t>
            </w:r>
            <w:r>
              <w:rPr>
                <w:rFonts w:ascii="Times New Roman" w:hAnsi="Times New Roman"/>
                <w:color w:val="000000"/>
                <w:sz w:val="18"/>
                <w:szCs w:val="18"/>
              </w:rPr>
              <w:t>）</w:t>
            </w:r>
            <w:r>
              <w:rPr>
                <w:rFonts w:ascii="宋体" w:hAnsi="宋体" w:cs="宋体" w:hint="eastAsia"/>
                <w:color w:val="000000"/>
                <w:sz w:val="12"/>
                <w:szCs w:val="12"/>
              </w:rPr>
              <w:t>╳</w:t>
            </w:r>
            <w:r>
              <w:rPr>
                <w:rFonts w:ascii="Times New Roman" w:hAnsi="Times New Roman"/>
                <w:color w:val="000000"/>
                <w:sz w:val="18"/>
                <w:szCs w:val="18"/>
              </w:rPr>
              <w:t>该指标分值。</w:t>
            </w:r>
          </w:p>
        </w:tc>
      </w:tr>
      <w:tr w:rsidR="00CB25E6">
        <w:trPr>
          <w:trHeight w:val="210"/>
        </w:trPr>
        <w:tc>
          <w:tcPr>
            <w:tcW w:w="9540" w:type="dxa"/>
            <w:tcBorders>
              <w:top w:val="nil"/>
              <w:left w:val="nil"/>
              <w:bottom w:val="nil"/>
              <w:right w:val="nil"/>
            </w:tcBorders>
            <w:noWrap/>
            <w:vAlign w:val="center"/>
          </w:tcPr>
          <w:p w:rsidR="00CB25E6" w:rsidRDefault="0063777D">
            <w:pPr>
              <w:widowControl/>
              <w:spacing w:line="400" w:lineRule="exact"/>
              <w:rPr>
                <w:rFonts w:ascii="Times New Roman" w:hAnsi="Times New Roman"/>
                <w:color w:val="000000"/>
                <w:sz w:val="18"/>
                <w:szCs w:val="18"/>
              </w:rPr>
            </w:pPr>
            <w:r>
              <w:rPr>
                <w:rFonts w:ascii="Times New Roman" w:hAnsi="Times New Roman"/>
                <w:color w:val="000000"/>
                <w:sz w:val="18"/>
                <w:szCs w:val="18"/>
              </w:rPr>
              <w:t xml:space="preserve">    4.</w:t>
            </w:r>
            <w:r>
              <w:rPr>
                <w:rFonts w:ascii="Times New Roman" w:hAnsi="Times New Roman"/>
                <w:color w:val="000000"/>
                <w:sz w:val="18"/>
                <w:szCs w:val="18"/>
              </w:rPr>
              <w:t>请在</w:t>
            </w:r>
            <w:r>
              <w:rPr>
                <w:rFonts w:ascii="Times New Roman" w:hAnsi="Times New Roman"/>
                <w:color w:val="000000"/>
                <w:sz w:val="18"/>
                <w:szCs w:val="18"/>
              </w:rPr>
              <w:t>“</w:t>
            </w:r>
            <w:r>
              <w:rPr>
                <w:rFonts w:ascii="Times New Roman" w:hAnsi="Times New Roman"/>
                <w:sz w:val="18"/>
                <w:szCs w:val="18"/>
              </w:rPr>
              <w:t>偏差原因分析及改进措施</w:t>
            </w:r>
            <w:r>
              <w:rPr>
                <w:rFonts w:ascii="Times New Roman" w:hAnsi="Times New Roman"/>
                <w:color w:val="000000"/>
                <w:sz w:val="18"/>
                <w:szCs w:val="18"/>
              </w:rPr>
              <w:t>”</w:t>
            </w:r>
            <w:r>
              <w:rPr>
                <w:rFonts w:ascii="Times New Roman" w:hAnsi="Times New Roman"/>
                <w:color w:val="000000"/>
                <w:sz w:val="18"/>
                <w:szCs w:val="18"/>
              </w:rPr>
              <w:t>中说明偏离目标、不能完成目标的原因及拟采取的措施。</w:t>
            </w:r>
          </w:p>
        </w:tc>
      </w:tr>
    </w:tbl>
    <w:p w:rsidR="00CB25E6" w:rsidRDefault="00CB25E6">
      <w:pPr>
        <w:widowControl/>
        <w:spacing w:line="400" w:lineRule="exact"/>
        <w:rPr>
          <w:rFonts w:ascii="Times New Roman" w:hAnsi="Times New Roman"/>
          <w:color w:val="000000"/>
          <w:sz w:val="18"/>
          <w:szCs w:val="18"/>
        </w:rPr>
      </w:pPr>
    </w:p>
    <w:p w:rsidR="00CB25E6" w:rsidRDefault="00CB25E6">
      <w:pPr>
        <w:rPr>
          <w:rFonts w:ascii="Times New Roman" w:hAnsi="Times New Roman"/>
        </w:rPr>
      </w:pPr>
    </w:p>
    <w:p w:rsidR="00CB25E6" w:rsidRDefault="00CB25E6"/>
    <w:p w:rsidR="00CB25E6" w:rsidRDefault="00CB25E6"/>
    <w:p w:rsidR="00CB25E6" w:rsidRDefault="00CB25E6"/>
    <w:p w:rsidR="00CB25E6" w:rsidRDefault="00CB25E6"/>
    <w:p w:rsidR="00CB25E6" w:rsidRDefault="00CB25E6"/>
    <w:p w:rsidR="00CB25E6" w:rsidRDefault="00CB25E6"/>
    <w:p w:rsidR="00CB25E6" w:rsidRDefault="00CB25E6"/>
    <w:p w:rsidR="00CB25E6" w:rsidRDefault="00CB25E6"/>
    <w:p w:rsidR="00CB25E6" w:rsidRDefault="00CB25E6"/>
    <w:p w:rsidR="00CB25E6" w:rsidRDefault="00CB25E6"/>
    <w:p w:rsidR="00CB25E6" w:rsidRDefault="00CB25E6"/>
    <w:p w:rsidR="00CB25E6" w:rsidRDefault="00CB25E6">
      <w:pPr>
        <w:spacing w:line="560" w:lineRule="exact"/>
        <w:rPr>
          <w:rFonts w:ascii="Times New Roman" w:eastAsia="仿宋_GB2312" w:hAnsi="Times New Roman"/>
          <w:bCs/>
          <w:color w:val="000000"/>
          <w:sz w:val="32"/>
          <w:szCs w:val="32"/>
        </w:rPr>
        <w:sectPr w:rsidR="00CB25E6">
          <w:footerReference w:type="even" r:id="rId8"/>
          <w:footerReference w:type="default" r:id="rId9"/>
          <w:pgSz w:w="11910" w:h="16840"/>
          <w:pgMar w:top="1520" w:right="900" w:bottom="1580" w:left="780" w:header="0" w:footer="1322" w:gutter="0"/>
          <w:cols w:space="720" w:equalWidth="0">
            <w:col w:w="10230"/>
          </w:cols>
          <w:docGrid w:linePitch="299"/>
        </w:sectPr>
      </w:pPr>
      <w:bookmarkStart w:id="1" w:name="_GoBack"/>
      <w:bookmarkEnd w:id="1"/>
    </w:p>
    <w:p w:rsidR="00062B58" w:rsidRDefault="0063777D" w:rsidP="00062B58">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062B58" w:rsidRPr="00062B58" w:rsidRDefault="00062B58" w:rsidP="00062B58">
      <w:pPr>
        <w:spacing w:line="560" w:lineRule="exact"/>
        <w:jc w:val="center"/>
        <w:rPr>
          <w:rFonts w:asciiTheme="minorEastAsia" w:eastAsiaTheme="minorEastAsia" w:hAnsiTheme="minorEastAsia"/>
          <w:b/>
          <w:bCs/>
          <w:color w:val="000000"/>
          <w:sz w:val="32"/>
          <w:szCs w:val="32"/>
        </w:rPr>
      </w:pPr>
      <w:r>
        <w:rPr>
          <w:rFonts w:ascii="Times New Roman" w:eastAsia="仿宋_GB2312" w:hAnsi="Times New Roman" w:hint="eastAsia"/>
          <w:bCs/>
          <w:color w:val="000000"/>
          <w:sz w:val="32"/>
          <w:szCs w:val="32"/>
        </w:rPr>
        <w:t xml:space="preserve">                        </w:t>
      </w:r>
      <w:r w:rsidRPr="00062B58">
        <w:rPr>
          <w:rFonts w:ascii="Times New Roman" w:eastAsia="仿宋_GB2312" w:hAnsi="Times New Roman" w:hint="eastAsia"/>
          <w:b/>
          <w:bCs/>
          <w:color w:val="000000"/>
          <w:sz w:val="32"/>
          <w:szCs w:val="32"/>
        </w:rPr>
        <w:t xml:space="preserve">        </w:t>
      </w:r>
      <w:r w:rsidRPr="00062B58">
        <w:rPr>
          <w:rFonts w:asciiTheme="minorEastAsia" w:eastAsiaTheme="minorEastAsia" w:hAnsiTheme="minorEastAsia" w:hint="eastAsia"/>
          <w:b/>
          <w:bCs/>
          <w:color w:val="000000"/>
          <w:sz w:val="32"/>
          <w:szCs w:val="32"/>
        </w:rPr>
        <w:t xml:space="preserve">         项目支出绩效评价共性指标表（参考）</w:t>
      </w:r>
    </w:p>
    <w:tbl>
      <w:tblPr>
        <w:tblpPr w:leftFromText="180" w:rightFromText="180" w:vertAnchor="page" w:horzAnchor="margin" w:tblpY="2056"/>
        <w:tblW w:w="138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752"/>
        <w:gridCol w:w="782"/>
        <w:gridCol w:w="1250"/>
        <w:gridCol w:w="625"/>
        <w:gridCol w:w="3126"/>
        <w:gridCol w:w="6722"/>
        <w:gridCol w:w="624"/>
      </w:tblGrid>
      <w:tr w:rsidR="00062B58" w:rsidTr="00062B58">
        <w:trPr>
          <w:trHeight w:val="688"/>
          <w:tblHeader/>
        </w:trPr>
        <w:tc>
          <w:tcPr>
            <w:tcW w:w="752" w:type="dxa"/>
            <w:shd w:val="clear" w:color="auto" w:fill="FFFFFF"/>
            <w:vAlign w:val="center"/>
          </w:tcPr>
          <w:p w:rsidR="00062B58" w:rsidRDefault="00062B58" w:rsidP="00062B58">
            <w:pPr>
              <w:widowControl/>
              <w:spacing w:line="0" w:lineRule="atLeast"/>
              <w:jc w:val="center"/>
              <w:rPr>
                <w:rFonts w:ascii="Times New Roman" w:hAnsi="Times New Roman"/>
                <w:b/>
                <w:bCs/>
                <w:color w:val="000000"/>
              </w:rPr>
            </w:pPr>
            <w:r>
              <w:rPr>
                <w:rFonts w:ascii="Times New Roman" w:hAnsi="Times New Roman"/>
                <w:b/>
                <w:bCs/>
                <w:color w:val="000000"/>
              </w:rPr>
              <w:t>一级指标</w:t>
            </w:r>
          </w:p>
        </w:tc>
        <w:tc>
          <w:tcPr>
            <w:tcW w:w="782" w:type="dxa"/>
            <w:shd w:val="clear" w:color="auto" w:fill="FFFFFF"/>
            <w:vAlign w:val="center"/>
          </w:tcPr>
          <w:p w:rsidR="00062B58" w:rsidRDefault="00062B58" w:rsidP="00062B58">
            <w:pPr>
              <w:widowControl/>
              <w:spacing w:line="0" w:lineRule="atLeast"/>
              <w:jc w:val="center"/>
              <w:rPr>
                <w:rFonts w:ascii="Times New Roman" w:hAnsi="Times New Roman"/>
                <w:b/>
                <w:bCs/>
                <w:color w:val="000000"/>
              </w:rPr>
            </w:pPr>
            <w:r>
              <w:rPr>
                <w:rFonts w:ascii="Times New Roman" w:hAnsi="Times New Roman"/>
                <w:b/>
                <w:bCs/>
                <w:color w:val="000000"/>
              </w:rPr>
              <w:t>二级指标</w:t>
            </w: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b/>
                <w:bCs/>
                <w:color w:val="000000"/>
              </w:rPr>
            </w:pPr>
            <w:r>
              <w:rPr>
                <w:rFonts w:ascii="Times New Roman" w:hAnsi="Times New Roman"/>
                <w:b/>
                <w:bCs/>
                <w:color w:val="000000"/>
              </w:rPr>
              <w:t>三级指标</w:t>
            </w:r>
          </w:p>
        </w:tc>
        <w:tc>
          <w:tcPr>
            <w:tcW w:w="625" w:type="dxa"/>
            <w:shd w:val="clear" w:color="auto" w:fill="FFFFFF"/>
          </w:tcPr>
          <w:p w:rsidR="00062B58" w:rsidRDefault="00062B58" w:rsidP="00062B58">
            <w:pPr>
              <w:widowControl/>
              <w:spacing w:line="0" w:lineRule="atLeast"/>
              <w:jc w:val="center"/>
              <w:rPr>
                <w:rFonts w:ascii="Times New Roman" w:hAnsi="Times New Roman"/>
                <w:b/>
                <w:bCs/>
                <w:color w:val="000000"/>
              </w:rPr>
            </w:pPr>
            <w:r>
              <w:rPr>
                <w:rFonts w:ascii="Times New Roman" w:hAnsi="Times New Roman"/>
                <w:b/>
                <w:bCs/>
                <w:color w:val="000000"/>
              </w:rPr>
              <w:t>分</w:t>
            </w:r>
          </w:p>
          <w:p w:rsidR="00062B58" w:rsidRDefault="00062B58" w:rsidP="00062B58">
            <w:pPr>
              <w:widowControl/>
              <w:spacing w:line="0" w:lineRule="atLeast"/>
              <w:jc w:val="center"/>
              <w:rPr>
                <w:rFonts w:ascii="Times New Roman" w:hAnsi="Times New Roman"/>
                <w:b/>
                <w:bCs/>
                <w:color w:val="000000"/>
              </w:rPr>
            </w:pPr>
            <w:r>
              <w:rPr>
                <w:rFonts w:ascii="Times New Roman" w:hAnsi="Times New Roman"/>
                <w:b/>
                <w:bCs/>
                <w:color w:val="000000"/>
              </w:rPr>
              <w:t>值</w:t>
            </w:r>
          </w:p>
        </w:tc>
        <w:tc>
          <w:tcPr>
            <w:tcW w:w="3126" w:type="dxa"/>
            <w:shd w:val="clear" w:color="auto" w:fill="FFFFFF"/>
            <w:vAlign w:val="center"/>
          </w:tcPr>
          <w:p w:rsidR="00062B58" w:rsidRDefault="00062B58" w:rsidP="00062B58">
            <w:pPr>
              <w:widowControl/>
              <w:spacing w:line="0" w:lineRule="atLeast"/>
              <w:jc w:val="center"/>
              <w:rPr>
                <w:rFonts w:ascii="Times New Roman" w:hAnsi="Times New Roman"/>
                <w:b/>
                <w:bCs/>
                <w:color w:val="000000"/>
              </w:rPr>
            </w:pPr>
            <w:r>
              <w:rPr>
                <w:rFonts w:ascii="Times New Roman" w:hAnsi="Times New Roman"/>
                <w:b/>
                <w:bCs/>
                <w:color w:val="000000"/>
              </w:rPr>
              <w:t>指标解释</w:t>
            </w:r>
          </w:p>
        </w:tc>
        <w:tc>
          <w:tcPr>
            <w:tcW w:w="6722" w:type="dxa"/>
            <w:shd w:val="clear" w:color="auto" w:fill="FFFFFF"/>
            <w:vAlign w:val="center"/>
          </w:tcPr>
          <w:p w:rsidR="00062B58" w:rsidRDefault="00062B58" w:rsidP="00062B58">
            <w:pPr>
              <w:widowControl/>
              <w:spacing w:line="0" w:lineRule="atLeast"/>
              <w:jc w:val="center"/>
              <w:rPr>
                <w:rFonts w:ascii="Times New Roman" w:hAnsi="Times New Roman"/>
                <w:b/>
                <w:bCs/>
                <w:color w:val="000000"/>
              </w:rPr>
            </w:pPr>
            <w:r>
              <w:rPr>
                <w:rFonts w:ascii="Times New Roman" w:hAnsi="Times New Roman"/>
                <w:b/>
                <w:bCs/>
                <w:color w:val="000000"/>
              </w:rPr>
              <w:t>指标说明</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b/>
                <w:bCs/>
                <w:color w:val="000000"/>
              </w:rPr>
            </w:pPr>
            <w:r>
              <w:rPr>
                <w:rFonts w:ascii="Times New Roman" w:hAnsi="Times New Roman"/>
                <w:b/>
                <w:bCs/>
                <w:color w:val="000000"/>
              </w:rPr>
              <w:t>得分</w:t>
            </w:r>
          </w:p>
        </w:tc>
      </w:tr>
      <w:tr w:rsidR="00062B58" w:rsidTr="00062B58">
        <w:trPr>
          <w:trHeight w:val="2305"/>
        </w:trPr>
        <w:tc>
          <w:tcPr>
            <w:tcW w:w="752" w:type="dxa"/>
            <w:vMerge w:val="restart"/>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 xml:space="preserve">决策　</w:t>
            </w:r>
          </w:p>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 xml:space="preserve">　</w:t>
            </w:r>
          </w:p>
          <w:p w:rsidR="00062B58" w:rsidRDefault="00062B58" w:rsidP="00062B58">
            <w:pPr>
              <w:spacing w:line="0" w:lineRule="atLeast"/>
              <w:jc w:val="center"/>
              <w:rPr>
                <w:rFonts w:ascii="Times New Roman" w:hAnsi="Times New Roman"/>
                <w:color w:val="000000"/>
              </w:rPr>
            </w:pPr>
            <w:r>
              <w:rPr>
                <w:rFonts w:ascii="Times New Roman" w:hAnsi="Times New Roman"/>
                <w:color w:val="000000"/>
              </w:rPr>
              <w:t xml:space="preserve">　</w:t>
            </w:r>
          </w:p>
        </w:tc>
        <w:tc>
          <w:tcPr>
            <w:tcW w:w="782" w:type="dxa"/>
            <w:vMerge w:val="restart"/>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 xml:space="preserve">项目立项　</w:t>
            </w: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立项依据</w:t>
            </w:r>
          </w:p>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充分性</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4</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项目立项是否符合法律法规、相关政策、发展规划以及部门职责，用以反映和考核项目立项依据情况。</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r>
            <w:r>
              <w:rPr>
                <w:rFonts w:ascii="宋体" w:hAnsi="宋体" w:cs="宋体" w:hint="eastAsia"/>
                <w:color w:val="000000"/>
              </w:rPr>
              <w:t>①</w:t>
            </w:r>
            <w:r>
              <w:rPr>
                <w:rFonts w:ascii="Times New Roman" w:hAnsi="Times New Roman"/>
                <w:color w:val="000000"/>
              </w:rPr>
              <w:t>项目立项是否符合国家法律法规、国民经济发展规划和相关政策；</w:t>
            </w:r>
            <w:r>
              <w:rPr>
                <w:rFonts w:ascii="Times New Roman" w:hAnsi="Times New Roman"/>
                <w:color w:val="000000"/>
              </w:rPr>
              <w:br/>
            </w:r>
            <w:r>
              <w:rPr>
                <w:rFonts w:ascii="宋体" w:hAnsi="宋体" w:cs="宋体" w:hint="eastAsia"/>
                <w:color w:val="000000"/>
              </w:rPr>
              <w:t>②</w:t>
            </w:r>
            <w:r>
              <w:rPr>
                <w:rFonts w:ascii="Times New Roman" w:hAnsi="Times New Roman"/>
                <w:color w:val="000000"/>
              </w:rPr>
              <w:t>项目立项是否符合行业发展规划和政策要求；</w:t>
            </w:r>
            <w:r>
              <w:rPr>
                <w:rFonts w:ascii="Times New Roman" w:hAnsi="Times New Roman"/>
                <w:color w:val="000000"/>
              </w:rPr>
              <w:br/>
            </w:r>
            <w:r>
              <w:rPr>
                <w:rFonts w:ascii="宋体" w:hAnsi="宋体" w:cs="宋体" w:hint="eastAsia"/>
                <w:color w:val="000000"/>
              </w:rPr>
              <w:t>③</w:t>
            </w:r>
            <w:r>
              <w:rPr>
                <w:rFonts w:ascii="Times New Roman" w:hAnsi="Times New Roman"/>
                <w:color w:val="000000"/>
              </w:rPr>
              <w:t>项目立项是否与部门职责范围相符，属于部门履职所需；</w:t>
            </w:r>
            <w:r>
              <w:rPr>
                <w:rFonts w:ascii="Times New Roman" w:hAnsi="Times New Roman"/>
                <w:color w:val="000000"/>
              </w:rPr>
              <w:br/>
            </w:r>
            <w:r>
              <w:rPr>
                <w:rFonts w:ascii="宋体" w:hAnsi="宋体" w:cs="宋体" w:hint="eastAsia"/>
                <w:color w:val="000000"/>
              </w:rPr>
              <w:t>④</w:t>
            </w:r>
            <w:r>
              <w:rPr>
                <w:rFonts w:ascii="Times New Roman" w:hAnsi="Times New Roman"/>
                <w:color w:val="000000"/>
              </w:rPr>
              <w:t>项目是否属于公共财政支持范围，是否符合中央、地方事权支出责任划分原则；</w:t>
            </w:r>
            <w:r>
              <w:rPr>
                <w:rFonts w:ascii="Times New Roman" w:hAnsi="Times New Roman"/>
                <w:color w:val="000000"/>
              </w:rPr>
              <w:br/>
            </w:r>
            <w:r>
              <w:rPr>
                <w:rFonts w:ascii="宋体" w:hAnsi="宋体" w:cs="宋体" w:hint="eastAsia"/>
                <w:color w:val="000000"/>
              </w:rPr>
              <w:t>⑤</w:t>
            </w:r>
            <w:r>
              <w:rPr>
                <w:rFonts w:ascii="Times New Roman" w:hAnsi="Times New Roman"/>
                <w:color w:val="000000"/>
              </w:rPr>
              <w:t>项目是否与相关部门同类项目或部门内部相关项目重复。</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4</w:t>
            </w:r>
          </w:p>
        </w:tc>
      </w:tr>
      <w:tr w:rsidR="00062B58" w:rsidTr="00062B58">
        <w:trPr>
          <w:trHeight w:val="1502"/>
        </w:trPr>
        <w:tc>
          <w:tcPr>
            <w:tcW w:w="752" w:type="dxa"/>
            <w:vMerge/>
            <w:shd w:val="clear" w:color="auto" w:fill="FFFFFF"/>
            <w:vAlign w:val="center"/>
          </w:tcPr>
          <w:p w:rsidR="00062B58" w:rsidRDefault="00062B58" w:rsidP="00062B58">
            <w:pPr>
              <w:spacing w:line="0" w:lineRule="atLeast"/>
              <w:jc w:val="center"/>
              <w:rPr>
                <w:rFonts w:ascii="Times New Roman" w:hAnsi="Times New Roman"/>
                <w:color w:val="000000"/>
              </w:rPr>
            </w:pPr>
          </w:p>
        </w:tc>
        <w:tc>
          <w:tcPr>
            <w:tcW w:w="782" w:type="dxa"/>
            <w:vMerge/>
            <w:shd w:val="clear" w:color="auto" w:fill="FFFFFF"/>
            <w:vAlign w:val="center"/>
          </w:tcPr>
          <w:p w:rsidR="00062B58" w:rsidRDefault="00062B58" w:rsidP="00062B58">
            <w:pPr>
              <w:widowControl/>
              <w:spacing w:line="0" w:lineRule="atLeast"/>
              <w:jc w:val="center"/>
              <w:rPr>
                <w:rFonts w:ascii="Times New Roman" w:hAnsi="Times New Roman"/>
                <w:color w:val="000000"/>
              </w:rPr>
            </w:pP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立项程序</w:t>
            </w:r>
          </w:p>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规范性</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3</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项目申请、设立过程是否符合相关要求，用以反映和考核项目立项的规范情况。</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r>
            <w:r>
              <w:rPr>
                <w:rFonts w:ascii="宋体" w:hAnsi="宋体" w:cs="宋体" w:hint="eastAsia"/>
                <w:color w:val="000000"/>
              </w:rPr>
              <w:t>①</w:t>
            </w:r>
            <w:r>
              <w:rPr>
                <w:rFonts w:ascii="Times New Roman" w:hAnsi="Times New Roman"/>
                <w:color w:val="000000"/>
              </w:rPr>
              <w:t>项目是否按照规定的程序申请设立；</w:t>
            </w:r>
            <w:r>
              <w:rPr>
                <w:rFonts w:ascii="Times New Roman" w:hAnsi="Times New Roman"/>
                <w:color w:val="000000"/>
              </w:rPr>
              <w:br/>
            </w:r>
            <w:r>
              <w:rPr>
                <w:rFonts w:ascii="宋体" w:hAnsi="宋体" w:cs="宋体" w:hint="eastAsia"/>
                <w:color w:val="000000"/>
              </w:rPr>
              <w:t>②</w:t>
            </w:r>
            <w:r>
              <w:rPr>
                <w:rFonts w:ascii="Times New Roman" w:hAnsi="Times New Roman"/>
                <w:color w:val="000000"/>
              </w:rPr>
              <w:t>审批文件、材料是否符合相关要求；</w:t>
            </w:r>
            <w:r>
              <w:rPr>
                <w:rFonts w:ascii="Times New Roman" w:hAnsi="Times New Roman"/>
                <w:color w:val="000000"/>
              </w:rPr>
              <w:br/>
            </w:r>
            <w:r>
              <w:rPr>
                <w:rFonts w:ascii="宋体" w:hAnsi="宋体" w:cs="宋体" w:hint="eastAsia"/>
                <w:color w:val="000000"/>
              </w:rPr>
              <w:t>③</w:t>
            </w:r>
            <w:r>
              <w:rPr>
                <w:rFonts w:ascii="Times New Roman" w:hAnsi="Times New Roman"/>
                <w:color w:val="000000"/>
              </w:rPr>
              <w:t>事前是否已经过必要的可行性研究、专家论证、风险评估、绩效评估、集体决策。</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3</w:t>
            </w:r>
          </w:p>
        </w:tc>
      </w:tr>
      <w:tr w:rsidR="00062B58" w:rsidTr="00062B58">
        <w:trPr>
          <w:trHeight w:val="1819"/>
        </w:trPr>
        <w:tc>
          <w:tcPr>
            <w:tcW w:w="752" w:type="dxa"/>
            <w:vMerge/>
            <w:shd w:val="clear" w:color="auto" w:fill="FFFFFF"/>
            <w:vAlign w:val="center"/>
          </w:tcPr>
          <w:p w:rsidR="00062B58" w:rsidRDefault="00062B58" w:rsidP="00062B58">
            <w:pPr>
              <w:spacing w:line="0" w:lineRule="atLeast"/>
              <w:jc w:val="center"/>
              <w:rPr>
                <w:rFonts w:ascii="Times New Roman" w:hAnsi="Times New Roman"/>
                <w:color w:val="000000"/>
              </w:rPr>
            </w:pPr>
          </w:p>
        </w:tc>
        <w:tc>
          <w:tcPr>
            <w:tcW w:w="782"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 xml:space="preserve">绩效目标　</w:t>
            </w: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绩效目标</w:t>
            </w:r>
          </w:p>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合理性</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4</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项目所设定的绩效目标是否依据充分，是否符合客观实际，用以反映和考核项目绩效目标与项目实施的相符情况。</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r>
            <w:r>
              <w:rPr>
                <w:rFonts w:ascii="Times New Roman" w:hAnsi="Times New Roman"/>
                <w:color w:val="000000"/>
              </w:rPr>
              <w:t>（如未设定预算绩效目标，也可考核其他工作任务目标）</w:t>
            </w:r>
            <w:r>
              <w:rPr>
                <w:rFonts w:ascii="Times New Roman" w:hAnsi="Times New Roman"/>
                <w:color w:val="000000"/>
              </w:rPr>
              <w:br/>
            </w:r>
            <w:r>
              <w:rPr>
                <w:rFonts w:ascii="宋体" w:hAnsi="宋体" w:cs="宋体" w:hint="eastAsia"/>
                <w:color w:val="000000"/>
              </w:rPr>
              <w:t>①</w:t>
            </w:r>
            <w:r>
              <w:rPr>
                <w:rFonts w:ascii="Times New Roman" w:hAnsi="Times New Roman"/>
                <w:color w:val="000000"/>
              </w:rPr>
              <w:t>项目是否有绩效目标；</w:t>
            </w:r>
            <w:r>
              <w:rPr>
                <w:rFonts w:ascii="Times New Roman" w:hAnsi="Times New Roman"/>
                <w:color w:val="000000"/>
              </w:rPr>
              <w:br/>
            </w:r>
            <w:r>
              <w:rPr>
                <w:rFonts w:ascii="宋体" w:hAnsi="宋体" w:cs="宋体" w:hint="eastAsia"/>
                <w:color w:val="000000"/>
              </w:rPr>
              <w:t>②</w:t>
            </w:r>
            <w:r>
              <w:rPr>
                <w:rFonts w:ascii="Times New Roman" w:hAnsi="Times New Roman"/>
                <w:color w:val="000000"/>
              </w:rPr>
              <w:t>项目绩效目标与实际工作内容是否具有相关性；</w:t>
            </w:r>
            <w:r>
              <w:rPr>
                <w:rFonts w:ascii="Times New Roman" w:hAnsi="Times New Roman"/>
                <w:color w:val="000000"/>
              </w:rPr>
              <w:br/>
            </w:r>
            <w:r>
              <w:rPr>
                <w:rFonts w:ascii="宋体" w:hAnsi="宋体" w:cs="宋体" w:hint="eastAsia"/>
                <w:color w:val="000000"/>
              </w:rPr>
              <w:t>③</w:t>
            </w:r>
            <w:r>
              <w:rPr>
                <w:rFonts w:ascii="Times New Roman" w:hAnsi="Times New Roman"/>
                <w:color w:val="000000"/>
              </w:rPr>
              <w:t>项目预期产出效益和效果是否符合正常的业绩水平；</w:t>
            </w:r>
          </w:p>
          <w:p w:rsidR="00062B58" w:rsidRDefault="00062B58" w:rsidP="00062B58">
            <w:pPr>
              <w:widowControl/>
              <w:spacing w:line="0" w:lineRule="atLeast"/>
              <w:rPr>
                <w:rFonts w:ascii="Times New Roman" w:hAnsi="Times New Roman"/>
                <w:color w:val="000000"/>
              </w:rPr>
            </w:pPr>
            <w:r>
              <w:rPr>
                <w:rFonts w:ascii="宋体" w:hAnsi="宋体" w:cs="宋体" w:hint="eastAsia"/>
                <w:color w:val="000000"/>
              </w:rPr>
              <w:t>④</w:t>
            </w:r>
            <w:r>
              <w:rPr>
                <w:rFonts w:ascii="Times New Roman" w:hAnsi="Times New Roman"/>
                <w:color w:val="000000"/>
              </w:rPr>
              <w:t>是否与预算确定的项目投资额或资金量相匹配。</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4</w:t>
            </w:r>
          </w:p>
        </w:tc>
      </w:tr>
      <w:tr w:rsidR="00062B58" w:rsidTr="00062B58">
        <w:trPr>
          <w:trHeight w:val="1456"/>
        </w:trPr>
        <w:tc>
          <w:tcPr>
            <w:tcW w:w="752" w:type="dxa"/>
            <w:vMerge w:val="restart"/>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 xml:space="preserve">决策　</w:t>
            </w:r>
          </w:p>
        </w:tc>
        <w:tc>
          <w:tcPr>
            <w:tcW w:w="782"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绩效目标</w:t>
            </w: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绩效指标</w:t>
            </w:r>
          </w:p>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明确性</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4</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依据绩效目标设定的绩效指标是否清晰、细化、可衡量等，用以反映和考核项目绩效目标的明细化情况。</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r>
            <w:r>
              <w:rPr>
                <w:rFonts w:ascii="宋体" w:hAnsi="宋体" w:cs="宋体" w:hint="eastAsia"/>
                <w:color w:val="000000"/>
              </w:rPr>
              <w:t>①</w:t>
            </w:r>
            <w:r>
              <w:rPr>
                <w:rFonts w:ascii="Times New Roman" w:hAnsi="Times New Roman"/>
                <w:color w:val="000000"/>
              </w:rPr>
              <w:t>是否将项目绩效目标细化分解为具体的绩效指标；</w:t>
            </w:r>
            <w:r>
              <w:rPr>
                <w:rFonts w:ascii="Times New Roman" w:hAnsi="Times New Roman"/>
                <w:color w:val="000000"/>
              </w:rPr>
              <w:br/>
            </w:r>
            <w:r>
              <w:rPr>
                <w:rFonts w:ascii="宋体" w:hAnsi="宋体" w:cs="宋体" w:hint="eastAsia"/>
                <w:color w:val="000000"/>
              </w:rPr>
              <w:t>②</w:t>
            </w:r>
            <w:r>
              <w:rPr>
                <w:rFonts w:ascii="Times New Roman" w:hAnsi="Times New Roman"/>
                <w:color w:val="000000"/>
              </w:rPr>
              <w:t>是否通过清晰、可衡量的指标值予以体现；</w:t>
            </w:r>
            <w:r>
              <w:rPr>
                <w:rFonts w:ascii="Times New Roman" w:hAnsi="Times New Roman"/>
                <w:color w:val="000000"/>
              </w:rPr>
              <w:br/>
            </w:r>
            <w:r>
              <w:rPr>
                <w:rFonts w:ascii="宋体" w:hAnsi="宋体" w:cs="宋体" w:hint="eastAsia"/>
                <w:color w:val="000000"/>
              </w:rPr>
              <w:t>③</w:t>
            </w:r>
            <w:r>
              <w:rPr>
                <w:rFonts w:ascii="Times New Roman" w:hAnsi="Times New Roman"/>
                <w:color w:val="000000"/>
              </w:rPr>
              <w:t>是否与项目目标任务数或计划数相对应。</w:t>
            </w:r>
            <w:r>
              <w:rPr>
                <w:rFonts w:ascii="Times New Roman" w:hAnsi="Times New Roman"/>
                <w:color w:val="000000"/>
              </w:rPr>
              <w:br/>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4</w:t>
            </w:r>
          </w:p>
        </w:tc>
      </w:tr>
      <w:tr w:rsidR="00062B58" w:rsidTr="00062B58">
        <w:trPr>
          <w:trHeight w:val="1931"/>
        </w:trPr>
        <w:tc>
          <w:tcPr>
            <w:tcW w:w="752" w:type="dxa"/>
            <w:vMerge/>
            <w:shd w:val="clear" w:color="auto" w:fill="FFFFFF"/>
            <w:vAlign w:val="center"/>
          </w:tcPr>
          <w:p w:rsidR="00062B58" w:rsidRDefault="00062B58" w:rsidP="00062B58">
            <w:pPr>
              <w:spacing w:line="0" w:lineRule="atLeast"/>
              <w:jc w:val="center"/>
              <w:rPr>
                <w:rFonts w:ascii="Times New Roman" w:hAnsi="Times New Roman"/>
                <w:color w:val="000000"/>
              </w:rPr>
            </w:pPr>
          </w:p>
        </w:tc>
        <w:tc>
          <w:tcPr>
            <w:tcW w:w="782" w:type="dxa"/>
            <w:vMerge w:val="restart"/>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资金投入</w:t>
            </w:r>
          </w:p>
          <w:p w:rsidR="00062B58" w:rsidRDefault="00062B58" w:rsidP="00062B58">
            <w:pPr>
              <w:spacing w:line="0" w:lineRule="atLeast"/>
              <w:jc w:val="center"/>
              <w:rPr>
                <w:rFonts w:ascii="Times New Roman" w:hAnsi="Times New Roman"/>
                <w:color w:val="000000"/>
              </w:rPr>
            </w:pPr>
            <w:r>
              <w:rPr>
                <w:rFonts w:ascii="Times New Roman" w:hAnsi="Times New Roman"/>
                <w:color w:val="000000"/>
              </w:rPr>
              <w:t xml:space="preserve">　</w:t>
            </w: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预算编制</w:t>
            </w:r>
          </w:p>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科学性</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3</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项目预算编制是否经过科学论证、有明确标准，资金额度与年度目标是否相适应，用以反映和考核项目预算编制的科学性、合理性情况。</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r>
            <w:r>
              <w:rPr>
                <w:rFonts w:ascii="宋体" w:hAnsi="宋体" w:cs="宋体" w:hint="eastAsia"/>
                <w:color w:val="000000"/>
              </w:rPr>
              <w:t>①</w:t>
            </w:r>
            <w:r>
              <w:rPr>
                <w:rFonts w:ascii="Times New Roman" w:hAnsi="Times New Roman"/>
                <w:color w:val="000000"/>
              </w:rPr>
              <w:t>预算编制是否经过科学论证；</w:t>
            </w:r>
            <w:r>
              <w:rPr>
                <w:rFonts w:ascii="Times New Roman" w:hAnsi="Times New Roman"/>
                <w:color w:val="000000"/>
              </w:rPr>
              <w:br/>
            </w:r>
            <w:r>
              <w:rPr>
                <w:rFonts w:ascii="宋体" w:hAnsi="宋体" w:cs="宋体" w:hint="eastAsia"/>
                <w:color w:val="000000"/>
              </w:rPr>
              <w:t>②</w:t>
            </w:r>
            <w:r>
              <w:rPr>
                <w:rFonts w:ascii="Times New Roman" w:hAnsi="Times New Roman"/>
                <w:color w:val="000000"/>
              </w:rPr>
              <w:t>预算内容与项目内容是否匹配；</w:t>
            </w:r>
            <w:r>
              <w:rPr>
                <w:rFonts w:ascii="Times New Roman" w:hAnsi="Times New Roman"/>
                <w:color w:val="000000"/>
              </w:rPr>
              <w:br/>
            </w:r>
            <w:r>
              <w:rPr>
                <w:rFonts w:ascii="宋体" w:hAnsi="宋体" w:cs="宋体" w:hint="eastAsia"/>
                <w:color w:val="000000"/>
              </w:rPr>
              <w:t>③</w:t>
            </w:r>
            <w:r>
              <w:rPr>
                <w:rFonts w:ascii="Times New Roman" w:hAnsi="Times New Roman"/>
                <w:color w:val="000000"/>
              </w:rPr>
              <w:t>预算额度测算依据是否充分，是否按照标准编制；</w:t>
            </w:r>
            <w:r>
              <w:rPr>
                <w:rFonts w:ascii="Times New Roman" w:hAnsi="Times New Roman"/>
                <w:color w:val="000000"/>
              </w:rPr>
              <w:br/>
            </w:r>
            <w:r>
              <w:rPr>
                <w:rFonts w:ascii="宋体" w:hAnsi="宋体" w:cs="宋体" w:hint="eastAsia"/>
                <w:color w:val="000000"/>
              </w:rPr>
              <w:t>④</w:t>
            </w:r>
            <w:r>
              <w:rPr>
                <w:rFonts w:ascii="Times New Roman" w:hAnsi="Times New Roman"/>
                <w:color w:val="000000"/>
              </w:rPr>
              <w:t>预算确定的项目投资额或资金量是否与工作任务相匹配。</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3</w:t>
            </w:r>
          </w:p>
        </w:tc>
      </w:tr>
      <w:tr w:rsidR="00062B58" w:rsidTr="00062B58">
        <w:trPr>
          <w:trHeight w:val="1696"/>
        </w:trPr>
        <w:tc>
          <w:tcPr>
            <w:tcW w:w="752" w:type="dxa"/>
            <w:vMerge/>
            <w:shd w:val="clear" w:color="auto" w:fill="FFFFFF"/>
            <w:vAlign w:val="center"/>
          </w:tcPr>
          <w:p w:rsidR="00062B58" w:rsidRDefault="00062B58" w:rsidP="00062B58">
            <w:pPr>
              <w:widowControl/>
              <w:spacing w:line="0" w:lineRule="atLeast"/>
              <w:jc w:val="center"/>
              <w:rPr>
                <w:rFonts w:ascii="Times New Roman" w:hAnsi="Times New Roman"/>
                <w:color w:val="000000"/>
              </w:rPr>
            </w:pPr>
          </w:p>
        </w:tc>
        <w:tc>
          <w:tcPr>
            <w:tcW w:w="782" w:type="dxa"/>
            <w:vMerge/>
            <w:shd w:val="clear" w:color="auto" w:fill="FFFFFF"/>
            <w:vAlign w:val="center"/>
          </w:tcPr>
          <w:p w:rsidR="00062B58" w:rsidRDefault="00062B58" w:rsidP="00062B58">
            <w:pPr>
              <w:widowControl/>
              <w:spacing w:line="0" w:lineRule="atLeast"/>
              <w:jc w:val="center"/>
              <w:rPr>
                <w:rFonts w:ascii="Times New Roman" w:hAnsi="Times New Roman"/>
                <w:color w:val="000000"/>
              </w:rPr>
            </w:pP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资金分配</w:t>
            </w:r>
          </w:p>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合理性</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3</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项目预算资金分配是否有测算依据，与补助单位或地方实际是否相适应，用以反映和考核项目预算资金分配的科学性、合理性情况。</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r>
            <w:r>
              <w:rPr>
                <w:rFonts w:ascii="宋体" w:hAnsi="宋体" w:cs="宋体" w:hint="eastAsia"/>
                <w:color w:val="000000"/>
              </w:rPr>
              <w:t>①</w:t>
            </w:r>
            <w:r>
              <w:rPr>
                <w:rFonts w:ascii="Times New Roman" w:hAnsi="Times New Roman"/>
                <w:color w:val="000000"/>
              </w:rPr>
              <w:t>预算资金分配依据是否充分；</w:t>
            </w:r>
            <w:r>
              <w:rPr>
                <w:rFonts w:ascii="Times New Roman" w:hAnsi="Times New Roman"/>
                <w:color w:val="000000"/>
              </w:rPr>
              <w:br/>
            </w:r>
            <w:r>
              <w:rPr>
                <w:rFonts w:ascii="宋体" w:hAnsi="宋体" w:cs="宋体" w:hint="eastAsia"/>
                <w:color w:val="000000"/>
              </w:rPr>
              <w:t>②</w:t>
            </w:r>
            <w:r>
              <w:rPr>
                <w:rFonts w:ascii="Times New Roman" w:hAnsi="Times New Roman"/>
                <w:color w:val="000000"/>
              </w:rPr>
              <w:t>资金分配额度是否合理，与项目单位或地方实际是否相适应。</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3</w:t>
            </w:r>
          </w:p>
        </w:tc>
      </w:tr>
      <w:tr w:rsidR="00062B58" w:rsidTr="00062B58">
        <w:trPr>
          <w:trHeight w:val="1407"/>
        </w:trPr>
        <w:tc>
          <w:tcPr>
            <w:tcW w:w="752" w:type="dxa"/>
            <w:vMerge w:val="restart"/>
            <w:shd w:val="clear" w:color="auto" w:fill="FFFFFF"/>
            <w:vAlign w:val="center"/>
          </w:tcPr>
          <w:p w:rsidR="00062B58" w:rsidRDefault="00062B58" w:rsidP="00062B58">
            <w:pPr>
              <w:spacing w:line="0" w:lineRule="atLeast"/>
              <w:jc w:val="center"/>
              <w:rPr>
                <w:rFonts w:ascii="Times New Roman" w:hAnsi="Times New Roman"/>
                <w:color w:val="000000"/>
              </w:rPr>
            </w:pPr>
            <w:r>
              <w:rPr>
                <w:rFonts w:ascii="Times New Roman" w:hAnsi="Times New Roman"/>
                <w:color w:val="000000"/>
              </w:rPr>
              <w:t>过程</w:t>
            </w:r>
          </w:p>
        </w:tc>
        <w:tc>
          <w:tcPr>
            <w:tcW w:w="782" w:type="dxa"/>
            <w:vMerge w:val="restart"/>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资金管理</w:t>
            </w: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资金到位率</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3</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实际到位资金与预算资金的比率，用以反映和考核资金落实情况对项目实施的总体保障程度。</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资金到位率</w:t>
            </w:r>
            <w:r>
              <w:rPr>
                <w:rFonts w:ascii="Times New Roman" w:hAnsi="Times New Roman"/>
                <w:color w:val="000000"/>
              </w:rPr>
              <w:t>=</w:t>
            </w:r>
            <w:r>
              <w:rPr>
                <w:rFonts w:ascii="Times New Roman" w:hAnsi="Times New Roman"/>
                <w:color w:val="000000"/>
              </w:rPr>
              <w:t>（实际到位资金</w:t>
            </w:r>
            <w:r>
              <w:rPr>
                <w:rFonts w:ascii="Times New Roman" w:hAnsi="Times New Roman"/>
                <w:color w:val="000000"/>
              </w:rPr>
              <w:t>/</w:t>
            </w:r>
            <w:r>
              <w:rPr>
                <w:rFonts w:ascii="Times New Roman" w:hAnsi="Times New Roman"/>
                <w:color w:val="000000"/>
              </w:rPr>
              <w:t>预算资金）</w:t>
            </w:r>
            <w:r>
              <w:rPr>
                <w:rFonts w:ascii="Times New Roman" w:hAnsi="Times New Roman"/>
                <w:color w:val="000000"/>
              </w:rPr>
              <w:t>×100%</w:t>
            </w:r>
            <w:r>
              <w:rPr>
                <w:rFonts w:ascii="Times New Roman" w:hAnsi="Times New Roman"/>
                <w:color w:val="000000"/>
              </w:rPr>
              <w:t>。</w:t>
            </w:r>
          </w:p>
          <w:p w:rsidR="00062B58" w:rsidRDefault="00062B58" w:rsidP="00062B58">
            <w:pPr>
              <w:widowControl/>
              <w:spacing w:line="0" w:lineRule="atLeast"/>
              <w:rPr>
                <w:rFonts w:ascii="Times New Roman" w:hAnsi="Times New Roman"/>
                <w:color w:val="000000"/>
              </w:rPr>
            </w:pPr>
            <w:r>
              <w:rPr>
                <w:rFonts w:ascii="Times New Roman" w:hAnsi="Times New Roman"/>
                <w:color w:val="000000"/>
              </w:rPr>
              <w:t>实际到位资金：一定时期（本年度或项目期）内落实到具体项目的资金。</w:t>
            </w:r>
          </w:p>
          <w:p w:rsidR="00062B58" w:rsidRDefault="00062B58" w:rsidP="00062B58">
            <w:pPr>
              <w:widowControl/>
              <w:spacing w:line="0" w:lineRule="atLeast"/>
              <w:rPr>
                <w:rFonts w:ascii="Times New Roman" w:hAnsi="Times New Roman"/>
                <w:color w:val="000000"/>
              </w:rPr>
            </w:pPr>
            <w:r>
              <w:rPr>
                <w:rFonts w:ascii="Times New Roman" w:hAnsi="Times New Roman"/>
                <w:color w:val="000000"/>
              </w:rPr>
              <w:t>预算资金：一定时期（本年度或项目期）内预算安排到具体项目的资金。</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3</w:t>
            </w:r>
          </w:p>
        </w:tc>
      </w:tr>
      <w:tr w:rsidR="00062B58" w:rsidTr="00062B58">
        <w:trPr>
          <w:trHeight w:val="1313"/>
        </w:trPr>
        <w:tc>
          <w:tcPr>
            <w:tcW w:w="752" w:type="dxa"/>
            <w:vMerge/>
            <w:shd w:val="clear" w:color="auto" w:fill="FFFFFF"/>
            <w:vAlign w:val="center"/>
          </w:tcPr>
          <w:p w:rsidR="00062B58" w:rsidRDefault="00062B58" w:rsidP="00062B58">
            <w:pPr>
              <w:spacing w:line="0" w:lineRule="atLeast"/>
              <w:jc w:val="center"/>
              <w:rPr>
                <w:rFonts w:ascii="Times New Roman" w:hAnsi="Times New Roman"/>
                <w:color w:val="000000"/>
              </w:rPr>
            </w:pPr>
          </w:p>
        </w:tc>
        <w:tc>
          <w:tcPr>
            <w:tcW w:w="782" w:type="dxa"/>
            <w:vMerge/>
            <w:shd w:val="clear" w:color="auto" w:fill="FFFFFF"/>
            <w:vAlign w:val="center"/>
          </w:tcPr>
          <w:p w:rsidR="00062B58" w:rsidRDefault="00062B58" w:rsidP="00062B58">
            <w:pPr>
              <w:spacing w:line="0" w:lineRule="atLeast"/>
              <w:jc w:val="center"/>
              <w:rPr>
                <w:rFonts w:ascii="Times New Roman" w:hAnsi="Times New Roman"/>
                <w:color w:val="000000"/>
              </w:rPr>
            </w:pP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预算执行率</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4</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项目预算资金是否按照计划执行，用以反映或考核项目预算执行情况。</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预算执行率</w:t>
            </w:r>
            <w:r>
              <w:rPr>
                <w:rFonts w:ascii="Times New Roman" w:hAnsi="Times New Roman"/>
                <w:color w:val="000000"/>
              </w:rPr>
              <w:t>=</w:t>
            </w:r>
            <w:r>
              <w:rPr>
                <w:rFonts w:ascii="Times New Roman" w:hAnsi="Times New Roman"/>
                <w:color w:val="000000"/>
              </w:rPr>
              <w:t>（实际支出资金</w:t>
            </w:r>
            <w:r>
              <w:rPr>
                <w:rFonts w:ascii="Times New Roman" w:hAnsi="Times New Roman"/>
                <w:color w:val="000000"/>
              </w:rPr>
              <w:t>/</w:t>
            </w:r>
            <w:r>
              <w:rPr>
                <w:rFonts w:ascii="Times New Roman" w:hAnsi="Times New Roman"/>
                <w:color w:val="000000"/>
              </w:rPr>
              <w:t>实际到位资金）</w:t>
            </w:r>
            <w:r>
              <w:rPr>
                <w:rFonts w:ascii="Times New Roman" w:hAnsi="Times New Roman"/>
                <w:color w:val="000000"/>
              </w:rPr>
              <w:t>×100%</w:t>
            </w:r>
            <w:r>
              <w:rPr>
                <w:rFonts w:ascii="Times New Roman" w:hAnsi="Times New Roman"/>
                <w:color w:val="000000"/>
              </w:rPr>
              <w:t>。</w:t>
            </w:r>
            <w:r>
              <w:rPr>
                <w:rFonts w:ascii="Times New Roman" w:hAnsi="Times New Roman"/>
                <w:color w:val="000000"/>
              </w:rPr>
              <w:br/>
            </w:r>
            <w:r>
              <w:rPr>
                <w:rFonts w:ascii="Times New Roman" w:hAnsi="Times New Roman"/>
                <w:color w:val="000000"/>
              </w:rPr>
              <w:t>实际支出资金：一定时期（本年度或项目期）内项目实际拨付的资金。</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4</w:t>
            </w:r>
          </w:p>
        </w:tc>
      </w:tr>
      <w:tr w:rsidR="00062B58" w:rsidTr="00062B58">
        <w:trPr>
          <w:trHeight w:val="2064"/>
        </w:trPr>
        <w:tc>
          <w:tcPr>
            <w:tcW w:w="752" w:type="dxa"/>
            <w:vMerge w:val="restart"/>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 xml:space="preserve">　</w:t>
            </w:r>
          </w:p>
          <w:p w:rsidR="00062B58" w:rsidRDefault="00062B58" w:rsidP="00062B58">
            <w:pPr>
              <w:spacing w:line="0" w:lineRule="atLeast"/>
              <w:jc w:val="center"/>
              <w:rPr>
                <w:rFonts w:ascii="Times New Roman" w:hAnsi="Times New Roman"/>
                <w:color w:val="000000"/>
              </w:rPr>
            </w:pPr>
            <w:r>
              <w:rPr>
                <w:rFonts w:ascii="Times New Roman" w:hAnsi="Times New Roman"/>
                <w:color w:val="000000"/>
              </w:rPr>
              <w:t xml:space="preserve">过程　</w:t>
            </w:r>
          </w:p>
        </w:tc>
        <w:tc>
          <w:tcPr>
            <w:tcW w:w="782"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资金管理</w:t>
            </w: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资金使用</w:t>
            </w:r>
          </w:p>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合规性</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4</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项目资金使用是否符合相关的财务管理制度规定，用以反映和考核项目资金的规范运行情况。</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r>
            <w:r>
              <w:rPr>
                <w:rFonts w:ascii="宋体" w:hAnsi="宋体" w:cs="宋体" w:hint="eastAsia"/>
                <w:color w:val="000000"/>
              </w:rPr>
              <w:t>①</w:t>
            </w:r>
            <w:r>
              <w:rPr>
                <w:rFonts w:ascii="Times New Roman" w:hAnsi="Times New Roman"/>
                <w:color w:val="000000"/>
              </w:rPr>
              <w:t>是否符合国家财经法规和财务管理制度以及有关专项资金管理办法的规定；</w:t>
            </w:r>
            <w:r>
              <w:rPr>
                <w:rFonts w:ascii="Times New Roman" w:hAnsi="Times New Roman"/>
                <w:color w:val="000000"/>
              </w:rPr>
              <w:br/>
            </w:r>
            <w:r>
              <w:rPr>
                <w:rFonts w:ascii="宋体" w:hAnsi="宋体" w:cs="宋体" w:hint="eastAsia"/>
                <w:color w:val="000000"/>
              </w:rPr>
              <w:t>②</w:t>
            </w:r>
            <w:r>
              <w:rPr>
                <w:rFonts w:ascii="Times New Roman" w:hAnsi="Times New Roman"/>
                <w:color w:val="000000"/>
              </w:rPr>
              <w:t>资金的拨付是否有完整的审批程序和手续；</w:t>
            </w:r>
            <w:r>
              <w:rPr>
                <w:rFonts w:ascii="Times New Roman" w:hAnsi="Times New Roman"/>
                <w:color w:val="000000"/>
              </w:rPr>
              <w:br/>
            </w:r>
            <w:r>
              <w:rPr>
                <w:rFonts w:ascii="宋体" w:hAnsi="宋体" w:cs="宋体" w:hint="eastAsia"/>
                <w:color w:val="000000"/>
              </w:rPr>
              <w:t>③</w:t>
            </w:r>
            <w:r>
              <w:rPr>
                <w:rFonts w:ascii="Times New Roman" w:hAnsi="Times New Roman"/>
                <w:color w:val="000000"/>
              </w:rPr>
              <w:t>是否符合项目预算批复或合同规定的用途；</w:t>
            </w:r>
            <w:r>
              <w:rPr>
                <w:rFonts w:ascii="Times New Roman" w:hAnsi="Times New Roman"/>
                <w:color w:val="000000"/>
              </w:rPr>
              <w:br/>
            </w:r>
            <w:r>
              <w:rPr>
                <w:rFonts w:ascii="宋体" w:hAnsi="宋体" w:cs="宋体" w:hint="eastAsia"/>
                <w:color w:val="000000"/>
              </w:rPr>
              <w:t>④</w:t>
            </w:r>
            <w:r>
              <w:rPr>
                <w:rFonts w:ascii="Times New Roman" w:hAnsi="Times New Roman"/>
                <w:color w:val="000000"/>
              </w:rPr>
              <w:t>是否存在截留、挤占、挪用、虚列支出等情况。</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4</w:t>
            </w:r>
          </w:p>
        </w:tc>
      </w:tr>
      <w:tr w:rsidR="00062B58" w:rsidTr="00062B58">
        <w:trPr>
          <w:trHeight w:val="1787"/>
        </w:trPr>
        <w:tc>
          <w:tcPr>
            <w:tcW w:w="752" w:type="dxa"/>
            <w:vMerge/>
            <w:shd w:val="clear" w:color="auto" w:fill="FFFFFF"/>
            <w:vAlign w:val="center"/>
          </w:tcPr>
          <w:p w:rsidR="00062B58" w:rsidRDefault="00062B58" w:rsidP="00062B58">
            <w:pPr>
              <w:spacing w:line="0" w:lineRule="atLeast"/>
              <w:jc w:val="center"/>
              <w:rPr>
                <w:rFonts w:ascii="Times New Roman" w:hAnsi="Times New Roman"/>
                <w:color w:val="000000"/>
              </w:rPr>
            </w:pPr>
          </w:p>
        </w:tc>
        <w:tc>
          <w:tcPr>
            <w:tcW w:w="782" w:type="dxa"/>
            <w:vMerge w:val="restart"/>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组织实施</w:t>
            </w:r>
          </w:p>
          <w:p w:rsidR="00062B58" w:rsidRDefault="00062B58" w:rsidP="00062B58">
            <w:pPr>
              <w:spacing w:line="0" w:lineRule="atLeast"/>
              <w:jc w:val="center"/>
              <w:rPr>
                <w:rFonts w:ascii="Times New Roman" w:hAnsi="Times New Roman"/>
                <w:color w:val="000000"/>
              </w:rPr>
            </w:pPr>
            <w:r>
              <w:rPr>
                <w:rFonts w:ascii="Times New Roman" w:hAnsi="Times New Roman"/>
                <w:color w:val="000000"/>
              </w:rPr>
              <w:t xml:space="preserve">　</w:t>
            </w: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管理制度</w:t>
            </w:r>
          </w:p>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健全性</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4</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项目实施单位的财务和业务管理制度是否健全，用以反映和考核财务和业务管理制度对项目顺利实施的保障情况。</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r>
            <w:r>
              <w:rPr>
                <w:rFonts w:ascii="宋体" w:hAnsi="宋体" w:cs="宋体" w:hint="eastAsia"/>
                <w:color w:val="000000"/>
              </w:rPr>
              <w:t>①</w:t>
            </w:r>
            <w:r>
              <w:rPr>
                <w:rFonts w:ascii="Times New Roman" w:hAnsi="Times New Roman"/>
                <w:color w:val="000000"/>
              </w:rPr>
              <w:t>是否已制定或具有相应的财务和业务管理制度；</w:t>
            </w:r>
            <w:r>
              <w:rPr>
                <w:rFonts w:ascii="Times New Roman" w:hAnsi="Times New Roman"/>
                <w:color w:val="000000"/>
              </w:rPr>
              <w:br/>
            </w:r>
            <w:r>
              <w:rPr>
                <w:rFonts w:ascii="宋体" w:hAnsi="宋体" w:cs="宋体" w:hint="eastAsia"/>
                <w:color w:val="000000"/>
              </w:rPr>
              <w:t>②</w:t>
            </w:r>
            <w:r>
              <w:rPr>
                <w:rFonts w:ascii="Times New Roman" w:hAnsi="Times New Roman"/>
                <w:color w:val="000000"/>
              </w:rPr>
              <w:t>财务和业务管理制度是否合法、合规、完整。</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4</w:t>
            </w:r>
          </w:p>
        </w:tc>
      </w:tr>
      <w:tr w:rsidR="00062B58" w:rsidTr="00062B58">
        <w:trPr>
          <w:trHeight w:val="1759"/>
        </w:trPr>
        <w:tc>
          <w:tcPr>
            <w:tcW w:w="752" w:type="dxa"/>
            <w:vMerge/>
            <w:shd w:val="clear" w:color="auto" w:fill="FFFFFF"/>
            <w:vAlign w:val="center"/>
          </w:tcPr>
          <w:p w:rsidR="00062B58" w:rsidRDefault="00062B58" w:rsidP="00062B58">
            <w:pPr>
              <w:widowControl/>
              <w:spacing w:line="0" w:lineRule="atLeast"/>
              <w:jc w:val="center"/>
              <w:rPr>
                <w:rFonts w:ascii="Times New Roman" w:hAnsi="Times New Roman"/>
                <w:color w:val="000000"/>
              </w:rPr>
            </w:pPr>
          </w:p>
        </w:tc>
        <w:tc>
          <w:tcPr>
            <w:tcW w:w="782" w:type="dxa"/>
            <w:vMerge/>
            <w:shd w:val="clear" w:color="auto" w:fill="FFFFFF"/>
            <w:vAlign w:val="center"/>
          </w:tcPr>
          <w:p w:rsidR="00062B58" w:rsidRDefault="00062B58" w:rsidP="00062B58">
            <w:pPr>
              <w:widowControl/>
              <w:spacing w:line="0" w:lineRule="atLeast"/>
              <w:jc w:val="center"/>
              <w:rPr>
                <w:rFonts w:ascii="Times New Roman" w:hAnsi="Times New Roman"/>
                <w:color w:val="000000"/>
              </w:rPr>
            </w:pP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制度执行</w:t>
            </w:r>
          </w:p>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有效性</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4</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项目实施是否符合相关管理规定，用以反映和考核相关管理制度的有效执行情况。</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r>
            <w:r>
              <w:rPr>
                <w:rFonts w:ascii="宋体" w:hAnsi="宋体" w:cs="宋体" w:hint="eastAsia"/>
                <w:color w:val="000000"/>
              </w:rPr>
              <w:t>①</w:t>
            </w:r>
            <w:r>
              <w:rPr>
                <w:rFonts w:ascii="Times New Roman" w:hAnsi="Times New Roman"/>
                <w:color w:val="000000"/>
              </w:rPr>
              <w:t>是否遵守相关法律法规和相关管理规定；</w:t>
            </w:r>
            <w:r>
              <w:rPr>
                <w:rFonts w:ascii="Times New Roman" w:hAnsi="Times New Roman"/>
                <w:color w:val="000000"/>
              </w:rPr>
              <w:br/>
            </w:r>
            <w:r>
              <w:rPr>
                <w:rFonts w:ascii="宋体" w:hAnsi="宋体" w:cs="宋体" w:hint="eastAsia"/>
                <w:color w:val="000000"/>
              </w:rPr>
              <w:t>②</w:t>
            </w:r>
            <w:r>
              <w:rPr>
                <w:rFonts w:ascii="Times New Roman" w:hAnsi="Times New Roman"/>
                <w:color w:val="000000"/>
              </w:rPr>
              <w:t>项目调整及支出调整手续是否完备；</w:t>
            </w:r>
            <w:r>
              <w:rPr>
                <w:rFonts w:ascii="Times New Roman" w:hAnsi="Times New Roman"/>
                <w:color w:val="000000"/>
              </w:rPr>
              <w:br/>
            </w:r>
            <w:r>
              <w:rPr>
                <w:rFonts w:ascii="宋体" w:hAnsi="宋体" w:cs="宋体" w:hint="eastAsia"/>
                <w:color w:val="000000"/>
              </w:rPr>
              <w:t>③</w:t>
            </w:r>
            <w:r>
              <w:rPr>
                <w:rFonts w:ascii="Times New Roman" w:hAnsi="Times New Roman"/>
                <w:color w:val="000000"/>
              </w:rPr>
              <w:t>项目合同书、验收报告、技术鉴定等资料是否齐全并及时归档；</w:t>
            </w:r>
            <w:r>
              <w:rPr>
                <w:rFonts w:ascii="Times New Roman" w:hAnsi="Times New Roman"/>
                <w:color w:val="000000"/>
              </w:rPr>
              <w:br/>
            </w:r>
            <w:r>
              <w:rPr>
                <w:rFonts w:ascii="宋体" w:hAnsi="宋体" w:cs="宋体" w:hint="eastAsia"/>
                <w:color w:val="000000"/>
              </w:rPr>
              <w:t>④</w:t>
            </w:r>
            <w:r>
              <w:rPr>
                <w:rFonts w:ascii="Times New Roman" w:hAnsi="Times New Roman"/>
                <w:color w:val="000000"/>
              </w:rPr>
              <w:t>项目实施的人员条件、场地设备、信息支撑等是否落实到位。</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4</w:t>
            </w:r>
          </w:p>
        </w:tc>
      </w:tr>
      <w:tr w:rsidR="00062B58" w:rsidTr="00062B58">
        <w:trPr>
          <w:trHeight w:val="1906"/>
        </w:trPr>
        <w:tc>
          <w:tcPr>
            <w:tcW w:w="752"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产出</w:t>
            </w:r>
          </w:p>
        </w:tc>
        <w:tc>
          <w:tcPr>
            <w:tcW w:w="782"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产出数量</w:t>
            </w: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实际完成率</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8</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项目实施的实际产出数与计划产出数的比率，用以反映和考核项目产出数量目标的实现程度。</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实际完成率</w:t>
            </w:r>
            <w:r>
              <w:rPr>
                <w:rFonts w:ascii="Times New Roman" w:hAnsi="Times New Roman"/>
                <w:color w:val="000000"/>
              </w:rPr>
              <w:t>=</w:t>
            </w:r>
            <w:r>
              <w:rPr>
                <w:rFonts w:ascii="Times New Roman" w:hAnsi="Times New Roman"/>
                <w:color w:val="000000"/>
              </w:rPr>
              <w:t>（实际产出数</w:t>
            </w:r>
            <w:r>
              <w:rPr>
                <w:rFonts w:ascii="Times New Roman" w:hAnsi="Times New Roman"/>
                <w:color w:val="000000"/>
              </w:rPr>
              <w:t>/</w:t>
            </w:r>
            <w:r>
              <w:rPr>
                <w:rFonts w:ascii="Times New Roman" w:hAnsi="Times New Roman"/>
                <w:color w:val="000000"/>
              </w:rPr>
              <w:t>计划产出数）</w:t>
            </w:r>
            <w:r>
              <w:rPr>
                <w:rFonts w:ascii="Times New Roman" w:hAnsi="Times New Roman"/>
                <w:color w:val="000000"/>
              </w:rPr>
              <w:t>×100%</w:t>
            </w:r>
            <w:r>
              <w:rPr>
                <w:rFonts w:ascii="Times New Roman" w:hAnsi="Times New Roman"/>
                <w:color w:val="000000"/>
              </w:rPr>
              <w:t>。</w:t>
            </w:r>
            <w:r>
              <w:rPr>
                <w:rFonts w:ascii="Times New Roman" w:hAnsi="Times New Roman"/>
                <w:color w:val="000000"/>
              </w:rPr>
              <w:br/>
            </w:r>
            <w:r>
              <w:rPr>
                <w:rFonts w:ascii="Times New Roman" w:hAnsi="Times New Roman"/>
                <w:color w:val="000000"/>
              </w:rPr>
              <w:t>实际产出数：一定时期（本年度或项目期）内项目实际产出的产品或提供的服务数量。</w:t>
            </w:r>
            <w:r>
              <w:rPr>
                <w:rFonts w:ascii="Times New Roman" w:hAnsi="Times New Roman"/>
                <w:color w:val="000000"/>
              </w:rPr>
              <w:br/>
            </w:r>
            <w:r>
              <w:rPr>
                <w:rFonts w:ascii="Times New Roman" w:hAnsi="Times New Roman"/>
                <w:color w:val="000000"/>
              </w:rPr>
              <w:t>计划产出数：项目绩效目标确定的在一定时期（本年度或项目期）内计划产出的产品或提供的服务数量。</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8</w:t>
            </w:r>
          </w:p>
        </w:tc>
      </w:tr>
      <w:tr w:rsidR="00062B58" w:rsidTr="00062B58">
        <w:trPr>
          <w:trHeight w:val="1708"/>
        </w:trPr>
        <w:tc>
          <w:tcPr>
            <w:tcW w:w="752" w:type="dxa"/>
            <w:vMerge w:val="restart"/>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产出</w:t>
            </w:r>
          </w:p>
        </w:tc>
        <w:tc>
          <w:tcPr>
            <w:tcW w:w="782"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产出质量</w:t>
            </w: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质量达标率</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8</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项目完成的质量达标产出数与实际产出数的比率，用以反映和考核项目产出质量目标的实现程度。</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质量达标率</w:t>
            </w:r>
            <w:r>
              <w:rPr>
                <w:rFonts w:ascii="Times New Roman" w:hAnsi="Times New Roman"/>
                <w:color w:val="000000"/>
              </w:rPr>
              <w:t>=</w:t>
            </w:r>
            <w:r>
              <w:rPr>
                <w:rFonts w:ascii="Times New Roman" w:hAnsi="Times New Roman"/>
                <w:color w:val="000000"/>
              </w:rPr>
              <w:t>（质量达标产出数</w:t>
            </w:r>
            <w:r>
              <w:rPr>
                <w:rFonts w:ascii="Times New Roman" w:hAnsi="Times New Roman"/>
                <w:color w:val="000000"/>
              </w:rPr>
              <w:t>/</w:t>
            </w:r>
            <w:r>
              <w:rPr>
                <w:rFonts w:ascii="Times New Roman" w:hAnsi="Times New Roman"/>
                <w:color w:val="000000"/>
              </w:rPr>
              <w:t>实际产出数）</w:t>
            </w:r>
            <w:r>
              <w:rPr>
                <w:rFonts w:ascii="Times New Roman" w:hAnsi="Times New Roman"/>
                <w:color w:val="000000"/>
              </w:rPr>
              <w:t>×100%</w:t>
            </w:r>
            <w:r>
              <w:rPr>
                <w:rFonts w:ascii="Times New Roman" w:hAnsi="Times New Roman"/>
                <w:color w:val="000000"/>
              </w:rPr>
              <w:t>。</w:t>
            </w:r>
          </w:p>
          <w:p w:rsidR="00062B58" w:rsidRDefault="00062B58" w:rsidP="00062B58">
            <w:pPr>
              <w:widowControl/>
              <w:spacing w:line="0" w:lineRule="atLeast"/>
              <w:rPr>
                <w:rFonts w:ascii="Times New Roman" w:hAnsi="Times New Roman"/>
                <w:color w:val="000000"/>
              </w:rPr>
            </w:pPr>
            <w:r>
              <w:rPr>
                <w:rFonts w:ascii="Times New Roman" w:hAnsi="Times New Roman"/>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8</w:t>
            </w:r>
          </w:p>
        </w:tc>
      </w:tr>
      <w:tr w:rsidR="00062B58" w:rsidTr="00062B58">
        <w:trPr>
          <w:trHeight w:val="1498"/>
        </w:trPr>
        <w:tc>
          <w:tcPr>
            <w:tcW w:w="752" w:type="dxa"/>
            <w:vMerge/>
            <w:shd w:val="clear" w:color="auto" w:fill="FFFFFF"/>
            <w:vAlign w:val="center"/>
          </w:tcPr>
          <w:p w:rsidR="00062B58" w:rsidRDefault="00062B58" w:rsidP="00062B58">
            <w:pPr>
              <w:spacing w:line="0" w:lineRule="atLeast"/>
              <w:jc w:val="center"/>
              <w:rPr>
                <w:rFonts w:ascii="Times New Roman" w:hAnsi="Times New Roman"/>
                <w:color w:val="000000"/>
              </w:rPr>
            </w:pPr>
          </w:p>
        </w:tc>
        <w:tc>
          <w:tcPr>
            <w:tcW w:w="782" w:type="dxa"/>
            <w:shd w:val="clear" w:color="auto" w:fill="FFFFFF"/>
            <w:vAlign w:val="center"/>
          </w:tcPr>
          <w:p w:rsidR="00062B58" w:rsidRDefault="00062B58" w:rsidP="00062B58">
            <w:pPr>
              <w:spacing w:line="0" w:lineRule="atLeast"/>
              <w:jc w:val="center"/>
              <w:rPr>
                <w:rFonts w:ascii="Times New Roman" w:hAnsi="Times New Roman"/>
                <w:color w:val="000000"/>
              </w:rPr>
            </w:pPr>
            <w:r>
              <w:rPr>
                <w:rFonts w:ascii="Times New Roman" w:hAnsi="Times New Roman"/>
                <w:color w:val="000000"/>
              </w:rPr>
              <w:t>产出时效</w:t>
            </w: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完成及时性</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8</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项目实际完成时间与计划完成时间的比较，用以反映和考核项目产出时效目标的实现程度。</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实际完成时间：项目实施单位完成该项目实际所耗用的时间。</w:t>
            </w:r>
            <w:r>
              <w:rPr>
                <w:rFonts w:ascii="Times New Roman" w:hAnsi="Times New Roman"/>
                <w:color w:val="000000"/>
              </w:rPr>
              <w:br/>
            </w:r>
            <w:r>
              <w:rPr>
                <w:rFonts w:ascii="Times New Roman" w:hAnsi="Times New Roman"/>
                <w:color w:val="000000"/>
              </w:rPr>
              <w:t>计划完成时间：按照项目实施计划或相关规定完成该项目所需的时间。</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8</w:t>
            </w:r>
          </w:p>
        </w:tc>
      </w:tr>
      <w:tr w:rsidR="00062B58" w:rsidTr="00062B58">
        <w:trPr>
          <w:trHeight w:val="1665"/>
        </w:trPr>
        <w:tc>
          <w:tcPr>
            <w:tcW w:w="752" w:type="dxa"/>
            <w:vMerge/>
            <w:shd w:val="clear" w:color="auto" w:fill="FFFFFF"/>
            <w:vAlign w:val="center"/>
          </w:tcPr>
          <w:p w:rsidR="00062B58" w:rsidRDefault="00062B58" w:rsidP="00062B58">
            <w:pPr>
              <w:widowControl/>
              <w:spacing w:line="0" w:lineRule="atLeast"/>
              <w:jc w:val="center"/>
              <w:rPr>
                <w:rFonts w:ascii="Times New Roman" w:hAnsi="Times New Roman"/>
                <w:color w:val="000000"/>
              </w:rPr>
            </w:pPr>
          </w:p>
        </w:tc>
        <w:tc>
          <w:tcPr>
            <w:tcW w:w="782"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产出成本</w:t>
            </w: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成本节约率</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8</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完成项目计划工作目标的实际节约成本与计划成本的比率，用以反映和考核项目的成本节约程度。</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br/>
            </w:r>
            <w:r>
              <w:rPr>
                <w:rFonts w:ascii="Times New Roman" w:hAnsi="Times New Roman"/>
                <w:color w:val="000000"/>
              </w:rPr>
              <w:t>成本节约率</w:t>
            </w:r>
            <w:r>
              <w:rPr>
                <w:rFonts w:ascii="Times New Roman" w:hAnsi="Times New Roman"/>
                <w:color w:val="000000"/>
              </w:rPr>
              <w:t>=[</w:t>
            </w:r>
            <w:r>
              <w:rPr>
                <w:rFonts w:ascii="Times New Roman" w:hAnsi="Times New Roman"/>
                <w:color w:val="000000"/>
              </w:rPr>
              <w:t>（计划成本</w:t>
            </w:r>
            <w:r>
              <w:rPr>
                <w:rFonts w:ascii="Times New Roman" w:hAnsi="Times New Roman"/>
                <w:color w:val="000000"/>
              </w:rPr>
              <w:t>-</w:t>
            </w:r>
            <w:r>
              <w:rPr>
                <w:rFonts w:ascii="Times New Roman" w:hAnsi="Times New Roman"/>
                <w:color w:val="000000"/>
              </w:rPr>
              <w:t>实际成本）</w:t>
            </w:r>
            <w:r>
              <w:rPr>
                <w:rFonts w:ascii="Times New Roman" w:hAnsi="Times New Roman"/>
                <w:color w:val="000000"/>
              </w:rPr>
              <w:t>/</w:t>
            </w:r>
            <w:r>
              <w:rPr>
                <w:rFonts w:ascii="Times New Roman" w:hAnsi="Times New Roman"/>
                <w:color w:val="000000"/>
              </w:rPr>
              <w:t>计划成本</w:t>
            </w:r>
            <w:r>
              <w:rPr>
                <w:rFonts w:ascii="Times New Roman" w:hAnsi="Times New Roman"/>
                <w:color w:val="000000"/>
              </w:rPr>
              <w:t>]×100%</w:t>
            </w:r>
            <w:r>
              <w:rPr>
                <w:rFonts w:ascii="Times New Roman" w:hAnsi="Times New Roman"/>
                <w:color w:val="000000"/>
              </w:rPr>
              <w:t>。</w:t>
            </w:r>
            <w:r>
              <w:rPr>
                <w:rFonts w:ascii="Times New Roman" w:hAnsi="Times New Roman"/>
                <w:color w:val="000000"/>
              </w:rPr>
              <w:br/>
            </w:r>
            <w:r>
              <w:rPr>
                <w:rFonts w:ascii="Times New Roman" w:hAnsi="Times New Roman"/>
                <w:color w:val="000000"/>
              </w:rPr>
              <w:t>实际成本：项目实施单位如期、保质、保量完成既定工作目标实际所耗费的支出。</w:t>
            </w:r>
            <w:r>
              <w:rPr>
                <w:rFonts w:ascii="Times New Roman" w:hAnsi="Times New Roman"/>
                <w:color w:val="000000"/>
              </w:rPr>
              <w:br/>
            </w:r>
            <w:r>
              <w:rPr>
                <w:rFonts w:ascii="Times New Roman" w:hAnsi="Times New Roman"/>
                <w:color w:val="000000"/>
              </w:rPr>
              <w:t>计划成本：项目实施单位为完成工作目标计划安排的支出，一般以项目预算为参考。</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8</w:t>
            </w:r>
          </w:p>
        </w:tc>
      </w:tr>
      <w:tr w:rsidR="00062B58" w:rsidTr="00062B58">
        <w:trPr>
          <w:trHeight w:val="689"/>
        </w:trPr>
        <w:tc>
          <w:tcPr>
            <w:tcW w:w="752" w:type="dxa"/>
            <w:vMerge w:val="restart"/>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 xml:space="preserve">效益　</w:t>
            </w:r>
          </w:p>
        </w:tc>
        <w:tc>
          <w:tcPr>
            <w:tcW w:w="782" w:type="dxa"/>
            <w:vMerge w:val="restart"/>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 xml:space="preserve">项目效益　</w:t>
            </w: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实施效益</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20</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项目实施所产生的效益。</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项目实施所产生的社会效益、经济效益、生态效益、可持续影响等。可根据项目实际情况有选择地设置和细化。</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20</w:t>
            </w:r>
          </w:p>
        </w:tc>
      </w:tr>
      <w:tr w:rsidR="00062B58" w:rsidTr="00062B58">
        <w:trPr>
          <w:trHeight w:val="924"/>
        </w:trPr>
        <w:tc>
          <w:tcPr>
            <w:tcW w:w="752" w:type="dxa"/>
            <w:vMerge/>
            <w:shd w:val="clear" w:color="auto" w:fill="FFFFFF"/>
            <w:vAlign w:val="center"/>
          </w:tcPr>
          <w:p w:rsidR="00062B58" w:rsidRDefault="00062B58" w:rsidP="00062B58">
            <w:pPr>
              <w:widowControl/>
              <w:spacing w:line="0" w:lineRule="atLeast"/>
              <w:jc w:val="center"/>
              <w:rPr>
                <w:rFonts w:ascii="Times New Roman" w:hAnsi="Times New Roman"/>
                <w:color w:val="000000"/>
              </w:rPr>
            </w:pPr>
          </w:p>
        </w:tc>
        <w:tc>
          <w:tcPr>
            <w:tcW w:w="782" w:type="dxa"/>
            <w:vMerge/>
            <w:shd w:val="clear" w:color="auto" w:fill="FFFFFF"/>
            <w:vAlign w:val="center"/>
          </w:tcPr>
          <w:p w:rsidR="00062B58" w:rsidRDefault="00062B58" w:rsidP="00062B58">
            <w:pPr>
              <w:widowControl/>
              <w:spacing w:line="0" w:lineRule="atLeast"/>
              <w:jc w:val="center"/>
              <w:rPr>
                <w:rFonts w:ascii="Times New Roman" w:hAnsi="Times New Roman"/>
                <w:color w:val="000000"/>
              </w:rPr>
            </w:pPr>
          </w:p>
        </w:tc>
        <w:tc>
          <w:tcPr>
            <w:tcW w:w="1250"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满意度</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8</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社会公众或服务对象对项目实施效果的满意程度。</w:t>
            </w: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r>
              <w:rPr>
                <w:rFonts w:ascii="Times New Roman" w:hAnsi="Times New Roman"/>
                <w:color w:val="000000"/>
              </w:rPr>
              <w:t>社会公众或服务对象是指因该项目实施而受到影响的部门（单位）、群体或个人。一般采取社会调查的方式。</w:t>
            </w: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6</w:t>
            </w:r>
          </w:p>
        </w:tc>
      </w:tr>
      <w:tr w:rsidR="00062B58" w:rsidTr="00062B58">
        <w:trPr>
          <w:trHeight w:val="555"/>
        </w:trPr>
        <w:tc>
          <w:tcPr>
            <w:tcW w:w="2784" w:type="dxa"/>
            <w:gridSpan w:val="3"/>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总分</w:t>
            </w:r>
          </w:p>
        </w:tc>
        <w:tc>
          <w:tcPr>
            <w:tcW w:w="625"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color w:val="000000"/>
              </w:rPr>
              <w:t>100</w:t>
            </w:r>
          </w:p>
        </w:tc>
        <w:tc>
          <w:tcPr>
            <w:tcW w:w="3126" w:type="dxa"/>
            <w:shd w:val="clear" w:color="auto" w:fill="FFFFFF"/>
            <w:vAlign w:val="center"/>
          </w:tcPr>
          <w:p w:rsidR="00062B58" w:rsidRDefault="00062B58" w:rsidP="00062B58">
            <w:pPr>
              <w:widowControl/>
              <w:spacing w:line="0" w:lineRule="atLeast"/>
              <w:rPr>
                <w:rFonts w:ascii="Times New Roman" w:hAnsi="Times New Roman"/>
                <w:color w:val="000000"/>
              </w:rPr>
            </w:pPr>
          </w:p>
        </w:tc>
        <w:tc>
          <w:tcPr>
            <w:tcW w:w="6722" w:type="dxa"/>
            <w:shd w:val="clear" w:color="auto" w:fill="FFFFFF"/>
            <w:vAlign w:val="center"/>
          </w:tcPr>
          <w:p w:rsidR="00062B58" w:rsidRDefault="00062B58" w:rsidP="00062B58">
            <w:pPr>
              <w:widowControl/>
              <w:spacing w:line="0" w:lineRule="atLeast"/>
              <w:rPr>
                <w:rFonts w:ascii="Times New Roman" w:hAnsi="Times New Roman"/>
                <w:color w:val="000000"/>
              </w:rPr>
            </w:pPr>
          </w:p>
        </w:tc>
        <w:tc>
          <w:tcPr>
            <w:tcW w:w="624" w:type="dxa"/>
            <w:shd w:val="clear" w:color="auto" w:fill="FFFFFF"/>
            <w:vAlign w:val="center"/>
          </w:tcPr>
          <w:p w:rsidR="00062B58" w:rsidRDefault="00062B58" w:rsidP="00062B58">
            <w:pPr>
              <w:widowControl/>
              <w:spacing w:line="0" w:lineRule="atLeast"/>
              <w:jc w:val="center"/>
              <w:rPr>
                <w:rFonts w:ascii="Times New Roman" w:hAnsi="Times New Roman"/>
                <w:color w:val="000000"/>
              </w:rPr>
            </w:pPr>
            <w:r>
              <w:rPr>
                <w:rFonts w:ascii="Times New Roman" w:hAnsi="Times New Roman" w:hint="eastAsia"/>
                <w:color w:val="000000"/>
              </w:rPr>
              <w:t>98</w:t>
            </w:r>
          </w:p>
        </w:tc>
      </w:tr>
    </w:tbl>
    <w:p w:rsidR="00CB25E6" w:rsidRDefault="0063777D" w:rsidP="001B3FB2">
      <w:pPr>
        <w:spacing w:line="560" w:lineRule="exact"/>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CB25E6" w:rsidRDefault="00CB25E6"/>
    <w:p w:rsidR="00CB25E6" w:rsidRDefault="00CB25E6"/>
    <w:sectPr w:rsidR="00CB25E6" w:rsidSect="00CB25E6">
      <w:pgSz w:w="16840" w:h="11910" w:orient="landscape"/>
      <w:pgMar w:top="782" w:right="1520" w:bottom="901" w:left="1580" w:header="0" w:footer="1321" w:gutter="0"/>
      <w:cols w:space="720" w:equalWidth="0">
        <w:col w:w="1023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283" w:rsidRDefault="00DE1283" w:rsidP="00CB25E6">
      <w:r>
        <w:separator/>
      </w:r>
    </w:p>
  </w:endnote>
  <w:endnote w:type="continuationSeparator" w:id="1">
    <w:p w:rsidR="00DE1283" w:rsidRDefault="00DE1283" w:rsidP="00CB25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舒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5E6" w:rsidRDefault="00E6093C">
    <w:pPr>
      <w:pStyle w:val="a3"/>
      <w:spacing w:line="14" w:lineRule="auto"/>
      <w:rPr>
        <w:sz w:val="20"/>
      </w:rPr>
    </w:pPr>
    <w:r w:rsidRPr="00E6093C">
      <w:pict>
        <v:shapetype id="_x0000_t202" coordsize="21600,21600" o:spt="202" path="m,l,21600r21600,l21600,xe">
          <v:stroke joinstyle="miter"/>
          <v:path gradientshapeok="t" o:connecttype="rect"/>
        </v:shapetype>
        <v:shape id="文本框 6" o:spid="_x0000_s1027" type="#_x0000_t202" style="position:absolute;margin-left:78.4pt;margin-top:782.9pt;width:43.95pt;height:16.05pt;z-index:-253131776;mso-position-horizontal-relative:page;mso-position-vertical-relative:page" o:gfxdata="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Lb/F/LZAAAADQEAAA8AAAAAAAAA&#10;AQAgAAAAIgAAAGRycy9kb3ducmV2LnhtbFBLAQIUABQAAAAIAIdO4kBZLlQqngEAACMDAAAOAAAA&#10;AAAAAAEAIAAAACgBAABkcnMvZTJvRG9jLnhtbFBLBQYAAAAABgAGAFkBAAA4BQAAAAA=&#10;" filled="f" stroked="f">
          <v:textbox style="mso-next-textbox:#文本框 6" inset="0,0,0,0">
            <w:txbxContent>
              <w:p w:rsidR="00CB25E6" w:rsidRDefault="0063777D">
                <w:pPr>
                  <w:spacing w:line="321" w:lineRule="exact"/>
                  <w:ind w:left="20"/>
                  <w:rPr>
                    <w:rFonts w:ascii="宋体"/>
                    <w:sz w:val="28"/>
                  </w:rPr>
                </w:pPr>
                <w:r>
                  <w:rPr>
                    <w:rFonts w:ascii="宋体"/>
                    <w:sz w:val="28"/>
                  </w:rPr>
                  <w:t xml:space="preserve">- </w:t>
                </w:r>
                <w:r w:rsidR="00E6093C">
                  <w:fldChar w:fldCharType="begin"/>
                </w:r>
                <w:r>
                  <w:rPr>
                    <w:rFonts w:ascii="宋体"/>
                    <w:sz w:val="28"/>
                  </w:rPr>
                  <w:instrText xml:space="preserve"> PAGE </w:instrText>
                </w:r>
                <w:r w:rsidR="00E6093C">
                  <w:fldChar w:fldCharType="separate"/>
                </w:r>
                <w:r>
                  <w:t>12</w:t>
                </w:r>
                <w:r w:rsidR="00E6093C">
                  <w:fldChar w:fldCharType="end"/>
                </w:r>
                <w:r>
                  <w:rPr>
                    <w:rFonts w:ascii="宋体"/>
                    <w:sz w:val="28"/>
                  </w:rPr>
                  <w:t xml:space="preserve"> -</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5E6" w:rsidRDefault="00E6093C">
    <w:pPr>
      <w:pStyle w:val="a3"/>
      <w:spacing w:line="14" w:lineRule="auto"/>
      <w:rPr>
        <w:sz w:val="20"/>
      </w:rPr>
    </w:pPr>
    <w:r w:rsidRPr="00E6093C">
      <w:pict>
        <v:shapetype id="_x0000_t202" coordsize="21600,21600" o:spt="202" path="m,l,21600r21600,l21600,xe">
          <v:stroke joinstyle="miter"/>
          <v:path gradientshapeok="t" o:connecttype="rect"/>
        </v:shapetype>
        <v:shape id="文本框 5" o:spid="_x0000_s1026" type="#_x0000_t202" style="position:absolute;margin-left:478.6pt;margin-top:764.8pt;width:43.95pt;height:16.05pt;z-index:-253132800;mso-position-horizontal-relative:page;mso-position-vertical-relative:page" o:gfxdata="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AYFeSXbAAAADgEAAA8AAAAA&#10;AAAAAQAgAAAAIgAAAGRycy9kb3ducmV2LnhtbFBLAQIUABQAAAAIAIdO4kBwsiksnwEAACMDAAAO&#10;AAAAAAAAAAEAIAAAACoBAABkcnMvZTJvRG9jLnhtbFBLBQYAAAAABgAGAFkBAAA7BQAAAAA=&#10;" filled="f" stroked="f">
          <v:textbox style="mso-next-textbox:#文本框 5" inset="0,0,0,0">
            <w:txbxContent>
              <w:p w:rsidR="00CB25E6" w:rsidRDefault="0063777D">
                <w:pPr>
                  <w:spacing w:line="321" w:lineRule="exact"/>
                  <w:ind w:left="20"/>
                  <w:rPr>
                    <w:rFonts w:ascii="宋体"/>
                    <w:sz w:val="28"/>
                  </w:rPr>
                </w:pPr>
                <w:r>
                  <w:rPr>
                    <w:rFonts w:ascii="宋体"/>
                    <w:sz w:val="28"/>
                  </w:rPr>
                  <w:t xml:space="preserve">- </w:t>
                </w:r>
                <w:r w:rsidR="00E6093C">
                  <w:fldChar w:fldCharType="begin"/>
                </w:r>
                <w:r>
                  <w:rPr>
                    <w:rFonts w:ascii="宋体"/>
                    <w:sz w:val="28"/>
                  </w:rPr>
                  <w:instrText xml:space="preserve"> PAGE </w:instrText>
                </w:r>
                <w:r w:rsidR="00E6093C">
                  <w:fldChar w:fldCharType="separate"/>
                </w:r>
                <w:r w:rsidR="00AA5C8E">
                  <w:rPr>
                    <w:rFonts w:ascii="宋体"/>
                    <w:noProof/>
                    <w:sz w:val="28"/>
                  </w:rPr>
                  <w:t>2</w:t>
                </w:r>
                <w:r w:rsidR="00E6093C">
                  <w:fldChar w:fldCharType="end"/>
                </w:r>
                <w:r>
                  <w:rPr>
                    <w:rFonts w:ascii="宋体"/>
                    <w:sz w:val="28"/>
                  </w:rPr>
                  <w:t xml:space="preserve"> -</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283" w:rsidRDefault="00DE1283" w:rsidP="00CB25E6">
      <w:r>
        <w:separator/>
      </w:r>
    </w:p>
  </w:footnote>
  <w:footnote w:type="continuationSeparator" w:id="1">
    <w:p w:rsidR="00DE1283" w:rsidRDefault="00DE1283" w:rsidP="00CB25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6459A"/>
    <w:multiLevelType w:val="singleLevel"/>
    <w:tmpl w:val="1D66459A"/>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0"/>
    <w:footnote w:id="1"/>
  </w:footnotePr>
  <w:endnotePr>
    <w:endnote w:id="0"/>
    <w:endnote w:id="1"/>
  </w:endnotePr>
  <w:compat>
    <w:ulTrailSpace/>
    <w:useFELayout/>
  </w:compat>
  <w:rsids>
    <w:rsidRoot w:val="0089192B"/>
    <w:rsid w:val="00062B58"/>
    <w:rsid w:val="00074880"/>
    <w:rsid w:val="00093029"/>
    <w:rsid w:val="000B1FC5"/>
    <w:rsid w:val="000B75FF"/>
    <w:rsid w:val="000D165E"/>
    <w:rsid w:val="00111C7C"/>
    <w:rsid w:val="00162CBE"/>
    <w:rsid w:val="001B3FB2"/>
    <w:rsid w:val="002C0306"/>
    <w:rsid w:val="003659A8"/>
    <w:rsid w:val="003846D0"/>
    <w:rsid w:val="004005B0"/>
    <w:rsid w:val="0063777D"/>
    <w:rsid w:val="0089192B"/>
    <w:rsid w:val="00911617"/>
    <w:rsid w:val="00924743"/>
    <w:rsid w:val="009B1E04"/>
    <w:rsid w:val="00AA5C8E"/>
    <w:rsid w:val="00CB25E6"/>
    <w:rsid w:val="00DE1283"/>
    <w:rsid w:val="00E6093C"/>
    <w:rsid w:val="00EC2829"/>
    <w:rsid w:val="068A046C"/>
    <w:rsid w:val="19FD0DA1"/>
    <w:rsid w:val="1AD57DC5"/>
    <w:rsid w:val="1C3303D9"/>
    <w:rsid w:val="1CBF7724"/>
    <w:rsid w:val="218C24C3"/>
    <w:rsid w:val="256C5190"/>
    <w:rsid w:val="280C2F2C"/>
    <w:rsid w:val="3D5B52D8"/>
    <w:rsid w:val="411F3CE4"/>
    <w:rsid w:val="429A2A75"/>
    <w:rsid w:val="43B9537D"/>
    <w:rsid w:val="46802AC9"/>
    <w:rsid w:val="49D822A1"/>
    <w:rsid w:val="4B907264"/>
    <w:rsid w:val="50DB73E4"/>
    <w:rsid w:val="568379C9"/>
    <w:rsid w:val="585D5925"/>
    <w:rsid w:val="5CCA0CE9"/>
    <w:rsid w:val="5E3A40EB"/>
    <w:rsid w:val="6C774061"/>
    <w:rsid w:val="6CF2406E"/>
    <w:rsid w:val="6EF42E7F"/>
    <w:rsid w:val="6FFF6F37"/>
    <w:rsid w:val="77C42531"/>
    <w:rsid w:val="7D180C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7"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CB25E6"/>
    <w:pPr>
      <w:widowControl w:val="0"/>
      <w:autoSpaceDE w:val="0"/>
      <w:autoSpaceDN w:val="0"/>
    </w:pPr>
    <w:rPr>
      <w:rFonts w:ascii="仿宋" w:eastAsia="仿宋" w:hAnsi="仿宋" w:cs="仿宋"/>
      <w:sz w:val="22"/>
      <w:szCs w:val="22"/>
      <w:lang w:val="zh-CN" w:bidi="zh-CN"/>
    </w:rPr>
  </w:style>
  <w:style w:type="paragraph" w:styleId="1">
    <w:name w:val="heading 1"/>
    <w:basedOn w:val="a"/>
    <w:next w:val="a"/>
    <w:uiPriority w:val="1"/>
    <w:qFormat/>
    <w:rsid w:val="00CB25E6"/>
    <w:pPr>
      <w:ind w:left="1010" w:right="1012"/>
      <w:jc w:val="center"/>
      <w:outlineLvl w:val="0"/>
    </w:pPr>
    <w:rPr>
      <w:rFonts w:ascii="方正舒体" w:eastAsia="方正舒体" w:hAnsi="方正舒体" w:cs="方正舒体"/>
      <w:sz w:val="40"/>
      <w:szCs w:val="40"/>
    </w:rPr>
  </w:style>
  <w:style w:type="paragraph" w:styleId="2">
    <w:name w:val="heading 2"/>
    <w:basedOn w:val="a"/>
    <w:next w:val="a"/>
    <w:link w:val="2Char"/>
    <w:unhideWhenUsed/>
    <w:qFormat/>
    <w:rsid w:val="00CB25E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CB25E6"/>
    <w:rPr>
      <w:sz w:val="32"/>
      <w:szCs w:val="32"/>
    </w:rPr>
  </w:style>
  <w:style w:type="paragraph" w:styleId="a4">
    <w:name w:val="footer"/>
    <w:basedOn w:val="a"/>
    <w:link w:val="Char"/>
    <w:rsid w:val="00CB25E6"/>
    <w:pPr>
      <w:tabs>
        <w:tab w:val="center" w:pos="4153"/>
        <w:tab w:val="right" w:pos="8306"/>
      </w:tabs>
      <w:snapToGrid w:val="0"/>
    </w:pPr>
    <w:rPr>
      <w:sz w:val="18"/>
      <w:szCs w:val="18"/>
    </w:rPr>
  </w:style>
  <w:style w:type="paragraph" w:styleId="a5">
    <w:name w:val="header"/>
    <w:basedOn w:val="a"/>
    <w:link w:val="Char0"/>
    <w:rsid w:val="00CB25E6"/>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7"/>
    <w:qFormat/>
    <w:rsid w:val="00CB25E6"/>
    <w:pPr>
      <w:widowControl/>
      <w:spacing w:before="100" w:beforeAutospacing="1" w:after="100" w:afterAutospacing="1"/>
    </w:pPr>
    <w:rPr>
      <w:rFonts w:ascii="宋体" w:hAnsi="宋体" w:cs="Times New Roman"/>
      <w:sz w:val="24"/>
    </w:rPr>
  </w:style>
  <w:style w:type="table" w:customStyle="1" w:styleId="TableNormal">
    <w:name w:val="Table Normal"/>
    <w:uiPriority w:val="2"/>
    <w:semiHidden/>
    <w:unhideWhenUsed/>
    <w:qFormat/>
    <w:rsid w:val="00CB25E6"/>
    <w:tblPr>
      <w:tblCellMar>
        <w:top w:w="0" w:type="dxa"/>
        <w:left w:w="0" w:type="dxa"/>
        <w:bottom w:w="0" w:type="dxa"/>
        <w:right w:w="0" w:type="dxa"/>
      </w:tblCellMar>
    </w:tblPr>
  </w:style>
  <w:style w:type="paragraph" w:styleId="a7">
    <w:name w:val="List Paragraph"/>
    <w:basedOn w:val="a"/>
    <w:uiPriority w:val="1"/>
    <w:qFormat/>
    <w:rsid w:val="00CB25E6"/>
    <w:pPr>
      <w:spacing w:before="6"/>
      <w:ind w:left="2659" w:hanging="402"/>
    </w:pPr>
  </w:style>
  <w:style w:type="paragraph" w:customStyle="1" w:styleId="TableParagraph">
    <w:name w:val="Table Paragraph"/>
    <w:basedOn w:val="a"/>
    <w:uiPriority w:val="1"/>
    <w:qFormat/>
    <w:rsid w:val="00CB25E6"/>
  </w:style>
  <w:style w:type="paragraph" w:customStyle="1" w:styleId="a8">
    <w:name w:val="二级条标题"/>
    <w:basedOn w:val="a9"/>
    <w:next w:val="aa"/>
    <w:qFormat/>
    <w:rsid w:val="00CB25E6"/>
    <w:pPr>
      <w:spacing w:before="50" w:after="50"/>
      <w:outlineLvl w:val="3"/>
    </w:pPr>
  </w:style>
  <w:style w:type="paragraph" w:customStyle="1" w:styleId="a9">
    <w:name w:val="一级条标题"/>
    <w:next w:val="aa"/>
    <w:qFormat/>
    <w:rsid w:val="00CB25E6"/>
    <w:pPr>
      <w:spacing w:beforeLines="50" w:afterLines="50"/>
      <w:outlineLvl w:val="2"/>
    </w:pPr>
    <w:rPr>
      <w:rFonts w:ascii="黑体" w:eastAsia="黑体" w:hAnsi="Calibri" w:cs="Times New Roman"/>
      <w:sz w:val="21"/>
      <w:szCs w:val="21"/>
    </w:rPr>
  </w:style>
  <w:style w:type="paragraph" w:customStyle="1" w:styleId="aa">
    <w:name w:val="段"/>
    <w:uiPriority w:val="1"/>
    <w:qFormat/>
    <w:rsid w:val="00CB25E6"/>
    <w:pPr>
      <w:tabs>
        <w:tab w:val="center" w:pos="4201"/>
        <w:tab w:val="right" w:leader="dot" w:pos="9071"/>
      </w:tabs>
      <w:ind w:firstLine="420"/>
      <w:jc w:val="both"/>
    </w:pPr>
    <w:rPr>
      <w:rFonts w:ascii="宋体" w:eastAsia="宋体" w:hAnsi="宋体" w:cs="宋体"/>
      <w:color w:val="000000"/>
      <w:sz w:val="21"/>
    </w:rPr>
  </w:style>
  <w:style w:type="character" w:customStyle="1" w:styleId="Char0">
    <w:name w:val="页眉 Char"/>
    <w:basedOn w:val="a0"/>
    <w:link w:val="a5"/>
    <w:rsid w:val="00CB25E6"/>
    <w:rPr>
      <w:rFonts w:ascii="仿宋" w:eastAsia="仿宋" w:hAnsi="仿宋" w:cs="仿宋"/>
      <w:sz w:val="18"/>
      <w:szCs w:val="18"/>
      <w:lang w:val="zh-CN" w:bidi="zh-CN"/>
    </w:rPr>
  </w:style>
  <w:style w:type="character" w:customStyle="1" w:styleId="Char">
    <w:name w:val="页脚 Char"/>
    <w:basedOn w:val="a0"/>
    <w:link w:val="a4"/>
    <w:rsid w:val="00CB25E6"/>
    <w:rPr>
      <w:rFonts w:ascii="仿宋" w:eastAsia="仿宋" w:hAnsi="仿宋" w:cs="仿宋"/>
      <w:sz w:val="18"/>
      <w:szCs w:val="18"/>
      <w:lang w:val="zh-CN" w:bidi="zh-CN"/>
    </w:rPr>
  </w:style>
  <w:style w:type="character" w:customStyle="1" w:styleId="2Char">
    <w:name w:val="标题 2 Char"/>
    <w:basedOn w:val="a0"/>
    <w:link w:val="2"/>
    <w:rsid w:val="00CB25E6"/>
    <w:rPr>
      <w:rFonts w:asciiTheme="majorHAnsi" w:eastAsiaTheme="majorEastAsia" w:hAnsiTheme="majorHAnsi" w:cstheme="majorBidi"/>
      <w:b/>
      <w:bCs/>
      <w:sz w:val="32"/>
      <w:szCs w:val="32"/>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893</Words>
  <Characters>5091</Characters>
  <Application>Microsoft Office Word</Application>
  <DocSecurity>0</DocSecurity>
  <Lines>42</Lines>
  <Paragraphs>11</Paragraphs>
  <ScaleCrop>false</ScaleCrop>
  <Company>Microsoft</Company>
  <LinksUpToDate>false</LinksUpToDate>
  <CharactersWithSpaces>5973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龙</dc:creator>
  <cp:lastModifiedBy>PC</cp:lastModifiedBy>
  <cp:revision>11</cp:revision>
  <dcterms:created xsi:type="dcterms:W3CDTF">2020-04-28T10:57:00Z</dcterms:created>
  <dcterms:modified xsi:type="dcterms:W3CDTF">2021-08-17T00:52:00Z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2020-04-28T00:00:00Z</vt:filetime>
  </property>
  <property fmtid="{D5CDD505-2E9C-101B-9397-08002B2CF9AE}" pid="3" name="Creator">
    <vt:lpwstr>WPS 文字</vt:lpwstr>
  </property>
  <property fmtid="{D5CDD505-2E9C-101B-9397-08002B2CF9AE}" pid="4" name="LastSaved">
    <vt:filetime>2020-04-28T00:00:00Z</vt:filetime>
  </property>
  <property fmtid="{D5CDD505-2E9C-101B-9397-08002B2CF9AE}" pid="5" name="KSOProductBuildVer">
    <vt:lpwstr>2052-11.1.0.10314</vt:lpwstr>
  </property>
  <property fmtid="{D5CDD505-2E9C-101B-9397-08002B2CF9AE}" pid="6" name="KSOSaveFontToCloudKey">
    <vt:lpwstr>406762487_cloud</vt:lpwstr>
  </property>
</Properties>
</file>