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黑体"/>
          <w:kern w:val="0"/>
          <w:sz w:val="32"/>
          <w:szCs w:val="32"/>
        </w:rPr>
      </w:pPr>
    </w:p>
    <w:p>
      <w:pPr>
        <w:jc w:val="center"/>
        <w:rPr>
          <w:rFonts w:ascii="Times New Roman" w:hAnsi="Times New Roman" w:eastAsia="方正小标宋_GBK"/>
          <w:sz w:val="48"/>
          <w:szCs w:val="48"/>
        </w:rPr>
      </w:pPr>
      <w:r>
        <w:rPr>
          <w:rFonts w:ascii="Times New Roman" w:hAnsi="Times New Roman" w:eastAsia="方正小标宋_GBK"/>
          <w:sz w:val="48"/>
          <w:szCs w:val="48"/>
        </w:rPr>
        <w:t>20</w:t>
      </w:r>
      <w:r>
        <w:rPr>
          <w:rFonts w:hint="eastAsia" w:ascii="Times New Roman" w:hAnsi="Times New Roman" w:eastAsia="方正小标宋_GBK"/>
          <w:sz w:val="48"/>
          <w:szCs w:val="48"/>
        </w:rPr>
        <w:t>20</w:t>
      </w:r>
      <w:r>
        <w:rPr>
          <w:rFonts w:ascii="Times New Roman" w:hAnsi="Times New Roman" w:eastAsia="方正小标宋_GBK"/>
          <w:sz w:val="48"/>
          <w:szCs w:val="48"/>
        </w:rPr>
        <w:t>年度部门整体支出绩效自评报告</w:t>
      </w: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44"/>
          <w:szCs w:val="44"/>
        </w:rPr>
      </w:pPr>
      <w:r>
        <w:rPr>
          <w:rFonts w:hint="eastAsia" w:ascii="Times New Roman" w:hAnsi="Times New Roman" w:eastAsia="黑体"/>
          <w:sz w:val="44"/>
          <w:szCs w:val="44"/>
        </w:rPr>
        <w:t>中方县退役军人事务局</w:t>
      </w: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仿宋_GB2312"/>
          <w:sz w:val="32"/>
          <w:szCs w:val="32"/>
        </w:rPr>
      </w:pPr>
    </w:p>
    <w:p>
      <w:pPr>
        <w:pStyle w:val="8"/>
        <w:widowControl/>
        <w:spacing w:line="600" w:lineRule="exact"/>
        <w:ind w:firstLine="640"/>
        <w:rPr>
          <w:rFonts w:ascii="Times New Roman" w:hAnsi="Times New Roman" w:eastAsia="黑体"/>
          <w:bCs/>
          <w:color w:val="000000"/>
          <w:sz w:val="32"/>
          <w:szCs w:val="32"/>
        </w:rPr>
      </w:pPr>
      <w:r>
        <w:rPr>
          <w:rFonts w:ascii="Times New Roman" w:hAnsi="Times New Roman" w:eastAsia="黑体"/>
          <w:sz w:val="32"/>
          <w:szCs w:val="32"/>
        </w:rPr>
        <w:br w:type="page"/>
      </w:r>
      <w:r>
        <w:rPr>
          <w:rFonts w:ascii="Times New Roman" w:hAnsi="Times New Roman" w:eastAsia="黑体"/>
          <w:bCs/>
          <w:color w:val="000000"/>
          <w:sz w:val="32"/>
          <w:szCs w:val="32"/>
        </w:rPr>
        <w:t>一、单位基本情况</w:t>
      </w:r>
    </w:p>
    <w:p>
      <w:pPr>
        <w:pStyle w:val="8"/>
        <w:widowControl/>
        <w:spacing w:line="600" w:lineRule="exact"/>
        <w:ind w:firstLine="639" w:firstLineChars="213"/>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（一）机构设置</w:t>
      </w:r>
    </w:p>
    <w:p>
      <w:pPr>
        <w:pStyle w:val="8"/>
        <w:widowControl/>
        <w:spacing w:line="600" w:lineRule="exact"/>
        <w:ind w:firstLine="639" w:firstLineChars="213"/>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退役军人事务局属正科级行政单位，正科级的行政单位，内设6个职能股室，一个股级事业单位，即中方县退役军人服务中心。</w:t>
      </w:r>
    </w:p>
    <w:p>
      <w:pPr>
        <w:pStyle w:val="8"/>
        <w:widowControl/>
        <w:spacing w:line="600" w:lineRule="exact"/>
        <w:ind w:firstLine="639" w:firstLineChars="213"/>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（二）编制人员情况</w:t>
      </w:r>
    </w:p>
    <w:p>
      <w:pPr>
        <w:pStyle w:val="8"/>
        <w:widowControl/>
        <w:spacing w:line="600" w:lineRule="exact"/>
        <w:ind w:firstLine="639" w:firstLineChars="213"/>
        <w:rPr>
          <w:rFonts w:ascii="Times New Roman" w:hAnsi="Times New Roman" w:eastAsia="仿宋_GB2312"/>
          <w:color w:val="000000"/>
          <w:sz w:val="32"/>
          <w:szCs w:val="32"/>
        </w:rPr>
      </w:pPr>
      <w:r>
        <w:rPr>
          <w:rFonts w:hint="eastAsia" w:ascii="仿宋" w:hAnsi="仿宋" w:eastAsia="仿宋" w:cs="仿宋"/>
          <w:kern w:val="0"/>
          <w:sz w:val="30"/>
          <w:szCs w:val="30"/>
          <w:shd w:val="clear" w:color="auto" w:fill="FFFFFF"/>
        </w:rPr>
        <w:t>本单位设行政编制5人，事业编制20人，年末实有在职人数13人</w:t>
      </w:r>
      <w:r>
        <w:rPr>
          <w:rFonts w:ascii="Times New Roman" w:hAnsi="Times New Roman" w:eastAsia="仿宋_GB2312"/>
          <w:color w:val="000000"/>
          <w:sz w:val="32"/>
          <w:szCs w:val="32"/>
        </w:rPr>
        <w:t>。</w:t>
      </w:r>
    </w:p>
    <w:p>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二、部门整体支出管理及使用情况</w:t>
      </w:r>
    </w:p>
    <w:p>
      <w:pPr>
        <w:spacing w:line="560" w:lineRule="exact"/>
        <w:ind w:firstLine="600" w:firstLineChars="20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2020预算总支出3034.85万元，其中基本支出131.46万元，项目支出2903.02万元。2020年实际总支出2447.79万元，其中基本支出131.71万元，项目支出2316.08万元。</w:t>
      </w:r>
    </w:p>
    <w:p>
      <w:pPr>
        <w:spacing w:line="560" w:lineRule="exact"/>
        <w:ind w:firstLine="600" w:firstLineChars="20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（一）基本支出</w:t>
      </w:r>
    </w:p>
    <w:p>
      <w:pPr>
        <w:pStyle w:val="3"/>
        <w:tabs>
          <w:tab w:val="left" w:pos="3800"/>
        </w:tabs>
        <w:spacing w:line="360" w:lineRule="auto"/>
        <w:ind w:left="0" w:firstLine="600" w:firstLineChars="20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2020年预算基本支出131.46万元，其中工资福利支出 112.35万元，商品和服务支出18.97万元，对个人和家庭的补助支出0.14万元。</w:t>
      </w:r>
    </w:p>
    <w:p>
      <w:pPr>
        <w:spacing w:line="560" w:lineRule="exact"/>
        <w:ind w:firstLine="600" w:firstLineChars="20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2020年实际基本支出131.71万元，其中工资福利支出118.76万元，商品和服务支出12.95万元。</w:t>
      </w:r>
    </w:p>
    <w:p>
      <w:pPr>
        <w:spacing w:line="560" w:lineRule="exact"/>
        <w:ind w:firstLine="640" w:firstLineChars="200"/>
        <w:rPr>
          <w:rFonts w:ascii="Times New Roman" w:hAnsi="Times New Roman" w:eastAsia="仿宋_GB2312"/>
          <w:bCs/>
          <w:color w:val="000000"/>
          <w:sz w:val="32"/>
          <w:szCs w:val="32"/>
        </w:rPr>
      </w:pPr>
      <w:r>
        <w:rPr>
          <w:rFonts w:ascii="Times New Roman" w:hAnsi="Times New Roman" w:eastAsia="仿宋_GB2312"/>
          <w:bCs/>
          <w:color w:val="000000"/>
          <w:sz w:val="32"/>
          <w:szCs w:val="32"/>
        </w:rPr>
        <w:t>（二）项目支出</w:t>
      </w:r>
    </w:p>
    <w:p>
      <w:pPr>
        <w:spacing w:line="560" w:lineRule="exact"/>
        <w:ind w:firstLine="640" w:firstLineChars="200"/>
        <w:rPr>
          <w:rFonts w:ascii="Times New Roman" w:hAnsi="Times New Roman" w:eastAsia="仿宋_GB2312"/>
          <w:bCs/>
          <w:color w:val="000000"/>
          <w:sz w:val="32"/>
          <w:szCs w:val="32"/>
        </w:rPr>
      </w:pPr>
      <w:r>
        <w:rPr>
          <w:rFonts w:hint="eastAsia" w:ascii="Times New Roman" w:hAnsi="Times New Roman" w:eastAsia="仿宋_GB2312"/>
          <w:bCs/>
          <w:color w:val="000000"/>
          <w:sz w:val="32"/>
          <w:szCs w:val="32"/>
        </w:rPr>
        <w:t>2020年预算项目支出2903.02万元，实际支出2316.08万元。内容涉密，不公开。</w:t>
      </w:r>
    </w:p>
    <w:p>
      <w:pPr>
        <w:widowControl/>
        <w:numPr>
          <w:ilvl w:val="0"/>
          <w:numId w:val="1"/>
        </w:numPr>
        <w:shd w:val="clear" w:color="auto" w:fill="FFFFFF"/>
        <w:spacing w:line="560" w:lineRule="atLeast"/>
        <w:ind w:firstLine="640" w:firstLineChars="200"/>
        <w:rPr>
          <w:rFonts w:ascii="Times New Roman" w:hAnsi="Times New Roman" w:eastAsia="仿宋_GB2312"/>
          <w:bCs/>
          <w:color w:val="000000"/>
          <w:sz w:val="32"/>
          <w:szCs w:val="32"/>
        </w:rPr>
      </w:pPr>
      <w:r>
        <w:rPr>
          <w:rFonts w:hint="eastAsia" w:ascii="Times New Roman" w:hAnsi="Times New Roman" w:eastAsia="仿宋_GB2312"/>
          <w:bCs/>
          <w:color w:val="000000"/>
          <w:sz w:val="32"/>
          <w:szCs w:val="32"/>
        </w:rPr>
        <w:t>三公经费控制情况</w:t>
      </w:r>
    </w:p>
    <w:p>
      <w:pPr>
        <w:widowControl/>
        <w:shd w:val="clear" w:color="auto" w:fill="FFFFFF"/>
        <w:spacing w:line="560" w:lineRule="atLeast"/>
        <w:ind w:firstLine="640" w:firstLineChars="200"/>
        <w:rPr>
          <w:rFonts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2020年度“三公”经费财政拨款支出预算为2.6万元，其中因公出国（境）费0万元，公务用车运行与维护费1.5万元，公务接待1.1万元。2020年支出决算为1.02万元，完成预算的46.36%。其中：因公出国（境）费支出决算为0万元，完成预算的100%；公务用车购置及运行费支出决算为0万元，完成预算的0%，主要原因是2020年我单位公务用车因疫情被政府收回统一调度使用，本单位全年没有使用公务用车；公务接待费支出决算为1.02万元，完成预算的92.73%。</w:t>
      </w:r>
    </w:p>
    <w:p>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三、部门整体支出绩效情况</w:t>
      </w:r>
    </w:p>
    <w:p>
      <w:pPr>
        <w:spacing w:line="560" w:lineRule="exact"/>
        <w:ind w:firstLine="600" w:firstLineChars="20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（一）整体支出分析</w:t>
      </w:r>
    </w:p>
    <w:p>
      <w:pPr>
        <w:spacing w:line="560" w:lineRule="exact"/>
        <w:ind w:firstLine="600" w:firstLineChars="20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本单位2020预算总支出3034.85万元，实际总支出2447.79万元，完成率80.66%。</w:t>
      </w:r>
    </w:p>
    <w:p>
      <w:pPr>
        <w:numPr>
          <w:ilvl w:val="0"/>
          <w:numId w:val="2"/>
        </w:numPr>
        <w:spacing w:line="560" w:lineRule="exact"/>
        <w:ind w:firstLine="600" w:firstLineChars="200"/>
        <w:rPr>
          <w:rFonts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单位履职情况分析</w:t>
      </w:r>
    </w:p>
    <w:p>
      <w:pPr>
        <w:numPr>
          <w:ilvl w:val="0"/>
          <w:numId w:val="3"/>
        </w:numPr>
        <w:spacing w:line="600" w:lineRule="exact"/>
        <w:ind w:firstLine="640"/>
        <w:rPr>
          <w:rFonts w:ascii="仿宋" w:hAnsi="仿宋" w:eastAsia="仿宋"/>
          <w:sz w:val="32"/>
          <w:szCs w:val="32"/>
        </w:rPr>
      </w:pPr>
      <w:r>
        <w:rPr>
          <w:rFonts w:hint="eastAsia" w:ascii="仿宋" w:hAnsi="仿宋" w:eastAsia="仿宋"/>
          <w:sz w:val="32"/>
          <w:szCs w:val="32"/>
        </w:rPr>
        <w:t>扎实做好各类优抚对象资金发放及优抚工作。全年发放重点优抚对象抚恤金1502.6万元；价格补助110.5万元；医疗费89.4万元；按每1年4500元标准发放2019年度自主就业经济补助131.4万元；按每年13000元标准发放2018、2019年度义务兵优抚金、男性大学生一次性奖励、进疆进藏奖励155.5万元。全年新增带病回乡7人、伤残2人、60岁农村籍退役士兵41人。</w:t>
      </w:r>
    </w:p>
    <w:p>
      <w:pPr>
        <w:spacing w:line="600" w:lineRule="exact"/>
        <w:ind w:firstLine="668" w:firstLineChars="200"/>
        <w:rPr>
          <w:rFonts w:ascii="仿宋" w:hAnsi="仿宋" w:eastAsia="仿宋" w:cs="仿宋"/>
          <w:sz w:val="32"/>
          <w:szCs w:val="32"/>
        </w:rPr>
      </w:pPr>
      <w:r>
        <w:rPr>
          <w:rFonts w:hint="eastAsia" w:ascii="仿宋" w:hAnsi="仿宋" w:eastAsia="仿宋" w:cs="仿宋"/>
          <w:spacing w:val="7"/>
          <w:sz w:val="32"/>
          <w:szCs w:val="32"/>
          <w:shd w:val="clear" w:color="auto" w:fill="FFFFFF"/>
        </w:rPr>
        <w:t>2、充分利用春节、“八一”</w:t>
      </w:r>
      <w:r>
        <w:rPr>
          <w:rFonts w:hint="eastAsia" w:ascii="仿宋" w:hAnsi="仿宋" w:eastAsia="仿宋" w:cs="仿宋"/>
          <w:sz w:val="32"/>
          <w:szCs w:val="32"/>
        </w:rPr>
        <w:t xml:space="preserve"> 等节日，开展丰富多彩的拥军优属活动，县委、县政府领导深入驻地部队走访慰问，以乡镇为单位开展了复退军人代表座谈会、老复员军人送医送药、走访“三属”、发放慰问品慰问金等方式，为他们排忧解难，进一步融洽了军民关系。</w:t>
      </w:r>
    </w:p>
    <w:p>
      <w:pPr>
        <w:spacing w:line="600" w:lineRule="exact"/>
        <w:ind w:firstLine="640" w:firstLineChars="200"/>
        <w:rPr>
          <w:rFonts w:ascii="仿宋" w:hAnsi="仿宋" w:eastAsia="仿宋"/>
          <w:sz w:val="32"/>
          <w:szCs w:val="32"/>
        </w:rPr>
      </w:pPr>
      <w:r>
        <w:rPr>
          <w:rFonts w:hint="eastAsia" w:ascii="仿宋" w:hAnsi="仿宋" w:eastAsia="仿宋" w:cs="仿宋"/>
          <w:sz w:val="32"/>
          <w:szCs w:val="32"/>
        </w:rPr>
        <w:t>3、</w:t>
      </w:r>
      <w:r>
        <w:rPr>
          <w:rFonts w:hint="eastAsia" w:ascii="仿宋" w:hAnsi="仿宋" w:eastAsia="仿宋"/>
          <w:sz w:val="32"/>
          <w:szCs w:val="32"/>
        </w:rPr>
        <w:t>切实抓好了部分退役士兵社保接续工作。我县共受理社保补缴606人，实际参与补缴对象602人（2人身份认定未通过，2人公安资格审查未通过），其中需个人缴费88人，零补缴514人。实际完成个人缴费87人，1人自愿放弃补缴。</w:t>
      </w:r>
    </w:p>
    <w:p>
      <w:pPr>
        <w:spacing w:line="600" w:lineRule="exact"/>
        <w:ind w:left="10" w:firstLine="617" w:firstLineChars="193"/>
        <w:rPr>
          <w:rFonts w:ascii="仿宋" w:hAnsi="仿宋" w:eastAsia="仿宋"/>
          <w:sz w:val="32"/>
          <w:szCs w:val="32"/>
        </w:rPr>
      </w:pPr>
      <w:r>
        <w:rPr>
          <w:rFonts w:hint="eastAsia" w:ascii="仿宋" w:hAnsi="仿宋" w:eastAsia="仿宋"/>
          <w:sz w:val="32"/>
          <w:szCs w:val="32"/>
        </w:rPr>
        <w:t>4、切实抓好了移交安置和就业创业工作。2020年度共计接受秋冬季自主就业退役士兵48人，政府安排工作转业士官28人。积极落实“阳光安置”，以部队服役期间表现评分为重要依据，采取资格审查、量化评分签字确认、召开县委退役军人安置领导小组、公开公示岗位、公开选岗方式完成了28名转业士官安置工作，其中22人选择县内事业编制岗位，6人选择了国家电网等央、国企业，做到选岗成功率、满意度100%。按文件要求给28名转业士官解决了待安置期间医保及生活费，代缴医保金额。积极组织退役士兵参加市局、县人社部门组织退役军人、军属大型现象招聘会、“春风送真情、就业暖人心”等形式的线上线下招聘会，吸引全县100余名退役军人参加。组织召开了2020年度秋季自主就业退役士兵欢迎会及就业创业培训会、参加市局组织首次适应性培训。2020年共计30名自主就业退役士兵报名参加了免费职业技能培训。</w:t>
      </w:r>
    </w:p>
    <w:p>
      <w:pPr>
        <w:spacing w:line="600" w:lineRule="exact"/>
        <w:ind w:firstLine="643" w:firstLineChars="200"/>
        <w:rPr>
          <w:rFonts w:ascii="仿宋" w:hAnsi="仿宋" w:eastAsia="仿宋" w:cs="仿宋"/>
          <w:bCs/>
          <w:color w:val="000000"/>
          <w:sz w:val="32"/>
          <w:szCs w:val="32"/>
        </w:rPr>
      </w:pPr>
      <w:r>
        <w:rPr>
          <w:rFonts w:hint="eastAsia" w:ascii="仿宋" w:hAnsi="仿宋" w:eastAsia="仿宋" w:cs="仿宋"/>
          <w:b/>
          <w:color w:val="000000"/>
          <w:sz w:val="32"/>
          <w:szCs w:val="32"/>
        </w:rPr>
        <w:t>（三）社会效益分析。</w:t>
      </w:r>
    </w:p>
    <w:p>
      <w:pPr>
        <w:widowControl/>
        <w:shd w:val="clear" w:color="auto" w:fill="FFFFFF"/>
        <w:spacing w:line="360" w:lineRule="auto"/>
        <w:ind w:firstLine="640" w:firstLineChars="200"/>
        <w:jc w:val="left"/>
        <w:rPr>
          <w:rFonts w:ascii="仿宋" w:hAnsi="仿宋" w:eastAsia="仿宋" w:cs="仿宋"/>
          <w:bCs/>
          <w:color w:val="000000"/>
          <w:sz w:val="32"/>
          <w:szCs w:val="32"/>
        </w:rPr>
      </w:pPr>
      <w:r>
        <w:rPr>
          <w:rFonts w:hint="eastAsia" w:ascii="仿宋" w:hAnsi="仿宋" w:eastAsia="仿宋" w:cs="仿宋"/>
          <w:color w:val="000000"/>
          <w:kern w:val="0"/>
          <w:sz w:val="32"/>
          <w:szCs w:val="32"/>
        </w:rPr>
        <w:t>优抚抚恤补助在根本上解决了优抚对象的基本生活问题，保障了优抚对象的基本权益。义务兵优待金及自主就业退役士兵一次性经济补助资金的发放，提升当兵的优越感和荣誉感，有效促进国防和军队的建设。优抚对象医疗补助保障优抚对象权益，改善优抚对象生活，增强优抚对象荣誉感，维护社会和谐稳定。优抚对象特殊困难援助有效遏制了因病、因灾等突发状况致贫返贫现象的发生，缓解了临时性基本生活困难现象，提高了困难群众的生活质量。</w:t>
      </w:r>
    </w:p>
    <w:p>
      <w:pPr>
        <w:spacing w:line="600" w:lineRule="exact"/>
        <w:ind w:firstLine="643" w:firstLineChars="200"/>
        <w:rPr>
          <w:rFonts w:ascii="仿宋" w:hAnsi="仿宋" w:eastAsia="仿宋" w:cs="仿宋"/>
          <w:bCs/>
          <w:color w:val="000000"/>
          <w:sz w:val="32"/>
          <w:szCs w:val="32"/>
        </w:rPr>
      </w:pPr>
      <w:r>
        <w:rPr>
          <w:rFonts w:hint="eastAsia" w:ascii="仿宋" w:hAnsi="仿宋" w:eastAsia="仿宋" w:cs="仿宋"/>
          <w:b/>
          <w:color w:val="000000"/>
          <w:sz w:val="32"/>
          <w:szCs w:val="32"/>
        </w:rPr>
        <w:t>（三）行政效能分析。</w:t>
      </w:r>
    </w:p>
    <w:p>
      <w:pPr>
        <w:widowControl/>
        <w:shd w:val="clear" w:color="auto" w:fill="FFFFFF"/>
        <w:spacing w:line="360" w:lineRule="auto"/>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各项资金都按月发放，并采取“一卡通”的方式直接发放到优抚对象的银行卡上，各乡镇服务站工作人员能动态跟踪，及时反应群众的需要；资金发放审批程序更简更快，不仅提高了政府的工作效率和政府的形象，而且使群众的满意度日趋提升。</w:t>
      </w:r>
    </w:p>
    <w:p>
      <w:pPr>
        <w:widowControl/>
        <w:spacing w:line="600" w:lineRule="exact"/>
        <w:ind w:firstLine="645"/>
        <w:jc w:val="left"/>
        <w:rPr>
          <w:rFonts w:ascii="Times New Roman" w:hAnsi="Times New Roman" w:eastAsia="黑体"/>
          <w:sz w:val="32"/>
          <w:szCs w:val="32"/>
        </w:rPr>
      </w:pPr>
      <w:r>
        <w:rPr>
          <w:rFonts w:ascii="Times New Roman" w:hAnsi="Times New Roman" w:eastAsia="黑体"/>
          <w:color w:val="000000"/>
          <w:sz w:val="32"/>
          <w:szCs w:val="32"/>
        </w:rPr>
        <w:t>四、</w:t>
      </w:r>
      <w:r>
        <w:rPr>
          <w:rFonts w:ascii="Times New Roman" w:hAnsi="Times New Roman" w:eastAsia="黑体"/>
          <w:sz w:val="32"/>
          <w:szCs w:val="32"/>
        </w:rPr>
        <w:t>存在的主要问题及下一步改进措施</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预算执行有偏差。南湖烈士公祭广场建设项目预算支出与实际支出有差距。问题产生的原因主要是受项目征地及补偿款支付的影响，导致项目推进援慢，年内未完成项目建设，资金未支付。下一步我们在项目管理上做到专人管理，专人跟进，争取在2021年9月30日前竣工验收并投入使用，2021年底前全部资金支付完毕。</w:t>
      </w:r>
    </w:p>
    <w:p>
      <w:pPr>
        <w:widowControl/>
        <w:numPr>
          <w:ilvl w:val="0"/>
          <w:numId w:val="4"/>
        </w:numPr>
        <w:spacing w:line="600" w:lineRule="exact"/>
        <w:ind w:firstLine="645"/>
        <w:jc w:val="left"/>
        <w:rPr>
          <w:rFonts w:ascii="Times New Roman" w:hAnsi="Times New Roman" w:eastAsia="黑体"/>
          <w:sz w:val="32"/>
          <w:szCs w:val="32"/>
        </w:rPr>
      </w:pPr>
      <w:r>
        <w:rPr>
          <w:rFonts w:ascii="Times New Roman" w:hAnsi="Times New Roman" w:eastAsia="黑体"/>
          <w:sz w:val="32"/>
          <w:szCs w:val="32"/>
        </w:rPr>
        <w:t>绩效自评结果拟应用和公开情况</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（一）绩效自评结果拟应用</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将自评结果作为下年度预算编制及执行的重要参考。对评价优秀的项目加大力度，以期取得更好的效益；对评价合格项目继续予以支持；对评价不合格项目将减少资金或取消项目。</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（二）绩效自评结果公开情况</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本绩效自评报告对涉密信息按规定处理后，通过政府门户网公开，接受监督。</w:t>
      </w:r>
    </w:p>
    <w:p>
      <w:pPr>
        <w:widowControl/>
        <w:spacing w:line="600" w:lineRule="exact"/>
        <w:ind w:firstLine="645"/>
        <w:jc w:val="left"/>
        <w:rPr>
          <w:rFonts w:ascii="Times New Roman" w:hAnsi="Times New Roman" w:eastAsia="黑体"/>
          <w:sz w:val="32"/>
          <w:szCs w:val="32"/>
        </w:rPr>
      </w:pPr>
      <w:r>
        <w:rPr>
          <w:rFonts w:ascii="Times New Roman" w:hAnsi="Times New Roman" w:eastAsia="黑体"/>
          <w:sz w:val="32"/>
          <w:szCs w:val="32"/>
        </w:rPr>
        <w:t>六、其他需要说明的情况</w:t>
      </w:r>
    </w:p>
    <w:p>
      <w:pPr>
        <w:widowControl/>
        <w:spacing w:line="60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附件：1.部门整体支出绩效评价基础数据表</w:t>
      </w:r>
    </w:p>
    <w:p>
      <w:pPr>
        <w:widowControl/>
        <w:spacing w:line="600" w:lineRule="exact"/>
        <w:ind w:firstLine="1600" w:firstLineChars="500"/>
        <w:jc w:val="left"/>
        <w:rPr>
          <w:rFonts w:ascii="Times New Roman" w:hAnsi="Times New Roman" w:eastAsia="仿宋_GB2312"/>
          <w:sz w:val="32"/>
          <w:szCs w:val="32"/>
        </w:rPr>
      </w:pPr>
      <w:r>
        <w:rPr>
          <w:rFonts w:ascii="Times New Roman" w:hAnsi="Times New Roman" w:eastAsia="仿宋_GB2312"/>
          <w:sz w:val="32"/>
          <w:szCs w:val="32"/>
        </w:rPr>
        <w:t>2.部门整体支出绩效评价指标评分表</w:t>
      </w:r>
    </w:p>
    <w:p>
      <w:pPr>
        <w:spacing w:line="560" w:lineRule="exact"/>
        <w:ind w:firstLine="640" w:firstLineChars="200"/>
        <w:rPr>
          <w:rFonts w:ascii="Times New Roman" w:hAnsi="Times New Roman" w:eastAsia="仿宋_GB2312"/>
          <w:sz w:val="32"/>
          <w:szCs w:val="32"/>
        </w:rPr>
      </w:pPr>
    </w:p>
    <w:p>
      <w:pPr>
        <w:pStyle w:val="2"/>
        <w:ind w:firstLine="803"/>
        <w:rPr>
          <w:rFonts w:ascii="Times New Roman" w:hAnsi="Times New Roman" w:eastAsia="仿宋_GB2312"/>
          <w:sz w:val="32"/>
          <w:szCs w:val="32"/>
        </w:rPr>
      </w:pPr>
    </w:p>
    <w:p>
      <w:pPr>
        <w:rPr>
          <w:rFonts w:ascii="Times New Roman" w:hAnsi="Times New Roman" w:eastAsia="仿宋_GB2312"/>
          <w:sz w:val="32"/>
          <w:szCs w:val="32"/>
        </w:rPr>
      </w:pPr>
    </w:p>
    <w:p>
      <w:pPr>
        <w:pStyle w:val="2"/>
        <w:ind w:firstLine="803"/>
        <w:rPr>
          <w:rFonts w:ascii="Times New Roman" w:hAnsi="Times New Roman" w:eastAsia="仿宋_GB2312"/>
          <w:sz w:val="32"/>
          <w:szCs w:val="32"/>
        </w:rPr>
      </w:pPr>
    </w:p>
    <w:p>
      <w:pPr>
        <w:rPr>
          <w:rFonts w:ascii="Times New Roman" w:hAnsi="Times New Roman" w:eastAsia="仿宋_GB2312"/>
          <w:sz w:val="32"/>
          <w:szCs w:val="32"/>
        </w:rPr>
      </w:pPr>
    </w:p>
    <w:p>
      <w:pPr>
        <w:spacing w:line="560" w:lineRule="exact"/>
        <w:rPr>
          <w:rFonts w:hint="eastAsia" w:ascii="Times New Roman" w:hAnsi="Times New Roman" w:eastAsia="仿宋_GB2312"/>
          <w:bCs/>
          <w:color w:val="000000"/>
          <w:sz w:val="32"/>
          <w:szCs w:val="32"/>
        </w:rPr>
      </w:pPr>
    </w:p>
    <w:p>
      <w:pPr>
        <w:spacing w:line="560" w:lineRule="exact"/>
        <w:rPr>
          <w:rFonts w:hint="eastAsia" w:ascii="Times New Roman" w:hAnsi="Times New Roman" w:eastAsia="仿宋_GB2312"/>
          <w:bCs/>
          <w:color w:val="000000"/>
          <w:sz w:val="32"/>
          <w:szCs w:val="32"/>
        </w:rPr>
      </w:pPr>
    </w:p>
    <w:p>
      <w:pPr>
        <w:spacing w:line="560" w:lineRule="exact"/>
        <w:rPr>
          <w:rFonts w:hint="eastAsia" w:ascii="Times New Roman" w:hAnsi="Times New Roman" w:eastAsia="仿宋_GB2312"/>
          <w:bCs/>
          <w:color w:val="000000"/>
          <w:sz w:val="32"/>
          <w:szCs w:val="32"/>
        </w:rPr>
      </w:pPr>
    </w:p>
    <w:p>
      <w:pPr>
        <w:spacing w:line="560" w:lineRule="exact"/>
        <w:rPr>
          <w:rFonts w:hint="eastAsia" w:ascii="Times New Roman" w:hAnsi="Times New Roman" w:eastAsia="仿宋_GB2312"/>
          <w:bCs/>
          <w:color w:val="000000"/>
          <w:sz w:val="32"/>
          <w:szCs w:val="32"/>
        </w:rPr>
      </w:pPr>
    </w:p>
    <w:p>
      <w:pPr>
        <w:spacing w:line="560" w:lineRule="exact"/>
        <w:rPr>
          <w:rFonts w:ascii="Times New Roman" w:hAnsi="Times New Roman" w:eastAsia="仿宋_GB2312"/>
          <w:bCs/>
          <w:color w:val="000000"/>
          <w:sz w:val="32"/>
          <w:szCs w:val="32"/>
        </w:rPr>
        <w:sectPr>
          <w:footerReference r:id="rId3" w:type="default"/>
          <w:pgSz w:w="11906" w:h="16838"/>
          <w:pgMar w:top="1440" w:right="1800" w:bottom="1440" w:left="1800" w:header="851" w:footer="992" w:gutter="0"/>
          <w:cols w:space="425" w:num="1"/>
          <w:docGrid w:type="lines" w:linePitch="312" w:charSpace="0"/>
        </w:sectPr>
      </w:pP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附件1</w:t>
      </w:r>
    </w:p>
    <w:p>
      <w:pPr>
        <w:spacing w:beforeLines="50" w:afterLines="50" w:line="360" w:lineRule="exact"/>
        <w:jc w:val="center"/>
        <w:rPr>
          <w:rFonts w:ascii="Times New Roman" w:hAnsi="Times New Roman" w:eastAsia="方正小标宋简体"/>
          <w:kern w:val="0"/>
          <w:sz w:val="44"/>
          <w:szCs w:val="44"/>
        </w:rPr>
      </w:pPr>
      <w:r>
        <w:rPr>
          <w:rFonts w:ascii="Times New Roman" w:hAnsi="Times New Roman" w:eastAsia="方正小标宋简体"/>
          <w:kern w:val="0"/>
          <w:sz w:val="44"/>
          <w:szCs w:val="44"/>
        </w:rPr>
        <w:t>部门整体支出绩效评价基础数据表</w:t>
      </w:r>
    </w:p>
    <w:p>
      <w:pPr>
        <w:widowControl/>
        <w:tabs>
          <w:tab w:val="left" w:pos="3611"/>
          <w:tab w:val="left" w:pos="4791"/>
          <w:tab w:val="left" w:pos="5951"/>
          <w:tab w:val="left" w:pos="7071"/>
          <w:tab w:val="left" w:pos="8191"/>
          <w:tab w:val="left" w:pos="9311"/>
        </w:tabs>
        <w:spacing w:line="500" w:lineRule="exact"/>
        <w:ind w:left="91"/>
        <w:jc w:val="left"/>
        <w:rPr>
          <w:rFonts w:hint="eastAsia" w:ascii="Times New Roman" w:hAnsi="Times New Roman" w:eastAsia="仿宋_GB2312"/>
          <w:kern w:val="0"/>
          <w:sz w:val="30"/>
          <w:szCs w:val="30"/>
        </w:rPr>
      </w:pPr>
      <w:r>
        <w:rPr>
          <w:rFonts w:ascii="Times New Roman" w:hAnsi="Times New Roman" w:eastAsia="仿宋_GB2312"/>
          <w:kern w:val="0"/>
          <w:sz w:val="30"/>
          <w:szCs w:val="30"/>
        </w:rPr>
        <w:t>填报单位</w:t>
      </w:r>
    </w:p>
    <w:tbl>
      <w:tblPr>
        <w:tblStyle w:val="6"/>
        <w:tblW w:w="0" w:type="auto"/>
        <w:jc w:val="center"/>
        <w:tblLayout w:type="fixed"/>
        <w:tblCellMar>
          <w:top w:w="0" w:type="dxa"/>
          <w:left w:w="108" w:type="dxa"/>
          <w:bottom w:w="0" w:type="dxa"/>
          <w:right w:w="108" w:type="dxa"/>
        </w:tblCellMar>
      </w:tblPr>
      <w:tblGrid>
        <w:gridCol w:w="4883"/>
        <w:gridCol w:w="1545"/>
        <w:gridCol w:w="1522"/>
        <w:gridCol w:w="1468"/>
        <w:gridCol w:w="1901"/>
        <w:gridCol w:w="1260"/>
        <w:gridCol w:w="1121"/>
      </w:tblGrid>
      <w:tr>
        <w:tblPrEx>
          <w:tblCellMar>
            <w:top w:w="0" w:type="dxa"/>
            <w:left w:w="108" w:type="dxa"/>
            <w:bottom w:w="0" w:type="dxa"/>
            <w:right w:w="108" w:type="dxa"/>
          </w:tblCellMar>
        </w:tblPrEx>
        <w:trPr>
          <w:trHeight w:val="263" w:hRule="atLeast"/>
          <w:jc w:val="center"/>
        </w:trPr>
        <w:tc>
          <w:tcPr>
            <w:tcW w:w="488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财政供养人员情况</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编制数</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年实际在职人数</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25</w:t>
            </w:r>
            <w:r>
              <w:rPr>
                <w:rFonts w:ascii="Times New Roman" w:hAnsi="Times New Roman" w:eastAsia="仿宋_GB2312"/>
                <w:kern w:val="0"/>
                <w:sz w:val="18"/>
                <w:szCs w:val="18"/>
              </w:rPr>
              <w:t>　</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eastAsia="仿宋_GB2312"/>
                <w:kern w:val="0"/>
                <w:sz w:val="18"/>
                <w:szCs w:val="18"/>
              </w:rPr>
            </w:pPr>
            <w:r>
              <w:rPr>
                <w:rFonts w:hint="eastAsia" w:ascii="Times New Roman" w:hAnsi="Times New Roman" w:eastAsia="仿宋_GB2312"/>
                <w:kern w:val="0"/>
                <w:sz w:val="18"/>
                <w:szCs w:val="18"/>
              </w:rPr>
              <w:t>13</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52%</w:t>
            </w: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经费控制情况</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r>
              <w:rPr>
                <w:rFonts w:hint="eastAsia" w:ascii="Times New Roman" w:hAnsi="Times New Roman" w:eastAsia="仿宋_GB2312"/>
                <w:kern w:val="0"/>
                <w:sz w:val="18"/>
                <w:szCs w:val="18"/>
              </w:rPr>
              <w:t>19</w:t>
            </w:r>
            <w:r>
              <w:rPr>
                <w:rFonts w:ascii="Times New Roman" w:hAnsi="Times New Roman" w:eastAsia="仿宋_GB2312"/>
                <w:kern w:val="0"/>
                <w:sz w:val="18"/>
                <w:szCs w:val="18"/>
              </w:rPr>
              <w:t>年决算数</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年预算数</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年决算数</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2.6</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1、公务用车购置和维护经费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1.5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r>
              <w:rPr>
                <w:rFonts w:hint="eastAsia" w:ascii="Times New Roman" w:hAnsi="Times New Roman"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其中：公车购置</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公车运行维护</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1.5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r>
              <w:rPr>
                <w:rFonts w:hint="eastAsia" w:ascii="Times New Roman" w:hAnsi="Times New Roman"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2、出国经费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0</w:t>
            </w:r>
            <w:r>
              <w:rPr>
                <w:rFonts w:ascii="Times New Roman" w:hAnsi="Times New Roman" w:eastAsia="仿宋_GB2312"/>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3、公务接待</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1.1</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1.02</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项目支出：        （一个项目一行）</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kern w:val="0"/>
                <w:sz w:val="18"/>
                <w:szCs w:val="18"/>
              </w:rPr>
            </w:pPr>
            <w:r>
              <w:rPr>
                <w:rFonts w:hint="eastAsia" w:ascii="Times New Roman" w:hAnsi="Times New Roman" w:eastAsia="仿宋_GB2312"/>
                <w:kern w:val="0"/>
                <w:sz w:val="18"/>
                <w:szCs w:val="18"/>
              </w:rPr>
              <w:t>退役军人事务专项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2903.02</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2316.08</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hint="eastAsia" w:ascii="Times New Roman" w:hAnsi="Times New Roman" w:eastAsia="仿宋_GB2312"/>
                <w:kern w:val="0"/>
                <w:sz w:val="18"/>
                <w:szCs w:val="18"/>
              </w:rPr>
            </w:pP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公用经费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12</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12.94</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其中：办公经费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color w:val="FF0000"/>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ind w:firstLine="180" w:firstLineChars="100"/>
              <w:jc w:val="center"/>
              <w:rPr>
                <w:rFonts w:ascii="Times New Roman" w:hAnsi="Times New Roman" w:eastAsia="仿宋_GB2312"/>
                <w:color w:val="FF0000"/>
                <w:kern w:val="0"/>
                <w:sz w:val="18"/>
                <w:szCs w:val="18"/>
              </w:rPr>
            </w:pPr>
            <w:r>
              <w:rPr>
                <w:rFonts w:hint="eastAsia" w:ascii="Times New Roman" w:hAnsi="Times New Roman" w:eastAsia="仿宋_GB2312"/>
                <w:color w:val="FF0000"/>
                <w:kern w:val="0"/>
                <w:sz w:val="18"/>
                <w:szCs w:val="18"/>
              </w:rPr>
              <w:t>2</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FF0000"/>
                <w:kern w:val="0"/>
                <w:sz w:val="18"/>
                <w:szCs w:val="18"/>
              </w:rPr>
            </w:pPr>
            <w:r>
              <w:rPr>
                <w:rFonts w:hint="eastAsia" w:ascii="Times New Roman" w:hAnsi="Times New Roman" w:eastAsia="仿宋_GB2312"/>
                <w:color w:val="FF0000"/>
                <w:kern w:val="0"/>
                <w:sz w:val="18"/>
                <w:szCs w:val="18"/>
              </w:rPr>
              <w:t>4.07</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水费、电费、差旅费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color w:val="FF0000"/>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FF0000"/>
                <w:kern w:val="0"/>
                <w:sz w:val="18"/>
                <w:szCs w:val="18"/>
              </w:rPr>
            </w:pPr>
            <w:r>
              <w:rPr>
                <w:rFonts w:hint="eastAsia" w:ascii="Times New Roman" w:hAnsi="Times New Roman" w:eastAsia="仿宋_GB2312"/>
                <w:color w:val="FF0000"/>
                <w:kern w:val="0"/>
                <w:sz w:val="18"/>
                <w:szCs w:val="18"/>
              </w:rPr>
              <w:t>3.44</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FF0000"/>
                <w:kern w:val="0"/>
                <w:sz w:val="18"/>
                <w:szCs w:val="18"/>
              </w:rPr>
            </w:pPr>
            <w:r>
              <w:rPr>
                <w:rFonts w:hint="eastAsia" w:ascii="Times New Roman" w:hAnsi="Times New Roman" w:eastAsia="仿宋_GB2312"/>
                <w:color w:val="FF0000"/>
                <w:kern w:val="0"/>
                <w:sz w:val="18"/>
                <w:szCs w:val="18"/>
              </w:rPr>
              <w:t>2.49</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          会议费、培训费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color w:val="FF0000"/>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color w:val="FF0000"/>
                <w:kern w:val="0"/>
                <w:sz w:val="18"/>
                <w:szCs w:val="18"/>
              </w:rPr>
            </w:pPr>
            <w:r>
              <w:rPr>
                <w:rFonts w:hint="eastAsia" w:ascii="Times New Roman" w:hAnsi="Times New Roman" w:eastAsia="仿宋_GB2312"/>
                <w:color w:val="FF0000"/>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color w:val="FF0000"/>
                <w:kern w:val="0"/>
                <w:sz w:val="18"/>
                <w:szCs w:val="18"/>
              </w:rPr>
            </w:pPr>
            <w:r>
              <w:rPr>
                <w:rFonts w:ascii="Times New Roman" w:hAnsi="Times New Roman" w:eastAsia="仿宋_GB2312"/>
                <w:color w:val="FF0000"/>
                <w:kern w:val="0"/>
                <w:sz w:val="18"/>
                <w:szCs w:val="18"/>
              </w:rPr>
              <w:t>　</w:t>
            </w:r>
            <w:r>
              <w:rPr>
                <w:rFonts w:hint="eastAsia" w:ascii="Times New Roman" w:hAnsi="Times New Roman" w:eastAsia="仿宋_GB2312"/>
                <w:color w:val="FF0000"/>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政府采购金额</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部门基本支出预算调整 </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131.46</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kern w:val="0"/>
                <w:sz w:val="18"/>
                <w:szCs w:val="18"/>
              </w:rPr>
            </w:pPr>
            <w:r>
              <w:rPr>
                <w:rFonts w:hint="eastAsia" w:ascii="Times New Roman" w:hAnsi="Times New Roman" w:eastAsia="仿宋_GB2312"/>
                <w:kern w:val="0"/>
                <w:sz w:val="18"/>
                <w:szCs w:val="18"/>
              </w:rPr>
              <w:t>131.71</w:t>
            </w: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505" w:hRule="atLeast"/>
          <w:jc w:val="center"/>
        </w:trPr>
        <w:tc>
          <w:tcPr>
            <w:tcW w:w="488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楼堂馆所控制情况</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年完工项目）</w:t>
            </w: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批复规模</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w:t>
            </w:r>
          </w:p>
        </w:tc>
        <w:tc>
          <w:tcPr>
            <w:tcW w:w="15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实际规模（㎡）</w:t>
            </w:r>
          </w:p>
        </w:tc>
        <w:tc>
          <w:tcPr>
            <w:tcW w:w="146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规模控制率</w:t>
            </w:r>
          </w:p>
        </w:tc>
        <w:tc>
          <w:tcPr>
            <w:tcW w:w="190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预算投资（万元）</w:t>
            </w:r>
          </w:p>
        </w:tc>
        <w:tc>
          <w:tcPr>
            <w:tcW w:w="12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实际投资（万元）</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投资概算控制率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kern w:val="0"/>
                <w:sz w:val="18"/>
                <w:szCs w:val="18"/>
              </w:rPr>
            </w:pP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522" w:type="dxa"/>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468" w:type="dxa"/>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901" w:type="dxa"/>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260" w:type="dxa"/>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c>
          <w:tcPr>
            <w:tcW w:w="1121" w:type="dxa"/>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r>
      <w:tr>
        <w:tblPrEx>
          <w:tblCellMar>
            <w:top w:w="0" w:type="dxa"/>
            <w:left w:w="108" w:type="dxa"/>
            <w:bottom w:w="0" w:type="dxa"/>
            <w:right w:w="108" w:type="dxa"/>
          </w:tblCellMar>
        </w:tblPrEx>
        <w:trPr>
          <w:trHeight w:val="282"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厉行节约保障措施</w:t>
            </w:r>
          </w:p>
        </w:tc>
        <w:tc>
          <w:tcPr>
            <w:tcW w:w="8817" w:type="dxa"/>
            <w:gridSpan w:val="6"/>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eastAsia="仿宋_GB2312"/>
                <w:kern w:val="0"/>
                <w:sz w:val="18"/>
                <w:szCs w:val="18"/>
              </w:rPr>
            </w:pPr>
            <w:r>
              <w:rPr>
                <w:rFonts w:hint="eastAsia" w:ascii="Times New Roman" w:hAnsi="Times New Roman" w:eastAsia="仿宋_GB2312"/>
                <w:kern w:val="0"/>
                <w:sz w:val="18"/>
                <w:szCs w:val="18"/>
              </w:rPr>
              <w:t>严格执行中方县差旅费管理办法和县退役军人事务局机关管理制度。</w:t>
            </w:r>
            <w:r>
              <w:rPr>
                <w:rFonts w:ascii="Times New Roman" w:hAnsi="Times New Roman" w:eastAsia="仿宋_GB2312"/>
                <w:kern w:val="0"/>
                <w:sz w:val="18"/>
                <w:szCs w:val="18"/>
              </w:rPr>
              <w:t>严格预算管控，压缩行政性开支；进一步加强会议费、培训费、差旅费、公务接待费、公务用车运行维护费、因公出国（境）费等经费的管理。并在节约水电、降低车耗、节约使用办公用品，杜绝食堂浪费等方面加强管理，杜绝各种损失浪费，控制了行政成本。　　</w:t>
            </w:r>
          </w:p>
        </w:tc>
      </w:tr>
    </w:tbl>
    <w:p>
      <w:pPr>
        <w:widowControl/>
        <w:spacing w:line="300" w:lineRule="exact"/>
        <w:ind w:firstLine="560" w:firstLineChars="200"/>
        <w:jc w:val="left"/>
        <w:rPr>
          <w:rFonts w:ascii="Times New Roman" w:hAnsi="Times New Roman" w:eastAsia="楷体_GB2312"/>
          <w:kern w:val="0"/>
          <w:sz w:val="28"/>
          <w:szCs w:val="28"/>
        </w:rPr>
      </w:pPr>
      <w:r>
        <w:rPr>
          <w:rFonts w:ascii="Times New Roman" w:hAnsi="Times New Roman" w:eastAsia="楷体_GB2312"/>
          <w:kern w:val="0"/>
          <w:sz w:val="28"/>
          <w:szCs w:val="28"/>
        </w:rPr>
        <w:t>说明：“项目支出”需要填报基本支出以外的所有项目情况，包括业务工作项目、运行维护项目等；“公用经费”填报基本支出中的一般商品和服务支出。</w:t>
      </w: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附件2</w:t>
      </w:r>
    </w:p>
    <w:p>
      <w:pPr>
        <w:spacing w:afterLines="50" w:line="560" w:lineRule="exact"/>
        <w:jc w:val="center"/>
        <w:rPr>
          <w:rFonts w:ascii="Times New Roman" w:hAnsi="Times New Roman" w:eastAsia="方正小标宋简体"/>
          <w:kern w:val="0"/>
          <w:sz w:val="44"/>
          <w:szCs w:val="44"/>
        </w:rPr>
      </w:pPr>
      <w:r>
        <w:rPr>
          <w:rFonts w:ascii="Times New Roman" w:hAnsi="Times New Roman" w:eastAsia="方正小标宋简体"/>
          <w:kern w:val="0"/>
          <w:sz w:val="44"/>
          <w:szCs w:val="44"/>
        </w:rPr>
        <w:t>部门整体支出绩效评价指标表</w:t>
      </w:r>
    </w:p>
    <w:tbl>
      <w:tblPr>
        <w:tblStyle w:val="6"/>
        <w:tblW w:w="14196" w:type="dxa"/>
        <w:jc w:val="center"/>
        <w:tblLayout w:type="fixed"/>
        <w:tblCellMar>
          <w:top w:w="0" w:type="dxa"/>
          <w:left w:w="108" w:type="dxa"/>
          <w:bottom w:w="0" w:type="dxa"/>
          <w:right w:w="108" w:type="dxa"/>
        </w:tblCellMar>
      </w:tblPr>
      <w:tblGrid>
        <w:gridCol w:w="823"/>
        <w:gridCol w:w="519"/>
        <w:gridCol w:w="1258"/>
        <w:gridCol w:w="542"/>
        <w:gridCol w:w="1419"/>
        <w:gridCol w:w="565"/>
        <w:gridCol w:w="4593"/>
        <w:gridCol w:w="3773"/>
        <w:gridCol w:w="704"/>
      </w:tblGrid>
      <w:tr>
        <w:tblPrEx>
          <w:tblCellMar>
            <w:top w:w="0" w:type="dxa"/>
            <w:left w:w="108" w:type="dxa"/>
            <w:bottom w:w="0" w:type="dxa"/>
            <w:right w:w="108" w:type="dxa"/>
          </w:tblCellMar>
        </w:tblPrEx>
        <w:trPr>
          <w:trHeight w:val="679" w:hRule="atLeast"/>
          <w:tblHeader/>
          <w:jc w:val="center"/>
        </w:trPr>
        <w:tc>
          <w:tcPr>
            <w:tcW w:w="823"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一级指标</w:t>
            </w:r>
          </w:p>
        </w:tc>
        <w:tc>
          <w:tcPr>
            <w:tcW w:w="5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125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二级指标</w:t>
            </w:r>
          </w:p>
        </w:tc>
        <w:tc>
          <w:tcPr>
            <w:tcW w:w="54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三级</w:t>
            </w:r>
          </w:p>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指标</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评价标准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指标说明</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得分</w:t>
            </w:r>
          </w:p>
        </w:tc>
      </w:tr>
      <w:tr>
        <w:tblPrEx>
          <w:tblCellMar>
            <w:top w:w="0" w:type="dxa"/>
            <w:left w:w="108" w:type="dxa"/>
            <w:bottom w:w="0" w:type="dxa"/>
            <w:right w:w="108" w:type="dxa"/>
          </w:tblCellMar>
        </w:tblPrEx>
        <w:trPr>
          <w:trHeight w:val="750" w:hRule="atLeast"/>
          <w:jc w:val="center"/>
        </w:trPr>
        <w:tc>
          <w:tcPr>
            <w:tcW w:w="823" w:type="dxa"/>
            <w:vMerge w:val="restart"/>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投入</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预算配置</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在职人员控制率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nil"/>
              <w:right w:val="nil"/>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以100%为标准。在职人员控制率≦100%，计5分；每超过一个百分点扣0.5分，扣完为止。</w:t>
            </w:r>
          </w:p>
        </w:tc>
        <w:tc>
          <w:tcPr>
            <w:tcW w:w="3773" w:type="dxa"/>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在职人员控制率=（在职人员数/编制数）×100%，在职人员数：部门（单位）实际在职人数，以财政厅确定的部门决算编制口径为准。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编制数：机构编制部门核定批复的部门（单位）的人员编制数。</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rPr>
              <w:t>5</w:t>
            </w:r>
            <w:r>
              <w:rPr>
                <w:rFonts w:ascii="Times New Roman" w:hAnsi="Times New Roman" w:eastAsia="仿宋_GB2312"/>
                <w:kern w:val="0"/>
                <w:sz w:val="18"/>
                <w:szCs w:val="18"/>
              </w:rPr>
              <w:t>　</w:t>
            </w:r>
          </w:p>
        </w:tc>
      </w:tr>
      <w:tr>
        <w:tblPrEx>
          <w:tblCellMar>
            <w:top w:w="0" w:type="dxa"/>
            <w:left w:w="108" w:type="dxa"/>
            <w:bottom w:w="0" w:type="dxa"/>
            <w:right w:w="108" w:type="dxa"/>
          </w:tblCellMar>
        </w:tblPrEx>
        <w:trPr>
          <w:trHeight w:val="607"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“三公经费”变动率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“三公经费”变动率≦0,计5分；“三公经费”＞0，每超过一个百分点扣0.5分，扣完为止。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“三公经费”变动率=[（本年度“三公经费”预算数-上年度“三公经费”预算数）/上年度“三公经费”预算数]×100%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495"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过                                                                                                                                       程</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60</w:t>
            </w: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预算执行</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100%计满分，每低于5%扣2分，扣完为止。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预算完成率=（上年结转+年初预算+本年追加预算-年末结余）/（上年结转+年初预算+本年追加预算）×100%。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预算控制率=0，计5分；0-10%（含），计4分；10-20%（含），计3分；20-30%（含），计2分；大于30%不得分。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预算控制率=（本年追加预算/年初预算）×100%。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新建楼堂馆所面积控制率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100%以下（含）计满分，每超出5%扣2分，扣完为止。没有楼堂馆所项目的部门按满分计算。</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楼堂馆所面积控制率=实际建设面积/批准建设面积×100% 。</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该指标以20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686"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spacing w:val="-14"/>
                <w:kern w:val="0"/>
                <w:sz w:val="18"/>
                <w:szCs w:val="18"/>
              </w:rPr>
            </w:pPr>
            <w:r>
              <w:rPr>
                <w:rFonts w:ascii="Times New Roman" w:hAnsi="Times New Roman" w:eastAsia="仿宋_GB2312"/>
                <w:spacing w:val="-14"/>
                <w:kern w:val="0"/>
                <w:sz w:val="18"/>
                <w:szCs w:val="18"/>
              </w:rPr>
              <w:t>新建楼堂馆所投资概算控制率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楼堂馆所投资预算控制率=实际投资金额/批准投资金额×100% 。</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该指标以20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730"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预算管理</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40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公用经费控制率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公用经费控制率=（实际支出公用经费总额/预算安排公用经费总额）×100%。</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公用经费支出是指部门基本支出中的一般商品和服务支出。</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8</w:t>
            </w:r>
          </w:p>
        </w:tc>
      </w:tr>
      <w:tr>
        <w:tblPrEx>
          <w:tblCellMar>
            <w:top w:w="0" w:type="dxa"/>
            <w:left w:w="108" w:type="dxa"/>
            <w:bottom w:w="0" w:type="dxa"/>
            <w:right w:w="108" w:type="dxa"/>
          </w:tblCellMar>
        </w:tblPrEx>
        <w:trPr>
          <w:trHeight w:val="584"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“三公经费”控制率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7</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“三公经费”控制率-（“三公经费”实际支出数/“三公经费”预算安排数）×100%。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7</w:t>
            </w:r>
          </w:p>
        </w:tc>
      </w:tr>
      <w:tr>
        <w:tblPrEx>
          <w:tblCellMar>
            <w:top w:w="0" w:type="dxa"/>
            <w:left w:w="108" w:type="dxa"/>
            <w:bottom w:w="0" w:type="dxa"/>
            <w:right w:w="108" w:type="dxa"/>
          </w:tblCellMar>
        </w:tblPrEx>
        <w:trPr>
          <w:trHeight w:val="504"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政府采购执</w:t>
            </w:r>
            <w:r>
              <w:rPr>
                <w:rFonts w:ascii="Times New Roman" w:hAnsi="Times New Roman" w:eastAsia="仿宋_GB2312"/>
                <w:kern w:val="0"/>
                <w:sz w:val="18"/>
                <w:szCs w:val="18"/>
              </w:rPr>
              <w:t>行率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100%计满分，每超过（降低）5%扣2分。扣完为止。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政府采购执行率=（实际政府采购金额/政府采购预算数）×100%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0</w:t>
            </w:r>
          </w:p>
        </w:tc>
      </w:tr>
      <w:tr>
        <w:tblPrEx>
          <w:tblCellMar>
            <w:top w:w="0" w:type="dxa"/>
            <w:left w:w="108" w:type="dxa"/>
            <w:bottom w:w="0" w:type="dxa"/>
            <w:right w:w="108" w:type="dxa"/>
          </w:tblCellMar>
        </w:tblPrEx>
        <w:trPr>
          <w:trHeight w:val="1150" w:hRule="atLeast"/>
          <w:jc w:val="center"/>
        </w:trPr>
        <w:tc>
          <w:tcPr>
            <w:tcW w:w="823"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过程</w:t>
            </w:r>
          </w:p>
        </w:tc>
        <w:tc>
          <w:tcPr>
            <w:tcW w:w="519"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left"/>
              <w:rPr>
                <w:rFonts w:ascii="Times New Roman" w:hAnsi="Times New Roman" w:eastAsia="仿宋_GB2312"/>
                <w:kern w:val="0"/>
                <w:sz w:val="18"/>
                <w:szCs w:val="18"/>
              </w:rPr>
            </w:pP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预算管理</w:t>
            </w: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管理制度</w:t>
            </w:r>
            <w:r>
              <w:rPr>
                <w:rFonts w:ascii="Times New Roman" w:hAnsi="Times New Roman" w:eastAsia="仿宋_GB2312"/>
                <w:kern w:val="0"/>
                <w:sz w:val="18"/>
                <w:szCs w:val="18"/>
              </w:rPr>
              <w:t>健全性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①有内部财务管理制度、会计核算制度等管理制度，2分；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②有本部门厉行节约制度,2分；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③相关管理制度合法、合规、完整，2分；④相关管理制度得到有效执行，2分。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8</w:t>
            </w:r>
          </w:p>
        </w:tc>
      </w:tr>
      <w:tr>
        <w:tblPrEx>
          <w:tblCellMar>
            <w:top w:w="0" w:type="dxa"/>
            <w:left w:w="108" w:type="dxa"/>
            <w:bottom w:w="0" w:type="dxa"/>
            <w:right w:w="108" w:type="dxa"/>
          </w:tblCellMar>
        </w:tblPrEx>
        <w:trPr>
          <w:trHeight w:val="1434"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资金使用</w:t>
            </w:r>
            <w:r>
              <w:rPr>
                <w:rFonts w:ascii="Times New Roman" w:hAnsi="Times New Roman" w:eastAsia="仿宋_GB2312"/>
                <w:kern w:val="0"/>
                <w:sz w:val="18"/>
                <w:szCs w:val="18"/>
              </w:rPr>
              <w:t>合规性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以上情况每出现一例不符合要求的扣1分，扣完为止。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6</w:t>
            </w:r>
          </w:p>
        </w:tc>
      </w:tr>
      <w:tr>
        <w:tblPrEx>
          <w:tblCellMar>
            <w:top w:w="0" w:type="dxa"/>
            <w:left w:w="108" w:type="dxa"/>
            <w:bottom w:w="0" w:type="dxa"/>
            <w:right w:w="108" w:type="dxa"/>
          </w:tblCellMar>
        </w:tblPrEx>
        <w:trPr>
          <w:trHeight w:val="89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预决算信息公开性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预决算信息是指与部门预算、执行、决算、监督、绩效等管理相关的信息。</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622"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产出及效率</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30</w:t>
            </w:r>
          </w:p>
        </w:tc>
        <w:tc>
          <w:tcPr>
            <w:tcW w:w="125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职责履行</w:t>
            </w:r>
          </w:p>
        </w:tc>
        <w:tc>
          <w:tcPr>
            <w:tcW w:w="54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1419" w:type="dxa"/>
            <w:tcBorders>
              <w:top w:val="nil"/>
              <w:left w:val="nil"/>
              <w:bottom w:val="nil"/>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重点工作实际完成率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根据绩效办20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年对各部门为民办实事和部门重点工程与重点工作考核分数折算。</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该项得分=（绩效办对应部分考核得分/该部分总分）*8</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8</w:t>
            </w:r>
          </w:p>
        </w:tc>
      </w:tr>
      <w:tr>
        <w:tblPrEx>
          <w:tblCellMar>
            <w:top w:w="0" w:type="dxa"/>
            <w:left w:w="108" w:type="dxa"/>
            <w:bottom w:w="0" w:type="dxa"/>
            <w:right w:w="108" w:type="dxa"/>
          </w:tblCellMar>
        </w:tblPrEx>
        <w:trPr>
          <w:trHeight w:val="439"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履职效益</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经济效益</w:t>
            </w:r>
          </w:p>
        </w:tc>
        <w:tc>
          <w:tcPr>
            <w:tcW w:w="565"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对经济发展带来的直接影响和间接影响。</w:t>
            </w:r>
          </w:p>
        </w:tc>
        <w:tc>
          <w:tcPr>
            <w:tcW w:w="3773" w:type="dxa"/>
            <w:vMerge w:val="restart"/>
            <w:tcBorders>
              <w:top w:val="single" w:color="auto" w:sz="4" w:space="0"/>
              <w:left w:val="single" w:color="auto" w:sz="4" w:space="0"/>
              <w:right w:val="single" w:color="000000"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428"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社会效益</w:t>
            </w:r>
          </w:p>
        </w:tc>
        <w:tc>
          <w:tcPr>
            <w:tcW w:w="565" w:type="dxa"/>
            <w:tcBorders>
              <w:top w:val="single" w:color="auto" w:sz="4" w:space="0"/>
              <w:left w:val="single" w:color="auto" w:sz="4" w:space="0"/>
              <w:bottom w:val="nil"/>
              <w:right w:val="single" w:color="auto" w:sz="4" w:space="0"/>
            </w:tcBorders>
            <w:vAlign w:val="center"/>
          </w:tcPr>
          <w:p>
            <w:pPr>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single" w:color="auto" w:sz="4" w:space="0"/>
              <w:bottom w:val="nil"/>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对社会发展带来的直接影响和间接影响。</w:t>
            </w:r>
          </w:p>
        </w:tc>
        <w:tc>
          <w:tcPr>
            <w:tcW w:w="3773" w:type="dxa"/>
            <w:vMerge w:val="continue"/>
            <w:tcBorders>
              <w:left w:val="single" w:color="auto" w:sz="4" w:space="0"/>
              <w:bottom w:val="nil"/>
              <w:right w:val="single" w:color="000000" w:sz="4" w:space="0"/>
            </w:tcBorders>
            <w:vAlign w:val="center"/>
          </w:tcPr>
          <w:p>
            <w:pPr>
              <w:spacing w:line="200" w:lineRule="exact"/>
              <w:jc w:val="left"/>
              <w:rPr>
                <w:rFonts w:ascii="Times New Roman" w:hAnsi="Times New Roman" w:eastAsia="仿宋_GB2312"/>
                <w:kern w:val="0"/>
                <w:sz w:val="18"/>
                <w:szCs w:val="18"/>
              </w:rPr>
            </w:pPr>
          </w:p>
        </w:tc>
        <w:tc>
          <w:tcPr>
            <w:tcW w:w="704" w:type="dxa"/>
            <w:tcBorders>
              <w:top w:val="single" w:color="auto" w:sz="4" w:space="0"/>
              <w:left w:val="nil"/>
              <w:bottom w:val="nil"/>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5</w:t>
            </w:r>
          </w:p>
        </w:tc>
      </w:tr>
      <w:tr>
        <w:tblPrEx>
          <w:tblCellMar>
            <w:top w:w="0" w:type="dxa"/>
            <w:left w:w="108" w:type="dxa"/>
            <w:bottom w:w="0" w:type="dxa"/>
            <w:right w:w="108" w:type="dxa"/>
          </w:tblCellMar>
        </w:tblPrEx>
        <w:trPr>
          <w:trHeight w:val="835"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12</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行政效能</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促进部门改进文风会风，加强经费及资产管理，推动网上办事，提高行政效率，降低行政成本效果较好的计6分；一般3分；无效果或者效果不明显0分。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根据部门自评材料评定。</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6</w:t>
            </w:r>
          </w:p>
        </w:tc>
      </w:tr>
      <w:tr>
        <w:tblPrEx>
          <w:tblCellMar>
            <w:top w:w="0" w:type="dxa"/>
            <w:left w:w="108" w:type="dxa"/>
            <w:bottom w:w="0" w:type="dxa"/>
            <w:right w:w="108" w:type="dxa"/>
          </w:tblCellMar>
        </w:tblPrEx>
        <w:trPr>
          <w:trHeight w:val="832"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社会公众或服务对象满意度</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90%（含）以上计6分；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80%（含）-90%，计4分；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70%（含）-80%，计2分；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低于70%计0分。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社会公众或服务对象是指部门（单位）履行职责而影响到的部门、群体或个人，一般采取社会调查的方式。</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仿宋_GB2312"/>
                <w:kern w:val="0"/>
                <w:sz w:val="18"/>
                <w:szCs w:val="18"/>
              </w:rPr>
            </w:pPr>
            <w:r>
              <w:rPr>
                <w:rFonts w:ascii="Times New Roman" w:hAnsi="Times New Roman" w:eastAsia="仿宋_GB2312"/>
                <w:kern w:val="0"/>
                <w:sz w:val="18"/>
                <w:szCs w:val="18"/>
              </w:rPr>
              <w:t>　</w:t>
            </w:r>
            <w:r>
              <w:rPr>
                <w:rFonts w:hint="eastAsia" w:ascii="Times New Roman" w:hAnsi="Times New Roman" w:eastAsia="仿宋_GB2312"/>
                <w:kern w:val="0"/>
                <w:sz w:val="18"/>
                <w:szCs w:val="18"/>
              </w:rPr>
              <w:t>6</w:t>
            </w:r>
          </w:p>
          <w:p>
            <w:pPr>
              <w:widowControl/>
              <w:spacing w:line="200" w:lineRule="exact"/>
              <w:jc w:val="left"/>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832" w:hRule="atLeast"/>
          <w:jc w:val="center"/>
        </w:trPr>
        <w:tc>
          <w:tcPr>
            <w:tcW w:w="4561" w:type="dxa"/>
            <w:gridSpan w:val="5"/>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总分</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100</w:t>
            </w:r>
          </w:p>
        </w:tc>
        <w:tc>
          <w:tcPr>
            <w:tcW w:w="8366" w:type="dxa"/>
            <w:gridSpan w:val="2"/>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rPr>
              <w:t>89</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rFonts w:ascii="Times New Roman" w:hAnsi="Times New Roman" w:eastAsia="仿宋_GB2312"/>
          <w:sz w:val="32"/>
          <w:szCs w:val="32"/>
        </w:rPr>
      </w:pPr>
      <w:bookmarkStart w:id="0" w:name="_GoBack"/>
      <w:bookmarkEnd w:id="0"/>
    </w:p>
    <w:sectPr>
      <w:pgSz w:w="16838" w:h="11906" w:orient="landscape"/>
      <w:pgMar w:top="1587" w:right="1587" w:bottom="1587" w:left="1587" w:header="851" w:footer="992" w:gutter="0"/>
      <w:paperSrc/>
      <w:cols w:space="0" w:num="1"/>
      <w:rtlGutter w:val="0"/>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BAF071"/>
    <w:multiLevelType w:val="singleLevel"/>
    <w:tmpl w:val="99BAF071"/>
    <w:lvl w:ilvl="0" w:tentative="0">
      <w:start w:val="2"/>
      <w:numFmt w:val="chineseCounting"/>
      <w:suff w:val="nothing"/>
      <w:lvlText w:val="（%1）"/>
      <w:lvlJc w:val="left"/>
      <w:rPr>
        <w:rFonts w:hint="eastAsia"/>
      </w:rPr>
    </w:lvl>
  </w:abstractNum>
  <w:abstractNum w:abstractNumId="1">
    <w:nsid w:val="EAC2537A"/>
    <w:multiLevelType w:val="singleLevel"/>
    <w:tmpl w:val="EAC2537A"/>
    <w:lvl w:ilvl="0" w:tentative="0">
      <w:start w:val="2"/>
      <w:numFmt w:val="chineseCounting"/>
      <w:suff w:val="nothing"/>
      <w:lvlText w:val="（%1）"/>
      <w:lvlJc w:val="left"/>
      <w:rPr>
        <w:rFonts w:hint="eastAsia"/>
      </w:rPr>
    </w:lvl>
  </w:abstractNum>
  <w:abstractNum w:abstractNumId="2">
    <w:nsid w:val="25FC7890"/>
    <w:multiLevelType w:val="singleLevel"/>
    <w:tmpl w:val="25FC7890"/>
    <w:lvl w:ilvl="0" w:tentative="0">
      <w:start w:val="1"/>
      <w:numFmt w:val="decimal"/>
      <w:suff w:val="nothing"/>
      <w:lvlText w:val="%1、"/>
      <w:lvlJc w:val="left"/>
      <w:pPr>
        <w:ind w:left="-10"/>
      </w:pPr>
    </w:lvl>
  </w:abstractNum>
  <w:abstractNum w:abstractNumId="3">
    <w:nsid w:val="57634123"/>
    <w:multiLevelType w:val="singleLevel"/>
    <w:tmpl w:val="57634123"/>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61"/>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0211D91"/>
    <w:rsid w:val="004A10A3"/>
    <w:rsid w:val="00BF6801"/>
    <w:rsid w:val="00F659F9"/>
    <w:rsid w:val="10211D91"/>
    <w:rsid w:val="30693A26"/>
    <w:rsid w:val="72040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
    <w:pPr>
      <w:keepNext/>
      <w:keepLines/>
      <w:spacing w:before="280" w:after="290" w:line="376" w:lineRule="auto"/>
      <w:ind w:firstLine="250" w:firstLineChars="250"/>
      <w:outlineLvl w:val="3"/>
    </w:pPr>
    <w:rPr>
      <w:rFonts w:ascii="Cambria" w:hAnsi="Cambria" w:cs="Cambria"/>
      <w:b/>
      <w:bCs/>
      <w:sz w:val="28"/>
      <w:szCs w:val="2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ind w:left="640"/>
    </w:pPr>
    <w:rPr>
      <w:rFonts w:ascii="仿宋_GB2312" w:eastAsia="仿宋_GB2312"/>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766</Words>
  <Characters>4368</Characters>
  <Lines>36</Lines>
  <Paragraphs>10</Paragraphs>
  <TotalTime>8</TotalTime>
  <ScaleCrop>false</ScaleCrop>
  <LinksUpToDate>false</LinksUpToDate>
  <CharactersWithSpaces>5124</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2021-07-22T01:26:00Z</dcterms:created>
  <dc:creator>Administrator</dc:creator>
  <cp:lastModifiedBy>舒超群</cp:lastModifiedBy>
  <dcterms:modified xsi:type="dcterms:W3CDTF">2021-07-22T02:41:46Z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852C0EB2AF494384A96F384A95DD44DD</vt:lpwstr>
  </property>
</Properties>
</file>