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line="510" w:lineRule="exact"/>
        <w:jc w:val="center"/>
        <w:rPr>
          <w:rFonts w:hint="eastAsia" w:ascii="黑体" w:hAnsi="黑体" w:eastAsia="黑体" w:cs="Times New Roman"/>
          <w:sz w:val="44"/>
          <w:szCs w:val="44"/>
          <w:lang w:val="en-US" w:eastAsia="zh-CN"/>
        </w:rPr>
      </w:pPr>
      <w:r>
        <w:rPr>
          <w:rFonts w:hint="eastAsia" w:ascii="黑体" w:hAnsi="黑体" w:eastAsia="黑体" w:cs="Times New Roman"/>
          <w:sz w:val="44"/>
          <w:szCs w:val="44"/>
          <w:lang w:eastAsia="zh-CN"/>
        </w:rPr>
        <w:t>中方县发展和改革局</w:t>
      </w:r>
      <w:r>
        <w:rPr>
          <w:rFonts w:hint="eastAsia" w:ascii="黑体" w:hAnsi="黑体" w:eastAsia="黑体" w:cs="Times New Roman"/>
          <w:sz w:val="44"/>
          <w:szCs w:val="44"/>
          <w:lang w:val="en-US" w:eastAsia="zh-CN"/>
        </w:rPr>
        <w:t>2020年度</w:t>
      </w:r>
    </w:p>
    <w:p>
      <w:pPr>
        <w:pStyle w:val="12"/>
        <w:spacing w:line="510" w:lineRule="exact"/>
        <w:jc w:val="center"/>
        <w:rPr>
          <w:rFonts w:ascii="Times New Roman" w:hAnsi="Times New Roman" w:eastAsia="黑体" w:cs="Times New Roman"/>
          <w:sz w:val="44"/>
          <w:szCs w:val="44"/>
        </w:rPr>
      </w:pPr>
      <w:r>
        <w:rPr>
          <w:rFonts w:hint="eastAsia" w:ascii="黑体" w:hAnsi="黑体" w:eastAsia="黑体" w:cs="Times New Roman"/>
          <w:sz w:val="44"/>
          <w:szCs w:val="44"/>
        </w:rPr>
        <w:t>粮油千亿产业</w:t>
      </w:r>
      <w:r>
        <w:rPr>
          <w:rFonts w:hint="eastAsia" w:ascii="黑体" w:hAnsi="黑体" w:eastAsia="黑体" w:cs="Times New Roman"/>
          <w:sz w:val="44"/>
          <w:szCs w:val="44"/>
          <w:lang w:eastAsia="zh-CN"/>
        </w:rPr>
        <w:t>专项</w:t>
      </w:r>
      <w:r>
        <w:rPr>
          <w:rFonts w:ascii="黑体" w:hAnsi="黑体" w:eastAsia="黑体" w:cs="Times New Roman"/>
          <w:sz w:val="44"/>
          <w:szCs w:val="44"/>
        </w:rPr>
        <w:t>项目支出绩效</w:t>
      </w:r>
      <w:r>
        <w:rPr>
          <w:rFonts w:hint="eastAsia" w:ascii="黑体" w:hAnsi="黑体" w:eastAsia="黑体" w:cs="Times New Roman"/>
          <w:sz w:val="44"/>
          <w:szCs w:val="44"/>
          <w:lang w:eastAsia="zh-CN"/>
        </w:rPr>
        <w:t>自评</w:t>
      </w:r>
      <w:r>
        <w:rPr>
          <w:rFonts w:ascii="黑体" w:hAnsi="黑体" w:eastAsia="黑体" w:cs="Times New Roman"/>
          <w:sz w:val="44"/>
          <w:szCs w:val="44"/>
        </w:rPr>
        <w:t>报告</w:t>
      </w:r>
    </w:p>
    <w:p>
      <w:pPr>
        <w:pStyle w:val="12"/>
        <w:spacing w:line="560" w:lineRule="exact"/>
        <w:ind w:firstLine="643" w:firstLineChars="200"/>
        <w:rPr>
          <w:rFonts w:ascii="楷体" w:hAnsi="楷体" w:eastAsia="楷体" w:cs="Times New Roman"/>
          <w:b/>
          <w:sz w:val="32"/>
          <w:szCs w:val="32"/>
        </w:rPr>
      </w:pPr>
    </w:p>
    <w:p>
      <w:pPr>
        <w:pStyle w:val="12"/>
        <w:spacing w:line="56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一、基本情况</w:t>
      </w:r>
    </w:p>
    <w:p>
      <w:pPr>
        <w:pStyle w:val="12"/>
        <w:spacing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（一）项目概况。</w:t>
      </w:r>
    </w:p>
    <w:p>
      <w:pPr>
        <w:spacing w:line="560" w:lineRule="exact"/>
        <w:ind w:firstLine="800" w:firstLineChars="250"/>
        <w:outlineLvl w:val="1"/>
        <w:rPr>
          <w:rFonts w:hint="eastAsia" w:ascii="宋体" w:hAnsi="宋体" w:eastAsia="宋体" w:cs="宋体"/>
          <w:sz w:val="32"/>
          <w:szCs w:val="32"/>
        </w:rPr>
      </w:pPr>
      <w:r>
        <w:rPr>
          <w:rFonts w:hint="eastAsia" w:ascii="宋体" w:hAnsi="宋体" w:eastAsia="宋体" w:cs="宋体"/>
          <w:sz w:val="32"/>
          <w:szCs w:val="32"/>
        </w:rPr>
        <w:t>1、食品安全重于一切，米粉作为怀化老百姓日常生活重要组成部分，与市民食品安全与饮食健康密切相关，长期以来一直是政府密切关注的热点问题。我司为了保证市民有健康放心的早餐米粉，</w:t>
      </w:r>
      <w:bookmarkStart w:id="0" w:name="_Toc398023708"/>
      <w:r>
        <w:rPr>
          <w:rFonts w:hint="eastAsia" w:ascii="宋体" w:hAnsi="宋体" w:eastAsia="宋体" w:cs="宋体"/>
          <w:sz w:val="32"/>
          <w:szCs w:val="32"/>
        </w:rPr>
        <w:t>建设年产5万吨米粉、米面现代化全自动流水线（怀化市米粉联合透明工厂）技改项目，该项目总投资3500万元，其中财政资金补助</w:t>
      </w:r>
      <w:r>
        <w:rPr>
          <w:rFonts w:hint="eastAsia" w:ascii="宋体" w:hAnsi="宋体" w:eastAsia="宋体" w:cs="宋体"/>
          <w:sz w:val="32"/>
          <w:szCs w:val="32"/>
          <w:lang w:eastAsia="zh-CN"/>
        </w:rPr>
        <w:t>支付</w:t>
      </w:r>
      <w:r>
        <w:rPr>
          <w:rFonts w:hint="eastAsia" w:ascii="宋体" w:hAnsi="宋体" w:eastAsia="宋体" w:cs="宋体"/>
          <w:sz w:val="32"/>
          <w:szCs w:val="32"/>
        </w:rPr>
        <w:t>70万元，主要用于技改项目的设备购置及改造。</w:t>
      </w:r>
    </w:p>
    <w:p>
      <w:pPr>
        <w:pStyle w:val="12"/>
        <w:spacing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2、根据湖南省粮食和物资储备局 湖南省财政厅关于印发《疫情应急粮油加工企业收购农民余粮的补贴方案》的通知（湘粮调﹝2020﹞21号），湖南金珠米业有限公司在疫情期间大量收购农民余粮380吨，财政资金补助</w:t>
      </w:r>
      <w:r>
        <w:rPr>
          <w:rFonts w:hint="eastAsia" w:ascii="宋体" w:hAnsi="宋体" w:eastAsia="宋体" w:cs="宋体"/>
          <w:sz w:val="32"/>
          <w:szCs w:val="32"/>
          <w:lang w:eastAsia="zh-CN"/>
        </w:rPr>
        <w:t>支付</w:t>
      </w:r>
      <w:r>
        <w:rPr>
          <w:rFonts w:hint="eastAsia" w:ascii="宋体" w:hAnsi="宋体" w:eastAsia="宋体" w:cs="宋体"/>
          <w:sz w:val="32"/>
          <w:szCs w:val="32"/>
        </w:rPr>
        <w:t>1万元，保证农民的基本利益。</w:t>
      </w:r>
    </w:p>
    <w:p>
      <w:pPr>
        <w:pStyle w:val="12"/>
        <w:spacing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（二）项目绩效目标。</w:t>
      </w:r>
    </w:p>
    <w:p>
      <w:pPr>
        <w:spacing w:line="560" w:lineRule="exact"/>
        <w:ind w:firstLine="640" w:firstLineChars="200"/>
        <w:outlineLvl w:val="1"/>
        <w:rPr>
          <w:rFonts w:hint="eastAsia" w:ascii="宋体" w:hAnsi="宋体" w:eastAsia="宋体" w:cs="宋体"/>
          <w:sz w:val="32"/>
          <w:szCs w:val="32"/>
        </w:rPr>
      </w:pPr>
      <w:r>
        <w:rPr>
          <w:rFonts w:hint="eastAsia" w:ascii="宋体" w:hAnsi="宋体" w:eastAsia="宋体" w:cs="宋体"/>
          <w:sz w:val="32"/>
          <w:szCs w:val="32"/>
        </w:rPr>
        <w:t>1、完成米粉生产线的设备购置及改造，主要包括</w:t>
      </w:r>
      <w:bookmarkEnd w:id="0"/>
      <w:r>
        <w:rPr>
          <w:rFonts w:hint="eastAsia" w:ascii="宋体" w:hAnsi="宋体" w:eastAsia="宋体" w:cs="宋体"/>
          <w:sz w:val="32"/>
          <w:szCs w:val="32"/>
        </w:rPr>
        <w:t>：技改后新增的2吨新型锅炉2台、制粉机2台，、自动搓粉机2台、自动泡粉生产线1条、自动米面生产线1条、自动米粉切割包装机1套、自动组装线1条，技改后的米粉、米面生产线年产米粉、米面30000吨，年产值达8000万元，整个生产线卫生、整洁，操作便捷，管理规范，生产效率显著增高。</w:t>
      </w:r>
    </w:p>
    <w:p>
      <w:pPr>
        <w:pStyle w:val="12"/>
        <w:spacing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2、在疫情期间全面收购农民的余粮380吨，确保不出现农民卖粮难的问题，粮食市场正常流通。</w:t>
      </w:r>
    </w:p>
    <w:p>
      <w:pPr>
        <w:pStyle w:val="12"/>
        <w:spacing w:line="56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二、绩效评价工作开展情况</w:t>
      </w:r>
    </w:p>
    <w:p>
      <w:pPr>
        <w:pStyle w:val="12"/>
        <w:spacing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（一）绩效评价目的、对象和范围。</w:t>
      </w:r>
    </w:p>
    <w:p>
      <w:pPr>
        <w:pStyle w:val="12"/>
        <w:spacing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1、切实保障消费者权益，铁腕捍卫“舌尖上的安全”。由于过去米粉行业一直以小作坊形式存在，技术力量薄弱，从业门槛较低，导致米粉安全问题屡禁不止，怀化市民对米粉的信任度越来越低。通过“联合工厂”项目，切实解决了米粉生产安全问题，从机制上解决米粉行业长期以来“问题多、难管理”的尴尬局面，切实保障广大市民的米粉饮食安全。</w:t>
      </w:r>
    </w:p>
    <w:p>
      <w:pPr>
        <w:pStyle w:val="12"/>
        <w:spacing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2、在疫情期间全面收购农民的余粮，主动与粮食经济人、农户联系，做好粮食收购。</w:t>
      </w:r>
    </w:p>
    <w:p>
      <w:pPr>
        <w:spacing w:line="560" w:lineRule="exact"/>
        <w:ind w:firstLine="640" w:firstLineChars="200"/>
        <w:outlineLvl w:val="1"/>
        <w:rPr>
          <w:rFonts w:hint="eastAsia" w:ascii="宋体" w:hAnsi="宋体" w:eastAsia="宋体" w:cs="宋体"/>
          <w:sz w:val="32"/>
          <w:szCs w:val="32"/>
        </w:rPr>
      </w:pPr>
      <w:r>
        <w:rPr>
          <w:rFonts w:hint="eastAsia" w:ascii="宋体" w:hAnsi="宋体" w:eastAsia="宋体" w:cs="宋体"/>
          <w:sz w:val="32"/>
          <w:szCs w:val="32"/>
        </w:rPr>
        <w:t>（二）绩效评价原则、评价指标体系、评价方法、评价标准等。怀化天天食品科技有限公司充分利用自筹资金，政府补贴模式，在中方县湘商文化科技产业园按照SC标准建造年产5万吨米粉、米面现代化全自动流水线生产，总投资为人民币3500万元，其中政府财政补助资金70万元。对政府补助资金，我司严格按照湖南省财政厅、湖南省粮食和物资储备局关于《湖南省粮油千亿产业工程专项资金管理办法》（湘财建﹝2020﹞47号）进行资金管理。</w:t>
      </w:r>
      <w:r>
        <w:rPr>
          <w:rFonts w:hint="eastAsia" w:ascii="宋体" w:hAnsi="宋体" w:eastAsia="宋体" w:cs="宋体"/>
          <w:sz w:val="32"/>
          <w:szCs w:val="32"/>
          <w:shd w:val="clear" w:color="auto" w:fill="FFFFFF"/>
        </w:rPr>
        <w:t>并接受县财政等部门的监督，做到了专款专用，没有滞留、截留、挤占和挪用的现象。项目财务管理方面，财务管理制度健全，严格执行财务管理制度，账务处理及时，会计核算规范。并按以上原则、体系和标准进行绩效评价。</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（三）绩效评价工作过程。</w:t>
      </w:r>
      <w:r>
        <w:rPr>
          <w:rFonts w:hint="eastAsia" w:ascii="宋体" w:hAnsi="宋体" w:eastAsia="宋体" w:cs="宋体"/>
          <w:sz w:val="32"/>
          <w:szCs w:val="32"/>
          <w:shd w:val="clear" w:color="auto" w:fill="FFFFFF"/>
        </w:rPr>
        <w:t>我司根据县财政局批复预算，按部门职责分工明确，严格遵循工作计划稳步推进实施。完善各项内部控制与考核制度，建立较为完整的财务管理制度。各实施单位基本做到了资金的专款专用，资金支付有相关审批程序和手续，制度执行较有效，</w:t>
      </w:r>
      <w:r>
        <w:rPr>
          <w:rFonts w:hint="eastAsia" w:ascii="宋体" w:hAnsi="宋体" w:eastAsia="宋体" w:cs="宋体"/>
          <w:sz w:val="32"/>
          <w:szCs w:val="32"/>
        </w:rPr>
        <w:t>项目质量可控性较好。</w:t>
      </w:r>
    </w:p>
    <w:p>
      <w:pPr>
        <w:pStyle w:val="12"/>
        <w:spacing w:line="56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三、综合评价情况及评价结论</w:t>
      </w:r>
    </w:p>
    <w:p>
      <w:pPr>
        <w:pStyle w:val="12"/>
        <w:spacing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1、项目总体执行情况较好，2020年12月前已全面完成技改，各项设备已全部到位，达到预期效果，总体评为100分，等级为优。</w:t>
      </w:r>
    </w:p>
    <w:p>
      <w:pPr>
        <w:pStyle w:val="12"/>
        <w:spacing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2、该项目截止2020年4月30疫情期间共收购农民余粮380吨，全县农民没有卖粮难现象。总体评价100分，等级为优。</w:t>
      </w:r>
    </w:p>
    <w:p>
      <w:pPr>
        <w:pStyle w:val="12"/>
        <w:spacing w:line="56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四、绩效评价指标分析</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 xml:space="preserve">（一）项目决策情况。通过怀化天天科技食品有限公司董事会决定。               </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（二）项目过程情况。建设年产5万吨米粉、米面现代化全自动流水线生产（怀化市米粉联合透明工厂）技改项目，由怀化天天科技食品有限公司自行负责管理实施。</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三）项目产出情况。2020年米粉联合透明工厂一期工程已顺利建成，完成了全框架结构10000平方米透明工厂，1700平方米的办公楼，其中包括四层办公楼、办公区、产品展览区和实验室，生产线技改设备已全部安装。项目质量达标，项目完成率为100%。</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四）项目效益情况。通过米粉、米面现化代全自动流水线技改项目的建成，从机制上解决米粉行业长期以来“问题多、难管理”的尴尬局面，切实保障老百姓的米粉饮食安全。米粉生产企业、米粉经销、米粉配送、米粉销售等流通人员涵括在内，整个米粉相关行业将带动近2000人就业，促进当地经济发展，增加了当地群众收入。</w:t>
      </w:r>
    </w:p>
    <w:p>
      <w:pPr>
        <w:pStyle w:val="12"/>
        <w:spacing w:line="56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五、主要经验及做法、存在的问题及原因分析。</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1、项目按照SC标准建造，通过抱团发展、规模效应、集约管理，最终实现米粉行业健康快速发展。</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2、政府专项资金补助较小，而企业项目建设投入大，仅靠财政贴息，资金扶持力度小，企业进行产业升级存在较大资金压力。</w:t>
      </w:r>
    </w:p>
    <w:p>
      <w:pPr>
        <w:pStyle w:val="12"/>
        <w:spacing w:line="56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六、有关建议</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1、专项财政补助资金要进一步突出扶持重点，向好项目、大项目倾斜。</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2、粮食深加工产业项目建设投资大，回收期长，粮食深加工业是微利行业，政府应在项目用地、扶持资金、相关税费、贷款等方面出台支持性政策，降低项目的实施成本。对发展潜力大的成长型企业，政府应在资金和政策上给予重点扶持，以便发挥更大的效益。</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3、只要是符合发展方向的项目，企业没有贷款用自有资金建设的，应用财政补助方式进行支持。对优良企业和良性发展企业，有突出贡献和重大创新的可进行奖励，鼓励和引导企业创新发展。</w:t>
      </w:r>
    </w:p>
    <w:p>
      <w:pPr>
        <w:pStyle w:val="12"/>
        <w:spacing w:line="560" w:lineRule="exact"/>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七、其他需要说明的问题</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无</w:t>
      </w:r>
    </w:p>
    <w:p>
      <w:pPr>
        <w:keepNext w:val="0"/>
        <w:keepLines w:val="0"/>
        <w:pageBreakBefore w:val="0"/>
        <w:widowControl/>
        <w:kinsoku/>
        <w:wordWrap/>
        <w:overflowPunct/>
        <w:topLinePunct w:val="0"/>
        <w:autoSpaceDE/>
        <w:autoSpaceDN/>
        <w:bidi w:val="0"/>
        <w:adjustRightInd/>
        <w:snapToGrid/>
        <w:spacing w:line="540" w:lineRule="exact"/>
        <w:ind w:firstLine="645"/>
        <w:jc w:val="left"/>
        <w:textAlignment w:val="auto"/>
        <w:rPr>
          <w:rFonts w:hint="eastAsia" w:ascii="宋体" w:hAnsi="宋体" w:eastAsia="宋体" w:cs="宋体"/>
          <w:sz w:val="32"/>
          <w:szCs w:val="32"/>
        </w:rPr>
      </w:pPr>
      <w:r>
        <w:rPr>
          <w:rFonts w:hint="eastAsia" w:ascii="宋体" w:hAnsi="宋体" w:eastAsia="宋体" w:cs="宋体"/>
          <w:sz w:val="32"/>
          <w:szCs w:val="32"/>
        </w:rPr>
        <w:t>附件：1.项目支出绩效自评表</w:t>
      </w:r>
    </w:p>
    <w:p>
      <w:pPr>
        <w:keepNext w:val="0"/>
        <w:keepLines w:val="0"/>
        <w:pageBreakBefore w:val="0"/>
        <w:widowControl/>
        <w:kinsoku/>
        <w:wordWrap/>
        <w:overflowPunct/>
        <w:topLinePunct w:val="0"/>
        <w:autoSpaceDE/>
        <w:autoSpaceDN/>
        <w:bidi w:val="0"/>
        <w:adjustRightInd/>
        <w:snapToGrid/>
        <w:spacing w:line="540" w:lineRule="exact"/>
        <w:ind w:firstLine="1600" w:firstLineChars="500"/>
        <w:jc w:val="left"/>
        <w:textAlignment w:val="auto"/>
        <w:rPr>
          <w:rFonts w:hint="eastAsia" w:ascii="宋体" w:hAnsi="宋体" w:eastAsia="宋体" w:cs="宋体"/>
          <w:bCs/>
          <w:color w:val="000000"/>
          <w:sz w:val="32"/>
          <w:szCs w:val="32"/>
          <w:lang w:val="en-US" w:eastAsia="zh-CN"/>
        </w:rPr>
        <w:sectPr>
          <w:footerReference r:id="rId3" w:type="default"/>
          <w:pgSz w:w="11906" w:h="16838"/>
          <w:pgMar w:top="1587" w:right="1587" w:bottom="1587" w:left="1587" w:header="737" w:footer="850" w:gutter="0"/>
          <w:cols w:space="720" w:num="1"/>
          <w:docGrid w:type="lines" w:linePitch="408" w:charSpace="0"/>
        </w:sectPr>
      </w:pPr>
      <w:r>
        <w:rPr>
          <w:rFonts w:hint="eastAsia" w:ascii="宋体" w:hAnsi="宋体" w:eastAsia="宋体" w:cs="宋体"/>
          <w:sz w:val="32"/>
          <w:szCs w:val="32"/>
        </w:rPr>
        <w:t>2.项目支出绩效评价指标</w:t>
      </w:r>
      <w:r>
        <w:rPr>
          <w:rFonts w:hint="eastAsia" w:ascii="宋体" w:hAnsi="宋体" w:eastAsia="宋体" w:cs="宋体"/>
          <w:bCs/>
          <w:color w:val="000000"/>
          <w:kern w:val="0"/>
          <w:sz w:val="32"/>
          <w:szCs w:val="32"/>
        </w:rPr>
        <w:t>评分</w:t>
      </w:r>
      <w:r>
        <w:rPr>
          <w:rFonts w:hint="eastAsia" w:ascii="宋体" w:hAnsi="宋体" w:eastAsia="宋体" w:cs="宋体"/>
          <w:bCs/>
          <w:color w:val="000000"/>
          <w:kern w:val="0"/>
          <w:sz w:val="32"/>
          <w:szCs w:val="32"/>
          <w:lang w:eastAsia="zh-CN"/>
        </w:rPr>
        <w:t>表</w:t>
      </w:r>
    </w:p>
    <w:p>
      <w:pPr>
        <w:spacing w:line="400" w:lineRule="exact"/>
        <w:rPr>
          <w:rFonts w:hint="eastAsia" w:ascii="Times New Roman" w:hAnsi="Times New Roman" w:eastAsia="仿宋_GB2312" w:cs="Times New Roman"/>
          <w:bCs/>
          <w:color w:val="000000"/>
          <w:sz w:val="32"/>
          <w:szCs w:val="32"/>
          <w:lang w:eastAsia="zh-CN"/>
        </w:rPr>
      </w:pPr>
      <w:r>
        <w:rPr>
          <w:rFonts w:ascii="仿宋_GB2312" w:hAnsi="仿宋_GB2312"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1</w:t>
      </w:r>
    </w:p>
    <w:tbl>
      <w:tblPr>
        <w:tblStyle w:val="8"/>
        <w:tblW w:w="9080" w:type="dxa"/>
        <w:jc w:val="center"/>
        <w:tblLayout w:type="fixed"/>
        <w:tblCellMar>
          <w:top w:w="0" w:type="dxa"/>
          <w:left w:w="108" w:type="dxa"/>
          <w:bottom w:w="0" w:type="dxa"/>
          <w:right w:w="108" w:type="dxa"/>
        </w:tblCellMar>
      </w:tblPr>
      <w:tblGrid>
        <w:gridCol w:w="588"/>
        <w:gridCol w:w="980"/>
        <w:gridCol w:w="952"/>
        <w:gridCol w:w="890"/>
        <w:gridCol w:w="1134"/>
        <w:gridCol w:w="271"/>
        <w:gridCol w:w="960"/>
        <w:gridCol w:w="975"/>
        <w:gridCol w:w="62"/>
        <w:gridCol w:w="463"/>
        <w:gridCol w:w="246"/>
        <w:gridCol w:w="309"/>
        <w:gridCol w:w="542"/>
        <w:gridCol w:w="708"/>
      </w:tblGrid>
      <w:tr>
        <w:tblPrEx>
          <w:tblCellMar>
            <w:top w:w="0" w:type="dxa"/>
            <w:left w:w="108" w:type="dxa"/>
            <w:bottom w:w="0" w:type="dxa"/>
            <w:right w:w="108" w:type="dxa"/>
          </w:tblCellMar>
        </w:tblPrEx>
        <w:trPr>
          <w:trHeight w:val="349" w:hRule="atLeast"/>
          <w:jc w:val="center"/>
        </w:trPr>
        <w:tc>
          <w:tcPr>
            <w:tcW w:w="9080" w:type="dxa"/>
            <w:gridSpan w:val="14"/>
            <w:tcBorders>
              <w:top w:val="nil"/>
              <w:left w:val="nil"/>
              <w:bottom w:val="nil"/>
              <w:right w:val="nil"/>
            </w:tcBorders>
            <w:vAlign w:val="center"/>
          </w:tcPr>
          <w:p>
            <w:pPr>
              <w:widowControl/>
              <w:spacing w:line="320" w:lineRule="exact"/>
              <w:jc w:val="center"/>
              <w:rPr>
                <w:rFonts w:ascii="Times New Roman" w:hAnsi="Times New Roman" w:cs="Times New Roman"/>
                <w:b/>
                <w:bCs/>
                <w:kern w:val="0"/>
                <w:sz w:val="32"/>
                <w:szCs w:val="32"/>
              </w:rPr>
            </w:pPr>
            <w:r>
              <w:rPr>
                <w:rFonts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Times New Roman" w:hAnsi="Times New Roman" w:cs="Times New Roman"/>
                <w:kern w:val="0"/>
                <w:sz w:val="22"/>
                <w:szCs w:val="22"/>
              </w:rPr>
            </w:pPr>
            <w:r>
              <w:rPr>
                <w:rFonts w:ascii="Times New Roman" w:hAnsi="Times New Roman" w:cs="Times New Roman"/>
                <w:kern w:val="0"/>
                <w:sz w:val="22"/>
                <w:szCs w:val="22"/>
              </w:rPr>
              <w:t>（</w:t>
            </w:r>
            <w:r>
              <w:rPr>
                <w:rFonts w:hint="eastAsia" w:ascii="Times New Roman" w:hAnsi="Times New Roman" w:cs="Times New Roman"/>
                <w:kern w:val="0"/>
                <w:sz w:val="22"/>
                <w:szCs w:val="22"/>
              </w:rPr>
              <w:t>2020</w:t>
            </w:r>
            <w:r>
              <w:rPr>
                <w:rFonts w:ascii="Times New Roman" w:hAnsi="Times New Roman" w:cs="Times New Roman"/>
                <w:kern w:val="0"/>
                <w:sz w:val="22"/>
                <w:szCs w:val="22"/>
              </w:rPr>
              <w:t>年度）</w:t>
            </w:r>
          </w:p>
        </w:tc>
      </w:tr>
      <w:tr>
        <w:tblPrEx>
          <w:tblCellMar>
            <w:top w:w="0" w:type="dxa"/>
            <w:left w:w="108" w:type="dxa"/>
            <w:bottom w:w="0" w:type="dxa"/>
            <w:right w:w="108" w:type="dxa"/>
          </w:tblCellMar>
        </w:tblPrEx>
        <w:trPr>
          <w:trHeight w:val="300"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kern w:val="0"/>
                <w:sz w:val="18"/>
                <w:szCs w:val="18"/>
              </w:rPr>
            </w:pPr>
            <w:r>
              <w:rPr>
                <w:rFonts w:hint="eastAsia" w:ascii="宋体" w:hAnsi="宋体" w:cs="宋体"/>
                <w:kern w:val="0"/>
                <w:sz w:val="18"/>
                <w:szCs w:val="18"/>
              </w:rPr>
              <w:t>粮油千亿产业专项资金（怀化天天食品科技有限公司、湖南金珠米业有限公司）</w:t>
            </w:r>
          </w:p>
        </w:tc>
      </w:tr>
      <w:tr>
        <w:tblPrEx>
          <w:tblCellMar>
            <w:top w:w="0" w:type="dxa"/>
            <w:left w:w="108" w:type="dxa"/>
            <w:bottom w:w="0" w:type="dxa"/>
            <w:right w:w="108" w:type="dxa"/>
          </w:tblCellMar>
        </w:tblPrEx>
        <w:trPr>
          <w:trHeight w:val="300"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主管部门</w:t>
            </w:r>
          </w:p>
        </w:tc>
        <w:tc>
          <w:tcPr>
            <w:tcW w:w="420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中方县展和改革局</w:t>
            </w:r>
          </w:p>
        </w:tc>
        <w:tc>
          <w:tcPr>
            <w:tcW w:w="103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宋体" w:hAnsi="宋体" w:cs="宋体"/>
                <w:kern w:val="0"/>
                <w:sz w:val="18"/>
                <w:szCs w:val="18"/>
              </w:rPr>
              <w:t>（1、怀化天天食品科技有限公司2、湖南金珠米业有限公司）</w:t>
            </w:r>
          </w:p>
        </w:tc>
      </w:tr>
      <w:tr>
        <w:tblPrEx>
          <w:tblCellMar>
            <w:top w:w="0" w:type="dxa"/>
            <w:left w:w="108" w:type="dxa"/>
            <w:bottom w:w="0" w:type="dxa"/>
            <w:right w:w="108" w:type="dxa"/>
          </w:tblCellMar>
        </w:tblPrEx>
        <w:trPr>
          <w:trHeight w:val="436" w:hRule="atLeast"/>
          <w:jc w:val="center"/>
        </w:trPr>
        <w:tc>
          <w:tcPr>
            <w:tcW w:w="1568"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项目资金</w:t>
            </w:r>
            <w:r>
              <w:rPr>
                <w:rFonts w:ascii="Times New Roman" w:hAnsi="Times New Roman" w:cs="Times New Roman"/>
                <w:kern w:val="0"/>
                <w:sz w:val="18"/>
                <w:szCs w:val="18"/>
              </w:rPr>
              <w:br w:type="textWrapping"/>
            </w:r>
            <w:r>
              <w:rPr>
                <w:rFonts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年初预算数</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全年预算数</w:t>
            </w:r>
            <w:r>
              <w:rPr>
                <w:rFonts w:ascii="Times New Roman" w:hAnsi="Times New Roman" w:cs="Times New Roman"/>
                <w:color w:val="000000"/>
                <w:kern w:val="0"/>
                <w:sz w:val="20"/>
                <w:szCs w:val="20"/>
              </w:rPr>
              <w:t>（A</w:t>
            </w:r>
            <w:r>
              <w:rPr>
                <w:rFonts w:ascii="宋体" w:hAnsi="宋体" w:cs="Times New Roman"/>
                <w:color w:val="000000"/>
                <w:kern w:val="0"/>
                <w:sz w:val="20"/>
                <w:szCs w:val="20"/>
              </w:rPr>
              <w:t>）</w:t>
            </w:r>
          </w:p>
        </w:tc>
        <w:tc>
          <w:tcPr>
            <w:tcW w:w="103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全年执行数</w:t>
            </w:r>
            <w:r>
              <w:rPr>
                <w:rFonts w:ascii="Times New Roman" w:hAnsi="Times New Roman" w:cs="Times New Roman"/>
                <w:color w:val="000000"/>
                <w:kern w:val="0"/>
                <w:sz w:val="20"/>
                <w:szCs w:val="20"/>
              </w:rPr>
              <w:t>（B</w:t>
            </w:r>
            <w:r>
              <w:rPr>
                <w:rFonts w:ascii="宋体" w:hAnsi="宋体" w:cs="Times New Roman"/>
                <w:color w:val="000000"/>
                <w:kern w:val="0"/>
                <w:sz w:val="20"/>
                <w:szCs w:val="20"/>
              </w:rPr>
              <w:t>）</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执行率</w:t>
            </w:r>
            <w:r>
              <w:rPr>
                <w:rFonts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cs="Times New Roman"/>
                <w:kern w:val="0"/>
                <w:sz w:val="18"/>
                <w:szCs w:val="18"/>
              </w:rPr>
            </w:pPr>
            <w:r>
              <w:rPr>
                <w:rFonts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71</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71</w:t>
            </w:r>
          </w:p>
        </w:tc>
        <w:tc>
          <w:tcPr>
            <w:tcW w:w="103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71</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71</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71</w:t>
            </w:r>
          </w:p>
        </w:tc>
        <w:tc>
          <w:tcPr>
            <w:tcW w:w="103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71</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0</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0</w:t>
            </w:r>
          </w:p>
        </w:tc>
        <w:tc>
          <w:tcPr>
            <w:tcW w:w="103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0</w:t>
            </w:r>
          </w:p>
        </w:tc>
        <w:tc>
          <w:tcPr>
            <w:tcW w:w="1231"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0</w:t>
            </w:r>
          </w:p>
        </w:tc>
        <w:tc>
          <w:tcPr>
            <w:tcW w:w="103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atLeas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年度总体目标</w:t>
            </w:r>
          </w:p>
        </w:tc>
        <w:tc>
          <w:tcPr>
            <w:tcW w:w="518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预期目标</w:t>
            </w:r>
          </w:p>
        </w:tc>
        <w:tc>
          <w:tcPr>
            <w:tcW w:w="330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930" w:hRule="atLeas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5187"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kern w:val="0"/>
                <w:sz w:val="18"/>
                <w:szCs w:val="18"/>
              </w:rPr>
            </w:pPr>
            <w:r>
              <w:rPr>
                <w:rFonts w:hint="eastAsia" w:ascii="Times New Roman" w:hAnsi="Times New Roman" w:cs="Times New Roman"/>
                <w:kern w:val="0"/>
                <w:sz w:val="18"/>
                <w:szCs w:val="18"/>
              </w:rPr>
              <w:t>完成年产5万吨米粉、米面现代化全自动流水线生产（怀化市米粉联合透明工厂）技改项目</w:t>
            </w:r>
          </w:p>
        </w:tc>
        <w:tc>
          <w:tcPr>
            <w:tcW w:w="3305"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kern w:val="0"/>
                <w:sz w:val="18"/>
                <w:szCs w:val="18"/>
              </w:rPr>
            </w:pPr>
            <w:r>
              <w:rPr>
                <w:rFonts w:hint="eastAsia" w:ascii="Times New Roman" w:hAnsi="Times New Roman" w:cs="Times New Roman"/>
                <w:kern w:val="0"/>
                <w:sz w:val="18"/>
                <w:szCs w:val="18"/>
              </w:rPr>
              <w:t>已完成米粉、米面自动流水线生厂技改项目</w:t>
            </w:r>
          </w:p>
        </w:tc>
      </w:tr>
      <w:tr>
        <w:tblPrEx>
          <w:tblCellMar>
            <w:top w:w="0" w:type="dxa"/>
            <w:left w:w="108" w:type="dxa"/>
            <w:bottom w:w="0" w:type="dxa"/>
            <w:right w:w="108" w:type="dxa"/>
          </w:tblCellMar>
        </w:tblPrEx>
        <w:trPr>
          <w:trHeight w:val="655" w:hRule="atLeast"/>
          <w:jc w:val="center"/>
        </w:trPr>
        <w:tc>
          <w:tcPr>
            <w:tcW w:w="588" w:type="dxa"/>
            <w:vMerge w:val="restart"/>
            <w:tcBorders>
              <w:top w:val="nil"/>
              <w:left w:val="single" w:color="auto" w:sz="4" w:space="0"/>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绩</w:t>
            </w:r>
            <w:r>
              <w:rPr>
                <w:rFonts w:ascii="Times New Roman" w:hAnsi="Times New Roman" w:cs="Times New Roman"/>
                <w:kern w:val="0"/>
                <w:sz w:val="18"/>
                <w:szCs w:val="18"/>
              </w:rPr>
              <w:br w:type="textWrapping"/>
            </w:r>
            <w:r>
              <w:rPr>
                <w:rFonts w:ascii="Times New Roman" w:hAnsi="Times New Roman" w:cs="Times New Roman"/>
                <w:kern w:val="0"/>
                <w:sz w:val="18"/>
                <w:szCs w:val="18"/>
              </w:rPr>
              <w:t>效</w:t>
            </w:r>
            <w:r>
              <w:rPr>
                <w:rFonts w:ascii="Times New Roman" w:hAnsi="Times New Roman" w:cs="Times New Roman"/>
                <w:kern w:val="0"/>
                <w:sz w:val="18"/>
                <w:szCs w:val="18"/>
              </w:rPr>
              <w:br w:type="textWrapping"/>
            </w:r>
            <w:r>
              <w:rPr>
                <w:rFonts w:ascii="Times New Roman" w:hAnsi="Times New Roman" w:cs="Times New Roman"/>
                <w:kern w:val="0"/>
                <w:sz w:val="18"/>
                <w:szCs w:val="18"/>
              </w:rPr>
              <w:t>指</w:t>
            </w:r>
            <w:r>
              <w:rPr>
                <w:rFonts w:ascii="Times New Roman" w:hAnsi="Times New Roman" w:cs="Times New Roman"/>
                <w:kern w:val="0"/>
                <w:sz w:val="18"/>
                <w:szCs w:val="18"/>
              </w:rPr>
              <w:br w:type="textWrapping"/>
            </w:r>
            <w:r>
              <w:rPr>
                <w:rFonts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一级指标</w:t>
            </w:r>
          </w:p>
        </w:tc>
        <w:tc>
          <w:tcPr>
            <w:tcW w:w="95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二级指标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三级指标</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指标值</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完成值</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56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产出指标</w:t>
            </w:r>
            <w:r>
              <w:rPr>
                <w:rFonts w:ascii="Times New Roman" w:hAnsi="Times New Roman" w:cs="Times New Roman"/>
                <w:kern w:val="0"/>
                <w:sz w:val="20"/>
                <w:szCs w:val="20"/>
              </w:rPr>
              <w:t>(50</w:t>
            </w:r>
            <w:r>
              <w:rPr>
                <w:rFonts w:ascii="宋体" w:hAnsi="宋体" w:cs="Times New Roman"/>
                <w:kern w:val="0"/>
                <w:sz w:val="20"/>
                <w:szCs w:val="20"/>
              </w:rPr>
              <w:t>分</w:t>
            </w:r>
            <w:r>
              <w:rPr>
                <w:rFonts w:ascii="Times New Roman" w:hAnsi="Times New Roman" w:cs="Times New Roman"/>
                <w:kern w:val="0"/>
                <w:sz w:val="20"/>
                <w:szCs w:val="20"/>
              </w:rPr>
              <w:t>)</w:t>
            </w:r>
          </w:p>
        </w:tc>
        <w:tc>
          <w:tcPr>
            <w:tcW w:w="95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数量指标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：增加技改机器设备</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10台</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10台</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15</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15</w:t>
            </w: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543"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95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指标2</w:t>
            </w:r>
            <w:r>
              <w:rPr>
                <w:rFonts w:ascii="宋体" w:hAnsi="宋体" w:cs="Times New Roman"/>
                <w:color w:val="000000"/>
                <w:kern w:val="0"/>
                <w:sz w:val="18"/>
                <w:szCs w:val="18"/>
              </w:rPr>
              <w:t>：</w:t>
            </w:r>
            <w:r>
              <w:rPr>
                <w:rFonts w:hint="eastAsia" w:ascii="宋体" w:hAnsi="宋体" w:cs="Times New Roman"/>
                <w:color w:val="000000"/>
                <w:kern w:val="0"/>
                <w:sz w:val="18"/>
                <w:szCs w:val="18"/>
              </w:rPr>
              <w:t>收购农民余粮</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380吨</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380吨</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61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95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质量指标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rPr>
              <w:t>工程质量合格</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15</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15</w:t>
            </w: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576"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95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w:t>
            </w:r>
            <w:r>
              <w:rPr>
                <w:rFonts w:hint="eastAsia" w:ascii="Times New Roman" w:hAnsi="Times New Roman" w:cs="Times New Roman"/>
                <w:color w:val="000000"/>
                <w:kern w:val="0"/>
                <w:sz w:val="18"/>
                <w:szCs w:val="18"/>
              </w:rPr>
              <w:t>2</w:t>
            </w:r>
            <w:r>
              <w:rPr>
                <w:rFonts w:ascii="宋体" w:hAnsi="宋体" w:cs="Times New Roman"/>
                <w:color w:val="000000"/>
                <w:kern w:val="0"/>
                <w:sz w:val="18"/>
                <w:szCs w:val="18"/>
              </w:rPr>
              <w:t>：</w:t>
            </w:r>
            <w:r>
              <w:rPr>
                <w:rFonts w:hint="eastAsia" w:ascii="宋体" w:hAnsi="宋体" w:cs="Times New Roman"/>
                <w:color w:val="000000"/>
                <w:kern w:val="0"/>
                <w:sz w:val="18"/>
                <w:szCs w:val="18"/>
              </w:rPr>
              <w:t>农民余粮应收</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56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95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时效指标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rPr>
              <w:t>工程完成率</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23"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95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w:t>
            </w:r>
            <w:r>
              <w:rPr>
                <w:rFonts w:hint="eastAsia" w:ascii="Times New Roman" w:hAnsi="Times New Roman" w:cs="Times New Roman"/>
                <w:color w:val="000000"/>
                <w:kern w:val="0"/>
                <w:sz w:val="18"/>
                <w:szCs w:val="18"/>
              </w:rPr>
              <w:t>2</w:t>
            </w:r>
            <w:r>
              <w:rPr>
                <w:rFonts w:ascii="宋体" w:hAnsi="宋体" w:cs="Times New Roman"/>
                <w:color w:val="000000"/>
                <w:kern w:val="0"/>
                <w:sz w:val="18"/>
                <w:szCs w:val="18"/>
              </w:rPr>
              <w:t>：</w:t>
            </w:r>
            <w:r>
              <w:rPr>
                <w:rFonts w:hint="eastAsia" w:ascii="宋体" w:hAnsi="宋体" w:cs="Times New Roman"/>
                <w:color w:val="000000"/>
                <w:kern w:val="0"/>
                <w:sz w:val="18"/>
                <w:szCs w:val="18"/>
              </w:rPr>
              <w:t>疫情期间全天敞开收购</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576"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95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成本指标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rPr>
              <w:t>其中财政补助资金</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70万元</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70万元</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543"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95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w:t>
            </w:r>
            <w:r>
              <w:rPr>
                <w:rFonts w:hint="eastAsia" w:ascii="Times New Roman" w:hAnsi="Times New Roman" w:cs="Times New Roman"/>
                <w:color w:val="000000"/>
                <w:kern w:val="0"/>
                <w:sz w:val="18"/>
                <w:szCs w:val="18"/>
              </w:rPr>
              <w:t>2</w:t>
            </w:r>
            <w:r>
              <w:rPr>
                <w:rFonts w:ascii="宋体" w:hAnsi="宋体" w:cs="Times New Roman"/>
                <w:color w:val="000000"/>
                <w:kern w:val="0"/>
                <w:sz w:val="18"/>
                <w:szCs w:val="18"/>
              </w:rPr>
              <w:t>：</w:t>
            </w:r>
            <w:r>
              <w:rPr>
                <w:rFonts w:hint="eastAsia" w:ascii="宋体" w:hAnsi="宋体" w:cs="Times New Roman"/>
                <w:color w:val="000000"/>
                <w:kern w:val="0"/>
                <w:sz w:val="18"/>
                <w:szCs w:val="18"/>
              </w:rPr>
              <w:t>财政资金补助</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1万元</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1万元</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66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效益指标</w:t>
            </w:r>
            <w:r>
              <w:rPr>
                <w:rFonts w:ascii="Times New Roman" w:hAnsi="Times New Roman" w:cs="Times New Roman"/>
                <w:kern w:val="0"/>
                <w:sz w:val="20"/>
                <w:szCs w:val="20"/>
              </w:rPr>
              <w:t>(30</w:t>
            </w:r>
            <w:r>
              <w:rPr>
                <w:rFonts w:ascii="宋体" w:hAnsi="宋体" w:cs="Times New Roman"/>
                <w:kern w:val="0"/>
                <w:sz w:val="20"/>
                <w:szCs w:val="20"/>
              </w:rPr>
              <w:t>分</w:t>
            </w:r>
            <w:r>
              <w:rPr>
                <w:rFonts w:ascii="Times New Roman" w:hAnsi="Times New Roman" w:cs="Times New Roman"/>
                <w:kern w:val="0"/>
                <w:sz w:val="20"/>
                <w:szCs w:val="20"/>
              </w:rPr>
              <w:t>)</w:t>
            </w:r>
          </w:p>
        </w:tc>
        <w:tc>
          <w:tcPr>
            <w:tcW w:w="95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经济效益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rPr>
              <w:t>确保产值增长</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8000万元</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8000万元</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06"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95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w:t>
            </w:r>
            <w:r>
              <w:rPr>
                <w:rFonts w:hint="eastAsia" w:ascii="Times New Roman" w:hAnsi="Times New Roman" w:cs="Times New Roman"/>
                <w:color w:val="000000"/>
                <w:kern w:val="0"/>
                <w:sz w:val="18"/>
                <w:szCs w:val="18"/>
              </w:rPr>
              <w:t>2</w:t>
            </w:r>
            <w:r>
              <w:rPr>
                <w:rFonts w:ascii="宋体" w:hAnsi="宋体" w:cs="Times New Roman"/>
                <w:color w:val="000000"/>
                <w:kern w:val="0"/>
                <w:sz w:val="18"/>
                <w:szCs w:val="18"/>
              </w:rPr>
              <w:t>：</w:t>
            </w:r>
            <w:r>
              <w:rPr>
                <w:rFonts w:hint="eastAsia" w:ascii="宋体" w:hAnsi="宋体" w:cs="Times New Roman"/>
                <w:color w:val="000000"/>
                <w:kern w:val="0"/>
                <w:sz w:val="18"/>
                <w:szCs w:val="18"/>
              </w:rPr>
              <w:t>确保农民的基本利益</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25万人民</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完成</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66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95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社会效益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rPr>
              <w:t>带动就业人员</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2000人</w:t>
            </w:r>
          </w:p>
        </w:tc>
        <w:tc>
          <w:tcPr>
            <w:tcW w:w="975"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cs="Times New Roman"/>
                <w:kern w:val="0"/>
                <w:sz w:val="18"/>
                <w:szCs w:val="18"/>
              </w:rPr>
            </w:pPr>
            <w:r>
              <w:rPr>
                <w:rFonts w:hint="eastAsia" w:ascii="Times New Roman" w:hAnsi="Times New Roman" w:cs="Times New Roman"/>
                <w:kern w:val="0"/>
                <w:sz w:val="18"/>
                <w:szCs w:val="18"/>
              </w:rPr>
              <w:t>2000人</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5</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5</w:t>
            </w: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23"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95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w:t>
            </w:r>
            <w:r>
              <w:rPr>
                <w:rFonts w:hint="eastAsia" w:ascii="Times New Roman" w:hAnsi="Times New Roman" w:cs="Times New Roman"/>
                <w:color w:val="000000"/>
                <w:kern w:val="0"/>
                <w:sz w:val="18"/>
                <w:szCs w:val="18"/>
              </w:rPr>
              <w:t>2</w:t>
            </w:r>
            <w:r>
              <w:rPr>
                <w:rFonts w:ascii="宋体" w:hAnsi="宋体" w:cs="Times New Roman"/>
                <w:color w:val="000000"/>
                <w:kern w:val="0"/>
                <w:sz w:val="18"/>
                <w:szCs w:val="18"/>
              </w:rPr>
              <w:t>：</w:t>
            </w:r>
            <w:r>
              <w:rPr>
                <w:rFonts w:hint="eastAsia" w:ascii="宋体" w:hAnsi="宋体" w:cs="Times New Roman"/>
                <w:color w:val="000000"/>
                <w:kern w:val="0"/>
                <w:sz w:val="18"/>
                <w:szCs w:val="18"/>
              </w:rPr>
              <w:t>疫情期间，粮食正常流通，不受限制</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持续</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持续</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95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生态效益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rPr>
              <w:t>安装环保设施</w:t>
            </w:r>
            <w:r>
              <w:rPr>
                <w:rFonts w:hint="eastAsia" w:ascii="Times New Roman" w:hAnsi="Times New Roman" w:cs="Times New Roman"/>
                <w:kern w:val="0"/>
                <w:sz w:val="18"/>
                <w:szCs w:val="18"/>
              </w:rPr>
              <w:t>污水处理</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1套</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1套</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5</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5</w:t>
            </w: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51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95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指标2</w:t>
            </w:r>
            <w:r>
              <w:rPr>
                <w:rFonts w:ascii="宋体" w:hAnsi="宋体" w:cs="Times New Roman"/>
                <w:color w:val="000000"/>
                <w:kern w:val="0"/>
                <w:sz w:val="18"/>
                <w:szCs w:val="18"/>
              </w:rPr>
              <w:t>：</w:t>
            </w:r>
            <w:r>
              <w:rPr>
                <w:rFonts w:hint="eastAsia" w:ascii="宋体" w:hAnsi="宋体" w:cs="Times New Roman"/>
                <w:color w:val="000000"/>
                <w:kern w:val="0"/>
                <w:sz w:val="18"/>
                <w:szCs w:val="18"/>
              </w:rPr>
              <w:t>污染率</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零</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零</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657"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95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w:t>
            </w:r>
            <w:r>
              <w:rPr>
                <w:rFonts w:hint="eastAsia" w:ascii="Times New Roman" w:hAnsi="Times New Roman" w:cs="Times New Roman"/>
                <w:color w:val="000000"/>
                <w:kern w:val="0"/>
                <w:sz w:val="18"/>
                <w:szCs w:val="18"/>
              </w:rPr>
              <w:t>3</w:t>
            </w:r>
            <w:r>
              <w:rPr>
                <w:rFonts w:ascii="宋体" w:hAnsi="宋体" w:cs="Times New Roman"/>
                <w:color w:val="000000"/>
                <w:kern w:val="0"/>
                <w:sz w:val="18"/>
                <w:szCs w:val="18"/>
              </w:rPr>
              <w:t>：</w:t>
            </w:r>
            <w:r>
              <w:rPr>
                <w:rFonts w:hint="eastAsia" w:ascii="宋体" w:hAnsi="宋体" w:cs="Times New Roman"/>
                <w:color w:val="000000"/>
                <w:kern w:val="0"/>
                <w:sz w:val="18"/>
                <w:szCs w:val="18"/>
              </w:rPr>
              <w:t>确保粮油流通市场稳定</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持续</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持续</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56"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95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可持续影</w:t>
            </w:r>
            <w:bookmarkStart w:id="1" w:name="_GoBack"/>
            <w:bookmarkEnd w:id="1"/>
            <w:r>
              <w:rPr>
                <w:rFonts w:ascii="Times New Roman" w:hAnsi="Times New Roman" w:cs="Times New Roman"/>
                <w:kern w:val="0"/>
                <w:sz w:val="18"/>
                <w:szCs w:val="18"/>
              </w:rPr>
              <w:t>响指标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rPr>
              <w:t>确保粮食加工产业发展</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长期</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长期</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576"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95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w:t>
            </w:r>
            <w:r>
              <w:rPr>
                <w:rFonts w:hint="eastAsia" w:ascii="Times New Roman" w:hAnsi="Times New Roman" w:cs="Times New Roman"/>
                <w:color w:val="000000"/>
                <w:kern w:val="0"/>
                <w:sz w:val="18"/>
                <w:szCs w:val="18"/>
              </w:rPr>
              <w:t>2</w:t>
            </w:r>
            <w:r>
              <w:rPr>
                <w:rFonts w:ascii="宋体" w:hAnsi="宋体" w:cs="Times New Roman"/>
                <w:color w:val="000000"/>
                <w:kern w:val="0"/>
                <w:sz w:val="18"/>
                <w:szCs w:val="18"/>
              </w:rPr>
              <w:t>：</w:t>
            </w:r>
            <w:r>
              <w:rPr>
                <w:rFonts w:hint="eastAsia" w:ascii="宋体" w:hAnsi="宋体" w:cs="Times New Roman"/>
                <w:color w:val="000000"/>
                <w:kern w:val="0"/>
                <w:sz w:val="18"/>
                <w:szCs w:val="18"/>
              </w:rPr>
              <w:t>确保社会发展稳定</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长期</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长期</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674"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满意度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r>
              <w:rPr>
                <w:rFonts w:ascii="Times New Roman" w:hAnsi="Times New Roman" w:cs="Times New Roman"/>
                <w:kern w:val="0"/>
                <w:sz w:val="20"/>
                <w:szCs w:val="20"/>
              </w:rPr>
              <w:t>(10</w:t>
            </w:r>
            <w:r>
              <w:rPr>
                <w:rFonts w:ascii="宋体" w:hAnsi="宋体" w:cs="Times New Roman"/>
                <w:kern w:val="0"/>
                <w:sz w:val="20"/>
                <w:szCs w:val="20"/>
              </w:rPr>
              <w:t>分</w:t>
            </w:r>
            <w:r>
              <w:rPr>
                <w:rFonts w:ascii="Times New Roman" w:hAnsi="Times New Roman" w:cs="Times New Roman"/>
                <w:kern w:val="0"/>
                <w:sz w:val="20"/>
                <w:szCs w:val="20"/>
              </w:rPr>
              <w:t>)</w:t>
            </w:r>
          </w:p>
        </w:tc>
        <w:tc>
          <w:tcPr>
            <w:tcW w:w="95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服务对象满意度指标</w:t>
            </w: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rPr>
              <w:t>广大市民对米粉满意度</w:t>
            </w:r>
          </w:p>
        </w:tc>
        <w:tc>
          <w:tcPr>
            <w:tcW w:w="9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52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5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69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nil"/>
              <w:right w:val="single" w:color="auto" w:sz="4" w:space="0"/>
            </w:tcBorders>
            <w:vAlign w:val="center"/>
          </w:tcPr>
          <w:p>
            <w:pPr>
              <w:widowControl/>
              <w:jc w:val="left"/>
              <w:rPr>
                <w:rFonts w:ascii="Times New Roman" w:hAnsi="Times New Roman" w:cs="Times New Roman"/>
                <w:kern w:val="0"/>
                <w:sz w:val="18"/>
                <w:szCs w:val="18"/>
              </w:rPr>
            </w:pPr>
          </w:p>
        </w:tc>
        <w:tc>
          <w:tcPr>
            <w:tcW w:w="95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29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w:t>
            </w:r>
            <w:r>
              <w:rPr>
                <w:rFonts w:hint="eastAsia" w:ascii="Times New Roman" w:hAnsi="Times New Roman" w:cs="Times New Roman"/>
                <w:color w:val="000000"/>
                <w:kern w:val="0"/>
                <w:sz w:val="18"/>
                <w:szCs w:val="18"/>
              </w:rPr>
              <w:t>2</w:t>
            </w:r>
            <w:r>
              <w:rPr>
                <w:rFonts w:ascii="宋体" w:hAnsi="宋体" w:cs="Times New Roman"/>
                <w:color w:val="000000"/>
                <w:kern w:val="0"/>
                <w:sz w:val="18"/>
                <w:szCs w:val="18"/>
              </w:rPr>
              <w:t>：</w:t>
            </w:r>
            <w:r>
              <w:rPr>
                <w:rFonts w:hint="eastAsia" w:ascii="宋体" w:hAnsi="宋体" w:cs="Times New Roman"/>
                <w:color w:val="000000"/>
                <w:kern w:val="0"/>
                <w:sz w:val="18"/>
                <w:szCs w:val="18"/>
              </w:rPr>
              <w:t>群众对疫情期间的粮食收购满意度</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10" w:hRule="atLeast"/>
          <w:jc w:val="center"/>
        </w:trPr>
        <w:tc>
          <w:tcPr>
            <w:tcW w:w="675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总分</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100</w:t>
            </w:r>
          </w:p>
        </w:tc>
        <w:tc>
          <w:tcPr>
            <w:tcW w:w="12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bl>
    <w:p>
      <w:pPr>
        <w:widowControl/>
        <w:spacing w:line="400" w:lineRule="exact"/>
        <w:jc w:val="left"/>
        <w:rPr>
          <w:rFonts w:ascii="Times New Roman" w:hAnsi="Times New Roman" w:cs="Times New Roman"/>
          <w:color w:val="000000"/>
          <w:kern w:val="0"/>
          <w:sz w:val="18"/>
          <w:szCs w:val="18"/>
        </w:rPr>
      </w:pPr>
      <w:r>
        <w:drawing>
          <wp:inline distT="0" distB="0" distL="0" distR="0">
            <wp:extent cx="6410325" cy="133350"/>
            <wp:effectExtent l="19050" t="0" r="9525" b="0"/>
            <wp:docPr id="1" name="图片 1" descr="C:\Users\ADMINI~1\AppData\Local\Temp\ksohtml381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3812\wps1.png"/>
                    <pic:cNvPicPr>
                      <a:picLocks noChangeAspect="1" noChangeArrowheads="1"/>
                    </pic:cNvPicPr>
                  </pic:nvPicPr>
                  <pic:blipFill>
                    <a:blip r:embed="rId5" cstate="print"/>
                    <a:srcRect/>
                    <a:stretch>
                      <a:fillRect/>
                    </a:stretch>
                  </pic:blipFill>
                  <pic:spPr>
                    <a:xfrm>
                      <a:off x="0" y="0"/>
                      <a:ext cx="6410325" cy="133350"/>
                    </a:xfrm>
                    <a:prstGeom prst="rect">
                      <a:avLst/>
                    </a:prstGeom>
                    <a:noFill/>
                    <a:ln w="9525">
                      <a:noFill/>
                      <a:miter lim="800000"/>
                      <a:headEnd/>
                      <a:tailEnd/>
                    </a:ln>
                  </pic:spPr>
                </pic:pic>
              </a:graphicData>
            </a:graphic>
          </wp:inline>
        </w:drawing>
      </w:r>
    </w:p>
    <w:tbl>
      <w:tblPr>
        <w:tblStyle w:val="8"/>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注：1.</w:t>
            </w:r>
            <w:r>
              <w:rPr>
                <w:rFonts w:ascii="宋体" w:hAnsi="宋体" w:cs="Times New Roman"/>
                <w:color w:val="000000"/>
                <w:kern w:val="0"/>
                <w:sz w:val="18"/>
                <w:szCs w:val="18"/>
              </w:rPr>
              <w:t>一级指标分值统一设置为：产出指标</w:t>
            </w:r>
            <w:r>
              <w:rPr>
                <w:rFonts w:ascii="Times New Roman" w:hAnsi="Times New Roman" w:cs="Times New Roman"/>
                <w:color w:val="000000"/>
                <w:kern w:val="0"/>
                <w:sz w:val="18"/>
                <w:szCs w:val="18"/>
              </w:rPr>
              <w:t>50</w:t>
            </w:r>
            <w:r>
              <w:rPr>
                <w:rFonts w:ascii="宋体" w:hAnsi="宋体" w:cs="Times New Roman"/>
                <w:color w:val="000000"/>
                <w:kern w:val="0"/>
                <w:sz w:val="18"/>
                <w:szCs w:val="18"/>
              </w:rPr>
              <w:t>分、效益指标</w:t>
            </w:r>
            <w:r>
              <w:rPr>
                <w:rFonts w:ascii="Times New Roman" w:hAnsi="Times New Roman" w:cs="Times New Roman"/>
                <w:color w:val="000000"/>
                <w:kern w:val="0"/>
                <w:sz w:val="18"/>
                <w:szCs w:val="18"/>
              </w:rPr>
              <w:t>30</w:t>
            </w:r>
            <w:r>
              <w:rPr>
                <w:rFonts w:ascii="宋体" w:hAnsi="宋体" w:cs="Times New Roman"/>
                <w:color w:val="000000"/>
                <w:kern w:val="0"/>
                <w:sz w:val="18"/>
                <w:szCs w:val="18"/>
              </w:rPr>
              <w:t>分、服务对象满意度指标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分、预算资金执行率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分。如有特殊情况，上述权重可做适当调整，但加总后应等于</w:t>
            </w:r>
            <w:r>
              <w:rPr>
                <w:rFonts w:ascii="Times New Roman" w:hAnsi="Times New Roman" w:cs="Times New Roman"/>
                <w:color w:val="000000"/>
                <w:kern w:val="0"/>
                <w:sz w:val="18"/>
                <w:szCs w:val="18"/>
              </w:rPr>
              <w:t>100</w:t>
            </w:r>
            <w:r>
              <w:rPr>
                <w:rFonts w:ascii="宋体" w:hAnsi="宋体" w:cs="Times New Roman"/>
                <w:color w:val="000000"/>
                <w:kern w:val="0"/>
                <w:sz w:val="18"/>
                <w:szCs w:val="18"/>
              </w:rPr>
              <w:t>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2.</w:t>
            </w:r>
            <w:r>
              <w:rPr>
                <w:rFonts w:ascii="宋体" w:hAnsi="宋体" w:cs="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s="Times New Roman"/>
                <w:color w:val="000000"/>
                <w:kern w:val="0"/>
                <w:sz w:val="18"/>
                <w:szCs w:val="18"/>
              </w:rPr>
              <w:t>100-80%(</w:t>
            </w:r>
            <w:r>
              <w:rPr>
                <w:rFonts w:ascii="宋体" w:hAnsi="宋体" w:cs="Times New Roman"/>
                <w:color w:val="000000"/>
                <w:kern w:val="0"/>
                <w:sz w:val="18"/>
                <w:szCs w:val="18"/>
              </w:rPr>
              <w:t>含</w:t>
            </w:r>
            <w:r>
              <w:rPr>
                <w:rFonts w:ascii="Times New Roman" w:hAnsi="Times New Roman" w:cs="Times New Roman"/>
                <w:color w:val="000000"/>
                <w:kern w:val="0"/>
                <w:sz w:val="18"/>
                <w:szCs w:val="18"/>
              </w:rPr>
              <w:t>80%)</w:t>
            </w:r>
            <w:r>
              <w:rPr>
                <w:rFonts w:ascii="宋体" w:hAnsi="宋体" w:cs="Times New Roman"/>
                <w:color w:val="000000"/>
                <w:kern w:val="0"/>
                <w:sz w:val="18"/>
                <w:szCs w:val="18"/>
              </w:rPr>
              <w:t>、</w:t>
            </w:r>
            <w:r>
              <w:rPr>
                <w:rFonts w:ascii="Times New Roman" w:hAnsi="Times New Roman" w:cs="Times New Roman"/>
                <w:color w:val="000000"/>
                <w:kern w:val="0"/>
                <w:sz w:val="18"/>
                <w:szCs w:val="18"/>
              </w:rPr>
              <w:t>80-50%(</w:t>
            </w:r>
            <w:r>
              <w:rPr>
                <w:rFonts w:ascii="宋体" w:hAnsi="宋体" w:cs="Times New Roman"/>
                <w:color w:val="000000"/>
                <w:kern w:val="0"/>
                <w:sz w:val="18"/>
                <w:szCs w:val="18"/>
              </w:rPr>
              <w:t>含</w:t>
            </w:r>
            <w:r>
              <w:rPr>
                <w:rFonts w:ascii="Times New Roman" w:hAnsi="Times New Roman" w:cs="Times New Roman"/>
                <w:color w:val="000000"/>
                <w:kern w:val="0"/>
                <w:sz w:val="18"/>
                <w:szCs w:val="18"/>
              </w:rPr>
              <w:t>50%)</w:t>
            </w:r>
            <w:r>
              <w:rPr>
                <w:rFonts w:ascii="宋体" w:hAnsi="宋体" w:cs="Times New Roman"/>
                <w:color w:val="000000"/>
                <w:kern w:val="0"/>
                <w:sz w:val="18"/>
                <w:szCs w:val="18"/>
              </w:rPr>
              <w:t>、</w:t>
            </w:r>
            <w:r>
              <w:rPr>
                <w:rFonts w:ascii="Times New Roman" w:hAnsi="Times New Roman" w:cs="Times New Roman"/>
                <w:color w:val="000000"/>
                <w:kern w:val="0"/>
                <w:sz w:val="18"/>
                <w:szCs w:val="18"/>
              </w:rPr>
              <w:t>50-0%</w:t>
            </w:r>
            <w:r>
              <w:rPr>
                <w:rFonts w:ascii="宋体" w:hAnsi="宋体" w:cs="Times New Roman"/>
                <w:color w:val="000000"/>
                <w:kern w:val="0"/>
                <w:sz w:val="18"/>
                <w:szCs w:val="18"/>
              </w:rPr>
              <w:t>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3.</w:t>
            </w:r>
            <w:r>
              <w:rPr>
                <w:rFonts w:ascii="宋体" w:hAnsi="宋体" w:cs="Times New Roman"/>
                <w:color w:val="000000"/>
                <w:kern w:val="0"/>
                <w:sz w:val="18"/>
                <w:szCs w:val="18"/>
              </w:rPr>
              <w:t>定量指标若为正向指标（即指标值为</w:t>
            </w:r>
            <w:r>
              <w:rPr>
                <w:rFonts w:ascii="Times New Roman" w:hAnsi="Times New Roman" w:cs="Times New Roman"/>
                <w:color w:val="000000"/>
                <w:kern w:val="0"/>
                <w:sz w:val="18"/>
                <w:szCs w:val="18"/>
              </w:rPr>
              <w:t>≥*</w:t>
            </w:r>
            <w:r>
              <w:rPr>
                <w:rFonts w:ascii="宋体" w:hAnsi="宋体" w:cs="Times New Roman"/>
                <w:color w:val="000000"/>
                <w:kern w:val="0"/>
                <w:sz w:val="18"/>
                <w:szCs w:val="18"/>
              </w:rPr>
              <w:t>），则得分计算方法应用全年实际值（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该指标分值；若定量指标为反向指标（即指标值为≤*</w:t>
            </w:r>
            <w:r>
              <w:rPr>
                <w:rFonts w:ascii="宋体" w:hAnsi="宋体" w:cs="Times New Roman"/>
                <w:color w:val="000000"/>
                <w:kern w:val="0"/>
                <w:sz w:val="18"/>
                <w:szCs w:val="18"/>
              </w:rPr>
              <w:t>），则得分计算方法应用年度指标值（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4.</w:t>
            </w:r>
            <w:r>
              <w:rPr>
                <w:rFonts w:ascii="宋体" w:hAnsi="宋体" w:cs="Times New Roman"/>
                <w:color w:val="000000"/>
                <w:kern w:val="0"/>
                <w:sz w:val="18"/>
                <w:szCs w:val="18"/>
              </w:rPr>
              <w:t>请在</w:t>
            </w:r>
            <w:r>
              <w:rPr>
                <w:rFonts w:ascii="Times New Roman" w:hAnsi="Times New Roman" w:cs="Times New Roman"/>
                <w:color w:val="000000"/>
                <w:kern w:val="0"/>
                <w:sz w:val="18"/>
                <w:szCs w:val="18"/>
              </w:rPr>
              <w:t>“</w:t>
            </w:r>
            <w:r>
              <w:rPr>
                <w:rFonts w:ascii="Times New Roman" w:hAnsi="Times New Roman" w:cs="Times New Roman"/>
                <w:kern w:val="0"/>
                <w:sz w:val="18"/>
                <w:szCs w:val="18"/>
              </w:rPr>
              <w:t>偏差原因分析及改进措施</w:t>
            </w:r>
            <w:r>
              <w:rPr>
                <w:rFonts w:ascii="Times New Roman" w:hAnsi="Times New Roman" w:cs="Times New Roman"/>
                <w:color w:val="000000"/>
                <w:kern w:val="0"/>
                <w:sz w:val="18"/>
                <w:szCs w:val="18"/>
              </w:rPr>
              <w:t>”</w:t>
            </w:r>
            <w:r>
              <w:rPr>
                <w:rFonts w:ascii="宋体" w:hAnsi="宋体" w:cs="Times New Roman"/>
                <w:color w:val="000000"/>
                <w:kern w:val="0"/>
                <w:sz w:val="18"/>
                <w:szCs w:val="18"/>
              </w:rPr>
              <w:t>中说明偏离目标、不能完成目标的原因及拟采取的措施。</w:t>
            </w:r>
          </w:p>
        </w:tc>
      </w:tr>
    </w:tbl>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w:t>
      </w:r>
    </w:p>
    <w:p>
      <w:pPr>
        <w:rPr>
          <w:rFonts w:ascii="Times New Roman" w:hAnsi="Times New Roman" w:cs="Times New Roman"/>
        </w:rPr>
      </w:pPr>
      <w:r>
        <w:rPr>
          <w:rFonts w:ascii="Times New Roman" w:hAnsi="Times New Roman" w:cs="Times New Roman"/>
        </w:rPr>
        <w:t xml:space="preserve"> </w:t>
      </w:r>
    </w:p>
    <w:p>
      <w:pPr>
        <w:widowControl/>
        <w:jc w:val="left"/>
        <w:rPr>
          <w:rFonts w:ascii="Times New Roman" w:hAnsi="Times New Roman" w:eastAsia="仿宋_GB2312" w:cs="Times New Roman"/>
          <w:bCs/>
          <w:color w:val="000000"/>
          <w:sz w:val="32"/>
          <w:szCs w:val="32"/>
        </w:rPr>
        <w:sectPr>
          <w:pgSz w:w="11906" w:h="16838"/>
          <w:pgMar w:top="1587" w:right="1587" w:bottom="1587" w:left="1587" w:header="737" w:footer="850" w:gutter="0"/>
          <w:cols w:space="720" w:num="1"/>
          <w:docGrid w:type="lines" w:linePitch="408" w:charSpace="0"/>
        </w:sectPr>
      </w:pPr>
    </w:p>
    <w:p>
      <w:pPr>
        <w:spacing w:line="560" w:lineRule="exact"/>
        <w:rPr>
          <w:rFonts w:hint="eastAsia" w:ascii="Times New Roman" w:hAnsi="Times New Roman" w:eastAsia="仿宋_GB2312" w:cs="Times New Roman"/>
          <w:bCs/>
          <w:color w:val="000000"/>
          <w:sz w:val="32"/>
          <w:szCs w:val="32"/>
          <w:lang w:eastAsia="zh-CN"/>
        </w:rPr>
      </w:pPr>
      <w:r>
        <w:rPr>
          <w:rFonts w:ascii="仿宋_GB2312" w:hAnsi="仿宋_GB2312"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4"/>
        <w:spacing w:before="0" w:after="0"/>
        <w:jc w:val="center"/>
        <w:rPr>
          <w:rFonts w:ascii="Times New Roman" w:hAnsi="Times New Roman" w:eastAsia="宋体" w:cs="Times New Roman"/>
          <w:bCs/>
          <w:color w:val="000000"/>
          <w:sz w:val="36"/>
          <w:szCs w:val="36"/>
        </w:rPr>
      </w:pPr>
      <w:r>
        <w:rPr>
          <w:rFonts w:ascii="宋体" w:hAnsi="宋体" w:eastAsia="宋体" w:cs="Times New Roman"/>
          <w:bCs/>
          <w:color w:val="000000"/>
          <w:sz w:val="36"/>
          <w:szCs w:val="36"/>
        </w:rPr>
        <w:t>项目支出绩效评价共性指标表</w:t>
      </w:r>
    </w:p>
    <w:tbl>
      <w:tblPr>
        <w:tblStyle w:val="8"/>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一级指标</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二级指标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三级指标</w:t>
            </w:r>
          </w:p>
        </w:tc>
        <w:tc>
          <w:tcPr>
            <w:tcW w:w="567" w:type="dxa"/>
            <w:tcBorders>
              <w:top w:val="single" w:color="000000" w:sz="8" w:space="0"/>
              <w:left w:val="nil"/>
              <w:bottom w:val="single" w:color="000000" w:sz="8" w:space="0"/>
              <w:right w:val="single" w:color="000000" w:sz="8" w:space="0"/>
            </w:tcBorders>
            <w:shd w:val="clear" w:color="auto" w:fill="FFFFFF"/>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分</w:t>
            </w:r>
          </w:p>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值</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指标解释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指标说明</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决策 </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项目立项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立项依据</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充分性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项目立项是否符合国家法律法规、国民经济发展规划和相关政策；</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项目立项是否符合行业发展规划和政策要求；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项目立项是否与部门职责范围相符，属于部门履职所需；</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项目是否属于公共财政支持范围，是否符合中央、地方事权支出责任划分原则；</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⑤</w:t>
            </w:r>
            <w:r>
              <w:rPr>
                <w:rFonts w:ascii="宋体" w:hAnsi="宋体" w:cs="Times New Roman"/>
                <w:color w:val="000000"/>
                <w:kern w:val="0"/>
                <w:sz w:val="22"/>
                <w:szCs w:val="22"/>
              </w:rPr>
              <w:t>项目是否与相关部门同类项目或部门内部相关项目重复。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立项程序</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规范性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项目申请、设立过程是否符合相关要求，用以反映和考核项目立项的规范情况。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项目是否按照规定的程序申请设立；</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审批文件、材料是否符合相关要求；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事前是否已经过必要的可行性研究、专家论证、风险评估、绩效评估、集体决策。</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绩效目标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绩效目标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（如未设定预算绩效目标，也可考核其他工作任务目标）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项目是否有绩效目标；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项目绩效目标与实际工作内容是否具有相关性；</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项目预期产出效益和效果是否符合正常的业绩水平；</w:t>
            </w:r>
          </w:p>
          <w:p>
            <w:pPr>
              <w:widowControl/>
              <w:spacing w:line="0" w:lineRule="atLeast"/>
              <w:jc w:val="left"/>
              <w:rPr>
                <w:rFonts w:ascii="Times New Roman" w:hAnsi="Times New Roman" w:cs="Times New Roman"/>
                <w:color w:val="000000"/>
                <w:kern w:val="0"/>
                <w:sz w:val="22"/>
                <w:szCs w:val="22"/>
              </w:rPr>
            </w:pPr>
            <w:r>
              <w:rPr>
                <w:rFonts w:hint="eastAsia" w:ascii="宋体" w:hAnsi="宋体" w:cs="宋体"/>
                <w:color w:val="000000"/>
                <w:kern w:val="0"/>
                <w:sz w:val="22"/>
                <w:szCs w:val="22"/>
              </w:rPr>
              <w:t>④</w:t>
            </w:r>
            <w:r>
              <w:rPr>
                <w:rFonts w:ascii="宋体" w:hAnsi="宋体" w:cs="Times New Roman"/>
                <w:color w:val="000000"/>
                <w:kern w:val="0"/>
                <w:sz w:val="22"/>
                <w:szCs w:val="22"/>
              </w:rPr>
              <w:t>是否与预算确定的项目投资额或资金量相匹配。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决策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绩效目标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绩效指标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明确性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是否将项目绩效目标细化分解为具体的绩效指标；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是否通过清晰、可衡量的指标值予以体现；</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是否与项目目标任务数或计划数相对应。</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资金投入</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预算编制</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科学性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预算编制是否经过科学论证；</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预算内容与项目内容是否匹配；</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预算额度测算依据是否充分，是否按照标准编制；</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预算确定的项目投资额或资金量是否与工作任务相匹配。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资金分配</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预算资金分配依据是否充分；</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资金分配额度是否合理，与项目单位或地方实际是否相适应。</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过程</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资金到位率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资金到位率=</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预算资金）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预算资金：一定时期（本年度或项目期）内预算安排到具体项目的资金。</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预算执行率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项目预算资金是否按照计划执行，用以反映或考核项目预算执行情况。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预算执行率=</w:t>
            </w:r>
            <w:r>
              <w:rPr>
                <w:rFonts w:ascii="宋体" w:hAnsi="宋体" w:cs="Times New Roman"/>
                <w:color w:val="000000"/>
                <w:kern w:val="0"/>
                <w:sz w:val="22"/>
                <w:szCs w:val="22"/>
              </w:rPr>
              <w:t>（实际支出资金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实际支出资金：一定时期（本年度或项目期）内项目实际拨付的资金。</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过程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资金使用</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合规性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是否符合国家财经法规和财务管理制度以及有关专项资金管理办法的规定；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资金的拨付是否有完整的审批程序和手续；</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是否符合项目预算批复或合同规定的用途；</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是否存在截留、挤占、挪用、虚列支出等情况。</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组织实施</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管理制度</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健全性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是否已制定或具有相应的财务和业务管理制度；</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财务和业务管理制度是否合法、合规、完整。</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制度执行</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有效性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项目实施是否符合相关管理规定，用以反映和考核相关管理制度的有效执行情况。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是否遵守相关法律法规和相关管理规定；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项目调整及支出调整手续是否完备；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项目合同书、验收报告、技术鉴定等资料是否齐全并及时归档；</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项目实施的人员条件、场地设备、信息支撑等是否落实到位。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产出数量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实际完成率=</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实际产出数：一定时期（本年度或项目期）内项目实际产出的产品或提供的服务数量。</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产出质量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质量达标率=</w:t>
            </w:r>
            <w:r>
              <w:rPr>
                <w:rFonts w:ascii="宋体" w:hAnsi="宋体" w:cs="Times New Roman"/>
                <w:color w:val="000000"/>
                <w:kern w:val="0"/>
                <w:sz w:val="22"/>
                <w:szCs w:val="22"/>
              </w:rPr>
              <w:t>（质量达标产出数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产出时效</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完成及时性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实际完成时间：项目实施单位完成该项目实际所耗用的时间。</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计划完成时间：按照项目实施计划或相关规定完成该项目所需的时间。</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产出成本</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成本节约率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成本节约率=[</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实际成本：项目实施单位如期、保质、保量完成既定工作目标实际所耗费的支出。</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计划成本：项目实施单位为完成工作目标计划安排的支出，一般以项目预算为参考。</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效益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项目效益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实施效益</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20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项目实施所产生的效益。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满意度</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社会公众或服务对象对项目实施效果的满意程度。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总分</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100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100</w:t>
            </w:r>
          </w:p>
        </w:tc>
      </w:tr>
    </w:tbl>
    <w:p>
      <w:pPr>
        <w:spacing w:line="560" w:lineRule="exact"/>
        <w:ind w:firstLine="240" w:firstLineChars="100"/>
        <w:rPr>
          <w:rFonts w:ascii="Times New Roman" w:hAnsi="Times New Roman" w:eastAsia="仿宋_GB2312" w:cs="Times New Roman"/>
          <w:sz w:val="24"/>
          <w:szCs w:val="24"/>
        </w:rPr>
      </w:pPr>
      <w:r>
        <w:rPr>
          <w:rFonts w:ascii="仿宋_GB2312" w:hAnsi="仿宋_GB2312" w:eastAsia="仿宋_GB2312" w:cs="Times New Roman"/>
          <w:sz w:val="24"/>
          <w:szCs w:val="24"/>
        </w:rPr>
        <w:t>注：单位可以根据专项资金的管理要求和绩效要求增设个性指标</w:t>
      </w:r>
      <w:r>
        <w:rPr>
          <w:rFonts w:hint="eastAsia" w:ascii="宋体" w:hAnsi="宋体" w:cs="宋体"/>
          <w:sz w:val="24"/>
          <w:szCs w:val="24"/>
        </w:rPr>
        <w:t>。</w:t>
      </w:r>
    </w:p>
    <w:p>
      <w:pPr>
        <w:widowControl/>
        <w:jc w:val="left"/>
        <w:rPr>
          <w:rFonts w:ascii="Times New Roman" w:hAnsi="Times New Roman" w:eastAsia="仿宋_GB2312" w:cs="Times New Roman"/>
          <w:bCs/>
          <w:color w:val="000000"/>
          <w:sz w:val="24"/>
          <w:szCs w:val="24"/>
        </w:rPr>
        <w:sectPr>
          <w:pgSz w:w="16838" w:h="11906" w:orient="landscape"/>
          <w:pgMar w:top="1531" w:right="1928" w:bottom="1531" w:left="1701" w:header="737" w:footer="851" w:gutter="0"/>
          <w:cols w:space="720" w:num="1"/>
          <w:docGrid w:type="lines" w:linePitch="408" w:charSpace="0"/>
        </w:sectPr>
      </w:pPr>
    </w:p>
    <w:p>
      <w:pPr>
        <w:pStyle w:val="12"/>
        <w:spacing w:line="510" w:lineRule="exact"/>
        <w:jc w:val="center"/>
        <w:rPr>
          <w:rFonts w:ascii="黑体" w:hAnsi="黑体" w:eastAsia="黑体" w:cs="Times New Roman"/>
          <w:sz w:val="44"/>
          <w:szCs w:val="44"/>
        </w:rPr>
      </w:pPr>
    </w:p>
    <w:p>
      <w:pPr>
        <w:rPr>
          <w:rFonts w:hint="eastAsia" w:ascii="方正仿宋简体" w:eastAsia="方正仿宋简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AB8"/>
    <w:rsid w:val="00052A2F"/>
    <w:rsid w:val="00074FF4"/>
    <w:rsid w:val="00191AB8"/>
    <w:rsid w:val="001D3323"/>
    <w:rsid w:val="00270138"/>
    <w:rsid w:val="0030596B"/>
    <w:rsid w:val="003668D5"/>
    <w:rsid w:val="00381B33"/>
    <w:rsid w:val="00393D66"/>
    <w:rsid w:val="004472A8"/>
    <w:rsid w:val="004C0C76"/>
    <w:rsid w:val="005C4BC0"/>
    <w:rsid w:val="00661F0B"/>
    <w:rsid w:val="00686F37"/>
    <w:rsid w:val="0072623B"/>
    <w:rsid w:val="00855BFD"/>
    <w:rsid w:val="0094782E"/>
    <w:rsid w:val="00997AE4"/>
    <w:rsid w:val="00A3395F"/>
    <w:rsid w:val="00A74368"/>
    <w:rsid w:val="00AF45D2"/>
    <w:rsid w:val="00B5741F"/>
    <w:rsid w:val="00C15BB6"/>
    <w:rsid w:val="00C24CE8"/>
    <w:rsid w:val="00DB6798"/>
    <w:rsid w:val="00E3217C"/>
    <w:rsid w:val="00E7146E"/>
    <w:rsid w:val="00F1639B"/>
    <w:rsid w:val="026C42C8"/>
    <w:rsid w:val="06B83DE3"/>
    <w:rsid w:val="0AF5786C"/>
    <w:rsid w:val="0CBB44F4"/>
    <w:rsid w:val="0DA159EE"/>
    <w:rsid w:val="11493802"/>
    <w:rsid w:val="1BC857F9"/>
    <w:rsid w:val="1C703F38"/>
    <w:rsid w:val="1E614402"/>
    <w:rsid w:val="1E966C23"/>
    <w:rsid w:val="24CB6B3D"/>
    <w:rsid w:val="2573713E"/>
    <w:rsid w:val="25F2690B"/>
    <w:rsid w:val="3CF601C2"/>
    <w:rsid w:val="450D382F"/>
    <w:rsid w:val="523A2C5D"/>
    <w:rsid w:val="534E2F55"/>
    <w:rsid w:val="5AAC3006"/>
    <w:rsid w:val="72BF2FF4"/>
    <w:rsid w:val="774120FD"/>
    <w:rsid w:val="77817889"/>
    <w:rsid w:val="78E614A8"/>
    <w:rsid w:val="7A2A2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99"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4">
    <w:name w:val="heading 2"/>
    <w:basedOn w:val="1"/>
    <w:next w:val="1"/>
    <w:link w:val="11"/>
    <w:qFormat/>
    <w:uiPriority w:val="99"/>
    <w:pPr>
      <w:keepNext/>
      <w:keepLines/>
      <w:spacing w:before="260" w:after="260" w:line="412" w:lineRule="auto"/>
      <w:outlineLvl w:val="1"/>
    </w:pPr>
    <w:rPr>
      <w:rFonts w:ascii="Arial" w:hAnsi="Arial" w:eastAsia="黑体" w:cs="Arial"/>
      <w:b/>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3"/>
    <w:link w:val="15"/>
    <w:semiHidden/>
    <w:unhideWhenUsed/>
    <w:qFormat/>
    <w:uiPriority w:val="99"/>
    <w:pPr>
      <w:tabs>
        <w:tab w:val="center" w:pos="4153"/>
        <w:tab w:val="right" w:pos="8306"/>
      </w:tabs>
      <w:snapToGrid w:val="0"/>
      <w:jc w:val="left"/>
    </w:pPr>
    <w:rPr>
      <w:sz w:val="18"/>
      <w:szCs w:val="18"/>
    </w:rPr>
  </w:style>
  <w:style w:type="paragraph" w:styleId="3">
    <w:name w:val="index 5"/>
    <w:basedOn w:val="1"/>
    <w:next w:val="1"/>
    <w:qFormat/>
    <w:uiPriority w:val="99"/>
    <w:pPr>
      <w:ind w:left="1680"/>
    </w:pPr>
  </w:style>
  <w:style w:type="paragraph" w:styleId="5">
    <w:name w:val="Balloon Text"/>
    <w:basedOn w:val="1"/>
    <w:link w:val="13"/>
    <w:semiHidden/>
    <w:unhideWhenUsed/>
    <w:qFormat/>
    <w:uiPriority w:val="99"/>
    <w:rPr>
      <w:sz w:val="18"/>
      <w:szCs w:val="18"/>
    </w:rPr>
  </w:style>
  <w:style w:type="paragraph" w:styleId="6">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jc w:val="left"/>
    </w:pPr>
    <w:rPr>
      <w:rFonts w:cs="Times New Roman"/>
      <w:kern w:val="0"/>
      <w:sz w:val="24"/>
    </w:rPr>
  </w:style>
  <w:style w:type="character" w:styleId="10">
    <w:name w:val="Strong"/>
    <w:basedOn w:val="9"/>
    <w:qFormat/>
    <w:uiPriority w:val="0"/>
    <w:rPr>
      <w:b/>
    </w:rPr>
  </w:style>
  <w:style w:type="character" w:customStyle="1" w:styleId="11">
    <w:name w:val="标题 2 Char"/>
    <w:basedOn w:val="9"/>
    <w:link w:val="4"/>
    <w:qFormat/>
    <w:uiPriority w:val="99"/>
    <w:rPr>
      <w:rFonts w:ascii="Arial" w:hAnsi="Arial" w:eastAsia="黑体" w:cs="Arial"/>
      <w:b/>
      <w:sz w:val="32"/>
      <w:szCs w:val="32"/>
    </w:rPr>
  </w:style>
  <w:style w:type="paragraph" w:styleId="12">
    <w:name w:val="No Spacing"/>
    <w:basedOn w:val="1"/>
    <w:qFormat/>
    <w:uiPriority w:val="99"/>
  </w:style>
  <w:style w:type="character" w:customStyle="1" w:styleId="13">
    <w:name w:val="批注框文本 Char"/>
    <w:basedOn w:val="9"/>
    <w:link w:val="5"/>
    <w:semiHidden/>
    <w:qFormat/>
    <w:uiPriority w:val="99"/>
    <w:rPr>
      <w:rFonts w:ascii="Calibri" w:hAnsi="Calibri" w:eastAsia="宋体" w:cs="Calibri"/>
      <w:sz w:val="18"/>
      <w:szCs w:val="18"/>
    </w:rPr>
  </w:style>
  <w:style w:type="character" w:customStyle="1" w:styleId="14">
    <w:name w:val="页眉 Char"/>
    <w:basedOn w:val="9"/>
    <w:link w:val="6"/>
    <w:semiHidden/>
    <w:qFormat/>
    <w:uiPriority w:val="99"/>
    <w:rPr>
      <w:rFonts w:ascii="Calibri" w:hAnsi="Calibri" w:eastAsia="宋体" w:cs="Calibri"/>
      <w:kern w:val="2"/>
      <w:sz w:val="18"/>
      <w:szCs w:val="18"/>
    </w:rPr>
  </w:style>
  <w:style w:type="character" w:customStyle="1" w:styleId="15">
    <w:name w:val="页脚 Char"/>
    <w:basedOn w:val="9"/>
    <w:link w:val="2"/>
    <w:semiHidden/>
    <w:qFormat/>
    <w:uiPriority w:val="99"/>
    <w:rPr>
      <w:rFonts w:ascii="Calibri" w:hAnsi="Calibri" w:eastAsia="宋体" w:cs="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FFDEF-F0CE-47B4-B713-8871DBEBA4A9}">
  <ds:schemaRefs/>
</ds:datastoreItem>
</file>

<file path=docProps/app.xml><?xml version="1.0" encoding="utf-8"?>
<Properties xmlns="http://schemas.openxmlformats.org/officeDocument/2006/extended-properties" xmlns:vt="http://schemas.openxmlformats.org/officeDocument/2006/docPropsVTypes">
  <Template>Normal</Template>
  <Pages>11</Pages>
  <Words>944</Words>
  <Characters>5386</Characters>
  <Lines>44</Lines>
  <Paragraphs>12</Paragraphs>
  <TotalTime>7</TotalTime>
  <ScaleCrop>false</ScaleCrop>
  <LinksUpToDate>false</LinksUpToDate>
  <CharactersWithSpaces>6318</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2021-07-29T01:38:00Z</dcterms:created>
  <dc:creator>Administrator</dc:creator>
  <cp:lastModifiedBy>梅子花开</cp:lastModifiedBy>
  <dcterms:modified xsi:type="dcterms:W3CDTF">2021-08-02T06:50:17Z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B95DE2B74FE04B5EA4BD7598FC6D9056</vt:lpwstr>
  </property>
</Properties>
</file>