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510" w:lineRule="exact"/>
        <w:jc w:val="center"/>
        <w:rPr>
          <w:rFonts w:hint="eastAsia" w:ascii="黑体" w:hAnsi="黑体" w:eastAsia="黑体" w:cs="Times New Roman"/>
          <w:sz w:val="44"/>
          <w:szCs w:val="44"/>
          <w:lang w:val="en-US" w:eastAsia="zh-CN"/>
        </w:rPr>
      </w:pPr>
      <w:r>
        <w:rPr>
          <w:rFonts w:hint="eastAsia" w:ascii="黑体" w:hAnsi="黑体" w:eastAsia="黑体" w:cs="Times New Roman"/>
          <w:sz w:val="44"/>
          <w:szCs w:val="44"/>
          <w:lang w:eastAsia="zh-CN"/>
        </w:rPr>
        <w:t>中方县发展和改革局</w:t>
      </w:r>
      <w:r>
        <w:rPr>
          <w:rFonts w:hint="eastAsia" w:ascii="黑体" w:hAnsi="黑体" w:eastAsia="黑体" w:cs="Times New Roman"/>
          <w:sz w:val="44"/>
          <w:szCs w:val="44"/>
          <w:lang w:val="en-US" w:eastAsia="zh-CN"/>
        </w:rPr>
        <w:t>2020年度现代服务业</w:t>
      </w:r>
    </w:p>
    <w:p>
      <w:pPr>
        <w:pStyle w:val="10"/>
        <w:spacing w:line="510" w:lineRule="exact"/>
        <w:jc w:val="center"/>
        <w:rPr>
          <w:rFonts w:ascii="黑体" w:hAnsi="黑体" w:eastAsia="黑体" w:cs="Times New Roman"/>
          <w:sz w:val="44"/>
          <w:szCs w:val="44"/>
        </w:rPr>
      </w:pPr>
      <w:r>
        <w:rPr>
          <w:rFonts w:hint="eastAsia" w:ascii="黑体" w:hAnsi="黑体" w:eastAsia="黑体" w:cs="Times New Roman"/>
          <w:sz w:val="44"/>
          <w:szCs w:val="44"/>
          <w:lang w:val="en-US" w:eastAsia="zh-CN"/>
        </w:rPr>
        <w:t>农产品冷链物流专项</w:t>
      </w:r>
      <w:r>
        <w:rPr>
          <w:rFonts w:ascii="黑体" w:hAnsi="黑体" w:eastAsia="黑体" w:cs="Times New Roman"/>
          <w:sz w:val="44"/>
          <w:szCs w:val="44"/>
        </w:rPr>
        <w:t>项目支出绩效</w:t>
      </w:r>
      <w:r>
        <w:rPr>
          <w:rFonts w:hint="eastAsia" w:ascii="黑体" w:hAnsi="黑体" w:eastAsia="黑体" w:cs="Times New Roman"/>
          <w:sz w:val="44"/>
          <w:szCs w:val="44"/>
          <w:lang w:eastAsia="zh-CN"/>
        </w:rPr>
        <w:t>自</w:t>
      </w:r>
      <w:r>
        <w:rPr>
          <w:rFonts w:ascii="黑体" w:hAnsi="黑体" w:eastAsia="黑体" w:cs="Times New Roman"/>
          <w:sz w:val="44"/>
          <w:szCs w:val="44"/>
        </w:rPr>
        <w:t>评报告</w:t>
      </w:r>
    </w:p>
    <w:p>
      <w:pPr>
        <w:pStyle w:val="10"/>
        <w:spacing w:line="510" w:lineRule="exact"/>
        <w:jc w:val="center"/>
        <w:rPr>
          <w:rFonts w:ascii="黑体" w:hAnsi="黑体" w:eastAsia="黑体" w:cs="Times New Roman"/>
          <w:sz w:val="44"/>
          <w:szCs w:val="44"/>
        </w:rPr>
      </w:pP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一、基本情况</w:t>
      </w:r>
    </w:p>
    <w:p>
      <w:pPr>
        <w:pStyle w:val="10"/>
        <w:spacing w:line="510" w:lineRule="exact"/>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（一）项目概况。</w:t>
      </w:r>
      <w:r>
        <w:rPr>
          <w:rFonts w:hint="eastAsia" w:ascii="宋体" w:hAnsi="宋体" w:eastAsia="宋体" w:cs="宋体"/>
          <w:sz w:val="32"/>
          <w:szCs w:val="32"/>
          <w:lang w:val="en-US" w:eastAsia="zh-CN"/>
        </w:rPr>
        <w:t>中方县现代物流冷链仓储中心项目</w:t>
      </w:r>
      <w:r>
        <w:rPr>
          <w:rFonts w:hint="eastAsia" w:ascii="宋体" w:hAnsi="宋体" w:eastAsia="宋体" w:cs="宋体"/>
          <w:sz w:val="32"/>
          <w:szCs w:val="32"/>
          <w:lang w:eastAsia="zh-CN"/>
        </w:rPr>
        <w:t>由</w:t>
      </w:r>
      <w:r>
        <w:rPr>
          <w:rFonts w:hint="eastAsia" w:ascii="宋体" w:hAnsi="宋体" w:eastAsia="宋体" w:cs="宋体"/>
          <w:sz w:val="32"/>
          <w:szCs w:val="32"/>
        </w:rPr>
        <w:t>湖南</w:t>
      </w:r>
      <w:r>
        <w:rPr>
          <w:rFonts w:hint="eastAsia" w:ascii="宋体" w:hAnsi="宋体" w:eastAsia="宋体" w:cs="宋体"/>
          <w:sz w:val="32"/>
          <w:szCs w:val="32"/>
          <w:lang w:eastAsia="zh-CN"/>
        </w:rPr>
        <w:t>德凌物流配送</w:t>
      </w:r>
      <w:r>
        <w:rPr>
          <w:rFonts w:hint="eastAsia" w:ascii="宋体" w:hAnsi="宋体" w:eastAsia="宋体" w:cs="宋体"/>
          <w:sz w:val="32"/>
          <w:szCs w:val="32"/>
        </w:rPr>
        <w:t>有限公司</w:t>
      </w:r>
      <w:r>
        <w:rPr>
          <w:rFonts w:hint="eastAsia" w:ascii="宋体" w:hAnsi="宋体" w:eastAsia="宋体" w:cs="宋体"/>
          <w:sz w:val="32"/>
          <w:szCs w:val="32"/>
          <w:lang w:eastAsia="zh-CN"/>
        </w:rPr>
        <w:t>建设。项目占地30.20亩,建筑面积为13653㎡,其中：农产品加工、分拣厂房9537m2，冷库建设面积为3640m2，库容14560m³；购置冷链运输车10量。</w:t>
      </w:r>
      <w:r>
        <w:rPr>
          <w:rFonts w:hint="eastAsia" w:ascii="宋体" w:hAnsi="宋体" w:eastAsia="宋体" w:cs="宋体"/>
          <w:sz w:val="32"/>
          <w:szCs w:val="32"/>
          <w:lang w:val="en-US" w:eastAsia="zh-CN"/>
        </w:rPr>
        <w:t>2020年完成支付100万元。</w:t>
      </w:r>
    </w:p>
    <w:p>
      <w:pPr>
        <w:pStyle w:val="10"/>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（二）项目绩效目标。总体目标</w:t>
      </w:r>
      <w:r>
        <w:rPr>
          <w:rFonts w:hint="eastAsia" w:ascii="宋体" w:hAnsi="宋体" w:eastAsia="宋体" w:cs="宋体"/>
          <w:sz w:val="32"/>
          <w:szCs w:val="32"/>
          <w:lang w:eastAsia="zh-CN"/>
        </w:rPr>
        <w:t>为提升我县农产品冷链物流产业发展，</w:t>
      </w:r>
      <w:r>
        <w:rPr>
          <w:rFonts w:hint="eastAsia" w:ascii="宋体" w:hAnsi="宋体" w:eastAsia="宋体" w:cs="宋体"/>
          <w:sz w:val="32"/>
          <w:szCs w:val="32"/>
        </w:rPr>
        <w:t>阶段性目标</w:t>
      </w:r>
      <w:r>
        <w:rPr>
          <w:rFonts w:hint="eastAsia" w:ascii="宋体" w:hAnsi="宋体" w:eastAsia="宋体" w:cs="宋体"/>
          <w:sz w:val="32"/>
          <w:szCs w:val="32"/>
          <w:lang w:eastAsia="zh-CN"/>
        </w:rPr>
        <w:t>为扶持一批冷链物流优势产业</w:t>
      </w:r>
      <w:r>
        <w:rPr>
          <w:rFonts w:hint="eastAsia" w:ascii="宋体" w:hAnsi="宋体" w:eastAsia="宋体" w:cs="宋体"/>
          <w:sz w:val="32"/>
          <w:szCs w:val="32"/>
        </w:rPr>
        <w:t>。</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二、绩效评价工作开展情况</w:t>
      </w:r>
    </w:p>
    <w:p>
      <w:pPr>
        <w:pStyle w:val="10"/>
        <w:spacing w:line="51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（一）绩效评价目的、对象和范围。绩效评价</w:t>
      </w:r>
      <w:r>
        <w:rPr>
          <w:rFonts w:hint="eastAsia" w:ascii="宋体" w:hAnsi="宋体" w:eastAsia="宋体" w:cs="宋体"/>
          <w:sz w:val="32"/>
          <w:szCs w:val="32"/>
          <w:lang w:eastAsia="zh-CN"/>
        </w:rPr>
        <w:t>目的是规最大限度发挥上级资金引导力。绩效评价对象和范围是由</w:t>
      </w:r>
      <w:r>
        <w:rPr>
          <w:rFonts w:hint="eastAsia" w:ascii="宋体" w:hAnsi="宋体" w:eastAsia="宋体" w:cs="宋体"/>
          <w:sz w:val="32"/>
          <w:szCs w:val="32"/>
        </w:rPr>
        <w:t>湖南德隆民生信息科技有限公司</w:t>
      </w:r>
      <w:r>
        <w:rPr>
          <w:rFonts w:hint="eastAsia" w:ascii="宋体" w:hAnsi="宋体" w:eastAsia="宋体" w:cs="宋体"/>
          <w:sz w:val="32"/>
          <w:szCs w:val="32"/>
          <w:lang w:eastAsia="zh-CN"/>
        </w:rPr>
        <w:t>建设的</w:t>
      </w:r>
      <w:r>
        <w:rPr>
          <w:rFonts w:hint="eastAsia" w:ascii="宋体" w:hAnsi="宋体" w:eastAsia="宋体" w:cs="宋体"/>
          <w:sz w:val="32"/>
          <w:szCs w:val="32"/>
        </w:rPr>
        <w:t>中方县农产品冷链物流配送中心项目</w:t>
      </w:r>
    </w:p>
    <w:p>
      <w:pPr>
        <w:pStyle w:val="10"/>
        <w:spacing w:line="51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（二）绩效评价原则、评价指标体系（附表说明）、评价方法、评价标准等。绩效评价原则</w:t>
      </w:r>
      <w:r>
        <w:rPr>
          <w:rFonts w:hint="eastAsia" w:ascii="宋体" w:hAnsi="宋体" w:eastAsia="宋体" w:cs="宋体"/>
          <w:sz w:val="32"/>
          <w:szCs w:val="32"/>
          <w:lang w:eastAsia="zh-CN"/>
        </w:rPr>
        <w:t>是规范使用上级资金，评价方法</w:t>
      </w:r>
      <w:r>
        <w:rPr>
          <w:rFonts w:hint="eastAsia" w:ascii="宋体" w:hAnsi="宋体" w:eastAsia="宋体" w:cs="宋体"/>
          <w:sz w:val="32"/>
          <w:szCs w:val="32"/>
        </w:rPr>
        <w:t>、评价标准</w:t>
      </w:r>
      <w:r>
        <w:rPr>
          <w:rFonts w:hint="eastAsia" w:ascii="宋体" w:hAnsi="宋体" w:eastAsia="宋体" w:cs="宋体"/>
          <w:sz w:val="32"/>
          <w:szCs w:val="32"/>
          <w:lang w:eastAsia="zh-CN"/>
        </w:rPr>
        <w:t>见附表。</w:t>
      </w:r>
    </w:p>
    <w:p>
      <w:pPr>
        <w:pStyle w:val="10"/>
        <w:spacing w:line="51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（三）绩效评价工作过程。</w:t>
      </w:r>
      <w:r>
        <w:rPr>
          <w:rFonts w:hint="eastAsia" w:ascii="宋体" w:hAnsi="宋体" w:eastAsia="宋体" w:cs="宋体"/>
          <w:sz w:val="32"/>
          <w:szCs w:val="32"/>
          <w:lang w:eastAsia="zh-CN"/>
        </w:rPr>
        <w:t>县发改局为该项目的日常监管责任单位，绩效评价由县发改局、县财政局、县商务科技和工业信息化局相关股室工作人员参与，通过查阅资料，现场查看的方式进行。</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三、综合评价情况及评价结论</w:t>
      </w:r>
    </w:p>
    <w:p>
      <w:pPr>
        <w:pStyle w:val="10"/>
        <w:spacing w:line="560" w:lineRule="exact"/>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rPr>
        <w:t>总体评为100分，绩效评价等级为优，</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四、绩效评价指标分析</w:t>
      </w:r>
    </w:p>
    <w:p>
      <w:pPr>
        <w:pStyle w:val="10"/>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（一）项目决策情况。</w:t>
      </w:r>
      <w:r>
        <w:rPr>
          <w:rFonts w:hint="eastAsia" w:ascii="宋体" w:hAnsi="宋体" w:eastAsia="宋体" w:cs="宋体"/>
          <w:sz w:val="32"/>
          <w:szCs w:val="32"/>
          <w:lang w:eastAsia="zh-CN"/>
        </w:rPr>
        <w:t>该项目由县发改局、县财政局、县商务科技和工业信息化局按上级文件要求筛选而出，上报至省市发改委，通过后予以下达。</w:t>
      </w:r>
    </w:p>
    <w:p>
      <w:pPr>
        <w:pStyle w:val="10"/>
        <w:spacing w:line="51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（二）项目过程情况。</w:t>
      </w:r>
      <w:r>
        <w:rPr>
          <w:rFonts w:hint="eastAsia" w:ascii="宋体" w:hAnsi="宋体" w:eastAsia="宋体" w:cs="宋体"/>
          <w:sz w:val="32"/>
          <w:szCs w:val="32"/>
          <w:lang w:eastAsia="zh-CN"/>
        </w:rPr>
        <w:t>项目由</w:t>
      </w:r>
      <w:r>
        <w:rPr>
          <w:rFonts w:hint="eastAsia" w:ascii="宋体" w:hAnsi="宋体" w:eastAsia="宋体" w:cs="宋体"/>
          <w:sz w:val="32"/>
          <w:szCs w:val="32"/>
        </w:rPr>
        <w:t>湖南</w:t>
      </w:r>
      <w:r>
        <w:rPr>
          <w:rFonts w:hint="eastAsia" w:ascii="宋体" w:hAnsi="宋体" w:eastAsia="宋体" w:cs="宋体"/>
          <w:sz w:val="32"/>
          <w:szCs w:val="32"/>
          <w:lang w:eastAsia="zh-CN"/>
        </w:rPr>
        <w:t>德凌物流配送</w:t>
      </w:r>
      <w:r>
        <w:rPr>
          <w:rFonts w:hint="eastAsia" w:ascii="宋体" w:hAnsi="宋体" w:eastAsia="宋体" w:cs="宋体"/>
          <w:sz w:val="32"/>
          <w:szCs w:val="32"/>
        </w:rPr>
        <w:t>有限公司</w:t>
      </w:r>
      <w:r>
        <w:rPr>
          <w:rFonts w:hint="eastAsia" w:ascii="宋体" w:hAnsi="宋体" w:eastAsia="宋体" w:cs="宋体"/>
          <w:sz w:val="32"/>
          <w:szCs w:val="32"/>
          <w:lang w:eastAsia="zh-CN"/>
        </w:rPr>
        <w:t>建设，县发改局负责日常监管工作。</w:t>
      </w:r>
    </w:p>
    <w:p>
      <w:pPr>
        <w:pStyle w:val="10"/>
        <w:spacing w:line="510" w:lineRule="exact"/>
        <w:ind w:firstLine="640" w:firstLineChars="200"/>
        <w:rPr>
          <w:rFonts w:hint="eastAsia" w:ascii="宋体" w:hAnsi="宋体" w:eastAsia="宋体" w:cs="宋体"/>
          <w:sz w:val="32"/>
          <w:szCs w:val="32"/>
          <w:lang w:eastAsia="zh-CN"/>
        </w:rPr>
      </w:pPr>
      <w:r>
        <w:rPr>
          <w:rFonts w:hint="eastAsia" w:ascii="宋体" w:hAnsi="宋体" w:eastAsia="宋体" w:cs="宋体"/>
          <w:sz w:val="32"/>
          <w:szCs w:val="32"/>
        </w:rPr>
        <w:t>（三）项目产出情况。</w:t>
      </w:r>
      <w:r>
        <w:rPr>
          <w:rFonts w:hint="eastAsia" w:ascii="宋体" w:hAnsi="宋体" w:eastAsia="宋体" w:cs="宋体"/>
          <w:sz w:val="32"/>
          <w:szCs w:val="32"/>
          <w:lang w:eastAsia="zh-CN"/>
        </w:rPr>
        <w:t>目前</w:t>
      </w:r>
      <w:r>
        <w:rPr>
          <w:rFonts w:hint="eastAsia" w:ascii="宋体" w:hAnsi="宋体" w:eastAsia="宋体" w:cs="宋体"/>
          <w:sz w:val="32"/>
          <w:szCs w:val="32"/>
          <w:lang w:eastAsia="zh-CN"/>
        </w:rPr>
        <w:t>物流配送</w:t>
      </w:r>
      <w:bookmarkStart w:id="0" w:name="_GoBack"/>
      <w:bookmarkEnd w:id="0"/>
      <w:r>
        <w:rPr>
          <w:rFonts w:hint="eastAsia" w:ascii="宋体" w:hAnsi="宋体" w:eastAsia="宋体" w:cs="宋体"/>
          <w:sz w:val="32"/>
          <w:szCs w:val="32"/>
          <w:lang w:eastAsia="zh-CN"/>
        </w:rPr>
        <w:t>冷库已建完，冷链车已购置完成。</w:t>
      </w:r>
    </w:p>
    <w:p>
      <w:pPr>
        <w:pStyle w:val="10"/>
        <w:spacing w:line="51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（四）项目效益情况</w:t>
      </w:r>
      <w:r>
        <w:rPr>
          <w:rFonts w:hint="eastAsia" w:ascii="宋体" w:hAnsi="宋体" w:eastAsia="宋体" w:cs="宋体"/>
          <w:sz w:val="32"/>
          <w:szCs w:val="32"/>
          <w:lang w:eastAsia="zh-CN"/>
        </w:rPr>
        <w:t>。积极带动了区域经济发展，推动了中方农产品冷链物流产业发展，提升了当地就业率。</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五、主要经验及做法、存在的问题及原因分析</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六、有关建议</w:t>
      </w:r>
    </w:p>
    <w:p>
      <w:pPr>
        <w:pStyle w:val="10"/>
        <w:spacing w:line="510" w:lineRule="exact"/>
        <w:ind w:firstLine="643" w:firstLineChars="200"/>
        <w:rPr>
          <w:rFonts w:hint="eastAsia" w:ascii="宋体" w:hAnsi="宋体" w:eastAsia="宋体" w:cs="宋体"/>
          <w:b/>
          <w:sz w:val="32"/>
          <w:szCs w:val="32"/>
        </w:rPr>
      </w:pPr>
      <w:r>
        <w:rPr>
          <w:rFonts w:hint="eastAsia" w:ascii="宋体" w:hAnsi="宋体" w:eastAsia="宋体" w:cs="宋体"/>
          <w:b/>
          <w:sz w:val="32"/>
          <w:szCs w:val="32"/>
        </w:rPr>
        <w:t>七、其他需要说明的问题</w:t>
      </w:r>
    </w:p>
    <w:p>
      <w:pPr>
        <w:widowControl/>
        <w:spacing w:line="510" w:lineRule="exact"/>
        <w:ind w:firstLine="645"/>
        <w:jc w:val="left"/>
        <w:rPr>
          <w:rFonts w:hint="eastAsia" w:ascii="宋体" w:hAnsi="宋体" w:eastAsia="宋体" w:cs="宋体"/>
          <w:sz w:val="32"/>
          <w:szCs w:val="32"/>
        </w:rPr>
      </w:pPr>
      <w:r>
        <w:rPr>
          <w:rFonts w:hint="eastAsia" w:ascii="宋体" w:hAnsi="宋体" w:eastAsia="宋体" w:cs="宋体"/>
          <w:sz w:val="32"/>
          <w:szCs w:val="32"/>
        </w:rPr>
        <w:t>附件：1.项目支出绩效自评表</w:t>
      </w:r>
    </w:p>
    <w:p>
      <w:pPr>
        <w:widowControl/>
        <w:spacing w:line="510" w:lineRule="exact"/>
        <w:ind w:firstLine="1600" w:firstLineChars="500"/>
        <w:jc w:val="left"/>
        <w:rPr>
          <w:rFonts w:hint="eastAsia" w:ascii="宋体" w:hAnsi="宋体" w:eastAsia="宋体" w:cs="宋体"/>
          <w:sz w:val="32"/>
          <w:szCs w:val="32"/>
        </w:rPr>
      </w:pPr>
      <w:r>
        <w:rPr>
          <w:rFonts w:hint="eastAsia" w:ascii="宋体" w:hAnsi="宋体" w:eastAsia="宋体" w:cs="宋体"/>
          <w:sz w:val="32"/>
          <w:szCs w:val="32"/>
        </w:rPr>
        <w:t>2.项目支出绩效评价指标</w:t>
      </w:r>
      <w:r>
        <w:rPr>
          <w:rFonts w:hint="eastAsia" w:ascii="宋体" w:hAnsi="宋体" w:eastAsia="宋体" w:cs="宋体"/>
          <w:bCs/>
          <w:color w:val="000000"/>
          <w:kern w:val="0"/>
          <w:sz w:val="32"/>
          <w:szCs w:val="32"/>
        </w:rPr>
        <w:t>评分表</w:t>
      </w:r>
    </w:p>
    <w:p>
      <w:pPr>
        <w:rPr>
          <w:rFonts w:hint="eastAsia" w:ascii="宋体" w:hAnsi="宋体" w:eastAsia="宋体" w:cs="宋体"/>
          <w:sz w:val="32"/>
          <w:szCs w:val="32"/>
        </w:rPr>
      </w:pPr>
    </w:p>
    <w:p>
      <w:pPr>
        <w:spacing w:line="400" w:lineRule="exact"/>
        <w:rPr>
          <w:rFonts w:hint="eastAsia" w:ascii="宋体" w:hAnsi="宋体" w:eastAsia="宋体" w:cs="宋体"/>
          <w:bCs/>
          <w:color w:val="000000"/>
          <w:sz w:val="32"/>
          <w:szCs w:val="32"/>
        </w:rPr>
        <w:sectPr>
          <w:footerReference r:id="rId3" w:type="default"/>
          <w:pgSz w:w="11906" w:h="16838"/>
          <w:pgMar w:top="1587" w:right="1587" w:bottom="1587" w:left="1587" w:header="737" w:footer="850" w:gutter="0"/>
          <w:cols w:space="720" w:num="1"/>
          <w:docGrid w:type="lines" w:linePitch="408" w:charSpace="0"/>
        </w:sectPr>
      </w:pPr>
    </w:p>
    <w:p>
      <w:pPr>
        <w:spacing w:line="40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7"/>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349" w:hRule="atLeast"/>
          <w:jc w:val="center"/>
        </w:trPr>
        <w:tc>
          <w:tcPr>
            <w:tcW w:w="9080" w:type="dxa"/>
            <w:gridSpan w:val="14"/>
            <w:tcBorders>
              <w:top w:val="nil"/>
              <w:left w:val="nil"/>
              <w:bottom w:val="nil"/>
              <w:right w:val="nil"/>
            </w:tcBorders>
            <w:vAlign w:val="center"/>
          </w:tcPr>
          <w:p>
            <w:pPr>
              <w:widowControl/>
              <w:spacing w:line="320" w:lineRule="exact"/>
              <w:jc w:val="center"/>
              <w:rPr>
                <w:rFonts w:ascii="Times New Roman" w:hAnsi="Times New Roman" w:cs="Times New Roman"/>
                <w:b/>
                <w:bCs/>
                <w:kern w:val="0"/>
                <w:sz w:val="32"/>
                <w:szCs w:val="32"/>
              </w:rPr>
            </w:pPr>
            <w:r>
              <w:rPr>
                <w:rFonts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tcPr>
          <w:p>
            <w:pPr>
              <w:widowControl/>
              <w:jc w:val="center"/>
              <w:rPr>
                <w:rFonts w:ascii="Times New Roman" w:hAnsi="Times New Roman" w:cs="Times New Roman"/>
                <w:kern w:val="0"/>
                <w:sz w:val="22"/>
                <w:szCs w:val="22"/>
              </w:rPr>
            </w:pPr>
            <w:r>
              <w:rPr>
                <w:rFonts w:ascii="Times New Roman" w:hAnsi="Times New Roman" w:cs="Times New Roman"/>
                <w:kern w:val="0"/>
                <w:sz w:val="22"/>
                <w:szCs w:val="22"/>
              </w:rPr>
              <w:t>（</w:t>
            </w:r>
            <w:r>
              <w:rPr>
                <w:rFonts w:hint="eastAsia" w:ascii="Times New Roman" w:hAnsi="Times New Roman" w:cs="Times New Roman"/>
                <w:kern w:val="0"/>
                <w:sz w:val="22"/>
                <w:szCs w:val="22"/>
              </w:rPr>
              <w:t>2020</w:t>
            </w:r>
            <w:r>
              <w:rPr>
                <w:rFonts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tabs>
                <w:tab w:val="left" w:pos="1306"/>
              </w:tabs>
              <w:spacing w:line="240" w:lineRule="exact"/>
              <w:jc w:val="left"/>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ab/>
            </w:r>
            <w:r>
              <w:rPr>
                <w:rFonts w:hint="eastAsia" w:ascii="仿宋" w:hAnsi="仿宋" w:eastAsia="仿宋" w:cs="仿宋"/>
                <w:sz w:val="18"/>
                <w:szCs w:val="18"/>
                <w:lang w:val="en-US" w:eastAsia="zh-CN"/>
              </w:rPr>
              <w:t>现代服务业农产品冷链物流专项</w:t>
            </w:r>
          </w:p>
        </w:tc>
      </w:tr>
      <w:tr>
        <w:tblPrEx>
          <w:tblCellMar>
            <w:top w:w="0" w:type="dxa"/>
            <w:left w:w="108" w:type="dxa"/>
            <w:bottom w:w="0" w:type="dxa"/>
            <w:right w:w="108" w:type="dxa"/>
          </w:tblCellMar>
        </w:tblPrEx>
        <w:trPr>
          <w:trHeight w:val="300" w:hRule="atLeas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中方县发展和改革局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中方县德凌物流公司</w:t>
            </w:r>
          </w:p>
        </w:tc>
      </w:tr>
      <w:tr>
        <w:tblPrEx>
          <w:tblCellMar>
            <w:top w:w="0" w:type="dxa"/>
            <w:left w:w="108" w:type="dxa"/>
            <w:bottom w:w="0" w:type="dxa"/>
            <w:right w:w="108" w:type="dxa"/>
          </w:tblCellMar>
        </w:tblPrEx>
        <w:trPr>
          <w:trHeight w:val="436" w:hRule="atLeast"/>
          <w:jc w:val="center"/>
        </w:trPr>
        <w:tc>
          <w:tcPr>
            <w:tcW w:w="1568" w:type="dxa"/>
            <w:gridSpan w:val="2"/>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项目资金</w:t>
            </w:r>
            <w:r>
              <w:rPr>
                <w:rFonts w:ascii="Times New Roman" w:hAnsi="Times New Roman" w:cs="Times New Roman"/>
                <w:kern w:val="0"/>
                <w:sz w:val="18"/>
                <w:szCs w:val="18"/>
              </w:rPr>
              <w:br w:type="textWrapping"/>
            </w:r>
            <w:r>
              <w:rPr>
                <w:rFonts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全年预算数</w:t>
            </w:r>
            <w:r>
              <w:rPr>
                <w:rFonts w:ascii="Times New Roman" w:hAnsi="Times New Roman" w:cs="Times New Roman"/>
                <w:color w:val="000000"/>
                <w:kern w:val="0"/>
                <w:sz w:val="20"/>
                <w:szCs w:val="20"/>
              </w:rPr>
              <w:t>（A</w:t>
            </w:r>
            <w:r>
              <w:rPr>
                <w:rFonts w:ascii="宋体" w:hAnsi="宋体" w:cs="Times New Roman"/>
                <w:color w:val="000000"/>
                <w:kern w:val="0"/>
                <w:sz w:val="20"/>
                <w:szCs w:val="20"/>
              </w:rPr>
              <w:t>）</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全年执行数</w:t>
            </w:r>
            <w:r>
              <w:rPr>
                <w:rFonts w:ascii="Times New Roman" w:hAnsi="Times New Roman" w:cs="Times New Roman"/>
                <w:color w:val="000000"/>
                <w:kern w:val="0"/>
                <w:sz w:val="20"/>
                <w:szCs w:val="20"/>
              </w:rPr>
              <w:t>（B</w:t>
            </w:r>
            <w:r>
              <w:rPr>
                <w:rFonts w:ascii="宋体" w:hAnsi="宋体" w:cs="Times New Roman"/>
                <w:color w:val="000000"/>
                <w:kern w:val="0"/>
                <w:sz w:val="20"/>
                <w:szCs w:val="20"/>
              </w:rPr>
              <w:t>）</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执行率</w:t>
            </w:r>
            <w:r>
              <w:rPr>
                <w:rFonts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cs="Times New Roman"/>
                <w:kern w:val="0"/>
                <w:sz w:val="18"/>
                <w:szCs w:val="18"/>
              </w:rPr>
            </w:pPr>
            <w:r>
              <w:rPr>
                <w:rFonts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100</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100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1568"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atLeas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894" w:hRule="atLeas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pStyle w:val="10"/>
              <w:spacing w:line="510" w:lineRule="exact"/>
              <w:rPr>
                <w:rFonts w:hint="eastAsia" w:ascii="宋体" w:hAnsi="宋体" w:eastAsia="宋体" w:cs="宋体"/>
                <w:sz w:val="21"/>
                <w:szCs w:val="21"/>
              </w:rPr>
            </w:pPr>
            <w:r>
              <w:rPr>
                <w:rFonts w:hint="eastAsia" w:ascii="宋体" w:hAnsi="宋体" w:eastAsia="宋体" w:cs="宋体"/>
                <w:sz w:val="18"/>
                <w:szCs w:val="18"/>
              </w:rPr>
              <w:t>总体目标</w:t>
            </w:r>
            <w:r>
              <w:rPr>
                <w:rFonts w:hint="eastAsia" w:ascii="宋体" w:hAnsi="宋体" w:eastAsia="宋体" w:cs="宋体"/>
                <w:sz w:val="18"/>
                <w:szCs w:val="18"/>
                <w:lang w:eastAsia="zh-CN"/>
              </w:rPr>
              <w:t>为提升我县农产品冷链物流产业发展，</w:t>
            </w:r>
            <w:r>
              <w:rPr>
                <w:rFonts w:hint="eastAsia" w:ascii="宋体" w:hAnsi="宋体" w:eastAsia="宋体" w:cs="宋体"/>
                <w:sz w:val="18"/>
                <w:szCs w:val="18"/>
              </w:rPr>
              <w:t>阶段性目标</w:t>
            </w:r>
            <w:r>
              <w:rPr>
                <w:rFonts w:hint="eastAsia" w:ascii="宋体" w:hAnsi="宋体" w:eastAsia="宋体" w:cs="宋体"/>
                <w:sz w:val="18"/>
                <w:szCs w:val="18"/>
                <w:lang w:eastAsia="zh-CN"/>
              </w:rPr>
              <w:t>为扶持一批冷链物流优势产业</w:t>
            </w:r>
            <w:r>
              <w:rPr>
                <w:rFonts w:hint="eastAsia" w:ascii="宋体" w:hAnsi="宋体" w:eastAsia="宋体" w:cs="宋体"/>
                <w:sz w:val="18"/>
                <w:szCs w:val="18"/>
              </w:rPr>
              <w:t>。</w:t>
            </w:r>
          </w:p>
          <w:p>
            <w:pPr>
              <w:widowControl/>
              <w:tabs>
                <w:tab w:val="left" w:pos="1886"/>
              </w:tabs>
              <w:spacing w:line="240" w:lineRule="exact"/>
              <w:jc w:val="left"/>
              <w:rPr>
                <w:rFonts w:hint="eastAsia" w:ascii="Times New Roman" w:hAnsi="Times New Roman" w:eastAsia="宋体" w:cs="Times New Roman"/>
                <w:kern w:val="0"/>
                <w:sz w:val="18"/>
                <w:szCs w:val="18"/>
                <w:lang w:eastAsia="zh-CN"/>
              </w:rPr>
            </w:pPr>
          </w:p>
        </w:tc>
        <w:tc>
          <w:tcPr>
            <w:tcW w:w="3402" w:type="dxa"/>
            <w:gridSpan w:val="7"/>
            <w:tcBorders>
              <w:top w:val="single" w:color="auto" w:sz="4" w:space="0"/>
              <w:left w:val="nil"/>
              <w:bottom w:val="single" w:color="auto" w:sz="4" w:space="0"/>
              <w:right w:val="single" w:color="auto" w:sz="4" w:space="0"/>
            </w:tcBorders>
            <w:vAlign w:val="center"/>
          </w:tcPr>
          <w:p>
            <w:pPr>
              <w:pStyle w:val="10"/>
              <w:spacing w:line="510" w:lineRule="exact"/>
              <w:ind w:firstLine="360" w:firstLineChars="200"/>
              <w:rPr>
                <w:rFonts w:hint="eastAsia" w:ascii="Times New Roman" w:hAnsi="Times New Roman" w:eastAsia="仿宋" w:cs="Times New Roman"/>
                <w:sz w:val="32"/>
                <w:szCs w:val="32"/>
                <w:lang w:eastAsia="zh-CN"/>
              </w:rPr>
            </w:pPr>
            <w:r>
              <w:rPr>
                <w:rFonts w:hint="eastAsia" w:ascii="宋体" w:hAnsi="宋体" w:eastAsia="宋体" w:cs="宋体"/>
                <w:kern w:val="0"/>
                <w:sz w:val="18"/>
                <w:szCs w:val="18"/>
                <w:lang w:eastAsia="zh-CN"/>
              </w:rPr>
              <w:tab/>
            </w:r>
            <w:r>
              <w:rPr>
                <w:rFonts w:hint="eastAsia" w:ascii="宋体" w:hAnsi="宋体" w:eastAsia="宋体" w:cs="宋体"/>
                <w:kern w:val="0"/>
                <w:sz w:val="18"/>
                <w:szCs w:val="18"/>
                <w:lang w:eastAsia="zh-CN"/>
              </w:rPr>
              <w:t>中方县德凌物流公司</w:t>
            </w:r>
            <w:r>
              <w:rPr>
                <w:rFonts w:hint="eastAsia" w:ascii="宋体" w:hAnsi="宋体" w:eastAsia="宋体" w:cs="宋体"/>
                <w:sz w:val="18"/>
                <w:szCs w:val="18"/>
                <w:lang w:eastAsia="zh-CN"/>
              </w:rPr>
              <w:t>目前冷库已建完，冷链车已购置完成。</w:t>
            </w:r>
          </w:p>
          <w:p>
            <w:pPr>
              <w:widowControl/>
              <w:tabs>
                <w:tab w:val="left" w:pos="713"/>
              </w:tabs>
              <w:spacing w:line="240" w:lineRule="exact"/>
              <w:jc w:val="left"/>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533" w:hRule="atLeast"/>
          <w:jc w:val="center"/>
        </w:trPr>
        <w:tc>
          <w:tcPr>
            <w:tcW w:w="588" w:type="dxa"/>
            <w:vMerge w:val="restart"/>
            <w:tcBorders>
              <w:top w:val="nil"/>
              <w:left w:val="single" w:color="auto" w:sz="4" w:space="0"/>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绩</w:t>
            </w:r>
            <w:r>
              <w:rPr>
                <w:rFonts w:ascii="Times New Roman" w:hAnsi="Times New Roman" w:cs="Times New Roman"/>
                <w:kern w:val="0"/>
                <w:sz w:val="18"/>
                <w:szCs w:val="18"/>
              </w:rPr>
              <w:br w:type="textWrapping"/>
            </w:r>
            <w:r>
              <w:rPr>
                <w:rFonts w:ascii="Times New Roman" w:hAnsi="Times New Roman" w:cs="Times New Roman"/>
                <w:kern w:val="0"/>
                <w:sz w:val="18"/>
                <w:szCs w:val="18"/>
              </w:rPr>
              <w:t>效</w:t>
            </w:r>
            <w:r>
              <w:rPr>
                <w:rFonts w:ascii="Times New Roman" w:hAnsi="Times New Roman" w:cs="Times New Roman"/>
                <w:kern w:val="0"/>
                <w:sz w:val="18"/>
                <w:szCs w:val="18"/>
              </w:rPr>
              <w:br w:type="textWrapping"/>
            </w:r>
            <w:r>
              <w:rPr>
                <w:rFonts w:ascii="Times New Roman" w:hAnsi="Times New Roman" w:cs="Times New Roman"/>
                <w:kern w:val="0"/>
                <w:sz w:val="18"/>
                <w:szCs w:val="18"/>
              </w:rPr>
              <w:t>指</w:t>
            </w:r>
            <w:r>
              <w:rPr>
                <w:rFonts w:ascii="Times New Roman" w:hAnsi="Times New Roman" w:cs="Times New Roman"/>
                <w:kern w:val="0"/>
                <w:sz w:val="18"/>
                <w:szCs w:val="18"/>
              </w:rPr>
              <w:br w:type="textWrapping"/>
            </w:r>
            <w:r>
              <w:rPr>
                <w:rFonts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年度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实际</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产出指标</w:t>
            </w:r>
            <w:r>
              <w:rPr>
                <w:rFonts w:ascii="Times New Roman" w:hAnsi="Times New Roman" w:cs="Times New Roman"/>
                <w:kern w:val="0"/>
                <w:sz w:val="20"/>
                <w:szCs w:val="20"/>
              </w:rPr>
              <w:t>(50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eastAsia="仿宋_GB2312"/>
                <w:kern w:val="0"/>
                <w:sz w:val="18"/>
                <w:szCs w:val="18"/>
              </w:rPr>
              <w:t>购置冷链运输车10量</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27"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eastAsia="仿宋_GB2312"/>
                <w:kern w:val="0"/>
                <w:sz w:val="18"/>
                <w:szCs w:val="18"/>
              </w:rPr>
              <w:t>冷库建设面积为</w:t>
            </w:r>
            <w:r>
              <w:rPr>
                <w:rFonts w:hint="eastAsia" w:eastAsia="仿宋_GB2312"/>
                <w:kern w:val="0"/>
                <w:sz w:val="18"/>
                <w:szCs w:val="18"/>
                <w:lang w:val="en-US" w:eastAsia="zh-CN"/>
              </w:rPr>
              <w:t>2640</w:t>
            </w:r>
            <w:r>
              <w:rPr>
                <w:rFonts w:eastAsia="仿宋_GB2312"/>
                <w:kern w:val="0"/>
                <w:sz w:val="18"/>
                <w:szCs w:val="18"/>
              </w:rPr>
              <w:t>m</w:t>
            </w:r>
            <w:r>
              <w:rPr>
                <w:rFonts w:eastAsia="仿宋_GB2312"/>
                <w:kern w:val="0"/>
                <w:sz w:val="18"/>
                <w:szCs w:val="18"/>
                <w:vertAlign w:val="superscript"/>
              </w:rPr>
              <w:t>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eastAsia="仿宋_GB2312"/>
                <w:kern w:val="0"/>
                <w:sz w:val="18"/>
                <w:szCs w:val="18"/>
                <w:lang w:val="en-US" w:eastAsia="zh-CN"/>
              </w:rPr>
              <w:t>2640</w:t>
            </w:r>
            <w:r>
              <w:rPr>
                <w:rFonts w:eastAsia="仿宋_GB2312"/>
                <w:kern w:val="0"/>
                <w:sz w:val="18"/>
                <w:szCs w:val="18"/>
              </w:rPr>
              <w:t>m</w:t>
            </w:r>
            <w:r>
              <w:rPr>
                <w:rFonts w:eastAsia="仿宋_GB2312"/>
                <w:kern w:val="0"/>
                <w:sz w:val="18"/>
                <w:szCs w:val="18"/>
                <w:vertAlign w:val="superscript"/>
              </w:rPr>
              <w:t>2</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eastAsia="仿宋_GB2312"/>
                <w:kern w:val="0"/>
                <w:sz w:val="18"/>
                <w:szCs w:val="18"/>
                <w:lang w:val="en-US" w:eastAsia="zh-CN"/>
              </w:rPr>
              <w:t>2640</w:t>
            </w:r>
            <w:r>
              <w:rPr>
                <w:rFonts w:eastAsia="仿宋_GB2312"/>
                <w:kern w:val="0"/>
                <w:sz w:val="18"/>
                <w:szCs w:val="18"/>
              </w:rPr>
              <w:t>m</w:t>
            </w:r>
            <w:r>
              <w:rPr>
                <w:rFonts w:eastAsia="仿宋_GB2312"/>
                <w:kern w:val="0"/>
                <w:sz w:val="18"/>
                <w:szCs w:val="18"/>
                <w:vertAlign w:val="superscript"/>
              </w:rPr>
              <w:t>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bidi="ar-SA"/>
              </w:rPr>
            </w:pPr>
            <w:r>
              <w:rPr>
                <w:rFonts w:hint="eastAsia" w:ascii="Times New Roman" w:hAnsi="Times New Roman"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776"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项目调研合格率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eastAsia="zh-CN"/>
              </w:rPr>
              <w:t>资金划拨及时率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项目进度验收后</w:t>
            </w:r>
            <w:r>
              <w:rPr>
                <w:rFonts w:hint="eastAsia" w:ascii="Times New Roman" w:hAnsi="Times New Roman" w:cs="Times New Roman"/>
                <w:kern w:val="0"/>
                <w:sz w:val="18"/>
                <w:szCs w:val="18"/>
                <w:lang w:val="en-US" w:eastAsia="zh-CN"/>
              </w:rPr>
              <w:t>30日内</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eastAsia="zh-CN"/>
              </w:rPr>
              <w:t>按工程量完成情况拨付</w:t>
            </w:r>
            <w:r>
              <w:rPr>
                <w:rFonts w:hint="eastAsia" w:ascii="Times New Roman" w:hAnsi="Times New Roman" w:cs="Times New Roman"/>
                <w:kern w:val="0"/>
                <w:sz w:val="18"/>
                <w:szCs w:val="18"/>
                <w:lang w:val="en-US" w:eastAsia="zh-CN"/>
              </w:rPr>
              <w:t>100万元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963"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lang w:eastAsia="zh-CN"/>
              </w:rPr>
            </w:pPr>
            <w:r>
              <w:rPr>
                <w:rFonts w:hint="eastAsia" w:ascii="宋体" w:hAnsi="宋体" w:eastAsia="宋体" w:cs="宋体"/>
                <w:sz w:val="18"/>
                <w:szCs w:val="18"/>
              </w:rPr>
              <w:t>完成项目支出计划工作目标的实际节约成本与计划成本的比率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eastAsia="zh-CN"/>
              </w:rPr>
              <w:t>≤</w:t>
            </w:r>
            <w:r>
              <w:rPr>
                <w:rFonts w:hint="eastAsia" w:ascii="宋体" w:hAnsi="宋体" w:eastAsia="宋体" w:cs="宋体"/>
                <w:kern w:val="0"/>
                <w:sz w:val="18"/>
                <w:szCs w:val="18"/>
                <w:lang w:val="en-US" w:eastAsia="zh-CN"/>
              </w:rPr>
              <w:t>1</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restart"/>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效益指标</w:t>
            </w:r>
            <w:r>
              <w:rPr>
                <w:rFonts w:ascii="Times New Roman" w:hAnsi="Times New Roman" w:cs="Times New Roman"/>
                <w:kern w:val="0"/>
                <w:sz w:val="20"/>
                <w:szCs w:val="20"/>
              </w:rPr>
              <w:t>(</w:t>
            </w:r>
            <w:r>
              <w:rPr>
                <w:rFonts w:hint="eastAsia" w:ascii="Times New Roman" w:hAnsi="Times New Roman" w:cs="Times New Roman"/>
                <w:kern w:val="0"/>
                <w:sz w:val="20"/>
                <w:szCs w:val="20"/>
                <w:lang w:val="en-US" w:eastAsia="zh-CN"/>
              </w:rPr>
              <w:t>3</w:t>
            </w:r>
            <w:r>
              <w:rPr>
                <w:rFonts w:ascii="Times New Roman" w:hAnsi="Times New Roman" w:cs="Times New Roman"/>
                <w:kern w:val="0"/>
                <w:sz w:val="20"/>
                <w:szCs w:val="20"/>
              </w:rPr>
              <w:t>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经济效益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eastAsia="仿宋"/>
                <w:szCs w:val="21"/>
              </w:rPr>
              <w:t>项目实施对经济发展所带来的直接或间接影响</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积极带动区域经济发展</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带动周边农业、服务业发展</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社会效益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eastAsia="仿宋"/>
                <w:szCs w:val="21"/>
              </w:rPr>
              <w:t>对社会发展所带来的直接或间接影响</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eastAsia="zh-CN"/>
              </w:rPr>
              <w:t>推动中方农产品冷链物流产业发展</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eastAsia="zh-CN"/>
              </w:rPr>
              <w:t>有效推动</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9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生态效益</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s="Times New Roman"/>
                <w:color w:val="000000"/>
                <w:kern w:val="0"/>
                <w:sz w:val="18"/>
                <w:szCs w:val="18"/>
              </w:rPr>
            </w:pPr>
            <w:r>
              <w:rPr>
                <w:rFonts w:hint="eastAsia" w:eastAsia="仿宋"/>
                <w:szCs w:val="21"/>
              </w:rPr>
              <w:t>对生态环境所带来的直接或间接影响情况</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val="en-US" w:eastAsia="zh-CN"/>
              </w:rPr>
              <w:t>0污染</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0污染</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824"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vMerge w:val="continue"/>
            <w:tcBorders>
              <w:top w:val="nil"/>
              <w:left w:val="nil"/>
              <w:bottom w:val="single" w:color="auto" w:sz="4" w:space="0"/>
              <w:right w:val="single" w:color="auto" w:sz="4" w:space="0"/>
            </w:tcBorders>
            <w:vAlign w:val="center"/>
          </w:tcPr>
          <w:p>
            <w:pPr>
              <w:widowControl/>
              <w:jc w:val="left"/>
              <w:rPr>
                <w:rFonts w:ascii="Times New Roman" w:hAnsi="Times New Roman" w:cs="Times New Roman"/>
                <w:kern w:val="0"/>
                <w:sz w:val="18"/>
                <w:szCs w:val="18"/>
              </w:rPr>
            </w:pP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提升当地就业率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cs="Times New Roman"/>
                <w:kern w:val="0"/>
                <w:sz w:val="18"/>
                <w:szCs w:val="18"/>
                <w:lang w:eastAsia="zh-CN"/>
              </w:rPr>
              <w:t>有效提升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hint="eastAsia" w:ascii="Times New Roman" w:hAnsi="Times New Roman" w:cs="Times New Roman"/>
                <w:kern w:val="0"/>
                <w:sz w:val="18"/>
                <w:szCs w:val="18"/>
                <w:lang w:eastAsia="zh-CN"/>
              </w:rPr>
              <w:t>有效提升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300" w:hRule="atLeast"/>
          <w:jc w:val="center"/>
        </w:trPr>
        <w:tc>
          <w:tcPr>
            <w:tcW w:w="588" w:type="dxa"/>
            <w:vMerge w:val="continue"/>
            <w:tcBorders>
              <w:top w:val="nil"/>
              <w:left w:val="single" w:color="auto" w:sz="4" w:space="0"/>
              <w:bottom w:val="nil"/>
              <w:right w:val="single" w:color="auto" w:sz="4" w:space="0"/>
            </w:tcBorders>
            <w:vAlign w:val="center"/>
          </w:tcPr>
          <w:p>
            <w:pPr>
              <w:widowControl/>
              <w:jc w:val="left"/>
              <w:rPr>
                <w:rFonts w:ascii="Times New Roman" w:hAnsi="Times New Roman" w:cs="Times New Roman"/>
                <w:kern w:val="0"/>
                <w:sz w:val="18"/>
                <w:szCs w:val="18"/>
              </w:rPr>
            </w:pPr>
          </w:p>
        </w:tc>
        <w:tc>
          <w:tcPr>
            <w:tcW w:w="980" w:type="dxa"/>
            <w:tcBorders>
              <w:top w:val="nil"/>
              <w:left w:val="nil"/>
              <w:bottom w:val="nil"/>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满意度</w:t>
            </w:r>
          </w:p>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指标</w:t>
            </w:r>
            <w:r>
              <w:rPr>
                <w:rFonts w:ascii="Times New Roman" w:hAnsi="Times New Roman" w:cs="Times New Roman"/>
                <w:kern w:val="0"/>
                <w:sz w:val="20"/>
                <w:szCs w:val="20"/>
              </w:rPr>
              <w:t>(10</w:t>
            </w:r>
            <w:r>
              <w:rPr>
                <w:rFonts w:ascii="宋体" w:hAnsi="宋体" w:cs="Times New Roman"/>
                <w:kern w:val="0"/>
                <w:sz w:val="20"/>
                <w:szCs w:val="20"/>
              </w:rPr>
              <w:t>分</w:t>
            </w:r>
            <w:r>
              <w:rPr>
                <w:rFonts w:ascii="Times New Roman" w:hAnsi="Times New Roman" w:cs="Times New Roman"/>
                <w:kern w:val="0"/>
                <w:sz w:val="20"/>
                <w:szCs w:val="20"/>
              </w:rPr>
              <w:t>)</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r>
              <w:rPr>
                <w:rFonts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eastAsia" w:ascii="Times New Roman" w:hAnsi="Times New Roman" w:cs="Times New Roman"/>
                <w:color w:val="000000"/>
                <w:kern w:val="0"/>
                <w:sz w:val="18"/>
                <w:szCs w:val="18"/>
                <w:lang w:eastAsia="zh-CN"/>
              </w:rPr>
              <w:t>扶持企业满意度</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85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r>
        <w:tblPrEx>
          <w:tblCellMar>
            <w:top w:w="0" w:type="dxa"/>
            <w:left w:w="108" w:type="dxa"/>
            <w:bottom w:w="0" w:type="dxa"/>
            <w:right w:w="108" w:type="dxa"/>
          </w:tblCellMar>
        </w:tblPrEx>
        <w:trPr>
          <w:trHeight w:val="660" w:hRule="atLeas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ascii="Times New Roman" w:hAnsi="Times New Roman" w:cs="Times New Roman"/>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cs="Times New Roman"/>
                <w:kern w:val="0"/>
                <w:sz w:val="18"/>
                <w:szCs w:val="18"/>
              </w:rPr>
            </w:pPr>
          </w:p>
        </w:tc>
      </w:tr>
    </w:tbl>
    <w:p>
      <w:pPr>
        <w:widowControl/>
        <w:spacing w:line="400" w:lineRule="exact"/>
        <w:jc w:val="left"/>
        <w:rPr>
          <w:rFonts w:ascii="Times New Roman" w:hAnsi="Times New Roman" w:cs="Times New Roman"/>
          <w:color w:val="000000"/>
          <w:kern w:val="0"/>
          <w:sz w:val="18"/>
          <w:szCs w:val="18"/>
        </w:rPr>
      </w:pPr>
      <w:r>
        <w:drawing>
          <wp:inline distT="0" distB="0" distL="0" distR="0">
            <wp:extent cx="6410325" cy="133350"/>
            <wp:effectExtent l="19050" t="0" r="9525" b="0"/>
            <wp:docPr id="1" name="图片 1" descr="C:\Users\ADMINI~1\AppData\Local\Temp\ksohtml3812\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3812\wps1.png"/>
                    <pic:cNvPicPr>
                      <a:picLocks noChangeAspect="1" noChangeArrowheads="1"/>
                    </pic:cNvPicPr>
                  </pic:nvPicPr>
                  <pic:blipFill>
                    <a:blip r:embed="rId5" cstate="print"/>
                    <a:srcRect/>
                    <a:stretch>
                      <a:fillRect/>
                    </a:stretch>
                  </pic:blipFill>
                  <pic:spPr>
                    <a:xfrm>
                      <a:off x="0" y="0"/>
                      <a:ext cx="6410325" cy="133350"/>
                    </a:xfrm>
                    <a:prstGeom prst="rect">
                      <a:avLst/>
                    </a:prstGeom>
                    <a:noFill/>
                    <a:ln w="9525">
                      <a:noFill/>
                      <a:miter lim="800000"/>
                      <a:headEnd/>
                      <a:tailEnd/>
                    </a:ln>
                  </pic:spPr>
                </pic:pic>
              </a:graphicData>
            </a:graphic>
          </wp:inline>
        </w:drawing>
      </w:r>
    </w:p>
    <w:tbl>
      <w:tblPr>
        <w:tblStyle w:val="7"/>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注：1.</w:t>
            </w:r>
            <w:r>
              <w:rPr>
                <w:rFonts w:ascii="宋体" w:hAnsi="宋体" w:cs="Times New Roman"/>
                <w:color w:val="000000"/>
                <w:kern w:val="0"/>
                <w:sz w:val="18"/>
                <w:szCs w:val="18"/>
              </w:rPr>
              <w:t>一级指标分值统一设置为：产出指标</w:t>
            </w:r>
            <w:r>
              <w:rPr>
                <w:rFonts w:ascii="Times New Roman" w:hAnsi="Times New Roman" w:cs="Times New Roman"/>
                <w:color w:val="000000"/>
                <w:kern w:val="0"/>
                <w:sz w:val="18"/>
                <w:szCs w:val="18"/>
              </w:rPr>
              <w:t>50</w:t>
            </w:r>
            <w:r>
              <w:rPr>
                <w:rFonts w:ascii="宋体" w:hAnsi="宋体" w:cs="Times New Roman"/>
                <w:color w:val="000000"/>
                <w:kern w:val="0"/>
                <w:sz w:val="18"/>
                <w:szCs w:val="18"/>
              </w:rPr>
              <w:t>分、效益指标</w:t>
            </w:r>
            <w:r>
              <w:rPr>
                <w:rFonts w:ascii="Times New Roman" w:hAnsi="Times New Roman" w:cs="Times New Roman"/>
                <w:color w:val="000000"/>
                <w:kern w:val="0"/>
                <w:sz w:val="18"/>
                <w:szCs w:val="18"/>
              </w:rPr>
              <w:t>30</w:t>
            </w:r>
            <w:r>
              <w:rPr>
                <w:rFonts w:ascii="宋体" w:hAnsi="宋体" w:cs="Times New Roman"/>
                <w:color w:val="000000"/>
                <w:kern w:val="0"/>
                <w:sz w:val="18"/>
                <w:szCs w:val="18"/>
              </w:rPr>
              <w:t>分、服务对象满意度指标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分、预算资金执行率</w:t>
            </w:r>
            <w:r>
              <w:rPr>
                <w:rFonts w:ascii="Times New Roman" w:hAnsi="Times New Roman" w:cs="Times New Roman"/>
                <w:color w:val="000000"/>
                <w:kern w:val="0"/>
                <w:sz w:val="18"/>
                <w:szCs w:val="18"/>
              </w:rPr>
              <w:t>10</w:t>
            </w:r>
            <w:r>
              <w:rPr>
                <w:rFonts w:ascii="宋体" w:hAnsi="宋体" w:cs="Times New Roman"/>
                <w:color w:val="000000"/>
                <w:kern w:val="0"/>
                <w:sz w:val="18"/>
                <w:szCs w:val="18"/>
              </w:rPr>
              <w:t>分。如有特殊情况，上述权重可做适当调整，但加总后应等于</w:t>
            </w:r>
            <w:r>
              <w:rPr>
                <w:rFonts w:ascii="Times New Roman" w:hAnsi="Times New Roman" w:cs="Times New Roman"/>
                <w:color w:val="000000"/>
                <w:kern w:val="0"/>
                <w:sz w:val="18"/>
                <w:szCs w:val="18"/>
              </w:rPr>
              <w:t>100</w:t>
            </w:r>
            <w:r>
              <w:rPr>
                <w:rFonts w:ascii="宋体" w:hAnsi="宋体" w:cs="Times New Roman"/>
                <w:color w:val="000000"/>
                <w:kern w:val="0"/>
                <w:sz w:val="18"/>
                <w:szCs w:val="18"/>
              </w:rPr>
              <w:t>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2.</w:t>
            </w:r>
            <w:r>
              <w:rPr>
                <w:rFonts w:ascii="宋体" w:hAnsi="宋体" w:cs="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s="Times New Roman"/>
                <w:color w:val="000000"/>
                <w:kern w:val="0"/>
                <w:sz w:val="18"/>
                <w:szCs w:val="18"/>
              </w:rPr>
              <w:t>100-80%(</w:t>
            </w:r>
            <w:r>
              <w:rPr>
                <w:rFonts w:ascii="宋体" w:hAnsi="宋体" w:cs="Times New Roman"/>
                <w:color w:val="000000"/>
                <w:kern w:val="0"/>
                <w:sz w:val="18"/>
                <w:szCs w:val="18"/>
              </w:rPr>
              <w:t>含</w:t>
            </w:r>
            <w:r>
              <w:rPr>
                <w:rFonts w:ascii="Times New Roman" w:hAnsi="Times New Roman" w:cs="Times New Roman"/>
                <w:color w:val="000000"/>
                <w:kern w:val="0"/>
                <w:sz w:val="18"/>
                <w:szCs w:val="18"/>
              </w:rPr>
              <w:t>80%)</w:t>
            </w:r>
            <w:r>
              <w:rPr>
                <w:rFonts w:ascii="宋体" w:hAnsi="宋体" w:cs="Times New Roman"/>
                <w:color w:val="000000"/>
                <w:kern w:val="0"/>
                <w:sz w:val="18"/>
                <w:szCs w:val="18"/>
              </w:rPr>
              <w:t>、</w:t>
            </w:r>
            <w:r>
              <w:rPr>
                <w:rFonts w:ascii="Times New Roman" w:hAnsi="Times New Roman" w:cs="Times New Roman"/>
                <w:color w:val="000000"/>
                <w:kern w:val="0"/>
                <w:sz w:val="18"/>
                <w:szCs w:val="18"/>
              </w:rPr>
              <w:t>80-50%(</w:t>
            </w:r>
            <w:r>
              <w:rPr>
                <w:rFonts w:ascii="宋体" w:hAnsi="宋体" w:cs="Times New Roman"/>
                <w:color w:val="000000"/>
                <w:kern w:val="0"/>
                <w:sz w:val="18"/>
                <w:szCs w:val="18"/>
              </w:rPr>
              <w:t>含</w:t>
            </w:r>
            <w:r>
              <w:rPr>
                <w:rFonts w:ascii="Times New Roman" w:hAnsi="Times New Roman" w:cs="Times New Roman"/>
                <w:color w:val="000000"/>
                <w:kern w:val="0"/>
                <w:sz w:val="18"/>
                <w:szCs w:val="18"/>
              </w:rPr>
              <w:t>50%)</w:t>
            </w:r>
            <w:r>
              <w:rPr>
                <w:rFonts w:ascii="宋体" w:hAnsi="宋体" w:cs="Times New Roman"/>
                <w:color w:val="000000"/>
                <w:kern w:val="0"/>
                <w:sz w:val="18"/>
                <w:szCs w:val="18"/>
              </w:rPr>
              <w:t>、</w:t>
            </w:r>
            <w:r>
              <w:rPr>
                <w:rFonts w:ascii="Times New Roman" w:hAnsi="Times New Roman" w:cs="Times New Roman"/>
                <w:color w:val="000000"/>
                <w:kern w:val="0"/>
                <w:sz w:val="18"/>
                <w:szCs w:val="18"/>
              </w:rPr>
              <w:t>50-0%</w:t>
            </w:r>
            <w:r>
              <w:rPr>
                <w:rFonts w:ascii="宋体" w:hAnsi="宋体" w:cs="Times New Roman"/>
                <w:color w:val="000000"/>
                <w:kern w:val="0"/>
                <w:sz w:val="18"/>
                <w:szCs w:val="18"/>
              </w:rPr>
              <w:t>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3.</w:t>
            </w:r>
            <w:r>
              <w:rPr>
                <w:rFonts w:ascii="宋体" w:hAnsi="宋体" w:cs="Times New Roman"/>
                <w:color w:val="000000"/>
                <w:kern w:val="0"/>
                <w:sz w:val="18"/>
                <w:szCs w:val="18"/>
              </w:rPr>
              <w:t>定量指标若为正向指标（即指标值为</w:t>
            </w:r>
            <w:r>
              <w:rPr>
                <w:rFonts w:ascii="Times New Roman" w:hAnsi="Times New Roman" w:cs="Times New Roman"/>
                <w:color w:val="000000"/>
                <w:kern w:val="0"/>
                <w:sz w:val="18"/>
                <w:szCs w:val="18"/>
              </w:rPr>
              <w:t>≥*</w:t>
            </w:r>
            <w:r>
              <w:rPr>
                <w:rFonts w:ascii="宋体" w:hAnsi="宋体" w:cs="Times New Roman"/>
                <w:color w:val="000000"/>
                <w:kern w:val="0"/>
                <w:sz w:val="18"/>
                <w:szCs w:val="18"/>
              </w:rPr>
              <w:t>），则得分计算方法应用全年实际值（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该指标分值；若定量指标为反向指标（即指标值为≤*</w:t>
            </w:r>
            <w:r>
              <w:rPr>
                <w:rFonts w:ascii="宋体" w:hAnsi="宋体" w:cs="Times New Roman"/>
                <w:color w:val="000000"/>
                <w:kern w:val="0"/>
                <w:sz w:val="18"/>
                <w:szCs w:val="18"/>
              </w:rPr>
              <w:t>），则得分计算方法应用年度指标值（</w:t>
            </w:r>
            <w:r>
              <w:rPr>
                <w:rFonts w:ascii="Times New Roman" w:hAnsi="Times New Roman" w:cs="Times New Roman"/>
                <w:color w:val="000000"/>
                <w:kern w:val="0"/>
                <w:sz w:val="18"/>
                <w:szCs w:val="18"/>
              </w:rPr>
              <w:t>A</w:t>
            </w:r>
            <w:r>
              <w:rPr>
                <w:rFonts w:ascii="宋体" w:hAnsi="宋体" w:cs="Times New Roman"/>
                <w:color w:val="000000"/>
                <w:kern w:val="0"/>
                <w:sz w:val="18"/>
                <w:szCs w:val="18"/>
              </w:rPr>
              <w:t>）</w:t>
            </w:r>
            <w:r>
              <w:rPr>
                <w:rFonts w:ascii="Times New Roman" w:hAnsi="Times New Roman" w:cs="Times New Roman"/>
                <w:color w:val="000000"/>
                <w:kern w:val="0"/>
                <w:sz w:val="18"/>
                <w:szCs w:val="18"/>
              </w:rPr>
              <w:t>/</w:t>
            </w:r>
            <w:r>
              <w:rPr>
                <w:rFonts w:ascii="宋体" w:hAnsi="宋体" w:cs="Times New Roman"/>
                <w:color w:val="000000"/>
                <w:kern w:val="0"/>
                <w:sz w:val="18"/>
                <w:szCs w:val="18"/>
              </w:rPr>
              <w:t>全年实际值（</w:t>
            </w:r>
            <w:r>
              <w:rPr>
                <w:rFonts w:ascii="Times New Roman" w:hAnsi="Times New Roman" w:cs="Times New Roman"/>
                <w:color w:val="000000"/>
                <w:kern w:val="0"/>
                <w:sz w:val="18"/>
                <w:szCs w:val="18"/>
              </w:rPr>
              <w:t>B</w:t>
            </w:r>
            <w:r>
              <w:rPr>
                <w:rFonts w:ascii="宋体" w:hAnsi="宋体" w:cs="Times New Roman"/>
                <w:color w:val="000000"/>
                <w:kern w:val="0"/>
                <w:sz w:val="18"/>
                <w:szCs w:val="18"/>
              </w:rPr>
              <w:t>）</w:t>
            </w:r>
            <w:r>
              <w:rPr>
                <w:rFonts w:hint="eastAsia" w:ascii="宋体" w:hAnsi="宋体" w:cs="宋体"/>
                <w:color w:val="000000"/>
                <w:kern w:val="0"/>
                <w:sz w:val="12"/>
                <w:szCs w:val="12"/>
              </w:rPr>
              <w:t>╳</w:t>
            </w:r>
            <w:r>
              <w:rPr>
                <w:rFonts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noWrap/>
            <w:vAlign w:val="center"/>
          </w:tcPr>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4.</w:t>
            </w:r>
            <w:r>
              <w:rPr>
                <w:rFonts w:ascii="宋体" w:hAnsi="宋体" w:cs="Times New Roman"/>
                <w:color w:val="000000"/>
                <w:kern w:val="0"/>
                <w:sz w:val="18"/>
                <w:szCs w:val="18"/>
              </w:rPr>
              <w:t>请在</w:t>
            </w:r>
            <w:r>
              <w:rPr>
                <w:rFonts w:ascii="Times New Roman" w:hAnsi="Times New Roman" w:cs="Times New Roman"/>
                <w:color w:val="000000"/>
                <w:kern w:val="0"/>
                <w:sz w:val="18"/>
                <w:szCs w:val="18"/>
              </w:rPr>
              <w:t>“</w:t>
            </w:r>
            <w:r>
              <w:rPr>
                <w:rFonts w:ascii="Times New Roman" w:hAnsi="Times New Roman" w:cs="Times New Roman"/>
                <w:kern w:val="0"/>
                <w:sz w:val="18"/>
                <w:szCs w:val="18"/>
              </w:rPr>
              <w:t>偏差原因分析及改进措施</w:t>
            </w:r>
            <w:r>
              <w:rPr>
                <w:rFonts w:ascii="Times New Roman" w:hAnsi="Times New Roman" w:cs="Times New Roman"/>
                <w:color w:val="000000"/>
                <w:kern w:val="0"/>
                <w:sz w:val="18"/>
                <w:szCs w:val="18"/>
              </w:rPr>
              <w:t>”</w:t>
            </w:r>
            <w:r>
              <w:rPr>
                <w:rFonts w:ascii="宋体" w:hAnsi="宋体" w:cs="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 </w:t>
      </w:r>
    </w:p>
    <w:p>
      <w:pPr>
        <w:rPr>
          <w:rFonts w:ascii="Times New Roman" w:hAnsi="Times New Roman" w:cs="Times New Roman"/>
        </w:rPr>
      </w:pPr>
      <w:r>
        <w:rPr>
          <w:rFonts w:ascii="Times New Roman" w:hAnsi="Times New Roman" w:cs="Times New Roman"/>
        </w:rPr>
        <w:t xml:space="preserve"> </w:t>
      </w:r>
    </w:p>
    <w:p>
      <w:pPr>
        <w:widowControl/>
        <w:jc w:val="left"/>
        <w:rPr>
          <w:rFonts w:ascii="Times New Roman" w:hAnsi="Times New Roman" w:eastAsia="仿宋_GB2312" w:cs="Times New Roman"/>
          <w:bCs/>
          <w:color w:val="000000"/>
          <w:sz w:val="32"/>
          <w:szCs w:val="32"/>
        </w:rPr>
        <w:sectPr>
          <w:pgSz w:w="11906" w:h="16838"/>
          <w:pgMar w:top="1587" w:right="1587" w:bottom="1587" w:left="1587" w:header="737" w:footer="850" w:gutter="0"/>
          <w:cols w:space="720" w:num="1"/>
          <w:docGrid w:type="lines" w:linePitch="408" w:charSpace="0"/>
        </w:sectPr>
      </w:pPr>
    </w:p>
    <w:p>
      <w:pPr>
        <w:spacing w:line="560" w:lineRule="exact"/>
        <w:rPr>
          <w:rFonts w:hint="eastAsia" w:ascii="Times New Roman" w:hAnsi="Times New Roman" w:eastAsia="仿宋_GB2312" w:cs="Times New Roman"/>
          <w:bCs/>
          <w:color w:val="000000"/>
          <w:sz w:val="32"/>
          <w:szCs w:val="32"/>
          <w:lang w:eastAsia="zh-CN"/>
        </w:rPr>
      </w:pPr>
      <w:r>
        <w:rPr>
          <w:rFonts w:ascii="仿宋_GB2312" w:hAnsi="仿宋_GB2312"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4"/>
        <w:spacing w:before="0" w:after="0"/>
        <w:jc w:val="center"/>
        <w:rPr>
          <w:rFonts w:ascii="Times New Roman" w:hAnsi="Times New Roman" w:eastAsia="宋体" w:cs="Times New Roman"/>
          <w:bCs/>
          <w:color w:val="000000"/>
          <w:sz w:val="36"/>
          <w:szCs w:val="36"/>
        </w:rPr>
      </w:pPr>
      <w:r>
        <w:rPr>
          <w:rFonts w:ascii="宋体" w:hAnsi="宋体" w:eastAsia="宋体" w:cs="Times New Roman"/>
          <w:bCs/>
          <w:color w:val="000000"/>
          <w:sz w:val="36"/>
          <w:szCs w:val="36"/>
        </w:rPr>
        <w:t>项目支出绩效评价共性指标表</w:t>
      </w:r>
    </w:p>
    <w:tbl>
      <w:tblPr>
        <w:tblStyle w:val="7"/>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一级指标</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二级指标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三级指标</w:t>
            </w:r>
          </w:p>
        </w:tc>
        <w:tc>
          <w:tcPr>
            <w:tcW w:w="567" w:type="dxa"/>
            <w:tcBorders>
              <w:top w:val="single" w:color="000000" w:sz="8" w:space="0"/>
              <w:left w:val="nil"/>
              <w:bottom w:val="single" w:color="000000" w:sz="8" w:space="0"/>
              <w:right w:val="single" w:color="000000" w:sz="8" w:space="0"/>
            </w:tcBorders>
            <w:shd w:val="clear" w:color="auto" w:fill="FFFFFF"/>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分</w:t>
            </w:r>
          </w:p>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值</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指标解释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指标说明</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b/>
                <w:bCs/>
                <w:color w:val="000000"/>
                <w:kern w:val="0"/>
                <w:sz w:val="22"/>
                <w:szCs w:val="22"/>
              </w:rPr>
            </w:pPr>
            <w:r>
              <w:rPr>
                <w:rFonts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项目立项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立项依据</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充分性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项目立项是否符合国家法律法规、国民经济发展规划和相关政策；</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项目立项是否符合行业发展规划和政策要求；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项目立项是否与部门职责范围相符，属于部门履职所需；</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项目是否属于公共财政支持范围，是否符合中央、地方事权支出责任划分原则；</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⑤</w:t>
            </w:r>
            <w:r>
              <w:rPr>
                <w:rFonts w:ascii="宋体" w:hAnsi="宋体" w:cs="Times New Roman"/>
                <w:color w:val="000000"/>
                <w:kern w:val="0"/>
                <w:sz w:val="22"/>
                <w:szCs w:val="22"/>
              </w:rPr>
              <w:t>项目是否与相关部门同类项目或部门内部相关项目重复。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立项程序</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规范性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项目申请、设立过程是否符合相关要求，用以反映和考核项目立项的规范情况。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项目是否按照规定的程序申请设立；</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审批文件、材料是否符合相关要求；</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事前是否已经过必要的可行性研究、专家论证、风险评估、绩效评估、集体决策。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绩效目标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（如未设定预算绩效目标，也可考核其他工作任务目标）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项目是否有绩效目标；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项目绩效目标与实际工作内容是否具有相关性；</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项目预期产出效益和效果是否符合正常的业绩水平；</w:t>
            </w:r>
          </w:p>
          <w:p>
            <w:pPr>
              <w:widowControl/>
              <w:spacing w:line="0" w:lineRule="atLeast"/>
              <w:jc w:val="left"/>
              <w:rPr>
                <w:rFonts w:ascii="Times New Roman" w:hAnsi="Times New Roman" w:cs="Times New Roman"/>
                <w:color w:val="000000"/>
                <w:kern w:val="0"/>
                <w:sz w:val="22"/>
                <w:szCs w:val="22"/>
              </w:rPr>
            </w:pPr>
            <w:r>
              <w:rPr>
                <w:rFonts w:hint="eastAsia" w:ascii="宋体" w:hAnsi="宋体" w:cs="宋体"/>
                <w:color w:val="000000"/>
                <w:kern w:val="0"/>
                <w:sz w:val="22"/>
                <w:szCs w:val="22"/>
              </w:rPr>
              <w:t>④</w:t>
            </w:r>
            <w:r>
              <w:rPr>
                <w:rFonts w:ascii="宋体" w:hAnsi="宋体" w:cs="Times New Roman"/>
                <w:color w:val="000000"/>
                <w:kern w:val="0"/>
                <w:sz w:val="22"/>
                <w:szCs w:val="22"/>
              </w:rPr>
              <w:t>是否与预算确定的项目投资额或资金量相匹配。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决策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绩效目标</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绩效指标</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明确性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是否将项目绩效目标细化分解为具体的绩效指标；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是否通过清晰、可衡量的指标值予以体现；</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是否与项目目标任务数或计划数相对应。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资金投入</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预算编制</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科学性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预算编制是否经过科学论证；</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预算内容与项目内容是否匹配；</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预算额度测算依据是否充分，是否按照标准编制；</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预算确定的项目投资额或资金量是否与工作任务相匹配。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资金分配</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合理性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预算资金分配依据是否充分；</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资金分配额度是否合理，与项目单位或地方实际是否相适应。</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过程</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3</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资金到位率=</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预算资金）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预算资金：一定时期（本年度或项目期）内预算安排到具体项目的资金。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项目预算资金是否按照计划执行，用以反映或考核项目预算执行情况。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预算执行率=</w:t>
            </w:r>
            <w:r>
              <w:rPr>
                <w:rFonts w:ascii="宋体" w:hAnsi="宋体" w:cs="Times New Roman"/>
                <w:color w:val="000000"/>
                <w:kern w:val="0"/>
                <w:sz w:val="22"/>
                <w:szCs w:val="22"/>
              </w:rPr>
              <w:t>（实际支出资金</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实际到位资金）</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实际支出资金：一定时期（本年度或项目期）内项目实际拨付的资金。</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过程 </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资金管理</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资金使用</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合规性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是否符合国家财经法规和财务管理制度以及有关专项资金管理办法的规定；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资金的拨付是否有完整的审批程序和手续；</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是否符合项目预算批复或合同规定的用途；</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是否存在截留、挤占、挪用、虚列支出等情况。</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组织实施</w:t>
            </w:r>
          </w:p>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管理制度</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健全性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是否已制定或具有相应的财务和业务管理制度；</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财务和业务管理制度是否合法、合规、完整。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制度执行</w:t>
            </w:r>
          </w:p>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有效性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4</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评价要点：</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①</w:t>
            </w:r>
            <w:r>
              <w:rPr>
                <w:rFonts w:ascii="宋体" w:hAnsi="宋体" w:cs="Times New Roman"/>
                <w:color w:val="000000"/>
                <w:kern w:val="0"/>
                <w:sz w:val="22"/>
                <w:szCs w:val="22"/>
              </w:rPr>
              <w:t>是否遵守相关法律法规和相关管理规定；</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②</w:t>
            </w:r>
            <w:r>
              <w:rPr>
                <w:rFonts w:ascii="宋体" w:hAnsi="宋体" w:cs="Times New Roman"/>
                <w:color w:val="000000"/>
                <w:kern w:val="0"/>
                <w:sz w:val="22"/>
                <w:szCs w:val="22"/>
              </w:rPr>
              <w:t>项目调整及支出调整手续是否完备；</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③</w:t>
            </w:r>
            <w:r>
              <w:rPr>
                <w:rFonts w:ascii="宋体" w:hAnsi="宋体" w:cs="Times New Roman"/>
                <w:color w:val="000000"/>
                <w:kern w:val="0"/>
                <w:sz w:val="22"/>
                <w:szCs w:val="22"/>
              </w:rPr>
              <w:t>项目合同书、验收报告、技术鉴定等资料是否齐全并及时归档；</w:t>
            </w:r>
            <w:r>
              <w:rPr>
                <w:rFonts w:ascii="Times New Roman" w:hAnsi="Times New Roman" w:cs="Times New Roman"/>
                <w:color w:val="000000"/>
                <w:kern w:val="0"/>
                <w:sz w:val="22"/>
                <w:szCs w:val="22"/>
              </w:rPr>
              <w:br w:type="textWrapping"/>
            </w:r>
            <w:r>
              <w:rPr>
                <w:rFonts w:hint="eastAsia" w:ascii="宋体" w:hAnsi="宋体" w:cs="宋体"/>
                <w:color w:val="000000"/>
                <w:kern w:val="0"/>
                <w:sz w:val="22"/>
                <w:szCs w:val="22"/>
              </w:rPr>
              <w:t>④</w:t>
            </w:r>
            <w:r>
              <w:rPr>
                <w:rFonts w:ascii="宋体" w:hAnsi="宋体" w:cs="Times New Roman"/>
                <w:color w:val="000000"/>
                <w:kern w:val="0"/>
                <w:sz w:val="22"/>
                <w:szCs w:val="22"/>
              </w:rPr>
              <w:t>项目实施的人员条件、场地设备、信息支撑等是否落实到位。</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产出数量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实际完成率=</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实际产出数：一定时期（本年度或项目期）内项目实际产出的产品或提供的服务数量。</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w:t>
            </w: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产出质量</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质量达标率=</w:t>
            </w:r>
            <w:r>
              <w:rPr>
                <w:rFonts w:ascii="宋体" w:hAnsi="宋体" w:cs="Times New Roman"/>
                <w:color w:val="000000"/>
                <w:kern w:val="0"/>
                <w:sz w:val="22"/>
                <w:szCs w:val="22"/>
              </w:rPr>
              <w:t>（质量达标产出数</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实际产出数）</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p>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产出时效</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完成及时性</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实际完成时间：项目实施单位完成该项目实际所耗用的时间。</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计划完成时间：按照项目实施计划或相关规定完成该项目所需的时间。</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产出成本</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成本节约率</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成本节约率=[</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实际成本）</w:t>
            </w:r>
            <w:r>
              <w:rPr>
                <w:rFonts w:ascii="Times New Roman" w:hAnsi="Times New Roman" w:cs="Times New Roman"/>
                <w:color w:val="000000"/>
                <w:kern w:val="0"/>
                <w:sz w:val="22"/>
                <w:szCs w:val="22"/>
              </w:rPr>
              <w:t>/</w:t>
            </w:r>
            <w:r>
              <w:rPr>
                <w:rFonts w:ascii="宋体" w:hAnsi="宋体" w:cs="Times New Roman"/>
                <w:color w:val="000000"/>
                <w:kern w:val="0"/>
                <w:sz w:val="22"/>
                <w:szCs w:val="22"/>
              </w:rPr>
              <w:t>计划成本</w:t>
            </w:r>
            <w:r>
              <w:rPr>
                <w:rFonts w:ascii="Times New Roman" w:hAnsi="Times New Roman" w:cs="Times New Roman"/>
                <w:color w:val="000000"/>
                <w:kern w:val="0"/>
                <w:sz w:val="22"/>
                <w:szCs w:val="22"/>
              </w:rPr>
              <w:t>]×100%</w:t>
            </w:r>
            <w:r>
              <w:rPr>
                <w:rFonts w:ascii="宋体" w:hAnsi="宋体" w:cs="Times New Roman"/>
                <w:color w:val="000000"/>
                <w:kern w:val="0"/>
                <w:sz w:val="22"/>
                <w:szCs w:val="22"/>
              </w:rPr>
              <w:t>。</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实际成本：项目实施单位如期、保质、保量完成既定工作目标实际所耗费的支出。</w:t>
            </w:r>
            <w:r>
              <w:rPr>
                <w:rFonts w:ascii="Times New Roman" w:hAnsi="Times New Roman" w:cs="Times New Roman"/>
                <w:color w:val="000000"/>
                <w:kern w:val="0"/>
                <w:sz w:val="22"/>
                <w:szCs w:val="22"/>
              </w:rPr>
              <w:br w:type="textWrapping"/>
            </w:r>
            <w:r>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tcBorders>
              <w:top w:val="nil"/>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效益 </w:t>
            </w:r>
          </w:p>
        </w:tc>
        <w:tc>
          <w:tcPr>
            <w:tcW w:w="709" w:type="dxa"/>
            <w:vMerge w:val="restart"/>
            <w:tcBorders>
              <w:top w:val="nil"/>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 xml:space="preserve">项目效益 </w:t>
            </w: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实施效益</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20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lef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项目实施所产生的效益。</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2525" w:type="dxa"/>
            <w:vMerge w:val="continue"/>
            <w:tcBorders>
              <w:top w:val="nil"/>
              <w:left w:val="single" w:color="000000" w:sz="8" w:space="0"/>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709" w:type="dxa"/>
            <w:vMerge w:val="continue"/>
            <w:tcBorders>
              <w:top w:val="nil"/>
              <w:left w:val="nil"/>
              <w:bottom w:val="single" w:color="000000" w:sz="8" w:space="0"/>
              <w:right w:val="single" w:color="000000" w:sz="8" w:space="0"/>
            </w:tcBorders>
            <w:vAlign w:val="center"/>
          </w:tcPr>
          <w:p>
            <w:pPr>
              <w:widowControl/>
              <w:jc w:val="left"/>
              <w:rPr>
                <w:rFonts w:ascii="Times New Roman" w:hAnsi="Times New Roman" w:cs="Times New Roman"/>
                <w:color w:val="000000"/>
                <w:kern w:val="0"/>
                <w:sz w:val="22"/>
                <w:szCs w:val="22"/>
              </w:rPr>
            </w:pPr>
          </w:p>
        </w:tc>
        <w:tc>
          <w:tcPr>
            <w:tcW w:w="1134"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满意度</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8</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社会公众或服务对象对项目实施效果的满意程度。</w:t>
            </w: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总分</w:t>
            </w:r>
          </w:p>
        </w:tc>
        <w:tc>
          <w:tcPr>
            <w:tcW w:w="567"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ascii="Times New Roman" w:hAnsi="Times New Roman" w:cs="Times New Roman"/>
                <w:color w:val="000000"/>
                <w:kern w:val="0"/>
                <w:sz w:val="22"/>
                <w:szCs w:val="22"/>
              </w:rPr>
            </w:pPr>
            <w:r>
              <w:rPr>
                <w:rFonts w:ascii="Times New Roman" w:hAnsi="Times New Roman" w:cs="Times New Roman"/>
                <w:color w:val="000000"/>
                <w:kern w:val="0"/>
                <w:sz w:val="22"/>
                <w:szCs w:val="22"/>
              </w:rPr>
              <w:t>100</w:t>
            </w:r>
          </w:p>
        </w:tc>
        <w:tc>
          <w:tcPr>
            <w:tcW w:w="2835"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609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rPr>
                <w:rFonts w:ascii="Times New Roman" w:hAnsi="Times New Roman" w:cs="Times New Roman"/>
                <w:color w:val="000000"/>
                <w:kern w:val="0"/>
                <w:sz w:val="22"/>
                <w:szCs w:val="22"/>
              </w:rPr>
            </w:pPr>
          </w:p>
        </w:tc>
        <w:tc>
          <w:tcPr>
            <w:tcW w:w="566" w:type="dxa"/>
            <w:tcBorders>
              <w:top w:val="single" w:color="000000" w:sz="8" w:space="0"/>
              <w:left w:val="nil"/>
              <w:bottom w:val="single" w:color="000000" w:sz="8" w:space="0"/>
              <w:right w:val="single" w:color="000000" w:sz="8" w:space="0"/>
            </w:tcBorders>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ascii="Times New Roman" w:hAnsi="Times New Roman" w:cs="Times New Roman"/>
                <w:color w:val="000000"/>
                <w:kern w:val="0"/>
                <w:sz w:val="22"/>
                <w:szCs w:val="22"/>
                <w:lang w:val="en-US" w:eastAsia="zh-CN"/>
              </w:rPr>
              <w:t>100</w:t>
            </w:r>
          </w:p>
        </w:tc>
      </w:tr>
    </w:tbl>
    <w:p>
      <w:pPr>
        <w:spacing w:line="560" w:lineRule="exact"/>
        <w:ind w:firstLine="200" w:firstLineChars="100"/>
        <w:rPr>
          <w:rFonts w:ascii="Times New Roman" w:hAnsi="Times New Roman" w:eastAsia="仿宋_GB2312" w:cs="Times New Roman"/>
          <w:sz w:val="20"/>
          <w:szCs w:val="20"/>
        </w:rPr>
      </w:pPr>
      <w:r>
        <w:rPr>
          <w:rFonts w:ascii="仿宋_GB2312" w:hAnsi="仿宋_GB2312" w:eastAsia="仿宋_GB2312" w:cs="Times New Roman"/>
          <w:sz w:val="20"/>
          <w:szCs w:val="20"/>
        </w:rPr>
        <w:t>注：单位可以根据专项资金的管理要求和绩效要求增设个性指标</w:t>
      </w:r>
      <w:r>
        <w:rPr>
          <w:rFonts w:hint="eastAsia" w:ascii="宋体" w:hAnsi="宋体" w:cs="宋体"/>
          <w:sz w:val="20"/>
          <w:szCs w:val="20"/>
        </w:rPr>
        <w:t>。</w:t>
      </w:r>
    </w:p>
    <w:p>
      <w:pPr>
        <w:widowControl/>
        <w:jc w:val="left"/>
        <w:rPr>
          <w:rFonts w:ascii="Times New Roman" w:hAnsi="Times New Roman" w:eastAsia="仿宋_GB2312" w:cs="Times New Roman"/>
          <w:bCs/>
          <w:color w:val="000000"/>
          <w:sz w:val="32"/>
          <w:szCs w:val="32"/>
        </w:rPr>
        <w:sectPr>
          <w:pgSz w:w="16838" w:h="11906" w:orient="landscape"/>
          <w:pgMar w:top="1531" w:right="1928" w:bottom="1531" w:left="1701" w:header="737" w:footer="851" w:gutter="0"/>
          <w:cols w:space="720" w:num="1"/>
          <w:docGrid w:type="lines" w:linePitch="408"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1AB8"/>
    <w:rsid w:val="00191AB8"/>
    <w:rsid w:val="00686F37"/>
    <w:rsid w:val="00855BFD"/>
    <w:rsid w:val="00C15BB6"/>
    <w:rsid w:val="00D622E1"/>
    <w:rsid w:val="095F4584"/>
    <w:rsid w:val="1F9E795A"/>
    <w:rsid w:val="201638CA"/>
    <w:rsid w:val="24122556"/>
    <w:rsid w:val="2AF8681D"/>
    <w:rsid w:val="345C2A78"/>
    <w:rsid w:val="3D4C5ED1"/>
    <w:rsid w:val="3D8E09A6"/>
    <w:rsid w:val="3DB33728"/>
    <w:rsid w:val="45386592"/>
    <w:rsid w:val="4C56361D"/>
    <w:rsid w:val="51EA44CA"/>
    <w:rsid w:val="70264B58"/>
    <w:rsid w:val="730D62B3"/>
    <w:rsid w:val="79B427DE"/>
    <w:rsid w:val="7D5244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99"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4">
    <w:name w:val="heading 2"/>
    <w:basedOn w:val="1"/>
    <w:next w:val="1"/>
    <w:link w:val="9"/>
    <w:qFormat/>
    <w:uiPriority w:val="99"/>
    <w:pPr>
      <w:keepNext/>
      <w:keepLines/>
      <w:spacing w:before="260" w:after="260" w:line="412" w:lineRule="auto"/>
      <w:outlineLvl w:val="1"/>
    </w:pPr>
    <w:rPr>
      <w:rFonts w:ascii="Arial" w:hAnsi="Arial" w:eastAsia="黑体" w:cs="Arial"/>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semiHidden/>
    <w:unhideWhenUsed/>
    <w:qFormat/>
    <w:uiPriority w:val="99"/>
    <w:pPr>
      <w:tabs>
        <w:tab w:val="center" w:pos="4153"/>
        <w:tab w:val="right" w:pos="8306"/>
      </w:tabs>
      <w:snapToGrid w:val="0"/>
      <w:jc w:val="left"/>
    </w:pPr>
    <w:rPr>
      <w:sz w:val="18"/>
      <w:szCs w:val="18"/>
    </w:rPr>
  </w:style>
  <w:style w:type="paragraph" w:styleId="3">
    <w:name w:val="index 5"/>
    <w:basedOn w:val="1"/>
    <w:next w:val="1"/>
    <w:qFormat/>
    <w:uiPriority w:val="99"/>
    <w:pPr>
      <w:ind w:left="1680"/>
    </w:pPr>
  </w:style>
  <w:style w:type="paragraph" w:styleId="5">
    <w:name w:val="Balloon Text"/>
    <w:basedOn w:val="1"/>
    <w:link w:val="11"/>
    <w:semiHidden/>
    <w:unhideWhenUsed/>
    <w:qFormat/>
    <w:uiPriority w:val="99"/>
    <w:rPr>
      <w:sz w:val="18"/>
      <w:szCs w:val="18"/>
    </w:rPr>
  </w:style>
  <w:style w:type="paragraph" w:styleId="6">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2 Char"/>
    <w:basedOn w:val="8"/>
    <w:link w:val="4"/>
    <w:qFormat/>
    <w:uiPriority w:val="99"/>
    <w:rPr>
      <w:rFonts w:ascii="Arial" w:hAnsi="Arial" w:eastAsia="黑体" w:cs="Arial"/>
      <w:b/>
      <w:sz w:val="32"/>
      <w:szCs w:val="32"/>
    </w:rPr>
  </w:style>
  <w:style w:type="paragraph" w:styleId="10">
    <w:name w:val="No Spacing"/>
    <w:basedOn w:val="1"/>
    <w:qFormat/>
    <w:uiPriority w:val="99"/>
  </w:style>
  <w:style w:type="character" w:customStyle="1" w:styleId="11">
    <w:name w:val="批注框文本 Char"/>
    <w:basedOn w:val="8"/>
    <w:link w:val="5"/>
    <w:semiHidden/>
    <w:qFormat/>
    <w:uiPriority w:val="99"/>
    <w:rPr>
      <w:rFonts w:ascii="Calibri" w:hAnsi="Calibri" w:eastAsia="宋体"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608</Words>
  <Characters>3470</Characters>
  <Lines>28</Lines>
  <Paragraphs>8</Paragraphs>
  <TotalTime>3</TotalTime>
  <ScaleCrop>false</ScaleCrop>
  <LinksUpToDate>false</LinksUpToDate>
  <CharactersWithSpaces>4070</CharactersWithSpaces>
  <Application>WPS Office_11.1.0.10503_F1E327BC-269C-435d-A152-05C5408002CA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2021-07-26T03:17:00Z</dcterms:created>
  <dc:creator>Administrator</dc:creator>
  <cp:lastModifiedBy>梅子花开</cp:lastModifiedBy>
  <cp:lastPrinted>2021-08-02T06:45:11Z</cp:lastPrinted>
  <dcterms:modified xsi:type="dcterms:W3CDTF">2021-08-02T06:45:21Z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0F648CD317F049E4BDFE33954936873C</vt:lpwstr>
  </property>
</Properties>
</file>