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pacing w:line="510" w:lineRule="exact"/>
        <w:jc w:val="center"/>
        <w:rPr>
          <w:rFonts w:hint="eastAsia" w:ascii="黑体" w:hAnsi="黑体" w:eastAsia="黑体" w:cs="Times New Roman"/>
          <w:sz w:val="44"/>
          <w:szCs w:val="44"/>
        </w:rPr>
      </w:pPr>
      <w:r>
        <w:rPr>
          <w:rFonts w:hint="eastAsia" w:ascii="黑体" w:hAnsi="黑体" w:eastAsia="黑体" w:cs="Times New Roman"/>
          <w:sz w:val="44"/>
          <w:szCs w:val="44"/>
        </w:rPr>
        <w:t>中方县发展和改革局2020年度</w:t>
      </w:r>
    </w:p>
    <w:p>
      <w:pPr>
        <w:pStyle w:val="9"/>
        <w:spacing w:line="510" w:lineRule="exact"/>
        <w:jc w:val="center"/>
        <w:rPr>
          <w:rFonts w:hint="eastAsia" w:ascii="黑体" w:hAnsi="黑体" w:eastAsia="黑体" w:cs="Times New Roman"/>
          <w:sz w:val="44"/>
          <w:szCs w:val="44"/>
        </w:rPr>
      </w:pPr>
      <w:r>
        <w:rPr>
          <w:rFonts w:hint="eastAsia" w:ascii="黑体" w:hAnsi="黑体" w:eastAsia="黑体" w:cs="Times New Roman"/>
          <w:sz w:val="44"/>
          <w:szCs w:val="44"/>
        </w:rPr>
        <w:t>项目前期经费项目支出绩效自评报告</w:t>
      </w:r>
    </w:p>
    <w:p>
      <w:pPr>
        <w:jc w:val="center"/>
        <w:rPr>
          <w:rFonts w:ascii="Times New Roman" w:hAnsi="Times New Roman" w:eastAsia="仿宋" w:cs="Times New Roman"/>
          <w:sz w:val="32"/>
          <w:szCs w:val="32"/>
        </w:rPr>
      </w:pPr>
      <w:r>
        <w:rPr>
          <w:rFonts w:ascii="Times New Roman" w:hAnsi="Times New Roman" w:eastAsia="仿宋" w:cs="Times New Roman"/>
          <w:sz w:val="32"/>
          <w:szCs w:val="32"/>
        </w:rPr>
        <w:t xml:space="preserve"> </w:t>
      </w:r>
    </w:p>
    <w:p>
      <w:pPr>
        <w:pStyle w:val="9"/>
        <w:spacing w:line="510" w:lineRule="exact"/>
        <w:ind w:firstLine="643" w:firstLineChars="200"/>
        <w:rPr>
          <w:rFonts w:cs="Times New Roman" w:asciiTheme="majorEastAsia" w:hAnsiTheme="majorEastAsia" w:eastAsiaTheme="majorEastAsia"/>
          <w:b/>
          <w:sz w:val="32"/>
          <w:szCs w:val="32"/>
        </w:rPr>
      </w:pPr>
      <w:r>
        <w:rPr>
          <w:rFonts w:hint="eastAsia" w:cs="Times New Roman" w:asciiTheme="majorEastAsia" w:hAnsiTheme="majorEastAsia" w:eastAsiaTheme="majorEastAsia"/>
          <w:b/>
          <w:sz w:val="32"/>
          <w:szCs w:val="32"/>
        </w:rPr>
        <w:t>一、基本情况</w:t>
      </w:r>
    </w:p>
    <w:p>
      <w:pPr>
        <w:spacing w:line="572" w:lineRule="exact"/>
        <w:ind w:firstLine="643" w:firstLineChars="200"/>
        <w:rPr>
          <w:rFonts w:asciiTheme="majorEastAsia" w:hAnsiTheme="majorEastAsia" w:eastAsiaTheme="majorEastAsia"/>
          <w:sz w:val="32"/>
          <w:szCs w:val="32"/>
        </w:rPr>
      </w:pPr>
      <w:r>
        <w:rPr>
          <w:rFonts w:hint="eastAsia" w:asciiTheme="majorEastAsia" w:hAnsiTheme="majorEastAsia" w:eastAsiaTheme="majorEastAsia"/>
          <w:b/>
          <w:sz w:val="32"/>
          <w:szCs w:val="32"/>
        </w:rPr>
        <w:t>（一）项目概况。</w:t>
      </w:r>
      <w:r>
        <w:rPr>
          <w:rFonts w:hint="eastAsia" w:asciiTheme="majorEastAsia" w:hAnsiTheme="majorEastAsia" w:eastAsiaTheme="majorEastAsia"/>
          <w:sz w:val="32"/>
          <w:szCs w:val="32"/>
        </w:rPr>
        <w:t>2020年度我局项目前期经费共计97万元，其中农村人居环境整治项目评审费10万元，省级工业集中区调区扩区经费10万元，粮食质量检测经费10万元，重大项目集中开工经费等项目前期经费67万元。主要用于完成全县项目前期的规划、可研、环评、申报资料编制、印刷等等一系列准备工作。</w:t>
      </w:r>
    </w:p>
    <w:p>
      <w:pPr>
        <w:pStyle w:val="9"/>
        <w:spacing w:line="560" w:lineRule="exact"/>
        <w:ind w:firstLine="640" w:firstLineChars="200"/>
        <w:rPr>
          <w:rFonts w:hint="eastAsia" w:cs="Arial" w:asciiTheme="majorEastAsia" w:hAnsiTheme="majorEastAsia" w:eastAsiaTheme="majorEastAsia"/>
          <w:color w:val="333333"/>
          <w:sz w:val="32"/>
          <w:szCs w:val="32"/>
          <w:shd w:val="clear" w:color="auto" w:fill="FFFFFF"/>
        </w:rPr>
      </w:pPr>
      <w:r>
        <w:rPr>
          <w:rFonts w:hint="eastAsia" w:asciiTheme="majorEastAsia" w:hAnsiTheme="majorEastAsia" w:eastAsiaTheme="majorEastAsia"/>
          <w:sz w:val="32"/>
          <w:szCs w:val="32"/>
        </w:rPr>
        <w:t>根据省发改委、省农业农村厅关于申报农村人居环境整治专项中央预算内投资计划的通知等相关要求，按照县领导指示，我局牵头组织县农业局等相关部门申报2019年农村人居环境整治中央预算内投资项目, 2019年3月，由市发改委组织对各县（市区）申报资料进行评审，最终我们获得唯一一个市级推荐名额，并</w:t>
      </w:r>
      <w:r>
        <w:rPr>
          <w:rFonts w:hint="eastAsia" w:cs="Arial" w:asciiTheme="majorEastAsia" w:hAnsiTheme="majorEastAsia" w:eastAsiaTheme="majorEastAsia"/>
          <w:color w:val="333333"/>
          <w:sz w:val="32"/>
          <w:szCs w:val="32"/>
          <w:shd w:val="clear" w:color="auto" w:fill="FFFFFF"/>
        </w:rPr>
        <w:t>成功争取到2019年农村人居环境整治专项中央预算内投资补助资金2000万元。2020年完成支付农村人居环境评审费用10万元。</w:t>
      </w:r>
    </w:p>
    <w:p>
      <w:pPr>
        <w:pStyle w:val="9"/>
        <w:spacing w:line="560" w:lineRule="exact"/>
        <w:ind w:firstLine="640" w:firstLineChars="200"/>
        <w:rPr>
          <w:rFonts w:cs="Times New Roman" w:asciiTheme="majorEastAsia" w:hAnsiTheme="majorEastAsia" w:eastAsiaTheme="majorEastAsia"/>
          <w:sz w:val="32"/>
          <w:szCs w:val="32"/>
        </w:rPr>
      </w:pPr>
      <w:r>
        <w:rPr>
          <w:rFonts w:hint="eastAsia" w:cs="Times New Roman" w:asciiTheme="majorEastAsia" w:hAnsiTheme="majorEastAsia" w:eastAsiaTheme="majorEastAsia"/>
          <w:sz w:val="32"/>
          <w:szCs w:val="32"/>
        </w:rPr>
        <w:t>严格落实全县粮食质量与原粮卫生，保障人民群众的粮食消费安全。全年粮油检测任务60个，对全县粮油企业、个体经营户及种粮大户的粮油进行检测。财政资金2020年投入共10万元，主要用于粮油检测（第三方粮油检验机构检测指标费、样品购置费、下乡抽检车费等）。</w:t>
      </w:r>
    </w:p>
    <w:p>
      <w:pPr>
        <w:pStyle w:val="9"/>
        <w:autoSpaceDE w:val="0"/>
        <w:spacing w:line="540" w:lineRule="exact"/>
        <w:ind w:firstLine="640" w:firstLineChars="200"/>
        <w:rPr>
          <w:rFonts w:hint="eastAsia" w:cs="Arial" w:asciiTheme="majorEastAsia" w:hAnsiTheme="majorEastAsia" w:eastAsiaTheme="majorEastAsia"/>
          <w:color w:val="333333"/>
          <w:sz w:val="32"/>
          <w:szCs w:val="32"/>
          <w:shd w:val="clear" w:color="auto" w:fill="FFFFFF"/>
        </w:rPr>
      </w:pPr>
    </w:p>
    <w:p>
      <w:pPr>
        <w:pStyle w:val="8"/>
        <w:spacing w:line="510" w:lineRule="exact"/>
        <w:ind w:firstLine="640" w:firstLineChars="200"/>
        <w:rPr>
          <w:rFonts w:cs="新宋体" w:asciiTheme="majorEastAsia" w:hAnsiTheme="majorEastAsia" w:eastAsiaTheme="majorEastAsia"/>
          <w:sz w:val="32"/>
          <w:szCs w:val="32"/>
        </w:rPr>
      </w:pPr>
      <w:r>
        <w:rPr>
          <w:rFonts w:hint="eastAsia" w:cs="新宋体" w:asciiTheme="majorEastAsia" w:hAnsiTheme="majorEastAsia" w:eastAsiaTheme="majorEastAsia"/>
          <w:sz w:val="32"/>
          <w:szCs w:val="32"/>
        </w:rPr>
        <w:t>为了贯彻省委、省政府的“奋力夺取双胜利，实现发展高质量”的决策部署，结合正在推进实施的全市项目建设“创先争优百日大会战”行动，怀化市于2020年4月26日、9月29日、11月20日举行了三次重大项目集中开竣工活动，其他12个县市区和2个园区分别以视频连线方式同时间举行开竣工活动。</w:t>
      </w:r>
      <w:r>
        <w:rPr>
          <w:rFonts w:hint="eastAsia" w:cs="Arial" w:asciiTheme="majorEastAsia" w:hAnsiTheme="majorEastAsia" w:eastAsiaTheme="majorEastAsia"/>
          <w:color w:val="333333"/>
          <w:sz w:val="32"/>
          <w:szCs w:val="32"/>
          <w:shd w:val="clear" w:color="auto" w:fill="FFFFFF"/>
        </w:rPr>
        <w:t>2020年完成省级调区扩区和重点项目集中开工等支付共77万元。</w:t>
      </w:r>
      <w:r>
        <w:rPr>
          <w:rFonts w:hint="eastAsia" w:asciiTheme="majorEastAsia" w:hAnsiTheme="majorEastAsia" w:eastAsiaTheme="majorEastAsia"/>
          <w:sz w:val="32"/>
          <w:szCs w:val="32"/>
        </w:rPr>
        <w:t>相关项目前期工作准备就绪。</w:t>
      </w:r>
      <w:r>
        <w:rPr>
          <w:rFonts w:hint="eastAsia" w:cs="仿宋_GB2312" w:asciiTheme="majorEastAsia" w:hAnsiTheme="majorEastAsia" w:eastAsiaTheme="majorEastAsia"/>
          <w:sz w:val="32"/>
          <w:szCs w:val="32"/>
        </w:rPr>
        <w:t xml:space="preserve">                     </w:t>
      </w:r>
    </w:p>
    <w:p>
      <w:pPr>
        <w:pStyle w:val="9"/>
        <w:spacing w:line="560" w:lineRule="exact"/>
        <w:ind w:firstLine="643" w:firstLineChars="200"/>
        <w:rPr>
          <w:rFonts w:hint="eastAsia" w:asciiTheme="majorEastAsia" w:hAnsiTheme="majorEastAsia" w:eastAsiaTheme="majorEastAsia"/>
          <w:sz w:val="32"/>
          <w:szCs w:val="32"/>
        </w:rPr>
      </w:pPr>
      <w:r>
        <w:rPr>
          <w:rFonts w:hint="eastAsia" w:asciiTheme="majorEastAsia" w:hAnsiTheme="majorEastAsia" w:eastAsiaTheme="majorEastAsia"/>
          <w:b/>
          <w:sz w:val="32"/>
          <w:szCs w:val="32"/>
        </w:rPr>
        <w:t>（二）项目绩效目标。</w:t>
      </w:r>
      <w:r>
        <w:rPr>
          <w:rFonts w:hint="eastAsia" w:asciiTheme="majorEastAsia" w:hAnsiTheme="majorEastAsia" w:eastAsiaTheme="majorEastAsia"/>
          <w:sz w:val="32"/>
          <w:szCs w:val="32"/>
        </w:rPr>
        <w:t>本项目总投资97万元，来源为县本级财政，绩效目标为更加科学的编制农村人居环境整治实施方案、</w:t>
      </w:r>
      <w:r>
        <w:rPr>
          <w:rFonts w:hint="eastAsia" w:cs="Times New Roman" w:asciiTheme="majorEastAsia" w:hAnsiTheme="majorEastAsia" w:eastAsiaTheme="majorEastAsia"/>
          <w:sz w:val="32"/>
          <w:szCs w:val="32"/>
        </w:rPr>
        <w:t>完成粮油抽检60个样品检测任务</w:t>
      </w:r>
      <w:r>
        <w:rPr>
          <w:rFonts w:hint="eastAsia" w:asciiTheme="majorEastAsia" w:hAnsiTheme="majorEastAsia" w:eastAsiaTheme="majorEastAsia"/>
          <w:sz w:val="32"/>
          <w:szCs w:val="32"/>
        </w:rPr>
        <w:t>、</w:t>
      </w:r>
      <w:r>
        <w:rPr>
          <w:rFonts w:hint="eastAsia" w:cs="Arial" w:asciiTheme="majorEastAsia" w:hAnsiTheme="majorEastAsia" w:eastAsiaTheme="majorEastAsia"/>
          <w:color w:val="333333"/>
          <w:sz w:val="32"/>
          <w:szCs w:val="32"/>
          <w:shd w:val="clear" w:color="auto" w:fill="FFFFFF"/>
        </w:rPr>
        <w:t>省级工业集中区调区扩区工作和重点项目集中开工等</w:t>
      </w:r>
      <w:r>
        <w:rPr>
          <w:rFonts w:hint="eastAsia" w:asciiTheme="majorEastAsia" w:hAnsiTheme="majorEastAsia" w:eastAsiaTheme="majorEastAsia"/>
          <w:sz w:val="32"/>
          <w:szCs w:val="32"/>
        </w:rPr>
        <w:t>。</w:t>
      </w:r>
    </w:p>
    <w:p>
      <w:pPr>
        <w:pStyle w:val="9"/>
        <w:spacing w:line="510" w:lineRule="exact"/>
        <w:ind w:firstLine="643" w:firstLineChars="200"/>
        <w:rPr>
          <w:rFonts w:hint="eastAsia" w:cs="Times New Roman" w:asciiTheme="majorEastAsia" w:hAnsiTheme="majorEastAsia" w:eastAsiaTheme="majorEastAsia"/>
          <w:b/>
          <w:sz w:val="32"/>
          <w:szCs w:val="32"/>
        </w:rPr>
      </w:pPr>
      <w:r>
        <w:rPr>
          <w:rFonts w:hint="eastAsia" w:cs="Times New Roman" w:asciiTheme="majorEastAsia" w:hAnsiTheme="majorEastAsia" w:eastAsiaTheme="majorEastAsia"/>
          <w:b/>
          <w:sz w:val="32"/>
          <w:szCs w:val="32"/>
        </w:rPr>
        <w:t>二、绩效评价工作开展情况</w:t>
      </w:r>
    </w:p>
    <w:p>
      <w:pPr>
        <w:pStyle w:val="9"/>
        <w:spacing w:line="510" w:lineRule="exact"/>
        <w:ind w:firstLine="643" w:firstLineChars="200"/>
        <w:rPr>
          <w:rFonts w:cs="Times New Roman" w:asciiTheme="majorEastAsia" w:hAnsiTheme="majorEastAsia" w:eastAsiaTheme="majorEastAsia"/>
          <w:b/>
          <w:sz w:val="32"/>
          <w:szCs w:val="32"/>
        </w:rPr>
      </w:pPr>
      <w:r>
        <w:rPr>
          <w:rFonts w:hint="eastAsia" w:cs="Times New Roman" w:asciiTheme="majorEastAsia" w:hAnsiTheme="majorEastAsia" w:eastAsiaTheme="majorEastAsia"/>
          <w:b/>
          <w:sz w:val="32"/>
          <w:szCs w:val="32"/>
        </w:rPr>
        <w:t>（一）绩效评价目的、对象和范围。</w:t>
      </w:r>
    </w:p>
    <w:p>
      <w:pPr>
        <w:pStyle w:val="11"/>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cs="Times New Roman" w:asciiTheme="majorEastAsia" w:hAnsiTheme="majorEastAsia" w:eastAsiaTheme="majorEastAsia"/>
          <w:sz w:val="32"/>
          <w:szCs w:val="32"/>
        </w:rPr>
      </w:pPr>
      <w:r>
        <w:rPr>
          <w:rFonts w:hint="eastAsia" w:cs="Times New Roman" w:asciiTheme="majorEastAsia" w:hAnsiTheme="majorEastAsia" w:eastAsiaTheme="majorEastAsia"/>
          <w:sz w:val="32"/>
          <w:szCs w:val="32"/>
        </w:rPr>
        <w:t>绩效评价目的是为了更好的补充完善2019年度农村人居环境整治实施方案，评价对象为中方县发展和改革局，绩效评价范围包括项目实施方案内容修改情况及资金的争取情况。</w:t>
      </w:r>
    </w:p>
    <w:p>
      <w:pPr>
        <w:pStyle w:val="11"/>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cs="Times New Roman" w:asciiTheme="majorEastAsia" w:hAnsiTheme="majorEastAsia" w:eastAsiaTheme="majorEastAsia"/>
          <w:sz w:val="32"/>
          <w:szCs w:val="32"/>
        </w:rPr>
      </w:pPr>
      <w:r>
        <w:rPr>
          <w:rFonts w:hint="eastAsia" w:cs="Times New Roman" w:asciiTheme="majorEastAsia" w:hAnsiTheme="majorEastAsia" w:eastAsiaTheme="majorEastAsia"/>
          <w:sz w:val="32"/>
          <w:szCs w:val="32"/>
        </w:rPr>
        <w:t>确保全县粮油及原粮不受污染，对全县国有企业、民营企业和个体经营者及农户（主要包括种粮大户）的粮食纳入质量监管范围。</w:t>
      </w:r>
    </w:p>
    <w:p>
      <w:pPr>
        <w:pStyle w:val="9"/>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heme="majorEastAsia" w:hAnsiTheme="majorEastAsia" w:eastAsiaTheme="majorEastAsia"/>
        </w:rPr>
      </w:pPr>
      <w:r>
        <w:rPr>
          <w:rFonts w:hint="eastAsia" w:cs="Times New Roman" w:asciiTheme="majorEastAsia" w:hAnsiTheme="majorEastAsia" w:eastAsiaTheme="majorEastAsia"/>
          <w:sz w:val="32"/>
          <w:szCs w:val="32"/>
        </w:rPr>
        <w:t>2020年重大项目集中开竣工活动根据省、市下达的批示及文件要求，配合市委办、县委办做好开竣工活动的实施工作。</w:t>
      </w:r>
    </w:p>
    <w:p>
      <w:pPr>
        <w:pStyle w:val="9"/>
        <w:spacing w:line="510" w:lineRule="exact"/>
        <w:ind w:firstLine="643" w:firstLineChars="200"/>
        <w:rPr>
          <w:rFonts w:cs="Times New Roman" w:asciiTheme="majorEastAsia" w:hAnsiTheme="majorEastAsia" w:eastAsiaTheme="majorEastAsia"/>
          <w:b/>
          <w:sz w:val="32"/>
          <w:szCs w:val="32"/>
        </w:rPr>
      </w:pPr>
      <w:r>
        <w:rPr>
          <w:rFonts w:hint="eastAsia" w:cs="Times New Roman" w:asciiTheme="majorEastAsia" w:hAnsiTheme="majorEastAsia" w:eastAsiaTheme="majorEastAsia"/>
          <w:b/>
          <w:sz w:val="32"/>
          <w:szCs w:val="32"/>
        </w:rPr>
        <w:t>（二）绩效评价原则、评价指标体系（附表说明）、评价方法、评价标准等。</w:t>
      </w:r>
    </w:p>
    <w:p>
      <w:pPr>
        <w:pStyle w:val="9"/>
        <w:spacing w:line="510" w:lineRule="exact"/>
        <w:ind w:firstLine="640" w:firstLineChars="200"/>
        <w:rPr>
          <w:rFonts w:hint="eastAsia" w:cs="Times New Roman" w:asciiTheme="majorEastAsia" w:hAnsiTheme="majorEastAsia" w:eastAsiaTheme="majorEastAsia"/>
          <w:sz w:val="32"/>
          <w:szCs w:val="32"/>
        </w:rPr>
      </w:pPr>
      <w:r>
        <w:rPr>
          <w:rFonts w:hint="eastAsia" w:cs="Times New Roman" w:asciiTheme="majorEastAsia" w:hAnsiTheme="majorEastAsia" w:eastAsiaTheme="majorEastAsia"/>
          <w:sz w:val="32"/>
          <w:szCs w:val="32"/>
        </w:rPr>
        <w:t>2020年5月-6月，中方县发展和改革局组织开展了资金绩效评价工作，按资金类别对每一项资金编写一项绩效评价报告，对专项资金绩效情况和各项目的绩效情况进行了评价分析，评分主要根据资料审阅综合评分，充分考虑资金产出后评审过程中对文本的修改目标。从绩效评价情况看，我局认真落实专项资金使用要求，规范使用方向，积极发挥财政资金引领作用，所有项目整体绩效目标均能较好实现，全县主要经济指标稳重向好，呈现结构优化提质增效的积极变化。</w:t>
      </w:r>
    </w:p>
    <w:p>
      <w:pPr>
        <w:pStyle w:val="9"/>
        <w:spacing w:line="510" w:lineRule="exact"/>
        <w:ind w:firstLine="643" w:firstLineChars="200"/>
        <w:rPr>
          <w:rFonts w:cs="Times New Roman" w:asciiTheme="majorEastAsia" w:hAnsiTheme="majorEastAsia" w:eastAsiaTheme="majorEastAsia"/>
          <w:b/>
          <w:sz w:val="32"/>
          <w:szCs w:val="32"/>
        </w:rPr>
      </w:pPr>
      <w:r>
        <w:rPr>
          <w:rFonts w:hint="eastAsia" w:cs="Times New Roman" w:asciiTheme="majorEastAsia" w:hAnsiTheme="majorEastAsia" w:eastAsiaTheme="majorEastAsia"/>
          <w:b/>
          <w:sz w:val="32"/>
          <w:szCs w:val="32"/>
        </w:rPr>
        <w:t>（三）绩效评价工作过程。</w:t>
      </w:r>
    </w:p>
    <w:p>
      <w:pPr>
        <w:pStyle w:val="9"/>
        <w:spacing w:line="510" w:lineRule="exact"/>
        <w:ind w:firstLine="640" w:firstLineChars="200"/>
        <w:rPr>
          <w:rFonts w:hint="eastAsia" w:cs="Times New Roman" w:asciiTheme="majorEastAsia" w:hAnsiTheme="majorEastAsia" w:eastAsiaTheme="majorEastAsia"/>
          <w:sz w:val="32"/>
          <w:szCs w:val="32"/>
        </w:rPr>
      </w:pPr>
      <w:r>
        <w:rPr>
          <w:rFonts w:hint="eastAsia" w:cs="Times New Roman" w:asciiTheme="majorEastAsia" w:hAnsiTheme="majorEastAsia" w:eastAsiaTheme="majorEastAsia"/>
          <w:sz w:val="32"/>
          <w:szCs w:val="32"/>
        </w:rPr>
        <w:t>县发展和改革局负责对该项目进行绩效评价，绩效评价现场由县发展和改革局、财政局相关股室负责同志参加，通过查阅资料、收付款凭据等资料进行绩效复核。</w:t>
      </w:r>
    </w:p>
    <w:p>
      <w:pPr>
        <w:pStyle w:val="9"/>
        <w:spacing w:line="510" w:lineRule="exact"/>
        <w:ind w:firstLine="643" w:firstLineChars="200"/>
        <w:rPr>
          <w:rFonts w:cs="Times New Roman" w:asciiTheme="majorEastAsia" w:hAnsiTheme="majorEastAsia" w:eastAsiaTheme="majorEastAsia"/>
          <w:b/>
          <w:sz w:val="32"/>
          <w:szCs w:val="32"/>
        </w:rPr>
      </w:pPr>
      <w:r>
        <w:rPr>
          <w:rFonts w:hint="eastAsia" w:cs="Times New Roman" w:asciiTheme="majorEastAsia" w:hAnsiTheme="majorEastAsia" w:eastAsiaTheme="majorEastAsia"/>
          <w:b/>
          <w:sz w:val="32"/>
          <w:szCs w:val="32"/>
        </w:rPr>
        <w:t>三、综合评价情况及评价结论</w:t>
      </w:r>
    </w:p>
    <w:p>
      <w:pPr>
        <w:pStyle w:val="9"/>
        <w:spacing w:line="510" w:lineRule="exact"/>
        <w:ind w:firstLine="640" w:firstLineChars="200"/>
        <w:rPr>
          <w:rFonts w:cs="Times New Roman" w:asciiTheme="majorEastAsia" w:hAnsiTheme="majorEastAsia" w:eastAsiaTheme="majorEastAsia"/>
          <w:sz w:val="32"/>
          <w:szCs w:val="32"/>
        </w:rPr>
      </w:pPr>
      <w:r>
        <w:rPr>
          <w:rFonts w:hint="eastAsia" w:cs="Times New Roman" w:asciiTheme="majorEastAsia" w:hAnsiTheme="majorEastAsia" w:eastAsiaTheme="majorEastAsia"/>
          <w:sz w:val="32"/>
          <w:szCs w:val="32"/>
        </w:rPr>
        <w:t>绩效评价综合评分为优秀，分数为：100分。</w:t>
      </w:r>
    </w:p>
    <w:p>
      <w:pPr>
        <w:pStyle w:val="9"/>
        <w:spacing w:line="510" w:lineRule="exact"/>
        <w:ind w:firstLine="643" w:firstLineChars="200"/>
        <w:rPr>
          <w:rFonts w:cs="Times New Roman" w:asciiTheme="majorEastAsia" w:hAnsiTheme="majorEastAsia" w:eastAsiaTheme="majorEastAsia"/>
          <w:b/>
          <w:sz w:val="32"/>
          <w:szCs w:val="32"/>
        </w:rPr>
      </w:pPr>
      <w:r>
        <w:rPr>
          <w:rFonts w:hint="eastAsia" w:cs="Times New Roman" w:asciiTheme="majorEastAsia" w:hAnsiTheme="majorEastAsia" w:eastAsiaTheme="majorEastAsia"/>
          <w:b/>
          <w:sz w:val="32"/>
          <w:szCs w:val="32"/>
        </w:rPr>
        <w:t>四、绩效评价指标分析</w:t>
      </w:r>
    </w:p>
    <w:p>
      <w:pPr>
        <w:pStyle w:val="9"/>
        <w:spacing w:line="510" w:lineRule="exact"/>
        <w:ind w:firstLine="643" w:firstLineChars="200"/>
        <w:rPr>
          <w:rFonts w:cs="Times New Roman" w:asciiTheme="majorEastAsia" w:hAnsiTheme="majorEastAsia" w:eastAsiaTheme="majorEastAsia"/>
          <w:b/>
          <w:sz w:val="32"/>
          <w:szCs w:val="32"/>
        </w:rPr>
      </w:pPr>
      <w:r>
        <w:rPr>
          <w:rFonts w:hint="eastAsia" w:cs="Times New Roman" w:asciiTheme="majorEastAsia" w:hAnsiTheme="majorEastAsia" w:eastAsiaTheme="majorEastAsia"/>
          <w:b/>
          <w:sz w:val="32"/>
          <w:szCs w:val="32"/>
        </w:rPr>
        <w:t>（一）项目决策情况。</w:t>
      </w:r>
    </w:p>
    <w:p>
      <w:pPr>
        <w:pStyle w:val="9"/>
        <w:spacing w:line="510" w:lineRule="exact"/>
        <w:ind w:firstLine="640" w:firstLineChars="200"/>
        <w:rPr>
          <w:rFonts w:hint="eastAsia" w:cs="Times New Roman" w:asciiTheme="majorEastAsia" w:hAnsiTheme="majorEastAsia" w:eastAsiaTheme="majorEastAsia"/>
          <w:sz w:val="32"/>
          <w:szCs w:val="32"/>
        </w:rPr>
      </w:pPr>
      <w:r>
        <w:rPr>
          <w:rFonts w:hint="eastAsia" w:cs="Times New Roman" w:asciiTheme="majorEastAsia" w:hAnsiTheme="majorEastAsia" w:eastAsiaTheme="majorEastAsia"/>
          <w:sz w:val="32"/>
          <w:szCs w:val="32"/>
        </w:rPr>
        <w:t>该项目由县发改局按照项目</w:t>
      </w:r>
      <w:r>
        <w:rPr>
          <w:rFonts w:hint="eastAsia" w:cs="Times New Roman" w:asciiTheme="majorEastAsia" w:hAnsiTheme="majorEastAsia" w:eastAsiaTheme="majorEastAsia"/>
          <w:sz w:val="32"/>
          <w:szCs w:val="32"/>
          <w:lang w:eastAsia="zh-CN"/>
        </w:rPr>
        <w:t>前期工作</w:t>
      </w:r>
      <w:r>
        <w:rPr>
          <w:rFonts w:hint="eastAsia" w:cs="Times New Roman" w:asciiTheme="majorEastAsia" w:hAnsiTheme="majorEastAsia" w:eastAsiaTheme="majorEastAsia"/>
          <w:sz w:val="32"/>
          <w:szCs w:val="32"/>
        </w:rPr>
        <w:t>要求予以支付。</w:t>
      </w:r>
    </w:p>
    <w:p>
      <w:pPr>
        <w:pStyle w:val="9"/>
        <w:spacing w:line="510" w:lineRule="exact"/>
        <w:ind w:firstLine="643" w:firstLineChars="200"/>
        <w:rPr>
          <w:rFonts w:cs="Times New Roman" w:asciiTheme="majorEastAsia" w:hAnsiTheme="majorEastAsia" w:eastAsiaTheme="majorEastAsia"/>
          <w:b/>
          <w:sz w:val="32"/>
          <w:szCs w:val="32"/>
        </w:rPr>
      </w:pPr>
      <w:r>
        <w:rPr>
          <w:rFonts w:hint="eastAsia" w:cs="Times New Roman" w:asciiTheme="majorEastAsia" w:hAnsiTheme="majorEastAsia" w:eastAsiaTheme="majorEastAsia"/>
          <w:b/>
          <w:sz w:val="32"/>
          <w:szCs w:val="32"/>
        </w:rPr>
        <w:t>（二）项目过程情况。</w:t>
      </w:r>
    </w:p>
    <w:p>
      <w:pPr>
        <w:pStyle w:val="9"/>
        <w:spacing w:line="510" w:lineRule="exact"/>
        <w:ind w:firstLine="640" w:firstLineChars="200"/>
        <w:rPr>
          <w:rFonts w:hint="eastAsia" w:ascii="宋体" w:hAnsi="宋体" w:eastAsia="宋体" w:cs="宋体"/>
          <w:sz w:val="32"/>
          <w:szCs w:val="32"/>
        </w:rPr>
      </w:pPr>
      <w:r>
        <w:rPr>
          <w:rFonts w:hint="eastAsia" w:ascii="宋体" w:hAnsi="宋体" w:eastAsia="宋体" w:cs="宋体"/>
          <w:sz w:val="32"/>
          <w:szCs w:val="32"/>
          <w:lang w:eastAsia="zh-CN"/>
        </w:rPr>
        <w:t>县</w:t>
      </w:r>
      <w:r>
        <w:rPr>
          <w:rFonts w:hint="eastAsia" w:ascii="宋体" w:hAnsi="宋体" w:eastAsia="宋体" w:cs="宋体"/>
          <w:sz w:val="32"/>
          <w:szCs w:val="32"/>
        </w:rPr>
        <w:t>人居环境整治项目由县农业农村局主导实施，县发展和改革局负责组织前期申报、评审工作。</w:t>
      </w:r>
    </w:p>
    <w:p>
      <w:pPr>
        <w:pStyle w:val="9"/>
        <w:spacing w:line="560" w:lineRule="exact"/>
        <w:ind w:firstLine="640" w:firstLineChars="200"/>
        <w:rPr>
          <w:rFonts w:hint="eastAsia" w:ascii="宋体" w:hAnsi="宋体" w:eastAsia="宋体" w:cs="宋体"/>
          <w:sz w:val="32"/>
          <w:szCs w:val="32"/>
        </w:rPr>
      </w:pPr>
      <w:r>
        <w:rPr>
          <w:rFonts w:hint="eastAsia" w:ascii="宋体" w:hAnsi="宋体" w:eastAsia="宋体" w:cs="宋体"/>
          <w:sz w:val="32"/>
          <w:szCs w:val="32"/>
          <w:lang w:eastAsia="zh-CN"/>
        </w:rPr>
        <w:t>县粮油质量检测</w:t>
      </w:r>
      <w:r>
        <w:rPr>
          <w:rFonts w:hint="eastAsia" w:ascii="宋体" w:hAnsi="宋体" w:eastAsia="宋体" w:cs="宋体"/>
          <w:sz w:val="32"/>
          <w:szCs w:val="32"/>
        </w:rPr>
        <w:t>由我局负责对全县国有企业、民营企业和个体经营者及农户（主要包括种粮大户）的粮食进行抽检。</w:t>
      </w:r>
    </w:p>
    <w:p>
      <w:pPr>
        <w:pStyle w:val="9"/>
        <w:spacing w:line="510" w:lineRule="exact"/>
        <w:ind w:firstLine="640" w:firstLineChars="200"/>
        <w:rPr>
          <w:rFonts w:hint="eastAsia" w:ascii="宋体" w:hAnsi="宋体" w:eastAsia="宋体" w:cs="宋体"/>
          <w:sz w:val="32"/>
          <w:szCs w:val="32"/>
          <w:lang w:val="en-US" w:eastAsia="zh-CN"/>
        </w:rPr>
      </w:pPr>
      <w:r>
        <w:rPr>
          <w:rFonts w:hint="eastAsia" w:ascii="宋体" w:hAnsi="宋体" w:eastAsia="宋体" w:cs="宋体"/>
          <w:sz w:val="32"/>
          <w:szCs w:val="32"/>
          <w:lang w:eastAsia="zh-CN"/>
        </w:rPr>
        <w:t>县重点项目中方县分会场开工</w:t>
      </w:r>
      <w:r>
        <w:rPr>
          <w:rFonts w:hint="eastAsia" w:ascii="宋体" w:hAnsi="宋体" w:eastAsia="宋体" w:cs="宋体"/>
          <w:sz w:val="32"/>
          <w:szCs w:val="32"/>
          <w:lang w:val="en-US" w:eastAsia="zh-CN"/>
        </w:rPr>
        <w:t>2020年共三场：分别在</w:t>
      </w:r>
      <w:r>
        <w:rPr>
          <w:rFonts w:hint="eastAsia" w:ascii="宋体" w:hAnsi="宋体" w:eastAsia="宋体" w:cs="宋体"/>
          <w:sz w:val="32"/>
          <w:szCs w:val="32"/>
          <w:lang w:eastAsia="zh-CN"/>
        </w:rPr>
        <w:t>2月21日上午，集中开工重点项目一共有</w:t>
      </w:r>
      <w:r>
        <w:rPr>
          <w:rFonts w:hint="eastAsia" w:ascii="宋体" w:hAnsi="宋体" w:eastAsia="宋体" w:cs="宋体"/>
          <w:sz w:val="32"/>
          <w:szCs w:val="32"/>
          <w:lang w:val="en-US" w:eastAsia="zh-CN"/>
        </w:rPr>
        <w:t>6</w:t>
      </w:r>
      <w:r>
        <w:rPr>
          <w:rFonts w:hint="eastAsia" w:ascii="宋体" w:hAnsi="宋体" w:eastAsia="宋体" w:cs="宋体"/>
          <w:sz w:val="32"/>
          <w:szCs w:val="32"/>
          <w:lang w:eastAsia="zh-CN"/>
        </w:rPr>
        <w:t>个；</w:t>
      </w:r>
      <w:r>
        <w:rPr>
          <w:rFonts w:hint="eastAsia" w:ascii="宋体" w:hAnsi="宋体" w:eastAsia="宋体" w:cs="宋体"/>
          <w:sz w:val="32"/>
          <w:szCs w:val="32"/>
          <w:lang w:val="en-US" w:eastAsia="zh-CN"/>
        </w:rPr>
        <w:t>4月28日上午，</w:t>
      </w:r>
      <w:r>
        <w:rPr>
          <w:rFonts w:hint="eastAsia" w:ascii="宋体" w:hAnsi="宋体" w:eastAsia="宋体" w:cs="宋体"/>
          <w:sz w:val="32"/>
          <w:szCs w:val="32"/>
          <w:lang w:eastAsia="zh-CN"/>
        </w:rPr>
        <w:t>集中开工重点产业项目一共有</w:t>
      </w:r>
      <w:r>
        <w:rPr>
          <w:rFonts w:hint="eastAsia" w:ascii="宋体" w:hAnsi="宋体" w:eastAsia="宋体" w:cs="宋体"/>
          <w:sz w:val="32"/>
          <w:szCs w:val="32"/>
          <w:lang w:val="en-US" w:eastAsia="zh-CN"/>
        </w:rPr>
        <w:t>6</w:t>
      </w:r>
      <w:r>
        <w:rPr>
          <w:rFonts w:hint="eastAsia" w:ascii="宋体" w:hAnsi="宋体" w:eastAsia="宋体" w:cs="宋体"/>
          <w:sz w:val="32"/>
          <w:szCs w:val="32"/>
          <w:lang w:eastAsia="zh-CN"/>
        </w:rPr>
        <w:t>个；</w:t>
      </w:r>
      <w:r>
        <w:rPr>
          <w:rFonts w:hint="eastAsia" w:ascii="宋体" w:hAnsi="宋体" w:eastAsia="宋体" w:cs="宋体"/>
          <w:sz w:val="32"/>
          <w:szCs w:val="32"/>
          <w:lang w:val="en-US" w:eastAsia="zh-CN"/>
        </w:rPr>
        <w:t>9月29日上午，集中开工重点项目有3个。</w:t>
      </w:r>
    </w:p>
    <w:p>
      <w:pPr>
        <w:pStyle w:val="9"/>
        <w:spacing w:line="510" w:lineRule="exact"/>
        <w:ind w:firstLine="643" w:firstLineChars="200"/>
        <w:rPr>
          <w:rFonts w:cs="Times New Roman" w:asciiTheme="majorEastAsia" w:hAnsiTheme="majorEastAsia" w:eastAsiaTheme="majorEastAsia"/>
          <w:b/>
          <w:sz w:val="32"/>
          <w:szCs w:val="32"/>
        </w:rPr>
      </w:pPr>
      <w:r>
        <w:rPr>
          <w:rFonts w:hint="eastAsia" w:cs="Times New Roman" w:asciiTheme="majorEastAsia" w:hAnsiTheme="majorEastAsia" w:eastAsiaTheme="majorEastAsia"/>
          <w:b/>
          <w:sz w:val="32"/>
          <w:szCs w:val="32"/>
        </w:rPr>
        <w:t>（三）项目产出情况。</w:t>
      </w:r>
    </w:p>
    <w:p>
      <w:pPr>
        <w:pStyle w:val="9"/>
        <w:spacing w:line="510" w:lineRule="exact"/>
        <w:ind w:firstLine="640" w:firstLineChars="200"/>
        <w:rPr>
          <w:rFonts w:hint="eastAsia" w:cs="Times New Roman" w:asciiTheme="majorEastAsia" w:hAnsiTheme="majorEastAsia" w:eastAsiaTheme="majorEastAsia"/>
          <w:sz w:val="32"/>
          <w:szCs w:val="32"/>
        </w:rPr>
      </w:pPr>
      <w:r>
        <w:rPr>
          <w:rFonts w:hint="eastAsia" w:cs="Times New Roman" w:asciiTheme="majorEastAsia" w:hAnsiTheme="majorEastAsia" w:eastAsiaTheme="majorEastAsia"/>
          <w:sz w:val="32"/>
          <w:szCs w:val="32"/>
        </w:rPr>
        <w:t>该项目共产出97万元，主要用于2019年农村人居环境整治实施方案的评审及文印、完成粮油抽检60个样品检测任务</w:t>
      </w:r>
      <w:r>
        <w:rPr>
          <w:rFonts w:hint="eastAsia" w:asciiTheme="majorEastAsia" w:hAnsiTheme="majorEastAsia" w:eastAsiaTheme="majorEastAsia"/>
          <w:sz w:val="32"/>
          <w:szCs w:val="32"/>
        </w:rPr>
        <w:t>、</w:t>
      </w:r>
      <w:r>
        <w:rPr>
          <w:rFonts w:hint="eastAsia" w:cs="Arial" w:asciiTheme="majorEastAsia" w:hAnsiTheme="majorEastAsia" w:eastAsiaTheme="majorEastAsia"/>
          <w:color w:val="333333"/>
          <w:sz w:val="32"/>
          <w:szCs w:val="32"/>
          <w:shd w:val="clear" w:color="auto" w:fill="FFFFFF"/>
        </w:rPr>
        <w:t>省级工业集中区调区扩区工作、</w:t>
      </w:r>
      <w:r>
        <w:rPr>
          <w:rFonts w:hint="eastAsia" w:cs="新宋体" w:asciiTheme="majorEastAsia" w:hAnsiTheme="majorEastAsia" w:eastAsiaTheme="majorEastAsia"/>
          <w:sz w:val="32"/>
          <w:szCs w:val="32"/>
        </w:rPr>
        <w:t>圆满完成三次重大项目集中开竣工活动，参加集中开工重点项目共计15个，集中竣工重点项目有1个。我县开竣工仪式分会场现场展台搭建、设备安装、场地平整等。</w:t>
      </w:r>
    </w:p>
    <w:p>
      <w:pPr>
        <w:pStyle w:val="9"/>
        <w:spacing w:line="510" w:lineRule="exact"/>
        <w:ind w:firstLine="643" w:firstLineChars="200"/>
        <w:rPr>
          <w:rFonts w:cs="Times New Roman" w:asciiTheme="majorEastAsia" w:hAnsiTheme="majorEastAsia" w:eastAsiaTheme="majorEastAsia"/>
          <w:b/>
          <w:sz w:val="32"/>
          <w:szCs w:val="32"/>
        </w:rPr>
      </w:pPr>
      <w:r>
        <w:rPr>
          <w:rFonts w:hint="eastAsia" w:cs="Times New Roman" w:asciiTheme="majorEastAsia" w:hAnsiTheme="majorEastAsia" w:eastAsiaTheme="majorEastAsia"/>
          <w:b/>
          <w:sz w:val="32"/>
          <w:szCs w:val="32"/>
        </w:rPr>
        <w:t>（四）项目效益情况。</w:t>
      </w:r>
    </w:p>
    <w:p>
      <w:pPr>
        <w:spacing w:line="520" w:lineRule="exact"/>
        <w:ind w:firstLine="560"/>
        <w:rPr>
          <w:rFonts w:hint="eastAsia" w:asciiTheme="majorEastAsia" w:hAnsiTheme="majorEastAsia" w:eastAsiaTheme="majorEastAsia"/>
          <w:sz w:val="32"/>
          <w:szCs w:val="32"/>
        </w:rPr>
      </w:pPr>
      <w:r>
        <w:rPr>
          <w:rFonts w:hint="eastAsia" w:asciiTheme="majorEastAsia" w:hAnsiTheme="majorEastAsia" w:eastAsiaTheme="majorEastAsia"/>
          <w:sz w:val="32"/>
          <w:szCs w:val="32"/>
        </w:rPr>
        <w:t>通过全县各级各部门的共同努力付出，我县成为当年怀化市唯一一个获得人居环境整治专项的县市，并且通过评审期间的方案优化处理，实施后的项目在国家得到表扬，并在农业部作典型经验发言。</w:t>
      </w:r>
    </w:p>
    <w:p>
      <w:pPr>
        <w:pStyle w:val="9"/>
        <w:spacing w:line="56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2020年已完成粮油抽检60个样品检测任务，粮油质量合格，合格率99%。确保粮油质量不受污染，全县25万人民粮油质量安全，无重大粮油质量安全事故。不合格的粮油产品不流入品粮市场，粮油市场稳定发展。</w:t>
      </w:r>
    </w:p>
    <w:p>
      <w:pPr>
        <w:spacing w:line="572" w:lineRule="exact"/>
        <w:ind w:firstLine="640" w:firstLineChars="200"/>
        <w:rPr>
          <w:rFonts w:hint="eastAsia" w:cs="新宋体" w:asciiTheme="majorEastAsia" w:hAnsiTheme="majorEastAsia" w:eastAsiaTheme="majorEastAsia"/>
          <w:sz w:val="32"/>
          <w:szCs w:val="32"/>
        </w:rPr>
      </w:pPr>
      <w:r>
        <w:rPr>
          <w:rFonts w:hint="eastAsia" w:cs="新宋体" w:asciiTheme="majorEastAsia" w:hAnsiTheme="majorEastAsia" w:eastAsiaTheme="majorEastAsia"/>
          <w:sz w:val="32"/>
          <w:szCs w:val="32"/>
        </w:rPr>
        <w:t>通过集中开工吹响项目建设“冲锋号”，按下项目建设“快进键”，确保重点项目早落地、早投产、早见效，全力为中方追赶跨越发展积蓄强劲新动能。</w:t>
      </w:r>
    </w:p>
    <w:p>
      <w:pPr>
        <w:spacing w:line="572" w:lineRule="exact"/>
        <w:ind w:firstLine="640" w:firstLineChars="200"/>
        <w:rPr>
          <w:rFonts w:hint="eastAsia" w:asciiTheme="majorEastAsia" w:hAnsiTheme="majorEastAsia" w:eastAsiaTheme="majorEastAsia"/>
          <w:sz w:val="32"/>
          <w:szCs w:val="32"/>
        </w:rPr>
      </w:pPr>
      <w:r>
        <w:rPr>
          <w:rFonts w:hint="eastAsia" w:cs="新宋体" w:asciiTheme="majorEastAsia" w:hAnsiTheme="majorEastAsia" w:eastAsiaTheme="majorEastAsia"/>
          <w:sz w:val="32"/>
          <w:szCs w:val="32"/>
        </w:rPr>
        <w:t>调区扩区工作</w:t>
      </w:r>
      <w:r>
        <w:rPr>
          <w:rFonts w:hint="eastAsia" w:asciiTheme="majorEastAsia" w:hAnsiTheme="majorEastAsia" w:eastAsiaTheme="majorEastAsia"/>
          <w:sz w:val="32"/>
          <w:szCs w:val="32"/>
        </w:rPr>
        <w:t>严格按照省市等相关文件要求的时间节点，高质高效完成项目前期申报及规划编制工作。</w:t>
      </w:r>
    </w:p>
    <w:p>
      <w:pPr>
        <w:pStyle w:val="9"/>
        <w:spacing w:line="510" w:lineRule="exact"/>
        <w:ind w:firstLine="643" w:firstLineChars="200"/>
        <w:rPr>
          <w:rFonts w:hint="eastAsia" w:cs="Times New Roman" w:asciiTheme="majorEastAsia" w:hAnsiTheme="majorEastAsia" w:eastAsiaTheme="majorEastAsia"/>
          <w:b/>
          <w:sz w:val="32"/>
          <w:szCs w:val="32"/>
        </w:rPr>
      </w:pPr>
      <w:r>
        <w:rPr>
          <w:rFonts w:hint="eastAsia" w:cs="Times New Roman" w:asciiTheme="majorEastAsia" w:hAnsiTheme="majorEastAsia" w:eastAsiaTheme="majorEastAsia"/>
          <w:b/>
          <w:sz w:val="32"/>
          <w:szCs w:val="32"/>
        </w:rPr>
        <w:t>五、主要经验及做法、存在的问题及原因分析</w:t>
      </w:r>
    </w:p>
    <w:p>
      <w:pPr>
        <w:pStyle w:val="9"/>
        <w:spacing w:line="560" w:lineRule="exact"/>
        <w:ind w:firstLine="640" w:firstLineChars="200"/>
        <w:rPr>
          <w:rFonts w:cs="Times New Roman" w:asciiTheme="majorEastAsia" w:hAnsiTheme="majorEastAsia" w:eastAsiaTheme="majorEastAsia"/>
          <w:sz w:val="32"/>
          <w:szCs w:val="32"/>
        </w:rPr>
      </w:pPr>
      <w:r>
        <w:rPr>
          <w:rFonts w:hint="eastAsia" w:asciiTheme="majorEastAsia" w:hAnsiTheme="majorEastAsia" w:eastAsiaTheme="majorEastAsia"/>
          <w:sz w:val="32"/>
          <w:szCs w:val="32"/>
        </w:rPr>
        <w:t>主要经验：一是提前准备，科学规划，在项目前期工作中做到精心策划，聘请有资质的科研单位对项目进行发展规划和可行性认证分析。二是精心组织，在项目实施过程中抓好项目组织，实行项目负责制，责任到人。三是抓好计划的实施。按照工程建设进度，做到分部工程督促监督到位，保证项目如期如质的完成。四是抓好资金的管理。做到专款专用和计划使用。</w:t>
      </w:r>
    </w:p>
    <w:p>
      <w:pPr>
        <w:pStyle w:val="9"/>
        <w:spacing w:line="560" w:lineRule="exact"/>
        <w:ind w:firstLine="640" w:firstLineChars="200"/>
        <w:rPr>
          <w:rFonts w:hint="eastAsia" w:cs="Times New Roman" w:asciiTheme="majorEastAsia" w:hAnsiTheme="majorEastAsia" w:eastAsiaTheme="majorEastAsia"/>
          <w:sz w:val="32"/>
          <w:szCs w:val="32"/>
        </w:rPr>
      </w:pPr>
      <w:r>
        <w:rPr>
          <w:rFonts w:cs="Times New Roman" w:asciiTheme="majorEastAsia" w:hAnsiTheme="majorEastAsia" w:eastAsiaTheme="majorEastAsia"/>
          <w:sz w:val="32"/>
          <w:szCs w:val="32"/>
        </w:rPr>
        <w:t>存在的问题。粮油检测经费到位时间稍晚，不利于开展工作。</w:t>
      </w:r>
    </w:p>
    <w:p>
      <w:pPr>
        <w:pStyle w:val="9"/>
        <w:spacing w:line="510" w:lineRule="exact"/>
        <w:ind w:firstLine="643" w:firstLineChars="200"/>
        <w:rPr>
          <w:rFonts w:hint="eastAsia" w:cs="Times New Roman" w:asciiTheme="majorEastAsia" w:hAnsiTheme="majorEastAsia" w:eastAsiaTheme="majorEastAsia"/>
          <w:b/>
          <w:sz w:val="32"/>
          <w:szCs w:val="32"/>
        </w:rPr>
      </w:pPr>
      <w:r>
        <w:rPr>
          <w:rFonts w:hint="eastAsia" w:cs="Times New Roman" w:asciiTheme="majorEastAsia" w:hAnsiTheme="majorEastAsia" w:eastAsiaTheme="majorEastAsia"/>
          <w:b/>
          <w:sz w:val="32"/>
          <w:szCs w:val="32"/>
        </w:rPr>
        <w:t>六、有关建议</w:t>
      </w:r>
    </w:p>
    <w:p>
      <w:pPr>
        <w:pStyle w:val="9"/>
        <w:spacing w:line="560" w:lineRule="exact"/>
        <w:ind w:firstLine="640" w:firstLineChars="200"/>
        <w:rPr>
          <w:rFonts w:cs="Times New Roman" w:asciiTheme="majorEastAsia" w:hAnsiTheme="majorEastAsia" w:eastAsiaTheme="majorEastAsia"/>
          <w:sz w:val="32"/>
          <w:szCs w:val="32"/>
        </w:rPr>
      </w:pPr>
      <w:r>
        <w:rPr>
          <w:rFonts w:cs="Times New Roman" w:asciiTheme="majorEastAsia" w:hAnsiTheme="majorEastAsia" w:eastAsiaTheme="majorEastAsia"/>
          <w:sz w:val="32"/>
          <w:szCs w:val="32"/>
        </w:rPr>
        <w:t>全县粮油抽样只有60个样品，只能代表一部分粮油的检测结果，建议加大粮油样品检测个数，辐射面更宽，扎实抓好我县粮油产品及原粮质量卫生安全。</w:t>
      </w:r>
    </w:p>
    <w:p>
      <w:pPr>
        <w:pStyle w:val="9"/>
        <w:spacing w:line="510" w:lineRule="exact"/>
        <w:ind w:firstLine="643" w:firstLineChars="200"/>
        <w:rPr>
          <w:rFonts w:hint="eastAsia" w:cs="Times New Roman" w:asciiTheme="majorEastAsia" w:hAnsiTheme="majorEastAsia" w:eastAsiaTheme="majorEastAsia"/>
          <w:b/>
          <w:sz w:val="32"/>
          <w:szCs w:val="32"/>
        </w:rPr>
      </w:pPr>
      <w:r>
        <w:rPr>
          <w:rFonts w:hint="eastAsia" w:cs="Times New Roman" w:asciiTheme="majorEastAsia" w:hAnsiTheme="majorEastAsia" w:eastAsiaTheme="majorEastAsia"/>
          <w:b/>
          <w:sz w:val="32"/>
          <w:szCs w:val="32"/>
        </w:rPr>
        <w:t>七、其他需要说明的问题</w:t>
      </w:r>
    </w:p>
    <w:p>
      <w:pPr>
        <w:pStyle w:val="9"/>
        <w:spacing w:line="510" w:lineRule="exact"/>
        <w:ind w:firstLine="640" w:firstLineChars="200"/>
        <w:rPr>
          <w:rFonts w:hint="eastAsia" w:cs="Times New Roman" w:asciiTheme="majorEastAsia" w:hAnsiTheme="majorEastAsia" w:eastAsiaTheme="majorEastAsia"/>
          <w:sz w:val="32"/>
          <w:szCs w:val="32"/>
        </w:rPr>
      </w:pPr>
      <w:r>
        <w:rPr>
          <w:rFonts w:hint="eastAsia" w:cs="Times New Roman" w:asciiTheme="majorEastAsia" w:hAnsiTheme="majorEastAsia" w:eastAsiaTheme="majorEastAsia"/>
          <w:sz w:val="32"/>
          <w:szCs w:val="32"/>
        </w:rPr>
        <w:t>无</w:t>
      </w:r>
    </w:p>
    <w:p>
      <w:pPr>
        <w:widowControl/>
        <w:spacing w:line="510" w:lineRule="exact"/>
        <w:ind w:firstLine="645"/>
        <w:jc w:val="left"/>
        <w:rPr>
          <w:rFonts w:hint="eastAsia" w:cs="Times New Roman" w:asciiTheme="majorEastAsia" w:hAnsiTheme="majorEastAsia" w:eastAsiaTheme="majorEastAsia"/>
          <w:sz w:val="32"/>
          <w:szCs w:val="32"/>
        </w:rPr>
      </w:pPr>
      <w:r>
        <w:rPr>
          <w:rFonts w:cs="Times New Roman" w:asciiTheme="majorEastAsia" w:hAnsiTheme="majorEastAsia" w:eastAsiaTheme="majorEastAsia"/>
          <w:sz w:val="32"/>
          <w:szCs w:val="32"/>
        </w:rPr>
        <w:t>附件：1.项目支出绩效自评</w:t>
      </w:r>
      <w:r>
        <w:rPr>
          <w:rFonts w:hint="eastAsia" w:asciiTheme="majorEastAsia" w:hAnsiTheme="majorEastAsia" w:eastAsiaTheme="majorEastAsia"/>
          <w:sz w:val="32"/>
          <w:szCs w:val="32"/>
        </w:rPr>
        <w:t>表</w:t>
      </w:r>
    </w:p>
    <w:p>
      <w:pPr>
        <w:widowControl/>
        <w:spacing w:line="510" w:lineRule="exact"/>
        <w:ind w:firstLine="1600" w:firstLineChars="500"/>
        <w:jc w:val="left"/>
        <w:rPr>
          <w:rFonts w:hint="eastAsia" w:ascii="Times New Roman" w:hAnsi="Times New Roman" w:cs="Times New Roman" w:eastAsiaTheme="minorEastAsia"/>
          <w:sz w:val="32"/>
          <w:szCs w:val="32"/>
        </w:rPr>
        <w:sectPr>
          <w:footerReference r:id="rId3" w:type="default"/>
          <w:pgSz w:w="12240" w:h="15840"/>
          <w:pgMar w:top="1440" w:right="1800" w:bottom="1440" w:left="1800" w:header="720" w:footer="720" w:gutter="0"/>
          <w:cols w:space="720" w:num="1"/>
        </w:sectPr>
      </w:pPr>
      <w:r>
        <w:rPr>
          <w:rFonts w:cs="Times New Roman" w:asciiTheme="majorEastAsia" w:hAnsiTheme="majorEastAsia" w:eastAsiaTheme="majorEastAsia"/>
          <w:sz w:val="32"/>
          <w:szCs w:val="32"/>
        </w:rPr>
        <w:t>2.项目支出绩效评价指标</w:t>
      </w:r>
      <w:r>
        <w:rPr>
          <w:rFonts w:cs="Times New Roman" w:asciiTheme="majorEastAsia" w:hAnsiTheme="majorEastAsia" w:eastAsiaTheme="majorEastAsia"/>
          <w:bCs/>
          <w:color w:val="000000"/>
          <w:kern w:val="0"/>
          <w:sz w:val="32"/>
          <w:szCs w:val="32"/>
        </w:rPr>
        <w:t>评分</w:t>
      </w:r>
      <w:r>
        <w:rPr>
          <w:rFonts w:hint="eastAsia" w:asciiTheme="majorEastAsia" w:hAnsiTheme="majorEastAsia" w:eastAsiaTheme="majorEastAsia"/>
          <w:bCs/>
          <w:color w:val="000000"/>
          <w:kern w:val="0"/>
          <w:sz w:val="32"/>
          <w:szCs w:val="32"/>
        </w:rPr>
        <w:t>表</w:t>
      </w:r>
    </w:p>
    <w:p>
      <w:pPr>
        <w:spacing w:line="400" w:lineRule="exact"/>
        <w:rPr>
          <w:rFonts w:hint="eastAsia" w:ascii="Times New Roman" w:hAnsi="Times New Roman" w:eastAsia="仿宋_GB2312" w:cs="Times New Roman"/>
          <w:bCs/>
          <w:color w:val="000000"/>
          <w:sz w:val="32"/>
          <w:szCs w:val="32"/>
          <w:lang w:val="en-US" w:eastAsia="zh-CN"/>
        </w:rPr>
      </w:pPr>
      <w:bookmarkStart w:id="0" w:name="_GoBack"/>
      <w:bookmarkEnd w:id="0"/>
      <w:r>
        <w:rPr>
          <w:rFonts w:ascii="仿宋_GB2312" w:hAnsi="仿宋_GB2312" w:eastAsia="仿宋_GB2312" w:cs="Times New Roman"/>
          <w:bCs/>
          <w:color w:val="000000"/>
          <w:sz w:val="32"/>
          <w:szCs w:val="32"/>
        </w:rPr>
        <w:t>附件</w:t>
      </w:r>
      <w:r>
        <w:rPr>
          <w:rFonts w:hint="eastAsia" w:ascii="仿宋_GB2312" w:hAnsi="仿宋_GB2312" w:eastAsia="仿宋_GB2312" w:cs="Times New Roman"/>
          <w:bCs/>
          <w:color w:val="000000"/>
          <w:sz w:val="32"/>
          <w:szCs w:val="32"/>
          <w:lang w:val="en-US" w:eastAsia="zh-CN"/>
        </w:rPr>
        <w:t>1</w:t>
      </w:r>
    </w:p>
    <w:tbl>
      <w:tblPr>
        <w:tblStyle w:val="6"/>
        <w:tblW w:w="9080" w:type="dxa"/>
        <w:jc w:val="center"/>
        <w:tblLayout w:type="fixed"/>
        <w:tblCellMar>
          <w:top w:w="0" w:type="dxa"/>
          <w:left w:w="108" w:type="dxa"/>
          <w:bottom w:w="0" w:type="dxa"/>
          <w:right w:w="108" w:type="dxa"/>
        </w:tblCellMar>
      </w:tblPr>
      <w:tblGrid>
        <w:gridCol w:w="588"/>
        <w:gridCol w:w="980"/>
        <w:gridCol w:w="1112"/>
        <w:gridCol w:w="730"/>
        <w:gridCol w:w="1134"/>
        <w:gridCol w:w="308"/>
        <w:gridCol w:w="851"/>
        <w:gridCol w:w="826"/>
        <w:gridCol w:w="283"/>
        <w:gridCol w:w="284"/>
        <w:gridCol w:w="425"/>
        <w:gridCol w:w="142"/>
        <w:gridCol w:w="709"/>
        <w:gridCol w:w="708"/>
      </w:tblGrid>
      <w:tr>
        <w:tblPrEx>
          <w:tblCellMar>
            <w:top w:w="0" w:type="dxa"/>
            <w:left w:w="108" w:type="dxa"/>
            <w:bottom w:w="0" w:type="dxa"/>
            <w:right w:w="108" w:type="dxa"/>
          </w:tblCellMar>
        </w:tblPrEx>
        <w:trPr>
          <w:trHeight w:val="349" w:hRule="atLeast"/>
          <w:jc w:val="center"/>
        </w:trPr>
        <w:tc>
          <w:tcPr>
            <w:tcW w:w="9080" w:type="dxa"/>
            <w:gridSpan w:val="14"/>
            <w:tcBorders>
              <w:top w:val="nil"/>
              <w:left w:val="nil"/>
              <w:bottom w:val="nil"/>
              <w:right w:val="nil"/>
            </w:tcBorders>
            <w:vAlign w:val="center"/>
          </w:tcPr>
          <w:p>
            <w:pPr>
              <w:widowControl/>
              <w:spacing w:line="320" w:lineRule="exact"/>
              <w:jc w:val="center"/>
              <w:rPr>
                <w:rFonts w:ascii="Times New Roman" w:hAnsi="Times New Roman" w:cs="Times New Roman"/>
                <w:b/>
                <w:bCs/>
                <w:kern w:val="0"/>
                <w:sz w:val="32"/>
                <w:szCs w:val="32"/>
              </w:rPr>
            </w:pPr>
            <w:r>
              <w:rPr>
                <w:rFonts w:ascii="Times New Roman" w:hAnsi="Times New Roman" w:cs="Times New Roman"/>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tcPr>
          <w:p>
            <w:pPr>
              <w:widowControl/>
              <w:jc w:val="center"/>
              <w:rPr>
                <w:rFonts w:ascii="Times New Roman" w:hAnsi="Times New Roman" w:cs="Times New Roman"/>
                <w:kern w:val="0"/>
                <w:sz w:val="22"/>
              </w:rPr>
            </w:pPr>
            <w:r>
              <w:rPr>
                <w:rFonts w:ascii="Times New Roman" w:hAnsi="Times New Roman" w:cs="Times New Roman"/>
                <w:kern w:val="0"/>
                <w:sz w:val="22"/>
                <w:szCs w:val="22"/>
              </w:rPr>
              <w:t>（</w:t>
            </w:r>
            <w:r>
              <w:rPr>
                <w:rFonts w:hint="eastAsia" w:ascii="Times New Roman" w:hAnsi="Times New Roman" w:cs="Times New Roman"/>
                <w:kern w:val="0"/>
                <w:sz w:val="22"/>
                <w:szCs w:val="22"/>
              </w:rPr>
              <w:t>2020</w:t>
            </w:r>
            <w:r>
              <w:rPr>
                <w:rFonts w:ascii="Times New Roman" w:hAnsi="Times New Roman" w:cs="Times New Roman"/>
                <w:kern w:val="0"/>
                <w:sz w:val="22"/>
                <w:szCs w:val="22"/>
              </w:rPr>
              <w:t>年度）</w:t>
            </w:r>
          </w:p>
        </w:tc>
      </w:tr>
      <w:tr>
        <w:tblPrEx>
          <w:tblCellMar>
            <w:top w:w="0" w:type="dxa"/>
            <w:left w:w="108" w:type="dxa"/>
            <w:bottom w:w="0" w:type="dxa"/>
            <w:right w:w="108" w:type="dxa"/>
          </w:tblCellMar>
        </w:tblPrEx>
        <w:trPr>
          <w:trHeight w:val="300" w:hRule="atLeas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项目名称</w:t>
            </w:r>
          </w:p>
        </w:tc>
        <w:tc>
          <w:tcPr>
            <w:tcW w:w="7512"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lang w:eastAsia="zh-CN"/>
              </w:rPr>
              <w:t>项目前期工作</w:t>
            </w:r>
            <w:r>
              <w:rPr>
                <w:rFonts w:hint="eastAsia" w:ascii="Times New Roman" w:hAnsi="Times New Roman" w:cs="Times New Roman"/>
                <w:kern w:val="0"/>
                <w:sz w:val="18"/>
                <w:szCs w:val="18"/>
              </w:rPr>
              <w:t>经费</w:t>
            </w:r>
          </w:p>
        </w:tc>
      </w:tr>
      <w:tr>
        <w:tblPrEx>
          <w:tblCellMar>
            <w:top w:w="0" w:type="dxa"/>
            <w:left w:w="108" w:type="dxa"/>
            <w:bottom w:w="0" w:type="dxa"/>
            <w:right w:w="108" w:type="dxa"/>
          </w:tblCellMar>
        </w:tblPrEx>
        <w:trPr>
          <w:trHeight w:val="300" w:hRule="atLeas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主管部门</w:t>
            </w:r>
          </w:p>
        </w:tc>
        <w:tc>
          <w:tcPr>
            <w:tcW w:w="4135"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中方县发展和改革局</w:t>
            </w:r>
          </w:p>
        </w:tc>
        <w:tc>
          <w:tcPr>
            <w:tcW w:w="11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实施单位</w:t>
            </w:r>
          </w:p>
        </w:tc>
        <w:tc>
          <w:tcPr>
            <w:tcW w:w="2268"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中方县发展和改革局</w:t>
            </w:r>
          </w:p>
        </w:tc>
      </w:tr>
      <w:tr>
        <w:tblPrEx>
          <w:tblCellMar>
            <w:top w:w="0" w:type="dxa"/>
            <w:left w:w="108" w:type="dxa"/>
            <w:bottom w:w="0" w:type="dxa"/>
            <w:right w:w="108" w:type="dxa"/>
          </w:tblCellMar>
        </w:tblPrEx>
        <w:trPr>
          <w:trHeight w:val="436" w:hRule="atLeast"/>
          <w:jc w:val="center"/>
        </w:trPr>
        <w:tc>
          <w:tcPr>
            <w:tcW w:w="1568" w:type="dxa"/>
            <w:gridSpan w:val="2"/>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项目资金</w:t>
            </w:r>
            <w:r>
              <w:rPr>
                <w:rFonts w:ascii="Times New Roman" w:hAnsi="Times New Roman" w:cs="Times New Roman"/>
                <w:kern w:val="0"/>
                <w:sz w:val="18"/>
                <w:szCs w:val="18"/>
              </w:rPr>
              <w:br w:type="textWrapping"/>
            </w:r>
            <w:r>
              <w:rPr>
                <w:rFonts w:ascii="Times New Roman" w:hAnsi="Times New Roman" w:cs="Times New Roman"/>
                <w:kern w:val="0"/>
                <w:sz w:val="18"/>
                <w:szCs w:val="18"/>
              </w:rPr>
              <w:t>（万元）</w:t>
            </w: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年初预算数</w:t>
            </w:r>
          </w:p>
        </w:tc>
        <w:tc>
          <w:tcPr>
            <w:tcW w:w="115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全年预算数</w:t>
            </w:r>
            <w:r>
              <w:rPr>
                <w:rFonts w:ascii="Times New Roman" w:hAnsi="Times New Roman" w:cs="Times New Roman"/>
                <w:color w:val="000000"/>
                <w:kern w:val="0"/>
                <w:sz w:val="20"/>
                <w:szCs w:val="20"/>
              </w:rPr>
              <w:t>（A</w:t>
            </w:r>
            <w:r>
              <w:rPr>
                <w:rFonts w:ascii="宋体" w:hAnsi="宋体" w:cs="Times New Roman"/>
                <w:color w:val="000000"/>
                <w:kern w:val="0"/>
                <w:sz w:val="20"/>
                <w:szCs w:val="20"/>
              </w:rPr>
              <w:t>）</w:t>
            </w:r>
          </w:p>
        </w:tc>
        <w:tc>
          <w:tcPr>
            <w:tcW w:w="11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全年执行数</w:t>
            </w:r>
            <w:r>
              <w:rPr>
                <w:rFonts w:ascii="Times New Roman" w:hAnsi="Times New Roman" w:cs="Times New Roman"/>
                <w:color w:val="000000"/>
                <w:kern w:val="0"/>
                <w:sz w:val="20"/>
                <w:szCs w:val="20"/>
              </w:rPr>
              <w:t>（B</w:t>
            </w:r>
            <w:r>
              <w:rPr>
                <w:rFonts w:ascii="宋体" w:hAnsi="宋体" w:cs="Times New Roman"/>
                <w:color w:val="000000"/>
                <w:kern w:val="0"/>
                <w:sz w:val="20"/>
                <w:szCs w:val="20"/>
              </w:rPr>
              <w:t>）</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分值</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执行率</w:t>
            </w:r>
            <w:r>
              <w:rPr>
                <w:rFonts w:ascii="Times New Roman" w:hAnsi="Times New Roman" w:cs="Times New Roman"/>
                <w:color w:val="000000"/>
                <w:kern w:val="0"/>
                <w:sz w:val="20"/>
                <w:szCs w:val="20"/>
              </w:rPr>
              <w:t>（B/A)</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得分</w:t>
            </w:r>
          </w:p>
        </w:tc>
      </w:tr>
      <w:tr>
        <w:tblPrEx>
          <w:tblCellMar>
            <w:top w:w="0" w:type="dxa"/>
            <w:left w:w="108" w:type="dxa"/>
            <w:bottom w:w="0" w:type="dxa"/>
            <w:right w:w="108" w:type="dxa"/>
          </w:tblCellMar>
        </w:tblPrEx>
        <w:trPr>
          <w:trHeight w:val="300" w:hRule="atLeast"/>
          <w:jc w:val="center"/>
        </w:trPr>
        <w:tc>
          <w:tcPr>
            <w:tcW w:w="1568"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Times New Roman" w:hAnsi="Times New Roman" w:cs="Times New Roman"/>
                <w:kern w:val="0"/>
                <w:sz w:val="18"/>
                <w:szCs w:val="18"/>
              </w:rPr>
            </w:pPr>
            <w:r>
              <w:rPr>
                <w:rFonts w:ascii="Times New Roman" w:hAnsi="Times New Roman" w:cs="Times New Roman"/>
                <w:kern w:val="0"/>
                <w:sz w:val="18"/>
                <w:szCs w:val="18"/>
              </w:rPr>
              <w:t>年度资金总额</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97</w:t>
            </w:r>
          </w:p>
        </w:tc>
        <w:tc>
          <w:tcPr>
            <w:tcW w:w="1159"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97</w:t>
            </w:r>
          </w:p>
        </w:tc>
        <w:tc>
          <w:tcPr>
            <w:tcW w:w="1109"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97</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10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A</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w:t>
            </w:r>
          </w:p>
        </w:tc>
      </w:tr>
      <w:tr>
        <w:tblPrEx>
          <w:tblCellMar>
            <w:top w:w="0" w:type="dxa"/>
            <w:left w:w="108" w:type="dxa"/>
            <w:bottom w:w="0" w:type="dxa"/>
            <w:right w:w="108" w:type="dxa"/>
          </w:tblCellMar>
        </w:tblPrEx>
        <w:trPr>
          <w:trHeight w:val="300" w:hRule="atLeast"/>
          <w:jc w:val="center"/>
        </w:trPr>
        <w:tc>
          <w:tcPr>
            <w:tcW w:w="1568"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97</w:t>
            </w:r>
          </w:p>
        </w:tc>
        <w:tc>
          <w:tcPr>
            <w:tcW w:w="1159"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97</w:t>
            </w:r>
          </w:p>
        </w:tc>
        <w:tc>
          <w:tcPr>
            <w:tcW w:w="1109"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97</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A</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r>
      <w:tr>
        <w:tblPrEx>
          <w:tblCellMar>
            <w:top w:w="0" w:type="dxa"/>
            <w:left w:w="108" w:type="dxa"/>
            <w:bottom w:w="0" w:type="dxa"/>
            <w:right w:w="108" w:type="dxa"/>
          </w:tblCellMar>
        </w:tblPrEx>
        <w:trPr>
          <w:trHeight w:val="300" w:hRule="atLeast"/>
          <w:jc w:val="center"/>
        </w:trPr>
        <w:tc>
          <w:tcPr>
            <w:tcW w:w="1568"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 xml:space="preserve">      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15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1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r>
      <w:tr>
        <w:tblPrEx>
          <w:tblCellMar>
            <w:top w:w="0" w:type="dxa"/>
            <w:left w:w="108" w:type="dxa"/>
            <w:bottom w:w="0" w:type="dxa"/>
            <w:right w:w="108" w:type="dxa"/>
          </w:tblCellMar>
        </w:tblPrEx>
        <w:trPr>
          <w:trHeight w:val="300" w:hRule="atLeast"/>
          <w:jc w:val="center"/>
        </w:trPr>
        <w:tc>
          <w:tcPr>
            <w:tcW w:w="1568"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 xml:space="preserve">  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15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1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r>
      <w:tr>
        <w:tblPrEx>
          <w:tblCellMar>
            <w:top w:w="0" w:type="dxa"/>
            <w:left w:w="108" w:type="dxa"/>
            <w:bottom w:w="0" w:type="dxa"/>
            <w:right w:w="108" w:type="dxa"/>
          </w:tblCellMar>
        </w:tblPrEx>
        <w:trPr>
          <w:trHeight w:val="300" w:hRule="atLeast"/>
          <w:jc w:val="center"/>
        </w:trPr>
        <w:tc>
          <w:tcPr>
            <w:tcW w:w="58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年度总体目标</w:t>
            </w:r>
          </w:p>
        </w:tc>
        <w:tc>
          <w:tcPr>
            <w:tcW w:w="511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预期目标</w:t>
            </w:r>
          </w:p>
        </w:tc>
        <w:tc>
          <w:tcPr>
            <w:tcW w:w="3377"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实际完成情况</w:t>
            </w:r>
          </w:p>
        </w:tc>
      </w:tr>
      <w:tr>
        <w:tblPrEx>
          <w:tblCellMar>
            <w:top w:w="0" w:type="dxa"/>
            <w:left w:w="108" w:type="dxa"/>
            <w:bottom w:w="0" w:type="dxa"/>
            <w:right w:w="108" w:type="dxa"/>
          </w:tblCellMar>
        </w:tblPrEx>
        <w:trPr>
          <w:trHeight w:val="570" w:hRule="atLeas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511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科学编制农村人居环境整治实施方案。</w:t>
            </w:r>
          </w:p>
          <w:p>
            <w:pPr>
              <w:widowControl/>
              <w:spacing w:line="240" w:lineRule="exact"/>
              <w:jc w:val="left"/>
              <w:rPr>
                <w:rFonts w:hint="eastAsia" w:ascii="Times New Roman" w:hAnsi="Times New Roman" w:eastAsia="宋体" w:cs="Times New Roman"/>
                <w:kern w:val="0"/>
                <w:sz w:val="18"/>
                <w:szCs w:val="18"/>
                <w:lang w:eastAsia="zh-CN"/>
              </w:rPr>
            </w:pPr>
            <w:r>
              <w:rPr>
                <w:rFonts w:hint="eastAsia" w:ascii="Times New Roman" w:hAnsi="Times New Roman" w:cs="Times New Roman"/>
                <w:kern w:val="0"/>
                <w:sz w:val="18"/>
                <w:szCs w:val="18"/>
              </w:rPr>
              <w:t>完成全县粮油质量抽检任务60个任务，确保我县粮油产品质量安全、禁止不符合食品安全标准粮油流入口粮市场</w:t>
            </w:r>
            <w:r>
              <w:rPr>
                <w:rFonts w:hint="eastAsia" w:ascii="Times New Roman" w:hAnsi="Times New Roman" w:cs="Times New Roman"/>
                <w:kern w:val="0"/>
                <w:sz w:val="18"/>
                <w:szCs w:val="18"/>
                <w:lang w:eastAsia="zh-CN"/>
              </w:rPr>
              <w:t>。</w:t>
            </w:r>
            <w:r>
              <w:rPr>
                <w:rFonts w:hint="eastAsia" w:ascii="Times New Roman" w:hAnsi="Times New Roman" w:cs="Times New Roman"/>
                <w:kern w:val="0"/>
                <w:sz w:val="18"/>
                <w:szCs w:val="18"/>
                <w:lang w:val="en-US" w:eastAsia="zh-CN"/>
              </w:rPr>
              <w:t xml:space="preserve">                 </w:t>
            </w:r>
            <w:r>
              <w:rPr>
                <w:rFonts w:hint="eastAsia" w:ascii="Times New Roman" w:hAnsi="Times New Roman" w:eastAsia="宋体" w:cs="Times New Roman"/>
                <w:kern w:val="0"/>
                <w:sz w:val="18"/>
                <w:szCs w:val="18"/>
                <w:lang w:val="en-US" w:eastAsia="zh-CN"/>
              </w:rPr>
              <w:t>按要求统一举办开竣工活动</w:t>
            </w:r>
            <w:r>
              <w:rPr>
                <w:rFonts w:hint="eastAsia" w:ascii="Times New Roman" w:hAnsi="Times New Roman" w:cs="Times New Roman"/>
                <w:kern w:val="0"/>
                <w:sz w:val="18"/>
                <w:szCs w:val="18"/>
                <w:lang w:val="en-US" w:eastAsia="zh-CN"/>
              </w:rPr>
              <w:t>。</w:t>
            </w:r>
          </w:p>
        </w:tc>
        <w:tc>
          <w:tcPr>
            <w:tcW w:w="3377"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lang w:eastAsia="zh-CN"/>
              </w:rPr>
              <w:t>已</w:t>
            </w:r>
            <w:r>
              <w:rPr>
                <w:rFonts w:hint="eastAsia" w:ascii="Times New Roman" w:hAnsi="Times New Roman" w:cs="Times New Roman"/>
                <w:kern w:val="0"/>
                <w:sz w:val="18"/>
                <w:szCs w:val="18"/>
              </w:rPr>
              <w:t>编制农村人居环境整治实施方案。</w:t>
            </w:r>
          </w:p>
          <w:p>
            <w:pPr>
              <w:widowControl/>
              <w:spacing w:line="240" w:lineRule="exact"/>
              <w:jc w:val="center"/>
              <w:rPr>
                <w:rFonts w:hint="eastAsia" w:ascii="Times New Roman" w:hAnsi="Times New Roman" w:eastAsia="宋体" w:cs="Times New Roman"/>
                <w:kern w:val="0"/>
                <w:sz w:val="18"/>
                <w:szCs w:val="18"/>
                <w:lang w:eastAsia="zh-CN"/>
              </w:rPr>
            </w:pPr>
            <w:r>
              <w:rPr>
                <w:rFonts w:hint="eastAsia" w:ascii="Times New Roman" w:hAnsi="Times New Roman" w:cs="Times New Roman"/>
                <w:kern w:val="0"/>
                <w:sz w:val="18"/>
                <w:szCs w:val="18"/>
              </w:rPr>
              <w:t>已检测粮油产品60个，合格率99%</w:t>
            </w:r>
            <w:r>
              <w:rPr>
                <w:rFonts w:hint="eastAsia" w:ascii="Times New Roman" w:hAnsi="Times New Roman" w:cs="Times New Roman"/>
                <w:kern w:val="0"/>
                <w:sz w:val="18"/>
                <w:szCs w:val="18"/>
                <w:lang w:eastAsia="zh-CN"/>
              </w:rPr>
              <w:t>。</w:t>
            </w:r>
            <w:r>
              <w:rPr>
                <w:rFonts w:hint="eastAsia" w:ascii="Times New Roman" w:hAnsi="Times New Roman" w:cs="Times New Roman"/>
                <w:kern w:val="0"/>
                <w:sz w:val="18"/>
                <w:szCs w:val="18"/>
                <w:lang w:val="en-US" w:eastAsia="zh-CN"/>
              </w:rPr>
              <w:t xml:space="preserve">   顺利完成三次重大项目集中开工活动。</w:t>
            </w:r>
          </w:p>
        </w:tc>
      </w:tr>
      <w:tr>
        <w:tblPrEx>
          <w:tblCellMar>
            <w:top w:w="0" w:type="dxa"/>
            <w:left w:w="108" w:type="dxa"/>
            <w:bottom w:w="0" w:type="dxa"/>
            <w:right w:w="108" w:type="dxa"/>
          </w:tblCellMar>
        </w:tblPrEx>
        <w:trPr>
          <w:trHeight w:val="533" w:hRule="atLeast"/>
          <w:jc w:val="center"/>
        </w:trPr>
        <w:tc>
          <w:tcPr>
            <w:tcW w:w="588" w:type="dxa"/>
            <w:vMerge w:val="restart"/>
            <w:tcBorders>
              <w:top w:val="nil"/>
              <w:left w:val="single" w:color="auto" w:sz="4" w:space="0"/>
              <w:bottom w:val="nil"/>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绩</w:t>
            </w:r>
            <w:r>
              <w:rPr>
                <w:rFonts w:ascii="Times New Roman" w:hAnsi="Times New Roman" w:cs="Times New Roman"/>
                <w:kern w:val="0"/>
                <w:sz w:val="18"/>
                <w:szCs w:val="18"/>
              </w:rPr>
              <w:br w:type="textWrapping"/>
            </w:r>
            <w:r>
              <w:rPr>
                <w:rFonts w:ascii="Times New Roman" w:hAnsi="Times New Roman" w:cs="Times New Roman"/>
                <w:kern w:val="0"/>
                <w:sz w:val="18"/>
                <w:szCs w:val="18"/>
              </w:rPr>
              <w:t>效</w:t>
            </w:r>
            <w:r>
              <w:rPr>
                <w:rFonts w:ascii="Times New Roman" w:hAnsi="Times New Roman" w:cs="Times New Roman"/>
                <w:kern w:val="0"/>
                <w:sz w:val="18"/>
                <w:szCs w:val="18"/>
              </w:rPr>
              <w:br w:type="textWrapping"/>
            </w:r>
            <w:r>
              <w:rPr>
                <w:rFonts w:ascii="Times New Roman" w:hAnsi="Times New Roman" w:cs="Times New Roman"/>
                <w:kern w:val="0"/>
                <w:sz w:val="18"/>
                <w:szCs w:val="18"/>
              </w:rPr>
              <w:t>指</w:t>
            </w:r>
            <w:r>
              <w:rPr>
                <w:rFonts w:ascii="Times New Roman" w:hAnsi="Times New Roman" w:cs="Times New Roman"/>
                <w:kern w:val="0"/>
                <w:sz w:val="18"/>
                <w:szCs w:val="18"/>
              </w:rPr>
              <w:br w:type="textWrapping"/>
            </w:r>
            <w:r>
              <w:rPr>
                <w:rFonts w:ascii="Times New Roman" w:hAnsi="Times New Roman" w:cs="Times New Roman"/>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一级指标</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二级指标</w:t>
            </w:r>
          </w:p>
        </w:tc>
        <w:tc>
          <w:tcPr>
            <w:tcW w:w="2172"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三级指标</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年度</w:t>
            </w:r>
          </w:p>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指标值</w:t>
            </w:r>
          </w:p>
        </w:tc>
        <w:tc>
          <w:tcPr>
            <w:tcW w:w="826"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实际</w:t>
            </w:r>
          </w:p>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完成值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分值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得分</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偏差原因分析及改进措施</w:t>
            </w:r>
          </w:p>
        </w:tc>
      </w:tr>
      <w:tr>
        <w:tblPrEx>
          <w:tblCellMar>
            <w:top w:w="0" w:type="dxa"/>
            <w:left w:w="108" w:type="dxa"/>
            <w:bottom w:w="0" w:type="dxa"/>
            <w:right w:w="108" w:type="dxa"/>
          </w:tblCellMar>
        </w:tblPrEx>
        <w:trPr>
          <w:trHeight w:val="30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restart"/>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产出指标</w:t>
            </w:r>
            <w:r>
              <w:rPr>
                <w:rFonts w:ascii="Times New Roman" w:hAnsi="Times New Roman" w:cs="Times New Roman"/>
                <w:kern w:val="0"/>
                <w:sz w:val="20"/>
                <w:szCs w:val="20"/>
              </w:rPr>
              <w:t>(50</w:t>
            </w:r>
            <w:r>
              <w:rPr>
                <w:rFonts w:ascii="宋体" w:hAnsi="宋体" w:cs="Times New Roman"/>
                <w:kern w:val="0"/>
                <w:sz w:val="20"/>
                <w:szCs w:val="20"/>
              </w:rPr>
              <w:t>分</w:t>
            </w:r>
            <w:r>
              <w:rPr>
                <w:rFonts w:ascii="Times New Roman" w:hAnsi="Times New Roman" w:cs="Times New Roman"/>
                <w:kern w:val="0"/>
                <w:sz w:val="20"/>
                <w:szCs w:val="20"/>
              </w:rPr>
              <w:t>)</w:t>
            </w:r>
          </w:p>
        </w:tc>
        <w:tc>
          <w:tcPr>
            <w:tcW w:w="1112" w:type="dxa"/>
            <w:vMerge w:val="restart"/>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数量指标</w:t>
            </w:r>
          </w:p>
        </w:tc>
        <w:tc>
          <w:tcPr>
            <w:tcW w:w="2172"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s="Times New Roman"/>
                <w:color w:val="000000"/>
                <w:kern w:val="0"/>
                <w:sz w:val="18"/>
                <w:szCs w:val="18"/>
                <w:lang w:eastAsia="zh-CN"/>
              </w:rPr>
            </w:pPr>
            <w:r>
              <w:rPr>
                <w:rFonts w:ascii="Times New Roman" w:hAnsi="Times New Roman" w:cs="Times New Roman"/>
                <w:color w:val="000000"/>
                <w:kern w:val="0"/>
                <w:sz w:val="18"/>
                <w:szCs w:val="18"/>
              </w:rPr>
              <w:t>指标1</w:t>
            </w:r>
            <w:r>
              <w:rPr>
                <w:rFonts w:ascii="宋体" w:hAnsi="宋体" w:cs="Times New Roman"/>
                <w:color w:val="000000"/>
                <w:kern w:val="0"/>
                <w:sz w:val="18"/>
                <w:szCs w:val="18"/>
              </w:rPr>
              <w:t>：</w:t>
            </w:r>
            <w:r>
              <w:rPr>
                <w:rFonts w:hint="eastAsia" w:ascii="宋体" w:hAnsi="宋体" w:cs="Times New Roman"/>
                <w:color w:val="000000"/>
                <w:kern w:val="0"/>
                <w:sz w:val="18"/>
                <w:szCs w:val="18"/>
                <w:lang w:eastAsia="zh-CN"/>
              </w:rPr>
              <w:t>编制人居环境整治实施方案</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lang w:val="en-US" w:eastAsia="zh-CN"/>
              </w:rPr>
              <w:t>1套</w:t>
            </w:r>
          </w:p>
        </w:tc>
        <w:tc>
          <w:tcPr>
            <w:tcW w:w="826"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lang w:val="en-US" w:eastAsia="zh-CN"/>
              </w:rPr>
              <w:t>1套</w:t>
            </w:r>
          </w:p>
        </w:tc>
        <w:tc>
          <w:tcPr>
            <w:tcW w:w="567" w:type="dxa"/>
            <w:gridSpan w:val="2"/>
            <w:vMerge w:val="restart"/>
            <w:tcBorders>
              <w:top w:val="nil"/>
              <w:left w:val="nil"/>
              <w:right w:val="single" w:color="auto" w:sz="4" w:space="0"/>
            </w:tcBorders>
            <w:vAlign w:val="center"/>
          </w:tcPr>
          <w:p>
            <w:pPr>
              <w:widowControl/>
              <w:spacing w:line="240" w:lineRule="exact"/>
              <w:jc w:val="center"/>
              <w:rPr>
                <w:rFonts w:hint="eastAsia" w:ascii="Times New Roman" w:hAnsi="Times New Roman" w:cs="Times New Roman"/>
                <w:kern w:val="0"/>
                <w:sz w:val="18"/>
                <w:szCs w:val="18"/>
              </w:rPr>
            </w:pPr>
            <w:r>
              <w:rPr>
                <w:rFonts w:hint="eastAsia" w:ascii="Times New Roman" w:hAnsi="Times New Roman" w:cs="Times New Roman"/>
                <w:kern w:val="0"/>
                <w:sz w:val="18"/>
                <w:szCs w:val="18"/>
              </w:rPr>
              <w:t>15</w:t>
            </w:r>
          </w:p>
          <w:p>
            <w:pPr>
              <w:widowControl/>
              <w:spacing w:line="240" w:lineRule="exact"/>
              <w:jc w:val="center"/>
              <w:rPr>
                <w:rFonts w:ascii="Times New Roman" w:hAnsi="Times New Roman" w:eastAsia="宋体" w:cs="Times New Roman"/>
                <w:kern w:val="0"/>
                <w:sz w:val="18"/>
                <w:szCs w:val="18"/>
                <w:lang w:val="en-US" w:eastAsia="zh-CN" w:bidi="ar-SA"/>
              </w:rPr>
            </w:pPr>
          </w:p>
        </w:tc>
        <w:tc>
          <w:tcPr>
            <w:tcW w:w="567" w:type="dxa"/>
            <w:gridSpan w:val="2"/>
            <w:vMerge w:val="restart"/>
            <w:tcBorders>
              <w:top w:val="nil"/>
              <w:left w:val="nil"/>
              <w:right w:val="single" w:color="auto" w:sz="4" w:space="0"/>
            </w:tcBorders>
            <w:vAlign w:val="center"/>
          </w:tcPr>
          <w:p>
            <w:pPr>
              <w:widowControl/>
              <w:spacing w:line="240" w:lineRule="exact"/>
              <w:jc w:val="center"/>
              <w:rPr>
                <w:rFonts w:hint="eastAsia" w:ascii="Times New Roman" w:hAnsi="Times New Roman" w:cs="Times New Roman"/>
                <w:kern w:val="0"/>
                <w:sz w:val="18"/>
                <w:szCs w:val="18"/>
              </w:rPr>
            </w:pPr>
            <w:r>
              <w:rPr>
                <w:rFonts w:hint="eastAsia" w:ascii="Times New Roman" w:hAnsi="Times New Roman" w:cs="Times New Roman"/>
                <w:kern w:val="0"/>
                <w:sz w:val="18"/>
                <w:szCs w:val="18"/>
              </w:rPr>
              <w:t>15</w:t>
            </w:r>
          </w:p>
          <w:p>
            <w:pPr>
              <w:widowControl/>
              <w:spacing w:line="240" w:lineRule="exact"/>
              <w:jc w:val="center"/>
              <w:rPr>
                <w:rFonts w:ascii="Times New Roman" w:hAnsi="Times New Roman" w:eastAsia="宋体" w:cs="Times New Roman"/>
                <w:kern w:val="0"/>
                <w:sz w:val="18"/>
                <w:szCs w:val="18"/>
                <w:lang w:val="en-US" w:eastAsia="zh-CN" w:bidi="ar-SA"/>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30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2172"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eastAsia="宋体" w:cs="Times New Roman"/>
                <w:color w:val="000000"/>
                <w:kern w:val="0"/>
                <w:sz w:val="18"/>
                <w:szCs w:val="18"/>
                <w:lang w:val="en-US" w:eastAsia="zh-CN" w:bidi="ar-SA"/>
              </w:rPr>
            </w:pPr>
            <w:r>
              <w:rPr>
                <w:rFonts w:ascii="Times New Roman" w:hAnsi="Times New Roman" w:cs="Times New Roman"/>
                <w:color w:val="000000"/>
                <w:kern w:val="0"/>
                <w:sz w:val="18"/>
                <w:szCs w:val="18"/>
              </w:rPr>
              <w:t>指标</w:t>
            </w:r>
            <w:r>
              <w:rPr>
                <w:rFonts w:hint="eastAsia" w:ascii="Times New Roman" w:hAnsi="Times New Roman" w:cs="Times New Roman"/>
                <w:color w:val="000000"/>
                <w:kern w:val="0"/>
                <w:sz w:val="18"/>
                <w:szCs w:val="18"/>
                <w:lang w:val="en-US" w:eastAsia="zh-CN"/>
              </w:rPr>
              <w:t>2</w:t>
            </w:r>
            <w:r>
              <w:rPr>
                <w:rFonts w:ascii="宋体" w:hAnsi="宋体" w:cs="Times New Roman"/>
                <w:color w:val="000000"/>
                <w:kern w:val="0"/>
                <w:sz w:val="18"/>
                <w:szCs w:val="18"/>
              </w:rPr>
              <w:t>：</w:t>
            </w:r>
            <w:r>
              <w:rPr>
                <w:rFonts w:hint="eastAsia" w:ascii="宋体" w:hAnsi="宋体" w:cs="Times New Roman"/>
                <w:color w:val="000000"/>
                <w:kern w:val="0"/>
                <w:sz w:val="18"/>
                <w:szCs w:val="18"/>
              </w:rPr>
              <w:t>完成</w:t>
            </w:r>
            <w:r>
              <w:rPr>
                <w:rFonts w:hint="eastAsia" w:ascii="宋体" w:hAnsi="宋体" w:cs="Times New Roman"/>
                <w:color w:val="000000"/>
                <w:kern w:val="0"/>
                <w:sz w:val="18"/>
                <w:szCs w:val="18"/>
                <w:lang w:eastAsia="zh-CN"/>
              </w:rPr>
              <w:t>粮油</w:t>
            </w:r>
            <w:r>
              <w:rPr>
                <w:rFonts w:hint="eastAsia" w:ascii="宋体" w:hAnsi="宋体" w:cs="Times New Roman"/>
                <w:color w:val="000000"/>
                <w:kern w:val="0"/>
                <w:sz w:val="18"/>
                <w:szCs w:val="18"/>
              </w:rPr>
              <w:t>抽检任务</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宋体" w:cs="Times New Roman"/>
                <w:kern w:val="0"/>
                <w:sz w:val="18"/>
                <w:szCs w:val="18"/>
                <w:lang w:val="en-US" w:eastAsia="zh-CN" w:bidi="ar-SA"/>
              </w:rPr>
            </w:pPr>
            <w:r>
              <w:rPr>
                <w:rFonts w:hint="eastAsia" w:ascii="Times New Roman" w:hAnsi="Times New Roman" w:cs="Times New Roman"/>
                <w:kern w:val="0"/>
                <w:sz w:val="18"/>
                <w:szCs w:val="18"/>
              </w:rPr>
              <w:t>60个</w:t>
            </w:r>
          </w:p>
        </w:tc>
        <w:tc>
          <w:tcPr>
            <w:tcW w:w="826"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宋体" w:cs="Times New Roman"/>
                <w:kern w:val="0"/>
                <w:sz w:val="18"/>
                <w:szCs w:val="18"/>
                <w:lang w:val="en-US" w:eastAsia="zh-CN" w:bidi="ar-SA"/>
              </w:rPr>
            </w:pPr>
            <w:r>
              <w:rPr>
                <w:rFonts w:hint="eastAsia" w:ascii="Times New Roman" w:hAnsi="Times New Roman" w:cs="Times New Roman"/>
                <w:kern w:val="0"/>
                <w:sz w:val="18"/>
                <w:szCs w:val="18"/>
              </w:rPr>
              <w:t>60个</w:t>
            </w:r>
          </w:p>
        </w:tc>
        <w:tc>
          <w:tcPr>
            <w:tcW w:w="567" w:type="dxa"/>
            <w:gridSpan w:val="2"/>
            <w:vMerge w:val="continue"/>
            <w:tcBorders>
              <w:left w:val="nil"/>
              <w:right w:val="single" w:color="auto" w:sz="4" w:space="0"/>
            </w:tcBorders>
            <w:vAlign w:val="center"/>
          </w:tcPr>
          <w:p>
            <w:pPr>
              <w:widowControl/>
              <w:spacing w:line="240" w:lineRule="exact"/>
              <w:jc w:val="center"/>
              <w:rPr>
                <w:rFonts w:ascii="Times New Roman" w:hAnsi="Times New Roman" w:eastAsia="宋体" w:cs="Times New Roman"/>
                <w:kern w:val="0"/>
                <w:sz w:val="18"/>
                <w:szCs w:val="18"/>
                <w:lang w:val="en-US" w:eastAsia="zh-CN" w:bidi="ar-SA"/>
              </w:rPr>
            </w:pPr>
          </w:p>
        </w:tc>
        <w:tc>
          <w:tcPr>
            <w:tcW w:w="567" w:type="dxa"/>
            <w:gridSpan w:val="2"/>
            <w:vMerge w:val="continue"/>
            <w:tcBorders>
              <w:left w:val="nil"/>
              <w:right w:val="single" w:color="auto" w:sz="4" w:space="0"/>
            </w:tcBorders>
            <w:vAlign w:val="center"/>
          </w:tcPr>
          <w:p>
            <w:pPr>
              <w:widowControl/>
              <w:spacing w:line="240" w:lineRule="exact"/>
              <w:jc w:val="center"/>
              <w:rPr>
                <w:rFonts w:ascii="Times New Roman" w:hAnsi="Times New Roman" w:eastAsia="宋体" w:cs="Times New Roman"/>
                <w:kern w:val="0"/>
                <w:sz w:val="18"/>
                <w:szCs w:val="18"/>
                <w:lang w:val="en-US" w:eastAsia="zh-CN" w:bidi="ar-SA"/>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377"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2172"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hint="eastAsia" w:ascii="Times New Roman" w:hAnsi="Times New Roman" w:cs="Times New Roman"/>
                <w:kern w:val="0"/>
                <w:sz w:val="18"/>
                <w:szCs w:val="18"/>
                <w:lang w:val="en-US" w:eastAsia="zh-CN"/>
              </w:rPr>
              <w:t>指标3：</w:t>
            </w:r>
            <w:r>
              <w:rPr>
                <w:rFonts w:hint="eastAsia" w:ascii="Times New Roman" w:hAnsi="Times New Roman" w:eastAsia="宋体" w:cs="Times New Roman"/>
                <w:kern w:val="0"/>
                <w:sz w:val="18"/>
                <w:szCs w:val="18"/>
                <w:lang w:val="en-US" w:eastAsia="zh-CN"/>
              </w:rPr>
              <w:t>按要求统一举办开竣工活动</w:t>
            </w:r>
          </w:p>
        </w:tc>
        <w:tc>
          <w:tcPr>
            <w:tcW w:w="851" w:type="dxa"/>
            <w:tcBorders>
              <w:top w:val="nil"/>
              <w:left w:val="nil"/>
              <w:bottom w:val="single" w:color="auto" w:sz="4" w:space="0"/>
              <w:right w:val="single" w:color="auto" w:sz="4" w:space="0"/>
            </w:tcBorders>
            <w:vAlign w:val="center"/>
          </w:tcPr>
          <w:p>
            <w:pPr>
              <w:widowControl/>
              <w:spacing w:line="240" w:lineRule="exact"/>
              <w:jc w:val="both"/>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:3场</w:t>
            </w:r>
          </w:p>
        </w:tc>
        <w:tc>
          <w:tcPr>
            <w:tcW w:w="826"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3场</w:t>
            </w:r>
          </w:p>
        </w:tc>
        <w:tc>
          <w:tcPr>
            <w:tcW w:w="567" w:type="dxa"/>
            <w:gridSpan w:val="2"/>
            <w:vMerge w:val="continue"/>
            <w:tcBorders>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567" w:type="dxa"/>
            <w:gridSpan w:val="2"/>
            <w:vMerge w:val="continue"/>
            <w:tcBorders>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30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vMerge w:val="restart"/>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质量指标</w:t>
            </w:r>
          </w:p>
        </w:tc>
        <w:tc>
          <w:tcPr>
            <w:tcW w:w="2172"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s="Times New Roman"/>
                <w:color w:val="000000"/>
                <w:kern w:val="0"/>
                <w:sz w:val="18"/>
                <w:szCs w:val="18"/>
                <w:lang w:eastAsia="zh-CN"/>
              </w:rPr>
            </w:pPr>
            <w:r>
              <w:rPr>
                <w:rFonts w:ascii="Times New Roman" w:hAnsi="Times New Roman" w:cs="Times New Roman"/>
                <w:color w:val="000000"/>
                <w:kern w:val="0"/>
                <w:sz w:val="18"/>
                <w:szCs w:val="18"/>
              </w:rPr>
              <w:t>指标1</w:t>
            </w:r>
            <w:r>
              <w:rPr>
                <w:rFonts w:ascii="宋体" w:hAnsi="宋体" w:cs="Times New Roman"/>
                <w:color w:val="000000"/>
                <w:kern w:val="0"/>
                <w:sz w:val="18"/>
                <w:szCs w:val="18"/>
              </w:rPr>
              <w:t>：</w:t>
            </w:r>
            <w:r>
              <w:rPr>
                <w:rFonts w:hint="eastAsia" w:ascii="宋体" w:hAnsi="宋体" w:cs="Times New Roman"/>
                <w:color w:val="000000"/>
                <w:kern w:val="0"/>
                <w:sz w:val="18"/>
                <w:szCs w:val="18"/>
                <w:lang w:eastAsia="zh-CN"/>
              </w:rPr>
              <w:t>实施方案</w:t>
            </w:r>
            <w:r>
              <w:rPr>
                <w:rFonts w:hint="eastAsia" w:ascii="宋体" w:hAnsi="宋体" w:cs="Times New Roman"/>
                <w:color w:val="000000"/>
                <w:kern w:val="0"/>
                <w:sz w:val="18"/>
                <w:szCs w:val="18"/>
              </w:rPr>
              <w:t>合格</w:t>
            </w:r>
            <w:r>
              <w:rPr>
                <w:rFonts w:hint="eastAsia" w:ascii="宋体" w:hAnsi="宋体" w:cs="Times New Roman"/>
                <w:color w:val="000000"/>
                <w:kern w:val="0"/>
                <w:sz w:val="18"/>
                <w:szCs w:val="18"/>
                <w:lang w:eastAsia="zh-CN"/>
              </w:rPr>
              <w:t>率</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100%</w:t>
            </w:r>
          </w:p>
        </w:tc>
        <w:tc>
          <w:tcPr>
            <w:tcW w:w="826"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100%</w:t>
            </w:r>
          </w:p>
        </w:tc>
        <w:tc>
          <w:tcPr>
            <w:tcW w:w="567" w:type="dxa"/>
            <w:gridSpan w:val="2"/>
            <w:vMerge w:val="restart"/>
            <w:tcBorders>
              <w:top w:val="nil"/>
              <w:left w:val="nil"/>
              <w:right w:val="single" w:color="auto" w:sz="4" w:space="0"/>
            </w:tcBorders>
            <w:vAlign w:val="center"/>
          </w:tcPr>
          <w:p>
            <w:pPr>
              <w:widowControl/>
              <w:spacing w:line="240" w:lineRule="exact"/>
              <w:jc w:val="center"/>
              <w:rPr>
                <w:rFonts w:hint="eastAsia" w:ascii="Times New Roman" w:hAnsi="Times New Roman" w:cs="Times New Roman"/>
                <w:kern w:val="0"/>
                <w:sz w:val="18"/>
                <w:szCs w:val="18"/>
              </w:rPr>
            </w:pPr>
            <w:r>
              <w:rPr>
                <w:rFonts w:hint="eastAsia" w:ascii="Times New Roman" w:hAnsi="Times New Roman" w:cs="Times New Roman"/>
                <w:kern w:val="0"/>
                <w:sz w:val="18"/>
                <w:szCs w:val="18"/>
              </w:rPr>
              <w:t>15</w:t>
            </w:r>
          </w:p>
          <w:p>
            <w:pPr>
              <w:widowControl/>
              <w:spacing w:line="240" w:lineRule="exact"/>
              <w:jc w:val="center"/>
              <w:rPr>
                <w:rFonts w:ascii="Times New Roman" w:hAnsi="Times New Roman" w:eastAsia="宋体" w:cs="Times New Roman"/>
                <w:kern w:val="0"/>
                <w:sz w:val="18"/>
                <w:szCs w:val="18"/>
                <w:lang w:val="en-US" w:eastAsia="zh-CN" w:bidi="ar-SA"/>
              </w:rPr>
            </w:pPr>
          </w:p>
        </w:tc>
        <w:tc>
          <w:tcPr>
            <w:tcW w:w="567" w:type="dxa"/>
            <w:gridSpan w:val="2"/>
            <w:vMerge w:val="restart"/>
            <w:tcBorders>
              <w:top w:val="nil"/>
              <w:left w:val="nil"/>
              <w:right w:val="single" w:color="auto" w:sz="4" w:space="0"/>
            </w:tcBorders>
            <w:vAlign w:val="center"/>
          </w:tcPr>
          <w:p>
            <w:pPr>
              <w:widowControl/>
              <w:spacing w:line="240" w:lineRule="exact"/>
              <w:jc w:val="center"/>
              <w:rPr>
                <w:rFonts w:hint="eastAsia" w:ascii="Times New Roman" w:hAnsi="Times New Roman" w:cs="Times New Roman"/>
                <w:kern w:val="0"/>
                <w:sz w:val="18"/>
                <w:szCs w:val="18"/>
              </w:rPr>
            </w:pPr>
            <w:r>
              <w:rPr>
                <w:rFonts w:hint="eastAsia" w:ascii="Times New Roman" w:hAnsi="Times New Roman" w:cs="Times New Roman"/>
                <w:kern w:val="0"/>
                <w:sz w:val="18"/>
                <w:szCs w:val="18"/>
              </w:rPr>
              <w:t>15</w:t>
            </w:r>
          </w:p>
          <w:p>
            <w:pPr>
              <w:widowControl/>
              <w:spacing w:line="240" w:lineRule="exact"/>
              <w:jc w:val="center"/>
              <w:rPr>
                <w:rFonts w:ascii="Times New Roman" w:hAnsi="Times New Roman" w:eastAsia="宋体" w:cs="Times New Roman"/>
                <w:kern w:val="0"/>
                <w:sz w:val="18"/>
                <w:szCs w:val="18"/>
                <w:lang w:val="en-US" w:eastAsia="zh-CN" w:bidi="ar-SA"/>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30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2172"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eastAsia="宋体" w:cs="Times New Roman"/>
                <w:color w:val="000000"/>
                <w:kern w:val="0"/>
                <w:sz w:val="18"/>
                <w:szCs w:val="18"/>
                <w:lang w:val="en-US" w:eastAsia="zh-CN" w:bidi="ar-SA"/>
              </w:rPr>
            </w:pPr>
            <w:r>
              <w:rPr>
                <w:rFonts w:ascii="Times New Roman" w:hAnsi="Times New Roman" w:cs="Times New Roman"/>
                <w:color w:val="000000"/>
                <w:kern w:val="0"/>
                <w:sz w:val="18"/>
                <w:szCs w:val="18"/>
              </w:rPr>
              <w:t>指标</w:t>
            </w:r>
            <w:r>
              <w:rPr>
                <w:rFonts w:hint="eastAsia" w:ascii="Times New Roman" w:hAnsi="Times New Roman" w:cs="Times New Roman"/>
                <w:color w:val="000000"/>
                <w:kern w:val="0"/>
                <w:sz w:val="18"/>
                <w:szCs w:val="18"/>
                <w:lang w:val="en-US" w:eastAsia="zh-CN"/>
              </w:rPr>
              <w:t>2</w:t>
            </w:r>
            <w:r>
              <w:rPr>
                <w:rFonts w:ascii="宋体" w:hAnsi="宋体" w:cs="Times New Roman"/>
                <w:color w:val="000000"/>
                <w:kern w:val="0"/>
                <w:sz w:val="18"/>
                <w:szCs w:val="18"/>
              </w:rPr>
              <w:t>：</w:t>
            </w:r>
            <w:r>
              <w:rPr>
                <w:rFonts w:hint="eastAsia" w:ascii="宋体" w:hAnsi="宋体" w:cs="Times New Roman"/>
                <w:color w:val="000000"/>
                <w:kern w:val="0"/>
                <w:sz w:val="18"/>
                <w:szCs w:val="18"/>
              </w:rPr>
              <w:t>粮油质量合格</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宋体" w:cs="Times New Roman"/>
                <w:kern w:val="0"/>
                <w:sz w:val="18"/>
                <w:szCs w:val="18"/>
                <w:lang w:val="en-US" w:eastAsia="zh-CN" w:bidi="ar-SA"/>
              </w:rPr>
            </w:pPr>
            <w:r>
              <w:rPr>
                <w:rFonts w:hint="eastAsia" w:ascii="Times New Roman" w:hAnsi="Times New Roman" w:cs="Times New Roman"/>
                <w:kern w:val="0"/>
                <w:sz w:val="18"/>
                <w:szCs w:val="18"/>
              </w:rPr>
              <w:t>100%</w:t>
            </w:r>
          </w:p>
        </w:tc>
        <w:tc>
          <w:tcPr>
            <w:tcW w:w="826"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宋体" w:cs="Times New Roman"/>
                <w:kern w:val="0"/>
                <w:sz w:val="18"/>
                <w:szCs w:val="18"/>
                <w:lang w:val="en-US" w:eastAsia="zh-CN" w:bidi="ar-SA"/>
              </w:rPr>
            </w:pPr>
            <w:r>
              <w:rPr>
                <w:rFonts w:hint="eastAsia" w:ascii="Times New Roman" w:hAnsi="Times New Roman" w:cs="Times New Roman"/>
                <w:kern w:val="0"/>
                <w:sz w:val="18"/>
                <w:szCs w:val="18"/>
              </w:rPr>
              <w:t>100%</w:t>
            </w:r>
          </w:p>
        </w:tc>
        <w:tc>
          <w:tcPr>
            <w:tcW w:w="567" w:type="dxa"/>
            <w:gridSpan w:val="2"/>
            <w:vMerge w:val="continue"/>
            <w:tcBorders>
              <w:left w:val="nil"/>
              <w:right w:val="single" w:color="auto" w:sz="4" w:space="0"/>
            </w:tcBorders>
            <w:vAlign w:val="center"/>
          </w:tcPr>
          <w:p>
            <w:pPr>
              <w:widowControl/>
              <w:spacing w:line="240" w:lineRule="exact"/>
              <w:jc w:val="center"/>
              <w:rPr>
                <w:rFonts w:ascii="Times New Roman" w:hAnsi="Times New Roman" w:eastAsia="宋体" w:cs="Times New Roman"/>
                <w:kern w:val="0"/>
                <w:sz w:val="18"/>
                <w:szCs w:val="18"/>
                <w:lang w:val="en-US" w:eastAsia="zh-CN" w:bidi="ar-SA"/>
              </w:rPr>
            </w:pPr>
          </w:p>
        </w:tc>
        <w:tc>
          <w:tcPr>
            <w:tcW w:w="567" w:type="dxa"/>
            <w:gridSpan w:val="2"/>
            <w:vMerge w:val="continue"/>
            <w:tcBorders>
              <w:left w:val="nil"/>
              <w:right w:val="single" w:color="auto" w:sz="4" w:space="0"/>
            </w:tcBorders>
            <w:vAlign w:val="center"/>
          </w:tcPr>
          <w:p>
            <w:pPr>
              <w:widowControl/>
              <w:spacing w:line="240" w:lineRule="exact"/>
              <w:jc w:val="center"/>
              <w:rPr>
                <w:rFonts w:ascii="Times New Roman" w:hAnsi="Times New Roman" w:eastAsia="宋体" w:cs="Times New Roman"/>
                <w:kern w:val="0"/>
                <w:sz w:val="18"/>
                <w:szCs w:val="18"/>
                <w:lang w:val="en-US" w:eastAsia="zh-CN" w:bidi="ar-SA"/>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30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2172"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lang w:eastAsia="zh-CN"/>
              </w:rPr>
              <w:t>指标</w:t>
            </w:r>
            <w:r>
              <w:rPr>
                <w:rFonts w:hint="eastAsia" w:ascii="Times New Roman" w:hAnsi="Times New Roman" w:cs="Times New Roman"/>
                <w:color w:val="000000"/>
                <w:kern w:val="0"/>
                <w:sz w:val="18"/>
                <w:szCs w:val="18"/>
                <w:lang w:val="en-US" w:eastAsia="zh-CN"/>
              </w:rPr>
              <w:t>3</w:t>
            </w:r>
            <w:r>
              <w:rPr>
                <w:rFonts w:hint="eastAsia" w:ascii="Times New Roman" w:hAnsi="Times New Roman" w:cs="Times New Roman"/>
                <w:color w:val="000000"/>
                <w:kern w:val="0"/>
                <w:sz w:val="18"/>
                <w:szCs w:val="18"/>
                <w:lang w:eastAsia="zh-CN"/>
              </w:rPr>
              <w:t>：顺利组织完成活动</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100%</w:t>
            </w:r>
          </w:p>
        </w:tc>
        <w:tc>
          <w:tcPr>
            <w:tcW w:w="826"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100%</w:t>
            </w:r>
          </w:p>
        </w:tc>
        <w:tc>
          <w:tcPr>
            <w:tcW w:w="567" w:type="dxa"/>
            <w:gridSpan w:val="2"/>
            <w:vMerge w:val="continue"/>
            <w:tcBorders>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567" w:type="dxa"/>
            <w:gridSpan w:val="2"/>
            <w:vMerge w:val="continue"/>
            <w:tcBorders>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30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vMerge w:val="restart"/>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时效指标</w:t>
            </w:r>
          </w:p>
        </w:tc>
        <w:tc>
          <w:tcPr>
            <w:tcW w:w="2172"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指标1</w:t>
            </w:r>
            <w:r>
              <w:rPr>
                <w:rFonts w:ascii="宋体" w:hAnsi="宋体" w:cs="Times New Roman"/>
                <w:color w:val="000000"/>
                <w:kern w:val="0"/>
                <w:sz w:val="18"/>
                <w:szCs w:val="18"/>
              </w:rPr>
              <w:t>：</w:t>
            </w:r>
            <w:r>
              <w:rPr>
                <w:rFonts w:hint="eastAsia" w:ascii="宋体" w:hAnsi="宋体" w:cs="Times New Roman"/>
                <w:color w:val="000000"/>
                <w:kern w:val="0"/>
                <w:sz w:val="18"/>
                <w:szCs w:val="18"/>
              </w:rPr>
              <w:t>年内完成检测率</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100%</w:t>
            </w:r>
          </w:p>
        </w:tc>
        <w:tc>
          <w:tcPr>
            <w:tcW w:w="826"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99%</w:t>
            </w:r>
          </w:p>
        </w:tc>
        <w:tc>
          <w:tcPr>
            <w:tcW w:w="567" w:type="dxa"/>
            <w:gridSpan w:val="2"/>
            <w:vMerge w:val="restart"/>
            <w:tcBorders>
              <w:top w:val="nil"/>
              <w:left w:val="nil"/>
              <w:right w:val="single" w:color="auto" w:sz="4" w:space="0"/>
            </w:tcBorders>
            <w:vAlign w:val="center"/>
          </w:tcPr>
          <w:p>
            <w:pPr>
              <w:widowControl/>
              <w:spacing w:line="240" w:lineRule="exact"/>
              <w:jc w:val="center"/>
              <w:rPr>
                <w:rFonts w:hint="eastAsia" w:ascii="Times New Roman" w:hAnsi="Times New Roman" w:cs="Times New Roman"/>
                <w:kern w:val="0"/>
                <w:sz w:val="18"/>
                <w:szCs w:val="18"/>
              </w:rPr>
            </w:pPr>
            <w:r>
              <w:rPr>
                <w:rFonts w:hint="eastAsia" w:ascii="Times New Roman" w:hAnsi="Times New Roman" w:cs="Times New Roman"/>
                <w:kern w:val="0"/>
                <w:sz w:val="18"/>
                <w:szCs w:val="18"/>
              </w:rPr>
              <w:t>10</w:t>
            </w:r>
          </w:p>
          <w:p>
            <w:pPr>
              <w:widowControl/>
              <w:spacing w:line="240" w:lineRule="exact"/>
              <w:jc w:val="center"/>
              <w:rPr>
                <w:rFonts w:ascii="Times New Roman" w:hAnsi="Times New Roman" w:eastAsia="宋体" w:cs="Times New Roman"/>
                <w:kern w:val="0"/>
                <w:sz w:val="18"/>
                <w:szCs w:val="18"/>
                <w:lang w:val="en-US" w:eastAsia="zh-CN" w:bidi="ar-SA"/>
              </w:rPr>
            </w:pPr>
          </w:p>
        </w:tc>
        <w:tc>
          <w:tcPr>
            <w:tcW w:w="567" w:type="dxa"/>
            <w:gridSpan w:val="2"/>
            <w:vMerge w:val="restart"/>
            <w:tcBorders>
              <w:top w:val="nil"/>
              <w:left w:val="nil"/>
              <w:right w:val="single" w:color="auto" w:sz="4" w:space="0"/>
            </w:tcBorders>
            <w:vAlign w:val="center"/>
          </w:tcPr>
          <w:p>
            <w:pPr>
              <w:widowControl/>
              <w:spacing w:line="240" w:lineRule="exact"/>
              <w:jc w:val="center"/>
              <w:rPr>
                <w:rFonts w:hint="eastAsia" w:ascii="Times New Roman" w:hAnsi="Times New Roman" w:cs="Times New Roman"/>
                <w:kern w:val="0"/>
                <w:sz w:val="18"/>
                <w:szCs w:val="18"/>
              </w:rPr>
            </w:pPr>
            <w:r>
              <w:rPr>
                <w:rFonts w:hint="eastAsia" w:ascii="Times New Roman" w:hAnsi="Times New Roman" w:cs="Times New Roman"/>
                <w:kern w:val="0"/>
                <w:sz w:val="18"/>
                <w:szCs w:val="18"/>
              </w:rPr>
              <w:t>10</w:t>
            </w:r>
          </w:p>
          <w:p>
            <w:pPr>
              <w:widowControl/>
              <w:spacing w:line="240" w:lineRule="exact"/>
              <w:jc w:val="center"/>
              <w:rPr>
                <w:rFonts w:ascii="Times New Roman" w:hAnsi="Times New Roman" w:eastAsia="宋体" w:cs="Times New Roman"/>
                <w:kern w:val="0"/>
                <w:sz w:val="18"/>
                <w:szCs w:val="18"/>
                <w:lang w:val="en-US" w:eastAsia="zh-CN" w:bidi="ar-SA"/>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30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2172"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eastAsia="宋体" w:cs="Times New Roman"/>
                <w:color w:val="000000"/>
                <w:kern w:val="0"/>
                <w:sz w:val="18"/>
                <w:szCs w:val="18"/>
                <w:lang w:val="en-US" w:eastAsia="zh-CN" w:bidi="ar-SA"/>
              </w:rPr>
            </w:pPr>
            <w:r>
              <w:rPr>
                <w:rFonts w:ascii="Times New Roman" w:hAnsi="Times New Roman" w:cs="Times New Roman"/>
                <w:color w:val="000000"/>
                <w:kern w:val="0"/>
                <w:sz w:val="18"/>
                <w:szCs w:val="18"/>
              </w:rPr>
              <w:t>指标</w:t>
            </w:r>
            <w:r>
              <w:rPr>
                <w:rFonts w:hint="eastAsia" w:ascii="Times New Roman" w:hAnsi="Times New Roman" w:cs="Times New Roman"/>
                <w:color w:val="000000"/>
                <w:kern w:val="0"/>
                <w:sz w:val="18"/>
                <w:szCs w:val="18"/>
                <w:lang w:val="en-US" w:eastAsia="zh-CN"/>
              </w:rPr>
              <w:t>2</w:t>
            </w:r>
            <w:r>
              <w:rPr>
                <w:rFonts w:ascii="宋体" w:hAnsi="宋体" w:cs="Times New Roman"/>
                <w:color w:val="000000"/>
                <w:kern w:val="0"/>
                <w:sz w:val="18"/>
                <w:szCs w:val="18"/>
              </w:rPr>
              <w:t>：</w:t>
            </w:r>
            <w:r>
              <w:rPr>
                <w:rFonts w:hint="eastAsia" w:ascii="宋体" w:hAnsi="宋体" w:cs="Times New Roman"/>
                <w:color w:val="000000"/>
                <w:kern w:val="0"/>
                <w:sz w:val="18"/>
                <w:szCs w:val="18"/>
              </w:rPr>
              <w:t>年内完成</w:t>
            </w:r>
            <w:r>
              <w:rPr>
                <w:rFonts w:hint="eastAsia" w:ascii="宋体" w:hAnsi="宋体" w:cs="Times New Roman"/>
                <w:color w:val="000000"/>
                <w:kern w:val="0"/>
                <w:sz w:val="18"/>
                <w:szCs w:val="18"/>
                <w:lang w:eastAsia="zh-CN"/>
              </w:rPr>
              <w:t>粮油</w:t>
            </w:r>
            <w:r>
              <w:rPr>
                <w:rFonts w:hint="eastAsia" w:ascii="宋体" w:hAnsi="宋体" w:cs="Times New Roman"/>
                <w:color w:val="000000"/>
                <w:kern w:val="0"/>
                <w:sz w:val="18"/>
                <w:szCs w:val="18"/>
              </w:rPr>
              <w:t>检测率</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宋体" w:cs="Times New Roman"/>
                <w:kern w:val="0"/>
                <w:sz w:val="18"/>
                <w:szCs w:val="18"/>
                <w:lang w:val="en-US" w:eastAsia="zh-CN" w:bidi="ar-SA"/>
              </w:rPr>
            </w:pPr>
            <w:r>
              <w:rPr>
                <w:rFonts w:hint="eastAsia" w:ascii="Times New Roman" w:hAnsi="Times New Roman" w:cs="Times New Roman"/>
                <w:kern w:val="0"/>
                <w:sz w:val="18"/>
                <w:szCs w:val="18"/>
              </w:rPr>
              <w:t>100%</w:t>
            </w:r>
          </w:p>
        </w:tc>
        <w:tc>
          <w:tcPr>
            <w:tcW w:w="826"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宋体" w:cs="Times New Roman"/>
                <w:kern w:val="0"/>
                <w:sz w:val="18"/>
                <w:szCs w:val="18"/>
                <w:lang w:val="en-US" w:eastAsia="zh-CN" w:bidi="ar-SA"/>
              </w:rPr>
            </w:pPr>
            <w:r>
              <w:rPr>
                <w:rFonts w:hint="eastAsia" w:ascii="Times New Roman" w:hAnsi="Times New Roman" w:cs="Times New Roman"/>
                <w:kern w:val="0"/>
                <w:sz w:val="18"/>
                <w:szCs w:val="18"/>
              </w:rPr>
              <w:t>99%</w:t>
            </w:r>
          </w:p>
        </w:tc>
        <w:tc>
          <w:tcPr>
            <w:tcW w:w="567" w:type="dxa"/>
            <w:gridSpan w:val="2"/>
            <w:vMerge w:val="continue"/>
            <w:tcBorders>
              <w:left w:val="nil"/>
              <w:right w:val="single" w:color="auto" w:sz="4" w:space="0"/>
            </w:tcBorders>
            <w:vAlign w:val="center"/>
          </w:tcPr>
          <w:p>
            <w:pPr>
              <w:widowControl/>
              <w:spacing w:line="240" w:lineRule="exact"/>
              <w:jc w:val="center"/>
              <w:rPr>
                <w:rFonts w:ascii="Times New Roman" w:hAnsi="Times New Roman" w:eastAsia="宋体" w:cs="Times New Roman"/>
                <w:kern w:val="0"/>
                <w:sz w:val="18"/>
                <w:szCs w:val="18"/>
                <w:lang w:val="en-US" w:eastAsia="zh-CN" w:bidi="ar-SA"/>
              </w:rPr>
            </w:pPr>
          </w:p>
        </w:tc>
        <w:tc>
          <w:tcPr>
            <w:tcW w:w="567" w:type="dxa"/>
            <w:gridSpan w:val="2"/>
            <w:vMerge w:val="continue"/>
            <w:tcBorders>
              <w:left w:val="nil"/>
              <w:right w:val="single" w:color="auto" w:sz="4" w:space="0"/>
            </w:tcBorders>
            <w:vAlign w:val="center"/>
          </w:tcPr>
          <w:p>
            <w:pPr>
              <w:widowControl/>
              <w:spacing w:line="240" w:lineRule="exact"/>
              <w:jc w:val="center"/>
              <w:rPr>
                <w:rFonts w:ascii="Times New Roman" w:hAnsi="Times New Roman" w:eastAsia="宋体" w:cs="Times New Roman"/>
                <w:kern w:val="0"/>
                <w:sz w:val="18"/>
                <w:szCs w:val="18"/>
                <w:lang w:val="en-US" w:eastAsia="zh-CN" w:bidi="ar-SA"/>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30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2172"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lang w:eastAsia="zh-CN"/>
              </w:rPr>
              <w:t>指标</w:t>
            </w:r>
            <w:r>
              <w:rPr>
                <w:rFonts w:hint="eastAsia" w:ascii="Times New Roman" w:hAnsi="Times New Roman" w:cs="Times New Roman"/>
                <w:color w:val="000000"/>
                <w:kern w:val="0"/>
                <w:sz w:val="18"/>
                <w:szCs w:val="18"/>
                <w:lang w:val="en-US" w:eastAsia="zh-CN"/>
              </w:rPr>
              <w:t>3：</w:t>
            </w:r>
            <w:r>
              <w:rPr>
                <w:rFonts w:hint="eastAsia" w:ascii="Times New Roman" w:hAnsi="Times New Roman" w:eastAsia="宋体" w:cs="Times New Roman"/>
                <w:color w:val="000000"/>
                <w:kern w:val="0"/>
                <w:sz w:val="18"/>
                <w:szCs w:val="18"/>
                <w:lang w:eastAsia="zh-CN"/>
              </w:rPr>
              <w:t>按相同主题、模式、时间通过视频连线同步举行</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ascii="Times New Roman" w:hAnsi="Times New Roman" w:cs="Times New Roman"/>
                <w:kern w:val="0"/>
                <w:sz w:val="18"/>
                <w:szCs w:val="18"/>
                <w:lang w:eastAsia="zh-CN"/>
              </w:rPr>
              <w:t>按时</w:t>
            </w:r>
          </w:p>
        </w:tc>
        <w:tc>
          <w:tcPr>
            <w:tcW w:w="826"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ascii="Times New Roman" w:hAnsi="Times New Roman" w:cs="Times New Roman"/>
                <w:kern w:val="0"/>
                <w:sz w:val="18"/>
                <w:szCs w:val="18"/>
                <w:lang w:eastAsia="zh-CN"/>
              </w:rPr>
              <w:t>按时</w:t>
            </w:r>
          </w:p>
        </w:tc>
        <w:tc>
          <w:tcPr>
            <w:tcW w:w="567" w:type="dxa"/>
            <w:gridSpan w:val="2"/>
            <w:vMerge w:val="continue"/>
            <w:tcBorders>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567" w:type="dxa"/>
            <w:gridSpan w:val="2"/>
            <w:vMerge w:val="continue"/>
            <w:tcBorders>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736"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成本指标</w:t>
            </w:r>
          </w:p>
        </w:tc>
        <w:tc>
          <w:tcPr>
            <w:tcW w:w="2172"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指标1</w:t>
            </w:r>
            <w:r>
              <w:rPr>
                <w:rFonts w:ascii="宋体" w:hAnsi="宋体" w:cs="Times New Roman"/>
                <w:color w:val="000000"/>
                <w:kern w:val="0"/>
                <w:sz w:val="18"/>
                <w:szCs w:val="18"/>
              </w:rPr>
              <w:t>：</w:t>
            </w:r>
            <w:r>
              <w:rPr>
                <w:rFonts w:hint="eastAsia" w:ascii="宋体" w:hAnsi="宋体" w:cs="Times New Roman"/>
                <w:color w:val="000000"/>
                <w:kern w:val="0"/>
                <w:sz w:val="18"/>
                <w:szCs w:val="18"/>
                <w:lang w:eastAsia="zh-CN"/>
              </w:rPr>
              <w:t>项目前期</w:t>
            </w:r>
            <w:r>
              <w:rPr>
                <w:rFonts w:hint="eastAsia" w:ascii="宋体" w:hAnsi="宋体" w:cs="Times New Roman"/>
                <w:color w:val="000000"/>
                <w:kern w:val="0"/>
                <w:sz w:val="18"/>
                <w:szCs w:val="18"/>
              </w:rPr>
              <w:t>经费</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lang w:val="en-US" w:eastAsia="zh-CN"/>
              </w:rPr>
              <w:t>97</w:t>
            </w:r>
            <w:r>
              <w:rPr>
                <w:rFonts w:hint="eastAsia" w:ascii="Times New Roman" w:hAnsi="Times New Roman" w:cs="Times New Roman"/>
                <w:kern w:val="0"/>
                <w:sz w:val="18"/>
                <w:szCs w:val="18"/>
              </w:rPr>
              <w:t>万元</w:t>
            </w:r>
          </w:p>
        </w:tc>
        <w:tc>
          <w:tcPr>
            <w:tcW w:w="826"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lang w:val="en-US" w:eastAsia="zh-CN"/>
              </w:rPr>
              <w:t>97</w:t>
            </w:r>
            <w:r>
              <w:rPr>
                <w:rFonts w:hint="eastAsia" w:ascii="Times New Roman" w:hAnsi="Times New Roman" w:cs="Times New Roman"/>
                <w:kern w:val="0"/>
                <w:sz w:val="18"/>
                <w:szCs w:val="18"/>
              </w:rPr>
              <w:t>万元</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526"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restart"/>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效益指标</w:t>
            </w:r>
            <w:r>
              <w:rPr>
                <w:rFonts w:hint="eastAsia" w:ascii="Times New Roman" w:hAnsi="Times New Roman" w:cs="Times New Roman"/>
                <w:kern w:val="0"/>
                <w:sz w:val="20"/>
                <w:szCs w:val="20"/>
                <w:lang w:val="en-US" w:eastAsia="zh-CN"/>
              </w:rPr>
              <w:t>3</w:t>
            </w:r>
            <w:r>
              <w:rPr>
                <w:rFonts w:ascii="Times New Roman" w:hAnsi="Times New Roman" w:cs="Times New Roman"/>
                <w:kern w:val="0"/>
                <w:sz w:val="20"/>
                <w:szCs w:val="20"/>
              </w:rPr>
              <w:t>0</w:t>
            </w:r>
            <w:r>
              <w:rPr>
                <w:rFonts w:ascii="宋体" w:hAnsi="宋体" w:cs="Times New Roman"/>
                <w:kern w:val="0"/>
                <w:sz w:val="20"/>
                <w:szCs w:val="20"/>
              </w:rPr>
              <w:t>分</w:t>
            </w:r>
            <w:r>
              <w:rPr>
                <w:rFonts w:ascii="Times New Roman" w:hAnsi="Times New Roman" w:cs="Times New Roman"/>
                <w:kern w:val="0"/>
                <w:sz w:val="20"/>
                <w:szCs w:val="20"/>
              </w:rPr>
              <w:t>)</w:t>
            </w:r>
          </w:p>
        </w:tc>
        <w:tc>
          <w:tcPr>
            <w:tcW w:w="1112" w:type="dxa"/>
            <w:vMerge w:val="restart"/>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经济效益</w:t>
            </w:r>
          </w:p>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指标</w:t>
            </w:r>
          </w:p>
        </w:tc>
        <w:tc>
          <w:tcPr>
            <w:tcW w:w="2172"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指标1</w:t>
            </w:r>
            <w:r>
              <w:rPr>
                <w:rFonts w:ascii="宋体" w:hAnsi="宋体" w:cs="Times New Roman"/>
                <w:color w:val="000000"/>
                <w:kern w:val="0"/>
                <w:sz w:val="18"/>
                <w:szCs w:val="18"/>
              </w:rPr>
              <w:t>：</w:t>
            </w:r>
            <w:r>
              <w:rPr>
                <w:rFonts w:hint="eastAsia" w:ascii="Times New Roman" w:hAnsi="Times New Roman" w:cs="Times New Roman"/>
                <w:kern w:val="0"/>
                <w:sz w:val="18"/>
                <w:szCs w:val="18"/>
                <w:lang w:val="en-US" w:eastAsia="zh-CN"/>
              </w:rPr>
              <w:t>优化年度方案</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lang w:val="en-US" w:eastAsia="zh-CN"/>
              </w:rPr>
              <w:t>1个</w:t>
            </w:r>
          </w:p>
        </w:tc>
        <w:tc>
          <w:tcPr>
            <w:tcW w:w="826"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ascii="Times New Roman" w:hAnsi="Times New Roman" w:cs="Times New Roman"/>
                <w:kern w:val="0"/>
                <w:sz w:val="18"/>
                <w:szCs w:val="18"/>
                <w:lang w:val="en-US" w:eastAsia="zh-CN"/>
              </w:rPr>
              <w:t>1个</w:t>
            </w:r>
          </w:p>
        </w:tc>
        <w:tc>
          <w:tcPr>
            <w:tcW w:w="567" w:type="dxa"/>
            <w:gridSpan w:val="2"/>
            <w:vMerge w:val="restart"/>
            <w:tcBorders>
              <w:top w:val="nil"/>
              <w:left w:val="nil"/>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c>
          <w:tcPr>
            <w:tcW w:w="567" w:type="dxa"/>
            <w:gridSpan w:val="2"/>
            <w:vMerge w:val="restart"/>
            <w:tcBorders>
              <w:top w:val="nil"/>
              <w:left w:val="nil"/>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30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2172"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指标2</w:t>
            </w:r>
            <w:r>
              <w:rPr>
                <w:rFonts w:ascii="宋体" w:hAnsi="宋体" w:cs="Times New Roman"/>
                <w:color w:val="000000"/>
                <w:kern w:val="0"/>
                <w:sz w:val="18"/>
                <w:szCs w:val="18"/>
              </w:rPr>
              <w:t>：</w:t>
            </w:r>
            <w:r>
              <w:rPr>
                <w:rFonts w:hint="eastAsia" w:ascii="宋体" w:hAnsi="宋体" w:cs="Times New Roman"/>
                <w:color w:val="000000"/>
                <w:kern w:val="0"/>
                <w:sz w:val="18"/>
                <w:szCs w:val="18"/>
              </w:rPr>
              <w:t>无重大粮油质量安全事故</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ascii="Times New Roman" w:hAnsi="Times New Roman" w:cs="Times New Roman"/>
                <w:kern w:val="0"/>
                <w:sz w:val="18"/>
                <w:szCs w:val="18"/>
                <w:lang w:val="en-US" w:eastAsia="zh-CN"/>
              </w:rPr>
              <w:t>无事故</w:t>
            </w:r>
          </w:p>
        </w:tc>
        <w:tc>
          <w:tcPr>
            <w:tcW w:w="826"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100%</w:t>
            </w:r>
          </w:p>
        </w:tc>
        <w:tc>
          <w:tcPr>
            <w:tcW w:w="567" w:type="dxa"/>
            <w:gridSpan w:val="2"/>
            <w:vMerge w:val="continue"/>
            <w:tcBorders>
              <w:left w:val="nil"/>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p>
        </w:tc>
        <w:tc>
          <w:tcPr>
            <w:tcW w:w="567" w:type="dxa"/>
            <w:gridSpan w:val="2"/>
            <w:vMerge w:val="continue"/>
            <w:tcBorders>
              <w:left w:val="nil"/>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30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2172"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lang w:eastAsia="zh-CN"/>
              </w:rPr>
              <w:t>指标</w:t>
            </w:r>
            <w:r>
              <w:rPr>
                <w:rFonts w:hint="eastAsia" w:ascii="Times New Roman" w:hAnsi="Times New Roman" w:cs="Times New Roman"/>
                <w:color w:val="000000"/>
                <w:kern w:val="0"/>
                <w:sz w:val="18"/>
                <w:szCs w:val="18"/>
                <w:lang w:val="en-US" w:eastAsia="zh-CN"/>
              </w:rPr>
              <w:t>3：</w:t>
            </w:r>
            <w:r>
              <w:rPr>
                <w:rFonts w:hint="eastAsia" w:ascii="Times New Roman" w:hAnsi="Times New Roman" w:cs="Times New Roman"/>
                <w:color w:val="000000"/>
                <w:kern w:val="0"/>
                <w:sz w:val="18"/>
                <w:szCs w:val="18"/>
                <w:lang w:eastAsia="zh-CN"/>
              </w:rPr>
              <w:t>确保重点项目早落地、早投产、早见效</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ascii="Times New Roman" w:hAnsi="Times New Roman" w:cs="Times New Roman"/>
                <w:kern w:val="0"/>
                <w:sz w:val="18"/>
                <w:szCs w:val="18"/>
                <w:lang w:eastAsia="zh-CN"/>
              </w:rPr>
              <w:t>完成</w:t>
            </w:r>
          </w:p>
        </w:tc>
        <w:tc>
          <w:tcPr>
            <w:tcW w:w="826"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ascii="Times New Roman" w:hAnsi="Times New Roman" w:cs="Times New Roman"/>
                <w:kern w:val="0"/>
                <w:sz w:val="18"/>
                <w:szCs w:val="18"/>
                <w:lang w:eastAsia="zh-CN"/>
              </w:rPr>
              <w:t>完成</w:t>
            </w:r>
          </w:p>
        </w:tc>
        <w:tc>
          <w:tcPr>
            <w:tcW w:w="567" w:type="dxa"/>
            <w:gridSpan w:val="2"/>
            <w:vMerge w:val="continue"/>
            <w:tcBorders>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567" w:type="dxa"/>
            <w:gridSpan w:val="2"/>
            <w:vMerge w:val="continue"/>
            <w:tcBorders>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30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vMerge w:val="restart"/>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社会效益</w:t>
            </w:r>
          </w:p>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指标</w:t>
            </w:r>
          </w:p>
        </w:tc>
        <w:tc>
          <w:tcPr>
            <w:tcW w:w="2172"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lang w:val="en-US" w:eastAsia="zh-CN"/>
              </w:rPr>
              <w:t>指标1：成功争获上级专项资金</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lang w:val="en-US" w:eastAsia="zh-CN"/>
              </w:rPr>
              <w:t>2000万元</w:t>
            </w:r>
          </w:p>
        </w:tc>
        <w:tc>
          <w:tcPr>
            <w:tcW w:w="826"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2000万元</w:t>
            </w:r>
          </w:p>
        </w:tc>
        <w:tc>
          <w:tcPr>
            <w:tcW w:w="567" w:type="dxa"/>
            <w:gridSpan w:val="2"/>
            <w:vMerge w:val="restart"/>
            <w:tcBorders>
              <w:top w:val="nil"/>
              <w:left w:val="nil"/>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5</w:t>
            </w:r>
          </w:p>
        </w:tc>
        <w:tc>
          <w:tcPr>
            <w:tcW w:w="567" w:type="dxa"/>
            <w:gridSpan w:val="2"/>
            <w:vMerge w:val="restart"/>
            <w:tcBorders>
              <w:top w:val="nil"/>
              <w:left w:val="nil"/>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30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2172"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指标2</w:t>
            </w:r>
            <w:r>
              <w:rPr>
                <w:rFonts w:ascii="宋体" w:hAnsi="宋体" w:cs="Times New Roman"/>
                <w:color w:val="000000"/>
                <w:kern w:val="0"/>
                <w:sz w:val="18"/>
                <w:szCs w:val="18"/>
              </w:rPr>
              <w:t>：</w:t>
            </w:r>
            <w:r>
              <w:rPr>
                <w:rFonts w:hint="eastAsia" w:ascii="宋体" w:hAnsi="宋体" w:cs="Times New Roman"/>
                <w:color w:val="000000"/>
                <w:kern w:val="0"/>
                <w:sz w:val="18"/>
                <w:szCs w:val="18"/>
              </w:rPr>
              <w:t>稳定粮油产品</w:t>
            </w:r>
            <w:r>
              <w:rPr>
                <w:rFonts w:hint="eastAsia" w:ascii="宋体" w:hAnsi="宋体" w:cs="Times New Roman"/>
                <w:color w:val="000000"/>
                <w:kern w:val="0"/>
                <w:sz w:val="18"/>
                <w:szCs w:val="18"/>
                <w:lang w:eastAsia="zh-CN"/>
              </w:rPr>
              <w:t>安全、</w:t>
            </w:r>
            <w:r>
              <w:rPr>
                <w:rFonts w:hint="eastAsia" w:ascii="宋体" w:hAnsi="宋体" w:cs="Times New Roman"/>
                <w:color w:val="000000"/>
                <w:kern w:val="0"/>
                <w:sz w:val="18"/>
                <w:szCs w:val="18"/>
              </w:rPr>
              <w:t>发展</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持续</w:t>
            </w:r>
          </w:p>
        </w:tc>
        <w:tc>
          <w:tcPr>
            <w:tcW w:w="826"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持续</w:t>
            </w:r>
          </w:p>
        </w:tc>
        <w:tc>
          <w:tcPr>
            <w:tcW w:w="567" w:type="dxa"/>
            <w:gridSpan w:val="2"/>
            <w:vMerge w:val="continue"/>
            <w:tcBorders>
              <w:left w:val="nil"/>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p>
        </w:tc>
        <w:tc>
          <w:tcPr>
            <w:tcW w:w="567" w:type="dxa"/>
            <w:gridSpan w:val="2"/>
            <w:vMerge w:val="continue"/>
            <w:tcBorders>
              <w:left w:val="nil"/>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30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2172"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hint="eastAsia" w:ascii="宋体" w:hAnsi="宋体" w:cs="Times New Roman"/>
                <w:color w:val="000000"/>
                <w:kern w:val="0"/>
                <w:sz w:val="18"/>
                <w:szCs w:val="18"/>
                <w:lang w:eastAsia="zh-CN"/>
              </w:rPr>
              <w:t>指标</w:t>
            </w:r>
            <w:r>
              <w:rPr>
                <w:rFonts w:hint="eastAsia" w:ascii="宋体" w:hAnsi="宋体" w:cs="Times New Roman"/>
                <w:color w:val="000000"/>
                <w:kern w:val="0"/>
                <w:sz w:val="18"/>
                <w:szCs w:val="18"/>
                <w:lang w:val="en-US" w:eastAsia="zh-CN"/>
              </w:rPr>
              <w:t>3：</w:t>
            </w:r>
            <w:r>
              <w:rPr>
                <w:rFonts w:ascii="宋体" w:hAnsi="宋体" w:cs="Times New Roman"/>
                <w:color w:val="000000"/>
                <w:kern w:val="0"/>
                <w:sz w:val="18"/>
                <w:szCs w:val="18"/>
              </w:rPr>
              <w:t>达成预期指标</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ascii="Times New Roman" w:hAnsi="Times New Roman" w:cs="Times New Roman"/>
                <w:kern w:val="0"/>
                <w:sz w:val="18"/>
                <w:szCs w:val="18"/>
                <w:lang w:eastAsia="zh-CN"/>
              </w:rPr>
              <w:t>完成</w:t>
            </w:r>
          </w:p>
        </w:tc>
        <w:tc>
          <w:tcPr>
            <w:tcW w:w="826"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ascii="Times New Roman" w:hAnsi="Times New Roman" w:cs="Times New Roman"/>
                <w:kern w:val="0"/>
                <w:sz w:val="18"/>
                <w:szCs w:val="18"/>
                <w:lang w:eastAsia="zh-CN"/>
              </w:rPr>
              <w:t>完成</w:t>
            </w:r>
          </w:p>
        </w:tc>
        <w:tc>
          <w:tcPr>
            <w:tcW w:w="567" w:type="dxa"/>
            <w:gridSpan w:val="2"/>
            <w:vMerge w:val="continue"/>
            <w:tcBorders>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567" w:type="dxa"/>
            <w:gridSpan w:val="2"/>
            <w:vMerge w:val="continue"/>
            <w:tcBorders>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30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vMerge w:val="restart"/>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生态效益</w:t>
            </w:r>
          </w:p>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指标</w:t>
            </w:r>
          </w:p>
        </w:tc>
        <w:tc>
          <w:tcPr>
            <w:tcW w:w="2172"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指标1</w:t>
            </w:r>
            <w:r>
              <w:rPr>
                <w:rFonts w:ascii="宋体" w:hAnsi="宋体" w:cs="Times New Roman"/>
                <w:color w:val="000000"/>
                <w:kern w:val="0"/>
                <w:sz w:val="18"/>
                <w:szCs w:val="18"/>
              </w:rPr>
              <w:t>：</w:t>
            </w:r>
            <w:r>
              <w:rPr>
                <w:rFonts w:hint="eastAsia" w:ascii="Times New Roman" w:hAnsi="Times New Roman" w:cs="Times New Roman"/>
                <w:color w:val="000000"/>
                <w:kern w:val="0"/>
                <w:sz w:val="18"/>
                <w:szCs w:val="18"/>
                <w:lang w:eastAsia="zh-CN"/>
              </w:rPr>
              <w:t>有序指导改善人居环境</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5"/>
                <w:szCs w:val="15"/>
              </w:rPr>
            </w:pPr>
            <w:r>
              <w:rPr>
                <w:rFonts w:hint="eastAsia" w:ascii="Times New Roman" w:hAnsi="Times New Roman" w:cs="Times New Roman"/>
                <w:kern w:val="0"/>
                <w:sz w:val="15"/>
                <w:szCs w:val="15"/>
              </w:rPr>
              <w:t>12个乡镇</w:t>
            </w:r>
          </w:p>
        </w:tc>
        <w:tc>
          <w:tcPr>
            <w:tcW w:w="826"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5"/>
                <w:szCs w:val="15"/>
              </w:rPr>
              <w:t>12个乡镇</w:t>
            </w:r>
          </w:p>
        </w:tc>
        <w:tc>
          <w:tcPr>
            <w:tcW w:w="567" w:type="dxa"/>
            <w:gridSpan w:val="2"/>
            <w:vMerge w:val="restart"/>
            <w:tcBorders>
              <w:top w:val="nil"/>
              <w:left w:val="nil"/>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c>
          <w:tcPr>
            <w:tcW w:w="567" w:type="dxa"/>
            <w:gridSpan w:val="2"/>
            <w:vMerge w:val="restart"/>
            <w:tcBorders>
              <w:top w:val="nil"/>
              <w:left w:val="nil"/>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30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2172"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指标</w:t>
            </w:r>
            <w:r>
              <w:rPr>
                <w:rFonts w:hint="eastAsia" w:ascii="Times New Roman" w:hAnsi="Times New Roman" w:cs="Times New Roman"/>
                <w:color w:val="000000"/>
                <w:kern w:val="0"/>
                <w:sz w:val="18"/>
                <w:szCs w:val="18"/>
                <w:lang w:val="en-US" w:eastAsia="zh-CN"/>
              </w:rPr>
              <w:t>2</w:t>
            </w:r>
            <w:r>
              <w:rPr>
                <w:rFonts w:ascii="宋体" w:hAnsi="宋体" w:cs="Times New Roman"/>
                <w:color w:val="000000"/>
                <w:kern w:val="0"/>
                <w:sz w:val="18"/>
                <w:szCs w:val="18"/>
              </w:rPr>
              <w:t>：</w:t>
            </w:r>
            <w:r>
              <w:rPr>
                <w:rFonts w:hint="eastAsia" w:ascii="宋体" w:hAnsi="宋体" w:cs="Times New Roman"/>
                <w:color w:val="000000"/>
                <w:kern w:val="0"/>
                <w:sz w:val="18"/>
                <w:szCs w:val="18"/>
              </w:rPr>
              <w:t>确保粮油不受污染</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零</w:t>
            </w:r>
          </w:p>
        </w:tc>
        <w:tc>
          <w:tcPr>
            <w:tcW w:w="826"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零</w:t>
            </w:r>
          </w:p>
        </w:tc>
        <w:tc>
          <w:tcPr>
            <w:tcW w:w="567" w:type="dxa"/>
            <w:gridSpan w:val="2"/>
            <w:vMerge w:val="continue"/>
            <w:tcBorders>
              <w:left w:val="nil"/>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567" w:type="dxa"/>
            <w:gridSpan w:val="2"/>
            <w:vMerge w:val="continue"/>
            <w:tcBorders>
              <w:left w:val="nil"/>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30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2172"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lang w:eastAsia="zh-CN"/>
              </w:rPr>
              <w:t>指标</w:t>
            </w:r>
            <w:r>
              <w:rPr>
                <w:rFonts w:hint="eastAsia" w:ascii="Times New Roman" w:hAnsi="Times New Roman" w:cs="Times New Roman"/>
                <w:color w:val="000000"/>
                <w:kern w:val="0"/>
                <w:sz w:val="18"/>
                <w:szCs w:val="18"/>
                <w:lang w:val="en-US" w:eastAsia="zh-CN"/>
              </w:rPr>
              <w:t>3：</w:t>
            </w:r>
            <w:r>
              <w:rPr>
                <w:rFonts w:ascii="宋体" w:hAnsi="宋体" w:cs="Times New Roman"/>
                <w:color w:val="000000"/>
                <w:kern w:val="0"/>
                <w:sz w:val="18"/>
                <w:szCs w:val="18"/>
              </w:rPr>
              <w:t>达成预期指标</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100%</w:t>
            </w:r>
          </w:p>
        </w:tc>
        <w:tc>
          <w:tcPr>
            <w:tcW w:w="826"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100%</w:t>
            </w:r>
          </w:p>
        </w:tc>
        <w:tc>
          <w:tcPr>
            <w:tcW w:w="567" w:type="dxa"/>
            <w:gridSpan w:val="2"/>
            <w:vMerge w:val="continue"/>
            <w:tcBorders>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567" w:type="dxa"/>
            <w:gridSpan w:val="2"/>
            <w:vMerge w:val="continue"/>
            <w:tcBorders>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30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vMerge w:val="restart"/>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可持续影响指标</w:t>
            </w:r>
          </w:p>
        </w:tc>
        <w:tc>
          <w:tcPr>
            <w:tcW w:w="2172"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指标1</w:t>
            </w:r>
            <w:r>
              <w:rPr>
                <w:rFonts w:ascii="宋体" w:hAnsi="宋体" w:cs="Times New Roman"/>
                <w:color w:val="000000"/>
                <w:kern w:val="0"/>
                <w:sz w:val="18"/>
                <w:szCs w:val="18"/>
              </w:rPr>
              <w:t>：</w:t>
            </w:r>
            <w:r>
              <w:rPr>
                <w:rFonts w:hint="eastAsia" w:ascii="Times New Roman" w:hAnsi="Times New Roman" w:cs="Times New Roman"/>
                <w:color w:val="000000"/>
                <w:kern w:val="0"/>
                <w:sz w:val="18"/>
                <w:szCs w:val="18"/>
                <w:lang w:eastAsia="zh-CN"/>
              </w:rPr>
              <w:t>为后续接力争获专项提供条件</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长期</w:t>
            </w:r>
          </w:p>
        </w:tc>
        <w:tc>
          <w:tcPr>
            <w:tcW w:w="826"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长期</w:t>
            </w:r>
          </w:p>
        </w:tc>
        <w:tc>
          <w:tcPr>
            <w:tcW w:w="567" w:type="dxa"/>
            <w:gridSpan w:val="2"/>
            <w:vMerge w:val="restart"/>
            <w:tcBorders>
              <w:top w:val="nil"/>
              <w:left w:val="nil"/>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5</w:t>
            </w:r>
          </w:p>
        </w:tc>
        <w:tc>
          <w:tcPr>
            <w:tcW w:w="567" w:type="dxa"/>
            <w:gridSpan w:val="2"/>
            <w:vMerge w:val="restart"/>
            <w:tcBorders>
              <w:top w:val="nil"/>
              <w:left w:val="nil"/>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30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2172"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指标2</w:t>
            </w:r>
            <w:r>
              <w:rPr>
                <w:rFonts w:ascii="宋体" w:hAnsi="宋体" w:cs="Times New Roman"/>
                <w:color w:val="000000"/>
                <w:kern w:val="0"/>
                <w:sz w:val="18"/>
                <w:szCs w:val="18"/>
              </w:rPr>
              <w:t>：</w:t>
            </w:r>
            <w:r>
              <w:rPr>
                <w:rFonts w:hint="eastAsia" w:ascii="宋体" w:hAnsi="宋体" w:cs="Times New Roman"/>
                <w:color w:val="000000"/>
                <w:kern w:val="0"/>
                <w:sz w:val="18"/>
                <w:szCs w:val="18"/>
              </w:rPr>
              <w:t>粮油产品质量流通安全</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长期</w:t>
            </w:r>
          </w:p>
        </w:tc>
        <w:tc>
          <w:tcPr>
            <w:tcW w:w="826"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长期</w:t>
            </w:r>
          </w:p>
        </w:tc>
        <w:tc>
          <w:tcPr>
            <w:tcW w:w="567" w:type="dxa"/>
            <w:gridSpan w:val="2"/>
            <w:vMerge w:val="continue"/>
            <w:tcBorders>
              <w:left w:val="nil"/>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567" w:type="dxa"/>
            <w:gridSpan w:val="2"/>
            <w:vMerge w:val="continue"/>
            <w:tcBorders>
              <w:left w:val="nil"/>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30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2172"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lang w:eastAsia="zh-CN"/>
              </w:rPr>
              <w:t>指标</w:t>
            </w:r>
            <w:r>
              <w:rPr>
                <w:rFonts w:hint="eastAsia" w:ascii="Times New Roman" w:hAnsi="Times New Roman" w:cs="Times New Roman"/>
                <w:color w:val="000000"/>
                <w:kern w:val="0"/>
                <w:sz w:val="18"/>
                <w:szCs w:val="18"/>
                <w:lang w:val="en-US" w:eastAsia="zh-CN"/>
              </w:rPr>
              <w:t>3：</w:t>
            </w:r>
            <w:r>
              <w:rPr>
                <w:rFonts w:ascii="宋体" w:hAnsi="宋体" w:cs="Times New Roman"/>
                <w:color w:val="000000"/>
                <w:kern w:val="0"/>
                <w:sz w:val="18"/>
                <w:szCs w:val="18"/>
              </w:rPr>
              <w:t>达成预期指标</w:t>
            </w:r>
          </w:p>
        </w:tc>
        <w:tc>
          <w:tcPr>
            <w:tcW w:w="851" w:type="dxa"/>
            <w:tcBorders>
              <w:top w:val="nil"/>
              <w:left w:val="nil"/>
              <w:bottom w:val="single" w:color="auto" w:sz="4" w:space="0"/>
              <w:right w:val="single" w:color="auto" w:sz="4" w:space="0"/>
            </w:tcBorders>
            <w:vAlign w:val="center"/>
          </w:tcPr>
          <w:p>
            <w:pPr>
              <w:widowControl/>
              <w:spacing w:line="240" w:lineRule="exact"/>
              <w:jc w:val="both"/>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100%</w:t>
            </w:r>
          </w:p>
        </w:tc>
        <w:tc>
          <w:tcPr>
            <w:tcW w:w="826"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100%</w:t>
            </w:r>
          </w:p>
        </w:tc>
        <w:tc>
          <w:tcPr>
            <w:tcW w:w="567" w:type="dxa"/>
            <w:gridSpan w:val="2"/>
            <w:vMerge w:val="continue"/>
            <w:tcBorders>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567" w:type="dxa"/>
            <w:gridSpan w:val="2"/>
            <w:vMerge w:val="continue"/>
            <w:tcBorders>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30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restart"/>
            <w:tcBorders>
              <w:top w:val="nil"/>
              <w:left w:val="nil"/>
              <w:bottom w:val="nil"/>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满意度</w:t>
            </w:r>
          </w:p>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指标</w:t>
            </w:r>
            <w:r>
              <w:rPr>
                <w:rFonts w:ascii="Times New Roman" w:hAnsi="Times New Roman" w:cs="Times New Roman"/>
                <w:kern w:val="0"/>
                <w:sz w:val="20"/>
                <w:szCs w:val="20"/>
              </w:rPr>
              <w:t>(10</w:t>
            </w:r>
            <w:r>
              <w:rPr>
                <w:rFonts w:ascii="宋体" w:hAnsi="宋体" w:cs="Times New Roman"/>
                <w:kern w:val="0"/>
                <w:sz w:val="20"/>
                <w:szCs w:val="20"/>
              </w:rPr>
              <w:t>分</w:t>
            </w:r>
            <w:r>
              <w:rPr>
                <w:rFonts w:ascii="Times New Roman" w:hAnsi="Times New Roman" w:cs="Times New Roman"/>
                <w:kern w:val="0"/>
                <w:sz w:val="20"/>
                <w:szCs w:val="20"/>
              </w:rPr>
              <w:t>)</w:t>
            </w:r>
          </w:p>
        </w:tc>
        <w:tc>
          <w:tcPr>
            <w:tcW w:w="1112" w:type="dxa"/>
            <w:vMerge w:val="restart"/>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服务对象满意度指标</w:t>
            </w:r>
          </w:p>
        </w:tc>
        <w:tc>
          <w:tcPr>
            <w:tcW w:w="2172"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指标1</w:t>
            </w:r>
            <w:r>
              <w:rPr>
                <w:rFonts w:ascii="宋体" w:hAnsi="宋体" w:cs="Times New Roman"/>
                <w:color w:val="000000"/>
                <w:kern w:val="0"/>
                <w:sz w:val="18"/>
                <w:szCs w:val="18"/>
              </w:rPr>
              <w:t>：</w:t>
            </w:r>
            <w:r>
              <w:rPr>
                <w:rFonts w:hint="eastAsia" w:ascii="宋体" w:hAnsi="宋体" w:cs="Times New Roman"/>
                <w:color w:val="000000"/>
                <w:kern w:val="0"/>
                <w:sz w:val="18"/>
                <w:szCs w:val="18"/>
              </w:rPr>
              <w:t>满意度</w:t>
            </w:r>
          </w:p>
        </w:tc>
        <w:tc>
          <w:tcPr>
            <w:tcW w:w="85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100%</w:t>
            </w:r>
          </w:p>
        </w:tc>
        <w:tc>
          <w:tcPr>
            <w:tcW w:w="82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100%</w:t>
            </w:r>
          </w:p>
        </w:tc>
        <w:tc>
          <w:tcPr>
            <w:tcW w:w="567" w:type="dxa"/>
            <w:gridSpan w:val="2"/>
            <w:vMerge w:val="restart"/>
            <w:tcBorders>
              <w:top w:val="single" w:color="auto" w:sz="4" w:space="0"/>
              <w:left w:val="nil"/>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w:t>
            </w:r>
          </w:p>
        </w:tc>
        <w:tc>
          <w:tcPr>
            <w:tcW w:w="567" w:type="dxa"/>
            <w:gridSpan w:val="2"/>
            <w:vMerge w:val="restart"/>
            <w:tcBorders>
              <w:top w:val="single" w:color="auto" w:sz="4" w:space="0"/>
              <w:left w:val="nil"/>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30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nil"/>
              <w:right w:val="single" w:color="auto" w:sz="4" w:space="0"/>
            </w:tcBorders>
            <w:vAlign w:val="center"/>
          </w:tcPr>
          <w:p>
            <w:pPr>
              <w:widowControl/>
              <w:jc w:val="left"/>
              <w:rPr>
                <w:rFonts w:ascii="Times New Roman" w:hAnsi="Times New Roman" w:cs="Times New Roman"/>
                <w:kern w:val="0"/>
                <w:sz w:val="18"/>
                <w:szCs w:val="18"/>
              </w:rPr>
            </w:pPr>
          </w:p>
        </w:tc>
        <w:tc>
          <w:tcPr>
            <w:tcW w:w="1112"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2172"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指标2</w:t>
            </w:r>
            <w:r>
              <w:rPr>
                <w:rFonts w:ascii="宋体" w:hAnsi="宋体" w:cs="Times New Roman"/>
                <w:color w:val="000000"/>
                <w:kern w:val="0"/>
                <w:sz w:val="18"/>
                <w:szCs w:val="18"/>
              </w:rPr>
              <w:t>：</w:t>
            </w:r>
            <w:r>
              <w:rPr>
                <w:rFonts w:hint="eastAsia" w:ascii="宋体" w:hAnsi="宋体" w:cs="Times New Roman"/>
                <w:color w:val="000000"/>
                <w:kern w:val="0"/>
                <w:sz w:val="18"/>
                <w:szCs w:val="18"/>
              </w:rPr>
              <w:t>群众对粮油质量安全工作人员满意度</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宋体" w:cs="Times New Roman"/>
                <w:kern w:val="0"/>
                <w:sz w:val="18"/>
                <w:szCs w:val="18"/>
                <w:lang w:val="en-US" w:eastAsia="zh-CN" w:bidi="ar-SA"/>
              </w:rPr>
            </w:pPr>
            <w:r>
              <w:rPr>
                <w:rFonts w:hint="eastAsia" w:ascii="Times New Roman" w:hAnsi="Times New Roman" w:cs="Times New Roman"/>
                <w:kern w:val="0"/>
                <w:sz w:val="18"/>
                <w:szCs w:val="18"/>
              </w:rPr>
              <w:t>100%</w:t>
            </w:r>
          </w:p>
        </w:tc>
        <w:tc>
          <w:tcPr>
            <w:tcW w:w="826"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宋体" w:cs="Times New Roman"/>
                <w:kern w:val="0"/>
                <w:sz w:val="18"/>
                <w:szCs w:val="18"/>
                <w:lang w:val="en-US" w:eastAsia="zh-CN" w:bidi="ar-SA"/>
              </w:rPr>
            </w:pPr>
            <w:r>
              <w:rPr>
                <w:rFonts w:hint="eastAsia" w:ascii="Times New Roman" w:hAnsi="Times New Roman" w:cs="Times New Roman"/>
                <w:kern w:val="0"/>
                <w:sz w:val="18"/>
                <w:szCs w:val="18"/>
              </w:rPr>
              <w:t>100%</w:t>
            </w:r>
          </w:p>
        </w:tc>
        <w:tc>
          <w:tcPr>
            <w:tcW w:w="567" w:type="dxa"/>
            <w:gridSpan w:val="2"/>
            <w:vMerge w:val="continue"/>
            <w:tcBorders>
              <w:left w:val="nil"/>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567" w:type="dxa"/>
            <w:gridSpan w:val="2"/>
            <w:vMerge w:val="continue"/>
            <w:tcBorders>
              <w:left w:val="nil"/>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30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nil"/>
              <w:right w:val="single" w:color="auto" w:sz="4" w:space="0"/>
            </w:tcBorders>
            <w:vAlign w:val="center"/>
          </w:tcPr>
          <w:p>
            <w:pPr>
              <w:widowControl/>
              <w:jc w:val="left"/>
              <w:rPr>
                <w:rFonts w:ascii="Times New Roman" w:hAnsi="Times New Roman" w:cs="Times New Roman"/>
                <w:kern w:val="0"/>
                <w:sz w:val="18"/>
                <w:szCs w:val="18"/>
              </w:rPr>
            </w:pPr>
          </w:p>
        </w:tc>
        <w:tc>
          <w:tcPr>
            <w:tcW w:w="1112"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2172"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eastAsia="宋体" w:cs="Times New Roman"/>
                <w:color w:val="000000"/>
                <w:kern w:val="0"/>
                <w:sz w:val="18"/>
                <w:szCs w:val="18"/>
                <w:lang w:val="en-US" w:eastAsia="zh-CN"/>
              </w:rPr>
            </w:pPr>
            <w:r>
              <w:rPr>
                <w:rFonts w:hint="eastAsia" w:ascii="Times New Roman" w:hAnsi="Times New Roman" w:cs="Times New Roman"/>
                <w:color w:val="000000"/>
                <w:kern w:val="0"/>
                <w:sz w:val="18"/>
                <w:szCs w:val="18"/>
                <w:lang w:eastAsia="zh-CN"/>
              </w:rPr>
              <w:t>指标</w:t>
            </w:r>
            <w:r>
              <w:rPr>
                <w:rFonts w:hint="eastAsia" w:ascii="Times New Roman" w:hAnsi="Times New Roman" w:cs="Times New Roman"/>
                <w:color w:val="000000"/>
                <w:kern w:val="0"/>
                <w:sz w:val="18"/>
                <w:szCs w:val="18"/>
                <w:lang w:val="en-US" w:eastAsia="zh-CN"/>
              </w:rPr>
              <w:t>3：群众满意度</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100%</w:t>
            </w:r>
          </w:p>
        </w:tc>
        <w:tc>
          <w:tcPr>
            <w:tcW w:w="826"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100%</w:t>
            </w:r>
          </w:p>
        </w:tc>
        <w:tc>
          <w:tcPr>
            <w:tcW w:w="567" w:type="dxa"/>
            <w:gridSpan w:val="2"/>
            <w:vMerge w:val="continue"/>
            <w:tcBorders>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567" w:type="dxa"/>
            <w:gridSpan w:val="2"/>
            <w:vMerge w:val="continue"/>
            <w:tcBorders>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300" w:hRule="atLeast"/>
          <w:jc w:val="center"/>
        </w:trPr>
        <w:tc>
          <w:tcPr>
            <w:tcW w:w="6529"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总分</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color w:val="000000"/>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bl>
    <w:p>
      <w:pPr>
        <w:widowControl/>
        <w:spacing w:line="400" w:lineRule="exact"/>
        <w:jc w:val="left"/>
        <w:rPr>
          <w:rFonts w:ascii="Times New Roman" w:hAnsi="Times New Roman" w:cs="Times New Roman"/>
          <w:color w:val="000000"/>
          <w:kern w:val="0"/>
          <w:sz w:val="18"/>
          <w:szCs w:val="18"/>
        </w:rPr>
      </w:pPr>
      <w:r>
        <w:drawing>
          <wp:inline distT="0" distB="0" distL="0" distR="0">
            <wp:extent cx="6410325" cy="133350"/>
            <wp:effectExtent l="0" t="0" r="9525" b="0"/>
            <wp:docPr id="1" name="图片 1" descr="C:\Users\ADMINI~1\AppData\Local\Temp\ksohtml3812\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1\AppData\Local\Temp\ksohtml3812\wps1.png"/>
                    <pic:cNvPicPr>
                      <a:picLocks noChangeAspect="1" noChangeArrowheads="1"/>
                    </pic:cNvPicPr>
                  </pic:nvPicPr>
                  <pic:blipFill>
                    <a:blip r:embed="rId5" cstate="print"/>
                    <a:srcRect/>
                    <a:stretch>
                      <a:fillRect/>
                    </a:stretch>
                  </pic:blipFill>
                  <pic:spPr>
                    <a:xfrm>
                      <a:off x="0" y="0"/>
                      <a:ext cx="6410325" cy="133350"/>
                    </a:xfrm>
                    <a:prstGeom prst="rect">
                      <a:avLst/>
                    </a:prstGeom>
                    <a:noFill/>
                    <a:ln w="9525">
                      <a:noFill/>
                      <a:miter lim="800000"/>
                      <a:headEnd/>
                      <a:tailEnd/>
                    </a:ln>
                  </pic:spPr>
                </pic:pic>
              </a:graphicData>
            </a:graphic>
          </wp:inline>
        </w:drawing>
      </w:r>
    </w:p>
    <w:tbl>
      <w:tblPr>
        <w:tblStyle w:val="6"/>
        <w:tblW w:w="9540" w:type="dxa"/>
        <w:tblInd w:w="97" w:type="dxa"/>
        <w:tblLayout w:type="fixed"/>
        <w:tblCellMar>
          <w:top w:w="0" w:type="dxa"/>
          <w:left w:w="108" w:type="dxa"/>
          <w:bottom w:w="0" w:type="dxa"/>
          <w:right w:w="108" w:type="dxa"/>
        </w:tblCellMar>
      </w:tblPr>
      <w:tblGrid>
        <w:gridCol w:w="9540"/>
      </w:tblGrid>
      <w:tr>
        <w:tblPrEx>
          <w:tblCellMar>
            <w:top w:w="0" w:type="dxa"/>
            <w:left w:w="108" w:type="dxa"/>
            <w:bottom w:w="0" w:type="dxa"/>
            <w:right w:w="108" w:type="dxa"/>
          </w:tblCellMar>
        </w:tblPrEx>
        <w:trPr>
          <w:trHeight w:val="465" w:hRule="atLeast"/>
        </w:trPr>
        <w:tc>
          <w:tcPr>
            <w:tcW w:w="9540" w:type="dxa"/>
            <w:tcBorders>
              <w:top w:val="single" w:color="auto" w:sz="4" w:space="0"/>
              <w:left w:val="nil"/>
              <w:bottom w:val="nil"/>
              <w:right w:val="nil"/>
            </w:tcBorders>
            <w:vAlign w:val="center"/>
          </w:tcPr>
          <w:p>
            <w:pPr>
              <w:widowControl/>
              <w:spacing w:line="40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注：1.</w:t>
            </w:r>
            <w:r>
              <w:rPr>
                <w:rFonts w:ascii="宋体" w:hAnsi="宋体" w:cs="Times New Roman"/>
                <w:color w:val="000000"/>
                <w:kern w:val="0"/>
                <w:sz w:val="18"/>
                <w:szCs w:val="18"/>
              </w:rPr>
              <w:t>一级指标分值统一设置为：产出指标</w:t>
            </w:r>
            <w:r>
              <w:rPr>
                <w:rFonts w:ascii="Times New Roman" w:hAnsi="Times New Roman" w:cs="Times New Roman"/>
                <w:color w:val="000000"/>
                <w:kern w:val="0"/>
                <w:sz w:val="18"/>
                <w:szCs w:val="18"/>
              </w:rPr>
              <w:t>50</w:t>
            </w:r>
            <w:r>
              <w:rPr>
                <w:rFonts w:ascii="宋体" w:hAnsi="宋体" w:cs="Times New Roman"/>
                <w:color w:val="000000"/>
                <w:kern w:val="0"/>
                <w:sz w:val="18"/>
                <w:szCs w:val="18"/>
              </w:rPr>
              <w:t>分、效益指标</w:t>
            </w:r>
            <w:r>
              <w:rPr>
                <w:rFonts w:ascii="Times New Roman" w:hAnsi="Times New Roman" w:cs="Times New Roman"/>
                <w:color w:val="000000"/>
                <w:kern w:val="0"/>
                <w:sz w:val="18"/>
                <w:szCs w:val="18"/>
              </w:rPr>
              <w:t>30</w:t>
            </w:r>
            <w:r>
              <w:rPr>
                <w:rFonts w:ascii="宋体" w:hAnsi="宋体" w:cs="Times New Roman"/>
                <w:color w:val="000000"/>
                <w:kern w:val="0"/>
                <w:sz w:val="18"/>
                <w:szCs w:val="18"/>
              </w:rPr>
              <w:t>分、服务对象满意度指标</w:t>
            </w:r>
            <w:r>
              <w:rPr>
                <w:rFonts w:ascii="Times New Roman" w:hAnsi="Times New Roman" w:cs="Times New Roman"/>
                <w:color w:val="000000"/>
                <w:kern w:val="0"/>
                <w:sz w:val="18"/>
                <w:szCs w:val="18"/>
              </w:rPr>
              <w:t>10</w:t>
            </w:r>
            <w:r>
              <w:rPr>
                <w:rFonts w:ascii="宋体" w:hAnsi="宋体" w:cs="Times New Roman"/>
                <w:color w:val="000000"/>
                <w:kern w:val="0"/>
                <w:sz w:val="18"/>
                <w:szCs w:val="18"/>
              </w:rPr>
              <w:t>分、预算资金执行率</w:t>
            </w:r>
            <w:r>
              <w:rPr>
                <w:rFonts w:ascii="Times New Roman" w:hAnsi="Times New Roman" w:cs="Times New Roman"/>
                <w:color w:val="000000"/>
                <w:kern w:val="0"/>
                <w:sz w:val="18"/>
                <w:szCs w:val="18"/>
              </w:rPr>
              <w:t>10</w:t>
            </w:r>
            <w:r>
              <w:rPr>
                <w:rFonts w:ascii="宋体" w:hAnsi="宋体" w:cs="Times New Roman"/>
                <w:color w:val="000000"/>
                <w:kern w:val="0"/>
                <w:sz w:val="18"/>
                <w:szCs w:val="18"/>
              </w:rPr>
              <w:t>分。如有特殊情况，上述权重可做适当调整，但加总后应等于</w:t>
            </w:r>
            <w:r>
              <w:rPr>
                <w:rFonts w:ascii="Times New Roman" w:hAnsi="Times New Roman" w:cs="Times New Roman"/>
                <w:color w:val="000000"/>
                <w:kern w:val="0"/>
                <w:sz w:val="18"/>
                <w:szCs w:val="18"/>
              </w:rPr>
              <w:t>100</w:t>
            </w:r>
            <w:r>
              <w:rPr>
                <w:rFonts w:ascii="宋体" w:hAnsi="宋体" w:cs="Times New Roman"/>
                <w:color w:val="000000"/>
                <w:kern w:val="0"/>
                <w:sz w:val="18"/>
                <w:szCs w:val="18"/>
              </w:rPr>
              <w:t>分。各部门根据各项指标重要程度确定三级指标的分值。得分一档最高不能超过该指标分值上限。</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vAlign w:val="center"/>
          </w:tcPr>
          <w:p>
            <w:pPr>
              <w:widowControl/>
              <w:spacing w:line="40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 xml:space="preserve">    2.</w:t>
            </w:r>
            <w:r>
              <w:rPr>
                <w:rFonts w:ascii="宋体" w:hAnsi="宋体" w:cs="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s="Times New Roman"/>
                <w:color w:val="000000"/>
                <w:kern w:val="0"/>
                <w:sz w:val="18"/>
                <w:szCs w:val="18"/>
              </w:rPr>
              <w:t>100-80%(</w:t>
            </w:r>
            <w:r>
              <w:rPr>
                <w:rFonts w:ascii="宋体" w:hAnsi="宋体" w:cs="Times New Roman"/>
                <w:color w:val="000000"/>
                <w:kern w:val="0"/>
                <w:sz w:val="18"/>
                <w:szCs w:val="18"/>
              </w:rPr>
              <w:t>含</w:t>
            </w:r>
            <w:r>
              <w:rPr>
                <w:rFonts w:ascii="Times New Roman" w:hAnsi="Times New Roman" w:cs="Times New Roman"/>
                <w:color w:val="000000"/>
                <w:kern w:val="0"/>
                <w:sz w:val="18"/>
                <w:szCs w:val="18"/>
              </w:rPr>
              <w:t>80%)</w:t>
            </w:r>
            <w:r>
              <w:rPr>
                <w:rFonts w:ascii="宋体" w:hAnsi="宋体" w:cs="Times New Roman"/>
                <w:color w:val="000000"/>
                <w:kern w:val="0"/>
                <w:sz w:val="18"/>
                <w:szCs w:val="18"/>
              </w:rPr>
              <w:t>、</w:t>
            </w:r>
            <w:r>
              <w:rPr>
                <w:rFonts w:ascii="Times New Roman" w:hAnsi="Times New Roman" w:cs="Times New Roman"/>
                <w:color w:val="000000"/>
                <w:kern w:val="0"/>
                <w:sz w:val="18"/>
                <w:szCs w:val="18"/>
              </w:rPr>
              <w:t>80-50%(</w:t>
            </w:r>
            <w:r>
              <w:rPr>
                <w:rFonts w:ascii="宋体" w:hAnsi="宋体" w:cs="Times New Roman"/>
                <w:color w:val="000000"/>
                <w:kern w:val="0"/>
                <w:sz w:val="18"/>
                <w:szCs w:val="18"/>
              </w:rPr>
              <w:t>含</w:t>
            </w:r>
            <w:r>
              <w:rPr>
                <w:rFonts w:ascii="Times New Roman" w:hAnsi="Times New Roman" w:cs="Times New Roman"/>
                <w:color w:val="000000"/>
                <w:kern w:val="0"/>
                <w:sz w:val="18"/>
                <w:szCs w:val="18"/>
              </w:rPr>
              <w:t>50%)</w:t>
            </w:r>
            <w:r>
              <w:rPr>
                <w:rFonts w:ascii="宋体" w:hAnsi="宋体" w:cs="Times New Roman"/>
                <w:color w:val="000000"/>
                <w:kern w:val="0"/>
                <w:sz w:val="18"/>
                <w:szCs w:val="18"/>
              </w:rPr>
              <w:t>、</w:t>
            </w:r>
            <w:r>
              <w:rPr>
                <w:rFonts w:ascii="Times New Roman" w:hAnsi="Times New Roman" w:cs="Times New Roman"/>
                <w:color w:val="000000"/>
                <w:kern w:val="0"/>
                <w:sz w:val="18"/>
                <w:szCs w:val="18"/>
              </w:rPr>
              <w:t>50-0%</w:t>
            </w:r>
            <w:r>
              <w:rPr>
                <w:rFonts w:ascii="宋体" w:hAnsi="宋体" w:cs="Times New Roman"/>
                <w:color w:val="000000"/>
                <w:kern w:val="0"/>
                <w:sz w:val="18"/>
                <w:szCs w:val="18"/>
              </w:rPr>
              <w:t>合理确定分值。</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vAlign w:val="center"/>
          </w:tcPr>
          <w:p>
            <w:pPr>
              <w:widowControl/>
              <w:spacing w:line="40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 xml:space="preserve">    3.</w:t>
            </w:r>
            <w:r>
              <w:rPr>
                <w:rFonts w:ascii="宋体" w:hAnsi="宋体" w:cs="Times New Roman"/>
                <w:color w:val="000000"/>
                <w:kern w:val="0"/>
                <w:sz w:val="18"/>
                <w:szCs w:val="18"/>
              </w:rPr>
              <w:t>定量指标若为正向指标（即指标值为</w:t>
            </w:r>
            <w:r>
              <w:rPr>
                <w:rFonts w:ascii="Times New Roman" w:hAnsi="Times New Roman" w:cs="Times New Roman"/>
                <w:color w:val="000000"/>
                <w:kern w:val="0"/>
                <w:sz w:val="18"/>
                <w:szCs w:val="18"/>
              </w:rPr>
              <w:t>≥*</w:t>
            </w:r>
            <w:r>
              <w:rPr>
                <w:rFonts w:ascii="宋体" w:hAnsi="宋体" w:cs="Times New Roman"/>
                <w:color w:val="000000"/>
                <w:kern w:val="0"/>
                <w:sz w:val="18"/>
                <w:szCs w:val="18"/>
              </w:rPr>
              <w:t>），则得分计算方法应用全年实际值（</w:t>
            </w:r>
            <w:r>
              <w:rPr>
                <w:rFonts w:ascii="Times New Roman" w:hAnsi="Times New Roman" w:cs="Times New Roman"/>
                <w:color w:val="000000"/>
                <w:kern w:val="0"/>
                <w:sz w:val="18"/>
                <w:szCs w:val="18"/>
              </w:rPr>
              <w:t>B</w:t>
            </w:r>
            <w:r>
              <w:rPr>
                <w:rFonts w:ascii="宋体" w:hAnsi="宋体" w:cs="Times New Roman"/>
                <w:color w:val="000000"/>
                <w:kern w:val="0"/>
                <w:sz w:val="18"/>
                <w:szCs w:val="18"/>
              </w:rPr>
              <w:t>）</w:t>
            </w:r>
            <w:r>
              <w:rPr>
                <w:rFonts w:ascii="Times New Roman" w:hAnsi="Times New Roman" w:cs="Times New Roman"/>
                <w:color w:val="000000"/>
                <w:kern w:val="0"/>
                <w:sz w:val="18"/>
                <w:szCs w:val="18"/>
              </w:rPr>
              <w:t>/</w:t>
            </w:r>
            <w:r>
              <w:rPr>
                <w:rFonts w:ascii="宋体" w:hAnsi="宋体" w:cs="Times New Roman"/>
                <w:color w:val="000000"/>
                <w:kern w:val="0"/>
                <w:sz w:val="18"/>
                <w:szCs w:val="18"/>
              </w:rPr>
              <w:t>年度指标值（</w:t>
            </w:r>
            <w:r>
              <w:rPr>
                <w:rFonts w:ascii="Times New Roman" w:hAnsi="Times New Roman" w:cs="Times New Roman"/>
                <w:color w:val="000000"/>
                <w:kern w:val="0"/>
                <w:sz w:val="18"/>
                <w:szCs w:val="18"/>
              </w:rPr>
              <w:t>A</w:t>
            </w:r>
            <w:r>
              <w:rPr>
                <w:rFonts w:ascii="宋体" w:hAnsi="宋体" w:cs="Times New Roman"/>
                <w:color w:val="000000"/>
                <w:kern w:val="0"/>
                <w:sz w:val="18"/>
                <w:szCs w:val="18"/>
              </w:rPr>
              <w:t>）</w:t>
            </w:r>
            <w:r>
              <w:rPr>
                <w:rFonts w:hint="eastAsia" w:ascii="宋体" w:hAnsi="宋体" w:cs="宋体"/>
                <w:color w:val="000000"/>
                <w:kern w:val="0"/>
                <w:sz w:val="12"/>
                <w:szCs w:val="12"/>
              </w:rPr>
              <w:t>╳</w:t>
            </w:r>
            <w:r>
              <w:rPr>
                <w:rFonts w:ascii="Times New Roman" w:hAnsi="Times New Roman" w:cs="Times New Roman"/>
                <w:color w:val="000000"/>
                <w:kern w:val="0"/>
                <w:sz w:val="18"/>
                <w:szCs w:val="18"/>
              </w:rPr>
              <w:t>该指标分值；若定量指标为反向指标（即指标值为≤*</w:t>
            </w:r>
            <w:r>
              <w:rPr>
                <w:rFonts w:ascii="宋体" w:hAnsi="宋体" w:cs="Times New Roman"/>
                <w:color w:val="000000"/>
                <w:kern w:val="0"/>
                <w:sz w:val="18"/>
                <w:szCs w:val="18"/>
              </w:rPr>
              <w:t>），则得分计算方法应用年度指标值（</w:t>
            </w:r>
            <w:r>
              <w:rPr>
                <w:rFonts w:ascii="Times New Roman" w:hAnsi="Times New Roman" w:cs="Times New Roman"/>
                <w:color w:val="000000"/>
                <w:kern w:val="0"/>
                <w:sz w:val="18"/>
                <w:szCs w:val="18"/>
              </w:rPr>
              <w:t>A</w:t>
            </w:r>
            <w:r>
              <w:rPr>
                <w:rFonts w:ascii="宋体" w:hAnsi="宋体" w:cs="Times New Roman"/>
                <w:color w:val="000000"/>
                <w:kern w:val="0"/>
                <w:sz w:val="18"/>
                <w:szCs w:val="18"/>
              </w:rPr>
              <w:t>）</w:t>
            </w:r>
            <w:r>
              <w:rPr>
                <w:rFonts w:ascii="Times New Roman" w:hAnsi="Times New Roman" w:cs="Times New Roman"/>
                <w:color w:val="000000"/>
                <w:kern w:val="0"/>
                <w:sz w:val="18"/>
                <w:szCs w:val="18"/>
              </w:rPr>
              <w:t>/</w:t>
            </w:r>
            <w:r>
              <w:rPr>
                <w:rFonts w:ascii="宋体" w:hAnsi="宋体" w:cs="Times New Roman"/>
                <w:color w:val="000000"/>
                <w:kern w:val="0"/>
                <w:sz w:val="18"/>
                <w:szCs w:val="18"/>
              </w:rPr>
              <w:t>全年实际值（</w:t>
            </w:r>
            <w:r>
              <w:rPr>
                <w:rFonts w:ascii="Times New Roman" w:hAnsi="Times New Roman" w:cs="Times New Roman"/>
                <w:color w:val="000000"/>
                <w:kern w:val="0"/>
                <w:sz w:val="18"/>
                <w:szCs w:val="18"/>
              </w:rPr>
              <w:t>B</w:t>
            </w:r>
            <w:r>
              <w:rPr>
                <w:rFonts w:ascii="宋体" w:hAnsi="宋体" w:cs="Times New Roman"/>
                <w:color w:val="000000"/>
                <w:kern w:val="0"/>
                <w:sz w:val="18"/>
                <w:szCs w:val="18"/>
              </w:rPr>
              <w:t>）</w:t>
            </w:r>
            <w:r>
              <w:rPr>
                <w:rFonts w:hint="eastAsia" w:ascii="宋体" w:hAnsi="宋体" w:cs="宋体"/>
                <w:color w:val="000000"/>
                <w:kern w:val="0"/>
                <w:sz w:val="12"/>
                <w:szCs w:val="12"/>
              </w:rPr>
              <w:t>╳</w:t>
            </w:r>
            <w:r>
              <w:rPr>
                <w:rFonts w:ascii="Times New Roman" w:hAnsi="Times New Roman" w:cs="Times New Roman"/>
                <w:color w:val="000000"/>
                <w:kern w:val="0"/>
                <w:sz w:val="18"/>
                <w:szCs w:val="18"/>
              </w:rPr>
              <w:t>该指标分值。</w:t>
            </w:r>
          </w:p>
        </w:tc>
      </w:tr>
      <w:tr>
        <w:tblPrEx>
          <w:tblCellMar>
            <w:top w:w="0" w:type="dxa"/>
            <w:left w:w="108" w:type="dxa"/>
            <w:bottom w:w="0" w:type="dxa"/>
            <w:right w:w="108" w:type="dxa"/>
          </w:tblCellMar>
        </w:tblPrEx>
        <w:trPr>
          <w:trHeight w:val="210" w:hRule="atLeast"/>
        </w:trPr>
        <w:tc>
          <w:tcPr>
            <w:tcW w:w="9540" w:type="dxa"/>
            <w:tcBorders>
              <w:top w:val="nil"/>
              <w:left w:val="nil"/>
              <w:bottom w:val="nil"/>
              <w:right w:val="nil"/>
            </w:tcBorders>
            <w:noWrap/>
            <w:vAlign w:val="center"/>
          </w:tcPr>
          <w:p>
            <w:pPr>
              <w:widowControl/>
              <w:spacing w:line="40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 xml:space="preserve">    4.</w:t>
            </w:r>
            <w:r>
              <w:rPr>
                <w:rFonts w:ascii="宋体" w:hAnsi="宋体" w:cs="Times New Roman"/>
                <w:color w:val="000000"/>
                <w:kern w:val="0"/>
                <w:sz w:val="18"/>
                <w:szCs w:val="18"/>
              </w:rPr>
              <w:t>请在</w:t>
            </w:r>
            <w:r>
              <w:rPr>
                <w:rFonts w:ascii="Times New Roman" w:hAnsi="Times New Roman" w:cs="Times New Roman"/>
                <w:color w:val="000000"/>
                <w:kern w:val="0"/>
                <w:sz w:val="18"/>
                <w:szCs w:val="18"/>
              </w:rPr>
              <w:t>“</w:t>
            </w:r>
            <w:r>
              <w:rPr>
                <w:rFonts w:ascii="Times New Roman" w:hAnsi="Times New Roman" w:cs="Times New Roman"/>
                <w:kern w:val="0"/>
                <w:sz w:val="18"/>
                <w:szCs w:val="18"/>
              </w:rPr>
              <w:t>偏差原因分析及改进措施</w:t>
            </w:r>
            <w:r>
              <w:rPr>
                <w:rFonts w:ascii="Times New Roman" w:hAnsi="Times New Roman" w:cs="Times New Roman"/>
                <w:color w:val="000000"/>
                <w:kern w:val="0"/>
                <w:sz w:val="18"/>
                <w:szCs w:val="18"/>
              </w:rPr>
              <w:t>”</w:t>
            </w:r>
            <w:r>
              <w:rPr>
                <w:rFonts w:ascii="宋体" w:hAnsi="宋体" w:cs="Times New Roman"/>
                <w:color w:val="000000"/>
                <w:kern w:val="0"/>
                <w:sz w:val="18"/>
                <w:szCs w:val="18"/>
              </w:rPr>
              <w:t>中说明偏离目标、不能完成目标的原因及拟采取的措施。</w:t>
            </w:r>
          </w:p>
        </w:tc>
      </w:tr>
    </w:tbl>
    <w:p>
      <w:pPr>
        <w:pStyle w:val="2"/>
        <w:sectPr>
          <w:pgSz w:w="11906" w:h="16838"/>
          <w:pgMar w:top="1440" w:right="1800" w:bottom="1440" w:left="1800" w:header="851" w:footer="992" w:gutter="0"/>
          <w:cols w:space="425" w:num="1"/>
          <w:docGrid w:type="lines" w:linePitch="312" w:charSpace="0"/>
        </w:sectPr>
      </w:pPr>
    </w:p>
    <w:p>
      <w:pPr>
        <w:spacing w:line="560" w:lineRule="exact"/>
        <w:rPr>
          <w:rFonts w:hint="eastAsia" w:ascii="Times New Roman" w:hAnsi="Times New Roman" w:eastAsia="仿宋_GB2312" w:cs="Times New Roman"/>
          <w:bCs/>
          <w:color w:val="000000"/>
          <w:sz w:val="32"/>
          <w:szCs w:val="32"/>
          <w:lang w:eastAsia="zh-CN"/>
        </w:rPr>
      </w:pPr>
      <w:r>
        <w:rPr>
          <w:rFonts w:ascii="仿宋_GB2312" w:hAnsi="仿宋_GB2312" w:eastAsia="仿宋_GB2312" w:cs="Times New Roman"/>
          <w:bCs/>
          <w:color w:val="000000"/>
          <w:sz w:val="32"/>
          <w:szCs w:val="32"/>
        </w:rPr>
        <w:t>附件</w:t>
      </w:r>
      <w:r>
        <w:rPr>
          <w:rFonts w:hint="eastAsia" w:ascii="Times New Roman" w:hAnsi="Times New Roman" w:eastAsia="仿宋_GB2312" w:cs="Times New Roman"/>
          <w:bCs/>
          <w:color w:val="000000"/>
          <w:sz w:val="32"/>
          <w:szCs w:val="32"/>
          <w:lang w:val="en-US" w:eastAsia="zh-CN"/>
        </w:rPr>
        <w:t>2</w:t>
      </w:r>
    </w:p>
    <w:p>
      <w:pPr>
        <w:pStyle w:val="4"/>
        <w:spacing w:before="0" w:after="0"/>
        <w:jc w:val="center"/>
        <w:rPr>
          <w:rFonts w:ascii="Times New Roman" w:hAnsi="Times New Roman" w:eastAsia="宋体" w:cs="Times New Roman"/>
          <w:bCs/>
          <w:color w:val="000000"/>
          <w:sz w:val="36"/>
          <w:szCs w:val="36"/>
        </w:rPr>
      </w:pPr>
      <w:r>
        <w:rPr>
          <w:rFonts w:ascii="宋体" w:hAnsi="宋体" w:eastAsia="宋体" w:cs="Times New Roman"/>
          <w:bCs/>
          <w:color w:val="000000"/>
          <w:sz w:val="36"/>
          <w:szCs w:val="36"/>
        </w:rPr>
        <w:t>项目支出绩效评价共性指标表</w:t>
      </w:r>
    </w:p>
    <w:tbl>
      <w:tblPr>
        <w:tblStyle w:val="6"/>
        <w:tblW w:w="1258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82"/>
        <w:gridCol w:w="709"/>
        <w:gridCol w:w="1134"/>
        <w:gridCol w:w="567"/>
        <w:gridCol w:w="2835"/>
        <w:gridCol w:w="6096"/>
        <w:gridCol w:w="5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jc w:val="center"/>
        </w:trPr>
        <w:tc>
          <w:tcPr>
            <w:tcW w:w="682"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b/>
                <w:bCs/>
                <w:color w:val="000000"/>
                <w:kern w:val="0"/>
                <w:sz w:val="22"/>
              </w:rPr>
            </w:pPr>
            <w:r>
              <w:rPr>
                <w:rFonts w:ascii="Times New Roman" w:hAnsi="Times New Roman" w:cs="Times New Roman"/>
                <w:b/>
                <w:bCs/>
                <w:color w:val="000000"/>
                <w:kern w:val="0"/>
                <w:sz w:val="22"/>
                <w:szCs w:val="22"/>
              </w:rPr>
              <w:t>一级指标</w:t>
            </w: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b/>
                <w:bCs/>
                <w:color w:val="000000"/>
                <w:kern w:val="0"/>
                <w:sz w:val="22"/>
              </w:rPr>
            </w:pPr>
            <w:r>
              <w:rPr>
                <w:rFonts w:ascii="Times New Roman" w:hAnsi="Times New Roman" w:cs="Times New Roman"/>
                <w:b/>
                <w:bCs/>
                <w:color w:val="000000"/>
                <w:kern w:val="0"/>
                <w:sz w:val="22"/>
                <w:szCs w:val="22"/>
              </w:rPr>
              <w:t>二级指标</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b/>
                <w:bCs/>
                <w:color w:val="000000"/>
                <w:kern w:val="0"/>
                <w:sz w:val="22"/>
              </w:rPr>
            </w:pPr>
            <w:r>
              <w:rPr>
                <w:rFonts w:ascii="Times New Roman" w:hAnsi="Times New Roman" w:cs="Times New Roman"/>
                <w:b/>
                <w:bCs/>
                <w:color w:val="000000"/>
                <w:kern w:val="0"/>
                <w:sz w:val="22"/>
                <w:szCs w:val="22"/>
              </w:rPr>
              <w:t>三级指标</w:t>
            </w:r>
          </w:p>
        </w:tc>
        <w:tc>
          <w:tcPr>
            <w:tcW w:w="567" w:type="dxa"/>
            <w:tcBorders>
              <w:top w:val="single" w:color="000000" w:sz="8" w:space="0"/>
              <w:left w:val="nil"/>
              <w:bottom w:val="single" w:color="000000" w:sz="8" w:space="0"/>
              <w:right w:val="single" w:color="000000" w:sz="8" w:space="0"/>
            </w:tcBorders>
            <w:shd w:val="clear" w:color="auto" w:fill="FFFFFF"/>
          </w:tcPr>
          <w:p>
            <w:pPr>
              <w:widowControl/>
              <w:spacing w:line="0" w:lineRule="atLeast"/>
              <w:jc w:val="center"/>
              <w:rPr>
                <w:rFonts w:ascii="Times New Roman" w:hAnsi="Times New Roman" w:cs="Times New Roman"/>
                <w:b/>
                <w:bCs/>
                <w:color w:val="000000"/>
                <w:kern w:val="0"/>
                <w:sz w:val="22"/>
              </w:rPr>
            </w:pPr>
            <w:r>
              <w:rPr>
                <w:rFonts w:ascii="Times New Roman" w:hAnsi="Times New Roman" w:cs="Times New Roman"/>
                <w:b/>
                <w:bCs/>
                <w:color w:val="000000"/>
                <w:kern w:val="0"/>
                <w:sz w:val="22"/>
                <w:szCs w:val="22"/>
              </w:rPr>
              <w:t>分</w:t>
            </w:r>
          </w:p>
          <w:p>
            <w:pPr>
              <w:widowControl/>
              <w:spacing w:line="0" w:lineRule="atLeast"/>
              <w:jc w:val="center"/>
              <w:rPr>
                <w:rFonts w:ascii="Times New Roman" w:hAnsi="Times New Roman" w:cs="Times New Roman"/>
                <w:b/>
                <w:bCs/>
                <w:color w:val="000000"/>
                <w:kern w:val="0"/>
                <w:sz w:val="22"/>
              </w:rPr>
            </w:pPr>
            <w:r>
              <w:rPr>
                <w:rFonts w:ascii="Times New Roman" w:hAnsi="Times New Roman" w:cs="Times New Roman"/>
                <w:b/>
                <w:bCs/>
                <w:color w:val="000000"/>
                <w:kern w:val="0"/>
                <w:sz w:val="22"/>
                <w:szCs w:val="22"/>
              </w:rPr>
              <w:t>值</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b/>
                <w:bCs/>
                <w:color w:val="000000"/>
                <w:kern w:val="0"/>
                <w:sz w:val="22"/>
              </w:rPr>
            </w:pPr>
            <w:r>
              <w:rPr>
                <w:rFonts w:ascii="Times New Roman" w:hAnsi="Times New Roman" w:cs="Times New Roman"/>
                <w:b/>
                <w:bCs/>
                <w:color w:val="000000"/>
                <w:kern w:val="0"/>
                <w:sz w:val="22"/>
                <w:szCs w:val="22"/>
              </w:rPr>
              <w:t>指标解释</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b/>
                <w:bCs/>
                <w:color w:val="000000"/>
                <w:kern w:val="0"/>
                <w:sz w:val="22"/>
              </w:rPr>
            </w:pPr>
            <w:r>
              <w:rPr>
                <w:rFonts w:ascii="Times New Roman" w:hAnsi="Times New Roman" w:cs="Times New Roman"/>
                <w:b/>
                <w:bCs/>
                <w:color w:val="000000"/>
                <w:kern w:val="0"/>
                <w:sz w:val="22"/>
                <w:szCs w:val="22"/>
              </w:rPr>
              <w:t>指标说明</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b/>
                <w:bCs/>
                <w:color w:val="000000"/>
                <w:kern w:val="0"/>
                <w:sz w:val="22"/>
              </w:rPr>
            </w:pPr>
            <w:r>
              <w:rPr>
                <w:rFonts w:ascii="Times New Roman" w:hAnsi="Times New Roman" w:cs="Times New Roman"/>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682" w:type="dxa"/>
            <w:vMerge w:val="restart"/>
            <w:tcBorders>
              <w:top w:val="nil"/>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 xml:space="preserve">决策 </w:t>
            </w:r>
          </w:p>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　</w:t>
            </w:r>
          </w:p>
          <w:p>
            <w:pPr>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　</w:t>
            </w:r>
          </w:p>
        </w:tc>
        <w:tc>
          <w:tcPr>
            <w:tcW w:w="709" w:type="dxa"/>
            <w:vMerge w:val="restart"/>
            <w:tcBorders>
              <w:top w:val="nil"/>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 xml:space="preserve">项目立项 </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立项依据</w:t>
            </w:r>
          </w:p>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充分性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项目立项是否符合法律法规、相关政策、发展规划以及部门职责，用以反映和考核项目立项依据情况。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left"/>
              <w:rPr>
                <w:rFonts w:ascii="Times New Roman" w:hAnsi="Times New Roman" w:cs="Times New Roman"/>
                <w:color w:val="000000"/>
                <w:kern w:val="0"/>
                <w:sz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项目立项是否符合国家法律法规、国民经济发展规划和相关政策；</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项目立项是否符合行业发展规划和政策要求；</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项目立项是否与部门职责范围相符，属于部门履职所需；</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④</w:t>
            </w:r>
            <w:r>
              <w:rPr>
                <w:rFonts w:ascii="宋体" w:hAnsi="宋体" w:cs="Times New Roman"/>
                <w:color w:val="000000"/>
                <w:kern w:val="0"/>
                <w:sz w:val="22"/>
                <w:szCs w:val="22"/>
              </w:rPr>
              <w:t>项目是否属于公共财政支持范围，是否符合中央、地方事权支出责任划分原则；</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⑤</w:t>
            </w:r>
            <w:r>
              <w:rPr>
                <w:rFonts w:ascii="宋体" w:hAnsi="宋体" w:cs="Times New Roman"/>
                <w:color w:val="000000"/>
                <w:kern w:val="0"/>
                <w:sz w:val="22"/>
                <w:szCs w:val="22"/>
              </w:rPr>
              <w:t>项目是否与相关部门同类项目或部门内部相关项目重复。</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hint="eastAsia" w:ascii="Times New Roman" w:hAnsi="Times New Roman" w:cs="Times New Roman"/>
                <w:color w:val="000000"/>
                <w:kern w:val="0"/>
                <w:sz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rPr>
            </w:pPr>
          </w:p>
        </w:tc>
        <w:tc>
          <w:tcPr>
            <w:tcW w:w="709" w:type="dxa"/>
            <w:vMerge w:val="continue"/>
            <w:tcBorders>
              <w:top w:val="nil"/>
              <w:left w:val="nil"/>
              <w:bottom w:val="single" w:color="000000" w:sz="8" w:space="0"/>
              <w:right w:val="single" w:color="000000" w:sz="8" w:space="0"/>
            </w:tcBorders>
            <w:vAlign w:val="center"/>
          </w:tcPr>
          <w:p>
            <w:pPr>
              <w:widowControl/>
              <w:jc w:val="left"/>
              <w:rPr>
                <w:rFonts w:ascii="Times New Roman" w:hAnsi="Times New Roman" w:cs="Times New Roman"/>
                <w:color w:val="000000"/>
                <w:kern w:val="0"/>
                <w:sz w:val="22"/>
              </w:rPr>
            </w:pP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立项程序</w:t>
            </w:r>
          </w:p>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规范性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3</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项目申请、设立过程是否符合相关要求，用以反映和考核项目立项的规范情况。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left"/>
              <w:rPr>
                <w:rFonts w:ascii="Times New Roman" w:hAnsi="Times New Roman" w:cs="Times New Roman"/>
                <w:color w:val="000000"/>
                <w:kern w:val="0"/>
                <w:sz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项目是否按照规定的程序申请设立；</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审批文件、材料是否符合相关要求；</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事前是否已经过必要的可行性研究、专家论证、风险评估、绩效评估、集体决策。</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hint="eastAsia" w:ascii="Times New Roman" w:hAnsi="Times New Roman" w:cs="Times New Roman"/>
                <w:color w:val="000000"/>
                <w:kern w:val="0"/>
                <w:sz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rPr>
            </w:pP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 xml:space="preserve">绩效目标 </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绩效目标</w:t>
            </w:r>
          </w:p>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合理性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项目所设定的绩效目标是否依据充分，是否符合客观实际，用以反映和考核项目绩效目标与项目实施的相符情况。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left"/>
              <w:rPr>
                <w:rFonts w:ascii="Times New Roman" w:hAnsi="Times New Roman" w:cs="Times New Roman"/>
                <w:color w:val="000000"/>
                <w:kern w:val="0"/>
                <w:sz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（如未设定预算绩效目标，也可考核其他工作任务目标）</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项目是否有绩效目标；</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项目绩效目标与实际工作内容是否具有相关性；</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项目预期产出效益和效果是否符合正常的业绩水平；</w:t>
            </w:r>
          </w:p>
          <w:p>
            <w:pPr>
              <w:widowControl/>
              <w:spacing w:line="0" w:lineRule="atLeast"/>
              <w:jc w:val="left"/>
              <w:rPr>
                <w:rFonts w:ascii="Times New Roman" w:hAnsi="Times New Roman" w:cs="Times New Roman"/>
                <w:color w:val="000000"/>
                <w:kern w:val="0"/>
                <w:sz w:val="22"/>
              </w:rPr>
            </w:pPr>
            <w:r>
              <w:rPr>
                <w:rFonts w:hint="eastAsia" w:ascii="宋体" w:hAnsi="宋体" w:cs="宋体"/>
                <w:color w:val="000000"/>
                <w:kern w:val="0"/>
                <w:sz w:val="22"/>
                <w:szCs w:val="22"/>
              </w:rPr>
              <w:t>④</w:t>
            </w:r>
            <w:r>
              <w:rPr>
                <w:rFonts w:ascii="宋体" w:hAnsi="宋体" w:cs="Times New Roman"/>
                <w:color w:val="000000"/>
                <w:kern w:val="0"/>
                <w:sz w:val="22"/>
                <w:szCs w:val="22"/>
              </w:rPr>
              <w:t>是否与预算确定的项目投资额或资金量相匹配。</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hint="eastAsia" w:ascii="Times New Roman" w:hAnsi="Times New Roman" w:cs="Times New Roman"/>
                <w:color w:val="000000"/>
                <w:kern w:val="0"/>
                <w:sz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682" w:type="dxa"/>
            <w:vMerge w:val="restart"/>
            <w:tcBorders>
              <w:top w:val="nil"/>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 xml:space="preserve">决策 </w:t>
            </w: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绩效目标</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绩效指标</w:t>
            </w:r>
          </w:p>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明确性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依据绩效目标设定的绩效指标是否清晰、细化、可衡量等，用以反映和考核项目绩效目标的明细化情况。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是否将项目绩效目标细化分解为具体的绩效指标；</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是否通过清晰、可衡量的指标值予以体现；</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是否与项目目标任务数或计划数相对应。</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hint="eastAsia" w:ascii="Times New Roman" w:hAnsi="Times New Roman" w:cs="Times New Roman"/>
                <w:color w:val="000000"/>
                <w:kern w:val="0"/>
                <w:sz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rPr>
            </w:pPr>
          </w:p>
        </w:tc>
        <w:tc>
          <w:tcPr>
            <w:tcW w:w="709" w:type="dxa"/>
            <w:vMerge w:val="restart"/>
            <w:tcBorders>
              <w:top w:val="nil"/>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资金投入</w:t>
            </w:r>
          </w:p>
          <w:p>
            <w:pPr>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　</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预算编制</w:t>
            </w:r>
          </w:p>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科学性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3</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预算编制是否经过科学论证；</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预算内容与项目内容是否匹配；</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预算额度测算依据是否充分，是否按照标准编制；</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④</w:t>
            </w:r>
            <w:r>
              <w:rPr>
                <w:rFonts w:ascii="宋体" w:hAnsi="宋体" w:cs="Times New Roman"/>
                <w:color w:val="000000"/>
                <w:kern w:val="0"/>
                <w:sz w:val="22"/>
                <w:szCs w:val="22"/>
              </w:rPr>
              <w:t>预算确定的项目投资额或资金量是否与工作任务相匹配。</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hint="eastAsia" w:ascii="Times New Roman" w:hAnsi="Times New Roman" w:cs="Times New Roman"/>
                <w:color w:val="000000"/>
                <w:kern w:val="0"/>
                <w:sz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rPr>
            </w:pPr>
          </w:p>
        </w:tc>
        <w:tc>
          <w:tcPr>
            <w:tcW w:w="709" w:type="dxa"/>
            <w:vMerge w:val="continue"/>
            <w:tcBorders>
              <w:top w:val="nil"/>
              <w:left w:val="nil"/>
              <w:bottom w:val="single" w:color="000000" w:sz="8" w:space="0"/>
              <w:right w:val="single" w:color="000000" w:sz="8" w:space="0"/>
            </w:tcBorders>
            <w:vAlign w:val="center"/>
          </w:tcPr>
          <w:p>
            <w:pPr>
              <w:widowControl/>
              <w:jc w:val="left"/>
              <w:rPr>
                <w:rFonts w:ascii="Times New Roman" w:hAnsi="Times New Roman" w:cs="Times New Roman"/>
                <w:color w:val="000000"/>
                <w:kern w:val="0"/>
                <w:sz w:val="22"/>
              </w:rPr>
            </w:pP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资金分配</w:t>
            </w:r>
          </w:p>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合理性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3</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预算资金分配依据是否充分；</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资金分配额度是否合理，与项目单位或地方实际是否相适应。</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hint="eastAsia" w:ascii="Times New Roman" w:hAnsi="Times New Roman" w:cs="Times New Roman"/>
                <w:color w:val="000000"/>
                <w:kern w:val="0"/>
                <w:sz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682" w:type="dxa"/>
            <w:vMerge w:val="restart"/>
            <w:tcBorders>
              <w:top w:val="nil"/>
              <w:left w:val="single" w:color="000000" w:sz="8" w:space="0"/>
              <w:bottom w:val="single" w:color="000000" w:sz="8" w:space="0"/>
              <w:right w:val="single" w:color="000000" w:sz="8" w:space="0"/>
            </w:tcBorders>
            <w:shd w:val="clear" w:color="auto" w:fill="FFFFFF"/>
            <w:vAlign w:val="center"/>
          </w:tcPr>
          <w:p>
            <w:pPr>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过程</w:t>
            </w:r>
          </w:p>
        </w:tc>
        <w:tc>
          <w:tcPr>
            <w:tcW w:w="709" w:type="dxa"/>
            <w:vMerge w:val="restart"/>
            <w:tcBorders>
              <w:top w:val="nil"/>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资金管理</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资金到位率</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3</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实际到位资金与预算资金的比率，用以反映和考核资金落实情况对项目实施的总体保障程度。</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资金到位率=</w:t>
            </w:r>
            <w:r>
              <w:rPr>
                <w:rFonts w:ascii="宋体" w:hAnsi="宋体" w:cs="Times New Roman"/>
                <w:color w:val="000000"/>
                <w:kern w:val="0"/>
                <w:sz w:val="22"/>
                <w:szCs w:val="22"/>
              </w:rPr>
              <w:t>（实际到位资金</w:t>
            </w:r>
            <w:r>
              <w:rPr>
                <w:rFonts w:ascii="Times New Roman" w:hAnsi="Times New Roman" w:cs="Times New Roman"/>
                <w:color w:val="000000"/>
                <w:kern w:val="0"/>
                <w:sz w:val="22"/>
                <w:szCs w:val="22"/>
              </w:rPr>
              <w:t>/</w:t>
            </w:r>
            <w:r>
              <w:rPr>
                <w:rFonts w:ascii="宋体" w:hAnsi="宋体" w:cs="Times New Roman"/>
                <w:color w:val="000000"/>
                <w:kern w:val="0"/>
                <w:sz w:val="22"/>
                <w:szCs w:val="22"/>
              </w:rPr>
              <w:t>预算资金）</w:t>
            </w:r>
            <w:r>
              <w:rPr>
                <w:rFonts w:ascii="Times New Roman" w:hAnsi="Times New Roman" w:cs="Times New Roman"/>
                <w:color w:val="000000"/>
                <w:kern w:val="0"/>
                <w:sz w:val="22"/>
                <w:szCs w:val="22"/>
              </w:rPr>
              <w:t>×100%</w:t>
            </w:r>
            <w:r>
              <w:rPr>
                <w:rFonts w:ascii="宋体" w:hAnsi="宋体" w:cs="Times New Roman"/>
                <w:color w:val="000000"/>
                <w:kern w:val="0"/>
                <w:sz w:val="22"/>
                <w:szCs w:val="22"/>
              </w:rPr>
              <w:t>。</w:t>
            </w:r>
          </w:p>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实际到位资金：一定时期（本年度或项目期）内落实到具体项目的资金。</w:t>
            </w:r>
          </w:p>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预算资金：一定时期（本年度或项目期）内预算安排到具体项目的资金。</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hint="eastAsia" w:ascii="Times New Roman" w:hAnsi="Times New Roman" w:cs="Times New Roman"/>
                <w:color w:val="000000"/>
                <w:kern w:val="0"/>
                <w:sz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rPr>
            </w:pPr>
          </w:p>
        </w:tc>
        <w:tc>
          <w:tcPr>
            <w:tcW w:w="709" w:type="dxa"/>
            <w:vMerge w:val="continue"/>
            <w:tcBorders>
              <w:top w:val="nil"/>
              <w:left w:val="nil"/>
              <w:bottom w:val="single" w:color="000000" w:sz="8" w:space="0"/>
              <w:right w:val="single" w:color="000000" w:sz="8" w:space="0"/>
            </w:tcBorders>
            <w:vAlign w:val="center"/>
          </w:tcPr>
          <w:p>
            <w:pPr>
              <w:widowControl/>
              <w:jc w:val="left"/>
              <w:rPr>
                <w:rFonts w:ascii="Times New Roman" w:hAnsi="Times New Roman" w:cs="Times New Roman"/>
                <w:color w:val="000000"/>
                <w:kern w:val="0"/>
                <w:sz w:val="22"/>
              </w:rPr>
            </w:pP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预算执行率</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项目预算资金是否按照计划执行，用以反映或考核项目预算执行情况。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预算执行率=</w:t>
            </w:r>
            <w:r>
              <w:rPr>
                <w:rFonts w:ascii="宋体" w:hAnsi="宋体" w:cs="Times New Roman"/>
                <w:color w:val="000000"/>
                <w:kern w:val="0"/>
                <w:sz w:val="22"/>
                <w:szCs w:val="22"/>
              </w:rPr>
              <w:t>（实际支出资金</w:t>
            </w:r>
            <w:r>
              <w:rPr>
                <w:rFonts w:ascii="Times New Roman" w:hAnsi="Times New Roman" w:cs="Times New Roman"/>
                <w:color w:val="000000"/>
                <w:kern w:val="0"/>
                <w:sz w:val="22"/>
                <w:szCs w:val="22"/>
              </w:rPr>
              <w:t>/</w:t>
            </w:r>
            <w:r>
              <w:rPr>
                <w:rFonts w:ascii="宋体" w:hAnsi="宋体" w:cs="Times New Roman"/>
                <w:color w:val="000000"/>
                <w:kern w:val="0"/>
                <w:sz w:val="22"/>
                <w:szCs w:val="22"/>
              </w:rPr>
              <w:t>实际到位资金）</w:t>
            </w:r>
            <w:r>
              <w:rPr>
                <w:rFonts w:ascii="Times New Roman" w:hAnsi="Times New Roman" w:cs="Times New Roman"/>
                <w:color w:val="000000"/>
                <w:kern w:val="0"/>
                <w:sz w:val="22"/>
                <w:szCs w:val="22"/>
              </w:rPr>
              <w:t>×100%</w:t>
            </w:r>
            <w:r>
              <w:rPr>
                <w:rFonts w:ascii="宋体" w:hAnsi="宋体" w:cs="Times New Roman"/>
                <w:color w:val="000000"/>
                <w:kern w:val="0"/>
                <w:sz w:val="22"/>
                <w:szCs w:val="22"/>
              </w:rPr>
              <w:t>。</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实际支出资金：一定时期（本年度或项目期）内项目实际拨付的资金。</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hint="eastAsia" w:ascii="Times New Roman" w:hAnsi="Times New Roman" w:cs="Times New Roman"/>
                <w:color w:val="000000"/>
                <w:kern w:val="0"/>
                <w:sz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682" w:type="dxa"/>
            <w:vMerge w:val="restart"/>
            <w:tcBorders>
              <w:top w:val="nil"/>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　</w:t>
            </w:r>
          </w:p>
          <w:p>
            <w:pPr>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 xml:space="preserve">过程 </w:t>
            </w: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资金管理</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资金使用</w:t>
            </w:r>
          </w:p>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合规性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项目资金使用是否符合相关的财务管理制度规定，用以反映和考核项目资金的规范运行情况。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是否符合国家财经法规和财务管理制度以及有关专项资金管理办法的规定；</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资金的拨付是否有完整的审批程序和手续；</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是否符合项目预算批复或合同规定的用途；</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④</w:t>
            </w:r>
            <w:r>
              <w:rPr>
                <w:rFonts w:ascii="宋体" w:hAnsi="宋体" w:cs="Times New Roman"/>
                <w:color w:val="000000"/>
                <w:kern w:val="0"/>
                <w:sz w:val="22"/>
                <w:szCs w:val="22"/>
              </w:rPr>
              <w:t>是否存在截留、挤占、挪用、虚列支出等情况。</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hint="eastAsia" w:ascii="Times New Roman" w:hAnsi="Times New Roman" w:cs="Times New Roman"/>
                <w:color w:val="000000"/>
                <w:kern w:val="0"/>
                <w:sz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rPr>
            </w:pPr>
          </w:p>
        </w:tc>
        <w:tc>
          <w:tcPr>
            <w:tcW w:w="709" w:type="dxa"/>
            <w:vMerge w:val="restart"/>
            <w:tcBorders>
              <w:top w:val="nil"/>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组织实施</w:t>
            </w:r>
          </w:p>
          <w:p>
            <w:pPr>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　</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管理制度</w:t>
            </w:r>
          </w:p>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健全性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项目实施单位的财务和业务管理制度是否健全，用以反映和考核财务和业务管理制度对项目顺利实施的保障情况。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是否已制定或具有相应的财务和业务管理制度；</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财务和业务管理制度是否合法、合规、完整。</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hint="eastAsia" w:ascii="Times New Roman" w:hAnsi="Times New Roman" w:cs="Times New Roman"/>
                <w:color w:val="000000"/>
                <w:kern w:val="0"/>
                <w:sz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rPr>
            </w:pPr>
          </w:p>
        </w:tc>
        <w:tc>
          <w:tcPr>
            <w:tcW w:w="709" w:type="dxa"/>
            <w:vMerge w:val="continue"/>
            <w:tcBorders>
              <w:top w:val="nil"/>
              <w:left w:val="nil"/>
              <w:bottom w:val="single" w:color="000000" w:sz="8" w:space="0"/>
              <w:right w:val="single" w:color="000000" w:sz="8" w:space="0"/>
            </w:tcBorders>
            <w:vAlign w:val="center"/>
          </w:tcPr>
          <w:p>
            <w:pPr>
              <w:widowControl/>
              <w:jc w:val="left"/>
              <w:rPr>
                <w:rFonts w:ascii="Times New Roman" w:hAnsi="Times New Roman" w:cs="Times New Roman"/>
                <w:color w:val="000000"/>
                <w:kern w:val="0"/>
                <w:sz w:val="22"/>
              </w:rPr>
            </w:pP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制度执行</w:t>
            </w:r>
          </w:p>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有效性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项目实施是否符合相关管理规定，用以反映和考核相关管理制度的有效执行情况。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是否遵守相关法律法规和相关管理规定；</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项目调整及支出调整手续是否完备；</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项目合同书、验收报告、技术鉴定等资料是否齐全并及时归档；</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④</w:t>
            </w:r>
            <w:r>
              <w:rPr>
                <w:rFonts w:ascii="宋体" w:hAnsi="宋体" w:cs="Times New Roman"/>
                <w:color w:val="000000"/>
                <w:kern w:val="0"/>
                <w:sz w:val="22"/>
                <w:szCs w:val="22"/>
              </w:rPr>
              <w:t>项目实施的人员条件、场地设备、信息支撑等是否落实到位。</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hint="eastAsia" w:ascii="Times New Roman" w:hAnsi="Times New Roman" w:cs="Times New Roman"/>
                <w:color w:val="000000"/>
                <w:kern w:val="0"/>
                <w:sz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682"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产出</w:t>
            </w: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产出数量</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实际完成率</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8</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项目实施的实际产出数与计划产出数的比率，用以反映和考核项目产出数量目标的实现程度。</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实际完成率=</w:t>
            </w:r>
            <w:r>
              <w:rPr>
                <w:rFonts w:ascii="宋体" w:hAnsi="宋体" w:cs="Times New Roman"/>
                <w:color w:val="000000"/>
                <w:kern w:val="0"/>
                <w:sz w:val="22"/>
                <w:szCs w:val="22"/>
              </w:rPr>
              <w:t>（实际产出数</w:t>
            </w:r>
            <w:r>
              <w:rPr>
                <w:rFonts w:ascii="Times New Roman" w:hAnsi="Times New Roman" w:cs="Times New Roman"/>
                <w:color w:val="000000"/>
                <w:kern w:val="0"/>
                <w:sz w:val="22"/>
                <w:szCs w:val="22"/>
              </w:rPr>
              <w:t>/</w:t>
            </w:r>
            <w:r>
              <w:rPr>
                <w:rFonts w:ascii="宋体" w:hAnsi="宋体" w:cs="Times New Roman"/>
                <w:color w:val="000000"/>
                <w:kern w:val="0"/>
                <w:sz w:val="22"/>
                <w:szCs w:val="22"/>
              </w:rPr>
              <w:t>计划产出数）</w:t>
            </w:r>
            <w:r>
              <w:rPr>
                <w:rFonts w:ascii="Times New Roman" w:hAnsi="Times New Roman" w:cs="Times New Roman"/>
                <w:color w:val="000000"/>
                <w:kern w:val="0"/>
                <w:sz w:val="22"/>
                <w:szCs w:val="22"/>
              </w:rPr>
              <w:t>×100%</w:t>
            </w:r>
            <w:r>
              <w:rPr>
                <w:rFonts w:ascii="宋体" w:hAnsi="宋体" w:cs="Times New Roman"/>
                <w:color w:val="000000"/>
                <w:kern w:val="0"/>
                <w:sz w:val="22"/>
                <w:szCs w:val="22"/>
              </w:rPr>
              <w:t>。</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实际产出数：一定时期（本年度或项目期）内项目实际产出的产品或提供的服务数量。</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计划产出数：项目绩效目标确定的在一定时期（本年度或项目期）内计划产出的产品或提供的服务数量。</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hint="eastAsia" w:ascii="Times New Roman" w:hAnsi="Times New Roman" w:cs="Times New Roman"/>
                <w:color w:val="000000"/>
                <w:kern w:val="0"/>
                <w:sz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682" w:type="dxa"/>
            <w:vMerge w:val="restart"/>
            <w:tcBorders>
              <w:top w:val="nil"/>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产出</w:t>
            </w: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产出质量</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质量达标率</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8</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项目完成的质量达标产出数与实际产出数的比率，用以反映和考核项目产出质量目标的实现程度。</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质量达标率=</w:t>
            </w:r>
            <w:r>
              <w:rPr>
                <w:rFonts w:ascii="宋体" w:hAnsi="宋体" w:cs="Times New Roman"/>
                <w:color w:val="000000"/>
                <w:kern w:val="0"/>
                <w:sz w:val="22"/>
                <w:szCs w:val="22"/>
              </w:rPr>
              <w:t>（质量达标产出数</w:t>
            </w:r>
            <w:r>
              <w:rPr>
                <w:rFonts w:ascii="Times New Roman" w:hAnsi="Times New Roman" w:cs="Times New Roman"/>
                <w:color w:val="000000"/>
                <w:kern w:val="0"/>
                <w:sz w:val="22"/>
                <w:szCs w:val="22"/>
              </w:rPr>
              <w:t>/</w:t>
            </w:r>
            <w:r>
              <w:rPr>
                <w:rFonts w:ascii="宋体" w:hAnsi="宋体" w:cs="Times New Roman"/>
                <w:color w:val="000000"/>
                <w:kern w:val="0"/>
                <w:sz w:val="22"/>
                <w:szCs w:val="22"/>
              </w:rPr>
              <w:t>实际产出数）</w:t>
            </w:r>
            <w:r>
              <w:rPr>
                <w:rFonts w:ascii="Times New Roman" w:hAnsi="Times New Roman" w:cs="Times New Roman"/>
                <w:color w:val="000000"/>
                <w:kern w:val="0"/>
                <w:sz w:val="22"/>
                <w:szCs w:val="22"/>
              </w:rPr>
              <w:t>×100%</w:t>
            </w:r>
            <w:r>
              <w:rPr>
                <w:rFonts w:ascii="宋体" w:hAnsi="宋体" w:cs="Times New Roman"/>
                <w:color w:val="000000"/>
                <w:kern w:val="0"/>
                <w:sz w:val="22"/>
                <w:szCs w:val="22"/>
              </w:rPr>
              <w:t>。</w:t>
            </w:r>
          </w:p>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hint="eastAsia" w:ascii="Times New Roman" w:hAnsi="Times New Roman" w:cs="Times New Roman"/>
                <w:color w:val="000000"/>
                <w:kern w:val="0"/>
                <w:sz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rPr>
            </w:pPr>
          </w:p>
        </w:tc>
        <w:tc>
          <w:tcPr>
            <w:tcW w:w="709" w:type="dxa"/>
            <w:tcBorders>
              <w:top w:val="single" w:color="000000" w:sz="8" w:space="0"/>
              <w:left w:val="nil"/>
              <w:bottom w:val="single" w:color="000000" w:sz="8" w:space="0"/>
              <w:right w:val="single" w:color="000000" w:sz="8" w:space="0"/>
            </w:tcBorders>
            <w:shd w:val="clear" w:color="auto" w:fill="FFFFFF"/>
            <w:vAlign w:val="center"/>
          </w:tcPr>
          <w:p>
            <w:pPr>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产出时效</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完成及时性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8</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项目实际完成时间与计划完成时间的比较，用以反映和考核项目产出时效目标的实现程度。</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实际完成时间：项目实施单位完成该项目实际所耗用的时间。</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计划完成时间：按照项目实施计划或相关规定完成该项目所需的时间。</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hint="eastAsia" w:ascii="Times New Roman" w:hAnsi="Times New Roman" w:cs="Times New Roman"/>
                <w:color w:val="000000"/>
                <w:kern w:val="0"/>
                <w:sz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rPr>
            </w:pP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产出成本</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成本节约率</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8</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完成项目计划工作目标的实际节约成本与计划成本的比率，用以反映和考核项目的成本节约程度。</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成本节约率=[</w:t>
            </w:r>
            <w:r>
              <w:rPr>
                <w:rFonts w:ascii="宋体" w:hAnsi="宋体" w:cs="Times New Roman"/>
                <w:color w:val="000000"/>
                <w:kern w:val="0"/>
                <w:sz w:val="22"/>
                <w:szCs w:val="22"/>
              </w:rPr>
              <w:t>（计划成本</w:t>
            </w:r>
            <w:r>
              <w:rPr>
                <w:rFonts w:ascii="Times New Roman" w:hAnsi="Times New Roman" w:cs="Times New Roman"/>
                <w:color w:val="000000"/>
                <w:kern w:val="0"/>
                <w:sz w:val="22"/>
                <w:szCs w:val="22"/>
              </w:rPr>
              <w:t>-</w:t>
            </w:r>
            <w:r>
              <w:rPr>
                <w:rFonts w:ascii="宋体" w:hAnsi="宋体" w:cs="Times New Roman"/>
                <w:color w:val="000000"/>
                <w:kern w:val="0"/>
                <w:sz w:val="22"/>
                <w:szCs w:val="22"/>
              </w:rPr>
              <w:t>实际成本）</w:t>
            </w:r>
            <w:r>
              <w:rPr>
                <w:rFonts w:ascii="Times New Roman" w:hAnsi="Times New Roman" w:cs="Times New Roman"/>
                <w:color w:val="000000"/>
                <w:kern w:val="0"/>
                <w:sz w:val="22"/>
                <w:szCs w:val="22"/>
              </w:rPr>
              <w:t>/</w:t>
            </w:r>
            <w:r>
              <w:rPr>
                <w:rFonts w:ascii="宋体" w:hAnsi="宋体" w:cs="Times New Roman"/>
                <w:color w:val="000000"/>
                <w:kern w:val="0"/>
                <w:sz w:val="22"/>
                <w:szCs w:val="22"/>
              </w:rPr>
              <w:t>计划成本</w:t>
            </w:r>
            <w:r>
              <w:rPr>
                <w:rFonts w:ascii="Times New Roman" w:hAnsi="Times New Roman" w:cs="Times New Roman"/>
                <w:color w:val="000000"/>
                <w:kern w:val="0"/>
                <w:sz w:val="22"/>
                <w:szCs w:val="22"/>
              </w:rPr>
              <w:t>]×100%</w:t>
            </w:r>
            <w:r>
              <w:rPr>
                <w:rFonts w:ascii="宋体" w:hAnsi="宋体" w:cs="Times New Roman"/>
                <w:color w:val="000000"/>
                <w:kern w:val="0"/>
                <w:sz w:val="22"/>
                <w:szCs w:val="22"/>
              </w:rPr>
              <w:t>。</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实际成本：项目实施单位如期、保质、保量完成既定工作目标实际所耗费的支出。</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计划成本：项目实施单位为完成工作目标计划安排的支出，一般以项目预算为参考。</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hint="eastAsia" w:ascii="Times New Roman" w:hAnsi="Times New Roman" w:cs="Times New Roman"/>
                <w:color w:val="000000"/>
                <w:kern w:val="0"/>
                <w:sz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682" w:type="dxa"/>
            <w:vMerge w:val="restart"/>
            <w:tcBorders>
              <w:top w:val="nil"/>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 xml:space="preserve">效益 </w:t>
            </w:r>
          </w:p>
        </w:tc>
        <w:tc>
          <w:tcPr>
            <w:tcW w:w="709" w:type="dxa"/>
            <w:vMerge w:val="restart"/>
            <w:tcBorders>
              <w:top w:val="nil"/>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 xml:space="preserve">项目效益 </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实施效益</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20</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left"/>
              <w:rPr>
                <w:rFonts w:ascii="Times New Roman" w:hAnsi="Times New Roman" w:cs="Times New Roman"/>
                <w:color w:val="000000"/>
                <w:kern w:val="0"/>
                <w:sz w:val="22"/>
              </w:rPr>
            </w:pPr>
            <w:r>
              <w:rPr>
                <w:rFonts w:ascii="Times New Roman" w:hAnsi="Times New Roman" w:cs="Times New Roman"/>
                <w:color w:val="000000"/>
                <w:kern w:val="0"/>
                <w:sz w:val="22"/>
                <w:szCs w:val="22"/>
              </w:rPr>
              <w:t>项目实施所产生的效益。</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项目实施所产生的社会效益、经济效益、生态效益、可持续影响等。可根据项目实际情况有选择地设置和细化。</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hint="eastAsia" w:ascii="Times New Roman" w:hAnsi="Times New Roman" w:cs="Times New Roman"/>
                <w:color w:val="000000"/>
                <w:kern w:val="0"/>
                <w:sz w:val="22"/>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rPr>
            </w:pPr>
          </w:p>
        </w:tc>
        <w:tc>
          <w:tcPr>
            <w:tcW w:w="709" w:type="dxa"/>
            <w:vMerge w:val="continue"/>
            <w:tcBorders>
              <w:top w:val="nil"/>
              <w:left w:val="nil"/>
              <w:bottom w:val="single" w:color="000000" w:sz="8" w:space="0"/>
              <w:right w:val="single" w:color="000000" w:sz="8" w:space="0"/>
            </w:tcBorders>
            <w:vAlign w:val="center"/>
          </w:tcPr>
          <w:p>
            <w:pPr>
              <w:widowControl/>
              <w:jc w:val="left"/>
              <w:rPr>
                <w:rFonts w:ascii="Times New Roman" w:hAnsi="Times New Roman" w:cs="Times New Roman"/>
                <w:color w:val="000000"/>
                <w:kern w:val="0"/>
                <w:sz w:val="22"/>
              </w:rPr>
            </w:pP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满意度</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8</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社会公众或服务对象对项目实施效果的满意程度。</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社会公众或服务对象是指因该项目实施而受到影响的部门（单位）、群体或个人。一般采取社会调查的方式。</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hint="eastAsia" w:ascii="Times New Roman" w:hAnsi="Times New Roman" w:cs="Times New Roman"/>
                <w:color w:val="000000"/>
                <w:kern w:val="0"/>
                <w:sz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2525"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总分</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100</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hint="eastAsia" w:ascii="Times New Roman" w:hAnsi="Times New Roman" w:cs="Times New Roman"/>
                <w:color w:val="000000"/>
                <w:kern w:val="0"/>
                <w:sz w:val="22"/>
              </w:rPr>
              <w:t>100</w:t>
            </w:r>
          </w:p>
        </w:tc>
      </w:tr>
    </w:tbl>
    <w:p>
      <w:pPr>
        <w:spacing w:line="560" w:lineRule="exact"/>
        <w:ind w:firstLine="200" w:firstLineChars="100"/>
        <w:sectPr>
          <w:pgSz w:w="16838" w:h="11906" w:orient="landscape"/>
          <w:pgMar w:top="1800" w:right="1440" w:bottom="1800" w:left="1440" w:header="851" w:footer="992" w:gutter="0"/>
          <w:cols w:space="425" w:num="1"/>
          <w:docGrid w:type="lines" w:linePitch="312" w:charSpace="0"/>
        </w:sectPr>
      </w:pPr>
      <w:r>
        <w:rPr>
          <w:rFonts w:ascii="仿宋_GB2312" w:hAnsi="仿宋_GB2312" w:eastAsia="仿宋_GB2312" w:cs="Times New Roman"/>
          <w:sz w:val="20"/>
          <w:szCs w:val="20"/>
        </w:rPr>
        <w:t>注：单位可以根据专项资金的管理要求和绩效要求增设个性指标</w:t>
      </w:r>
      <w:r>
        <w:rPr>
          <w:rFonts w:hint="eastAsia" w:ascii="宋体" w:hAnsi="宋体" w:cs="宋体"/>
          <w:sz w:val="20"/>
          <w:szCs w:val="20"/>
        </w:rPr>
        <w:t>。</w:t>
      </w:r>
    </w:p>
    <w:p>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6C218F"/>
    <w:rsid w:val="003C7D68"/>
    <w:rsid w:val="004842F4"/>
    <w:rsid w:val="004974F1"/>
    <w:rsid w:val="00513D51"/>
    <w:rsid w:val="00686F37"/>
    <w:rsid w:val="006A33CF"/>
    <w:rsid w:val="006C218F"/>
    <w:rsid w:val="007365E4"/>
    <w:rsid w:val="007900F4"/>
    <w:rsid w:val="008220B9"/>
    <w:rsid w:val="00906B41"/>
    <w:rsid w:val="00C15BB6"/>
    <w:rsid w:val="00C7143B"/>
    <w:rsid w:val="00CB33FB"/>
    <w:rsid w:val="0C817D3C"/>
    <w:rsid w:val="145E6797"/>
    <w:rsid w:val="17397CBE"/>
    <w:rsid w:val="1A152674"/>
    <w:rsid w:val="1A447E5D"/>
    <w:rsid w:val="1D8A5550"/>
    <w:rsid w:val="1E180739"/>
    <w:rsid w:val="1E9E0B84"/>
    <w:rsid w:val="1F1E0F50"/>
    <w:rsid w:val="24915CB3"/>
    <w:rsid w:val="32ED11D4"/>
    <w:rsid w:val="36736322"/>
    <w:rsid w:val="3FF967A6"/>
    <w:rsid w:val="4EF537CA"/>
    <w:rsid w:val="52BF262E"/>
    <w:rsid w:val="56F91ED7"/>
    <w:rsid w:val="5D1A5668"/>
    <w:rsid w:val="68D858DD"/>
    <w:rsid w:val="79830685"/>
    <w:rsid w:val="7F814E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nhideWhenUsed="0" w:uiPriority="99" w:semiHidden="0"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1"/>
      <w:lang w:val="en-US" w:eastAsia="zh-CN" w:bidi="ar-SA"/>
    </w:rPr>
  </w:style>
  <w:style w:type="paragraph" w:styleId="4">
    <w:name w:val="heading 2"/>
    <w:basedOn w:val="1"/>
    <w:next w:val="1"/>
    <w:qFormat/>
    <w:uiPriority w:val="99"/>
    <w:pPr>
      <w:keepNext/>
      <w:keepLines/>
      <w:spacing w:before="260" w:after="260" w:line="412" w:lineRule="auto"/>
      <w:outlineLvl w:val="1"/>
    </w:pPr>
    <w:rPr>
      <w:rFonts w:ascii="Arial" w:hAnsi="Arial" w:eastAsia="黑体" w:cs="Arial"/>
      <w:b/>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next w:val="3"/>
    <w:semiHidden/>
    <w:unhideWhenUsed/>
    <w:qFormat/>
    <w:uiPriority w:val="99"/>
    <w:pPr>
      <w:tabs>
        <w:tab w:val="center" w:pos="4153"/>
        <w:tab w:val="right" w:pos="8306"/>
      </w:tabs>
      <w:snapToGrid w:val="0"/>
      <w:jc w:val="left"/>
    </w:pPr>
    <w:rPr>
      <w:sz w:val="18"/>
      <w:szCs w:val="18"/>
    </w:rPr>
  </w:style>
  <w:style w:type="paragraph" w:styleId="3">
    <w:name w:val="index 5"/>
    <w:basedOn w:val="1"/>
    <w:next w:val="1"/>
    <w:qFormat/>
    <w:uiPriority w:val="99"/>
    <w:pPr>
      <w:ind w:left="1680"/>
    </w:pPr>
  </w:style>
  <w:style w:type="paragraph" w:styleId="5">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无间隔1"/>
    <w:basedOn w:val="1"/>
    <w:qFormat/>
    <w:uiPriority w:val="0"/>
    <w:pPr>
      <w:spacing w:before="100" w:beforeAutospacing="1"/>
    </w:pPr>
  </w:style>
  <w:style w:type="paragraph" w:customStyle="1" w:styleId="9">
    <w:name w:val="No Spacing"/>
    <w:basedOn w:val="1"/>
    <w:qFormat/>
    <w:uiPriority w:val="0"/>
  </w:style>
  <w:style w:type="paragraph" w:customStyle="1" w:styleId="10">
    <w:name w:val="正文文本1"/>
    <w:basedOn w:val="1"/>
    <w:qFormat/>
    <w:uiPriority w:val="0"/>
    <w:pPr>
      <w:spacing w:line="540" w:lineRule="exact"/>
      <w:ind w:firstLine="200" w:firstLineChars="200"/>
    </w:pPr>
    <w:rPr>
      <w:rFonts w:eastAsia="仿宋_GB2312" w:cs="Times New Roman"/>
      <w:sz w:val="28"/>
      <w:szCs w:val="28"/>
    </w:rPr>
  </w:style>
  <w:style w:type="paragraph" w:customStyle="1" w:styleId="11">
    <w:name w:val="Normal"/>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335</Words>
  <Characters>1913</Characters>
  <Lines>15</Lines>
  <Paragraphs>4</Paragraphs>
  <TotalTime>9</TotalTime>
  <ScaleCrop>false</ScaleCrop>
  <LinksUpToDate>false</LinksUpToDate>
  <CharactersWithSpaces>2244</CharactersWithSpaces>
  <Application>WPS Office_11.1.0.10503_F1E327BC-269C-435d-A152-05C5408002CA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2021-07-30T07:24:00Z</dcterms:created>
  <dc:creator>Administrator</dc:creator>
  <cp:lastModifiedBy>梅子花开</cp:lastModifiedBy>
  <cp:lastPrinted>2021-08-02T06:33:18Z</cp:lastPrinted>
  <dcterms:modified xsi:type="dcterms:W3CDTF">2021-08-02T06:34:20Z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CE03E9E7C790443FBC0E8E4428D682A5</vt:lpwstr>
  </property>
</Properties>
</file>