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kern w:val="0"/>
          <w:sz w:val="40"/>
          <w:szCs w:val="40"/>
          <w:lang w:val="en-US" w:eastAsia="zh-CN"/>
        </w:rPr>
      </w:pPr>
      <w:r>
        <w:rPr>
          <w:rFonts w:hint="eastAsia" w:ascii="黑体" w:hAnsi="黑体" w:eastAsia="黑体" w:cs="黑体"/>
          <w:kern w:val="0"/>
          <w:sz w:val="40"/>
          <w:szCs w:val="40"/>
          <w:lang w:val="en-US" w:eastAsia="zh-CN"/>
        </w:rPr>
        <w:t>中方县发展和改革局2020年度充电桩等14个</w:t>
      </w:r>
    </w:p>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s="Times New Roman"/>
          <w:sz w:val="40"/>
          <w:szCs w:val="40"/>
        </w:rPr>
      </w:pPr>
      <w:r>
        <w:rPr>
          <w:rFonts w:hint="eastAsia" w:ascii="黑体" w:hAnsi="黑体" w:eastAsia="黑体" w:cs="黑体"/>
          <w:kern w:val="0"/>
          <w:sz w:val="40"/>
          <w:szCs w:val="40"/>
          <w:lang w:val="en-US" w:eastAsia="zh-CN"/>
        </w:rPr>
        <w:t>项目可行性研究报告编制费</w:t>
      </w:r>
      <w:r>
        <w:rPr>
          <w:rFonts w:ascii="黑体" w:hAnsi="黑体" w:eastAsia="黑体" w:cs="Times New Roman"/>
          <w:sz w:val="40"/>
          <w:szCs w:val="40"/>
        </w:rPr>
        <w:t>项目支出绩效</w:t>
      </w:r>
      <w:r>
        <w:rPr>
          <w:rFonts w:hint="eastAsia" w:ascii="黑体" w:hAnsi="黑体" w:eastAsia="黑体" w:cs="Times New Roman"/>
          <w:sz w:val="40"/>
          <w:szCs w:val="40"/>
          <w:lang w:eastAsia="zh-CN"/>
        </w:rPr>
        <w:t>自</w:t>
      </w:r>
      <w:r>
        <w:rPr>
          <w:rFonts w:ascii="黑体" w:hAnsi="黑体" w:eastAsia="黑体" w:cs="Times New Roman"/>
          <w:sz w:val="40"/>
          <w:szCs w:val="40"/>
        </w:rPr>
        <w:t>评报告</w:t>
      </w:r>
    </w:p>
    <w:p>
      <w:pPr>
        <w:pStyle w:val="14"/>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s="Times New Roman"/>
          <w:sz w:val="40"/>
          <w:szCs w:val="40"/>
        </w:rPr>
      </w:pP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一、基本情况</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lang w:val="en-US" w:eastAsia="zh-CN"/>
        </w:rPr>
      </w:pPr>
      <w:r>
        <w:rPr>
          <w:rFonts w:hint="eastAsia" w:ascii="宋体" w:hAnsi="宋体" w:eastAsia="宋体" w:cs="宋体"/>
          <w:b/>
          <w:bCs/>
          <w:sz w:val="32"/>
          <w:szCs w:val="32"/>
        </w:rPr>
        <w:t>（一）项目概况。</w:t>
      </w:r>
      <w:r>
        <w:rPr>
          <w:rFonts w:hint="eastAsia" w:ascii="宋体" w:hAnsi="宋体" w:eastAsia="宋体" w:cs="宋体"/>
          <w:b w:val="0"/>
          <w:bCs w:val="0"/>
          <w:sz w:val="32"/>
          <w:szCs w:val="32"/>
          <w:lang w:val="en-US" w:eastAsia="zh-CN"/>
        </w:rPr>
        <w:t>2020年，</w:t>
      </w:r>
      <w:r>
        <w:rPr>
          <w:rFonts w:hint="eastAsia" w:ascii="宋体" w:hAnsi="宋体" w:eastAsia="宋体" w:cs="宋体"/>
          <w:color w:val="auto"/>
          <w:sz w:val="32"/>
          <w:szCs w:val="32"/>
          <w:lang w:val="en-US" w:eastAsia="zh-CN"/>
        </w:rPr>
        <w:t>国家为了对冲疫情带来的负面影响，在投资政策方面接二连三的释放政策红利：政府专项债、新增中央投资、发行特别国债、宽松的更利于投资的金融政策如省</w:t>
      </w:r>
      <w:r>
        <w:rPr>
          <w:rFonts w:hint="eastAsia" w:ascii="宋体" w:hAnsi="宋体" w:eastAsia="宋体" w:cs="宋体"/>
          <w:color w:val="000000"/>
          <w:sz w:val="32"/>
          <w:szCs w:val="32"/>
        </w:rPr>
        <w:t>国开行500亿元</w:t>
      </w:r>
      <w:r>
        <w:rPr>
          <w:rFonts w:hint="eastAsia" w:ascii="宋体" w:hAnsi="宋体" w:eastAsia="宋体" w:cs="宋体"/>
          <w:color w:val="000000"/>
          <w:sz w:val="32"/>
          <w:szCs w:val="32"/>
          <w:lang w:eastAsia="zh-CN"/>
        </w:rPr>
        <w:t>稳投资</w:t>
      </w:r>
      <w:r>
        <w:rPr>
          <w:rFonts w:hint="eastAsia" w:ascii="宋体" w:hAnsi="宋体" w:eastAsia="宋体" w:cs="宋体"/>
          <w:color w:val="000000"/>
          <w:sz w:val="32"/>
          <w:szCs w:val="32"/>
        </w:rPr>
        <w:t>融资专项</w:t>
      </w:r>
      <w:r>
        <w:rPr>
          <w:rFonts w:hint="eastAsia" w:ascii="宋体" w:hAnsi="宋体" w:eastAsia="宋体" w:cs="宋体"/>
          <w:color w:val="auto"/>
          <w:sz w:val="32"/>
          <w:szCs w:val="32"/>
          <w:lang w:val="en-US" w:eastAsia="zh-CN"/>
        </w:rPr>
        <w:t>等等。在书记、县长反复强调和重点推动下，县发改局牵头县城管局、教育局、文旅广体局等项目责任单位，加大项目储备力度，加快完成项目可行性研究报告审批工作。根据县主要领导专题会议精神，项目可行性研究报告编制费用由县本级财政解决77.5万元已支付。</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bCs/>
          <w:sz w:val="32"/>
          <w:szCs w:val="32"/>
        </w:rPr>
        <w:t>（二）项目绩效目标。</w:t>
      </w:r>
      <w:r>
        <w:rPr>
          <w:rFonts w:hint="eastAsia" w:ascii="宋体" w:hAnsi="宋体" w:eastAsia="宋体" w:cs="宋体"/>
          <w:b w:val="0"/>
          <w:bCs w:val="0"/>
          <w:sz w:val="32"/>
          <w:szCs w:val="32"/>
          <w:lang w:val="en-US" w:eastAsia="zh-CN"/>
        </w:rPr>
        <w:t>科学编制《中方县充电桩项目可行性研究报告》等14个项目可行性研究报告并</w:t>
      </w:r>
      <w:r>
        <w:rPr>
          <w:rFonts w:hint="eastAsia" w:ascii="宋体" w:hAnsi="宋体" w:eastAsia="宋体" w:cs="宋体"/>
          <w:b w:val="0"/>
          <w:bCs w:val="0"/>
          <w:sz w:val="32"/>
          <w:szCs w:val="32"/>
          <w:lang w:eastAsia="zh-CN"/>
        </w:rPr>
        <w:t>及时报送可研报告成果</w:t>
      </w:r>
      <w:r>
        <w:rPr>
          <w:rFonts w:hint="eastAsia" w:ascii="宋体" w:hAnsi="宋体" w:eastAsia="宋体" w:cs="宋体"/>
          <w:b w:val="0"/>
          <w:bCs w:val="0"/>
          <w:sz w:val="32"/>
          <w:szCs w:val="32"/>
          <w:lang w:val="en-US" w:eastAsia="zh-CN"/>
        </w:rPr>
        <w:t>。</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二、绩效评价工作开展情况</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（一）绩效评价目的、对象和范围。</w:t>
      </w:r>
      <w:r>
        <w:rPr>
          <w:rFonts w:hint="eastAsia" w:ascii="宋体" w:hAnsi="宋体" w:eastAsia="宋体" w:cs="宋体"/>
          <w:color w:val="auto"/>
          <w:sz w:val="32"/>
          <w:szCs w:val="32"/>
          <w:lang w:eastAsia="zh-CN"/>
        </w:rPr>
        <w:t>对</w:t>
      </w:r>
      <w:r>
        <w:rPr>
          <w:rFonts w:hint="eastAsia" w:ascii="宋体" w:hAnsi="宋体" w:eastAsia="宋体" w:cs="宋体"/>
          <w:b w:val="0"/>
          <w:bCs w:val="0"/>
          <w:sz w:val="32"/>
          <w:szCs w:val="32"/>
          <w:lang w:val="en-US" w:eastAsia="zh-CN"/>
        </w:rPr>
        <w:t>《中方县充电桩项目可行性研究报告》等14个项目可行性研究报告编制工作</w:t>
      </w:r>
      <w:r>
        <w:rPr>
          <w:rFonts w:hint="eastAsia" w:ascii="宋体" w:hAnsi="宋体" w:eastAsia="宋体" w:cs="宋体"/>
          <w:color w:val="auto"/>
          <w:sz w:val="32"/>
          <w:szCs w:val="32"/>
          <w:lang w:val="en-US" w:eastAsia="zh-CN"/>
        </w:rPr>
        <w:t>进行评价</w:t>
      </w:r>
      <w:r>
        <w:rPr>
          <w:rFonts w:hint="eastAsia" w:ascii="宋体" w:hAnsi="宋体" w:eastAsia="宋体" w:cs="宋体"/>
          <w:color w:val="auto"/>
          <w:sz w:val="32"/>
          <w:szCs w:val="32"/>
          <w:lang w:eastAsia="zh-CN"/>
        </w:rPr>
        <w:t>。</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（二）绩效评价原则、评价指标体系、评价方法、评价标准等。</w:t>
      </w:r>
      <w:r>
        <w:rPr>
          <w:rFonts w:hint="eastAsia" w:ascii="宋体" w:hAnsi="宋体" w:eastAsia="宋体" w:cs="宋体"/>
          <w:color w:val="auto"/>
          <w:sz w:val="32"/>
          <w:szCs w:val="32"/>
        </w:rPr>
        <w:t>主要</w:t>
      </w:r>
      <w:r>
        <w:rPr>
          <w:rFonts w:hint="eastAsia" w:ascii="宋体" w:hAnsi="宋体" w:eastAsia="宋体" w:cs="宋体"/>
          <w:color w:val="auto"/>
          <w:sz w:val="32"/>
          <w:szCs w:val="32"/>
          <w:lang w:eastAsia="zh-CN"/>
        </w:rPr>
        <w:t>设置了产出指标、效益指标、满意度指标三大类指标，重点从成果合格率、按时提交成果率、节约成本等方面进行评价，主要通过</w:t>
      </w:r>
      <w:r>
        <w:rPr>
          <w:rFonts w:hint="eastAsia" w:ascii="宋体" w:hAnsi="宋体" w:eastAsia="宋体" w:cs="宋体"/>
          <w:color w:val="auto"/>
          <w:sz w:val="32"/>
          <w:szCs w:val="32"/>
        </w:rPr>
        <w:t>审阅资料</w:t>
      </w:r>
      <w:r>
        <w:rPr>
          <w:rFonts w:hint="eastAsia" w:ascii="宋体" w:hAnsi="宋体" w:eastAsia="宋体" w:cs="宋体"/>
          <w:color w:val="auto"/>
          <w:sz w:val="32"/>
          <w:szCs w:val="32"/>
          <w:lang w:eastAsia="zh-CN"/>
        </w:rPr>
        <w:t>等方式进行评价。</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（三）绩效评价工作过程。</w:t>
      </w:r>
      <w:r>
        <w:rPr>
          <w:rFonts w:hint="eastAsia" w:ascii="宋体" w:hAnsi="宋体" w:eastAsia="宋体" w:cs="宋体"/>
          <w:color w:val="auto"/>
          <w:sz w:val="32"/>
          <w:szCs w:val="32"/>
        </w:rPr>
        <w:t>县发改局负责对该项目进行绩效评价，绩效评价现场由县发改局、财政局相关股室负责</w:t>
      </w:r>
      <w:r>
        <w:rPr>
          <w:rFonts w:hint="eastAsia" w:ascii="宋体" w:hAnsi="宋体" w:eastAsia="宋体" w:cs="宋体"/>
          <w:color w:val="auto"/>
          <w:sz w:val="32"/>
          <w:szCs w:val="32"/>
          <w:lang w:eastAsia="zh-CN"/>
        </w:rPr>
        <w:t>人</w:t>
      </w:r>
      <w:r>
        <w:rPr>
          <w:rFonts w:hint="eastAsia" w:ascii="宋体" w:hAnsi="宋体" w:eastAsia="宋体" w:cs="宋体"/>
          <w:color w:val="auto"/>
          <w:sz w:val="32"/>
          <w:szCs w:val="32"/>
        </w:rPr>
        <w:t>参加，通过查阅资料、收付款凭据等资料进行绩效复核。</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三、综合评价情况及评价结论</w:t>
      </w:r>
    </w:p>
    <w:p>
      <w:pPr>
        <w:pStyle w:val="14"/>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t>项目支出绩效自评</w:t>
      </w:r>
      <w:r>
        <w:rPr>
          <w:rFonts w:hint="eastAsia" w:ascii="宋体" w:hAnsi="宋体" w:eastAsia="宋体" w:cs="宋体"/>
          <w:color w:val="auto"/>
          <w:sz w:val="32"/>
          <w:szCs w:val="32"/>
          <w:lang w:eastAsia="zh-CN"/>
        </w:rPr>
        <w:t>得分</w:t>
      </w:r>
      <w:r>
        <w:rPr>
          <w:rFonts w:hint="eastAsia" w:ascii="宋体" w:hAnsi="宋体" w:eastAsia="宋体" w:cs="宋体"/>
          <w:color w:val="auto"/>
          <w:sz w:val="32"/>
          <w:szCs w:val="32"/>
          <w:lang w:val="en-US" w:eastAsia="zh-CN"/>
        </w:rPr>
        <w:t>100分，为优秀等级。</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四、绩效评价指标分析</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3" w:firstLineChars="200"/>
        <w:jc w:val="both"/>
        <w:textAlignment w:val="auto"/>
        <w:rPr>
          <w:rFonts w:hint="eastAsia" w:ascii="宋体" w:hAnsi="宋体" w:eastAsia="宋体" w:cs="宋体"/>
          <w:b w:val="0"/>
          <w:bCs w:val="0"/>
          <w:color w:val="FF0000"/>
          <w:sz w:val="32"/>
          <w:szCs w:val="32"/>
          <w:lang w:eastAsia="zh-CN"/>
        </w:rPr>
      </w:pPr>
      <w:r>
        <w:rPr>
          <w:rFonts w:hint="eastAsia" w:ascii="宋体" w:hAnsi="宋体" w:eastAsia="宋体" w:cs="宋体"/>
          <w:b/>
          <w:bCs/>
          <w:color w:val="auto"/>
          <w:sz w:val="32"/>
          <w:szCs w:val="32"/>
        </w:rPr>
        <w:t>（一）项目决策情况。</w:t>
      </w:r>
      <w:r>
        <w:rPr>
          <w:rFonts w:hint="eastAsia" w:ascii="宋体" w:hAnsi="宋体" w:eastAsia="宋体" w:cs="宋体"/>
          <w:sz w:val="32"/>
          <w:szCs w:val="32"/>
          <w:lang w:eastAsia="zh-CN"/>
        </w:rPr>
        <w:t>县领导多次召开专题会议，研究调度新增中央投资项目、专项债券项目储备事宜，明确需要储备的项目名单。</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（二）项目过程情况。</w:t>
      </w:r>
      <w:r>
        <w:rPr>
          <w:rFonts w:hint="eastAsia" w:ascii="宋体" w:hAnsi="宋体" w:eastAsia="宋体" w:cs="宋体"/>
          <w:b w:val="0"/>
          <w:bCs w:val="0"/>
          <w:color w:val="auto"/>
          <w:sz w:val="32"/>
          <w:szCs w:val="32"/>
          <w:lang w:eastAsia="zh-CN"/>
        </w:rPr>
        <w:t>由发改局牵头联系有资质的机构编制可研报告，项目责任单位提供项目相关情况和材料。</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bCs/>
          <w:color w:val="auto"/>
          <w:sz w:val="32"/>
          <w:szCs w:val="32"/>
        </w:rPr>
        <w:t>（三）项目产出情况。</w:t>
      </w:r>
      <w:r>
        <w:rPr>
          <w:rFonts w:hint="eastAsia" w:ascii="宋体" w:hAnsi="宋体" w:eastAsia="宋体" w:cs="宋体"/>
          <w:b w:val="0"/>
          <w:bCs w:val="0"/>
          <w:sz w:val="32"/>
          <w:szCs w:val="32"/>
          <w:lang w:val="en-US" w:eastAsia="zh-CN"/>
        </w:rPr>
        <w:t>《中方县充电桩项目可行性研究报告》等14个项目可行性研究报告编制工作。</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val="0"/>
          <w:bCs w:val="0"/>
          <w:color w:val="auto"/>
          <w:sz w:val="32"/>
          <w:szCs w:val="32"/>
          <w:lang w:val="en-US" w:eastAsia="zh-CN"/>
        </w:rPr>
      </w:pPr>
      <w:r>
        <w:rPr>
          <w:rFonts w:hint="eastAsia" w:ascii="宋体" w:hAnsi="宋体" w:eastAsia="宋体" w:cs="宋体"/>
          <w:b/>
          <w:bCs/>
          <w:color w:val="auto"/>
          <w:sz w:val="32"/>
          <w:szCs w:val="32"/>
        </w:rPr>
        <w:t>（四）项目效益情况。</w:t>
      </w:r>
      <w:r>
        <w:rPr>
          <w:rFonts w:hint="eastAsia" w:ascii="宋体" w:hAnsi="宋体" w:eastAsia="宋体" w:cs="宋体"/>
          <w:b w:val="0"/>
          <w:bCs w:val="0"/>
          <w:color w:val="auto"/>
          <w:sz w:val="32"/>
          <w:szCs w:val="32"/>
          <w:lang w:val="en-US" w:eastAsia="zh-CN"/>
        </w:rPr>
        <w:t>谋划储备了一批关系社会民生、基础设施建设等方面的重大项目，</w:t>
      </w:r>
      <w:r>
        <w:rPr>
          <w:rFonts w:hint="eastAsia" w:ascii="宋体" w:hAnsi="宋体" w:eastAsia="宋体" w:cs="宋体"/>
          <w:b w:val="0"/>
          <w:bCs w:val="0"/>
          <w:sz w:val="32"/>
          <w:szCs w:val="32"/>
          <w:lang w:val="en-US" w:eastAsia="zh-CN"/>
        </w:rPr>
        <w:t>为后续申报专项资金支持提供条件。</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40" w:lineRule="exact"/>
        <w:ind w:firstLine="630" w:firstLineChars="196"/>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主要经验：</w:t>
      </w:r>
      <w:r>
        <w:rPr>
          <w:rFonts w:hint="eastAsia" w:ascii="宋体" w:hAnsi="宋体" w:eastAsia="宋体" w:cs="宋体"/>
          <w:color w:val="auto"/>
          <w:sz w:val="32"/>
          <w:szCs w:val="32"/>
        </w:rPr>
        <w:t>一是提前准备，科学规划，在项目前期工作中做到精心策划，聘请有资质的</w:t>
      </w:r>
      <w:r>
        <w:rPr>
          <w:rFonts w:hint="eastAsia" w:ascii="宋体" w:hAnsi="宋体" w:eastAsia="宋体" w:cs="宋体"/>
          <w:color w:val="auto"/>
          <w:sz w:val="32"/>
          <w:szCs w:val="32"/>
          <w:lang w:eastAsia="zh-CN"/>
        </w:rPr>
        <w:t>可</w:t>
      </w:r>
      <w:r>
        <w:rPr>
          <w:rFonts w:hint="eastAsia" w:ascii="宋体" w:hAnsi="宋体" w:eastAsia="宋体" w:cs="宋体"/>
          <w:color w:val="auto"/>
          <w:sz w:val="32"/>
          <w:szCs w:val="32"/>
        </w:rPr>
        <w:t>研单位对项目进行可行性认证分析。二是精心组织，在项目</w:t>
      </w:r>
      <w:r>
        <w:rPr>
          <w:rFonts w:hint="eastAsia" w:ascii="宋体" w:hAnsi="宋体" w:eastAsia="宋体" w:cs="宋体"/>
          <w:color w:val="auto"/>
          <w:sz w:val="32"/>
          <w:szCs w:val="32"/>
          <w:lang w:eastAsia="zh-CN"/>
        </w:rPr>
        <w:t>申报</w:t>
      </w:r>
      <w:r>
        <w:rPr>
          <w:rFonts w:hint="eastAsia" w:ascii="宋体" w:hAnsi="宋体" w:eastAsia="宋体" w:cs="宋体"/>
          <w:color w:val="auto"/>
          <w:sz w:val="32"/>
          <w:szCs w:val="32"/>
        </w:rPr>
        <w:t>过程中抓好项目组织，实行项目负责制，责任到人。</w:t>
      </w:r>
    </w:p>
    <w:p>
      <w:pPr>
        <w:pStyle w:val="2"/>
        <w:keepNext w:val="0"/>
        <w:keepLines w:val="0"/>
        <w:pageBreakBefore w:val="0"/>
        <w:kinsoku/>
        <w:wordWrap/>
        <w:overflowPunct/>
        <w:topLinePunct w:val="0"/>
        <w:autoSpaceDE/>
        <w:autoSpaceDN/>
        <w:bidi w:val="0"/>
        <w:adjustRightInd/>
        <w:snapToGrid/>
        <w:spacing w:line="540" w:lineRule="exact"/>
        <w:ind w:left="0" w:leftChars="0" w:firstLine="0" w:firstLineChars="0"/>
        <w:jc w:val="both"/>
        <w:textAlignment w:val="auto"/>
        <w:rPr>
          <w:rFonts w:hint="eastAsia" w:ascii="宋体" w:hAnsi="宋体" w:eastAsia="宋体" w:cs="宋体"/>
          <w:color w:val="auto"/>
          <w:sz w:val="32"/>
          <w:szCs w:val="32"/>
          <w:lang w:eastAsia="zh-CN"/>
        </w:rPr>
      </w:pPr>
      <w:r>
        <w:rPr>
          <w:rFonts w:hint="eastAsia" w:ascii="宋体" w:hAnsi="宋体" w:eastAsia="宋体" w:cs="宋体"/>
          <w:b w:val="0"/>
          <w:bCs w:val="0"/>
          <w:color w:val="auto"/>
          <w:sz w:val="32"/>
          <w:szCs w:val="32"/>
          <w:lang w:eastAsia="zh-CN"/>
        </w:rPr>
        <w:t>不存在问题。</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六、有关建议</w:t>
      </w:r>
    </w:p>
    <w:p>
      <w:pPr>
        <w:pStyle w:val="14"/>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无</w:t>
      </w:r>
    </w:p>
    <w:p>
      <w:pPr>
        <w:pStyle w:val="14"/>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无</w:t>
      </w:r>
    </w:p>
    <w:p>
      <w:pPr>
        <w:keepNext w:val="0"/>
        <w:keepLines w:val="0"/>
        <w:pageBreakBefore w:val="0"/>
        <w:widowControl/>
        <w:kinsoku/>
        <w:wordWrap/>
        <w:overflowPunct/>
        <w:topLinePunct w:val="0"/>
        <w:autoSpaceDE/>
        <w:autoSpaceDN/>
        <w:bidi w:val="0"/>
        <w:adjustRightInd/>
        <w:snapToGrid/>
        <w:spacing w:line="540" w:lineRule="exact"/>
        <w:ind w:firstLine="645"/>
        <w:jc w:val="left"/>
        <w:textAlignment w:val="auto"/>
        <w:rPr>
          <w:rFonts w:hint="eastAsia" w:ascii="宋体" w:hAnsi="宋体" w:eastAsia="宋体" w:cs="宋体"/>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5"/>
        <w:jc w:val="left"/>
        <w:textAlignment w:val="auto"/>
        <w:rPr>
          <w:rFonts w:hint="eastAsia" w:ascii="宋体" w:hAnsi="宋体" w:eastAsia="宋体" w:cs="宋体"/>
          <w:sz w:val="32"/>
          <w:szCs w:val="32"/>
        </w:rPr>
      </w:pPr>
      <w:r>
        <w:rPr>
          <w:rFonts w:hint="eastAsia" w:ascii="宋体" w:hAnsi="宋体" w:eastAsia="宋体" w:cs="宋体"/>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540" w:lineRule="exact"/>
        <w:ind w:firstLine="1600" w:firstLineChars="500"/>
        <w:jc w:val="left"/>
        <w:textAlignment w:val="auto"/>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hAnsi="宋体" w:eastAsia="宋体" w:cs="宋体"/>
          <w:sz w:val="32"/>
          <w:szCs w:val="32"/>
        </w:rPr>
      </w:pPr>
    </w:p>
    <w:p>
      <w:pPr>
        <w:spacing w:line="400" w:lineRule="exact"/>
        <w:rPr>
          <w:rFonts w:hint="eastAsia" w:ascii="宋体" w:hAnsi="宋体" w:eastAsia="宋体" w:cs="宋体"/>
          <w:bCs/>
          <w:color w:val="000000"/>
          <w:sz w:val="32"/>
          <w:szCs w:val="32"/>
        </w:rPr>
        <w:sectPr>
          <w:footerReference r:id="rId3" w:type="default"/>
          <w:pgSz w:w="11906" w:h="16838"/>
          <w:pgMar w:top="1474" w:right="1417" w:bottom="1474" w:left="1417" w:header="737" w:footer="850" w:gutter="0"/>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562"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中方县充电桩等14个项目可行性研究报告编制费</w:t>
            </w:r>
          </w:p>
        </w:tc>
      </w:tr>
      <w:tr>
        <w:tblPrEx>
          <w:tblCellMar>
            <w:top w:w="0" w:type="dxa"/>
            <w:left w:w="108" w:type="dxa"/>
            <w:bottom w:w="0" w:type="dxa"/>
            <w:right w:w="108" w:type="dxa"/>
          </w:tblCellMar>
        </w:tblPrEx>
        <w:trPr>
          <w:trHeight w:val="675"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val="en-US" w:eastAsia="zh-CN"/>
              </w:rPr>
              <w:t>重庆同丰工程管理咨询有限公司怀化分公司</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40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77.5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77.5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77.5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77.5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77.5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77.5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6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8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1485"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科学编制《中方县充电桩项目可行性研究报告》等14个项目可行性研究报告并</w:t>
            </w:r>
            <w:r>
              <w:rPr>
                <w:rFonts w:hint="eastAsia" w:ascii="Times New Roman" w:hAnsi="Times New Roman" w:cs="Times New Roman"/>
                <w:kern w:val="0"/>
                <w:sz w:val="18"/>
                <w:szCs w:val="18"/>
                <w:lang w:eastAsia="zh-CN"/>
              </w:rPr>
              <w:t>及时报送可研报告成果</w:t>
            </w:r>
            <w:r>
              <w:rPr>
                <w:rFonts w:hint="eastAsia" w:ascii="Times New Roman" w:hAnsi="Times New Roman" w:cs="Times New Roman"/>
                <w:kern w:val="0"/>
                <w:sz w:val="18"/>
                <w:szCs w:val="18"/>
                <w:lang w:val="en-US" w:eastAsia="zh-CN"/>
              </w:rPr>
              <w:t>。</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完成了</w:t>
            </w:r>
            <w:r>
              <w:rPr>
                <w:rFonts w:hint="eastAsia" w:ascii="Times New Roman" w:hAnsi="Times New Roman" w:cs="Times New Roman"/>
                <w:kern w:val="0"/>
                <w:sz w:val="18"/>
                <w:szCs w:val="18"/>
                <w:lang w:val="en-US" w:eastAsia="zh-CN"/>
              </w:rPr>
              <w:t>《中方县充电桩项目可行性研究报告》等14个项目可行性研究报告</w:t>
            </w:r>
            <w:r>
              <w:rPr>
                <w:rFonts w:hint="eastAsia" w:ascii="Times New Roman" w:hAnsi="Times New Roman" w:cs="Times New Roman"/>
                <w:kern w:val="0"/>
                <w:sz w:val="18"/>
                <w:szCs w:val="18"/>
                <w:lang w:eastAsia="zh-CN"/>
              </w:rPr>
              <w:t>编制工作，并及时报送可研报告成果。</w:t>
            </w:r>
          </w:p>
        </w:tc>
      </w:tr>
      <w:tr>
        <w:tblPrEx>
          <w:tblCellMar>
            <w:top w:w="0" w:type="dxa"/>
            <w:left w:w="108" w:type="dxa"/>
            <w:bottom w:w="0" w:type="dxa"/>
            <w:right w:w="108" w:type="dxa"/>
          </w:tblCellMar>
        </w:tblPrEx>
        <w:trPr>
          <w:trHeight w:val="676"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685"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kern w:val="0"/>
                <w:sz w:val="18"/>
                <w:szCs w:val="18"/>
                <w:lang w:val="en-US" w:eastAsia="zh-CN"/>
              </w:rPr>
              <w:t>项目可行性研究报告数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14</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14</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92"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合格率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04"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按时提交成果率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72"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节约成本，加强经费管理</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bidi="ar-SA"/>
              </w:rPr>
              <w:t>77.5万元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77.5万元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72"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优化可行性研究报告</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4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积极谋划储备项目，促进社会民生发展。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12"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加强环境和生态影响分析</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94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eastAsia="zh-CN"/>
              </w:rPr>
              <w:t>完善</w:t>
            </w:r>
            <w:r>
              <w:rPr>
                <w:rFonts w:hint="eastAsia" w:ascii="Times New Roman" w:hAnsi="Times New Roman" w:cs="Times New Roman"/>
                <w:color w:val="000000"/>
                <w:kern w:val="0"/>
                <w:sz w:val="18"/>
                <w:szCs w:val="18"/>
                <w:lang w:val="en-US" w:eastAsia="zh-CN"/>
              </w:rPr>
              <w:t>全县重大项目库，为后续申报专项资金支持提供条件。</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服务对象满意度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78"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bookmarkStart w:id="0" w:name="_GoBack"/>
      <w:bookmarkEnd w:id="0"/>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11"/>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474" w:right="1417" w:bottom="1474" w:left="141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2</w:t>
      </w:r>
    </w:p>
    <w:p>
      <w:pPr>
        <w:pStyle w:val="4"/>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11"/>
        <w:tblW w:w="127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cs="Times New Roman"/>
          <w:sz w:val="20"/>
          <w:szCs w:val="20"/>
        </w:r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widowControl/>
        <w:jc w:val="left"/>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p>
    <w:p>
      <w:pPr>
        <w:keepNext w:val="0"/>
        <w:keepLines w:val="0"/>
        <w:pageBreakBefore w:val="0"/>
        <w:kinsoku/>
        <w:wordWrap/>
        <w:overflowPunct/>
        <w:topLinePunct w:val="0"/>
        <w:autoSpaceDE/>
        <w:autoSpaceDN/>
        <w:bidi w:val="0"/>
        <w:adjustRightInd/>
        <w:snapToGrid/>
        <w:spacing w:line="540" w:lineRule="exact"/>
        <w:textAlignment w:val="auto"/>
      </w:pPr>
    </w:p>
    <w:sectPr>
      <w:pgSz w:w="11906" w:h="16838"/>
      <w:pgMar w:top="215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86F37"/>
    <w:rsid w:val="00855BFD"/>
    <w:rsid w:val="00C15BB6"/>
    <w:rsid w:val="01B92B81"/>
    <w:rsid w:val="03296B0E"/>
    <w:rsid w:val="08BB3593"/>
    <w:rsid w:val="093C1142"/>
    <w:rsid w:val="096C112F"/>
    <w:rsid w:val="0C2620B1"/>
    <w:rsid w:val="0CAF5E89"/>
    <w:rsid w:val="0D1209A0"/>
    <w:rsid w:val="0DCC6DF2"/>
    <w:rsid w:val="0EC61E3A"/>
    <w:rsid w:val="13ED49B4"/>
    <w:rsid w:val="14442082"/>
    <w:rsid w:val="16A76EF8"/>
    <w:rsid w:val="16F06A1C"/>
    <w:rsid w:val="1AD17FA8"/>
    <w:rsid w:val="1B1C188A"/>
    <w:rsid w:val="1CEA4D73"/>
    <w:rsid w:val="1E206B67"/>
    <w:rsid w:val="1FAF330E"/>
    <w:rsid w:val="20C05DBA"/>
    <w:rsid w:val="21765286"/>
    <w:rsid w:val="27DF6CD0"/>
    <w:rsid w:val="2B2052F9"/>
    <w:rsid w:val="2C860476"/>
    <w:rsid w:val="2E580E99"/>
    <w:rsid w:val="35805994"/>
    <w:rsid w:val="38863835"/>
    <w:rsid w:val="3A702339"/>
    <w:rsid w:val="41012932"/>
    <w:rsid w:val="41E07C44"/>
    <w:rsid w:val="428070E9"/>
    <w:rsid w:val="44F712A9"/>
    <w:rsid w:val="4FA26C09"/>
    <w:rsid w:val="4FA318E1"/>
    <w:rsid w:val="4FC8407B"/>
    <w:rsid w:val="53AE31AC"/>
    <w:rsid w:val="54FD4B04"/>
    <w:rsid w:val="550A1349"/>
    <w:rsid w:val="59754C8D"/>
    <w:rsid w:val="5C104010"/>
    <w:rsid w:val="5DD7310F"/>
    <w:rsid w:val="5E907CE7"/>
    <w:rsid w:val="603C4D9E"/>
    <w:rsid w:val="64960006"/>
    <w:rsid w:val="65113490"/>
    <w:rsid w:val="65ED6BE9"/>
    <w:rsid w:val="66864102"/>
    <w:rsid w:val="6A7971A0"/>
    <w:rsid w:val="6A8A3456"/>
    <w:rsid w:val="6B6D503A"/>
    <w:rsid w:val="6C4A240A"/>
    <w:rsid w:val="6DF80F0E"/>
    <w:rsid w:val="6FAA2D15"/>
    <w:rsid w:val="712B05DA"/>
    <w:rsid w:val="71995387"/>
    <w:rsid w:val="747D4753"/>
    <w:rsid w:val="76110B60"/>
    <w:rsid w:val="78163981"/>
    <w:rsid w:val="79213B49"/>
    <w:rsid w:val="7AEB5458"/>
    <w:rsid w:val="7D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2"/>
    <w:basedOn w:val="1"/>
    <w:next w:val="1"/>
    <w:link w:val="13"/>
    <w:qFormat/>
    <w:uiPriority w:val="99"/>
    <w:pPr>
      <w:keepNext/>
      <w:keepLines/>
      <w:spacing w:before="260" w:after="260" w:line="412" w:lineRule="auto"/>
      <w:outlineLvl w:val="1"/>
    </w:pPr>
    <w:rPr>
      <w:rFonts w:ascii="Arial" w:hAnsi="Arial" w:eastAsia="黑体" w:cs="Arial"/>
      <w:b/>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qFormat/>
    <w:uiPriority w:val="0"/>
    <w:pPr>
      <w:widowControl w:val="0"/>
      <w:autoSpaceDE/>
      <w:autoSpaceDN/>
      <w:spacing w:before="0" w:after="0" w:line="240" w:lineRule="auto"/>
      <w:ind w:left="0" w:firstLine="5632"/>
    </w:pPr>
  </w:style>
  <w:style w:type="paragraph" w:styleId="3">
    <w:name w:val="index 5"/>
    <w:basedOn w:val="1"/>
    <w:next w:val="1"/>
    <w:qFormat/>
    <w:uiPriority w:val="99"/>
    <w:pPr>
      <w:ind w:left="1680"/>
    </w:pPr>
  </w:style>
  <w:style w:type="paragraph" w:styleId="5">
    <w:name w:val="Body Text"/>
    <w:basedOn w:val="1"/>
    <w:unhideWhenUsed/>
    <w:qFormat/>
    <w:uiPriority w:val="99"/>
    <w:pPr>
      <w:spacing w:after="120"/>
    </w:pPr>
  </w:style>
  <w:style w:type="paragraph" w:styleId="6">
    <w:name w:val="Balloon Text"/>
    <w:basedOn w:val="1"/>
    <w:link w:val="15"/>
    <w:semiHidden/>
    <w:unhideWhenUsed/>
    <w:qFormat/>
    <w:uiPriority w:val="99"/>
    <w:rPr>
      <w:sz w:val="18"/>
      <w:szCs w:val="18"/>
    </w:rPr>
  </w:style>
  <w:style w:type="paragraph" w:styleId="7">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0"/>
    <w:pPr>
      <w:spacing w:after="120"/>
      <w:ind w:left="420"/>
    </w:pPr>
    <w:rPr>
      <w:rFonts w:ascii="Times New Roman" w:hAnsi="Times New Roman" w:eastAsia="宋体"/>
      <w:sz w:val="24"/>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Body Text First Indent"/>
    <w:basedOn w:val="5"/>
    <w:next w:val="8"/>
    <w:qFormat/>
    <w:uiPriority w:val="0"/>
    <w:pPr>
      <w:spacing w:after="0"/>
      <w:ind w:firstLine="420" w:firstLineChars="100"/>
    </w:pPr>
    <w:rPr>
      <w:rFonts w:ascii="Times New Roman" w:hAnsi="Times New Roman" w:eastAsia="宋体"/>
      <w:sz w:val="24"/>
    </w:rPr>
  </w:style>
  <w:style w:type="character" w:customStyle="1" w:styleId="13">
    <w:name w:val="标题 2 Char"/>
    <w:basedOn w:val="12"/>
    <w:link w:val="4"/>
    <w:qFormat/>
    <w:uiPriority w:val="99"/>
    <w:rPr>
      <w:rFonts w:ascii="Arial" w:hAnsi="Arial" w:eastAsia="黑体" w:cs="Arial"/>
      <w:b/>
      <w:sz w:val="32"/>
      <w:szCs w:val="32"/>
    </w:rPr>
  </w:style>
  <w:style w:type="paragraph" w:styleId="14">
    <w:name w:val="No Spacing"/>
    <w:basedOn w:val="1"/>
    <w:qFormat/>
    <w:uiPriority w:val="99"/>
  </w:style>
  <w:style w:type="character" w:customStyle="1" w:styleId="15">
    <w:name w:val="批注框文本 Char"/>
    <w:basedOn w:val="12"/>
    <w:link w:val="6"/>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608</Words>
  <Characters>3470</Characters>
  <Lines>28</Lines>
  <Paragraphs>8</Paragraphs>
  <TotalTime>8</TotalTime>
  <ScaleCrop>false</ScaleCrop>
  <LinksUpToDate>false</LinksUpToDate>
  <CharactersWithSpaces>4070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dcterms:modified xsi:type="dcterms:W3CDTF">2021-08-02T06:23:45Z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B5359D4211064209B8CC69E297B86FFC</vt:lpwstr>
  </property>
  <property fmtid="{D5CDD505-2E9C-101B-9397-08002B2CF9AE}" pid="4" name="KSOSaveFontToCloudKey">
    <vt:lpwstr>236881808_btnclosed</vt:lpwstr>
  </property>
</Properties>
</file>