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黑体" w:eastAsia="黑体" w:cs="黑体"/>
          <w:kern w:val="0"/>
          <w:sz w:val="44"/>
          <w:szCs w:val="44"/>
          <w:lang w:val="en-US" w:eastAsia="zh-CN"/>
        </w:rPr>
      </w:pPr>
      <w:r>
        <w:rPr>
          <w:rFonts w:hint="eastAsia" w:ascii="黑体" w:hAnsi="黑体" w:eastAsia="黑体" w:cs="黑体"/>
          <w:kern w:val="0"/>
          <w:sz w:val="44"/>
          <w:szCs w:val="44"/>
          <w:lang w:val="en-US" w:eastAsia="zh-CN"/>
        </w:rPr>
        <w:t>中方县发展和改革局2020年度</w:t>
      </w:r>
    </w:p>
    <w:p>
      <w:pPr>
        <w:pStyle w:val="1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4"/>
          <w:szCs w:val="44"/>
        </w:rPr>
      </w:pPr>
      <w:r>
        <w:rPr>
          <w:rFonts w:hint="eastAsia" w:ascii="黑体" w:hAnsi="黑体" w:eastAsia="黑体" w:cs="黑体"/>
          <w:kern w:val="0"/>
          <w:sz w:val="40"/>
          <w:szCs w:val="40"/>
          <w:lang w:val="en-US" w:eastAsia="zh-CN"/>
        </w:rPr>
        <w:t>“十四五”规划纲要编制费</w:t>
      </w:r>
      <w:r>
        <w:rPr>
          <w:rFonts w:hint="eastAsia" w:ascii="黑体" w:hAnsi="黑体" w:eastAsia="黑体" w:cs="黑体"/>
          <w:sz w:val="40"/>
          <w:szCs w:val="40"/>
        </w:rPr>
        <w:t>项目支出绩效</w:t>
      </w:r>
      <w:r>
        <w:rPr>
          <w:rFonts w:hint="eastAsia" w:ascii="黑体" w:hAnsi="黑体" w:eastAsia="黑体" w:cs="黑体"/>
          <w:sz w:val="40"/>
          <w:szCs w:val="40"/>
          <w:lang w:eastAsia="zh-CN"/>
        </w:rPr>
        <w:t>自</w:t>
      </w:r>
      <w:r>
        <w:rPr>
          <w:rFonts w:hint="eastAsia" w:ascii="黑体" w:hAnsi="黑体" w:eastAsia="黑体" w:cs="黑体"/>
          <w:sz w:val="40"/>
          <w:szCs w:val="40"/>
        </w:rPr>
        <w:t>评报</w:t>
      </w:r>
      <w:r>
        <w:rPr>
          <w:rFonts w:hint="eastAsia" w:ascii="黑体" w:hAnsi="黑体" w:eastAsia="黑体" w:cs="黑体"/>
          <w:sz w:val="44"/>
          <w:szCs w:val="44"/>
        </w:rPr>
        <w:t>告</w:t>
      </w:r>
    </w:p>
    <w:p>
      <w:pPr>
        <w:pStyle w:val="1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4"/>
          <w:szCs w:val="44"/>
        </w:rPr>
      </w:pP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sz w:val="32"/>
          <w:szCs w:val="32"/>
        </w:rPr>
      </w:pPr>
      <w:r>
        <w:rPr>
          <w:rFonts w:hint="eastAsia" w:ascii="宋体" w:hAnsi="宋体" w:eastAsia="宋体" w:cs="宋体"/>
          <w:b/>
          <w:sz w:val="32"/>
          <w:szCs w:val="32"/>
        </w:rPr>
        <w:t>一、基本情况</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sz w:val="32"/>
          <w:szCs w:val="32"/>
          <w:lang w:eastAsia="zh-CN"/>
        </w:rPr>
      </w:pPr>
      <w:r>
        <w:rPr>
          <w:rFonts w:hint="eastAsia" w:ascii="宋体" w:hAnsi="宋体" w:eastAsia="宋体" w:cs="宋体"/>
          <w:b/>
          <w:bCs/>
          <w:sz w:val="32"/>
          <w:szCs w:val="32"/>
        </w:rPr>
        <w:t>（一）项目概况。</w:t>
      </w:r>
      <w:r>
        <w:rPr>
          <w:rFonts w:hint="eastAsia" w:ascii="宋体" w:hAnsi="宋体" w:eastAsia="宋体" w:cs="宋体"/>
          <w:b w:val="0"/>
          <w:bCs w:val="0"/>
          <w:sz w:val="32"/>
          <w:szCs w:val="32"/>
          <w:lang w:val="en-US" w:eastAsia="zh-CN"/>
        </w:rPr>
        <w:t>2019年7月，《中方</w:t>
      </w:r>
      <w:r>
        <w:rPr>
          <w:rFonts w:hint="eastAsia" w:ascii="宋体" w:hAnsi="宋体" w:eastAsia="宋体" w:cs="宋体"/>
          <w:b w:val="0"/>
          <w:bCs w:val="0"/>
          <w:sz w:val="32"/>
          <w:szCs w:val="32"/>
          <w:lang w:eastAsia="zh-CN"/>
        </w:rPr>
        <w:t>县国民经济和社会发展</w:t>
      </w:r>
      <w:bookmarkStart w:id="0" w:name="_GoBack"/>
      <w:bookmarkEnd w:id="0"/>
      <w:r>
        <w:rPr>
          <w:rFonts w:hint="eastAsia" w:ascii="宋体" w:hAnsi="宋体" w:eastAsia="宋体" w:cs="宋体"/>
          <w:b w:val="0"/>
          <w:bCs w:val="0"/>
          <w:sz w:val="32"/>
          <w:szCs w:val="32"/>
          <w:lang w:eastAsia="zh-CN"/>
        </w:rPr>
        <w:t>第十四个五年规划和二</w:t>
      </w:r>
      <w:r>
        <w:rPr>
          <w:rFonts w:hint="eastAsia" w:ascii="宋体" w:hAnsi="宋体" w:eastAsia="宋体" w:cs="宋体"/>
          <w:b w:val="0"/>
          <w:bCs w:val="0"/>
          <w:sz w:val="32"/>
          <w:szCs w:val="32"/>
          <w:lang w:val="en-US" w:eastAsia="zh-CN"/>
        </w:rPr>
        <w:t>O</w:t>
      </w:r>
      <w:r>
        <w:rPr>
          <w:rFonts w:hint="eastAsia" w:ascii="宋体" w:hAnsi="宋体" w:eastAsia="宋体" w:cs="宋体"/>
          <w:b w:val="0"/>
          <w:bCs w:val="0"/>
          <w:sz w:val="32"/>
          <w:szCs w:val="32"/>
          <w:lang w:eastAsia="zh-CN"/>
        </w:rPr>
        <w:t>三五年远景目标纲要</w:t>
      </w:r>
      <w:r>
        <w:rPr>
          <w:rFonts w:hint="eastAsia" w:ascii="宋体" w:hAnsi="宋体" w:eastAsia="宋体" w:cs="宋体"/>
          <w:b w:val="0"/>
          <w:bCs w:val="0"/>
          <w:sz w:val="32"/>
          <w:szCs w:val="32"/>
          <w:lang w:val="en-US" w:eastAsia="zh-CN"/>
        </w:rPr>
        <w:t>》（以下简称《“十四五”规划纲要》）编制工作正式启动</w:t>
      </w:r>
      <w:r>
        <w:rPr>
          <w:rFonts w:hint="eastAsia" w:ascii="宋体" w:hAnsi="宋体" w:eastAsia="宋体" w:cs="宋体"/>
          <w:b w:val="0"/>
          <w:bCs w:val="0"/>
          <w:sz w:val="32"/>
          <w:szCs w:val="32"/>
        </w:rPr>
        <w:t>。</w:t>
      </w:r>
      <w:r>
        <w:rPr>
          <w:rFonts w:hint="eastAsia" w:ascii="宋体" w:hAnsi="宋体" w:eastAsia="宋体" w:cs="宋体"/>
          <w:b w:val="0"/>
          <w:bCs w:val="0"/>
          <w:sz w:val="32"/>
          <w:szCs w:val="32"/>
          <w:lang w:val="en-US" w:eastAsia="zh-CN"/>
        </w:rPr>
        <w:t>为高质量地编制《“十四五”规划纲要》，科学谋划我县未来五年经济社会发展蓝图，经县主要领导同意，我局通过政府采购竞争性磋商方式确定湖南省社会科学院为我县《“十四五”规划纲要》编制机构。</w:t>
      </w:r>
      <w:r>
        <w:rPr>
          <w:rFonts w:hint="eastAsia" w:ascii="宋体" w:hAnsi="宋体" w:eastAsia="宋体" w:cs="宋体"/>
          <w:sz w:val="32"/>
          <w:szCs w:val="32"/>
          <w:lang w:eastAsia="zh-CN"/>
        </w:rPr>
        <w:t>规划编制费用</w:t>
      </w:r>
      <w:r>
        <w:rPr>
          <w:rFonts w:hint="eastAsia" w:ascii="宋体" w:hAnsi="宋体" w:eastAsia="宋体" w:cs="宋体"/>
          <w:sz w:val="32"/>
          <w:szCs w:val="32"/>
          <w:lang w:val="en-US" w:eastAsia="zh-CN"/>
        </w:rPr>
        <w:t>60万元</w:t>
      </w:r>
      <w:r>
        <w:rPr>
          <w:rFonts w:hint="eastAsia" w:ascii="宋体" w:hAnsi="宋体" w:eastAsia="宋体" w:cs="宋体"/>
          <w:sz w:val="32"/>
          <w:szCs w:val="32"/>
          <w:lang w:eastAsia="zh-CN"/>
        </w:rPr>
        <w:t>纳入本级财政预算</w:t>
      </w:r>
      <w:r>
        <w:rPr>
          <w:rFonts w:hint="eastAsia" w:ascii="宋体" w:hAnsi="宋体" w:eastAsia="宋体" w:cs="宋体"/>
          <w:sz w:val="32"/>
          <w:szCs w:val="32"/>
          <w:lang w:val="en-US" w:eastAsia="zh-CN"/>
        </w:rPr>
        <w:t>2020年</w:t>
      </w:r>
      <w:r>
        <w:rPr>
          <w:rFonts w:hint="eastAsia" w:ascii="宋体" w:hAnsi="宋体" w:eastAsia="宋体" w:cs="宋体"/>
          <w:sz w:val="32"/>
          <w:szCs w:val="32"/>
          <w:lang w:eastAsia="zh-CN"/>
        </w:rPr>
        <w:t>已支付。</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val="0"/>
          <w:bCs w:val="0"/>
          <w:sz w:val="32"/>
          <w:szCs w:val="32"/>
          <w:lang w:eastAsia="zh-CN"/>
        </w:rPr>
      </w:pPr>
      <w:r>
        <w:rPr>
          <w:rFonts w:hint="eastAsia" w:ascii="宋体" w:hAnsi="宋体" w:eastAsia="宋体" w:cs="宋体"/>
          <w:b/>
          <w:bCs/>
          <w:sz w:val="32"/>
          <w:szCs w:val="32"/>
        </w:rPr>
        <w:t>（二）项目绩效目标。</w:t>
      </w:r>
      <w:r>
        <w:rPr>
          <w:rFonts w:hint="eastAsia" w:ascii="宋体" w:hAnsi="宋体" w:eastAsia="宋体" w:cs="宋体"/>
          <w:b w:val="0"/>
          <w:bCs w:val="0"/>
          <w:sz w:val="32"/>
          <w:szCs w:val="32"/>
          <w:lang w:eastAsia="zh-CN"/>
        </w:rPr>
        <w:t>科学编制</w:t>
      </w:r>
      <w:r>
        <w:rPr>
          <w:rFonts w:hint="eastAsia" w:ascii="宋体" w:hAnsi="宋体" w:eastAsia="宋体" w:cs="宋体"/>
          <w:b w:val="0"/>
          <w:bCs w:val="0"/>
          <w:sz w:val="32"/>
          <w:szCs w:val="32"/>
          <w:lang w:val="en-US" w:eastAsia="zh-CN"/>
        </w:rPr>
        <w:t>《“十四五”规划纲要》</w:t>
      </w:r>
      <w:r>
        <w:rPr>
          <w:rFonts w:hint="eastAsia" w:ascii="宋体" w:hAnsi="宋体" w:eastAsia="宋体" w:cs="宋体"/>
          <w:b w:val="0"/>
          <w:bCs w:val="0"/>
          <w:sz w:val="32"/>
          <w:szCs w:val="32"/>
          <w:lang w:eastAsia="zh-CN"/>
        </w:rPr>
        <w:t>并通过审议。</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color w:val="auto"/>
          <w:sz w:val="32"/>
          <w:szCs w:val="32"/>
        </w:rPr>
      </w:pPr>
      <w:r>
        <w:rPr>
          <w:rFonts w:hint="eastAsia" w:ascii="宋体" w:hAnsi="宋体" w:eastAsia="宋体" w:cs="宋体"/>
          <w:b/>
          <w:color w:val="auto"/>
          <w:sz w:val="32"/>
          <w:szCs w:val="32"/>
        </w:rPr>
        <w:t>二、绩效评价工作开展情况</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color w:val="auto"/>
          <w:sz w:val="32"/>
          <w:szCs w:val="32"/>
        </w:rPr>
      </w:pPr>
      <w:r>
        <w:rPr>
          <w:rFonts w:hint="eastAsia" w:ascii="宋体" w:hAnsi="宋体" w:eastAsia="宋体" w:cs="宋体"/>
          <w:b/>
          <w:bCs/>
          <w:color w:val="auto"/>
          <w:sz w:val="32"/>
          <w:szCs w:val="32"/>
        </w:rPr>
        <w:t>（一）绩效评价目的、对象和范围。</w:t>
      </w:r>
      <w:r>
        <w:rPr>
          <w:rFonts w:hint="eastAsia" w:ascii="宋体" w:hAnsi="宋体" w:eastAsia="宋体" w:cs="宋体"/>
          <w:color w:val="auto"/>
          <w:sz w:val="32"/>
          <w:szCs w:val="32"/>
          <w:lang w:eastAsia="zh-CN"/>
        </w:rPr>
        <w:t>对</w:t>
      </w:r>
      <w:r>
        <w:rPr>
          <w:rFonts w:hint="eastAsia" w:ascii="宋体" w:hAnsi="宋体" w:eastAsia="宋体" w:cs="宋体"/>
          <w:b w:val="0"/>
          <w:bCs w:val="0"/>
          <w:color w:val="auto"/>
          <w:sz w:val="32"/>
          <w:szCs w:val="32"/>
          <w:lang w:val="en-US" w:eastAsia="zh-CN"/>
        </w:rPr>
        <w:t>《“十四五”规划纲要》编制</w:t>
      </w:r>
      <w:r>
        <w:rPr>
          <w:rFonts w:hint="eastAsia" w:ascii="宋体" w:hAnsi="宋体" w:eastAsia="宋体" w:cs="宋体"/>
          <w:color w:val="auto"/>
          <w:sz w:val="32"/>
          <w:szCs w:val="32"/>
          <w:lang w:val="en-US" w:eastAsia="zh-CN"/>
        </w:rPr>
        <w:t>工作进行评价，</w:t>
      </w:r>
      <w:r>
        <w:rPr>
          <w:rFonts w:hint="eastAsia" w:ascii="宋体" w:hAnsi="宋体" w:eastAsia="宋体" w:cs="宋体"/>
          <w:color w:val="auto"/>
          <w:sz w:val="32"/>
          <w:szCs w:val="32"/>
          <w:lang w:eastAsia="zh-CN"/>
        </w:rPr>
        <w:t>以便更好地完成</w:t>
      </w:r>
      <w:r>
        <w:rPr>
          <w:rFonts w:hint="eastAsia" w:ascii="宋体" w:hAnsi="宋体" w:eastAsia="宋体" w:cs="宋体"/>
          <w:b w:val="0"/>
          <w:bCs w:val="0"/>
          <w:color w:val="auto"/>
          <w:sz w:val="32"/>
          <w:szCs w:val="32"/>
          <w:lang w:val="en-US" w:eastAsia="zh-CN"/>
        </w:rPr>
        <w:t>《“十四五”规划纲要》</w:t>
      </w:r>
      <w:r>
        <w:rPr>
          <w:rFonts w:hint="eastAsia" w:ascii="宋体" w:hAnsi="宋体" w:eastAsia="宋体" w:cs="宋体"/>
          <w:color w:val="auto"/>
          <w:sz w:val="32"/>
          <w:szCs w:val="32"/>
          <w:lang w:eastAsia="zh-CN"/>
        </w:rPr>
        <w:t>。</w:t>
      </w:r>
    </w:p>
    <w:p>
      <w:pPr>
        <w:pStyle w:val="14"/>
        <w:keepNext w:val="0"/>
        <w:keepLines w:val="0"/>
        <w:pageBreakBefore w:val="0"/>
        <w:kinsoku/>
        <w:wordWrap/>
        <w:overflowPunct/>
        <w:topLinePunct w:val="0"/>
        <w:autoSpaceDE/>
        <w:autoSpaceDN/>
        <w:bidi w:val="0"/>
        <w:adjustRightInd/>
        <w:spacing w:line="540" w:lineRule="exact"/>
        <w:ind w:firstLine="643" w:firstLineChars="200"/>
        <w:textAlignment w:val="auto"/>
        <w:rPr>
          <w:rFonts w:hint="eastAsia" w:ascii="宋体" w:hAnsi="宋体" w:eastAsia="宋体" w:cs="宋体"/>
          <w:b/>
          <w:bCs/>
          <w:color w:val="auto"/>
          <w:sz w:val="32"/>
          <w:szCs w:val="32"/>
        </w:rPr>
      </w:pPr>
      <w:r>
        <w:rPr>
          <w:rFonts w:hint="eastAsia" w:ascii="宋体" w:hAnsi="宋体" w:eastAsia="宋体" w:cs="宋体"/>
          <w:b/>
          <w:bCs/>
          <w:color w:val="auto"/>
          <w:sz w:val="32"/>
          <w:szCs w:val="32"/>
        </w:rPr>
        <w:t>（二）绩效评价原则、评价指标体系、评价方法、评价标准等。</w:t>
      </w:r>
      <w:r>
        <w:rPr>
          <w:rFonts w:hint="eastAsia" w:ascii="宋体" w:hAnsi="宋体" w:eastAsia="宋体" w:cs="宋体"/>
          <w:color w:val="auto"/>
          <w:sz w:val="32"/>
          <w:szCs w:val="32"/>
        </w:rPr>
        <w:t>主要</w:t>
      </w:r>
      <w:r>
        <w:rPr>
          <w:rFonts w:hint="eastAsia" w:ascii="宋体" w:hAnsi="宋体" w:eastAsia="宋体" w:cs="宋体"/>
          <w:color w:val="auto"/>
          <w:sz w:val="32"/>
          <w:szCs w:val="32"/>
          <w:lang w:eastAsia="zh-CN"/>
        </w:rPr>
        <w:t>设置了产出指标、效益指标、满意度指标三大类指标，重点从成果合格率、按时提交成果率、合理制定主要指标等方面进行评价，主要通过</w:t>
      </w:r>
      <w:r>
        <w:rPr>
          <w:rFonts w:hint="eastAsia" w:ascii="宋体" w:hAnsi="宋体" w:eastAsia="宋体" w:cs="宋体"/>
          <w:color w:val="auto"/>
          <w:sz w:val="32"/>
          <w:szCs w:val="32"/>
        </w:rPr>
        <w:t>审阅资料</w:t>
      </w:r>
      <w:r>
        <w:rPr>
          <w:rFonts w:hint="eastAsia" w:ascii="宋体" w:hAnsi="宋体" w:eastAsia="宋体" w:cs="宋体"/>
          <w:color w:val="auto"/>
          <w:sz w:val="32"/>
          <w:szCs w:val="32"/>
          <w:lang w:eastAsia="zh-CN"/>
        </w:rPr>
        <w:t>等方式进行评价。</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color w:val="auto"/>
          <w:sz w:val="32"/>
          <w:szCs w:val="32"/>
        </w:rPr>
      </w:pPr>
      <w:r>
        <w:rPr>
          <w:rFonts w:hint="eastAsia" w:ascii="宋体" w:hAnsi="宋体" w:eastAsia="宋体" w:cs="宋体"/>
          <w:b/>
          <w:bCs/>
          <w:color w:val="auto"/>
          <w:sz w:val="32"/>
          <w:szCs w:val="32"/>
        </w:rPr>
        <w:t>（三）绩效评价工作过程。</w:t>
      </w:r>
      <w:r>
        <w:rPr>
          <w:rFonts w:hint="eastAsia" w:ascii="宋体" w:hAnsi="宋体" w:eastAsia="宋体" w:cs="宋体"/>
          <w:color w:val="auto"/>
          <w:sz w:val="32"/>
          <w:szCs w:val="32"/>
        </w:rPr>
        <w:t>县发改局负责对该项目进行绩效评价，绩效评价现场由县发改局、财政局相关股室负责</w:t>
      </w:r>
      <w:r>
        <w:rPr>
          <w:rFonts w:hint="eastAsia" w:ascii="宋体" w:hAnsi="宋体" w:eastAsia="宋体" w:cs="宋体"/>
          <w:color w:val="auto"/>
          <w:sz w:val="32"/>
          <w:szCs w:val="32"/>
          <w:lang w:eastAsia="zh-CN"/>
        </w:rPr>
        <w:t>人</w:t>
      </w:r>
      <w:r>
        <w:rPr>
          <w:rFonts w:hint="eastAsia" w:ascii="宋体" w:hAnsi="宋体" w:eastAsia="宋体" w:cs="宋体"/>
          <w:color w:val="auto"/>
          <w:sz w:val="32"/>
          <w:szCs w:val="32"/>
        </w:rPr>
        <w:t>参加，通过查阅资料、收付款凭据等资料进行绩效复核。</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color w:val="auto"/>
          <w:sz w:val="32"/>
          <w:szCs w:val="32"/>
        </w:rPr>
      </w:pPr>
      <w:r>
        <w:rPr>
          <w:rFonts w:hint="eastAsia" w:ascii="宋体" w:hAnsi="宋体" w:eastAsia="宋体" w:cs="宋体"/>
          <w:b/>
          <w:color w:val="auto"/>
          <w:sz w:val="32"/>
          <w:szCs w:val="32"/>
        </w:rPr>
        <w:t>三、综合评价情况及评价结论</w:t>
      </w:r>
    </w:p>
    <w:p>
      <w:pPr>
        <w:pStyle w:val="14"/>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color w:val="auto"/>
          <w:sz w:val="32"/>
          <w:szCs w:val="32"/>
        </w:rPr>
      </w:pPr>
      <w:r>
        <w:rPr>
          <w:rFonts w:hint="eastAsia" w:ascii="宋体" w:hAnsi="宋体" w:eastAsia="宋体" w:cs="宋体"/>
          <w:color w:val="auto"/>
          <w:sz w:val="32"/>
          <w:szCs w:val="32"/>
        </w:rPr>
        <w:t>项目支出绩效自评</w:t>
      </w:r>
      <w:r>
        <w:rPr>
          <w:rFonts w:hint="eastAsia" w:ascii="宋体" w:hAnsi="宋体" w:eastAsia="宋体" w:cs="宋体"/>
          <w:color w:val="auto"/>
          <w:sz w:val="32"/>
          <w:szCs w:val="32"/>
          <w:lang w:eastAsia="zh-CN"/>
        </w:rPr>
        <w:t>得分</w:t>
      </w:r>
      <w:r>
        <w:rPr>
          <w:rFonts w:hint="eastAsia" w:ascii="宋体" w:hAnsi="宋体" w:eastAsia="宋体" w:cs="宋体"/>
          <w:color w:val="auto"/>
          <w:sz w:val="32"/>
          <w:szCs w:val="32"/>
          <w:lang w:val="en-US" w:eastAsia="zh-CN"/>
        </w:rPr>
        <w:t>100分，为优秀等级。</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color w:val="auto"/>
          <w:sz w:val="32"/>
          <w:szCs w:val="32"/>
        </w:rPr>
      </w:pPr>
      <w:r>
        <w:rPr>
          <w:rFonts w:hint="eastAsia" w:ascii="宋体" w:hAnsi="宋体" w:eastAsia="宋体" w:cs="宋体"/>
          <w:b/>
          <w:color w:val="auto"/>
          <w:sz w:val="32"/>
          <w:szCs w:val="32"/>
        </w:rPr>
        <w:t>四、绩效评价指标分析</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3" w:firstLineChars="200"/>
        <w:jc w:val="both"/>
        <w:textAlignment w:val="auto"/>
        <w:rPr>
          <w:rFonts w:hint="eastAsia" w:ascii="宋体" w:hAnsi="宋体" w:eastAsia="宋体" w:cs="宋体"/>
          <w:b w:val="0"/>
          <w:bCs w:val="0"/>
          <w:color w:val="FF0000"/>
          <w:sz w:val="32"/>
          <w:szCs w:val="32"/>
          <w:lang w:eastAsia="zh-CN"/>
        </w:rPr>
      </w:pPr>
      <w:r>
        <w:rPr>
          <w:rFonts w:hint="eastAsia" w:ascii="宋体" w:hAnsi="宋体" w:eastAsia="宋体" w:cs="宋体"/>
          <w:b/>
          <w:bCs/>
          <w:color w:val="auto"/>
          <w:sz w:val="32"/>
          <w:szCs w:val="32"/>
        </w:rPr>
        <w:t>（一）项目决策情况。</w:t>
      </w:r>
      <w:r>
        <w:rPr>
          <w:rFonts w:hint="eastAsia" w:ascii="宋体" w:hAnsi="宋体" w:eastAsia="宋体" w:cs="宋体"/>
          <w:b w:val="0"/>
          <w:bCs w:val="0"/>
          <w:sz w:val="32"/>
          <w:szCs w:val="32"/>
          <w:lang w:val="en-US" w:eastAsia="zh-CN"/>
        </w:rPr>
        <w:t>加强组织领导，</w:t>
      </w:r>
      <w:r>
        <w:rPr>
          <w:rFonts w:hint="eastAsia" w:ascii="宋体" w:hAnsi="宋体" w:eastAsia="宋体" w:cs="宋体"/>
          <w:b w:val="0"/>
          <w:bCs w:val="0"/>
          <w:color w:val="auto"/>
          <w:spacing w:val="0"/>
          <w:kern w:val="2"/>
          <w:sz w:val="32"/>
          <w:szCs w:val="32"/>
          <w:lang w:val="en-US" w:eastAsia="zh-CN" w:bidi="ar"/>
        </w:rPr>
        <w:t>成</w:t>
      </w:r>
      <w:r>
        <w:rPr>
          <w:rFonts w:hint="eastAsia" w:ascii="宋体" w:hAnsi="宋体" w:eastAsia="宋体" w:cs="宋体"/>
          <w:color w:val="auto"/>
          <w:spacing w:val="0"/>
          <w:kern w:val="2"/>
          <w:sz w:val="32"/>
          <w:szCs w:val="32"/>
          <w:lang w:val="en-US" w:eastAsia="zh-CN" w:bidi="ar"/>
        </w:rPr>
        <w:t>立了由县委书记任顾问，县长任组长，</w:t>
      </w:r>
      <w:r>
        <w:rPr>
          <w:rFonts w:hint="eastAsia" w:ascii="宋体" w:hAnsi="宋体" w:eastAsia="宋体" w:cs="宋体"/>
          <w:color w:val="auto"/>
          <w:spacing w:val="0"/>
          <w:sz w:val="32"/>
          <w:szCs w:val="32"/>
          <w:lang w:eastAsia="zh-CN"/>
        </w:rPr>
        <w:t>副县长</w:t>
      </w:r>
      <w:r>
        <w:rPr>
          <w:rFonts w:hint="eastAsia" w:ascii="宋体" w:hAnsi="宋体" w:eastAsia="宋体" w:cs="宋体"/>
          <w:color w:val="auto"/>
          <w:spacing w:val="0"/>
          <w:sz w:val="32"/>
          <w:szCs w:val="32"/>
          <w:lang w:val="en-US" w:eastAsia="zh-CN"/>
        </w:rPr>
        <w:t>任副组长，</w:t>
      </w:r>
      <w:r>
        <w:rPr>
          <w:rFonts w:hint="eastAsia" w:ascii="宋体" w:hAnsi="宋体" w:eastAsia="宋体" w:cs="宋体"/>
          <w:color w:val="auto"/>
          <w:spacing w:val="0"/>
          <w:kern w:val="2"/>
          <w:sz w:val="32"/>
          <w:szCs w:val="32"/>
          <w:lang w:val="en-US" w:eastAsia="zh-CN" w:bidi="ar"/>
        </w:rPr>
        <w:t>县委研究室、县政府经调室、</w:t>
      </w:r>
      <w:r>
        <w:rPr>
          <w:rFonts w:hint="eastAsia" w:ascii="宋体" w:hAnsi="宋体" w:eastAsia="宋体" w:cs="宋体"/>
          <w:color w:val="auto"/>
          <w:spacing w:val="0"/>
          <w:sz w:val="32"/>
          <w:szCs w:val="32"/>
          <w:lang w:val="en-US" w:eastAsia="zh-CN"/>
        </w:rPr>
        <w:t>县直相关单位负责人任成员的</w:t>
      </w:r>
      <w:r>
        <w:rPr>
          <w:rFonts w:hint="eastAsia" w:ascii="宋体" w:hAnsi="宋体" w:eastAsia="宋体" w:cs="宋体"/>
          <w:color w:val="auto"/>
          <w:spacing w:val="0"/>
          <w:kern w:val="2"/>
          <w:sz w:val="32"/>
          <w:szCs w:val="32"/>
          <w:lang w:val="en-US" w:eastAsia="zh-CN" w:bidi="ar"/>
        </w:rPr>
        <w:t>“十四五”规划编制协调领导小组，</w:t>
      </w:r>
      <w:r>
        <w:rPr>
          <w:rFonts w:hint="eastAsia" w:ascii="宋体" w:hAnsi="宋体" w:eastAsia="宋体" w:cs="宋体"/>
          <w:b w:val="0"/>
          <w:bCs w:val="0"/>
          <w:sz w:val="32"/>
          <w:szCs w:val="32"/>
          <w:lang w:val="en-US" w:eastAsia="zh-CN"/>
        </w:rPr>
        <w:t>高位推进</w:t>
      </w:r>
      <w:r>
        <w:rPr>
          <w:rFonts w:hint="eastAsia" w:ascii="宋体" w:hAnsi="宋体" w:eastAsia="宋体" w:cs="宋体"/>
          <w:b w:val="0"/>
          <w:bCs w:val="0"/>
          <w:color w:val="auto"/>
          <w:sz w:val="32"/>
          <w:szCs w:val="32"/>
          <w:lang w:val="en-US" w:eastAsia="zh-CN"/>
        </w:rPr>
        <w:t>《“十四五”规划纲要》</w:t>
      </w:r>
      <w:r>
        <w:rPr>
          <w:rFonts w:hint="eastAsia" w:ascii="宋体" w:hAnsi="宋体" w:eastAsia="宋体" w:cs="宋体"/>
          <w:b w:val="0"/>
          <w:bCs w:val="0"/>
          <w:sz w:val="32"/>
          <w:szCs w:val="32"/>
          <w:lang w:val="en-US" w:eastAsia="zh-CN"/>
        </w:rPr>
        <w:t>编制工作</w:t>
      </w:r>
      <w:r>
        <w:rPr>
          <w:rFonts w:hint="eastAsia" w:ascii="宋体" w:hAnsi="宋体" w:eastAsia="宋体" w:cs="宋体"/>
          <w:color w:val="auto"/>
          <w:spacing w:val="0"/>
          <w:kern w:val="2"/>
          <w:sz w:val="32"/>
          <w:szCs w:val="32"/>
          <w:lang w:val="en-US" w:eastAsia="zh-CN" w:bidi="ar"/>
        </w:rPr>
        <w:t>。</w:t>
      </w:r>
      <w:r>
        <w:rPr>
          <w:rFonts w:hint="eastAsia" w:ascii="宋体" w:hAnsi="宋体" w:eastAsia="宋体" w:cs="宋体"/>
          <w:b w:val="0"/>
          <w:bCs w:val="0"/>
          <w:color w:val="auto"/>
          <w:sz w:val="32"/>
          <w:szCs w:val="32"/>
          <w:lang w:eastAsia="zh-CN"/>
        </w:rPr>
        <w:t>县政府办</w:t>
      </w:r>
      <w:r>
        <w:rPr>
          <w:rFonts w:hint="eastAsia" w:ascii="宋体" w:hAnsi="宋体" w:eastAsia="宋体" w:cs="宋体"/>
          <w:b w:val="0"/>
          <w:bCs w:val="0"/>
          <w:color w:val="auto"/>
          <w:sz w:val="32"/>
          <w:szCs w:val="32"/>
        </w:rPr>
        <w:t>印发《中方县“十四五”规划编制工作方案》</w:t>
      </w:r>
      <w:r>
        <w:rPr>
          <w:rFonts w:hint="eastAsia" w:ascii="宋体" w:hAnsi="宋体" w:eastAsia="宋体" w:cs="宋体"/>
          <w:b w:val="0"/>
          <w:bCs w:val="0"/>
          <w:color w:val="auto"/>
          <w:sz w:val="32"/>
          <w:szCs w:val="32"/>
          <w:lang w:eastAsia="zh-CN"/>
        </w:rPr>
        <w:t>（</w:t>
      </w:r>
      <w:r>
        <w:rPr>
          <w:rFonts w:hint="eastAsia" w:ascii="宋体" w:hAnsi="宋体" w:eastAsia="宋体" w:cs="宋体"/>
          <w:color w:val="auto"/>
          <w:sz w:val="32"/>
          <w:szCs w:val="32"/>
        </w:rPr>
        <w:t>中政办发〔2020〕26号</w:t>
      </w:r>
      <w:r>
        <w:rPr>
          <w:rFonts w:hint="eastAsia" w:ascii="宋体" w:hAnsi="宋体" w:eastAsia="宋体" w:cs="宋体"/>
          <w:b w:val="0"/>
          <w:bCs w:val="0"/>
          <w:color w:val="auto"/>
          <w:sz w:val="32"/>
          <w:szCs w:val="32"/>
          <w:lang w:eastAsia="zh-CN"/>
        </w:rPr>
        <w:t>），</w:t>
      </w:r>
      <w:r>
        <w:rPr>
          <w:rFonts w:hint="eastAsia" w:ascii="宋体" w:hAnsi="宋体" w:eastAsia="宋体" w:cs="宋体"/>
          <w:sz w:val="32"/>
          <w:szCs w:val="32"/>
        </w:rPr>
        <w:t>确保</w:t>
      </w:r>
      <w:r>
        <w:rPr>
          <w:rFonts w:hint="eastAsia" w:ascii="宋体" w:hAnsi="宋体" w:eastAsia="宋体" w:cs="宋体"/>
          <w:sz w:val="32"/>
          <w:szCs w:val="32"/>
          <w:lang w:eastAsia="zh-CN"/>
        </w:rPr>
        <w:t>了</w:t>
      </w:r>
      <w:r>
        <w:rPr>
          <w:rFonts w:hint="eastAsia" w:ascii="宋体" w:hAnsi="宋体" w:eastAsia="宋体" w:cs="宋体"/>
          <w:sz w:val="32"/>
          <w:szCs w:val="32"/>
        </w:rPr>
        <w:t>工作有序推进</w:t>
      </w:r>
      <w:r>
        <w:rPr>
          <w:rFonts w:hint="eastAsia" w:ascii="宋体" w:hAnsi="宋体" w:eastAsia="宋体" w:cs="宋体"/>
          <w:sz w:val="32"/>
          <w:szCs w:val="32"/>
          <w:lang w:eastAsia="zh-CN"/>
        </w:rPr>
        <w:t>。县领导多次召开专题会议，研究调度规划编制工作事宜。</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val="0"/>
          <w:bCs w:val="0"/>
          <w:color w:val="auto"/>
          <w:sz w:val="32"/>
          <w:szCs w:val="32"/>
        </w:rPr>
      </w:pPr>
      <w:r>
        <w:rPr>
          <w:rFonts w:hint="eastAsia" w:ascii="宋体" w:hAnsi="宋体" w:eastAsia="宋体" w:cs="宋体"/>
          <w:b/>
          <w:bCs/>
          <w:color w:val="auto"/>
          <w:sz w:val="32"/>
          <w:szCs w:val="32"/>
        </w:rPr>
        <w:t>（二）项目过程情况。</w:t>
      </w:r>
      <w:r>
        <w:rPr>
          <w:rFonts w:hint="eastAsia" w:ascii="宋体" w:hAnsi="宋体" w:eastAsia="宋体" w:cs="宋体"/>
          <w:b w:val="0"/>
          <w:bCs w:val="0"/>
          <w:color w:val="auto"/>
          <w:sz w:val="32"/>
          <w:szCs w:val="32"/>
        </w:rPr>
        <w:t>2019年7月，</w:t>
      </w:r>
      <w:r>
        <w:rPr>
          <w:rFonts w:hint="eastAsia" w:ascii="宋体" w:hAnsi="宋体" w:eastAsia="宋体" w:cs="宋体"/>
          <w:b w:val="0"/>
          <w:bCs w:val="0"/>
          <w:sz w:val="32"/>
          <w:szCs w:val="32"/>
          <w:lang w:val="en-US" w:eastAsia="zh-CN"/>
        </w:rPr>
        <w:t>《“十四五”规划纲要》</w:t>
      </w:r>
      <w:r>
        <w:rPr>
          <w:rFonts w:hint="eastAsia" w:ascii="宋体" w:hAnsi="宋体" w:eastAsia="宋体" w:cs="宋体"/>
          <w:b w:val="0"/>
          <w:bCs w:val="0"/>
          <w:color w:val="auto"/>
          <w:sz w:val="32"/>
          <w:szCs w:val="32"/>
        </w:rPr>
        <w:t>编制工作正式启动；2020年3月，形成基本思路，并编制出规划大纲，开始</w:t>
      </w:r>
      <w:r>
        <w:rPr>
          <w:rFonts w:hint="eastAsia" w:ascii="宋体" w:hAnsi="宋体" w:eastAsia="宋体" w:cs="宋体"/>
          <w:b w:val="0"/>
          <w:bCs w:val="0"/>
          <w:sz w:val="32"/>
          <w:szCs w:val="32"/>
          <w:lang w:val="en-US" w:eastAsia="zh-CN"/>
        </w:rPr>
        <w:t>《“十四五”规划纲要》</w:t>
      </w:r>
      <w:r>
        <w:rPr>
          <w:rFonts w:hint="eastAsia" w:ascii="宋体" w:hAnsi="宋体" w:eastAsia="宋体" w:cs="宋体"/>
          <w:b w:val="0"/>
          <w:bCs w:val="0"/>
          <w:color w:val="auto"/>
          <w:sz w:val="32"/>
          <w:szCs w:val="32"/>
        </w:rPr>
        <w:t>的正式编制工作；5月，对各单位进行走访调研，收集汇总“十四五”规划重大项目及各部门“十四五”工作思路；10月，形成</w:t>
      </w:r>
      <w:r>
        <w:rPr>
          <w:rFonts w:hint="eastAsia" w:ascii="宋体" w:hAnsi="宋体" w:eastAsia="宋体" w:cs="宋体"/>
          <w:b w:val="0"/>
          <w:bCs w:val="0"/>
          <w:sz w:val="32"/>
          <w:szCs w:val="32"/>
          <w:lang w:val="en-US" w:eastAsia="zh-CN"/>
        </w:rPr>
        <w:t>《“十四五”规划纲要》</w:t>
      </w:r>
      <w:r>
        <w:rPr>
          <w:rFonts w:hint="eastAsia" w:ascii="宋体" w:hAnsi="宋体" w:eastAsia="宋体" w:cs="宋体"/>
          <w:b w:val="0"/>
          <w:bCs w:val="0"/>
          <w:color w:val="auto"/>
          <w:sz w:val="32"/>
          <w:szCs w:val="32"/>
        </w:rPr>
        <w:t>初稿；11月，根据中央、省、市最新精神和要求，多次修改完善后形成</w:t>
      </w:r>
      <w:r>
        <w:rPr>
          <w:rFonts w:hint="eastAsia" w:ascii="宋体" w:hAnsi="宋体" w:eastAsia="宋体" w:cs="宋体"/>
          <w:b w:val="0"/>
          <w:bCs w:val="0"/>
          <w:sz w:val="32"/>
          <w:szCs w:val="32"/>
          <w:lang w:val="en-US" w:eastAsia="zh-CN"/>
        </w:rPr>
        <w:t>《“十四五”规划纲要》</w:t>
      </w:r>
      <w:r>
        <w:rPr>
          <w:rFonts w:hint="eastAsia" w:ascii="宋体" w:hAnsi="宋体" w:eastAsia="宋体" w:cs="宋体"/>
          <w:b w:val="0"/>
          <w:bCs w:val="0"/>
          <w:color w:val="auto"/>
          <w:sz w:val="32"/>
          <w:szCs w:val="32"/>
        </w:rPr>
        <w:t>征求意见稿；12月，根据县委《建议》和各部门提出的修改意见建议，形成</w:t>
      </w:r>
      <w:r>
        <w:rPr>
          <w:rFonts w:hint="eastAsia" w:ascii="宋体" w:hAnsi="宋体" w:eastAsia="宋体" w:cs="宋体"/>
          <w:b w:val="0"/>
          <w:bCs w:val="0"/>
          <w:sz w:val="32"/>
          <w:szCs w:val="32"/>
          <w:lang w:val="en-US" w:eastAsia="zh-CN"/>
        </w:rPr>
        <w:t>《“十四五”规划纲要》</w:t>
      </w:r>
      <w:r>
        <w:rPr>
          <w:rFonts w:hint="eastAsia" w:ascii="宋体" w:hAnsi="宋体" w:eastAsia="宋体" w:cs="宋体"/>
          <w:b w:val="0"/>
          <w:bCs w:val="0"/>
          <w:color w:val="auto"/>
          <w:sz w:val="32"/>
          <w:szCs w:val="32"/>
        </w:rPr>
        <w:t>讨论稿；2021年1月7日，提交政府常务会审议；1月8日，提交县委常委会审议</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1月19日提交县人大主任会审议；1月20日提交县人大常委会审议；3月12日提交县人代会批准</w:t>
      </w:r>
      <w:r>
        <w:rPr>
          <w:rFonts w:hint="eastAsia" w:ascii="宋体" w:hAnsi="宋体" w:eastAsia="宋体" w:cs="宋体"/>
          <w:b w:val="0"/>
          <w:bCs w:val="0"/>
          <w:color w:val="auto"/>
          <w:sz w:val="32"/>
          <w:szCs w:val="32"/>
        </w:rPr>
        <w:t>。</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color w:val="auto"/>
          <w:sz w:val="32"/>
          <w:szCs w:val="32"/>
        </w:rPr>
      </w:pPr>
      <w:r>
        <w:rPr>
          <w:rFonts w:hint="eastAsia" w:ascii="宋体" w:hAnsi="宋体" w:eastAsia="宋体" w:cs="宋体"/>
          <w:b/>
          <w:bCs/>
          <w:color w:val="auto"/>
          <w:sz w:val="32"/>
          <w:szCs w:val="32"/>
        </w:rPr>
        <w:t>（三）项目产出情况。</w:t>
      </w:r>
      <w:r>
        <w:rPr>
          <w:rFonts w:hint="eastAsia" w:ascii="宋体" w:hAnsi="宋体" w:eastAsia="宋体" w:cs="宋体"/>
          <w:b w:val="0"/>
          <w:bCs w:val="0"/>
          <w:color w:val="auto"/>
          <w:sz w:val="32"/>
          <w:szCs w:val="32"/>
          <w:lang w:eastAsia="zh-CN"/>
        </w:rPr>
        <w:t>按时完成</w:t>
      </w:r>
      <w:r>
        <w:rPr>
          <w:rFonts w:hint="eastAsia" w:ascii="宋体" w:hAnsi="宋体" w:eastAsia="宋体" w:cs="宋体"/>
          <w:b w:val="0"/>
          <w:bCs w:val="0"/>
          <w:color w:val="auto"/>
          <w:sz w:val="32"/>
          <w:szCs w:val="32"/>
          <w:lang w:val="en-US" w:eastAsia="zh-CN"/>
        </w:rPr>
        <w:t>《“十四五”规划纲要》编制工作</w:t>
      </w:r>
      <w:r>
        <w:rPr>
          <w:rFonts w:hint="eastAsia" w:ascii="宋体" w:hAnsi="宋体" w:eastAsia="宋体" w:cs="宋体"/>
          <w:color w:val="auto"/>
          <w:sz w:val="32"/>
          <w:szCs w:val="32"/>
          <w:lang w:val="en-US" w:eastAsia="zh-CN"/>
        </w:rPr>
        <w:t>。</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val="0"/>
          <w:bCs w:val="0"/>
          <w:color w:val="auto"/>
          <w:sz w:val="32"/>
          <w:szCs w:val="32"/>
          <w:lang w:val="en-US" w:eastAsia="zh-CN"/>
        </w:rPr>
      </w:pPr>
      <w:r>
        <w:rPr>
          <w:rFonts w:hint="eastAsia" w:ascii="宋体" w:hAnsi="宋体" w:eastAsia="宋体" w:cs="宋体"/>
          <w:b/>
          <w:bCs/>
          <w:color w:val="auto"/>
          <w:sz w:val="32"/>
          <w:szCs w:val="32"/>
        </w:rPr>
        <w:t>（四）项目效益情况。</w:t>
      </w:r>
      <w:r>
        <w:rPr>
          <w:rFonts w:hint="eastAsia" w:ascii="宋体" w:hAnsi="宋体" w:eastAsia="宋体" w:cs="宋体"/>
          <w:b w:val="0"/>
          <w:bCs w:val="0"/>
          <w:color w:val="auto"/>
          <w:sz w:val="32"/>
          <w:szCs w:val="32"/>
          <w:lang w:val="en-US" w:eastAsia="zh-CN"/>
        </w:rPr>
        <w:t>科学谋划我县未来五年经济社会发展蓝图。</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color w:val="auto"/>
          <w:sz w:val="32"/>
          <w:szCs w:val="32"/>
        </w:rPr>
      </w:pPr>
      <w:r>
        <w:rPr>
          <w:rFonts w:hint="eastAsia" w:ascii="宋体" w:hAnsi="宋体" w:eastAsia="宋体" w:cs="宋体"/>
          <w:b/>
          <w:color w:val="auto"/>
          <w:sz w:val="32"/>
          <w:szCs w:val="32"/>
        </w:rPr>
        <w:t>五、主要经验及做法、存在的问题及原因分析</w:t>
      </w:r>
    </w:p>
    <w:p>
      <w:pPr>
        <w:keepNext w:val="0"/>
        <w:keepLines w:val="0"/>
        <w:pageBreakBefore w:val="0"/>
        <w:kinsoku/>
        <w:wordWrap/>
        <w:overflowPunct/>
        <w:topLinePunct w:val="0"/>
        <w:autoSpaceDE/>
        <w:autoSpaceDN/>
        <w:bidi w:val="0"/>
        <w:adjustRightInd/>
        <w:snapToGrid w:val="0"/>
        <w:spacing w:line="540" w:lineRule="exact"/>
        <w:ind w:firstLine="643" w:firstLineChars="200"/>
        <w:textAlignment w:val="auto"/>
        <w:rPr>
          <w:rFonts w:hint="eastAsia" w:ascii="宋体" w:hAnsi="宋体" w:eastAsia="宋体" w:cs="宋体"/>
          <w:b w:val="0"/>
          <w:bCs w:val="0"/>
          <w:sz w:val="32"/>
          <w:szCs w:val="32"/>
        </w:rPr>
      </w:pPr>
      <w:r>
        <w:rPr>
          <w:rFonts w:hint="eastAsia" w:ascii="宋体" w:hAnsi="宋体" w:eastAsia="宋体" w:cs="宋体"/>
          <w:b/>
          <w:bCs/>
          <w:color w:val="auto"/>
          <w:sz w:val="32"/>
          <w:szCs w:val="32"/>
          <w:lang w:val="en-US" w:eastAsia="zh-CN"/>
        </w:rPr>
        <w:t>主要经验及做法：</w:t>
      </w:r>
      <w:r>
        <w:rPr>
          <w:rFonts w:hint="eastAsia" w:ascii="宋体" w:hAnsi="宋体" w:eastAsia="宋体" w:cs="宋体"/>
          <w:b w:val="0"/>
          <w:bCs w:val="0"/>
          <w:color w:val="000000"/>
          <w:sz w:val="32"/>
          <w:szCs w:val="32"/>
        </w:rPr>
        <w:t>一是</w:t>
      </w:r>
      <w:r>
        <w:rPr>
          <w:rFonts w:hint="eastAsia" w:ascii="宋体" w:hAnsi="宋体" w:eastAsia="宋体" w:cs="宋体"/>
          <w:b w:val="0"/>
          <w:bCs w:val="0"/>
          <w:sz w:val="32"/>
          <w:szCs w:val="32"/>
        </w:rPr>
        <w:t>县委、县政府主要领导高度重视“十四五”规划编制，成立了县委书记任顾问、县长任组长的规划编制工作领导小组，印发了《中方县“十四五”规划编制工作方案》，多次召开专题会议研究讨论，亲自把关、全程指导，确保了</w:t>
      </w:r>
      <w:r>
        <w:rPr>
          <w:rFonts w:hint="eastAsia" w:ascii="宋体" w:hAnsi="宋体" w:eastAsia="宋体" w:cs="宋体"/>
          <w:b w:val="0"/>
          <w:bCs w:val="0"/>
          <w:color w:val="000000"/>
          <w:sz w:val="32"/>
          <w:szCs w:val="32"/>
        </w:rPr>
        <w:t>《纲要（草案）》起草的高质量、高效率</w:t>
      </w:r>
      <w:r>
        <w:rPr>
          <w:rFonts w:hint="eastAsia" w:ascii="宋体" w:hAnsi="宋体" w:eastAsia="宋体" w:cs="宋体"/>
          <w:b w:val="0"/>
          <w:bCs w:val="0"/>
          <w:sz w:val="32"/>
          <w:szCs w:val="32"/>
        </w:rPr>
        <w:t>。二是坚持开门编规划，首次通过网上征求意见的方式面向社会征求意见，组织召开县直部门、企业、个体工商户代表座谈会，广泛听取</w:t>
      </w:r>
      <w:r>
        <w:rPr>
          <w:rFonts w:hint="eastAsia" w:ascii="宋体" w:hAnsi="宋体" w:eastAsia="宋体" w:cs="宋体"/>
          <w:b w:val="0"/>
          <w:bCs w:val="0"/>
          <w:kern w:val="2"/>
          <w:sz w:val="32"/>
          <w:szCs w:val="32"/>
          <w:lang w:bidi="ar"/>
        </w:rPr>
        <w:t>县直各部门、企业家和群众团体意见，共收集意见建议346条，采纳265条，汇集了全县各级各部门和社会各界的智慧。三是旗帜鲜明讲政治，将习近平总书记考察湖南重要讲话精神、对“十四五”规划编制工作作出的重要指示以及中央十九届五中全会精神贯穿其中，全面落实中央、省市重大部署。四是全面融入了县委《建议》精神，确保</w:t>
      </w:r>
      <w:r>
        <w:rPr>
          <w:rFonts w:hint="eastAsia" w:ascii="宋体" w:hAnsi="宋体" w:eastAsia="宋体" w:cs="宋体"/>
          <w:b w:val="0"/>
          <w:bCs w:val="0"/>
          <w:sz w:val="32"/>
          <w:szCs w:val="32"/>
        </w:rPr>
        <w:t>《纲要（草案）》与县委《建议》有效衔接、有机统一。</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sz w:val="32"/>
          <w:szCs w:val="32"/>
        </w:rPr>
      </w:pPr>
      <w:r>
        <w:rPr>
          <w:rFonts w:hint="eastAsia" w:ascii="宋体" w:hAnsi="宋体" w:eastAsia="宋体" w:cs="宋体"/>
          <w:b/>
          <w:sz w:val="32"/>
          <w:szCs w:val="32"/>
        </w:rPr>
        <w:t>六、有关建议</w:t>
      </w:r>
    </w:p>
    <w:p>
      <w:pPr>
        <w:pStyle w:val="14"/>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b w:val="0"/>
          <w:bCs/>
          <w:sz w:val="32"/>
          <w:szCs w:val="32"/>
          <w:lang w:val="en-US" w:eastAsia="zh-CN"/>
        </w:rPr>
      </w:pPr>
      <w:r>
        <w:rPr>
          <w:rFonts w:hint="eastAsia" w:ascii="宋体" w:hAnsi="宋体" w:eastAsia="宋体" w:cs="宋体"/>
          <w:b w:val="0"/>
          <w:bCs/>
          <w:sz w:val="32"/>
          <w:szCs w:val="32"/>
          <w:lang w:val="en-US" w:eastAsia="zh-CN"/>
        </w:rPr>
        <w:t>无</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sz w:val="32"/>
          <w:szCs w:val="32"/>
        </w:rPr>
      </w:pPr>
      <w:r>
        <w:rPr>
          <w:rFonts w:hint="eastAsia" w:ascii="宋体" w:hAnsi="宋体" w:eastAsia="宋体" w:cs="宋体"/>
          <w:b/>
          <w:sz w:val="32"/>
          <w:szCs w:val="32"/>
        </w:rPr>
        <w:t>七、其他需要说明的问题</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宋体" w:hAnsi="宋体" w:eastAsia="宋体" w:cs="宋体"/>
          <w:sz w:val="32"/>
          <w:szCs w:val="32"/>
          <w:lang w:eastAsia="zh-CN"/>
        </w:rPr>
      </w:pPr>
      <w:r>
        <w:rPr>
          <w:rFonts w:hint="eastAsia" w:ascii="宋体" w:hAnsi="宋体" w:eastAsia="宋体" w:cs="宋体"/>
          <w:sz w:val="32"/>
          <w:szCs w:val="32"/>
          <w:lang w:eastAsia="zh-CN"/>
        </w:rPr>
        <w:t>无</w:t>
      </w:r>
    </w:p>
    <w:p>
      <w:pPr>
        <w:keepNext w:val="0"/>
        <w:keepLines w:val="0"/>
        <w:pageBreakBefore w:val="0"/>
        <w:widowControl/>
        <w:kinsoku/>
        <w:wordWrap/>
        <w:overflowPunct/>
        <w:topLinePunct w:val="0"/>
        <w:autoSpaceDE/>
        <w:autoSpaceDN/>
        <w:bidi w:val="0"/>
        <w:adjustRightInd/>
        <w:snapToGrid/>
        <w:spacing w:line="540" w:lineRule="exact"/>
        <w:ind w:firstLine="645"/>
        <w:jc w:val="left"/>
        <w:textAlignment w:val="auto"/>
        <w:rPr>
          <w:rFonts w:hint="eastAsia" w:ascii="宋体" w:hAnsi="宋体" w:eastAsia="宋体" w:cs="宋体"/>
          <w:sz w:val="32"/>
          <w:szCs w:val="32"/>
        </w:rPr>
      </w:pPr>
    </w:p>
    <w:p>
      <w:pPr>
        <w:keepNext w:val="0"/>
        <w:keepLines w:val="0"/>
        <w:pageBreakBefore w:val="0"/>
        <w:widowControl/>
        <w:kinsoku/>
        <w:wordWrap/>
        <w:overflowPunct/>
        <w:topLinePunct w:val="0"/>
        <w:autoSpaceDE/>
        <w:autoSpaceDN/>
        <w:bidi w:val="0"/>
        <w:adjustRightInd/>
        <w:snapToGrid/>
        <w:spacing w:line="540" w:lineRule="exact"/>
        <w:ind w:firstLine="645"/>
        <w:jc w:val="left"/>
        <w:textAlignment w:val="auto"/>
        <w:rPr>
          <w:rFonts w:hint="eastAsia" w:ascii="宋体" w:hAnsi="宋体" w:eastAsia="宋体" w:cs="宋体"/>
          <w:sz w:val="32"/>
          <w:szCs w:val="32"/>
        </w:rPr>
      </w:pPr>
      <w:r>
        <w:rPr>
          <w:rFonts w:hint="eastAsia" w:ascii="宋体" w:hAnsi="宋体" w:eastAsia="宋体" w:cs="宋体"/>
          <w:sz w:val="32"/>
          <w:szCs w:val="32"/>
        </w:rPr>
        <w:t>附件：1.项目支出绩效自评表</w:t>
      </w:r>
    </w:p>
    <w:p>
      <w:pPr>
        <w:keepNext w:val="0"/>
        <w:keepLines w:val="0"/>
        <w:pageBreakBefore w:val="0"/>
        <w:widowControl/>
        <w:kinsoku/>
        <w:wordWrap/>
        <w:overflowPunct/>
        <w:topLinePunct w:val="0"/>
        <w:autoSpaceDE/>
        <w:autoSpaceDN/>
        <w:bidi w:val="0"/>
        <w:adjustRightInd/>
        <w:snapToGrid/>
        <w:spacing w:line="540" w:lineRule="exact"/>
        <w:ind w:firstLine="1600" w:firstLineChars="500"/>
        <w:jc w:val="left"/>
        <w:textAlignment w:val="auto"/>
        <w:rPr>
          <w:rFonts w:hint="eastAsia" w:ascii="宋体" w:hAnsi="宋体" w:eastAsia="宋体" w:cs="宋体"/>
          <w:sz w:val="32"/>
          <w:szCs w:val="32"/>
        </w:rPr>
      </w:pPr>
      <w:r>
        <w:rPr>
          <w:rFonts w:hint="eastAsia" w:ascii="宋体" w:hAnsi="宋体" w:eastAsia="宋体" w:cs="宋体"/>
          <w:sz w:val="32"/>
          <w:szCs w:val="32"/>
        </w:rPr>
        <w:t>2.项目支出绩效评价指标</w:t>
      </w:r>
      <w:r>
        <w:rPr>
          <w:rFonts w:hint="eastAsia" w:ascii="宋体" w:hAnsi="宋体" w:eastAsia="宋体" w:cs="宋体"/>
          <w:bCs/>
          <w:color w:val="000000"/>
          <w:kern w:val="0"/>
          <w:sz w:val="32"/>
          <w:szCs w:val="32"/>
        </w:rPr>
        <w:t>评分表</w:t>
      </w:r>
    </w:p>
    <w:p>
      <w:pPr>
        <w:spacing w:line="400" w:lineRule="exact"/>
        <w:rPr>
          <w:rFonts w:hint="eastAsia" w:ascii="宋体" w:hAnsi="宋体" w:eastAsia="宋体" w:cs="宋体"/>
          <w:bCs/>
          <w:color w:val="000000"/>
          <w:sz w:val="32"/>
          <w:szCs w:val="32"/>
        </w:rPr>
        <w:sectPr>
          <w:footerReference r:id="rId3" w:type="default"/>
          <w:pgSz w:w="11906" w:h="16838"/>
          <w:pgMar w:top="1474" w:right="1417" w:bottom="1474" w:left="1417" w:header="737" w:footer="850" w:gutter="0"/>
          <w:pgNumType w:fmt="decimal"/>
          <w:cols w:space="720" w:num="1"/>
          <w:docGrid w:type="lines" w:linePitch="408" w:charSpace="0"/>
        </w:sectPr>
      </w:pPr>
    </w:p>
    <w:p>
      <w:pPr>
        <w:spacing w:line="400" w:lineRule="exact"/>
        <w:rPr>
          <w:rFonts w:hint="eastAsia" w:ascii="Times New Roman" w:hAnsi="Times New Roman" w:eastAsia="仿宋_GB2312" w:cs="Times New Roman"/>
          <w:bCs/>
          <w:color w:val="000000"/>
          <w:sz w:val="32"/>
          <w:szCs w:val="32"/>
          <w:lang w:val="en-US" w:eastAsia="zh-CN"/>
        </w:rPr>
      </w:pPr>
      <w:r>
        <w:rPr>
          <w:rFonts w:ascii="仿宋_GB2312" w:hAnsi="仿宋_GB2312" w:eastAsia="仿宋_GB2312" w:cs="Times New Roman"/>
          <w:bCs/>
          <w:color w:val="000000"/>
          <w:sz w:val="32"/>
          <w:szCs w:val="32"/>
        </w:rPr>
        <w:t>附件</w:t>
      </w:r>
      <w:r>
        <w:rPr>
          <w:rFonts w:hint="eastAsia" w:ascii="仿宋_GB2312" w:hAnsi="仿宋_GB2312" w:eastAsia="仿宋_GB2312" w:cs="Times New Roman"/>
          <w:bCs/>
          <w:color w:val="000000"/>
          <w:sz w:val="32"/>
          <w:szCs w:val="32"/>
          <w:lang w:val="en-US" w:eastAsia="zh-CN"/>
        </w:rPr>
        <w:t>1</w:t>
      </w:r>
    </w:p>
    <w:tbl>
      <w:tblPr>
        <w:tblStyle w:val="11"/>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349" w:hRule="atLeast"/>
          <w:jc w:val="center"/>
        </w:trPr>
        <w:tc>
          <w:tcPr>
            <w:tcW w:w="9080" w:type="dxa"/>
            <w:gridSpan w:val="14"/>
            <w:tcBorders>
              <w:top w:val="nil"/>
              <w:left w:val="nil"/>
              <w:bottom w:val="nil"/>
              <w:right w:val="nil"/>
            </w:tcBorders>
            <w:vAlign w:val="center"/>
          </w:tcPr>
          <w:p>
            <w:pPr>
              <w:widowControl/>
              <w:spacing w:line="320" w:lineRule="exact"/>
              <w:jc w:val="center"/>
              <w:rPr>
                <w:rFonts w:ascii="Times New Roman" w:hAnsi="Times New Roman" w:cs="Times New Roman"/>
                <w:b/>
                <w:bCs/>
                <w:kern w:val="0"/>
                <w:sz w:val="32"/>
                <w:szCs w:val="32"/>
              </w:rPr>
            </w:pPr>
            <w:r>
              <w:rPr>
                <w:rFonts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Times New Roman" w:hAnsi="Times New Roman" w:cs="Times New Roman"/>
                <w:kern w:val="0"/>
                <w:sz w:val="22"/>
                <w:szCs w:val="22"/>
              </w:rPr>
            </w:pPr>
            <w:r>
              <w:rPr>
                <w:rFonts w:ascii="Times New Roman" w:hAnsi="Times New Roman" w:cs="Times New Roman"/>
                <w:kern w:val="0"/>
                <w:sz w:val="22"/>
                <w:szCs w:val="22"/>
              </w:rPr>
              <w:t>（</w:t>
            </w:r>
            <w:r>
              <w:rPr>
                <w:rFonts w:hint="eastAsia" w:ascii="Times New Roman" w:hAnsi="Times New Roman" w:cs="Times New Roman"/>
                <w:kern w:val="0"/>
                <w:sz w:val="22"/>
                <w:szCs w:val="22"/>
              </w:rPr>
              <w:t>2020</w:t>
            </w:r>
            <w:r>
              <w:rPr>
                <w:rFonts w:ascii="Times New Roman" w:hAnsi="Times New Roman" w:cs="Times New Roman"/>
                <w:kern w:val="0"/>
                <w:sz w:val="22"/>
                <w:szCs w:val="22"/>
              </w:rPr>
              <w:t>年度）</w:t>
            </w:r>
          </w:p>
        </w:tc>
      </w:tr>
      <w:tr>
        <w:tblPrEx>
          <w:tblCellMar>
            <w:top w:w="0" w:type="dxa"/>
            <w:left w:w="108" w:type="dxa"/>
            <w:bottom w:w="0" w:type="dxa"/>
            <w:right w:w="108" w:type="dxa"/>
          </w:tblCellMar>
        </w:tblPrEx>
        <w:trPr>
          <w:trHeight w:val="528"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“十四五”规划纲要编制费</w:t>
            </w:r>
          </w:p>
        </w:tc>
      </w:tr>
      <w:tr>
        <w:tblPrEx>
          <w:tblCellMar>
            <w:top w:w="0" w:type="dxa"/>
            <w:left w:w="108" w:type="dxa"/>
            <w:bottom w:w="0" w:type="dxa"/>
            <w:right w:w="108" w:type="dxa"/>
          </w:tblCellMar>
        </w:tblPrEx>
        <w:trPr>
          <w:trHeight w:val="450"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eastAsia="zh-CN"/>
              </w:rPr>
              <w:t>中方县发展和改革局</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eastAsia="宋体" w:cs="Times New Roman"/>
                <w:kern w:val="0"/>
                <w:sz w:val="18"/>
                <w:szCs w:val="18"/>
                <w:lang w:val="en-US" w:eastAsia="zh-CN"/>
              </w:rPr>
              <w:t>湖南省社会科学院</w:t>
            </w:r>
          </w:p>
        </w:tc>
      </w:tr>
      <w:tr>
        <w:tblPrEx>
          <w:tblCellMar>
            <w:top w:w="0" w:type="dxa"/>
            <w:left w:w="108" w:type="dxa"/>
            <w:bottom w:w="0" w:type="dxa"/>
            <w:right w:w="108" w:type="dxa"/>
          </w:tblCellMar>
        </w:tblPrEx>
        <w:trPr>
          <w:trHeight w:val="436" w:hRule="atLeast"/>
          <w:jc w:val="center"/>
        </w:trPr>
        <w:tc>
          <w:tcPr>
            <w:tcW w:w="1568"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项目资金</w:t>
            </w:r>
            <w:r>
              <w:rPr>
                <w:rFonts w:ascii="Times New Roman" w:hAnsi="Times New Roman" w:cs="Times New Roman"/>
                <w:kern w:val="0"/>
                <w:sz w:val="18"/>
                <w:szCs w:val="18"/>
              </w:rPr>
              <w:br w:type="textWrapping"/>
            </w:r>
            <w:r>
              <w:rPr>
                <w:rFonts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全年预算数</w:t>
            </w:r>
            <w:r>
              <w:rPr>
                <w:rFonts w:ascii="Times New Roman" w:hAnsi="Times New Roman" w:cs="Times New Roman"/>
                <w:color w:val="000000"/>
                <w:kern w:val="0"/>
                <w:sz w:val="20"/>
                <w:szCs w:val="20"/>
              </w:rPr>
              <w:t>（A</w:t>
            </w:r>
            <w:r>
              <w:rPr>
                <w:rFonts w:ascii="宋体" w:hAnsi="宋体" w:cs="Times New Roman"/>
                <w:color w:val="000000"/>
                <w:kern w:val="0"/>
                <w:sz w:val="20"/>
                <w:szCs w:val="20"/>
              </w:rPr>
              <w:t>）</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全年执行数</w:t>
            </w:r>
            <w:r>
              <w:rPr>
                <w:rFonts w:ascii="Times New Roman" w:hAnsi="Times New Roman" w:cs="Times New Roman"/>
                <w:color w:val="000000"/>
                <w:kern w:val="0"/>
                <w:sz w:val="20"/>
                <w:szCs w:val="20"/>
              </w:rPr>
              <w:t>（B</w:t>
            </w:r>
            <w:r>
              <w:rPr>
                <w:rFonts w:ascii="宋体" w:hAnsi="宋体" w:cs="Times New Roman"/>
                <w:color w:val="000000"/>
                <w:kern w:val="0"/>
                <w:sz w:val="20"/>
                <w:szCs w:val="20"/>
              </w:rPr>
              <w:t>）</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执行率</w:t>
            </w:r>
            <w:r>
              <w:rPr>
                <w:rFonts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r>
      <w:tr>
        <w:tblPrEx>
          <w:tblCellMar>
            <w:top w:w="0" w:type="dxa"/>
            <w:left w:w="108" w:type="dxa"/>
            <w:bottom w:w="0" w:type="dxa"/>
            <w:right w:w="108" w:type="dxa"/>
          </w:tblCellMar>
        </w:tblPrEx>
        <w:trPr>
          <w:trHeight w:val="405"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cs="Times New Roman"/>
                <w:kern w:val="0"/>
                <w:sz w:val="18"/>
                <w:szCs w:val="18"/>
              </w:rPr>
            </w:pPr>
            <w:r>
              <w:rPr>
                <w:rFonts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60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60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60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r>
      <w:tr>
        <w:tblPrEx>
          <w:tblCellMar>
            <w:top w:w="0" w:type="dxa"/>
            <w:left w:w="108" w:type="dxa"/>
            <w:bottom w:w="0" w:type="dxa"/>
            <w:right w:w="108" w:type="dxa"/>
          </w:tblCellMar>
        </w:tblPrEx>
        <w:trPr>
          <w:trHeight w:val="42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60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60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60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42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465"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614" w:hRule="atLeas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1485" w:hRule="atLeas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eastAsia="zh-CN"/>
              </w:rPr>
              <w:t>科学编制《</w:t>
            </w:r>
            <w:r>
              <w:rPr>
                <w:rFonts w:hint="eastAsia" w:ascii="Times New Roman" w:hAnsi="Times New Roman" w:cs="Times New Roman"/>
                <w:kern w:val="0"/>
                <w:sz w:val="18"/>
                <w:szCs w:val="18"/>
                <w:lang w:val="en-US" w:eastAsia="zh-CN"/>
              </w:rPr>
              <w:t>中方</w:t>
            </w:r>
            <w:r>
              <w:rPr>
                <w:rFonts w:hint="eastAsia" w:ascii="Times New Roman" w:hAnsi="Times New Roman" w:cs="Times New Roman"/>
                <w:kern w:val="0"/>
                <w:sz w:val="18"/>
                <w:szCs w:val="18"/>
                <w:lang w:eastAsia="zh-CN"/>
              </w:rPr>
              <w:t>县国民经济和社会发展第十四个五年规划和二</w:t>
            </w:r>
            <w:r>
              <w:rPr>
                <w:rFonts w:hint="eastAsia" w:ascii="Times New Roman" w:hAnsi="Times New Roman" w:cs="Times New Roman"/>
                <w:kern w:val="0"/>
                <w:sz w:val="18"/>
                <w:szCs w:val="18"/>
                <w:lang w:val="en-US" w:eastAsia="zh-CN"/>
              </w:rPr>
              <w:t>O</w:t>
            </w:r>
            <w:r>
              <w:rPr>
                <w:rFonts w:hint="eastAsia" w:ascii="Times New Roman" w:hAnsi="Times New Roman" w:cs="Times New Roman"/>
                <w:kern w:val="0"/>
                <w:sz w:val="18"/>
                <w:szCs w:val="18"/>
                <w:lang w:eastAsia="zh-CN"/>
              </w:rPr>
              <w:t>三五年远景目标纲要》。</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eastAsia="zh-CN"/>
              </w:rPr>
              <w:t>完成了《</w:t>
            </w:r>
            <w:r>
              <w:rPr>
                <w:rFonts w:hint="eastAsia" w:ascii="Times New Roman" w:hAnsi="Times New Roman" w:cs="Times New Roman"/>
                <w:kern w:val="0"/>
                <w:sz w:val="18"/>
                <w:szCs w:val="18"/>
                <w:lang w:val="en-US" w:eastAsia="zh-CN"/>
              </w:rPr>
              <w:t>中方</w:t>
            </w:r>
            <w:r>
              <w:rPr>
                <w:rFonts w:hint="eastAsia" w:ascii="Times New Roman" w:hAnsi="Times New Roman" w:cs="Times New Roman"/>
                <w:kern w:val="0"/>
                <w:sz w:val="18"/>
                <w:szCs w:val="18"/>
                <w:lang w:eastAsia="zh-CN"/>
              </w:rPr>
              <w:t>县国民经济和社会发展第十四个五年规划和二</w:t>
            </w:r>
            <w:r>
              <w:rPr>
                <w:rFonts w:hint="eastAsia" w:ascii="Times New Roman" w:hAnsi="Times New Roman" w:cs="Times New Roman"/>
                <w:kern w:val="0"/>
                <w:sz w:val="18"/>
                <w:szCs w:val="18"/>
                <w:lang w:val="en-US" w:eastAsia="zh-CN"/>
              </w:rPr>
              <w:t>O</w:t>
            </w:r>
            <w:r>
              <w:rPr>
                <w:rFonts w:hint="eastAsia" w:ascii="Times New Roman" w:hAnsi="Times New Roman" w:cs="Times New Roman"/>
                <w:kern w:val="0"/>
                <w:sz w:val="18"/>
                <w:szCs w:val="18"/>
                <w:lang w:eastAsia="zh-CN"/>
              </w:rPr>
              <w:t>三五年远景目标纲要》编制工作，并于20</w:t>
            </w:r>
            <w:r>
              <w:rPr>
                <w:rFonts w:hint="eastAsia" w:ascii="Times New Roman" w:hAnsi="Times New Roman" w:cs="Times New Roman"/>
                <w:kern w:val="0"/>
                <w:sz w:val="18"/>
                <w:szCs w:val="18"/>
                <w:lang w:val="en-US" w:eastAsia="zh-CN"/>
              </w:rPr>
              <w:t>21</w:t>
            </w:r>
            <w:r>
              <w:rPr>
                <w:rFonts w:hint="eastAsia" w:ascii="Times New Roman" w:hAnsi="Times New Roman" w:cs="Times New Roman"/>
                <w:kern w:val="0"/>
                <w:sz w:val="18"/>
                <w:szCs w:val="18"/>
                <w:lang w:eastAsia="zh-CN"/>
              </w:rPr>
              <w:t>年</w:t>
            </w:r>
            <w:r>
              <w:rPr>
                <w:rFonts w:hint="eastAsia" w:ascii="Times New Roman" w:hAnsi="Times New Roman" w:cs="Times New Roman"/>
                <w:kern w:val="0"/>
                <w:sz w:val="18"/>
                <w:szCs w:val="18"/>
                <w:lang w:val="en-US" w:eastAsia="zh-CN"/>
              </w:rPr>
              <w:t>3</w:t>
            </w:r>
            <w:r>
              <w:rPr>
                <w:rFonts w:hint="eastAsia" w:ascii="Times New Roman" w:hAnsi="Times New Roman" w:cs="Times New Roman"/>
                <w:kern w:val="0"/>
                <w:sz w:val="18"/>
                <w:szCs w:val="18"/>
                <w:lang w:eastAsia="zh-CN"/>
              </w:rPr>
              <w:t>月</w:t>
            </w:r>
            <w:r>
              <w:rPr>
                <w:rFonts w:hint="eastAsia" w:ascii="Times New Roman" w:hAnsi="Times New Roman" w:cs="Times New Roman"/>
                <w:kern w:val="0"/>
                <w:sz w:val="18"/>
                <w:szCs w:val="18"/>
                <w:lang w:val="en-US" w:eastAsia="zh-CN"/>
              </w:rPr>
              <w:t>12</w:t>
            </w:r>
            <w:r>
              <w:rPr>
                <w:rFonts w:hint="eastAsia" w:ascii="Times New Roman" w:hAnsi="Times New Roman" w:cs="Times New Roman"/>
                <w:kern w:val="0"/>
                <w:sz w:val="18"/>
                <w:szCs w:val="18"/>
                <w:lang w:eastAsia="zh-CN"/>
              </w:rPr>
              <w:t>日经中方县第五届人民代表大会第六次会议批准。</w:t>
            </w:r>
          </w:p>
        </w:tc>
      </w:tr>
      <w:tr>
        <w:tblPrEx>
          <w:tblCellMar>
            <w:top w:w="0" w:type="dxa"/>
            <w:left w:w="108" w:type="dxa"/>
            <w:bottom w:w="0" w:type="dxa"/>
            <w:right w:w="108" w:type="dxa"/>
          </w:tblCellMar>
        </w:tblPrEx>
        <w:trPr>
          <w:trHeight w:val="936" w:hRule="atLeast"/>
          <w:jc w:val="center"/>
        </w:trPr>
        <w:tc>
          <w:tcPr>
            <w:tcW w:w="588" w:type="dxa"/>
            <w:vMerge w:val="restart"/>
            <w:tcBorders>
              <w:top w:val="nil"/>
              <w:left w:val="single" w:color="auto" w:sz="4" w:space="0"/>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绩</w:t>
            </w:r>
            <w:r>
              <w:rPr>
                <w:rFonts w:ascii="Times New Roman" w:hAnsi="Times New Roman" w:cs="Times New Roman"/>
                <w:kern w:val="0"/>
                <w:sz w:val="18"/>
                <w:szCs w:val="18"/>
              </w:rPr>
              <w:br w:type="textWrapping"/>
            </w:r>
            <w:r>
              <w:rPr>
                <w:rFonts w:ascii="Times New Roman" w:hAnsi="Times New Roman" w:cs="Times New Roman"/>
                <w:kern w:val="0"/>
                <w:sz w:val="18"/>
                <w:szCs w:val="18"/>
              </w:rPr>
              <w:t>效</w:t>
            </w:r>
            <w:r>
              <w:rPr>
                <w:rFonts w:ascii="Times New Roman" w:hAnsi="Times New Roman" w:cs="Times New Roman"/>
                <w:kern w:val="0"/>
                <w:sz w:val="18"/>
                <w:szCs w:val="18"/>
              </w:rPr>
              <w:br w:type="textWrapping"/>
            </w:r>
            <w:r>
              <w:rPr>
                <w:rFonts w:ascii="Times New Roman" w:hAnsi="Times New Roman" w:cs="Times New Roman"/>
                <w:kern w:val="0"/>
                <w:sz w:val="18"/>
                <w:szCs w:val="18"/>
              </w:rPr>
              <w:t>指</w:t>
            </w:r>
            <w:r>
              <w:rPr>
                <w:rFonts w:ascii="Times New Roman" w:hAnsi="Times New Roman" w:cs="Times New Roman"/>
                <w:kern w:val="0"/>
                <w:sz w:val="18"/>
                <w:szCs w:val="18"/>
              </w:rPr>
              <w:br w:type="textWrapping"/>
            </w:r>
            <w:r>
              <w:rPr>
                <w:rFonts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778"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产出指标</w:t>
            </w:r>
            <w:r>
              <w:rPr>
                <w:rFonts w:ascii="Times New Roman" w:hAnsi="Times New Roman" w:cs="Times New Roman"/>
                <w:kern w:val="0"/>
                <w:sz w:val="20"/>
                <w:szCs w:val="20"/>
              </w:rPr>
              <w:t>(50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“十四五”规划纲要</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659"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合格率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62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按时提交成果率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1016"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节约成本，加强经费管理</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655"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效益指标</w:t>
            </w:r>
            <w:r>
              <w:rPr>
                <w:rFonts w:ascii="Times New Roman" w:hAnsi="Times New Roman" w:cs="Times New Roman"/>
                <w:kern w:val="0"/>
                <w:sz w:val="20"/>
                <w:szCs w:val="20"/>
              </w:rPr>
              <w:t>(30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经济效益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确定“十四五”期间主要经济指标目标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合理</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val="en-US" w:eastAsia="zh-CN"/>
              </w:rPr>
              <w:t>合理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23"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社会效益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lang w:eastAsia="zh-CN"/>
              </w:rPr>
              <w:t>确定“十四五”期间主要民生福祉指标目标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合理</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合理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878"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生态效益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lang w:eastAsia="zh-CN"/>
              </w:rPr>
              <w:t>确定“十四五”期间主要绿色转型指标目标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合理</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合理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37"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科学指导我县未来五年经济社会发展。</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tcBorders>
              <w:top w:val="nil"/>
              <w:left w:val="nil"/>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满意度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r>
              <w:rPr>
                <w:rFonts w:ascii="Times New Roman" w:hAnsi="Times New Roman" w:cs="Times New Roman"/>
                <w:kern w:val="0"/>
                <w:sz w:val="20"/>
                <w:szCs w:val="20"/>
              </w:rPr>
              <w:t>(10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服务对象满意度</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535" w:hRule="atLeas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100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bl>
    <w:p>
      <w:pPr>
        <w:widowControl/>
        <w:spacing w:line="400" w:lineRule="exact"/>
        <w:jc w:val="left"/>
        <w:rPr>
          <w:rFonts w:ascii="Times New Roman" w:hAnsi="Times New Roman" w:cs="Times New Roman"/>
          <w:color w:val="000000"/>
          <w:kern w:val="0"/>
          <w:sz w:val="18"/>
          <w:szCs w:val="18"/>
        </w:rPr>
      </w:pPr>
      <w:r>
        <w:drawing>
          <wp:inline distT="0" distB="0" distL="0" distR="0">
            <wp:extent cx="6410325" cy="133350"/>
            <wp:effectExtent l="19050" t="0" r="9525" b="0"/>
            <wp:docPr id="1" name="图片 1" descr="C:\Users\ADMINI~1\AppData\Local\Temp\ksohtml381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3812\wps1.png"/>
                    <pic:cNvPicPr>
                      <a:picLocks noChangeAspect="1" noChangeArrowheads="1"/>
                    </pic:cNvPicPr>
                  </pic:nvPicPr>
                  <pic:blipFill>
                    <a:blip r:embed="rId5" cstate="print"/>
                    <a:srcRect/>
                    <a:stretch>
                      <a:fillRect/>
                    </a:stretch>
                  </pic:blipFill>
                  <pic:spPr>
                    <a:xfrm>
                      <a:off x="0" y="0"/>
                      <a:ext cx="6410325" cy="133350"/>
                    </a:xfrm>
                    <a:prstGeom prst="rect">
                      <a:avLst/>
                    </a:prstGeom>
                    <a:noFill/>
                    <a:ln w="9525">
                      <a:noFill/>
                      <a:miter lim="800000"/>
                      <a:headEnd/>
                      <a:tailEnd/>
                    </a:ln>
                  </pic:spPr>
                </pic:pic>
              </a:graphicData>
            </a:graphic>
          </wp:inline>
        </w:drawing>
      </w:r>
    </w:p>
    <w:tbl>
      <w:tblPr>
        <w:tblStyle w:val="11"/>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注：1.</w:t>
            </w:r>
            <w:r>
              <w:rPr>
                <w:rFonts w:ascii="宋体" w:hAnsi="宋体" w:cs="Times New Roman"/>
                <w:color w:val="000000"/>
                <w:kern w:val="0"/>
                <w:sz w:val="18"/>
                <w:szCs w:val="18"/>
              </w:rPr>
              <w:t>一级指标分值统一设置为：产出指标</w:t>
            </w:r>
            <w:r>
              <w:rPr>
                <w:rFonts w:ascii="Times New Roman" w:hAnsi="Times New Roman" w:cs="Times New Roman"/>
                <w:color w:val="000000"/>
                <w:kern w:val="0"/>
                <w:sz w:val="18"/>
                <w:szCs w:val="18"/>
              </w:rPr>
              <w:t>50</w:t>
            </w:r>
            <w:r>
              <w:rPr>
                <w:rFonts w:ascii="宋体" w:hAnsi="宋体" w:cs="Times New Roman"/>
                <w:color w:val="000000"/>
                <w:kern w:val="0"/>
                <w:sz w:val="18"/>
                <w:szCs w:val="18"/>
              </w:rPr>
              <w:t>分、效益指标</w:t>
            </w:r>
            <w:r>
              <w:rPr>
                <w:rFonts w:ascii="Times New Roman" w:hAnsi="Times New Roman" w:cs="Times New Roman"/>
                <w:color w:val="000000"/>
                <w:kern w:val="0"/>
                <w:sz w:val="18"/>
                <w:szCs w:val="18"/>
              </w:rPr>
              <w:t>30</w:t>
            </w:r>
            <w:r>
              <w:rPr>
                <w:rFonts w:ascii="宋体" w:hAnsi="宋体" w:cs="Times New Roman"/>
                <w:color w:val="000000"/>
                <w:kern w:val="0"/>
                <w:sz w:val="18"/>
                <w:szCs w:val="18"/>
              </w:rPr>
              <w:t>分、服务对象满意度指标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分、预算资金执行率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分。如有特殊情况，上述权重可做适当调整，但加总后应等于</w:t>
            </w:r>
            <w:r>
              <w:rPr>
                <w:rFonts w:ascii="Times New Roman" w:hAnsi="Times New Roman" w:cs="Times New Roman"/>
                <w:color w:val="000000"/>
                <w:kern w:val="0"/>
                <w:sz w:val="18"/>
                <w:szCs w:val="18"/>
              </w:rPr>
              <w:t>100</w:t>
            </w:r>
            <w:r>
              <w:rPr>
                <w:rFonts w:ascii="宋体" w:hAnsi="宋体" w:cs="Times New Roman"/>
                <w:color w:val="000000"/>
                <w:kern w:val="0"/>
                <w:sz w:val="18"/>
                <w:szCs w:val="18"/>
              </w:rPr>
              <w:t>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2.</w:t>
            </w:r>
            <w:r>
              <w:rPr>
                <w:rFonts w:ascii="宋体" w:hAnsi="宋体" w:cs="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s="Times New Roman"/>
                <w:color w:val="000000"/>
                <w:kern w:val="0"/>
                <w:sz w:val="18"/>
                <w:szCs w:val="18"/>
              </w:rPr>
              <w:t>100-80%(</w:t>
            </w:r>
            <w:r>
              <w:rPr>
                <w:rFonts w:ascii="宋体" w:hAnsi="宋体" w:cs="Times New Roman"/>
                <w:color w:val="000000"/>
                <w:kern w:val="0"/>
                <w:sz w:val="18"/>
                <w:szCs w:val="18"/>
              </w:rPr>
              <w:t>含</w:t>
            </w:r>
            <w:r>
              <w:rPr>
                <w:rFonts w:ascii="Times New Roman" w:hAnsi="Times New Roman" w:cs="Times New Roman"/>
                <w:color w:val="000000"/>
                <w:kern w:val="0"/>
                <w:sz w:val="18"/>
                <w:szCs w:val="18"/>
              </w:rPr>
              <w:t>80%)</w:t>
            </w:r>
            <w:r>
              <w:rPr>
                <w:rFonts w:ascii="宋体" w:hAnsi="宋体" w:cs="Times New Roman"/>
                <w:color w:val="000000"/>
                <w:kern w:val="0"/>
                <w:sz w:val="18"/>
                <w:szCs w:val="18"/>
              </w:rPr>
              <w:t>、</w:t>
            </w:r>
            <w:r>
              <w:rPr>
                <w:rFonts w:ascii="Times New Roman" w:hAnsi="Times New Roman" w:cs="Times New Roman"/>
                <w:color w:val="000000"/>
                <w:kern w:val="0"/>
                <w:sz w:val="18"/>
                <w:szCs w:val="18"/>
              </w:rPr>
              <w:t>80-50%(</w:t>
            </w:r>
            <w:r>
              <w:rPr>
                <w:rFonts w:ascii="宋体" w:hAnsi="宋体" w:cs="Times New Roman"/>
                <w:color w:val="000000"/>
                <w:kern w:val="0"/>
                <w:sz w:val="18"/>
                <w:szCs w:val="18"/>
              </w:rPr>
              <w:t>含</w:t>
            </w:r>
            <w:r>
              <w:rPr>
                <w:rFonts w:ascii="Times New Roman" w:hAnsi="Times New Roman" w:cs="Times New Roman"/>
                <w:color w:val="000000"/>
                <w:kern w:val="0"/>
                <w:sz w:val="18"/>
                <w:szCs w:val="18"/>
              </w:rPr>
              <w:t>50%)</w:t>
            </w:r>
            <w:r>
              <w:rPr>
                <w:rFonts w:ascii="宋体" w:hAnsi="宋体" w:cs="Times New Roman"/>
                <w:color w:val="000000"/>
                <w:kern w:val="0"/>
                <w:sz w:val="18"/>
                <w:szCs w:val="18"/>
              </w:rPr>
              <w:t>、</w:t>
            </w:r>
            <w:r>
              <w:rPr>
                <w:rFonts w:ascii="Times New Roman" w:hAnsi="Times New Roman" w:cs="Times New Roman"/>
                <w:color w:val="000000"/>
                <w:kern w:val="0"/>
                <w:sz w:val="18"/>
                <w:szCs w:val="18"/>
              </w:rPr>
              <w:t>50-0%</w:t>
            </w:r>
            <w:r>
              <w:rPr>
                <w:rFonts w:ascii="宋体" w:hAnsi="宋体" w:cs="Times New Roman"/>
                <w:color w:val="000000"/>
                <w:kern w:val="0"/>
                <w:sz w:val="18"/>
                <w:szCs w:val="18"/>
              </w:rPr>
              <w:t>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3.</w:t>
            </w:r>
            <w:r>
              <w:rPr>
                <w:rFonts w:ascii="宋体" w:hAnsi="宋体" w:cs="Times New Roman"/>
                <w:color w:val="000000"/>
                <w:kern w:val="0"/>
                <w:sz w:val="18"/>
                <w:szCs w:val="18"/>
              </w:rPr>
              <w:t>定量指标若为正向指标（即指标值为</w:t>
            </w:r>
            <w:r>
              <w:rPr>
                <w:rFonts w:ascii="Times New Roman" w:hAnsi="Times New Roman" w:cs="Times New Roman"/>
                <w:color w:val="000000"/>
                <w:kern w:val="0"/>
                <w:sz w:val="18"/>
                <w:szCs w:val="18"/>
              </w:rPr>
              <w:t>≥*</w:t>
            </w:r>
            <w:r>
              <w:rPr>
                <w:rFonts w:ascii="宋体" w:hAnsi="宋体" w:cs="Times New Roman"/>
                <w:color w:val="000000"/>
                <w:kern w:val="0"/>
                <w:sz w:val="18"/>
                <w:szCs w:val="18"/>
              </w:rPr>
              <w:t>），则得分计算方法应用全年实际值（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该指标分值；若定量指标为反向指标（即指标值为≤*</w:t>
            </w:r>
            <w:r>
              <w:rPr>
                <w:rFonts w:ascii="宋体" w:hAnsi="宋体" w:cs="Times New Roman"/>
                <w:color w:val="000000"/>
                <w:kern w:val="0"/>
                <w:sz w:val="18"/>
                <w:szCs w:val="18"/>
              </w:rPr>
              <w:t>），则得分计算方法应用年度指标值（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4.</w:t>
            </w:r>
            <w:r>
              <w:rPr>
                <w:rFonts w:ascii="宋体" w:hAnsi="宋体" w:cs="Times New Roman"/>
                <w:color w:val="000000"/>
                <w:kern w:val="0"/>
                <w:sz w:val="18"/>
                <w:szCs w:val="18"/>
              </w:rPr>
              <w:t>请在</w:t>
            </w:r>
            <w:r>
              <w:rPr>
                <w:rFonts w:ascii="Times New Roman" w:hAnsi="Times New Roman" w:cs="Times New Roman"/>
                <w:color w:val="000000"/>
                <w:kern w:val="0"/>
                <w:sz w:val="18"/>
                <w:szCs w:val="18"/>
              </w:rPr>
              <w:t>“</w:t>
            </w:r>
            <w:r>
              <w:rPr>
                <w:rFonts w:ascii="Times New Roman" w:hAnsi="Times New Roman" w:cs="Times New Roman"/>
                <w:kern w:val="0"/>
                <w:sz w:val="18"/>
                <w:szCs w:val="18"/>
              </w:rPr>
              <w:t>偏差原因分析及改进措施</w:t>
            </w:r>
            <w:r>
              <w:rPr>
                <w:rFonts w:ascii="Times New Roman" w:hAnsi="Times New Roman" w:cs="Times New Roman"/>
                <w:color w:val="000000"/>
                <w:kern w:val="0"/>
                <w:sz w:val="18"/>
                <w:szCs w:val="18"/>
              </w:rPr>
              <w:t>”</w:t>
            </w:r>
            <w:r>
              <w:rPr>
                <w:rFonts w:ascii="宋体" w:hAnsi="宋体" w:cs="Times New Roman"/>
                <w:color w:val="000000"/>
                <w:kern w:val="0"/>
                <w:sz w:val="18"/>
                <w:szCs w:val="18"/>
              </w:rPr>
              <w:t>中说明偏离目标、不能完成目标的原因及拟采取的措施。</w:t>
            </w:r>
          </w:p>
        </w:tc>
      </w:tr>
    </w:tbl>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w:t>
      </w:r>
    </w:p>
    <w:p>
      <w:pPr>
        <w:rPr>
          <w:rFonts w:ascii="Times New Roman" w:hAnsi="Times New Roman" w:cs="Times New Roman"/>
        </w:rPr>
      </w:pPr>
      <w:r>
        <w:rPr>
          <w:rFonts w:ascii="Times New Roman" w:hAnsi="Times New Roman" w:cs="Times New Roman"/>
        </w:rPr>
        <w:t xml:space="preserve"> </w:t>
      </w:r>
    </w:p>
    <w:p>
      <w:pPr>
        <w:widowControl/>
        <w:jc w:val="left"/>
        <w:rPr>
          <w:rFonts w:ascii="Times New Roman" w:hAnsi="Times New Roman" w:eastAsia="仿宋_GB2312" w:cs="Times New Roman"/>
          <w:bCs/>
          <w:color w:val="000000"/>
          <w:sz w:val="32"/>
          <w:szCs w:val="32"/>
        </w:rPr>
        <w:sectPr>
          <w:pgSz w:w="11906" w:h="16838"/>
          <w:pgMar w:top="1474" w:right="1417" w:bottom="1474" w:left="1417" w:header="737" w:footer="850" w:gutter="0"/>
          <w:pgNumType w:fmt="decimal"/>
          <w:cols w:space="720" w:num="1"/>
          <w:docGrid w:type="lines" w:linePitch="408" w:charSpace="0"/>
        </w:sectPr>
      </w:pPr>
    </w:p>
    <w:p>
      <w:pPr>
        <w:spacing w:line="560" w:lineRule="exact"/>
        <w:rPr>
          <w:rFonts w:hint="eastAsia" w:ascii="Times New Roman" w:hAnsi="Times New Roman" w:eastAsia="仿宋_GB2312" w:cs="Times New Roman"/>
          <w:bCs/>
          <w:color w:val="000000"/>
          <w:sz w:val="32"/>
          <w:szCs w:val="32"/>
          <w:lang w:val="en-US" w:eastAsia="zh-CN"/>
        </w:rPr>
      </w:pPr>
      <w:r>
        <w:rPr>
          <w:rFonts w:ascii="仿宋_GB2312" w:hAnsi="仿宋_GB2312" w:eastAsia="仿宋_GB2312" w:cs="Times New Roman"/>
          <w:bCs/>
          <w:color w:val="000000"/>
          <w:sz w:val="32"/>
          <w:szCs w:val="32"/>
        </w:rPr>
        <w:t>附件</w:t>
      </w:r>
      <w:r>
        <w:rPr>
          <w:rFonts w:hint="eastAsia" w:ascii="仿宋_GB2312" w:hAnsi="仿宋_GB2312" w:eastAsia="仿宋_GB2312" w:cs="Times New Roman"/>
          <w:bCs/>
          <w:color w:val="000000"/>
          <w:sz w:val="32"/>
          <w:szCs w:val="32"/>
          <w:lang w:val="en-US" w:eastAsia="zh-CN"/>
        </w:rPr>
        <w:t>2</w:t>
      </w:r>
    </w:p>
    <w:p>
      <w:pPr>
        <w:pStyle w:val="4"/>
        <w:spacing w:before="0" w:after="0"/>
        <w:jc w:val="center"/>
        <w:rPr>
          <w:rFonts w:ascii="Times New Roman" w:hAnsi="Times New Roman" w:eastAsia="宋体" w:cs="Times New Roman"/>
          <w:bCs/>
          <w:color w:val="000000"/>
          <w:sz w:val="36"/>
          <w:szCs w:val="36"/>
        </w:rPr>
      </w:pPr>
      <w:r>
        <w:rPr>
          <w:rFonts w:ascii="宋体" w:hAnsi="宋体" w:eastAsia="宋体" w:cs="Times New Roman"/>
          <w:bCs/>
          <w:color w:val="000000"/>
          <w:sz w:val="36"/>
          <w:szCs w:val="36"/>
        </w:rPr>
        <w:t>项目支出绩效评价共性指标表</w:t>
      </w:r>
    </w:p>
    <w:tbl>
      <w:tblPr>
        <w:tblStyle w:val="11"/>
        <w:tblW w:w="1270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6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一级指标</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二级指标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三级指标</w:t>
            </w:r>
          </w:p>
        </w:tc>
        <w:tc>
          <w:tcPr>
            <w:tcW w:w="567" w:type="dxa"/>
            <w:tcBorders>
              <w:top w:val="single" w:color="000000" w:sz="8" w:space="0"/>
              <w:left w:val="nil"/>
              <w:bottom w:val="single" w:color="000000" w:sz="8" w:space="0"/>
              <w:right w:val="single" w:color="000000" w:sz="8" w:space="0"/>
            </w:tcBorders>
            <w:shd w:val="clear" w:color="auto" w:fill="FFFFFF"/>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分</w:t>
            </w:r>
          </w:p>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值</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指标解释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指标说明</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决策 </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项目立项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立项依据</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充分性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项目立项是否符合国家法律法规、国民经济发展规划和相关政策；</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项目立项是否符合行业发展规划和政策要求；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项目立项是否与部门职责范围相符，属于部门履职所需；</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项目是否属于公共财政支持范围，是否符合中央、地方事权支出责任划分原则；</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⑤</w:t>
            </w:r>
            <w:r>
              <w:rPr>
                <w:rFonts w:ascii="宋体" w:hAnsi="宋体" w:cs="Times New Roman"/>
                <w:color w:val="000000"/>
                <w:kern w:val="0"/>
                <w:sz w:val="22"/>
                <w:szCs w:val="22"/>
              </w:rPr>
              <w:t>项目是否与相关部门同类项目或部门内部相关项目重复。</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立项程序</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规范性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项目申请、设立过程是否符合相关要求，用以反映和考核项目立项的规范情况。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项目是否按照规定的程序申请设立；</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审批文件、材料是否符合相关要求；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事前是否已经过必要的可行性研究、专家论证、风险评估、绩效评估、集体决策。</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绩效目标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绩效目标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（如未设定预算绩效目标，也可考核其他工作任务目标）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项目是否有绩效目标；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项目绩效目标与实际工作内容是否具有相关性；</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项目预期产出效益和效果是否符合正常的业绩水平；</w:t>
            </w:r>
          </w:p>
          <w:p>
            <w:pPr>
              <w:widowControl/>
              <w:spacing w:line="0" w:lineRule="atLeast"/>
              <w:jc w:val="left"/>
              <w:rPr>
                <w:rFonts w:ascii="Times New Roman" w:hAnsi="Times New Roman" w:cs="Times New Roman"/>
                <w:color w:val="000000"/>
                <w:kern w:val="0"/>
                <w:sz w:val="22"/>
                <w:szCs w:val="22"/>
              </w:rPr>
            </w:pPr>
            <w:r>
              <w:rPr>
                <w:rFonts w:hint="eastAsia" w:ascii="宋体" w:hAnsi="宋体" w:cs="宋体"/>
                <w:color w:val="000000"/>
                <w:kern w:val="0"/>
                <w:sz w:val="22"/>
                <w:szCs w:val="22"/>
              </w:rPr>
              <w:t>④</w:t>
            </w:r>
            <w:r>
              <w:rPr>
                <w:rFonts w:ascii="宋体" w:hAnsi="宋体" w:cs="Times New Roman"/>
                <w:color w:val="000000"/>
                <w:kern w:val="0"/>
                <w:sz w:val="22"/>
                <w:szCs w:val="22"/>
              </w:rPr>
              <w:t>是否与预算确定的项目投资额或资金量相匹配。</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决策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绩效目标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绩效指标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明确性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是否将项目绩效目标细化分解为具体的绩效指标；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是否通过清晰、可衡量的指标值予以体现；</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是否与项目目标任务数或计划数相对应。</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资金投入</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预算编制</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科学性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预算编制是否经过科学论证；</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预算内容与项目内容是否匹配；</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预算额度测算依据是否充分，是否按照标准编制；</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预算确定的项目投资额或资金量是否与工作任务相匹配。</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资金分配</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预算资金分配依据是否充分；</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资金分配额度是否合理，与项目单位或地方实际是否相适应。</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过程</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资金到位率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资金到位率=</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预算资金）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预算资金：一定时期（本年度或项目期）内预算安排到具体项目的资金。</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预算执行率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项目预算资金是否按照计划执行，用以反映或考核项目预算执行情况。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预算执行率=</w:t>
            </w:r>
            <w:r>
              <w:rPr>
                <w:rFonts w:ascii="宋体" w:hAnsi="宋体" w:cs="Times New Roman"/>
                <w:color w:val="000000"/>
                <w:kern w:val="0"/>
                <w:sz w:val="22"/>
                <w:szCs w:val="22"/>
              </w:rPr>
              <w:t>（实际支出资金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实际支出资金：一定时期（本年度或项目期）内项目实际拨付的资金。</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过程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资金使用</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合规性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是否符合国家财经法规和财务管理制度以及有关专项资金管理办法的规定；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资金的拨付是否有完整的审批程序和手续；</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是否符合项目预算批复或合同规定的用途；</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是否存在截留、挤占、挪用、虚列支出等情况。</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组织实施</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管理制度</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健全性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是否已制定或具有相应的财务和业务管理制度；</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财务和业务管理制度是否合法、合规、完整。</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制度执行</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有效性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项目实施是否符合相关管理规定，用以反映和考核相关管理制度的有效执行情况。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是否遵守相关法律法规和相关管理规定；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项目调整及支出调整手续是否完备；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项目合同书、验收报告、技术鉴定等资料是否齐全并及时归档；</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项目实施的人员条件、场地设备、信息支撑等是否落实到位。</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产出数量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实际完成率=</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实际产出数：一定时期（本年度或项目期）内项目实际产出的产品或提供的服务数量。</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产出质量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质量达标率=</w:t>
            </w:r>
            <w:r>
              <w:rPr>
                <w:rFonts w:ascii="宋体" w:hAnsi="宋体" w:cs="Times New Roman"/>
                <w:color w:val="000000"/>
                <w:kern w:val="0"/>
                <w:sz w:val="22"/>
                <w:szCs w:val="22"/>
              </w:rPr>
              <w:t>（质量达标产出数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产出时效</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完成及时性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实际完成时间：项目实施单位完成该项目实际所耗用的时间。</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计划完成时间：按照项目实施计划或相关规定完成该项目所需的时间。</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产出成本</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成本节约率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成本节约率=[</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实际成本：项目实施单位如期、保质、保量完成既定工作目标实际所耗费的支出。</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计划成本：项目实施单位为完成工作目标计划安排的支出，一般以项目预算为参考。</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效益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项目效益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实施效益</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20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项目实施所产生的效益。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满意度</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社会公众或服务对象对项目实施效果的满意程度。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总分</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100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100</w:t>
            </w:r>
          </w:p>
        </w:tc>
      </w:tr>
    </w:tbl>
    <w:p>
      <w:pPr>
        <w:spacing w:line="560" w:lineRule="exact"/>
        <w:ind w:firstLine="200" w:firstLineChars="100"/>
        <w:rPr>
          <w:rFonts w:ascii="Times New Roman" w:hAnsi="Times New Roman" w:eastAsia="仿宋_GB2312" w:cs="Times New Roman"/>
          <w:sz w:val="20"/>
          <w:szCs w:val="20"/>
        </w:rPr>
      </w:pPr>
      <w:r>
        <w:rPr>
          <w:rFonts w:ascii="仿宋_GB2312" w:hAnsi="仿宋_GB2312" w:eastAsia="仿宋_GB2312" w:cs="Times New Roman"/>
          <w:sz w:val="20"/>
          <w:szCs w:val="20"/>
        </w:rPr>
        <w:t>注：单位可以根据专项资金的管理要求和绩效要求增设个性指标</w:t>
      </w:r>
      <w:r>
        <w:rPr>
          <w:rFonts w:hint="eastAsia" w:ascii="宋体" w:hAnsi="宋体" w:cs="宋体"/>
          <w:sz w:val="20"/>
          <w:szCs w:val="20"/>
        </w:rPr>
        <w:t>。</w:t>
      </w:r>
    </w:p>
    <w:p>
      <w:pPr>
        <w:widowControl/>
        <w:jc w:val="left"/>
        <w:rPr>
          <w:rFonts w:ascii="Times New Roman" w:hAnsi="Times New Roman" w:eastAsia="仿宋_GB2312" w:cs="Times New Roman"/>
          <w:bCs/>
          <w:color w:val="000000"/>
          <w:sz w:val="32"/>
          <w:szCs w:val="32"/>
        </w:rPr>
        <w:sectPr>
          <w:pgSz w:w="16838" w:h="11906" w:orient="landscape"/>
          <w:pgMar w:top="1531" w:right="1928" w:bottom="1531" w:left="1701" w:header="737" w:footer="851" w:gutter="0"/>
          <w:pgNumType w:fmt="decimal"/>
          <w:cols w:space="720" w:num="1"/>
          <w:docGrid w:type="lines" w:linePitch="408" w:charSpace="0"/>
        </w:sectPr>
      </w:pPr>
    </w:p>
    <w:p>
      <w:pPr>
        <w:keepNext w:val="0"/>
        <w:keepLines w:val="0"/>
        <w:pageBreakBefore w:val="0"/>
        <w:kinsoku/>
        <w:wordWrap/>
        <w:overflowPunct/>
        <w:topLinePunct w:val="0"/>
        <w:autoSpaceDE/>
        <w:autoSpaceDN/>
        <w:bidi w:val="0"/>
        <w:adjustRightInd/>
        <w:snapToGrid/>
        <w:spacing w:line="560" w:lineRule="exact"/>
        <w:textAlignment w:val="auto"/>
      </w:pPr>
    </w:p>
    <w:sectPr>
      <w:pgSz w:w="11906" w:h="16838"/>
      <w:pgMar w:top="2154" w:right="1531" w:bottom="1587"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1"/>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AB8"/>
    <w:rsid w:val="00191AB8"/>
    <w:rsid w:val="00686F37"/>
    <w:rsid w:val="00855BFD"/>
    <w:rsid w:val="00C15BB6"/>
    <w:rsid w:val="01B92B81"/>
    <w:rsid w:val="08BB3593"/>
    <w:rsid w:val="096C112F"/>
    <w:rsid w:val="0D1209A0"/>
    <w:rsid w:val="0DCC6DF2"/>
    <w:rsid w:val="0EC61E3A"/>
    <w:rsid w:val="14442082"/>
    <w:rsid w:val="16A76EF8"/>
    <w:rsid w:val="16F06A1C"/>
    <w:rsid w:val="1E206B67"/>
    <w:rsid w:val="1FAF330E"/>
    <w:rsid w:val="20C05DBA"/>
    <w:rsid w:val="27DF6CD0"/>
    <w:rsid w:val="2B2052F9"/>
    <w:rsid w:val="2CC75B6A"/>
    <w:rsid w:val="2D9B75C4"/>
    <w:rsid w:val="2DA56812"/>
    <w:rsid w:val="2E580E99"/>
    <w:rsid w:val="35805994"/>
    <w:rsid w:val="38863835"/>
    <w:rsid w:val="3A702339"/>
    <w:rsid w:val="41E07C44"/>
    <w:rsid w:val="44F712A9"/>
    <w:rsid w:val="4FA26C09"/>
    <w:rsid w:val="4FA318E1"/>
    <w:rsid w:val="53AE31AC"/>
    <w:rsid w:val="54FD4B04"/>
    <w:rsid w:val="550A1349"/>
    <w:rsid w:val="59754C8D"/>
    <w:rsid w:val="5AD05136"/>
    <w:rsid w:val="5C104010"/>
    <w:rsid w:val="5C1736A8"/>
    <w:rsid w:val="5DD7310F"/>
    <w:rsid w:val="5E907CE7"/>
    <w:rsid w:val="603C4D9E"/>
    <w:rsid w:val="64960006"/>
    <w:rsid w:val="65113490"/>
    <w:rsid w:val="65ED6BE9"/>
    <w:rsid w:val="6A7971A0"/>
    <w:rsid w:val="6B6D503A"/>
    <w:rsid w:val="6C8A55E3"/>
    <w:rsid w:val="6DF80F0E"/>
    <w:rsid w:val="6FAA2D15"/>
    <w:rsid w:val="712B05DA"/>
    <w:rsid w:val="71995387"/>
    <w:rsid w:val="747D4753"/>
    <w:rsid w:val="78163981"/>
    <w:rsid w:val="79213B49"/>
    <w:rsid w:val="7AE62B13"/>
    <w:rsid w:val="7DEF6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99"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4">
    <w:name w:val="heading 2"/>
    <w:basedOn w:val="1"/>
    <w:next w:val="1"/>
    <w:link w:val="13"/>
    <w:qFormat/>
    <w:uiPriority w:val="99"/>
    <w:pPr>
      <w:keepNext/>
      <w:keepLines/>
      <w:spacing w:before="260" w:after="260" w:line="412" w:lineRule="auto"/>
      <w:outlineLvl w:val="1"/>
    </w:pPr>
    <w:rPr>
      <w:rFonts w:ascii="Arial" w:hAnsi="Arial" w:eastAsia="黑体" w:cs="Arial"/>
      <w:b/>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3"/>
    <w:uiPriority w:val="0"/>
    <w:pPr>
      <w:widowControl w:val="0"/>
      <w:autoSpaceDE/>
      <w:autoSpaceDN/>
      <w:spacing w:before="0" w:after="0" w:line="240" w:lineRule="auto"/>
      <w:ind w:left="0" w:firstLine="5632"/>
    </w:pPr>
  </w:style>
  <w:style w:type="paragraph" w:styleId="3">
    <w:name w:val="index 5"/>
    <w:basedOn w:val="1"/>
    <w:next w:val="1"/>
    <w:qFormat/>
    <w:uiPriority w:val="99"/>
    <w:pPr>
      <w:ind w:left="1680"/>
    </w:pPr>
  </w:style>
  <w:style w:type="paragraph" w:styleId="5">
    <w:name w:val="Body Text"/>
    <w:basedOn w:val="1"/>
    <w:unhideWhenUsed/>
    <w:qFormat/>
    <w:uiPriority w:val="99"/>
    <w:pPr>
      <w:spacing w:after="120"/>
    </w:pPr>
  </w:style>
  <w:style w:type="paragraph" w:styleId="6">
    <w:name w:val="Balloon Text"/>
    <w:basedOn w:val="1"/>
    <w:link w:val="15"/>
    <w:semiHidden/>
    <w:unhideWhenUsed/>
    <w:qFormat/>
    <w:uiPriority w:val="99"/>
    <w:rPr>
      <w:sz w:val="18"/>
      <w:szCs w:val="18"/>
    </w:rPr>
  </w:style>
  <w:style w:type="paragraph" w:styleId="7">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Indent 3"/>
    <w:basedOn w:val="1"/>
    <w:qFormat/>
    <w:uiPriority w:val="0"/>
    <w:pPr>
      <w:spacing w:after="120"/>
      <w:ind w:left="420"/>
    </w:pPr>
    <w:rPr>
      <w:rFonts w:ascii="Times New Roman" w:hAnsi="Times New Roman" w:eastAsia="宋体"/>
      <w:sz w:val="24"/>
    </w:rPr>
  </w:style>
  <w:style w:type="paragraph" w:styleId="9">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0">
    <w:name w:val="Body Text First Indent"/>
    <w:basedOn w:val="5"/>
    <w:next w:val="8"/>
    <w:qFormat/>
    <w:uiPriority w:val="0"/>
    <w:pPr>
      <w:spacing w:after="0"/>
      <w:ind w:firstLine="420" w:firstLineChars="100"/>
    </w:pPr>
    <w:rPr>
      <w:rFonts w:ascii="Times New Roman" w:hAnsi="Times New Roman" w:eastAsia="宋体"/>
      <w:sz w:val="24"/>
    </w:rPr>
  </w:style>
  <w:style w:type="character" w:customStyle="1" w:styleId="13">
    <w:name w:val="标题 2 Char"/>
    <w:basedOn w:val="12"/>
    <w:link w:val="4"/>
    <w:qFormat/>
    <w:uiPriority w:val="99"/>
    <w:rPr>
      <w:rFonts w:ascii="Arial" w:hAnsi="Arial" w:eastAsia="黑体" w:cs="Arial"/>
      <w:b/>
      <w:sz w:val="32"/>
      <w:szCs w:val="32"/>
    </w:rPr>
  </w:style>
  <w:style w:type="paragraph" w:styleId="14">
    <w:name w:val="No Spacing"/>
    <w:basedOn w:val="1"/>
    <w:qFormat/>
    <w:uiPriority w:val="99"/>
  </w:style>
  <w:style w:type="character" w:customStyle="1" w:styleId="15">
    <w:name w:val="批注框文本 Char"/>
    <w:basedOn w:val="12"/>
    <w:link w:val="6"/>
    <w:semiHidden/>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608</Words>
  <Characters>3470</Characters>
  <Lines>28</Lines>
  <Paragraphs>8</Paragraphs>
  <TotalTime>11</TotalTime>
  <ScaleCrop>false</ScaleCrop>
  <LinksUpToDate>false</LinksUpToDate>
  <CharactersWithSpaces>4070</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2021-07-26T03:17:00Z</dcterms:created>
  <dc:creator>Administrator</dc:creator>
  <cp:lastModifiedBy>梅子花开</cp:lastModifiedBy>
  <cp:lastPrinted>2021-08-02T06:18:45Z</cp:lastPrinted>
  <dcterms:modified xsi:type="dcterms:W3CDTF">2021-08-02T06:20:12Z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894F1CE174B54A57A70228E2CAEC59B0</vt:lpwstr>
  </property>
  <property fmtid="{D5CDD505-2E9C-101B-9397-08002B2CF9AE}" pid="4" name="KSOSaveFontToCloudKey">
    <vt:lpwstr>236881808_btnclosed</vt:lpwstr>
  </property>
</Properties>
</file>