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line="510" w:lineRule="exact"/>
        <w:ind w:firstLine="880" w:firstLineChars="200"/>
        <w:jc w:val="both"/>
        <w:rPr>
          <w:rFonts w:hint="eastAsia" w:ascii="黑体" w:hAnsi="黑体" w:eastAsia="黑体" w:cs="Times New Roman"/>
          <w:sz w:val="44"/>
          <w:szCs w:val="44"/>
        </w:rPr>
      </w:pPr>
      <w:bookmarkStart w:id="0" w:name="_GoBack"/>
      <w:bookmarkEnd w:id="0"/>
      <w:r>
        <w:rPr>
          <w:rFonts w:hint="eastAsia" w:ascii="黑体" w:hAnsi="黑体" w:eastAsia="黑体" w:cs="Times New Roman"/>
          <w:sz w:val="44"/>
          <w:szCs w:val="44"/>
        </w:rPr>
        <w:t>中方县</w:t>
      </w:r>
      <w:r>
        <w:rPr>
          <w:rFonts w:hint="eastAsia" w:ascii="黑体" w:hAnsi="黑体" w:eastAsia="黑体" w:cs="Times New Roman"/>
          <w:sz w:val="44"/>
          <w:szCs w:val="44"/>
          <w:lang w:eastAsia="zh-CN"/>
        </w:rPr>
        <w:t>发展和改革局</w:t>
      </w:r>
      <w:r>
        <w:rPr>
          <w:rFonts w:hint="eastAsia" w:ascii="黑体" w:hAnsi="黑体" w:eastAsia="黑体" w:cs="Times New Roman"/>
          <w:sz w:val="44"/>
          <w:szCs w:val="44"/>
          <w:lang w:val="en-US" w:eastAsia="zh-CN"/>
        </w:rPr>
        <w:t>2020年度</w:t>
      </w:r>
      <w:r>
        <w:rPr>
          <w:rFonts w:hint="eastAsia" w:ascii="黑体" w:hAnsi="黑体" w:eastAsia="黑体" w:cs="Times New Roman"/>
          <w:sz w:val="44"/>
          <w:szCs w:val="44"/>
        </w:rPr>
        <w:t>易地</w:t>
      </w:r>
    </w:p>
    <w:p>
      <w:pPr>
        <w:pStyle w:val="9"/>
        <w:spacing w:line="510" w:lineRule="exact"/>
        <w:jc w:val="both"/>
        <w:rPr>
          <w:rFonts w:hint="eastAsia" w:ascii="黑体" w:hAnsi="黑体" w:eastAsia="黑体" w:cs="Times New Roman"/>
          <w:sz w:val="44"/>
          <w:szCs w:val="44"/>
        </w:rPr>
      </w:pPr>
      <w:r>
        <w:rPr>
          <w:rFonts w:hint="eastAsia" w:ascii="黑体" w:hAnsi="黑体" w:eastAsia="黑体" w:cs="Times New Roman"/>
          <w:sz w:val="44"/>
          <w:szCs w:val="44"/>
        </w:rPr>
        <w:t>扶贫搬迁工作经费项目支出绩效</w:t>
      </w:r>
      <w:r>
        <w:rPr>
          <w:rFonts w:hint="eastAsia" w:ascii="黑体" w:hAnsi="黑体" w:eastAsia="黑体" w:cs="Times New Roman"/>
          <w:sz w:val="44"/>
          <w:szCs w:val="44"/>
          <w:lang w:eastAsia="zh-CN"/>
        </w:rPr>
        <w:t>自</w:t>
      </w:r>
      <w:r>
        <w:rPr>
          <w:rFonts w:hint="eastAsia" w:ascii="黑体" w:hAnsi="黑体" w:eastAsia="黑体" w:cs="Times New Roman"/>
          <w:sz w:val="44"/>
          <w:szCs w:val="44"/>
        </w:rPr>
        <w:t>评报告</w:t>
      </w:r>
    </w:p>
    <w:p>
      <w:pPr>
        <w:pStyle w:val="9"/>
        <w:spacing w:line="510" w:lineRule="exact"/>
        <w:jc w:val="both"/>
        <w:rPr>
          <w:rFonts w:hint="eastAsia" w:ascii="黑体" w:hAnsi="黑体" w:eastAsia="黑体" w:cs="Times New Roman"/>
          <w:sz w:val="44"/>
          <w:szCs w:val="44"/>
        </w:rPr>
      </w:pPr>
    </w:p>
    <w:p>
      <w:pPr>
        <w:pStyle w:val="9"/>
        <w:spacing w:line="510" w:lineRule="exact"/>
        <w:ind w:firstLine="643" w:firstLineChars="200"/>
        <w:rPr>
          <w:rFonts w:hint="eastAsia" w:ascii="宋体" w:hAnsi="宋体" w:eastAsia="宋体" w:cs="宋体"/>
          <w:b/>
          <w:bCs w:val="0"/>
          <w:sz w:val="32"/>
          <w:szCs w:val="32"/>
        </w:rPr>
      </w:pPr>
      <w:r>
        <w:rPr>
          <w:rFonts w:hint="eastAsia" w:ascii="宋体" w:hAnsi="宋体" w:eastAsia="宋体" w:cs="宋体"/>
          <w:b/>
          <w:bCs w:val="0"/>
          <w:sz w:val="32"/>
          <w:szCs w:val="32"/>
        </w:rPr>
        <w:t>一、基本情况</w:t>
      </w:r>
    </w:p>
    <w:p>
      <w:pPr>
        <w:pStyle w:val="9"/>
        <w:spacing w:line="510" w:lineRule="exact"/>
        <w:ind w:firstLine="640" w:firstLineChars="200"/>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rPr>
        <w:t>（一）项目概况。</w:t>
      </w:r>
      <w:r>
        <w:rPr>
          <w:rFonts w:hint="eastAsia" w:ascii="宋体" w:hAnsi="宋体" w:eastAsia="宋体" w:cs="宋体"/>
          <w:b w:val="0"/>
          <w:bCs w:val="0"/>
          <w:color w:val="000000"/>
          <w:sz w:val="32"/>
          <w:szCs w:val="32"/>
        </w:rPr>
        <w:t>全县“十三五”期间搬迁建档立卡1009户3840人，其中集中安置819户3129人，分散安置190户711人，农村安置185户690人，城镇安置824户3150人。</w:t>
      </w:r>
      <w:r>
        <w:rPr>
          <w:rFonts w:hint="eastAsia" w:ascii="宋体" w:hAnsi="宋体" w:eastAsia="宋体" w:cs="宋体"/>
          <w:b w:val="0"/>
          <w:bCs w:val="0"/>
          <w:color w:val="000000"/>
          <w:sz w:val="32"/>
          <w:szCs w:val="32"/>
          <w:lang w:val="en-US" w:eastAsia="zh-CN"/>
        </w:rPr>
        <w:t>2020年支付易地搬迁工作经费及三个社区经费、就业补助费、易地搬迁扶贫遗留问题等共90.94万元。</w:t>
      </w:r>
    </w:p>
    <w:p>
      <w:pPr>
        <w:spacing w:line="560" w:lineRule="exact"/>
        <w:ind w:firstLine="640" w:firstLineChars="200"/>
        <w:rPr>
          <w:rFonts w:hint="eastAsia" w:ascii="宋体" w:hAnsi="宋体" w:eastAsia="宋体" w:cs="宋体"/>
          <w:sz w:val="32"/>
          <w:szCs w:val="32"/>
        </w:rPr>
      </w:pPr>
      <w:r>
        <w:rPr>
          <w:rFonts w:hint="eastAsia" w:ascii="宋体" w:hAnsi="宋体" w:eastAsia="宋体" w:cs="宋体"/>
          <w:b w:val="0"/>
          <w:bCs w:val="0"/>
          <w:sz w:val="32"/>
          <w:szCs w:val="32"/>
        </w:rPr>
        <w:t>（二）项目绩效目标。</w:t>
      </w:r>
      <w:r>
        <w:rPr>
          <w:rFonts w:hint="eastAsia" w:ascii="宋体" w:hAnsi="宋体" w:eastAsia="宋体" w:cs="宋体"/>
          <w:b w:val="0"/>
          <w:bCs w:val="0"/>
          <w:color w:val="000000"/>
          <w:sz w:val="32"/>
          <w:szCs w:val="32"/>
        </w:rPr>
        <w:t>全县</w:t>
      </w:r>
      <w:r>
        <w:rPr>
          <w:rFonts w:hint="eastAsia" w:ascii="宋体" w:hAnsi="宋体" w:eastAsia="宋体" w:cs="宋体"/>
          <w:color w:val="000000"/>
          <w:sz w:val="32"/>
          <w:szCs w:val="32"/>
        </w:rPr>
        <w:t>搬迁安置1009户，2014年至2020年7年来，每年分别脱贫38户、41户、203户、709户、10户、1户、7户，2020年底全部脱贫，脱贫率100%。相比搬迁前，搬迁后有效改善搬迁家庭生产生活条件，有稳定可持续的家庭经济收入，有完善公共服务保障，迅速融入安置地生活，实现“搬得出、稳得住、可致富”的搬迁脱贫目标。</w:t>
      </w:r>
    </w:p>
    <w:p>
      <w:pPr>
        <w:pStyle w:val="9"/>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二、绩效评价工作开展情况</w:t>
      </w:r>
    </w:p>
    <w:p>
      <w:pPr>
        <w:pStyle w:val="9"/>
        <w:spacing w:line="510" w:lineRule="exact"/>
        <w:ind w:firstLine="640" w:firstLineChars="200"/>
        <w:rPr>
          <w:rFonts w:hint="eastAsia" w:ascii="宋体" w:hAnsi="宋体" w:eastAsia="宋体" w:cs="宋体"/>
          <w:b w:val="0"/>
          <w:bCs w:val="0"/>
          <w:sz w:val="32"/>
          <w:szCs w:val="32"/>
        </w:rPr>
      </w:pPr>
      <w:r>
        <w:rPr>
          <w:rFonts w:hint="eastAsia" w:ascii="宋体" w:hAnsi="宋体" w:eastAsia="宋体" w:cs="宋体"/>
          <w:b w:val="0"/>
          <w:bCs w:val="0"/>
          <w:sz w:val="32"/>
          <w:szCs w:val="32"/>
        </w:rPr>
        <w:t>（一）绩效评价目的、对象和范围。</w:t>
      </w:r>
    </w:p>
    <w:p>
      <w:pPr>
        <w:pStyle w:val="9"/>
        <w:spacing w:line="510" w:lineRule="exact"/>
        <w:ind w:firstLine="640" w:firstLineChars="200"/>
        <w:rPr>
          <w:rFonts w:hint="eastAsia" w:ascii="宋体" w:hAnsi="宋体" w:eastAsia="宋体" w:cs="宋体"/>
          <w:b w:val="0"/>
          <w:bCs w:val="0"/>
          <w:sz w:val="32"/>
          <w:szCs w:val="32"/>
        </w:rPr>
      </w:pPr>
      <w:r>
        <w:rPr>
          <w:rFonts w:hint="eastAsia" w:ascii="宋体" w:hAnsi="宋体" w:eastAsia="宋体" w:cs="宋体"/>
          <w:b w:val="0"/>
          <w:bCs w:val="0"/>
          <w:sz w:val="32"/>
          <w:szCs w:val="32"/>
        </w:rPr>
        <w:t>评价的目的是为了全县易地扶贫搬迁户</w:t>
      </w:r>
      <w:r>
        <w:rPr>
          <w:rFonts w:hint="eastAsia" w:ascii="宋体" w:hAnsi="宋体" w:eastAsia="宋体" w:cs="宋体"/>
          <w:b w:val="0"/>
          <w:bCs w:val="0"/>
          <w:color w:val="000000"/>
          <w:sz w:val="32"/>
          <w:szCs w:val="32"/>
        </w:rPr>
        <w:t>全部脱贫，评价对象和范围为1009户3840搬迁群众。</w:t>
      </w:r>
    </w:p>
    <w:p>
      <w:pPr>
        <w:pStyle w:val="9"/>
        <w:numPr>
          <w:ilvl w:val="0"/>
          <w:numId w:val="1"/>
        </w:numPr>
        <w:spacing w:line="510" w:lineRule="exact"/>
        <w:ind w:firstLine="640" w:firstLineChars="200"/>
        <w:rPr>
          <w:rFonts w:hint="eastAsia" w:ascii="宋体" w:hAnsi="宋体" w:eastAsia="宋体" w:cs="宋体"/>
          <w:b w:val="0"/>
          <w:bCs w:val="0"/>
          <w:sz w:val="32"/>
          <w:szCs w:val="32"/>
        </w:rPr>
      </w:pPr>
      <w:r>
        <w:rPr>
          <w:rFonts w:hint="eastAsia" w:ascii="宋体" w:hAnsi="宋体" w:eastAsia="宋体" w:cs="宋体"/>
          <w:b w:val="0"/>
          <w:bCs w:val="0"/>
          <w:sz w:val="32"/>
          <w:szCs w:val="32"/>
        </w:rPr>
        <w:t>绩效评价原则、评价指标体系（附表说明）、评价方法、评价标准等。</w:t>
      </w:r>
    </w:p>
    <w:p>
      <w:pPr>
        <w:pStyle w:val="9"/>
        <w:spacing w:line="510" w:lineRule="exact"/>
        <w:rPr>
          <w:rFonts w:hint="eastAsia" w:ascii="宋体" w:hAnsi="宋体" w:eastAsia="宋体" w:cs="宋体"/>
          <w:b w:val="0"/>
          <w:bCs w:val="0"/>
          <w:sz w:val="32"/>
          <w:szCs w:val="32"/>
        </w:rPr>
      </w:pPr>
      <w:r>
        <w:rPr>
          <w:rFonts w:hint="eastAsia" w:ascii="宋体" w:hAnsi="宋体" w:eastAsia="宋体" w:cs="宋体"/>
          <w:b w:val="0"/>
          <w:bCs w:val="0"/>
          <w:sz w:val="32"/>
          <w:szCs w:val="32"/>
        </w:rPr>
        <w:t xml:space="preserve">    主要从住房建设、配套设施完善、生活便利、就业方便等方式进行综合评分。</w:t>
      </w:r>
    </w:p>
    <w:p>
      <w:pPr>
        <w:pStyle w:val="9"/>
        <w:numPr>
          <w:ilvl w:val="0"/>
          <w:numId w:val="1"/>
        </w:numPr>
        <w:spacing w:line="510" w:lineRule="exact"/>
        <w:ind w:firstLine="640" w:firstLineChars="200"/>
        <w:rPr>
          <w:rFonts w:hint="eastAsia" w:ascii="宋体" w:hAnsi="宋体" w:eastAsia="宋体" w:cs="宋体"/>
          <w:b w:val="0"/>
          <w:bCs w:val="0"/>
          <w:sz w:val="32"/>
          <w:szCs w:val="32"/>
        </w:rPr>
      </w:pPr>
      <w:r>
        <w:rPr>
          <w:rFonts w:hint="eastAsia" w:ascii="宋体" w:hAnsi="宋体" w:eastAsia="宋体" w:cs="宋体"/>
          <w:b w:val="0"/>
          <w:bCs w:val="0"/>
          <w:sz w:val="32"/>
          <w:szCs w:val="32"/>
        </w:rPr>
        <w:t>绩效评价工作过程。</w:t>
      </w:r>
    </w:p>
    <w:p>
      <w:pPr>
        <w:pStyle w:val="9"/>
        <w:spacing w:line="51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县易地扶贫搬迁联席办作为该项目的监督责任单位，负责对该项目进行绩效评价，绩效评价现场由县发展和改革局、财政局相关股室负责同志参加，通过查阅资料、收付款凭据等资料进行绩效复核。</w:t>
      </w:r>
    </w:p>
    <w:p>
      <w:pPr>
        <w:pStyle w:val="9"/>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三、综合评价情况及评价结论</w:t>
      </w:r>
    </w:p>
    <w:p>
      <w:pPr>
        <w:pStyle w:val="9"/>
        <w:spacing w:line="51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绩效评价综合评分为优秀，分数为：100分。</w:t>
      </w:r>
    </w:p>
    <w:p>
      <w:pPr>
        <w:pStyle w:val="9"/>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四、绩效评价指标分析</w:t>
      </w:r>
    </w:p>
    <w:p>
      <w:pPr>
        <w:pStyle w:val="9"/>
        <w:spacing w:line="510" w:lineRule="exact"/>
        <w:ind w:firstLine="320" w:firstLineChars="100"/>
        <w:rPr>
          <w:rFonts w:hint="eastAsia" w:ascii="宋体" w:hAnsi="宋体" w:eastAsia="宋体" w:cs="宋体"/>
          <w:sz w:val="32"/>
          <w:szCs w:val="32"/>
        </w:rPr>
      </w:pPr>
      <w:r>
        <w:rPr>
          <w:rFonts w:hint="eastAsia" w:ascii="宋体" w:hAnsi="宋体" w:eastAsia="宋体" w:cs="宋体"/>
          <w:sz w:val="32"/>
          <w:szCs w:val="32"/>
        </w:rPr>
        <w:t>（一）项目决策情况。</w:t>
      </w:r>
    </w:p>
    <w:p>
      <w:pPr>
        <w:pStyle w:val="9"/>
        <w:spacing w:line="51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该项目由县易地扶贫搬迁联席办依照上级文件指示落实相关工作，报请县委、县政府通过后再进行后续扶持工作。</w:t>
      </w:r>
    </w:p>
    <w:p>
      <w:pPr>
        <w:pStyle w:val="9"/>
        <w:spacing w:line="510" w:lineRule="exact"/>
        <w:ind w:firstLine="320" w:firstLineChars="100"/>
        <w:rPr>
          <w:rFonts w:hint="eastAsia" w:ascii="宋体" w:hAnsi="宋体" w:eastAsia="宋体" w:cs="宋体"/>
          <w:sz w:val="32"/>
          <w:szCs w:val="32"/>
        </w:rPr>
      </w:pPr>
      <w:r>
        <w:rPr>
          <w:rFonts w:hint="eastAsia" w:ascii="宋体" w:hAnsi="宋体" w:eastAsia="宋体" w:cs="宋体"/>
          <w:sz w:val="32"/>
          <w:szCs w:val="32"/>
        </w:rPr>
        <w:t>（二）项目过程情况。</w:t>
      </w:r>
    </w:p>
    <w:p>
      <w:pPr>
        <w:pStyle w:val="9"/>
        <w:spacing w:line="510" w:lineRule="exact"/>
        <w:rPr>
          <w:rFonts w:hint="eastAsia" w:ascii="宋体" w:hAnsi="宋体" w:eastAsia="宋体" w:cs="宋体"/>
          <w:sz w:val="32"/>
          <w:szCs w:val="32"/>
        </w:rPr>
      </w:pPr>
      <w:r>
        <w:rPr>
          <w:rFonts w:hint="eastAsia" w:ascii="宋体" w:hAnsi="宋体" w:eastAsia="宋体" w:cs="宋体"/>
          <w:sz w:val="32"/>
          <w:szCs w:val="32"/>
        </w:rPr>
        <w:t>项目实施由县易地扶贫搬迁联席办主导实施</w:t>
      </w:r>
    </w:p>
    <w:p>
      <w:pPr>
        <w:pStyle w:val="9"/>
        <w:spacing w:line="510" w:lineRule="exact"/>
        <w:ind w:firstLine="320" w:firstLineChars="100"/>
        <w:rPr>
          <w:rFonts w:hint="eastAsia" w:ascii="宋体" w:hAnsi="宋体" w:eastAsia="宋体" w:cs="宋体"/>
          <w:sz w:val="32"/>
          <w:szCs w:val="32"/>
        </w:rPr>
      </w:pPr>
      <w:r>
        <w:rPr>
          <w:rFonts w:hint="eastAsia" w:ascii="宋体" w:hAnsi="宋体" w:eastAsia="宋体" w:cs="宋体"/>
          <w:sz w:val="32"/>
          <w:szCs w:val="32"/>
        </w:rPr>
        <w:t>（三）项目产出情况。</w:t>
      </w:r>
    </w:p>
    <w:p>
      <w:pPr>
        <w:pStyle w:val="9"/>
        <w:spacing w:line="510" w:lineRule="exact"/>
        <w:ind w:firstLine="640" w:firstLineChars="200"/>
        <w:rPr>
          <w:rFonts w:hint="eastAsia" w:ascii="宋体" w:hAnsi="宋体" w:eastAsia="宋体" w:cs="宋体"/>
          <w:bCs/>
          <w:sz w:val="32"/>
          <w:szCs w:val="32"/>
        </w:rPr>
      </w:pPr>
      <w:r>
        <w:rPr>
          <w:rFonts w:hint="eastAsia" w:ascii="宋体" w:hAnsi="宋体" w:eastAsia="宋体" w:cs="宋体"/>
          <w:sz w:val="32"/>
          <w:szCs w:val="32"/>
        </w:rPr>
        <w:t>得到县级资金90.94万元，用于全县1009户3840搬迁群众后续扶持工作，</w:t>
      </w:r>
      <w:r>
        <w:rPr>
          <w:rFonts w:hint="eastAsia" w:ascii="宋体" w:hAnsi="宋体" w:eastAsia="宋体" w:cs="宋体"/>
          <w:bCs/>
          <w:sz w:val="32"/>
          <w:szCs w:val="32"/>
        </w:rPr>
        <w:t>落实“二十条”后续帮扶措施，搬迁群众安居乐业。</w:t>
      </w:r>
    </w:p>
    <w:p>
      <w:pPr>
        <w:pStyle w:val="9"/>
        <w:spacing w:line="510" w:lineRule="exact"/>
        <w:ind w:firstLine="320" w:firstLineChars="100"/>
        <w:rPr>
          <w:rFonts w:hint="eastAsia" w:ascii="宋体" w:hAnsi="宋体" w:eastAsia="宋体" w:cs="宋体"/>
          <w:sz w:val="32"/>
          <w:szCs w:val="32"/>
        </w:rPr>
      </w:pPr>
      <w:r>
        <w:rPr>
          <w:rFonts w:hint="eastAsia" w:ascii="宋体" w:hAnsi="宋体" w:eastAsia="宋体" w:cs="宋体"/>
          <w:sz w:val="32"/>
          <w:szCs w:val="32"/>
        </w:rPr>
        <w:t>（四）项目效益情况。</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通过该项目实施，完善了各集中安置点配套设施以及社区服务管理等工作，促进易地搬迁同乡村振兴有机衔接，巩固易地扶贫搬迁脱贫成果，确保搬迁群众同全国人民一起共同迈入小康。</w:t>
      </w:r>
    </w:p>
    <w:p>
      <w:pPr>
        <w:pStyle w:val="9"/>
        <w:numPr>
          <w:ilvl w:val="0"/>
          <w:numId w:val="2"/>
        </w:numPr>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主要经验及做法、存在的问题及原因分析</w:t>
      </w:r>
    </w:p>
    <w:p>
      <w:pPr>
        <w:pStyle w:val="9"/>
        <w:numPr>
          <w:ilvl w:val="0"/>
          <w:numId w:val="3"/>
        </w:numPr>
        <w:spacing w:line="510" w:lineRule="exact"/>
        <w:rPr>
          <w:rFonts w:hint="eastAsia" w:ascii="宋体" w:hAnsi="宋体" w:eastAsia="宋体" w:cs="宋体"/>
          <w:b w:val="0"/>
          <w:bCs/>
          <w:sz w:val="32"/>
          <w:szCs w:val="32"/>
        </w:rPr>
      </w:pPr>
      <w:r>
        <w:rPr>
          <w:rFonts w:hint="eastAsia" w:ascii="宋体" w:hAnsi="宋体" w:eastAsia="宋体" w:cs="宋体"/>
          <w:b w:val="0"/>
          <w:bCs/>
          <w:sz w:val="32"/>
          <w:szCs w:val="32"/>
        </w:rPr>
        <w:t>主要经验：</w:t>
      </w:r>
    </w:p>
    <w:p>
      <w:pPr>
        <w:spacing w:line="560" w:lineRule="exact"/>
        <w:ind w:firstLine="640" w:firstLineChars="200"/>
        <w:rPr>
          <w:rFonts w:hint="eastAsia" w:ascii="宋体" w:hAnsi="宋体" w:eastAsia="宋体" w:cs="宋体"/>
          <w:b w:val="0"/>
          <w:bCs/>
          <w:color w:val="000000"/>
          <w:sz w:val="32"/>
          <w:szCs w:val="32"/>
        </w:rPr>
      </w:pPr>
      <w:r>
        <w:rPr>
          <w:rFonts w:hint="eastAsia" w:ascii="宋体" w:hAnsi="宋体" w:eastAsia="宋体" w:cs="宋体"/>
          <w:b w:val="0"/>
          <w:bCs/>
          <w:sz w:val="32"/>
          <w:szCs w:val="32"/>
          <w:lang w:eastAsia="zh-CN"/>
        </w:rPr>
        <w:t>（</w:t>
      </w:r>
      <w:r>
        <w:rPr>
          <w:rFonts w:hint="eastAsia" w:ascii="宋体" w:hAnsi="宋体" w:eastAsia="宋体" w:cs="宋体"/>
          <w:b w:val="0"/>
          <w:bCs/>
          <w:sz w:val="32"/>
          <w:szCs w:val="32"/>
        </w:rPr>
        <w:t>一</w:t>
      </w:r>
      <w:r>
        <w:rPr>
          <w:rFonts w:hint="eastAsia" w:ascii="宋体" w:hAnsi="宋体" w:eastAsia="宋体" w:cs="宋体"/>
          <w:b w:val="0"/>
          <w:bCs/>
          <w:sz w:val="32"/>
          <w:szCs w:val="32"/>
          <w:lang w:eastAsia="zh-CN"/>
        </w:rPr>
        <w:t>）</w:t>
      </w:r>
      <w:r>
        <w:rPr>
          <w:rFonts w:hint="eastAsia" w:ascii="宋体" w:hAnsi="宋体" w:eastAsia="宋体" w:cs="宋体"/>
          <w:b w:val="0"/>
          <w:bCs/>
          <w:sz w:val="32"/>
          <w:szCs w:val="32"/>
        </w:rPr>
        <w:t>是</w:t>
      </w:r>
      <w:r>
        <w:rPr>
          <w:rFonts w:hint="eastAsia" w:ascii="宋体" w:hAnsi="宋体" w:eastAsia="宋体" w:cs="宋体"/>
          <w:b w:val="0"/>
          <w:bCs/>
          <w:color w:val="000000"/>
          <w:sz w:val="32"/>
          <w:szCs w:val="32"/>
        </w:rPr>
        <w:t>党建引领夯基础，坚定跟党走的信心。充分发挥党组织统筹各方、整合资源的关键作用，形成工作合力。以安置地域为基准点，集中安置区纳入现居地社区统一管理，成立社区易地扶贫搬迁党支部，从县直单位选派第一书记，同步组建居民自治组织。整合安置地乡镇、县直业务部门、社区、群团组织和企业力量，形成“五级”联动后续服务管理体系。安置地社区派驻易地扶贫搬迁工作队，打破地域、户籍界限，搬迁群众日常管理工作由安置点社区负责，落实菜地、物业费、电费等优惠扶持政20项，盘活流转承包地、山林地、宅基地，统筹就业、就学、就医，衔接低保、医保、养老保险，确保群众不出社区就能办好事情。在党的坚强领导下，搬迁群众增强凝聚力、团结力、向心力，从内心深处认同党的领导。</w:t>
      </w:r>
    </w:p>
    <w:p>
      <w:pPr>
        <w:spacing w:line="560" w:lineRule="exact"/>
        <w:ind w:firstLine="640" w:firstLineChars="200"/>
        <w:rPr>
          <w:rFonts w:hint="eastAsia" w:ascii="宋体" w:hAnsi="宋体" w:eastAsia="宋体" w:cs="宋体"/>
          <w:b w:val="0"/>
          <w:bCs/>
          <w:sz w:val="32"/>
          <w:szCs w:val="32"/>
        </w:rPr>
      </w:pPr>
      <w:r>
        <w:rPr>
          <w:rFonts w:hint="eastAsia" w:ascii="宋体" w:hAnsi="宋体" w:eastAsia="宋体" w:cs="宋体"/>
          <w:b w:val="0"/>
          <w:bCs/>
          <w:color w:val="000000"/>
          <w:sz w:val="32"/>
          <w:szCs w:val="32"/>
          <w:lang w:eastAsia="zh-CN"/>
        </w:rPr>
        <w:t>（</w:t>
      </w:r>
      <w:r>
        <w:rPr>
          <w:rFonts w:hint="eastAsia" w:ascii="宋体" w:hAnsi="宋体" w:eastAsia="宋体" w:cs="宋体"/>
          <w:b w:val="0"/>
          <w:bCs/>
          <w:color w:val="000000"/>
          <w:sz w:val="32"/>
          <w:szCs w:val="32"/>
        </w:rPr>
        <w:t>二</w:t>
      </w:r>
      <w:r>
        <w:rPr>
          <w:rFonts w:hint="eastAsia" w:ascii="宋体" w:hAnsi="宋体" w:eastAsia="宋体" w:cs="宋体"/>
          <w:b w:val="0"/>
          <w:bCs/>
          <w:color w:val="000000"/>
          <w:sz w:val="32"/>
          <w:szCs w:val="32"/>
          <w:lang w:eastAsia="zh-CN"/>
        </w:rPr>
        <w:t>）</w:t>
      </w:r>
      <w:r>
        <w:rPr>
          <w:rFonts w:hint="eastAsia" w:ascii="宋体" w:hAnsi="宋体" w:eastAsia="宋体" w:cs="宋体"/>
          <w:b w:val="0"/>
          <w:bCs/>
          <w:color w:val="000000"/>
          <w:sz w:val="32"/>
          <w:szCs w:val="32"/>
        </w:rPr>
        <w:t>是产业促就业，“造血”实现可持续发展。土地是农民的命根子，乡愁是植根于搬迁群众内心深处的灵魂。中方县充分尊重搬迁群众传统生产习俗，在产业发展中注入乡愁文化，以承包地、山林地、宅基地为产业发展基础，通过流转、质押、合作，大力鼓励发展种植、养殖等自主产业，离乡不离土，保持传统生产生活方式的有效延续。</w:t>
      </w:r>
    </w:p>
    <w:p>
      <w:pPr>
        <w:pStyle w:val="9"/>
        <w:numPr>
          <w:ilvl w:val="0"/>
          <w:numId w:val="2"/>
        </w:numPr>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有关建议</w:t>
      </w:r>
    </w:p>
    <w:p>
      <w:pPr>
        <w:pStyle w:val="9"/>
        <w:spacing w:line="510" w:lineRule="exact"/>
        <w:ind w:left="420" w:leftChars="200"/>
        <w:rPr>
          <w:rFonts w:hint="eastAsia" w:ascii="宋体" w:hAnsi="宋体" w:eastAsia="宋体" w:cs="宋体"/>
          <w:b w:val="0"/>
          <w:bCs/>
          <w:sz w:val="32"/>
          <w:szCs w:val="32"/>
        </w:rPr>
      </w:pPr>
      <w:r>
        <w:rPr>
          <w:rFonts w:hint="eastAsia" w:ascii="宋体" w:hAnsi="宋体" w:eastAsia="宋体" w:cs="宋体"/>
          <w:b/>
          <w:sz w:val="32"/>
          <w:szCs w:val="32"/>
        </w:rPr>
        <w:t xml:space="preserve">  </w:t>
      </w:r>
      <w:r>
        <w:rPr>
          <w:rFonts w:hint="eastAsia" w:ascii="宋体" w:hAnsi="宋体" w:eastAsia="宋体" w:cs="宋体"/>
          <w:b w:val="0"/>
          <w:bCs/>
          <w:sz w:val="32"/>
          <w:szCs w:val="32"/>
        </w:rPr>
        <w:t>无</w:t>
      </w:r>
    </w:p>
    <w:p>
      <w:pPr>
        <w:pStyle w:val="9"/>
        <w:numPr>
          <w:ilvl w:val="0"/>
          <w:numId w:val="2"/>
        </w:numPr>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其他需要说明的问题</w:t>
      </w:r>
    </w:p>
    <w:p>
      <w:pPr>
        <w:pStyle w:val="9"/>
        <w:spacing w:line="510" w:lineRule="exact"/>
        <w:ind w:left="420" w:leftChars="200"/>
        <w:rPr>
          <w:rFonts w:hint="eastAsia" w:ascii="宋体" w:hAnsi="宋体" w:eastAsia="宋体" w:cs="宋体"/>
          <w:b w:val="0"/>
          <w:bCs/>
          <w:sz w:val="32"/>
          <w:szCs w:val="32"/>
        </w:rPr>
      </w:pPr>
      <w:r>
        <w:rPr>
          <w:rFonts w:hint="eastAsia" w:ascii="宋体" w:hAnsi="宋体" w:eastAsia="宋体" w:cs="宋体"/>
          <w:b/>
          <w:sz w:val="32"/>
          <w:szCs w:val="32"/>
        </w:rPr>
        <w:t xml:space="preserve">  </w:t>
      </w:r>
      <w:r>
        <w:rPr>
          <w:rFonts w:hint="eastAsia" w:ascii="宋体" w:hAnsi="宋体" w:eastAsia="宋体" w:cs="宋体"/>
          <w:b w:val="0"/>
          <w:bCs/>
          <w:sz w:val="32"/>
          <w:szCs w:val="32"/>
        </w:rPr>
        <w:t>无</w:t>
      </w:r>
    </w:p>
    <w:p>
      <w:pPr>
        <w:widowControl/>
        <w:spacing w:line="510" w:lineRule="exact"/>
        <w:ind w:firstLine="645"/>
        <w:jc w:val="left"/>
        <w:rPr>
          <w:rFonts w:hint="eastAsia" w:ascii="宋体" w:hAnsi="宋体" w:eastAsia="宋体" w:cs="宋体"/>
          <w:sz w:val="32"/>
          <w:szCs w:val="32"/>
        </w:rPr>
      </w:pPr>
      <w:r>
        <w:rPr>
          <w:rFonts w:hint="eastAsia" w:ascii="宋体" w:hAnsi="宋体" w:eastAsia="宋体" w:cs="宋体"/>
          <w:sz w:val="32"/>
          <w:szCs w:val="32"/>
        </w:rPr>
        <w:t>附件：1.项目支出绩效自评表</w:t>
      </w:r>
    </w:p>
    <w:p>
      <w:pPr>
        <w:widowControl/>
        <w:spacing w:line="510" w:lineRule="exact"/>
        <w:ind w:firstLine="1600" w:firstLineChars="500"/>
        <w:jc w:val="left"/>
        <w:rPr>
          <w:rFonts w:hint="eastAsia" w:ascii="宋体" w:hAnsi="宋体" w:eastAsia="宋体" w:cs="宋体"/>
          <w:sz w:val="32"/>
          <w:szCs w:val="32"/>
        </w:rPr>
      </w:pPr>
      <w:r>
        <w:rPr>
          <w:rFonts w:hint="eastAsia" w:ascii="宋体" w:hAnsi="宋体" w:eastAsia="宋体" w:cs="宋体"/>
          <w:sz w:val="32"/>
          <w:szCs w:val="32"/>
        </w:rPr>
        <w:t>2.项目支出绩效评价指标</w:t>
      </w:r>
      <w:r>
        <w:rPr>
          <w:rFonts w:hint="eastAsia" w:ascii="宋体" w:hAnsi="宋体" w:eastAsia="宋体" w:cs="宋体"/>
          <w:bCs/>
          <w:color w:val="000000"/>
          <w:kern w:val="0"/>
          <w:sz w:val="32"/>
          <w:szCs w:val="32"/>
        </w:rPr>
        <w:t>评分表</w:t>
      </w:r>
    </w:p>
    <w:p>
      <w:pPr>
        <w:rPr>
          <w:rFonts w:hint="eastAsia" w:ascii="宋体" w:hAnsi="宋体" w:eastAsia="宋体" w:cs="宋体"/>
          <w:sz w:val="32"/>
          <w:szCs w:val="32"/>
        </w:rPr>
      </w:pPr>
    </w:p>
    <w:p>
      <w:pPr>
        <w:spacing w:line="400" w:lineRule="exact"/>
        <w:rPr>
          <w:rFonts w:hint="eastAsia" w:ascii="宋体" w:hAnsi="宋体" w:eastAsia="宋体" w:cs="宋体"/>
          <w:bCs/>
          <w:color w:val="000000"/>
          <w:sz w:val="32"/>
          <w:szCs w:val="32"/>
        </w:rPr>
        <w:sectPr>
          <w:footerReference r:id="rId3" w:type="default"/>
          <w:pgSz w:w="11906" w:h="16838"/>
          <w:pgMar w:top="1587" w:right="1587" w:bottom="1587" w:left="1587" w:header="737" w:footer="850" w:gutter="0"/>
          <w:cols w:space="720" w:num="1"/>
          <w:docGrid w:type="lines" w:linePitch="408" w:charSpace="0"/>
        </w:sectPr>
      </w:pPr>
    </w:p>
    <w:p>
      <w:pPr>
        <w:spacing w:line="400" w:lineRule="exact"/>
        <w:rPr>
          <w:rFonts w:hint="eastAsia" w:ascii="Times New Roman" w:hAnsi="Times New Roman" w:eastAsia="仿宋_GB2312" w:cs="Times New Roman"/>
          <w:bCs/>
          <w:color w:val="000000"/>
          <w:sz w:val="32"/>
          <w:szCs w:val="32"/>
          <w:lang w:val="en-US" w:eastAsia="zh-CN"/>
        </w:rPr>
      </w:pPr>
      <w:r>
        <w:rPr>
          <w:rFonts w:ascii="仿宋_GB2312" w:hAnsi="仿宋_GB2312" w:eastAsia="仿宋_GB2312" w:cs="Times New Roman"/>
          <w:bCs/>
          <w:color w:val="000000"/>
          <w:sz w:val="32"/>
          <w:szCs w:val="32"/>
        </w:rPr>
        <w:t>附件</w:t>
      </w:r>
      <w:r>
        <w:rPr>
          <w:rFonts w:hint="eastAsia" w:ascii="仿宋_GB2312" w:hAnsi="仿宋_GB2312" w:eastAsia="仿宋_GB2312" w:cs="Times New Roman"/>
          <w:bCs/>
          <w:color w:val="000000"/>
          <w:sz w:val="32"/>
          <w:szCs w:val="32"/>
          <w:lang w:val="en-US" w:eastAsia="zh-CN"/>
        </w:rPr>
        <w:t>1</w:t>
      </w:r>
    </w:p>
    <w:tbl>
      <w:tblPr>
        <w:tblStyle w:val="6"/>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tblPrEx>
          <w:tblCellMar>
            <w:top w:w="0" w:type="dxa"/>
            <w:left w:w="108" w:type="dxa"/>
            <w:bottom w:w="0" w:type="dxa"/>
            <w:right w:w="108" w:type="dxa"/>
          </w:tblCellMar>
        </w:tblPrEx>
        <w:trPr>
          <w:trHeight w:val="349" w:hRule="atLeast"/>
          <w:jc w:val="center"/>
        </w:trPr>
        <w:tc>
          <w:tcPr>
            <w:tcW w:w="9080" w:type="dxa"/>
            <w:gridSpan w:val="14"/>
            <w:tcBorders>
              <w:top w:val="nil"/>
              <w:left w:val="nil"/>
              <w:bottom w:val="nil"/>
              <w:right w:val="nil"/>
            </w:tcBorders>
            <w:vAlign w:val="center"/>
          </w:tcPr>
          <w:p>
            <w:pPr>
              <w:widowControl/>
              <w:spacing w:line="320" w:lineRule="exact"/>
              <w:jc w:val="center"/>
              <w:rPr>
                <w:rFonts w:ascii="Times New Roman" w:hAnsi="Times New Roman" w:cs="Times New Roman"/>
                <w:b/>
                <w:bCs/>
                <w:kern w:val="0"/>
                <w:sz w:val="32"/>
                <w:szCs w:val="32"/>
              </w:rPr>
            </w:pPr>
            <w:r>
              <w:rPr>
                <w:rFonts w:ascii="Times New Roman" w:hAnsi="Times New Roman" w:cs="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tcPr>
          <w:p>
            <w:pPr>
              <w:widowControl/>
              <w:jc w:val="center"/>
              <w:rPr>
                <w:rFonts w:ascii="Times New Roman" w:hAnsi="Times New Roman" w:cs="Times New Roman"/>
                <w:kern w:val="0"/>
                <w:sz w:val="22"/>
                <w:szCs w:val="22"/>
              </w:rPr>
            </w:pPr>
            <w:r>
              <w:rPr>
                <w:rFonts w:ascii="Times New Roman" w:hAnsi="Times New Roman" w:cs="Times New Roman"/>
                <w:kern w:val="0"/>
                <w:sz w:val="22"/>
                <w:szCs w:val="22"/>
              </w:rPr>
              <w:t>（</w:t>
            </w:r>
            <w:r>
              <w:rPr>
                <w:rFonts w:hint="eastAsia" w:ascii="Times New Roman" w:hAnsi="Times New Roman" w:cs="Times New Roman"/>
                <w:kern w:val="0"/>
                <w:sz w:val="22"/>
                <w:szCs w:val="22"/>
              </w:rPr>
              <w:t>2020</w:t>
            </w:r>
            <w:r>
              <w:rPr>
                <w:rFonts w:ascii="Times New Roman" w:hAnsi="Times New Roman" w:cs="Times New Roman"/>
                <w:kern w:val="0"/>
                <w:sz w:val="22"/>
                <w:szCs w:val="22"/>
              </w:rPr>
              <w:t>年度）</w:t>
            </w:r>
          </w:p>
        </w:tc>
      </w:tr>
      <w:tr>
        <w:tblPrEx>
          <w:tblCellMar>
            <w:top w:w="0" w:type="dxa"/>
            <w:left w:w="108" w:type="dxa"/>
            <w:bottom w:w="0" w:type="dxa"/>
            <w:right w:w="108" w:type="dxa"/>
          </w:tblCellMar>
        </w:tblPrEx>
        <w:trPr>
          <w:trHeight w:val="300" w:hRule="atLeas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28"/>
                <w:szCs w:val="28"/>
              </w:rPr>
            </w:pPr>
            <w:r>
              <w:rPr>
                <w:rFonts w:hint="eastAsia" w:ascii="宋体" w:hAnsi="宋体" w:eastAsia="宋体" w:cs="宋体"/>
                <w:sz w:val="21"/>
                <w:szCs w:val="21"/>
              </w:rPr>
              <w:t>易地扶贫搬迁工作经费</w:t>
            </w:r>
          </w:p>
        </w:tc>
      </w:tr>
      <w:tr>
        <w:tblPrEx>
          <w:tblCellMar>
            <w:top w:w="0" w:type="dxa"/>
            <w:left w:w="108" w:type="dxa"/>
            <w:bottom w:w="0" w:type="dxa"/>
            <w:right w:w="108" w:type="dxa"/>
          </w:tblCellMar>
        </w:tblPrEx>
        <w:trPr>
          <w:trHeight w:val="300" w:hRule="atLeas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主管部门</w:t>
            </w:r>
          </w:p>
        </w:tc>
        <w:tc>
          <w:tcPr>
            <w:tcW w:w="411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中方县发展和改革局</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县易地扶贫搬迁联席办</w:t>
            </w:r>
          </w:p>
        </w:tc>
      </w:tr>
      <w:tr>
        <w:tblPrEx>
          <w:tblCellMar>
            <w:top w:w="0" w:type="dxa"/>
            <w:left w:w="108" w:type="dxa"/>
            <w:bottom w:w="0" w:type="dxa"/>
            <w:right w:w="108" w:type="dxa"/>
          </w:tblCellMar>
        </w:tblPrEx>
        <w:trPr>
          <w:trHeight w:val="436" w:hRule="atLeast"/>
          <w:jc w:val="center"/>
        </w:trPr>
        <w:tc>
          <w:tcPr>
            <w:tcW w:w="1568"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项目资金</w:t>
            </w:r>
            <w:r>
              <w:rPr>
                <w:rFonts w:ascii="Times New Roman" w:hAnsi="Times New Roman" w:cs="Times New Roman"/>
                <w:kern w:val="0"/>
                <w:sz w:val="18"/>
                <w:szCs w:val="18"/>
              </w:rPr>
              <w:br w:type="textWrapping"/>
            </w:r>
            <w:r>
              <w:rPr>
                <w:rFonts w:ascii="Times New Roman" w:hAnsi="Times New Roman" w:cs="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年初预算数</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全年预算数</w:t>
            </w:r>
            <w:r>
              <w:rPr>
                <w:rFonts w:ascii="Times New Roman" w:hAnsi="Times New Roman" w:cs="Times New Roman"/>
                <w:color w:val="000000"/>
                <w:kern w:val="0"/>
                <w:sz w:val="20"/>
                <w:szCs w:val="20"/>
              </w:rPr>
              <w:t>（A</w:t>
            </w:r>
            <w:r>
              <w:rPr>
                <w:rFonts w:ascii="宋体" w:hAnsi="宋体" w:cs="Times New Roman"/>
                <w:color w:val="000000"/>
                <w:kern w:val="0"/>
                <w:sz w:val="20"/>
                <w:szCs w:val="20"/>
              </w:rPr>
              <w:t>）</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全年执行数</w:t>
            </w:r>
            <w:r>
              <w:rPr>
                <w:rFonts w:ascii="Times New Roman" w:hAnsi="Times New Roman" w:cs="Times New Roman"/>
                <w:color w:val="000000"/>
                <w:kern w:val="0"/>
                <w:sz w:val="20"/>
                <w:szCs w:val="20"/>
              </w:rPr>
              <w:t>（B</w:t>
            </w:r>
            <w:r>
              <w:rPr>
                <w:rFonts w:ascii="宋体" w:hAnsi="宋体" w:cs="Times New Roman"/>
                <w:color w:val="000000"/>
                <w:kern w:val="0"/>
                <w:sz w:val="20"/>
                <w:szCs w:val="20"/>
              </w:rPr>
              <w:t>）</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执行率</w:t>
            </w:r>
            <w:r>
              <w:rPr>
                <w:rFonts w:ascii="Times New Roman" w:hAnsi="Times New Roman" w:cs="Times New Roman"/>
                <w:color w:val="000000"/>
                <w:kern w:val="0"/>
                <w:sz w:val="20"/>
                <w:szCs w:val="20"/>
              </w:rPr>
              <w:t>（B/A)</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得分</w:t>
            </w:r>
          </w:p>
        </w:tc>
      </w:tr>
      <w:tr>
        <w:tblPrEx>
          <w:tblCellMar>
            <w:top w:w="0" w:type="dxa"/>
            <w:left w:w="108" w:type="dxa"/>
            <w:bottom w:w="0" w:type="dxa"/>
            <w:right w:w="108" w:type="dxa"/>
          </w:tblCellMar>
        </w:tblPrEx>
        <w:trPr>
          <w:trHeight w:val="300"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cs="Times New Roman"/>
                <w:kern w:val="0"/>
                <w:sz w:val="18"/>
                <w:szCs w:val="18"/>
              </w:rPr>
            </w:pPr>
            <w:r>
              <w:rPr>
                <w:rFonts w:ascii="Times New Roman" w:hAnsi="Times New Roman" w:cs="Times New Roman"/>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90.94</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90.94</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90.94</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r>
      <w:tr>
        <w:tblPrEx>
          <w:tblCellMar>
            <w:top w:w="0" w:type="dxa"/>
            <w:left w:w="108" w:type="dxa"/>
            <w:bottom w:w="0" w:type="dxa"/>
            <w:right w:w="108" w:type="dxa"/>
          </w:tblCellMar>
        </w:tblPrEx>
        <w:trPr>
          <w:trHeight w:val="300"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90.94</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90.94</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90.94</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atLeas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预期目标</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实际完成情况</w:t>
            </w:r>
          </w:p>
        </w:tc>
      </w:tr>
      <w:tr>
        <w:tblPrEx>
          <w:tblCellMar>
            <w:top w:w="0" w:type="dxa"/>
            <w:left w:w="108" w:type="dxa"/>
            <w:bottom w:w="0" w:type="dxa"/>
            <w:right w:w="108" w:type="dxa"/>
          </w:tblCellMar>
        </w:tblPrEx>
        <w:trPr>
          <w:trHeight w:val="570" w:hRule="atLeas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完成全县易地扶贫搬迁户后续扶持</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完成全县易地扶贫搬迁户后续扶持</w:t>
            </w:r>
          </w:p>
        </w:tc>
      </w:tr>
      <w:tr>
        <w:tblPrEx>
          <w:tblCellMar>
            <w:top w:w="0" w:type="dxa"/>
            <w:left w:w="108" w:type="dxa"/>
            <w:bottom w:w="0" w:type="dxa"/>
            <w:right w:w="108" w:type="dxa"/>
          </w:tblCellMar>
        </w:tblPrEx>
        <w:trPr>
          <w:trHeight w:val="533" w:hRule="atLeast"/>
          <w:jc w:val="center"/>
        </w:trPr>
        <w:tc>
          <w:tcPr>
            <w:tcW w:w="588" w:type="dxa"/>
            <w:vMerge w:val="restart"/>
            <w:tcBorders>
              <w:top w:val="nil"/>
              <w:left w:val="single" w:color="auto" w:sz="4" w:space="0"/>
              <w:bottom w:val="nil"/>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绩</w:t>
            </w:r>
            <w:r>
              <w:rPr>
                <w:rFonts w:ascii="Times New Roman" w:hAnsi="Times New Roman" w:cs="Times New Roman"/>
                <w:kern w:val="0"/>
                <w:sz w:val="18"/>
                <w:szCs w:val="18"/>
              </w:rPr>
              <w:br w:type="textWrapping"/>
            </w:r>
            <w:r>
              <w:rPr>
                <w:rFonts w:ascii="Times New Roman" w:hAnsi="Times New Roman" w:cs="Times New Roman"/>
                <w:kern w:val="0"/>
                <w:sz w:val="18"/>
                <w:szCs w:val="18"/>
              </w:rPr>
              <w:t>效</w:t>
            </w:r>
            <w:r>
              <w:rPr>
                <w:rFonts w:ascii="Times New Roman" w:hAnsi="Times New Roman" w:cs="Times New Roman"/>
                <w:kern w:val="0"/>
                <w:sz w:val="18"/>
                <w:szCs w:val="18"/>
              </w:rPr>
              <w:br w:type="textWrapping"/>
            </w:r>
            <w:r>
              <w:rPr>
                <w:rFonts w:ascii="Times New Roman" w:hAnsi="Times New Roman" w:cs="Times New Roman"/>
                <w:kern w:val="0"/>
                <w:sz w:val="18"/>
                <w:szCs w:val="18"/>
              </w:rPr>
              <w:t>指</w:t>
            </w:r>
            <w:r>
              <w:rPr>
                <w:rFonts w:ascii="Times New Roman" w:hAnsi="Times New Roman" w:cs="Times New Roman"/>
                <w:kern w:val="0"/>
                <w:sz w:val="18"/>
                <w:szCs w:val="18"/>
              </w:rPr>
              <w:br w:type="textWrapping"/>
            </w:r>
            <w:r>
              <w:rPr>
                <w:rFonts w:ascii="Times New Roman" w:hAnsi="Times New Roman" w:cs="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三级指标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年度</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指标值</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实际</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得分</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偏差原因分析及改进措施</w:t>
            </w:r>
          </w:p>
        </w:tc>
      </w:tr>
      <w:tr>
        <w:tblPrEx>
          <w:tblCellMar>
            <w:top w:w="0" w:type="dxa"/>
            <w:left w:w="108" w:type="dxa"/>
            <w:bottom w:w="0" w:type="dxa"/>
            <w:right w:w="108" w:type="dxa"/>
          </w:tblCellMar>
        </w:tblPrEx>
        <w:trPr>
          <w:trHeight w:val="48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产出指标</w:t>
            </w:r>
            <w:r>
              <w:rPr>
                <w:rFonts w:ascii="Times New Roman" w:hAnsi="Times New Roman" w:cs="Times New Roman"/>
                <w:kern w:val="0"/>
                <w:sz w:val="20"/>
                <w:szCs w:val="20"/>
              </w:rPr>
              <w:t>(50</w:t>
            </w:r>
            <w:r>
              <w:rPr>
                <w:rFonts w:ascii="宋体" w:hAnsi="宋体" w:cs="Times New Roman"/>
                <w:kern w:val="0"/>
                <w:sz w:val="20"/>
                <w:szCs w:val="20"/>
              </w:rPr>
              <w:t>分</w:t>
            </w:r>
            <w:r>
              <w:rPr>
                <w:rFonts w:ascii="Times New Roman" w:hAnsi="Times New Roman" w:cs="Times New Roman"/>
                <w:kern w:val="0"/>
                <w:sz w:val="20"/>
                <w:szCs w:val="20"/>
              </w:rPr>
              <w:t>)</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实施易地搬迁</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3840人</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3840人</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12.5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12.5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503"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搬迁入住率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12.5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12.5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2020年搬迁户全部脱贫率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12.5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12.5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实施搬迁办公、水电、印刷、宣传等日常工作</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90.94</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90.94</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12.5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12.5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效益指标</w:t>
            </w:r>
            <w:r>
              <w:rPr>
                <w:rFonts w:ascii="Times New Roman" w:hAnsi="Times New Roman" w:cs="Times New Roman"/>
                <w:kern w:val="0"/>
                <w:sz w:val="20"/>
                <w:szCs w:val="20"/>
              </w:rPr>
              <w:t>(30</w:t>
            </w:r>
            <w:r>
              <w:rPr>
                <w:rFonts w:ascii="宋体" w:hAnsi="宋体" w:cs="Times New Roman"/>
                <w:kern w:val="0"/>
                <w:sz w:val="20"/>
                <w:szCs w:val="20"/>
              </w:rPr>
              <w:t>分</w:t>
            </w:r>
            <w:r>
              <w:rPr>
                <w:rFonts w:ascii="Times New Roman" w:hAnsi="Times New Roman" w:cs="Times New Roman"/>
                <w:kern w:val="0"/>
                <w:sz w:val="20"/>
                <w:szCs w:val="20"/>
              </w:rPr>
              <w:t>)</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经济效益</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提高搬迁户收入</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人均500元</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人均500元</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社会效益</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确保易地搬迁户全部脱贫</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生态效益</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 xml:space="preserve">改善迁出区自然环境 </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476个组</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476个组</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有效防止搬迁户返贫</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3840人</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3840人</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tcBorders>
              <w:top w:val="nil"/>
              <w:left w:val="nil"/>
              <w:bottom w:val="nil"/>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满意度</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r>
              <w:rPr>
                <w:rFonts w:ascii="Times New Roman" w:hAnsi="Times New Roman" w:cs="Times New Roman"/>
                <w:kern w:val="0"/>
                <w:sz w:val="20"/>
                <w:szCs w:val="20"/>
              </w:rPr>
              <w:t>(</w:t>
            </w:r>
            <w:r>
              <w:rPr>
                <w:rFonts w:hint="eastAsia" w:ascii="Times New Roman" w:hAnsi="Times New Roman" w:cs="Times New Roman"/>
                <w:kern w:val="0"/>
                <w:sz w:val="20"/>
                <w:szCs w:val="20"/>
              </w:rPr>
              <w:t>10</w:t>
            </w:r>
            <w:r>
              <w:rPr>
                <w:rFonts w:ascii="宋体" w:hAnsi="宋体" w:cs="Times New Roman"/>
                <w:kern w:val="0"/>
                <w:sz w:val="20"/>
                <w:szCs w:val="20"/>
              </w:rPr>
              <w:t>分</w:t>
            </w:r>
            <w:r>
              <w:rPr>
                <w:rFonts w:ascii="Times New Roman" w:hAnsi="Times New Roman" w:cs="Times New Roman"/>
                <w:kern w:val="0"/>
                <w:sz w:val="20"/>
                <w:szCs w:val="20"/>
              </w:rPr>
              <w:t>)</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搬迁对象满意度</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p>
        </w:tc>
        <w:tc>
          <w:tcPr>
            <w:tcW w:w="85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652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color w:val="000000"/>
                <w:kern w:val="0"/>
                <w:sz w:val="18"/>
                <w:szCs w:val="18"/>
              </w:rPr>
            </w:pPr>
            <w:r>
              <w:rPr>
                <w:rFonts w:hint="eastAsia" w:ascii="Times New Roman" w:hAnsi="Times New Roman" w:cs="Times New Roman"/>
                <w:color w:val="000000"/>
                <w:kern w:val="0"/>
                <w:sz w:val="18"/>
                <w:szCs w:val="18"/>
              </w:rPr>
              <w:t>100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bl>
    <w:p>
      <w:pPr>
        <w:widowControl/>
        <w:spacing w:line="400" w:lineRule="exact"/>
        <w:jc w:val="left"/>
        <w:rPr>
          <w:rFonts w:ascii="Times New Roman" w:hAnsi="Times New Roman" w:cs="Times New Roman"/>
          <w:color w:val="000000"/>
          <w:kern w:val="0"/>
          <w:sz w:val="18"/>
          <w:szCs w:val="18"/>
        </w:rPr>
      </w:pPr>
      <w:r>
        <w:drawing>
          <wp:inline distT="0" distB="0" distL="0" distR="0">
            <wp:extent cx="6410325" cy="133350"/>
            <wp:effectExtent l="19050" t="0" r="9525" b="0"/>
            <wp:docPr id="1" name="图片 1" descr="C:\Users\ADMINI~1\AppData\Local\Temp\ksohtml3812\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ksohtml3812\wps1.png"/>
                    <pic:cNvPicPr>
                      <a:picLocks noChangeAspect="1" noChangeArrowheads="1"/>
                    </pic:cNvPicPr>
                  </pic:nvPicPr>
                  <pic:blipFill>
                    <a:blip r:embed="rId5" cstate="print"/>
                    <a:srcRect/>
                    <a:stretch>
                      <a:fillRect/>
                    </a:stretch>
                  </pic:blipFill>
                  <pic:spPr>
                    <a:xfrm>
                      <a:off x="0" y="0"/>
                      <a:ext cx="6410325" cy="133350"/>
                    </a:xfrm>
                    <a:prstGeom prst="rect">
                      <a:avLst/>
                    </a:prstGeom>
                    <a:noFill/>
                    <a:ln w="9525">
                      <a:noFill/>
                      <a:miter lim="800000"/>
                      <a:headEnd/>
                      <a:tailEnd/>
                    </a:ln>
                  </pic:spPr>
                </pic:pic>
              </a:graphicData>
            </a:graphic>
          </wp:inline>
        </w:drawing>
      </w:r>
    </w:p>
    <w:tbl>
      <w:tblPr>
        <w:tblStyle w:val="6"/>
        <w:tblW w:w="9540" w:type="dxa"/>
        <w:tblInd w:w="97" w:type="dxa"/>
        <w:tblLayout w:type="fixed"/>
        <w:tblCellMar>
          <w:top w:w="0" w:type="dxa"/>
          <w:left w:w="108" w:type="dxa"/>
          <w:bottom w:w="0" w:type="dxa"/>
          <w:right w:w="108" w:type="dxa"/>
        </w:tblCellMar>
      </w:tblPr>
      <w:tblGrid>
        <w:gridCol w:w="9540"/>
      </w:tblGrid>
      <w:tr>
        <w:trPr>
          <w:trHeight w:val="465" w:hRule="atLeast"/>
        </w:trPr>
        <w:tc>
          <w:tcPr>
            <w:tcW w:w="9540" w:type="dxa"/>
            <w:tcBorders>
              <w:top w:val="single" w:color="auto" w:sz="4" w:space="0"/>
              <w:left w:val="nil"/>
              <w:bottom w:val="nil"/>
              <w:right w:val="nil"/>
            </w:tcBorders>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注：1.</w:t>
            </w:r>
            <w:r>
              <w:rPr>
                <w:rFonts w:ascii="宋体" w:hAnsi="宋体" w:cs="Times New Roman"/>
                <w:color w:val="000000"/>
                <w:kern w:val="0"/>
                <w:sz w:val="18"/>
                <w:szCs w:val="18"/>
              </w:rPr>
              <w:t>一级指标分值统一设置为：产出指标</w:t>
            </w:r>
            <w:r>
              <w:rPr>
                <w:rFonts w:ascii="Times New Roman" w:hAnsi="Times New Roman" w:cs="Times New Roman"/>
                <w:color w:val="000000"/>
                <w:kern w:val="0"/>
                <w:sz w:val="18"/>
                <w:szCs w:val="18"/>
              </w:rPr>
              <w:t>50</w:t>
            </w:r>
            <w:r>
              <w:rPr>
                <w:rFonts w:ascii="宋体" w:hAnsi="宋体" w:cs="Times New Roman"/>
                <w:color w:val="000000"/>
                <w:kern w:val="0"/>
                <w:sz w:val="18"/>
                <w:szCs w:val="18"/>
              </w:rPr>
              <w:t>分、效益指标</w:t>
            </w:r>
            <w:r>
              <w:rPr>
                <w:rFonts w:ascii="Times New Roman" w:hAnsi="Times New Roman" w:cs="Times New Roman"/>
                <w:color w:val="000000"/>
                <w:kern w:val="0"/>
                <w:sz w:val="18"/>
                <w:szCs w:val="18"/>
              </w:rPr>
              <w:t>30</w:t>
            </w:r>
            <w:r>
              <w:rPr>
                <w:rFonts w:ascii="宋体" w:hAnsi="宋体" w:cs="Times New Roman"/>
                <w:color w:val="000000"/>
                <w:kern w:val="0"/>
                <w:sz w:val="18"/>
                <w:szCs w:val="18"/>
              </w:rPr>
              <w:t>分、服务对象满意度指标</w:t>
            </w:r>
            <w:r>
              <w:rPr>
                <w:rFonts w:ascii="Times New Roman" w:hAnsi="Times New Roman" w:cs="Times New Roman"/>
                <w:color w:val="000000"/>
                <w:kern w:val="0"/>
                <w:sz w:val="18"/>
                <w:szCs w:val="18"/>
              </w:rPr>
              <w:t>10</w:t>
            </w:r>
            <w:r>
              <w:rPr>
                <w:rFonts w:ascii="宋体" w:hAnsi="宋体" w:cs="Times New Roman"/>
                <w:color w:val="000000"/>
                <w:kern w:val="0"/>
                <w:sz w:val="18"/>
                <w:szCs w:val="18"/>
              </w:rPr>
              <w:t>分、预算资金执行率</w:t>
            </w:r>
            <w:r>
              <w:rPr>
                <w:rFonts w:ascii="Times New Roman" w:hAnsi="Times New Roman" w:cs="Times New Roman"/>
                <w:color w:val="000000"/>
                <w:kern w:val="0"/>
                <w:sz w:val="18"/>
                <w:szCs w:val="18"/>
              </w:rPr>
              <w:t>10</w:t>
            </w:r>
            <w:r>
              <w:rPr>
                <w:rFonts w:ascii="宋体" w:hAnsi="宋体" w:cs="Times New Roman"/>
                <w:color w:val="000000"/>
                <w:kern w:val="0"/>
                <w:sz w:val="18"/>
                <w:szCs w:val="18"/>
              </w:rPr>
              <w:t>分。如有特殊情况，上述权重可做适当调整，但加总后应等于</w:t>
            </w:r>
            <w:r>
              <w:rPr>
                <w:rFonts w:ascii="Times New Roman" w:hAnsi="Times New Roman" w:cs="Times New Roman"/>
                <w:color w:val="000000"/>
                <w:kern w:val="0"/>
                <w:sz w:val="18"/>
                <w:szCs w:val="18"/>
              </w:rPr>
              <w:t>100</w:t>
            </w:r>
            <w:r>
              <w:rPr>
                <w:rFonts w:ascii="宋体" w:hAnsi="宋体" w:cs="Times New Roman"/>
                <w:color w:val="000000"/>
                <w:kern w:val="0"/>
                <w:sz w:val="18"/>
                <w:szCs w:val="18"/>
              </w:rPr>
              <w:t>分。各部门根据各项指标重要程度确定三级指标的分值。得分一档最高不能超过该指标分值上限。</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2.</w:t>
            </w:r>
            <w:r>
              <w:rPr>
                <w:rFonts w:ascii="宋体" w:hAnsi="宋体" w:cs="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s="Times New Roman"/>
                <w:color w:val="000000"/>
                <w:kern w:val="0"/>
                <w:sz w:val="18"/>
                <w:szCs w:val="18"/>
              </w:rPr>
              <w:t>100-80%(</w:t>
            </w:r>
            <w:r>
              <w:rPr>
                <w:rFonts w:ascii="宋体" w:hAnsi="宋体" w:cs="Times New Roman"/>
                <w:color w:val="000000"/>
                <w:kern w:val="0"/>
                <w:sz w:val="18"/>
                <w:szCs w:val="18"/>
              </w:rPr>
              <w:t>含</w:t>
            </w:r>
            <w:r>
              <w:rPr>
                <w:rFonts w:ascii="Times New Roman" w:hAnsi="Times New Roman" w:cs="Times New Roman"/>
                <w:color w:val="000000"/>
                <w:kern w:val="0"/>
                <w:sz w:val="18"/>
                <w:szCs w:val="18"/>
              </w:rPr>
              <w:t>80%)</w:t>
            </w:r>
            <w:r>
              <w:rPr>
                <w:rFonts w:ascii="宋体" w:hAnsi="宋体" w:cs="Times New Roman"/>
                <w:color w:val="000000"/>
                <w:kern w:val="0"/>
                <w:sz w:val="18"/>
                <w:szCs w:val="18"/>
              </w:rPr>
              <w:t>、</w:t>
            </w:r>
            <w:r>
              <w:rPr>
                <w:rFonts w:ascii="Times New Roman" w:hAnsi="Times New Roman" w:cs="Times New Roman"/>
                <w:color w:val="000000"/>
                <w:kern w:val="0"/>
                <w:sz w:val="18"/>
                <w:szCs w:val="18"/>
              </w:rPr>
              <w:t>80-50%(</w:t>
            </w:r>
            <w:r>
              <w:rPr>
                <w:rFonts w:ascii="宋体" w:hAnsi="宋体" w:cs="Times New Roman"/>
                <w:color w:val="000000"/>
                <w:kern w:val="0"/>
                <w:sz w:val="18"/>
                <w:szCs w:val="18"/>
              </w:rPr>
              <w:t>含</w:t>
            </w:r>
            <w:r>
              <w:rPr>
                <w:rFonts w:ascii="Times New Roman" w:hAnsi="Times New Roman" w:cs="Times New Roman"/>
                <w:color w:val="000000"/>
                <w:kern w:val="0"/>
                <w:sz w:val="18"/>
                <w:szCs w:val="18"/>
              </w:rPr>
              <w:t>50%)</w:t>
            </w:r>
            <w:r>
              <w:rPr>
                <w:rFonts w:ascii="宋体" w:hAnsi="宋体" w:cs="Times New Roman"/>
                <w:color w:val="000000"/>
                <w:kern w:val="0"/>
                <w:sz w:val="18"/>
                <w:szCs w:val="18"/>
              </w:rPr>
              <w:t>、</w:t>
            </w:r>
            <w:r>
              <w:rPr>
                <w:rFonts w:ascii="Times New Roman" w:hAnsi="Times New Roman" w:cs="Times New Roman"/>
                <w:color w:val="000000"/>
                <w:kern w:val="0"/>
                <w:sz w:val="18"/>
                <w:szCs w:val="18"/>
              </w:rPr>
              <w:t>50-0%</w:t>
            </w:r>
            <w:r>
              <w:rPr>
                <w:rFonts w:ascii="宋体" w:hAnsi="宋体" w:cs="Times New Roman"/>
                <w:color w:val="000000"/>
                <w:kern w:val="0"/>
                <w:sz w:val="18"/>
                <w:szCs w:val="18"/>
              </w:rPr>
              <w:t>合理确定分值。</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3.</w:t>
            </w:r>
            <w:r>
              <w:rPr>
                <w:rFonts w:ascii="宋体" w:hAnsi="宋体" w:cs="Times New Roman"/>
                <w:color w:val="000000"/>
                <w:kern w:val="0"/>
                <w:sz w:val="18"/>
                <w:szCs w:val="18"/>
              </w:rPr>
              <w:t>定量指标若为正向指标（即指标值为</w:t>
            </w:r>
            <w:r>
              <w:rPr>
                <w:rFonts w:ascii="Times New Roman" w:hAnsi="Times New Roman" w:cs="Times New Roman"/>
                <w:color w:val="000000"/>
                <w:kern w:val="0"/>
                <w:sz w:val="18"/>
                <w:szCs w:val="18"/>
              </w:rPr>
              <w:t>≥*</w:t>
            </w:r>
            <w:r>
              <w:rPr>
                <w:rFonts w:ascii="宋体" w:hAnsi="宋体" w:cs="Times New Roman"/>
                <w:color w:val="000000"/>
                <w:kern w:val="0"/>
                <w:sz w:val="18"/>
                <w:szCs w:val="18"/>
              </w:rPr>
              <w:t>），则得分计算方法应用全年实际值（</w:t>
            </w:r>
            <w:r>
              <w:rPr>
                <w:rFonts w:ascii="Times New Roman" w:hAnsi="Times New Roman" w:cs="Times New Roman"/>
                <w:color w:val="000000"/>
                <w:kern w:val="0"/>
                <w:sz w:val="18"/>
                <w:szCs w:val="18"/>
              </w:rPr>
              <w:t>B</w:t>
            </w:r>
            <w:r>
              <w:rPr>
                <w:rFonts w:ascii="宋体" w:hAnsi="宋体" w:cs="Times New Roman"/>
                <w:color w:val="000000"/>
                <w:kern w:val="0"/>
                <w:sz w:val="18"/>
                <w:szCs w:val="18"/>
              </w:rPr>
              <w:t>）</w:t>
            </w:r>
            <w:r>
              <w:rPr>
                <w:rFonts w:ascii="Times New Roman" w:hAnsi="Times New Roman" w:cs="Times New Roman"/>
                <w:color w:val="000000"/>
                <w:kern w:val="0"/>
                <w:sz w:val="18"/>
                <w:szCs w:val="18"/>
              </w:rPr>
              <w:t>/</w:t>
            </w:r>
            <w:r>
              <w:rPr>
                <w:rFonts w:ascii="宋体" w:hAnsi="宋体" w:cs="Times New Roman"/>
                <w:color w:val="000000"/>
                <w:kern w:val="0"/>
                <w:sz w:val="18"/>
                <w:szCs w:val="18"/>
              </w:rPr>
              <w:t>年度指标值（</w:t>
            </w:r>
            <w:r>
              <w:rPr>
                <w:rFonts w:ascii="Times New Roman" w:hAnsi="Times New Roman" w:cs="Times New Roman"/>
                <w:color w:val="000000"/>
                <w:kern w:val="0"/>
                <w:sz w:val="18"/>
                <w:szCs w:val="18"/>
              </w:rPr>
              <w:t>A</w:t>
            </w:r>
            <w:r>
              <w:rPr>
                <w:rFonts w:ascii="宋体" w:hAnsi="宋体" w:cs="Times New Roman"/>
                <w:color w:val="000000"/>
                <w:kern w:val="0"/>
                <w:sz w:val="18"/>
                <w:szCs w:val="18"/>
              </w:rPr>
              <w:t>）</w:t>
            </w:r>
            <w:r>
              <w:rPr>
                <w:rFonts w:hint="eastAsia" w:ascii="宋体" w:hAnsi="宋体" w:cs="宋体"/>
                <w:color w:val="000000"/>
                <w:kern w:val="0"/>
                <w:sz w:val="12"/>
                <w:szCs w:val="12"/>
              </w:rPr>
              <w:t>╳</w:t>
            </w:r>
            <w:r>
              <w:rPr>
                <w:rFonts w:ascii="Times New Roman" w:hAnsi="Times New Roman" w:cs="Times New Roman"/>
                <w:color w:val="000000"/>
                <w:kern w:val="0"/>
                <w:sz w:val="18"/>
                <w:szCs w:val="18"/>
              </w:rPr>
              <w:t>该指标分值；若定量指标为反向指标（即指标值为≤*</w:t>
            </w:r>
            <w:r>
              <w:rPr>
                <w:rFonts w:ascii="宋体" w:hAnsi="宋体" w:cs="Times New Roman"/>
                <w:color w:val="000000"/>
                <w:kern w:val="0"/>
                <w:sz w:val="18"/>
                <w:szCs w:val="18"/>
              </w:rPr>
              <w:t>），则得分计算方法应用年度指标值（</w:t>
            </w:r>
            <w:r>
              <w:rPr>
                <w:rFonts w:ascii="Times New Roman" w:hAnsi="Times New Roman" w:cs="Times New Roman"/>
                <w:color w:val="000000"/>
                <w:kern w:val="0"/>
                <w:sz w:val="18"/>
                <w:szCs w:val="18"/>
              </w:rPr>
              <w:t>A</w:t>
            </w:r>
            <w:r>
              <w:rPr>
                <w:rFonts w:ascii="宋体" w:hAnsi="宋体" w:cs="Times New Roman"/>
                <w:color w:val="000000"/>
                <w:kern w:val="0"/>
                <w:sz w:val="18"/>
                <w:szCs w:val="18"/>
              </w:rPr>
              <w:t>）</w:t>
            </w:r>
            <w:r>
              <w:rPr>
                <w:rFonts w:ascii="Times New Roman" w:hAnsi="Times New Roman" w:cs="Times New Roman"/>
                <w:color w:val="000000"/>
                <w:kern w:val="0"/>
                <w:sz w:val="18"/>
                <w:szCs w:val="18"/>
              </w:rPr>
              <w:t>/</w:t>
            </w:r>
            <w:r>
              <w:rPr>
                <w:rFonts w:ascii="宋体" w:hAnsi="宋体" w:cs="Times New Roman"/>
                <w:color w:val="000000"/>
                <w:kern w:val="0"/>
                <w:sz w:val="18"/>
                <w:szCs w:val="18"/>
              </w:rPr>
              <w:t>全年实际值（</w:t>
            </w:r>
            <w:r>
              <w:rPr>
                <w:rFonts w:ascii="Times New Roman" w:hAnsi="Times New Roman" w:cs="Times New Roman"/>
                <w:color w:val="000000"/>
                <w:kern w:val="0"/>
                <w:sz w:val="18"/>
                <w:szCs w:val="18"/>
              </w:rPr>
              <w:t>B</w:t>
            </w:r>
            <w:r>
              <w:rPr>
                <w:rFonts w:ascii="宋体" w:hAnsi="宋体" w:cs="Times New Roman"/>
                <w:color w:val="000000"/>
                <w:kern w:val="0"/>
                <w:sz w:val="18"/>
                <w:szCs w:val="18"/>
              </w:rPr>
              <w:t>）</w:t>
            </w:r>
            <w:r>
              <w:rPr>
                <w:rFonts w:hint="eastAsia" w:ascii="宋体" w:hAnsi="宋体" w:cs="宋体"/>
                <w:color w:val="000000"/>
                <w:kern w:val="0"/>
                <w:sz w:val="12"/>
                <w:szCs w:val="12"/>
              </w:rPr>
              <w:t>╳</w:t>
            </w:r>
            <w:r>
              <w:rPr>
                <w:rFonts w:ascii="Times New Roman" w:hAnsi="Times New Roman" w:cs="Times New Roman"/>
                <w:color w:val="000000"/>
                <w:kern w:val="0"/>
                <w:sz w:val="18"/>
                <w:szCs w:val="18"/>
              </w:rPr>
              <w:t>该指标分值。</w:t>
            </w:r>
          </w:p>
        </w:tc>
      </w:tr>
      <w:tr>
        <w:tblPrEx>
          <w:tblCellMar>
            <w:top w:w="0" w:type="dxa"/>
            <w:left w:w="108" w:type="dxa"/>
            <w:bottom w:w="0" w:type="dxa"/>
            <w:right w:w="108" w:type="dxa"/>
          </w:tblCellMar>
        </w:tblPrEx>
        <w:trPr>
          <w:trHeight w:val="210" w:hRule="atLeast"/>
        </w:trPr>
        <w:tc>
          <w:tcPr>
            <w:tcW w:w="9540" w:type="dxa"/>
            <w:tcBorders>
              <w:top w:val="nil"/>
              <w:left w:val="nil"/>
              <w:bottom w:val="nil"/>
              <w:right w:val="nil"/>
            </w:tcBorders>
            <w:noWrap/>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4.</w:t>
            </w:r>
            <w:r>
              <w:rPr>
                <w:rFonts w:ascii="宋体" w:hAnsi="宋体" w:cs="Times New Roman"/>
                <w:color w:val="000000"/>
                <w:kern w:val="0"/>
                <w:sz w:val="18"/>
                <w:szCs w:val="18"/>
              </w:rPr>
              <w:t>请在</w:t>
            </w:r>
            <w:r>
              <w:rPr>
                <w:rFonts w:ascii="Times New Roman" w:hAnsi="Times New Roman" w:cs="Times New Roman"/>
                <w:color w:val="000000"/>
                <w:kern w:val="0"/>
                <w:sz w:val="18"/>
                <w:szCs w:val="18"/>
              </w:rPr>
              <w:t>“</w:t>
            </w:r>
            <w:r>
              <w:rPr>
                <w:rFonts w:ascii="Times New Roman" w:hAnsi="Times New Roman" w:cs="Times New Roman"/>
                <w:kern w:val="0"/>
                <w:sz w:val="18"/>
                <w:szCs w:val="18"/>
              </w:rPr>
              <w:t>偏差原因分析及改进措施</w:t>
            </w:r>
            <w:r>
              <w:rPr>
                <w:rFonts w:ascii="Times New Roman" w:hAnsi="Times New Roman" w:cs="Times New Roman"/>
                <w:color w:val="000000"/>
                <w:kern w:val="0"/>
                <w:sz w:val="18"/>
                <w:szCs w:val="18"/>
              </w:rPr>
              <w:t>”</w:t>
            </w:r>
            <w:r>
              <w:rPr>
                <w:rFonts w:ascii="宋体" w:hAnsi="宋体" w:cs="Times New Roman"/>
                <w:color w:val="000000"/>
                <w:kern w:val="0"/>
                <w:sz w:val="18"/>
                <w:szCs w:val="18"/>
              </w:rPr>
              <w:t>中说明偏离目标、不能完成目标的原因及拟采取的措施。</w:t>
            </w:r>
          </w:p>
        </w:tc>
      </w:tr>
    </w:tbl>
    <w:p>
      <w:pPr>
        <w:widowControl/>
        <w:jc w:val="left"/>
        <w:rPr>
          <w:rFonts w:ascii="Times New Roman" w:hAnsi="Times New Roman" w:eastAsia="仿宋_GB2312" w:cs="Times New Roman"/>
          <w:bCs/>
          <w:color w:val="000000"/>
          <w:sz w:val="32"/>
          <w:szCs w:val="32"/>
        </w:rPr>
        <w:sectPr>
          <w:pgSz w:w="11906" w:h="16838"/>
          <w:pgMar w:top="1587" w:right="1587" w:bottom="1587" w:left="1587" w:header="737" w:footer="850" w:gutter="0"/>
          <w:cols w:space="720" w:num="1"/>
          <w:docGrid w:type="lines" w:linePitch="408" w:charSpace="0"/>
        </w:sectPr>
      </w:pPr>
    </w:p>
    <w:p>
      <w:pPr>
        <w:spacing w:line="560" w:lineRule="exact"/>
        <w:rPr>
          <w:rFonts w:hint="eastAsia" w:ascii="Times New Roman" w:hAnsi="Times New Roman" w:eastAsia="仿宋_GB2312" w:cs="Times New Roman"/>
          <w:bCs/>
          <w:color w:val="000000"/>
          <w:sz w:val="32"/>
          <w:szCs w:val="32"/>
          <w:lang w:eastAsia="zh-CN"/>
        </w:rPr>
      </w:pPr>
      <w:r>
        <w:rPr>
          <w:rFonts w:ascii="仿宋_GB2312" w:hAnsi="仿宋_GB2312"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2</w:t>
      </w:r>
    </w:p>
    <w:p>
      <w:pPr>
        <w:pStyle w:val="2"/>
        <w:spacing w:before="0" w:after="0"/>
        <w:jc w:val="center"/>
        <w:rPr>
          <w:rFonts w:ascii="Times New Roman" w:hAnsi="Times New Roman" w:eastAsia="宋体" w:cs="Times New Roman"/>
          <w:bCs/>
          <w:color w:val="000000"/>
          <w:sz w:val="36"/>
          <w:szCs w:val="36"/>
        </w:rPr>
      </w:pPr>
      <w:r>
        <w:rPr>
          <w:rFonts w:ascii="宋体" w:hAnsi="宋体" w:eastAsia="宋体" w:cs="Times New Roman"/>
          <w:bCs/>
          <w:color w:val="000000"/>
          <w:sz w:val="36"/>
          <w:szCs w:val="36"/>
        </w:rPr>
        <w:t>项目支出绩效评价共性指标表</w:t>
      </w:r>
    </w:p>
    <w:tbl>
      <w:tblPr>
        <w:tblStyle w:val="6"/>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jc w:val="center"/>
        </w:trPr>
        <w:tc>
          <w:tcPr>
            <w:tcW w:w="682"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一级指标</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二级指标</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三级指标</w:t>
            </w:r>
          </w:p>
        </w:tc>
        <w:tc>
          <w:tcPr>
            <w:tcW w:w="567" w:type="dxa"/>
            <w:tcBorders>
              <w:top w:val="single" w:color="000000" w:sz="8" w:space="0"/>
              <w:left w:val="nil"/>
              <w:bottom w:val="single" w:color="000000" w:sz="8" w:space="0"/>
              <w:right w:val="single" w:color="000000" w:sz="8" w:space="0"/>
            </w:tcBorders>
            <w:shd w:val="clear" w:color="auto" w:fill="FFFFFF"/>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分</w:t>
            </w:r>
          </w:p>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值</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指标解释</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指标说明</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决策 </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项目立项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立项依据</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充分性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项目立项是否符合法律法规、相关政策、发展规划以及部门职责，用以反映和考核项目立项依据情况。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项目立项是否符合国家法律法规、国民经济发展规划和相关政策；</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项目立项是否符合行业发展规划和政策要求；</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项目立项是否与部门职责范围相符，属于部门履职所需；</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项目是否属于公共财政支持范围，是否符合中央、地方事权支出责任划分原则；</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⑤</w:t>
            </w:r>
            <w:r>
              <w:rPr>
                <w:rFonts w:ascii="宋体" w:hAnsi="宋体" w:cs="Times New Roman"/>
                <w:color w:val="000000"/>
                <w:kern w:val="0"/>
                <w:sz w:val="22"/>
                <w:szCs w:val="22"/>
              </w:rPr>
              <w:t>项目是否与相关部门同类项目或部门内部相关项目重复。</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立项程序</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规范性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项目申请、设立过程是否符合相关要求，用以反映和考核项目立项的规范情况。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项目是否按照规定的程序申请设立；</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审批文件、材料是否符合相关要求；</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事前是否已经过必要的可行性研究、专家论证、风险评估、绩效评估、集体决策。</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绩效目标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绩效目标</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合理性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项目所设定的绩效目标是否依据充分，是否符合客观实际，用以反映和考核项目绩效目标与项目实施的相符情况。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（如未设定预算绩效目标，也可考核其他工作任务目标）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项目是否有绩效目标；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项目绩效目标与实际工作内容是否具有相关性；</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项目预期产出效益和效果是否符合正常的业绩水平；</w:t>
            </w:r>
          </w:p>
          <w:p>
            <w:pPr>
              <w:widowControl/>
              <w:spacing w:line="0" w:lineRule="atLeast"/>
              <w:jc w:val="left"/>
              <w:rPr>
                <w:rFonts w:ascii="Times New Roman" w:hAnsi="Times New Roman" w:cs="Times New Roman"/>
                <w:color w:val="000000"/>
                <w:kern w:val="0"/>
                <w:sz w:val="22"/>
                <w:szCs w:val="22"/>
              </w:rPr>
            </w:pPr>
            <w:r>
              <w:rPr>
                <w:rFonts w:hint="eastAsia" w:ascii="宋体" w:hAnsi="宋体" w:cs="宋体"/>
                <w:color w:val="000000"/>
                <w:kern w:val="0"/>
                <w:sz w:val="22"/>
                <w:szCs w:val="22"/>
              </w:rPr>
              <w:t>④</w:t>
            </w:r>
            <w:r>
              <w:rPr>
                <w:rFonts w:ascii="宋体" w:hAnsi="宋体" w:cs="Times New Roman"/>
                <w:color w:val="000000"/>
                <w:kern w:val="0"/>
                <w:sz w:val="22"/>
                <w:szCs w:val="22"/>
              </w:rPr>
              <w:t>是否与预算确定的项目投资额或资金量相匹配。</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决策 </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绩效目标</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绩效指标</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明确性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依据绩效目标设定的绩效指标是否清晰、细化、可衡量等，用以反映和考核项目绩效目标的明细化情况。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是否将项目绩效目标细化分解为具体的绩效指标；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是否通过清晰、可衡量的指标值予以体现；</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是否与项目目标任务数或计划数相对应。</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资金投入</w:t>
            </w:r>
          </w:p>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预算编制</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科学性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预算编制是否经过科学论证；</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预算内容与项目内容是否匹配；</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预算额度测算依据是否充分，是否按照标准编制；</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预算确定的项目投资额或资金量是否与工作任务相匹配。</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资金分配</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合理性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预算资金分配依据是否充分；</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资金分配额度是否合理，与项目单位或地方实际是否相适应。</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过程</w:t>
            </w: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资金管理</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资金到位率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实际到位资金与预算资金的比率，用以反映和考核资金落实情况对项目实施的总体保障程度。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资金到位率=</w:t>
            </w:r>
            <w:r>
              <w:rPr>
                <w:rFonts w:ascii="宋体" w:hAnsi="宋体" w:cs="Times New Roman"/>
                <w:color w:val="000000"/>
                <w:kern w:val="0"/>
                <w:sz w:val="22"/>
                <w:szCs w:val="22"/>
              </w:rPr>
              <w:t>（实际到位资金</w:t>
            </w:r>
            <w:r>
              <w:rPr>
                <w:rFonts w:ascii="Times New Roman" w:hAnsi="Times New Roman" w:cs="Times New Roman"/>
                <w:color w:val="000000"/>
                <w:kern w:val="0"/>
                <w:sz w:val="22"/>
                <w:szCs w:val="22"/>
              </w:rPr>
              <w:t>/</w:t>
            </w:r>
            <w:r>
              <w:rPr>
                <w:rFonts w:ascii="宋体" w:hAnsi="宋体" w:cs="Times New Roman"/>
                <w:color w:val="000000"/>
                <w:kern w:val="0"/>
                <w:sz w:val="22"/>
                <w:szCs w:val="22"/>
              </w:rPr>
              <w:t>预算资金）</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p>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实际到位资金：一定时期（本年度或项目期）内落实到具体项目的资金。</w:t>
            </w:r>
          </w:p>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预算资金：一定时期（本年度或项目期）内预算安排到具体项目的资金。</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预算执行率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项目预算资金是否按照计划执行，用以反映或考核项目预算执行情况。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预算执行率=</w:t>
            </w:r>
            <w:r>
              <w:rPr>
                <w:rFonts w:ascii="宋体" w:hAnsi="宋体" w:cs="Times New Roman"/>
                <w:color w:val="000000"/>
                <w:kern w:val="0"/>
                <w:sz w:val="22"/>
                <w:szCs w:val="22"/>
              </w:rPr>
              <w:t>（实际支出资金</w:t>
            </w:r>
            <w:r>
              <w:rPr>
                <w:rFonts w:ascii="Times New Roman" w:hAnsi="Times New Roman" w:cs="Times New Roman"/>
                <w:color w:val="000000"/>
                <w:kern w:val="0"/>
                <w:sz w:val="22"/>
                <w:szCs w:val="22"/>
              </w:rPr>
              <w:t>/</w:t>
            </w:r>
            <w:r>
              <w:rPr>
                <w:rFonts w:ascii="宋体" w:hAnsi="宋体" w:cs="Times New Roman"/>
                <w:color w:val="000000"/>
                <w:kern w:val="0"/>
                <w:sz w:val="22"/>
                <w:szCs w:val="22"/>
              </w:rPr>
              <w:t>实际到位资金）</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实际支出资金：一定时期（本年度或项目期）内项目实际拨付的资金。</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过程 </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资金管理</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资金使用</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合规性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项目资金使用是否符合相关的财务管理制度规定，用以反映和考核项目资金的规范运行情况。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是否符合国家财经法规和财务管理制度以及有关专项资金管理办法的规定；</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资金的拨付是否有完整的审批程序和手续；</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是否符合项目预算批复或合同规定的用途；</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是否存在截留、挤占、挪用、虚列支出等情况。</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组织实施</w:t>
            </w:r>
          </w:p>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管理制度</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健全性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项目实施单位的财务和业务管理制度是否健全，用以反映和考核财务和业务管理制度对项目顺利实施的保障情况。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是否已制定或具有相应的财务和业务管理制度；</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财务和业务管理制度是否合法、合规、完整。</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制度执行</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有效性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项目实施是否符合相关管理规定，用以反映和考核相关管理制度的有效执行情况。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是否遵守相关法律法规和相关管理规定；</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项目调整及支出调整手续是否完备；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项目合同书、验收报告、技术鉴定等资料是否齐全并及时归档；</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项目实施的人员条件、场地设备、信息支撑等是否落实到位。</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产出数量</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实际完成率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项目实施的实际产出数与计划产出数的比率，用以反映和考核项目产出数量目标的实现程度。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实际完成率=</w:t>
            </w:r>
            <w:r>
              <w:rPr>
                <w:rFonts w:ascii="宋体" w:hAnsi="宋体" w:cs="Times New Roman"/>
                <w:color w:val="000000"/>
                <w:kern w:val="0"/>
                <w:sz w:val="22"/>
                <w:szCs w:val="22"/>
              </w:rPr>
              <w:t>（实际产出数</w:t>
            </w:r>
            <w:r>
              <w:rPr>
                <w:rFonts w:ascii="Times New Roman" w:hAnsi="Times New Roman" w:cs="Times New Roman"/>
                <w:color w:val="000000"/>
                <w:kern w:val="0"/>
                <w:sz w:val="22"/>
                <w:szCs w:val="22"/>
              </w:rPr>
              <w:t>/</w:t>
            </w:r>
            <w:r>
              <w:rPr>
                <w:rFonts w:ascii="宋体" w:hAnsi="宋体" w:cs="Times New Roman"/>
                <w:color w:val="000000"/>
                <w:kern w:val="0"/>
                <w:sz w:val="22"/>
                <w:szCs w:val="22"/>
              </w:rPr>
              <w:t>计划产出数）</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实际产出数：一定时期（本年度或项目期）内项目实际产出的产品或提供的服务数量。</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计划产出数：项目绩效目标确定的在一定时期（本年度或项目期）内计划产出的产品或提供的服务数量。</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产出质量</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质量达标率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项目完成的质量达标产出数与实际产出数的比率，用以反映和考核项目产出质量目标的实现程度。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质量达标率=</w:t>
            </w:r>
            <w:r>
              <w:rPr>
                <w:rFonts w:ascii="宋体" w:hAnsi="宋体" w:cs="Times New Roman"/>
                <w:color w:val="000000"/>
                <w:kern w:val="0"/>
                <w:sz w:val="22"/>
                <w:szCs w:val="22"/>
              </w:rPr>
              <w:t>（质量达标产出数</w:t>
            </w:r>
            <w:r>
              <w:rPr>
                <w:rFonts w:ascii="Times New Roman" w:hAnsi="Times New Roman" w:cs="Times New Roman"/>
                <w:color w:val="000000"/>
                <w:kern w:val="0"/>
                <w:sz w:val="22"/>
                <w:szCs w:val="22"/>
              </w:rPr>
              <w:t>/</w:t>
            </w:r>
            <w:r>
              <w:rPr>
                <w:rFonts w:ascii="宋体" w:hAnsi="宋体" w:cs="Times New Roman"/>
                <w:color w:val="000000"/>
                <w:kern w:val="0"/>
                <w:sz w:val="22"/>
                <w:szCs w:val="22"/>
              </w:rPr>
              <w:t>实际产出数）</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p>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tcBorders>
              <w:top w:val="single" w:color="000000" w:sz="8" w:space="0"/>
              <w:left w:val="nil"/>
              <w:bottom w:val="single" w:color="000000" w:sz="8" w:space="0"/>
              <w:right w:val="single" w:color="000000" w:sz="8" w:space="0"/>
            </w:tcBorders>
            <w:shd w:val="clear" w:color="auto" w:fill="FFFFFF"/>
            <w:vAlign w:val="center"/>
          </w:tcPr>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产出时效</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完成及时性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项目实际完成时间与计划完成时间的比较，用以反映和考核项目产出时效目标的实现程度。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实际完成时间：项目实施单位完成该项目实际所耗用的时间。</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计划完成时间：按照项目实施计划或相关规定完成该项目所需的时间。</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产出成本</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成本节约率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完成项目计划工作目标的实际节约成本与计划成本的比率，用以反映和考核项目的成本节约程度。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成本节约率=[</w:t>
            </w:r>
            <w:r>
              <w:rPr>
                <w:rFonts w:ascii="宋体" w:hAnsi="宋体" w:cs="Times New Roman"/>
                <w:color w:val="000000"/>
                <w:kern w:val="0"/>
                <w:sz w:val="22"/>
                <w:szCs w:val="22"/>
              </w:rPr>
              <w:t>（计划成本</w:t>
            </w:r>
            <w:r>
              <w:rPr>
                <w:rFonts w:ascii="Times New Roman" w:hAnsi="Times New Roman" w:cs="Times New Roman"/>
                <w:color w:val="000000"/>
                <w:kern w:val="0"/>
                <w:sz w:val="22"/>
                <w:szCs w:val="22"/>
              </w:rPr>
              <w:t>-</w:t>
            </w:r>
            <w:r>
              <w:rPr>
                <w:rFonts w:ascii="宋体" w:hAnsi="宋体" w:cs="Times New Roman"/>
                <w:color w:val="000000"/>
                <w:kern w:val="0"/>
                <w:sz w:val="22"/>
                <w:szCs w:val="22"/>
              </w:rPr>
              <w:t>实际成本）</w:t>
            </w:r>
            <w:r>
              <w:rPr>
                <w:rFonts w:ascii="Times New Roman" w:hAnsi="Times New Roman" w:cs="Times New Roman"/>
                <w:color w:val="000000"/>
                <w:kern w:val="0"/>
                <w:sz w:val="22"/>
                <w:szCs w:val="22"/>
              </w:rPr>
              <w:t>/</w:t>
            </w:r>
            <w:r>
              <w:rPr>
                <w:rFonts w:ascii="宋体" w:hAnsi="宋体" w:cs="Times New Roman"/>
                <w:color w:val="000000"/>
                <w:kern w:val="0"/>
                <w:sz w:val="22"/>
                <w:szCs w:val="22"/>
              </w:rPr>
              <w:t>计划成本</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实际成本：项目实施单位如期、保质、保量完成既定工作目标实际所耗费的支出。</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计划成本：项目实施单位为完成工作目标计划安排的支出，一般以项目预算为参考。</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效益 </w:t>
            </w: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项目效益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实施效益</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20</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项目实施所产生的效益。</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项目实施所产生的社会效益、经济效益、生态效益、可持续影响等。可根据项目实际情况有选择地设置和细化。</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满意度</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社会公众或服务对象对项目实施效果的满意程度。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社会公众或服务对象是指因该项目实施而受到影响的部门（单位）、群体或个人。一般采取社会调查的方式。</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总分</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100</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hint="eastAsia" w:ascii="Times New Roman" w:hAnsi="Times New Roman" w:cs="Times New Roman"/>
                <w:color w:val="000000"/>
                <w:kern w:val="0"/>
                <w:sz w:val="22"/>
                <w:szCs w:val="22"/>
              </w:rPr>
              <w:t>100</w:t>
            </w:r>
          </w:p>
        </w:tc>
      </w:tr>
    </w:tbl>
    <w:p>
      <w:pPr>
        <w:spacing w:line="560" w:lineRule="exact"/>
        <w:ind w:firstLine="200" w:firstLineChars="100"/>
        <w:rPr>
          <w:rFonts w:ascii="Times New Roman" w:hAnsi="Times New Roman" w:eastAsia="仿宋_GB2312" w:cs="Times New Roman"/>
          <w:bCs/>
          <w:color w:val="000000"/>
          <w:sz w:val="32"/>
          <w:szCs w:val="32"/>
        </w:rPr>
        <w:sectPr>
          <w:pgSz w:w="16838" w:h="11906" w:orient="landscape"/>
          <w:pgMar w:top="1531" w:right="1928" w:bottom="1531" w:left="1701" w:header="737" w:footer="851" w:gutter="0"/>
          <w:cols w:space="720" w:num="1"/>
          <w:docGrid w:type="lines" w:linePitch="408" w:charSpace="0"/>
        </w:sectPr>
      </w:pPr>
      <w:r>
        <w:rPr>
          <w:rFonts w:ascii="仿宋_GB2312" w:hAnsi="仿宋_GB2312" w:eastAsia="仿宋_GB2312" w:cs="Times New Roman"/>
          <w:sz w:val="20"/>
          <w:szCs w:val="20"/>
        </w:rPr>
        <w:t>注：单位可以根据专项资金的管理要求和绩效要求增设个性指标</w:t>
      </w:r>
      <w:r>
        <w:rPr>
          <w:rFonts w:hint="eastAsia" w:ascii="宋体" w:hAnsi="宋体" w:cs="宋体"/>
          <w:sz w:val="20"/>
          <w:szCs w:val="20"/>
        </w:rPr>
        <w:t>。</w:t>
      </w:r>
    </w:p>
    <w:p>
      <w:pPr>
        <w:spacing w:line="560" w:lineRule="exact"/>
        <w:rPr>
          <w:rFonts w:ascii="Times New Roman" w:hAnsi="Times New Roman" w:eastAsia="仿宋_GB2312" w:cs="Times New Roman"/>
          <w:bCs/>
          <w:color w:val="00000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609238"/>
    <w:multiLevelType w:val="singleLevel"/>
    <w:tmpl w:val="BD609238"/>
    <w:lvl w:ilvl="0" w:tentative="0">
      <w:start w:val="2"/>
      <w:numFmt w:val="chineseCounting"/>
      <w:suff w:val="nothing"/>
      <w:lvlText w:val="（%1）"/>
      <w:lvlJc w:val="left"/>
      <w:rPr>
        <w:rFonts w:hint="eastAsia"/>
      </w:rPr>
    </w:lvl>
  </w:abstractNum>
  <w:abstractNum w:abstractNumId="1">
    <w:nsid w:val="27305BEC"/>
    <w:multiLevelType w:val="singleLevel"/>
    <w:tmpl w:val="27305BEC"/>
    <w:lvl w:ilvl="0" w:tentative="0">
      <w:start w:val="5"/>
      <w:numFmt w:val="chineseCounting"/>
      <w:suff w:val="nothing"/>
      <w:lvlText w:val="%1、"/>
      <w:lvlJc w:val="left"/>
      <w:rPr>
        <w:rFonts w:hint="eastAsia"/>
      </w:rPr>
    </w:lvl>
  </w:abstractNum>
  <w:abstractNum w:abstractNumId="2">
    <w:nsid w:val="678EFD14"/>
    <w:multiLevelType w:val="singleLevel"/>
    <w:tmpl w:val="678EFD14"/>
    <w:lvl w:ilvl="0" w:tentative="0">
      <w:start w:val="1"/>
      <w:numFmt w:val="decimal"/>
      <w:suff w:val="nothing"/>
      <w:lvlText w:val="%1、"/>
      <w:lvlJc w:val="left"/>
      <w:pPr>
        <w:ind w:left="642"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1AB8"/>
    <w:rsid w:val="00191AB8"/>
    <w:rsid w:val="00656ED4"/>
    <w:rsid w:val="00686F37"/>
    <w:rsid w:val="00855BFD"/>
    <w:rsid w:val="00C15BB6"/>
    <w:rsid w:val="00D00091"/>
    <w:rsid w:val="00F76AA3"/>
    <w:rsid w:val="06067F4C"/>
    <w:rsid w:val="0A86291F"/>
    <w:rsid w:val="15BA783D"/>
    <w:rsid w:val="28696A05"/>
    <w:rsid w:val="2A882683"/>
    <w:rsid w:val="521D221E"/>
    <w:rsid w:val="58A92315"/>
    <w:rsid w:val="692736C1"/>
    <w:rsid w:val="6B9E1C0A"/>
    <w:rsid w:val="6DB67AB7"/>
    <w:rsid w:val="75A60AE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8"/>
    <w:qFormat/>
    <w:uiPriority w:val="99"/>
    <w:pPr>
      <w:keepNext/>
      <w:keepLines/>
      <w:spacing w:before="260" w:after="260" w:line="412" w:lineRule="auto"/>
      <w:outlineLvl w:val="1"/>
    </w:pPr>
    <w:rPr>
      <w:rFonts w:ascii="Arial" w:hAnsi="Arial" w:eastAsia="黑体" w:cs="Arial"/>
      <w:b/>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semiHidden/>
    <w:unhideWhenUsed/>
    <w:qFormat/>
    <w:uiPriority w:val="99"/>
    <w:rPr>
      <w:sz w:val="18"/>
      <w:szCs w:val="18"/>
    </w:rPr>
  </w:style>
  <w:style w:type="paragraph" w:styleId="4">
    <w:name w:val="footer"/>
    <w:basedOn w:val="1"/>
    <w:link w:val="12"/>
    <w:semiHidden/>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标题 2 Char"/>
    <w:basedOn w:val="7"/>
    <w:link w:val="2"/>
    <w:qFormat/>
    <w:uiPriority w:val="99"/>
    <w:rPr>
      <w:rFonts w:ascii="Arial" w:hAnsi="Arial" w:eastAsia="黑体" w:cs="Arial"/>
      <w:b/>
      <w:sz w:val="32"/>
      <w:szCs w:val="32"/>
    </w:rPr>
  </w:style>
  <w:style w:type="paragraph" w:styleId="9">
    <w:name w:val="No Spacing"/>
    <w:basedOn w:val="1"/>
    <w:qFormat/>
    <w:uiPriority w:val="99"/>
  </w:style>
  <w:style w:type="character" w:customStyle="1" w:styleId="10">
    <w:name w:val="批注框文本 Char"/>
    <w:basedOn w:val="7"/>
    <w:link w:val="3"/>
    <w:semiHidden/>
    <w:qFormat/>
    <w:uiPriority w:val="99"/>
    <w:rPr>
      <w:rFonts w:ascii="Calibri" w:hAnsi="Calibri" w:eastAsia="宋体" w:cs="Calibri"/>
      <w:sz w:val="18"/>
      <w:szCs w:val="18"/>
    </w:rPr>
  </w:style>
  <w:style w:type="character" w:customStyle="1" w:styleId="11">
    <w:name w:val="页眉 Char"/>
    <w:basedOn w:val="7"/>
    <w:link w:val="5"/>
    <w:semiHidden/>
    <w:qFormat/>
    <w:uiPriority w:val="99"/>
    <w:rPr>
      <w:rFonts w:cs="Calibri"/>
      <w:kern w:val="2"/>
      <w:sz w:val="18"/>
      <w:szCs w:val="18"/>
    </w:rPr>
  </w:style>
  <w:style w:type="character" w:customStyle="1" w:styleId="12">
    <w:name w:val="页脚 Char"/>
    <w:basedOn w:val="7"/>
    <w:link w:val="4"/>
    <w:semiHidden/>
    <w:qFormat/>
    <w:uiPriority w:val="99"/>
    <w:rPr>
      <w:rFonts w:cs="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807</Words>
  <Characters>4603</Characters>
  <Lines>38</Lines>
  <Paragraphs>10</Paragraphs>
  <TotalTime>24</TotalTime>
  <ScaleCrop>false</ScaleCrop>
  <LinksUpToDate>false</LinksUpToDate>
  <CharactersWithSpaces>5400</CharactersWithSpaces>
  <Application>WPS Office_11.1.0.10503_F1E327BC-269C-435d-A152-05C5408002CA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2021-07-26T03:17:00Z</dcterms:created>
  <dc:creator>Administrator</dc:creator>
  <cp:lastModifiedBy>梅子花开</cp:lastModifiedBy>
  <cp:lastPrinted>2021-08-02T06:08:00Z</cp:lastPrinted>
  <dcterms:modified xsi:type="dcterms:W3CDTF">2021-08-02T06:10:12Z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43617F49017048CA923D8502479FDB82</vt:lpwstr>
  </property>
</Properties>
</file>