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黑体" w:hAnsi="黑体" w:eastAsia="黑体" w:cs="Times New Roman"/>
          <w:sz w:val="44"/>
          <w:szCs w:val="44"/>
          <w:lang w:val="en-US" w:eastAsia="zh-CN"/>
        </w:rPr>
      </w:pPr>
      <w:r>
        <w:rPr>
          <w:rFonts w:hint="eastAsia" w:ascii="黑体" w:hAnsi="黑体" w:eastAsia="黑体" w:cs="Times New Roman"/>
          <w:sz w:val="44"/>
          <w:szCs w:val="44"/>
          <w:lang w:eastAsia="zh-CN"/>
        </w:rPr>
        <w:t>中方县发展和改革局</w:t>
      </w:r>
      <w:r>
        <w:rPr>
          <w:rFonts w:hint="eastAsia" w:ascii="黑体" w:hAnsi="黑体" w:eastAsia="黑体" w:cs="Times New Roman"/>
          <w:sz w:val="44"/>
          <w:szCs w:val="44"/>
          <w:lang w:val="en-US" w:eastAsia="zh-CN"/>
        </w:rPr>
        <w:t>2020年度政府</w:t>
      </w:r>
    </w:p>
    <w:p>
      <w:pPr>
        <w:pStyle w:val="9"/>
        <w:keepNext w:val="0"/>
        <w:keepLines w:val="0"/>
        <w:pageBreakBefore w:val="0"/>
        <w:kinsoku/>
        <w:wordWrap/>
        <w:overflowPunct/>
        <w:topLinePunct w:val="0"/>
        <w:autoSpaceDE/>
        <w:autoSpaceDN/>
        <w:bidi w:val="0"/>
        <w:adjustRightInd/>
        <w:snapToGrid/>
        <w:spacing w:line="560" w:lineRule="exact"/>
        <w:jc w:val="center"/>
        <w:textAlignment w:val="auto"/>
        <w:rPr>
          <w:rFonts w:ascii="黑体" w:hAnsi="黑体" w:eastAsia="黑体" w:cs="Times New Roman"/>
          <w:sz w:val="44"/>
          <w:szCs w:val="44"/>
        </w:rPr>
      </w:pPr>
      <w:r>
        <w:rPr>
          <w:rFonts w:hint="eastAsia" w:ascii="黑体" w:hAnsi="黑体" w:eastAsia="黑体" w:cs="Times New Roman"/>
          <w:sz w:val="44"/>
          <w:szCs w:val="44"/>
          <w:lang w:val="en-US" w:eastAsia="zh-CN"/>
        </w:rPr>
        <w:t>投资项目概算评审费</w:t>
      </w:r>
      <w:r>
        <w:rPr>
          <w:rFonts w:ascii="黑体" w:hAnsi="黑体" w:eastAsia="黑体" w:cs="Times New Roman"/>
          <w:sz w:val="44"/>
          <w:szCs w:val="44"/>
        </w:rPr>
        <w:t>项目支出绩效</w:t>
      </w:r>
      <w:r>
        <w:rPr>
          <w:rFonts w:hint="eastAsia" w:ascii="黑体" w:hAnsi="黑体" w:eastAsia="黑体" w:cs="Times New Roman"/>
          <w:sz w:val="44"/>
          <w:szCs w:val="44"/>
          <w:lang w:eastAsia="zh-CN"/>
        </w:rPr>
        <w:t>自</w:t>
      </w:r>
      <w:r>
        <w:rPr>
          <w:rFonts w:ascii="黑体" w:hAnsi="黑体" w:eastAsia="黑体" w:cs="Times New Roman"/>
          <w:sz w:val="44"/>
          <w:szCs w:val="44"/>
        </w:rPr>
        <w:t>评报告</w:t>
      </w:r>
    </w:p>
    <w:p>
      <w:pPr>
        <w:pStyle w:val="9"/>
        <w:keepNext w:val="0"/>
        <w:keepLines w:val="0"/>
        <w:pageBreakBefore w:val="0"/>
        <w:kinsoku/>
        <w:wordWrap/>
        <w:overflowPunct/>
        <w:topLinePunct w:val="0"/>
        <w:autoSpaceDE/>
        <w:autoSpaceDN/>
        <w:bidi w:val="0"/>
        <w:adjustRightInd/>
        <w:snapToGrid/>
        <w:spacing w:line="560" w:lineRule="exact"/>
        <w:ind w:firstLine="1320" w:firstLineChars="300"/>
        <w:jc w:val="center"/>
        <w:textAlignment w:val="auto"/>
        <w:rPr>
          <w:rFonts w:ascii="黑体" w:hAnsi="黑体" w:eastAsia="黑体" w:cs="Times New Roman"/>
          <w:sz w:val="44"/>
          <w:szCs w:val="44"/>
        </w:rPr>
      </w:pPr>
    </w:p>
    <w:p>
      <w:pPr>
        <w:pStyle w:val="9"/>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宋体" w:hAnsi="宋体" w:eastAsia="宋体" w:cs="宋体"/>
          <w:b/>
          <w:sz w:val="32"/>
          <w:szCs w:val="32"/>
        </w:rPr>
      </w:pPr>
      <w:r>
        <w:rPr>
          <w:rFonts w:hint="eastAsia" w:ascii="宋体" w:hAnsi="宋体" w:eastAsia="宋体" w:cs="宋体"/>
          <w:b/>
          <w:sz w:val="32"/>
          <w:szCs w:val="32"/>
        </w:rPr>
        <w:t>一、基本情况</w:t>
      </w:r>
    </w:p>
    <w:p>
      <w:pPr>
        <w:pStyle w:val="9"/>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宋体" w:hAnsi="宋体" w:eastAsia="宋体" w:cs="宋体"/>
          <w:sz w:val="32"/>
          <w:szCs w:val="32"/>
          <w:lang w:eastAsia="zh-CN"/>
        </w:rPr>
      </w:pPr>
      <w:r>
        <w:rPr>
          <w:rFonts w:hint="eastAsia" w:ascii="宋体" w:hAnsi="宋体" w:eastAsia="宋体" w:cs="宋体"/>
          <w:b/>
          <w:bCs/>
          <w:sz w:val="32"/>
          <w:szCs w:val="32"/>
        </w:rPr>
        <w:t>（一）项目概况。</w:t>
      </w:r>
      <w:r>
        <w:rPr>
          <w:rFonts w:hint="eastAsia" w:ascii="宋体" w:hAnsi="宋体" w:eastAsia="宋体" w:cs="宋体"/>
          <w:sz w:val="32"/>
          <w:szCs w:val="32"/>
          <w:lang w:eastAsia="zh-CN"/>
        </w:rPr>
        <w:t>根据《中方县政府投资项目审批及概算管理办法》（中政办发〔2018〕17号）、《关于进一步加强政府投资项目审批及概算管理有关事项的通知》（中政办发〔201</w:t>
      </w:r>
      <w:r>
        <w:rPr>
          <w:rFonts w:hint="eastAsia" w:ascii="宋体" w:hAnsi="宋体" w:eastAsia="宋体" w:cs="宋体"/>
          <w:sz w:val="32"/>
          <w:szCs w:val="32"/>
          <w:lang w:val="en-US" w:eastAsia="zh-CN"/>
        </w:rPr>
        <w:t>9</w:t>
      </w:r>
      <w:r>
        <w:rPr>
          <w:rFonts w:hint="eastAsia" w:ascii="宋体" w:hAnsi="宋体" w:eastAsia="宋体" w:cs="宋体"/>
          <w:sz w:val="32"/>
          <w:szCs w:val="32"/>
          <w:lang w:eastAsia="zh-CN"/>
        </w:rPr>
        <w:t>〕</w:t>
      </w:r>
      <w:r>
        <w:rPr>
          <w:rFonts w:hint="eastAsia" w:ascii="宋体" w:hAnsi="宋体" w:eastAsia="宋体" w:cs="宋体"/>
          <w:sz w:val="32"/>
          <w:szCs w:val="32"/>
          <w:lang w:val="en-US" w:eastAsia="zh-CN"/>
        </w:rPr>
        <w:t>20</w:t>
      </w:r>
      <w:r>
        <w:rPr>
          <w:rFonts w:hint="eastAsia" w:ascii="宋体" w:hAnsi="宋体" w:eastAsia="宋体" w:cs="宋体"/>
          <w:sz w:val="32"/>
          <w:szCs w:val="32"/>
          <w:lang w:eastAsia="zh-CN"/>
        </w:rPr>
        <w:t>号）和政府常务会纪要（</w:t>
      </w:r>
      <w:r>
        <w:rPr>
          <w:rFonts w:hint="eastAsia" w:ascii="宋体" w:hAnsi="宋体" w:eastAsia="宋体" w:cs="宋体"/>
          <w:sz w:val="32"/>
          <w:szCs w:val="32"/>
          <w:lang w:val="en-US" w:eastAsia="zh-CN"/>
        </w:rPr>
        <w:t>2019年第12期</w:t>
      </w:r>
      <w:r>
        <w:rPr>
          <w:rFonts w:hint="eastAsia" w:ascii="宋体" w:hAnsi="宋体" w:eastAsia="宋体" w:cs="宋体"/>
          <w:sz w:val="32"/>
          <w:szCs w:val="32"/>
          <w:lang w:eastAsia="zh-CN"/>
        </w:rPr>
        <w:t>）文件要求，对政府投资</w:t>
      </w:r>
      <w:r>
        <w:rPr>
          <w:rFonts w:hint="eastAsia" w:ascii="宋体" w:hAnsi="宋体" w:eastAsia="宋体" w:cs="宋体"/>
          <w:sz w:val="32"/>
          <w:szCs w:val="32"/>
          <w:lang w:val="en-US" w:eastAsia="zh-CN"/>
        </w:rPr>
        <w:t>1000万以上的</w:t>
      </w:r>
      <w:r>
        <w:rPr>
          <w:rFonts w:hint="eastAsia" w:ascii="宋体" w:hAnsi="宋体" w:eastAsia="宋体" w:cs="宋体"/>
          <w:sz w:val="32"/>
          <w:szCs w:val="32"/>
        </w:rPr>
        <w:t>项目概算由县发改局在项目初步设计阶段委托评审后审批。</w:t>
      </w:r>
      <w:r>
        <w:rPr>
          <w:rFonts w:hint="eastAsia" w:ascii="宋体" w:hAnsi="宋体" w:eastAsia="宋体" w:cs="宋体"/>
          <w:sz w:val="32"/>
          <w:szCs w:val="32"/>
          <w:lang w:eastAsia="zh-CN"/>
        </w:rPr>
        <w:t>概算评审费用</w:t>
      </w:r>
      <w:r>
        <w:rPr>
          <w:rFonts w:hint="eastAsia" w:ascii="宋体" w:hAnsi="宋体" w:eastAsia="宋体" w:cs="宋体"/>
          <w:sz w:val="32"/>
          <w:szCs w:val="32"/>
          <w:lang w:val="en-US" w:eastAsia="zh-CN"/>
        </w:rPr>
        <w:t>28万元</w:t>
      </w:r>
      <w:r>
        <w:rPr>
          <w:rFonts w:hint="eastAsia" w:ascii="宋体" w:hAnsi="宋体" w:eastAsia="宋体" w:cs="宋体"/>
          <w:sz w:val="32"/>
          <w:szCs w:val="32"/>
          <w:lang w:eastAsia="zh-CN"/>
        </w:rPr>
        <w:t>纳入本级财政预算，</w:t>
      </w:r>
      <w:r>
        <w:rPr>
          <w:rFonts w:hint="eastAsia" w:ascii="宋体" w:hAnsi="宋体" w:eastAsia="宋体" w:cs="宋体"/>
          <w:sz w:val="32"/>
          <w:szCs w:val="32"/>
          <w:lang w:val="en-US" w:eastAsia="zh-CN"/>
        </w:rPr>
        <w:t>2020年支付11.66万元</w:t>
      </w:r>
      <w:r>
        <w:rPr>
          <w:rFonts w:hint="eastAsia" w:ascii="宋体" w:hAnsi="宋体" w:eastAsia="宋体" w:cs="宋体"/>
          <w:sz w:val="32"/>
          <w:szCs w:val="32"/>
          <w:lang w:eastAsia="zh-CN"/>
        </w:rPr>
        <w:t>。</w:t>
      </w:r>
    </w:p>
    <w:p>
      <w:pPr>
        <w:pStyle w:val="9"/>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宋体" w:hAnsi="宋体" w:eastAsia="宋体" w:cs="宋体"/>
          <w:sz w:val="32"/>
          <w:szCs w:val="32"/>
          <w:lang w:eastAsia="zh-CN"/>
        </w:rPr>
      </w:pPr>
      <w:r>
        <w:rPr>
          <w:rFonts w:hint="eastAsia" w:ascii="宋体" w:hAnsi="宋体" w:eastAsia="宋体" w:cs="宋体"/>
          <w:b/>
          <w:bCs/>
          <w:sz w:val="32"/>
          <w:szCs w:val="32"/>
        </w:rPr>
        <w:t>（二）项目绩效目标。</w:t>
      </w:r>
      <w:r>
        <w:rPr>
          <w:rFonts w:hint="eastAsia" w:ascii="宋体" w:hAnsi="宋体" w:eastAsia="宋体" w:cs="宋体"/>
          <w:sz w:val="32"/>
          <w:szCs w:val="32"/>
          <w:lang w:eastAsia="zh-CN"/>
        </w:rPr>
        <w:t>加强政府投资项目概算管理，对政府投资</w:t>
      </w:r>
      <w:r>
        <w:rPr>
          <w:rFonts w:hint="eastAsia" w:ascii="宋体" w:hAnsi="宋体" w:eastAsia="宋体" w:cs="宋体"/>
          <w:sz w:val="32"/>
          <w:szCs w:val="32"/>
          <w:lang w:val="en-US" w:eastAsia="zh-CN"/>
        </w:rPr>
        <w:t>1000万以上的</w:t>
      </w:r>
      <w:r>
        <w:rPr>
          <w:rFonts w:hint="eastAsia" w:ascii="宋体" w:hAnsi="宋体" w:eastAsia="宋体" w:cs="宋体"/>
          <w:sz w:val="32"/>
          <w:szCs w:val="32"/>
        </w:rPr>
        <w:t>项目</w:t>
      </w:r>
      <w:r>
        <w:rPr>
          <w:rFonts w:hint="eastAsia" w:ascii="宋体" w:hAnsi="宋体" w:eastAsia="宋体" w:cs="宋体"/>
          <w:sz w:val="32"/>
          <w:szCs w:val="32"/>
          <w:lang w:val="en-US" w:eastAsia="zh-CN"/>
        </w:rPr>
        <w:t>概算进行评审，</w:t>
      </w:r>
      <w:r>
        <w:rPr>
          <w:rFonts w:hint="eastAsia" w:ascii="宋体" w:hAnsi="宋体" w:eastAsia="宋体" w:cs="宋体"/>
          <w:sz w:val="32"/>
          <w:szCs w:val="32"/>
          <w:lang w:eastAsia="zh-CN"/>
        </w:rPr>
        <w:t>有效控制“超规模、超标准、超投资”问题，进一步提高政府投资效应和项目管理水平。</w:t>
      </w:r>
    </w:p>
    <w:p>
      <w:pPr>
        <w:pStyle w:val="9"/>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宋体" w:hAnsi="宋体" w:eastAsia="宋体" w:cs="宋体"/>
          <w:b/>
          <w:sz w:val="32"/>
          <w:szCs w:val="32"/>
        </w:rPr>
      </w:pPr>
      <w:r>
        <w:rPr>
          <w:rFonts w:hint="eastAsia" w:ascii="宋体" w:hAnsi="宋体" w:eastAsia="宋体" w:cs="宋体"/>
          <w:b/>
          <w:sz w:val="32"/>
          <w:szCs w:val="32"/>
        </w:rPr>
        <w:t>二、绩效评价工作开展情况</w:t>
      </w:r>
    </w:p>
    <w:p>
      <w:pPr>
        <w:pStyle w:val="9"/>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宋体" w:hAnsi="宋体" w:eastAsia="宋体" w:cs="宋体"/>
          <w:sz w:val="32"/>
          <w:szCs w:val="32"/>
        </w:rPr>
      </w:pPr>
      <w:r>
        <w:rPr>
          <w:rFonts w:hint="eastAsia" w:ascii="宋体" w:hAnsi="宋体" w:eastAsia="宋体" w:cs="宋体"/>
          <w:b/>
          <w:bCs/>
          <w:sz w:val="32"/>
          <w:szCs w:val="32"/>
        </w:rPr>
        <w:t>（一）绩效评价目的、对象和范围。</w:t>
      </w:r>
      <w:r>
        <w:rPr>
          <w:rFonts w:hint="eastAsia" w:ascii="宋体" w:hAnsi="宋体" w:eastAsia="宋体" w:cs="宋体"/>
          <w:sz w:val="32"/>
          <w:szCs w:val="32"/>
          <w:lang w:eastAsia="zh-CN"/>
        </w:rPr>
        <w:t>对政府投资</w:t>
      </w:r>
      <w:r>
        <w:rPr>
          <w:rFonts w:hint="eastAsia" w:ascii="宋体" w:hAnsi="宋体" w:eastAsia="宋体" w:cs="宋体"/>
          <w:sz w:val="32"/>
          <w:szCs w:val="32"/>
          <w:lang w:val="en-US" w:eastAsia="zh-CN"/>
        </w:rPr>
        <w:t>1000万以上的</w:t>
      </w:r>
      <w:r>
        <w:rPr>
          <w:rFonts w:hint="eastAsia" w:ascii="宋体" w:hAnsi="宋体" w:eastAsia="宋体" w:cs="宋体"/>
          <w:sz w:val="32"/>
          <w:szCs w:val="32"/>
        </w:rPr>
        <w:t>项目</w:t>
      </w:r>
      <w:r>
        <w:rPr>
          <w:rFonts w:hint="eastAsia" w:ascii="宋体" w:hAnsi="宋体" w:eastAsia="宋体" w:cs="宋体"/>
          <w:sz w:val="32"/>
          <w:szCs w:val="32"/>
          <w:lang w:val="en-US" w:eastAsia="zh-CN"/>
        </w:rPr>
        <w:t>概算评审工作进行评价，</w:t>
      </w:r>
      <w:r>
        <w:rPr>
          <w:rFonts w:hint="eastAsia" w:ascii="宋体" w:hAnsi="宋体" w:eastAsia="宋体" w:cs="宋体"/>
          <w:sz w:val="32"/>
          <w:szCs w:val="32"/>
          <w:lang w:eastAsia="zh-CN"/>
        </w:rPr>
        <w:t>有效控制“超规模、超标准、超投资”问题，进一步提高政府投资效应和项目管理水平。</w:t>
      </w:r>
    </w:p>
    <w:p>
      <w:pPr>
        <w:pStyle w:val="9"/>
        <w:spacing w:line="510" w:lineRule="exact"/>
        <w:ind w:firstLine="643" w:firstLineChars="200"/>
        <w:rPr>
          <w:rFonts w:hint="eastAsia" w:ascii="宋体" w:hAnsi="宋体" w:eastAsia="宋体" w:cs="宋体"/>
          <w:b/>
          <w:bCs/>
          <w:color w:val="auto"/>
          <w:sz w:val="32"/>
          <w:szCs w:val="32"/>
        </w:rPr>
      </w:pPr>
      <w:r>
        <w:rPr>
          <w:rFonts w:hint="eastAsia" w:ascii="宋体" w:hAnsi="宋体" w:eastAsia="宋体" w:cs="宋体"/>
          <w:b/>
          <w:bCs/>
          <w:color w:val="auto"/>
          <w:sz w:val="32"/>
          <w:szCs w:val="32"/>
        </w:rPr>
        <w:t>（二）绩效评价原则、评价指标体系、评价方法、评价标准等。</w:t>
      </w:r>
      <w:r>
        <w:rPr>
          <w:rFonts w:hint="eastAsia" w:ascii="宋体" w:hAnsi="宋体" w:eastAsia="宋体" w:cs="宋体"/>
          <w:sz w:val="32"/>
          <w:szCs w:val="32"/>
        </w:rPr>
        <w:t>主要</w:t>
      </w:r>
      <w:r>
        <w:rPr>
          <w:rFonts w:hint="eastAsia" w:ascii="宋体" w:hAnsi="宋体" w:eastAsia="宋体" w:cs="宋体"/>
          <w:sz w:val="32"/>
          <w:szCs w:val="32"/>
          <w:lang w:eastAsia="zh-CN"/>
        </w:rPr>
        <w:t>设置了产出指标、效益指标、满意度指标三大类指标，重点从项目概算评审数量、评审效率、概算金额审减率等方面进行评价，主要通过</w:t>
      </w:r>
      <w:r>
        <w:rPr>
          <w:rFonts w:hint="eastAsia" w:ascii="宋体" w:hAnsi="宋体" w:eastAsia="宋体" w:cs="宋体"/>
          <w:sz w:val="32"/>
          <w:szCs w:val="32"/>
        </w:rPr>
        <w:t>审阅资料</w:t>
      </w:r>
      <w:r>
        <w:rPr>
          <w:rFonts w:hint="eastAsia" w:ascii="宋体" w:hAnsi="宋体" w:eastAsia="宋体" w:cs="宋体"/>
          <w:sz w:val="32"/>
          <w:szCs w:val="32"/>
          <w:lang w:eastAsia="zh-CN"/>
        </w:rPr>
        <w:t>、现场核实等方式进行评价。</w:t>
      </w:r>
    </w:p>
    <w:p>
      <w:pPr>
        <w:pStyle w:val="9"/>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宋体" w:hAnsi="宋体" w:eastAsia="宋体" w:cs="宋体"/>
          <w:color w:val="FF0000"/>
          <w:sz w:val="32"/>
          <w:szCs w:val="32"/>
        </w:rPr>
      </w:pPr>
      <w:r>
        <w:rPr>
          <w:rFonts w:hint="eastAsia" w:ascii="宋体" w:hAnsi="宋体" w:eastAsia="宋体" w:cs="宋体"/>
          <w:b/>
          <w:bCs/>
          <w:color w:val="auto"/>
          <w:sz w:val="32"/>
          <w:szCs w:val="32"/>
        </w:rPr>
        <w:t>（三）绩效评价工作过程。</w:t>
      </w:r>
      <w:r>
        <w:rPr>
          <w:rFonts w:hint="eastAsia" w:ascii="宋体" w:hAnsi="宋体" w:eastAsia="宋体" w:cs="宋体"/>
          <w:sz w:val="32"/>
          <w:szCs w:val="32"/>
        </w:rPr>
        <w:t>县发改局负责对该项目进行绩效评价，绩效评价现场由县发改局、财政局相关股室负责</w:t>
      </w:r>
      <w:r>
        <w:rPr>
          <w:rFonts w:hint="eastAsia" w:ascii="宋体" w:hAnsi="宋体" w:eastAsia="宋体" w:cs="宋体"/>
          <w:sz w:val="32"/>
          <w:szCs w:val="32"/>
          <w:lang w:eastAsia="zh-CN"/>
        </w:rPr>
        <w:t>人</w:t>
      </w:r>
      <w:r>
        <w:rPr>
          <w:rFonts w:hint="eastAsia" w:ascii="宋体" w:hAnsi="宋体" w:eastAsia="宋体" w:cs="宋体"/>
          <w:sz w:val="32"/>
          <w:szCs w:val="32"/>
        </w:rPr>
        <w:t>参加，通过查阅资料、收付款凭据等资料进行绩效复核。</w:t>
      </w:r>
    </w:p>
    <w:p>
      <w:pPr>
        <w:pStyle w:val="9"/>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宋体" w:hAnsi="宋体" w:eastAsia="宋体" w:cs="宋体"/>
          <w:b/>
          <w:color w:val="auto"/>
          <w:sz w:val="32"/>
          <w:szCs w:val="32"/>
        </w:rPr>
      </w:pPr>
      <w:r>
        <w:rPr>
          <w:rFonts w:hint="eastAsia" w:ascii="宋体" w:hAnsi="宋体" w:eastAsia="宋体" w:cs="宋体"/>
          <w:b/>
          <w:color w:val="auto"/>
          <w:sz w:val="32"/>
          <w:szCs w:val="32"/>
        </w:rPr>
        <w:t>三、综合评价情况及评价结论</w:t>
      </w:r>
    </w:p>
    <w:p>
      <w:pPr>
        <w:pStyle w:val="9"/>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宋体" w:cs="宋体"/>
          <w:color w:val="auto"/>
          <w:sz w:val="32"/>
          <w:szCs w:val="32"/>
        </w:rPr>
      </w:pPr>
      <w:r>
        <w:rPr>
          <w:rFonts w:hint="eastAsia" w:ascii="宋体" w:hAnsi="宋体" w:eastAsia="宋体" w:cs="宋体"/>
          <w:color w:val="auto"/>
          <w:sz w:val="32"/>
          <w:szCs w:val="32"/>
        </w:rPr>
        <w:t>项目支出绩效自评</w:t>
      </w:r>
      <w:r>
        <w:rPr>
          <w:rFonts w:hint="eastAsia" w:ascii="宋体" w:hAnsi="宋体" w:eastAsia="宋体" w:cs="宋体"/>
          <w:color w:val="auto"/>
          <w:sz w:val="32"/>
          <w:szCs w:val="32"/>
          <w:lang w:eastAsia="zh-CN"/>
        </w:rPr>
        <w:t>得分</w:t>
      </w:r>
      <w:r>
        <w:rPr>
          <w:rFonts w:hint="eastAsia" w:ascii="宋体" w:hAnsi="宋体" w:eastAsia="宋体" w:cs="宋体"/>
          <w:color w:val="auto"/>
          <w:sz w:val="32"/>
          <w:szCs w:val="32"/>
          <w:lang w:val="en-US" w:eastAsia="zh-CN"/>
        </w:rPr>
        <w:t>9</w:t>
      </w:r>
      <w:r>
        <w:rPr>
          <w:rFonts w:hint="eastAsia" w:ascii="宋体" w:hAnsi="宋体" w:cs="宋体"/>
          <w:color w:val="auto"/>
          <w:sz w:val="32"/>
          <w:szCs w:val="32"/>
          <w:lang w:val="en-US" w:eastAsia="zh-CN"/>
        </w:rPr>
        <w:t>4</w:t>
      </w:r>
      <w:r>
        <w:rPr>
          <w:rFonts w:hint="eastAsia" w:ascii="宋体" w:hAnsi="宋体" w:eastAsia="宋体" w:cs="宋体"/>
          <w:color w:val="auto"/>
          <w:sz w:val="32"/>
          <w:szCs w:val="32"/>
          <w:lang w:val="en-US" w:eastAsia="zh-CN"/>
        </w:rPr>
        <w:t>分，为优秀等级。</w:t>
      </w:r>
    </w:p>
    <w:p>
      <w:pPr>
        <w:pStyle w:val="9"/>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宋体" w:hAnsi="宋体" w:eastAsia="宋体" w:cs="宋体"/>
          <w:b/>
          <w:color w:val="auto"/>
          <w:sz w:val="32"/>
          <w:szCs w:val="32"/>
        </w:rPr>
      </w:pPr>
      <w:r>
        <w:rPr>
          <w:rFonts w:hint="eastAsia" w:ascii="宋体" w:hAnsi="宋体" w:eastAsia="宋体" w:cs="宋体"/>
          <w:b/>
          <w:color w:val="auto"/>
          <w:sz w:val="32"/>
          <w:szCs w:val="32"/>
        </w:rPr>
        <w:t>四、绩效评价指标分析</w:t>
      </w:r>
    </w:p>
    <w:p>
      <w:pPr>
        <w:pStyle w:val="9"/>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宋体" w:hAnsi="宋体" w:eastAsia="宋体" w:cs="宋体"/>
          <w:color w:val="FF0000"/>
          <w:sz w:val="32"/>
          <w:szCs w:val="32"/>
        </w:rPr>
      </w:pPr>
      <w:r>
        <w:rPr>
          <w:rFonts w:hint="eastAsia" w:ascii="宋体" w:hAnsi="宋体" w:eastAsia="宋体" w:cs="宋体"/>
          <w:b/>
          <w:bCs/>
          <w:color w:val="auto"/>
          <w:sz w:val="32"/>
          <w:szCs w:val="32"/>
        </w:rPr>
        <w:t>（一）项目决策情况。</w:t>
      </w:r>
      <w:r>
        <w:rPr>
          <w:rFonts w:hint="eastAsia" w:ascii="宋体" w:hAnsi="宋体" w:eastAsia="宋体" w:cs="宋体"/>
          <w:color w:val="auto"/>
          <w:sz w:val="32"/>
          <w:szCs w:val="32"/>
          <w:lang w:eastAsia="zh-CN"/>
        </w:rPr>
        <w:t>根据《中方县政府投资项目审批及概算管理办法》（中政办发</w:t>
      </w:r>
      <w:r>
        <w:rPr>
          <w:rFonts w:hint="eastAsia" w:ascii="宋体" w:hAnsi="宋体" w:eastAsia="宋体" w:cs="宋体"/>
          <w:sz w:val="32"/>
          <w:szCs w:val="32"/>
          <w:lang w:eastAsia="zh-CN"/>
        </w:rPr>
        <w:t>〔2018〕17号）、《关于进一步加强政府投资项目审批及概算管理有关事项的通知》（中政办发〔201</w:t>
      </w:r>
      <w:r>
        <w:rPr>
          <w:rFonts w:hint="eastAsia" w:ascii="宋体" w:hAnsi="宋体" w:eastAsia="宋体" w:cs="宋体"/>
          <w:sz w:val="32"/>
          <w:szCs w:val="32"/>
          <w:lang w:val="en-US" w:eastAsia="zh-CN"/>
        </w:rPr>
        <w:t>9</w:t>
      </w:r>
      <w:r>
        <w:rPr>
          <w:rFonts w:hint="eastAsia" w:ascii="宋体" w:hAnsi="宋体" w:eastAsia="宋体" w:cs="宋体"/>
          <w:sz w:val="32"/>
          <w:szCs w:val="32"/>
          <w:lang w:eastAsia="zh-CN"/>
        </w:rPr>
        <w:t>〕</w:t>
      </w:r>
      <w:r>
        <w:rPr>
          <w:rFonts w:hint="eastAsia" w:ascii="宋体" w:hAnsi="宋体" w:eastAsia="宋体" w:cs="宋体"/>
          <w:sz w:val="32"/>
          <w:szCs w:val="32"/>
          <w:lang w:val="en-US" w:eastAsia="zh-CN"/>
        </w:rPr>
        <w:t>20</w:t>
      </w:r>
      <w:r>
        <w:rPr>
          <w:rFonts w:hint="eastAsia" w:ascii="宋体" w:hAnsi="宋体" w:eastAsia="宋体" w:cs="宋体"/>
          <w:sz w:val="32"/>
          <w:szCs w:val="32"/>
          <w:lang w:eastAsia="zh-CN"/>
        </w:rPr>
        <w:t>号）和政府常务会纪要（</w:t>
      </w:r>
      <w:r>
        <w:rPr>
          <w:rFonts w:hint="eastAsia" w:ascii="宋体" w:hAnsi="宋体" w:eastAsia="宋体" w:cs="宋体"/>
          <w:sz w:val="32"/>
          <w:szCs w:val="32"/>
          <w:lang w:val="en-US" w:eastAsia="zh-CN"/>
        </w:rPr>
        <w:t>2019年第12期</w:t>
      </w:r>
      <w:r>
        <w:rPr>
          <w:rFonts w:hint="eastAsia" w:ascii="宋体" w:hAnsi="宋体" w:eastAsia="宋体" w:cs="宋体"/>
          <w:sz w:val="32"/>
          <w:szCs w:val="32"/>
          <w:lang w:eastAsia="zh-CN"/>
        </w:rPr>
        <w:t>）文件要求，对政府投资</w:t>
      </w:r>
      <w:r>
        <w:rPr>
          <w:rFonts w:hint="eastAsia" w:ascii="宋体" w:hAnsi="宋体" w:eastAsia="宋体" w:cs="宋体"/>
          <w:sz w:val="32"/>
          <w:szCs w:val="32"/>
          <w:lang w:val="en-US" w:eastAsia="zh-CN"/>
        </w:rPr>
        <w:t>1000万以上的</w:t>
      </w:r>
      <w:r>
        <w:rPr>
          <w:rFonts w:hint="eastAsia" w:ascii="宋体" w:hAnsi="宋体" w:eastAsia="宋体" w:cs="宋体"/>
          <w:sz w:val="32"/>
          <w:szCs w:val="32"/>
        </w:rPr>
        <w:t>项目概算由县发改局在项目初步设计阶段委托评审后审批。</w:t>
      </w:r>
    </w:p>
    <w:p>
      <w:pPr>
        <w:pStyle w:val="9"/>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宋体" w:hAnsi="宋体" w:eastAsia="宋体" w:cs="宋体"/>
          <w:b w:val="0"/>
          <w:bCs w:val="0"/>
          <w:color w:val="auto"/>
          <w:sz w:val="32"/>
          <w:szCs w:val="32"/>
          <w:lang w:eastAsia="zh-CN"/>
        </w:rPr>
      </w:pPr>
      <w:r>
        <w:rPr>
          <w:rFonts w:hint="eastAsia" w:ascii="宋体" w:hAnsi="宋体" w:eastAsia="宋体" w:cs="宋体"/>
          <w:b/>
          <w:bCs/>
          <w:color w:val="auto"/>
          <w:sz w:val="32"/>
          <w:szCs w:val="32"/>
        </w:rPr>
        <w:t>（二）项目过程情况。</w:t>
      </w:r>
      <w:r>
        <w:rPr>
          <w:rFonts w:hint="eastAsia" w:ascii="宋体" w:hAnsi="宋体" w:eastAsia="宋体" w:cs="宋体"/>
          <w:b w:val="0"/>
          <w:bCs w:val="0"/>
          <w:color w:val="auto"/>
          <w:sz w:val="32"/>
          <w:szCs w:val="32"/>
          <w:lang w:eastAsia="zh-CN"/>
        </w:rPr>
        <w:t>项目建设单位提出概算申请并提交概算报告及初步设计等资料，县发改局组织概算评审并进行概算批复。</w:t>
      </w:r>
    </w:p>
    <w:p>
      <w:pPr>
        <w:pStyle w:val="9"/>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宋体" w:hAnsi="宋体" w:eastAsia="宋体" w:cs="宋体"/>
          <w:color w:val="auto"/>
          <w:sz w:val="32"/>
          <w:szCs w:val="32"/>
        </w:rPr>
      </w:pPr>
      <w:r>
        <w:rPr>
          <w:rFonts w:hint="eastAsia" w:ascii="宋体" w:hAnsi="宋体" w:eastAsia="宋体" w:cs="宋体"/>
          <w:b/>
          <w:bCs/>
          <w:color w:val="auto"/>
          <w:sz w:val="32"/>
          <w:szCs w:val="32"/>
        </w:rPr>
        <w:t>（三）项目产出情况。</w:t>
      </w:r>
      <w:r>
        <w:rPr>
          <w:rFonts w:hint="eastAsia" w:ascii="宋体" w:hAnsi="宋体" w:eastAsia="宋体" w:cs="宋体"/>
          <w:color w:val="auto"/>
          <w:sz w:val="32"/>
          <w:szCs w:val="32"/>
          <w:lang w:eastAsia="zh-CN"/>
        </w:rPr>
        <w:t>完成了中方县桐木镇等三个乡镇高标准农田建设项目（2020年）、中方县花桥镇怀化磷矿矿井涌水污染综合治理项目、中方县省级工业集中区新材料产业园标准化厂房建设项目(一期)等</w:t>
      </w:r>
      <w:r>
        <w:rPr>
          <w:rFonts w:hint="eastAsia" w:ascii="宋体" w:hAnsi="宋体" w:eastAsia="宋体" w:cs="宋体"/>
          <w:color w:val="auto"/>
          <w:sz w:val="32"/>
          <w:szCs w:val="32"/>
          <w:lang w:val="en-US" w:eastAsia="zh-CN"/>
        </w:rPr>
        <w:t>10个</w:t>
      </w:r>
      <w:r>
        <w:rPr>
          <w:rFonts w:hint="eastAsia" w:ascii="宋体" w:hAnsi="宋体" w:eastAsia="宋体" w:cs="宋体"/>
          <w:color w:val="auto"/>
          <w:sz w:val="32"/>
          <w:szCs w:val="32"/>
          <w:lang w:eastAsia="zh-CN"/>
        </w:rPr>
        <w:t>投资</w:t>
      </w:r>
      <w:r>
        <w:rPr>
          <w:rFonts w:hint="eastAsia" w:ascii="宋体" w:hAnsi="宋体" w:eastAsia="宋体" w:cs="宋体"/>
          <w:color w:val="auto"/>
          <w:sz w:val="32"/>
          <w:szCs w:val="32"/>
          <w:lang w:val="en-US" w:eastAsia="zh-CN"/>
        </w:rPr>
        <w:t>1000万以上的政府投资项目概算评审。</w:t>
      </w:r>
    </w:p>
    <w:p>
      <w:pPr>
        <w:pStyle w:val="9"/>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宋体" w:hAnsi="宋体" w:eastAsia="宋体" w:cs="宋体"/>
          <w:b w:val="0"/>
          <w:bCs w:val="0"/>
          <w:sz w:val="32"/>
          <w:szCs w:val="32"/>
          <w:lang w:val="en-US" w:eastAsia="zh-CN"/>
        </w:rPr>
      </w:pPr>
      <w:r>
        <w:rPr>
          <w:rFonts w:hint="eastAsia" w:ascii="宋体" w:hAnsi="宋体" w:eastAsia="宋体" w:cs="宋体"/>
          <w:b/>
          <w:bCs/>
          <w:color w:val="auto"/>
          <w:sz w:val="32"/>
          <w:szCs w:val="32"/>
        </w:rPr>
        <w:t>（四）项目效益情况。</w:t>
      </w:r>
      <w:r>
        <w:rPr>
          <w:rFonts w:hint="eastAsia" w:ascii="宋体" w:hAnsi="宋体" w:eastAsia="宋体" w:cs="宋体"/>
          <w:b w:val="0"/>
          <w:bCs w:val="0"/>
          <w:color w:val="auto"/>
          <w:sz w:val="32"/>
          <w:szCs w:val="32"/>
          <w:lang w:eastAsia="zh-CN"/>
        </w:rPr>
        <w:t>评审的</w:t>
      </w:r>
      <w:r>
        <w:rPr>
          <w:rFonts w:hint="eastAsia" w:ascii="宋体" w:hAnsi="宋体" w:eastAsia="宋体" w:cs="宋体"/>
          <w:b w:val="0"/>
          <w:bCs w:val="0"/>
          <w:color w:val="auto"/>
          <w:sz w:val="32"/>
          <w:szCs w:val="32"/>
          <w:lang w:val="en-US" w:eastAsia="zh-CN"/>
        </w:rPr>
        <w:t>10个项目总送审金额8.64亿元，我局审核后的金额为7.026亿元，共审减金额1.614亿元，审减率达18.7%，合理地压缩了政府投资项目成本。</w:t>
      </w:r>
    </w:p>
    <w:p>
      <w:pPr>
        <w:pStyle w:val="9"/>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宋体" w:hAnsi="宋体" w:eastAsia="宋体" w:cs="宋体"/>
          <w:b/>
          <w:sz w:val="32"/>
          <w:szCs w:val="32"/>
        </w:rPr>
      </w:pPr>
      <w:r>
        <w:rPr>
          <w:rFonts w:hint="eastAsia" w:ascii="宋体" w:hAnsi="宋体" w:eastAsia="宋体" w:cs="宋体"/>
          <w:b/>
          <w:sz w:val="32"/>
          <w:szCs w:val="32"/>
        </w:rPr>
        <w:t>五、主要经验及做法、存在的问题及原因分析</w:t>
      </w:r>
    </w:p>
    <w:p>
      <w:pPr>
        <w:pStyle w:val="9"/>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宋体" w:cs="宋体"/>
          <w:color w:val="000000"/>
          <w:sz w:val="32"/>
          <w:szCs w:val="32"/>
          <w:lang w:val="en-US" w:eastAsia="zh-CN"/>
        </w:rPr>
      </w:pPr>
      <w:r>
        <w:rPr>
          <w:rFonts w:hint="eastAsia" w:ascii="宋体" w:hAnsi="宋体" w:eastAsia="宋体" w:cs="宋体"/>
          <w:color w:val="000000"/>
          <w:sz w:val="32"/>
          <w:szCs w:val="32"/>
          <w:lang w:val="en-US" w:eastAsia="zh-CN"/>
        </w:rPr>
        <w:t>主要做法：深入学习贯彻《政府投资条例》和省、市、县政府投资项目审批及概算管理办法等相关政策，严格概算管理，原则上不允许超概算。</w:t>
      </w:r>
    </w:p>
    <w:p>
      <w:pPr>
        <w:pStyle w:val="9"/>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宋体" w:cs="宋体"/>
          <w:b/>
          <w:sz w:val="32"/>
          <w:szCs w:val="32"/>
        </w:rPr>
      </w:pPr>
      <w:r>
        <w:rPr>
          <w:rFonts w:hint="eastAsia" w:ascii="宋体" w:hAnsi="宋体" w:eastAsia="宋体" w:cs="宋体"/>
          <w:color w:val="000000"/>
          <w:sz w:val="32"/>
          <w:szCs w:val="32"/>
          <w:lang w:val="en-US" w:eastAsia="zh-CN"/>
        </w:rPr>
        <w:t>存在的问题：主要是对政府投资项目实施数量估算不足导致年初预算编制不够精准。</w:t>
      </w:r>
    </w:p>
    <w:p>
      <w:pPr>
        <w:pStyle w:val="9"/>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宋体" w:hAnsi="宋体" w:eastAsia="宋体" w:cs="宋体"/>
          <w:b/>
          <w:sz w:val="32"/>
          <w:szCs w:val="32"/>
        </w:rPr>
      </w:pPr>
      <w:r>
        <w:rPr>
          <w:rFonts w:hint="eastAsia" w:ascii="宋体" w:hAnsi="宋体" w:eastAsia="宋体" w:cs="宋体"/>
          <w:b/>
          <w:sz w:val="32"/>
          <w:szCs w:val="32"/>
        </w:rPr>
        <w:t>六、有关建议</w:t>
      </w:r>
    </w:p>
    <w:p>
      <w:pPr>
        <w:pStyle w:val="9"/>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宋体" w:cs="宋体"/>
          <w:b w:val="0"/>
          <w:bCs/>
          <w:sz w:val="32"/>
          <w:szCs w:val="32"/>
          <w:lang w:val="en-US" w:eastAsia="zh-CN"/>
        </w:rPr>
      </w:pPr>
      <w:r>
        <w:rPr>
          <w:rFonts w:hint="eastAsia" w:ascii="宋体" w:hAnsi="宋体" w:eastAsia="宋体" w:cs="宋体"/>
          <w:b w:val="0"/>
          <w:bCs/>
          <w:sz w:val="32"/>
          <w:szCs w:val="32"/>
          <w:lang w:val="en-US" w:eastAsia="zh-CN"/>
        </w:rPr>
        <w:t>无</w:t>
      </w:r>
    </w:p>
    <w:p>
      <w:pPr>
        <w:pStyle w:val="9"/>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宋体" w:hAnsi="宋体" w:eastAsia="宋体" w:cs="宋体"/>
          <w:b/>
          <w:sz w:val="32"/>
          <w:szCs w:val="32"/>
        </w:rPr>
      </w:pPr>
      <w:r>
        <w:rPr>
          <w:rFonts w:hint="eastAsia" w:ascii="宋体" w:hAnsi="宋体" w:eastAsia="宋体" w:cs="宋体"/>
          <w:b/>
          <w:sz w:val="32"/>
          <w:szCs w:val="32"/>
        </w:rPr>
        <w:t>七、其他需要说明的问题</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宋体" w:hAnsi="宋体" w:eastAsia="宋体" w:cs="宋体"/>
          <w:sz w:val="32"/>
          <w:szCs w:val="32"/>
          <w:lang w:eastAsia="zh-CN"/>
        </w:rPr>
      </w:pPr>
      <w:r>
        <w:rPr>
          <w:rFonts w:hint="eastAsia" w:ascii="宋体" w:hAnsi="宋体" w:eastAsia="宋体" w:cs="宋体"/>
          <w:sz w:val="32"/>
          <w:szCs w:val="32"/>
          <w:lang w:eastAsia="zh-CN"/>
        </w:rPr>
        <w:t>无</w:t>
      </w:r>
    </w:p>
    <w:p>
      <w:pPr>
        <w:keepNext w:val="0"/>
        <w:keepLines w:val="0"/>
        <w:pageBreakBefore w:val="0"/>
        <w:widowControl/>
        <w:kinsoku/>
        <w:wordWrap/>
        <w:overflowPunct/>
        <w:topLinePunct w:val="0"/>
        <w:autoSpaceDE/>
        <w:autoSpaceDN/>
        <w:bidi w:val="0"/>
        <w:adjustRightInd/>
        <w:snapToGrid/>
        <w:spacing w:line="560" w:lineRule="exact"/>
        <w:ind w:firstLine="645"/>
        <w:jc w:val="left"/>
        <w:textAlignment w:val="auto"/>
        <w:rPr>
          <w:rFonts w:hint="eastAsia" w:ascii="宋体" w:hAnsi="宋体" w:eastAsia="宋体" w:cs="宋体"/>
          <w:sz w:val="32"/>
          <w:szCs w:val="32"/>
        </w:rPr>
      </w:pPr>
    </w:p>
    <w:p>
      <w:pPr>
        <w:keepNext w:val="0"/>
        <w:keepLines w:val="0"/>
        <w:pageBreakBefore w:val="0"/>
        <w:widowControl/>
        <w:kinsoku/>
        <w:wordWrap/>
        <w:overflowPunct/>
        <w:topLinePunct w:val="0"/>
        <w:autoSpaceDE/>
        <w:autoSpaceDN/>
        <w:bidi w:val="0"/>
        <w:adjustRightInd/>
        <w:snapToGrid/>
        <w:spacing w:line="560" w:lineRule="exact"/>
        <w:ind w:firstLine="645"/>
        <w:jc w:val="left"/>
        <w:textAlignment w:val="auto"/>
        <w:rPr>
          <w:rFonts w:hint="eastAsia" w:ascii="宋体" w:hAnsi="宋体" w:eastAsia="宋体" w:cs="宋体"/>
          <w:sz w:val="32"/>
          <w:szCs w:val="32"/>
        </w:rPr>
      </w:pPr>
      <w:r>
        <w:rPr>
          <w:rFonts w:hint="eastAsia" w:ascii="宋体" w:hAnsi="宋体" w:eastAsia="宋体" w:cs="宋体"/>
          <w:sz w:val="32"/>
          <w:szCs w:val="32"/>
        </w:rPr>
        <w:t>附件：1.项目支出绩效自评表</w:t>
      </w:r>
    </w:p>
    <w:p>
      <w:pPr>
        <w:keepNext w:val="0"/>
        <w:keepLines w:val="0"/>
        <w:pageBreakBefore w:val="0"/>
        <w:widowControl/>
        <w:kinsoku/>
        <w:wordWrap/>
        <w:overflowPunct/>
        <w:topLinePunct w:val="0"/>
        <w:autoSpaceDE/>
        <w:autoSpaceDN/>
        <w:bidi w:val="0"/>
        <w:adjustRightInd/>
        <w:snapToGrid/>
        <w:spacing w:line="560" w:lineRule="exact"/>
        <w:ind w:firstLine="1600" w:firstLineChars="500"/>
        <w:jc w:val="left"/>
        <w:textAlignment w:val="auto"/>
        <w:rPr>
          <w:rFonts w:hint="eastAsia" w:ascii="宋体" w:hAnsi="宋体" w:eastAsia="宋体" w:cs="宋体"/>
          <w:sz w:val="32"/>
          <w:szCs w:val="32"/>
        </w:rPr>
      </w:pPr>
      <w:r>
        <w:rPr>
          <w:rFonts w:hint="eastAsia" w:ascii="宋体" w:hAnsi="宋体" w:eastAsia="宋体" w:cs="宋体"/>
          <w:sz w:val="32"/>
          <w:szCs w:val="32"/>
        </w:rPr>
        <w:t>2.项目支出绩效评价指标</w:t>
      </w:r>
      <w:r>
        <w:rPr>
          <w:rFonts w:hint="eastAsia" w:ascii="宋体" w:hAnsi="宋体" w:eastAsia="宋体" w:cs="宋体"/>
          <w:bCs/>
          <w:color w:val="000000"/>
          <w:kern w:val="0"/>
          <w:sz w:val="32"/>
          <w:szCs w:val="32"/>
        </w:rPr>
        <w:t>评分表</w:t>
      </w:r>
    </w:p>
    <w:p>
      <w:pPr>
        <w:spacing w:line="400" w:lineRule="exact"/>
        <w:rPr>
          <w:rFonts w:hint="eastAsia" w:ascii="宋体" w:hAnsi="宋体" w:eastAsia="宋体" w:cs="宋体"/>
          <w:bCs/>
          <w:color w:val="000000"/>
          <w:sz w:val="32"/>
          <w:szCs w:val="32"/>
        </w:rPr>
        <w:sectPr>
          <w:headerReference r:id="rId3" w:type="default"/>
          <w:footerReference r:id="rId4" w:type="default"/>
          <w:pgSz w:w="11906" w:h="16838"/>
          <w:pgMar w:top="1474" w:right="1417" w:bottom="1474" w:left="1417" w:header="737" w:footer="850" w:gutter="0"/>
          <w:cols w:space="720" w:num="1"/>
          <w:docGrid w:type="lines" w:linePitch="408" w:charSpace="0"/>
        </w:sectPr>
      </w:pPr>
    </w:p>
    <w:p>
      <w:pPr>
        <w:spacing w:line="400" w:lineRule="exact"/>
        <w:rPr>
          <w:rFonts w:hint="eastAsia" w:ascii="Times New Roman" w:hAnsi="Times New Roman" w:eastAsia="仿宋_GB2312" w:cs="Times New Roman"/>
          <w:bCs/>
          <w:color w:val="000000"/>
          <w:sz w:val="32"/>
          <w:szCs w:val="32"/>
          <w:lang w:eastAsia="zh-CN"/>
        </w:rPr>
      </w:pPr>
      <w:r>
        <w:rPr>
          <w:rFonts w:ascii="仿宋_GB2312" w:hAnsi="仿宋_GB2312" w:eastAsia="仿宋_GB2312" w:cs="Times New Roman"/>
          <w:bCs/>
          <w:color w:val="000000"/>
          <w:sz w:val="32"/>
          <w:szCs w:val="32"/>
        </w:rPr>
        <w:t>附件</w:t>
      </w:r>
      <w:r>
        <w:rPr>
          <w:rFonts w:hint="eastAsia" w:ascii="Times New Roman" w:hAnsi="Times New Roman" w:eastAsia="仿宋_GB2312" w:cs="Times New Roman"/>
          <w:bCs/>
          <w:color w:val="000000"/>
          <w:sz w:val="32"/>
          <w:szCs w:val="32"/>
          <w:lang w:val="en-US" w:eastAsia="zh-CN"/>
        </w:rPr>
        <w:t>1</w:t>
      </w:r>
    </w:p>
    <w:tbl>
      <w:tblPr>
        <w:tblStyle w:val="6"/>
        <w:tblW w:w="9080" w:type="dxa"/>
        <w:jc w:val="center"/>
        <w:tblLayout w:type="fixed"/>
        <w:tblCellMar>
          <w:top w:w="0" w:type="dxa"/>
          <w:left w:w="108" w:type="dxa"/>
          <w:bottom w:w="0" w:type="dxa"/>
          <w:right w:w="108" w:type="dxa"/>
        </w:tblCellMar>
      </w:tblPr>
      <w:tblGrid>
        <w:gridCol w:w="588"/>
        <w:gridCol w:w="980"/>
        <w:gridCol w:w="1112"/>
        <w:gridCol w:w="730"/>
        <w:gridCol w:w="1134"/>
        <w:gridCol w:w="284"/>
        <w:gridCol w:w="850"/>
        <w:gridCol w:w="851"/>
        <w:gridCol w:w="283"/>
        <w:gridCol w:w="284"/>
        <w:gridCol w:w="425"/>
        <w:gridCol w:w="142"/>
        <w:gridCol w:w="709"/>
        <w:gridCol w:w="708"/>
      </w:tblGrid>
      <w:tr>
        <w:tblPrEx>
          <w:tblCellMar>
            <w:top w:w="0" w:type="dxa"/>
            <w:left w:w="108" w:type="dxa"/>
            <w:bottom w:w="0" w:type="dxa"/>
            <w:right w:w="108" w:type="dxa"/>
          </w:tblCellMar>
        </w:tblPrEx>
        <w:trPr>
          <w:trHeight w:val="349" w:hRule="atLeast"/>
          <w:jc w:val="center"/>
        </w:trPr>
        <w:tc>
          <w:tcPr>
            <w:tcW w:w="9080" w:type="dxa"/>
            <w:gridSpan w:val="14"/>
            <w:tcBorders>
              <w:top w:val="nil"/>
              <w:left w:val="nil"/>
              <w:bottom w:val="nil"/>
              <w:right w:val="nil"/>
            </w:tcBorders>
            <w:vAlign w:val="center"/>
          </w:tcPr>
          <w:p>
            <w:pPr>
              <w:widowControl/>
              <w:spacing w:line="320" w:lineRule="exact"/>
              <w:jc w:val="center"/>
              <w:rPr>
                <w:rFonts w:ascii="Times New Roman" w:hAnsi="Times New Roman" w:cs="Times New Roman"/>
                <w:b/>
                <w:bCs/>
                <w:kern w:val="0"/>
                <w:sz w:val="32"/>
                <w:szCs w:val="32"/>
              </w:rPr>
            </w:pPr>
            <w:r>
              <w:rPr>
                <w:rFonts w:ascii="Times New Roman" w:hAnsi="Times New Roman" w:cs="Times New Roman"/>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tcPr>
          <w:p>
            <w:pPr>
              <w:widowControl/>
              <w:jc w:val="center"/>
              <w:rPr>
                <w:rFonts w:ascii="Times New Roman" w:hAnsi="Times New Roman" w:cs="Times New Roman"/>
                <w:kern w:val="0"/>
                <w:sz w:val="22"/>
                <w:szCs w:val="22"/>
              </w:rPr>
            </w:pPr>
            <w:r>
              <w:rPr>
                <w:rFonts w:ascii="Times New Roman" w:hAnsi="Times New Roman" w:cs="Times New Roman"/>
                <w:kern w:val="0"/>
                <w:sz w:val="22"/>
                <w:szCs w:val="22"/>
              </w:rPr>
              <w:t>（</w:t>
            </w:r>
            <w:r>
              <w:rPr>
                <w:rFonts w:hint="eastAsia" w:ascii="Times New Roman" w:hAnsi="Times New Roman" w:cs="Times New Roman"/>
                <w:kern w:val="0"/>
                <w:sz w:val="22"/>
                <w:szCs w:val="22"/>
              </w:rPr>
              <w:t>2020</w:t>
            </w:r>
            <w:r>
              <w:rPr>
                <w:rFonts w:ascii="Times New Roman" w:hAnsi="Times New Roman" w:cs="Times New Roman"/>
                <w:kern w:val="0"/>
                <w:sz w:val="22"/>
                <w:szCs w:val="22"/>
              </w:rPr>
              <w:t>年度）</w:t>
            </w:r>
          </w:p>
        </w:tc>
      </w:tr>
      <w:tr>
        <w:tblPrEx>
          <w:tblCellMar>
            <w:top w:w="0" w:type="dxa"/>
            <w:left w:w="108" w:type="dxa"/>
            <w:bottom w:w="0" w:type="dxa"/>
            <w:right w:w="108" w:type="dxa"/>
          </w:tblCellMar>
        </w:tblPrEx>
        <w:trPr>
          <w:trHeight w:val="455" w:hRule="atLeas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项目名称</w:t>
            </w:r>
          </w:p>
        </w:tc>
        <w:tc>
          <w:tcPr>
            <w:tcW w:w="7512"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2020年度政府投资项目概算评审费</w:t>
            </w:r>
          </w:p>
        </w:tc>
      </w:tr>
      <w:tr>
        <w:tblPrEx>
          <w:tblCellMar>
            <w:top w:w="0" w:type="dxa"/>
            <w:left w:w="108" w:type="dxa"/>
            <w:bottom w:w="0" w:type="dxa"/>
            <w:right w:w="108" w:type="dxa"/>
          </w:tblCellMar>
        </w:tblPrEx>
        <w:trPr>
          <w:trHeight w:val="450" w:hRule="atLeas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主管部门</w:t>
            </w:r>
          </w:p>
        </w:tc>
        <w:tc>
          <w:tcPr>
            <w:tcW w:w="411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ascii="Times New Roman" w:hAnsi="Times New Roman" w:cs="Times New Roman"/>
                <w:kern w:val="0"/>
                <w:sz w:val="18"/>
                <w:szCs w:val="18"/>
                <w:lang w:eastAsia="zh-CN"/>
              </w:rPr>
              <w:t>中方县发展和改革局</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实施单位</w:t>
            </w:r>
          </w:p>
        </w:tc>
        <w:tc>
          <w:tcPr>
            <w:tcW w:w="2268"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ascii="Times New Roman" w:hAnsi="Times New Roman" w:cs="Times New Roman"/>
                <w:kern w:val="0"/>
                <w:sz w:val="18"/>
                <w:szCs w:val="18"/>
                <w:lang w:eastAsia="zh-CN"/>
              </w:rPr>
              <w:t>相关项目建设单位</w:t>
            </w:r>
          </w:p>
        </w:tc>
      </w:tr>
      <w:tr>
        <w:tblPrEx>
          <w:tblCellMar>
            <w:top w:w="0" w:type="dxa"/>
            <w:left w:w="108" w:type="dxa"/>
            <w:bottom w:w="0" w:type="dxa"/>
            <w:right w:w="108" w:type="dxa"/>
          </w:tblCellMar>
        </w:tblPrEx>
        <w:trPr>
          <w:trHeight w:val="436" w:hRule="atLeast"/>
          <w:jc w:val="center"/>
        </w:trPr>
        <w:tc>
          <w:tcPr>
            <w:tcW w:w="1568" w:type="dxa"/>
            <w:gridSpan w:val="2"/>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项目资金</w:t>
            </w:r>
            <w:r>
              <w:rPr>
                <w:rFonts w:ascii="Times New Roman" w:hAnsi="Times New Roman" w:cs="Times New Roman"/>
                <w:kern w:val="0"/>
                <w:sz w:val="18"/>
                <w:szCs w:val="18"/>
              </w:rPr>
              <w:br w:type="textWrapping"/>
            </w:r>
            <w:r>
              <w:rPr>
                <w:rFonts w:ascii="Times New Roman" w:hAnsi="Times New Roman" w:cs="Times New Roman"/>
                <w:kern w:val="0"/>
                <w:sz w:val="18"/>
                <w:szCs w:val="18"/>
              </w:rPr>
              <w:t>（万元）</w:t>
            </w: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年初预算数</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全年预算数</w:t>
            </w:r>
            <w:r>
              <w:rPr>
                <w:rFonts w:ascii="Times New Roman" w:hAnsi="Times New Roman" w:cs="Times New Roman"/>
                <w:color w:val="000000"/>
                <w:kern w:val="0"/>
                <w:sz w:val="20"/>
                <w:szCs w:val="20"/>
              </w:rPr>
              <w:t>（A</w:t>
            </w:r>
            <w:r>
              <w:rPr>
                <w:rFonts w:ascii="宋体" w:hAnsi="宋体" w:cs="Times New Roman"/>
                <w:color w:val="000000"/>
                <w:kern w:val="0"/>
                <w:sz w:val="20"/>
                <w:szCs w:val="20"/>
              </w:rPr>
              <w:t>）</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全年执行数</w:t>
            </w:r>
            <w:r>
              <w:rPr>
                <w:rFonts w:ascii="Times New Roman" w:hAnsi="Times New Roman" w:cs="Times New Roman"/>
                <w:color w:val="000000"/>
                <w:kern w:val="0"/>
                <w:sz w:val="20"/>
                <w:szCs w:val="20"/>
              </w:rPr>
              <w:t>（B</w:t>
            </w:r>
            <w:r>
              <w:rPr>
                <w:rFonts w:ascii="宋体" w:hAnsi="宋体" w:cs="Times New Roman"/>
                <w:color w:val="000000"/>
                <w:kern w:val="0"/>
                <w:sz w:val="20"/>
                <w:szCs w:val="20"/>
              </w:rPr>
              <w:t>）</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分值</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执行率</w:t>
            </w:r>
            <w:r>
              <w:rPr>
                <w:rFonts w:ascii="Times New Roman" w:hAnsi="Times New Roman" w:cs="Times New Roman"/>
                <w:color w:val="000000"/>
                <w:kern w:val="0"/>
                <w:sz w:val="20"/>
                <w:szCs w:val="20"/>
              </w:rPr>
              <w:t>（B/A)</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得分</w:t>
            </w:r>
          </w:p>
        </w:tc>
      </w:tr>
      <w:tr>
        <w:tblPrEx>
          <w:tblCellMar>
            <w:top w:w="0" w:type="dxa"/>
            <w:left w:w="108" w:type="dxa"/>
            <w:bottom w:w="0" w:type="dxa"/>
            <w:right w:w="108" w:type="dxa"/>
          </w:tblCellMar>
        </w:tblPrEx>
        <w:trPr>
          <w:trHeight w:val="405" w:hRule="atLeast"/>
          <w:jc w:val="center"/>
        </w:trPr>
        <w:tc>
          <w:tcPr>
            <w:tcW w:w="1568"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Times New Roman" w:hAnsi="Times New Roman" w:cs="Times New Roman"/>
                <w:kern w:val="0"/>
                <w:sz w:val="18"/>
                <w:szCs w:val="18"/>
              </w:rPr>
            </w:pPr>
            <w:r>
              <w:rPr>
                <w:rFonts w:ascii="Times New Roman" w:hAnsi="Times New Roman" w:cs="Times New Roman"/>
                <w:kern w:val="0"/>
                <w:sz w:val="18"/>
                <w:szCs w:val="18"/>
              </w:rPr>
              <w:t>年度资金总额</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28</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28</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11.66</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10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41.67%</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4</w:t>
            </w:r>
          </w:p>
        </w:tc>
      </w:tr>
      <w:tr>
        <w:tblPrEx>
          <w:tblCellMar>
            <w:top w:w="0" w:type="dxa"/>
            <w:left w:w="108" w:type="dxa"/>
            <w:bottom w:w="0" w:type="dxa"/>
            <w:right w:w="108" w:type="dxa"/>
          </w:tblCellMar>
        </w:tblPrEx>
        <w:trPr>
          <w:trHeight w:val="420" w:hRule="atLeast"/>
          <w:jc w:val="center"/>
        </w:trPr>
        <w:tc>
          <w:tcPr>
            <w:tcW w:w="1568"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28</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28</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11.66</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41.64%</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r>
      <w:tr>
        <w:tblPrEx>
          <w:tblCellMar>
            <w:top w:w="0" w:type="dxa"/>
            <w:left w:w="108" w:type="dxa"/>
            <w:bottom w:w="0" w:type="dxa"/>
            <w:right w:w="108" w:type="dxa"/>
          </w:tblCellMar>
        </w:tblPrEx>
        <w:trPr>
          <w:trHeight w:val="420" w:hRule="atLeast"/>
          <w:jc w:val="center"/>
        </w:trPr>
        <w:tc>
          <w:tcPr>
            <w:tcW w:w="1568"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 xml:space="preserve">      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r>
      <w:tr>
        <w:tblPrEx>
          <w:tblCellMar>
            <w:top w:w="0" w:type="dxa"/>
            <w:left w:w="108" w:type="dxa"/>
            <w:bottom w:w="0" w:type="dxa"/>
            <w:right w:w="108" w:type="dxa"/>
          </w:tblCellMar>
        </w:tblPrEx>
        <w:trPr>
          <w:trHeight w:val="465" w:hRule="atLeast"/>
          <w:jc w:val="center"/>
        </w:trPr>
        <w:tc>
          <w:tcPr>
            <w:tcW w:w="1568"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 xml:space="preserve">  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r>
      <w:tr>
        <w:tblPrEx>
          <w:tblCellMar>
            <w:top w:w="0" w:type="dxa"/>
            <w:left w:w="108" w:type="dxa"/>
            <w:bottom w:w="0" w:type="dxa"/>
            <w:right w:w="108" w:type="dxa"/>
          </w:tblCellMar>
        </w:tblPrEx>
        <w:trPr>
          <w:trHeight w:val="480" w:hRule="atLeast"/>
          <w:jc w:val="center"/>
        </w:trPr>
        <w:tc>
          <w:tcPr>
            <w:tcW w:w="58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预期目标</w:t>
            </w:r>
          </w:p>
        </w:tc>
        <w:tc>
          <w:tcPr>
            <w:tcW w:w="340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实际完成情况</w:t>
            </w:r>
          </w:p>
        </w:tc>
      </w:tr>
      <w:tr>
        <w:tblPrEx>
          <w:tblCellMar>
            <w:top w:w="0" w:type="dxa"/>
            <w:left w:w="108" w:type="dxa"/>
            <w:bottom w:w="0" w:type="dxa"/>
            <w:right w:w="108" w:type="dxa"/>
          </w:tblCellMar>
        </w:tblPrEx>
        <w:trPr>
          <w:trHeight w:val="1180" w:hRule="atLeas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eastAsia="zh-CN"/>
              </w:rPr>
              <w:t>加强政府投资项目概算管理，对投资</w:t>
            </w:r>
            <w:r>
              <w:rPr>
                <w:rFonts w:hint="eastAsia" w:ascii="Times New Roman" w:hAnsi="Times New Roman" w:cs="Times New Roman"/>
                <w:kern w:val="0"/>
                <w:sz w:val="18"/>
                <w:szCs w:val="18"/>
                <w:lang w:val="en-US" w:eastAsia="zh-CN"/>
              </w:rPr>
              <w:t>1000万以上的政府投资项目概算进行评审，</w:t>
            </w:r>
            <w:r>
              <w:rPr>
                <w:rFonts w:hint="eastAsia" w:ascii="Times New Roman" w:hAnsi="Times New Roman" w:cs="Times New Roman"/>
                <w:kern w:val="0"/>
                <w:sz w:val="18"/>
                <w:szCs w:val="18"/>
                <w:lang w:eastAsia="zh-CN"/>
              </w:rPr>
              <w:t>有效控制“超规模、超标准、超投资”问题，进一步提高政府投资效应和项目管理水平。</w:t>
            </w:r>
          </w:p>
        </w:tc>
        <w:tc>
          <w:tcPr>
            <w:tcW w:w="340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eastAsia="zh-CN"/>
              </w:rPr>
              <w:t>完成了中方县桐木镇等三个乡镇高标准农田建设项目（2020年）等</w:t>
            </w:r>
            <w:r>
              <w:rPr>
                <w:rFonts w:hint="eastAsia" w:ascii="Times New Roman" w:hAnsi="Times New Roman" w:cs="Times New Roman"/>
                <w:kern w:val="0"/>
                <w:sz w:val="18"/>
                <w:szCs w:val="18"/>
                <w:lang w:val="en-US" w:eastAsia="zh-CN"/>
              </w:rPr>
              <w:t>10个</w:t>
            </w:r>
            <w:r>
              <w:rPr>
                <w:rFonts w:hint="eastAsia" w:ascii="Times New Roman" w:hAnsi="Times New Roman" w:cs="Times New Roman"/>
                <w:kern w:val="0"/>
                <w:sz w:val="18"/>
                <w:szCs w:val="18"/>
                <w:lang w:eastAsia="zh-CN"/>
              </w:rPr>
              <w:t>投资</w:t>
            </w:r>
            <w:r>
              <w:rPr>
                <w:rFonts w:hint="eastAsia" w:ascii="Times New Roman" w:hAnsi="Times New Roman" w:cs="Times New Roman"/>
                <w:kern w:val="0"/>
                <w:sz w:val="18"/>
                <w:szCs w:val="18"/>
                <w:lang w:val="en-US" w:eastAsia="zh-CN"/>
              </w:rPr>
              <w:t>1000万以上的政府投资项目概算进行评审。</w:t>
            </w:r>
          </w:p>
        </w:tc>
      </w:tr>
      <w:tr>
        <w:tblPrEx>
          <w:tblCellMar>
            <w:top w:w="0" w:type="dxa"/>
            <w:left w:w="108" w:type="dxa"/>
            <w:bottom w:w="0" w:type="dxa"/>
            <w:right w:w="108" w:type="dxa"/>
          </w:tblCellMar>
        </w:tblPrEx>
        <w:trPr>
          <w:trHeight w:val="533" w:hRule="atLeast"/>
          <w:jc w:val="center"/>
        </w:trPr>
        <w:tc>
          <w:tcPr>
            <w:tcW w:w="588" w:type="dxa"/>
            <w:vMerge w:val="restart"/>
            <w:tcBorders>
              <w:top w:val="nil"/>
              <w:left w:val="single" w:color="auto" w:sz="4" w:space="0"/>
              <w:bottom w:val="nil"/>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绩</w:t>
            </w:r>
            <w:r>
              <w:rPr>
                <w:rFonts w:ascii="Times New Roman" w:hAnsi="Times New Roman" w:cs="Times New Roman"/>
                <w:kern w:val="0"/>
                <w:sz w:val="18"/>
                <w:szCs w:val="18"/>
              </w:rPr>
              <w:br w:type="textWrapping"/>
            </w:r>
            <w:r>
              <w:rPr>
                <w:rFonts w:ascii="Times New Roman" w:hAnsi="Times New Roman" w:cs="Times New Roman"/>
                <w:kern w:val="0"/>
                <w:sz w:val="18"/>
                <w:szCs w:val="18"/>
              </w:rPr>
              <w:t>效</w:t>
            </w:r>
            <w:r>
              <w:rPr>
                <w:rFonts w:ascii="Times New Roman" w:hAnsi="Times New Roman" w:cs="Times New Roman"/>
                <w:kern w:val="0"/>
                <w:sz w:val="18"/>
                <w:szCs w:val="18"/>
              </w:rPr>
              <w:br w:type="textWrapping"/>
            </w:r>
            <w:r>
              <w:rPr>
                <w:rFonts w:ascii="Times New Roman" w:hAnsi="Times New Roman" w:cs="Times New Roman"/>
                <w:kern w:val="0"/>
                <w:sz w:val="18"/>
                <w:szCs w:val="18"/>
              </w:rPr>
              <w:t>指</w:t>
            </w:r>
            <w:r>
              <w:rPr>
                <w:rFonts w:ascii="Times New Roman" w:hAnsi="Times New Roman" w:cs="Times New Roman"/>
                <w:kern w:val="0"/>
                <w:sz w:val="18"/>
                <w:szCs w:val="18"/>
              </w:rPr>
              <w:br w:type="textWrapping"/>
            </w:r>
            <w:r>
              <w:rPr>
                <w:rFonts w:ascii="Times New Roman" w:hAnsi="Times New Roman" w:cs="Times New Roman"/>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一级指标</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二级指标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三级指标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年度</w:t>
            </w:r>
          </w:p>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指标值</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实际</w:t>
            </w:r>
          </w:p>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完成值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分值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得分</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偏差原因分析及改进措施</w:t>
            </w:r>
          </w:p>
        </w:tc>
      </w:tr>
      <w:tr>
        <w:tblPrEx>
          <w:tblCellMar>
            <w:top w:w="0" w:type="dxa"/>
            <w:left w:w="108" w:type="dxa"/>
            <w:bottom w:w="0" w:type="dxa"/>
            <w:right w:w="108" w:type="dxa"/>
          </w:tblCellMar>
        </w:tblPrEx>
        <w:trPr>
          <w:trHeight w:val="818"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restart"/>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产出指标</w:t>
            </w:r>
            <w:r>
              <w:rPr>
                <w:rFonts w:ascii="Times New Roman" w:hAnsi="Times New Roman" w:cs="Times New Roman"/>
                <w:kern w:val="0"/>
                <w:sz w:val="20"/>
                <w:szCs w:val="20"/>
              </w:rPr>
              <w:t>(50</w:t>
            </w:r>
            <w:r>
              <w:rPr>
                <w:rFonts w:ascii="宋体" w:hAnsi="宋体" w:cs="Times New Roman"/>
                <w:kern w:val="0"/>
                <w:sz w:val="20"/>
                <w:szCs w:val="20"/>
              </w:rPr>
              <w:t>分</w:t>
            </w:r>
            <w:r>
              <w:rPr>
                <w:rFonts w:ascii="Times New Roman" w:hAnsi="Times New Roman" w:cs="Times New Roman"/>
                <w:kern w:val="0"/>
                <w:sz w:val="20"/>
                <w:szCs w:val="20"/>
              </w:rPr>
              <w:t>)</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数量指标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s="Times New Roman"/>
                <w:color w:val="000000"/>
                <w:kern w:val="0"/>
                <w:sz w:val="18"/>
                <w:szCs w:val="18"/>
                <w:lang w:eastAsia="zh-CN"/>
              </w:rPr>
            </w:pPr>
            <w:r>
              <w:rPr>
                <w:rFonts w:hint="eastAsia" w:ascii="Times New Roman" w:hAnsi="Times New Roman" w:cs="Times New Roman"/>
                <w:color w:val="000000"/>
                <w:kern w:val="0"/>
                <w:sz w:val="18"/>
                <w:szCs w:val="18"/>
                <w:lang w:eastAsia="zh-CN"/>
              </w:rPr>
              <w:t>项目概算评审数量</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759"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质量指标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完成1000万以上政府投资项目概算评审</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100%</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77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时效指标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s="Times New Roman"/>
                <w:color w:val="000000"/>
                <w:kern w:val="0"/>
                <w:sz w:val="18"/>
                <w:szCs w:val="18"/>
                <w:lang w:eastAsia="zh-CN"/>
              </w:rPr>
            </w:pPr>
            <w:r>
              <w:rPr>
                <w:rFonts w:hint="eastAsia" w:ascii="Times New Roman" w:hAnsi="Times New Roman" w:cs="Times New Roman"/>
                <w:color w:val="000000"/>
                <w:kern w:val="0"/>
                <w:sz w:val="18"/>
                <w:szCs w:val="18"/>
                <w:lang w:eastAsia="zh-CN"/>
              </w:rPr>
              <w:t>项目概算评审效率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90%</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889"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成本指标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s="Times New Roman"/>
                <w:color w:val="000000"/>
                <w:kern w:val="0"/>
                <w:sz w:val="18"/>
                <w:szCs w:val="18"/>
                <w:lang w:eastAsia="zh-CN"/>
              </w:rPr>
            </w:pPr>
            <w:r>
              <w:rPr>
                <w:rFonts w:hint="eastAsia" w:ascii="Times New Roman" w:hAnsi="Times New Roman" w:cs="Times New Roman"/>
                <w:color w:val="000000"/>
                <w:kern w:val="0"/>
                <w:sz w:val="18"/>
                <w:szCs w:val="18"/>
                <w:lang w:eastAsia="zh-CN"/>
              </w:rPr>
              <w:t>节约成本，加强经费管理</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bidi="ar-SA"/>
              </w:rPr>
            </w:pPr>
            <w:r>
              <w:rPr>
                <w:rFonts w:hint="eastAsia" w:ascii="Times New Roman" w:hAnsi="Times New Roman" w:cs="Times New Roman"/>
                <w:kern w:val="0"/>
                <w:sz w:val="18"/>
                <w:szCs w:val="18"/>
                <w:lang w:val="en-US" w:eastAsia="zh-CN"/>
              </w:rPr>
              <w:t>效果良好</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宋体" w:cs="Times New Roman"/>
                <w:kern w:val="0"/>
                <w:sz w:val="18"/>
                <w:szCs w:val="18"/>
                <w:lang w:val="en-US" w:eastAsia="zh-CN" w:bidi="ar-SA"/>
              </w:rPr>
            </w:pPr>
            <w:r>
              <w:rPr>
                <w:rFonts w:hint="eastAsia" w:ascii="Times New Roman" w:hAnsi="Times New Roman" w:cs="Times New Roman"/>
                <w:kern w:val="0"/>
                <w:sz w:val="18"/>
                <w:szCs w:val="18"/>
                <w:lang w:val="en-US" w:eastAsia="zh-CN"/>
              </w:rPr>
              <w:t>效果良好</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1047"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restart"/>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效益指标</w:t>
            </w:r>
            <w:r>
              <w:rPr>
                <w:rFonts w:ascii="Times New Roman" w:hAnsi="Times New Roman" w:cs="Times New Roman"/>
                <w:kern w:val="0"/>
                <w:sz w:val="20"/>
                <w:szCs w:val="20"/>
              </w:rPr>
              <w:t>(30</w:t>
            </w:r>
            <w:r>
              <w:rPr>
                <w:rFonts w:ascii="宋体" w:hAnsi="宋体" w:cs="Times New Roman"/>
                <w:kern w:val="0"/>
                <w:sz w:val="20"/>
                <w:szCs w:val="20"/>
              </w:rPr>
              <w:t>分</w:t>
            </w:r>
            <w:r>
              <w:rPr>
                <w:rFonts w:ascii="Times New Roman" w:hAnsi="Times New Roman" w:cs="Times New Roman"/>
                <w:kern w:val="0"/>
                <w:sz w:val="20"/>
                <w:szCs w:val="20"/>
              </w:rPr>
              <w:t>)</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经济效益</w:t>
            </w:r>
          </w:p>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加强政府投资项目概算管理，有效控制“超规模、超标准、超投资”问题</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效果良好</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lang w:val="en-US" w:eastAsia="zh-CN"/>
              </w:rPr>
              <w:t>效果良好</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117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社会效益</w:t>
            </w:r>
          </w:p>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hint="eastAsia" w:ascii="宋体" w:hAnsi="宋体" w:cs="Times New Roman"/>
                <w:color w:val="000000"/>
                <w:kern w:val="0"/>
                <w:sz w:val="18"/>
                <w:szCs w:val="18"/>
              </w:rPr>
              <w:t>促进政府投资项目的顺利进行，进一步提高政府投资效应和项目管理水平</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bidi="ar-SA"/>
              </w:rPr>
            </w:pPr>
            <w:r>
              <w:rPr>
                <w:rFonts w:hint="eastAsia" w:ascii="Times New Roman" w:hAnsi="Times New Roman" w:cs="Times New Roman"/>
                <w:kern w:val="0"/>
                <w:sz w:val="18"/>
                <w:szCs w:val="18"/>
                <w:lang w:val="en-US" w:eastAsia="zh-CN"/>
              </w:rPr>
              <w:t>效果良好</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宋体" w:cs="Times New Roman"/>
                <w:kern w:val="0"/>
                <w:sz w:val="18"/>
                <w:szCs w:val="18"/>
                <w:lang w:val="en-US" w:eastAsia="zh-CN" w:bidi="ar-SA"/>
              </w:rPr>
            </w:pPr>
            <w:r>
              <w:rPr>
                <w:rFonts w:hint="eastAsia" w:ascii="Times New Roman" w:hAnsi="Times New Roman" w:cs="Times New Roman"/>
                <w:kern w:val="0"/>
                <w:sz w:val="18"/>
                <w:szCs w:val="18"/>
                <w:lang w:val="en-US" w:eastAsia="zh-CN"/>
              </w:rPr>
              <w:t>效果良好</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30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生态效益</w:t>
            </w:r>
          </w:p>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确保项目在环评等前期工作完善的前提下开工，有利于环境和经济协调发展。</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bidi="ar-SA"/>
              </w:rPr>
            </w:pPr>
            <w:r>
              <w:rPr>
                <w:rFonts w:hint="eastAsia" w:ascii="Times New Roman" w:hAnsi="Times New Roman" w:cs="Times New Roman"/>
                <w:kern w:val="0"/>
                <w:sz w:val="18"/>
                <w:szCs w:val="18"/>
                <w:lang w:val="en-US" w:eastAsia="zh-CN"/>
              </w:rPr>
              <w:t>效果良好</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宋体" w:cs="Times New Roman"/>
                <w:kern w:val="0"/>
                <w:sz w:val="18"/>
                <w:szCs w:val="18"/>
                <w:lang w:val="en-US" w:eastAsia="zh-CN" w:bidi="ar-SA"/>
              </w:rPr>
            </w:pPr>
            <w:r>
              <w:rPr>
                <w:rFonts w:hint="eastAsia" w:ascii="Times New Roman" w:hAnsi="Times New Roman" w:cs="Times New Roman"/>
                <w:kern w:val="0"/>
                <w:sz w:val="18"/>
                <w:szCs w:val="18"/>
                <w:lang w:val="en-US" w:eastAsia="zh-CN"/>
              </w:rPr>
              <w:t>效果良好</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30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s="Times New Roman"/>
                <w:color w:val="000000"/>
                <w:kern w:val="0"/>
                <w:sz w:val="18"/>
                <w:szCs w:val="18"/>
                <w:lang w:val="en-US" w:eastAsia="zh-CN"/>
              </w:rPr>
            </w:pPr>
            <w:r>
              <w:rPr>
                <w:rFonts w:hint="eastAsia" w:ascii="Times New Roman" w:hAnsi="Times New Roman" w:cs="Times New Roman"/>
                <w:color w:val="000000"/>
                <w:kern w:val="0"/>
                <w:sz w:val="18"/>
                <w:szCs w:val="18"/>
              </w:rPr>
              <w:t>促进政府投资项目健康发展，带动GDP的持续发展</w:t>
            </w:r>
            <w:r>
              <w:rPr>
                <w:rFonts w:hint="eastAsia" w:ascii="Times New Roman" w:hAnsi="Times New Roman" w:cs="Times New Roman"/>
                <w:color w:val="000000"/>
                <w:kern w:val="0"/>
                <w:sz w:val="18"/>
                <w:szCs w:val="18"/>
                <w:lang w:eastAsia="zh-CN"/>
              </w:rPr>
              <w:t>。</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bidi="ar-SA"/>
              </w:rPr>
            </w:pPr>
            <w:r>
              <w:rPr>
                <w:rFonts w:hint="eastAsia" w:ascii="Times New Roman" w:hAnsi="Times New Roman" w:cs="Times New Roman"/>
                <w:kern w:val="0"/>
                <w:sz w:val="18"/>
                <w:szCs w:val="18"/>
                <w:lang w:val="en-US" w:eastAsia="zh-CN"/>
              </w:rPr>
              <w:t>效果良好</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宋体" w:cs="Times New Roman"/>
                <w:kern w:val="0"/>
                <w:sz w:val="18"/>
                <w:szCs w:val="18"/>
                <w:lang w:val="en-US" w:eastAsia="zh-CN" w:bidi="ar-SA"/>
              </w:rPr>
            </w:pPr>
            <w:r>
              <w:rPr>
                <w:rFonts w:hint="eastAsia" w:ascii="Times New Roman" w:hAnsi="Times New Roman" w:cs="Times New Roman"/>
                <w:kern w:val="0"/>
                <w:sz w:val="18"/>
                <w:szCs w:val="18"/>
                <w:lang w:val="en-US" w:eastAsia="zh-CN"/>
              </w:rPr>
              <w:t>效果良好</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30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tcBorders>
              <w:top w:val="nil"/>
              <w:left w:val="nil"/>
              <w:bottom w:val="nil"/>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满意度</w:t>
            </w:r>
          </w:p>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指标</w:t>
            </w:r>
            <w:r>
              <w:rPr>
                <w:rFonts w:ascii="Times New Roman" w:hAnsi="Times New Roman" w:cs="Times New Roman"/>
                <w:kern w:val="0"/>
                <w:sz w:val="20"/>
                <w:szCs w:val="20"/>
              </w:rPr>
              <w:t>(10</w:t>
            </w:r>
            <w:r>
              <w:rPr>
                <w:rFonts w:ascii="宋体" w:hAnsi="宋体" w:cs="Times New Roman"/>
                <w:kern w:val="0"/>
                <w:sz w:val="20"/>
                <w:szCs w:val="20"/>
              </w:rPr>
              <w:t>分</w:t>
            </w:r>
            <w:r>
              <w:rPr>
                <w:rFonts w:ascii="Times New Roman" w:hAnsi="Times New Roman" w:cs="Times New Roman"/>
                <w:kern w:val="0"/>
                <w:sz w:val="20"/>
                <w:szCs w:val="20"/>
              </w:rPr>
              <w:t>)</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服务对象满意度</w:t>
            </w:r>
          </w:p>
        </w:tc>
        <w:tc>
          <w:tcPr>
            <w:tcW w:w="8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100%</w:t>
            </w:r>
          </w:p>
        </w:tc>
        <w:tc>
          <w:tcPr>
            <w:tcW w:w="85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100%</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928" w:hRule="atLeast"/>
          <w:jc w:val="center"/>
        </w:trPr>
        <w:tc>
          <w:tcPr>
            <w:tcW w:w="6529"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总分</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94</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bl>
    <w:p>
      <w:pPr>
        <w:widowControl/>
        <w:spacing w:line="400" w:lineRule="exact"/>
        <w:jc w:val="left"/>
        <w:rPr>
          <w:rFonts w:ascii="Times New Roman" w:hAnsi="Times New Roman" w:cs="Times New Roman"/>
          <w:color w:val="000000"/>
          <w:kern w:val="0"/>
          <w:sz w:val="18"/>
          <w:szCs w:val="18"/>
        </w:rPr>
      </w:pPr>
      <w:r>
        <w:drawing>
          <wp:inline distT="0" distB="0" distL="0" distR="0">
            <wp:extent cx="6410325" cy="133350"/>
            <wp:effectExtent l="19050" t="0" r="9525" b="0"/>
            <wp:docPr id="1" name="图片 1" descr="C:\Users\ADMINI~1\AppData\Local\Temp\ksohtml3812\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1\AppData\Local\Temp\ksohtml3812\wps1.png"/>
                    <pic:cNvPicPr>
                      <a:picLocks noChangeAspect="1" noChangeArrowheads="1"/>
                    </pic:cNvPicPr>
                  </pic:nvPicPr>
                  <pic:blipFill>
                    <a:blip r:embed="rId6" cstate="print"/>
                    <a:srcRect/>
                    <a:stretch>
                      <a:fillRect/>
                    </a:stretch>
                  </pic:blipFill>
                  <pic:spPr>
                    <a:xfrm>
                      <a:off x="0" y="0"/>
                      <a:ext cx="6410325" cy="133350"/>
                    </a:xfrm>
                    <a:prstGeom prst="rect">
                      <a:avLst/>
                    </a:prstGeom>
                    <a:noFill/>
                    <a:ln w="9525">
                      <a:noFill/>
                      <a:miter lim="800000"/>
                      <a:headEnd/>
                      <a:tailEnd/>
                    </a:ln>
                  </pic:spPr>
                </pic:pic>
              </a:graphicData>
            </a:graphic>
          </wp:inline>
        </w:drawing>
      </w:r>
    </w:p>
    <w:tbl>
      <w:tblPr>
        <w:tblStyle w:val="6"/>
        <w:tblW w:w="9540" w:type="dxa"/>
        <w:tblInd w:w="97" w:type="dxa"/>
        <w:tblLayout w:type="fixed"/>
        <w:tblCellMar>
          <w:top w:w="0" w:type="dxa"/>
          <w:left w:w="108" w:type="dxa"/>
          <w:bottom w:w="0" w:type="dxa"/>
          <w:right w:w="108" w:type="dxa"/>
        </w:tblCellMar>
      </w:tblPr>
      <w:tblGrid>
        <w:gridCol w:w="9540"/>
      </w:tblGrid>
      <w:tr>
        <w:trPr>
          <w:trHeight w:val="465" w:hRule="atLeast"/>
        </w:trPr>
        <w:tc>
          <w:tcPr>
            <w:tcW w:w="9540" w:type="dxa"/>
            <w:tcBorders>
              <w:top w:val="single" w:color="auto" w:sz="4" w:space="0"/>
              <w:left w:val="nil"/>
              <w:bottom w:val="nil"/>
              <w:right w:val="nil"/>
            </w:tcBorders>
            <w:vAlign w:val="center"/>
          </w:tcPr>
          <w:p>
            <w:pPr>
              <w:widowControl/>
              <w:spacing w:line="40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注：1.</w:t>
            </w:r>
            <w:r>
              <w:rPr>
                <w:rFonts w:ascii="宋体" w:hAnsi="宋体" w:cs="Times New Roman"/>
                <w:color w:val="000000"/>
                <w:kern w:val="0"/>
                <w:sz w:val="18"/>
                <w:szCs w:val="18"/>
              </w:rPr>
              <w:t>一级指标分值统一设置为：产出指标</w:t>
            </w:r>
            <w:r>
              <w:rPr>
                <w:rFonts w:ascii="Times New Roman" w:hAnsi="Times New Roman" w:cs="Times New Roman"/>
                <w:color w:val="000000"/>
                <w:kern w:val="0"/>
                <w:sz w:val="18"/>
                <w:szCs w:val="18"/>
              </w:rPr>
              <w:t>50</w:t>
            </w:r>
            <w:r>
              <w:rPr>
                <w:rFonts w:ascii="宋体" w:hAnsi="宋体" w:cs="Times New Roman"/>
                <w:color w:val="000000"/>
                <w:kern w:val="0"/>
                <w:sz w:val="18"/>
                <w:szCs w:val="18"/>
              </w:rPr>
              <w:t>分、效益指标</w:t>
            </w:r>
            <w:r>
              <w:rPr>
                <w:rFonts w:ascii="Times New Roman" w:hAnsi="Times New Roman" w:cs="Times New Roman"/>
                <w:color w:val="000000"/>
                <w:kern w:val="0"/>
                <w:sz w:val="18"/>
                <w:szCs w:val="18"/>
              </w:rPr>
              <w:t>30</w:t>
            </w:r>
            <w:r>
              <w:rPr>
                <w:rFonts w:ascii="宋体" w:hAnsi="宋体" w:cs="Times New Roman"/>
                <w:color w:val="000000"/>
                <w:kern w:val="0"/>
                <w:sz w:val="18"/>
                <w:szCs w:val="18"/>
              </w:rPr>
              <w:t>分、服务对象满意度指标</w:t>
            </w:r>
            <w:r>
              <w:rPr>
                <w:rFonts w:ascii="Times New Roman" w:hAnsi="Times New Roman" w:cs="Times New Roman"/>
                <w:color w:val="000000"/>
                <w:kern w:val="0"/>
                <w:sz w:val="18"/>
                <w:szCs w:val="18"/>
              </w:rPr>
              <w:t>10</w:t>
            </w:r>
            <w:r>
              <w:rPr>
                <w:rFonts w:ascii="宋体" w:hAnsi="宋体" w:cs="Times New Roman"/>
                <w:color w:val="000000"/>
                <w:kern w:val="0"/>
                <w:sz w:val="18"/>
                <w:szCs w:val="18"/>
              </w:rPr>
              <w:t>分、预算资金执行率</w:t>
            </w:r>
            <w:r>
              <w:rPr>
                <w:rFonts w:ascii="Times New Roman" w:hAnsi="Times New Roman" w:cs="Times New Roman"/>
                <w:color w:val="000000"/>
                <w:kern w:val="0"/>
                <w:sz w:val="18"/>
                <w:szCs w:val="18"/>
              </w:rPr>
              <w:t>10</w:t>
            </w:r>
            <w:r>
              <w:rPr>
                <w:rFonts w:ascii="宋体" w:hAnsi="宋体" w:cs="Times New Roman"/>
                <w:color w:val="000000"/>
                <w:kern w:val="0"/>
                <w:sz w:val="18"/>
                <w:szCs w:val="18"/>
              </w:rPr>
              <w:t>分。如有特殊情况，上述权重可做适当调整，但加总后应等于</w:t>
            </w:r>
            <w:r>
              <w:rPr>
                <w:rFonts w:ascii="Times New Roman" w:hAnsi="Times New Roman" w:cs="Times New Roman"/>
                <w:color w:val="000000"/>
                <w:kern w:val="0"/>
                <w:sz w:val="18"/>
                <w:szCs w:val="18"/>
              </w:rPr>
              <w:t>100</w:t>
            </w:r>
            <w:r>
              <w:rPr>
                <w:rFonts w:ascii="宋体" w:hAnsi="宋体" w:cs="Times New Roman"/>
                <w:color w:val="000000"/>
                <w:kern w:val="0"/>
                <w:sz w:val="18"/>
                <w:szCs w:val="18"/>
              </w:rPr>
              <w:t>分。各部门根据各项指标重要程度确定三级指标的分值。得分一档最高不能超过该指标分值上限。</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vAlign w:val="center"/>
          </w:tcPr>
          <w:p>
            <w:pPr>
              <w:widowControl/>
              <w:spacing w:line="40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 xml:space="preserve">    2.</w:t>
            </w:r>
            <w:r>
              <w:rPr>
                <w:rFonts w:ascii="宋体" w:hAnsi="宋体" w:cs="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s="Times New Roman"/>
                <w:color w:val="000000"/>
                <w:kern w:val="0"/>
                <w:sz w:val="18"/>
                <w:szCs w:val="18"/>
              </w:rPr>
              <w:t>100-80%(</w:t>
            </w:r>
            <w:r>
              <w:rPr>
                <w:rFonts w:ascii="宋体" w:hAnsi="宋体" w:cs="Times New Roman"/>
                <w:color w:val="000000"/>
                <w:kern w:val="0"/>
                <w:sz w:val="18"/>
                <w:szCs w:val="18"/>
              </w:rPr>
              <w:t>含</w:t>
            </w:r>
            <w:r>
              <w:rPr>
                <w:rFonts w:ascii="Times New Roman" w:hAnsi="Times New Roman" w:cs="Times New Roman"/>
                <w:color w:val="000000"/>
                <w:kern w:val="0"/>
                <w:sz w:val="18"/>
                <w:szCs w:val="18"/>
              </w:rPr>
              <w:t>80%)</w:t>
            </w:r>
            <w:r>
              <w:rPr>
                <w:rFonts w:ascii="宋体" w:hAnsi="宋体" w:cs="Times New Roman"/>
                <w:color w:val="000000"/>
                <w:kern w:val="0"/>
                <w:sz w:val="18"/>
                <w:szCs w:val="18"/>
              </w:rPr>
              <w:t>、</w:t>
            </w:r>
            <w:r>
              <w:rPr>
                <w:rFonts w:ascii="Times New Roman" w:hAnsi="Times New Roman" w:cs="Times New Roman"/>
                <w:color w:val="000000"/>
                <w:kern w:val="0"/>
                <w:sz w:val="18"/>
                <w:szCs w:val="18"/>
              </w:rPr>
              <w:t>80-50%(</w:t>
            </w:r>
            <w:r>
              <w:rPr>
                <w:rFonts w:ascii="宋体" w:hAnsi="宋体" w:cs="Times New Roman"/>
                <w:color w:val="000000"/>
                <w:kern w:val="0"/>
                <w:sz w:val="18"/>
                <w:szCs w:val="18"/>
              </w:rPr>
              <w:t>含</w:t>
            </w:r>
            <w:r>
              <w:rPr>
                <w:rFonts w:ascii="Times New Roman" w:hAnsi="Times New Roman" w:cs="Times New Roman"/>
                <w:color w:val="000000"/>
                <w:kern w:val="0"/>
                <w:sz w:val="18"/>
                <w:szCs w:val="18"/>
              </w:rPr>
              <w:t>50%)</w:t>
            </w:r>
            <w:r>
              <w:rPr>
                <w:rFonts w:ascii="宋体" w:hAnsi="宋体" w:cs="Times New Roman"/>
                <w:color w:val="000000"/>
                <w:kern w:val="0"/>
                <w:sz w:val="18"/>
                <w:szCs w:val="18"/>
              </w:rPr>
              <w:t>、</w:t>
            </w:r>
            <w:r>
              <w:rPr>
                <w:rFonts w:ascii="Times New Roman" w:hAnsi="Times New Roman" w:cs="Times New Roman"/>
                <w:color w:val="000000"/>
                <w:kern w:val="0"/>
                <w:sz w:val="18"/>
                <w:szCs w:val="18"/>
              </w:rPr>
              <w:t>50-0%</w:t>
            </w:r>
            <w:r>
              <w:rPr>
                <w:rFonts w:ascii="宋体" w:hAnsi="宋体" w:cs="Times New Roman"/>
                <w:color w:val="000000"/>
                <w:kern w:val="0"/>
                <w:sz w:val="18"/>
                <w:szCs w:val="18"/>
              </w:rPr>
              <w:t>合理确定分值。</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vAlign w:val="center"/>
          </w:tcPr>
          <w:p>
            <w:pPr>
              <w:widowControl/>
              <w:spacing w:line="40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 xml:space="preserve">    3.</w:t>
            </w:r>
            <w:r>
              <w:rPr>
                <w:rFonts w:ascii="宋体" w:hAnsi="宋体" w:cs="Times New Roman"/>
                <w:color w:val="000000"/>
                <w:kern w:val="0"/>
                <w:sz w:val="18"/>
                <w:szCs w:val="18"/>
              </w:rPr>
              <w:t>定量指标若为正向指标（即指标值为</w:t>
            </w:r>
            <w:r>
              <w:rPr>
                <w:rFonts w:ascii="Times New Roman" w:hAnsi="Times New Roman" w:cs="Times New Roman"/>
                <w:color w:val="000000"/>
                <w:kern w:val="0"/>
                <w:sz w:val="18"/>
                <w:szCs w:val="18"/>
              </w:rPr>
              <w:t>≥*</w:t>
            </w:r>
            <w:r>
              <w:rPr>
                <w:rFonts w:ascii="宋体" w:hAnsi="宋体" w:cs="Times New Roman"/>
                <w:color w:val="000000"/>
                <w:kern w:val="0"/>
                <w:sz w:val="18"/>
                <w:szCs w:val="18"/>
              </w:rPr>
              <w:t>），则得分计算方法应用全年实际值（</w:t>
            </w:r>
            <w:r>
              <w:rPr>
                <w:rFonts w:ascii="Times New Roman" w:hAnsi="Times New Roman" w:cs="Times New Roman"/>
                <w:color w:val="000000"/>
                <w:kern w:val="0"/>
                <w:sz w:val="18"/>
                <w:szCs w:val="18"/>
              </w:rPr>
              <w:t>B</w:t>
            </w:r>
            <w:r>
              <w:rPr>
                <w:rFonts w:ascii="宋体" w:hAnsi="宋体" w:cs="Times New Roman"/>
                <w:color w:val="000000"/>
                <w:kern w:val="0"/>
                <w:sz w:val="18"/>
                <w:szCs w:val="18"/>
              </w:rPr>
              <w:t>）</w:t>
            </w:r>
            <w:r>
              <w:rPr>
                <w:rFonts w:ascii="Times New Roman" w:hAnsi="Times New Roman" w:cs="Times New Roman"/>
                <w:color w:val="000000"/>
                <w:kern w:val="0"/>
                <w:sz w:val="18"/>
                <w:szCs w:val="18"/>
              </w:rPr>
              <w:t>/</w:t>
            </w:r>
            <w:r>
              <w:rPr>
                <w:rFonts w:ascii="宋体" w:hAnsi="宋体" w:cs="Times New Roman"/>
                <w:color w:val="000000"/>
                <w:kern w:val="0"/>
                <w:sz w:val="18"/>
                <w:szCs w:val="18"/>
              </w:rPr>
              <w:t>年度指标值（</w:t>
            </w:r>
            <w:r>
              <w:rPr>
                <w:rFonts w:ascii="Times New Roman" w:hAnsi="Times New Roman" w:cs="Times New Roman"/>
                <w:color w:val="000000"/>
                <w:kern w:val="0"/>
                <w:sz w:val="18"/>
                <w:szCs w:val="18"/>
              </w:rPr>
              <w:t>A</w:t>
            </w:r>
            <w:r>
              <w:rPr>
                <w:rFonts w:ascii="宋体" w:hAnsi="宋体" w:cs="Times New Roman"/>
                <w:color w:val="000000"/>
                <w:kern w:val="0"/>
                <w:sz w:val="18"/>
                <w:szCs w:val="18"/>
              </w:rPr>
              <w:t>）</w:t>
            </w:r>
            <w:r>
              <w:rPr>
                <w:rFonts w:hint="eastAsia" w:ascii="宋体" w:hAnsi="宋体" w:cs="宋体"/>
                <w:color w:val="000000"/>
                <w:kern w:val="0"/>
                <w:sz w:val="12"/>
                <w:szCs w:val="12"/>
              </w:rPr>
              <w:t>╳</w:t>
            </w:r>
            <w:r>
              <w:rPr>
                <w:rFonts w:ascii="Times New Roman" w:hAnsi="Times New Roman" w:cs="Times New Roman"/>
                <w:color w:val="000000"/>
                <w:kern w:val="0"/>
                <w:sz w:val="18"/>
                <w:szCs w:val="18"/>
              </w:rPr>
              <w:t>该指标分值；若定量指标为反向指标（即指标值为≤*</w:t>
            </w:r>
            <w:r>
              <w:rPr>
                <w:rFonts w:ascii="宋体" w:hAnsi="宋体" w:cs="Times New Roman"/>
                <w:color w:val="000000"/>
                <w:kern w:val="0"/>
                <w:sz w:val="18"/>
                <w:szCs w:val="18"/>
              </w:rPr>
              <w:t>），则得分计算方法应用年度指标值（</w:t>
            </w:r>
            <w:r>
              <w:rPr>
                <w:rFonts w:ascii="Times New Roman" w:hAnsi="Times New Roman" w:cs="Times New Roman"/>
                <w:color w:val="000000"/>
                <w:kern w:val="0"/>
                <w:sz w:val="18"/>
                <w:szCs w:val="18"/>
              </w:rPr>
              <w:t>A</w:t>
            </w:r>
            <w:r>
              <w:rPr>
                <w:rFonts w:ascii="宋体" w:hAnsi="宋体" w:cs="Times New Roman"/>
                <w:color w:val="000000"/>
                <w:kern w:val="0"/>
                <w:sz w:val="18"/>
                <w:szCs w:val="18"/>
              </w:rPr>
              <w:t>）</w:t>
            </w:r>
            <w:r>
              <w:rPr>
                <w:rFonts w:ascii="Times New Roman" w:hAnsi="Times New Roman" w:cs="Times New Roman"/>
                <w:color w:val="000000"/>
                <w:kern w:val="0"/>
                <w:sz w:val="18"/>
                <w:szCs w:val="18"/>
              </w:rPr>
              <w:t>/</w:t>
            </w:r>
            <w:r>
              <w:rPr>
                <w:rFonts w:ascii="宋体" w:hAnsi="宋体" w:cs="Times New Roman"/>
                <w:color w:val="000000"/>
                <w:kern w:val="0"/>
                <w:sz w:val="18"/>
                <w:szCs w:val="18"/>
              </w:rPr>
              <w:t>全年实际值（</w:t>
            </w:r>
            <w:r>
              <w:rPr>
                <w:rFonts w:ascii="Times New Roman" w:hAnsi="Times New Roman" w:cs="Times New Roman"/>
                <w:color w:val="000000"/>
                <w:kern w:val="0"/>
                <w:sz w:val="18"/>
                <w:szCs w:val="18"/>
              </w:rPr>
              <w:t>B</w:t>
            </w:r>
            <w:r>
              <w:rPr>
                <w:rFonts w:ascii="宋体" w:hAnsi="宋体" w:cs="Times New Roman"/>
                <w:color w:val="000000"/>
                <w:kern w:val="0"/>
                <w:sz w:val="18"/>
                <w:szCs w:val="18"/>
              </w:rPr>
              <w:t>）</w:t>
            </w:r>
            <w:r>
              <w:rPr>
                <w:rFonts w:hint="eastAsia" w:ascii="宋体" w:hAnsi="宋体" w:cs="宋体"/>
                <w:color w:val="000000"/>
                <w:kern w:val="0"/>
                <w:sz w:val="12"/>
                <w:szCs w:val="12"/>
              </w:rPr>
              <w:t>╳</w:t>
            </w:r>
            <w:r>
              <w:rPr>
                <w:rFonts w:ascii="Times New Roman" w:hAnsi="Times New Roman" w:cs="Times New Roman"/>
                <w:color w:val="000000"/>
                <w:kern w:val="0"/>
                <w:sz w:val="18"/>
                <w:szCs w:val="18"/>
              </w:rPr>
              <w:t>该指标分值。</w:t>
            </w:r>
          </w:p>
        </w:tc>
      </w:tr>
      <w:tr>
        <w:tblPrEx>
          <w:tblCellMar>
            <w:top w:w="0" w:type="dxa"/>
            <w:left w:w="108" w:type="dxa"/>
            <w:bottom w:w="0" w:type="dxa"/>
            <w:right w:w="108" w:type="dxa"/>
          </w:tblCellMar>
        </w:tblPrEx>
        <w:trPr>
          <w:trHeight w:val="210" w:hRule="atLeast"/>
        </w:trPr>
        <w:tc>
          <w:tcPr>
            <w:tcW w:w="9540" w:type="dxa"/>
            <w:tcBorders>
              <w:top w:val="nil"/>
              <w:left w:val="nil"/>
              <w:bottom w:val="nil"/>
              <w:right w:val="nil"/>
            </w:tcBorders>
            <w:noWrap/>
            <w:vAlign w:val="center"/>
          </w:tcPr>
          <w:p>
            <w:pPr>
              <w:widowControl/>
              <w:spacing w:line="40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 xml:space="preserve">    4.</w:t>
            </w:r>
            <w:r>
              <w:rPr>
                <w:rFonts w:ascii="宋体" w:hAnsi="宋体" w:cs="Times New Roman"/>
                <w:color w:val="000000"/>
                <w:kern w:val="0"/>
                <w:sz w:val="18"/>
                <w:szCs w:val="18"/>
              </w:rPr>
              <w:t>请在</w:t>
            </w:r>
            <w:r>
              <w:rPr>
                <w:rFonts w:ascii="Times New Roman" w:hAnsi="Times New Roman" w:cs="Times New Roman"/>
                <w:color w:val="000000"/>
                <w:kern w:val="0"/>
                <w:sz w:val="18"/>
                <w:szCs w:val="18"/>
              </w:rPr>
              <w:t>“</w:t>
            </w:r>
            <w:r>
              <w:rPr>
                <w:rFonts w:ascii="Times New Roman" w:hAnsi="Times New Roman" w:cs="Times New Roman"/>
                <w:kern w:val="0"/>
                <w:sz w:val="18"/>
                <w:szCs w:val="18"/>
              </w:rPr>
              <w:t>偏差原因分析及改进措施</w:t>
            </w:r>
            <w:r>
              <w:rPr>
                <w:rFonts w:ascii="Times New Roman" w:hAnsi="Times New Roman" w:cs="Times New Roman"/>
                <w:color w:val="000000"/>
                <w:kern w:val="0"/>
                <w:sz w:val="18"/>
                <w:szCs w:val="18"/>
              </w:rPr>
              <w:t>”</w:t>
            </w:r>
            <w:r>
              <w:rPr>
                <w:rFonts w:ascii="宋体" w:hAnsi="宋体" w:cs="Times New Roman"/>
                <w:color w:val="000000"/>
                <w:kern w:val="0"/>
                <w:sz w:val="18"/>
                <w:szCs w:val="18"/>
              </w:rPr>
              <w:t>中说明偏离目标、不能完成目标的原因及拟采取的措施。</w:t>
            </w:r>
          </w:p>
        </w:tc>
      </w:tr>
    </w:tbl>
    <w:p>
      <w:pPr>
        <w:widowControl/>
        <w:spacing w:line="40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 xml:space="preserve"> </w:t>
      </w:r>
    </w:p>
    <w:p>
      <w:pPr>
        <w:rPr>
          <w:rFonts w:ascii="Times New Roman" w:hAnsi="Times New Roman" w:cs="Times New Roman"/>
        </w:rPr>
      </w:pPr>
      <w:r>
        <w:rPr>
          <w:rFonts w:ascii="Times New Roman" w:hAnsi="Times New Roman" w:cs="Times New Roman"/>
        </w:rPr>
        <w:t xml:space="preserve"> </w:t>
      </w:r>
    </w:p>
    <w:p>
      <w:pPr>
        <w:widowControl/>
        <w:jc w:val="left"/>
        <w:rPr>
          <w:rFonts w:ascii="Times New Roman" w:hAnsi="Times New Roman" w:eastAsia="仿宋_GB2312" w:cs="Times New Roman"/>
          <w:bCs/>
          <w:color w:val="000000"/>
          <w:sz w:val="32"/>
          <w:szCs w:val="32"/>
        </w:rPr>
        <w:sectPr>
          <w:pgSz w:w="11906" w:h="16838"/>
          <w:pgMar w:top="1474" w:right="1417" w:bottom="1474" w:left="1417" w:header="737" w:footer="850" w:gutter="0"/>
          <w:cols w:space="720" w:num="1"/>
          <w:docGrid w:type="lines" w:linePitch="408" w:charSpace="0"/>
        </w:sectPr>
      </w:pPr>
    </w:p>
    <w:p>
      <w:pPr>
        <w:spacing w:line="560" w:lineRule="exact"/>
        <w:rPr>
          <w:rFonts w:hint="eastAsia" w:ascii="Times New Roman" w:hAnsi="Times New Roman" w:eastAsia="仿宋_GB2312" w:cs="Times New Roman"/>
          <w:bCs/>
          <w:color w:val="000000"/>
          <w:sz w:val="32"/>
          <w:szCs w:val="32"/>
          <w:lang w:eastAsia="zh-CN"/>
        </w:rPr>
      </w:pPr>
      <w:r>
        <w:rPr>
          <w:rFonts w:ascii="仿宋_GB2312" w:hAnsi="仿宋_GB2312" w:eastAsia="仿宋_GB2312" w:cs="Times New Roman"/>
          <w:bCs/>
          <w:color w:val="000000"/>
          <w:sz w:val="32"/>
          <w:szCs w:val="32"/>
        </w:rPr>
        <w:t>附件</w:t>
      </w:r>
      <w:r>
        <w:rPr>
          <w:rFonts w:hint="eastAsia" w:ascii="Times New Roman" w:hAnsi="Times New Roman" w:eastAsia="仿宋_GB2312" w:cs="Times New Roman"/>
          <w:bCs/>
          <w:color w:val="000000"/>
          <w:sz w:val="32"/>
          <w:szCs w:val="32"/>
          <w:lang w:val="en-US" w:eastAsia="zh-CN"/>
        </w:rPr>
        <w:t>2</w:t>
      </w:r>
    </w:p>
    <w:p>
      <w:pPr>
        <w:pStyle w:val="2"/>
        <w:spacing w:before="0" w:after="0"/>
        <w:jc w:val="center"/>
        <w:rPr>
          <w:rFonts w:ascii="Times New Roman" w:hAnsi="Times New Roman" w:eastAsia="宋体" w:cs="Times New Roman"/>
          <w:bCs/>
          <w:color w:val="000000"/>
          <w:sz w:val="36"/>
          <w:szCs w:val="36"/>
        </w:rPr>
      </w:pPr>
      <w:r>
        <w:rPr>
          <w:rFonts w:ascii="宋体" w:hAnsi="宋体" w:eastAsia="宋体" w:cs="Times New Roman"/>
          <w:bCs/>
          <w:color w:val="000000"/>
          <w:sz w:val="36"/>
          <w:szCs w:val="36"/>
        </w:rPr>
        <w:t>项目支出绩效评价共性指标表</w:t>
      </w:r>
    </w:p>
    <w:tbl>
      <w:tblPr>
        <w:tblStyle w:val="6"/>
        <w:tblW w:w="12701"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82"/>
        <w:gridCol w:w="709"/>
        <w:gridCol w:w="1134"/>
        <w:gridCol w:w="567"/>
        <w:gridCol w:w="2835"/>
        <w:gridCol w:w="6096"/>
        <w:gridCol w:w="67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jc w:val="center"/>
        </w:trPr>
        <w:tc>
          <w:tcPr>
            <w:tcW w:w="682"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b/>
                <w:bCs/>
                <w:color w:val="000000"/>
                <w:kern w:val="0"/>
                <w:sz w:val="22"/>
                <w:szCs w:val="22"/>
              </w:rPr>
            </w:pPr>
            <w:r>
              <w:rPr>
                <w:rFonts w:ascii="Times New Roman" w:hAnsi="Times New Roman" w:cs="Times New Roman"/>
                <w:b/>
                <w:bCs/>
                <w:color w:val="000000"/>
                <w:kern w:val="0"/>
                <w:sz w:val="22"/>
                <w:szCs w:val="22"/>
              </w:rPr>
              <w:t>一级指标</w:t>
            </w: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b/>
                <w:bCs/>
                <w:color w:val="000000"/>
                <w:kern w:val="0"/>
                <w:sz w:val="22"/>
                <w:szCs w:val="22"/>
              </w:rPr>
            </w:pPr>
            <w:r>
              <w:rPr>
                <w:rFonts w:ascii="Times New Roman" w:hAnsi="Times New Roman" w:cs="Times New Roman"/>
                <w:b/>
                <w:bCs/>
                <w:color w:val="000000"/>
                <w:kern w:val="0"/>
                <w:sz w:val="22"/>
                <w:szCs w:val="22"/>
              </w:rPr>
              <w:t>二级指标</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b/>
                <w:bCs/>
                <w:color w:val="000000"/>
                <w:kern w:val="0"/>
                <w:sz w:val="22"/>
                <w:szCs w:val="22"/>
              </w:rPr>
            </w:pPr>
            <w:r>
              <w:rPr>
                <w:rFonts w:ascii="Times New Roman" w:hAnsi="Times New Roman" w:cs="Times New Roman"/>
                <w:b/>
                <w:bCs/>
                <w:color w:val="000000"/>
                <w:kern w:val="0"/>
                <w:sz w:val="22"/>
                <w:szCs w:val="22"/>
              </w:rPr>
              <w:t>三级指标</w:t>
            </w:r>
          </w:p>
        </w:tc>
        <w:tc>
          <w:tcPr>
            <w:tcW w:w="567" w:type="dxa"/>
            <w:tcBorders>
              <w:top w:val="single" w:color="000000" w:sz="8" w:space="0"/>
              <w:left w:val="nil"/>
              <w:bottom w:val="single" w:color="000000" w:sz="8" w:space="0"/>
              <w:right w:val="single" w:color="000000" w:sz="8" w:space="0"/>
            </w:tcBorders>
            <w:shd w:val="clear" w:color="auto" w:fill="FFFFFF"/>
          </w:tcPr>
          <w:p>
            <w:pPr>
              <w:widowControl/>
              <w:spacing w:line="0" w:lineRule="atLeast"/>
              <w:jc w:val="center"/>
              <w:rPr>
                <w:rFonts w:ascii="Times New Roman" w:hAnsi="Times New Roman" w:cs="Times New Roman"/>
                <w:b/>
                <w:bCs/>
                <w:color w:val="000000"/>
                <w:kern w:val="0"/>
                <w:sz w:val="22"/>
                <w:szCs w:val="22"/>
              </w:rPr>
            </w:pPr>
            <w:r>
              <w:rPr>
                <w:rFonts w:ascii="Times New Roman" w:hAnsi="Times New Roman" w:cs="Times New Roman"/>
                <w:b/>
                <w:bCs/>
                <w:color w:val="000000"/>
                <w:kern w:val="0"/>
                <w:sz w:val="22"/>
                <w:szCs w:val="22"/>
              </w:rPr>
              <w:t>分</w:t>
            </w:r>
          </w:p>
          <w:p>
            <w:pPr>
              <w:widowControl/>
              <w:spacing w:line="0" w:lineRule="atLeast"/>
              <w:jc w:val="center"/>
              <w:rPr>
                <w:rFonts w:ascii="Times New Roman" w:hAnsi="Times New Roman" w:cs="Times New Roman"/>
                <w:b/>
                <w:bCs/>
                <w:color w:val="000000"/>
                <w:kern w:val="0"/>
                <w:sz w:val="22"/>
                <w:szCs w:val="22"/>
              </w:rPr>
            </w:pPr>
            <w:r>
              <w:rPr>
                <w:rFonts w:ascii="Times New Roman" w:hAnsi="Times New Roman" w:cs="Times New Roman"/>
                <w:b/>
                <w:bCs/>
                <w:color w:val="000000"/>
                <w:kern w:val="0"/>
                <w:sz w:val="22"/>
                <w:szCs w:val="22"/>
              </w:rPr>
              <w:t>值</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b/>
                <w:bCs/>
                <w:color w:val="000000"/>
                <w:kern w:val="0"/>
                <w:sz w:val="22"/>
                <w:szCs w:val="22"/>
              </w:rPr>
            </w:pPr>
            <w:r>
              <w:rPr>
                <w:rFonts w:ascii="Times New Roman" w:hAnsi="Times New Roman" w:cs="Times New Roman"/>
                <w:b/>
                <w:bCs/>
                <w:color w:val="000000"/>
                <w:kern w:val="0"/>
                <w:sz w:val="22"/>
                <w:szCs w:val="22"/>
              </w:rPr>
              <w:t>指标解释</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b/>
                <w:bCs/>
                <w:color w:val="000000"/>
                <w:kern w:val="0"/>
                <w:sz w:val="22"/>
                <w:szCs w:val="22"/>
              </w:rPr>
            </w:pPr>
            <w:r>
              <w:rPr>
                <w:rFonts w:ascii="Times New Roman" w:hAnsi="Times New Roman" w:cs="Times New Roman"/>
                <w:b/>
                <w:bCs/>
                <w:color w:val="000000"/>
                <w:kern w:val="0"/>
                <w:sz w:val="22"/>
                <w:szCs w:val="22"/>
              </w:rPr>
              <w:t>指标说明</w:t>
            </w:r>
          </w:p>
        </w:tc>
        <w:tc>
          <w:tcPr>
            <w:tcW w:w="678"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b/>
                <w:bCs/>
                <w:color w:val="000000"/>
                <w:kern w:val="0"/>
                <w:sz w:val="22"/>
                <w:szCs w:val="22"/>
              </w:rPr>
            </w:pPr>
            <w:r>
              <w:rPr>
                <w:rFonts w:ascii="Times New Roman" w:hAnsi="Times New Roman" w:cs="Times New Roman"/>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682" w:type="dxa"/>
            <w:vMerge w:val="restart"/>
            <w:tcBorders>
              <w:top w:val="nil"/>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xml:space="preserve">决策 </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w:t>
            </w:r>
          </w:p>
          <w:p>
            <w:pPr>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w:t>
            </w:r>
          </w:p>
        </w:tc>
        <w:tc>
          <w:tcPr>
            <w:tcW w:w="709" w:type="dxa"/>
            <w:vMerge w:val="restart"/>
            <w:tcBorders>
              <w:top w:val="nil"/>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xml:space="preserve">项目立项 </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立项依据</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充分性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项目立项是否符合法律法规、相关政策、发展规划以及部门职责，用以反映和考核项目立项依据情况。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lef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项目立项是否符合国家法律法规、国民经济发展规划和相关政策；</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项目立项是否符合行业发展规划和政策要求；</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项目立项是否与部门职责范围相符，属于部门履职所需；</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④</w:t>
            </w:r>
            <w:r>
              <w:rPr>
                <w:rFonts w:ascii="宋体" w:hAnsi="宋体" w:cs="Times New Roman"/>
                <w:color w:val="000000"/>
                <w:kern w:val="0"/>
                <w:sz w:val="22"/>
                <w:szCs w:val="22"/>
              </w:rPr>
              <w:t>项目是否属于公共财政支持范围，是否符合中央、地方事权支出责任划分原则；</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⑤</w:t>
            </w:r>
            <w:r>
              <w:rPr>
                <w:rFonts w:ascii="宋体" w:hAnsi="宋体" w:cs="Times New Roman"/>
                <w:color w:val="000000"/>
                <w:kern w:val="0"/>
                <w:sz w:val="22"/>
                <w:szCs w:val="22"/>
              </w:rPr>
              <w:t>项目是否与相关部门同类项目或部门内部相关项目重复。</w:t>
            </w:r>
          </w:p>
        </w:tc>
        <w:tc>
          <w:tcPr>
            <w:tcW w:w="678"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682"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vMerge w:val="continue"/>
            <w:tcBorders>
              <w:top w:val="nil"/>
              <w:left w:val="nil"/>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立项程序</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规范性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3</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项目申请、设立过程是否符合相关要求，用以反映和考核项目立项的规范情况。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lef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项目是否按照规定的程序申请设立；</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审批文件、材料是否符合相关要求；</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事前是否已经过必要的可行性研究、专家论证、风险评估、绩效评估、集体决策。</w:t>
            </w:r>
          </w:p>
        </w:tc>
        <w:tc>
          <w:tcPr>
            <w:tcW w:w="678"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682"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xml:space="preserve">绩效目标 </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绩效目标</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合理性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项目所设定的绩效目标是否依据充分，是否符合客观实际，用以反映和考核项目绩效目标与项目实施的相符情况。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lef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（如未设定预算绩效目标，也可考核其他工作任务目标）</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项目是否有绩效目标；</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项目绩效目标与实际工作内容是否具有相关性；</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项目预期产出效益和效果是否符合正常的业绩水平；</w:t>
            </w:r>
          </w:p>
          <w:p>
            <w:pPr>
              <w:widowControl/>
              <w:spacing w:line="0" w:lineRule="atLeast"/>
              <w:jc w:val="left"/>
              <w:rPr>
                <w:rFonts w:ascii="Times New Roman" w:hAnsi="Times New Roman" w:cs="Times New Roman"/>
                <w:color w:val="000000"/>
                <w:kern w:val="0"/>
                <w:sz w:val="22"/>
                <w:szCs w:val="22"/>
              </w:rPr>
            </w:pPr>
            <w:r>
              <w:rPr>
                <w:rFonts w:hint="eastAsia" w:ascii="宋体" w:hAnsi="宋体" w:cs="宋体"/>
                <w:color w:val="000000"/>
                <w:kern w:val="0"/>
                <w:sz w:val="22"/>
                <w:szCs w:val="22"/>
              </w:rPr>
              <w:t>④</w:t>
            </w:r>
            <w:r>
              <w:rPr>
                <w:rFonts w:ascii="宋体" w:hAnsi="宋体" w:cs="Times New Roman"/>
                <w:color w:val="000000"/>
                <w:kern w:val="0"/>
                <w:sz w:val="22"/>
                <w:szCs w:val="22"/>
              </w:rPr>
              <w:t>是否与预算确定的项目投资额或资金量相匹配。</w:t>
            </w:r>
          </w:p>
        </w:tc>
        <w:tc>
          <w:tcPr>
            <w:tcW w:w="678"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682" w:type="dxa"/>
            <w:vMerge w:val="restart"/>
            <w:tcBorders>
              <w:top w:val="nil"/>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xml:space="preserve">决策 </w:t>
            </w: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绩效目标</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绩效指标</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明确性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依据绩效目标设定的绩效指标是否清晰、细化、可衡量等，用以反映和考核项目绩效目标的明细化情况。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是否将项目绩效目标细化分解为具体的绩效指标；</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是否通过清晰、可衡量的指标值予以体现；</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是否与项目目标任务数或计划数相对应。</w:t>
            </w:r>
          </w:p>
        </w:tc>
        <w:tc>
          <w:tcPr>
            <w:tcW w:w="678"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682"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vMerge w:val="restart"/>
            <w:tcBorders>
              <w:top w:val="nil"/>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资金投入</w:t>
            </w:r>
          </w:p>
          <w:p>
            <w:pPr>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预算编制</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科学性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3</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预算编制是否经过科学论证；</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预算内容与项目内容是否匹配；</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预算额度测算依据是否充分，是否按照标准编制；</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④</w:t>
            </w:r>
            <w:r>
              <w:rPr>
                <w:rFonts w:ascii="宋体" w:hAnsi="宋体" w:cs="Times New Roman"/>
                <w:color w:val="000000"/>
                <w:kern w:val="0"/>
                <w:sz w:val="22"/>
                <w:szCs w:val="22"/>
              </w:rPr>
              <w:t>预算确定的项目投资额或资金量是否与工作任务相匹配。</w:t>
            </w:r>
          </w:p>
        </w:tc>
        <w:tc>
          <w:tcPr>
            <w:tcW w:w="678"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682"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vMerge w:val="continue"/>
            <w:tcBorders>
              <w:top w:val="nil"/>
              <w:left w:val="nil"/>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资金分配</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合理性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3</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预算资金分配依据是否充分；</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资金分配额度是否合理，与项目单位或地方实际是否相适应。</w:t>
            </w:r>
          </w:p>
        </w:tc>
        <w:tc>
          <w:tcPr>
            <w:tcW w:w="678"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682" w:type="dxa"/>
            <w:vMerge w:val="restart"/>
            <w:tcBorders>
              <w:top w:val="nil"/>
              <w:left w:val="single" w:color="000000" w:sz="8" w:space="0"/>
              <w:bottom w:val="single" w:color="000000" w:sz="8" w:space="0"/>
              <w:right w:val="single" w:color="000000" w:sz="8" w:space="0"/>
            </w:tcBorders>
            <w:shd w:val="clear" w:color="auto" w:fill="FFFFFF"/>
            <w:vAlign w:val="center"/>
          </w:tcPr>
          <w:p>
            <w:pPr>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过程</w:t>
            </w:r>
          </w:p>
        </w:tc>
        <w:tc>
          <w:tcPr>
            <w:tcW w:w="709" w:type="dxa"/>
            <w:vMerge w:val="restart"/>
            <w:tcBorders>
              <w:top w:val="nil"/>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资金管理</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资金到位率</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3</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实际到位资金与预算资金的比率，用以反映和考核资金落实情况对项目实施的总体保障程度。</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资金到位率=</w:t>
            </w:r>
            <w:r>
              <w:rPr>
                <w:rFonts w:ascii="宋体" w:hAnsi="宋体" w:cs="Times New Roman"/>
                <w:color w:val="000000"/>
                <w:kern w:val="0"/>
                <w:sz w:val="22"/>
                <w:szCs w:val="22"/>
              </w:rPr>
              <w:t>（实际到位资金</w:t>
            </w:r>
            <w:r>
              <w:rPr>
                <w:rFonts w:ascii="Times New Roman" w:hAnsi="Times New Roman" w:cs="Times New Roman"/>
                <w:color w:val="000000"/>
                <w:kern w:val="0"/>
                <w:sz w:val="22"/>
                <w:szCs w:val="22"/>
              </w:rPr>
              <w:t>/</w:t>
            </w:r>
            <w:r>
              <w:rPr>
                <w:rFonts w:ascii="宋体" w:hAnsi="宋体" w:cs="Times New Roman"/>
                <w:color w:val="000000"/>
                <w:kern w:val="0"/>
                <w:sz w:val="22"/>
                <w:szCs w:val="22"/>
              </w:rPr>
              <w:t>预算资金）</w:t>
            </w:r>
            <w:r>
              <w:rPr>
                <w:rFonts w:ascii="Times New Roman" w:hAnsi="Times New Roman" w:cs="Times New Roman"/>
                <w:color w:val="000000"/>
                <w:kern w:val="0"/>
                <w:sz w:val="22"/>
                <w:szCs w:val="22"/>
              </w:rPr>
              <w:t>×100%</w:t>
            </w:r>
            <w:r>
              <w:rPr>
                <w:rFonts w:ascii="宋体" w:hAnsi="宋体" w:cs="Times New Roman"/>
                <w:color w:val="000000"/>
                <w:kern w:val="0"/>
                <w:sz w:val="22"/>
                <w:szCs w:val="22"/>
              </w:rPr>
              <w:t>。</w:t>
            </w:r>
          </w:p>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实际到位资金：一定时期（本年度或项目期）内落实到具体项目的资金。</w:t>
            </w:r>
          </w:p>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预算资金：一定时期（本年度或项目期）内预算安排到具体项目的资金。</w:t>
            </w:r>
          </w:p>
        </w:tc>
        <w:tc>
          <w:tcPr>
            <w:tcW w:w="678"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682"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vMerge w:val="continue"/>
            <w:tcBorders>
              <w:top w:val="nil"/>
              <w:left w:val="nil"/>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预算执行率</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项目预算资金是否按照计划执行，用以反映或考核项目预算执行情况。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预算执行率=</w:t>
            </w:r>
            <w:r>
              <w:rPr>
                <w:rFonts w:ascii="宋体" w:hAnsi="宋体" w:cs="Times New Roman"/>
                <w:color w:val="000000"/>
                <w:kern w:val="0"/>
                <w:sz w:val="22"/>
                <w:szCs w:val="22"/>
              </w:rPr>
              <w:t>（实际支出资金</w:t>
            </w:r>
            <w:r>
              <w:rPr>
                <w:rFonts w:ascii="Times New Roman" w:hAnsi="Times New Roman" w:cs="Times New Roman"/>
                <w:color w:val="000000"/>
                <w:kern w:val="0"/>
                <w:sz w:val="22"/>
                <w:szCs w:val="22"/>
              </w:rPr>
              <w:t>/</w:t>
            </w:r>
            <w:r>
              <w:rPr>
                <w:rFonts w:ascii="宋体" w:hAnsi="宋体" w:cs="Times New Roman"/>
                <w:color w:val="000000"/>
                <w:kern w:val="0"/>
                <w:sz w:val="22"/>
                <w:szCs w:val="22"/>
              </w:rPr>
              <w:t>实际到位资金）</w:t>
            </w:r>
            <w:r>
              <w:rPr>
                <w:rFonts w:ascii="Times New Roman" w:hAnsi="Times New Roman" w:cs="Times New Roman"/>
                <w:color w:val="000000"/>
                <w:kern w:val="0"/>
                <w:sz w:val="22"/>
                <w:szCs w:val="22"/>
              </w:rPr>
              <w:t>×100%</w:t>
            </w:r>
            <w:r>
              <w:rPr>
                <w:rFonts w:ascii="宋体" w:hAnsi="宋体" w:cs="Times New Roman"/>
                <w:color w:val="000000"/>
                <w:kern w:val="0"/>
                <w:sz w:val="22"/>
                <w:szCs w:val="22"/>
              </w:rPr>
              <w:t>。</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实际支出资金：一定时期（本年度或项目期）内项目实际拨付的资金。</w:t>
            </w:r>
          </w:p>
        </w:tc>
        <w:tc>
          <w:tcPr>
            <w:tcW w:w="678"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default"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682" w:type="dxa"/>
            <w:vMerge w:val="restart"/>
            <w:tcBorders>
              <w:top w:val="nil"/>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w:t>
            </w:r>
          </w:p>
          <w:p>
            <w:pPr>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xml:space="preserve">过程 </w:t>
            </w: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资金管理</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资金使用</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合规性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项目资金使用是否符合相关的财务管理制度规定，用以反映和考核项目资金的规范运行情况。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是否符合国家财经法规和财务管理制度以及有关专项资金管理办法的规定；</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资金的拨付是否有完整的审批程序和手续；</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是否符合项目预算批复或合同规定的用途；</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④</w:t>
            </w:r>
            <w:r>
              <w:rPr>
                <w:rFonts w:ascii="宋体" w:hAnsi="宋体" w:cs="Times New Roman"/>
                <w:color w:val="000000"/>
                <w:kern w:val="0"/>
                <w:sz w:val="22"/>
                <w:szCs w:val="22"/>
              </w:rPr>
              <w:t>是否存在截留、挤占、挪用、虚列支出等情况。</w:t>
            </w:r>
          </w:p>
        </w:tc>
        <w:tc>
          <w:tcPr>
            <w:tcW w:w="678"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682"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vMerge w:val="restart"/>
            <w:tcBorders>
              <w:top w:val="nil"/>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组织实施</w:t>
            </w:r>
          </w:p>
          <w:p>
            <w:pPr>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管理制度</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健全性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项目实施单位的财务和业务管理制度是否健全，用以反映和考核财务和业务管理制度对项目顺利实施的保障情况。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是否已制定或具有相应的财务和业务管理制度；</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财务和业务管理制度是否合法、合规、完整。</w:t>
            </w:r>
          </w:p>
        </w:tc>
        <w:tc>
          <w:tcPr>
            <w:tcW w:w="678"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682"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vMerge w:val="continue"/>
            <w:tcBorders>
              <w:top w:val="nil"/>
              <w:left w:val="nil"/>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制度执行</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有效性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项目实施是否符合相关管理规定，用以反映和考核相关管理制度的有效执行情况。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是否遵守相关法律法规和相关管理规定；</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项目调整及支出调整手续是否完备；</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项目合同书、验收报告、技术鉴定等资料是否齐全并及时归档；</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④</w:t>
            </w:r>
            <w:r>
              <w:rPr>
                <w:rFonts w:ascii="宋体" w:hAnsi="宋体" w:cs="Times New Roman"/>
                <w:color w:val="000000"/>
                <w:kern w:val="0"/>
                <w:sz w:val="22"/>
                <w:szCs w:val="22"/>
              </w:rPr>
              <w:t>项目实施的人员条件、场地设备、信息支撑等是否落实到位。</w:t>
            </w:r>
          </w:p>
        </w:tc>
        <w:tc>
          <w:tcPr>
            <w:tcW w:w="678"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682"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产出</w:t>
            </w: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产出数量</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实际完成率</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8</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项目实施的实际产出数与计划产出数的比率，用以反映和考核项目产出数量目标的实现程度。</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实际完成率=</w:t>
            </w:r>
            <w:r>
              <w:rPr>
                <w:rFonts w:ascii="宋体" w:hAnsi="宋体" w:cs="Times New Roman"/>
                <w:color w:val="000000"/>
                <w:kern w:val="0"/>
                <w:sz w:val="22"/>
                <w:szCs w:val="22"/>
              </w:rPr>
              <w:t>（实际产出数</w:t>
            </w:r>
            <w:r>
              <w:rPr>
                <w:rFonts w:ascii="Times New Roman" w:hAnsi="Times New Roman" w:cs="Times New Roman"/>
                <w:color w:val="000000"/>
                <w:kern w:val="0"/>
                <w:sz w:val="22"/>
                <w:szCs w:val="22"/>
              </w:rPr>
              <w:t>/</w:t>
            </w:r>
            <w:r>
              <w:rPr>
                <w:rFonts w:ascii="宋体" w:hAnsi="宋体" w:cs="Times New Roman"/>
                <w:color w:val="000000"/>
                <w:kern w:val="0"/>
                <w:sz w:val="22"/>
                <w:szCs w:val="22"/>
              </w:rPr>
              <w:t>计划产出数）</w:t>
            </w:r>
            <w:r>
              <w:rPr>
                <w:rFonts w:ascii="Times New Roman" w:hAnsi="Times New Roman" w:cs="Times New Roman"/>
                <w:color w:val="000000"/>
                <w:kern w:val="0"/>
                <w:sz w:val="22"/>
                <w:szCs w:val="22"/>
              </w:rPr>
              <w:t>×100%</w:t>
            </w:r>
            <w:r>
              <w:rPr>
                <w:rFonts w:ascii="宋体" w:hAnsi="宋体" w:cs="Times New Roman"/>
                <w:color w:val="000000"/>
                <w:kern w:val="0"/>
                <w:sz w:val="22"/>
                <w:szCs w:val="22"/>
              </w:rPr>
              <w:t>。</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实际产出数：一定时期（本年度或项目期）内项目实际产出的产品或提供的服务数量。</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计划产出数：项目绩效目标确定的在一定时期（本年度或项目期）内计划产出的产品或提供的服务数量。</w:t>
            </w:r>
          </w:p>
        </w:tc>
        <w:tc>
          <w:tcPr>
            <w:tcW w:w="678"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682" w:type="dxa"/>
            <w:vMerge w:val="restart"/>
            <w:tcBorders>
              <w:top w:val="nil"/>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产出</w:t>
            </w: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产出质量</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质量达标率</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8</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项目完成的质量达标产出数与实际产出数的比率，用以反映和考核项目产出质量目标的实现程度。</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质量达标率=</w:t>
            </w:r>
            <w:r>
              <w:rPr>
                <w:rFonts w:ascii="宋体" w:hAnsi="宋体" w:cs="Times New Roman"/>
                <w:color w:val="000000"/>
                <w:kern w:val="0"/>
                <w:sz w:val="22"/>
                <w:szCs w:val="22"/>
              </w:rPr>
              <w:t>（质量达标产出数</w:t>
            </w:r>
            <w:r>
              <w:rPr>
                <w:rFonts w:ascii="Times New Roman" w:hAnsi="Times New Roman" w:cs="Times New Roman"/>
                <w:color w:val="000000"/>
                <w:kern w:val="0"/>
                <w:sz w:val="22"/>
                <w:szCs w:val="22"/>
              </w:rPr>
              <w:t>/</w:t>
            </w:r>
            <w:r>
              <w:rPr>
                <w:rFonts w:ascii="宋体" w:hAnsi="宋体" w:cs="Times New Roman"/>
                <w:color w:val="000000"/>
                <w:kern w:val="0"/>
                <w:sz w:val="22"/>
                <w:szCs w:val="22"/>
              </w:rPr>
              <w:t>实际产出数）</w:t>
            </w:r>
            <w:r>
              <w:rPr>
                <w:rFonts w:ascii="Times New Roman" w:hAnsi="Times New Roman" w:cs="Times New Roman"/>
                <w:color w:val="000000"/>
                <w:kern w:val="0"/>
                <w:sz w:val="22"/>
                <w:szCs w:val="22"/>
              </w:rPr>
              <w:t>×100%</w:t>
            </w:r>
            <w:r>
              <w:rPr>
                <w:rFonts w:ascii="宋体" w:hAnsi="宋体" w:cs="Times New Roman"/>
                <w:color w:val="000000"/>
                <w:kern w:val="0"/>
                <w:sz w:val="22"/>
                <w:szCs w:val="22"/>
              </w:rPr>
              <w:t>。</w:t>
            </w:r>
          </w:p>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678"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682"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tcBorders>
              <w:top w:val="single" w:color="000000" w:sz="8" w:space="0"/>
              <w:left w:val="nil"/>
              <w:bottom w:val="single" w:color="000000" w:sz="8" w:space="0"/>
              <w:right w:val="single" w:color="000000" w:sz="8" w:space="0"/>
            </w:tcBorders>
            <w:shd w:val="clear" w:color="auto" w:fill="FFFFFF"/>
            <w:vAlign w:val="center"/>
          </w:tcPr>
          <w:p>
            <w:pPr>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产出时效</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完成及时性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8</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项目实际完成时间与计划完成时间的比较，用以反映和考核项目产出时效目标的实现程度。</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实际完成时间：项目实施单位完成该项目实际所耗用的时间。</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计划完成时间：按照项目实施计划或相关规定完成该项目所需的时间。</w:t>
            </w:r>
          </w:p>
        </w:tc>
        <w:tc>
          <w:tcPr>
            <w:tcW w:w="678"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682"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产出成本</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成本节约率</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8</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完成项目计划工作目标的实际节约成本与计划成本的比率，用以反映和考核项目的成本节约程度。</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成本节约率=[</w:t>
            </w:r>
            <w:r>
              <w:rPr>
                <w:rFonts w:ascii="宋体" w:hAnsi="宋体" w:cs="Times New Roman"/>
                <w:color w:val="000000"/>
                <w:kern w:val="0"/>
                <w:sz w:val="22"/>
                <w:szCs w:val="22"/>
              </w:rPr>
              <w:t>（计划成本</w:t>
            </w:r>
            <w:r>
              <w:rPr>
                <w:rFonts w:ascii="Times New Roman" w:hAnsi="Times New Roman" w:cs="Times New Roman"/>
                <w:color w:val="000000"/>
                <w:kern w:val="0"/>
                <w:sz w:val="22"/>
                <w:szCs w:val="22"/>
              </w:rPr>
              <w:t>-</w:t>
            </w:r>
            <w:r>
              <w:rPr>
                <w:rFonts w:ascii="宋体" w:hAnsi="宋体" w:cs="Times New Roman"/>
                <w:color w:val="000000"/>
                <w:kern w:val="0"/>
                <w:sz w:val="22"/>
                <w:szCs w:val="22"/>
              </w:rPr>
              <w:t>实际成本）</w:t>
            </w:r>
            <w:r>
              <w:rPr>
                <w:rFonts w:ascii="Times New Roman" w:hAnsi="Times New Roman" w:cs="Times New Roman"/>
                <w:color w:val="000000"/>
                <w:kern w:val="0"/>
                <w:sz w:val="22"/>
                <w:szCs w:val="22"/>
              </w:rPr>
              <w:t>/</w:t>
            </w:r>
            <w:r>
              <w:rPr>
                <w:rFonts w:ascii="宋体" w:hAnsi="宋体" w:cs="Times New Roman"/>
                <w:color w:val="000000"/>
                <w:kern w:val="0"/>
                <w:sz w:val="22"/>
                <w:szCs w:val="22"/>
              </w:rPr>
              <w:t>计划成本</w:t>
            </w:r>
            <w:r>
              <w:rPr>
                <w:rFonts w:ascii="Times New Roman" w:hAnsi="Times New Roman" w:cs="Times New Roman"/>
                <w:color w:val="000000"/>
                <w:kern w:val="0"/>
                <w:sz w:val="22"/>
                <w:szCs w:val="22"/>
              </w:rPr>
              <w:t>]×100%</w:t>
            </w:r>
            <w:r>
              <w:rPr>
                <w:rFonts w:ascii="宋体" w:hAnsi="宋体" w:cs="Times New Roman"/>
                <w:color w:val="000000"/>
                <w:kern w:val="0"/>
                <w:sz w:val="22"/>
                <w:szCs w:val="22"/>
              </w:rPr>
              <w:t>。</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实际成本：项目实施单位如期、保质、保量完成既定工作目标实际所耗费的支出。</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计划成本：项目实施单位为完成工作目标计划安排的支出，一般以项目预算为参考。</w:t>
            </w:r>
          </w:p>
        </w:tc>
        <w:tc>
          <w:tcPr>
            <w:tcW w:w="678"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682" w:type="dxa"/>
            <w:vMerge w:val="restart"/>
            <w:tcBorders>
              <w:top w:val="nil"/>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xml:space="preserve">效益 </w:t>
            </w:r>
          </w:p>
        </w:tc>
        <w:tc>
          <w:tcPr>
            <w:tcW w:w="709" w:type="dxa"/>
            <w:vMerge w:val="restart"/>
            <w:tcBorders>
              <w:top w:val="nil"/>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xml:space="preserve">项目效益 </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实施效益</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20</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lef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项目实施所产生的效益。</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项目实施所产生的社会效益、经济效益、生态效益、可持续影响等。可根据项目实际情况有选择地设置和细化。</w:t>
            </w:r>
          </w:p>
        </w:tc>
        <w:tc>
          <w:tcPr>
            <w:tcW w:w="678"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default"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682"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vMerge w:val="continue"/>
            <w:tcBorders>
              <w:top w:val="nil"/>
              <w:left w:val="nil"/>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满意度</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8</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社会公众或服务对象对项目实施效果的满意程度。</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社会公众或服务对象是指因该项目实施而受到影响的部门（单位）、群体或个人。一般采取社会调查的方式。</w:t>
            </w:r>
          </w:p>
        </w:tc>
        <w:tc>
          <w:tcPr>
            <w:tcW w:w="678"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2525"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总分</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100</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p>
        </w:tc>
        <w:tc>
          <w:tcPr>
            <w:tcW w:w="678"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default"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94</w:t>
            </w:r>
          </w:p>
        </w:tc>
      </w:tr>
    </w:tbl>
    <w:p>
      <w:pPr>
        <w:spacing w:line="560" w:lineRule="exact"/>
        <w:ind w:firstLine="200" w:firstLineChars="100"/>
        <w:rPr>
          <w:rFonts w:ascii="Times New Roman" w:hAnsi="Times New Roman" w:eastAsia="仿宋_GB2312" w:cs="Times New Roman"/>
          <w:bCs/>
          <w:color w:val="000000"/>
          <w:sz w:val="32"/>
          <w:szCs w:val="32"/>
        </w:rPr>
        <w:sectPr>
          <w:pgSz w:w="16838" w:h="11906" w:orient="landscape"/>
          <w:pgMar w:top="1531" w:right="1928" w:bottom="1531" w:left="1701" w:header="737" w:footer="851" w:gutter="0"/>
          <w:cols w:space="720" w:num="1"/>
          <w:docGrid w:type="lines" w:linePitch="408" w:charSpace="0"/>
        </w:sectPr>
      </w:pPr>
      <w:r>
        <w:rPr>
          <w:rFonts w:ascii="仿宋_GB2312" w:hAnsi="仿宋_GB2312" w:eastAsia="仿宋_GB2312" w:cs="Times New Roman"/>
          <w:sz w:val="20"/>
          <w:szCs w:val="20"/>
        </w:rPr>
        <w:t>注：单位可以根据专项资金的管理要求和绩效要求增设个性指标</w:t>
      </w:r>
      <w:r>
        <w:rPr>
          <w:rFonts w:hint="eastAsia" w:ascii="宋体" w:hAnsi="宋体" w:cs="宋体"/>
          <w:sz w:val="20"/>
          <w:szCs w:val="20"/>
        </w:rPr>
        <w:t>。</w:t>
      </w:r>
    </w:p>
    <w:p>
      <w:pPr>
        <w:keepNext w:val="0"/>
        <w:keepLines w:val="0"/>
        <w:pageBreakBefore w:val="0"/>
        <w:kinsoku/>
        <w:wordWrap/>
        <w:overflowPunct/>
        <w:topLinePunct w:val="0"/>
        <w:autoSpaceDE/>
        <w:autoSpaceDN/>
        <w:bidi w:val="0"/>
        <w:adjustRightInd/>
        <w:snapToGrid/>
        <w:spacing w:line="560" w:lineRule="exact"/>
        <w:textAlignment w:val="auto"/>
        <w:rPr>
          <w:rFonts w:ascii="Times New Roman" w:hAnsi="Times New Roman" w:eastAsia="仿宋_GB2312" w:cs="Times New Roman"/>
          <w:bCs/>
          <w:color w:val="000000"/>
          <w:sz w:val="32"/>
          <w:szCs w:val="32"/>
        </w:rPr>
      </w:pPr>
    </w:p>
    <w:p>
      <w:pPr>
        <w:keepNext w:val="0"/>
        <w:keepLines w:val="0"/>
        <w:pageBreakBefore w:val="0"/>
        <w:kinsoku/>
        <w:wordWrap/>
        <w:overflowPunct/>
        <w:topLinePunct w:val="0"/>
        <w:autoSpaceDE/>
        <w:autoSpaceDN/>
        <w:bidi w:val="0"/>
        <w:adjustRightInd/>
        <w:snapToGrid/>
        <w:spacing w:line="560" w:lineRule="exact"/>
        <w:textAlignment w:val="auto"/>
      </w:pPr>
    </w:p>
    <w:sectPr>
      <w:pgSz w:w="11906" w:h="16838"/>
      <w:pgMar w:top="2154" w:right="1531" w:bottom="1587"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bookmarkStart w:id="0" w:name="_GoBack"/>
    <w:bookmarkEnd w:id="0"/>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1AB8"/>
    <w:rsid w:val="00191AB8"/>
    <w:rsid w:val="00686F37"/>
    <w:rsid w:val="00855BFD"/>
    <w:rsid w:val="00C15BB6"/>
    <w:rsid w:val="0125647E"/>
    <w:rsid w:val="0A7B60AA"/>
    <w:rsid w:val="0DD732B1"/>
    <w:rsid w:val="12A2397C"/>
    <w:rsid w:val="14442082"/>
    <w:rsid w:val="190C3077"/>
    <w:rsid w:val="1E206B67"/>
    <w:rsid w:val="1F6B3884"/>
    <w:rsid w:val="1FAF330E"/>
    <w:rsid w:val="20C05DBA"/>
    <w:rsid w:val="244F4BBF"/>
    <w:rsid w:val="2B2052F9"/>
    <w:rsid w:val="2E580E99"/>
    <w:rsid w:val="2F853BB0"/>
    <w:rsid w:val="38180A86"/>
    <w:rsid w:val="38863835"/>
    <w:rsid w:val="3A702339"/>
    <w:rsid w:val="3E0A55CE"/>
    <w:rsid w:val="41E07C44"/>
    <w:rsid w:val="44F712A9"/>
    <w:rsid w:val="45C36E86"/>
    <w:rsid w:val="48CB4A16"/>
    <w:rsid w:val="4FA318E1"/>
    <w:rsid w:val="53AE31AC"/>
    <w:rsid w:val="54FD4B04"/>
    <w:rsid w:val="550A1349"/>
    <w:rsid w:val="5DD7310F"/>
    <w:rsid w:val="5E907CE7"/>
    <w:rsid w:val="64960006"/>
    <w:rsid w:val="65113490"/>
    <w:rsid w:val="6547567B"/>
    <w:rsid w:val="65ED6BE9"/>
    <w:rsid w:val="6B6D503A"/>
    <w:rsid w:val="6BD65D5C"/>
    <w:rsid w:val="6D8F139F"/>
    <w:rsid w:val="6DF80F0E"/>
    <w:rsid w:val="6FAA2D15"/>
    <w:rsid w:val="70590C92"/>
    <w:rsid w:val="71995387"/>
    <w:rsid w:val="747D4753"/>
    <w:rsid w:val="78163981"/>
    <w:rsid w:val="7DEF6A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link w:val="8"/>
    <w:qFormat/>
    <w:uiPriority w:val="99"/>
    <w:pPr>
      <w:keepNext/>
      <w:keepLines/>
      <w:spacing w:before="260" w:after="260" w:line="412" w:lineRule="auto"/>
      <w:outlineLvl w:val="1"/>
    </w:pPr>
    <w:rPr>
      <w:rFonts w:ascii="Arial" w:hAnsi="Arial" w:eastAsia="黑体" w:cs="Arial"/>
      <w:b/>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0"/>
    <w:semiHidden/>
    <w:unhideWhenUsed/>
    <w:qFormat/>
    <w:uiPriority w:val="99"/>
    <w:rPr>
      <w:sz w:val="18"/>
      <w:szCs w:val="18"/>
    </w:rPr>
  </w:style>
  <w:style w:type="paragraph" w:styleId="4">
    <w:name w:val="footer"/>
    <w:basedOn w:val="1"/>
    <w:semiHidden/>
    <w:unhideWhenUsed/>
    <w:uiPriority w:val="99"/>
    <w:pPr>
      <w:tabs>
        <w:tab w:val="center" w:pos="4153"/>
        <w:tab w:val="right" w:pos="8306"/>
      </w:tabs>
      <w:snapToGrid w:val="0"/>
      <w:jc w:val="left"/>
    </w:pPr>
    <w:rPr>
      <w:sz w:val="18"/>
    </w:rPr>
  </w:style>
  <w:style w:type="paragraph" w:styleId="5">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8">
    <w:name w:val="标题 2 Char"/>
    <w:basedOn w:val="7"/>
    <w:link w:val="2"/>
    <w:qFormat/>
    <w:uiPriority w:val="99"/>
    <w:rPr>
      <w:rFonts w:ascii="Arial" w:hAnsi="Arial" w:eastAsia="黑体" w:cs="Arial"/>
      <w:b/>
      <w:sz w:val="32"/>
      <w:szCs w:val="32"/>
    </w:rPr>
  </w:style>
  <w:style w:type="paragraph" w:styleId="9">
    <w:name w:val="No Spacing"/>
    <w:basedOn w:val="1"/>
    <w:qFormat/>
    <w:uiPriority w:val="99"/>
  </w:style>
  <w:style w:type="character" w:customStyle="1" w:styleId="10">
    <w:name w:val="批注框文本 Char"/>
    <w:basedOn w:val="7"/>
    <w:link w:val="3"/>
    <w:semiHidden/>
    <w:qFormat/>
    <w:uiPriority w:val="99"/>
    <w:rPr>
      <w:rFonts w:ascii="Calibri" w:hAnsi="Calibri" w:eastAsia="宋体" w:cs="Calibri"/>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608</Words>
  <Characters>3470</Characters>
  <Lines>28</Lines>
  <Paragraphs>8</Paragraphs>
  <TotalTime>31</TotalTime>
  <ScaleCrop>false</ScaleCrop>
  <LinksUpToDate>false</LinksUpToDate>
  <CharactersWithSpaces>4070</CharactersWithSpaces>
  <Application>WPS Office_11.1.0.10503_F1E327BC-269C-435d-A152-05C5408002CA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2021-07-26T03:17:00Z</dcterms:created>
  <dc:creator>Administrator</dc:creator>
  <cp:lastModifiedBy>梅子花开</cp:lastModifiedBy>
  <dcterms:modified xsi:type="dcterms:W3CDTF">2021-08-02T05:51:48Z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0EF2207AFB4B4ADC8D078B31833D369B</vt:lpwstr>
  </property>
  <property fmtid="{D5CDD505-2E9C-101B-9397-08002B2CF9AE}" pid="4" name="KSOSaveFontToCloudKey">
    <vt:lpwstr>236881808_btnclosed</vt:lpwstr>
  </property>
</Properties>
</file>