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510" w:lineRule="exact"/>
        <w:ind w:firstLine="1320" w:firstLineChars="300"/>
        <w:jc w:val="center"/>
        <w:rPr>
          <w:rFonts w:ascii="Times New Roman" w:hAnsi="Times New Roman" w:eastAsia="黑体"/>
          <w:sz w:val="44"/>
          <w:szCs w:val="44"/>
        </w:rPr>
      </w:pPr>
      <w:r>
        <w:rPr>
          <w:rFonts w:hint="eastAsia" w:ascii="Times New Roman" w:hAnsi="Times New Roman" w:eastAsia="黑体"/>
          <w:sz w:val="44"/>
          <w:szCs w:val="44"/>
          <w:lang w:val="en-US" w:eastAsia="zh-CN"/>
        </w:rPr>
        <w:t>中方县扶贫办2020年雨露计划</w:t>
      </w:r>
      <w:r>
        <w:rPr>
          <w:rFonts w:ascii="Times New Roman" w:hAnsi="Times New Roman" w:eastAsia="黑体"/>
          <w:sz w:val="44"/>
          <w:szCs w:val="44"/>
        </w:rPr>
        <w:t>项目</w:t>
      </w:r>
    </w:p>
    <w:p>
      <w:pPr>
        <w:pStyle w:val="8"/>
        <w:spacing w:line="510" w:lineRule="exact"/>
        <w:ind w:firstLine="1320" w:firstLineChars="300"/>
        <w:jc w:val="center"/>
        <w:rPr>
          <w:rFonts w:ascii="Times New Roman" w:hAnsi="Times New Roman" w:eastAsia="黑体"/>
          <w:sz w:val="44"/>
          <w:szCs w:val="44"/>
        </w:rPr>
      </w:pPr>
      <w:r>
        <w:rPr>
          <w:rFonts w:ascii="Times New Roman" w:hAnsi="Times New Roman" w:eastAsia="黑体"/>
          <w:sz w:val="44"/>
          <w:szCs w:val="44"/>
        </w:rPr>
        <w:t>支出绩效</w:t>
      </w:r>
      <w:r>
        <w:rPr>
          <w:rFonts w:hint="eastAsia" w:ascii="Times New Roman" w:hAnsi="Times New Roman" w:eastAsia="黑体"/>
          <w:sz w:val="44"/>
          <w:szCs w:val="44"/>
          <w:lang w:eastAsia="zh-CN"/>
        </w:rPr>
        <w:t>自评</w:t>
      </w:r>
      <w:r>
        <w:rPr>
          <w:rFonts w:ascii="Times New Roman" w:hAnsi="Times New Roman" w:eastAsia="黑体"/>
          <w:sz w:val="44"/>
          <w:szCs w:val="44"/>
        </w:rPr>
        <w:t>报告</w:t>
      </w:r>
    </w:p>
    <w:p>
      <w:pPr>
        <w:pStyle w:val="8"/>
        <w:spacing w:line="510" w:lineRule="exact"/>
        <w:ind w:firstLine="643" w:firstLineChars="200"/>
        <w:rPr>
          <w:rFonts w:ascii="Times New Roman" w:hAnsi="Times New Roman" w:eastAsia="楷体"/>
          <w:b/>
          <w:sz w:val="32"/>
          <w:szCs w:val="32"/>
        </w:rPr>
      </w:pPr>
    </w:p>
    <w:p>
      <w:pPr>
        <w:pStyle w:val="8"/>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一、基本情况</w:t>
      </w:r>
    </w:p>
    <w:p>
      <w:pPr>
        <w:pStyle w:val="8"/>
        <w:spacing w:line="510" w:lineRule="exact"/>
        <w:ind w:firstLine="643" w:firstLineChars="200"/>
        <w:rPr>
          <w:rFonts w:ascii="Times New Roman" w:hAnsi="Times New Roman" w:eastAsia="仿宋"/>
          <w:sz w:val="32"/>
          <w:szCs w:val="32"/>
        </w:rPr>
      </w:pPr>
      <w:r>
        <w:rPr>
          <w:rFonts w:ascii="Times New Roman" w:hAnsi="Times New Roman" w:eastAsia="仿宋"/>
          <w:b/>
          <w:sz w:val="32"/>
          <w:szCs w:val="32"/>
        </w:rPr>
        <w:t>（一）项目概况。</w:t>
      </w:r>
    </w:p>
    <w:p>
      <w:pPr>
        <w:pStyle w:val="8"/>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sz w:val="32"/>
          <w:szCs w:val="32"/>
        </w:rPr>
        <w:t>1、</w:t>
      </w:r>
      <w:r>
        <w:rPr>
          <w:rFonts w:hint="eastAsia" w:ascii="仿宋" w:hAnsi="仿宋" w:eastAsia="仿宋" w:cs="仿宋"/>
          <w:sz w:val="32"/>
          <w:szCs w:val="32"/>
          <w:lang w:val="en-US" w:eastAsia="zh-CN"/>
        </w:rPr>
        <w:t>雨露计划项目是</w:t>
      </w:r>
      <w:r>
        <w:rPr>
          <w:rFonts w:hint="default" w:ascii="仿宋" w:hAnsi="仿宋" w:eastAsia="仿宋" w:cs="仿宋"/>
          <w:sz w:val="32"/>
          <w:szCs w:val="32"/>
          <w:lang w:val="en-US" w:eastAsia="zh-CN"/>
        </w:rPr>
        <w:t>为全面贯彻党的十九大会议精神，认真落实中央和省委 省政府脱贫攻坚决策部署，改革创新教育扶贫机制体制，加大对农村贫困家庭新成长劳动力接受职业教育政策扶持力度，切实把‚雨露计划‛职业教育扶贫补助工作抓紧抓实, 抓出成效。</w:t>
      </w:r>
      <w:r>
        <w:rPr>
          <w:rFonts w:hint="eastAsia" w:ascii="仿宋" w:hAnsi="仿宋" w:eastAsia="仿宋" w:cs="仿宋"/>
          <w:sz w:val="32"/>
          <w:szCs w:val="32"/>
          <w:lang w:val="en-US" w:eastAsia="zh-CN"/>
        </w:rPr>
        <w:t>中方县乡村振兴局负责审批、公示、发放等工作。该项目主管部门，对专项资金项目全面履行监管责任：一是加强项目监管，定期不定期检查，确保质量；二是及时拨付资金，加强资金使用监管，确保专款专用。</w:t>
      </w:r>
    </w:p>
    <w:p>
      <w:pPr>
        <w:pStyle w:val="8"/>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2．专项资金支持条件及资金使用管理情况。严格按照专项资金支持的项目条件和范围要求，确定专项资金支持的项目，严格按照有关规定使用管理专项资金。</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（二）项目绩效目标。</w:t>
      </w:r>
    </w:p>
    <w:p>
      <w:pPr>
        <w:pStyle w:val="8"/>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仿宋" w:hAnsi="仿宋" w:eastAsia="仿宋" w:cs="仿宋"/>
          <w:b w:val="0"/>
          <w:bCs/>
          <w:sz w:val="32"/>
          <w:szCs w:val="32"/>
          <w:lang w:val="en-US" w:eastAsia="zh-CN"/>
        </w:rPr>
      </w:pPr>
      <w:r>
        <w:rPr>
          <w:rFonts w:hint="eastAsia" w:ascii="仿宋" w:hAnsi="仿宋" w:eastAsia="仿宋" w:cs="仿宋"/>
          <w:sz w:val="32"/>
          <w:szCs w:val="32"/>
        </w:rPr>
        <w:t>根据湘扶办联</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[2018]</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3号文件，</w:t>
      </w:r>
      <w:r>
        <w:rPr>
          <w:rFonts w:hint="eastAsia" w:ascii="仿宋" w:hAnsi="仿宋" w:eastAsia="仿宋" w:cs="仿宋"/>
          <w:sz w:val="32"/>
          <w:szCs w:val="32"/>
          <w:lang w:val="en-US" w:eastAsia="zh-CN"/>
        </w:rPr>
        <w:t>自2018开始</w:t>
      </w:r>
      <w:r>
        <w:rPr>
          <w:rFonts w:hint="eastAsia" w:ascii="仿宋" w:hAnsi="仿宋" w:eastAsia="仿宋" w:cs="仿宋"/>
          <w:sz w:val="32"/>
          <w:szCs w:val="32"/>
        </w:rPr>
        <w:t>职业学历教育补助采用数据标注审核方式，今年春季我县根据省办标注在建档立卡系统内的贫困学生名单，和对之前漏报学生的情况，经过了村、乡、县三级的审核、复核、公示等程序最后应享受补助的学生为</w:t>
      </w:r>
      <w:r>
        <w:rPr>
          <w:rFonts w:hint="eastAsia" w:ascii="仿宋" w:hAnsi="仿宋" w:eastAsia="仿宋" w:cs="仿宋"/>
          <w:sz w:val="32"/>
          <w:szCs w:val="32"/>
          <w:lang w:val="en-US" w:eastAsia="zh-CN"/>
        </w:rPr>
        <w:t>911</w:t>
      </w:r>
      <w:r>
        <w:rPr>
          <w:rFonts w:hint="eastAsia" w:ascii="仿宋" w:hAnsi="仿宋" w:eastAsia="仿宋" w:cs="仿宋"/>
          <w:sz w:val="32"/>
          <w:szCs w:val="32"/>
        </w:rPr>
        <w:t>人（含201</w:t>
      </w:r>
      <w:r>
        <w:rPr>
          <w:rFonts w:hint="eastAsia" w:ascii="仿宋" w:hAnsi="仿宋" w:eastAsia="仿宋" w:cs="仿宋"/>
          <w:sz w:val="32"/>
          <w:szCs w:val="32"/>
          <w:lang w:val="en-US" w:eastAsia="zh-CN"/>
        </w:rPr>
        <w:t>9</w:t>
      </w:r>
      <w:r>
        <w:rPr>
          <w:rFonts w:hint="eastAsia" w:ascii="仿宋" w:hAnsi="仿宋" w:eastAsia="仿宋" w:cs="仿宋"/>
          <w:sz w:val="32"/>
          <w:szCs w:val="32"/>
        </w:rPr>
        <w:t>年未申报成功漏补学生），按照应补尽补的原则，完成助学比率为100%</w:t>
      </w:r>
      <w:r>
        <w:rPr>
          <w:rFonts w:hint="eastAsia" w:ascii="仿宋" w:hAnsi="仿宋" w:eastAsia="仿宋" w:cs="仿宋"/>
          <w:sz w:val="32"/>
          <w:szCs w:val="32"/>
          <w:lang w:eastAsia="zh-CN"/>
        </w:rPr>
        <w:t>。</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二、绩效评价工作开展情况</w:t>
      </w:r>
    </w:p>
    <w:p>
      <w:pPr>
        <w:pStyle w:val="8"/>
        <w:spacing w:line="510" w:lineRule="exact"/>
        <w:ind w:firstLine="643" w:firstLineChars="200"/>
        <w:rPr>
          <w:rFonts w:hint="eastAsia" w:ascii="仿宋" w:hAnsi="仿宋" w:eastAsia="仿宋"/>
          <w:b/>
          <w:sz w:val="32"/>
          <w:szCs w:val="32"/>
        </w:rPr>
      </w:pPr>
      <w:r>
        <w:rPr>
          <w:rFonts w:ascii="仿宋" w:hAnsi="仿宋" w:eastAsia="仿宋"/>
          <w:b/>
          <w:sz w:val="32"/>
          <w:szCs w:val="32"/>
        </w:rPr>
        <w:t>（一）绩效评价目的。</w:t>
      </w:r>
    </w:p>
    <w:p>
      <w:pPr>
        <w:pStyle w:val="8"/>
        <w:spacing w:line="510" w:lineRule="exact"/>
        <w:ind w:firstLine="640" w:firstLineChars="200"/>
        <w:rPr>
          <w:rFonts w:hint="eastAsia" w:ascii="仿宋" w:hAnsi="仿宋" w:eastAsia="仿宋"/>
          <w:b/>
          <w:sz w:val="32"/>
          <w:szCs w:val="32"/>
          <w:lang w:eastAsia="zh-CN"/>
        </w:rPr>
      </w:pPr>
      <w:r>
        <w:rPr>
          <w:rFonts w:hint="eastAsia" w:ascii="仿宋" w:hAnsi="仿宋" w:eastAsia="仿宋"/>
          <w:sz w:val="32"/>
          <w:szCs w:val="32"/>
        </w:rPr>
        <w:t>（1）</w:t>
      </w:r>
      <w:r>
        <w:rPr>
          <w:rFonts w:hint="eastAsia" w:ascii="仿宋" w:hAnsi="仿宋" w:eastAsia="仿宋"/>
          <w:sz w:val="32"/>
          <w:szCs w:val="32"/>
          <w:lang w:eastAsia="zh-CN"/>
        </w:rPr>
        <w:t>通过对</w:t>
      </w:r>
      <w:r>
        <w:rPr>
          <w:rFonts w:hint="eastAsia" w:ascii="仿宋" w:hAnsi="仿宋" w:eastAsia="仿宋"/>
          <w:sz w:val="32"/>
          <w:szCs w:val="32"/>
          <w:lang w:val="en-US" w:eastAsia="zh-CN"/>
        </w:rPr>
        <w:t>雨露计划</w:t>
      </w:r>
      <w:r>
        <w:rPr>
          <w:rFonts w:hint="eastAsia" w:ascii="仿宋" w:hAnsi="仿宋" w:eastAsia="仿宋"/>
          <w:sz w:val="32"/>
          <w:szCs w:val="32"/>
          <w:lang w:eastAsia="zh-CN"/>
        </w:rPr>
        <w:t>项目进行绩效评价，其主要目的是：全面了解项目管理制度和流程、资金使用情况、受益群体的反馈情况，从而强化项目监督，完善项目管理，提高项目资金使用效益和支出透明度，对存在的问题进行原因分析并提出合理化建议。</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（二）绩效评价原则。</w:t>
      </w:r>
    </w:p>
    <w:p>
      <w:pPr>
        <w:pStyle w:val="8"/>
        <w:spacing w:line="510" w:lineRule="exact"/>
        <w:ind w:firstLine="640" w:firstLineChars="200"/>
        <w:rPr>
          <w:rFonts w:hint="eastAsia" w:ascii="仿宋" w:hAnsi="仿宋" w:eastAsia="仿宋"/>
          <w:b w:val="0"/>
          <w:bCs/>
          <w:sz w:val="32"/>
          <w:szCs w:val="32"/>
          <w:lang w:val="en-US" w:eastAsia="zh-CN"/>
        </w:rPr>
      </w:pPr>
      <w:r>
        <w:rPr>
          <w:rFonts w:hint="eastAsia" w:ascii="仿宋" w:hAnsi="仿宋" w:eastAsia="仿宋"/>
          <w:b w:val="0"/>
          <w:bCs/>
          <w:sz w:val="32"/>
          <w:szCs w:val="32"/>
          <w:lang w:val="en-US" w:eastAsia="zh-CN"/>
        </w:rPr>
        <w:t>1、科学规范：注重财政支出的经济性、效益性和有效性，运用科学合理的方法，按照规范的程序，对项目绩效进行客观公 正的反映。</w:t>
      </w:r>
    </w:p>
    <w:p>
      <w:pPr>
        <w:pStyle w:val="8"/>
        <w:spacing w:line="510" w:lineRule="exact"/>
        <w:ind w:firstLine="640" w:firstLineChars="200"/>
        <w:rPr>
          <w:rFonts w:hint="eastAsia" w:ascii="仿宋" w:hAnsi="仿宋" w:eastAsia="仿宋"/>
          <w:b w:val="0"/>
          <w:bCs/>
          <w:sz w:val="32"/>
          <w:szCs w:val="32"/>
          <w:lang w:val="en-US" w:eastAsia="zh-CN"/>
        </w:rPr>
      </w:pPr>
      <w:r>
        <w:rPr>
          <w:rFonts w:hint="eastAsia" w:ascii="仿宋" w:hAnsi="仿宋" w:eastAsia="仿宋"/>
          <w:b w:val="0"/>
          <w:bCs/>
          <w:sz w:val="32"/>
          <w:szCs w:val="32"/>
          <w:lang w:val="en-US" w:eastAsia="zh-CN"/>
        </w:rPr>
        <w:t>2、统筹兼顾：绩效评价应职责明确，各有侧重，相互衔接。在单位自评的基础上，对项目资金进行资金评价。</w:t>
      </w:r>
    </w:p>
    <w:p>
      <w:pPr>
        <w:pStyle w:val="8"/>
        <w:spacing w:line="510" w:lineRule="exact"/>
        <w:ind w:firstLine="640" w:firstLineChars="200"/>
        <w:rPr>
          <w:rFonts w:hint="eastAsia" w:ascii="仿宋" w:hAnsi="仿宋" w:eastAsia="仿宋"/>
          <w:b w:val="0"/>
          <w:bCs/>
          <w:sz w:val="32"/>
          <w:szCs w:val="32"/>
          <w:lang w:val="en-US" w:eastAsia="zh-CN"/>
        </w:rPr>
      </w:pPr>
      <w:r>
        <w:rPr>
          <w:rFonts w:hint="eastAsia" w:ascii="仿宋" w:hAnsi="仿宋" w:eastAsia="仿宋"/>
          <w:b w:val="0"/>
          <w:bCs/>
          <w:sz w:val="32"/>
          <w:szCs w:val="32"/>
          <w:lang w:val="en-US" w:eastAsia="zh-CN"/>
        </w:rPr>
        <w:t>3、激励约束：绩效评价结果应与预算安排、政策调整、改进管理实质性挂钩，体现奖优罚劣和激励相容导向。</w:t>
      </w:r>
    </w:p>
    <w:p>
      <w:pPr>
        <w:pStyle w:val="8"/>
        <w:spacing w:line="510" w:lineRule="exact"/>
        <w:ind w:firstLine="640" w:firstLineChars="200"/>
        <w:rPr>
          <w:rFonts w:hint="default" w:ascii="仿宋" w:hAnsi="仿宋" w:eastAsia="仿宋"/>
          <w:b w:val="0"/>
          <w:bCs/>
          <w:sz w:val="32"/>
          <w:szCs w:val="32"/>
          <w:lang w:val="en-US" w:eastAsia="zh-CN"/>
        </w:rPr>
      </w:pPr>
      <w:r>
        <w:rPr>
          <w:rFonts w:hint="eastAsia" w:ascii="仿宋" w:hAnsi="仿宋" w:eastAsia="仿宋"/>
          <w:b w:val="0"/>
          <w:bCs/>
          <w:sz w:val="32"/>
          <w:szCs w:val="32"/>
          <w:lang w:val="en-US" w:eastAsia="zh-CN"/>
        </w:rPr>
        <w:t>4、公开透明：绩效评价结果应依法依规公开，并自觉接受社会监督。</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（三）绩效评价工作过程。</w:t>
      </w:r>
    </w:p>
    <w:p>
      <w:pPr>
        <w:pStyle w:val="8"/>
        <w:spacing w:line="510" w:lineRule="exact"/>
        <w:ind w:firstLine="640" w:firstLineChars="200"/>
        <w:rPr>
          <w:rFonts w:ascii="仿宋" w:hAnsi="仿宋" w:eastAsia="仿宋"/>
          <w:b/>
          <w:sz w:val="32"/>
          <w:szCs w:val="32"/>
        </w:rPr>
      </w:pPr>
      <w:r>
        <w:rPr>
          <w:rFonts w:hint="eastAsia" w:ascii="仿宋" w:hAnsi="仿宋" w:eastAsia="仿宋"/>
          <w:sz w:val="32"/>
          <w:szCs w:val="32"/>
          <w:lang w:eastAsia="zh-CN"/>
        </w:rPr>
        <w:t>县扶贫办</w:t>
      </w:r>
      <w:r>
        <w:rPr>
          <w:rFonts w:hint="eastAsia" w:ascii="仿宋" w:hAnsi="仿宋" w:eastAsia="仿宋"/>
          <w:sz w:val="32"/>
          <w:szCs w:val="32"/>
        </w:rPr>
        <w:t>认真对项目的申报内容和申报目标进行审核，其申报内容与实际相符，申报目标合理可行。</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三、综合评价情况及评价结论（</w:t>
      </w:r>
      <w:r>
        <w:rPr>
          <w:rFonts w:hint="eastAsia" w:ascii="仿宋" w:hAnsi="仿宋" w:eastAsia="仿宋"/>
          <w:b/>
          <w:sz w:val="32"/>
          <w:szCs w:val="32"/>
        </w:rPr>
        <w:t>见</w:t>
      </w:r>
      <w:r>
        <w:rPr>
          <w:rFonts w:ascii="仿宋" w:hAnsi="仿宋" w:eastAsia="仿宋"/>
          <w:b/>
          <w:sz w:val="32"/>
          <w:szCs w:val="32"/>
        </w:rPr>
        <w:t>附</w:t>
      </w:r>
      <w:r>
        <w:rPr>
          <w:rFonts w:hint="eastAsia" w:ascii="仿宋" w:hAnsi="仿宋" w:eastAsia="仿宋"/>
          <w:b/>
          <w:sz w:val="32"/>
          <w:szCs w:val="32"/>
        </w:rPr>
        <w:t>表1</w:t>
      </w:r>
      <w:r>
        <w:rPr>
          <w:rFonts w:ascii="仿宋" w:hAnsi="仿宋" w:eastAsia="仿宋"/>
          <w:b/>
          <w:sz w:val="32"/>
          <w:szCs w:val="32"/>
        </w:rPr>
        <w:t>）</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绩效评价等级为：</w:t>
      </w:r>
      <w:r>
        <w:rPr>
          <w:rFonts w:hint="eastAsia" w:ascii="仿宋" w:hAnsi="仿宋" w:eastAsia="仿宋"/>
          <w:sz w:val="32"/>
          <w:szCs w:val="32"/>
        </w:rPr>
        <w:t>优</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四、绩效评价指标分析</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（一）项目决策情况。</w:t>
      </w:r>
    </w:p>
    <w:p>
      <w:pPr>
        <w:pStyle w:val="8"/>
        <w:spacing w:line="510" w:lineRule="exact"/>
        <w:ind w:firstLine="800" w:firstLineChars="250"/>
        <w:rPr>
          <w:rFonts w:hint="default" w:ascii="仿宋" w:hAnsi="仿宋" w:eastAsia="仿宋"/>
          <w:sz w:val="32"/>
          <w:szCs w:val="32"/>
          <w:lang w:val="en-US" w:eastAsia="zh-CN"/>
        </w:rPr>
      </w:pPr>
      <w:r>
        <w:rPr>
          <w:rFonts w:hint="eastAsia" w:ascii="仿宋" w:hAnsi="仿宋" w:eastAsia="仿宋"/>
          <w:sz w:val="32"/>
          <w:szCs w:val="32"/>
          <w:lang w:eastAsia="zh-CN"/>
        </w:rPr>
        <w:t>经扶贫开发领导小组同意，制定了《中方县</w:t>
      </w:r>
      <w:r>
        <w:rPr>
          <w:rFonts w:hint="eastAsia" w:ascii="仿宋" w:hAnsi="仿宋" w:eastAsia="仿宋"/>
          <w:sz w:val="32"/>
          <w:szCs w:val="32"/>
          <w:lang w:val="en-US" w:eastAsia="zh-CN"/>
        </w:rPr>
        <w:t>2020年财政涉农资金统筹整合年终方案</w:t>
      </w:r>
      <w:r>
        <w:rPr>
          <w:rFonts w:hint="eastAsia" w:ascii="仿宋" w:hAnsi="仿宋" w:eastAsia="仿宋"/>
          <w:sz w:val="32"/>
          <w:szCs w:val="32"/>
          <w:lang w:eastAsia="zh-CN"/>
        </w:rPr>
        <w:t>》，信贷贴息项目预算资金</w:t>
      </w:r>
      <w:r>
        <w:rPr>
          <w:rFonts w:hint="eastAsia" w:ascii="仿宋" w:hAnsi="仿宋" w:eastAsia="仿宋"/>
          <w:sz w:val="32"/>
          <w:szCs w:val="32"/>
          <w:lang w:val="en-US" w:eastAsia="zh-CN"/>
        </w:rPr>
        <w:t>280万元，主要责任单位为扶贫办。本项目立项符合国家法律法规、相关政策，项目工作内容与部门职责范围相符，项目申请及审批文件符合相关规定。</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（二）项目过程情况。</w:t>
      </w:r>
    </w:p>
    <w:p>
      <w:pPr>
        <w:pStyle w:val="8"/>
        <w:spacing w:line="51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县扶贫办严格</w:t>
      </w:r>
      <w:r>
        <w:rPr>
          <w:rFonts w:hint="eastAsia" w:ascii="仿宋" w:hAnsi="仿宋" w:eastAsia="仿宋"/>
          <w:sz w:val="32"/>
          <w:szCs w:val="32"/>
        </w:rPr>
        <w:t>按照相关要求进行查看，</w:t>
      </w:r>
      <w:r>
        <w:rPr>
          <w:rFonts w:hint="eastAsia" w:ascii="仿宋" w:hAnsi="仿宋" w:eastAsia="仿宋"/>
          <w:sz w:val="32"/>
          <w:szCs w:val="32"/>
          <w:lang w:eastAsia="zh-CN"/>
        </w:rPr>
        <w:t>项目资金由财政局管理，经过扶贫办走账直接拨付到乡财局，由乡财局统一发放到“一卡通”账户。资金管理符合国家财经法规、财务管理制度及扶贫专项资金管理办法规定，审批和拨付手续完整</w:t>
      </w:r>
      <w:r>
        <w:rPr>
          <w:rFonts w:hint="eastAsia" w:ascii="仿宋" w:hAnsi="仿宋" w:eastAsia="仿宋"/>
          <w:sz w:val="32"/>
          <w:szCs w:val="32"/>
        </w:rPr>
        <w:t>。</w:t>
      </w:r>
      <w:r>
        <w:rPr>
          <w:rFonts w:hint="eastAsia" w:ascii="仿宋" w:hAnsi="仿宋" w:eastAsia="仿宋"/>
          <w:sz w:val="32"/>
          <w:szCs w:val="32"/>
          <w:lang w:eastAsia="zh-CN"/>
        </w:rPr>
        <w:t>雨露计划办理流程操作合规，审批单填写规范，凭证归档齐全，按要求公示。</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（三）项目产出情况。</w:t>
      </w:r>
    </w:p>
    <w:p>
      <w:pPr>
        <w:pStyle w:val="8"/>
        <w:spacing w:line="51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2020年已审批通过的雨露计划全部发放到位，目前秋季雨露计划补助还欠四个乡镇因预算资金不够，放到2021年补发。</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（四）项目效益情况。</w:t>
      </w:r>
    </w:p>
    <w:p>
      <w:pPr>
        <w:pStyle w:val="8"/>
        <w:spacing w:line="51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雨露计划努力提高贫困劳动力就业技能水平和综合素质，帮助贫困农户实现转移增收、就业脱贫，从而促进贫困地区经济社会发展和社会主义新农村建设。</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五、主要经验及做法、存在的问题及原因分析</w:t>
      </w:r>
    </w:p>
    <w:p>
      <w:pPr>
        <w:pStyle w:val="8"/>
        <w:spacing w:line="51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无</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六、有关建议</w:t>
      </w:r>
    </w:p>
    <w:p>
      <w:pPr>
        <w:pStyle w:val="8"/>
        <w:spacing w:line="510" w:lineRule="exact"/>
        <w:ind w:firstLine="640" w:firstLineChars="200"/>
        <w:rPr>
          <w:rFonts w:hint="eastAsia" w:ascii="仿宋" w:hAnsi="仿宋" w:eastAsia="仿宋"/>
          <w:b/>
          <w:sz w:val="32"/>
          <w:szCs w:val="32"/>
          <w:lang w:val="en-US" w:eastAsia="zh-CN"/>
        </w:rPr>
      </w:pPr>
      <w:r>
        <w:rPr>
          <w:rFonts w:hint="eastAsia" w:ascii="仿宋" w:hAnsi="仿宋" w:eastAsia="仿宋" w:cs="Times New Roman"/>
          <w:sz w:val="32"/>
          <w:szCs w:val="32"/>
          <w:lang w:val="en-US" w:eastAsia="zh-CN"/>
        </w:rPr>
        <w:t>建议对每季度、年度总公示金额与同时段申报总额一一核对；安排专人负责公示工作。</w:t>
      </w:r>
    </w:p>
    <w:p>
      <w:pPr>
        <w:pStyle w:val="8"/>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七、其他需要说明的问题</w:t>
      </w:r>
    </w:p>
    <w:p>
      <w:pPr>
        <w:pStyle w:val="8"/>
        <w:spacing w:line="510" w:lineRule="exact"/>
        <w:ind w:firstLine="640" w:firstLineChars="200"/>
        <w:rPr>
          <w:rFonts w:ascii="Times New Roman" w:hAnsi="Times New Roman" w:eastAsia="楷体"/>
          <w:sz w:val="32"/>
          <w:szCs w:val="32"/>
        </w:rPr>
      </w:pPr>
      <w:r>
        <w:rPr>
          <w:rFonts w:hint="eastAsia" w:ascii="Times New Roman" w:hAnsi="Times New Roman" w:eastAsia="楷体"/>
          <w:sz w:val="32"/>
          <w:szCs w:val="32"/>
        </w:rPr>
        <w:t>无</w:t>
      </w:r>
    </w:p>
    <w:p>
      <w:pPr>
        <w:widowControl/>
        <w:spacing w:line="510" w:lineRule="exact"/>
        <w:ind w:firstLine="645"/>
        <w:jc w:val="left"/>
        <w:rPr>
          <w:rFonts w:ascii="Times New Roman" w:hAnsi="Times New Roman" w:eastAsia="仿宋_GB2312"/>
          <w:sz w:val="32"/>
          <w:szCs w:val="32"/>
        </w:rPr>
      </w:pPr>
      <w:r>
        <w:rPr>
          <w:rFonts w:ascii="Times New Roman" w:hAnsi="Times New Roman" w:eastAsia="仿宋_GB2312"/>
          <w:sz w:val="32"/>
          <w:szCs w:val="32"/>
        </w:rPr>
        <w:t>附件：1.项目支出绩效自评表</w:t>
      </w:r>
    </w:p>
    <w:p>
      <w:pPr>
        <w:widowControl/>
        <w:spacing w:line="510" w:lineRule="exact"/>
        <w:ind w:firstLine="1600" w:firstLineChars="500"/>
        <w:jc w:val="left"/>
        <w:rPr>
          <w:rFonts w:ascii="Times New Roman" w:hAnsi="Times New Roman" w:eastAsia="仿宋_GB2312"/>
          <w:bCs/>
          <w:color w:val="000000"/>
          <w:kern w:val="0"/>
          <w:sz w:val="32"/>
          <w:szCs w:val="32"/>
        </w:rPr>
      </w:pPr>
      <w:r>
        <w:rPr>
          <w:rFonts w:ascii="Times New Roman" w:hAnsi="Times New Roman" w:eastAsia="仿宋_GB2312"/>
          <w:sz w:val="32"/>
          <w:szCs w:val="32"/>
        </w:rPr>
        <w:t>2.项目支出绩效评价指标</w:t>
      </w:r>
      <w:r>
        <w:rPr>
          <w:rFonts w:ascii="Times New Roman" w:hAnsi="Times New Roman" w:eastAsia="仿宋_GB2312"/>
          <w:bCs/>
          <w:color w:val="000000"/>
          <w:kern w:val="0"/>
          <w:sz w:val="32"/>
          <w:szCs w:val="32"/>
        </w:rPr>
        <w:t>评分表</w:t>
      </w:r>
    </w:p>
    <w:p>
      <w:pPr>
        <w:spacing w:line="400" w:lineRule="exact"/>
        <w:rPr>
          <w:rFonts w:ascii="Times New Roman" w:hAnsi="Times New Roman" w:eastAsia="仿宋_GB2312"/>
          <w:bCs/>
          <w:color w:val="000000"/>
          <w:sz w:val="32"/>
          <w:szCs w:val="32"/>
        </w:rPr>
      </w:pPr>
    </w:p>
    <w:p>
      <w:pPr>
        <w:spacing w:line="400" w:lineRule="exact"/>
        <w:rPr>
          <w:rFonts w:hint="eastAsia" w:ascii="Times New Roman" w:hAnsi="Times New Roman" w:eastAsia="仿宋_GB2312"/>
          <w:bCs/>
          <w:color w:val="000000"/>
          <w:sz w:val="32"/>
          <w:szCs w:val="32"/>
          <w:lang w:eastAsia="zh-CN"/>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lang w:val="en-US" w:eastAsia="zh-CN"/>
        </w:rPr>
        <w:t>1</w:t>
      </w:r>
    </w:p>
    <w:tbl>
      <w:tblPr>
        <w:tblStyle w:val="6"/>
        <w:tblW w:w="9637" w:type="dxa"/>
        <w:jc w:val="center"/>
        <w:tblLayout w:type="fixed"/>
        <w:tblCellMar>
          <w:top w:w="0" w:type="dxa"/>
          <w:left w:w="108" w:type="dxa"/>
          <w:bottom w:w="0" w:type="dxa"/>
          <w:right w:w="108" w:type="dxa"/>
        </w:tblCellMar>
      </w:tblPr>
      <w:tblGrid>
        <w:gridCol w:w="97"/>
        <w:gridCol w:w="491"/>
        <w:gridCol w:w="980"/>
        <w:gridCol w:w="1327"/>
        <w:gridCol w:w="515"/>
        <w:gridCol w:w="1134"/>
        <w:gridCol w:w="284"/>
        <w:gridCol w:w="850"/>
        <w:gridCol w:w="851"/>
        <w:gridCol w:w="283"/>
        <w:gridCol w:w="284"/>
        <w:gridCol w:w="425"/>
        <w:gridCol w:w="142"/>
        <w:gridCol w:w="709"/>
        <w:gridCol w:w="708"/>
        <w:gridCol w:w="557"/>
      </w:tblGrid>
      <w:tr>
        <w:tblPrEx>
          <w:tblCellMar>
            <w:top w:w="0" w:type="dxa"/>
            <w:left w:w="108" w:type="dxa"/>
            <w:bottom w:w="0" w:type="dxa"/>
            <w:right w:w="108" w:type="dxa"/>
          </w:tblCellMar>
        </w:tblPrEx>
        <w:trPr>
          <w:gridAfter w:val="1"/>
          <w:wAfter w:w="557" w:type="dxa"/>
          <w:trHeight w:val="349" w:hRule="exact"/>
          <w:jc w:val="center"/>
        </w:trPr>
        <w:tc>
          <w:tcPr>
            <w:tcW w:w="9080" w:type="dxa"/>
            <w:gridSpan w:val="15"/>
            <w:tcBorders>
              <w:top w:val="nil"/>
              <w:left w:val="nil"/>
              <w:bottom w:val="nil"/>
              <w:right w:val="nil"/>
            </w:tcBorders>
            <w:noWrap w:val="0"/>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gridAfter w:val="1"/>
          <w:wAfter w:w="557" w:type="dxa"/>
          <w:trHeight w:val="201" w:hRule="atLeast"/>
          <w:jc w:val="center"/>
        </w:trPr>
        <w:tc>
          <w:tcPr>
            <w:tcW w:w="9080" w:type="dxa"/>
            <w:gridSpan w:val="15"/>
            <w:tcBorders>
              <w:top w:val="nil"/>
              <w:left w:val="nil"/>
              <w:bottom w:val="nil"/>
              <w:right w:val="nil"/>
            </w:tcBorders>
            <w:noWrap w:val="0"/>
            <w:vAlign w:val="top"/>
          </w:tcPr>
          <w:p>
            <w:pPr>
              <w:widowControl/>
              <w:jc w:val="center"/>
              <w:rPr>
                <w:rFonts w:ascii="Times New Roman" w:hAnsi="Times New Roman"/>
                <w:kern w:val="0"/>
                <w:sz w:val="22"/>
                <w:szCs w:val="22"/>
              </w:rPr>
            </w:pPr>
            <w:r>
              <w:rPr>
                <w:rFonts w:ascii="Times New Roman" w:hAnsi="Times New Roman"/>
                <w:kern w:val="0"/>
                <w:sz w:val="22"/>
                <w:szCs w:val="22"/>
              </w:rPr>
              <w:t>（20</w:t>
            </w:r>
            <w:r>
              <w:rPr>
                <w:rFonts w:hint="eastAsia" w:ascii="Times New Roman" w:hAnsi="Times New Roman"/>
                <w:kern w:val="0"/>
                <w:sz w:val="22"/>
                <w:szCs w:val="22"/>
                <w:lang w:val="en-US" w:eastAsia="zh-CN"/>
              </w:rPr>
              <w:t>20</w:t>
            </w:r>
            <w:r>
              <w:rPr>
                <w:rFonts w:ascii="Times New Roman" w:hAnsi="Times New Roman"/>
                <w:kern w:val="0"/>
                <w:sz w:val="22"/>
                <w:szCs w:val="22"/>
              </w:rPr>
              <w:t>年度）</w:t>
            </w:r>
          </w:p>
        </w:tc>
      </w:tr>
      <w:tr>
        <w:tblPrEx>
          <w:tblCellMar>
            <w:top w:w="0" w:type="dxa"/>
            <w:left w:w="108" w:type="dxa"/>
            <w:bottom w:w="0" w:type="dxa"/>
            <w:right w:w="108" w:type="dxa"/>
          </w:tblCellMar>
        </w:tblPrEx>
        <w:trPr>
          <w:gridAfter w:val="1"/>
          <w:wAfter w:w="557" w:type="dxa"/>
          <w:trHeight w:val="300" w:hRule="exact"/>
          <w:jc w:val="center"/>
        </w:trPr>
        <w:tc>
          <w:tcPr>
            <w:tcW w:w="156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雨露计划专项工作</w:t>
            </w:r>
          </w:p>
        </w:tc>
      </w:tr>
      <w:tr>
        <w:tblPrEx>
          <w:tblCellMar>
            <w:top w:w="0" w:type="dxa"/>
            <w:left w:w="108" w:type="dxa"/>
            <w:bottom w:w="0" w:type="dxa"/>
            <w:right w:w="108" w:type="dxa"/>
          </w:tblCellMar>
        </w:tblPrEx>
        <w:trPr>
          <w:gridAfter w:val="1"/>
          <w:wAfter w:w="557" w:type="dxa"/>
          <w:trHeight w:val="300" w:hRule="exact"/>
          <w:jc w:val="center"/>
        </w:trPr>
        <w:tc>
          <w:tcPr>
            <w:tcW w:w="156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中方县扶贫办</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中方县扶贫办</w:t>
            </w:r>
          </w:p>
        </w:tc>
      </w:tr>
      <w:tr>
        <w:tblPrEx>
          <w:tblCellMar>
            <w:top w:w="0" w:type="dxa"/>
            <w:left w:w="108" w:type="dxa"/>
            <w:bottom w:w="0" w:type="dxa"/>
            <w:right w:w="108" w:type="dxa"/>
          </w:tblCellMar>
        </w:tblPrEx>
        <w:trPr>
          <w:gridAfter w:val="1"/>
          <w:wAfter w:w="557" w:type="dxa"/>
          <w:trHeight w:val="436" w:hRule="exact"/>
          <w:jc w:val="center"/>
        </w:trPr>
        <w:tc>
          <w:tcPr>
            <w:tcW w:w="1568"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gridAfter w:val="1"/>
          <w:wAfter w:w="557" w:type="dxa"/>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280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280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280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57" w:type="dxa"/>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宋体"/>
                <w:kern w:val="0"/>
                <w:sz w:val="18"/>
                <w:szCs w:val="18"/>
                <w:lang w:val="en-US" w:eastAsia="zh-CN"/>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57" w:type="dxa"/>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57" w:type="dxa"/>
          <w:trHeight w:val="300" w:hRule="exact"/>
          <w:jc w:val="center"/>
        </w:trPr>
        <w:tc>
          <w:tcPr>
            <w:tcW w:w="588" w:type="dxa"/>
            <w:gridSpan w:val="2"/>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gridAfter w:val="1"/>
          <w:wAfter w:w="557" w:type="dxa"/>
          <w:trHeight w:val="570" w:hRule="exact"/>
          <w:jc w:val="center"/>
        </w:trPr>
        <w:tc>
          <w:tcPr>
            <w:tcW w:w="588"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确保符合职业教育补助条件的贫困户应补尽补；培训完成指标任务起到带贫机制效益。</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符合政策发放的全部发放到位或摸底造表好</w:t>
            </w:r>
          </w:p>
        </w:tc>
      </w:tr>
      <w:tr>
        <w:tblPrEx>
          <w:tblCellMar>
            <w:top w:w="0" w:type="dxa"/>
            <w:left w:w="108" w:type="dxa"/>
            <w:bottom w:w="0" w:type="dxa"/>
            <w:right w:w="108" w:type="dxa"/>
          </w:tblCellMar>
        </w:tblPrEx>
        <w:trPr>
          <w:gridAfter w:val="1"/>
          <w:wAfter w:w="557" w:type="dxa"/>
          <w:trHeight w:val="533" w:hRule="exact"/>
          <w:jc w:val="center"/>
        </w:trPr>
        <w:tc>
          <w:tcPr>
            <w:tcW w:w="588" w:type="dxa"/>
            <w:gridSpan w:val="2"/>
            <w:vMerge w:val="restart"/>
            <w:tcBorders>
              <w:top w:val="nil"/>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327"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19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gridAfter w:val="1"/>
          <w:wAfter w:w="557" w:type="dxa"/>
          <w:trHeight w:val="1005"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327"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19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default" w:ascii="Times New Roman" w:hAnsi="Times New Roman" w:eastAsia="宋体"/>
                <w:color w:val="000000"/>
                <w:kern w:val="0"/>
                <w:sz w:val="18"/>
                <w:szCs w:val="18"/>
                <w:lang w:val="en-US" w:eastAsia="zh-CN"/>
              </w:rPr>
              <w:t>动员贫困地区未升学有就读意愿的初、高中学生接受职业教育人数(≥**人)</w:t>
            </w:r>
          </w:p>
        </w:tc>
        <w:tc>
          <w:tcPr>
            <w:tcW w:w="850" w:type="dxa"/>
            <w:tcBorders>
              <w:top w:val="nil"/>
              <w:left w:val="nil"/>
              <w:bottom w:val="single" w:color="auto" w:sz="4" w:space="0"/>
              <w:right w:val="single" w:color="auto" w:sz="4" w:space="0"/>
            </w:tcBorders>
            <w:noWrap w:val="0"/>
            <w:vAlign w:val="center"/>
          </w:tcPr>
          <w:p>
            <w:pPr>
              <w:widowControl/>
              <w:spacing w:line="240" w:lineRule="exact"/>
              <w:jc w:val="both"/>
              <w:rPr>
                <w:rFonts w:ascii="Times New Roman" w:hAnsi="Times New Roman"/>
                <w:kern w:val="0"/>
                <w:sz w:val="18"/>
                <w:szCs w:val="18"/>
              </w:rPr>
            </w:pPr>
            <w:r>
              <w:rPr>
                <w:rFonts w:hint="eastAsia" w:ascii="Times New Roman" w:hAnsi="Times New Roman"/>
                <w:kern w:val="0"/>
                <w:sz w:val="18"/>
                <w:szCs w:val="18"/>
              </w:rPr>
              <w:t>&gt;=800人</w:t>
            </w:r>
          </w:p>
        </w:tc>
        <w:tc>
          <w:tcPr>
            <w:tcW w:w="851"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800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7</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7</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810"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327"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9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★★★贫困地区职业学校校舍维修改造面积(≥**平方米)</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&gt;=100平方米</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&gt;=100平方米</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8</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735"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327"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19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培训结业率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lang w:val="en-US" w:eastAsia="zh-CN"/>
              </w:rPr>
            </w:pPr>
            <w:r>
              <w:rPr>
                <w:rFonts w:hint="eastAsia" w:ascii="仿宋" w:hAnsi="仿宋" w:eastAsia="仿宋" w:cs="仿宋"/>
                <w:kern w:val="0"/>
                <w:sz w:val="15"/>
                <w:szCs w:val="15"/>
                <w:lang w:val="en-US" w:eastAsia="zh-CN"/>
              </w:rPr>
              <w:t>100%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7</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7</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300"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327"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933"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培训合格率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lang w:val="en-US" w:eastAsia="zh-CN"/>
              </w:rPr>
            </w:pPr>
            <w:r>
              <w:rPr>
                <w:rFonts w:hint="eastAsia" w:ascii="仿宋" w:hAnsi="仿宋" w:eastAsia="仿宋" w:cs="仿宋"/>
                <w:kern w:val="0"/>
                <w:sz w:val="15"/>
                <w:szCs w:val="15"/>
                <w:lang w:val="en-US" w:eastAsia="zh-CN"/>
              </w:rPr>
              <w:t>100%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8</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445"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327" w:type="dxa"/>
            <w:tcBorders>
              <w:top w:val="nil"/>
              <w:left w:val="single" w:color="auto" w:sz="4" w:space="0"/>
              <w:bottom w:val="single" w:color="auto" w:sz="4" w:space="0"/>
              <w:right w:val="single" w:color="auto" w:sz="4" w:space="0"/>
            </w:tcBorders>
            <w:noWrap w:val="0"/>
            <w:vAlign w:val="center"/>
          </w:tcPr>
          <w:p>
            <w:pPr>
              <w:widowControl/>
              <w:spacing w:line="240" w:lineRule="exact"/>
              <w:jc w:val="both"/>
              <w:rPr>
                <w:rFonts w:ascii="Times New Roman" w:hAnsi="Times New Roman"/>
                <w:kern w:val="0"/>
                <w:sz w:val="18"/>
                <w:szCs w:val="18"/>
              </w:rPr>
            </w:pPr>
            <w:r>
              <w:rPr>
                <w:rFonts w:hint="eastAsia" w:ascii="Times New Roman" w:hAnsi="Times New Roman"/>
                <w:kern w:val="0"/>
                <w:sz w:val="18"/>
                <w:szCs w:val="18"/>
              </w:rPr>
              <w:t>时效指标</w:t>
            </w:r>
          </w:p>
        </w:tc>
        <w:tc>
          <w:tcPr>
            <w:tcW w:w="1933"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年底前完成</w:t>
            </w:r>
          </w:p>
        </w:tc>
        <w:tc>
          <w:tcPr>
            <w:tcW w:w="85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 w:hAnsi="仿宋" w:eastAsia="仿宋" w:cs="仿宋"/>
                <w:kern w:val="0"/>
                <w:sz w:val="15"/>
                <w:szCs w:val="15"/>
                <w:lang w:val="en-US" w:eastAsia="zh-CN"/>
              </w:rPr>
            </w:pPr>
            <w:r>
              <w:rPr>
                <w:rFonts w:hint="eastAsia" w:ascii="仿宋" w:hAnsi="仿宋" w:eastAsia="仿宋" w:cs="仿宋"/>
                <w:kern w:val="0"/>
                <w:sz w:val="15"/>
                <w:szCs w:val="15"/>
                <w:lang w:val="en-US" w:eastAsia="zh-CN"/>
              </w:rPr>
              <w:t>按时完成</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kern w:val="0"/>
                <w:sz w:val="18"/>
                <w:szCs w:val="18"/>
                <w:lang w:val="en-US" w:eastAsia="zh-CN" w:bidi="ar-SA"/>
              </w:rPr>
            </w:pPr>
            <w:r>
              <w:rPr>
                <w:rFonts w:hint="eastAsia" w:ascii="Times New Roman" w:hAnsi="Times New Roman"/>
                <w:kern w:val="0"/>
                <w:sz w:val="18"/>
                <w:szCs w:val="18"/>
                <w:lang w:val="en-US" w:eastAsia="zh-CN" w:bidi="ar-SA"/>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bidi="ar-SA"/>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300"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327" w:type="dxa"/>
            <w:tcBorders>
              <w:top w:val="nil"/>
              <w:left w:val="single" w:color="auto" w:sz="4" w:space="0"/>
              <w:bottom w:val="single" w:color="auto" w:sz="4" w:space="0"/>
              <w:right w:val="single" w:color="auto" w:sz="4" w:space="0"/>
            </w:tcBorders>
            <w:noWrap w:val="0"/>
            <w:vAlign w:val="center"/>
          </w:tcPr>
          <w:p>
            <w:pPr>
              <w:widowControl/>
              <w:spacing w:line="240" w:lineRule="exact"/>
              <w:jc w:val="both"/>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实效指标</w:t>
            </w:r>
          </w:p>
        </w:tc>
        <w:tc>
          <w:tcPr>
            <w:tcW w:w="19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发放结算280万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lang w:val="en-US" w:eastAsia="zh-CN" w:bidi="ar-SA"/>
              </w:rPr>
            </w:pPr>
            <w:r>
              <w:rPr>
                <w:rFonts w:hint="eastAsia" w:ascii="仿宋" w:hAnsi="仿宋" w:eastAsia="仿宋" w:cs="仿宋"/>
                <w:kern w:val="0"/>
                <w:sz w:val="15"/>
                <w:szCs w:val="15"/>
                <w:lang w:val="en-US" w:eastAsia="zh-CN"/>
              </w:rPr>
              <w:t>100%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480"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327" w:type="dxa"/>
            <w:tcBorders>
              <w:top w:val="nil"/>
              <w:left w:val="single" w:color="auto" w:sz="4" w:space="0"/>
              <w:bottom w:val="single" w:color="auto" w:sz="4" w:space="0"/>
              <w:right w:val="single" w:color="auto" w:sz="4" w:space="0"/>
            </w:tcBorders>
            <w:noWrap w:val="0"/>
            <w:vAlign w:val="center"/>
          </w:tcPr>
          <w:p>
            <w:pPr>
              <w:widowControl/>
              <w:spacing w:line="240" w:lineRule="exact"/>
              <w:jc w:val="both"/>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经济效益</w:t>
            </w:r>
          </w:p>
        </w:tc>
        <w:tc>
          <w:tcPr>
            <w:tcW w:w="1933"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贫困人口得到教育补助</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lang w:val="en-US" w:eastAsia="zh-CN" w:bidi="ar-SA"/>
              </w:rPr>
            </w:pPr>
            <w:r>
              <w:rPr>
                <w:rFonts w:hint="eastAsia" w:ascii="仿宋" w:hAnsi="仿宋" w:eastAsia="仿宋" w:cs="仿宋"/>
                <w:kern w:val="0"/>
                <w:sz w:val="15"/>
                <w:szCs w:val="15"/>
                <w:lang w:val="en-US" w:eastAsia="zh-CN"/>
              </w:rPr>
              <w:t>100%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480"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327"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both"/>
              <w:rPr>
                <w:rFonts w:ascii="Times New Roman" w:hAnsi="Times New Roman"/>
                <w:kern w:val="0"/>
                <w:sz w:val="18"/>
                <w:szCs w:val="18"/>
              </w:rPr>
            </w:pPr>
            <w:r>
              <w:rPr>
                <w:rFonts w:ascii="Times New Roman" w:hAnsi="Times New Roman"/>
                <w:kern w:val="0"/>
                <w:sz w:val="18"/>
                <w:szCs w:val="18"/>
              </w:rPr>
              <w:t>指标</w:t>
            </w:r>
          </w:p>
        </w:tc>
        <w:tc>
          <w:tcPr>
            <w:tcW w:w="1933"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职业学校毕业生就业率(≥**%)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r>
              <w:rPr>
                <w:rFonts w:hint="eastAsia" w:ascii="仿宋" w:hAnsi="仿宋" w:eastAsia="仿宋" w:cs="仿宋"/>
                <w:kern w:val="0"/>
                <w:sz w:val="15"/>
                <w:szCs w:val="15"/>
                <w:lang w:val="en-US" w:eastAsia="zh-CN"/>
              </w:rPr>
              <w:t>&gt;=90%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=800%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3</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3</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555"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327"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9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其中，建档立卡等贫困人口毕业生就业率(≥**%)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r>
              <w:rPr>
                <w:rFonts w:hint="eastAsia" w:ascii="仿宋" w:hAnsi="仿宋" w:eastAsia="仿宋" w:cs="仿宋"/>
                <w:kern w:val="0"/>
                <w:sz w:val="15"/>
                <w:szCs w:val="15"/>
              </w:rPr>
              <w:t>&gt;=90%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r>
              <w:rPr>
                <w:rFonts w:hint="eastAsia" w:ascii="仿宋" w:hAnsi="仿宋" w:eastAsia="仿宋" w:cs="仿宋"/>
                <w:kern w:val="0"/>
                <w:sz w:val="15"/>
                <w:szCs w:val="15"/>
              </w:rPr>
              <w:t>&gt;=90%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4</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4</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795"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327"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9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★建档立卡贫困户子女受益人数（≥**人）</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r>
              <w:rPr>
                <w:rFonts w:hint="eastAsia" w:ascii="仿宋" w:hAnsi="仿宋" w:eastAsia="仿宋" w:cs="仿宋"/>
                <w:kern w:val="0"/>
                <w:sz w:val="15"/>
                <w:szCs w:val="15"/>
              </w:rPr>
              <w:t>&gt;=800人</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r>
              <w:rPr>
                <w:rFonts w:hint="eastAsia" w:ascii="仿宋" w:hAnsi="仿宋" w:eastAsia="仿宋" w:cs="仿宋"/>
                <w:kern w:val="0"/>
                <w:sz w:val="15"/>
                <w:szCs w:val="15"/>
              </w:rPr>
              <w:t>&gt;=800人</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4</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4</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521"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327" w:type="dxa"/>
            <w:tcBorders>
              <w:top w:val="nil"/>
              <w:left w:val="single" w:color="auto" w:sz="4" w:space="0"/>
              <w:bottom w:val="single" w:color="auto" w:sz="4" w:space="0"/>
              <w:right w:val="single" w:color="auto" w:sz="4" w:space="0"/>
            </w:tcBorders>
            <w:noWrap w:val="0"/>
            <w:vAlign w:val="center"/>
          </w:tcPr>
          <w:p>
            <w:pPr>
              <w:widowControl/>
              <w:spacing w:line="240" w:lineRule="exact"/>
              <w:jc w:val="both"/>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生态效益</w:t>
            </w:r>
          </w:p>
        </w:tc>
        <w:tc>
          <w:tcPr>
            <w:tcW w:w="1933"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无</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kern w:val="0"/>
                <w:sz w:val="15"/>
                <w:szCs w:val="15"/>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宋体" w:cs="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780"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327"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both"/>
              <w:rPr>
                <w:rFonts w:ascii="Times New Roman" w:hAnsi="Times New Roman"/>
                <w:kern w:val="0"/>
                <w:sz w:val="18"/>
                <w:szCs w:val="18"/>
              </w:rPr>
            </w:pPr>
            <w:r>
              <w:rPr>
                <w:rFonts w:hint="eastAsia" w:ascii="Times New Roman" w:hAnsi="Times New Roman"/>
                <w:kern w:val="0"/>
                <w:sz w:val="18"/>
                <w:szCs w:val="18"/>
              </w:rPr>
              <w:t>可持续</w:t>
            </w:r>
            <w:r>
              <w:rPr>
                <w:rFonts w:hint="eastAsia" w:ascii="Times New Roman" w:hAnsi="Times New Roman"/>
                <w:kern w:val="0"/>
                <w:sz w:val="18"/>
                <w:szCs w:val="18"/>
                <w:lang w:val="en-US" w:eastAsia="zh-CN"/>
              </w:rPr>
              <w:t>影</w:t>
            </w:r>
            <w:r>
              <w:rPr>
                <w:rFonts w:hint="eastAsia" w:ascii="Times New Roman" w:hAnsi="Times New Roman"/>
                <w:kern w:val="0"/>
                <w:sz w:val="18"/>
                <w:szCs w:val="18"/>
              </w:rPr>
              <w:t>响指标</w:t>
            </w:r>
          </w:p>
        </w:tc>
        <w:tc>
          <w:tcPr>
            <w:tcW w:w="1933"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建档立卡贫困户就业人口中接受职业教育（培训）占比(≥**%</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r>
              <w:rPr>
                <w:rFonts w:hint="eastAsia" w:ascii="仿宋" w:hAnsi="仿宋" w:eastAsia="仿宋" w:cs="仿宋"/>
                <w:kern w:val="0"/>
                <w:sz w:val="15"/>
                <w:szCs w:val="15"/>
              </w:rPr>
              <w:t>&gt;=80%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kern w:val="0"/>
                <w:sz w:val="15"/>
                <w:szCs w:val="15"/>
              </w:rPr>
              <w:t>&gt;=80%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795"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327"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9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职业学校建档立卡等贫困人口毕业生稳定就业率（≥**%）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r>
              <w:rPr>
                <w:rFonts w:hint="eastAsia" w:ascii="仿宋" w:hAnsi="仿宋" w:eastAsia="仿宋" w:cs="仿宋"/>
                <w:kern w:val="0"/>
                <w:sz w:val="15"/>
                <w:szCs w:val="15"/>
              </w:rPr>
              <w:t>&gt;=90%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r>
              <w:rPr>
                <w:rFonts w:hint="eastAsia" w:ascii="仿宋" w:hAnsi="仿宋" w:eastAsia="仿宋" w:cs="仿宋"/>
                <w:kern w:val="0"/>
                <w:sz w:val="15"/>
                <w:szCs w:val="15"/>
              </w:rPr>
              <w:t>&gt;=90%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782"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32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1933"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职业学校建档立卡等贫困人口学生满意度(≥**%)</w:t>
            </w:r>
          </w:p>
        </w:tc>
        <w:tc>
          <w:tcPr>
            <w:tcW w:w="85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r>
              <w:rPr>
                <w:rFonts w:hint="eastAsia" w:ascii="仿宋" w:hAnsi="仿宋" w:eastAsia="仿宋" w:cs="仿宋"/>
                <w:kern w:val="0"/>
                <w:sz w:val="15"/>
                <w:szCs w:val="15"/>
              </w:rPr>
              <w:t>&gt;=99%</w:t>
            </w:r>
          </w:p>
        </w:tc>
        <w:tc>
          <w:tcPr>
            <w:tcW w:w="851"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&gt;=99%</w:t>
            </w:r>
          </w:p>
        </w:tc>
        <w:tc>
          <w:tcPr>
            <w:tcW w:w="5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3</w:t>
            </w:r>
          </w:p>
        </w:tc>
        <w:tc>
          <w:tcPr>
            <w:tcW w:w="5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3</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798"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327"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9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职业学校建档立卡等贫困人口学生家长满意度(≥**%)</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r>
              <w:rPr>
                <w:rFonts w:hint="eastAsia" w:ascii="仿宋" w:hAnsi="仿宋" w:eastAsia="仿宋" w:cs="仿宋"/>
                <w:kern w:val="0"/>
                <w:sz w:val="15"/>
                <w:szCs w:val="15"/>
              </w:rPr>
              <w:t>&gt;=99%</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r>
              <w:rPr>
                <w:rFonts w:hint="eastAsia" w:ascii="仿宋" w:hAnsi="仿宋" w:eastAsia="仿宋" w:cs="仿宋"/>
                <w:kern w:val="0"/>
                <w:sz w:val="15"/>
                <w:szCs w:val="15"/>
              </w:rPr>
              <w:t>&gt;=99%</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4</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4</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845" w:hRule="exact"/>
          <w:jc w:val="center"/>
        </w:trPr>
        <w:tc>
          <w:tcPr>
            <w:tcW w:w="588" w:type="dxa"/>
            <w:gridSpan w:val="2"/>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327"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9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用人单位对建档立卡等贫困人口毕业生的满意度(≥**%)</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&gt;=99%</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&gt;=99%</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4</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4</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300" w:hRule="exact"/>
          <w:jc w:val="center"/>
        </w:trPr>
        <w:tc>
          <w:tcPr>
            <w:tcW w:w="6529" w:type="dxa"/>
            <w:gridSpan w:val="9"/>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color w:val="000000"/>
                <w:kern w:val="0"/>
                <w:sz w:val="18"/>
                <w:szCs w:val="18"/>
                <w:lang w:val="en-US" w:eastAsia="zh-CN"/>
              </w:rPr>
            </w:pPr>
            <w:r>
              <w:rPr>
                <w:rFonts w:hint="eastAsia" w:ascii="Times New Roman" w:hAnsi="Times New Roman"/>
                <w:color w:val="000000"/>
                <w:kern w:val="0"/>
                <w:sz w:val="18"/>
                <w:szCs w:val="18"/>
                <w:lang w:val="en-US" w:eastAsia="zh-CN"/>
              </w:rPr>
              <w:t>100</w:t>
            </w:r>
            <w:bookmarkStart w:id="0" w:name="_GoBack"/>
            <w:bookmarkEnd w:id="0"/>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wBefore w:w="97" w:type="dxa"/>
          <w:trHeight w:val="465" w:hRule="atLeast"/>
        </w:trPr>
        <w:tc>
          <w:tcPr>
            <w:tcW w:w="9540" w:type="dxa"/>
            <w:gridSpan w:val="15"/>
            <w:tcBorders>
              <w:top w:val="single" w:color="auto" w:sz="4" w:space="0"/>
              <w:left w:val="nil"/>
              <w:bottom w:val="nil"/>
              <w:right w:val="nil"/>
            </w:tcBorders>
            <w:noWrap w:val="0"/>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2" name="矩形 2"/>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1c6batcAAAAJAQAADwAAAAAAAAABACAAAAAiAAAAZHJzL2Rvd25yZXYueG1sUEsB&#10;AhQAFAAAAAgAh07iQDGWLgz2AQAAHgQAAA4AAAAAAAAAAQAgAAAAJgEAAGRycy9lMm9Eb2MueG1s&#10;UEsFBgAAAAAGAAYAWQEAAI4FAAAAAA==&#10;">
                      <v:fill on="t" focussize="0,0"/>
                      <v:stroke color="#FFFFFF" joinstyle="miter"/>
                      <v:imagedata o:title=""/>
                      <o:lock v:ext="edit" aspectratio="f"/>
                    </v:rect>
                  </w:pict>
                </mc:Fallback>
              </mc:AlternateContent>
            </w: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gridBefore w:val="1"/>
          <w:wBefore w:w="97" w:type="dxa"/>
          <w:trHeight w:val="465" w:hRule="atLeast"/>
        </w:trPr>
        <w:tc>
          <w:tcPr>
            <w:tcW w:w="9540" w:type="dxa"/>
            <w:gridSpan w:val="15"/>
            <w:tcBorders>
              <w:top w:val="nil"/>
              <w:left w:val="nil"/>
              <w:bottom w:val="nil"/>
              <w:right w:val="nil"/>
            </w:tcBorders>
            <w:noWrap w:val="0"/>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gridBefore w:val="1"/>
          <w:wBefore w:w="97" w:type="dxa"/>
          <w:trHeight w:val="465" w:hRule="atLeast"/>
        </w:trPr>
        <w:tc>
          <w:tcPr>
            <w:tcW w:w="9540" w:type="dxa"/>
            <w:gridSpan w:val="15"/>
            <w:tcBorders>
              <w:top w:val="nil"/>
              <w:left w:val="nil"/>
              <w:bottom w:val="nil"/>
              <w:right w:val="nil"/>
            </w:tcBorders>
            <w:noWrap w:val="0"/>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tblPrEx>
          <w:tblCellMar>
            <w:top w:w="0" w:type="dxa"/>
            <w:left w:w="108" w:type="dxa"/>
            <w:bottom w:w="0" w:type="dxa"/>
            <w:right w:w="108" w:type="dxa"/>
          </w:tblCellMar>
        </w:tblPrEx>
        <w:trPr>
          <w:gridBefore w:val="1"/>
          <w:wBefore w:w="97" w:type="dxa"/>
          <w:trHeight w:val="210" w:hRule="atLeast"/>
        </w:trPr>
        <w:tc>
          <w:tcPr>
            <w:tcW w:w="9540" w:type="dxa"/>
            <w:gridSpan w:val="15"/>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widowControl/>
        <w:spacing w:line="400" w:lineRule="exact"/>
        <w:jc w:val="left"/>
        <w:rPr>
          <w:rFonts w:ascii="Times New Roman" w:hAnsi="Times New Roman"/>
          <w:color w:val="000000"/>
          <w:kern w:val="0"/>
          <w:sz w:val="18"/>
          <w:szCs w:val="18"/>
        </w:rPr>
      </w:pPr>
    </w:p>
    <w:p>
      <w:pPr>
        <w:rPr>
          <w:rFonts w:ascii="Times New Roman" w:hAnsi="Times New Roman"/>
        </w:rPr>
      </w:pPr>
    </w:p>
    <w:p>
      <w:pPr>
        <w:rPr>
          <w:rFonts w:ascii="Times New Roman" w:hAnsi="Times New Roman" w:eastAsia="黑体"/>
        </w:rPr>
        <w:sectPr>
          <w:footerReference r:id="rId3" w:type="default"/>
          <w:pgSz w:w="11906" w:h="16838"/>
          <w:pgMar w:top="1587" w:right="1587" w:bottom="1587" w:left="1587" w:header="737" w:footer="850" w:gutter="0"/>
          <w:pgBorders>
            <w:top w:val="none" w:sz="0" w:space="0"/>
            <w:left w:val="none" w:sz="0" w:space="0"/>
            <w:bottom w:val="none" w:sz="0" w:space="0"/>
            <w:right w:val="none" w:sz="0" w:space="0"/>
          </w:pgBorders>
          <w:cols w:space="720" w:num="1"/>
          <w:docGrid w:type="lines" w:linePitch="408" w:charSpace="0"/>
        </w:sectPr>
      </w:pPr>
    </w:p>
    <w:p>
      <w:pPr>
        <w:widowControl/>
        <w:spacing w:line="400" w:lineRule="exact"/>
        <w:jc w:val="lef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30"/>
        <w:gridCol w:w="530"/>
        <w:gridCol w:w="561"/>
        <w:gridCol w:w="546"/>
        <w:gridCol w:w="2453"/>
        <w:gridCol w:w="4086"/>
        <w:gridCol w:w="4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0" w:type="auto"/>
            <w:shd w:val="clear" w:color="auto" w:fill="FFFFFF"/>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①项目立项是否符合国家法律法规、国民经济发展规划和相关政策；</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②项目立项是否符合行业发展规划和政策要求；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③项目立项是否与部门职责范围相符，属于部门履职所需；</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④项目是否属于公共财政支持范围，是否符合中央、地方事权支出责任划分原则；</w:t>
            </w:r>
            <w:r>
              <w:rPr>
                <w:rFonts w:ascii="Times New Roman" w:hAnsi="Times New Roman"/>
                <w:color w:val="000000"/>
                <w:kern w:val="0"/>
                <w:sz w:val="22"/>
                <w:szCs w:val="22"/>
              </w:rPr>
              <w:br w:type="textWrapping"/>
            </w:r>
            <w:r>
              <w:rPr>
                <w:rFonts w:ascii="Times New Roman" w:hAnsi="Times New Roman"/>
                <w:color w:val="000000"/>
                <w:kern w:val="0"/>
                <w:sz w:val="22"/>
                <w:szCs w:val="22"/>
              </w:rPr>
              <w:t>⑤项目是否与相关部门同类项目或部门内部相关项目重复。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①项目是否按照规定的程序申请设立；</w:t>
            </w:r>
            <w:r>
              <w:rPr>
                <w:rFonts w:ascii="Times New Roman" w:hAnsi="Times New Roman"/>
                <w:color w:val="000000"/>
                <w:kern w:val="0"/>
                <w:sz w:val="22"/>
                <w:szCs w:val="22"/>
              </w:rPr>
              <w:br w:type="textWrapping"/>
            </w:r>
            <w:r>
              <w:rPr>
                <w:rFonts w:ascii="Times New Roman" w:hAnsi="Times New Roman"/>
                <w:color w:val="000000"/>
                <w:kern w:val="0"/>
                <w:sz w:val="22"/>
                <w:szCs w:val="22"/>
              </w:rPr>
              <w:t>②审批文件、材料是否符合相关要求；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③事前是否已经过必要的可行性研究、专家论证、风险评估、绩效评估、集体决策。</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①项目是否有绩效目标；</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②项目绩效目标与实际工作内容是否具有相关性；</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①是否将项目绩效目标细化分解为具体的绩效指标；</w:t>
            </w:r>
            <w:r>
              <w:rPr>
                <w:rFonts w:ascii="Times New Roman" w:hAnsi="Times New Roman"/>
                <w:color w:val="000000"/>
                <w:kern w:val="0"/>
                <w:sz w:val="22"/>
                <w:szCs w:val="22"/>
              </w:rPr>
              <w:br w:type="textWrapping"/>
            </w:r>
            <w:r>
              <w:rPr>
                <w:rFonts w:ascii="Times New Roman" w:hAnsi="Times New Roman"/>
                <w:color w:val="000000"/>
                <w:kern w:val="0"/>
                <w:sz w:val="22"/>
                <w:szCs w:val="22"/>
              </w:rPr>
              <w:t>②是否通过清晰、可衡量的指标值予以体现；</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③是否与项目目标任务数或计划数相对应。</w:t>
            </w:r>
            <w:r>
              <w:rPr>
                <w:rFonts w:ascii="Times New Roman" w:hAnsi="Times New Roman"/>
                <w:color w:val="000000"/>
                <w:kern w:val="0"/>
                <w:sz w:val="22"/>
                <w:szCs w:val="22"/>
              </w:rPr>
              <w:br w:type="textWrapping"/>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①预算编制是否经过科学论证；</w:t>
            </w:r>
            <w:r>
              <w:rPr>
                <w:rFonts w:ascii="Times New Roman" w:hAnsi="Times New Roman"/>
                <w:color w:val="000000"/>
                <w:kern w:val="0"/>
                <w:sz w:val="22"/>
                <w:szCs w:val="22"/>
              </w:rPr>
              <w:br w:type="textWrapping"/>
            </w:r>
            <w:r>
              <w:rPr>
                <w:rFonts w:ascii="Times New Roman" w:hAnsi="Times New Roman"/>
                <w:color w:val="000000"/>
                <w:kern w:val="0"/>
                <w:sz w:val="22"/>
                <w:szCs w:val="22"/>
              </w:rPr>
              <w:t>②预算内容与项目内容是否匹配；</w:t>
            </w:r>
            <w:r>
              <w:rPr>
                <w:rFonts w:ascii="Times New Roman" w:hAnsi="Times New Roman"/>
                <w:color w:val="000000"/>
                <w:kern w:val="0"/>
                <w:sz w:val="22"/>
                <w:szCs w:val="22"/>
              </w:rPr>
              <w:br w:type="textWrapping"/>
            </w:r>
            <w:r>
              <w:rPr>
                <w:rFonts w:ascii="Times New Roman" w:hAnsi="Times New Roman"/>
                <w:color w:val="000000"/>
                <w:kern w:val="0"/>
                <w:sz w:val="22"/>
                <w:szCs w:val="22"/>
              </w:rPr>
              <w:t>③预算额度测算依据是否充分，是否按照标准编制；</w:t>
            </w:r>
            <w:r>
              <w:rPr>
                <w:rFonts w:ascii="Times New Roman" w:hAnsi="Times New Roman"/>
                <w:color w:val="000000"/>
                <w:kern w:val="0"/>
                <w:sz w:val="22"/>
                <w:szCs w:val="22"/>
              </w:rPr>
              <w:br w:type="textWrapping"/>
            </w:r>
            <w:r>
              <w:rPr>
                <w:rFonts w:ascii="Times New Roman" w:hAnsi="Times New Roman"/>
                <w:color w:val="000000"/>
                <w:kern w:val="0"/>
                <w:sz w:val="22"/>
                <w:szCs w:val="22"/>
              </w:rPr>
              <w:t>④预算确定的项目投资额或资金量是否与工作任务相匹配。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①预算资金分配依据是否充分；</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②资金分配额度是否合理，与项目单位或地方实际是否相适应。</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0" w:type="auto"/>
            <w:vMerge w:val="restart"/>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实际支出资金：一定时期（本年度或项目期）内项目实际拨付的资金。</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①是否符合国家财经法规和财务管理制度以及有关专项资金管理办法的规定；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②资金的拨付是否有完整的审批程序和手续；</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③是否符合项目预算批复或合同规定的用途；</w:t>
            </w:r>
            <w:r>
              <w:rPr>
                <w:rFonts w:ascii="Times New Roman" w:hAnsi="Times New Roman"/>
                <w:color w:val="000000"/>
                <w:kern w:val="0"/>
                <w:sz w:val="22"/>
                <w:szCs w:val="22"/>
              </w:rPr>
              <w:br w:type="textWrapping"/>
            </w:r>
            <w:r>
              <w:rPr>
                <w:rFonts w:ascii="Times New Roman" w:hAnsi="Times New Roman"/>
                <w:color w:val="000000"/>
                <w:kern w:val="0"/>
                <w:sz w:val="22"/>
                <w:szCs w:val="22"/>
              </w:rPr>
              <w:t>④是否存在截留、挤占、挪用、虚列支出等情况。</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①是否已制定或具有相应的财务和业务管理制度；</w:t>
            </w:r>
            <w:r>
              <w:rPr>
                <w:rFonts w:ascii="Times New Roman" w:hAnsi="Times New Roman"/>
                <w:color w:val="000000"/>
                <w:kern w:val="0"/>
                <w:sz w:val="22"/>
                <w:szCs w:val="22"/>
              </w:rPr>
              <w:br w:type="textWrapping"/>
            </w:r>
            <w:r>
              <w:rPr>
                <w:rFonts w:ascii="Times New Roman" w:hAnsi="Times New Roman"/>
                <w:color w:val="000000"/>
                <w:kern w:val="0"/>
                <w:sz w:val="22"/>
                <w:szCs w:val="22"/>
              </w:rPr>
              <w:t>②财务和业务管理制度是否合法、合规、完整。</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①是否遵守相关法律法规和相关管理规定；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②项目调整及支出调整手续是否完备；</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③项目合同书、验收报告、技术鉴定等资料是否齐全并及时归档；</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④项目实施的人员条件、场地设备、信息支撑等是否落实到位。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type="textWrapping"/>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type="textWrapping"/>
            </w:r>
            <w:r>
              <w:rPr>
                <w:rFonts w:ascii="Times New Roman" w:hAnsi="Times New Roman"/>
                <w:color w:val="000000"/>
                <w:kern w:val="0"/>
                <w:sz w:val="22"/>
                <w:szCs w:val="22"/>
              </w:rPr>
              <w:t>计划完成时间：按照项目实施计划或相关规定完成该项目所需的时间。</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ype="textWrapping"/>
            </w:r>
            <w:r>
              <w:rPr>
                <w:rFonts w:ascii="Times New Roman" w:hAnsi="Times New Roman"/>
                <w:color w:val="000000"/>
                <w:kern w:val="0"/>
                <w:sz w:val="22"/>
                <w:szCs w:val="22"/>
              </w:rPr>
              <w:t>成本节约率=[（计划成本-实际成本）/计划成本]×100%。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type="textWrapping"/>
            </w:r>
            <w:r>
              <w:rPr>
                <w:rFonts w:ascii="Times New Roman" w:hAnsi="Times New Roman"/>
                <w:color w:val="000000"/>
                <w:kern w:val="0"/>
                <w:sz w:val="22"/>
                <w:szCs w:val="22"/>
              </w:rPr>
              <w:t>计划成本：项目实施单位为完成工作目标计划安排的支出，一般以项目预算为参考。</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0" w:type="auto"/>
            <w:gridSpan w:val="3"/>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p>
        </w:tc>
        <w:tc>
          <w:tcPr>
            <w:tcW w:w="0" w:type="auto"/>
            <w:shd w:val="clear" w:color="auto" w:fill="FFFFFF"/>
            <w:vAlign w:val="center"/>
          </w:tcPr>
          <w:p>
            <w:pPr>
              <w:widowControl/>
              <w:spacing w:line="0" w:lineRule="atLeast"/>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p>
        </w:tc>
      </w:tr>
    </w:tbl>
    <w:p>
      <w:pPr>
        <w:spacing w:line="560" w:lineRule="exact"/>
        <w:ind w:firstLine="200" w:firstLineChars="100"/>
        <w:rPr>
          <w:rFonts w:ascii="Times New Roman" w:hAnsi="Times New Roman" w:eastAsia="仿宋_GB2312"/>
          <w:sz w:val="20"/>
          <w:szCs w:val="20"/>
        </w:rPr>
      </w:pPr>
      <w:r>
        <w:rPr>
          <w:rFonts w:ascii="Times New Roman" w:hAnsi="Times New Roman" w:eastAsia="仿宋_GB2312"/>
          <w:sz w:val="20"/>
          <w:szCs w:val="20"/>
        </w:rPr>
        <w:t>注：单位可以根据专项资金的管理要求和绩效要求增设个性指标。</w:t>
      </w:r>
    </w:p>
    <w:p/>
    <w:p/>
    <w:p/>
    <w:p/>
    <w:p/>
    <w:p/>
    <w:p/>
    <w:p/>
    <w:p/>
    <w:p/>
    <w:p/>
    <w:p/>
    <w:p/>
    <w:p/>
    <w:p/>
    <w:p/>
    <w:p/>
    <w:p/>
    <w:p/>
    <w:p/>
    <w:p/>
    <w:p/>
    <w:p/>
    <w:sectPr>
      <w:pgSz w:w="11906" w:h="16838"/>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12</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3"/>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12</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AA4"/>
    <w:rsid w:val="00053D94"/>
    <w:rsid w:val="00062ED6"/>
    <w:rsid w:val="000E14F0"/>
    <w:rsid w:val="00127E52"/>
    <w:rsid w:val="00185EB4"/>
    <w:rsid w:val="001E2BD7"/>
    <w:rsid w:val="00332E1B"/>
    <w:rsid w:val="003D78E1"/>
    <w:rsid w:val="004817D7"/>
    <w:rsid w:val="00490E2C"/>
    <w:rsid w:val="004A75FD"/>
    <w:rsid w:val="004B44AB"/>
    <w:rsid w:val="0053276B"/>
    <w:rsid w:val="00597E3A"/>
    <w:rsid w:val="005A7C00"/>
    <w:rsid w:val="0065463D"/>
    <w:rsid w:val="00695725"/>
    <w:rsid w:val="00777304"/>
    <w:rsid w:val="0078035E"/>
    <w:rsid w:val="007D7447"/>
    <w:rsid w:val="008266B2"/>
    <w:rsid w:val="00833FA4"/>
    <w:rsid w:val="008835A1"/>
    <w:rsid w:val="00884913"/>
    <w:rsid w:val="00895D4D"/>
    <w:rsid w:val="008C46B9"/>
    <w:rsid w:val="008D1BC4"/>
    <w:rsid w:val="0090699C"/>
    <w:rsid w:val="00937AA4"/>
    <w:rsid w:val="00A11627"/>
    <w:rsid w:val="00A6686B"/>
    <w:rsid w:val="00B53A87"/>
    <w:rsid w:val="00BD4B09"/>
    <w:rsid w:val="00C11F4F"/>
    <w:rsid w:val="00C722F6"/>
    <w:rsid w:val="00D15103"/>
    <w:rsid w:val="00D3548D"/>
    <w:rsid w:val="00D4021D"/>
    <w:rsid w:val="00D72E18"/>
    <w:rsid w:val="00E34E22"/>
    <w:rsid w:val="00E65862"/>
    <w:rsid w:val="00F02AE3"/>
    <w:rsid w:val="00F94187"/>
    <w:rsid w:val="00FA06DA"/>
    <w:rsid w:val="00FD596D"/>
    <w:rsid w:val="04845EE8"/>
    <w:rsid w:val="09241156"/>
    <w:rsid w:val="0E046F0A"/>
    <w:rsid w:val="1B251F3A"/>
    <w:rsid w:val="45773C3D"/>
    <w:rsid w:val="46EE3412"/>
    <w:rsid w:val="4833066F"/>
    <w:rsid w:val="4E7843BE"/>
    <w:rsid w:val="5BE6514C"/>
    <w:rsid w:val="6690436C"/>
    <w:rsid w:val="6B2B2AFF"/>
    <w:rsid w:val="72DE6F4B"/>
    <w:rsid w:val="74451620"/>
    <w:rsid w:val="748203F9"/>
    <w:rsid w:val="7C1E5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9"/>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jc w:val="left"/>
    </w:pPr>
    <w:rPr>
      <w:rFonts w:ascii="宋体" w:hAnsi="宋体" w:cs="宋体"/>
      <w:kern w:val="0"/>
      <w:sz w:val="24"/>
    </w:rPr>
  </w:style>
  <w:style w:type="paragraph" w:styleId="8">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9">
    <w:name w:val="标题 2 Char"/>
    <w:basedOn w:val="7"/>
    <w:link w:val="2"/>
    <w:qFormat/>
    <w:uiPriority w:val="0"/>
    <w:rPr>
      <w:rFonts w:ascii="Arial" w:hAnsi="Arial" w:eastAsia="黑体" w:cs="Times New Roman"/>
      <w:b/>
      <w:sz w:val="32"/>
      <w:szCs w:val="24"/>
    </w:rPr>
  </w:style>
  <w:style w:type="character" w:customStyle="1" w:styleId="10">
    <w:name w:val="页眉 Char"/>
    <w:basedOn w:val="7"/>
    <w:link w:val="4"/>
    <w:semiHidden/>
    <w:qFormat/>
    <w:uiPriority w:val="99"/>
    <w:rPr>
      <w:rFonts w:ascii="Calibri" w:hAnsi="Calibri" w:eastAsia="宋体" w:cs="Times New Roman"/>
      <w:sz w:val="18"/>
      <w:szCs w:val="18"/>
    </w:rPr>
  </w:style>
  <w:style w:type="character" w:customStyle="1" w:styleId="11">
    <w:name w:val="页脚 Char"/>
    <w:basedOn w:val="7"/>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830</Words>
  <Characters>4737</Characters>
  <Lines>39</Lines>
  <Paragraphs>11</Paragraphs>
  <TotalTime>1</TotalTime>
  <ScaleCrop>false</ScaleCrop>
  <LinksUpToDate>false</LinksUpToDate>
  <CharactersWithSpaces>5556</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2020-05-12T07:20:00Z</dcterms:created>
  <dc:creator>Administrator</dc:creator>
  <cp:lastModifiedBy>一片婷儿</cp:lastModifiedBy>
  <dcterms:modified xsi:type="dcterms:W3CDTF">2021-07-29T05:11:48Z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4E71B2930666445B9726B4259B0F0BC9</vt:lpwstr>
  </property>
</Properties>
</file>