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10" w:lineRule="exact"/>
        <w:jc w:val="center"/>
        <w:rPr>
          <w:rFonts w:hint="eastAsia" w:ascii="Times New Roman" w:hAnsi="Times New Roman" w:eastAsia="黑体"/>
          <w:sz w:val="44"/>
          <w:szCs w:val="44"/>
          <w:lang w:val="en-US" w:eastAsia="zh-CN"/>
        </w:rPr>
      </w:pPr>
      <w:r>
        <w:rPr>
          <w:rFonts w:hint="eastAsia" w:ascii="Times New Roman" w:hAnsi="Times New Roman" w:eastAsia="黑体"/>
          <w:sz w:val="44"/>
          <w:szCs w:val="44"/>
          <w:lang w:val="en-US" w:eastAsia="zh-CN"/>
        </w:rPr>
        <w:t>中方县扶贫办2020年消费扶贫生活馆建馆</w:t>
      </w:r>
    </w:p>
    <w:p>
      <w:pPr>
        <w:pStyle w:val="9"/>
        <w:spacing w:line="510" w:lineRule="exact"/>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9"/>
        <w:spacing w:line="510" w:lineRule="exact"/>
        <w:ind w:firstLine="643" w:firstLineChars="200"/>
        <w:rPr>
          <w:rFonts w:ascii="Times New Roman" w:hAnsi="Times New Roman" w:eastAsia="楷体"/>
          <w:b/>
          <w:sz w:val="32"/>
          <w:szCs w:val="32"/>
        </w:rPr>
      </w:pP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一、基本情况</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Times New Roman" w:hAnsi="Times New Roman" w:eastAsia="仿宋"/>
          <w:sz w:val="32"/>
          <w:szCs w:val="32"/>
        </w:rPr>
      </w:pPr>
      <w:r>
        <w:rPr>
          <w:rFonts w:ascii="Times New Roman" w:hAnsi="Times New Roman" w:eastAsia="仿宋"/>
          <w:b/>
          <w:sz w:val="32"/>
          <w:szCs w:val="32"/>
        </w:rPr>
        <w:t>（一）项目概况。</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600" w:firstLineChars="200"/>
        <w:jc w:val="left"/>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根据国务院扶贫办等7个部门《关于开展消费扶贫行动的通知》（国开办发【2020】4号）等文件精神，我省创新打造了湖南省消费扶贫示范中心，助力扶贫产品的宣传、展示和销售。为进一步做好示范中心建设，将其打造成全国消费扶贫示范单位，55个专馆的市县领导要安排时间赴示范中心开展调研活动，有序组织对接会、洽谈会、展示会、采购会等各类产销对接活动，各专馆所属县每年在示范中心至少要组织一场消费扶贫活动，各地消费扶贫专班要明确专人负责对接示范中心设立消费扶贫专馆，不断扩大示范中心建设规模，已入驻的贫困县和非贫困县要以“主人翁”姿态积极参与中心系列展示展销活动，确保示范中心作用真正发挥。该项目主管部门，对专项资金项目全面履行监管责任：一是加强项目监管，定期不定期检查，确保质量；二是及时拨付资金，加强资金使用监管，确保专款专用。</w:t>
      </w:r>
    </w:p>
    <w:p>
      <w:pPr>
        <w:pStyle w:val="6"/>
        <w:keepNext w:val="0"/>
        <w:keepLines w:val="0"/>
        <w:pageBreakBefore w:val="0"/>
        <w:shd w:val="clear" w:color="auto" w:fill="FFFFFF"/>
        <w:kinsoku/>
        <w:wordWrap/>
        <w:overflowPunct/>
        <w:topLinePunct w:val="0"/>
        <w:autoSpaceDE/>
        <w:autoSpaceDN/>
        <w:bidi w:val="0"/>
        <w:adjustRightInd/>
        <w:snapToGrid/>
        <w:spacing w:line="480" w:lineRule="exact"/>
        <w:ind w:firstLine="750" w:firstLineChars="25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2．专项资金支持条件及资金使用管理情况。严格按照专项资金支持的项目条件和范围要求，确定专项资金支持的项目，严格按照有关规定使用管理专项资金。</w:t>
      </w:r>
    </w:p>
    <w:p>
      <w:pPr>
        <w:pStyle w:val="9"/>
        <w:keepNext w:val="0"/>
        <w:keepLines w:val="0"/>
        <w:pageBreakBefore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sz w:val="30"/>
          <w:szCs w:val="30"/>
        </w:rPr>
      </w:pPr>
      <w:r>
        <w:rPr>
          <w:rFonts w:hint="eastAsia" w:ascii="仿宋" w:hAnsi="仿宋" w:eastAsia="仿宋" w:cs="仿宋"/>
          <w:b/>
          <w:sz w:val="30"/>
          <w:szCs w:val="30"/>
        </w:rPr>
        <w:t>（二）项目绩效目标。</w:t>
      </w:r>
    </w:p>
    <w:p>
      <w:pPr>
        <w:pStyle w:val="9"/>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各地要把示范中心扶贫产品货源组织好，确保扶贫产品质量合格、价格公道、安全可靠、带贫真实。在示范中心专馆上架的扶贫产品要粘贴“湖南扶贫”标识，建立扶贫产品质量安全追溯体系，规范标准和定价机制，保证消费者买得到好产品、享受到优质服务、实现可持续发展。对假借扶贫产品牟利或质量不达标的，该取消的要取消，该整顿的要整顿，决不允许“消费”爱心，让购物者伤心。</w:t>
      </w:r>
    </w:p>
    <w:p>
      <w:pPr>
        <w:pStyle w:val="9"/>
        <w:keepNext w:val="0"/>
        <w:keepLines w:val="0"/>
        <w:pageBreakBefore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sz w:val="30"/>
          <w:szCs w:val="30"/>
        </w:rPr>
      </w:pPr>
      <w:r>
        <w:rPr>
          <w:rFonts w:hint="eastAsia" w:ascii="仿宋" w:hAnsi="仿宋" w:eastAsia="仿宋" w:cs="仿宋"/>
          <w:b/>
          <w:sz w:val="30"/>
          <w:szCs w:val="30"/>
        </w:rPr>
        <w:t>二、绩效评价工作开展情况</w:t>
      </w:r>
    </w:p>
    <w:p>
      <w:pPr>
        <w:pStyle w:val="9"/>
        <w:keepNext w:val="0"/>
        <w:keepLines w:val="0"/>
        <w:pageBreakBefore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sz w:val="30"/>
          <w:szCs w:val="30"/>
        </w:rPr>
      </w:pPr>
      <w:r>
        <w:rPr>
          <w:rFonts w:hint="eastAsia" w:ascii="仿宋" w:hAnsi="仿宋" w:eastAsia="仿宋" w:cs="仿宋"/>
          <w:b/>
          <w:sz w:val="30"/>
          <w:szCs w:val="30"/>
        </w:rPr>
        <w:t>（一）绩效评价目的。</w:t>
      </w:r>
    </w:p>
    <w:p>
      <w:pPr>
        <w:pStyle w:val="9"/>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sz w:val="30"/>
          <w:szCs w:val="30"/>
          <w:lang w:eastAsia="zh-CN"/>
        </w:rPr>
      </w:pPr>
      <w:r>
        <w:rPr>
          <w:rFonts w:hint="eastAsia" w:ascii="仿宋" w:hAnsi="仿宋" w:eastAsia="仿宋" w:cs="仿宋"/>
          <w:sz w:val="30"/>
          <w:szCs w:val="30"/>
        </w:rPr>
        <w:t>（1）</w:t>
      </w:r>
      <w:r>
        <w:rPr>
          <w:rFonts w:hint="eastAsia" w:ascii="仿宋" w:hAnsi="仿宋" w:eastAsia="仿宋" w:cs="仿宋"/>
          <w:sz w:val="30"/>
          <w:szCs w:val="30"/>
          <w:lang w:eastAsia="zh-CN"/>
        </w:rPr>
        <w:t>通过对</w:t>
      </w:r>
      <w:r>
        <w:rPr>
          <w:rFonts w:hint="eastAsia" w:ascii="仿宋" w:hAnsi="仿宋" w:eastAsia="仿宋" w:cs="仿宋"/>
          <w:sz w:val="30"/>
          <w:szCs w:val="30"/>
          <w:lang w:val="en-US" w:eastAsia="zh-CN"/>
        </w:rPr>
        <w:t>消费扶贫生活馆</w:t>
      </w:r>
      <w:r>
        <w:rPr>
          <w:rFonts w:hint="eastAsia" w:ascii="仿宋" w:hAnsi="仿宋" w:eastAsia="仿宋" w:cs="仿宋"/>
          <w:sz w:val="30"/>
          <w:szCs w:val="30"/>
          <w:lang w:eastAsia="zh-CN"/>
        </w:rPr>
        <w:t>项目进行绩效评价，其主要目的是：全面了解项目管理制度和流程、资金使用情况、受益群体的反馈情况，从而强化项目监督，完善项目管理，提高项目资金使用效益和支出透明度，对存在的问题进行原因分析并提出合理化建议。</w:t>
      </w:r>
    </w:p>
    <w:p>
      <w:pPr>
        <w:pStyle w:val="9"/>
        <w:keepNext w:val="0"/>
        <w:keepLines w:val="0"/>
        <w:pageBreakBefore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仿宋"/>
          <w:b/>
          <w:sz w:val="30"/>
          <w:szCs w:val="30"/>
        </w:rPr>
      </w:pPr>
      <w:r>
        <w:rPr>
          <w:rFonts w:hint="eastAsia" w:ascii="仿宋" w:hAnsi="仿宋" w:eastAsia="仿宋" w:cs="仿宋"/>
          <w:b/>
          <w:sz w:val="30"/>
          <w:szCs w:val="30"/>
        </w:rPr>
        <w:t>（二）绩效评价原则。</w:t>
      </w:r>
    </w:p>
    <w:p>
      <w:pPr>
        <w:pStyle w:val="9"/>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1、科学规范：注重财政支出的经济性、效益性和有效性，运用科学合理的方法，按照规范的程序，对项目绩效进行客观公 正的反映。</w:t>
      </w:r>
    </w:p>
    <w:p>
      <w:pPr>
        <w:pStyle w:val="9"/>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2、统筹兼顾：绩效评价应职责明确，各有侧重，相互衔接。在单位自评的基础上，对项目资金进行资金评价。</w:t>
      </w:r>
    </w:p>
    <w:p>
      <w:pPr>
        <w:pStyle w:val="9"/>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3、激励约束：绩效评价结果应与预算安排、政策调整、改进管理实质性挂钩，体现奖优罚劣和激励相容导向。</w:t>
      </w:r>
    </w:p>
    <w:p>
      <w:pPr>
        <w:pStyle w:val="9"/>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4、公开透明：绩效评价结果应依法依规公开，并自觉接受社会监督。</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仿宋" w:hAnsi="仿宋" w:eastAsia="仿宋"/>
          <w:b/>
          <w:sz w:val="32"/>
          <w:szCs w:val="32"/>
        </w:rPr>
      </w:pPr>
      <w:r>
        <w:rPr>
          <w:rFonts w:ascii="仿宋" w:hAnsi="仿宋" w:eastAsia="仿宋"/>
          <w:b/>
          <w:sz w:val="32"/>
          <w:szCs w:val="32"/>
        </w:rPr>
        <w:t>（三）绩效评价工作过程。</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b/>
          <w:sz w:val="32"/>
          <w:szCs w:val="32"/>
        </w:rPr>
      </w:pPr>
      <w:r>
        <w:rPr>
          <w:rFonts w:hint="eastAsia" w:ascii="仿宋" w:hAnsi="仿宋" w:eastAsia="仿宋"/>
          <w:sz w:val="32"/>
          <w:szCs w:val="32"/>
          <w:lang w:eastAsia="zh-CN"/>
        </w:rPr>
        <w:t>县扶贫办</w:t>
      </w:r>
      <w:r>
        <w:rPr>
          <w:rFonts w:hint="eastAsia" w:ascii="仿宋" w:hAnsi="仿宋" w:eastAsia="仿宋"/>
          <w:sz w:val="32"/>
          <w:szCs w:val="32"/>
        </w:rPr>
        <w:t>认真对项目的申报内容和申报目标进行审核，其申报内容与实际相符，申报目标合理可行。</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仿宋" w:hAnsi="仿宋" w:eastAsia="仿宋"/>
          <w:b/>
          <w:sz w:val="32"/>
          <w:szCs w:val="32"/>
        </w:rPr>
      </w:pPr>
      <w:r>
        <w:rPr>
          <w:rFonts w:ascii="仿宋" w:hAnsi="仿宋" w:eastAsia="仿宋"/>
          <w:b/>
          <w:sz w:val="32"/>
          <w:szCs w:val="32"/>
        </w:rPr>
        <w:t>四、绩效评价指标分析</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sz w:val="32"/>
          <w:szCs w:val="32"/>
        </w:rPr>
      </w:pPr>
      <w:r>
        <w:rPr>
          <w:rFonts w:ascii="仿宋" w:hAnsi="仿宋" w:eastAsia="仿宋"/>
          <w:sz w:val="32"/>
          <w:szCs w:val="32"/>
        </w:rPr>
        <w:t>（一）项目决策情况。</w:t>
      </w:r>
    </w:p>
    <w:p>
      <w:pPr>
        <w:pStyle w:val="9"/>
        <w:keepNext w:val="0"/>
        <w:keepLines w:val="0"/>
        <w:pageBreakBefore w:val="0"/>
        <w:kinsoku/>
        <w:wordWrap/>
        <w:overflowPunct/>
        <w:topLinePunct w:val="0"/>
        <w:autoSpaceDE/>
        <w:autoSpaceDN/>
        <w:bidi w:val="0"/>
        <w:adjustRightInd/>
        <w:snapToGrid/>
        <w:spacing w:line="480" w:lineRule="exact"/>
        <w:ind w:firstLine="800" w:firstLineChars="25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经扶贫开发领导小组同意，制定了《中方县</w:t>
      </w:r>
      <w:r>
        <w:rPr>
          <w:rFonts w:hint="eastAsia" w:ascii="仿宋" w:hAnsi="仿宋" w:eastAsia="仿宋"/>
          <w:sz w:val="32"/>
          <w:szCs w:val="32"/>
          <w:lang w:val="en-US" w:eastAsia="zh-CN"/>
        </w:rPr>
        <w:t>2020年财政涉农资金统筹整合年终方案</w:t>
      </w:r>
      <w:r>
        <w:rPr>
          <w:rFonts w:hint="eastAsia" w:ascii="仿宋" w:hAnsi="仿宋" w:eastAsia="仿宋"/>
          <w:sz w:val="32"/>
          <w:szCs w:val="32"/>
          <w:lang w:eastAsia="zh-CN"/>
        </w:rPr>
        <w:t>》，项目预算资金</w:t>
      </w:r>
      <w:r>
        <w:rPr>
          <w:rFonts w:hint="eastAsia" w:ascii="仿宋" w:hAnsi="仿宋" w:eastAsia="仿宋"/>
          <w:sz w:val="32"/>
          <w:szCs w:val="32"/>
          <w:lang w:val="en-US" w:eastAsia="zh-CN"/>
        </w:rPr>
        <w:t>39万元，主要责任单位为扶贫办。本项目立项符合国家法律法规、相关政策，项目工作内容与部门职责范围相符，项目申请及审批文件符合相关规定。</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sz w:val="32"/>
          <w:szCs w:val="32"/>
        </w:rPr>
      </w:pPr>
      <w:r>
        <w:rPr>
          <w:rFonts w:ascii="仿宋" w:hAnsi="仿宋" w:eastAsia="仿宋"/>
          <w:sz w:val="32"/>
          <w:szCs w:val="32"/>
        </w:rPr>
        <w:t>（二）项目过程情况。</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县扶贫办严格</w:t>
      </w:r>
      <w:r>
        <w:rPr>
          <w:rFonts w:hint="eastAsia" w:ascii="仿宋" w:hAnsi="仿宋" w:eastAsia="仿宋"/>
          <w:sz w:val="32"/>
          <w:szCs w:val="32"/>
        </w:rPr>
        <w:t>按照相关要求进行查看，</w:t>
      </w:r>
      <w:r>
        <w:rPr>
          <w:rFonts w:hint="eastAsia" w:ascii="仿宋" w:hAnsi="仿宋" w:eastAsia="仿宋"/>
          <w:sz w:val="32"/>
          <w:szCs w:val="32"/>
          <w:lang w:eastAsia="zh-CN"/>
        </w:rPr>
        <w:t>项目资金由财政局管理，经过扶贫办走账直接拨付到乡财局，由乡财局统一</w:t>
      </w:r>
      <w:r>
        <w:rPr>
          <w:rFonts w:hint="eastAsia" w:ascii="仿宋" w:hAnsi="仿宋" w:eastAsia="仿宋"/>
          <w:sz w:val="32"/>
          <w:szCs w:val="32"/>
          <w:lang w:val="en-US" w:eastAsia="zh-CN"/>
        </w:rPr>
        <w:t>支付到中方县扶贫开发办专户</w:t>
      </w:r>
      <w:r>
        <w:rPr>
          <w:rFonts w:hint="eastAsia" w:ascii="仿宋" w:hAnsi="仿宋" w:eastAsia="仿宋"/>
          <w:sz w:val="32"/>
          <w:szCs w:val="32"/>
          <w:lang w:eastAsia="zh-CN"/>
        </w:rPr>
        <w:t>账户。资金管理符合国家财经法规、财务管理制度及扶贫专项资金管理办法规定，审批和拨付手续完整</w:t>
      </w:r>
      <w:r>
        <w:rPr>
          <w:rFonts w:hint="eastAsia" w:ascii="仿宋" w:hAnsi="仿宋" w:eastAsia="仿宋"/>
          <w:sz w:val="32"/>
          <w:szCs w:val="32"/>
        </w:rPr>
        <w:t>。</w:t>
      </w:r>
      <w:r>
        <w:rPr>
          <w:rFonts w:hint="eastAsia" w:ascii="仿宋" w:hAnsi="仿宋" w:eastAsia="仿宋"/>
          <w:sz w:val="32"/>
          <w:szCs w:val="32"/>
          <w:lang w:eastAsia="zh-CN"/>
        </w:rPr>
        <w:t>办理流程操作合规，审批单填写规范，凭证归档齐全，按要求公示。</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sz w:val="32"/>
          <w:szCs w:val="32"/>
        </w:rPr>
      </w:pPr>
      <w:r>
        <w:rPr>
          <w:rFonts w:ascii="仿宋" w:hAnsi="仿宋" w:eastAsia="仿宋"/>
          <w:sz w:val="32"/>
          <w:szCs w:val="32"/>
        </w:rPr>
        <w:t>（三）项目产出情况。</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消费扶贫县域生活馆建馆费用已经全部拨付到位，生活馆已经如期开馆。</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sz w:val="32"/>
          <w:szCs w:val="32"/>
        </w:rPr>
      </w:pPr>
      <w:r>
        <w:rPr>
          <w:rFonts w:ascii="仿宋" w:hAnsi="仿宋" w:eastAsia="仿宋"/>
          <w:sz w:val="32"/>
          <w:szCs w:val="32"/>
        </w:rPr>
        <w:t>（四）项目效益情况。</w:t>
      </w:r>
    </w:p>
    <w:p>
      <w:pPr>
        <w:pStyle w:val="9"/>
        <w:keepNext w:val="0"/>
        <w:keepLines w:val="0"/>
        <w:pageBreakBefore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sz w:val="32"/>
          <w:szCs w:val="32"/>
          <w:lang w:val="en-US" w:eastAsia="zh-CN"/>
        </w:rPr>
      </w:pPr>
      <w:r>
        <w:rPr>
          <w:rFonts w:hint="eastAsia" w:ascii="仿宋" w:hAnsi="仿宋" w:eastAsia="仿宋" w:cs="仿宋"/>
          <w:b/>
          <w:sz w:val="30"/>
          <w:szCs w:val="30"/>
          <w:lang w:val="en-US" w:eastAsia="zh-CN"/>
        </w:rPr>
        <w:t xml:space="preserve"> </w:t>
      </w:r>
      <w:r>
        <w:rPr>
          <w:rFonts w:hint="eastAsia" w:ascii="仿宋" w:hAnsi="仿宋" w:eastAsia="仿宋" w:cs="仿宋"/>
          <w:b w:val="0"/>
          <w:bCs/>
          <w:sz w:val="30"/>
          <w:szCs w:val="30"/>
          <w:lang w:val="en-US" w:eastAsia="zh-CN"/>
        </w:rPr>
        <w:t>开馆至今销售业绩及盈亏情况：开业到至今店面一直正常营业，有专人守店。由于疫情影响和“生活馆”团队营销实力等多方面原因，“生活馆”虽已投入使用，但并未良好运营。</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仿宋" w:hAnsi="仿宋" w:eastAsia="仿宋"/>
          <w:b/>
          <w:sz w:val="32"/>
          <w:szCs w:val="32"/>
        </w:rPr>
      </w:pPr>
      <w:r>
        <w:rPr>
          <w:rFonts w:ascii="仿宋" w:hAnsi="仿宋" w:eastAsia="仿宋"/>
          <w:b/>
          <w:sz w:val="32"/>
          <w:szCs w:val="32"/>
        </w:rPr>
        <w:t>五、主要经验及做法、存在的问题及原因分析</w:t>
      </w:r>
    </w:p>
    <w:p>
      <w:pPr>
        <w:pStyle w:val="9"/>
        <w:keepNext w:val="0"/>
        <w:keepLines w:val="0"/>
        <w:pageBreakBefore w:val="0"/>
        <w:kinsoku/>
        <w:wordWrap/>
        <w:overflowPunct/>
        <w:topLinePunct w:val="0"/>
        <w:autoSpaceDE/>
        <w:autoSpaceDN/>
        <w:bidi w:val="0"/>
        <w:adjustRightInd/>
        <w:snapToGrid/>
        <w:spacing w:line="480" w:lineRule="exact"/>
        <w:ind w:firstLine="660" w:firstLineChars="200"/>
        <w:textAlignment w:val="auto"/>
        <w:rPr>
          <w:rFonts w:hint="eastAsia" w:ascii="仿宋" w:hAnsi="仿宋" w:eastAsia="仿宋" w:cs="仿宋"/>
          <w:color w:val="auto"/>
          <w:spacing w:val="15"/>
          <w:sz w:val="30"/>
          <w:szCs w:val="30"/>
          <w:shd w:val="clear" w:color="auto" w:fill="FFFFFF"/>
          <w:lang w:eastAsia="zh-CN"/>
        </w:rPr>
      </w:pPr>
      <w:r>
        <w:rPr>
          <w:rFonts w:hint="eastAsia" w:ascii="仿宋" w:hAnsi="仿宋" w:eastAsia="仿宋" w:cs="仿宋"/>
          <w:color w:val="auto"/>
          <w:spacing w:val="15"/>
          <w:sz w:val="30"/>
          <w:szCs w:val="30"/>
          <w:shd w:val="clear" w:color="auto" w:fill="FFFFFF"/>
          <w:lang w:eastAsia="zh-CN"/>
        </w:rPr>
        <w:t>无</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仿宋" w:hAnsi="仿宋" w:eastAsia="仿宋"/>
          <w:b/>
          <w:sz w:val="32"/>
          <w:szCs w:val="32"/>
        </w:rPr>
      </w:pPr>
      <w:r>
        <w:rPr>
          <w:rFonts w:ascii="仿宋" w:hAnsi="仿宋" w:eastAsia="仿宋"/>
          <w:b/>
          <w:sz w:val="32"/>
          <w:szCs w:val="32"/>
        </w:rPr>
        <w:t>六、有关建议</w:t>
      </w:r>
    </w:p>
    <w:p>
      <w:pPr>
        <w:pStyle w:val="9"/>
        <w:keepNext w:val="0"/>
        <w:keepLines w:val="0"/>
        <w:pageBreakBefore w:val="0"/>
        <w:kinsoku/>
        <w:wordWrap/>
        <w:overflowPunct/>
        <w:topLinePunct w:val="0"/>
        <w:autoSpaceDE/>
        <w:autoSpaceDN/>
        <w:bidi w:val="0"/>
        <w:adjustRightInd/>
        <w:snapToGrid/>
        <w:spacing w:line="480" w:lineRule="exact"/>
        <w:ind w:firstLine="660" w:firstLineChars="200"/>
        <w:textAlignment w:val="auto"/>
        <w:rPr>
          <w:rFonts w:hint="eastAsia" w:ascii="仿宋" w:hAnsi="仿宋" w:eastAsia="仿宋" w:cs="仿宋"/>
          <w:sz w:val="30"/>
          <w:szCs w:val="30"/>
          <w:lang w:val="en-US" w:eastAsia="zh-CN"/>
        </w:rPr>
      </w:pPr>
      <w:r>
        <w:rPr>
          <w:rFonts w:hint="eastAsia" w:ascii="仿宋" w:hAnsi="仿宋" w:eastAsia="仿宋" w:cs="仿宋"/>
          <w:color w:val="auto"/>
          <w:spacing w:val="15"/>
          <w:sz w:val="30"/>
          <w:szCs w:val="30"/>
          <w:shd w:val="clear" w:color="auto" w:fill="FFFFFF"/>
        </w:rPr>
        <w:t>积极培育农业特色龙头企业。加强政策倾斜力度，着力培育几家本地基础强、发展前景好，帮带群众多的企业</w:t>
      </w:r>
      <w:r>
        <w:rPr>
          <w:rFonts w:hint="eastAsia" w:ascii="仿宋" w:hAnsi="仿宋" w:eastAsia="仿宋" w:cs="仿宋"/>
          <w:color w:val="auto"/>
          <w:spacing w:val="15"/>
          <w:sz w:val="30"/>
          <w:szCs w:val="30"/>
          <w:shd w:val="clear" w:color="auto" w:fill="FFFFFF"/>
          <w:lang w:val="en-US" w:eastAsia="zh-CN"/>
        </w:rPr>
        <w:t>入驻生活馆，</w:t>
      </w:r>
      <w:r>
        <w:rPr>
          <w:rFonts w:hint="eastAsia" w:ascii="仿宋" w:hAnsi="仿宋" w:eastAsia="仿宋" w:cs="仿宋"/>
          <w:color w:val="auto"/>
          <w:spacing w:val="15"/>
          <w:sz w:val="30"/>
          <w:szCs w:val="30"/>
          <w:shd w:val="clear" w:color="auto" w:fill="FFFFFF"/>
        </w:rPr>
        <w:t>做大做强，要加强与科研院所的合作及新品种的研发和投放</w:t>
      </w:r>
      <w:r>
        <w:rPr>
          <w:rFonts w:hint="eastAsia" w:ascii="仿宋" w:hAnsi="仿宋" w:eastAsia="仿宋" w:cs="仿宋"/>
          <w:color w:val="auto"/>
          <w:spacing w:val="15"/>
          <w:sz w:val="30"/>
          <w:szCs w:val="30"/>
          <w:shd w:val="clear" w:color="auto" w:fill="FFFFFF"/>
          <w:lang w:eastAsia="zh-CN"/>
        </w:rPr>
        <w:t>，</w:t>
      </w:r>
      <w:r>
        <w:rPr>
          <w:rFonts w:hint="eastAsia" w:ascii="仿宋" w:hAnsi="仿宋" w:eastAsia="仿宋" w:cs="仿宋"/>
          <w:sz w:val="30"/>
          <w:szCs w:val="30"/>
          <w:lang w:val="en-US" w:eastAsia="zh-CN"/>
        </w:rPr>
        <w:t>加快政策支持力度，尤其是政府公共采购方面的优惠政策。</w:t>
      </w:r>
    </w:p>
    <w:p>
      <w:pPr>
        <w:pStyle w:val="9"/>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Times New Roman" w:hAnsi="Times New Roman" w:eastAsia="楷体"/>
          <w:sz w:val="32"/>
          <w:szCs w:val="32"/>
        </w:rPr>
      </w:pPr>
      <w:r>
        <w:rPr>
          <w:rFonts w:hint="eastAsia" w:ascii="Times New Roman" w:hAnsi="Times New Roman" w:eastAsia="楷体"/>
          <w:sz w:val="32"/>
          <w:szCs w:val="32"/>
        </w:rPr>
        <w:t>无</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480" w:lineRule="exact"/>
        <w:ind w:firstLine="1600" w:firstLineChars="500"/>
        <w:jc w:val="left"/>
        <w:textAlignment w:val="auto"/>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pStyle w:val="9"/>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sz w:val="32"/>
          <w:szCs w:val="32"/>
          <w:lang w:eastAsia="zh-CN"/>
        </w:rPr>
      </w:pPr>
    </w:p>
    <w:p>
      <w:pPr>
        <w:pStyle w:val="9"/>
        <w:spacing w:line="510" w:lineRule="exact"/>
        <w:rPr>
          <w:rFonts w:hint="eastAsia" w:ascii="仿宋" w:hAnsi="仿宋" w:eastAsia="仿宋" w:cs="仿宋"/>
          <w:b/>
          <w:sz w:val="30"/>
          <w:szCs w:val="30"/>
          <w:lang w:val="en-US" w:eastAsia="zh-CN"/>
        </w:rPr>
      </w:pPr>
      <w:r>
        <w:rPr>
          <w:rFonts w:hint="eastAsia" w:ascii="仿宋" w:hAnsi="仿宋" w:eastAsia="仿宋" w:cs="仿宋"/>
          <w:b/>
          <w:sz w:val="30"/>
          <w:szCs w:val="30"/>
          <w:lang w:val="en-US" w:eastAsia="zh-CN"/>
        </w:rPr>
        <w:t xml:space="preserve"> </w:t>
      </w:r>
    </w:p>
    <w:p>
      <w:pPr>
        <w:spacing w:line="400" w:lineRule="exact"/>
        <w:rPr>
          <w:rFonts w:hint="eastAsia" w:ascii="Times New Roman" w:hAnsi="Times New Roman" w:eastAsia="仿宋_GB2312"/>
          <w:bCs/>
          <w:color w:val="000000"/>
          <w:sz w:val="32"/>
          <w:szCs w:val="32"/>
          <w:lang w:val="en-US" w:eastAsia="zh-CN"/>
        </w:rPr>
      </w:pPr>
      <w:bookmarkStart w:id="0" w:name="_GoBack"/>
      <w:r>
        <w:rPr>
          <w:rFonts w:ascii="Times New Roman" w:hAnsi="Times New Roman" w:eastAsia="仿宋_GB2312"/>
          <w:bCs/>
          <w:color w:val="000000"/>
          <w:sz w:val="32"/>
          <w:szCs w:val="32"/>
        </w:rPr>
        <w:t>附件</w:t>
      </w:r>
      <w:r>
        <w:rPr>
          <w:rFonts w:hint="eastAsia" w:eastAsia="仿宋_GB2312"/>
          <w:bCs/>
          <w:color w:val="000000"/>
          <w:sz w:val="32"/>
          <w:szCs w:val="32"/>
          <w:lang w:val="en-US" w:eastAsia="zh-CN"/>
        </w:rPr>
        <w:t>1</w:t>
      </w:r>
    </w:p>
    <w:tbl>
      <w:tblPr>
        <w:tblStyle w:val="7"/>
        <w:tblW w:w="9637" w:type="dxa"/>
        <w:jc w:val="center"/>
        <w:tblLayout w:type="fixed"/>
        <w:tblCellMar>
          <w:top w:w="0" w:type="dxa"/>
          <w:left w:w="108" w:type="dxa"/>
          <w:bottom w:w="0" w:type="dxa"/>
          <w:right w:w="108" w:type="dxa"/>
        </w:tblCellMar>
      </w:tblPr>
      <w:tblGrid>
        <w:gridCol w:w="97"/>
        <w:gridCol w:w="491"/>
        <w:gridCol w:w="980"/>
        <w:gridCol w:w="1138"/>
        <w:gridCol w:w="704"/>
        <w:gridCol w:w="1134"/>
        <w:gridCol w:w="284"/>
        <w:gridCol w:w="850"/>
        <w:gridCol w:w="851"/>
        <w:gridCol w:w="283"/>
        <w:gridCol w:w="284"/>
        <w:gridCol w:w="425"/>
        <w:gridCol w:w="142"/>
        <w:gridCol w:w="709"/>
        <w:gridCol w:w="708"/>
        <w:gridCol w:w="557"/>
      </w:tblGrid>
      <w:tr>
        <w:tblPrEx>
          <w:tblCellMar>
            <w:top w:w="0" w:type="dxa"/>
            <w:left w:w="108" w:type="dxa"/>
            <w:bottom w:w="0" w:type="dxa"/>
            <w:right w:w="108" w:type="dxa"/>
          </w:tblCellMar>
        </w:tblPrEx>
        <w:trPr>
          <w:gridAfter w:val="1"/>
          <w:wAfter w:w="557" w:type="dxa"/>
          <w:trHeight w:val="349" w:hRule="exact"/>
          <w:jc w:val="center"/>
        </w:trPr>
        <w:tc>
          <w:tcPr>
            <w:tcW w:w="9080" w:type="dxa"/>
            <w:gridSpan w:val="15"/>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57" w:type="dxa"/>
          <w:trHeight w:val="201" w:hRule="atLeast"/>
          <w:jc w:val="center"/>
        </w:trPr>
        <w:tc>
          <w:tcPr>
            <w:tcW w:w="9080" w:type="dxa"/>
            <w:gridSpan w:val="15"/>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kern w:val="0"/>
                <w:sz w:val="18"/>
                <w:szCs w:val="18"/>
                <w:lang w:val="en-US" w:eastAsia="zh-CN"/>
              </w:rPr>
              <w:t>消费扶贫生活馆建馆专项工作</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r>
      <w:tr>
        <w:tblPrEx>
          <w:tblCellMar>
            <w:top w:w="0" w:type="dxa"/>
            <w:left w:w="108" w:type="dxa"/>
            <w:bottom w:w="0" w:type="dxa"/>
            <w:right w:w="108" w:type="dxa"/>
          </w:tblCellMar>
        </w:tblPrEx>
        <w:trPr>
          <w:gridAfter w:val="1"/>
          <w:wAfter w:w="557" w:type="dxa"/>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38.91</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38.91</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57" w:type="dxa"/>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仿宋" w:hAnsi="仿宋" w:eastAsia="仿宋" w:cs="仿宋"/>
                <w:i w:val="0"/>
                <w:iCs w:val="0"/>
                <w:color w:val="000000"/>
                <w:kern w:val="0"/>
                <w:sz w:val="15"/>
                <w:szCs w:val="15"/>
                <w:u w:val="none"/>
                <w:lang w:val="en-US" w:eastAsia="zh-CN" w:bidi="ar"/>
              </w:rPr>
              <w:t>以促进优质扶贫产品销售、保障城市“米袋子”“菜篮子”“果盘子”有效供给、构建社会扶贫长效机制</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按时保质完成了建馆，并开业营业</w:t>
            </w:r>
          </w:p>
        </w:tc>
      </w:tr>
      <w:tr>
        <w:tblPrEx>
          <w:tblCellMar>
            <w:top w:w="0" w:type="dxa"/>
            <w:left w:w="108" w:type="dxa"/>
            <w:bottom w:w="0" w:type="dxa"/>
            <w:right w:w="108" w:type="dxa"/>
          </w:tblCellMar>
        </w:tblPrEx>
        <w:trPr>
          <w:gridAfter w:val="1"/>
          <w:wAfter w:w="557" w:type="dxa"/>
          <w:trHeight w:val="533" w:hRule="exact"/>
          <w:jc w:val="center"/>
        </w:trPr>
        <w:tc>
          <w:tcPr>
            <w:tcW w:w="588" w:type="dxa"/>
            <w:gridSpan w:val="2"/>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3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gridAfter w:val="1"/>
          <w:wAfter w:w="557" w:type="dxa"/>
          <w:trHeight w:val="418"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color w:val="000000"/>
                <w:kern w:val="0"/>
                <w:sz w:val="18"/>
                <w:szCs w:val="18"/>
                <w:lang w:val="en-US" w:eastAsia="zh-CN"/>
              </w:rPr>
              <w:t>按省办要求在长沙建馆</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kern w:val="0"/>
                <w:sz w:val="18"/>
                <w:szCs w:val="18"/>
                <w:lang w:val="en-US" w:eastAsia="zh-CN"/>
              </w:rPr>
              <w:t>1</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07"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根据文件要求按质按量建馆</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正常营业</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7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时效指标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在2020年9月之前开馆</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按时完成</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31"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180" w:firstLineChars="100"/>
              <w:jc w:val="center"/>
              <w:rPr>
                <w:rFonts w:hint="default" w:ascii="Times New Roman" w:hAnsi="Times New Roman" w:eastAsia="宋体"/>
                <w:kern w:val="0"/>
                <w:sz w:val="18"/>
                <w:szCs w:val="18"/>
                <w:lang w:val="en-US" w:eastAsia="zh-CN"/>
              </w:rPr>
            </w:pPr>
            <w:r>
              <w:rPr>
                <w:rFonts w:hint="eastAsia"/>
                <w:kern w:val="0"/>
                <w:sz w:val="18"/>
                <w:szCs w:val="18"/>
                <w:lang w:val="en-US" w:eastAsia="zh-CN"/>
              </w:rPr>
              <w:t>成本指标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押金，租金，物业，装修预算39万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38.91万元</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经济效益</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带动扶贫产品的销售</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50万</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39"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对扶贫企业、贫困户的带动</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lang w:val="en-US" w:eastAsia="zh-CN"/>
              </w:rPr>
              <w:t>&gt;=90%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39"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生态效益</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无</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kern w:val="0"/>
                <w:sz w:val="15"/>
                <w:szCs w:val="15"/>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2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可持续</w:t>
            </w:r>
            <w:r>
              <w:rPr>
                <w:rFonts w:hint="eastAsia" w:ascii="Times New Roman" w:hAnsi="Times New Roman"/>
                <w:kern w:val="0"/>
                <w:sz w:val="18"/>
                <w:szCs w:val="18"/>
                <w:lang w:val="en-US" w:eastAsia="zh-CN"/>
              </w:rPr>
              <w:t>影</w:t>
            </w:r>
            <w:r>
              <w:rPr>
                <w:rFonts w:hint="eastAsia" w:ascii="Times New Roman" w:hAnsi="Times New Roman"/>
                <w:kern w:val="0"/>
                <w:sz w:val="18"/>
                <w:szCs w:val="18"/>
              </w:rPr>
              <w:t>响指标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帮助贫困户就业和贫困产品销售</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&gt;=80%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63"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群众满意度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lang w:val="en-US" w:eastAsia="zh-CN"/>
              </w:rPr>
              <w:t>950%</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35"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nil"/>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nil"/>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single" w:color="auto" w:sz="4" w:space="0"/>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97" w:type="dxa"/>
          <w:trHeight w:val="210" w:hRule="atLeast"/>
          <w:jc w:val="center"/>
        </w:trPr>
        <w:tc>
          <w:tcPr>
            <w:tcW w:w="9540" w:type="dxa"/>
            <w:gridSpan w:val="15"/>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p>
    <w:p>
      <w:pPr>
        <w:widowControl/>
        <w:spacing w:line="400" w:lineRule="exact"/>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4"/>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7"/>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16"/>
        <w:gridCol w:w="516"/>
        <w:gridCol w:w="542"/>
        <w:gridCol w:w="546"/>
        <w:gridCol w:w="2176"/>
        <w:gridCol w:w="3667"/>
        <w:gridCol w:w="55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pPr>
        <w:pStyle w:val="2"/>
        <w:rPr>
          <w:rFonts w:hint="eastAsia" w:ascii="仿宋" w:hAnsi="仿宋" w:eastAsia="仿宋" w:cs="仿宋"/>
          <w:sz w:val="30"/>
          <w:szCs w:val="30"/>
        </w:rPr>
      </w:pPr>
    </w:p>
    <w:p>
      <w:pPr>
        <w:pStyle w:val="2"/>
        <w:rPr>
          <w:rFonts w:hint="eastAsia" w:ascii="仿宋" w:hAnsi="仿宋" w:eastAsia="仿宋" w:cs="仿宋"/>
          <w:sz w:val="30"/>
          <w:szCs w:val="30"/>
        </w:rPr>
      </w:pPr>
    </w:p>
    <w:bookmarkEnd w:id="0"/>
    <w:p>
      <w:pPr>
        <w:pStyle w:val="2"/>
        <w:rPr>
          <w:rFonts w:hint="eastAsia" w:ascii="仿宋" w:hAnsi="仿宋" w:eastAsia="仿宋" w:cs="仿宋"/>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5"/>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12</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E5144C"/>
    <w:rsid w:val="0E801063"/>
    <w:rsid w:val="12C50DBC"/>
    <w:rsid w:val="1CFE3B76"/>
    <w:rsid w:val="1D734DBB"/>
    <w:rsid w:val="22B869B6"/>
    <w:rsid w:val="23840CF0"/>
    <w:rsid w:val="262D2F73"/>
    <w:rsid w:val="35CB3791"/>
    <w:rsid w:val="3D763EBC"/>
    <w:rsid w:val="4E9455B2"/>
    <w:rsid w:val="633E1900"/>
    <w:rsid w:val="697C366E"/>
    <w:rsid w:val="7371736D"/>
    <w:rsid w:val="73F9224F"/>
    <w:rsid w:val="74120A48"/>
    <w:rsid w:val="75E5144C"/>
    <w:rsid w:val="7BE650E7"/>
    <w:rsid w:val="7DFD4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rPr>
      <w:rFonts w:eastAsia="仿宋_GB2312"/>
      <w:sz w:val="36"/>
    </w:rPr>
  </w:style>
  <w:style w:type="paragraph" w:styleId="3">
    <w:name w:val="Body Text Indent"/>
    <w:basedOn w:val="1"/>
    <w:qFormat/>
    <w:uiPriority w:val="0"/>
    <w:pPr>
      <w:spacing w:after="120"/>
      <w:ind w:left="420" w:leftChars="200"/>
    </w:pPr>
  </w:style>
  <w:style w:type="paragraph" w:styleId="5">
    <w:name w:val="footer"/>
    <w:basedOn w:val="1"/>
    <w:unhideWhenUsed/>
    <w:qFormat/>
    <w:uiPriority w:val="0"/>
    <w:pPr>
      <w:tabs>
        <w:tab w:val="center" w:pos="4153"/>
        <w:tab w:val="right" w:pos="8306"/>
      </w:tabs>
      <w:snapToGrid w:val="0"/>
      <w:jc w:val="left"/>
    </w:pPr>
    <w:rPr>
      <w:kern w:val="0"/>
      <w:sz w:val="18"/>
      <w:szCs w:val="18"/>
    </w:rPr>
  </w:style>
  <w:style w:type="paragraph" w:styleId="6">
    <w:name w:val="Normal (Web)"/>
    <w:basedOn w:val="1"/>
    <w:unhideWhenUsed/>
    <w:qFormat/>
    <w:uiPriority w:val="99"/>
    <w:pPr>
      <w:widowControl/>
      <w:jc w:val="left"/>
    </w:pPr>
    <w:rPr>
      <w:rFonts w:ascii="宋体" w:hAnsi="宋体" w:cs="宋体"/>
      <w:kern w:val="0"/>
      <w:sz w:val="24"/>
    </w:rPr>
  </w:style>
  <w:style w:type="paragraph" w:styleId="9">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2021-07-29T02:03:00Z</dcterms:created>
  <dc:creator> Wendy</dc:creator>
  <cp:lastModifiedBy>一片婷儿</cp:lastModifiedBy>
  <cp:lastPrinted>2021-07-30T04:40:00Z</cp:lastPrinted>
  <dcterms:modified xsi:type="dcterms:W3CDTF">2021-07-30T07:40:24Z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B641C861C86D4D05B09B259DBB672C7A</vt:lpwstr>
  </property>
</Properties>
</file>