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14"/>
        <w:jc w:val="center"/>
        <w:rPr>
          <w:rFonts w:ascii="Times New Roman" w:hAnsi="Times New Roman" w:eastAsia="新宋体" w:cs="Times New Roman"/>
          <w:bCs/>
          <w:color w:val="000000"/>
          <w:sz w:val="32"/>
          <w:szCs w:val="32"/>
        </w:rPr>
      </w:pPr>
      <w:r>
        <w:rPr>
          <w:rFonts w:eastAsia="方正小标宋_GBK" w:cs="Times New Roman" w:ascii="Times New Roman" w:hAnsi="Times New Roman"/>
          <w:sz w:val="48"/>
          <w:szCs w:val="48"/>
        </w:rPr>
        <w:t>2020</w:t>
      </w:r>
      <w:r>
        <w:rPr>
          <w:rFonts w:ascii="Times New Roman" w:hAnsi="Times New Roman" w:cs="Times New Roman" w:eastAsia="方正小标宋_GBK"/>
          <w:sz w:val="48"/>
          <w:szCs w:val="48"/>
        </w:rPr>
        <w:t>年度部门整体支出绩效自评报告</w:t>
      </w:r>
    </w:p>
    <w:p>
      <w:pPr>
        <w:pStyle w:val="Style14"/>
        <w:jc w:val="center"/>
        <w:rPr>
          <w:rFonts w:ascii="Times New Roman" w:hAnsi="Times New Roman" w:eastAsia="楷体_GB2312" w:cs="Times New Roman"/>
          <w:b/>
          <w:b/>
          <w:sz w:val="32"/>
          <w:szCs w:val="32"/>
        </w:rPr>
      </w:pPr>
      <w:r>
        <w:rPr>
          <w:rFonts w:eastAsia="楷体_GB2312" w:cs="Times New Roman" w:ascii="Times New Roman" w:hAnsi="Times New Roman"/>
          <w:b/>
          <w:sz w:val="32"/>
          <w:szCs w:val="32"/>
        </w:rPr>
      </w:r>
    </w:p>
    <w:p>
      <w:pPr>
        <w:pStyle w:val="Style14"/>
        <w:jc w:val="center"/>
        <w:rPr>
          <w:rFonts w:ascii="Times New Roman" w:hAnsi="Times New Roman" w:eastAsia="黑体;SimHei" w:cs="Times New Roman"/>
          <w:b/>
          <w:b/>
          <w:sz w:val="52"/>
          <w:szCs w:val="52"/>
        </w:rPr>
      </w:pPr>
      <w:r>
        <w:rPr>
          <w:rFonts w:ascii="Times New Roman" w:hAnsi="Times New Roman" w:cs="Times New Roman" w:eastAsia="黑体;SimHei"/>
          <w:b/>
          <w:sz w:val="52"/>
          <w:szCs w:val="52"/>
        </w:rPr>
        <w:t>中</w:t>
      </w:r>
    </w:p>
    <w:p>
      <w:pPr>
        <w:pStyle w:val="Style14"/>
        <w:jc w:val="center"/>
        <w:rPr>
          <w:sz w:val="27"/>
          <w:szCs w:val="27"/>
        </w:rPr>
      </w:pPr>
      <w:r>
        <w:rPr>
          <w:sz w:val="27"/>
          <w:szCs w:val="27"/>
        </w:rPr>
      </w:r>
    </w:p>
    <w:p>
      <w:pPr>
        <w:pStyle w:val="Style14"/>
        <w:jc w:val="center"/>
        <w:rPr>
          <w:rFonts w:ascii="Times New Roman" w:hAnsi="Times New Roman" w:eastAsia="黑体;SimHei" w:cs="Times New Roman"/>
          <w:b/>
          <w:b/>
          <w:sz w:val="52"/>
          <w:szCs w:val="52"/>
        </w:rPr>
      </w:pPr>
      <w:r>
        <w:rPr>
          <w:rFonts w:ascii="Times New Roman" w:hAnsi="Times New Roman" w:cs="Times New Roman" w:eastAsia="黑体;SimHei"/>
          <w:b/>
          <w:sz w:val="52"/>
          <w:szCs w:val="52"/>
        </w:rPr>
        <w:t>方</w:t>
      </w:r>
    </w:p>
    <w:p>
      <w:pPr>
        <w:pStyle w:val="Style14"/>
        <w:jc w:val="center"/>
        <w:rPr>
          <w:sz w:val="27"/>
          <w:szCs w:val="27"/>
        </w:rPr>
      </w:pPr>
      <w:r>
        <w:rPr>
          <w:sz w:val="27"/>
          <w:szCs w:val="27"/>
        </w:rPr>
      </w:r>
    </w:p>
    <w:p>
      <w:pPr>
        <w:pStyle w:val="Style14"/>
        <w:jc w:val="center"/>
        <w:rPr>
          <w:rFonts w:ascii="Times New Roman" w:hAnsi="Times New Roman" w:eastAsia="黑体;SimHei" w:cs="Times New Roman"/>
          <w:b/>
          <w:b/>
          <w:sz w:val="52"/>
          <w:szCs w:val="52"/>
        </w:rPr>
      </w:pPr>
      <w:r>
        <w:rPr>
          <w:rFonts w:ascii="Times New Roman" w:hAnsi="Times New Roman" w:cs="Times New Roman" w:eastAsia="黑体;SimHei"/>
          <w:b/>
          <w:sz w:val="52"/>
          <w:szCs w:val="52"/>
        </w:rPr>
        <w:t>县</w:t>
      </w:r>
    </w:p>
    <w:p>
      <w:pPr>
        <w:pStyle w:val="Style14"/>
        <w:jc w:val="center"/>
        <w:rPr>
          <w:sz w:val="27"/>
          <w:szCs w:val="27"/>
        </w:rPr>
      </w:pPr>
      <w:r>
        <w:rPr>
          <w:sz w:val="27"/>
          <w:szCs w:val="27"/>
        </w:rPr>
      </w:r>
    </w:p>
    <w:p>
      <w:pPr>
        <w:pStyle w:val="Style14"/>
        <w:jc w:val="center"/>
        <w:rPr>
          <w:rFonts w:ascii="Times New Roman" w:hAnsi="Times New Roman" w:eastAsia="黑体;SimHei" w:cs="Times New Roman"/>
          <w:b/>
          <w:b/>
          <w:sz w:val="52"/>
          <w:szCs w:val="52"/>
        </w:rPr>
      </w:pPr>
      <w:r>
        <w:rPr>
          <w:rFonts w:ascii="Times New Roman" w:hAnsi="Times New Roman" w:cs="Times New Roman" w:eastAsia="黑体;SimHei"/>
          <w:b/>
          <w:sz w:val="52"/>
          <w:szCs w:val="52"/>
        </w:rPr>
        <w:t>应</w:t>
      </w:r>
    </w:p>
    <w:p>
      <w:pPr>
        <w:pStyle w:val="Style14"/>
        <w:jc w:val="center"/>
        <w:rPr>
          <w:sz w:val="27"/>
          <w:szCs w:val="27"/>
        </w:rPr>
      </w:pPr>
      <w:r>
        <w:rPr>
          <w:sz w:val="27"/>
          <w:szCs w:val="27"/>
        </w:rPr>
      </w:r>
    </w:p>
    <w:p>
      <w:pPr>
        <w:pStyle w:val="Style14"/>
        <w:jc w:val="center"/>
        <w:rPr>
          <w:rFonts w:ascii="Times New Roman" w:hAnsi="Times New Roman" w:eastAsia="黑体;SimHei" w:cs="Times New Roman"/>
          <w:b/>
          <w:b/>
          <w:sz w:val="52"/>
          <w:szCs w:val="52"/>
        </w:rPr>
      </w:pPr>
      <w:r>
        <w:rPr>
          <w:rFonts w:ascii="Times New Roman" w:hAnsi="Times New Roman" w:cs="Times New Roman" w:eastAsia="黑体;SimHei"/>
          <w:b/>
          <w:sz w:val="52"/>
          <w:szCs w:val="52"/>
        </w:rPr>
        <w:t>急</w:t>
      </w:r>
    </w:p>
    <w:p>
      <w:pPr>
        <w:pStyle w:val="Style14"/>
        <w:jc w:val="center"/>
        <w:rPr>
          <w:sz w:val="27"/>
          <w:szCs w:val="27"/>
        </w:rPr>
      </w:pPr>
      <w:r>
        <w:rPr>
          <w:sz w:val="27"/>
          <w:szCs w:val="27"/>
        </w:rPr>
      </w:r>
    </w:p>
    <w:p>
      <w:pPr>
        <w:pStyle w:val="Style14"/>
        <w:jc w:val="center"/>
        <w:rPr>
          <w:rFonts w:ascii="Times New Roman" w:hAnsi="Times New Roman" w:eastAsia="黑体;SimHei" w:cs="Times New Roman"/>
          <w:b/>
          <w:b/>
          <w:sz w:val="52"/>
          <w:szCs w:val="52"/>
        </w:rPr>
      </w:pPr>
      <w:r>
        <w:rPr>
          <w:rFonts w:ascii="Times New Roman" w:hAnsi="Times New Roman" w:cs="Times New Roman" w:eastAsia="黑体;SimHei"/>
          <w:b/>
          <w:sz w:val="52"/>
          <w:szCs w:val="52"/>
        </w:rPr>
        <w:t>管</w:t>
      </w:r>
    </w:p>
    <w:p>
      <w:pPr>
        <w:pStyle w:val="Style14"/>
        <w:jc w:val="center"/>
        <w:rPr>
          <w:sz w:val="27"/>
          <w:szCs w:val="27"/>
        </w:rPr>
      </w:pPr>
      <w:r>
        <w:rPr>
          <w:sz w:val="27"/>
          <w:szCs w:val="27"/>
        </w:rPr>
      </w:r>
    </w:p>
    <w:p>
      <w:pPr>
        <w:pStyle w:val="Style14"/>
        <w:jc w:val="center"/>
        <w:rPr>
          <w:rFonts w:ascii="Times New Roman" w:hAnsi="Times New Roman" w:eastAsia="黑体;SimHei" w:cs="Times New Roman"/>
          <w:b/>
          <w:b/>
          <w:sz w:val="52"/>
          <w:szCs w:val="52"/>
        </w:rPr>
      </w:pPr>
      <w:r>
        <w:rPr>
          <w:rFonts w:ascii="Times New Roman" w:hAnsi="Times New Roman" w:cs="Times New Roman" w:eastAsia="黑体;SimHei"/>
          <w:b/>
          <w:sz w:val="52"/>
          <w:szCs w:val="52"/>
        </w:rPr>
        <w:t>理</w:t>
      </w:r>
    </w:p>
    <w:p>
      <w:pPr>
        <w:pStyle w:val="Style14"/>
        <w:jc w:val="center"/>
        <w:rPr>
          <w:sz w:val="27"/>
          <w:szCs w:val="27"/>
        </w:rPr>
      </w:pPr>
      <w:r>
        <w:rPr>
          <w:sz w:val="27"/>
          <w:szCs w:val="27"/>
        </w:rPr>
      </w:r>
    </w:p>
    <w:p>
      <w:pPr>
        <w:pStyle w:val="Style14"/>
        <w:jc w:val="center"/>
        <w:rPr>
          <w:rFonts w:ascii="Times New Roman" w:hAnsi="Times New Roman" w:eastAsia="黑体;SimHei" w:cs="Times New Roman"/>
          <w:b/>
          <w:b/>
          <w:sz w:val="52"/>
          <w:szCs w:val="52"/>
        </w:rPr>
      </w:pPr>
      <w:r>
        <w:rPr>
          <w:rFonts w:ascii="Times New Roman" w:hAnsi="Times New Roman" w:cs="Times New Roman" w:eastAsia="黑体;SimHei"/>
          <w:b/>
          <w:sz w:val="52"/>
          <w:szCs w:val="52"/>
        </w:rPr>
        <w:t>局</w:t>
      </w:r>
    </w:p>
    <w:p>
      <w:pPr>
        <w:pStyle w:val="Style16"/>
        <w:widowControl/>
        <w:spacing w:lineRule="exact" w:line="600"/>
        <w:ind w:hanging="0"/>
        <w:rPr>
          <w:rFonts w:ascii="Times New Roman" w:hAnsi="Times New Roman" w:eastAsia="黑体;SimHei" w:cs="Times New Roman"/>
          <w:bCs/>
          <w:color w:val="000000"/>
          <w:sz w:val="32"/>
          <w:szCs w:val="32"/>
        </w:rPr>
      </w:pPr>
      <w:r>
        <w:rPr>
          <w:rFonts w:eastAsia="黑体;SimHei" w:cs="Times New Roman" w:ascii="Times New Roman" w:hAnsi="Times New Roman"/>
          <w:bCs/>
          <w:color w:val="000000"/>
          <w:sz w:val="32"/>
          <w:szCs w:val="32"/>
        </w:rPr>
      </w:r>
    </w:p>
    <w:p>
      <w:pPr>
        <w:pStyle w:val="Style16"/>
        <w:widowControl/>
        <w:spacing w:lineRule="exact" w:line="600"/>
        <w:ind w:hanging="0"/>
        <w:jc w:val="center"/>
        <w:rPr>
          <w:rFonts w:ascii="Times New Roman" w:hAnsi="Times New Roman" w:eastAsia="新宋体" w:cs="Times New Roman"/>
          <w:bCs/>
          <w:color w:val="000000"/>
          <w:sz w:val="32"/>
          <w:szCs w:val="32"/>
        </w:rPr>
      </w:pPr>
      <w:r>
        <w:rPr>
          <w:rFonts w:eastAsia="新宋体" w:cs="Times New Roman" w:ascii="Times New Roman" w:hAnsi="Times New Roman"/>
          <w:bCs/>
          <w:color w:val="000000"/>
          <w:sz w:val="32"/>
          <w:szCs w:val="32"/>
        </w:rPr>
      </w:r>
    </w:p>
    <w:p>
      <w:pPr>
        <w:pStyle w:val="Style16"/>
        <w:widowControl/>
        <w:spacing w:lineRule="exact" w:line="600"/>
        <w:ind w:hanging="0"/>
        <w:jc w:val="center"/>
        <w:rPr>
          <w:sz w:val="48"/>
          <w:szCs w:val="48"/>
        </w:rPr>
      </w:pPr>
      <w:r>
        <w:rPr>
          <w:sz w:val="48"/>
          <w:szCs w:val="48"/>
        </w:rPr>
        <w:t>2020</w:t>
      </w:r>
      <w:r>
        <w:rPr>
          <w:sz w:val="48"/>
          <w:szCs w:val="48"/>
        </w:rPr>
        <w:t>年</w:t>
      </w:r>
      <w:r>
        <w:rPr>
          <w:sz w:val="48"/>
          <w:szCs w:val="48"/>
        </w:rPr>
        <w:t>12</w:t>
      </w:r>
      <w:r>
        <w:rPr>
          <w:sz w:val="48"/>
          <w:szCs w:val="48"/>
        </w:rPr>
        <w:t>月</w:t>
      </w:r>
      <w:r>
        <w:br w:type="page"/>
      </w:r>
    </w:p>
    <w:p>
      <w:pPr>
        <w:pStyle w:val="Style14"/>
        <w:widowControl/>
        <w:spacing w:lineRule="exact" w:line="600"/>
        <w:ind w:hanging="0"/>
        <w:jc w:val="center"/>
        <w:rPr>
          <w:rFonts w:ascii="Times New Roman" w:hAnsi="Times New Roman" w:eastAsia="黑体;SimHei" w:cs="Times New Roman"/>
          <w:bCs/>
          <w:color w:val="000000"/>
          <w:sz w:val="32"/>
          <w:szCs w:val="32"/>
        </w:rPr>
      </w:pPr>
      <w:r>
        <w:rPr>
          <w:rFonts w:ascii="宋体;SimSun" w:hAnsi="宋体;SimSun" w:cs="宋体;SimSun" w:eastAsia="黑体;SimHei"/>
          <w:bCs/>
          <w:color w:val="000000"/>
          <w:sz w:val="44"/>
          <w:szCs w:val="44"/>
        </w:rPr>
        <w:t>中方县应急管理局</w:t>
      </w:r>
      <w:r>
        <w:rPr>
          <w:rFonts w:eastAsia="黑体;SimHei" w:cs="宋体;SimSun" w:ascii="宋体;SimSun" w:hAnsi="宋体;SimSun"/>
          <w:bCs/>
          <w:color w:val="000000"/>
          <w:sz w:val="44"/>
          <w:szCs w:val="44"/>
        </w:rPr>
        <w:t>2020</w:t>
      </w:r>
      <w:r>
        <w:rPr>
          <w:rFonts w:ascii="宋体;SimSun" w:hAnsi="宋体;SimSun" w:cs="宋体;SimSun" w:eastAsia="黑体;SimHei"/>
          <w:bCs/>
          <w:color w:val="000000"/>
          <w:sz w:val="44"/>
          <w:szCs w:val="44"/>
        </w:rPr>
        <w:t>年度部门整体支出绩效自评报告</w:t>
      </w:r>
    </w:p>
    <w:p>
      <w:pPr>
        <w:pStyle w:val="Style16"/>
        <w:widowControl/>
        <w:spacing w:lineRule="exact" w:line="600"/>
        <w:ind w:hanging="0"/>
        <w:rPr>
          <w:rFonts w:ascii="Times New Roman" w:hAnsi="Times New Roman" w:eastAsia="黑体;SimHei" w:cs="Times New Roman"/>
          <w:bCs/>
          <w:color w:val="000000"/>
          <w:sz w:val="32"/>
          <w:szCs w:val="32"/>
        </w:rPr>
      </w:pPr>
      <w:r>
        <w:rPr>
          <w:rFonts w:ascii="Times New Roman" w:hAnsi="Times New Roman" w:cs="Times New Roman" w:eastAsia="黑体;SimHei"/>
          <w:bCs/>
          <w:color w:val="000000"/>
          <w:sz w:val="32"/>
          <w:szCs w:val="32"/>
        </w:rPr>
        <w:t>一、单位基本情况</w:t>
      </w:r>
    </w:p>
    <w:p>
      <w:pPr>
        <w:pStyle w:val="Style14"/>
        <w:keepNext w:val="false"/>
        <w:keepLines w:val="false"/>
        <w:pageBreakBefore w:val="false"/>
        <w:overflowPunct w:val="true"/>
        <w:bidi w:val="0"/>
        <w:snapToGrid w:val="false"/>
        <w:spacing w:lineRule="exact" w:line="560"/>
        <w:ind w:hanging="0"/>
        <w:textAlignment w:val="auto"/>
        <w:rPr>
          <w:rFonts w:ascii="仿宋" w:hAnsi="仿宋" w:eastAsia="仿宋"/>
          <w:sz w:val="32"/>
          <w:szCs w:val="32"/>
        </w:rPr>
      </w:pPr>
      <w:r>
        <w:rPr>
          <w:rFonts w:ascii="仿宋" w:hAnsi="仿宋" w:eastAsia="仿宋"/>
          <w:sz w:val="32"/>
          <w:szCs w:val="32"/>
          <w:lang w:val="en-US" w:eastAsia="zh-CN"/>
        </w:rPr>
        <w:t xml:space="preserve">   </w:t>
      </w:r>
      <w:r>
        <w:rPr>
          <w:rFonts w:eastAsia="仿宋" w:ascii="仿宋" w:hAnsi="仿宋"/>
          <w:sz w:val="32"/>
          <w:szCs w:val="32"/>
          <w:lang w:val="en-US" w:eastAsia="zh-CN"/>
        </w:rPr>
        <w:t>1</w:t>
      </w:r>
      <w:r>
        <w:rPr>
          <w:rFonts w:ascii="仿宋" w:hAnsi="仿宋" w:eastAsia="仿宋"/>
          <w:sz w:val="32"/>
          <w:szCs w:val="32"/>
          <w:lang w:val="en-US" w:eastAsia="zh-CN"/>
        </w:rPr>
        <w:t>、</w:t>
      </w:r>
      <w:r>
        <w:rPr>
          <w:rFonts w:ascii="仿宋" w:hAnsi="仿宋" w:eastAsia="仿宋"/>
          <w:sz w:val="32"/>
          <w:szCs w:val="32"/>
        </w:rPr>
        <w:t>负责应急管理工作，指导全县各乡镇各部门应对安全生产类、自然灾害类等突发事件和综合防灾减灾救灾工作。负责安全生产综合监督管理和矿山、危险化学品、烟花爆竹行业安全生产监督管理工作。</w:t>
      </w:r>
    </w:p>
    <w:p>
      <w:pPr>
        <w:pStyle w:val="Style14"/>
        <w:keepNext w:val="false"/>
        <w:keepLines w:val="false"/>
        <w:pageBreakBefore w:val="false"/>
        <w:overflowPunct w:val="true"/>
        <w:bidi w:val="0"/>
        <w:snapToGrid w:val="false"/>
        <w:spacing w:lineRule="exact" w:line="560"/>
        <w:ind w:hanging="0"/>
        <w:textAlignment w:val="auto"/>
        <w:rPr>
          <w:rFonts w:ascii="仿宋" w:hAnsi="仿宋" w:eastAsia="仿宋"/>
          <w:sz w:val="32"/>
          <w:szCs w:val="32"/>
        </w:rPr>
      </w:pPr>
      <w:r>
        <w:rPr>
          <w:rFonts w:ascii="仿宋" w:hAnsi="仿宋" w:eastAsia="仿宋"/>
          <w:sz w:val="32"/>
          <w:szCs w:val="32"/>
          <w:lang w:val="en-US" w:eastAsia="zh-CN"/>
        </w:rPr>
        <w:t xml:space="preserve">   </w:t>
      </w:r>
      <w:r>
        <w:rPr>
          <w:rFonts w:eastAsia="仿宋" w:ascii="仿宋" w:hAnsi="仿宋"/>
          <w:sz w:val="32"/>
          <w:szCs w:val="32"/>
          <w:lang w:val="en-US" w:eastAsia="zh-CN"/>
        </w:rPr>
        <w:t>2</w:t>
      </w:r>
      <w:r>
        <w:rPr>
          <w:rFonts w:ascii="仿宋" w:hAnsi="仿宋" w:eastAsia="仿宋"/>
          <w:sz w:val="32"/>
          <w:szCs w:val="32"/>
          <w:lang w:val="en-US" w:eastAsia="zh-CN"/>
        </w:rPr>
        <w:t>、</w:t>
      </w:r>
      <w:r>
        <w:rPr>
          <w:rFonts w:ascii="仿宋" w:hAnsi="仿宋" w:eastAsia="仿宋"/>
          <w:sz w:val="32"/>
          <w:szCs w:val="32"/>
        </w:rPr>
        <w:t>贯彻实施相关法律法规、部门规章、规程和标准，组织编制全县应急体系建设、安全生产和综合防灾减灾规划，根据国家相关政策、法律法规、规章及上级有关文件组织起草相关实施办法草案，组织拟订有关规程和标准并监督实施。</w:t>
      </w:r>
    </w:p>
    <w:p>
      <w:pPr>
        <w:pStyle w:val="Style14"/>
        <w:keepNext w:val="false"/>
        <w:keepLines w:val="false"/>
        <w:pageBreakBefore w:val="false"/>
        <w:overflowPunct w:val="true"/>
        <w:bidi w:val="0"/>
        <w:snapToGrid w:val="false"/>
        <w:spacing w:lineRule="exact" w:line="560"/>
        <w:ind w:hanging="0"/>
        <w:textAlignment w:val="auto"/>
        <w:rPr>
          <w:rFonts w:ascii="仿宋" w:hAnsi="仿宋" w:eastAsia="仿宋"/>
          <w:sz w:val="32"/>
          <w:szCs w:val="32"/>
        </w:rPr>
      </w:pPr>
      <w:r>
        <w:rPr>
          <w:rFonts w:ascii="仿宋" w:hAnsi="仿宋" w:eastAsia="仿宋"/>
          <w:sz w:val="32"/>
          <w:szCs w:val="32"/>
          <w:lang w:val="en-US" w:eastAsia="zh-CN"/>
        </w:rPr>
        <w:t xml:space="preserve">   </w:t>
      </w:r>
      <w:r>
        <w:rPr>
          <w:rFonts w:eastAsia="仿宋" w:ascii="仿宋" w:hAnsi="仿宋"/>
          <w:sz w:val="32"/>
          <w:szCs w:val="32"/>
          <w:lang w:val="en-US" w:eastAsia="zh-CN"/>
        </w:rPr>
        <w:t>3</w:t>
      </w:r>
      <w:r>
        <w:rPr>
          <w:rFonts w:ascii="仿宋" w:hAnsi="仿宋" w:eastAsia="仿宋"/>
          <w:sz w:val="32"/>
          <w:szCs w:val="32"/>
          <w:lang w:val="en-US" w:eastAsia="zh-CN"/>
        </w:rPr>
        <w:t>、</w:t>
      </w:r>
      <w:r>
        <w:rPr>
          <w:rFonts w:ascii="仿宋" w:hAnsi="仿宋" w:eastAsia="仿宋"/>
          <w:sz w:val="32"/>
          <w:szCs w:val="32"/>
        </w:rPr>
        <w:t>指导应急预案体系建设，建立完善事故灾难和自然灾害分级应对制度，组织编制中方县总体应急预案和安全生产类、自然灾害类专项预案，综合协调应急预案衔接工作，组织开展预案演练，推动应急避难设施建设。</w:t>
      </w:r>
    </w:p>
    <w:p>
      <w:pPr>
        <w:pStyle w:val="Style14"/>
        <w:keepNext w:val="false"/>
        <w:keepLines w:val="false"/>
        <w:pageBreakBefore w:val="false"/>
        <w:overflowPunct w:val="true"/>
        <w:bidi w:val="0"/>
        <w:snapToGrid w:val="false"/>
        <w:spacing w:lineRule="exact" w:line="560"/>
        <w:ind w:hanging="0"/>
        <w:textAlignment w:val="auto"/>
        <w:rPr>
          <w:rFonts w:ascii="仿宋" w:hAnsi="仿宋" w:eastAsia="仿宋"/>
          <w:sz w:val="32"/>
          <w:szCs w:val="32"/>
        </w:rPr>
      </w:pPr>
      <w:r>
        <w:rPr>
          <w:rFonts w:ascii="仿宋" w:hAnsi="仿宋" w:eastAsia="仿宋"/>
          <w:sz w:val="32"/>
          <w:szCs w:val="32"/>
          <w:lang w:val="en-US" w:eastAsia="zh-CN"/>
        </w:rPr>
        <w:t xml:space="preserve">   </w:t>
      </w:r>
      <w:r>
        <w:rPr>
          <w:rFonts w:eastAsia="仿宋" w:ascii="仿宋" w:hAnsi="仿宋"/>
          <w:sz w:val="32"/>
          <w:szCs w:val="32"/>
          <w:lang w:val="en-US" w:eastAsia="zh-CN"/>
        </w:rPr>
        <w:t>4</w:t>
      </w:r>
      <w:r>
        <w:rPr>
          <w:rFonts w:ascii="仿宋" w:hAnsi="仿宋" w:eastAsia="仿宋"/>
          <w:sz w:val="32"/>
          <w:szCs w:val="32"/>
          <w:lang w:val="en-US" w:eastAsia="zh-CN"/>
        </w:rPr>
        <w:t>、</w:t>
      </w:r>
      <w:r>
        <w:rPr>
          <w:rFonts w:ascii="仿宋" w:hAnsi="仿宋" w:eastAsia="仿宋"/>
          <w:sz w:val="32"/>
          <w:szCs w:val="32"/>
        </w:rPr>
        <w:t>牵头推进全县统一的应急管理信息系统建设，负责信息传输渠道的规划和布局，建立监测预警和灾情报告制度，健全自然灾害信息资源获取和共享机制，依法统一发布灾情。</w:t>
      </w:r>
    </w:p>
    <w:p>
      <w:pPr>
        <w:pStyle w:val="Style14"/>
        <w:keepNext w:val="false"/>
        <w:keepLines w:val="false"/>
        <w:pageBreakBefore w:val="false"/>
        <w:overflowPunct w:val="true"/>
        <w:bidi w:val="0"/>
        <w:snapToGrid w:val="false"/>
        <w:spacing w:lineRule="exact" w:line="560"/>
        <w:ind w:hanging="0"/>
        <w:textAlignment w:val="auto"/>
        <w:rPr>
          <w:rFonts w:ascii="仿宋" w:hAnsi="仿宋" w:eastAsia="仿宋"/>
          <w:sz w:val="32"/>
          <w:szCs w:val="32"/>
        </w:rPr>
      </w:pPr>
      <w:r>
        <w:rPr>
          <w:rFonts w:ascii="仿宋" w:hAnsi="仿宋" w:eastAsia="仿宋"/>
          <w:sz w:val="32"/>
          <w:szCs w:val="32"/>
          <w:lang w:val="en-US" w:eastAsia="zh-CN"/>
        </w:rPr>
        <w:t xml:space="preserve">   </w:t>
      </w:r>
      <w:r>
        <w:rPr>
          <w:rFonts w:eastAsia="仿宋" w:ascii="仿宋" w:hAnsi="仿宋"/>
          <w:sz w:val="32"/>
          <w:szCs w:val="32"/>
          <w:lang w:val="en-US" w:eastAsia="zh-CN"/>
        </w:rPr>
        <w:t>5</w:t>
      </w:r>
      <w:r>
        <w:rPr>
          <w:rFonts w:ascii="仿宋" w:hAnsi="仿宋" w:eastAsia="仿宋"/>
          <w:sz w:val="32"/>
          <w:szCs w:val="32"/>
          <w:lang w:val="en-US" w:eastAsia="zh-CN"/>
        </w:rPr>
        <w:t>、</w:t>
      </w:r>
      <w:r>
        <w:rPr>
          <w:rFonts w:ascii="仿宋" w:hAnsi="仿宋" w:eastAsia="仿宋"/>
          <w:sz w:val="32"/>
          <w:szCs w:val="32"/>
        </w:rPr>
        <w:t>组织指导协调安全生产类、自然灾害类等突发事件应急救援，承担县应对较大灾害指挥部工作，综合研判突发事件发展态势并提出应对建议，协助县委、县政府指定的负责同志组织一般及以上灾害应急处置工作。</w:t>
      </w:r>
    </w:p>
    <w:p>
      <w:pPr>
        <w:pStyle w:val="Style14"/>
        <w:keepNext w:val="false"/>
        <w:keepLines w:val="false"/>
        <w:pageBreakBefore w:val="false"/>
        <w:overflowPunct w:val="true"/>
        <w:bidi w:val="0"/>
        <w:snapToGrid w:val="false"/>
        <w:spacing w:lineRule="exact" w:line="560"/>
        <w:ind w:hanging="0"/>
        <w:textAlignment w:val="auto"/>
        <w:rPr>
          <w:rFonts w:ascii="仿宋" w:hAnsi="仿宋" w:eastAsia="仿宋"/>
          <w:sz w:val="32"/>
          <w:szCs w:val="32"/>
        </w:rPr>
      </w:pPr>
      <w:r>
        <w:rPr>
          <w:rFonts w:ascii="仿宋" w:hAnsi="仿宋" w:eastAsia="仿宋"/>
          <w:sz w:val="32"/>
          <w:szCs w:val="32"/>
          <w:lang w:val="en-US" w:eastAsia="zh-CN"/>
        </w:rPr>
        <w:t xml:space="preserve">   </w:t>
      </w:r>
      <w:r>
        <w:rPr>
          <w:rFonts w:eastAsia="仿宋" w:ascii="仿宋" w:hAnsi="仿宋"/>
          <w:sz w:val="32"/>
          <w:szCs w:val="32"/>
          <w:lang w:val="en-US" w:eastAsia="zh-CN"/>
        </w:rPr>
        <w:t>6</w:t>
      </w:r>
      <w:r>
        <w:rPr>
          <w:rFonts w:ascii="仿宋" w:hAnsi="仿宋" w:eastAsia="仿宋"/>
          <w:sz w:val="32"/>
          <w:szCs w:val="32"/>
          <w:lang w:val="en-US" w:eastAsia="zh-CN"/>
        </w:rPr>
        <w:t>、</w:t>
      </w:r>
      <w:r>
        <w:rPr>
          <w:rFonts w:ascii="仿宋" w:hAnsi="仿宋" w:eastAsia="仿宋"/>
          <w:sz w:val="32"/>
          <w:szCs w:val="32"/>
        </w:rPr>
        <w:t>统一协调指挥各类应急专业队伍，建立应急协调联动机制，推进指挥平台对接，负责做好有关队伍参与应急救援的衔接工作。</w:t>
      </w:r>
    </w:p>
    <w:p>
      <w:pPr>
        <w:pStyle w:val="Style14"/>
        <w:keepNext w:val="false"/>
        <w:keepLines w:val="false"/>
        <w:pageBreakBefore w:val="false"/>
        <w:overflowPunct w:val="true"/>
        <w:bidi w:val="0"/>
        <w:snapToGrid w:val="false"/>
        <w:spacing w:lineRule="exact" w:line="560"/>
        <w:ind w:hanging="0"/>
        <w:textAlignment w:val="auto"/>
        <w:rPr>
          <w:rFonts w:ascii="仿宋" w:hAnsi="仿宋" w:eastAsia="仿宋"/>
          <w:sz w:val="32"/>
          <w:szCs w:val="32"/>
        </w:rPr>
      </w:pPr>
      <w:r>
        <w:rPr>
          <w:rFonts w:ascii="仿宋" w:hAnsi="仿宋" w:eastAsia="仿宋"/>
          <w:sz w:val="32"/>
          <w:szCs w:val="32"/>
          <w:lang w:val="en-US" w:eastAsia="zh-CN"/>
        </w:rPr>
        <w:t xml:space="preserve">   </w:t>
      </w:r>
      <w:r>
        <w:rPr>
          <w:rFonts w:eastAsia="仿宋" w:ascii="仿宋" w:hAnsi="仿宋"/>
          <w:sz w:val="32"/>
          <w:szCs w:val="32"/>
          <w:lang w:val="en-US" w:eastAsia="zh-CN"/>
        </w:rPr>
        <w:t>7</w:t>
      </w:r>
      <w:r>
        <w:rPr>
          <w:rFonts w:ascii="仿宋" w:hAnsi="仿宋" w:eastAsia="仿宋"/>
          <w:sz w:val="32"/>
          <w:szCs w:val="32"/>
          <w:lang w:val="en-US" w:eastAsia="zh-CN"/>
        </w:rPr>
        <w:t>、</w:t>
      </w:r>
      <w:r>
        <w:rPr>
          <w:rFonts w:ascii="仿宋" w:hAnsi="仿宋" w:eastAsia="仿宋"/>
          <w:sz w:val="32"/>
          <w:szCs w:val="32"/>
        </w:rPr>
        <w:t>统筹全县应急救援力量建设，负责消防、森林火灾扑救、抗洪抢险、地震和地质灾害救援、生产安全事故救援等专业应急救援力量建设，依权限做好综合性应急救援队伍建设的相关工作，指导全县社会应急救援力量建设。</w:t>
      </w:r>
    </w:p>
    <w:p>
      <w:pPr>
        <w:pStyle w:val="Style14"/>
        <w:keepNext w:val="false"/>
        <w:keepLines w:val="false"/>
        <w:pageBreakBefore w:val="false"/>
        <w:overflowPunct w:val="true"/>
        <w:bidi w:val="0"/>
        <w:snapToGrid w:val="false"/>
        <w:spacing w:lineRule="exact" w:line="560"/>
        <w:ind w:hanging="0"/>
        <w:textAlignment w:val="auto"/>
        <w:rPr>
          <w:rFonts w:ascii="仿宋" w:hAnsi="仿宋" w:eastAsia="仿宋"/>
          <w:sz w:val="32"/>
          <w:szCs w:val="32"/>
        </w:rPr>
      </w:pPr>
      <w:r>
        <w:rPr>
          <w:rFonts w:ascii="仿宋" w:hAnsi="仿宋" w:eastAsia="仿宋"/>
          <w:sz w:val="32"/>
          <w:szCs w:val="32"/>
          <w:lang w:val="en-US" w:eastAsia="zh-CN"/>
        </w:rPr>
        <w:t xml:space="preserve">   </w:t>
      </w:r>
      <w:r>
        <w:rPr>
          <w:rFonts w:eastAsia="仿宋" w:ascii="仿宋" w:hAnsi="仿宋"/>
          <w:sz w:val="32"/>
          <w:szCs w:val="32"/>
          <w:lang w:val="en-US" w:eastAsia="zh-CN"/>
        </w:rPr>
        <w:t>8</w:t>
      </w:r>
      <w:r>
        <w:rPr>
          <w:rFonts w:ascii="仿宋" w:hAnsi="仿宋" w:eastAsia="仿宋"/>
          <w:sz w:val="32"/>
          <w:szCs w:val="32"/>
          <w:lang w:val="en-US" w:eastAsia="zh-CN"/>
        </w:rPr>
        <w:t>、</w:t>
      </w:r>
      <w:r>
        <w:rPr>
          <w:rFonts w:ascii="仿宋" w:hAnsi="仿宋" w:eastAsia="仿宋"/>
          <w:sz w:val="32"/>
          <w:szCs w:val="32"/>
        </w:rPr>
        <w:t>负责全县消防管理有关工作，指导、监督全县消防管理工作，指导全县火灾预防、火灾扑救等工作。</w:t>
      </w:r>
    </w:p>
    <w:p>
      <w:pPr>
        <w:pStyle w:val="Style14"/>
        <w:keepNext w:val="false"/>
        <w:keepLines w:val="false"/>
        <w:pageBreakBefore w:val="false"/>
        <w:overflowPunct w:val="true"/>
        <w:bidi w:val="0"/>
        <w:snapToGrid w:val="false"/>
        <w:spacing w:lineRule="exact" w:line="560"/>
        <w:ind w:hanging="0"/>
        <w:textAlignment w:val="auto"/>
        <w:rPr>
          <w:rFonts w:ascii="仿宋" w:hAnsi="仿宋" w:eastAsia="仿宋"/>
          <w:sz w:val="32"/>
          <w:szCs w:val="32"/>
        </w:rPr>
      </w:pPr>
      <w:r>
        <w:rPr>
          <w:rFonts w:ascii="仿宋" w:hAnsi="仿宋" w:eastAsia="仿宋"/>
          <w:sz w:val="32"/>
          <w:szCs w:val="32"/>
          <w:lang w:val="en-US" w:eastAsia="zh-CN"/>
        </w:rPr>
        <w:t xml:space="preserve">   </w:t>
      </w:r>
      <w:r>
        <w:rPr>
          <w:rFonts w:eastAsia="仿宋" w:ascii="仿宋" w:hAnsi="仿宋"/>
          <w:sz w:val="32"/>
          <w:szCs w:val="32"/>
          <w:lang w:val="en-US" w:eastAsia="zh-CN"/>
        </w:rPr>
        <w:t>9</w:t>
      </w:r>
      <w:r>
        <w:rPr>
          <w:rFonts w:ascii="仿宋" w:hAnsi="仿宋" w:eastAsia="仿宋"/>
          <w:sz w:val="32"/>
          <w:szCs w:val="32"/>
          <w:lang w:val="en-US" w:eastAsia="zh-CN"/>
        </w:rPr>
        <w:t>、</w:t>
      </w:r>
      <w:r>
        <w:rPr>
          <w:rFonts w:ascii="仿宋" w:hAnsi="仿宋" w:eastAsia="仿宋"/>
          <w:sz w:val="32"/>
          <w:szCs w:val="32"/>
        </w:rPr>
        <w:t>指导协调全县森林火灾、水旱灾害、地震和地质灾害等防治工作，负责自然灾害综合监测预警工作，指导开展自然灾害综合风险评估工作。</w:t>
      </w:r>
    </w:p>
    <w:p>
      <w:pPr>
        <w:pStyle w:val="Style14"/>
        <w:keepNext w:val="false"/>
        <w:keepLines w:val="false"/>
        <w:pageBreakBefore w:val="false"/>
        <w:overflowPunct w:val="true"/>
        <w:bidi w:val="0"/>
        <w:snapToGrid w:val="false"/>
        <w:spacing w:lineRule="exact" w:line="560"/>
        <w:ind w:hanging="0"/>
        <w:textAlignment w:val="auto"/>
        <w:rPr>
          <w:rFonts w:ascii="仿宋" w:hAnsi="仿宋" w:eastAsia="仿宋"/>
          <w:sz w:val="32"/>
          <w:szCs w:val="32"/>
        </w:rPr>
      </w:pPr>
      <w:r>
        <w:rPr>
          <w:rFonts w:ascii="仿宋" w:hAnsi="仿宋" w:eastAsia="仿宋"/>
          <w:sz w:val="32"/>
          <w:szCs w:val="32"/>
          <w:lang w:val="en-US" w:eastAsia="zh-CN"/>
        </w:rPr>
        <w:t xml:space="preserve">   </w:t>
      </w:r>
      <w:r>
        <w:rPr>
          <w:rFonts w:eastAsia="仿宋" w:ascii="仿宋" w:hAnsi="仿宋"/>
          <w:sz w:val="32"/>
          <w:szCs w:val="32"/>
          <w:lang w:val="en-US" w:eastAsia="zh-CN"/>
        </w:rPr>
        <w:t>10</w:t>
      </w:r>
      <w:r>
        <w:rPr>
          <w:rFonts w:ascii="仿宋" w:hAnsi="仿宋" w:eastAsia="仿宋"/>
          <w:sz w:val="32"/>
          <w:szCs w:val="32"/>
          <w:lang w:val="en-US" w:eastAsia="zh-CN"/>
        </w:rPr>
        <w:t>、</w:t>
      </w:r>
      <w:r>
        <w:rPr>
          <w:rFonts w:ascii="仿宋" w:hAnsi="仿宋" w:eastAsia="仿宋"/>
          <w:sz w:val="32"/>
          <w:szCs w:val="32"/>
        </w:rPr>
        <w:t>组织协调灾害救助工作，组织指导灾情核查、损失评估、救灾捐赠工作，按权限管理、分配中央、省及市下达和县级救灾款物并监督使用。</w:t>
      </w:r>
    </w:p>
    <w:p>
      <w:pPr>
        <w:pStyle w:val="Style14"/>
        <w:keepNext w:val="false"/>
        <w:keepLines w:val="false"/>
        <w:pageBreakBefore w:val="false"/>
        <w:overflowPunct w:val="true"/>
        <w:bidi w:val="0"/>
        <w:snapToGrid w:val="false"/>
        <w:spacing w:lineRule="exact" w:line="560"/>
        <w:ind w:hanging="0"/>
        <w:textAlignment w:val="auto"/>
        <w:rPr>
          <w:rFonts w:ascii="仿宋" w:hAnsi="仿宋" w:eastAsia="仿宋"/>
          <w:sz w:val="32"/>
          <w:szCs w:val="32"/>
        </w:rPr>
      </w:pPr>
      <w:r>
        <w:rPr>
          <w:rFonts w:ascii="仿宋" w:hAnsi="仿宋" w:eastAsia="仿宋"/>
          <w:sz w:val="32"/>
          <w:szCs w:val="32"/>
          <w:lang w:val="en-US" w:eastAsia="zh-CN"/>
        </w:rPr>
        <w:t xml:space="preserve">   </w:t>
      </w:r>
      <w:r>
        <w:rPr>
          <w:rFonts w:eastAsia="仿宋" w:ascii="仿宋" w:hAnsi="仿宋"/>
          <w:sz w:val="32"/>
          <w:szCs w:val="32"/>
          <w:lang w:val="en-US" w:eastAsia="zh-CN"/>
        </w:rPr>
        <w:t>11</w:t>
      </w:r>
      <w:r>
        <w:rPr>
          <w:rFonts w:ascii="仿宋" w:hAnsi="仿宋" w:eastAsia="仿宋"/>
          <w:sz w:val="32"/>
          <w:szCs w:val="32"/>
          <w:lang w:val="en-US" w:eastAsia="zh-CN"/>
        </w:rPr>
        <w:t>、</w:t>
      </w:r>
      <w:r>
        <w:rPr>
          <w:rFonts w:ascii="仿宋" w:hAnsi="仿宋" w:eastAsia="仿宋"/>
          <w:sz w:val="32"/>
          <w:szCs w:val="32"/>
        </w:rPr>
        <w:t>依法行使安全生产综合监督管理职权，指导协调、监督检查县政府有关部门和各乡镇安全生产工作，组织开展安全生产巡查、考核工作。承担县安全生产委员会办公室日常工作。</w:t>
      </w:r>
    </w:p>
    <w:p>
      <w:pPr>
        <w:pStyle w:val="Style14"/>
        <w:keepNext w:val="false"/>
        <w:keepLines w:val="false"/>
        <w:pageBreakBefore w:val="false"/>
        <w:overflowPunct w:val="true"/>
        <w:bidi w:val="0"/>
        <w:snapToGrid w:val="false"/>
        <w:spacing w:lineRule="exact" w:line="560"/>
        <w:ind w:hanging="0"/>
        <w:textAlignment w:val="auto"/>
        <w:rPr>
          <w:rFonts w:ascii="仿宋" w:hAnsi="仿宋" w:eastAsia="仿宋"/>
          <w:sz w:val="32"/>
          <w:szCs w:val="32"/>
        </w:rPr>
      </w:pPr>
      <w:r>
        <w:rPr>
          <w:rFonts w:ascii="仿宋" w:hAnsi="仿宋" w:eastAsia="仿宋"/>
          <w:sz w:val="32"/>
          <w:szCs w:val="32"/>
          <w:lang w:val="en-US" w:eastAsia="zh-CN"/>
        </w:rPr>
        <w:t xml:space="preserve">   </w:t>
      </w:r>
      <w:r>
        <w:rPr>
          <w:rFonts w:eastAsia="仿宋" w:ascii="仿宋" w:hAnsi="仿宋"/>
          <w:sz w:val="32"/>
          <w:szCs w:val="32"/>
          <w:lang w:val="en-US" w:eastAsia="zh-CN"/>
        </w:rPr>
        <w:t>12</w:t>
      </w:r>
      <w:r>
        <w:rPr>
          <w:rFonts w:ascii="仿宋" w:hAnsi="仿宋" w:eastAsia="仿宋"/>
          <w:sz w:val="32"/>
          <w:szCs w:val="32"/>
          <w:lang w:val="en-US" w:eastAsia="zh-CN"/>
        </w:rPr>
        <w:t>、</w:t>
      </w:r>
      <w:r>
        <w:rPr>
          <w:rFonts w:ascii="仿宋" w:hAnsi="仿宋" w:eastAsia="仿宋"/>
          <w:sz w:val="32"/>
          <w:szCs w:val="32"/>
        </w:rPr>
        <w:t>按照分级、属地原则，依法监督检查矿山、危险化学品、烟花爆竹等行业生产经营单位贯彻执行安全生产法律法规情况及其安全生产条件和有关设备（特种设备除外）、材料、劳动防护用品的安全生产管理工作。负责监督管理矿山、危险化学品、烟花爆竹企业县属企业安全生产工作。依法组织并指导监督实施安全生产准入制度。负责危险化学品安全监督管理综合工作和烟花爆竹安全生产监督管理工作。</w:t>
      </w:r>
    </w:p>
    <w:p>
      <w:pPr>
        <w:pStyle w:val="Style14"/>
        <w:keepNext w:val="false"/>
        <w:keepLines w:val="false"/>
        <w:pageBreakBefore w:val="false"/>
        <w:overflowPunct w:val="true"/>
        <w:bidi w:val="0"/>
        <w:snapToGrid w:val="false"/>
        <w:spacing w:lineRule="exact" w:line="560"/>
        <w:ind w:hanging="0"/>
        <w:textAlignment w:val="auto"/>
        <w:rPr>
          <w:rFonts w:ascii="仿宋" w:hAnsi="仿宋" w:eastAsia="仿宋"/>
          <w:sz w:val="32"/>
          <w:szCs w:val="32"/>
        </w:rPr>
      </w:pPr>
      <w:r>
        <w:rPr>
          <w:rFonts w:ascii="仿宋" w:hAnsi="仿宋" w:eastAsia="仿宋"/>
          <w:sz w:val="32"/>
          <w:szCs w:val="32"/>
          <w:lang w:val="en-US" w:eastAsia="zh-CN"/>
        </w:rPr>
        <w:t xml:space="preserve">   </w:t>
      </w:r>
      <w:r>
        <w:rPr>
          <w:rFonts w:eastAsia="仿宋" w:ascii="仿宋" w:hAnsi="仿宋"/>
          <w:sz w:val="32"/>
          <w:szCs w:val="32"/>
          <w:lang w:val="en-US" w:eastAsia="zh-CN"/>
        </w:rPr>
        <w:t>13</w:t>
      </w:r>
      <w:r>
        <w:rPr>
          <w:rFonts w:ascii="仿宋" w:hAnsi="仿宋" w:eastAsia="仿宋"/>
          <w:sz w:val="32"/>
          <w:szCs w:val="32"/>
          <w:lang w:val="en-US" w:eastAsia="zh-CN"/>
        </w:rPr>
        <w:t>、</w:t>
      </w:r>
      <w:r>
        <w:rPr>
          <w:rFonts w:ascii="仿宋" w:hAnsi="仿宋" w:eastAsia="仿宋"/>
          <w:sz w:val="32"/>
          <w:szCs w:val="32"/>
        </w:rPr>
        <w:t>依法组织指导生产安全事故调查处理，监督事故查处和责任追究落实情况。组织开展自然灾害类突发事件的调查评估工作。</w:t>
      </w:r>
    </w:p>
    <w:p>
      <w:pPr>
        <w:pStyle w:val="Style14"/>
        <w:keepNext w:val="false"/>
        <w:keepLines w:val="false"/>
        <w:pageBreakBefore w:val="false"/>
        <w:overflowPunct w:val="true"/>
        <w:bidi w:val="0"/>
        <w:snapToGrid w:val="false"/>
        <w:spacing w:lineRule="exact" w:line="560"/>
        <w:ind w:hanging="0"/>
        <w:textAlignment w:val="auto"/>
        <w:rPr>
          <w:rFonts w:ascii="仿宋" w:hAnsi="仿宋" w:eastAsia="仿宋"/>
          <w:sz w:val="32"/>
          <w:szCs w:val="32"/>
        </w:rPr>
      </w:pPr>
      <w:r>
        <w:rPr>
          <w:rFonts w:ascii="仿宋" w:hAnsi="仿宋" w:eastAsia="仿宋"/>
          <w:sz w:val="32"/>
          <w:szCs w:val="32"/>
          <w:lang w:val="en-US" w:eastAsia="zh-CN"/>
        </w:rPr>
        <w:t xml:space="preserve">   </w:t>
      </w:r>
      <w:r>
        <w:rPr>
          <w:rFonts w:eastAsia="仿宋" w:ascii="仿宋" w:hAnsi="仿宋"/>
          <w:sz w:val="32"/>
          <w:szCs w:val="32"/>
          <w:lang w:val="en-US" w:eastAsia="zh-CN"/>
        </w:rPr>
        <w:t>14</w:t>
      </w:r>
      <w:r>
        <w:rPr>
          <w:rFonts w:ascii="仿宋" w:hAnsi="仿宋" w:eastAsia="仿宋"/>
          <w:sz w:val="32"/>
          <w:szCs w:val="32"/>
          <w:lang w:val="en-US" w:eastAsia="zh-CN"/>
        </w:rPr>
        <w:t>、</w:t>
      </w:r>
      <w:r>
        <w:rPr>
          <w:rFonts w:ascii="仿宋" w:hAnsi="仿宋" w:eastAsia="仿宋"/>
          <w:sz w:val="32"/>
          <w:szCs w:val="32"/>
        </w:rPr>
        <w:t>开展应急管理对外交流与合作，组织参与安全生产类、自然灾害类等突发事件的对外救援工作。</w:t>
      </w:r>
    </w:p>
    <w:p>
      <w:pPr>
        <w:pStyle w:val="Style14"/>
        <w:keepNext w:val="false"/>
        <w:keepLines w:val="false"/>
        <w:pageBreakBefore w:val="false"/>
        <w:overflowPunct w:val="true"/>
        <w:bidi w:val="0"/>
        <w:snapToGrid w:val="false"/>
        <w:spacing w:lineRule="exact" w:line="560"/>
        <w:ind w:hanging="0"/>
        <w:textAlignment w:val="auto"/>
        <w:rPr>
          <w:rFonts w:ascii="仿宋" w:hAnsi="仿宋" w:eastAsia="仿宋"/>
          <w:sz w:val="32"/>
          <w:szCs w:val="32"/>
        </w:rPr>
      </w:pPr>
      <w:r>
        <w:rPr>
          <w:rFonts w:ascii="仿宋" w:hAnsi="仿宋" w:eastAsia="仿宋"/>
          <w:sz w:val="32"/>
          <w:szCs w:val="32"/>
          <w:lang w:val="en-US" w:eastAsia="zh-CN"/>
        </w:rPr>
        <w:t xml:space="preserve">   </w:t>
      </w:r>
      <w:r>
        <w:rPr>
          <w:rFonts w:eastAsia="仿宋" w:ascii="仿宋" w:hAnsi="仿宋"/>
          <w:sz w:val="32"/>
          <w:szCs w:val="32"/>
          <w:lang w:val="en-US" w:eastAsia="zh-CN"/>
        </w:rPr>
        <w:t>15</w:t>
      </w:r>
      <w:r>
        <w:rPr>
          <w:rFonts w:ascii="仿宋" w:hAnsi="仿宋" w:eastAsia="仿宋"/>
          <w:sz w:val="32"/>
          <w:szCs w:val="32"/>
          <w:lang w:val="en-US" w:eastAsia="zh-CN"/>
        </w:rPr>
        <w:t>、</w:t>
      </w:r>
      <w:r>
        <w:rPr>
          <w:rFonts w:ascii="仿宋" w:hAnsi="仿宋" w:eastAsia="仿宋"/>
          <w:sz w:val="32"/>
          <w:szCs w:val="32"/>
        </w:rPr>
        <w:t>制定全县应急物资储备和应急救援装备规划并组织实施，会同县发改局等部门建立健全应急物资信息平台和调拨制度， 在救灾时统一调度。</w:t>
      </w:r>
    </w:p>
    <w:p>
      <w:pPr>
        <w:pStyle w:val="Style14"/>
        <w:keepNext w:val="false"/>
        <w:keepLines w:val="false"/>
        <w:pageBreakBefore w:val="false"/>
        <w:overflowPunct w:val="true"/>
        <w:bidi w:val="0"/>
        <w:snapToGrid w:val="false"/>
        <w:spacing w:lineRule="exact" w:line="560"/>
        <w:ind w:hanging="0"/>
        <w:textAlignment w:val="auto"/>
        <w:rPr>
          <w:rFonts w:ascii="仿宋" w:hAnsi="仿宋" w:eastAsia="仿宋"/>
          <w:sz w:val="32"/>
          <w:szCs w:val="32"/>
        </w:rPr>
      </w:pPr>
      <w:r>
        <w:rPr>
          <w:rFonts w:ascii="仿宋" w:hAnsi="仿宋" w:eastAsia="仿宋"/>
          <w:sz w:val="32"/>
          <w:szCs w:val="32"/>
          <w:lang w:val="en-US" w:eastAsia="zh-CN"/>
        </w:rPr>
        <w:t xml:space="preserve">   </w:t>
      </w:r>
      <w:r>
        <w:rPr>
          <w:rFonts w:eastAsia="仿宋" w:ascii="仿宋" w:hAnsi="仿宋"/>
          <w:sz w:val="32"/>
          <w:szCs w:val="32"/>
          <w:lang w:val="en-US" w:eastAsia="zh-CN"/>
        </w:rPr>
        <w:t>16</w:t>
      </w:r>
      <w:r>
        <w:rPr>
          <w:rFonts w:ascii="仿宋" w:hAnsi="仿宋" w:eastAsia="仿宋"/>
          <w:sz w:val="32"/>
          <w:szCs w:val="32"/>
          <w:lang w:val="en-US" w:eastAsia="zh-CN"/>
        </w:rPr>
        <w:t>、</w:t>
      </w:r>
      <w:r>
        <w:rPr>
          <w:rFonts w:ascii="仿宋" w:hAnsi="仿宋" w:eastAsia="仿宋"/>
          <w:sz w:val="32"/>
          <w:szCs w:val="32"/>
        </w:rPr>
        <w:t>负责应急管理、安全生产宣传教育和培训工作，组织指导应急管理、安全生产的科学技术研究、推广应用和信息化建设工作。</w:t>
      </w:r>
    </w:p>
    <w:p>
      <w:pPr>
        <w:pStyle w:val="Style14"/>
        <w:keepNext w:val="false"/>
        <w:keepLines w:val="false"/>
        <w:pageBreakBefore w:val="false"/>
        <w:overflowPunct w:val="true"/>
        <w:bidi w:val="0"/>
        <w:snapToGrid w:val="false"/>
        <w:spacing w:lineRule="exact" w:line="560"/>
        <w:ind w:hanging="0"/>
        <w:textAlignment w:val="auto"/>
        <w:rPr>
          <w:rFonts w:ascii="仿宋" w:hAnsi="仿宋" w:eastAsia="仿宋"/>
          <w:sz w:val="32"/>
          <w:szCs w:val="32"/>
        </w:rPr>
      </w:pPr>
      <w:r>
        <w:rPr>
          <w:rFonts w:ascii="仿宋" w:hAnsi="仿宋" w:eastAsia="仿宋"/>
          <w:sz w:val="32"/>
          <w:szCs w:val="32"/>
          <w:lang w:val="en-US" w:eastAsia="zh-CN"/>
        </w:rPr>
        <w:t xml:space="preserve">   </w:t>
      </w:r>
      <w:r>
        <w:rPr>
          <w:rFonts w:eastAsia="仿宋" w:ascii="仿宋" w:hAnsi="仿宋"/>
          <w:sz w:val="32"/>
          <w:szCs w:val="32"/>
          <w:lang w:val="en-US" w:eastAsia="zh-CN"/>
        </w:rPr>
        <w:t>17</w:t>
      </w:r>
      <w:r>
        <w:rPr>
          <w:rFonts w:ascii="仿宋" w:hAnsi="仿宋" w:eastAsia="仿宋"/>
          <w:sz w:val="32"/>
          <w:szCs w:val="32"/>
          <w:lang w:val="en-US" w:eastAsia="zh-CN"/>
        </w:rPr>
        <w:t>、</w:t>
      </w:r>
      <w:r>
        <w:rPr>
          <w:rFonts w:ascii="仿宋" w:hAnsi="仿宋" w:eastAsia="仿宋"/>
          <w:sz w:val="32"/>
          <w:szCs w:val="32"/>
        </w:rPr>
        <w:t>承担县防汛抗旱指挥部日常工作，协调县防汛抗旱指挥部成员单位的相关工作，组织执行国家防汛抗旱总指挥部、相关流域防汛抗旱指挥机构和省、市、县防汛抗旱指挥部的指示、命令。</w:t>
      </w:r>
    </w:p>
    <w:p>
      <w:pPr>
        <w:pStyle w:val="Style14"/>
        <w:keepNext w:val="false"/>
        <w:keepLines w:val="false"/>
        <w:pageBreakBefore w:val="false"/>
        <w:overflowPunct w:val="true"/>
        <w:bidi w:val="0"/>
        <w:snapToGrid w:val="false"/>
        <w:spacing w:lineRule="exact" w:line="560"/>
        <w:ind w:hanging="0"/>
        <w:textAlignment w:val="auto"/>
        <w:rPr>
          <w:rFonts w:ascii="仿宋" w:hAnsi="仿宋" w:eastAsia="仿宋"/>
          <w:sz w:val="32"/>
          <w:szCs w:val="32"/>
        </w:rPr>
      </w:pPr>
      <w:r>
        <w:rPr>
          <w:rFonts w:ascii="仿宋" w:hAnsi="仿宋" w:eastAsia="仿宋"/>
          <w:sz w:val="32"/>
          <w:szCs w:val="32"/>
          <w:lang w:val="en-US" w:eastAsia="zh-CN"/>
        </w:rPr>
        <w:t xml:space="preserve">   </w:t>
      </w:r>
      <w:r>
        <w:rPr>
          <w:rFonts w:eastAsia="仿宋" w:ascii="仿宋" w:hAnsi="仿宋"/>
          <w:sz w:val="32"/>
          <w:szCs w:val="32"/>
          <w:lang w:val="en-US" w:eastAsia="zh-CN"/>
        </w:rPr>
        <w:t>18</w:t>
      </w:r>
      <w:r>
        <w:rPr>
          <w:rFonts w:ascii="仿宋" w:hAnsi="仿宋" w:eastAsia="仿宋"/>
          <w:sz w:val="32"/>
          <w:szCs w:val="32"/>
          <w:lang w:val="en-US" w:eastAsia="zh-CN"/>
        </w:rPr>
        <w:t>、</w:t>
      </w:r>
      <w:r>
        <w:rPr>
          <w:rFonts w:ascii="仿宋" w:hAnsi="仿宋" w:eastAsia="仿宋"/>
          <w:sz w:val="32"/>
          <w:szCs w:val="32"/>
        </w:rPr>
        <w:t>指导督促特种作业人员（特种设备作业人员除外）和落实危险物品的生产、经营、储存单位以及矿山、金属冶炼等单位主要负责人、安全生产管理人员的安全资格考核工作，监督检查指导工矿商贸生产经营单位安全生产教育培训工作。监督管理安全生产社会中介机构和安全评价工作。</w:t>
      </w:r>
    </w:p>
    <w:p>
      <w:pPr>
        <w:pStyle w:val="Style14"/>
        <w:keepNext w:val="false"/>
        <w:keepLines w:val="false"/>
        <w:pageBreakBefore w:val="false"/>
        <w:overflowPunct w:val="true"/>
        <w:bidi w:val="0"/>
        <w:snapToGrid w:val="false"/>
        <w:spacing w:lineRule="exact" w:line="560"/>
        <w:ind w:hanging="0"/>
        <w:textAlignment w:val="auto"/>
        <w:rPr>
          <w:rFonts w:ascii="仿宋" w:hAnsi="仿宋" w:eastAsia="仿宋"/>
          <w:sz w:val="32"/>
          <w:szCs w:val="32"/>
        </w:rPr>
      </w:pPr>
      <w:r>
        <w:rPr>
          <w:rFonts w:ascii="仿宋" w:hAnsi="仿宋" w:eastAsia="仿宋"/>
          <w:sz w:val="32"/>
          <w:szCs w:val="32"/>
          <w:lang w:val="en-US" w:eastAsia="zh-CN"/>
        </w:rPr>
        <w:t xml:space="preserve">   </w:t>
      </w:r>
      <w:r>
        <w:rPr>
          <w:rFonts w:eastAsia="仿宋" w:ascii="仿宋" w:hAnsi="仿宋"/>
          <w:sz w:val="32"/>
          <w:szCs w:val="32"/>
          <w:lang w:val="en-US" w:eastAsia="zh-CN"/>
        </w:rPr>
        <w:t>19</w:t>
      </w:r>
      <w:r>
        <w:rPr>
          <w:rFonts w:ascii="仿宋" w:hAnsi="仿宋" w:eastAsia="仿宋"/>
          <w:sz w:val="32"/>
          <w:szCs w:val="32"/>
          <w:lang w:val="en-US" w:eastAsia="zh-CN"/>
        </w:rPr>
        <w:t>、</w:t>
      </w:r>
      <w:r>
        <w:rPr>
          <w:rFonts w:ascii="仿宋" w:hAnsi="仿宋" w:eastAsia="仿宋"/>
          <w:sz w:val="32"/>
          <w:szCs w:val="32"/>
        </w:rPr>
        <w:t>完成县委、县政府交办的其他任务。</w:t>
      </w:r>
    </w:p>
    <w:p>
      <w:pPr>
        <w:pStyle w:val="Style14"/>
        <w:overflowPunct w:val="true"/>
        <w:bidi w:val="0"/>
        <w:snapToGrid w:val="false"/>
        <w:spacing w:lineRule="exact" w:line="560"/>
        <w:ind w:hanging="0"/>
        <w:textAlignment w:val="auto"/>
        <w:rPr>
          <w:rFonts w:ascii="仿宋" w:hAnsi="仿宋" w:eastAsia="仿宋"/>
          <w:sz w:val="32"/>
          <w:szCs w:val="32"/>
        </w:rPr>
      </w:pPr>
      <w:r>
        <w:rPr>
          <w:rFonts w:ascii="仿宋" w:hAnsi="仿宋" w:cs="Times New Roman" w:eastAsia="仿宋"/>
          <w:color w:val="000000"/>
          <w:sz w:val="32"/>
          <w:szCs w:val="32"/>
          <w:lang w:val="en-US" w:eastAsia="zh-CN"/>
        </w:rPr>
        <w:t xml:space="preserve">     </w:t>
      </w:r>
      <w:r>
        <w:rPr>
          <w:rFonts w:ascii="仿宋" w:hAnsi="仿宋" w:cs="Times New Roman" w:eastAsia="仿宋"/>
          <w:color w:val="000000"/>
          <w:sz w:val="32"/>
          <w:szCs w:val="32"/>
          <w:lang w:val="en-US" w:eastAsia="zh-CN"/>
        </w:rPr>
        <w:t>中方县应急管理局于</w:t>
      </w:r>
      <w:r>
        <w:rPr>
          <w:rFonts w:eastAsia="仿宋" w:cs="Times New Roman" w:ascii="仿宋" w:hAnsi="仿宋"/>
          <w:color w:val="000000"/>
          <w:sz w:val="32"/>
          <w:szCs w:val="32"/>
          <w:lang w:val="en-US" w:eastAsia="zh-CN"/>
        </w:rPr>
        <w:t>2019</w:t>
      </w:r>
      <w:r>
        <w:rPr>
          <w:rFonts w:ascii="仿宋" w:hAnsi="仿宋" w:cs="Times New Roman" w:eastAsia="仿宋"/>
          <w:color w:val="000000"/>
          <w:sz w:val="32"/>
          <w:szCs w:val="32"/>
          <w:lang w:val="en-US" w:eastAsia="zh-CN"/>
        </w:rPr>
        <w:t>年</w:t>
      </w:r>
      <w:r>
        <w:rPr>
          <w:rFonts w:eastAsia="仿宋" w:cs="Times New Roman" w:ascii="仿宋" w:hAnsi="仿宋"/>
          <w:color w:val="000000"/>
          <w:sz w:val="32"/>
          <w:szCs w:val="32"/>
          <w:lang w:val="en-US" w:eastAsia="zh-CN"/>
        </w:rPr>
        <w:t>3</w:t>
      </w:r>
      <w:r>
        <w:rPr>
          <w:rFonts w:ascii="仿宋" w:hAnsi="仿宋" w:cs="Times New Roman" w:eastAsia="仿宋"/>
          <w:color w:val="000000"/>
          <w:sz w:val="32"/>
          <w:szCs w:val="32"/>
          <w:lang w:val="en-US" w:eastAsia="zh-CN"/>
        </w:rPr>
        <w:t>月</w:t>
      </w:r>
      <w:r>
        <w:rPr>
          <w:rFonts w:eastAsia="仿宋" w:cs="Times New Roman" w:ascii="仿宋" w:hAnsi="仿宋"/>
          <w:color w:val="000000"/>
          <w:sz w:val="32"/>
          <w:szCs w:val="32"/>
          <w:lang w:val="en-US" w:eastAsia="zh-CN"/>
        </w:rPr>
        <w:t>19</w:t>
      </w:r>
      <w:r>
        <w:rPr>
          <w:rFonts w:ascii="仿宋" w:hAnsi="仿宋" w:cs="Times New Roman" w:eastAsia="仿宋"/>
          <w:color w:val="000000"/>
          <w:sz w:val="32"/>
          <w:szCs w:val="32"/>
          <w:lang w:val="en-US" w:eastAsia="zh-CN"/>
        </w:rPr>
        <w:t>日，正式挂牌成立，为正科级全额拨款行政单位，内设办公室（党组办公室、规划财务股）、应急指挥中心（科技和信息化股）、政工室（新闻宣传股）、救援协调和预案管理股（地震和地质灾害救援股）、火灾防治管理股、防汛抗旱股、矿山和工贸行业安全监督管理股、危险化学品和烟花爆竹安全监督管理股、安全生产综合协调股（调查评估和统计股）、救灾和物资保障股（风险监测和综合减灾股）、政策法规和行政审批股（教育培训股）等</w:t>
      </w:r>
      <w:r>
        <w:rPr>
          <w:rFonts w:eastAsia="仿宋" w:cs="Times New Roman" w:ascii="仿宋" w:hAnsi="仿宋"/>
          <w:color w:val="000000"/>
          <w:sz w:val="32"/>
          <w:szCs w:val="32"/>
          <w:lang w:val="en-US" w:eastAsia="zh-CN"/>
        </w:rPr>
        <w:t>11</w:t>
      </w:r>
      <w:r>
        <w:rPr>
          <w:rFonts w:ascii="仿宋" w:hAnsi="仿宋" w:cs="Times New Roman" w:eastAsia="仿宋"/>
          <w:color w:val="000000"/>
          <w:sz w:val="32"/>
          <w:szCs w:val="32"/>
          <w:lang w:val="en-US" w:eastAsia="zh-CN"/>
        </w:rPr>
        <w:t>个职能股室。下设中方县安全生产执法大队、中方县安全生产巡查督导中心、中方县工业集中区安全生产服务中心、中方县防汛抗旱指挥中心、中方县地震事务中心</w:t>
      </w:r>
      <w:r>
        <w:rPr>
          <w:rFonts w:eastAsia="仿宋" w:cs="Times New Roman" w:ascii="仿宋" w:hAnsi="仿宋"/>
          <w:color w:val="000000"/>
          <w:sz w:val="32"/>
          <w:szCs w:val="32"/>
          <w:lang w:val="en-US" w:eastAsia="zh-CN"/>
        </w:rPr>
        <w:t>5</w:t>
      </w:r>
      <w:r>
        <w:rPr>
          <w:rFonts w:ascii="仿宋" w:hAnsi="仿宋" w:cs="Times New Roman" w:eastAsia="仿宋"/>
          <w:color w:val="000000"/>
          <w:sz w:val="32"/>
          <w:szCs w:val="32"/>
          <w:lang w:val="en-US" w:eastAsia="zh-CN"/>
        </w:rPr>
        <w:t>个二级机构，核定编制</w:t>
      </w:r>
      <w:r>
        <w:rPr>
          <w:rFonts w:eastAsia="仿宋" w:cs="Times New Roman" w:ascii="仿宋" w:hAnsi="仿宋"/>
          <w:color w:val="000000"/>
          <w:sz w:val="32"/>
          <w:szCs w:val="32"/>
          <w:lang w:val="en-US" w:eastAsia="zh-CN"/>
        </w:rPr>
        <w:t>55</w:t>
      </w:r>
      <w:r>
        <w:rPr>
          <w:rFonts w:ascii="仿宋" w:hAnsi="仿宋" w:cs="Times New Roman" w:eastAsia="仿宋"/>
          <w:color w:val="000000"/>
          <w:sz w:val="32"/>
          <w:szCs w:val="32"/>
          <w:lang w:val="en-US" w:eastAsia="zh-CN"/>
        </w:rPr>
        <w:t>名，实有人员</w:t>
      </w:r>
      <w:r>
        <w:rPr>
          <w:rFonts w:eastAsia="仿宋" w:cs="Times New Roman" w:ascii="仿宋" w:hAnsi="仿宋"/>
          <w:color w:val="000000"/>
          <w:sz w:val="32"/>
          <w:szCs w:val="32"/>
          <w:lang w:val="en-US" w:eastAsia="zh-CN"/>
        </w:rPr>
        <w:t>79</w:t>
      </w:r>
      <w:r>
        <w:rPr>
          <w:rFonts w:ascii="仿宋" w:hAnsi="仿宋" w:cs="Times New Roman" w:eastAsia="仿宋"/>
          <w:color w:val="000000"/>
          <w:sz w:val="32"/>
          <w:szCs w:val="32"/>
          <w:lang w:val="en-US" w:eastAsia="zh-CN"/>
        </w:rPr>
        <w:t>人。</w:t>
      </w:r>
    </w:p>
    <w:p>
      <w:pPr>
        <w:pStyle w:val="Style14"/>
        <w:spacing w:lineRule="exact" w:line="560"/>
        <w:ind w:hanging="0"/>
        <w:rPr>
          <w:rFonts w:ascii="仿宋" w:hAnsi="仿宋" w:eastAsia="黑体"/>
          <w:sz w:val="32"/>
          <w:szCs w:val="32"/>
        </w:rPr>
      </w:pPr>
      <w:r>
        <w:rPr>
          <w:rFonts w:ascii="仿宋" w:hAnsi="仿宋" w:cs="Times New Roman" w:eastAsia="黑体"/>
          <w:bCs/>
          <w:color w:val="000000"/>
          <w:sz w:val="32"/>
          <w:szCs w:val="32"/>
        </w:rPr>
        <w:t xml:space="preserve"> </w:t>
      </w:r>
      <w:r>
        <w:rPr>
          <w:rFonts w:ascii="仿宋" w:hAnsi="仿宋" w:cs="Times New Roman" w:eastAsia="黑体"/>
          <w:bCs/>
          <w:color w:val="000000"/>
          <w:sz w:val="32"/>
          <w:szCs w:val="32"/>
        </w:rPr>
        <w:t>二、部门整体支出管理及使用情况</w:t>
      </w:r>
    </w:p>
    <w:p>
      <w:pPr>
        <w:pStyle w:val="Style14"/>
        <w:spacing w:lineRule="exact" w:line="560"/>
        <w:ind w:firstLine="640"/>
        <w:rPr>
          <w:rFonts w:ascii="仿宋" w:hAnsi="仿宋" w:eastAsia="仿宋"/>
          <w:sz w:val="32"/>
          <w:szCs w:val="32"/>
        </w:rPr>
      </w:pPr>
      <w:r>
        <w:rPr>
          <w:rFonts w:ascii="仿宋" w:hAnsi="仿宋" w:cs="Times New Roman" w:eastAsia="仿宋"/>
          <w:bCs/>
          <w:color w:val="000000"/>
          <w:sz w:val="32"/>
          <w:szCs w:val="32"/>
        </w:rPr>
        <w:t>（一）基本支出</w:t>
      </w:r>
    </w:p>
    <w:p>
      <w:pPr>
        <w:pStyle w:val="Style14"/>
        <w:spacing w:lineRule="exact" w:line="560"/>
        <w:ind w:firstLine="640"/>
        <w:rPr>
          <w:rFonts w:ascii="仿宋" w:hAnsi="仿宋" w:eastAsia="仿宋"/>
          <w:sz w:val="32"/>
          <w:szCs w:val="32"/>
        </w:rPr>
      </w:pPr>
      <w:r>
        <w:rPr>
          <w:rFonts w:eastAsia="仿宋" w:cs="宋体;SimSun" w:ascii="仿宋" w:hAnsi="仿宋"/>
          <w:bCs/>
          <w:color w:val="000000"/>
          <w:sz w:val="32"/>
          <w:szCs w:val="32"/>
        </w:rPr>
        <w:t>1</w:t>
      </w:r>
      <w:r>
        <w:rPr>
          <w:rFonts w:ascii="仿宋" w:hAnsi="仿宋" w:cs="宋体;SimSun" w:eastAsia="仿宋"/>
          <w:bCs/>
          <w:color w:val="000000"/>
          <w:sz w:val="32"/>
          <w:szCs w:val="32"/>
        </w:rPr>
        <w:t>、本单位基本支出的预算情况</w:t>
      </w:r>
    </w:p>
    <w:p>
      <w:pPr>
        <w:pStyle w:val="Style14"/>
        <w:spacing w:lineRule="exact" w:line="560"/>
        <w:ind w:firstLine="640"/>
        <w:rPr>
          <w:rFonts w:ascii="仿宋" w:hAnsi="仿宋" w:eastAsia="仿宋"/>
          <w:sz w:val="32"/>
          <w:szCs w:val="32"/>
        </w:rPr>
      </w:pPr>
      <w:r>
        <w:rPr>
          <w:rFonts w:eastAsia="仿宋" w:cs="宋体;SimSun" w:ascii="仿宋" w:hAnsi="仿宋"/>
          <w:bCs/>
          <w:color w:val="000000"/>
          <w:sz w:val="32"/>
          <w:szCs w:val="32"/>
        </w:rPr>
        <w:t>2020</w:t>
      </w:r>
      <w:r>
        <w:rPr>
          <w:rFonts w:ascii="仿宋" w:hAnsi="仿宋" w:cs="宋体;SimSun" w:eastAsia="仿宋"/>
          <w:bCs/>
          <w:color w:val="000000"/>
          <w:sz w:val="32"/>
          <w:szCs w:val="32"/>
        </w:rPr>
        <w:t>年预算基本支出为</w:t>
      </w:r>
      <w:r>
        <w:rPr>
          <w:rFonts w:eastAsia="仿宋" w:cs="宋体;SimSun" w:ascii="仿宋" w:hAnsi="仿宋"/>
          <w:bCs/>
          <w:color w:val="000000"/>
          <w:sz w:val="32"/>
          <w:szCs w:val="32"/>
        </w:rPr>
        <w:t>877.34</w:t>
      </w:r>
      <w:r>
        <w:rPr>
          <w:rFonts w:ascii="仿宋" w:hAnsi="仿宋" w:cs="宋体;SimSun" w:eastAsia="仿宋"/>
          <w:bCs/>
          <w:color w:val="000000"/>
          <w:sz w:val="32"/>
          <w:szCs w:val="32"/>
        </w:rPr>
        <w:t xml:space="preserve">万元，其中人员经费支出 </w:t>
      </w:r>
      <w:r>
        <w:rPr>
          <w:rFonts w:eastAsia="仿宋" w:cs="宋体;SimSun" w:ascii="仿宋" w:hAnsi="仿宋"/>
          <w:bCs/>
          <w:color w:val="000000"/>
          <w:sz w:val="32"/>
          <w:szCs w:val="32"/>
        </w:rPr>
        <w:t>740.97</w:t>
      </w:r>
      <w:r>
        <w:rPr>
          <w:rFonts w:ascii="仿宋" w:hAnsi="仿宋" w:cs="宋体;SimSun" w:eastAsia="仿宋"/>
          <w:bCs/>
          <w:color w:val="000000"/>
          <w:sz w:val="32"/>
          <w:szCs w:val="32"/>
        </w:rPr>
        <w:t>万元，占比</w:t>
      </w:r>
      <w:r>
        <w:rPr>
          <w:rFonts w:eastAsia="仿宋" w:cs="宋体;SimSun" w:ascii="仿宋" w:hAnsi="仿宋"/>
          <w:bCs/>
          <w:color w:val="000000"/>
          <w:sz w:val="32"/>
          <w:szCs w:val="32"/>
        </w:rPr>
        <w:t>84%</w:t>
      </w:r>
      <w:r>
        <w:rPr>
          <w:rFonts w:ascii="仿宋" w:hAnsi="仿宋" w:cs="宋体;SimSun" w:eastAsia="仿宋"/>
          <w:bCs/>
          <w:color w:val="000000"/>
          <w:sz w:val="32"/>
          <w:szCs w:val="32"/>
        </w:rPr>
        <w:t>，日常公用经费支出</w:t>
      </w:r>
      <w:r>
        <w:rPr>
          <w:rFonts w:eastAsia="仿宋" w:cs="宋体;SimSun" w:ascii="仿宋" w:hAnsi="仿宋"/>
          <w:bCs/>
          <w:color w:val="000000"/>
          <w:sz w:val="32"/>
          <w:szCs w:val="32"/>
        </w:rPr>
        <w:t>136.37</w:t>
      </w:r>
      <w:r>
        <w:rPr>
          <w:rFonts w:ascii="仿宋" w:hAnsi="仿宋" w:cs="宋体;SimSun" w:eastAsia="仿宋"/>
          <w:bCs/>
          <w:color w:val="000000"/>
          <w:sz w:val="32"/>
          <w:szCs w:val="32"/>
        </w:rPr>
        <w:t xml:space="preserve">万元，占比 </w:t>
      </w:r>
      <w:r>
        <w:rPr>
          <w:rFonts w:eastAsia="仿宋" w:cs="宋体;SimSun" w:ascii="仿宋" w:hAnsi="仿宋"/>
          <w:bCs/>
          <w:color w:val="000000"/>
          <w:sz w:val="32"/>
          <w:szCs w:val="32"/>
        </w:rPr>
        <w:t>16%.</w:t>
      </w:r>
    </w:p>
    <w:p>
      <w:pPr>
        <w:pStyle w:val="Style14"/>
        <w:spacing w:lineRule="exact" w:line="560"/>
        <w:ind w:firstLine="640"/>
        <w:rPr>
          <w:rFonts w:ascii="仿宋" w:hAnsi="仿宋" w:eastAsia="仿宋"/>
          <w:sz w:val="32"/>
          <w:szCs w:val="32"/>
        </w:rPr>
      </w:pPr>
      <w:r>
        <w:rPr>
          <w:rFonts w:ascii="仿宋" w:hAnsi="仿宋" w:cs="宋体;SimSun" w:eastAsia="仿宋"/>
          <w:bCs/>
          <w:color w:val="000000"/>
          <w:sz w:val="32"/>
          <w:szCs w:val="32"/>
        </w:rPr>
        <w:t xml:space="preserve"> </w:t>
      </w:r>
      <w:r>
        <w:rPr>
          <w:rFonts w:eastAsia="仿宋" w:cs="宋体;SimSun" w:ascii="仿宋" w:hAnsi="仿宋"/>
          <w:bCs/>
          <w:color w:val="000000"/>
          <w:sz w:val="32"/>
          <w:szCs w:val="32"/>
        </w:rPr>
        <w:t>2</w:t>
      </w:r>
      <w:r>
        <w:rPr>
          <w:rFonts w:ascii="仿宋" w:hAnsi="仿宋" w:cs="宋体;SimSun" w:eastAsia="仿宋"/>
          <w:bCs/>
          <w:color w:val="000000"/>
          <w:sz w:val="32"/>
          <w:szCs w:val="32"/>
        </w:rPr>
        <w:t>、本单位基本支出的决算情况</w:t>
      </w:r>
    </w:p>
    <w:p>
      <w:pPr>
        <w:pStyle w:val="Style14"/>
        <w:spacing w:lineRule="exact" w:line="560"/>
        <w:ind w:firstLine="640"/>
        <w:rPr>
          <w:rFonts w:ascii="仿宋" w:hAnsi="仿宋" w:eastAsia="仿宋"/>
          <w:sz w:val="32"/>
          <w:szCs w:val="32"/>
        </w:rPr>
      </w:pPr>
      <w:r>
        <w:rPr>
          <w:rFonts w:eastAsia="仿宋" w:cs="宋体;SimSun" w:ascii="仿宋" w:hAnsi="仿宋"/>
          <w:bCs/>
          <w:color w:val="000000"/>
          <w:sz w:val="32"/>
          <w:szCs w:val="32"/>
        </w:rPr>
        <w:t>2020</w:t>
      </w:r>
      <w:r>
        <w:rPr>
          <w:rFonts w:ascii="仿宋" w:hAnsi="仿宋" w:cs="宋体;SimSun" w:eastAsia="仿宋"/>
          <w:bCs/>
          <w:color w:val="000000"/>
          <w:sz w:val="32"/>
          <w:szCs w:val="32"/>
        </w:rPr>
        <w:t>年决算基本支出为</w:t>
      </w:r>
      <w:r>
        <w:rPr>
          <w:rFonts w:eastAsia="仿宋" w:cs="宋体;SimSun" w:ascii="仿宋" w:hAnsi="仿宋"/>
          <w:bCs/>
          <w:color w:val="000000"/>
          <w:sz w:val="32"/>
          <w:szCs w:val="32"/>
        </w:rPr>
        <w:t>1242.77</w:t>
      </w:r>
      <w:r>
        <w:rPr>
          <w:rFonts w:ascii="仿宋" w:hAnsi="仿宋" w:cs="宋体;SimSun" w:eastAsia="仿宋"/>
          <w:bCs/>
          <w:color w:val="000000"/>
          <w:sz w:val="32"/>
          <w:szCs w:val="32"/>
        </w:rPr>
        <w:t>万元，较预算增加</w:t>
      </w:r>
      <w:r>
        <w:rPr>
          <w:rFonts w:eastAsia="仿宋" w:cs="宋体;SimSun" w:ascii="仿宋" w:hAnsi="仿宋"/>
          <w:bCs/>
          <w:color w:val="000000"/>
          <w:sz w:val="32"/>
          <w:szCs w:val="32"/>
        </w:rPr>
        <w:t>365.43</w:t>
      </w:r>
      <w:r>
        <w:rPr>
          <w:rFonts w:ascii="仿宋" w:hAnsi="仿宋" w:cs="宋体;SimSun" w:eastAsia="仿宋"/>
          <w:bCs/>
          <w:color w:val="000000"/>
          <w:sz w:val="32"/>
          <w:szCs w:val="32"/>
        </w:rPr>
        <w:t>万元，增幅</w:t>
      </w:r>
      <w:r>
        <w:rPr>
          <w:rFonts w:eastAsia="仿宋" w:cs="宋体;SimSun" w:ascii="仿宋" w:hAnsi="仿宋"/>
          <w:bCs/>
          <w:color w:val="000000"/>
          <w:sz w:val="32"/>
          <w:szCs w:val="32"/>
        </w:rPr>
        <w:t>42%</w:t>
      </w:r>
      <w:r>
        <w:rPr>
          <w:rFonts w:ascii="仿宋" w:hAnsi="仿宋" w:cs="宋体;SimSun" w:eastAsia="仿宋"/>
          <w:bCs/>
          <w:color w:val="000000"/>
          <w:sz w:val="32"/>
          <w:szCs w:val="32"/>
        </w:rPr>
        <w:t>，其中人员经费支出</w:t>
      </w:r>
      <w:r>
        <w:rPr>
          <w:rFonts w:eastAsia="仿宋" w:cs="宋体;SimSun" w:ascii="仿宋" w:hAnsi="仿宋"/>
          <w:bCs/>
          <w:color w:val="000000"/>
          <w:sz w:val="32"/>
          <w:szCs w:val="32"/>
        </w:rPr>
        <w:t>1047.88</w:t>
      </w:r>
      <w:r>
        <w:rPr>
          <w:rFonts w:ascii="仿宋" w:hAnsi="仿宋" w:cs="宋体;SimSun" w:eastAsia="仿宋"/>
          <w:bCs/>
          <w:color w:val="000000"/>
          <w:sz w:val="32"/>
          <w:szCs w:val="32"/>
        </w:rPr>
        <w:t>万元，占比</w:t>
      </w:r>
      <w:r>
        <w:rPr>
          <w:rFonts w:eastAsia="仿宋" w:cs="宋体;SimSun" w:ascii="仿宋" w:hAnsi="仿宋"/>
          <w:bCs/>
          <w:color w:val="000000"/>
          <w:sz w:val="32"/>
          <w:szCs w:val="32"/>
        </w:rPr>
        <w:t>84%</w:t>
      </w:r>
      <w:r>
        <w:rPr>
          <w:rFonts w:ascii="仿宋" w:hAnsi="仿宋" w:cs="宋体;SimSun" w:eastAsia="仿宋"/>
          <w:bCs/>
          <w:color w:val="000000"/>
          <w:sz w:val="32"/>
          <w:szCs w:val="32"/>
        </w:rPr>
        <w:t>，较预算增加</w:t>
      </w:r>
      <w:r>
        <w:rPr>
          <w:rFonts w:eastAsia="仿宋" w:cs="宋体;SimSun" w:ascii="仿宋" w:hAnsi="仿宋"/>
          <w:bCs/>
          <w:color w:val="000000"/>
          <w:sz w:val="32"/>
          <w:szCs w:val="32"/>
        </w:rPr>
        <w:t>306.91</w:t>
      </w:r>
      <w:r>
        <w:rPr>
          <w:rFonts w:ascii="仿宋" w:hAnsi="仿宋" w:cs="宋体;SimSun" w:eastAsia="仿宋"/>
          <w:bCs/>
          <w:color w:val="000000"/>
          <w:sz w:val="32"/>
          <w:szCs w:val="32"/>
        </w:rPr>
        <w:t>万元，增幅</w:t>
      </w:r>
      <w:r>
        <w:rPr>
          <w:rFonts w:eastAsia="仿宋" w:cs="宋体;SimSun" w:ascii="仿宋" w:hAnsi="仿宋"/>
          <w:bCs/>
          <w:color w:val="000000"/>
          <w:sz w:val="32"/>
          <w:szCs w:val="32"/>
        </w:rPr>
        <w:t>41%</w:t>
      </w:r>
      <w:r>
        <w:rPr>
          <w:rFonts w:ascii="仿宋" w:hAnsi="仿宋" w:cs="宋体;SimSun" w:eastAsia="仿宋"/>
          <w:bCs/>
          <w:color w:val="000000"/>
          <w:sz w:val="32"/>
          <w:szCs w:val="32"/>
        </w:rPr>
        <w:t>，日常公用经费支出</w:t>
      </w:r>
      <w:r>
        <w:rPr>
          <w:rFonts w:eastAsia="仿宋" w:cs="宋体;SimSun" w:ascii="仿宋" w:hAnsi="仿宋"/>
          <w:bCs/>
          <w:color w:val="000000"/>
          <w:sz w:val="32"/>
          <w:szCs w:val="32"/>
        </w:rPr>
        <w:t>194.89</w:t>
      </w:r>
      <w:r>
        <w:rPr>
          <w:rFonts w:ascii="仿宋" w:hAnsi="仿宋" w:cs="宋体;SimSun" w:eastAsia="仿宋"/>
          <w:bCs/>
          <w:color w:val="000000"/>
          <w:sz w:val="32"/>
          <w:szCs w:val="32"/>
        </w:rPr>
        <w:t>万元，占比</w:t>
      </w:r>
      <w:r>
        <w:rPr>
          <w:rFonts w:eastAsia="仿宋" w:cs="宋体;SimSun" w:ascii="仿宋" w:hAnsi="仿宋"/>
          <w:bCs/>
          <w:color w:val="000000"/>
          <w:sz w:val="32"/>
          <w:szCs w:val="32"/>
        </w:rPr>
        <w:t>16%</w:t>
      </w:r>
      <w:r>
        <w:rPr>
          <w:rFonts w:ascii="仿宋" w:hAnsi="仿宋" w:cs="宋体;SimSun" w:eastAsia="仿宋"/>
          <w:bCs/>
          <w:color w:val="000000"/>
          <w:sz w:val="32"/>
          <w:szCs w:val="32"/>
        </w:rPr>
        <w:t>，较预算增加</w:t>
      </w:r>
      <w:r>
        <w:rPr>
          <w:rFonts w:eastAsia="仿宋" w:cs="宋体;SimSun" w:ascii="仿宋" w:hAnsi="仿宋"/>
          <w:bCs/>
          <w:color w:val="000000"/>
          <w:sz w:val="32"/>
          <w:szCs w:val="32"/>
        </w:rPr>
        <w:t>58.52</w:t>
      </w:r>
      <w:r>
        <w:rPr>
          <w:rFonts w:ascii="仿宋" w:hAnsi="仿宋" w:cs="宋体;SimSun" w:eastAsia="仿宋"/>
          <w:bCs/>
          <w:color w:val="000000"/>
          <w:sz w:val="32"/>
          <w:szCs w:val="32"/>
        </w:rPr>
        <w:t>万元，增幅</w:t>
      </w:r>
      <w:r>
        <w:rPr>
          <w:rFonts w:eastAsia="仿宋" w:cs="宋体;SimSun" w:ascii="仿宋" w:hAnsi="仿宋"/>
          <w:bCs/>
          <w:color w:val="000000"/>
          <w:sz w:val="32"/>
          <w:szCs w:val="32"/>
        </w:rPr>
        <w:t>43%</w:t>
      </w:r>
    </w:p>
    <w:p>
      <w:pPr>
        <w:pStyle w:val="Style14"/>
        <w:spacing w:lineRule="exact" w:line="560"/>
        <w:ind w:firstLine="640"/>
        <w:rPr>
          <w:rFonts w:ascii="仿宋" w:hAnsi="仿宋" w:eastAsia="仿宋"/>
          <w:sz w:val="32"/>
          <w:szCs w:val="32"/>
        </w:rPr>
      </w:pPr>
      <w:r>
        <w:rPr>
          <w:rFonts w:eastAsia="仿宋" w:cs="宋体;SimSun" w:ascii="仿宋" w:hAnsi="仿宋"/>
          <w:bCs/>
          <w:color w:val="000000"/>
          <w:sz w:val="32"/>
          <w:szCs w:val="32"/>
        </w:rPr>
        <w:t>2020</w:t>
      </w:r>
      <w:r>
        <w:rPr>
          <w:rFonts w:ascii="仿宋" w:hAnsi="仿宋" w:cs="宋体;SimSun" w:eastAsia="仿宋"/>
          <w:bCs/>
          <w:color w:val="000000"/>
          <w:sz w:val="32"/>
          <w:szCs w:val="32"/>
        </w:rPr>
        <w:t>年 “三公”经费决算支出</w:t>
      </w:r>
      <w:r>
        <w:rPr>
          <w:rFonts w:eastAsia="仿宋" w:cs="宋体;SimSun" w:ascii="仿宋" w:hAnsi="仿宋"/>
          <w:bCs/>
          <w:color w:val="000000"/>
          <w:sz w:val="32"/>
          <w:szCs w:val="32"/>
        </w:rPr>
        <w:t>11.51</w:t>
      </w:r>
      <w:r>
        <w:rPr>
          <w:rFonts w:ascii="仿宋" w:hAnsi="仿宋" w:cs="宋体;SimSun" w:eastAsia="仿宋"/>
          <w:bCs/>
          <w:color w:val="000000"/>
          <w:sz w:val="32"/>
          <w:szCs w:val="32"/>
        </w:rPr>
        <w:t>万元，其中公务用车购置及运行维护费</w:t>
      </w:r>
      <w:r>
        <w:rPr>
          <w:rFonts w:eastAsia="仿宋" w:cs="宋体;SimSun" w:ascii="仿宋" w:hAnsi="仿宋"/>
          <w:bCs/>
          <w:color w:val="000000"/>
          <w:sz w:val="32"/>
          <w:szCs w:val="32"/>
        </w:rPr>
        <w:t>11.20</w:t>
      </w:r>
      <w:r>
        <w:rPr>
          <w:rFonts w:ascii="仿宋" w:hAnsi="仿宋" w:cs="宋体;SimSun" w:eastAsia="仿宋"/>
          <w:bCs/>
          <w:color w:val="000000"/>
          <w:sz w:val="32"/>
          <w:szCs w:val="32"/>
        </w:rPr>
        <w:t>万元，公务接待费</w:t>
      </w:r>
      <w:r>
        <w:rPr>
          <w:rFonts w:eastAsia="仿宋" w:cs="宋体;SimSun" w:ascii="仿宋" w:hAnsi="仿宋"/>
          <w:bCs/>
          <w:color w:val="000000"/>
          <w:sz w:val="32"/>
          <w:szCs w:val="32"/>
        </w:rPr>
        <w:t>0.31</w:t>
      </w:r>
      <w:r>
        <w:rPr>
          <w:rFonts w:ascii="仿宋" w:hAnsi="仿宋" w:cs="宋体;SimSun" w:eastAsia="仿宋"/>
          <w:bCs/>
          <w:color w:val="000000"/>
          <w:sz w:val="32"/>
          <w:szCs w:val="32"/>
        </w:rPr>
        <w:t>万元，决算比预算增加</w:t>
      </w:r>
      <w:r>
        <w:rPr>
          <w:rFonts w:eastAsia="仿宋" w:cs="宋体;SimSun" w:ascii="仿宋" w:hAnsi="仿宋"/>
          <w:bCs/>
          <w:color w:val="000000"/>
          <w:sz w:val="32"/>
          <w:szCs w:val="32"/>
        </w:rPr>
        <w:t>1.66</w:t>
      </w:r>
      <w:r>
        <w:rPr>
          <w:rFonts w:ascii="仿宋" w:hAnsi="仿宋" w:cs="宋体;SimSun" w:eastAsia="仿宋"/>
          <w:bCs/>
          <w:color w:val="000000"/>
          <w:sz w:val="32"/>
          <w:szCs w:val="32"/>
        </w:rPr>
        <w:t>万元，增幅</w:t>
      </w:r>
      <w:r>
        <w:rPr>
          <w:rFonts w:eastAsia="仿宋" w:cs="宋体;SimSun" w:ascii="仿宋" w:hAnsi="仿宋"/>
          <w:bCs/>
          <w:color w:val="000000"/>
          <w:sz w:val="32"/>
          <w:szCs w:val="32"/>
        </w:rPr>
        <w:t>17%</w:t>
      </w:r>
      <w:r>
        <w:rPr>
          <w:rFonts w:ascii="仿宋" w:hAnsi="仿宋" w:cs="宋体;SimSun" w:eastAsia="仿宋"/>
          <w:bCs/>
          <w:color w:val="000000"/>
          <w:sz w:val="32"/>
          <w:szCs w:val="32"/>
        </w:rPr>
        <w:t>。</w:t>
      </w:r>
    </w:p>
    <w:p>
      <w:pPr>
        <w:pStyle w:val="Style14"/>
        <w:spacing w:lineRule="exact" w:line="560"/>
        <w:ind w:firstLine="640"/>
        <w:rPr>
          <w:rFonts w:ascii="仿宋" w:hAnsi="仿宋" w:eastAsia="仿宋"/>
          <w:sz w:val="32"/>
          <w:szCs w:val="32"/>
        </w:rPr>
      </w:pPr>
      <w:r>
        <w:rPr>
          <w:rFonts w:ascii="仿宋" w:hAnsi="仿宋" w:cs="Times New Roman" w:eastAsia="仿宋"/>
          <w:bCs/>
          <w:color w:val="000000"/>
          <w:sz w:val="32"/>
          <w:szCs w:val="32"/>
        </w:rPr>
        <w:t>（二）项目支出</w:t>
      </w:r>
    </w:p>
    <w:p>
      <w:pPr>
        <w:pStyle w:val="Style14"/>
        <w:spacing w:lineRule="exact" w:line="560"/>
        <w:ind w:firstLine="640"/>
        <w:rPr>
          <w:rFonts w:ascii="仿宋" w:hAnsi="仿宋" w:eastAsia="仿宋"/>
          <w:sz w:val="32"/>
          <w:szCs w:val="32"/>
        </w:rPr>
      </w:pPr>
      <w:r>
        <w:rPr>
          <w:rFonts w:eastAsia="仿宋" w:cs="宋体;SimSun" w:ascii="仿宋" w:hAnsi="仿宋"/>
          <w:bCs/>
          <w:color w:val="000000"/>
          <w:sz w:val="32"/>
          <w:szCs w:val="32"/>
        </w:rPr>
        <w:t>2020</w:t>
      </w:r>
      <w:r>
        <w:rPr>
          <w:rFonts w:ascii="仿宋" w:hAnsi="仿宋" w:cs="宋体;SimSun" w:eastAsia="仿宋"/>
          <w:bCs/>
          <w:color w:val="000000"/>
          <w:sz w:val="32"/>
          <w:szCs w:val="32"/>
        </w:rPr>
        <w:t>年决算项目支出为</w:t>
      </w:r>
      <w:r>
        <w:rPr>
          <w:rFonts w:eastAsia="仿宋" w:cs="宋体;SimSun" w:ascii="仿宋" w:hAnsi="仿宋"/>
          <w:bCs/>
          <w:color w:val="000000"/>
          <w:sz w:val="32"/>
          <w:szCs w:val="32"/>
        </w:rPr>
        <w:t>58</w:t>
      </w:r>
      <w:r>
        <w:rPr>
          <w:rFonts w:ascii="仿宋" w:hAnsi="仿宋" w:cs="宋体;SimSun" w:eastAsia="仿宋"/>
          <w:bCs/>
          <w:color w:val="000000"/>
          <w:sz w:val="32"/>
          <w:szCs w:val="32"/>
        </w:rPr>
        <w:t>万元，其中防汛值班费</w:t>
      </w:r>
      <w:r>
        <w:rPr>
          <w:rFonts w:eastAsia="仿宋" w:cs="宋体;SimSun" w:ascii="仿宋" w:hAnsi="仿宋"/>
          <w:bCs/>
          <w:color w:val="000000"/>
          <w:sz w:val="32"/>
          <w:szCs w:val="32"/>
        </w:rPr>
        <w:t>10</w:t>
      </w:r>
      <w:r>
        <w:rPr>
          <w:rFonts w:ascii="仿宋" w:hAnsi="仿宋" w:cs="宋体;SimSun" w:eastAsia="仿宋"/>
          <w:bCs/>
          <w:color w:val="000000"/>
          <w:sz w:val="32"/>
          <w:szCs w:val="32"/>
        </w:rPr>
        <w:t>万元，占比</w:t>
      </w:r>
      <w:r>
        <w:rPr>
          <w:rFonts w:eastAsia="仿宋" w:cs="宋体;SimSun" w:ascii="仿宋" w:hAnsi="仿宋"/>
          <w:bCs/>
          <w:color w:val="000000"/>
          <w:sz w:val="32"/>
          <w:szCs w:val="32"/>
        </w:rPr>
        <w:t>17%</w:t>
      </w:r>
      <w:r>
        <w:rPr>
          <w:rFonts w:ascii="仿宋" w:hAnsi="仿宋" w:cs="宋体;SimSun" w:eastAsia="仿宋"/>
          <w:bCs/>
          <w:color w:val="000000"/>
          <w:sz w:val="32"/>
          <w:szCs w:val="32"/>
        </w:rPr>
        <w:t>，铁坡镇火灾安置费</w:t>
      </w:r>
      <w:r>
        <w:rPr>
          <w:rFonts w:eastAsia="仿宋" w:cs="宋体;SimSun" w:ascii="仿宋" w:hAnsi="仿宋"/>
          <w:bCs/>
          <w:color w:val="000000"/>
          <w:sz w:val="32"/>
          <w:szCs w:val="32"/>
        </w:rPr>
        <w:t>48</w:t>
      </w:r>
      <w:r>
        <w:rPr>
          <w:rFonts w:ascii="仿宋" w:hAnsi="仿宋" w:cs="宋体;SimSun" w:eastAsia="仿宋"/>
          <w:bCs/>
          <w:color w:val="000000"/>
          <w:sz w:val="32"/>
          <w:szCs w:val="32"/>
        </w:rPr>
        <w:t>万元，占比</w:t>
      </w:r>
      <w:r>
        <w:rPr>
          <w:rFonts w:eastAsia="仿宋" w:cs="宋体;SimSun" w:ascii="仿宋" w:hAnsi="仿宋"/>
          <w:bCs/>
          <w:color w:val="000000"/>
          <w:sz w:val="32"/>
          <w:szCs w:val="32"/>
        </w:rPr>
        <w:t>83%</w:t>
      </w:r>
      <w:r>
        <w:rPr>
          <w:rFonts w:ascii="仿宋" w:hAnsi="仿宋" w:cs="宋体;SimSun" w:eastAsia="仿宋"/>
          <w:bCs/>
          <w:color w:val="000000"/>
          <w:sz w:val="32"/>
          <w:szCs w:val="32"/>
        </w:rPr>
        <w:t>。</w:t>
      </w:r>
    </w:p>
    <w:p>
      <w:pPr>
        <w:pStyle w:val="Style14"/>
        <w:spacing w:lineRule="exact" w:line="560"/>
        <w:ind w:hanging="0"/>
        <w:rPr>
          <w:rFonts w:ascii="仿宋" w:hAnsi="仿宋" w:eastAsia="黑体"/>
          <w:sz w:val="32"/>
          <w:szCs w:val="32"/>
        </w:rPr>
      </w:pPr>
      <w:r>
        <w:rPr>
          <w:rFonts w:ascii="仿宋" w:hAnsi="仿宋" w:cs="Times New Roman" w:eastAsia="黑体"/>
          <w:bCs/>
          <w:color w:val="000000"/>
          <w:sz w:val="32"/>
          <w:szCs w:val="32"/>
        </w:rPr>
        <w:t xml:space="preserve">  </w:t>
      </w:r>
      <w:r>
        <w:rPr>
          <w:rFonts w:ascii="仿宋" w:hAnsi="仿宋" w:cs="Times New Roman" w:eastAsia="黑体"/>
          <w:bCs/>
          <w:color w:val="000000"/>
          <w:sz w:val="32"/>
          <w:szCs w:val="32"/>
        </w:rPr>
        <w:t>三、部门整体支出绩效情况</w:t>
      </w:r>
    </w:p>
    <w:p>
      <w:pPr>
        <w:pStyle w:val="Style14"/>
        <w:spacing w:lineRule="exact" w:line="560"/>
        <w:ind w:firstLine="640"/>
        <w:rPr>
          <w:rFonts w:ascii="仿宋" w:hAnsi="仿宋" w:eastAsia="仿宋"/>
          <w:sz w:val="32"/>
          <w:szCs w:val="32"/>
        </w:rPr>
      </w:pPr>
      <w:r>
        <w:rPr>
          <w:rFonts w:eastAsia="仿宋" w:cs="宋体;SimSun" w:ascii="仿宋" w:hAnsi="仿宋"/>
          <w:bCs/>
          <w:color w:val="000000"/>
          <w:sz w:val="32"/>
          <w:szCs w:val="32"/>
        </w:rPr>
        <w:t>2020</w:t>
      </w:r>
      <w:r>
        <w:rPr>
          <w:rFonts w:ascii="仿宋" w:hAnsi="仿宋" w:cs="宋体;SimSun" w:eastAsia="仿宋"/>
          <w:bCs/>
          <w:color w:val="000000"/>
          <w:sz w:val="32"/>
          <w:szCs w:val="32"/>
        </w:rPr>
        <w:t>年我单位积极履职，强化管理，较好地完成了年度工作目标。通过加强预算收支管理，不断建立健全内部控制制度，梳理内部控制流程，部门整体支出管理水平得到提升。根据部门整体支出绩效评价指标体系，我单位</w:t>
      </w:r>
      <w:r>
        <w:rPr>
          <w:rFonts w:eastAsia="仿宋" w:cs="宋体;SimSun" w:ascii="仿宋" w:hAnsi="仿宋"/>
          <w:bCs/>
          <w:color w:val="000000"/>
          <w:sz w:val="32"/>
          <w:szCs w:val="32"/>
        </w:rPr>
        <w:t>2020</w:t>
      </w:r>
      <w:r>
        <w:rPr>
          <w:rFonts w:ascii="仿宋" w:hAnsi="仿宋" w:cs="宋体;SimSun" w:eastAsia="仿宋"/>
          <w:bCs/>
          <w:color w:val="000000"/>
          <w:sz w:val="32"/>
          <w:szCs w:val="32"/>
        </w:rPr>
        <w:t>度评价得分为</w:t>
      </w:r>
      <w:r>
        <w:rPr>
          <w:rFonts w:eastAsia="仿宋" w:cs="宋体;SimSun" w:ascii="仿宋" w:hAnsi="仿宋"/>
          <w:bCs/>
          <w:color w:val="000000"/>
          <w:sz w:val="32"/>
          <w:szCs w:val="32"/>
        </w:rPr>
        <w:t>98</w:t>
      </w:r>
      <w:r>
        <w:rPr>
          <w:rFonts w:ascii="仿宋" w:hAnsi="仿宋" w:cs="宋体;SimSun" w:eastAsia="仿宋"/>
          <w:bCs/>
          <w:color w:val="000000"/>
          <w:sz w:val="32"/>
          <w:szCs w:val="32"/>
        </w:rPr>
        <w:t>分。部门整体支出绩效情况如下：</w:t>
      </w:r>
    </w:p>
    <w:p>
      <w:pPr>
        <w:pStyle w:val="Style14"/>
        <w:spacing w:lineRule="exact" w:line="560"/>
        <w:ind w:firstLine="640"/>
        <w:rPr>
          <w:rFonts w:ascii="仿宋" w:hAnsi="仿宋" w:eastAsia="仿宋"/>
          <w:sz w:val="32"/>
          <w:szCs w:val="32"/>
        </w:rPr>
      </w:pPr>
      <w:r>
        <w:rPr>
          <w:rFonts w:eastAsia="仿宋" w:cs="宋体;SimSun" w:ascii="仿宋" w:hAnsi="仿宋"/>
          <w:bCs/>
          <w:color w:val="000000"/>
          <w:sz w:val="32"/>
          <w:szCs w:val="32"/>
        </w:rPr>
        <w:t>1</w:t>
      </w:r>
      <w:r>
        <w:rPr>
          <w:rFonts w:ascii="仿宋" w:hAnsi="仿宋" w:cs="宋体;SimSun" w:eastAsia="仿宋"/>
          <w:bCs/>
          <w:color w:val="000000"/>
          <w:sz w:val="32"/>
          <w:szCs w:val="32"/>
        </w:rPr>
        <w:t>、预算配置控制得</w:t>
      </w:r>
      <w:r>
        <w:rPr>
          <w:rFonts w:eastAsia="仿宋" w:cs="宋体;SimSun" w:ascii="仿宋" w:hAnsi="仿宋"/>
          <w:bCs/>
          <w:color w:val="000000"/>
          <w:sz w:val="32"/>
          <w:szCs w:val="32"/>
        </w:rPr>
        <w:t>9</w:t>
      </w:r>
      <w:r>
        <w:rPr>
          <w:rFonts w:ascii="仿宋" w:hAnsi="仿宋" w:cs="宋体;SimSun" w:eastAsia="仿宋"/>
          <w:bCs/>
          <w:color w:val="000000"/>
          <w:sz w:val="32"/>
          <w:szCs w:val="32"/>
        </w:rPr>
        <w:t>分。其中：在职人员控制率得</w:t>
      </w:r>
      <w:r>
        <w:rPr>
          <w:rFonts w:eastAsia="仿宋" w:cs="宋体;SimSun" w:ascii="仿宋" w:hAnsi="仿宋"/>
          <w:bCs/>
          <w:color w:val="000000"/>
          <w:sz w:val="32"/>
          <w:szCs w:val="32"/>
        </w:rPr>
        <w:t>4</w:t>
      </w:r>
      <w:r>
        <w:rPr>
          <w:rFonts w:ascii="仿宋" w:hAnsi="仿宋" w:cs="宋体;SimSun" w:eastAsia="仿宋"/>
          <w:bCs/>
          <w:color w:val="000000"/>
          <w:sz w:val="32"/>
          <w:szCs w:val="32"/>
        </w:rPr>
        <w:t>分，“三公经费”变动率得</w:t>
      </w:r>
      <w:r>
        <w:rPr>
          <w:rFonts w:eastAsia="仿宋" w:cs="宋体;SimSun" w:ascii="仿宋" w:hAnsi="仿宋"/>
          <w:bCs/>
          <w:color w:val="000000"/>
          <w:sz w:val="32"/>
          <w:szCs w:val="32"/>
        </w:rPr>
        <w:t>5</w:t>
      </w:r>
      <w:r>
        <w:rPr>
          <w:rFonts w:ascii="仿宋" w:hAnsi="仿宋" w:cs="宋体;SimSun" w:eastAsia="仿宋"/>
          <w:bCs/>
          <w:color w:val="000000"/>
          <w:sz w:val="32"/>
          <w:szCs w:val="32"/>
        </w:rPr>
        <w:t>分。</w:t>
      </w:r>
    </w:p>
    <w:p>
      <w:pPr>
        <w:pStyle w:val="Style14"/>
        <w:spacing w:lineRule="exact" w:line="560"/>
        <w:ind w:firstLine="640"/>
        <w:rPr>
          <w:rFonts w:ascii="仿宋" w:hAnsi="仿宋" w:eastAsia="仿宋"/>
          <w:sz w:val="32"/>
          <w:szCs w:val="32"/>
        </w:rPr>
      </w:pPr>
      <w:r>
        <w:rPr>
          <w:rFonts w:eastAsia="仿宋" w:cs="宋体;SimSun" w:ascii="仿宋" w:hAnsi="仿宋"/>
          <w:bCs/>
          <w:color w:val="000000"/>
          <w:sz w:val="32"/>
          <w:szCs w:val="32"/>
        </w:rPr>
        <w:t>2</w:t>
      </w:r>
      <w:r>
        <w:rPr>
          <w:rFonts w:ascii="仿宋" w:hAnsi="仿宋" w:cs="宋体;SimSun" w:eastAsia="仿宋"/>
          <w:bCs/>
          <w:color w:val="000000"/>
          <w:sz w:val="32"/>
          <w:szCs w:val="32"/>
        </w:rPr>
        <w:t>、预算执行比较到位得</w:t>
      </w:r>
      <w:r>
        <w:rPr>
          <w:rFonts w:eastAsia="仿宋" w:cs="宋体;SimSun" w:ascii="仿宋" w:hAnsi="仿宋"/>
          <w:bCs/>
          <w:color w:val="000000"/>
          <w:sz w:val="32"/>
          <w:szCs w:val="32"/>
        </w:rPr>
        <w:t>20</w:t>
      </w:r>
      <w:r>
        <w:rPr>
          <w:rFonts w:ascii="仿宋" w:hAnsi="仿宋" w:cs="宋体;SimSun" w:eastAsia="仿宋"/>
          <w:bCs/>
          <w:color w:val="000000"/>
          <w:sz w:val="32"/>
          <w:szCs w:val="32"/>
        </w:rPr>
        <w:t>分，其中预算完成率得</w:t>
      </w:r>
      <w:r>
        <w:rPr>
          <w:rFonts w:eastAsia="仿宋" w:cs="宋体;SimSun" w:ascii="仿宋" w:hAnsi="仿宋"/>
          <w:bCs/>
          <w:color w:val="000000"/>
          <w:sz w:val="32"/>
          <w:szCs w:val="32"/>
        </w:rPr>
        <w:t>5</w:t>
      </w:r>
      <w:r>
        <w:rPr>
          <w:rFonts w:ascii="仿宋" w:hAnsi="仿宋" w:cs="宋体;SimSun" w:eastAsia="仿宋"/>
          <w:bCs/>
          <w:color w:val="000000"/>
          <w:sz w:val="32"/>
          <w:szCs w:val="32"/>
        </w:rPr>
        <w:t>分，预算控制率得</w:t>
      </w:r>
      <w:r>
        <w:rPr>
          <w:rFonts w:eastAsia="仿宋" w:cs="宋体;SimSun" w:ascii="仿宋" w:hAnsi="仿宋"/>
          <w:bCs/>
          <w:color w:val="000000"/>
          <w:sz w:val="32"/>
          <w:szCs w:val="32"/>
        </w:rPr>
        <w:t>5</w:t>
      </w:r>
      <w:r>
        <w:rPr>
          <w:rFonts w:ascii="仿宋" w:hAnsi="仿宋" w:cs="宋体;SimSun" w:eastAsia="仿宋"/>
          <w:bCs/>
          <w:color w:val="000000"/>
          <w:sz w:val="32"/>
          <w:szCs w:val="32"/>
        </w:rPr>
        <w:t>分，新建楼堂馆所面积控制率得</w:t>
      </w:r>
      <w:r>
        <w:rPr>
          <w:rFonts w:eastAsia="仿宋" w:cs="宋体;SimSun" w:ascii="仿宋" w:hAnsi="仿宋"/>
          <w:bCs/>
          <w:color w:val="000000"/>
          <w:sz w:val="32"/>
          <w:szCs w:val="32"/>
        </w:rPr>
        <w:t>5</w:t>
      </w:r>
      <w:r>
        <w:rPr>
          <w:rFonts w:ascii="仿宋" w:hAnsi="仿宋" w:cs="宋体;SimSun" w:eastAsia="仿宋"/>
          <w:bCs/>
          <w:color w:val="000000"/>
          <w:sz w:val="32"/>
          <w:szCs w:val="32"/>
        </w:rPr>
        <w:t>分，新建楼堂馆所投资概算控制率得</w:t>
      </w:r>
      <w:r>
        <w:rPr>
          <w:rFonts w:eastAsia="仿宋" w:cs="宋体;SimSun" w:ascii="仿宋" w:hAnsi="仿宋"/>
          <w:bCs/>
          <w:color w:val="000000"/>
          <w:sz w:val="32"/>
          <w:szCs w:val="32"/>
        </w:rPr>
        <w:t>5</w:t>
      </w:r>
      <w:r>
        <w:rPr>
          <w:rFonts w:ascii="仿宋" w:hAnsi="仿宋" w:cs="宋体;SimSun" w:eastAsia="仿宋"/>
          <w:bCs/>
          <w:color w:val="000000"/>
          <w:sz w:val="32"/>
          <w:szCs w:val="32"/>
        </w:rPr>
        <w:t>分。</w:t>
      </w:r>
    </w:p>
    <w:p>
      <w:pPr>
        <w:pStyle w:val="Style14"/>
        <w:spacing w:lineRule="exact" w:line="560"/>
        <w:ind w:firstLine="640"/>
        <w:rPr>
          <w:rFonts w:ascii="仿宋" w:hAnsi="仿宋" w:eastAsia="仿宋"/>
          <w:sz w:val="32"/>
          <w:szCs w:val="32"/>
        </w:rPr>
      </w:pPr>
      <w:r>
        <w:rPr>
          <w:rFonts w:eastAsia="仿宋" w:cs="宋体;SimSun" w:ascii="仿宋" w:hAnsi="仿宋"/>
          <w:bCs/>
          <w:color w:val="000000"/>
          <w:sz w:val="32"/>
          <w:szCs w:val="32"/>
        </w:rPr>
        <w:t>3</w:t>
      </w:r>
      <w:r>
        <w:rPr>
          <w:rFonts w:ascii="仿宋" w:hAnsi="仿宋" w:cs="宋体;SimSun" w:eastAsia="仿宋"/>
          <w:bCs/>
          <w:color w:val="000000"/>
          <w:sz w:val="32"/>
          <w:szCs w:val="32"/>
        </w:rPr>
        <w:t>、预算管理比较理想，制度执行总体较为有效，但仍需进一步强化。得分</w:t>
      </w:r>
      <w:r>
        <w:rPr>
          <w:rFonts w:eastAsia="仿宋" w:cs="宋体;SimSun" w:ascii="仿宋" w:hAnsi="仿宋"/>
          <w:bCs/>
          <w:color w:val="000000"/>
          <w:sz w:val="32"/>
          <w:szCs w:val="32"/>
        </w:rPr>
        <w:t>37</w:t>
      </w:r>
      <w:r>
        <w:rPr>
          <w:rFonts w:ascii="仿宋" w:hAnsi="仿宋" w:cs="宋体;SimSun" w:eastAsia="仿宋"/>
          <w:bCs/>
          <w:color w:val="000000"/>
          <w:sz w:val="32"/>
          <w:szCs w:val="32"/>
        </w:rPr>
        <w:t>分。</w:t>
      </w:r>
    </w:p>
    <w:p>
      <w:pPr>
        <w:pStyle w:val="Style14"/>
        <w:spacing w:lineRule="exact" w:line="560"/>
        <w:ind w:firstLine="640"/>
        <w:rPr>
          <w:rFonts w:ascii="仿宋" w:hAnsi="仿宋" w:eastAsia="仿宋"/>
          <w:sz w:val="32"/>
          <w:szCs w:val="32"/>
        </w:rPr>
      </w:pPr>
      <w:r>
        <w:rPr>
          <w:rFonts w:eastAsia="仿宋" w:cs="宋体;SimSun" w:ascii="仿宋" w:hAnsi="仿宋"/>
          <w:bCs/>
          <w:color w:val="000000"/>
          <w:sz w:val="32"/>
          <w:szCs w:val="32"/>
        </w:rPr>
        <w:t>(1)</w:t>
      </w:r>
      <w:r>
        <w:rPr>
          <w:rFonts w:ascii="仿宋" w:hAnsi="仿宋" w:cs="宋体;SimSun" w:eastAsia="仿宋"/>
          <w:bCs/>
          <w:color w:val="000000"/>
          <w:sz w:val="32"/>
          <w:szCs w:val="32"/>
        </w:rPr>
        <w:t>公用经费控制率得分得</w:t>
      </w:r>
      <w:r>
        <w:rPr>
          <w:rFonts w:eastAsia="仿宋" w:cs="宋体;SimSun" w:ascii="仿宋" w:hAnsi="仿宋"/>
          <w:bCs/>
          <w:color w:val="000000"/>
          <w:sz w:val="32"/>
          <w:szCs w:val="32"/>
        </w:rPr>
        <w:t>6</w:t>
      </w:r>
      <w:r>
        <w:rPr>
          <w:rFonts w:ascii="仿宋" w:hAnsi="仿宋" w:cs="宋体;SimSun" w:eastAsia="仿宋"/>
          <w:bCs/>
          <w:color w:val="000000"/>
          <w:sz w:val="32"/>
          <w:szCs w:val="32"/>
        </w:rPr>
        <w:t>分。</w:t>
      </w:r>
    </w:p>
    <w:p>
      <w:pPr>
        <w:pStyle w:val="Style14"/>
        <w:spacing w:lineRule="exact" w:line="560"/>
        <w:ind w:firstLine="640"/>
        <w:rPr>
          <w:rFonts w:ascii="仿宋" w:hAnsi="仿宋" w:eastAsia="仿宋"/>
          <w:sz w:val="32"/>
          <w:szCs w:val="32"/>
        </w:rPr>
      </w:pPr>
      <w:r>
        <w:rPr>
          <w:rFonts w:eastAsia="仿宋" w:cs="宋体;SimSun" w:ascii="仿宋" w:hAnsi="仿宋"/>
          <w:bCs/>
          <w:color w:val="000000"/>
          <w:sz w:val="32"/>
          <w:szCs w:val="32"/>
        </w:rPr>
        <w:t>(2)“</w:t>
      </w:r>
      <w:r>
        <w:rPr>
          <w:rFonts w:ascii="仿宋" w:hAnsi="仿宋" w:cs="宋体;SimSun" w:eastAsia="仿宋"/>
          <w:bCs/>
          <w:color w:val="000000"/>
          <w:sz w:val="32"/>
          <w:szCs w:val="32"/>
        </w:rPr>
        <w:t>三公经费”控制率得</w:t>
      </w:r>
      <w:r>
        <w:rPr>
          <w:rFonts w:eastAsia="仿宋" w:cs="宋体;SimSun" w:ascii="仿宋" w:hAnsi="仿宋"/>
          <w:bCs/>
          <w:color w:val="000000"/>
          <w:sz w:val="32"/>
          <w:szCs w:val="32"/>
        </w:rPr>
        <w:t>7</w:t>
      </w:r>
      <w:r>
        <w:rPr>
          <w:rFonts w:ascii="仿宋" w:hAnsi="仿宋" w:cs="宋体;SimSun" w:eastAsia="仿宋"/>
          <w:bCs/>
          <w:color w:val="000000"/>
          <w:sz w:val="32"/>
          <w:szCs w:val="32"/>
        </w:rPr>
        <w:t>分。</w:t>
      </w:r>
    </w:p>
    <w:p>
      <w:pPr>
        <w:pStyle w:val="Style14"/>
        <w:spacing w:lineRule="exact" w:line="560"/>
        <w:ind w:hanging="0"/>
        <w:rPr>
          <w:rFonts w:ascii="仿宋" w:hAnsi="仿宋" w:eastAsia="仿宋"/>
          <w:sz w:val="32"/>
          <w:szCs w:val="32"/>
        </w:rPr>
      </w:pPr>
      <w:r>
        <w:rPr>
          <w:rFonts w:ascii="仿宋" w:hAnsi="仿宋" w:cs="宋体;SimSun" w:eastAsia="仿宋"/>
          <w:bCs/>
          <w:color w:val="000000"/>
          <w:sz w:val="32"/>
          <w:szCs w:val="32"/>
        </w:rPr>
        <w:t xml:space="preserve">   </w:t>
      </w:r>
      <w:r>
        <w:rPr>
          <w:rFonts w:ascii="仿宋" w:hAnsi="仿宋" w:cs="宋体;SimSun" w:eastAsia="仿宋"/>
          <w:bCs/>
          <w:color w:val="000000"/>
          <w:sz w:val="32"/>
          <w:szCs w:val="32"/>
        </w:rPr>
        <w:t>（</w:t>
      </w:r>
      <w:r>
        <w:rPr>
          <w:rFonts w:eastAsia="仿宋" w:cs="宋体;SimSun" w:ascii="仿宋" w:hAnsi="仿宋"/>
          <w:bCs/>
          <w:color w:val="000000"/>
          <w:sz w:val="32"/>
          <w:szCs w:val="32"/>
        </w:rPr>
        <w:t>3</w:t>
      </w:r>
      <w:r>
        <w:rPr>
          <w:rFonts w:ascii="仿宋" w:hAnsi="仿宋" w:cs="宋体;SimSun" w:eastAsia="仿宋"/>
          <w:bCs/>
          <w:color w:val="000000"/>
          <w:sz w:val="32"/>
          <w:szCs w:val="32"/>
        </w:rPr>
        <w:t>）政府采购执行率得</w:t>
      </w:r>
      <w:r>
        <w:rPr>
          <w:rFonts w:eastAsia="仿宋" w:cs="宋体;SimSun" w:ascii="仿宋" w:hAnsi="仿宋"/>
          <w:bCs/>
          <w:color w:val="000000"/>
          <w:sz w:val="32"/>
          <w:szCs w:val="32"/>
        </w:rPr>
        <w:t>6</w:t>
      </w:r>
      <w:r>
        <w:rPr>
          <w:rFonts w:ascii="仿宋" w:hAnsi="仿宋" w:cs="宋体;SimSun" w:eastAsia="仿宋"/>
          <w:bCs/>
          <w:color w:val="000000"/>
          <w:sz w:val="32"/>
          <w:szCs w:val="32"/>
        </w:rPr>
        <w:t>分。</w:t>
      </w:r>
    </w:p>
    <w:p>
      <w:pPr>
        <w:pStyle w:val="Style14"/>
        <w:spacing w:lineRule="exact" w:line="560"/>
        <w:ind w:hanging="0"/>
        <w:rPr>
          <w:rFonts w:ascii="仿宋" w:hAnsi="仿宋" w:eastAsia="仿宋" w:cs="宋体;SimSun"/>
          <w:bCs/>
          <w:color w:val="000000"/>
          <w:sz w:val="32"/>
          <w:szCs w:val="32"/>
        </w:rPr>
      </w:pPr>
      <w:r>
        <w:rPr>
          <w:rFonts w:ascii="仿宋" w:hAnsi="仿宋" w:cs="宋体;SimSun" w:eastAsia="仿宋"/>
          <w:bCs/>
          <w:color w:val="000000"/>
          <w:sz w:val="32"/>
          <w:szCs w:val="32"/>
        </w:rPr>
        <w:t xml:space="preserve">   </w:t>
      </w:r>
      <w:r>
        <w:rPr>
          <w:rFonts w:ascii="仿宋" w:hAnsi="仿宋" w:cs="宋体;SimSun" w:eastAsia="仿宋"/>
          <w:bCs/>
          <w:color w:val="000000"/>
          <w:sz w:val="32"/>
          <w:szCs w:val="32"/>
        </w:rPr>
        <w:t>（</w:t>
      </w:r>
      <w:r>
        <w:rPr>
          <w:rFonts w:eastAsia="仿宋" w:cs="宋体;SimSun" w:ascii="仿宋" w:hAnsi="仿宋"/>
          <w:bCs/>
          <w:color w:val="000000"/>
          <w:sz w:val="32"/>
          <w:szCs w:val="32"/>
        </w:rPr>
        <w:t>4</w:t>
      </w:r>
      <w:r>
        <w:rPr>
          <w:rFonts w:ascii="仿宋" w:hAnsi="仿宋" w:cs="宋体;SimSun" w:eastAsia="仿宋"/>
          <w:bCs/>
          <w:color w:val="000000"/>
          <w:sz w:val="32"/>
          <w:szCs w:val="32"/>
        </w:rPr>
        <w:t>）管理制度健全性得</w:t>
      </w:r>
      <w:r>
        <w:rPr>
          <w:rFonts w:eastAsia="仿宋" w:cs="宋体;SimSun" w:ascii="仿宋" w:hAnsi="仿宋"/>
          <w:bCs/>
          <w:color w:val="000000"/>
          <w:sz w:val="32"/>
          <w:szCs w:val="32"/>
        </w:rPr>
        <w:t>7</w:t>
      </w:r>
      <w:r>
        <w:rPr>
          <w:rFonts w:ascii="仿宋" w:hAnsi="仿宋" w:cs="宋体;SimSun" w:eastAsia="仿宋"/>
          <w:bCs/>
          <w:color w:val="000000"/>
          <w:sz w:val="32"/>
          <w:szCs w:val="32"/>
        </w:rPr>
        <w:t>分：</w:t>
      </w:r>
    </w:p>
    <w:p>
      <w:pPr>
        <w:pStyle w:val="Style14"/>
        <w:spacing w:lineRule="exact" w:line="560"/>
        <w:ind w:hanging="0"/>
        <w:rPr>
          <w:rFonts w:ascii="仿宋" w:hAnsi="仿宋" w:eastAsia="仿宋" w:cs="宋体;SimSun"/>
          <w:bCs/>
          <w:color w:val="000000"/>
          <w:sz w:val="32"/>
          <w:szCs w:val="32"/>
        </w:rPr>
      </w:pPr>
      <w:r>
        <w:rPr>
          <w:rFonts w:ascii="仿宋" w:hAnsi="仿宋" w:cs="宋体;SimSun" w:eastAsia="仿宋"/>
          <w:bCs/>
          <w:color w:val="000000"/>
          <w:sz w:val="32"/>
          <w:szCs w:val="32"/>
        </w:rPr>
        <w:t xml:space="preserve">   </w:t>
      </w:r>
      <w:r>
        <w:rPr>
          <w:rFonts w:ascii="仿宋" w:hAnsi="仿宋" w:cs="宋体;SimSun" w:eastAsia="仿宋"/>
          <w:bCs/>
          <w:color w:val="000000"/>
          <w:sz w:val="32"/>
          <w:szCs w:val="32"/>
        </w:rPr>
        <w:t>（</w:t>
      </w:r>
      <w:r>
        <w:rPr>
          <w:rFonts w:eastAsia="仿宋" w:cs="宋体;SimSun" w:ascii="仿宋" w:hAnsi="仿宋"/>
          <w:bCs/>
          <w:color w:val="000000"/>
          <w:sz w:val="32"/>
          <w:szCs w:val="32"/>
        </w:rPr>
        <w:t>5</w:t>
      </w:r>
      <w:r>
        <w:rPr>
          <w:rFonts w:ascii="仿宋" w:hAnsi="仿宋" w:cs="宋体;SimSun" w:eastAsia="仿宋"/>
          <w:bCs/>
          <w:color w:val="000000"/>
          <w:sz w:val="32"/>
          <w:szCs w:val="32"/>
        </w:rPr>
        <w:t>）资金使用合规性得</w:t>
      </w:r>
      <w:r>
        <w:rPr>
          <w:rFonts w:eastAsia="仿宋" w:cs="宋体;SimSun" w:ascii="仿宋" w:hAnsi="仿宋"/>
          <w:bCs/>
          <w:color w:val="000000"/>
          <w:sz w:val="32"/>
          <w:szCs w:val="32"/>
        </w:rPr>
        <w:t>6</w:t>
      </w:r>
      <w:r>
        <w:rPr>
          <w:rFonts w:ascii="仿宋" w:hAnsi="仿宋" w:cs="宋体;SimSun" w:eastAsia="仿宋"/>
          <w:bCs/>
          <w:color w:val="000000"/>
          <w:sz w:val="32"/>
          <w:szCs w:val="32"/>
        </w:rPr>
        <w:t>分。</w:t>
      </w:r>
    </w:p>
    <w:p>
      <w:pPr>
        <w:pStyle w:val="Style14"/>
        <w:spacing w:lineRule="exact" w:line="560"/>
        <w:ind w:hanging="0"/>
        <w:rPr>
          <w:rFonts w:ascii="仿宋" w:hAnsi="仿宋" w:eastAsia="仿宋" w:cs="宋体;SimSun"/>
          <w:bCs/>
          <w:color w:val="000000"/>
          <w:sz w:val="32"/>
          <w:szCs w:val="32"/>
        </w:rPr>
      </w:pPr>
      <w:r>
        <w:rPr>
          <w:rFonts w:ascii="仿宋" w:hAnsi="仿宋" w:cs="宋体;SimSun" w:eastAsia="仿宋"/>
          <w:bCs/>
          <w:color w:val="000000"/>
          <w:sz w:val="32"/>
          <w:szCs w:val="32"/>
        </w:rPr>
        <w:t xml:space="preserve">   </w:t>
      </w:r>
      <w:r>
        <w:rPr>
          <w:rFonts w:ascii="仿宋" w:hAnsi="仿宋" w:cs="宋体;SimSun" w:eastAsia="仿宋"/>
          <w:bCs/>
          <w:color w:val="000000"/>
          <w:sz w:val="32"/>
          <w:szCs w:val="32"/>
        </w:rPr>
        <w:t>（</w:t>
      </w:r>
      <w:r>
        <w:rPr>
          <w:rFonts w:eastAsia="仿宋" w:cs="宋体;SimSun" w:ascii="仿宋" w:hAnsi="仿宋"/>
          <w:bCs/>
          <w:color w:val="000000"/>
          <w:sz w:val="32"/>
          <w:szCs w:val="32"/>
        </w:rPr>
        <w:t>6</w:t>
      </w:r>
      <w:r>
        <w:rPr>
          <w:rFonts w:ascii="仿宋" w:hAnsi="仿宋" w:cs="宋体;SimSun" w:eastAsia="仿宋"/>
          <w:bCs/>
          <w:color w:val="000000"/>
          <w:sz w:val="32"/>
          <w:szCs w:val="32"/>
        </w:rPr>
        <w:t>）预决算信息公开性得</w:t>
      </w:r>
      <w:r>
        <w:rPr>
          <w:rFonts w:eastAsia="仿宋" w:cs="宋体;SimSun" w:ascii="仿宋" w:hAnsi="仿宋"/>
          <w:bCs/>
          <w:color w:val="000000"/>
          <w:sz w:val="32"/>
          <w:szCs w:val="32"/>
        </w:rPr>
        <w:t>5</w:t>
      </w:r>
      <w:r>
        <w:rPr>
          <w:rFonts w:ascii="仿宋" w:hAnsi="仿宋" w:cs="宋体;SimSun" w:eastAsia="仿宋"/>
          <w:bCs/>
          <w:color w:val="000000"/>
          <w:sz w:val="32"/>
          <w:szCs w:val="32"/>
        </w:rPr>
        <w:t>分。</w:t>
      </w:r>
    </w:p>
    <w:p>
      <w:pPr>
        <w:pStyle w:val="Style14"/>
        <w:spacing w:lineRule="exact" w:line="560"/>
        <w:ind w:firstLine="640"/>
        <w:rPr>
          <w:rFonts w:ascii="仿宋" w:hAnsi="仿宋" w:eastAsia="仿宋"/>
          <w:sz w:val="32"/>
          <w:szCs w:val="32"/>
        </w:rPr>
      </w:pPr>
      <w:r>
        <w:rPr>
          <w:rFonts w:eastAsia="仿宋" w:cs="宋体;SimSun" w:ascii="仿宋" w:hAnsi="仿宋"/>
          <w:bCs/>
          <w:color w:val="000000"/>
          <w:sz w:val="32"/>
          <w:szCs w:val="32"/>
        </w:rPr>
        <w:t>4</w:t>
      </w:r>
      <w:r>
        <w:rPr>
          <w:rFonts w:ascii="仿宋" w:hAnsi="仿宋" w:cs="宋体;SimSun" w:eastAsia="仿宋"/>
          <w:bCs/>
          <w:color w:val="000000"/>
          <w:sz w:val="32"/>
          <w:szCs w:val="32"/>
        </w:rPr>
        <w:t>、职责履行得</w:t>
      </w:r>
      <w:r>
        <w:rPr>
          <w:rFonts w:eastAsia="仿宋" w:cs="宋体;SimSun" w:ascii="仿宋" w:hAnsi="仿宋"/>
          <w:bCs/>
          <w:color w:val="000000"/>
          <w:sz w:val="32"/>
          <w:szCs w:val="32"/>
        </w:rPr>
        <w:t>8</w:t>
      </w:r>
      <w:r>
        <w:rPr>
          <w:rFonts w:ascii="仿宋" w:hAnsi="仿宋" w:cs="宋体;SimSun" w:eastAsia="仿宋"/>
          <w:bCs/>
          <w:color w:val="000000"/>
          <w:sz w:val="32"/>
          <w:szCs w:val="32"/>
        </w:rPr>
        <w:t>分。</w:t>
      </w:r>
      <w:r>
        <w:rPr>
          <w:rFonts w:eastAsia="仿宋" w:cs="宋体;SimSun" w:ascii="仿宋" w:hAnsi="仿宋"/>
          <w:bCs/>
          <w:color w:val="000000"/>
          <w:sz w:val="32"/>
          <w:szCs w:val="32"/>
        </w:rPr>
        <w:t>2020</w:t>
      </w:r>
      <w:r>
        <w:rPr>
          <w:rFonts w:ascii="仿宋" w:hAnsi="仿宋" w:cs="宋体;SimSun" w:eastAsia="仿宋"/>
          <w:bCs/>
          <w:color w:val="000000"/>
          <w:sz w:val="32"/>
          <w:szCs w:val="32"/>
        </w:rPr>
        <w:t>年我单位在全体干部职工的共同努力下圆满出色完成了各项工作目标任务。</w:t>
      </w:r>
    </w:p>
    <w:p>
      <w:pPr>
        <w:pStyle w:val="Style14"/>
        <w:spacing w:lineRule="exact" w:line="560"/>
        <w:ind w:firstLine="640"/>
        <w:rPr>
          <w:rFonts w:ascii="仿宋" w:hAnsi="仿宋" w:eastAsia="仿宋"/>
          <w:sz w:val="32"/>
          <w:szCs w:val="32"/>
        </w:rPr>
      </w:pPr>
      <w:r>
        <w:rPr>
          <w:rFonts w:eastAsia="仿宋" w:cs="宋体;SimSun" w:ascii="仿宋" w:hAnsi="仿宋"/>
          <w:bCs/>
          <w:color w:val="000000"/>
          <w:sz w:val="32"/>
          <w:szCs w:val="32"/>
        </w:rPr>
        <w:t>5</w:t>
      </w:r>
      <w:r>
        <w:rPr>
          <w:rFonts w:ascii="仿宋" w:hAnsi="仿宋" w:cs="宋体;SimSun" w:eastAsia="仿宋"/>
          <w:bCs/>
          <w:color w:val="000000"/>
          <w:sz w:val="32"/>
          <w:szCs w:val="32"/>
        </w:rPr>
        <w:t>、履职效益得</w:t>
      </w:r>
      <w:r>
        <w:rPr>
          <w:rFonts w:eastAsia="仿宋" w:cs="宋体;SimSun" w:ascii="仿宋" w:hAnsi="仿宋"/>
          <w:bCs/>
          <w:color w:val="000000"/>
          <w:sz w:val="32"/>
          <w:szCs w:val="32"/>
        </w:rPr>
        <w:t>22</w:t>
      </w:r>
      <w:r>
        <w:rPr>
          <w:rFonts w:ascii="仿宋" w:hAnsi="仿宋" w:cs="宋体;SimSun" w:eastAsia="仿宋"/>
          <w:bCs/>
          <w:color w:val="000000"/>
          <w:sz w:val="32"/>
          <w:szCs w:val="32"/>
        </w:rPr>
        <w:t>分。</w:t>
      </w:r>
    </w:p>
    <w:p>
      <w:pPr>
        <w:pStyle w:val="Style14"/>
        <w:spacing w:lineRule="exact" w:line="560"/>
        <w:ind w:firstLine="640"/>
        <w:rPr>
          <w:rFonts w:ascii="仿宋" w:hAnsi="仿宋" w:eastAsia="仿宋"/>
          <w:sz w:val="32"/>
          <w:szCs w:val="32"/>
        </w:rPr>
      </w:pPr>
      <w:r>
        <w:rPr>
          <w:rFonts w:ascii="仿宋" w:hAnsi="仿宋" w:cs="宋体;SimSun" w:eastAsia="仿宋"/>
          <w:bCs/>
          <w:color w:val="000000"/>
          <w:sz w:val="32"/>
          <w:szCs w:val="32"/>
        </w:rPr>
        <w:t>（</w:t>
      </w:r>
      <w:r>
        <w:rPr>
          <w:rFonts w:eastAsia="仿宋" w:cs="宋体;SimSun" w:ascii="仿宋" w:hAnsi="仿宋"/>
          <w:bCs/>
          <w:color w:val="000000"/>
          <w:sz w:val="32"/>
          <w:szCs w:val="32"/>
        </w:rPr>
        <w:t>1</w:t>
      </w:r>
      <w:r>
        <w:rPr>
          <w:rFonts w:ascii="仿宋" w:hAnsi="仿宋" w:cs="宋体;SimSun" w:eastAsia="仿宋"/>
          <w:bCs/>
          <w:color w:val="000000"/>
          <w:sz w:val="32"/>
          <w:szCs w:val="32"/>
        </w:rPr>
        <w:t>）经济效益和社会效益得</w:t>
      </w:r>
      <w:r>
        <w:rPr>
          <w:rFonts w:eastAsia="仿宋" w:cs="宋体;SimSun" w:ascii="仿宋" w:hAnsi="仿宋"/>
          <w:bCs/>
          <w:color w:val="000000"/>
          <w:sz w:val="32"/>
          <w:szCs w:val="32"/>
        </w:rPr>
        <w:t>10</w:t>
      </w:r>
      <w:r>
        <w:rPr>
          <w:rFonts w:ascii="仿宋" w:hAnsi="仿宋" w:cs="宋体;SimSun" w:eastAsia="仿宋"/>
          <w:bCs/>
          <w:color w:val="000000"/>
          <w:sz w:val="32"/>
          <w:szCs w:val="32"/>
        </w:rPr>
        <w:t>分。我单位的各方面工作得到社会大众的肯定和好评。</w:t>
      </w:r>
    </w:p>
    <w:p>
      <w:pPr>
        <w:pStyle w:val="Style14"/>
        <w:spacing w:lineRule="exact" w:line="560"/>
        <w:ind w:firstLine="640"/>
        <w:rPr>
          <w:rFonts w:ascii="仿宋" w:hAnsi="仿宋" w:eastAsia="仿宋" w:cs="宋体;SimSun"/>
          <w:bCs/>
          <w:color w:val="000000"/>
          <w:sz w:val="32"/>
          <w:szCs w:val="32"/>
        </w:rPr>
      </w:pPr>
      <w:r>
        <w:rPr>
          <w:rFonts w:ascii="仿宋" w:hAnsi="仿宋" w:cs="宋体;SimSun" w:eastAsia="仿宋"/>
          <w:bCs/>
          <w:color w:val="000000"/>
          <w:sz w:val="32"/>
          <w:szCs w:val="32"/>
        </w:rPr>
        <w:t>（</w:t>
      </w:r>
      <w:r>
        <w:rPr>
          <w:rFonts w:eastAsia="仿宋" w:cs="宋体;SimSun" w:ascii="仿宋" w:hAnsi="仿宋"/>
          <w:bCs/>
          <w:color w:val="000000"/>
          <w:sz w:val="32"/>
          <w:szCs w:val="32"/>
        </w:rPr>
        <w:t>2</w:t>
      </w:r>
      <w:r>
        <w:rPr>
          <w:rFonts w:ascii="仿宋" w:hAnsi="仿宋" w:cs="宋体;SimSun" w:eastAsia="仿宋"/>
          <w:bCs/>
          <w:color w:val="000000"/>
          <w:sz w:val="32"/>
          <w:szCs w:val="32"/>
        </w:rPr>
        <w:t>）行政效能得</w:t>
      </w:r>
      <w:r>
        <w:rPr>
          <w:rFonts w:eastAsia="仿宋" w:cs="宋体;SimSun" w:ascii="仿宋" w:hAnsi="仿宋"/>
          <w:bCs/>
          <w:color w:val="000000"/>
          <w:sz w:val="32"/>
          <w:szCs w:val="32"/>
        </w:rPr>
        <w:t>6</w:t>
      </w:r>
      <w:r>
        <w:rPr>
          <w:rFonts w:ascii="仿宋" w:hAnsi="仿宋" w:cs="宋体;SimSun" w:eastAsia="仿宋"/>
          <w:bCs/>
          <w:color w:val="000000"/>
          <w:sz w:val="32"/>
          <w:szCs w:val="32"/>
        </w:rPr>
        <w:t>分。我单位不断完善行政管理、严格经费及资产管理。</w:t>
      </w:r>
    </w:p>
    <w:p>
      <w:pPr>
        <w:pStyle w:val="Style14"/>
        <w:spacing w:lineRule="exact" w:line="560"/>
        <w:ind w:firstLine="640"/>
        <w:rPr>
          <w:rFonts w:ascii="仿宋" w:hAnsi="仿宋" w:eastAsia="仿宋"/>
          <w:sz w:val="32"/>
          <w:szCs w:val="32"/>
        </w:rPr>
      </w:pPr>
      <w:r>
        <w:rPr>
          <w:rFonts w:ascii="仿宋" w:hAnsi="仿宋" w:cs="宋体;SimSun" w:eastAsia="仿宋"/>
          <w:bCs/>
          <w:color w:val="000000"/>
          <w:sz w:val="32"/>
          <w:szCs w:val="32"/>
        </w:rPr>
        <w:t>（</w:t>
      </w:r>
      <w:r>
        <w:rPr>
          <w:rFonts w:eastAsia="仿宋" w:cs="宋体;SimSun" w:ascii="仿宋" w:hAnsi="仿宋"/>
          <w:bCs/>
          <w:color w:val="000000"/>
          <w:sz w:val="32"/>
          <w:szCs w:val="32"/>
        </w:rPr>
        <w:t>3</w:t>
      </w:r>
      <w:r>
        <w:rPr>
          <w:rFonts w:ascii="仿宋" w:hAnsi="仿宋" w:cs="宋体;SimSun" w:eastAsia="仿宋"/>
          <w:bCs/>
          <w:color w:val="000000"/>
          <w:sz w:val="32"/>
          <w:szCs w:val="32"/>
        </w:rPr>
        <w:t>）社会公众或服务对象满意度得</w:t>
      </w:r>
      <w:r>
        <w:rPr>
          <w:rFonts w:eastAsia="仿宋" w:cs="宋体;SimSun" w:ascii="仿宋" w:hAnsi="仿宋"/>
          <w:bCs/>
          <w:color w:val="000000"/>
          <w:sz w:val="32"/>
          <w:szCs w:val="32"/>
        </w:rPr>
        <w:t>6</w:t>
      </w:r>
      <w:r>
        <w:rPr>
          <w:rFonts w:ascii="仿宋" w:hAnsi="仿宋" w:cs="宋体;SimSun" w:eastAsia="仿宋"/>
          <w:bCs/>
          <w:color w:val="000000"/>
          <w:sz w:val="32"/>
          <w:szCs w:val="32"/>
        </w:rPr>
        <w:t>分。在绩效考核中成绩良好。</w:t>
      </w:r>
    </w:p>
    <w:p>
      <w:pPr>
        <w:pStyle w:val="Style14"/>
        <w:widowControl/>
        <w:spacing w:lineRule="exact" w:line="600"/>
        <w:ind w:hanging="0"/>
        <w:jc w:val="left"/>
        <w:rPr>
          <w:rFonts w:ascii="仿宋" w:hAnsi="仿宋" w:eastAsia="黑体"/>
          <w:sz w:val="32"/>
          <w:szCs w:val="32"/>
        </w:rPr>
      </w:pPr>
      <w:r>
        <w:rPr>
          <w:rFonts w:ascii="仿宋" w:hAnsi="仿宋" w:cs="Times New Roman" w:eastAsia="黑体"/>
          <w:color w:val="000000"/>
          <w:sz w:val="32"/>
          <w:szCs w:val="32"/>
        </w:rPr>
        <w:t xml:space="preserve">  </w:t>
      </w:r>
      <w:r>
        <w:rPr>
          <w:rFonts w:ascii="仿宋" w:hAnsi="仿宋" w:cs="Times New Roman" w:eastAsia="黑体"/>
          <w:color w:val="000000"/>
          <w:sz w:val="32"/>
          <w:szCs w:val="32"/>
        </w:rPr>
        <w:t>四、</w:t>
      </w:r>
      <w:r>
        <w:rPr>
          <w:rFonts w:ascii="仿宋" w:hAnsi="仿宋" w:cs="Times New Roman" w:eastAsia="黑体"/>
          <w:sz w:val="32"/>
          <w:szCs w:val="32"/>
        </w:rPr>
        <w:t>存在的主要问题及下一步改进措施</w:t>
      </w:r>
    </w:p>
    <w:p>
      <w:pPr>
        <w:pStyle w:val="Style14"/>
        <w:widowControl/>
        <w:spacing w:lineRule="exact" w:line="600"/>
        <w:ind w:firstLine="640"/>
        <w:jc w:val="left"/>
        <w:rPr>
          <w:rFonts w:ascii="仿宋" w:hAnsi="仿宋" w:eastAsia="仿宋"/>
          <w:sz w:val="32"/>
          <w:szCs w:val="32"/>
        </w:rPr>
      </w:pPr>
      <w:r>
        <w:rPr>
          <w:rFonts w:eastAsia="仿宋" w:cs="仿宋_GB2312" w:ascii="仿宋" w:hAnsi="仿宋"/>
          <w:color w:val="000000"/>
          <w:sz w:val="32"/>
          <w:szCs w:val="32"/>
          <w:lang w:val="en-US" w:eastAsia="zh-CN"/>
        </w:rPr>
        <w:t>2020</w:t>
      </w:r>
      <w:r>
        <w:rPr>
          <w:rFonts w:ascii="仿宋" w:hAnsi="仿宋" w:cs="仿宋_GB2312" w:eastAsia="仿宋"/>
          <w:color w:val="000000"/>
          <w:sz w:val="32"/>
          <w:szCs w:val="32"/>
          <w:lang w:val="en-US" w:eastAsia="zh-CN"/>
        </w:rPr>
        <w:t>年度安全生产应急防灾专项</w:t>
      </w:r>
      <w:r>
        <w:rPr>
          <w:rFonts w:ascii="仿宋" w:hAnsi="仿宋" w:cs="仿宋_GB2312" w:eastAsia="仿宋"/>
          <w:color w:val="000000"/>
          <w:sz w:val="32"/>
          <w:szCs w:val="32"/>
        </w:rPr>
        <w:t>资金</w:t>
      </w:r>
      <w:r>
        <w:rPr>
          <w:rFonts w:ascii="仿宋" w:hAnsi="仿宋" w:cs="仿宋_GB2312" w:eastAsia="仿宋"/>
          <w:color w:val="000000"/>
          <w:sz w:val="32"/>
          <w:szCs w:val="32"/>
          <w:lang w:eastAsia="zh-CN"/>
        </w:rPr>
        <w:t>全部用于安全生产工作和防灾减灾救灾工作方面，解决关键问题，凸显了一定作用，但</w:t>
      </w:r>
      <w:r>
        <w:rPr>
          <w:rFonts w:ascii="仿宋" w:hAnsi="仿宋" w:cs="仿宋_GB2312" w:eastAsia="仿宋"/>
          <w:color w:val="000000"/>
          <w:sz w:val="32"/>
          <w:szCs w:val="32"/>
        </w:rPr>
        <w:t>因资金有限，项目实施只能有针对性进行，不能全面铺开</w:t>
      </w:r>
      <w:r>
        <w:rPr>
          <w:rFonts w:ascii="仿宋" w:hAnsi="仿宋" w:cs="仿宋_GB2312" w:eastAsia="仿宋"/>
          <w:color w:val="000000"/>
          <w:sz w:val="32"/>
          <w:szCs w:val="32"/>
          <w:lang w:eastAsia="zh-CN"/>
        </w:rPr>
        <w:t>，对提升全县安全生产监管水平和综合防灾、减灾、救灾能力有待进一步加大专项资金投入力度。</w:t>
      </w:r>
    </w:p>
    <w:p>
      <w:pPr>
        <w:pStyle w:val="Style14"/>
        <w:widowControl/>
        <w:spacing w:lineRule="exact" w:line="600"/>
        <w:ind w:hanging="0"/>
        <w:jc w:val="left"/>
        <w:rPr>
          <w:rFonts w:ascii="仿宋" w:hAnsi="仿宋" w:eastAsia="黑体"/>
          <w:sz w:val="32"/>
          <w:szCs w:val="32"/>
        </w:rPr>
      </w:pPr>
      <w:r>
        <w:rPr>
          <w:rFonts w:ascii="仿宋" w:hAnsi="仿宋" w:cs="Times New Roman" w:eastAsia="黑体"/>
          <w:sz w:val="32"/>
          <w:szCs w:val="32"/>
        </w:rPr>
        <w:t xml:space="preserve">  </w:t>
      </w:r>
      <w:r>
        <w:rPr>
          <w:rFonts w:ascii="仿宋" w:hAnsi="仿宋" w:cs="Times New Roman" w:eastAsia="黑体"/>
          <w:sz w:val="32"/>
          <w:szCs w:val="32"/>
        </w:rPr>
        <w:t>五、绩效自评结果拟应用和公开情况</w:t>
      </w:r>
    </w:p>
    <w:p>
      <w:pPr>
        <w:pStyle w:val="Style14"/>
        <w:keepNext w:val="false"/>
        <w:keepLines w:val="false"/>
        <w:pageBreakBefore w:val="false"/>
        <w:widowControl/>
        <w:overflowPunct w:val="true"/>
        <w:bidi w:val="0"/>
        <w:spacing w:lineRule="exact" w:line="600"/>
        <w:ind w:left="0" w:hanging="0"/>
        <w:jc w:val="left"/>
        <w:textAlignment w:val="auto"/>
        <w:rPr>
          <w:rFonts w:ascii="仿宋" w:hAnsi="仿宋" w:eastAsia="仿宋"/>
          <w:sz w:val="32"/>
          <w:szCs w:val="32"/>
        </w:rPr>
      </w:pPr>
      <w:r>
        <w:rPr>
          <w:rFonts w:ascii="仿宋" w:hAnsi="仿宋" w:cs="Times New Roman" w:eastAsia="仿宋"/>
          <w:sz w:val="32"/>
          <w:szCs w:val="32"/>
          <w:lang w:val="en-US" w:eastAsia="zh-CN"/>
        </w:rPr>
        <w:t xml:space="preserve">    </w:t>
      </w:r>
      <w:r>
        <w:rPr>
          <w:rFonts w:ascii="仿宋" w:hAnsi="仿宋" w:cs="仿宋_GB2312" w:eastAsia="仿宋"/>
          <w:sz w:val="32"/>
          <w:szCs w:val="32"/>
          <w:lang w:val="en-US" w:eastAsia="zh-CN"/>
        </w:rPr>
        <w:t>根据湖南省财政厅预算管理要求，我局对</w:t>
      </w:r>
      <w:r>
        <w:rPr>
          <w:rFonts w:eastAsia="仿宋" w:cs="仿宋_GB2312" w:ascii="仿宋" w:hAnsi="仿宋"/>
          <w:sz w:val="32"/>
          <w:szCs w:val="32"/>
          <w:lang w:val="en-US" w:eastAsia="zh-CN"/>
        </w:rPr>
        <w:t>2019</w:t>
      </w:r>
      <w:r>
        <w:rPr>
          <w:rFonts w:ascii="仿宋" w:hAnsi="仿宋" w:cs="仿宋_GB2312" w:eastAsia="仿宋"/>
          <w:sz w:val="32"/>
          <w:szCs w:val="32"/>
          <w:lang w:val="en-US" w:eastAsia="zh-CN"/>
        </w:rPr>
        <w:t>年度一般公共预算财政拨款支出全面开展绩效自评，自评覆盖率达到</w:t>
      </w:r>
      <w:r>
        <w:rPr>
          <w:rFonts w:eastAsia="仿宋" w:cs="仿宋_GB2312" w:ascii="仿宋" w:hAnsi="仿宋"/>
          <w:sz w:val="32"/>
          <w:szCs w:val="32"/>
          <w:lang w:val="en-US" w:eastAsia="zh-CN"/>
        </w:rPr>
        <w:t>100%</w:t>
      </w:r>
      <w:r>
        <w:rPr>
          <w:rFonts w:ascii="仿宋" w:hAnsi="仿宋" w:cs="仿宋_GB2312" w:eastAsia="仿宋"/>
          <w:sz w:val="32"/>
          <w:szCs w:val="32"/>
          <w:lang w:val="en-US" w:eastAsia="zh-CN"/>
        </w:rPr>
        <w:t>。及时在政府门户网站公开。</w:t>
      </w:r>
    </w:p>
    <w:p>
      <w:pPr>
        <w:pStyle w:val="Style14"/>
        <w:widowControl/>
        <w:spacing w:lineRule="exact" w:line="600"/>
        <w:ind w:hanging="0"/>
        <w:jc w:val="left"/>
        <w:rPr>
          <w:rFonts w:ascii="仿宋" w:hAnsi="仿宋" w:eastAsia="黑体"/>
          <w:sz w:val="32"/>
          <w:szCs w:val="32"/>
        </w:rPr>
      </w:pPr>
      <w:r>
        <w:rPr>
          <w:rFonts w:ascii="仿宋" w:hAnsi="仿宋" w:cs="Times New Roman" w:eastAsia="黑体"/>
          <w:sz w:val="32"/>
          <w:szCs w:val="32"/>
        </w:rPr>
        <w:t xml:space="preserve">  </w:t>
      </w:r>
      <w:r>
        <w:rPr>
          <w:rFonts w:ascii="仿宋" w:hAnsi="仿宋" w:cs="Times New Roman" w:eastAsia="黑体"/>
          <w:sz w:val="32"/>
          <w:szCs w:val="32"/>
        </w:rPr>
        <w:t>六、其他需要说明的情况</w:t>
      </w:r>
    </w:p>
    <w:p>
      <w:pPr>
        <w:pStyle w:val="Style14"/>
        <w:keepNext w:val="false"/>
        <w:keepLines w:val="false"/>
        <w:pageBreakBefore w:val="false"/>
        <w:widowControl/>
        <w:overflowPunct w:val="true"/>
        <w:bidi w:val="0"/>
        <w:spacing w:lineRule="exact" w:line="600"/>
        <w:ind w:left="0" w:firstLine="297"/>
        <w:jc w:val="left"/>
        <w:textAlignment w:val="auto"/>
        <w:rPr>
          <w:rFonts w:ascii="仿宋" w:hAnsi="仿宋" w:eastAsia="仿宋"/>
          <w:sz w:val="32"/>
          <w:szCs w:val="32"/>
        </w:rPr>
      </w:pPr>
      <w:r>
        <w:rPr>
          <w:rFonts w:ascii="仿宋" w:hAnsi="仿宋" w:cs="Times New Roman" w:eastAsia="仿宋"/>
          <w:sz w:val="32"/>
          <w:szCs w:val="32"/>
          <w:lang w:val="en-US" w:eastAsia="zh-CN"/>
        </w:rPr>
        <w:t xml:space="preserve"> </w:t>
      </w:r>
      <w:r>
        <w:rPr>
          <w:rFonts w:ascii="仿宋" w:hAnsi="仿宋" w:cs="仿宋_GB2312" w:eastAsia="仿宋"/>
          <w:sz w:val="32"/>
          <w:szCs w:val="32"/>
          <w:lang w:val="en-US" w:eastAsia="zh-CN"/>
        </w:rPr>
        <w:t xml:space="preserve"> </w:t>
      </w:r>
      <w:r>
        <w:rPr>
          <w:rFonts w:ascii="仿宋" w:hAnsi="仿宋" w:cs="仿宋_GB2312" w:eastAsia="仿宋"/>
          <w:sz w:val="32"/>
          <w:szCs w:val="32"/>
        </w:rPr>
        <w:t>积极完成财政部门组织的决算、编报、审核等方面工作，认真如实填报。</w:t>
      </w:r>
    </w:p>
    <w:p>
      <w:pPr>
        <w:pStyle w:val="Style14"/>
        <w:widowControl/>
        <w:spacing w:lineRule="exact" w:line="600"/>
        <w:ind w:firstLine="645"/>
        <w:jc w:val="left"/>
        <w:rPr>
          <w:rFonts w:ascii="仿宋" w:hAnsi="仿宋" w:eastAsia="仿宋"/>
          <w:sz w:val="32"/>
          <w:szCs w:val="32"/>
        </w:rPr>
      </w:pPr>
      <w:r>
        <w:rPr>
          <w:rFonts w:eastAsia="仿宋" w:ascii="仿宋" w:hAnsi="仿宋"/>
          <w:sz w:val="32"/>
          <w:szCs w:val="32"/>
        </w:rPr>
      </w:r>
    </w:p>
    <w:p>
      <w:pPr>
        <w:pStyle w:val="Style14"/>
        <w:widowControl/>
        <w:spacing w:lineRule="exact" w:line="600"/>
        <w:ind w:firstLine="645"/>
        <w:jc w:val="left"/>
        <w:rPr>
          <w:rFonts w:ascii="仿宋" w:hAnsi="仿宋" w:eastAsia="仿宋"/>
          <w:sz w:val="32"/>
          <w:szCs w:val="32"/>
        </w:rPr>
      </w:pPr>
      <w:r>
        <w:rPr>
          <w:rFonts w:ascii="仿宋" w:hAnsi="仿宋" w:cs="Times New Roman" w:eastAsia="仿宋"/>
          <w:sz w:val="32"/>
          <w:szCs w:val="32"/>
        </w:rPr>
        <w:t>附件：</w:t>
      </w:r>
      <w:r>
        <w:rPr>
          <w:rFonts w:eastAsia="仿宋" w:cs="Times New Roman" w:ascii="仿宋" w:hAnsi="仿宋"/>
          <w:sz w:val="32"/>
          <w:szCs w:val="32"/>
        </w:rPr>
        <w:t>1.</w:t>
      </w:r>
      <w:r>
        <w:rPr>
          <w:rFonts w:ascii="仿宋" w:hAnsi="仿宋" w:cs="Times New Roman" w:eastAsia="仿宋"/>
          <w:sz w:val="32"/>
          <w:szCs w:val="32"/>
        </w:rPr>
        <w:t>部门整体支出绩效评价基础数据表</w:t>
      </w:r>
    </w:p>
    <w:p>
      <w:pPr>
        <w:pStyle w:val="Style14"/>
        <w:widowControl/>
        <w:spacing w:lineRule="exact" w:line="600"/>
        <w:ind w:firstLine="1600"/>
        <w:jc w:val="left"/>
        <w:rPr>
          <w:rFonts w:ascii="方正小标宋简体" w:hAnsi="方正小标宋简体" w:eastAsia="方正小标宋简体" w:cs="方正小标宋简体"/>
          <w:w w:val="78"/>
          <w:sz w:val="140"/>
          <w:szCs w:val="140"/>
        </w:rPr>
      </w:pPr>
      <w:r>
        <w:rPr>
          <w:rFonts w:eastAsia="仿宋" w:cs="Times New Roman" w:ascii="仿宋" w:hAnsi="仿宋"/>
          <w:w w:val="78"/>
          <w:sz w:val="32"/>
          <w:szCs w:val="32"/>
        </w:rPr>
        <w:t>2.</w:t>
      </w:r>
      <w:r>
        <w:rPr>
          <w:rFonts w:ascii="仿宋" w:hAnsi="仿宋" w:cs="Times New Roman" w:eastAsia="仿宋"/>
          <w:w w:val="78"/>
          <w:sz w:val="32"/>
          <w:szCs w:val="32"/>
        </w:rPr>
        <w:t>部门整体支出绩效评价指标评分表</w:t>
      </w:r>
    </w:p>
    <w:p>
      <w:pPr>
        <w:pStyle w:val="Style14"/>
        <w:jc w:val="center"/>
        <w:rPr>
          <w:rFonts w:ascii="Times New Roman" w:hAnsi="Times New Roman" w:eastAsia="仿宋_GB2312" w:cs="Times New Roman"/>
          <w:w w:val="78"/>
          <w:sz w:val="32"/>
          <w:szCs w:val="140"/>
        </w:rPr>
      </w:pPr>
      <w:r>
        <w:rPr>
          <w:rFonts w:eastAsia="仿宋_GB2312" w:cs="Times New Roman" w:ascii="Times New Roman" w:hAnsi="Times New Roman"/>
          <w:w w:val="78"/>
          <w:sz w:val="32"/>
          <w:szCs w:val="140"/>
        </w:rPr>
      </w:r>
    </w:p>
    <w:p>
      <w:pPr>
        <w:pStyle w:val="Style14"/>
        <w:spacing w:lineRule="exact" w:line="500"/>
        <w:jc w:val="center"/>
        <w:rPr>
          <w:rFonts w:ascii="Times New Roman" w:hAnsi="Times New Roman" w:eastAsia="仿宋_GB2312" w:cs="Times New Roman"/>
          <w:sz w:val="32"/>
        </w:rPr>
      </w:pPr>
      <w:r>
        <w:rPr>
          <w:rFonts w:eastAsia="仿宋_GB2312" w:cs="Times New Roman" w:ascii="Times New Roman" w:hAnsi="Times New Roman"/>
          <w:sz w:val="32"/>
        </w:rPr>
      </w:r>
    </w:p>
    <w:p>
      <w:pPr>
        <w:pStyle w:val="Style14"/>
        <w:spacing w:lineRule="exact" w:line="500"/>
        <w:jc w:val="center"/>
        <w:rPr>
          <w:rFonts w:ascii="Times New Roman" w:hAnsi="Times New Roman" w:eastAsia="仿宋_GB2312" w:cs="Times New Roman"/>
          <w:sz w:val="32"/>
        </w:rPr>
      </w:pPr>
      <w:r>
        <w:rPr>
          <w:rFonts w:eastAsia="仿宋_GB2312" w:cs="Times New Roman" w:ascii="Times New Roman" w:hAnsi="Times New Roman"/>
          <w:sz w:val="32"/>
        </w:rPr>
      </w:r>
    </w:p>
    <w:p>
      <w:pPr>
        <w:pStyle w:val="Style14"/>
        <w:spacing w:lineRule="exact" w:line="440"/>
        <w:jc w:val="center"/>
        <w:rPr>
          <w:rFonts w:ascii="Times New Roman" w:hAnsi="Times New Roman" w:eastAsia="仿宋_GB2312" w:cs="Times New Roman"/>
          <w:sz w:val="32"/>
        </w:rPr>
      </w:pPr>
      <w:r>
        <w:rPr>
          <w:rFonts w:eastAsia="仿宋_GB2312" w:cs="Times New Roman" w:ascii="Times New Roman" w:hAnsi="Times New Roman"/>
          <w:sz w:val="32"/>
        </w:rPr>
      </w:r>
    </w:p>
    <w:p>
      <w:pPr>
        <w:pStyle w:val="Style14"/>
        <w:spacing w:lineRule="exact" w:line="360"/>
        <w:jc w:val="center"/>
        <w:rPr>
          <w:rFonts w:ascii="Times New Roman" w:hAnsi="Times New Roman" w:eastAsia="仿宋_GB2312" w:cs="Times New Roman"/>
          <w:sz w:val="32"/>
        </w:rPr>
      </w:pPr>
      <w:r>
        <w:rPr>
          <w:rFonts w:eastAsia="仿宋_GB2312" w:cs="Times New Roman" w:ascii="Times New Roman" w:hAnsi="Times New Roman"/>
          <w:sz w:val="32"/>
        </w:rPr>
      </w:r>
    </w:p>
    <w:p>
      <w:pPr>
        <w:sectPr>
          <w:footerReference w:type="default" r:id="rId2"/>
          <w:type w:val="nextPage"/>
          <w:pgSz w:w="11906" w:h="16838"/>
          <w:pgMar w:left="1587" w:right="1587" w:header="0" w:top="1587" w:footer="992" w:bottom="1587" w:gutter="0"/>
          <w:pgNumType w:fmt="decimal"/>
          <w:formProt w:val="false"/>
          <w:textDirection w:val="lrTb"/>
          <w:docGrid w:type="lines" w:linePitch="312" w:charSpace="140902"/>
        </w:sectPr>
        <w:pStyle w:val="Style14"/>
        <w:spacing w:lineRule="exact" w:line="400"/>
        <w:jc w:val="center"/>
        <w:rPr>
          <w:rFonts w:ascii="Times New Roman" w:hAnsi="Times New Roman" w:eastAsia="仿宋_GB2312" w:cs="Times New Roman"/>
          <w:sz w:val="32"/>
        </w:rPr>
      </w:pPr>
      <w:r>
        <w:rPr>
          <w:rFonts w:eastAsia="仿宋_GB2312" w:cs="Times New Roman" w:ascii="Times New Roman" w:hAnsi="Times New Roman"/>
          <w:sz w:val="32"/>
        </w:rPr>
      </w:r>
    </w:p>
    <w:p>
      <w:pPr>
        <w:pStyle w:val="Style14"/>
        <w:spacing w:lineRule="exact" w:line="560"/>
        <w:rPr>
          <w:rFonts w:ascii="Times New Roman" w:hAnsi="Times New Roman" w:eastAsia="仿宋_GB2312" w:cs="Times New Roman"/>
          <w:bCs/>
          <w:color w:val="000000"/>
          <w:sz w:val="32"/>
          <w:szCs w:val="32"/>
        </w:rPr>
      </w:pPr>
      <w:r>
        <w:rPr>
          <w:rFonts w:ascii="Times New Roman" w:hAnsi="Times New Roman" w:cs="Times New Roman" w:eastAsia="仿宋_GB2312"/>
          <w:bCs/>
          <w:color w:val="000000"/>
          <w:sz w:val="32"/>
          <w:szCs w:val="32"/>
        </w:rPr>
        <w:t>附件</w:t>
      </w:r>
      <w:r>
        <w:rPr>
          <w:rFonts w:eastAsia="仿宋_GB2312" w:cs="Times New Roman" w:ascii="Times New Roman" w:hAnsi="Times New Roman"/>
          <w:bCs/>
          <w:color w:val="000000"/>
          <w:sz w:val="32"/>
          <w:szCs w:val="32"/>
        </w:rPr>
        <w:t>1</w:t>
      </w:r>
    </w:p>
    <w:p>
      <w:pPr>
        <w:pStyle w:val="Style14"/>
        <w:spacing w:lineRule="exact" w:line="360" w:before="161" w:after="161"/>
        <w:jc w:val="center"/>
        <w:rPr>
          <w:rFonts w:ascii="Times New Roman" w:hAnsi="Times New Roman" w:eastAsia="方正小标宋简体" w:cs="Times New Roman"/>
          <w:kern w:val="0"/>
          <w:sz w:val="44"/>
          <w:szCs w:val="44"/>
        </w:rPr>
      </w:pPr>
      <w:r>
        <w:rPr>
          <w:rFonts w:ascii="Times New Roman" w:hAnsi="Times New Roman" w:cs="Times New Roman" w:eastAsia="方正小标宋简体"/>
          <w:kern w:val="0"/>
          <w:sz w:val="44"/>
          <w:szCs w:val="44"/>
        </w:rPr>
        <w:t>部门整体支出绩效评价基础数据表</w:t>
      </w:r>
    </w:p>
    <w:p>
      <w:pPr>
        <w:pStyle w:val="Style14"/>
        <w:widowControl/>
        <w:tabs>
          <w:tab w:val="clear" w:pos="408"/>
          <w:tab w:val="left" w:pos="3611" w:leader="none"/>
          <w:tab w:val="left" w:pos="4791" w:leader="none"/>
          <w:tab w:val="left" w:pos="5951" w:leader="none"/>
          <w:tab w:val="left" w:pos="7071" w:leader="none"/>
          <w:tab w:val="left" w:pos="8191" w:leader="none"/>
          <w:tab w:val="left" w:pos="9311" w:leader="none"/>
        </w:tabs>
        <w:spacing w:lineRule="exact" w:line="500"/>
        <w:ind w:left="91" w:hanging="0"/>
        <w:jc w:val="left"/>
        <w:rPr>
          <w:rFonts w:ascii="Times New Roman" w:hAnsi="Times New Roman" w:eastAsia="仿宋_GB2312" w:cs="Times New Roman"/>
          <w:kern w:val="0"/>
          <w:sz w:val="30"/>
          <w:szCs w:val="30"/>
        </w:rPr>
      </w:pPr>
      <w:r>
        <w:rPr>
          <w:rFonts w:ascii="Times New Roman" w:hAnsi="Times New Roman" w:cs="Times New Roman" w:eastAsia="仿宋_GB2312"/>
          <w:kern w:val="0"/>
          <w:sz w:val="30"/>
          <w:szCs w:val="30"/>
        </w:rPr>
        <w:t>填报单位：中方县应急管理局</w:t>
      </w:r>
    </w:p>
    <w:tbl>
      <w:tblPr>
        <w:tblW w:w="13710" w:type="dxa"/>
        <w:jc w:val="center"/>
        <w:tblInd w:w="0" w:type="dxa"/>
        <w:tblLayout w:type="fixed"/>
        <w:tblCellMar>
          <w:top w:w="0" w:type="dxa"/>
          <w:left w:w="108" w:type="dxa"/>
          <w:bottom w:w="0" w:type="dxa"/>
          <w:right w:w="108" w:type="dxa"/>
        </w:tblCellMar>
      </w:tblPr>
      <w:tblGrid>
        <w:gridCol w:w="4883"/>
        <w:gridCol w:w="1545"/>
        <w:gridCol w:w="1522"/>
        <w:gridCol w:w="1467"/>
        <w:gridCol w:w="1901"/>
        <w:gridCol w:w="1260"/>
        <w:gridCol w:w="1131"/>
      </w:tblGrid>
      <w:tr>
        <w:trPr>
          <w:trHeight w:val="263" w:hRule="atLeast"/>
        </w:trPr>
        <w:tc>
          <w:tcPr>
            <w:tcW w:w="4883" w:type="dxa"/>
            <w:vMerge w:val="restart"/>
            <w:tcBorders>
              <w:top w:val="single" w:sz="4" w:space="0" w:color="000000"/>
              <w:left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财政供养人员情况</w:t>
            </w:r>
          </w:p>
        </w:tc>
        <w:tc>
          <w:tcPr>
            <w:tcW w:w="3067"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编制数</w:t>
            </w:r>
          </w:p>
        </w:tc>
        <w:tc>
          <w:tcPr>
            <w:tcW w:w="3368"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rPr>
              <w:t>2020</w:t>
            </w:r>
            <w:r>
              <w:rPr>
                <w:rFonts w:ascii="Times New Roman" w:hAnsi="Times New Roman" w:cs="Times New Roman" w:eastAsia="仿宋_GB2312"/>
                <w:kern w:val="0"/>
                <w:sz w:val="18"/>
                <w:szCs w:val="18"/>
              </w:rPr>
              <w:t>年实际在职人数</w:t>
            </w:r>
          </w:p>
        </w:tc>
        <w:tc>
          <w:tcPr>
            <w:tcW w:w="2391"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控制率</w:t>
            </w:r>
          </w:p>
        </w:tc>
      </w:tr>
      <w:tr>
        <w:trPr>
          <w:trHeight w:val="263" w:hRule="atLeast"/>
        </w:trPr>
        <w:tc>
          <w:tcPr>
            <w:tcW w:w="4883" w:type="dxa"/>
            <w:vMerge w:val="continue"/>
            <w:tcBorders>
              <w:top w:val="single" w:sz="4" w:space="0" w:color="000000"/>
              <w:left w:val="single" w:sz="4" w:space="0" w:color="000000"/>
              <w:bottom w:val="single" w:sz="4" w:space="0" w:color="000000"/>
              <w:right w:val="single" w:sz="4" w:space="0" w:color="000000"/>
            </w:tcBorders>
            <w:vAlign w:val="center"/>
          </w:tcPr>
          <w:p>
            <w:pPr>
              <w:pStyle w:val="Style14"/>
              <w:widowControl w:val="false"/>
              <w:snapToGrid w:val="false"/>
              <w:spacing w:lineRule="exact" w:line="24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3067"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r>
              <w:rPr>
                <w:rFonts w:eastAsia="仿宋_GB2312" w:cs="Times New Roman" w:ascii="Times New Roman" w:hAnsi="Times New Roman"/>
                <w:kern w:val="0"/>
                <w:sz w:val="18"/>
                <w:szCs w:val="18"/>
              </w:rPr>
              <w:t>55</w:t>
            </w:r>
          </w:p>
        </w:tc>
        <w:tc>
          <w:tcPr>
            <w:tcW w:w="3368" w:type="dxa"/>
            <w:gridSpan w:val="2"/>
            <w:tcBorders>
              <w:top w:val="single" w:sz="4" w:space="0" w:color="000000"/>
              <w:bottom w:val="single" w:sz="4" w:space="0" w:color="000000"/>
              <w:right w:val="single" w:sz="4" w:space="0" w:color="000000"/>
            </w:tcBorders>
            <w:vAlign w:val="center"/>
          </w:tcPr>
          <w:p>
            <w:pPr>
              <w:pStyle w:val="Style14"/>
              <w:widowControl w:val="false"/>
              <w:snapToGrid w:val="false"/>
              <w:spacing w:lineRule="exact" w:line="24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79</w:t>
            </w:r>
          </w:p>
        </w:tc>
        <w:tc>
          <w:tcPr>
            <w:tcW w:w="2391"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p>
        </w:tc>
      </w:tr>
      <w:tr>
        <w:trPr>
          <w:trHeight w:val="263" w:hRule="atLeast"/>
        </w:trPr>
        <w:tc>
          <w:tcPr>
            <w:tcW w:w="4883" w:type="dxa"/>
            <w:tcBorders>
              <w:left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经费控制情况</w:t>
            </w:r>
          </w:p>
        </w:tc>
        <w:tc>
          <w:tcPr>
            <w:tcW w:w="3067"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rPr>
              <w:t>2019</w:t>
            </w:r>
            <w:r>
              <w:rPr>
                <w:rFonts w:ascii="Times New Roman" w:hAnsi="Times New Roman" w:cs="Times New Roman" w:eastAsia="仿宋_GB2312"/>
                <w:kern w:val="0"/>
                <w:sz w:val="18"/>
                <w:szCs w:val="18"/>
              </w:rPr>
              <w:t>年决算数</w:t>
            </w:r>
          </w:p>
        </w:tc>
        <w:tc>
          <w:tcPr>
            <w:tcW w:w="3368"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rPr>
              <w:t>2020</w:t>
            </w:r>
            <w:r>
              <w:rPr>
                <w:rFonts w:ascii="Times New Roman" w:hAnsi="Times New Roman" w:cs="Times New Roman" w:eastAsia="仿宋_GB2312"/>
                <w:kern w:val="0"/>
                <w:sz w:val="18"/>
                <w:szCs w:val="18"/>
              </w:rPr>
              <w:t>年预算数</w:t>
            </w:r>
          </w:p>
        </w:tc>
        <w:tc>
          <w:tcPr>
            <w:tcW w:w="2391"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rPr>
              <w:t>2020</w:t>
            </w:r>
            <w:r>
              <w:rPr>
                <w:rFonts w:ascii="Times New Roman" w:hAnsi="Times New Roman" w:cs="Times New Roman" w:eastAsia="仿宋_GB2312"/>
                <w:kern w:val="0"/>
                <w:sz w:val="18"/>
                <w:szCs w:val="18"/>
              </w:rPr>
              <w:t>年决算数</w:t>
            </w:r>
          </w:p>
        </w:tc>
      </w:tr>
      <w:tr>
        <w:trPr>
          <w:trHeight w:val="263" w:hRule="atLeast"/>
        </w:trPr>
        <w:tc>
          <w:tcPr>
            <w:tcW w:w="4883" w:type="dxa"/>
            <w:tcBorders>
              <w:left w:val="single" w:sz="4" w:space="0" w:color="000000"/>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三公经费</w:t>
            </w:r>
          </w:p>
        </w:tc>
        <w:tc>
          <w:tcPr>
            <w:tcW w:w="3067"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lang w:val="en-US" w:eastAsia="zh-CN"/>
              </w:rPr>
              <w:t>32200</w:t>
            </w:r>
            <w:r>
              <w:rPr>
                <w:rFonts w:ascii="Times New Roman" w:hAnsi="Times New Roman" w:cs="Times New Roman" w:eastAsia="仿宋_GB2312"/>
                <w:kern w:val="0"/>
                <w:sz w:val="18"/>
                <w:szCs w:val="18"/>
              </w:rPr>
              <w:t>　</w:t>
            </w:r>
          </w:p>
        </w:tc>
        <w:tc>
          <w:tcPr>
            <w:tcW w:w="3368" w:type="dxa"/>
            <w:gridSpan w:val="2"/>
            <w:tcBorders>
              <w:top w:val="single" w:sz="4" w:space="0" w:color="000000"/>
              <w:bottom w:val="single" w:sz="4" w:space="0" w:color="000000"/>
              <w:right w:val="single" w:sz="4" w:space="0" w:color="000000"/>
            </w:tcBorders>
            <w:vAlign w:val="center"/>
          </w:tcPr>
          <w:p>
            <w:pPr>
              <w:pStyle w:val="Style14"/>
              <w:widowControl w:val="false"/>
              <w:snapToGrid w:val="false"/>
              <w:spacing w:lineRule="exact" w:line="24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98500</w:t>
            </w:r>
          </w:p>
        </w:tc>
        <w:tc>
          <w:tcPr>
            <w:tcW w:w="2391"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rPr>
              <w:t>115090.51</w:t>
            </w:r>
          </w:p>
        </w:tc>
      </w:tr>
      <w:tr>
        <w:trPr>
          <w:trHeight w:val="263" w:hRule="atLeast"/>
        </w:trPr>
        <w:tc>
          <w:tcPr>
            <w:tcW w:w="4883" w:type="dxa"/>
            <w:tcBorders>
              <w:left w:val="single" w:sz="4" w:space="0" w:color="000000"/>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cs="Times New Roman"/>
                <w:kern w:val="0"/>
                <w:sz w:val="18"/>
                <w:szCs w:val="18"/>
              </w:rPr>
            </w:pPr>
            <w:r>
              <w:rPr>
                <w:rFonts w:ascii="Times New Roman" w:hAnsi="Times New Roman" w:cs="Times New Roman" w:eastAsia="Times New Roman"/>
                <w:kern w:val="0"/>
                <w:sz w:val="18"/>
                <w:szCs w:val="18"/>
              </w:rPr>
              <w:t xml:space="preserve">   </w:t>
            </w:r>
            <w:r>
              <w:rPr>
                <w:rFonts w:eastAsia="仿宋_GB2312" w:cs="Times New Roman" w:ascii="Times New Roman" w:hAnsi="Times New Roman"/>
                <w:kern w:val="0"/>
                <w:sz w:val="18"/>
                <w:szCs w:val="18"/>
              </w:rPr>
              <w:t>1</w:t>
            </w:r>
            <w:r>
              <w:rPr>
                <w:rFonts w:ascii="Times New Roman" w:hAnsi="Times New Roman" w:cs="Times New Roman" w:eastAsia="仿宋_GB2312"/>
                <w:kern w:val="0"/>
                <w:sz w:val="18"/>
                <w:szCs w:val="18"/>
              </w:rPr>
              <w:t>、公务用车购置和维护经费</w:t>
            </w:r>
          </w:p>
        </w:tc>
        <w:tc>
          <w:tcPr>
            <w:tcW w:w="3067"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lang w:val="en-US" w:eastAsia="zh-CN"/>
              </w:rPr>
              <w:t>32200</w:t>
            </w:r>
            <w:r>
              <w:rPr>
                <w:rFonts w:ascii="Times New Roman" w:hAnsi="Times New Roman" w:cs="Times New Roman" w:eastAsia="仿宋_GB2312"/>
                <w:kern w:val="0"/>
                <w:sz w:val="18"/>
                <w:szCs w:val="18"/>
              </w:rPr>
              <w:t>　</w:t>
            </w:r>
          </w:p>
        </w:tc>
        <w:tc>
          <w:tcPr>
            <w:tcW w:w="3368"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rPr>
              <w:t>79000</w:t>
            </w:r>
          </w:p>
        </w:tc>
        <w:tc>
          <w:tcPr>
            <w:tcW w:w="2391"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rPr>
              <w:t>111988.51</w:t>
            </w:r>
          </w:p>
        </w:tc>
      </w:tr>
      <w:tr>
        <w:trPr>
          <w:trHeight w:val="263" w:hRule="atLeast"/>
        </w:trPr>
        <w:tc>
          <w:tcPr>
            <w:tcW w:w="4883" w:type="dxa"/>
            <w:tcBorders>
              <w:left w:val="single" w:sz="4" w:space="0" w:color="000000"/>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cs="Times New Roman"/>
                <w:kern w:val="0"/>
                <w:sz w:val="18"/>
                <w:szCs w:val="18"/>
              </w:rPr>
            </w:pPr>
            <w:r>
              <w:rPr>
                <w:rFonts w:ascii="Times New Roman" w:hAnsi="Times New Roman" w:cs="Times New Roman" w:eastAsia="Times New Roman"/>
                <w:kern w:val="0"/>
                <w:sz w:val="18"/>
                <w:szCs w:val="18"/>
              </w:rPr>
              <w:t xml:space="preserve">       </w:t>
            </w:r>
            <w:r>
              <w:rPr>
                <w:rFonts w:ascii="Times New Roman" w:hAnsi="Times New Roman" w:cs="Times New Roman" w:eastAsia="仿宋_GB2312"/>
                <w:kern w:val="0"/>
                <w:sz w:val="18"/>
                <w:szCs w:val="18"/>
              </w:rPr>
              <w:t>其中：公车购置</w:t>
            </w:r>
          </w:p>
        </w:tc>
        <w:tc>
          <w:tcPr>
            <w:tcW w:w="3067"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lang w:val="en-US" w:eastAsia="zh-CN"/>
              </w:rPr>
              <w:t>0</w:t>
            </w:r>
            <w:r>
              <w:rPr>
                <w:rFonts w:ascii="Times New Roman" w:hAnsi="Times New Roman" w:cs="Times New Roman" w:eastAsia="仿宋_GB2312"/>
                <w:kern w:val="0"/>
                <w:sz w:val="18"/>
                <w:szCs w:val="18"/>
              </w:rPr>
              <w:t>　</w:t>
            </w:r>
          </w:p>
        </w:tc>
        <w:tc>
          <w:tcPr>
            <w:tcW w:w="3368"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rPr>
              <w:t>0</w:t>
            </w:r>
            <w:r>
              <w:rPr>
                <w:rFonts w:ascii="Times New Roman" w:hAnsi="Times New Roman" w:cs="Times New Roman" w:eastAsia="仿宋_GB2312"/>
                <w:kern w:val="0"/>
                <w:sz w:val="18"/>
                <w:szCs w:val="18"/>
              </w:rPr>
              <w:t>　</w:t>
            </w:r>
          </w:p>
        </w:tc>
        <w:tc>
          <w:tcPr>
            <w:tcW w:w="2391"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rPr>
              <w:t>0</w:t>
            </w:r>
            <w:r>
              <w:rPr>
                <w:rFonts w:ascii="Times New Roman" w:hAnsi="Times New Roman" w:cs="Times New Roman" w:eastAsia="仿宋_GB2312"/>
                <w:kern w:val="0"/>
                <w:sz w:val="18"/>
                <w:szCs w:val="18"/>
              </w:rPr>
              <w:t>　</w:t>
            </w:r>
          </w:p>
        </w:tc>
      </w:tr>
      <w:tr>
        <w:trPr>
          <w:trHeight w:val="263" w:hRule="atLeast"/>
        </w:trPr>
        <w:tc>
          <w:tcPr>
            <w:tcW w:w="4883" w:type="dxa"/>
            <w:tcBorders>
              <w:left w:val="single" w:sz="4" w:space="0" w:color="000000"/>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cs="Times New Roman"/>
                <w:kern w:val="0"/>
                <w:sz w:val="18"/>
                <w:szCs w:val="18"/>
              </w:rPr>
            </w:pPr>
            <w:r>
              <w:rPr>
                <w:rFonts w:ascii="Times New Roman" w:hAnsi="Times New Roman" w:cs="Times New Roman" w:eastAsia="Times New Roman"/>
                <w:kern w:val="0"/>
                <w:sz w:val="18"/>
                <w:szCs w:val="18"/>
              </w:rPr>
              <w:t xml:space="preserve">             </w:t>
            </w:r>
            <w:r>
              <w:rPr>
                <w:rFonts w:ascii="Times New Roman" w:hAnsi="Times New Roman" w:cs="Times New Roman" w:eastAsia="仿宋_GB2312"/>
                <w:kern w:val="0"/>
                <w:sz w:val="18"/>
                <w:szCs w:val="18"/>
              </w:rPr>
              <w:t>公车运行维护</w:t>
            </w:r>
          </w:p>
        </w:tc>
        <w:tc>
          <w:tcPr>
            <w:tcW w:w="3067"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lang w:val="en-US" w:eastAsia="zh-CN"/>
              </w:rPr>
              <w:t>32200</w:t>
            </w:r>
            <w:r>
              <w:rPr>
                <w:rFonts w:ascii="Times New Roman" w:hAnsi="Times New Roman" w:cs="Times New Roman" w:eastAsia="仿宋_GB2312"/>
                <w:kern w:val="0"/>
                <w:sz w:val="18"/>
                <w:szCs w:val="18"/>
              </w:rPr>
              <w:t>　</w:t>
            </w:r>
          </w:p>
        </w:tc>
        <w:tc>
          <w:tcPr>
            <w:tcW w:w="3368"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rPr>
              <w:t>79000</w:t>
            </w:r>
          </w:p>
        </w:tc>
        <w:tc>
          <w:tcPr>
            <w:tcW w:w="2391"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rPr>
              <w:t>111988.51</w:t>
            </w:r>
          </w:p>
        </w:tc>
      </w:tr>
      <w:tr>
        <w:trPr>
          <w:trHeight w:val="263" w:hRule="atLeast"/>
        </w:trPr>
        <w:tc>
          <w:tcPr>
            <w:tcW w:w="4883" w:type="dxa"/>
            <w:tcBorders>
              <w:left w:val="single" w:sz="4" w:space="0" w:color="000000"/>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cs="Times New Roman"/>
                <w:kern w:val="0"/>
                <w:sz w:val="18"/>
                <w:szCs w:val="18"/>
              </w:rPr>
            </w:pPr>
            <w:r>
              <w:rPr>
                <w:rFonts w:ascii="Times New Roman" w:hAnsi="Times New Roman" w:cs="Times New Roman" w:eastAsia="Times New Roman"/>
                <w:kern w:val="0"/>
                <w:sz w:val="18"/>
                <w:szCs w:val="18"/>
              </w:rPr>
              <w:t xml:space="preserve">   </w:t>
            </w:r>
            <w:r>
              <w:rPr>
                <w:rFonts w:eastAsia="仿宋_GB2312" w:cs="Times New Roman" w:ascii="Times New Roman" w:hAnsi="Times New Roman"/>
                <w:kern w:val="0"/>
                <w:sz w:val="18"/>
                <w:szCs w:val="18"/>
              </w:rPr>
              <w:t>2</w:t>
            </w:r>
            <w:r>
              <w:rPr>
                <w:rFonts w:ascii="Times New Roman" w:hAnsi="Times New Roman" w:cs="Times New Roman" w:eastAsia="仿宋_GB2312"/>
                <w:kern w:val="0"/>
                <w:sz w:val="18"/>
                <w:szCs w:val="18"/>
              </w:rPr>
              <w:t>、出国经费</w:t>
            </w:r>
          </w:p>
        </w:tc>
        <w:tc>
          <w:tcPr>
            <w:tcW w:w="3067"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lang w:val="en-US" w:eastAsia="zh-CN"/>
              </w:rPr>
              <w:t>0</w:t>
            </w:r>
            <w:r>
              <w:rPr>
                <w:rFonts w:ascii="Times New Roman" w:hAnsi="Times New Roman" w:cs="Times New Roman" w:eastAsia="仿宋_GB2312"/>
                <w:kern w:val="0"/>
                <w:sz w:val="18"/>
                <w:szCs w:val="18"/>
              </w:rPr>
              <w:t>　</w:t>
            </w:r>
          </w:p>
        </w:tc>
        <w:tc>
          <w:tcPr>
            <w:tcW w:w="3368"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rPr>
              <w:t>0</w:t>
            </w:r>
            <w:r>
              <w:rPr>
                <w:rFonts w:ascii="Times New Roman" w:hAnsi="Times New Roman" w:cs="Times New Roman" w:eastAsia="仿宋_GB2312"/>
                <w:kern w:val="0"/>
                <w:sz w:val="18"/>
                <w:szCs w:val="18"/>
              </w:rPr>
              <w:t>　</w:t>
            </w:r>
          </w:p>
        </w:tc>
        <w:tc>
          <w:tcPr>
            <w:tcW w:w="2391"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rPr>
              <w:t>0</w:t>
            </w:r>
            <w:r>
              <w:rPr>
                <w:rFonts w:ascii="Times New Roman" w:hAnsi="Times New Roman" w:cs="Times New Roman" w:eastAsia="仿宋_GB2312"/>
                <w:kern w:val="0"/>
                <w:sz w:val="18"/>
                <w:szCs w:val="18"/>
              </w:rPr>
              <w:t>　</w:t>
            </w:r>
          </w:p>
        </w:tc>
      </w:tr>
      <w:tr>
        <w:trPr>
          <w:trHeight w:val="263" w:hRule="atLeast"/>
        </w:trPr>
        <w:tc>
          <w:tcPr>
            <w:tcW w:w="4883" w:type="dxa"/>
            <w:tcBorders>
              <w:left w:val="single" w:sz="4" w:space="0" w:color="000000"/>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cs="Times New Roman"/>
                <w:kern w:val="0"/>
                <w:sz w:val="18"/>
                <w:szCs w:val="18"/>
              </w:rPr>
            </w:pPr>
            <w:r>
              <w:rPr>
                <w:rFonts w:ascii="Times New Roman" w:hAnsi="Times New Roman" w:cs="Times New Roman" w:eastAsia="Times New Roman"/>
                <w:kern w:val="0"/>
                <w:sz w:val="18"/>
                <w:szCs w:val="18"/>
              </w:rPr>
              <w:t xml:space="preserve">   </w:t>
            </w:r>
            <w:r>
              <w:rPr>
                <w:rFonts w:eastAsia="仿宋_GB2312" w:cs="Times New Roman" w:ascii="Times New Roman" w:hAnsi="Times New Roman"/>
                <w:kern w:val="0"/>
                <w:sz w:val="18"/>
                <w:szCs w:val="18"/>
              </w:rPr>
              <w:t>3</w:t>
            </w:r>
            <w:r>
              <w:rPr>
                <w:rFonts w:ascii="Times New Roman" w:hAnsi="Times New Roman" w:cs="Times New Roman" w:eastAsia="仿宋_GB2312"/>
                <w:kern w:val="0"/>
                <w:sz w:val="18"/>
                <w:szCs w:val="18"/>
              </w:rPr>
              <w:t>、公务接待</w:t>
            </w:r>
          </w:p>
        </w:tc>
        <w:tc>
          <w:tcPr>
            <w:tcW w:w="3067"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lang w:val="en-US" w:eastAsia="zh-CN"/>
              </w:rPr>
              <w:t>10000</w:t>
            </w:r>
            <w:r>
              <w:rPr>
                <w:rFonts w:ascii="Times New Roman" w:hAnsi="Times New Roman" w:cs="Times New Roman" w:eastAsia="仿宋_GB2312"/>
                <w:kern w:val="0"/>
                <w:sz w:val="18"/>
                <w:szCs w:val="18"/>
              </w:rPr>
              <w:t>　</w:t>
            </w:r>
          </w:p>
        </w:tc>
        <w:tc>
          <w:tcPr>
            <w:tcW w:w="3368"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19500</w:t>
            </w:r>
          </w:p>
        </w:tc>
        <w:tc>
          <w:tcPr>
            <w:tcW w:w="2391"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rPr>
              <w:t>3102</w:t>
            </w:r>
          </w:p>
        </w:tc>
      </w:tr>
      <w:tr>
        <w:trPr>
          <w:trHeight w:val="263" w:hRule="atLeast"/>
        </w:trPr>
        <w:tc>
          <w:tcPr>
            <w:tcW w:w="4883" w:type="dxa"/>
            <w:tcBorders>
              <w:left w:val="single" w:sz="4" w:space="0" w:color="000000"/>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cs="Times New Roman"/>
                <w:kern w:val="0"/>
                <w:sz w:val="18"/>
                <w:szCs w:val="18"/>
              </w:rPr>
            </w:pPr>
            <w:r>
              <w:rPr>
                <w:rFonts w:ascii="Times New Roman" w:hAnsi="Times New Roman" w:cs="Times New Roman" w:eastAsia="仿宋_GB2312"/>
                <w:kern w:val="0"/>
                <w:sz w:val="18"/>
                <w:szCs w:val="18"/>
              </w:rPr>
              <w:t>项目支出：</w:t>
            </w:r>
            <w:r>
              <w:rPr>
                <w:rFonts w:ascii="Times New Roman" w:hAnsi="Times New Roman" w:cs="Times New Roman" w:eastAsia="Times New Roman"/>
                <w:kern w:val="0"/>
                <w:sz w:val="18"/>
                <w:szCs w:val="18"/>
              </w:rPr>
              <w:t xml:space="preserve">        </w:t>
            </w:r>
            <w:r>
              <w:rPr>
                <w:rFonts w:ascii="Times New Roman" w:hAnsi="Times New Roman" w:cs="Times New Roman" w:eastAsia="仿宋_GB2312"/>
                <w:kern w:val="0"/>
                <w:sz w:val="18"/>
                <w:szCs w:val="18"/>
              </w:rPr>
              <w:t>（一个项目一行）</w:t>
            </w:r>
          </w:p>
        </w:tc>
        <w:tc>
          <w:tcPr>
            <w:tcW w:w="3067"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lang w:val="en-US" w:eastAsia="zh-CN"/>
              </w:rPr>
              <w:t>248152</w:t>
            </w:r>
            <w:r>
              <w:rPr>
                <w:rFonts w:ascii="Times New Roman" w:hAnsi="Times New Roman" w:cs="Times New Roman" w:eastAsia="仿宋_GB2312"/>
                <w:kern w:val="0"/>
                <w:sz w:val="18"/>
                <w:szCs w:val="18"/>
              </w:rPr>
              <w:t>　</w:t>
            </w:r>
          </w:p>
        </w:tc>
        <w:tc>
          <w:tcPr>
            <w:tcW w:w="3368"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1100000</w:t>
            </w:r>
            <w:r>
              <w:rPr>
                <w:rFonts w:ascii="Times New Roman" w:hAnsi="Times New Roman" w:cs="Times New Roman" w:eastAsia="仿宋_GB2312"/>
                <w:kern w:val="0"/>
                <w:sz w:val="18"/>
                <w:szCs w:val="18"/>
              </w:rPr>
              <w:t>　</w:t>
            </w:r>
          </w:p>
        </w:tc>
        <w:tc>
          <w:tcPr>
            <w:tcW w:w="2391"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580000</w:t>
            </w:r>
            <w:r>
              <w:rPr>
                <w:rFonts w:ascii="Times New Roman" w:hAnsi="Times New Roman" w:cs="Times New Roman" w:eastAsia="仿宋_GB2312"/>
                <w:kern w:val="0"/>
                <w:sz w:val="18"/>
                <w:szCs w:val="18"/>
              </w:rPr>
              <w:t>　</w:t>
            </w:r>
          </w:p>
        </w:tc>
      </w:tr>
      <w:tr>
        <w:trPr>
          <w:trHeight w:val="263" w:hRule="atLeast"/>
        </w:trPr>
        <w:tc>
          <w:tcPr>
            <w:tcW w:w="4883" w:type="dxa"/>
            <w:tcBorders>
              <w:left w:val="single" w:sz="4" w:space="0" w:color="000000"/>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cs="Times New Roman"/>
                <w:kern w:val="0"/>
                <w:sz w:val="18"/>
                <w:szCs w:val="18"/>
              </w:rPr>
            </w:pPr>
            <w:r>
              <w:rPr>
                <w:rFonts w:ascii="Times New Roman" w:hAnsi="Times New Roman" w:cs="Times New Roman" w:eastAsia="Times New Roman"/>
                <w:kern w:val="0"/>
                <w:sz w:val="18"/>
                <w:szCs w:val="18"/>
              </w:rPr>
              <w:t xml:space="preserve">    </w:t>
            </w:r>
            <w:r>
              <w:rPr>
                <w:rFonts w:eastAsia="仿宋_GB2312" w:cs="Times New Roman" w:ascii="Times New Roman" w:hAnsi="Times New Roman"/>
                <w:kern w:val="0"/>
                <w:sz w:val="18"/>
                <w:szCs w:val="18"/>
              </w:rPr>
              <w:t>1</w:t>
            </w:r>
            <w:r>
              <w:rPr>
                <w:rFonts w:ascii="Times New Roman" w:hAnsi="Times New Roman" w:cs="Times New Roman" w:eastAsia="仿宋_GB2312"/>
                <w:kern w:val="0"/>
                <w:sz w:val="18"/>
                <w:szCs w:val="18"/>
              </w:rPr>
              <w:t>、业务工作专项</w:t>
            </w:r>
          </w:p>
        </w:tc>
        <w:tc>
          <w:tcPr>
            <w:tcW w:w="3067"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eastAsia="仿宋_GB2312" w:cs="Times New Roman" w:ascii="Times New Roman" w:hAnsi="Times New Roman"/>
                <w:kern w:val="0"/>
                <w:sz w:val="18"/>
                <w:szCs w:val="18"/>
                <w:lang w:val="en-US" w:eastAsia="zh-CN"/>
              </w:rPr>
              <w:t>248152</w:t>
            </w:r>
            <w:r>
              <w:rPr>
                <w:rFonts w:ascii="Times New Roman" w:hAnsi="Times New Roman" w:cs="Times New Roman" w:eastAsia="仿宋_GB2312"/>
                <w:kern w:val="0"/>
                <w:sz w:val="18"/>
                <w:szCs w:val="18"/>
              </w:rPr>
              <w:t>　</w:t>
            </w:r>
          </w:p>
        </w:tc>
        <w:tc>
          <w:tcPr>
            <w:tcW w:w="3368"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1100000</w:t>
            </w:r>
            <w:r>
              <w:rPr>
                <w:rFonts w:ascii="Times New Roman" w:hAnsi="Times New Roman" w:cs="Times New Roman" w:eastAsia="仿宋_GB2312"/>
                <w:kern w:val="0"/>
                <w:sz w:val="18"/>
                <w:szCs w:val="18"/>
              </w:rPr>
              <w:t>　</w:t>
            </w:r>
          </w:p>
        </w:tc>
        <w:tc>
          <w:tcPr>
            <w:tcW w:w="2391"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580000</w:t>
            </w:r>
            <w:r>
              <w:rPr>
                <w:rFonts w:ascii="Times New Roman" w:hAnsi="Times New Roman" w:cs="Times New Roman" w:eastAsia="仿宋_GB2312"/>
                <w:kern w:val="0"/>
                <w:sz w:val="18"/>
                <w:szCs w:val="18"/>
              </w:rPr>
              <w:t>　</w:t>
            </w:r>
          </w:p>
        </w:tc>
      </w:tr>
      <w:tr>
        <w:trPr>
          <w:trHeight w:val="263" w:hRule="atLeast"/>
        </w:trPr>
        <w:tc>
          <w:tcPr>
            <w:tcW w:w="4883" w:type="dxa"/>
            <w:tcBorders>
              <w:left w:val="single" w:sz="4" w:space="0" w:color="000000"/>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cs="Times New Roman"/>
                <w:kern w:val="0"/>
                <w:sz w:val="18"/>
                <w:szCs w:val="18"/>
              </w:rPr>
            </w:pPr>
            <w:r>
              <w:rPr>
                <w:rFonts w:ascii="Times New Roman" w:hAnsi="Times New Roman" w:cs="Times New Roman" w:eastAsia="Times New Roman"/>
                <w:kern w:val="0"/>
                <w:sz w:val="18"/>
                <w:szCs w:val="18"/>
              </w:rPr>
              <w:t xml:space="preserve">    </w:t>
            </w:r>
            <w:r>
              <w:rPr>
                <w:rFonts w:eastAsia="仿宋_GB2312" w:cs="Times New Roman" w:ascii="Times New Roman" w:hAnsi="Times New Roman"/>
                <w:kern w:val="0"/>
                <w:sz w:val="18"/>
                <w:szCs w:val="18"/>
              </w:rPr>
              <w:t>2</w:t>
            </w:r>
            <w:r>
              <w:rPr>
                <w:rFonts w:ascii="Times New Roman" w:hAnsi="Times New Roman" w:cs="Times New Roman" w:eastAsia="仿宋_GB2312"/>
                <w:kern w:val="0"/>
                <w:sz w:val="18"/>
                <w:szCs w:val="18"/>
              </w:rPr>
              <w:t>、运行维护专项</w:t>
            </w:r>
          </w:p>
        </w:tc>
        <w:tc>
          <w:tcPr>
            <w:tcW w:w="3067"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p>
        </w:tc>
        <w:tc>
          <w:tcPr>
            <w:tcW w:w="3368"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p>
        </w:tc>
        <w:tc>
          <w:tcPr>
            <w:tcW w:w="2391"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p>
        </w:tc>
      </w:tr>
      <w:tr>
        <w:trPr>
          <w:trHeight w:val="263" w:hRule="atLeast"/>
        </w:trPr>
        <w:tc>
          <w:tcPr>
            <w:tcW w:w="4883" w:type="dxa"/>
            <w:tcBorders>
              <w:top w:val="single" w:sz="4" w:space="0" w:color="000000"/>
              <w:left w:val="single" w:sz="4" w:space="0" w:color="000000"/>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cs="Times New Roman"/>
                <w:kern w:val="0"/>
                <w:sz w:val="18"/>
                <w:szCs w:val="18"/>
              </w:rPr>
            </w:pPr>
            <w:r>
              <w:rPr>
                <w:rFonts w:ascii="Times New Roman" w:hAnsi="Times New Roman" w:cs="Times New Roman" w:eastAsia="Times New Roman"/>
                <w:kern w:val="0"/>
                <w:sz w:val="18"/>
                <w:szCs w:val="18"/>
              </w:rPr>
              <w:t xml:space="preserve">          </w:t>
            </w:r>
            <w:r>
              <w:rPr>
                <w:rFonts w:ascii="Times New Roman" w:hAnsi="Times New Roman" w:cs="Times New Roman" w:eastAsia="仿宋_GB2312"/>
                <w:kern w:val="0"/>
                <w:sz w:val="18"/>
                <w:szCs w:val="18"/>
              </w:rPr>
              <w:t>……</w:t>
            </w:r>
          </w:p>
        </w:tc>
        <w:tc>
          <w:tcPr>
            <w:tcW w:w="3067" w:type="dxa"/>
            <w:gridSpan w:val="2"/>
            <w:tcBorders>
              <w:top w:val="single" w:sz="4" w:space="0" w:color="000000"/>
              <w:left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p>
        </w:tc>
        <w:tc>
          <w:tcPr>
            <w:tcW w:w="3368" w:type="dxa"/>
            <w:gridSpan w:val="2"/>
            <w:tcBorders>
              <w:top w:val="single" w:sz="4" w:space="0" w:color="000000"/>
              <w:left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p>
        </w:tc>
        <w:tc>
          <w:tcPr>
            <w:tcW w:w="2391"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p>
        </w:tc>
      </w:tr>
      <w:tr>
        <w:trPr>
          <w:trHeight w:val="263" w:hRule="atLeast"/>
        </w:trPr>
        <w:tc>
          <w:tcPr>
            <w:tcW w:w="4883" w:type="dxa"/>
            <w:tcBorders>
              <w:top w:val="single" w:sz="4" w:space="0" w:color="000000"/>
              <w:left w:val="single" w:sz="4" w:space="0" w:color="000000"/>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公用经费</w:t>
            </w:r>
          </w:p>
        </w:tc>
        <w:tc>
          <w:tcPr>
            <w:tcW w:w="3067"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p>
        </w:tc>
        <w:tc>
          <w:tcPr>
            <w:tcW w:w="3368" w:type="dxa"/>
            <w:gridSpan w:val="2"/>
            <w:tcBorders>
              <w:top w:val="single" w:sz="4" w:space="0" w:color="000000"/>
              <w:bottom w:val="single" w:sz="4" w:space="0" w:color="000000"/>
              <w:right w:val="single" w:sz="4" w:space="0" w:color="000000"/>
            </w:tcBorders>
            <w:vAlign w:val="center"/>
          </w:tcPr>
          <w:p>
            <w:pPr>
              <w:pStyle w:val="Style14"/>
              <w:widowControl w:val="false"/>
              <w:snapToGrid w:val="false"/>
              <w:spacing w:lineRule="exact" w:line="24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2391" w:type="dxa"/>
            <w:gridSpan w:val="2"/>
            <w:tcBorders>
              <w:top w:val="single" w:sz="4" w:space="0" w:color="000000"/>
              <w:bottom w:val="single" w:sz="4" w:space="0" w:color="000000"/>
              <w:right w:val="single" w:sz="4" w:space="0" w:color="000000"/>
            </w:tcBorders>
            <w:vAlign w:val="center"/>
          </w:tcPr>
          <w:p>
            <w:pPr>
              <w:pStyle w:val="Style14"/>
              <w:widowControl w:val="false"/>
              <w:snapToGrid w:val="false"/>
              <w:spacing w:lineRule="exact" w:line="24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r>
      <w:tr>
        <w:trPr>
          <w:trHeight w:val="263" w:hRule="atLeast"/>
        </w:trPr>
        <w:tc>
          <w:tcPr>
            <w:tcW w:w="4883" w:type="dxa"/>
            <w:tcBorders>
              <w:left w:val="single" w:sz="4" w:space="0" w:color="000000"/>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cs="Times New Roman"/>
                <w:kern w:val="0"/>
                <w:sz w:val="18"/>
                <w:szCs w:val="18"/>
              </w:rPr>
            </w:pPr>
            <w:r>
              <w:rPr>
                <w:rFonts w:ascii="Times New Roman" w:hAnsi="Times New Roman" w:cs="Times New Roman" w:eastAsia="Times New Roman"/>
                <w:kern w:val="0"/>
                <w:sz w:val="18"/>
                <w:szCs w:val="18"/>
              </w:rPr>
              <w:t xml:space="preserve">    </w:t>
            </w:r>
            <w:r>
              <w:rPr>
                <w:rFonts w:ascii="Times New Roman" w:hAnsi="Times New Roman" w:cs="Times New Roman" w:eastAsia="仿宋_GB2312"/>
                <w:kern w:val="0"/>
                <w:sz w:val="18"/>
                <w:szCs w:val="18"/>
              </w:rPr>
              <w:t>其中：办公经费</w:t>
            </w:r>
          </w:p>
        </w:tc>
        <w:tc>
          <w:tcPr>
            <w:tcW w:w="3067"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color w:val="000000"/>
              </w:rPr>
            </w:pPr>
            <w:r>
              <w:rPr>
                <w:rFonts w:eastAsia="仿宋_GB2312" w:cs="Times New Roman" w:ascii="Times New Roman" w:hAnsi="Times New Roman"/>
                <w:color w:val="000000"/>
                <w:kern w:val="0"/>
                <w:sz w:val="18"/>
                <w:szCs w:val="18"/>
                <w:lang w:val="en-US" w:eastAsia="zh-CN"/>
              </w:rPr>
              <w:t>804891</w:t>
            </w:r>
            <w:r>
              <w:rPr>
                <w:rFonts w:ascii="Times New Roman" w:hAnsi="Times New Roman" w:cs="Times New Roman" w:eastAsia="仿宋_GB2312"/>
                <w:color w:val="000000"/>
                <w:kern w:val="0"/>
                <w:sz w:val="18"/>
                <w:szCs w:val="18"/>
              </w:rPr>
              <w:t>　</w:t>
            </w:r>
          </w:p>
        </w:tc>
        <w:tc>
          <w:tcPr>
            <w:tcW w:w="3368" w:type="dxa"/>
            <w:gridSpan w:val="2"/>
            <w:tcBorders>
              <w:top w:val="single" w:sz="4" w:space="0" w:color="000000"/>
              <w:bottom w:val="single" w:sz="4" w:space="0" w:color="000000"/>
              <w:right w:val="single" w:sz="4" w:space="0" w:color="000000"/>
            </w:tcBorders>
            <w:vAlign w:val="center"/>
          </w:tcPr>
          <w:p>
            <w:pPr>
              <w:pStyle w:val="Style14"/>
              <w:widowControl w:val="false"/>
              <w:snapToGrid w:val="false"/>
              <w:spacing w:lineRule="exact" w:line="240"/>
              <w:jc w:val="center"/>
              <w:rPr>
                <w:rFonts w:ascii="Times New Roman" w:hAnsi="Times New Roman" w:eastAsia="仿宋_GB2312" w:cs="Times New Roman"/>
                <w:color w:val="000000"/>
                <w:kern w:val="0"/>
                <w:sz w:val="18"/>
                <w:szCs w:val="18"/>
              </w:rPr>
            </w:pPr>
            <w:r>
              <w:rPr>
                <w:rFonts w:eastAsia="仿宋_GB2312" w:cs="Times New Roman" w:ascii="Times New Roman" w:hAnsi="Times New Roman"/>
                <w:color w:val="000000"/>
                <w:kern w:val="0"/>
                <w:sz w:val="18"/>
                <w:szCs w:val="18"/>
              </w:rPr>
              <w:t>232600</w:t>
            </w:r>
          </w:p>
        </w:tc>
        <w:tc>
          <w:tcPr>
            <w:tcW w:w="2391" w:type="dxa"/>
            <w:gridSpan w:val="2"/>
            <w:tcBorders>
              <w:top w:val="single" w:sz="4" w:space="0" w:color="000000"/>
              <w:bottom w:val="single" w:sz="4" w:space="0" w:color="000000"/>
              <w:right w:val="single" w:sz="4" w:space="0" w:color="000000"/>
            </w:tcBorders>
            <w:vAlign w:val="center"/>
          </w:tcPr>
          <w:p>
            <w:pPr>
              <w:pStyle w:val="Style14"/>
              <w:widowControl w:val="false"/>
              <w:snapToGrid w:val="false"/>
              <w:spacing w:lineRule="exact" w:line="240"/>
              <w:jc w:val="center"/>
              <w:rPr>
                <w:rFonts w:ascii="Times New Roman" w:hAnsi="Times New Roman" w:eastAsia="仿宋_GB2312" w:cs="Times New Roman"/>
                <w:color w:val="000000"/>
                <w:kern w:val="0"/>
                <w:sz w:val="18"/>
                <w:szCs w:val="18"/>
              </w:rPr>
            </w:pPr>
            <w:r>
              <w:rPr>
                <w:rFonts w:eastAsia="仿宋_GB2312" w:cs="Times New Roman" w:ascii="Times New Roman" w:hAnsi="Times New Roman"/>
                <w:color w:val="000000"/>
                <w:kern w:val="0"/>
                <w:sz w:val="18"/>
                <w:szCs w:val="18"/>
              </w:rPr>
              <w:t>433300</w:t>
            </w:r>
          </w:p>
        </w:tc>
      </w:tr>
      <w:tr>
        <w:trPr>
          <w:trHeight w:val="263" w:hRule="atLeast"/>
        </w:trPr>
        <w:tc>
          <w:tcPr>
            <w:tcW w:w="4883" w:type="dxa"/>
            <w:tcBorders>
              <w:left w:val="single" w:sz="4" w:space="0" w:color="000000"/>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cs="Times New Roman"/>
                <w:kern w:val="0"/>
                <w:sz w:val="18"/>
                <w:szCs w:val="18"/>
              </w:rPr>
            </w:pPr>
            <w:r>
              <w:rPr>
                <w:rFonts w:ascii="Times New Roman" w:hAnsi="Times New Roman" w:cs="Times New Roman" w:eastAsia="Times New Roman"/>
                <w:kern w:val="0"/>
                <w:sz w:val="18"/>
                <w:szCs w:val="18"/>
              </w:rPr>
              <w:t xml:space="preserve">          </w:t>
            </w:r>
            <w:r>
              <w:rPr>
                <w:rFonts w:ascii="Times New Roman" w:hAnsi="Times New Roman" w:cs="Times New Roman" w:eastAsia="仿宋_GB2312"/>
                <w:kern w:val="0"/>
                <w:sz w:val="18"/>
                <w:szCs w:val="18"/>
              </w:rPr>
              <w:t>水费、电费、差旅费</w:t>
            </w:r>
          </w:p>
        </w:tc>
        <w:tc>
          <w:tcPr>
            <w:tcW w:w="3067"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color w:val="000000"/>
              </w:rPr>
            </w:pPr>
            <w:r>
              <w:rPr>
                <w:rFonts w:eastAsia="仿宋_GB2312" w:cs="Times New Roman" w:ascii="Times New Roman" w:hAnsi="Times New Roman"/>
                <w:color w:val="000000"/>
                <w:kern w:val="0"/>
                <w:sz w:val="18"/>
                <w:szCs w:val="18"/>
                <w:lang w:val="en-US" w:eastAsia="zh-CN"/>
              </w:rPr>
              <w:t>179474.6</w:t>
            </w:r>
            <w:r>
              <w:rPr>
                <w:rFonts w:ascii="Times New Roman" w:hAnsi="Times New Roman" w:cs="Times New Roman" w:eastAsia="仿宋_GB2312"/>
                <w:color w:val="000000"/>
                <w:kern w:val="0"/>
                <w:sz w:val="18"/>
                <w:szCs w:val="18"/>
              </w:rPr>
              <w:t>　</w:t>
            </w:r>
          </w:p>
        </w:tc>
        <w:tc>
          <w:tcPr>
            <w:tcW w:w="3368"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color w:val="000000"/>
                <w:kern w:val="0"/>
                <w:sz w:val="18"/>
                <w:szCs w:val="18"/>
              </w:rPr>
            </w:pPr>
            <w:r>
              <w:rPr>
                <w:rFonts w:eastAsia="仿宋_GB2312" w:cs="Times New Roman" w:ascii="Times New Roman" w:hAnsi="Times New Roman"/>
                <w:color w:val="000000"/>
                <w:kern w:val="0"/>
                <w:sz w:val="18"/>
                <w:szCs w:val="18"/>
              </w:rPr>
              <w:t>241000</w:t>
            </w:r>
          </w:p>
        </w:tc>
        <w:tc>
          <w:tcPr>
            <w:tcW w:w="2391"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color w:val="000000"/>
                <w:kern w:val="0"/>
                <w:sz w:val="18"/>
                <w:szCs w:val="18"/>
              </w:rPr>
            </w:pPr>
            <w:r>
              <w:rPr>
                <w:rFonts w:ascii="Times New Roman" w:hAnsi="Times New Roman" w:cs="Times New Roman" w:eastAsia="仿宋_GB2312"/>
                <w:color w:val="000000"/>
                <w:kern w:val="0"/>
                <w:sz w:val="18"/>
                <w:szCs w:val="18"/>
              </w:rPr>
              <w:t>　</w:t>
            </w:r>
            <w:r>
              <w:rPr>
                <w:rFonts w:eastAsia="仿宋_GB2312" w:cs="Times New Roman" w:ascii="Times New Roman" w:hAnsi="Times New Roman"/>
                <w:color w:val="000000"/>
                <w:kern w:val="0"/>
                <w:sz w:val="18"/>
                <w:szCs w:val="18"/>
              </w:rPr>
              <w:t>224464.07</w:t>
            </w:r>
          </w:p>
        </w:tc>
      </w:tr>
      <w:tr>
        <w:trPr>
          <w:trHeight w:val="263" w:hRule="atLeast"/>
        </w:trPr>
        <w:tc>
          <w:tcPr>
            <w:tcW w:w="4883" w:type="dxa"/>
            <w:tcBorders>
              <w:left w:val="single" w:sz="4" w:space="0" w:color="000000"/>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cs="Times New Roman"/>
                <w:kern w:val="0"/>
                <w:sz w:val="18"/>
                <w:szCs w:val="18"/>
              </w:rPr>
            </w:pPr>
            <w:r>
              <w:rPr>
                <w:rFonts w:ascii="Times New Roman" w:hAnsi="Times New Roman" w:cs="Times New Roman" w:eastAsia="Times New Roman"/>
                <w:kern w:val="0"/>
                <w:sz w:val="18"/>
                <w:szCs w:val="18"/>
              </w:rPr>
              <w:t xml:space="preserve">          </w:t>
            </w:r>
            <w:r>
              <w:rPr>
                <w:rFonts w:ascii="Times New Roman" w:hAnsi="Times New Roman" w:cs="Times New Roman" w:eastAsia="仿宋_GB2312"/>
                <w:kern w:val="0"/>
                <w:sz w:val="18"/>
                <w:szCs w:val="18"/>
              </w:rPr>
              <w:t>会议费、培训费</w:t>
            </w:r>
          </w:p>
        </w:tc>
        <w:tc>
          <w:tcPr>
            <w:tcW w:w="3067"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color w:val="000000"/>
              </w:rPr>
            </w:pPr>
            <w:r>
              <w:rPr>
                <w:rFonts w:eastAsia="仿宋_GB2312" w:cs="Times New Roman" w:ascii="Times New Roman" w:hAnsi="Times New Roman"/>
                <w:color w:val="000000"/>
                <w:kern w:val="0"/>
                <w:sz w:val="18"/>
                <w:szCs w:val="18"/>
                <w:lang w:val="en-US" w:eastAsia="zh-CN"/>
              </w:rPr>
              <w:t>20000</w:t>
            </w:r>
            <w:r>
              <w:rPr>
                <w:rFonts w:ascii="Times New Roman" w:hAnsi="Times New Roman" w:cs="Times New Roman" w:eastAsia="仿宋_GB2312"/>
                <w:color w:val="000000"/>
                <w:kern w:val="0"/>
                <w:sz w:val="18"/>
                <w:szCs w:val="18"/>
              </w:rPr>
              <w:t>　</w:t>
            </w:r>
          </w:p>
        </w:tc>
        <w:tc>
          <w:tcPr>
            <w:tcW w:w="3368"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color w:val="000000"/>
                <w:kern w:val="0"/>
                <w:sz w:val="18"/>
                <w:szCs w:val="18"/>
              </w:rPr>
            </w:pPr>
            <w:r>
              <w:rPr>
                <w:rFonts w:eastAsia="仿宋_GB2312" w:cs="Times New Roman" w:ascii="Times New Roman" w:hAnsi="Times New Roman"/>
                <w:color w:val="000000"/>
                <w:kern w:val="0"/>
                <w:sz w:val="18"/>
                <w:szCs w:val="18"/>
              </w:rPr>
              <w:t>20000</w:t>
            </w:r>
            <w:r>
              <w:rPr>
                <w:rFonts w:ascii="Times New Roman" w:hAnsi="Times New Roman" w:cs="Times New Roman" w:eastAsia="仿宋_GB2312"/>
                <w:color w:val="000000"/>
                <w:kern w:val="0"/>
                <w:sz w:val="18"/>
                <w:szCs w:val="18"/>
              </w:rPr>
              <w:t>　</w:t>
            </w:r>
          </w:p>
        </w:tc>
        <w:tc>
          <w:tcPr>
            <w:tcW w:w="2391"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color w:val="000000"/>
                <w:kern w:val="0"/>
                <w:sz w:val="18"/>
                <w:szCs w:val="18"/>
              </w:rPr>
            </w:pPr>
            <w:r>
              <w:rPr>
                <w:rFonts w:ascii="Times New Roman" w:hAnsi="Times New Roman" w:cs="Times New Roman" w:eastAsia="仿宋_GB2312"/>
                <w:color w:val="000000"/>
                <w:kern w:val="0"/>
                <w:sz w:val="18"/>
                <w:szCs w:val="18"/>
              </w:rPr>
              <w:t>　</w:t>
            </w:r>
            <w:r>
              <w:rPr>
                <w:rFonts w:eastAsia="仿宋_GB2312" w:cs="Times New Roman" w:ascii="Times New Roman" w:hAnsi="Times New Roman"/>
                <w:color w:val="000000"/>
                <w:kern w:val="0"/>
                <w:sz w:val="18"/>
                <w:szCs w:val="18"/>
              </w:rPr>
              <w:t>1600</w:t>
            </w:r>
          </w:p>
        </w:tc>
      </w:tr>
      <w:tr>
        <w:trPr>
          <w:trHeight w:val="263" w:hRule="atLeast"/>
        </w:trPr>
        <w:tc>
          <w:tcPr>
            <w:tcW w:w="4883" w:type="dxa"/>
            <w:tcBorders>
              <w:left w:val="single" w:sz="4" w:space="0" w:color="000000"/>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政府采购金额</w:t>
            </w:r>
          </w:p>
        </w:tc>
        <w:tc>
          <w:tcPr>
            <w:tcW w:w="3067"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w:t>
            </w:r>
          </w:p>
        </w:tc>
        <w:tc>
          <w:tcPr>
            <w:tcW w:w="3368"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p>
        </w:tc>
        <w:tc>
          <w:tcPr>
            <w:tcW w:w="2391"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p>
        </w:tc>
      </w:tr>
      <w:tr>
        <w:trPr>
          <w:trHeight w:val="263" w:hRule="atLeast"/>
        </w:trPr>
        <w:tc>
          <w:tcPr>
            <w:tcW w:w="4883" w:type="dxa"/>
            <w:tcBorders>
              <w:left w:val="single" w:sz="4" w:space="0" w:color="000000"/>
              <w:bottom w:val="single" w:sz="4" w:space="0" w:color="000000"/>
              <w:right w:val="single" w:sz="4" w:space="0" w:color="000000"/>
            </w:tcBorders>
            <w:vAlign w:val="center"/>
          </w:tcPr>
          <w:p>
            <w:pPr>
              <w:pStyle w:val="Style14"/>
              <w:widowControl w:val="false"/>
              <w:spacing w:lineRule="exact" w:line="240"/>
              <w:jc w:val="left"/>
              <w:rPr>
                <w:rFonts w:eastAsia="仿宋_GB2312"/>
              </w:rPr>
            </w:pPr>
            <w:r>
              <w:rPr>
                <w:rFonts w:ascii="Times New Roman" w:hAnsi="Times New Roman" w:cs="Times New Roman" w:eastAsia="仿宋_GB2312"/>
                <w:kern w:val="0"/>
                <w:sz w:val="18"/>
                <w:szCs w:val="18"/>
              </w:rPr>
              <w:t>部门基本支出预算调整</w:t>
            </w:r>
          </w:p>
        </w:tc>
        <w:tc>
          <w:tcPr>
            <w:tcW w:w="3067"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w:t>
            </w:r>
          </w:p>
        </w:tc>
        <w:tc>
          <w:tcPr>
            <w:tcW w:w="3368"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p>
        </w:tc>
        <w:tc>
          <w:tcPr>
            <w:tcW w:w="2391" w:type="dxa"/>
            <w:gridSpan w:val="2"/>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p>
        </w:tc>
      </w:tr>
      <w:tr>
        <w:trPr>
          <w:trHeight w:val="505" w:hRule="atLeast"/>
        </w:trPr>
        <w:tc>
          <w:tcPr>
            <w:tcW w:w="4883" w:type="dxa"/>
            <w:vMerge w:val="restart"/>
            <w:tcBorders>
              <w:left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仿宋" w:hAnsi="仿宋" w:eastAsia="仿宋" w:cs="仿宋"/>
                <w:color w:val="000000"/>
                <w:kern w:val="0"/>
                <w:sz w:val="32"/>
                <w:szCs w:val="32"/>
              </w:rPr>
            </w:pPr>
            <w:r>
              <w:rPr>
                <w:rFonts w:ascii="Times New Roman" w:hAnsi="Times New Roman" w:cs="Times New Roman" w:eastAsia="仿宋_GB2312"/>
                <w:kern w:val="0"/>
                <w:sz w:val="18"/>
                <w:szCs w:val="18"/>
              </w:rPr>
              <w:t>楼堂馆所控制情况</w:t>
            </w:r>
            <w:r>
              <w:rPr>
                <w:rFonts w:eastAsia="仿宋_GB2312" w:cs="Times New Roman" w:ascii="Times New Roman" w:hAnsi="Times New Roman"/>
                <w:kern w:val="0"/>
                <w:sz w:val="18"/>
                <w:szCs w:val="18"/>
              </w:rPr>
              <w:br/>
            </w:r>
            <w:r>
              <w:rPr>
                <w:rFonts w:ascii="Times New Roman" w:hAnsi="Times New Roman" w:cs="Times New Roman" w:eastAsia="仿宋_GB2312"/>
                <w:kern w:val="0"/>
                <w:sz w:val="18"/>
                <w:szCs w:val="18"/>
              </w:rPr>
              <w:t>（</w:t>
            </w:r>
            <w:r>
              <w:rPr>
                <w:rFonts w:eastAsia="仿宋_GB2312" w:cs="Times New Roman" w:ascii="Times New Roman" w:hAnsi="Times New Roman"/>
                <w:kern w:val="0"/>
                <w:sz w:val="18"/>
                <w:szCs w:val="18"/>
              </w:rPr>
              <w:t>2020</w:t>
            </w:r>
            <w:r>
              <w:rPr>
                <w:rFonts w:ascii="Times New Roman" w:hAnsi="Times New Roman" w:cs="Times New Roman" w:eastAsia="仿宋_GB2312"/>
                <w:kern w:val="0"/>
                <w:sz w:val="18"/>
                <w:szCs w:val="18"/>
              </w:rPr>
              <w:t>年完工项目）</w:t>
            </w:r>
          </w:p>
        </w:tc>
        <w:tc>
          <w:tcPr>
            <w:tcW w:w="1545" w:type="dxa"/>
            <w:tcBorders>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批复规模</w:t>
            </w:r>
            <w:r>
              <w:rPr>
                <w:rFonts w:eastAsia="仿宋_GB2312" w:cs="Times New Roman" w:ascii="Times New Roman" w:hAnsi="Times New Roman"/>
                <w:kern w:val="0"/>
                <w:sz w:val="18"/>
                <w:szCs w:val="18"/>
              </w:rPr>
              <w:br/>
            </w:r>
            <w:r>
              <w:rPr>
                <w:rFonts w:ascii="Times New Roman" w:hAnsi="Times New Roman" w:cs="Times New Roman" w:eastAsia="仿宋_GB2312"/>
                <w:kern w:val="0"/>
                <w:sz w:val="18"/>
                <w:szCs w:val="18"/>
              </w:rPr>
              <w:t>（㎡）</w:t>
            </w:r>
          </w:p>
        </w:tc>
        <w:tc>
          <w:tcPr>
            <w:tcW w:w="1522" w:type="dxa"/>
            <w:tcBorders>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实际规模（㎡）</w:t>
            </w:r>
          </w:p>
        </w:tc>
        <w:tc>
          <w:tcPr>
            <w:tcW w:w="1467" w:type="dxa"/>
            <w:tcBorders>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规模控制率</w:t>
            </w:r>
          </w:p>
        </w:tc>
        <w:tc>
          <w:tcPr>
            <w:tcW w:w="1901" w:type="dxa"/>
            <w:tcBorders>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预算投资（万元）</w:t>
            </w:r>
          </w:p>
        </w:tc>
        <w:tc>
          <w:tcPr>
            <w:tcW w:w="1260" w:type="dxa"/>
            <w:tcBorders>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实际投资（万元）</w:t>
            </w:r>
          </w:p>
        </w:tc>
        <w:tc>
          <w:tcPr>
            <w:tcW w:w="1131" w:type="dxa"/>
            <w:tcBorders>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投资概算控制率</w:t>
            </w:r>
          </w:p>
        </w:tc>
      </w:tr>
      <w:tr>
        <w:trPr>
          <w:trHeight w:val="263" w:hRule="atLeast"/>
        </w:trPr>
        <w:tc>
          <w:tcPr>
            <w:tcW w:w="4883"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4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545" w:type="dxa"/>
            <w:tcBorders>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0</w:t>
            </w:r>
            <w:r>
              <w:rPr>
                <w:rFonts w:ascii="Times New Roman" w:hAnsi="Times New Roman" w:cs="Times New Roman" w:eastAsia="仿宋_GB2312"/>
                <w:kern w:val="0"/>
                <w:sz w:val="18"/>
                <w:szCs w:val="18"/>
              </w:rPr>
              <w:t>　</w:t>
            </w:r>
          </w:p>
        </w:tc>
        <w:tc>
          <w:tcPr>
            <w:tcW w:w="1522" w:type="dxa"/>
            <w:tcBorders>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r>
              <w:rPr>
                <w:rFonts w:eastAsia="仿宋_GB2312" w:cs="Times New Roman" w:ascii="Times New Roman" w:hAnsi="Times New Roman"/>
                <w:kern w:val="0"/>
                <w:sz w:val="18"/>
                <w:szCs w:val="18"/>
              </w:rPr>
              <w:t>0</w:t>
            </w:r>
          </w:p>
        </w:tc>
        <w:tc>
          <w:tcPr>
            <w:tcW w:w="1467" w:type="dxa"/>
            <w:tcBorders>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r>
              <w:rPr>
                <w:rFonts w:eastAsia="仿宋_GB2312" w:cs="Times New Roman" w:ascii="Times New Roman" w:hAnsi="Times New Roman"/>
                <w:kern w:val="0"/>
                <w:sz w:val="18"/>
                <w:szCs w:val="18"/>
              </w:rPr>
              <w:t>0</w:t>
            </w:r>
          </w:p>
        </w:tc>
        <w:tc>
          <w:tcPr>
            <w:tcW w:w="1901" w:type="dxa"/>
            <w:tcBorders>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r>
              <w:rPr>
                <w:rFonts w:eastAsia="仿宋_GB2312" w:cs="Times New Roman" w:ascii="Times New Roman" w:hAnsi="Times New Roman"/>
                <w:kern w:val="0"/>
                <w:sz w:val="18"/>
                <w:szCs w:val="18"/>
              </w:rPr>
              <w:t>0</w:t>
            </w:r>
          </w:p>
        </w:tc>
        <w:tc>
          <w:tcPr>
            <w:tcW w:w="1260" w:type="dxa"/>
            <w:tcBorders>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r>
              <w:rPr>
                <w:rFonts w:eastAsia="仿宋_GB2312" w:cs="Times New Roman" w:ascii="Times New Roman" w:hAnsi="Times New Roman"/>
                <w:kern w:val="0"/>
                <w:sz w:val="18"/>
                <w:szCs w:val="18"/>
              </w:rPr>
              <w:t>0</w:t>
            </w:r>
          </w:p>
        </w:tc>
        <w:tc>
          <w:tcPr>
            <w:tcW w:w="1131" w:type="dxa"/>
            <w:tcBorders>
              <w:bottom w:val="single" w:sz="4" w:space="0" w:color="000000"/>
              <w:right w:val="single" w:sz="4" w:space="0" w:color="000000"/>
            </w:tcBorders>
            <w:vAlign w:val="center"/>
          </w:tcPr>
          <w:p>
            <w:pPr>
              <w:pStyle w:val="Style14"/>
              <w:widowControl w:val="false"/>
              <w:spacing w:lineRule="exact" w:line="24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r>
              <w:rPr>
                <w:rFonts w:eastAsia="仿宋_GB2312" w:cs="Times New Roman" w:ascii="Times New Roman" w:hAnsi="Times New Roman"/>
                <w:kern w:val="0"/>
                <w:sz w:val="18"/>
                <w:szCs w:val="18"/>
              </w:rPr>
              <w:t>0</w:t>
            </w:r>
          </w:p>
        </w:tc>
      </w:tr>
      <w:tr>
        <w:trPr>
          <w:trHeight w:val="282" w:hRule="atLeast"/>
        </w:trPr>
        <w:tc>
          <w:tcPr>
            <w:tcW w:w="4883" w:type="dxa"/>
            <w:tcBorders>
              <w:left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厉行节约保障措施</w:t>
            </w:r>
          </w:p>
        </w:tc>
        <w:tc>
          <w:tcPr>
            <w:tcW w:w="8826" w:type="dxa"/>
            <w:gridSpan w:val="6"/>
            <w:tcBorders>
              <w:top w:val="single" w:sz="4" w:space="0" w:color="000000"/>
              <w:bottom w:val="single" w:sz="4" w:space="0" w:color="000000"/>
              <w:right w:val="single" w:sz="4" w:space="0" w:color="000000"/>
            </w:tcBorders>
            <w:vAlign w:val="center"/>
          </w:tcPr>
          <w:p>
            <w:pPr>
              <w:pStyle w:val="Style14"/>
              <w:widowControl w:val="false"/>
              <w:spacing w:lineRule="exact" w:line="240"/>
              <w:jc w:val="center"/>
              <w:rPr>
                <w:rFonts w:ascii="Times New Roman" w:hAnsi="Times New Roman" w:eastAsia="仿宋_GB2312" w:cs="Times New Roman"/>
                <w:kern w:val="0"/>
                <w:sz w:val="18"/>
                <w:szCs w:val="18"/>
              </w:rPr>
            </w:pPr>
            <w:r>
              <w:rPr>
                <w:rFonts w:ascii="仿宋_GB2312" w:hAnsi="仿宋_GB2312" w:cs="仿宋_GB2312" w:eastAsia="仿宋"/>
                <w:kern w:val="0"/>
                <w:sz w:val="22"/>
                <w:szCs w:val="22"/>
              </w:rPr>
              <w:t>加强日常管理，严格控制费用支出</w:t>
            </w:r>
            <w:r>
              <w:rPr>
                <w:rFonts w:ascii="仿宋_GB2312" w:hAnsi="仿宋_GB2312" w:cs="仿宋_GB2312" w:eastAsia="仿宋_GB2312"/>
                <w:kern w:val="0"/>
                <w:sz w:val="22"/>
                <w:szCs w:val="22"/>
              </w:rPr>
              <w:t>　</w:t>
            </w:r>
            <w:r>
              <w:rPr>
                <w:rFonts w:ascii="Times New Roman" w:hAnsi="Times New Roman" w:cs="Times New Roman" w:eastAsia="仿宋_GB2312"/>
                <w:kern w:val="0"/>
                <w:sz w:val="18"/>
                <w:szCs w:val="18"/>
              </w:rPr>
              <w:t>　　</w:t>
            </w:r>
          </w:p>
        </w:tc>
      </w:tr>
    </w:tbl>
    <w:p>
      <w:pPr>
        <w:pStyle w:val="Style14"/>
        <w:widowControl/>
        <w:spacing w:lineRule="exact" w:line="300"/>
        <w:ind w:firstLine="560"/>
        <w:jc w:val="left"/>
        <w:rPr>
          <w:rFonts w:ascii="Times New Roman" w:hAnsi="Times New Roman" w:eastAsia="楷体_GB2312" w:cs="Times New Roman"/>
          <w:kern w:val="0"/>
          <w:sz w:val="28"/>
          <w:szCs w:val="28"/>
        </w:rPr>
      </w:pPr>
      <w:r>
        <w:rPr>
          <w:rFonts w:ascii="Times New Roman" w:hAnsi="Times New Roman" w:cs="Times New Roman" w:eastAsia="楷体_GB2312"/>
          <w:kern w:val="0"/>
          <w:sz w:val="28"/>
          <w:szCs w:val="28"/>
        </w:rPr>
        <w:t>说明：“项目支出”需要填报基本支出以外的所有项目情况，包括业务工作项目、运行维护项目等；“公用经费”填报基本支出中的一般商品和服务支出。</w:t>
      </w:r>
    </w:p>
    <w:p>
      <w:pPr>
        <w:pStyle w:val="Style14"/>
        <w:spacing w:lineRule="exact" w:line="560"/>
        <w:rPr>
          <w:rFonts w:ascii="Times New Roman" w:hAnsi="Times New Roman" w:eastAsia="仿宋_GB2312" w:cs="Times New Roman"/>
          <w:bCs/>
          <w:color w:val="000000"/>
          <w:sz w:val="32"/>
          <w:szCs w:val="32"/>
        </w:rPr>
      </w:pPr>
      <w:r>
        <w:rPr>
          <w:rFonts w:ascii="Times New Roman" w:hAnsi="Times New Roman" w:cs="Times New Roman" w:eastAsia="仿宋_GB2312"/>
          <w:bCs/>
          <w:color w:val="000000"/>
          <w:sz w:val="32"/>
          <w:szCs w:val="32"/>
        </w:rPr>
        <w:t>附件</w:t>
      </w:r>
      <w:r>
        <w:rPr>
          <w:rFonts w:eastAsia="仿宋_GB2312" w:cs="Times New Roman" w:ascii="Times New Roman" w:hAnsi="Times New Roman"/>
          <w:bCs/>
          <w:color w:val="000000"/>
          <w:sz w:val="32"/>
          <w:szCs w:val="32"/>
        </w:rPr>
        <w:t>2</w:t>
      </w:r>
    </w:p>
    <w:p>
      <w:pPr>
        <w:pStyle w:val="Style14"/>
        <w:spacing w:lineRule="exact" w:line="560" w:before="0" w:after="161"/>
        <w:jc w:val="center"/>
        <w:rPr>
          <w:b/>
          <w:b/>
          <w:bCs/>
          <w:sz w:val="32"/>
          <w:szCs w:val="32"/>
        </w:rPr>
      </w:pPr>
      <w:r>
        <w:rPr>
          <w:b/>
          <w:bCs/>
          <w:sz w:val="32"/>
          <w:szCs w:val="32"/>
        </w:rPr>
        <w:t>部门整体支出绩效评价指标表</w:t>
      </w:r>
    </w:p>
    <w:tbl>
      <w:tblPr>
        <w:tblW w:w="14206" w:type="dxa"/>
        <w:jc w:val="center"/>
        <w:tblInd w:w="0" w:type="dxa"/>
        <w:tblLayout w:type="fixed"/>
        <w:tblCellMar>
          <w:top w:w="0" w:type="dxa"/>
          <w:left w:w="108" w:type="dxa"/>
          <w:bottom w:w="0" w:type="dxa"/>
          <w:right w:w="108" w:type="dxa"/>
        </w:tblCellMar>
      </w:tblPr>
      <w:tblGrid>
        <w:gridCol w:w="822"/>
        <w:gridCol w:w="520"/>
        <w:gridCol w:w="1257"/>
        <w:gridCol w:w="543"/>
        <w:gridCol w:w="1419"/>
        <w:gridCol w:w="564"/>
        <w:gridCol w:w="4594"/>
        <w:gridCol w:w="3775"/>
        <w:gridCol w:w="710"/>
      </w:tblGrid>
      <w:tr>
        <w:trPr>
          <w:tblHeader w:val="true"/>
          <w:trHeight w:val="679" w:hRule="atLeast"/>
        </w:trPr>
        <w:tc>
          <w:tcPr>
            <w:tcW w:w="822" w:type="dxa"/>
            <w:tcBorders>
              <w:top w:val="single" w:sz="4" w:space="0" w:color="000000"/>
              <w:left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一级指标</w:t>
            </w:r>
          </w:p>
        </w:tc>
        <w:tc>
          <w:tcPr>
            <w:tcW w:w="520" w:type="dxa"/>
            <w:tcBorders>
              <w:top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分值</w:t>
            </w:r>
          </w:p>
        </w:tc>
        <w:tc>
          <w:tcPr>
            <w:tcW w:w="1257" w:type="dxa"/>
            <w:tcBorders>
              <w:top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二级指标</w:t>
            </w:r>
          </w:p>
        </w:tc>
        <w:tc>
          <w:tcPr>
            <w:tcW w:w="543" w:type="dxa"/>
            <w:tcBorders>
              <w:top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分值</w:t>
            </w:r>
          </w:p>
        </w:tc>
        <w:tc>
          <w:tcPr>
            <w:tcW w:w="1419" w:type="dxa"/>
            <w:tcBorders>
              <w:top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三级</w:t>
            </w:r>
          </w:p>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指标</w:t>
            </w:r>
          </w:p>
        </w:tc>
        <w:tc>
          <w:tcPr>
            <w:tcW w:w="564" w:type="dxa"/>
            <w:tcBorders>
              <w:top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分值</w:t>
            </w:r>
          </w:p>
        </w:tc>
        <w:tc>
          <w:tcPr>
            <w:tcW w:w="4594" w:type="dxa"/>
            <w:tcBorders>
              <w:top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评价标准</w:t>
            </w:r>
          </w:p>
        </w:tc>
        <w:tc>
          <w:tcPr>
            <w:tcW w:w="3775" w:type="dxa"/>
            <w:tcBorders>
              <w:top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指标说明</w:t>
            </w:r>
          </w:p>
        </w:tc>
        <w:tc>
          <w:tcPr>
            <w:tcW w:w="710" w:type="dxa"/>
            <w:tcBorders>
              <w:top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得分</w:t>
            </w:r>
          </w:p>
        </w:tc>
      </w:tr>
      <w:tr>
        <w:trPr>
          <w:trHeight w:val="750" w:hRule="atLeast"/>
        </w:trPr>
        <w:tc>
          <w:tcPr>
            <w:tcW w:w="822" w:type="dxa"/>
            <w:vMerge w:val="restart"/>
            <w:tcBorders>
              <w:left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投入</w:t>
            </w:r>
          </w:p>
        </w:tc>
        <w:tc>
          <w:tcPr>
            <w:tcW w:w="520" w:type="dxa"/>
            <w:vMerge w:val="restart"/>
            <w:tcBorders>
              <w:left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10</w:t>
            </w:r>
          </w:p>
        </w:tc>
        <w:tc>
          <w:tcPr>
            <w:tcW w:w="1257" w:type="dxa"/>
            <w:vMerge w:val="restart"/>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预算配置</w:t>
            </w:r>
          </w:p>
        </w:tc>
        <w:tc>
          <w:tcPr>
            <w:tcW w:w="543" w:type="dxa"/>
            <w:vMerge w:val="restart"/>
            <w:tcBorders>
              <w:left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10</w:t>
            </w:r>
          </w:p>
        </w:tc>
        <w:tc>
          <w:tcPr>
            <w:tcW w:w="1419"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spacing w:val="-20"/>
                <w:kern w:val="0"/>
                <w:sz w:val="18"/>
                <w:szCs w:val="18"/>
              </w:rPr>
              <w:t>在职人员控制率</w:t>
            </w:r>
          </w:p>
        </w:tc>
        <w:tc>
          <w:tcPr>
            <w:tcW w:w="564"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5</w:t>
            </w:r>
          </w:p>
        </w:tc>
        <w:tc>
          <w:tcPr>
            <w:tcW w:w="4594" w:type="dxa"/>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以</w:t>
            </w:r>
            <w:r>
              <w:rPr>
                <w:rFonts w:eastAsia="仿宋_GB2312" w:cs="Times New Roman" w:ascii="Times New Roman" w:hAnsi="Times New Roman"/>
                <w:kern w:val="0"/>
                <w:sz w:val="18"/>
                <w:szCs w:val="18"/>
              </w:rPr>
              <w:t>100%</w:t>
            </w:r>
            <w:r>
              <w:rPr>
                <w:rFonts w:ascii="Times New Roman" w:hAnsi="Times New Roman" w:cs="Times New Roman" w:eastAsia="仿宋_GB2312"/>
                <w:kern w:val="0"/>
                <w:sz w:val="18"/>
                <w:szCs w:val="18"/>
              </w:rPr>
              <w:t>为标准。在职人员控制率≦</w:t>
            </w:r>
            <w:r>
              <w:rPr>
                <w:rFonts w:eastAsia="仿宋_GB2312" w:cs="Times New Roman" w:ascii="Times New Roman" w:hAnsi="Times New Roman"/>
                <w:kern w:val="0"/>
                <w:sz w:val="18"/>
                <w:szCs w:val="18"/>
              </w:rPr>
              <w:t>100%</w:t>
            </w:r>
            <w:r>
              <w:rPr>
                <w:rFonts w:ascii="Times New Roman" w:hAnsi="Times New Roman" w:cs="Times New Roman" w:eastAsia="仿宋_GB2312"/>
                <w:kern w:val="0"/>
                <w:sz w:val="18"/>
                <w:szCs w:val="18"/>
              </w:rPr>
              <w:t>，计</w:t>
            </w:r>
            <w:r>
              <w:rPr>
                <w:rFonts w:eastAsia="仿宋_GB2312" w:cs="Times New Roman" w:ascii="Times New Roman" w:hAnsi="Times New Roman"/>
                <w:kern w:val="0"/>
                <w:sz w:val="18"/>
                <w:szCs w:val="18"/>
              </w:rPr>
              <w:t>5</w:t>
            </w:r>
            <w:r>
              <w:rPr>
                <w:rFonts w:ascii="Times New Roman" w:hAnsi="Times New Roman" w:cs="Times New Roman" w:eastAsia="仿宋_GB2312"/>
                <w:kern w:val="0"/>
                <w:sz w:val="18"/>
                <w:szCs w:val="18"/>
              </w:rPr>
              <w:t>分；每超过一个百分点扣</w:t>
            </w:r>
            <w:r>
              <w:rPr>
                <w:rFonts w:eastAsia="仿宋_GB2312" w:cs="Times New Roman" w:ascii="Times New Roman" w:hAnsi="Times New Roman"/>
                <w:kern w:val="0"/>
                <w:sz w:val="18"/>
                <w:szCs w:val="18"/>
              </w:rPr>
              <w:t>0.5</w:t>
            </w:r>
            <w:r>
              <w:rPr>
                <w:rFonts w:ascii="Times New Roman" w:hAnsi="Times New Roman" w:cs="Times New Roman" w:eastAsia="仿宋_GB2312"/>
                <w:kern w:val="0"/>
                <w:sz w:val="18"/>
                <w:szCs w:val="18"/>
              </w:rPr>
              <w:t>分，扣完为止。</w:t>
            </w:r>
          </w:p>
        </w:tc>
        <w:tc>
          <w:tcPr>
            <w:tcW w:w="3775" w:type="dxa"/>
            <w:tcBorders>
              <w:left w:val="single" w:sz="4" w:space="0" w:color="000000"/>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在职人员控制率</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（在职人员数</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编制数）</w:t>
            </w:r>
            <w:r>
              <w:rPr>
                <w:rFonts w:eastAsia="仿宋_GB2312" w:cs="Times New Roman" w:ascii="Times New Roman" w:hAnsi="Times New Roman"/>
                <w:kern w:val="0"/>
                <w:sz w:val="18"/>
                <w:szCs w:val="18"/>
              </w:rPr>
              <w:t>×100%</w:t>
            </w:r>
            <w:r>
              <w:rPr>
                <w:rFonts w:ascii="Times New Roman" w:hAnsi="Times New Roman" w:cs="Times New Roman" w:eastAsia="仿宋_GB2312"/>
                <w:kern w:val="0"/>
                <w:sz w:val="18"/>
                <w:szCs w:val="18"/>
              </w:rPr>
              <w:t>，在职人员数：部门（单位）实际在职人数，以财政厅确定的部门决算编制口径为准。</w:t>
            </w:r>
            <w:r>
              <w:rPr>
                <w:rFonts w:eastAsia="仿宋_GB2312" w:cs="Times New Roman" w:ascii="Times New Roman" w:hAnsi="Times New Roman"/>
                <w:kern w:val="0"/>
                <w:sz w:val="18"/>
                <w:szCs w:val="18"/>
              </w:rPr>
              <w:br/>
            </w:r>
            <w:r>
              <w:rPr>
                <w:rFonts w:ascii="Times New Roman" w:hAnsi="Times New Roman" w:cs="Times New Roman" w:eastAsia="仿宋_GB2312"/>
                <w:kern w:val="0"/>
                <w:sz w:val="18"/>
                <w:szCs w:val="18"/>
              </w:rPr>
              <w:t>编制数：机构编制部门核定批复的部门（单位）的人员编制数。</w:t>
            </w:r>
          </w:p>
        </w:tc>
        <w:tc>
          <w:tcPr>
            <w:tcW w:w="710"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r>
              <w:rPr>
                <w:rFonts w:eastAsia="仿宋_GB2312" w:cs="Times New Roman" w:ascii="Times New Roman" w:hAnsi="Times New Roman"/>
                <w:kern w:val="0"/>
                <w:sz w:val="18"/>
                <w:szCs w:val="18"/>
              </w:rPr>
              <w:t>4</w:t>
            </w:r>
          </w:p>
        </w:tc>
      </w:tr>
      <w:tr>
        <w:trPr>
          <w:trHeight w:val="607" w:hRule="atLeast"/>
        </w:trPr>
        <w:tc>
          <w:tcPr>
            <w:tcW w:w="822"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20"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257" w:type="dxa"/>
            <w:vMerge w:val="continue"/>
            <w:tcBorders>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43"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419"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w:t>
            </w:r>
            <w:r>
              <w:rPr>
                <w:rFonts w:ascii="Times New Roman" w:hAnsi="Times New Roman" w:cs="Times New Roman" w:eastAsia="仿宋_GB2312"/>
                <w:kern w:val="0"/>
                <w:sz w:val="18"/>
                <w:szCs w:val="18"/>
              </w:rPr>
              <w:t>三公经费”变动率</w:t>
            </w:r>
          </w:p>
        </w:tc>
        <w:tc>
          <w:tcPr>
            <w:tcW w:w="564"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5</w:t>
            </w:r>
          </w:p>
        </w:tc>
        <w:tc>
          <w:tcPr>
            <w:tcW w:w="4594" w:type="dxa"/>
            <w:tcBorders>
              <w:top w:val="single" w:sz="4" w:space="0" w:color="000000"/>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w:t>
            </w:r>
            <w:r>
              <w:rPr>
                <w:rFonts w:ascii="Times New Roman" w:hAnsi="Times New Roman" w:cs="Times New Roman" w:eastAsia="仿宋_GB2312"/>
                <w:kern w:val="0"/>
                <w:sz w:val="18"/>
                <w:szCs w:val="18"/>
              </w:rPr>
              <w:t>三公经费”变动率≦</w:t>
            </w:r>
            <w:r>
              <w:rPr>
                <w:rFonts w:eastAsia="仿宋_GB2312" w:cs="Times New Roman" w:ascii="Times New Roman" w:hAnsi="Times New Roman"/>
                <w:kern w:val="0"/>
                <w:sz w:val="18"/>
                <w:szCs w:val="18"/>
              </w:rPr>
              <w:t>0,</w:t>
            </w:r>
            <w:r>
              <w:rPr>
                <w:rFonts w:ascii="Times New Roman" w:hAnsi="Times New Roman" w:cs="Times New Roman" w:eastAsia="仿宋_GB2312"/>
                <w:kern w:val="0"/>
                <w:sz w:val="18"/>
                <w:szCs w:val="18"/>
              </w:rPr>
              <w:t>计</w:t>
            </w:r>
            <w:r>
              <w:rPr>
                <w:rFonts w:eastAsia="仿宋_GB2312" w:cs="Times New Roman" w:ascii="Times New Roman" w:hAnsi="Times New Roman"/>
                <w:kern w:val="0"/>
                <w:sz w:val="18"/>
                <w:szCs w:val="18"/>
              </w:rPr>
              <w:t>5</w:t>
            </w:r>
            <w:r>
              <w:rPr>
                <w:rFonts w:ascii="Times New Roman" w:hAnsi="Times New Roman" w:cs="Times New Roman" w:eastAsia="仿宋_GB2312"/>
                <w:kern w:val="0"/>
                <w:sz w:val="18"/>
                <w:szCs w:val="18"/>
              </w:rPr>
              <w:t>分；“三公经费”＞</w:t>
            </w:r>
            <w:r>
              <w:rPr>
                <w:rFonts w:eastAsia="仿宋_GB2312" w:cs="Times New Roman" w:ascii="Times New Roman" w:hAnsi="Times New Roman"/>
                <w:kern w:val="0"/>
                <w:sz w:val="18"/>
                <w:szCs w:val="18"/>
              </w:rPr>
              <w:t>0</w:t>
            </w:r>
            <w:r>
              <w:rPr>
                <w:rFonts w:ascii="Times New Roman" w:hAnsi="Times New Roman" w:cs="Times New Roman" w:eastAsia="仿宋_GB2312"/>
                <w:kern w:val="0"/>
                <w:sz w:val="18"/>
                <w:szCs w:val="18"/>
              </w:rPr>
              <w:t>，每超过一个百分点扣</w:t>
            </w:r>
            <w:r>
              <w:rPr>
                <w:rFonts w:eastAsia="仿宋_GB2312" w:cs="Times New Roman" w:ascii="Times New Roman" w:hAnsi="Times New Roman"/>
                <w:kern w:val="0"/>
                <w:sz w:val="18"/>
                <w:szCs w:val="18"/>
              </w:rPr>
              <w:t>0.5</w:t>
            </w:r>
            <w:r>
              <w:rPr>
                <w:rFonts w:ascii="Times New Roman" w:hAnsi="Times New Roman" w:cs="Times New Roman" w:eastAsia="仿宋_GB2312"/>
                <w:kern w:val="0"/>
                <w:sz w:val="18"/>
                <w:szCs w:val="18"/>
              </w:rPr>
              <w:t>分，扣完为止。</w:t>
            </w:r>
          </w:p>
        </w:tc>
        <w:tc>
          <w:tcPr>
            <w:tcW w:w="3775"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w:t>
            </w:r>
            <w:r>
              <w:rPr>
                <w:rFonts w:ascii="Times New Roman" w:hAnsi="Times New Roman" w:cs="Times New Roman" w:eastAsia="仿宋_GB2312"/>
                <w:kern w:val="0"/>
                <w:sz w:val="18"/>
                <w:szCs w:val="18"/>
              </w:rPr>
              <w:t>三公经费”变动率</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（本年度“三公经费”预算数</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上年度“三公经费”预算数）</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上年度“三公经费”预算数</w:t>
            </w:r>
            <w:r>
              <w:rPr>
                <w:rFonts w:eastAsia="仿宋_GB2312" w:cs="Times New Roman" w:ascii="Times New Roman" w:hAnsi="Times New Roman"/>
                <w:kern w:val="0"/>
                <w:sz w:val="18"/>
                <w:szCs w:val="18"/>
              </w:rPr>
              <w:t>]×100%</w:t>
            </w:r>
          </w:p>
        </w:tc>
        <w:tc>
          <w:tcPr>
            <w:tcW w:w="710"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r>
              <w:rPr>
                <w:rFonts w:eastAsia="仿宋_GB2312" w:cs="Times New Roman" w:ascii="Times New Roman" w:hAnsi="Times New Roman"/>
                <w:kern w:val="0"/>
                <w:sz w:val="18"/>
                <w:szCs w:val="18"/>
              </w:rPr>
              <w:t>5</w:t>
            </w:r>
          </w:p>
        </w:tc>
      </w:tr>
      <w:tr>
        <w:trPr>
          <w:trHeight w:val="495" w:hRule="atLeast"/>
        </w:trPr>
        <w:tc>
          <w:tcPr>
            <w:tcW w:w="822" w:type="dxa"/>
            <w:vMerge w:val="restart"/>
            <w:tcBorders>
              <w:left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cs="Times New Roman"/>
                <w:kern w:val="0"/>
                <w:sz w:val="18"/>
                <w:szCs w:val="18"/>
              </w:rPr>
            </w:pPr>
            <w:r>
              <w:rPr>
                <w:rFonts w:ascii="Times New Roman" w:hAnsi="Times New Roman" w:cs="Times New Roman" w:eastAsia="仿宋_GB2312"/>
                <w:kern w:val="0"/>
                <w:sz w:val="18"/>
                <w:szCs w:val="18"/>
              </w:rPr>
              <w:t>过</w:t>
            </w:r>
            <w:r>
              <w:rPr>
                <w:rFonts w:ascii="Times New Roman" w:hAnsi="Times New Roman" w:cs="Times New Roman" w:eastAsia="Times New Roman"/>
                <w:kern w:val="0"/>
                <w:sz w:val="18"/>
                <w:szCs w:val="18"/>
              </w:rPr>
              <w:t xml:space="preserve">                                                                                                                                       </w:t>
            </w:r>
            <w:r>
              <w:rPr>
                <w:rFonts w:ascii="Times New Roman" w:hAnsi="Times New Roman" w:cs="Times New Roman" w:eastAsia="仿宋_GB2312"/>
                <w:kern w:val="0"/>
                <w:sz w:val="18"/>
                <w:szCs w:val="18"/>
              </w:rPr>
              <w:t>程</w:t>
            </w:r>
          </w:p>
        </w:tc>
        <w:tc>
          <w:tcPr>
            <w:tcW w:w="520" w:type="dxa"/>
            <w:vMerge w:val="restart"/>
            <w:tcBorders>
              <w:left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60</w:t>
            </w:r>
          </w:p>
        </w:tc>
        <w:tc>
          <w:tcPr>
            <w:tcW w:w="1257" w:type="dxa"/>
            <w:vMerge w:val="restart"/>
            <w:tcBorders>
              <w:left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预算执行</w:t>
            </w:r>
          </w:p>
        </w:tc>
        <w:tc>
          <w:tcPr>
            <w:tcW w:w="543" w:type="dxa"/>
            <w:vMerge w:val="restart"/>
            <w:tcBorders>
              <w:left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20</w:t>
            </w:r>
          </w:p>
        </w:tc>
        <w:tc>
          <w:tcPr>
            <w:tcW w:w="1419"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预算完成率</w:t>
            </w:r>
          </w:p>
        </w:tc>
        <w:tc>
          <w:tcPr>
            <w:tcW w:w="564"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5</w:t>
            </w:r>
          </w:p>
        </w:tc>
        <w:tc>
          <w:tcPr>
            <w:tcW w:w="4594"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100%</w:t>
            </w:r>
            <w:r>
              <w:rPr>
                <w:rFonts w:ascii="Times New Roman" w:hAnsi="Times New Roman" w:cs="Times New Roman" w:eastAsia="仿宋_GB2312"/>
                <w:kern w:val="0"/>
                <w:sz w:val="18"/>
                <w:szCs w:val="18"/>
              </w:rPr>
              <w:t>计满分，每低于</w:t>
            </w:r>
            <w:r>
              <w:rPr>
                <w:rFonts w:eastAsia="仿宋_GB2312" w:cs="Times New Roman" w:ascii="Times New Roman" w:hAnsi="Times New Roman"/>
                <w:kern w:val="0"/>
                <w:sz w:val="18"/>
                <w:szCs w:val="18"/>
              </w:rPr>
              <w:t>5%</w:t>
            </w:r>
            <w:r>
              <w:rPr>
                <w:rFonts w:ascii="Times New Roman" w:hAnsi="Times New Roman" w:cs="Times New Roman" w:eastAsia="仿宋_GB2312"/>
                <w:kern w:val="0"/>
                <w:sz w:val="18"/>
                <w:szCs w:val="18"/>
              </w:rPr>
              <w:t>扣</w:t>
            </w:r>
            <w:r>
              <w:rPr>
                <w:rFonts w:eastAsia="仿宋_GB2312" w:cs="Times New Roman" w:ascii="Times New Roman" w:hAnsi="Times New Roman"/>
                <w:kern w:val="0"/>
                <w:sz w:val="18"/>
                <w:szCs w:val="18"/>
              </w:rPr>
              <w:t>2</w:t>
            </w:r>
            <w:r>
              <w:rPr>
                <w:rFonts w:ascii="Times New Roman" w:hAnsi="Times New Roman" w:cs="Times New Roman" w:eastAsia="仿宋_GB2312"/>
                <w:kern w:val="0"/>
                <w:sz w:val="18"/>
                <w:szCs w:val="18"/>
              </w:rPr>
              <w:t>分，扣完为止。</w:t>
            </w:r>
          </w:p>
        </w:tc>
        <w:tc>
          <w:tcPr>
            <w:tcW w:w="3775"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预算完成率</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（上年结转</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年初预算</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本年追加预算</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年末结余）</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（上年结转</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年初预算</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本年追加预算）</w:t>
            </w:r>
            <w:r>
              <w:rPr>
                <w:rFonts w:eastAsia="仿宋_GB2312" w:cs="Times New Roman" w:ascii="Times New Roman" w:hAnsi="Times New Roman"/>
                <w:kern w:val="0"/>
                <w:sz w:val="18"/>
                <w:szCs w:val="18"/>
              </w:rPr>
              <w:t>×100%</w:t>
            </w:r>
            <w:r>
              <w:rPr>
                <w:rFonts w:ascii="Times New Roman" w:hAnsi="Times New Roman" w:cs="Times New Roman" w:eastAsia="仿宋_GB2312"/>
                <w:kern w:val="0"/>
                <w:sz w:val="18"/>
                <w:szCs w:val="18"/>
              </w:rPr>
              <w:t>。</w:t>
            </w:r>
          </w:p>
        </w:tc>
        <w:tc>
          <w:tcPr>
            <w:tcW w:w="710"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r>
              <w:rPr>
                <w:rFonts w:eastAsia="仿宋_GB2312" w:cs="Times New Roman" w:ascii="Times New Roman" w:hAnsi="Times New Roman"/>
                <w:kern w:val="0"/>
                <w:sz w:val="18"/>
                <w:szCs w:val="18"/>
              </w:rPr>
              <w:t>5</w:t>
            </w:r>
          </w:p>
        </w:tc>
      </w:tr>
      <w:tr>
        <w:trPr>
          <w:trHeight w:val="582" w:hRule="atLeast"/>
        </w:trPr>
        <w:tc>
          <w:tcPr>
            <w:tcW w:w="822"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20"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257"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43"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419"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预算控制率</w:t>
            </w:r>
          </w:p>
        </w:tc>
        <w:tc>
          <w:tcPr>
            <w:tcW w:w="564"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5</w:t>
            </w:r>
          </w:p>
        </w:tc>
        <w:tc>
          <w:tcPr>
            <w:tcW w:w="4594"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预算控制率</w:t>
            </w:r>
            <w:r>
              <w:rPr>
                <w:rFonts w:eastAsia="仿宋_GB2312" w:cs="Times New Roman" w:ascii="Times New Roman" w:hAnsi="Times New Roman"/>
                <w:kern w:val="0"/>
                <w:sz w:val="18"/>
                <w:szCs w:val="18"/>
              </w:rPr>
              <w:t>=0</w:t>
            </w:r>
            <w:r>
              <w:rPr>
                <w:rFonts w:ascii="Times New Roman" w:hAnsi="Times New Roman" w:cs="Times New Roman" w:eastAsia="仿宋_GB2312"/>
                <w:kern w:val="0"/>
                <w:sz w:val="18"/>
                <w:szCs w:val="18"/>
              </w:rPr>
              <w:t>，计</w:t>
            </w:r>
            <w:r>
              <w:rPr>
                <w:rFonts w:eastAsia="仿宋_GB2312" w:cs="Times New Roman" w:ascii="Times New Roman" w:hAnsi="Times New Roman"/>
                <w:kern w:val="0"/>
                <w:sz w:val="18"/>
                <w:szCs w:val="18"/>
              </w:rPr>
              <w:t>5</w:t>
            </w:r>
            <w:r>
              <w:rPr>
                <w:rFonts w:ascii="Times New Roman" w:hAnsi="Times New Roman" w:cs="Times New Roman" w:eastAsia="仿宋_GB2312"/>
                <w:kern w:val="0"/>
                <w:sz w:val="18"/>
                <w:szCs w:val="18"/>
              </w:rPr>
              <w:t>分；</w:t>
            </w:r>
            <w:r>
              <w:rPr>
                <w:rFonts w:eastAsia="仿宋_GB2312" w:cs="Times New Roman" w:ascii="Times New Roman" w:hAnsi="Times New Roman"/>
                <w:kern w:val="0"/>
                <w:sz w:val="18"/>
                <w:szCs w:val="18"/>
              </w:rPr>
              <w:t>0-10%</w:t>
            </w:r>
            <w:r>
              <w:rPr>
                <w:rFonts w:ascii="Times New Roman" w:hAnsi="Times New Roman" w:cs="Times New Roman" w:eastAsia="仿宋_GB2312"/>
                <w:kern w:val="0"/>
                <w:sz w:val="18"/>
                <w:szCs w:val="18"/>
              </w:rPr>
              <w:t>（含），计</w:t>
            </w:r>
            <w:r>
              <w:rPr>
                <w:rFonts w:eastAsia="仿宋_GB2312" w:cs="Times New Roman" w:ascii="Times New Roman" w:hAnsi="Times New Roman"/>
                <w:kern w:val="0"/>
                <w:sz w:val="18"/>
                <w:szCs w:val="18"/>
              </w:rPr>
              <w:t>4</w:t>
            </w:r>
            <w:r>
              <w:rPr>
                <w:rFonts w:ascii="Times New Roman" w:hAnsi="Times New Roman" w:cs="Times New Roman" w:eastAsia="仿宋_GB2312"/>
                <w:kern w:val="0"/>
                <w:sz w:val="18"/>
                <w:szCs w:val="18"/>
              </w:rPr>
              <w:t>分；</w:t>
            </w:r>
            <w:r>
              <w:rPr>
                <w:rFonts w:eastAsia="仿宋_GB2312" w:cs="Times New Roman" w:ascii="Times New Roman" w:hAnsi="Times New Roman"/>
                <w:kern w:val="0"/>
                <w:sz w:val="18"/>
                <w:szCs w:val="18"/>
              </w:rPr>
              <w:t>10-20%</w:t>
            </w:r>
            <w:r>
              <w:rPr>
                <w:rFonts w:ascii="Times New Roman" w:hAnsi="Times New Roman" w:cs="Times New Roman" w:eastAsia="仿宋_GB2312"/>
                <w:kern w:val="0"/>
                <w:sz w:val="18"/>
                <w:szCs w:val="18"/>
              </w:rPr>
              <w:t>（含），计</w:t>
            </w:r>
            <w:r>
              <w:rPr>
                <w:rFonts w:eastAsia="仿宋_GB2312" w:cs="Times New Roman" w:ascii="Times New Roman" w:hAnsi="Times New Roman"/>
                <w:kern w:val="0"/>
                <w:sz w:val="18"/>
                <w:szCs w:val="18"/>
              </w:rPr>
              <w:t>3</w:t>
            </w:r>
            <w:r>
              <w:rPr>
                <w:rFonts w:ascii="Times New Roman" w:hAnsi="Times New Roman" w:cs="Times New Roman" w:eastAsia="仿宋_GB2312"/>
                <w:kern w:val="0"/>
                <w:sz w:val="18"/>
                <w:szCs w:val="18"/>
              </w:rPr>
              <w:t>分；</w:t>
            </w:r>
            <w:r>
              <w:rPr>
                <w:rFonts w:eastAsia="仿宋_GB2312" w:cs="Times New Roman" w:ascii="Times New Roman" w:hAnsi="Times New Roman"/>
                <w:kern w:val="0"/>
                <w:sz w:val="18"/>
                <w:szCs w:val="18"/>
              </w:rPr>
              <w:t>20-30%</w:t>
            </w:r>
            <w:r>
              <w:rPr>
                <w:rFonts w:ascii="Times New Roman" w:hAnsi="Times New Roman" w:cs="Times New Roman" w:eastAsia="仿宋_GB2312"/>
                <w:kern w:val="0"/>
                <w:sz w:val="18"/>
                <w:szCs w:val="18"/>
              </w:rPr>
              <w:t>（含），计</w:t>
            </w:r>
            <w:r>
              <w:rPr>
                <w:rFonts w:eastAsia="仿宋_GB2312" w:cs="Times New Roman" w:ascii="Times New Roman" w:hAnsi="Times New Roman"/>
                <w:kern w:val="0"/>
                <w:sz w:val="18"/>
                <w:szCs w:val="18"/>
              </w:rPr>
              <w:t>2</w:t>
            </w:r>
            <w:r>
              <w:rPr>
                <w:rFonts w:ascii="Times New Roman" w:hAnsi="Times New Roman" w:cs="Times New Roman" w:eastAsia="仿宋_GB2312"/>
                <w:kern w:val="0"/>
                <w:sz w:val="18"/>
                <w:szCs w:val="18"/>
              </w:rPr>
              <w:t>分；大于</w:t>
            </w:r>
            <w:r>
              <w:rPr>
                <w:rFonts w:eastAsia="仿宋_GB2312" w:cs="Times New Roman" w:ascii="Times New Roman" w:hAnsi="Times New Roman"/>
                <w:kern w:val="0"/>
                <w:sz w:val="18"/>
                <w:szCs w:val="18"/>
              </w:rPr>
              <w:t>30%</w:t>
            </w:r>
            <w:r>
              <w:rPr>
                <w:rFonts w:ascii="Times New Roman" w:hAnsi="Times New Roman" w:cs="Times New Roman" w:eastAsia="仿宋_GB2312"/>
                <w:kern w:val="0"/>
                <w:sz w:val="18"/>
                <w:szCs w:val="18"/>
              </w:rPr>
              <w:t>不得分。</w:t>
            </w:r>
          </w:p>
        </w:tc>
        <w:tc>
          <w:tcPr>
            <w:tcW w:w="3775"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预算控制率</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（本年追加预算</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年初预算）</w:t>
            </w:r>
            <w:r>
              <w:rPr>
                <w:rFonts w:eastAsia="仿宋_GB2312" w:cs="Times New Roman" w:ascii="Times New Roman" w:hAnsi="Times New Roman"/>
                <w:kern w:val="0"/>
                <w:sz w:val="18"/>
                <w:szCs w:val="18"/>
              </w:rPr>
              <w:t>×100%</w:t>
            </w:r>
            <w:r>
              <w:rPr>
                <w:rFonts w:ascii="Times New Roman" w:hAnsi="Times New Roman" w:cs="Times New Roman" w:eastAsia="仿宋_GB2312"/>
                <w:kern w:val="0"/>
                <w:sz w:val="18"/>
                <w:szCs w:val="18"/>
              </w:rPr>
              <w:t>。</w:t>
            </w:r>
          </w:p>
        </w:tc>
        <w:tc>
          <w:tcPr>
            <w:tcW w:w="710"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r>
              <w:rPr>
                <w:rFonts w:eastAsia="仿宋_GB2312" w:cs="Times New Roman" w:ascii="Times New Roman" w:hAnsi="Times New Roman"/>
                <w:kern w:val="0"/>
                <w:sz w:val="18"/>
                <w:szCs w:val="18"/>
              </w:rPr>
              <w:t>5</w:t>
            </w:r>
          </w:p>
        </w:tc>
      </w:tr>
      <w:tr>
        <w:trPr>
          <w:trHeight w:val="582" w:hRule="atLeast"/>
        </w:trPr>
        <w:tc>
          <w:tcPr>
            <w:tcW w:w="822"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20"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257"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43"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419"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新建楼堂馆所面积控制率</w:t>
            </w:r>
          </w:p>
        </w:tc>
        <w:tc>
          <w:tcPr>
            <w:tcW w:w="564"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5</w:t>
            </w:r>
          </w:p>
        </w:tc>
        <w:tc>
          <w:tcPr>
            <w:tcW w:w="4594"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100%</w:t>
            </w:r>
            <w:r>
              <w:rPr>
                <w:rFonts w:ascii="Times New Roman" w:hAnsi="Times New Roman" w:cs="Times New Roman" w:eastAsia="仿宋_GB2312"/>
                <w:kern w:val="0"/>
                <w:sz w:val="18"/>
                <w:szCs w:val="18"/>
              </w:rPr>
              <w:t>以下（含）计满分，每超出</w:t>
            </w:r>
            <w:r>
              <w:rPr>
                <w:rFonts w:eastAsia="仿宋_GB2312" w:cs="Times New Roman" w:ascii="Times New Roman" w:hAnsi="Times New Roman"/>
                <w:kern w:val="0"/>
                <w:sz w:val="18"/>
                <w:szCs w:val="18"/>
              </w:rPr>
              <w:t>5%</w:t>
            </w:r>
            <w:r>
              <w:rPr>
                <w:rFonts w:ascii="Times New Roman" w:hAnsi="Times New Roman" w:cs="Times New Roman" w:eastAsia="仿宋_GB2312"/>
                <w:kern w:val="0"/>
                <w:sz w:val="18"/>
                <w:szCs w:val="18"/>
              </w:rPr>
              <w:t>扣</w:t>
            </w:r>
            <w:r>
              <w:rPr>
                <w:rFonts w:eastAsia="仿宋_GB2312" w:cs="Times New Roman" w:ascii="Times New Roman" w:hAnsi="Times New Roman"/>
                <w:kern w:val="0"/>
                <w:sz w:val="18"/>
                <w:szCs w:val="18"/>
              </w:rPr>
              <w:t>2</w:t>
            </w:r>
            <w:r>
              <w:rPr>
                <w:rFonts w:ascii="Times New Roman" w:hAnsi="Times New Roman" w:cs="Times New Roman" w:eastAsia="仿宋_GB2312"/>
                <w:kern w:val="0"/>
                <w:sz w:val="18"/>
                <w:szCs w:val="18"/>
              </w:rPr>
              <w:t>分，扣完为止。没有楼堂馆所项目的部门按满分计算。</w:t>
            </w:r>
          </w:p>
        </w:tc>
        <w:tc>
          <w:tcPr>
            <w:tcW w:w="3775" w:type="dxa"/>
            <w:tcBorders>
              <w:bottom w:val="single" w:sz="4" w:space="0" w:color="000000"/>
              <w:right w:val="single" w:sz="4" w:space="0" w:color="000000"/>
            </w:tcBorders>
            <w:vAlign w:val="center"/>
          </w:tcPr>
          <w:p>
            <w:pPr>
              <w:pStyle w:val="Style14"/>
              <w:widowControl w:val="false"/>
              <w:spacing w:lineRule="exact" w:line="200"/>
              <w:jc w:val="left"/>
              <w:rPr>
                <w:rFonts w:ascii="仿宋" w:hAnsi="仿宋" w:eastAsia="仿宋" w:cs="仿宋"/>
                <w:color w:val="000000"/>
                <w:kern w:val="0"/>
                <w:sz w:val="32"/>
                <w:szCs w:val="32"/>
              </w:rPr>
            </w:pPr>
            <w:r>
              <w:rPr>
                <w:rFonts w:ascii="Times New Roman" w:hAnsi="Times New Roman" w:cs="Times New Roman" w:eastAsia="仿宋_GB2312"/>
                <w:kern w:val="0"/>
                <w:sz w:val="18"/>
                <w:szCs w:val="18"/>
              </w:rPr>
              <w:t>楼堂馆所面积控制率</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实际建设面积</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批准建设面积</w:t>
            </w:r>
            <w:r>
              <w:rPr>
                <w:rFonts w:eastAsia="仿宋_GB2312" w:cs="Times New Roman" w:ascii="Times New Roman" w:hAnsi="Times New Roman"/>
                <w:kern w:val="0"/>
                <w:sz w:val="18"/>
                <w:szCs w:val="18"/>
              </w:rPr>
              <w:t xml:space="preserve">×100% </w:t>
            </w:r>
            <w:r>
              <w:rPr>
                <w:rFonts w:ascii="Times New Roman" w:hAnsi="Times New Roman" w:cs="Times New Roman" w:eastAsia="仿宋_GB2312"/>
                <w:kern w:val="0"/>
                <w:sz w:val="18"/>
                <w:szCs w:val="18"/>
              </w:rPr>
              <w:t>。</w:t>
            </w:r>
            <w:r>
              <w:rPr>
                <w:rFonts w:eastAsia="仿宋_GB2312" w:cs="Times New Roman" w:ascii="Times New Roman" w:hAnsi="Times New Roman"/>
                <w:kern w:val="0"/>
                <w:sz w:val="18"/>
                <w:szCs w:val="18"/>
              </w:rPr>
              <w:br/>
            </w:r>
            <w:r>
              <w:rPr>
                <w:rFonts w:ascii="Times New Roman" w:hAnsi="Times New Roman" w:cs="Times New Roman" w:eastAsia="仿宋_GB2312"/>
                <w:kern w:val="0"/>
                <w:sz w:val="18"/>
                <w:szCs w:val="18"/>
              </w:rPr>
              <w:t>该指标以</w:t>
            </w:r>
            <w:r>
              <w:rPr>
                <w:rFonts w:eastAsia="仿宋_GB2312" w:cs="Times New Roman" w:ascii="Times New Roman" w:hAnsi="Times New Roman"/>
                <w:kern w:val="0"/>
                <w:sz w:val="18"/>
                <w:szCs w:val="18"/>
              </w:rPr>
              <w:t>2020</w:t>
            </w:r>
            <w:r>
              <w:rPr>
                <w:rFonts w:ascii="Times New Roman" w:hAnsi="Times New Roman" w:cs="Times New Roman" w:eastAsia="仿宋_GB2312"/>
                <w:kern w:val="0"/>
                <w:sz w:val="18"/>
                <w:szCs w:val="18"/>
              </w:rPr>
              <w:t>年完工的新建楼堂馆所为评价内容。</w:t>
            </w:r>
          </w:p>
        </w:tc>
        <w:tc>
          <w:tcPr>
            <w:tcW w:w="710"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r>
              <w:rPr>
                <w:rFonts w:eastAsia="仿宋_GB2312" w:cs="Times New Roman" w:ascii="Times New Roman" w:hAnsi="Times New Roman"/>
                <w:kern w:val="0"/>
                <w:sz w:val="18"/>
                <w:szCs w:val="18"/>
              </w:rPr>
              <w:t>5</w:t>
            </w:r>
          </w:p>
        </w:tc>
      </w:tr>
      <w:tr>
        <w:trPr>
          <w:trHeight w:val="686" w:hRule="atLeast"/>
        </w:trPr>
        <w:tc>
          <w:tcPr>
            <w:tcW w:w="822"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20"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257"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43"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419"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spacing w:val="-14"/>
                <w:kern w:val="0"/>
                <w:sz w:val="18"/>
                <w:szCs w:val="18"/>
              </w:rPr>
            </w:pPr>
            <w:r>
              <w:rPr>
                <w:rFonts w:ascii="Times New Roman" w:hAnsi="Times New Roman" w:cs="Times New Roman" w:eastAsia="仿宋_GB2312"/>
                <w:spacing w:val="-14"/>
                <w:kern w:val="0"/>
                <w:sz w:val="18"/>
                <w:szCs w:val="18"/>
              </w:rPr>
              <w:t>新建楼堂馆所投资概算控制率</w:t>
            </w:r>
          </w:p>
        </w:tc>
        <w:tc>
          <w:tcPr>
            <w:tcW w:w="564"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5</w:t>
            </w:r>
          </w:p>
        </w:tc>
        <w:tc>
          <w:tcPr>
            <w:tcW w:w="4594"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100%</w:t>
            </w:r>
            <w:r>
              <w:rPr>
                <w:rFonts w:ascii="Times New Roman" w:hAnsi="Times New Roman" w:cs="Times New Roman" w:eastAsia="仿宋_GB2312"/>
                <w:kern w:val="0"/>
                <w:sz w:val="18"/>
                <w:szCs w:val="18"/>
              </w:rPr>
              <w:t>以下（含）计满分，每超出</w:t>
            </w:r>
            <w:r>
              <w:rPr>
                <w:rFonts w:eastAsia="仿宋_GB2312" w:cs="Times New Roman" w:ascii="Times New Roman" w:hAnsi="Times New Roman"/>
                <w:kern w:val="0"/>
                <w:sz w:val="18"/>
                <w:szCs w:val="18"/>
              </w:rPr>
              <w:t>5%</w:t>
            </w:r>
            <w:r>
              <w:rPr>
                <w:rFonts w:ascii="Times New Roman" w:hAnsi="Times New Roman" w:cs="Times New Roman" w:eastAsia="仿宋_GB2312"/>
                <w:kern w:val="0"/>
                <w:sz w:val="18"/>
                <w:szCs w:val="18"/>
              </w:rPr>
              <w:t>扣</w:t>
            </w:r>
            <w:r>
              <w:rPr>
                <w:rFonts w:eastAsia="仿宋_GB2312" w:cs="Times New Roman" w:ascii="Times New Roman" w:hAnsi="Times New Roman"/>
                <w:kern w:val="0"/>
                <w:sz w:val="18"/>
                <w:szCs w:val="18"/>
              </w:rPr>
              <w:t>2</w:t>
            </w:r>
            <w:r>
              <w:rPr>
                <w:rFonts w:ascii="Times New Roman" w:hAnsi="Times New Roman" w:cs="Times New Roman" w:eastAsia="仿宋_GB2312"/>
                <w:kern w:val="0"/>
                <w:sz w:val="18"/>
                <w:szCs w:val="18"/>
              </w:rPr>
              <w:t>分，扣完为止。</w:t>
            </w:r>
          </w:p>
        </w:tc>
        <w:tc>
          <w:tcPr>
            <w:tcW w:w="3775" w:type="dxa"/>
            <w:tcBorders>
              <w:bottom w:val="single" w:sz="4" w:space="0" w:color="000000"/>
              <w:right w:val="single" w:sz="4" w:space="0" w:color="000000"/>
            </w:tcBorders>
            <w:vAlign w:val="center"/>
          </w:tcPr>
          <w:p>
            <w:pPr>
              <w:pStyle w:val="Style14"/>
              <w:widowControl w:val="false"/>
              <w:spacing w:lineRule="exact" w:line="200"/>
              <w:jc w:val="left"/>
              <w:rPr>
                <w:rFonts w:ascii="仿宋" w:hAnsi="仿宋" w:eastAsia="仿宋" w:cs="仿宋"/>
                <w:color w:val="000000"/>
                <w:kern w:val="0"/>
                <w:sz w:val="32"/>
                <w:szCs w:val="32"/>
              </w:rPr>
            </w:pPr>
            <w:r>
              <w:rPr>
                <w:rFonts w:ascii="Times New Roman" w:hAnsi="Times New Roman" w:cs="Times New Roman" w:eastAsia="仿宋_GB2312"/>
                <w:kern w:val="0"/>
                <w:sz w:val="18"/>
                <w:szCs w:val="18"/>
              </w:rPr>
              <w:t>楼堂馆所投资预算控制率</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实际投资金额</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批准投资金额</w:t>
            </w:r>
            <w:r>
              <w:rPr>
                <w:rFonts w:eastAsia="仿宋_GB2312" w:cs="Times New Roman" w:ascii="Times New Roman" w:hAnsi="Times New Roman"/>
                <w:kern w:val="0"/>
                <w:sz w:val="18"/>
                <w:szCs w:val="18"/>
              </w:rPr>
              <w:t xml:space="preserve">×100% </w:t>
            </w:r>
            <w:r>
              <w:rPr>
                <w:rFonts w:ascii="Times New Roman" w:hAnsi="Times New Roman" w:cs="Times New Roman" w:eastAsia="仿宋_GB2312"/>
                <w:kern w:val="0"/>
                <w:sz w:val="18"/>
                <w:szCs w:val="18"/>
              </w:rPr>
              <w:t>。</w:t>
            </w:r>
            <w:r>
              <w:rPr>
                <w:rFonts w:eastAsia="仿宋_GB2312" w:cs="Times New Roman" w:ascii="Times New Roman" w:hAnsi="Times New Roman"/>
                <w:kern w:val="0"/>
                <w:sz w:val="18"/>
                <w:szCs w:val="18"/>
              </w:rPr>
              <w:br/>
            </w:r>
            <w:r>
              <w:rPr>
                <w:rFonts w:ascii="Times New Roman" w:hAnsi="Times New Roman" w:cs="Times New Roman" w:eastAsia="仿宋_GB2312"/>
                <w:kern w:val="0"/>
                <w:sz w:val="18"/>
                <w:szCs w:val="18"/>
              </w:rPr>
              <w:t>该指标以</w:t>
            </w:r>
            <w:r>
              <w:rPr>
                <w:rFonts w:eastAsia="仿宋_GB2312" w:cs="Times New Roman" w:ascii="Times New Roman" w:hAnsi="Times New Roman"/>
                <w:kern w:val="0"/>
                <w:sz w:val="18"/>
                <w:szCs w:val="18"/>
              </w:rPr>
              <w:t>2020</w:t>
            </w:r>
            <w:r>
              <w:rPr>
                <w:rFonts w:ascii="Times New Roman" w:hAnsi="Times New Roman" w:cs="Times New Roman" w:eastAsia="仿宋_GB2312"/>
                <w:kern w:val="0"/>
                <w:sz w:val="18"/>
                <w:szCs w:val="18"/>
              </w:rPr>
              <w:t>年完工的新建楼堂馆所为评价内容。</w:t>
            </w:r>
          </w:p>
        </w:tc>
        <w:tc>
          <w:tcPr>
            <w:tcW w:w="710"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r>
              <w:rPr>
                <w:rFonts w:eastAsia="仿宋_GB2312" w:cs="Times New Roman" w:ascii="Times New Roman" w:hAnsi="Times New Roman"/>
                <w:kern w:val="0"/>
                <w:sz w:val="18"/>
                <w:szCs w:val="18"/>
              </w:rPr>
              <w:t>5</w:t>
            </w:r>
          </w:p>
        </w:tc>
      </w:tr>
      <w:tr>
        <w:trPr>
          <w:trHeight w:val="730" w:hRule="atLeast"/>
        </w:trPr>
        <w:tc>
          <w:tcPr>
            <w:tcW w:w="822"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20"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257" w:type="dxa"/>
            <w:vMerge w:val="restart"/>
            <w:tcBorders>
              <w:left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预算管理</w:t>
            </w:r>
          </w:p>
        </w:tc>
        <w:tc>
          <w:tcPr>
            <w:tcW w:w="543" w:type="dxa"/>
            <w:vMerge w:val="restart"/>
            <w:tcBorders>
              <w:left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40</w:t>
            </w:r>
          </w:p>
        </w:tc>
        <w:tc>
          <w:tcPr>
            <w:tcW w:w="1419"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spacing w:val="-20"/>
                <w:kern w:val="0"/>
                <w:sz w:val="18"/>
                <w:szCs w:val="18"/>
              </w:rPr>
              <w:t>公用经费控制率</w:t>
            </w:r>
          </w:p>
        </w:tc>
        <w:tc>
          <w:tcPr>
            <w:tcW w:w="564"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8</w:t>
            </w:r>
          </w:p>
        </w:tc>
        <w:tc>
          <w:tcPr>
            <w:tcW w:w="4594"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100%</w:t>
            </w:r>
            <w:r>
              <w:rPr>
                <w:rFonts w:ascii="Times New Roman" w:hAnsi="Times New Roman" w:cs="Times New Roman" w:eastAsia="仿宋_GB2312"/>
                <w:kern w:val="0"/>
                <w:sz w:val="18"/>
                <w:szCs w:val="18"/>
              </w:rPr>
              <w:t>以下（含）计满分，每超出</w:t>
            </w:r>
            <w:r>
              <w:rPr>
                <w:rFonts w:eastAsia="仿宋_GB2312" w:cs="Times New Roman" w:ascii="Times New Roman" w:hAnsi="Times New Roman"/>
                <w:kern w:val="0"/>
                <w:sz w:val="18"/>
                <w:szCs w:val="18"/>
              </w:rPr>
              <w:t>1%</w:t>
            </w:r>
            <w:r>
              <w:rPr>
                <w:rFonts w:ascii="Times New Roman" w:hAnsi="Times New Roman" w:cs="Times New Roman" w:eastAsia="仿宋_GB2312"/>
                <w:kern w:val="0"/>
                <w:sz w:val="18"/>
                <w:szCs w:val="18"/>
              </w:rPr>
              <w:t>扣</w:t>
            </w:r>
            <w:r>
              <w:rPr>
                <w:rFonts w:eastAsia="仿宋_GB2312" w:cs="Times New Roman" w:ascii="Times New Roman" w:hAnsi="Times New Roman"/>
                <w:kern w:val="0"/>
                <w:sz w:val="18"/>
                <w:szCs w:val="18"/>
              </w:rPr>
              <w:t>1</w:t>
            </w:r>
            <w:r>
              <w:rPr>
                <w:rFonts w:ascii="Times New Roman" w:hAnsi="Times New Roman" w:cs="Times New Roman" w:eastAsia="仿宋_GB2312"/>
                <w:kern w:val="0"/>
                <w:sz w:val="18"/>
                <w:szCs w:val="18"/>
              </w:rPr>
              <w:t>分，扣完为止。</w:t>
            </w:r>
          </w:p>
        </w:tc>
        <w:tc>
          <w:tcPr>
            <w:tcW w:w="3775"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公用经费控制率</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（实际支出公用经费总额</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预算安排公用经费总额）</w:t>
            </w:r>
            <w:r>
              <w:rPr>
                <w:rFonts w:eastAsia="仿宋_GB2312" w:cs="Times New Roman" w:ascii="Times New Roman" w:hAnsi="Times New Roman"/>
                <w:kern w:val="0"/>
                <w:sz w:val="18"/>
                <w:szCs w:val="18"/>
              </w:rPr>
              <w:t>×100%</w:t>
            </w:r>
            <w:r>
              <w:rPr>
                <w:rFonts w:ascii="Times New Roman" w:hAnsi="Times New Roman" w:cs="Times New Roman" w:eastAsia="仿宋_GB2312"/>
                <w:kern w:val="0"/>
                <w:sz w:val="18"/>
                <w:szCs w:val="18"/>
              </w:rPr>
              <w:t>。</w:t>
            </w:r>
            <w:r>
              <w:rPr>
                <w:rFonts w:eastAsia="仿宋_GB2312" w:cs="Times New Roman" w:ascii="Times New Roman" w:hAnsi="Times New Roman"/>
                <w:kern w:val="0"/>
                <w:sz w:val="18"/>
                <w:szCs w:val="18"/>
              </w:rPr>
              <w:br/>
            </w:r>
            <w:r>
              <w:rPr>
                <w:rFonts w:ascii="Times New Roman" w:hAnsi="Times New Roman" w:cs="Times New Roman" w:eastAsia="仿宋_GB2312"/>
                <w:kern w:val="0"/>
                <w:sz w:val="18"/>
                <w:szCs w:val="18"/>
              </w:rPr>
              <w:t>公用经费支出是指部门基本支出中的一般商品和服务支出。</w:t>
            </w:r>
          </w:p>
        </w:tc>
        <w:tc>
          <w:tcPr>
            <w:tcW w:w="710"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r>
              <w:rPr>
                <w:rFonts w:eastAsia="仿宋_GB2312" w:cs="Times New Roman" w:ascii="Times New Roman" w:hAnsi="Times New Roman"/>
                <w:kern w:val="0"/>
                <w:sz w:val="18"/>
                <w:szCs w:val="18"/>
              </w:rPr>
              <w:t>6</w:t>
            </w:r>
          </w:p>
        </w:tc>
      </w:tr>
      <w:tr>
        <w:trPr>
          <w:trHeight w:val="584" w:hRule="atLeast"/>
        </w:trPr>
        <w:tc>
          <w:tcPr>
            <w:tcW w:w="822"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20"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257"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43"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419"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w:t>
            </w:r>
            <w:r>
              <w:rPr>
                <w:rFonts w:ascii="Times New Roman" w:hAnsi="Times New Roman" w:cs="Times New Roman" w:eastAsia="仿宋_GB2312"/>
                <w:kern w:val="0"/>
                <w:sz w:val="18"/>
                <w:szCs w:val="18"/>
              </w:rPr>
              <w:t>三公经费”控制率</w:t>
            </w:r>
          </w:p>
        </w:tc>
        <w:tc>
          <w:tcPr>
            <w:tcW w:w="564"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7</w:t>
            </w:r>
          </w:p>
        </w:tc>
        <w:tc>
          <w:tcPr>
            <w:tcW w:w="4594"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100%</w:t>
            </w:r>
            <w:r>
              <w:rPr>
                <w:rFonts w:ascii="Times New Roman" w:hAnsi="Times New Roman" w:cs="Times New Roman" w:eastAsia="仿宋_GB2312"/>
                <w:kern w:val="0"/>
                <w:sz w:val="18"/>
                <w:szCs w:val="18"/>
              </w:rPr>
              <w:t>以下（含）计满分，每超出</w:t>
            </w:r>
            <w:r>
              <w:rPr>
                <w:rFonts w:eastAsia="仿宋_GB2312" w:cs="Times New Roman" w:ascii="Times New Roman" w:hAnsi="Times New Roman"/>
                <w:kern w:val="0"/>
                <w:sz w:val="18"/>
                <w:szCs w:val="18"/>
              </w:rPr>
              <w:t>1%</w:t>
            </w:r>
            <w:r>
              <w:rPr>
                <w:rFonts w:ascii="Times New Roman" w:hAnsi="Times New Roman" w:cs="Times New Roman" w:eastAsia="仿宋_GB2312"/>
                <w:kern w:val="0"/>
                <w:sz w:val="18"/>
                <w:szCs w:val="18"/>
              </w:rPr>
              <w:t>扣</w:t>
            </w:r>
            <w:r>
              <w:rPr>
                <w:rFonts w:eastAsia="仿宋_GB2312" w:cs="Times New Roman" w:ascii="Times New Roman" w:hAnsi="Times New Roman"/>
                <w:kern w:val="0"/>
                <w:sz w:val="18"/>
                <w:szCs w:val="18"/>
              </w:rPr>
              <w:t>1</w:t>
            </w:r>
            <w:r>
              <w:rPr>
                <w:rFonts w:ascii="Times New Roman" w:hAnsi="Times New Roman" w:cs="Times New Roman" w:eastAsia="仿宋_GB2312"/>
                <w:kern w:val="0"/>
                <w:sz w:val="18"/>
                <w:szCs w:val="18"/>
              </w:rPr>
              <w:t>分，扣完为止。</w:t>
            </w:r>
          </w:p>
        </w:tc>
        <w:tc>
          <w:tcPr>
            <w:tcW w:w="3775"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w:t>
            </w:r>
            <w:r>
              <w:rPr>
                <w:rFonts w:ascii="Times New Roman" w:hAnsi="Times New Roman" w:cs="Times New Roman" w:eastAsia="仿宋_GB2312"/>
                <w:kern w:val="0"/>
                <w:sz w:val="18"/>
                <w:szCs w:val="18"/>
              </w:rPr>
              <w:t>三公经费”控制率</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（“三公经费”实际支出数</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三公经费”预算安排数）</w:t>
            </w:r>
            <w:r>
              <w:rPr>
                <w:rFonts w:eastAsia="仿宋_GB2312" w:cs="Times New Roman" w:ascii="Times New Roman" w:hAnsi="Times New Roman"/>
                <w:kern w:val="0"/>
                <w:sz w:val="18"/>
                <w:szCs w:val="18"/>
              </w:rPr>
              <w:t>×100%</w:t>
            </w:r>
            <w:r>
              <w:rPr>
                <w:rFonts w:ascii="Times New Roman" w:hAnsi="Times New Roman" w:cs="Times New Roman" w:eastAsia="仿宋_GB2312"/>
                <w:kern w:val="0"/>
                <w:sz w:val="18"/>
                <w:szCs w:val="18"/>
              </w:rPr>
              <w:t>。</w:t>
            </w:r>
          </w:p>
        </w:tc>
        <w:tc>
          <w:tcPr>
            <w:tcW w:w="710"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r>
              <w:rPr>
                <w:rFonts w:eastAsia="仿宋_GB2312" w:cs="Times New Roman" w:ascii="Times New Roman" w:hAnsi="Times New Roman"/>
                <w:kern w:val="0"/>
                <w:sz w:val="18"/>
                <w:szCs w:val="18"/>
              </w:rPr>
              <w:t>7</w:t>
            </w:r>
          </w:p>
        </w:tc>
      </w:tr>
      <w:tr>
        <w:trPr>
          <w:trHeight w:val="504" w:hRule="atLeast"/>
        </w:trPr>
        <w:tc>
          <w:tcPr>
            <w:tcW w:w="822"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20"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257"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43"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419" w:type="dxa"/>
            <w:tcBorders>
              <w:bottom w:val="single" w:sz="4" w:space="0" w:color="000000"/>
              <w:right w:val="single" w:sz="4" w:space="0" w:color="000000"/>
            </w:tcBorders>
            <w:vAlign w:val="center"/>
          </w:tcPr>
          <w:p>
            <w:pPr>
              <w:pStyle w:val="Style14"/>
              <w:widowControl w:val="false"/>
              <w:spacing w:lineRule="exact" w:line="200"/>
              <w:jc w:val="center"/>
              <w:rPr>
                <w:rFonts w:ascii="仿宋" w:hAnsi="仿宋" w:eastAsia="仿宋" w:cs="仿宋"/>
                <w:color w:val="000000"/>
                <w:kern w:val="0"/>
                <w:sz w:val="32"/>
                <w:szCs w:val="32"/>
              </w:rPr>
            </w:pPr>
            <w:r>
              <w:rPr>
                <w:rFonts w:ascii="Times New Roman" w:hAnsi="Times New Roman" w:cs="Times New Roman" w:eastAsia="仿宋_GB2312"/>
                <w:spacing w:val="-20"/>
                <w:kern w:val="0"/>
                <w:sz w:val="18"/>
                <w:szCs w:val="18"/>
              </w:rPr>
              <w:t>政府采购执</w:t>
            </w:r>
            <w:r>
              <w:rPr>
                <w:rFonts w:ascii="Times New Roman" w:hAnsi="Times New Roman" w:cs="Times New Roman" w:eastAsia="仿宋_GB2312"/>
                <w:kern w:val="0"/>
                <w:sz w:val="18"/>
                <w:szCs w:val="18"/>
              </w:rPr>
              <w:t>行率</w:t>
            </w:r>
          </w:p>
        </w:tc>
        <w:tc>
          <w:tcPr>
            <w:tcW w:w="564"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6</w:t>
            </w:r>
          </w:p>
        </w:tc>
        <w:tc>
          <w:tcPr>
            <w:tcW w:w="4594"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100%</w:t>
            </w:r>
            <w:r>
              <w:rPr>
                <w:rFonts w:ascii="Times New Roman" w:hAnsi="Times New Roman" w:cs="Times New Roman" w:eastAsia="仿宋_GB2312"/>
                <w:kern w:val="0"/>
                <w:sz w:val="18"/>
                <w:szCs w:val="18"/>
              </w:rPr>
              <w:t>计满分，每超过（降低）</w:t>
            </w:r>
            <w:r>
              <w:rPr>
                <w:rFonts w:eastAsia="仿宋_GB2312" w:cs="Times New Roman" w:ascii="Times New Roman" w:hAnsi="Times New Roman"/>
                <w:kern w:val="0"/>
                <w:sz w:val="18"/>
                <w:szCs w:val="18"/>
              </w:rPr>
              <w:t>5%</w:t>
            </w:r>
            <w:r>
              <w:rPr>
                <w:rFonts w:ascii="Times New Roman" w:hAnsi="Times New Roman" w:cs="Times New Roman" w:eastAsia="仿宋_GB2312"/>
                <w:kern w:val="0"/>
                <w:sz w:val="18"/>
                <w:szCs w:val="18"/>
              </w:rPr>
              <w:t>扣</w:t>
            </w:r>
            <w:r>
              <w:rPr>
                <w:rFonts w:eastAsia="仿宋_GB2312" w:cs="Times New Roman" w:ascii="Times New Roman" w:hAnsi="Times New Roman"/>
                <w:kern w:val="0"/>
                <w:sz w:val="18"/>
                <w:szCs w:val="18"/>
              </w:rPr>
              <w:t>2</w:t>
            </w:r>
            <w:r>
              <w:rPr>
                <w:rFonts w:ascii="Times New Roman" w:hAnsi="Times New Roman" w:cs="Times New Roman" w:eastAsia="仿宋_GB2312"/>
                <w:kern w:val="0"/>
                <w:sz w:val="18"/>
                <w:szCs w:val="18"/>
              </w:rPr>
              <w:t>分。扣完为止。</w:t>
            </w:r>
          </w:p>
        </w:tc>
        <w:tc>
          <w:tcPr>
            <w:tcW w:w="3775"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政府采购执行率</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（实际政府采购金额</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政府采购预算数）</w:t>
            </w:r>
            <w:r>
              <w:rPr>
                <w:rFonts w:eastAsia="仿宋_GB2312" w:cs="Times New Roman" w:ascii="Times New Roman" w:hAnsi="Times New Roman"/>
                <w:kern w:val="0"/>
                <w:sz w:val="18"/>
                <w:szCs w:val="18"/>
              </w:rPr>
              <w:t>×100%</w:t>
            </w:r>
          </w:p>
        </w:tc>
        <w:tc>
          <w:tcPr>
            <w:tcW w:w="710"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r>
              <w:rPr>
                <w:rFonts w:eastAsia="仿宋_GB2312" w:cs="Times New Roman" w:ascii="Times New Roman" w:hAnsi="Times New Roman"/>
                <w:kern w:val="0"/>
                <w:sz w:val="18"/>
                <w:szCs w:val="18"/>
              </w:rPr>
              <w:t>6</w:t>
            </w:r>
          </w:p>
        </w:tc>
      </w:tr>
      <w:tr>
        <w:trPr>
          <w:trHeight w:val="1150" w:hRule="atLeast"/>
        </w:trPr>
        <w:tc>
          <w:tcPr>
            <w:tcW w:w="822" w:type="dxa"/>
            <w:vMerge w:val="restart"/>
            <w:tcBorders>
              <w:top w:val="single" w:sz="4" w:space="0" w:color="000000"/>
              <w:left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过程</w:t>
            </w:r>
          </w:p>
        </w:tc>
        <w:tc>
          <w:tcPr>
            <w:tcW w:w="520" w:type="dxa"/>
            <w:vMerge w:val="restart"/>
            <w:tcBorders>
              <w:top w:val="single" w:sz="4" w:space="0" w:color="000000"/>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257" w:type="dxa"/>
            <w:vMerge w:val="restart"/>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预算管理</w:t>
            </w:r>
          </w:p>
        </w:tc>
        <w:tc>
          <w:tcPr>
            <w:tcW w:w="543"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419" w:type="dxa"/>
            <w:tcBorders>
              <w:bottom w:val="single" w:sz="4" w:space="0" w:color="000000"/>
              <w:right w:val="single" w:sz="4" w:space="0" w:color="000000"/>
            </w:tcBorders>
            <w:vAlign w:val="center"/>
          </w:tcPr>
          <w:p>
            <w:pPr>
              <w:pStyle w:val="Style14"/>
              <w:widowControl w:val="false"/>
              <w:spacing w:lineRule="exact" w:line="200"/>
              <w:jc w:val="center"/>
              <w:rPr>
                <w:rFonts w:ascii="仿宋" w:hAnsi="仿宋" w:eastAsia="仿宋" w:cs="仿宋"/>
                <w:color w:val="000000"/>
                <w:kern w:val="0"/>
                <w:sz w:val="32"/>
                <w:szCs w:val="32"/>
              </w:rPr>
            </w:pPr>
            <w:r>
              <w:rPr>
                <w:rFonts w:ascii="Times New Roman" w:hAnsi="Times New Roman" w:cs="Times New Roman" w:eastAsia="仿宋_GB2312"/>
                <w:spacing w:val="-20"/>
                <w:kern w:val="0"/>
                <w:sz w:val="18"/>
                <w:szCs w:val="18"/>
              </w:rPr>
              <w:t>管理制度</w:t>
            </w:r>
            <w:r>
              <w:rPr>
                <w:rFonts w:ascii="Times New Roman" w:hAnsi="Times New Roman" w:cs="Times New Roman" w:eastAsia="仿宋_GB2312"/>
                <w:kern w:val="0"/>
                <w:sz w:val="18"/>
                <w:szCs w:val="18"/>
              </w:rPr>
              <w:t>健全性</w:t>
            </w:r>
          </w:p>
        </w:tc>
        <w:tc>
          <w:tcPr>
            <w:tcW w:w="564"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8</w:t>
            </w:r>
          </w:p>
        </w:tc>
        <w:tc>
          <w:tcPr>
            <w:tcW w:w="4594"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①</w:t>
            </w:r>
            <w:r>
              <w:rPr>
                <w:rFonts w:ascii="Times New Roman" w:hAnsi="Times New Roman" w:cs="Times New Roman" w:eastAsia="仿宋_GB2312"/>
                <w:kern w:val="0"/>
                <w:sz w:val="18"/>
                <w:szCs w:val="18"/>
              </w:rPr>
              <w:t>有内部财务管理制度、会计核算制度等管理制度，</w:t>
            </w:r>
            <w:r>
              <w:rPr>
                <w:rFonts w:eastAsia="仿宋_GB2312" w:cs="Times New Roman" w:ascii="Times New Roman" w:hAnsi="Times New Roman"/>
                <w:kern w:val="0"/>
                <w:sz w:val="18"/>
                <w:szCs w:val="18"/>
              </w:rPr>
              <w:t>2</w:t>
            </w:r>
            <w:r>
              <w:rPr>
                <w:rFonts w:ascii="Times New Roman" w:hAnsi="Times New Roman" w:cs="Times New Roman" w:eastAsia="仿宋_GB2312"/>
                <w:kern w:val="0"/>
                <w:sz w:val="18"/>
                <w:szCs w:val="18"/>
              </w:rPr>
              <w:t>分；</w:t>
            </w:r>
            <w:r>
              <w:rPr>
                <w:rFonts w:eastAsia="仿宋_GB2312" w:cs="Times New Roman" w:ascii="Times New Roman" w:hAnsi="Times New Roman"/>
                <w:kern w:val="0"/>
                <w:sz w:val="18"/>
                <w:szCs w:val="18"/>
              </w:rPr>
              <w:br/>
              <w:t>②</w:t>
            </w:r>
            <w:r>
              <w:rPr>
                <w:rFonts w:ascii="Times New Roman" w:hAnsi="Times New Roman" w:cs="Times New Roman" w:eastAsia="仿宋_GB2312"/>
                <w:kern w:val="0"/>
                <w:sz w:val="18"/>
                <w:szCs w:val="18"/>
              </w:rPr>
              <w:t>有本部门厉行节约制度</w:t>
            </w:r>
            <w:r>
              <w:rPr>
                <w:rFonts w:eastAsia="仿宋_GB2312" w:cs="Times New Roman" w:ascii="Times New Roman" w:hAnsi="Times New Roman"/>
                <w:kern w:val="0"/>
                <w:sz w:val="18"/>
                <w:szCs w:val="18"/>
              </w:rPr>
              <w:t>,2</w:t>
            </w:r>
            <w:r>
              <w:rPr>
                <w:rFonts w:ascii="Times New Roman" w:hAnsi="Times New Roman" w:cs="Times New Roman" w:eastAsia="仿宋_GB2312"/>
                <w:kern w:val="0"/>
                <w:sz w:val="18"/>
                <w:szCs w:val="18"/>
              </w:rPr>
              <w:t>分；</w:t>
            </w:r>
            <w:r>
              <w:rPr>
                <w:rFonts w:eastAsia="仿宋_GB2312" w:cs="Times New Roman" w:ascii="Times New Roman" w:hAnsi="Times New Roman"/>
                <w:kern w:val="0"/>
                <w:sz w:val="18"/>
                <w:szCs w:val="18"/>
              </w:rPr>
              <w:br/>
              <w:t>③</w:t>
            </w:r>
            <w:r>
              <w:rPr>
                <w:rFonts w:ascii="Times New Roman" w:hAnsi="Times New Roman" w:cs="Times New Roman" w:eastAsia="仿宋_GB2312"/>
                <w:kern w:val="0"/>
                <w:sz w:val="18"/>
                <w:szCs w:val="18"/>
              </w:rPr>
              <w:t>相关管理制度合法、合规、完整，</w:t>
            </w:r>
            <w:r>
              <w:rPr>
                <w:rFonts w:eastAsia="仿宋_GB2312" w:cs="Times New Roman" w:ascii="Times New Roman" w:hAnsi="Times New Roman"/>
                <w:kern w:val="0"/>
                <w:sz w:val="18"/>
                <w:szCs w:val="18"/>
              </w:rPr>
              <w:t>2</w:t>
            </w:r>
            <w:r>
              <w:rPr>
                <w:rFonts w:ascii="Times New Roman" w:hAnsi="Times New Roman" w:cs="Times New Roman" w:eastAsia="仿宋_GB2312"/>
                <w:kern w:val="0"/>
                <w:sz w:val="18"/>
                <w:szCs w:val="18"/>
              </w:rPr>
              <w:t>分；④相关管理制度得到有效执行，</w:t>
            </w:r>
            <w:r>
              <w:rPr>
                <w:rFonts w:eastAsia="仿宋_GB2312" w:cs="Times New Roman" w:ascii="Times New Roman" w:hAnsi="Times New Roman"/>
                <w:kern w:val="0"/>
                <w:sz w:val="18"/>
                <w:szCs w:val="18"/>
              </w:rPr>
              <w:t>2</w:t>
            </w:r>
            <w:r>
              <w:rPr>
                <w:rFonts w:ascii="Times New Roman" w:hAnsi="Times New Roman" w:cs="Times New Roman" w:eastAsia="仿宋_GB2312"/>
                <w:kern w:val="0"/>
                <w:sz w:val="18"/>
                <w:szCs w:val="18"/>
              </w:rPr>
              <w:t>分。</w:t>
            </w:r>
          </w:p>
        </w:tc>
        <w:tc>
          <w:tcPr>
            <w:tcW w:w="3775"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p>
        </w:tc>
        <w:tc>
          <w:tcPr>
            <w:tcW w:w="710"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r>
              <w:rPr>
                <w:rFonts w:eastAsia="仿宋_GB2312" w:cs="Times New Roman" w:ascii="Times New Roman" w:hAnsi="Times New Roman"/>
                <w:kern w:val="0"/>
                <w:sz w:val="18"/>
                <w:szCs w:val="18"/>
              </w:rPr>
              <w:t>7</w:t>
            </w:r>
          </w:p>
        </w:tc>
      </w:tr>
      <w:tr>
        <w:trPr>
          <w:trHeight w:val="1434" w:hRule="atLeast"/>
        </w:trPr>
        <w:tc>
          <w:tcPr>
            <w:tcW w:w="822" w:type="dxa"/>
            <w:vMerge w:val="continue"/>
            <w:tcBorders>
              <w:top w:val="single" w:sz="4" w:space="0" w:color="000000"/>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20" w:type="dxa"/>
            <w:vMerge w:val="continue"/>
            <w:tcBorders>
              <w:top w:val="single" w:sz="4" w:space="0" w:color="000000"/>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257" w:type="dxa"/>
            <w:vMerge w:val="continue"/>
            <w:tcBorders>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43"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419" w:type="dxa"/>
            <w:tcBorders>
              <w:bottom w:val="single" w:sz="4" w:space="0" w:color="000000"/>
              <w:right w:val="single" w:sz="4" w:space="0" w:color="000000"/>
            </w:tcBorders>
            <w:vAlign w:val="center"/>
          </w:tcPr>
          <w:p>
            <w:pPr>
              <w:pStyle w:val="Style14"/>
              <w:widowControl w:val="false"/>
              <w:spacing w:lineRule="exact" w:line="200"/>
              <w:jc w:val="center"/>
              <w:rPr>
                <w:rFonts w:ascii="仿宋" w:hAnsi="仿宋" w:eastAsia="仿宋" w:cs="仿宋"/>
                <w:color w:val="000000"/>
                <w:kern w:val="0"/>
                <w:sz w:val="32"/>
                <w:szCs w:val="32"/>
              </w:rPr>
            </w:pPr>
            <w:r>
              <w:rPr>
                <w:rFonts w:ascii="Times New Roman" w:hAnsi="Times New Roman" w:cs="Times New Roman" w:eastAsia="仿宋_GB2312"/>
                <w:spacing w:val="-20"/>
                <w:kern w:val="0"/>
                <w:sz w:val="18"/>
                <w:szCs w:val="18"/>
              </w:rPr>
              <w:t>资金使用</w:t>
            </w:r>
            <w:r>
              <w:rPr>
                <w:rFonts w:ascii="Times New Roman" w:hAnsi="Times New Roman" w:cs="Times New Roman" w:eastAsia="仿宋_GB2312"/>
                <w:kern w:val="0"/>
                <w:sz w:val="18"/>
                <w:szCs w:val="18"/>
              </w:rPr>
              <w:t>合规性</w:t>
            </w:r>
          </w:p>
        </w:tc>
        <w:tc>
          <w:tcPr>
            <w:tcW w:w="564"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6</w:t>
            </w:r>
          </w:p>
        </w:tc>
        <w:tc>
          <w:tcPr>
            <w:tcW w:w="4594"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①</w:t>
            </w:r>
            <w:r>
              <w:rPr>
                <w:rFonts w:ascii="Times New Roman" w:hAnsi="Times New Roman" w:cs="Times New Roman" w:eastAsia="仿宋_GB2312"/>
                <w:kern w:val="0"/>
                <w:sz w:val="18"/>
                <w:szCs w:val="18"/>
              </w:rPr>
              <w:t>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eastAsia="仿宋_GB2312" w:cs="Times New Roman" w:ascii="Times New Roman" w:hAnsi="Times New Roman"/>
                <w:kern w:val="0"/>
                <w:sz w:val="18"/>
                <w:szCs w:val="18"/>
              </w:rPr>
              <w:br/>
            </w:r>
            <w:r>
              <w:rPr>
                <w:rFonts w:ascii="Times New Roman" w:hAnsi="Times New Roman" w:cs="Times New Roman" w:eastAsia="仿宋_GB2312"/>
                <w:kern w:val="0"/>
                <w:sz w:val="18"/>
                <w:szCs w:val="18"/>
              </w:rPr>
              <w:t>以上情况每出现一例不符合要求的扣</w:t>
            </w:r>
            <w:r>
              <w:rPr>
                <w:rFonts w:eastAsia="仿宋_GB2312" w:cs="Times New Roman" w:ascii="Times New Roman" w:hAnsi="Times New Roman"/>
                <w:kern w:val="0"/>
                <w:sz w:val="18"/>
                <w:szCs w:val="18"/>
              </w:rPr>
              <w:t>1</w:t>
            </w:r>
            <w:r>
              <w:rPr>
                <w:rFonts w:ascii="Times New Roman" w:hAnsi="Times New Roman" w:cs="Times New Roman" w:eastAsia="仿宋_GB2312"/>
                <w:kern w:val="0"/>
                <w:sz w:val="18"/>
                <w:szCs w:val="18"/>
              </w:rPr>
              <w:t>分，扣完为止。</w:t>
            </w:r>
          </w:p>
        </w:tc>
        <w:tc>
          <w:tcPr>
            <w:tcW w:w="3775"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p>
        </w:tc>
        <w:tc>
          <w:tcPr>
            <w:tcW w:w="710"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6</w:t>
            </w:r>
            <w:r>
              <w:rPr>
                <w:rFonts w:ascii="Times New Roman" w:hAnsi="Times New Roman" w:cs="Times New Roman" w:eastAsia="仿宋_GB2312"/>
                <w:kern w:val="0"/>
                <w:sz w:val="18"/>
                <w:szCs w:val="18"/>
              </w:rPr>
              <w:t>　</w:t>
            </w:r>
          </w:p>
        </w:tc>
      </w:tr>
      <w:tr>
        <w:trPr>
          <w:trHeight w:val="892" w:hRule="atLeast"/>
        </w:trPr>
        <w:tc>
          <w:tcPr>
            <w:tcW w:w="822" w:type="dxa"/>
            <w:vMerge w:val="continue"/>
            <w:tcBorders>
              <w:top w:val="single" w:sz="4" w:space="0" w:color="000000"/>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20" w:type="dxa"/>
            <w:vMerge w:val="continue"/>
            <w:tcBorders>
              <w:top w:val="single" w:sz="4" w:space="0" w:color="000000"/>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257" w:type="dxa"/>
            <w:vMerge w:val="continue"/>
            <w:tcBorders>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43"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419"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预决算信息公开性</w:t>
            </w:r>
          </w:p>
        </w:tc>
        <w:tc>
          <w:tcPr>
            <w:tcW w:w="564"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5</w:t>
            </w:r>
          </w:p>
        </w:tc>
        <w:tc>
          <w:tcPr>
            <w:tcW w:w="4594" w:type="dxa"/>
            <w:tcBorders>
              <w:bottom w:val="single" w:sz="4" w:space="0" w:color="000000"/>
              <w:right w:val="single" w:sz="4" w:space="0" w:color="000000"/>
            </w:tcBorders>
            <w:vAlign w:val="center"/>
          </w:tcPr>
          <w:p>
            <w:pPr>
              <w:pStyle w:val="Style14"/>
              <w:widowControl w:val="false"/>
              <w:spacing w:lineRule="exact" w:line="200"/>
              <w:jc w:val="left"/>
              <w:rPr>
                <w:rFonts w:eastAsia="仿宋_GB2312"/>
              </w:rPr>
            </w:pPr>
            <w:r>
              <w:rPr>
                <w:rFonts w:ascii="Times New Roman" w:hAnsi="Times New Roman" w:cs="Times New Roman" w:eastAsia="仿宋_GB2312"/>
                <w:kern w:val="0"/>
                <w:sz w:val="18"/>
                <w:szCs w:val="18"/>
              </w:rPr>
              <w:t>①</w:t>
            </w:r>
            <w:r>
              <w:rPr>
                <w:rFonts w:ascii="Times New Roman" w:hAnsi="Times New Roman" w:cs="Times New Roman" w:eastAsia="仿宋_GB2312"/>
                <w:kern w:val="0"/>
                <w:sz w:val="18"/>
                <w:szCs w:val="18"/>
              </w:rPr>
              <w:t>按规定内容公开预决算信息，</w:t>
            </w:r>
            <w:r>
              <w:rPr>
                <w:rFonts w:eastAsia="仿宋_GB2312" w:cs="Times New Roman" w:ascii="Times New Roman" w:hAnsi="Times New Roman"/>
                <w:kern w:val="0"/>
                <w:sz w:val="18"/>
                <w:szCs w:val="18"/>
              </w:rPr>
              <w:t>1</w:t>
            </w:r>
            <w:r>
              <w:rPr>
                <w:rFonts w:ascii="Times New Roman" w:hAnsi="Times New Roman" w:cs="Times New Roman" w:eastAsia="仿宋_GB2312"/>
                <w:kern w:val="0"/>
                <w:sz w:val="18"/>
                <w:szCs w:val="18"/>
              </w:rPr>
              <w:t>分；②按规定时限公开预决算信息，</w:t>
            </w:r>
            <w:r>
              <w:rPr>
                <w:rFonts w:eastAsia="仿宋_GB2312" w:cs="Times New Roman" w:ascii="Times New Roman" w:hAnsi="Times New Roman"/>
                <w:kern w:val="0"/>
                <w:sz w:val="18"/>
                <w:szCs w:val="18"/>
              </w:rPr>
              <w:t>1</w:t>
            </w:r>
            <w:r>
              <w:rPr>
                <w:rFonts w:ascii="Times New Roman" w:hAnsi="Times New Roman" w:cs="Times New Roman" w:eastAsia="仿宋_GB2312"/>
                <w:kern w:val="0"/>
                <w:sz w:val="18"/>
                <w:szCs w:val="18"/>
              </w:rPr>
              <w:t>分；③基础数据信息和会计信息资料真实，</w:t>
            </w:r>
            <w:r>
              <w:rPr>
                <w:rFonts w:eastAsia="仿宋_GB2312" w:cs="Times New Roman" w:ascii="Times New Roman" w:hAnsi="Times New Roman"/>
                <w:kern w:val="0"/>
                <w:sz w:val="18"/>
                <w:szCs w:val="18"/>
              </w:rPr>
              <w:t>1</w:t>
            </w:r>
            <w:r>
              <w:rPr>
                <w:rFonts w:ascii="Times New Roman" w:hAnsi="Times New Roman" w:cs="Times New Roman" w:eastAsia="仿宋_GB2312"/>
                <w:kern w:val="0"/>
                <w:sz w:val="18"/>
                <w:szCs w:val="18"/>
              </w:rPr>
              <w:t>分；④基础数据信息和会计信息资料完整，</w:t>
            </w:r>
            <w:r>
              <w:rPr>
                <w:rFonts w:eastAsia="仿宋_GB2312" w:cs="Times New Roman" w:ascii="Times New Roman" w:hAnsi="Times New Roman"/>
                <w:kern w:val="0"/>
                <w:sz w:val="18"/>
                <w:szCs w:val="18"/>
              </w:rPr>
              <w:t>1</w:t>
            </w:r>
            <w:r>
              <w:rPr>
                <w:rFonts w:ascii="Times New Roman" w:hAnsi="Times New Roman" w:cs="Times New Roman" w:eastAsia="仿宋_GB2312"/>
                <w:kern w:val="0"/>
                <w:sz w:val="18"/>
                <w:szCs w:val="18"/>
              </w:rPr>
              <w:t>分；⑤基础数据信息和汇集信息资料准确，</w:t>
            </w:r>
            <w:r>
              <w:rPr>
                <w:rFonts w:eastAsia="仿宋_GB2312" w:cs="Times New Roman" w:ascii="Times New Roman" w:hAnsi="Times New Roman"/>
                <w:kern w:val="0"/>
                <w:sz w:val="18"/>
                <w:szCs w:val="18"/>
              </w:rPr>
              <w:t>1</w:t>
            </w:r>
            <w:r>
              <w:rPr>
                <w:rFonts w:ascii="Times New Roman" w:hAnsi="Times New Roman" w:cs="Times New Roman" w:eastAsia="仿宋_GB2312"/>
                <w:kern w:val="0"/>
                <w:sz w:val="18"/>
                <w:szCs w:val="18"/>
              </w:rPr>
              <w:t>分。</w:t>
            </w:r>
          </w:p>
        </w:tc>
        <w:tc>
          <w:tcPr>
            <w:tcW w:w="3775"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预决算信息是指与部门预算、执行、决算、监督、绩效等管理相关的信息。</w:t>
            </w:r>
          </w:p>
        </w:tc>
        <w:tc>
          <w:tcPr>
            <w:tcW w:w="710"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5</w:t>
            </w:r>
          </w:p>
        </w:tc>
      </w:tr>
      <w:tr>
        <w:trPr>
          <w:trHeight w:val="622" w:hRule="atLeast"/>
        </w:trPr>
        <w:tc>
          <w:tcPr>
            <w:tcW w:w="822" w:type="dxa"/>
            <w:vMerge w:val="restart"/>
            <w:tcBorders>
              <w:left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产出及效率</w:t>
            </w:r>
          </w:p>
        </w:tc>
        <w:tc>
          <w:tcPr>
            <w:tcW w:w="520" w:type="dxa"/>
            <w:vMerge w:val="restart"/>
            <w:tcBorders>
              <w:left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30</w:t>
            </w:r>
          </w:p>
        </w:tc>
        <w:tc>
          <w:tcPr>
            <w:tcW w:w="1257"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职责履行</w:t>
            </w:r>
          </w:p>
        </w:tc>
        <w:tc>
          <w:tcPr>
            <w:tcW w:w="543"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8</w:t>
            </w:r>
          </w:p>
        </w:tc>
        <w:tc>
          <w:tcPr>
            <w:tcW w:w="1419" w:type="dxa"/>
            <w:tcBorders>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重点工作实际完成率</w:t>
            </w:r>
          </w:p>
        </w:tc>
        <w:tc>
          <w:tcPr>
            <w:tcW w:w="564"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8</w:t>
            </w:r>
          </w:p>
        </w:tc>
        <w:tc>
          <w:tcPr>
            <w:tcW w:w="4594" w:type="dxa"/>
            <w:tcBorders>
              <w:bottom w:val="single" w:sz="4" w:space="0" w:color="000000"/>
              <w:right w:val="single" w:sz="4" w:space="0" w:color="000000"/>
            </w:tcBorders>
            <w:vAlign w:val="center"/>
          </w:tcPr>
          <w:p>
            <w:pPr>
              <w:pStyle w:val="Style14"/>
              <w:widowControl w:val="false"/>
              <w:spacing w:lineRule="exact" w:line="200"/>
              <w:jc w:val="left"/>
              <w:rPr>
                <w:rFonts w:ascii="仿宋" w:hAnsi="仿宋" w:eastAsia="仿宋" w:cs="仿宋"/>
                <w:color w:val="000000"/>
                <w:kern w:val="0"/>
                <w:sz w:val="32"/>
                <w:szCs w:val="32"/>
              </w:rPr>
            </w:pPr>
            <w:r>
              <w:rPr>
                <w:rFonts w:ascii="Times New Roman" w:hAnsi="Times New Roman" w:cs="Times New Roman" w:eastAsia="仿宋_GB2312"/>
                <w:kern w:val="0"/>
                <w:sz w:val="18"/>
                <w:szCs w:val="18"/>
              </w:rPr>
              <w:t>根据绩效办</w:t>
            </w:r>
            <w:r>
              <w:rPr>
                <w:rFonts w:eastAsia="仿宋_GB2312" w:cs="Times New Roman" w:ascii="Times New Roman" w:hAnsi="Times New Roman"/>
                <w:kern w:val="0"/>
                <w:sz w:val="18"/>
                <w:szCs w:val="18"/>
              </w:rPr>
              <w:t>2020</w:t>
            </w:r>
            <w:r>
              <w:rPr>
                <w:rFonts w:ascii="Times New Roman" w:hAnsi="Times New Roman" w:cs="Times New Roman" w:eastAsia="仿宋_GB2312"/>
                <w:kern w:val="0"/>
                <w:sz w:val="18"/>
                <w:szCs w:val="18"/>
              </w:rPr>
              <w:t>年对各部门为民办实事和部门重点工程与重点工作考核分数折算。</w:t>
            </w:r>
            <w:r>
              <w:rPr>
                <w:rFonts w:eastAsia="仿宋_GB2312" w:cs="Times New Roman" w:ascii="Times New Roman" w:hAnsi="Times New Roman"/>
                <w:kern w:val="0"/>
                <w:sz w:val="18"/>
                <w:szCs w:val="18"/>
              </w:rPr>
              <w:br/>
            </w:r>
            <w:r>
              <w:rPr>
                <w:rFonts w:ascii="Times New Roman" w:hAnsi="Times New Roman" w:cs="Times New Roman" w:eastAsia="仿宋_GB2312"/>
                <w:kern w:val="0"/>
                <w:sz w:val="18"/>
                <w:szCs w:val="18"/>
              </w:rPr>
              <w:t>该项得分</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（绩效办对应部分考核得分</w:t>
            </w:r>
            <w:r>
              <w:rPr>
                <w:rFonts w:eastAsia="仿宋_GB2312" w:cs="Times New Roman" w:ascii="Times New Roman" w:hAnsi="Times New Roman"/>
                <w:kern w:val="0"/>
                <w:sz w:val="18"/>
                <w:szCs w:val="18"/>
              </w:rPr>
              <w:t>/</w:t>
            </w:r>
            <w:r>
              <w:rPr>
                <w:rFonts w:ascii="Times New Roman" w:hAnsi="Times New Roman" w:cs="Times New Roman" w:eastAsia="仿宋_GB2312"/>
                <w:kern w:val="0"/>
                <w:sz w:val="18"/>
                <w:szCs w:val="18"/>
              </w:rPr>
              <w:t>该部分总分）</w:t>
            </w:r>
            <w:r>
              <w:rPr>
                <w:rFonts w:eastAsia="仿宋_GB2312" w:cs="Times New Roman" w:ascii="Times New Roman" w:hAnsi="Times New Roman"/>
                <w:kern w:val="0"/>
                <w:sz w:val="18"/>
                <w:szCs w:val="18"/>
              </w:rPr>
              <w:t>*8</w:t>
            </w:r>
          </w:p>
        </w:tc>
        <w:tc>
          <w:tcPr>
            <w:tcW w:w="3775"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p>
        </w:tc>
        <w:tc>
          <w:tcPr>
            <w:tcW w:w="710"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8</w:t>
            </w:r>
          </w:p>
        </w:tc>
      </w:tr>
      <w:tr>
        <w:trPr>
          <w:trHeight w:val="439" w:hRule="atLeast"/>
        </w:trPr>
        <w:tc>
          <w:tcPr>
            <w:tcW w:w="822"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20"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257" w:type="dxa"/>
            <w:vMerge w:val="restart"/>
            <w:tcBorders>
              <w:left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履职效益</w:t>
            </w:r>
          </w:p>
        </w:tc>
        <w:tc>
          <w:tcPr>
            <w:tcW w:w="543" w:type="dxa"/>
            <w:vMerge w:val="restart"/>
            <w:tcBorders>
              <w:left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10</w:t>
            </w:r>
          </w:p>
        </w:tc>
        <w:tc>
          <w:tcPr>
            <w:tcW w:w="1419" w:type="dxa"/>
            <w:tcBorders>
              <w:top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经济效益</w:t>
            </w:r>
          </w:p>
        </w:tc>
        <w:tc>
          <w:tcPr>
            <w:tcW w:w="564" w:type="dxa"/>
            <w:tcBorders>
              <w:left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5</w:t>
            </w:r>
          </w:p>
        </w:tc>
        <w:tc>
          <w:tcPr>
            <w:tcW w:w="4594" w:type="dxa"/>
            <w:tcBorders>
              <w:top w:val="single" w:sz="4" w:space="0" w:color="000000"/>
              <w:left w:val="single" w:sz="4" w:space="0" w:color="000000"/>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对经济发展带来的直接影响和间接影响。</w:t>
            </w:r>
          </w:p>
        </w:tc>
        <w:tc>
          <w:tcPr>
            <w:tcW w:w="3775" w:type="dxa"/>
            <w:vMerge w:val="restart"/>
            <w:tcBorders>
              <w:top w:val="single" w:sz="4" w:space="0" w:color="000000"/>
              <w:left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此两项指标为设置部门整体支出绩效评价指标时必须考虑的共性要素，可根据部门实际情况有选择的进行设置，并将其细化为相应的个性化指标。</w:t>
            </w:r>
          </w:p>
        </w:tc>
        <w:tc>
          <w:tcPr>
            <w:tcW w:w="710"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5</w:t>
            </w:r>
          </w:p>
        </w:tc>
      </w:tr>
      <w:tr>
        <w:trPr>
          <w:trHeight w:val="428" w:hRule="atLeast"/>
        </w:trPr>
        <w:tc>
          <w:tcPr>
            <w:tcW w:w="822"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20"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257"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43"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419"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社会效益</w:t>
            </w:r>
          </w:p>
        </w:tc>
        <w:tc>
          <w:tcPr>
            <w:tcW w:w="564" w:type="dxa"/>
            <w:tcBorders>
              <w:top w:val="single" w:sz="4" w:space="0" w:color="000000"/>
              <w:left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5</w:t>
            </w:r>
          </w:p>
        </w:tc>
        <w:tc>
          <w:tcPr>
            <w:tcW w:w="4594" w:type="dxa"/>
            <w:tcBorders>
              <w:top w:val="single" w:sz="4" w:space="0" w:color="000000"/>
              <w:left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对社会发展带来的直接影响和间接影响。</w:t>
            </w:r>
          </w:p>
        </w:tc>
        <w:tc>
          <w:tcPr>
            <w:tcW w:w="3775" w:type="dxa"/>
            <w:vMerge w:val="continue"/>
            <w:tcBorders>
              <w:top w:val="single" w:sz="4" w:space="0" w:color="000000"/>
              <w:left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710" w:type="dxa"/>
            <w:tcBorders>
              <w:top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5</w:t>
            </w:r>
          </w:p>
        </w:tc>
      </w:tr>
      <w:tr>
        <w:trPr>
          <w:trHeight w:val="835" w:hRule="atLeast"/>
        </w:trPr>
        <w:tc>
          <w:tcPr>
            <w:tcW w:w="822"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20"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257"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43" w:type="dxa"/>
            <w:vMerge w:val="restart"/>
            <w:tcBorders>
              <w:left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12</w:t>
            </w:r>
          </w:p>
        </w:tc>
        <w:tc>
          <w:tcPr>
            <w:tcW w:w="1419"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行政效能</w:t>
            </w:r>
          </w:p>
        </w:tc>
        <w:tc>
          <w:tcPr>
            <w:tcW w:w="564" w:type="dxa"/>
            <w:tcBorders>
              <w:top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6</w:t>
            </w:r>
          </w:p>
        </w:tc>
        <w:tc>
          <w:tcPr>
            <w:tcW w:w="4594" w:type="dxa"/>
            <w:tcBorders>
              <w:top w:val="single" w:sz="4" w:space="0" w:color="000000"/>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促进部门改进文风会风，加强经费及资产管理，推动网上办事，提高行政效率，降低行政成本效果较好的计</w:t>
            </w:r>
            <w:r>
              <w:rPr>
                <w:rFonts w:eastAsia="仿宋_GB2312" w:cs="Times New Roman" w:ascii="Times New Roman" w:hAnsi="Times New Roman"/>
                <w:kern w:val="0"/>
                <w:sz w:val="18"/>
                <w:szCs w:val="18"/>
              </w:rPr>
              <w:t>6</w:t>
            </w:r>
            <w:r>
              <w:rPr>
                <w:rFonts w:ascii="Times New Roman" w:hAnsi="Times New Roman" w:cs="Times New Roman" w:eastAsia="仿宋_GB2312"/>
                <w:kern w:val="0"/>
                <w:sz w:val="18"/>
                <w:szCs w:val="18"/>
              </w:rPr>
              <w:t>分；一般</w:t>
            </w:r>
            <w:r>
              <w:rPr>
                <w:rFonts w:eastAsia="仿宋_GB2312" w:cs="Times New Roman" w:ascii="Times New Roman" w:hAnsi="Times New Roman"/>
                <w:kern w:val="0"/>
                <w:sz w:val="18"/>
                <w:szCs w:val="18"/>
              </w:rPr>
              <w:t>3</w:t>
            </w:r>
            <w:r>
              <w:rPr>
                <w:rFonts w:ascii="Times New Roman" w:hAnsi="Times New Roman" w:cs="Times New Roman" w:eastAsia="仿宋_GB2312"/>
                <w:kern w:val="0"/>
                <w:sz w:val="18"/>
                <w:szCs w:val="18"/>
              </w:rPr>
              <w:t>分；无效果或者效果不明显</w:t>
            </w:r>
            <w:r>
              <w:rPr>
                <w:rFonts w:eastAsia="仿宋_GB2312" w:cs="Times New Roman" w:ascii="Times New Roman" w:hAnsi="Times New Roman"/>
                <w:kern w:val="0"/>
                <w:sz w:val="18"/>
                <w:szCs w:val="18"/>
              </w:rPr>
              <w:t>0</w:t>
            </w:r>
            <w:r>
              <w:rPr>
                <w:rFonts w:ascii="Times New Roman" w:hAnsi="Times New Roman" w:cs="Times New Roman" w:eastAsia="仿宋_GB2312"/>
                <w:kern w:val="0"/>
                <w:sz w:val="18"/>
                <w:szCs w:val="18"/>
              </w:rPr>
              <w:t>分。</w:t>
            </w:r>
          </w:p>
        </w:tc>
        <w:tc>
          <w:tcPr>
            <w:tcW w:w="3775" w:type="dxa"/>
            <w:tcBorders>
              <w:top w:val="single" w:sz="4" w:space="0" w:color="000000"/>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根据部门自评材料评定。</w:t>
            </w:r>
          </w:p>
        </w:tc>
        <w:tc>
          <w:tcPr>
            <w:tcW w:w="710" w:type="dxa"/>
            <w:tcBorders>
              <w:top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6</w:t>
            </w:r>
          </w:p>
        </w:tc>
      </w:tr>
      <w:tr>
        <w:trPr>
          <w:trHeight w:val="832" w:hRule="atLeast"/>
        </w:trPr>
        <w:tc>
          <w:tcPr>
            <w:tcW w:w="822"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20"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257"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543" w:type="dxa"/>
            <w:vMerge w:val="continue"/>
            <w:tcBorders>
              <w:left w:val="single" w:sz="4" w:space="0" w:color="000000"/>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1419"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社会公众或服务对象满意度</w:t>
            </w:r>
          </w:p>
        </w:tc>
        <w:tc>
          <w:tcPr>
            <w:tcW w:w="564"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6</w:t>
            </w:r>
          </w:p>
        </w:tc>
        <w:tc>
          <w:tcPr>
            <w:tcW w:w="4594" w:type="dxa"/>
            <w:tcBorders>
              <w:bottom w:val="single" w:sz="4" w:space="0" w:color="000000"/>
              <w:right w:val="single" w:sz="4" w:space="0" w:color="000000"/>
            </w:tcBorders>
            <w:vAlign w:val="center"/>
          </w:tcPr>
          <w:p>
            <w:pPr>
              <w:pStyle w:val="Style14"/>
              <w:widowControl w:val="false"/>
              <w:spacing w:lineRule="exact" w:line="200"/>
              <w:jc w:val="left"/>
              <w:rPr>
                <w:rFonts w:ascii="仿宋" w:hAnsi="仿宋" w:eastAsia="仿宋" w:cs="仿宋"/>
                <w:color w:val="000000"/>
                <w:kern w:val="0"/>
                <w:sz w:val="32"/>
                <w:szCs w:val="32"/>
              </w:rPr>
            </w:pPr>
            <w:r>
              <w:rPr>
                <w:rFonts w:eastAsia="仿宋_GB2312" w:cs="Times New Roman" w:ascii="Times New Roman" w:hAnsi="Times New Roman"/>
                <w:kern w:val="0"/>
                <w:sz w:val="18"/>
                <w:szCs w:val="18"/>
              </w:rPr>
              <w:t>90%</w:t>
            </w:r>
            <w:r>
              <w:rPr>
                <w:rFonts w:ascii="Times New Roman" w:hAnsi="Times New Roman" w:cs="Times New Roman" w:eastAsia="仿宋_GB2312"/>
                <w:kern w:val="0"/>
                <w:sz w:val="18"/>
                <w:szCs w:val="18"/>
              </w:rPr>
              <w:t>（含）以上计</w:t>
            </w:r>
            <w:r>
              <w:rPr>
                <w:rFonts w:eastAsia="仿宋_GB2312" w:cs="Times New Roman" w:ascii="Times New Roman" w:hAnsi="Times New Roman"/>
                <w:kern w:val="0"/>
                <w:sz w:val="18"/>
                <w:szCs w:val="18"/>
              </w:rPr>
              <w:t>6</w:t>
            </w:r>
            <w:r>
              <w:rPr>
                <w:rFonts w:ascii="Times New Roman" w:hAnsi="Times New Roman" w:cs="Times New Roman" w:eastAsia="仿宋_GB2312"/>
                <w:kern w:val="0"/>
                <w:sz w:val="18"/>
                <w:szCs w:val="18"/>
              </w:rPr>
              <w:t>分；</w:t>
            </w:r>
            <w:r>
              <w:rPr>
                <w:rFonts w:eastAsia="仿宋_GB2312" w:cs="Times New Roman" w:ascii="Times New Roman" w:hAnsi="Times New Roman"/>
                <w:kern w:val="0"/>
                <w:sz w:val="18"/>
                <w:szCs w:val="18"/>
              </w:rPr>
              <w:br/>
              <w:t>80%</w:t>
            </w:r>
            <w:r>
              <w:rPr>
                <w:rFonts w:ascii="Times New Roman" w:hAnsi="Times New Roman" w:cs="Times New Roman" w:eastAsia="仿宋_GB2312"/>
                <w:kern w:val="0"/>
                <w:sz w:val="18"/>
                <w:szCs w:val="18"/>
              </w:rPr>
              <w:t>（含）</w:t>
            </w:r>
            <w:r>
              <w:rPr>
                <w:rFonts w:eastAsia="仿宋_GB2312" w:cs="Times New Roman" w:ascii="Times New Roman" w:hAnsi="Times New Roman"/>
                <w:kern w:val="0"/>
                <w:sz w:val="18"/>
                <w:szCs w:val="18"/>
              </w:rPr>
              <w:t>-90%</w:t>
            </w:r>
            <w:r>
              <w:rPr>
                <w:rFonts w:ascii="Times New Roman" w:hAnsi="Times New Roman" w:cs="Times New Roman" w:eastAsia="仿宋_GB2312"/>
                <w:kern w:val="0"/>
                <w:sz w:val="18"/>
                <w:szCs w:val="18"/>
              </w:rPr>
              <w:t>，计</w:t>
            </w:r>
            <w:r>
              <w:rPr>
                <w:rFonts w:eastAsia="仿宋_GB2312" w:cs="Times New Roman" w:ascii="Times New Roman" w:hAnsi="Times New Roman"/>
                <w:kern w:val="0"/>
                <w:sz w:val="18"/>
                <w:szCs w:val="18"/>
              </w:rPr>
              <w:t>4</w:t>
            </w:r>
            <w:r>
              <w:rPr>
                <w:rFonts w:ascii="Times New Roman" w:hAnsi="Times New Roman" w:cs="Times New Roman" w:eastAsia="仿宋_GB2312"/>
                <w:kern w:val="0"/>
                <w:sz w:val="18"/>
                <w:szCs w:val="18"/>
              </w:rPr>
              <w:t>分；</w:t>
            </w:r>
            <w:r>
              <w:rPr>
                <w:rFonts w:eastAsia="仿宋_GB2312" w:cs="Times New Roman" w:ascii="Times New Roman" w:hAnsi="Times New Roman"/>
                <w:kern w:val="0"/>
                <w:sz w:val="18"/>
                <w:szCs w:val="18"/>
              </w:rPr>
              <w:br/>
              <w:t>70%</w:t>
            </w:r>
            <w:r>
              <w:rPr>
                <w:rFonts w:ascii="Times New Roman" w:hAnsi="Times New Roman" w:cs="Times New Roman" w:eastAsia="仿宋_GB2312"/>
                <w:kern w:val="0"/>
                <w:sz w:val="18"/>
                <w:szCs w:val="18"/>
              </w:rPr>
              <w:t>（含）</w:t>
            </w:r>
            <w:r>
              <w:rPr>
                <w:rFonts w:eastAsia="仿宋_GB2312" w:cs="Times New Roman" w:ascii="Times New Roman" w:hAnsi="Times New Roman"/>
                <w:kern w:val="0"/>
                <w:sz w:val="18"/>
                <w:szCs w:val="18"/>
              </w:rPr>
              <w:t>-80%</w:t>
            </w:r>
            <w:r>
              <w:rPr>
                <w:rFonts w:ascii="Times New Roman" w:hAnsi="Times New Roman" w:cs="Times New Roman" w:eastAsia="仿宋_GB2312"/>
                <w:kern w:val="0"/>
                <w:sz w:val="18"/>
                <w:szCs w:val="18"/>
              </w:rPr>
              <w:t>，计</w:t>
            </w:r>
            <w:r>
              <w:rPr>
                <w:rFonts w:eastAsia="仿宋_GB2312" w:cs="Times New Roman" w:ascii="Times New Roman" w:hAnsi="Times New Roman"/>
                <w:kern w:val="0"/>
                <w:sz w:val="18"/>
                <w:szCs w:val="18"/>
              </w:rPr>
              <w:t>2</w:t>
            </w:r>
            <w:r>
              <w:rPr>
                <w:rFonts w:ascii="Times New Roman" w:hAnsi="Times New Roman" w:cs="Times New Roman" w:eastAsia="仿宋_GB2312"/>
                <w:kern w:val="0"/>
                <w:sz w:val="18"/>
                <w:szCs w:val="18"/>
              </w:rPr>
              <w:t>分；</w:t>
            </w:r>
            <w:r>
              <w:rPr>
                <w:rFonts w:eastAsia="仿宋_GB2312" w:cs="Times New Roman" w:ascii="Times New Roman" w:hAnsi="Times New Roman"/>
                <w:kern w:val="0"/>
                <w:sz w:val="18"/>
                <w:szCs w:val="18"/>
              </w:rPr>
              <w:br/>
            </w:r>
            <w:r>
              <w:rPr>
                <w:rFonts w:ascii="Times New Roman" w:hAnsi="Times New Roman" w:cs="Times New Roman" w:eastAsia="仿宋_GB2312"/>
                <w:kern w:val="0"/>
                <w:sz w:val="18"/>
                <w:szCs w:val="18"/>
              </w:rPr>
              <w:t>低于</w:t>
            </w:r>
            <w:r>
              <w:rPr>
                <w:rFonts w:eastAsia="仿宋_GB2312" w:cs="Times New Roman" w:ascii="Times New Roman" w:hAnsi="Times New Roman"/>
                <w:kern w:val="0"/>
                <w:sz w:val="18"/>
                <w:szCs w:val="18"/>
              </w:rPr>
              <w:t>70%</w:t>
            </w:r>
            <w:r>
              <w:rPr>
                <w:rFonts w:ascii="Times New Roman" w:hAnsi="Times New Roman" w:cs="Times New Roman" w:eastAsia="仿宋_GB2312"/>
                <w:kern w:val="0"/>
                <w:sz w:val="18"/>
                <w:szCs w:val="18"/>
              </w:rPr>
              <w:t>计</w:t>
            </w:r>
            <w:r>
              <w:rPr>
                <w:rFonts w:eastAsia="仿宋_GB2312" w:cs="Times New Roman" w:ascii="Times New Roman" w:hAnsi="Times New Roman"/>
                <w:kern w:val="0"/>
                <w:sz w:val="18"/>
                <w:szCs w:val="18"/>
              </w:rPr>
              <w:t>0</w:t>
            </w:r>
            <w:r>
              <w:rPr>
                <w:rFonts w:ascii="Times New Roman" w:hAnsi="Times New Roman" w:cs="Times New Roman" w:eastAsia="仿宋_GB2312"/>
                <w:kern w:val="0"/>
                <w:sz w:val="18"/>
                <w:szCs w:val="18"/>
              </w:rPr>
              <w:t>分。</w:t>
            </w:r>
          </w:p>
        </w:tc>
        <w:tc>
          <w:tcPr>
            <w:tcW w:w="3775" w:type="dxa"/>
            <w:tcBorders>
              <w:bottom w:val="single" w:sz="4" w:space="0" w:color="000000"/>
              <w:right w:val="single" w:sz="4" w:space="0" w:color="000000"/>
            </w:tcBorders>
            <w:vAlign w:val="center"/>
          </w:tcPr>
          <w:p>
            <w:pPr>
              <w:pStyle w:val="Style14"/>
              <w:widowControl w:val="false"/>
              <w:spacing w:lineRule="exact" w:line="200"/>
              <w:jc w:val="left"/>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社会公众或服务对象是指部门（单位）履行职责而影响到的部门、群体或个人，一般采取社会调查的方式。</w:t>
            </w:r>
          </w:p>
        </w:tc>
        <w:tc>
          <w:tcPr>
            <w:tcW w:w="710"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　</w:t>
            </w:r>
          </w:p>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6</w:t>
            </w:r>
          </w:p>
        </w:tc>
      </w:tr>
      <w:tr>
        <w:trPr>
          <w:trHeight w:val="832" w:hRule="atLeast"/>
        </w:trPr>
        <w:tc>
          <w:tcPr>
            <w:tcW w:w="4561" w:type="dxa"/>
            <w:gridSpan w:val="5"/>
            <w:tcBorders>
              <w:left w:val="single" w:sz="4" w:space="0" w:color="000000"/>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ascii="Times New Roman" w:hAnsi="Times New Roman" w:cs="Times New Roman" w:eastAsia="仿宋_GB2312"/>
                <w:kern w:val="0"/>
                <w:sz w:val="18"/>
                <w:szCs w:val="18"/>
              </w:rPr>
              <w:t>总分</w:t>
            </w:r>
          </w:p>
        </w:tc>
        <w:tc>
          <w:tcPr>
            <w:tcW w:w="564" w:type="dxa"/>
            <w:tcBorders>
              <w:bottom w:val="single" w:sz="4" w:space="0" w:color="000000"/>
              <w:right w:val="single" w:sz="4" w:space="0" w:color="000000"/>
            </w:tcBorders>
            <w:vAlign w:val="center"/>
          </w:tcPr>
          <w:p>
            <w:pPr>
              <w:pStyle w:val="Style14"/>
              <w:widowControl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100</w:t>
            </w:r>
          </w:p>
        </w:tc>
        <w:tc>
          <w:tcPr>
            <w:tcW w:w="8369" w:type="dxa"/>
            <w:gridSpan w:val="2"/>
            <w:tcBorders>
              <w:bottom w:val="single" w:sz="4" w:space="0" w:color="000000"/>
              <w:right w:val="single" w:sz="4" w:space="0" w:color="000000"/>
            </w:tcBorders>
            <w:vAlign w:val="center"/>
          </w:tcPr>
          <w:p>
            <w:pPr>
              <w:pStyle w:val="Style14"/>
              <w:widowControl w:val="false"/>
              <w:snapToGrid w:val="false"/>
              <w:spacing w:lineRule="exact" w:line="200"/>
              <w:jc w:val="left"/>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r>
          </w:p>
        </w:tc>
        <w:tc>
          <w:tcPr>
            <w:tcW w:w="710" w:type="dxa"/>
            <w:tcBorders>
              <w:bottom w:val="single" w:sz="4" w:space="0" w:color="000000"/>
              <w:right w:val="single" w:sz="4" w:space="0" w:color="000000"/>
            </w:tcBorders>
            <w:vAlign w:val="center"/>
          </w:tcPr>
          <w:p>
            <w:pPr>
              <w:pStyle w:val="Style14"/>
              <w:widowControl w:val="false"/>
              <w:snapToGrid w:val="false"/>
              <w:spacing w:lineRule="exact" w:line="200"/>
              <w:jc w:val="center"/>
              <w:rPr>
                <w:rFonts w:ascii="Times New Roman" w:hAnsi="Times New Roman" w:eastAsia="仿宋_GB2312" w:cs="Times New Roman"/>
                <w:kern w:val="0"/>
                <w:sz w:val="18"/>
                <w:szCs w:val="18"/>
              </w:rPr>
            </w:pPr>
            <w:r>
              <w:rPr>
                <w:rFonts w:eastAsia="仿宋_GB2312" w:cs="Times New Roman" w:ascii="Times New Roman" w:hAnsi="Times New Roman"/>
                <w:kern w:val="0"/>
                <w:sz w:val="18"/>
                <w:szCs w:val="18"/>
              </w:rPr>
              <w:t>96</w:t>
            </w:r>
          </w:p>
        </w:tc>
      </w:tr>
    </w:tbl>
    <w:p>
      <w:pPr>
        <w:sectPr>
          <w:footerReference w:type="default" r:id="rId3"/>
          <w:type w:val="nextPage"/>
          <w:pgSz w:orient="landscape" w:w="16838" w:h="11906"/>
          <w:pgMar w:left="1474" w:right="1474" w:header="0" w:top="1474" w:footer="1361" w:bottom="1474" w:gutter="0"/>
          <w:pgNumType w:fmt="decimal"/>
          <w:formProt w:val="false"/>
          <w:textDirection w:val="lrTb"/>
          <w:docGrid w:type="lines" w:linePitch="323" w:charSpace="140902"/>
        </w:sectPr>
      </w:pPr>
    </w:p>
    <w:p>
      <w:pPr>
        <w:pStyle w:val="Style17"/>
        <w:spacing w:lineRule="exact" w:line="510"/>
        <w:ind w:hanging="0"/>
        <w:jc w:val="center"/>
        <w:rPr>
          <w:rFonts w:ascii="黑体" w:hAnsi="黑体" w:eastAsia="黑体"/>
          <w:sz w:val="48"/>
          <w:szCs w:val="48"/>
        </w:rPr>
      </w:pPr>
      <w:r>
        <w:rPr/>
      </w:r>
    </w:p>
    <w:sectPr>
      <w:footerReference w:type="default" r:id="rId4"/>
      <w:type w:val="nextPage"/>
      <w:pgSz w:w="11906" w:h="16838"/>
      <w:pgMar w:left="1531" w:right="1531" w:header="0" w:top="1928" w:footer="851" w:bottom="1701" w:gutter="0"/>
      <w:pgNumType w:fmt="decimal"/>
      <w:formProt w:val="false"/>
      <w:textDirection w:val="lrTb"/>
      <w:docGrid w:type="lines" w:linePitch="408" w:charSpace="14090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libri">
    <w:charset w:val="86"/>
    <w:family w:val="roman"/>
    <w:pitch w:val="variable"/>
  </w:font>
  <w:font w:name="Times New Roman">
    <w:charset w:val="86"/>
    <w:family w:val="roman"/>
    <w:pitch w:val="variable"/>
  </w:font>
  <w:font w:name="宋体">
    <w:altName w:val="SimSun"/>
    <w:charset w:val="86"/>
    <w:family w:val="roman"/>
    <w:pitch w:val="variable"/>
  </w:font>
  <w:font w:name="仿宋">
    <w:charset w:val="86"/>
    <w:family w:val="roman"/>
    <w:pitch w:val="variable"/>
  </w:font>
  <w:font w:name="方正小标宋简体">
    <w:charset w:val="86"/>
    <w:family w:val="roman"/>
    <w:pitch w:val="variable"/>
  </w:font>
  <w:font w:name="仿宋_GB2312">
    <w:charset w:val="86"/>
    <w:family w:val="roman"/>
    <w:pitch w:val="variable"/>
  </w:font>
  <w:font w:name="黑体">
    <w:charset w:val="86"/>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5"/>
      <w:rPr/>
    </w:pPr>
    <w:r>
      <w:rPr/>
      <mc:AlternateContent>
        <mc:Choice Requires="wps">
          <w:drawing>
            <wp:anchor behindDoc="1" distT="0" distB="0" distL="0" distR="0" simplePos="0" locked="0" layoutInCell="0" allowOverlap="1" relativeHeight="9">
              <wp:simplePos x="0" y="0"/>
              <wp:positionH relativeFrom="margin">
                <wp:align>center</wp:align>
              </wp:positionH>
              <wp:positionV relativeFrom="paragraph">
                <wp:posOffset>635</wp:posOffset>
              </wp:positionV>
              <wp:extent cx="61595" cy="114935"/>
              <wp:effectExtent l="0" t="0" r="0" b="0"/>
              <wp:wrapNone/>
              <wp:docPr id="1" name="框架2"/>
              <a:graphic xmlns:a="http://schemas.openxmlformats.org/drawingml/2006/main">
                <a:graphicData uri="http://schemas.microsoft.com/office/word/2010/wordprocessingShape">
                  <wps:wsp>
                    <wps:cNvSpPr/>
                    <wps:spPr>
                      <a:xfrm>
                        <a:off x="0" y="0"/>
                        <a:ext cx="60840" cy="114480"/>
                      </a:xfrm>
                      <a:prstGeom prst="rect">
                        <a:avLst/>
                      </a:prstGeom>
                      <a:noFill/>
                      <a:ln w="0">
                        <a:noFill/>
                      </a:ln>
                    </wps:spPr>
                    <wps:style>
                      <a:lnRef idx="0"/>
                      <a:fillRef idx="0"/>
                      <a:effectRef idx="0"/>
                      <a:fontRef idx="minor"/>
                    </wps:style>
                    <wps:txbx>
                      <w:txbxContent>
                        <w:p>
                          <w:pPr>
                            <w:pStyle w:val="Style15"/>
                            <w:rPr>
                              <w:lang w:eastAsia="zh-CN"/>
                            </w:rPr>
                          </w:pPr>
                          <w:r>
                            <w:rPr>
                              <w:color w:val="000000"/>
                              <w:lang w:eastAsia="zh-CN"/>
                            </w:rPr>
                            <w:fldChar w:fldCharType="begin"/>
                          </w:r>
                          <w:r>
                            <w:rPr>
                              <w:color w:val="000000"/>
                              <w:lang w:eastAsia="zh-CN"/>
                            </w:rPr>
                            <w:instrText> PAGE </w:instrText>
                          </w:r>
                          <w:r>
                            <w:rPr>
                              <w:color w:val="000000"/>
                              <w:lang w:eastAsia="zh-CN"/>
                            </w:rPr>
                            <w:fldChar w:fldCharType="separate"/>
                          </w:r>
                          <w:r>
                            <w:rPr>
                              <w:color w:val="000000"/>
                              <w:lang w:eastAsia="zh-CN"/>
                            </w:rPr>
                            <w:t>1</w:t>
                          </w:r>
                          <w:r>
                            <w:rPr>
                              <w:color w:val="000000"/>
                              <w:lang w:eastAsia="zh-CN"/>
                            </w:rPr>
                            <w:fldChar w:fldCharType="end"/>
                          </w:r>
                        </w:p>
                      </w:txbxContent>
                    </wps:txbx>
                    <wps:bodyPr lIns="720" rIns="720" tIns="720" bIns="720">
                      <a:spAutoFit/>
                    </wps:bodyPr>
                  </wps:wsp>
                </a:graphicData>
              </a:graphic>
            </wp:anchor>
          </w:drawing>
        </mc:Choice>
        <mc:Fallback>
          <w:pict>
            <v:rect id="shape_0" ID="框架2" stroked="f" style="position:absolute;margin-left:215.9pt;margin-top:0.05pt;width:4.75pt;height:8.95pt;mso-wrap-style:square;v-text-anchor:top;mso-position-horizontal:center;mso-position-horizontal-relative:margin">
              <v:fill o:detectmouseclick="t" on="false"/>
              <v:stroke color="#3465a4" joinstyle="round" endcap="flat"/>
              <v:textbox>
                <w:txbxContent>
                  <w:p>
                    <w:pPr>
                      <w:pStyle w:val="Style15"/>
                      <w:rPr>
                        <w:lang w:eastAsia="zh-CN"/>
                      </w:rPr>
                    </w:pPr>
                    <w:r>
                      <w:rPr>
                        <w:color w:val="000000"/>
                        <w:lang w:eastAsia="zh-CN"/>
                      </w:rPr>
                      <w:fldChar w:fldCharType="begin"/>
                    </w:r>
                    <w:r>
                      <w:rPr>
                        <w:color w:val="000000"/>
                        <w:lang w:eastAsia="zh-CN"/>
                      </w:rPr>
                      <w:instrText> PAGE </w:instrText>
                    </w:r>
                    <w:r>
                      <w:rPr>
                        <w:color w:val="000000"/>
                        <w:lang w:eastAsia="zh-CN"/>
                      </w:rPr>
                      <w:fldChar w:fldCharType="separate"/>
                    </w:r>
                    <w:r>
                      <w:rPr>
                        <w:color w:val="000000"/>
                        <w:lang w:eastAsia="zh-CN"/>
                      </w:rPr>
                      <w:t>1</w:t>
                    </w:r>
                    <w:r>
                      <w:rPr>
                        <w:color w:val="000000"/>
                        <w:lang w:eastAsia="zh-CN"/>
                      </w:rPr>
                      <w:fldChar w:fldCharType="end"/>
                    </w:r>
                  </w:p>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5"/>
      <w:rPr/>
    </w:pPr>
    <w:r>
      <w:rPr/>
      <mc:AlternateContent>
        <mc:Choice Requires="wps">
          <w:drawing>
            <wp:anchor behindDoc="1" distT="0" distB="0" distL="0" distR="0" simplePos="0" locked="0" layoutInCell="0" allowOverlap="1" relativeHeight="12">
              <wp:simplePos x="0" y="0"/>
              <wp:positionH relativeFrom="margin">
                <wp:align>center</wp:align>
              </wp:positionH>
              <wp:positionV relativeFrom="paragraph">
                <wp:posOffset>635</wp:posOffset>
              </wp:positionV>
              <wp:extent cx="61595" cy="229235"/>
              <wp:effectExtent l="0" t="0" r="0" b="0"/>
              <wp:wrapNone/>
              <wp:docPr id="3" name="框架3"/>
              <a:graphic xmlns:a="http://schemas.openxmlformats.org/drawingml/2006/main">
                <a:graphicData uri="http://schemas.microsoft.com/office/word/2010/wordprocessingShape">
                  <wps:wsp>
                    <wps:cNvSpPr/>
                    <wps:spPr>
                      <a:xfrm>
                        <a:off x="0" y="0"/>
                        <a:ext cx="60840" cy="228600"/>
                      </a:xfrm>
                      <a:prstGeom prst="rect">
                        <a:avLst/>
                      </a:prstGeom>
                      <a:noFill/>
                      <a:ln w="0">
                        <a:noFill/>
                      </a:ln>
                    </wps:spPr>
                    <wps:style>
                      <a:lnRef idx="0"/>
                      <a:fillRef idx="0"/>
                      <a:effectRef idx="0"/>
                      <a:fontRef idx="minor"/>
                    </wps:style>
                    <wps:txbx>
                      <w:txbxContent>
                        <w:p>
                          <w:pPr>
                            <w:pStyle w:val="Style15"/>
                            <w:rPr>
                              <w:lang w:eastAsia="zh-CN"/>
                            </w:rPr>
                          </w:pPr>
                          <w:r>
                            <w:rPr>
                              <w:color w:val="000000"/>
                              <w:lang w:eastAsia="zh-CN"/>
                            </w:rPr>
                            <w:fldChar w:fldCharType="begin"/>
                          </w:r>
                          <w:r>
                            <w:rPr>
                              <w:color w:val="000000"/>
                              <w:lang w:eastAsia="zh-CN"/>
                            </w:rPr>
                            <w:instrText> PAGE </w:instrText>
                          </w:r>
                          <w:r>
                            <w:rPr>
                              <w:color w:val="000000"/>
                              <w:lang w:eastAsia="zh-CN"/>
                            </w:rPr>
                            <w:fldChar w:fldCharType="separate"/>
                          </w:r>
                          <w:r>
                            <w:rPr>
                              <w:color w:val="000000"/>
                              <w:lang w:eastAsia="zh-CN"/>
                            </w:rPr>
                            <w:t>9</w:t>
                          </w:r>
                          <w:r>
                            <w:rPr>
                              <w:color w:val="000000"/>
                              <w:lang w:eastAsia="zh-CN"/>
                            </w:rPr>
                            <w:fldChar w:fldCharType="end"/>
                          </w:r>
                        </w:p>
                      </w:txbxContent>
                    </wps:txbx>
                    <wps:bodyPr lIns="720" rIns="720" tIns="720" bIns="720">
                      <a:spAutoFit/>
                    </wps:bodyPr>
                  </wps:wsp>
                </a:graphicData>
              </a:graphic>
            </wp:anchor>
          </w:drawing>
        </mc:Choice>
        <mc:Fallback>
          <w:pict>
            <v:rect id="shape_0" ID="框架3" stroked="f" style="position:absolute;margin-left:344.85pt;margin-top:0.05pt;width:4.75pt;height:17.95pt;mso-wrap-style:square;v-text-anchor:top;mso-position-horizontal:center;mso-position-horizontal-relative:margin">
              <v:fill o:detectmouseclick="t" on="false"/>
              <v:stroke color="#3465a4" joinstyle="round" endcap="flat"/>
              <v:textbox>
                <w:txbxContent>
                  <w:p>
                    <w:pPr>
                      <w:pStyle w:val="Style15"/>
                      <w:rPr>
                        <w:lang w:eastAsia="zh-CN"/>
                      </w:rPr>
                    </w:pPr>
                    <w:r>
                      <w:rPr>
                        <w:color w:val="000000"/>
                        <w:lang w:eastAsia="zh-CN"/>
                      </w:rPr>
                      <w:fldChar w:fldCharType="begin"/>
                    </w:r>
                    <w:r>
                      <w:rPr>
                        <w:color w:val="000000"/>
                        <w:lang w:eastAsia="zh-CN"/>
                      </w:rPr>
                      <w:instrText> PAGE </w:instrText>
                    </w:r>
                    <w:r>
                      <w:rPr>
                        <w:color w:val="000000"/>
                        <w:lang w:eastAsia="zh-CN"/>
                      </w:rPr>
                      <w:fldChar w:fldCharType="separate"/>
                    </w:r>
                    <w:r>
                      <w:rPr>
                        <w:color w:val="000000"/>
                        <w:lang w:eastAsia="zh-CN"/>
                      </w:rPr>
                      <w:t>9</w:t>
                    </w:r>
                    <w:r>
                      <w:rPr>
                        <w:color w:val="000000"/>
                        <w:lang w:eastAsia="zh-CN"/>
                      </w:rPr>
                      <w:fldChar w:fldCharType="end"/>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5"/>
      <w:rPr/>
    </w:pPr>
    <w:r>
      <w:rPr/>
      <mc:AlternateContent>
        <mc:Choice Requires="wps">
          <w:drawing>
            <wp:anchor behindDoc="1" distT="0" distB="0" distL="0" distR="0" simplePos="0" locked="0" layoutInCell="0" allowOverlap="1" relativeHeight="13">
              <wp:simplePos x="0" y="0"/>
              <wp:positionH relativeFrom="margin">
                <wp:align>center</wp:align>
              </wp:positionH>
              <wp:positionV relativeFrom="paragraph">
                <wp:posOffset>635</wp:posOffset>
              </wp:positionV>
              <wp:extent cx="119380" cy="114935"/>
              <wp:effectExtent l="0" t="0" r="0" b="0"/>
              <wp:wrapNone/>
              <wp:docPr id="5" name="框架4"/>
              <a:graphic xmlns:a="http://schemas.openxmlformats.org/drawingml/2006/main">
                <a:graphicData uri="http://schemas.microsoft.com/office/word/2010/wordprocessingShape">
                  <wps:wsp>
                    <wps:cNvSpPr/>
                    <wps:spPr>
                      <a:xfrm>
                        <a:off x="0" y="0"/>
                        <a:ext cx="118800" cy="114480"/>
                      </a:xfrm>
                      <a:prstGeom prst="rect">
                        <a:avLst/>
                      </a:prstGeom>
                      <a:noFill/>
                      <a:ln w="0">
                        <a:noFill/>
                      </a:ln>
                    </wps:spPr>
                    <wps:style>
                      <a:lnRef idx="0"/>
                      <a:fillRef idx="0"/>
                      <a:effectRef idx="0"/>
                      <a:fontRef idx="minor"/>
                    </wps:style>
                    <wps:txbx>
                      <w:txbxContent>
                        <w:p>
                          <w:pPr>
                            <w:pStyle w:val="Style15"/>
                            <w:rPr>
                              <w:lang w:eastAsia="zh-CN"/>
                            </w:rPr>
                          </w:pPr>
                          <w:r>
                            <w:rPr>
                              <w:color w:val="000000"/>
                              <w:lang w:eastAsia="zh-CN"/>
                            </w:rPr>
                            <w:fldChar w:fldCharType="begin"/>
                          </w:r>
                          <w:r>
                            <w:rPr>
                              <w:color w:val="000000"/>
                              <w:lang w:eastAsia="zh-CN"/>
                            </w:rPr>
                            <w:instrText> PAGE </w:instrText>
                          </w:r>
                          <w:r>
                            <w:rPr>
                              <w:color w:val="000000"/>
                              <w:lang w:eastAsia="zh-CN"/>
                            </w:rPr>
                            <w:fldChar w:fldCharType="separate"/>
                          </w:r>
                          <w:r>
                            <w:rPr>
                              <w:color w:val="000000"/>
                              <w:lang w:eastAsia="zh-CN"/>
                            </w:rPr>
                            <w:t>12</w:t>
                          </w:r>
                          <w:r>
                            <w:rPr>
                              <w:color w:val="000000"/>
                              <w:lang w:eastAsia="zh-CN"/>
                            </w:rPr>
                            <w:fldChar w:fldCharType="end"/>
                          </w:r>
                        </w:p>
                      </w:txbxContent>
                    </wps:txbx>
                    <wps:bodyPr lIns="720" rIns="720" tIns="720" bIns="720">
                      <a:spAutoFit/>
                    </wps:bodyPr>
                  </wps:wsp>
                </a:graphicData>
              </a:graphic>
            </wp:anchor>
          </w:drawing>
        </mc:Choice>
        <mc:Fallback>
          <w:pict>
            <v:rect id="shape_0" ID="框架4" stroked="f" style="position:absolute;margin-left:216.4pt;margin-top:0.05pt;width:9.3pt;height:8.95pt;mso-wrap-style:square;v-text-anchor:top;mso-position-horizontal:center;mso-position-horizontal-relative:margin">
              <v:fill o:detectmouseclick="t" on="false"/>
              <v:stroke color="#3465a4" joinstyle="round" endcap="flat"/>
              <v:textbox>
                <w:txbxContent>
                  <w:p>
                    <w:pPr>
                      <w:pStyle w:val="Style15"/>
                      <w:rPr>
                        <w:lang w:eastAsia="zh-CN"/>
                      </w:rPr>
                    </w:pPr>
                    <w:r>
                      <w:rPr>
                        <w:color w:val="000000"/>
                        <w:lang w:eastAsia="zh-CN"/>
                      </w:rPr>
                      <w:fldChar w:fldCharType="begin"/>
                    </w:r>
                    <w:r>
                      <w:rPr>
                        <w:color w:val="000000"/>
                        <w:lang w:eastAsia="zh-CN"/>
                      </w:rPr>
                      <w:instrText> PAGE </w:instrText>
                    </w:r>
                    <w:r>
                      <w:rPr>
                        <w:color w:val="000000"/>
                        <w:lang w:eastAsia="zh-CN"/>
                      </w:rPr>
                      <w:fldChar w:fldCharType="separate"/>
                    </w:r>
                    <w:r>
                      <w:rPr>
                        <w:color w:val="000000"/>
                        <w:lang w:eastAsia="zh-CN"/>
                      </w:rPr>
                      <w:t>12</w:t>
                    </w:r>
                    <w:r>
                      <w:rPr>
                        <w:color w:val="000000"/>
                        <w:lang w:eastAsia="zh-CN"/>
                      </w:rPr>
                      <w:fldChar w:fldCharType="end"/>
                    </w:r>
                  </w:p>
                </w:txbxContent>
              </v:textbox>
              <w10:wrap type="none"/>
            </v:rect>
          </w:pict>
        </mc:Fallback>
      </mc:AlternateContent>
    </w:r>
  </w:p>
</w:ftr>
</file>

<file path=word/settings.xml><?xml version="1.0" encoding="utf-8"?>
<w:settings xmlns:w="http://schemas.openxmlformats.org/wordprocessingml/2006/main">
  <w:zoom w:percent="100"/>
  <w:defaultTabStop w:val="408"/>
  <w:autoHyphenation w:val="true"/>
  <w:compat>
    <w:noLeading/>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等线" w:cs="Times New Roman"/>
        <w:sz w:val="21"/>
        <w:szCs w:val="24"/>
        <w:lang w:val="en-US" w:eastAsia="zh-CN" w:bidi="hi-IN"/>
      </w:rPr>
    </w:rPrDefault>
    <w:pPrDefault>
      <w:pPr>
        <w:suppressAutoHyphens w:val="false"/>
      </w:pPr>
    </w:pPrDefault>
  </w:docDefaults>
  <w:style w:type="paragraph" w:styleId="Style14">
    <w:name w:val="正文"/>
    <w:qFormat/>
    <w:pPr>
      <w:widowControl w:val="false"/>
      <w:suppressAutoHyphens w:val="false"/>
      <w:bidi w:val="0"/>
      <w:spacing w:before="0" w:after="0"/>
      <w:jc w:val="both"/>
    </w:pPr>
    <w:rPr>
      <w:rFonts w:ascii="Calibri" w:hAnsi="Calibri" w:eastAsia="宋体;SimSun" w:cs="Times New Roman"/>
      <w:color w:val="auto"/>
      <w:kern w:val="2"/>
      <w:sz w:val="21"/>
      <w:szCs w:val="24"/>
      <w:lang w:val="en-US" w:eastAsia="zh-CN" w:bidi="ar-SA"/>
    </w:rPr>
  </w:style>
  <w:style w:type="paragraph" w:styleId="Style15">
    <w:name w:val="页脚"/>
    <w:basedOn w:val="Style14"/>
    <w:qFormat/>
    <w:pPr>
      <w:tabs>
        <w:tab w:val="clear" w:pos="408"/>
        <w:tab w:val="center" w:pos="4153" w:leader="none"/>
        <w:tab w:val="right" w:pos="8306" w:leader="none"/>
      </w:tabs>
      <w:snapToGrid w:val="false"/>
      <w:jc w:val="left"/>
    </w:pPr>
    <w:rPr>
      <w:kern w:val="0"/>
      <w:sz w:val="18"/>
      <w:szCs w:val="18"/>
      <w:lang w:val="zh-CN"/>
    </w:rPr>
  </w:style>
  <w:style w:type="paragraph" w:styleId="Style16">
    <w:name w:val="列出段落"/>
    <w:basedOn w:val="Style14"/>
    <w:qFormat/>
    <w:pPr>
      <w:ind w:firstLine="420"/>
    </w:pPr>
    <w:rPr>
      <w:rFonts w:ascii="Calibri" w:hAnsi="Calibri" w:eastAsia="宋体;SimSun" w:cs="Times New Roman"/>
      <w:szCs w:val="22"/>
    </w:rPr>
  </w:style>
  <w:style w:type="paragraph" w:styleId="Style17">
    <w:name w:val="无间隔"/>
    <w:qFormat/>
    <w:pPr>
      <w:widowControl w:val="false"/>
      <w:suppressAutoHyphens w:val="false"/>
      <w:bidi w:val="0"/>
      <w:spacing w:before="0" w:after="0"/>
      <w:jc w:val="both"/>
    </w:pPr>
    <w:rPr>
      <w:rFonts w:ascii="Calibri" w:hAnsi="Calibri" w:eastAsia="宋体;SimSun" w:cs="Times New Roman"/>
      <w:color w:val="auto"/>
      <w:kern w:val="2"/>
      <w:sz w:val="21"/>
      <w:szCs w:val="22"/>
      <w:lang w:val="en-US" w:eastAsia="zh-CN" w:bidi="ar-SA"/>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Normal_x005F_x0000_</Template>
  <TotalTime>19</TotalTime>
  <Application>LanShanOffice/1.3.0.10715$Windows_X86_64 LibreOffice_project/5d14176de2f26366192b0e421c0110698cd0f0fc</Application>
  <AppVersion>15.0000</AppVersion>
  <Pages>12</Pages>
  <Words>4943</Words>
  <Characters>5388</Characters>
  <CharactersWithSpaces>5770</CharactersWithSpaces>
  <Paragraphs>281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2021-07-08T11:33:00Z</dcterms:created>
  <dc:creator>lrson1</dc:creator>
  <dc:description/>
  <cp:keywords>  </cp:keywords>
  <dc:language>zh-CN</dc:language>
  <cp:lastModifiedBy/>
  <cp:lastPrinted>2021-06-21T16:34:00Z</cp:lastPrinted>
  <dcterms:modified xsi:type="dcterms:W3CDTF">2021-07-29T08:00:09Z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D3128DABD8F44EFF93FA93AEF6A660D0_x0000__x0000__x0000_</vt:lpwstr>
  </property>
  <property fmtid="{D5CDD505-2E9C-101B-9397-08002B2CF9AE}" pid="3" name="KSOProductBuildVer">
    <vt:lpwstr>2052-11.1.0.10667_x0000__x0000_</vt:lpwstr>
  </property>
</Properties>
</file>