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bCs/>
          <w:color w:val="000000"/>
          <w:sz w:val="32"/>
          <w:szCs w:val="32"/>
        </w:rPr>
      </w:pP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中方县人力资源和社会保障局</w:t>
      </w:r>
    </w:p>
    <w:p>
      <w:pPr>
        <w:pStyle w:val="10"/>
        <w:spacing w:line="510" w:lineRule="exact"/>
        <w:jc w:val="center"/>
        <w:rPr>
          <w:rFonts w:ascii="Times New Roman" w:hAnsi="Times New Roman" w:eastAsia="黑体"/>
          <w:sz w:val="44"/>
          <w:szCs w:val="44"/>
        </w:rPr>
      </w:pPr>
      <w:r>
        <w:rPr>
          <w:rFonts w:hint="eastAsia" w:ascii="Times New Roman" w:hAnsi="Times New Roman" w:eastAsia="黑体"/>
          <w:sz w:val="44"/>
          <w:szCs w:val="44"/>
        </w:rPr>
        <w:t>2020年度未参保集体企业退休人员生活补助</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10"/>
        <w:spacing w:line="510" w:lineRule="exact"/>
        <w:ind w:firstLine="643" w:firstLineChars="200"/>
        <w:rPr>
          <w:rFonts w:ascii="Times New Roman" w:hAnsi="Times New Roman" w:eastAsia="楷体"/>
          <w:b/>
          <w:sz w:val="32"/>
          <w:szCs w:val="32"/>
        </w:rPr>
      </w:pP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（一）项目概况。包括项目背景、主要内容及实施情况、资金投入和使用情况等。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根据湘政办发[2007]66号文件规定，为确保我省未参保企业职工基本养老保险的城镇县属以上集体企业和厂办大集体企业已退休人员生活补贴按时足额发放。确保我县未参保集体企业退休人员生活稳定、思想稳定、情绪稳定，社会发展创造良好环境。补助对象为按政策规定符合发放条件的未参保集体企业退休人员。</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2020年未参保集体企业退休人员生活补助预算2</w:t>
      </w:r>
      <w:r>
        <w:rPr>
          <w:rFonts w:hint="eastAsia" w:ascii="Times New Roman" w:hAnsi="Times New Roman" w:eastAsia="仿宋"/>
          <w:sz w:val="32"/>
          <w:szCs w:val="32"/>
          <w:lang w:val="en-US" w:eastAsia="zh-CN"/>
        </w:rPr>
        <w:t>.4万</w:t>
      </w:r>
      <w:r>
        <w:rPr>
          <w:rFonts w:hint="eastAsia" w:ascii="Times New Roman" w:hAnsi="Times New Roman" w:eastAsia="仿宋"/>
          <w:sz w:val="32"/>
          <w:szCs w:val="32"/>
        </w:rPr>
        <w:t>元，全部为上级专项，全县未参保集体企业退休人员1人，该人员从2019年1月起一直未来领取，故项目资金无法使用。整体项目资金管理到位，无挤占、挪用等违规现象。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（二）项目绩效目标。包括总体目标和阶段性目标。</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主要是发放未参保集体企业退休人员生活补助1人。</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（一）绩效评价目的、对象和范围。</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目的：通过本次绩效评价，进一步了解资金使用是否达到预期目标、资金管理是否规范、资金使用是否有效，检验资金支出效率和效果，分析存在问题及原因，及时意绪经验，改进管理措施，不断增强和落实绩效管理责任，完善工作机制，有效提高资金管理水平和使用效益，为下一步预算资金安排提供重要参考。</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对象和范围：中方县未参保集体企业退休人员2020年度生活补助项目资金收支安排、资金使用和绩效管理情况。</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（二）绩效评价原则、评价指标体系（附表说明）、评价方法、评价标准等。</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绩效评价原则：本次评价指标体系制定遵循充分性原则、规范性原则、合理性原则、明确性原则、科学性原则、合规性原则、健全性原则、有效性原则。</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评价指标体系：</w:t>
      </w:r>
    </w:p>
    <w:tbl>
      <w:tblPr>
        <w:tblStyle w:val="6"/>
        <w:tblW w:w="9825" w:type="dxa"/>
        <w:jc w:val="center"/>
        <w:tblLayout w:type="fixed"/>
        <w:tblCellMar>
          <w:top w:w="0" w:type="dxa"/>
          <w:left w:w="108" w:type="dxa"/>
          <w:bottom w:w="0" w:type="dxa"/>
          <w:right w:w="108" w:type="dxa"/>
        </w:tblCellMar>
      </w:tblPr>
      <w:tblGrid>
        <w:gridCol w:w="588"/>
        <w:gridCol w:w="980"/>
        <w:gridCol w:w="1112"/>
        <w:gridCol w:w="2243"/>
        <w:gridCol w:w="1075"/>
        <w:gridCol w:w="992"/>
        <w:gridCol w:w="567"/>
        <w:gridCol w:w="567"/>
        <w:gridCol w:w="1701"/>
      </w:tblGrid>
      <w:tr>
        <w:tblPrEx>
          <w:tblCellMar>
            <w:top w:w="0" w:type="dxa"/>
            <w:left w:w="108" w:type="dxa"/>
            <w:bottom w:w="0" w:type="dxa"/>
            <w:right w:w="108" w:type="dxa"/>
          </w:tblCellMar>
        </w:tblPrEx>
        <w:trPr>
          <w:trHeight w:val="533" w:hRule="exac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70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未参保集体企业退休人数</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1人</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0人</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restart"/>
            <w:tcBorders>
              <w:top w:val="single" w:color="auto" w:sz="4" w:space="0"/>
              <w:left w:val="nil"/>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该人员从2019年起未年审</w:t>
            </w: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足额发放补助资金</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24000元</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0元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continue"/>
            <w:tcBorders>
              <w:left w:val="nil"/>
              <w:right w:val="single" w:color="auto" w:sz="4" w:space="0"/>
            </w:tcBorders>
            <w:vAlign w:val="center"/>
          </w:tcPr>
          <w:p>
            <w:pPr>
              <w:widowControl/>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701" w:type="dxa"/>
            <w:vMerge w:val="continue"/>
            <w:tcBorders>
              <w:left w:val="nil"/>
              <w:right w:val="single" w:color="auto" w:sz="4" w:space="0"/>
            </w:tcBorders>
            <w:vAlign w:val="center"/>
          </w:tcPr>
          <w:p>
            <w:pPr>
              <w:widowControl/>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78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资金发放</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按月发放</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未发放</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continue"/>
            <w:tcBorders>
              <w:left w:val="nil"/>
              <w:right w:val="single" w:color="auto" w:sz="4" w:space="0"/>
            </w:tcBorders>
            <w:vAlign w:val="center"/>
          </w:tcPr>
          <w:p>
            <w:pPr>
              <w:jc w:val="left"/>
            </w:pPr>
          </w:p>
        </w:tc>
      </w:tr>
      <w:tr>
        <w:tblPrEx>
          <w:tblCellMar>
            <w:top w:w="0" w:type="dxa"/>
            <w:left w:w="108" w:type="dxa"/>
            <w:bottom w:w="0" w:type="dxa"/>
            <w:right w:w="108" w:type="dxa"/>
          </w:tblCellMar>
        </w:tblPrEx>
        <w:trPr>
          <w:trHeight w:val="85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1人补贴共计</w:t>
            </w:r>
          </w:p>
        </w:tc>
        <w:tc>
          <w:tcPr>
            <w:tcW w:w="1075"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24000元</w:t>
            </w:r>
          </w:p>
        </w:tc>
        <w:tc>
          <w:tcPr>
            <w:tcW w:w="992" w:type="dxa"/>
            <w:tcBorders>
              <w:top w:val="single" w:color="auto" w:sz="4" w:space="0"/>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0元</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continue"/>
            <w:tcBorders>
              <w:left w:val="nil"/>
              <w:right w:val="single" w:color="auto" w:sz="4" w:space="0"/>
            </w:tcBorders>
            <w:vAlign w:val="center"/>
          </w:tcPr>
          <w:p>
            <w:pPr>
              <w:jc w:val="left"/>
            </w:pPr>
          </w:p>
        </w:tc>
      </w:tr>
      <w:tr>
        <w:tblPrEx>
          <w:tblCellMar>
            <w:top w:w="0" w:type="dxa"/>
            <w:left w:w="108" w:type="dxa"/>
            <w:bottom w:w="0" w:type="dxa"/>
            <w:right w:w="108" w:type="dxa"/>
          </w:tblCellMar>
        </w:tblPrEx>
        <w:trPr>
          <w:trHeight w:val="850"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continue"/>
            <w:tcBorders>
              <w:left w:val="nil"/>
              <w:right w:val="single" w:color="auto" w:sz="4" w:space="0"/>
            </w:tcBorders>
            <w:vAlign w:val="center"/>
          </w:tcPr>
          <w:p>
            <w:pPr>
              <w:jc w:val="left"/>
            </w:pPr>
          </w:p>
        </w:tc>
      </w:tr>
      <w:tr>
        <w:tblPrEx>
          <w:tblCellMar>
            <w:top w:w="0" w:type="dxa"/>
            <w:left w:w="108" w:type="dxa"/>
            <w:bottom w:w="0" w:type="dxa"/>
            <w:right w:w="108" w:type="dxa"/>
          </w:tblCellMar>
        </w:tblPrEx>
        <w:trPr>
          <w:trHeight w:val="851"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改善未参保集体企业退休人员生活状况</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未能改善</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continue"/>
            <w:tcBorders>
              <w:left w:val="nil"/>
              <w:right w:val="single" w:color="auto" w:sz="4" w:space="0"/>
            </w:tcBorders>
            <w:vAlign w:val="center"/>
          </w:tcPr>
          <w:p>
            <w:pPr>
              <w:jc w:val="left"/>
            </w:pPr>
          </w:p>
        </w:tc>
      </w:tr>
      <w:tr>
        <w:tblPrEx>
          <w:tblCellMar>
            <w:top w:w="0" w:type="dxa"/>
            <w:left w:w="108" w:type="dxa"/>
            <w:bottom w:w="0" w:type="dxa"/>
            <w:right w:w="108" w:type="dxa"/>
          </w:tblCellMar>
        </w:tblPrEx>
        <w:trPr>
          <w:trHeight w:val="567"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维护未参保集体企业退休人员权益</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701" w:type="dxa"/>
            <w:vMerge w:val="continue"/>
            <w:tcBorders>
              <w:left w:val="nil"/>
              <w:right w:val="single" w:color="auto" w:sz="4" w:space="0"/>
            </w:tcBorders>
            <w:vAlign w:val="center"/>
          </w:tcPr>
          <w:p>
            <w:pPr>
              <w:widowControl/>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771"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确保未参保集体企业退休人员的利益，保证发放</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701" w:type="dxa"/>
            <w:vMerge w:val="continue"/>
            <w:tcBorders>
              <w:left w:val="nil"/>
              <w:right w:val="single" w:color="auto" w:sz="4" w:space="0"/>
            </w:tcBorders>
            <w:vAlign w:val="center"/>
          </w:tcPr>
          <w:p>
            <w:pPr>
              <w:widowControl/>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未参保集体企业退休人员满意度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19</w:t>
            </w:r>
          </w:p>
        </w:tc>
        <w:tc>
          <w:tcPr>
            <w:tcW w:w="170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pStyle w:val="10"/>
        <w:spacing w:line="510" w:lineRule="exact"/>
        <w:ind w:firstLine="320" w:firstLineChars="100"/>
        <w:rPr>
          <w:rFonts w:ascii="Times New Roman" w:hAnsi="Times New Roman" w:eastAsia="仿宋"/>
          <w:sz w:val="32"/>
          <w:szCs w:val="32"/>
        </w:rPr>
      </w:pPr>
      <w:r>
        <w:rPr>
          <w:rFonts w:hint="eastAsia" w:ascii="Times New Roman" w:hAnsi="Times New Roman" w:eastAsia="仿宋"/>
          <w:sz w:val="32"/>
          <w:szCs w:val="32"/>
        </w:rPr>
        <w:t>评价方法：主要通过成本效益分析法、比较法、因素分析法、最人氏 成本法、公众评判法、标杆管理法、其他评价方法等进行评价。</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评价标准：本次绩效评价采用百分制，各级指标依据其指标权重确定分值，最终得分由各级评价指标得分加总开成。根据最终得分将评价标准分为四档：</w:t>
      </w:r>
      <w:r>
        <w:rPr>
          <w:rFonts w:ascii="Times New Roman" w:hAnsi="Times New Roman" w:eastAsia="仿宋"/>
          <w:sz w:val="32"/>
          <w:szCs w:val="32"/>
        </w:rPr>
        <w:t xml:space="preserve"> 90分（含）—100分为优，80分（含）—90分为良，60分（含）—80分为中，60分以下为差。</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（三）绩效评价工作过程。</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前期准备:学习评价指标体系和绩效相关文件通过。</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组织实施：按照规定的工作程序组织绩效评价自评，注重评价质量，撰写绩效评价报告。</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绩效评价等级一般划分为四档：90分（含）—100分为优，80分（含）—90分为良，60分（含）—80分为中，60分以下为差。</w:t>
      </w:r>
    </w:p>
    <w:p>
      <w:pPr>
        <w:jc w:val="center"/>
        <w:rPr>
          <w:b/>
          <w:sz w:val="28"/>
          <w:szCs w:val="28"/>
        </w:rPr>
      </w:pPr>
      <w:r>
        <w:rPr>
          <w:rFonts w:hint="eastAsia"/>
          <w:b/>
          <w:sz w:val="28"/>
          <w:szCs w:val="28"/>
        </w:rPr>
        <w:t>综合评价表</w:t>
      </w:r>
    </w:p>
    <w:tbl>
      <w:tblPr>
        <w:tblStyle w:val="7"/>
        <w:tblW w:w="0" w:type="auto"/>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34"/>
        <w:gridCol w:w="1842"/>
        <w:gridCol w:w="198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序号</w:t>
            </w:r>
          </w:p>
        </w:tc>
        <w:tc>
          <w:tcPr>
            <w:tcW w:w="1134" w:type="dxa"/>
            <w:vAlign w:val="center"/>
          </w:tcPr>
          <w:p>
            <w:pPr>
              <w:jc w:val="center"/>
            </w:pPr>
            <w:r>
              <w:rPr>
                <w:rFonts w:hint="eastAsia"/>
              </w:rPr>
              <w:t>一级指标</w:t>
            </w:r>
          </w:p>
        </w:tc>
        <w:tc>
          <w:tcPr>
            <w:tcW w:w="1842" w:type="dxa"/>
            <w:vAlign w:val="center"/>
          </w:tcPr>
          <w:p>
            <w:pPr>
              <w:jc w:val="center"/>
            </w:pPr>
            <w:r>
              <w:rPr>
                <w:rFonts w:hint="eastAsia"/>
              </w:rPr>
              <w:t>二级指标</w:t>
            </w:r>
          </w:p>
        </w:tc>
        <w:tc>
          <w:tcPr>
            <w:tcW w:w="1986" w:type="dxa"/>
            <w:vAlign w:val="center"/>
          </w:tcPr>
          <w:p>
            <w:pPr>
              <w:jc w:val="center"/>
            </w:pPr>
            <w:r>
              <w:rPr>
                <w:rFonts w:hint="eastAsia"/>
              </w:rPr>
              <w:t>三级指标</w:t>
            </w:r>
          </w:p>
        </w:tc>
        <w:tc>
          <w:tcPr>
            <w:tcW w:w="1134" w:type="dxa"/>
            <w:vAlign w:val="center"/>
          </w:tcPr>
          <w:p>
            <w:pPr>
              <w:jc w:val="center"/>
            </w:pPr>
            <w:r>
              <w:rPr>
                <w:rFonts w:hint="eastAsia"/>
              </w:rPr>
              <w:t>分值</w:t>
            </w:r>
          </w:p>
        </w:tc>
        <w:tc>
          <w:tcPr>
            <w:tcW w:w="1134" w:type="dxa"/>
            <w:vAlign w:val="center"/>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pPr>
            <w:r>
              <w:rPr>
                <w:rFonts w:hint="eastAsia"/>
              </w:rPr>
              <w:t>1</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立项依据充分性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2</w:t>
            </w:r>
          </w:p>
        </w:tc>
        <w:tc>
          <w:tcPr>
            <w:tcW w:w="1134" w:type="dxa"/>
            <w:vAlign w:val="center"/>
          </w:tcPr>
          <w:p>
            <w:pPr>
              <w:jc w:val="center"/>
            </w:pPr>
            <w:r>
              <w:rPr>
                <w:rFonts w:hint="eastAsia"/>
              </w:rPr>
              <w:t>决策</w:t>
            </w:r>
          </w:p>
        </w:tc>
        <w:tc>
          <w:tcPr>
            <w:tcW w:w="1842" w:type="dxa"/>
            <w:vAlign w:val="center"/>
          </w:tcPr>
          <w:p>
            <w:pPr>
              <w:jc w:val="center"/>
            </w:pPr>
            <w:r>
              <w:rPr>
                <w:rFonts w:hint="eastAsia"/>
              </w:rPr>
              <w:t>项目立项</w:t>
            </w:r>
          </w:p>
        </w:tc>
        <w:tc>
          <w:tcPr>
            <w:tcW w:w="1986" w:type="dxa"/>
            <w:vAlign w:val="center"/>
          </w:tcPr>
          <w:p>
            <w:pPr>
              <w:jc w:val="center"/>
            </w:pPr>
            <w:r>
              <w:rPr>
                <w:rFonts w:hint="eastAsia"/>
              </w:rPr>
              <w:t>立项程序规范性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3</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绩效目标合理性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4</w:t>
            </w:r>
          </w:p>
        </w:tc>
        <w:tc>
          <w:tcPr>
            <w:tcW w:w="1134" w:type="dxa"/>
            <w:vAlign w:val="center"/>
          </w:tcPr>
          <w:p>
            <w:pPr>
              <w:jc w:val="center"/>
            </w:pPr>
            <w:r>
              <w:rPr>
                <w:rFonts w:hint="eastAsia"/>
              </w:rPr>
              <w:t>决策</w:t>
            </w:r>
          </w:p>
        </w:tc>
        <w:tc>
          <w:tcPr>
            <w:tcW w:w="1842" w:type="dxa"/>
            <w:vAlign w:val="center"/>
          </w:tcPr>
          <w:p>
            <w:pPr>
              <w:jc w:val="center"/>
            </w:pPr>
            <w:r>
              <w:rPr>
                <w:rFonts w:hint="eastAsia"/>
              </w:rPr>
              <w:t>绩效目标</w:t>
            </w:r>
          </w:p>
        </w:tc>
        <w:tc>
          <w:tcPr>
            <w:tcW w:w="1986" w:type="dxa"/>
            <w:vAlign w:val="center"/>
          </w:tcPr>
          <w:p>
            <w:pPr>
              <w:jc w:val="center"/>
            </w:pPr>
            <w:r>
              <w:rPr>
                <w:rFonts w:hint="eastAsia"/>
              </w:rPr>
              <w:t>绩效指标明确性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5</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预算编制科学性</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6</w:t>
            </w:r>
          </w:p>
        </w:tc>
        <w:tc>
          <w:tcPr>
            <w:tcW w:w="1134" w:type="dxa"/>
            <w:vAlign w:val="center"/>
          </w:tcPr>
          <w:p>
            <w:pPr>
              <w:jc w:val="center"/>
            </w:pPr>
            <w:r>
              <w:rPr>
                <w:rFonts w:hint="eastAsia"/>
              </w:rPr>
              <w:t>决策</w:t>
            </w:r>
          </w:p>
        </w:tc>
        <w:tc>
          <w:tcPr>
            <w:tcW w:w="1842" w:type="dxa"/>
            <w:vAlign w:val="center"/>
          </w:tcPr>
          <w:p>
            <w:pPr>
              <w:jc w:val="center"/>
            </w:pPr>
            <w:r>
              <w:rPr>
                <w:rFonts w:hint="eastAsia"/>
              </w:rPr>
              <w:t>资金投入</w:t>
            </w:r>
          </w:p>
        </w:tc>
        <w:tc>
          <w:tcPr>
            <w:tcW w:w="1986" w:type="dxa"/>
            <w:vAlign w:val="center"/>
          </w:tcPr>
          <w:p>
            <w:pPr>
              <w:jc w:val="center"/>
            </w:pPr>
            <w:r>
              <w:rPr>
                <w:rFonts w:hint="eastAsia"/>
              </w:rPr>
              <w:t>资金分配合理性</w:t>
            </w:r>
          </w:p>
        </w:tc>
        <w:tc>
          <w:tcPr>
            <w:tcW w:w="1134" w:type="dxa"/>
            <w:vAlign w:val="center"/>
          </w:tcPr>
          <w:p>
            <w:pPr>
              <w:jc w:val="center"/>
            </w:pPr>
            <w:r>
              <w:rPr>
                <w:rFonts w:hint="eastAsia"/>
              </w:rPr>
              <w:t>3</w:t>
            </w:r>
          </w:p>
        </w:tc>
        <w:tc>
          <w:tcPr>
            <w:tcW w:w="1134" w:type="dxa"/>
            <w:vAlign w:val="center"/>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7</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资金到位率</w:t>
            </w:r>
          </w:p>
        </w:tc>
        <w:tc>
          <w:tcPr>
            <w:tcW w:w="1134" w:type="dxa"/>
            <w:vAlign w:val="center"/>
          </w:tcPr>
          <w:p>
            <w:pPr>
              <w:jc w:val="center"/>
            </w:pPr>
            <w:r>
              <w:rPr>
                <w:rFonts w:hint="eastAsia"/>
              </w:rPr>
              <w:t>3</w:t>
            </w:r>
          </w:p>
        </w:tc>
        <w:tc>
          <w:tcPr>
            <w:tcW w:w="1134" w:type="dxa"/>
            <w:vAlign w:val="center"/>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8</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预算执行率</w:t>
            </w:r>
          </w:p>
        </w:tc>
        <w:tc>
          <w:tcPr>
            <w:tcW w:w="1134" w:type="dxa"/>
            <w:vAlign w:val="center"/>
          </w:tcPr>
          <w:p>
            <w:pPr>
              <w:jc w:val="center"/>
            </w:pPr>
            <w:r>
              <w:rPr>
                <w:rFonts w:hint="eastAsia"/>
              </w:rPr>
              <w:t>4</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9</w:t>
            </w:r>
          </w:p>
        </w:tc>
        <w:tc>
          <w:tcPr>
            <w:tcW w:w="1134" w:type="dxa"/>
            <w:vAlign w:val="center"/>
          </w:tcPr>
          <w:p>
            <w:pPr>
              <w:jc w:val="center"/>
            </w:pPr>
            <w:r>
              <w:rPr>
                <w:rFonts w:hint="eastAsia"/>
              </w:rPr>
              <w:t>过程</w:t>
            </w:r>
          </w:p>
        </w:tc>
        <w:tc>
          <w:tcPr>
            <w:tcW w:w="1842" w:type="dxa"/>
            <w:vAlign w:val="center"/>
          </w:tcPr>
          <w:p>
            <w:pPr>
              <w:jc w:val="center"/>
            </w:pPr>
            <w:r>
              <w:rPr>
                <w:rFonts w:hint="eastAsia"/>
              </w:rPr>
              <w:t>资金管理</w:t>
            </w:r>
          </w:p>
        </w:tc>
        <w:tc>
          <w:tcPr>
            <w:tcW w:w="1986" w:type="dxa"/>
            <w:vAlign w:val="center"/>
          </w:tcPr>
          <w:p>
            <w:pPr>
              <w:jc w:val="center"/>
            </w:pPr>
            <w:r>
              <w:rPr>
                <w:rFonts w:hint="eastAsia"/>
              </w:rPr>
              <w:t>资金使用合规性</w:t>
            </w:r>
          </w:p>
        </w:tc>
        <w:tc>
          <w:tcPr>
            <w:tcW w:w="1134" w:type="dxa"/>
            <w:vAlign w:val="center"/>
          </w:tcPr>
          <w:p>
            <w:pPr>
              <w:jc w:val="center"/>
            </w:pPr>
            <w:r>
              <w:rPr>
                <w:rFonts w:hint="eastAsia"/>
              </w:rPr>
              <w:t>4</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10</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管理制度健全性</w:t>
            </w:r>
          </w:p>
        </w:tc>
        <w:tc>
          <w:tcPr>
            <w:tcW w:w="1134" w:type="dxa"/>
            <w:vAlign w:val="center"/>
          </w:tcPr>
          <w:p>
            <w:pPr>
              <w:jc w:val="center"/>
            </w:pPr>
            <w:r>
              <w:rPr>
                <w:rFonts w:hint="eastAsia"/>
              </w:rPr>
              <w:t>4</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11</w:t>
            </w:r>
          </w:p>
        </w:tc>
        <w:tc>
          <w:tcPr>
            <w:tcW w:w="1134" w:type="dxa"/>
            <w:vAlign w:val="center"/>
          </w:tcPr>
          <w:p>
            <w:pPr>
              <w:jc w:val="center"/>
            </w:pPr>
            <w:r>
              <w:rPr>
                <w:rFonts w:hint="eastAsia"/>
              </w:rPr>
              <w:t>过程</w:t>
            </w:r>
          </w:p>
        </w:tc>
        <w:tc>
          <w:tcPr>
            <w:tcW w:w="1842" w:type="dxa"/>
            <w:vAlign w:val="center"/>
          </w:tcPr>
          <w:p>
            <w:pPr>
              <w:jc w:val="center"/>
            </w:pPr>
            <w:r>
              <w:rPr>
                <w:rFonts w:hint="eastAsia"/>
              </w:rPr>
              <w:t>组织实施</w:t>
            </w:r>
          </w:p>
        </w:tc>
        <w:tc>
          <w:tcPr>
            <w:tcW w:w="1986" w:type="dxa"/>
            <w:vAlign w:val="center"/>
          </w:tcPr>
          <w:p>
            <w:pPr>
              <w:jc w:val="center"/>
            </w:pPr>
            <w:r>
              <w:rPr>
                <w:rFonts w:hint="eastAsia"/>
              </w:rPr>
              <w:t>制度执行有效性</w:t>
            </w:r>
          </w:p>
        </w:tc>
        <w:tc>
          <w:tcPr>
            <w:tcW w:w="1134" w:type="dxa"/>
            <w:vAlign w:val="center"/>
          </w:tcPr>
          <w:p>
            <w:pPr>
              <w:jc w:val="center"/>
            </w:pPr>
            <w:r>
              <w:rPr>
                <w:rFonts w:hint="eastAsia"/>
              </w:rPr>
              <w:t>4</w:t>
            </w:r>
          </w:p>
        </w:tc>
        <w:tc>
          <w:tcPr>
            <w:tcW w:w="1134" w:type="dxa"/>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12</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产出数量</w:t>
            </w:r>
          </w:p>
        </w:tc>
        <w:tc>
          <w:tcPr>
            <w:tcW w:w="1986" w:type="dxa"/>
            <w:vAlign w:val="center"/>
          </w:tcPr>
          <w:p>
            <w:pPr>
              <w:jc w:val="center"/>
            </w:pPr>
            <w:r>
              <w:rPr>
                <w:rFonts w:hint="eastAsia"/>
              </w:rPr>
              <w:t>实际完成率</w:t>
            </w:r>
          </w:p>
        </w:tc>
        <w:tc>
          <w:tcPr>
            <w:tcW w:w="1134" w:type="dxa"/>
            <w:vAlign w:val="center"/>
          </w:tcPr>
          <w:p>
            <w:pPr>
              <w:jc w:val="center"/>
            </w:pPr>
            <w:r>
              <w:rPr>
                <w:rFonts w:hint="eastAsia"/>
              </w:rPr>
              <w:t>8</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13</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产出质量</w:t>
            </w:r>
          </w:p>
        </w:tc>
        <w:tc>
          <w:tcPr>
            <w:tcW w:w="1986" w:type="dxa"/>
            <w:vAlign w:val="center"/>
          </w:tcPr>
          <w:p>
            <w:pPr>
              <w:jc w:val="center"/>
            </w:pPr>
            <w:r>
              <w:rPr>
                <w:rFonts w:hint="eastAsia"/>
              </w:rPr>
              <w:t>质量达标率</w:t>
            </w:r>
          </w:p>
        </w:tc>
        <w:tc>
          <w:tcPr>
            <w:tcW w:w="1134" w:type="dxa"/>
            <w:vAlign w:val="center"/>
          </w:tcPr>
          <w:p>
            <w:pPr>
              <w:jc w:val="center"/>
            </w:pPr>
            <w:r>
              <w:rPr>
                <w:rFonts w:hint="eastAsia"/>
              </w:rPr>
              <w:t>8</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14</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产出时效</w:t>
            </w:r>
          </w:p>
        </w:tc>
        <w:tc>
          <w:tcPr>
            <w:tcW w:w="1986" w:type="dxa"/>
            <w:vAlign w:val="center"/>
          </w:tcPr>
          <w:p>
            <w:pPr>
              <w:jc w:val="center"/>
            </w:pPr>
            <w:r>
              <w:rPr>
                <w:rFonts w:hint="eastAsia"/>
              </w:rPr>
              <w:t>完成及时性</w:t>
            </w:r>
          </w:p>
        </w:tc>
        <w:tc>
          <w:tcPr>
            <w:tcW w:w="1134" w:type="dxa"/>
            <w:vAlign w:val="center"/>
          </w:tcPr>
          <w:p>
            <w:pPr>
              <w:jc w:val="center"/>
            </w:pPr>
            <w:r>
              <w:rPr>
                <w:rFonts w:hint="eastAsia"/>
              </w:rPr>
              <w:t>8</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15</w:t>
            </w:r>
          </w:p>
        </w:tc>
        <w:tc>
          <w:tcPr>
            <w:tcW w:w="1134" w:type="dxa"/>
            <w:vAlign w:val="center"/>
          </w:tcPr>
          <w:p>
            <w:pPr>
              <w:jc w:val="center"/>
            </w:pPr>
            <w:r>
              <w:rPr>
                <w:rFonts w:hint="eastAsia"/>
              </w:rPr>
              <w:t>产出</w:t>
            </w:r>
          </w:p>
        </w:tc>
        <w:tc>
          <w:tcPr>
            <w:tcW w:w="1842" w:type="dxa"/>
            <w:vAlign w:val="center"/>
          </w:tcPr>
          <w:p>
            <w:pPr>
              <w:jc w:val="center"/>
            </w:pPr>
            <w:r>
              <w:rPr>
                <w:rFonts w:hint="eastAsia"/>
              </w:rPr>
              <w:t>产出成本</w:t>
            </w:r>
          </w:p>
        </w:tc>
        <w:tc>
          <w:tcPr>
            <w:tcW w:w="1986" w:type="dxa"/>
            <w:vAlign w:val="center"/>
          </w:tcPr>
          <w:p>
            <w:pPr>
              <w:jc w:val="center"/>
            </w:pPr>
            <w:r>
              <w:rPr>
                <w:rFonts w:hint="eastAsia"/>
              </w:rPr>
              <w:t>成本节约率</w:t>
            </w:r>
          </w:p>
        </w:tc>
        <w:tc>
          <w:tcPr>
            <w:tcW w:w="1134" w:type="dxa"/>
            <w:vAlign w:val="center"/>
          </w:tcPr>
          <w:p>
            <w:pPr>
              <w:jc w:val="center"/>
            </w:pPr>
            <w:r>
              <w:rPr>
                <w:rFonts w:hint="eastAsia"/>
              </w:rPr>
              <w:t>8</w:t>
            </w:r>
          </w:p>
        </w:tc>
        <w:tc>
          <w:tcPr>
            <w:tcW w:w="1134" w:type="dxa"/>
            <w:vAlign w:val="center"/>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16</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实施效益</w:t>
            </w:r>
          </w:p>
        </w:tc>
        <w:tc>
          <w:tcPr>
            <w:tcW w:w="1134" w:type="dxa"/>
            <w:vAlign w:val="center"/>
          </w:tcPr>
          <w:p>
            <w:pPr>
              <w:jc w:val="center"/>
            </w:pPr>
            <w:r>
              <w:rPr>
                <w:rFonts w:hint="eastAsia"/>
              </w:rPr>
              <w:t>20</w:t>
            </w:r>
          </w:p>
        </w:tc>
        <w:tc>
          <w:tcPr>
            <w:tcW w:w="1134" w:type="dxa"/>
            <w:vAlign w:val="center"/>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r>
              <w:rPr>
                <w:rFonts w:hint="eastAsia"/>
              </w:rPr>
              <w:t>17</w:t>
            </w:r>
          </w:p>
        </w:tc>
        <w:tc>
          <w:tcPr>
            <w:tcW w:w="1134" w:type="dxa"/>
            <w:vAlign w:val="center"/>
          </w:tcPr>
          <w:p>
            <w:pPr>
              <w:jc w:val="center"/>
            </w:pPr>
            <w:r>
              <w:rPr>
                <w:rFonts w:hint="eastAsia"/>
              </w:rPr>
              <w:t>效益</w:t>
            </w:r>
          </w:p>
        </w:tc>
        <w:tc>
          <w:tcPr>
            <w:tcW w:w="1842" w:type="dxa"/>
            <w:vAlign w:val="center"/>
          </w:tcPr>
          <w:p>
            <w:pPr>
              <w:jc w:val="center"/>
            </w:pPr>
            <w:r>
              <w:rPr>
                <w:rFonts w:hint="eastAsia"/>
              </w:rPr>
              <w:t>项目效益</w:t>
            </w:r>
          </w:p>
        </w:tc>
        <w:tc>
          <w:tcPr>
            <w:tcW w:w="1986" w:type="dxa"/>
            <w:vAlign w:val="center"/>
          </w:tcPr>
          <w:p>
            <w:pPr>
              <w:jc w:val="center"/>
            </w:pPr>
            <w:r>
              <w:rPr>
                <w:rFonts w:hint="eastAsia"/>
              </w:rPr>
              <w:t>满意度</w:t>
            </w:r>
          </w:p>
        </w:tc>
        <w:tc>
          <w:tcPr>
            <w:tcW w:w="1134" w:type="dxa"/>
            <w:vAlign w:val="center"/>
          </w:tcPr>
          <w:p>
            <w:pPr>
              <w:jc w:val="center"/>
            </w:pPr>
            <w:r>
              <w:rPr>
                <w:rFonts w:hint="eastAsia"/>
              </w:rPr>
              <w:t>8</w:t>
            </w:r>
          </w:p>
        </w:tc>
        <w:tc>
          <w:tcPr>
            <w:tcW w:w="1134" w:type="dxa"/>
            <w:vAlign w:val="center"/>
          </w:tcPr>
          <w:p>
            <w:pPr>
              <w:jc w:val="cente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5" w:type="dxa"/>
            <w:vAlign w:val="center"/>
          </w:tcPr>
          <w:p>
            <w:pPr>
              <w:jc w:val="center"/>
            </w:pPr>
          </w:p>
        </w:tc>
        <w:tc>
          <w:tcPr>
            <w:tcW w:w="1134" w:type="dxa"/>
            <w:vAlign w:val="center"/>
          </w:tcPr>
          <w:p>
            <w:pPr>
              <w:jc w:val="center"/>
            </w:pPr>
            <w:r>
              <w:rPr>
                <w:rFonts w:hint="eastAsia"/>
              </w:rPr>
              <w:t>总分</w:t>
            </w:r>
          </w:p>
        </w:tc>
        <w:tc>
          <w:tcPr>
            <w:tcW w:w="1842" w:type="dxa"/>
            <w:vAlign w:val="center"/>
          </w:tcPr>
          <w:p>
            <w:pPr>
              <w:jc w:val="center"/>
            </w:pPr>
          </w:p>
        </w:tc>
        <w:tc>
          <w:tcPr>
            <w:tcW w:w="1986" w:type="dxa"/>
            <w:vAlign w:val="center"/>
          </w:tcPr>
          <w:p>
            <w:pPr>
              <w:jc w:val="center"/>
            </w:pPr>
          </w:p>
        </w:tc>
        <w:tc>
          <w:tcPr>
            <w:tcW w:w="1134" w:type="dxa"/>
            <w:vAlign w:val="center"/>
          </w:tcPr>
          <w:p>
            <w:pPr>
              <w:jc w:val="center"/>
            </w:pPr>
            <w:r>
              <w:rPr>
                <w:rFonts w:hint="eastAsia"/>
              </w:rPr>
              <w:t>100</w:t>
            </w:r>
          </w:p>
        </w:tc>
        <w:tc>
          <w:tcPr>
            <w:tcW w:w="1134" w:type="dxa"/>
            <w:vAlign w:val="center"/>
          </w:tcPr>
          <w:p>
            <w:pPr>
              <w:jc w:val="center"/>
            </w:pPr>
            <w:r>
              <w:rPr>
                <w:rFonts w:hint="eastAsia"/>
              </w:rPr>
              <w:t>40</w:t>
            </w:r>
          </w:p>
        </w:tc>
      </w:tr>
    </w:tbl>
    <w:p>
      <w:pPr>
        <w:pStyle w:val="10"/>
        <w:spacing w:line="510" w:lineRule="exact"/>
        <w:ind w:firstLine="640" w:firstLineChars="200"/>
        <w:rPr>
          <w:rFonts w:ascii="Times New Roman" w:hAnsi="Times New Roman" w:eastAsia="仿宋"/>
          <w:sz w:val="32"/>
          <w:szCs w:val="32"/>
        </w:rPr>
      </w:pP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此项目的实施，深入扎实地做好未参保集体企业退休人员稳定工作，提升未参保集体企业退休人员生活水平，维护未参保集体企业退休人员权益。</w:t>
      </w:r>
    </w:p>
    <w:p>
      <w:pPr>
        <w:pStyle w:val="1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（一）项目决策情况。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项目立项依据充分，预算资金分配严格按文件政策执行。</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（二）项目过程情况。</w:t>
      </w:r>
    </w:p>
    <w:p>
      <w:pPr>
        <w:pStyle w:val="10"/>
        <w:spacing w:line="510" w:lineRule="exact"/>
        <w:ind w:firstLine="800" w:firstLineChars="250"/>
        <w:rPr>
          <w:rFonts w:ascii="Times New Roman" w:hAnsi="Times New Roman" w:eastAsia="仿宋"/>
          <w:sz w:val="32"/>
          <w:szCs w:val="32"/>
        </w:rPr>
      </w:pPr>
      <w:r>
        <w:rPr>
          <w:rFonts w:hint="eastAsia" w:ascii="Times New Roman" w:hAnsi="Times New Roman" w:eastAsia="仿宋"/>
          <w:sz w:val="32"/>
          <w:szCs w:val="32"/>
        </w:rPr>
        <w:t>资金及时到位，未影响项目实施。资金管理较规范，使用合规，无截留、挪用等现象。</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（三）项目产出情况。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我中心共发放未参保集体企业退休人员1人，因该人员从2019年起未年审，导致未能发放。</w:t>
      </w:r>
    </w:p>
    <w:p>
      <w:pPr>
        <w:pStyle w:val="1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（四）项目效益情况。</w:t>
      </w:r>
    </w:p>
    <w:p>
      <w:pPr>
        <w:pStyle w:val="1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提升未参保集体企业退休人员生活水平效果显著；维护未参保集体企业退休人员总体管理效果显著。</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5"/>
        <w:shd w:val="clear" w:color="auto" w:fill="FFFFFF"/>
        <w:spacing w:before="0" w:beforeAutospacing="0" w:after="0" w:afterAutospacing="0" w:line="450" w:lineRule="atLeast"/>
        <w:ind w:firstLine="640" w:firstLineChars="200"/>
        <w:rPr>
          <w:rFonts w:ascii="仿宋" w:hAnsi="仿宋" w:eastAsia="仿宋"/>
          <w:sz w:val="32"/>
          <w:szCs w:val="32"/>
        </w:rPr>
      </w:pPr>
      <w:r>
        <w:rPr>
          <w:rFonts w:hint="eastAsia" w:ascii="仿宋" w:hAnsi="仿宋" w:eastAsia="仿宋"/>
          <w:sz w:val="32"/>
          <w:szCs w:val="32"/>
        </w:rPr>
        <w:t>高度重视绩效管理工作，加强预算执行管理，定期汇总项目资金使用进度，预算执行进度，加强督促跟踪问效，单位领导不定期地项目进行跟踪检查，督促项目按时、按质、按量完成。</w:t>
      </w:r>
    </w:p>
    <w:p>
      <w:pPr>
        <w:pStyle w:val="5"/>
        <w:shd w:val="clear" w:color="auto" w:fill="FFFFFF"/>
        <w:spacing w:before="0" w:beforeAutospacing="0" w:after="0" w:afterAutospacing="0" w:line="450" w:lineRule="atLeast"/>
        <w:ind w:firstLine="480" w:firstLineChars="150"/>
        <w:rPr>
          <w:rFonts w:ascii="仿宋" w:hAnsi="仿宋" w:eastAsia="仿宋"/>
          <w:color w:val="666666"/>
          <w:sz w:val="32"/>
          <w:szCs w:val="32"/>
        </w:rPr>
      </w:pPr>
      <w:r>
        <w:rPr>
          <w:rFonts w:hint="eastAsia" w:ascii="仿宋" w:hAnsi="仿宋" w:eastAsia="仿宋"/>
          <w:sz w:val="32"/>
          <w:szCs w:val="32"/>
        </w:rPr>
        <w:t>项目支出绩效评价体系不完善，给考核评价及评分工作带来了一定的困难。</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5"/>
        <w:shd w:val="clear" w:color="auto" w:fill="FFFFFF"/>
        <w:spacing w:before="0" w:beforeAutospacing="0" w:after="0" w:afterAutospacing="0" w:line="420" w:lineRule="atLeast"/>
        <w:ind w:firstLine="480"/>
        <w:rPr>
          <w:rFonts w:ascii="仿宋" w:hAnsi="仿宋" w:eastAsia="仿宋"/>
          <w:color w:val="000000"/>
          <w:sz w:val="32"/>
          <w:szCs w:val="32"/>
        </w:rPr>
      </w:pPr>
      <w:r>
        <w:rPr>
          <w:rFonts w:hint="eastAsia" w:ascii="仿宋" w:hAnsi="仿宋" w:eastAsia="仿宋"/>
          <w:b/>
          <w:sz w:val="32"/>
          <w:szCs w:val="32"/>
        </w:rPr>
        <w:t xml:space="preserve"> </w:t>
      </w:r>
      <w:r>
        <w:rPr>
          <w:rFonts w:hint="eastAsia" w:ascii="仿宋" w:hAnsi="仿宋" w:eastAsia="仿宋"/>
          <w:color w:val="000000"/>
          <w:sz w:val="32"/>
          <w:szCs w:val="32"/>
        </w:rPr>
        <w:t>建议财政局加强对部门财政支出绩效评价管理工作的培训和指导，提高部门绩效自评质量</w:t>
      </w:r>
      <w:r>
        <w:rPr>
          <w:rFonts w:hint="eastAsia" w:ascii="仿宋" w:hAnsi="仿宋" w:eastAsia="仿宋"/>
          <w:sz w:val="32"/>
          <w:szCs w:val="32"/>
        </w:rPr>
        <w:t>。</w:t>
      </w:r>
    </w:p>
    <w:p>
      <w:pPr>
        <w:pStyle w:val="10"/>
        <w:spacing w:line="510" w:lineRule="exact"/>
        <w:ind w:firstLine="643" w:firstLineChars="200"/>
        <w:rPr>
          <w:rFonts w:ascii="仿宋" w:hAnsi="仿宋" w:eastAsia="仿宋"/>
          <w:b/>
          <w:sz w:val="32"/>
          <w:szCs w:val="32"/>
        </w:rPr>
      </w:pPr>
      <w:r>
        <w:rPr>
          <w:rFonts w:ascii="仿宋" w:hAnsi="仿宋" w:eastAsia="仿宋"/>
          <w:b/>
          <w:sz w:val="32"/>
          <w:szCs w:val="32"/>
        </w:rPr>
        <w:t>七、其他需要说明的问题</w:t>
      </w:r>
    </w:p>
    <w:p>
      <w:pPr>
        <w:pStyle w:val="10"/>
        <w:spacing w:line="510" w:lineRule="exact"/>
        <w:ind w:firstLine="643" w:firstLineChars="200"/>
        <w:rPr>
          <w:rFonts w:ascii="仿宋" w:hAnsi="仿宋" w:eastAsia="仿宋"/>
          <w:sz w:val="32"/>
          <w:szCs w:val="32"/>
        </w:rPr>
      </w:pPr>
      <w:r>
        <w:rPr>
          <w:rFonts w:hint="eastAsia" w:ascii="仿宋" w:hAnsi="仿宋" w:eastAsia="仿宋"/>
          <w:b/>
          <w:sz w:val="32"/>
          <w:szCs w:val="32"/>
        </w:rPr>
        <w:t xml:space="preserve">    </w:t>
      </w:r>
      <w:r>
        <w:rPr>
          <w:rFonts w:hint="eastAsia" w:ascii="仿宋" w:hAnsi="仿宋" w:eastAsia="仿宋"/>
          <w:sz w:val="32"/>
          <w:szCs w:val="32"/>
        </w:rPr>
        <w:t>无</w:t>
      </w:r>
    </w:p>
    <w:p>
      <w:pPr>
        <w:widowControl/>
        <w:spacing w:line="510" w:lineRule="exact"/>
        <w:ind w:firstLine="645"/>
        <w:jc w:val="left"/>
        <w:rPr>
          <w:rFonts w:ascii="仿宋" w:hAnsi="仿宋" w:eastAsia="仿宋"/>
          <w:b/>
          <w:sz w:val="32"/>
          <w:szCs w:val="32"/>
        </w:rPr>
      </w:pPr>
      <w:r>
        <w:rPr>
          <w:rFonts w:ascii="仿宋" w:hAnsi="仿宋" w:eastAsia="仿宋"/>
          <w:b/>
          <w:sz w:val="32"/>
          <w:szCs w:val="32"/>
        </w:rPr>
        <w:t>附件：1.项目支出绩效自评表</w:t>
      </w:r>
    </w:p>
    <w:p>
      <w:pPr>
        <w:widowControl/>
        <w:spacing w:line="510" w:lineRule="exact"/>
        <w:ind w:firstLine="1606" w:firstLineChars="500"/>
        <w:jc w:val="left"/>
        <w:rPr>
          <w:rFonts w:ascii="仿宋" w:hAnsi="仿宋" w:eastAsia="仿宋"/>
          <w:b/>
          <w:sz w:val="32"/>
          <w:szCs w:val="32"/>
        </w:rPr>
      </w:pPr>
      <w:r>
        <w:rPr>
          <w:rFonts w:ascii="仿宋" w:hAnsi="仿宋" w:eastAsia="仿宋"/>
          <w:b/>
          <w:sz w:val="32"/>
          <w:szCs w:val="32"/>
        </w:rPr>
        <w:t>2.项目支出绩效评价指标</w:t>
      </w:r>
      <w:r>
        <w:rPr>
          <w:rFonts w:ascii="仿宋" w:hAnsi="仿宋" w:eastAsia="仿宋"/>
          <w:b/>
          <w:bCs/>
          <w:color w:val="000000"/>
          <w:kern w:val="0"/>
          <w:sz w:val="32"/>
          <w:szCs w:val="32"/>
        </w:rPr>
        <w:t>评分表</w:t>
      </w:r>
    </w:p>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6"/>
        <w:tblW w:w="9825" w:type="dxa"/>
        <w:jc w:val="center"/>
        <w:tblLayout w:type="fixed"/>
        <w:tblCellMar>
          <w:top w:w="0" w:type="dxa"/>
          <w:left w:w="108" w:type="dxa"/>
          <w:bottom w:w="0" w:type="dxa"/>
          <w:right w:w="108" w:type="dxa"/>
        </w:tblCellMar>
      </w:tblPr>
      <w:tblGrid>
        <w:gridCol w:w="97"/>
        <w:gridCol w:w="491"/>
        <w:gridCol w:w="980"/>
        <w:gridCol w:w="1112"/>
        <w:gridCol w:w="730"/>
        <w:gridCol w:w="1134"/>
        <w:gridCol w:w="379"/>
        <w:gridCol w:w="1075"/>
        <w:gridCol w:w="992"/>
        <w:gridCol w:w="531"/>
        <w:gridCol w:w="36"/>
        <w:gridCol w:w="567"/>
        <w:gridCol w:w="248"/>
        <w:gridCol w:w="1265"/>
        <w:gridCol w:w="188"/>
      </w:tblGrid>
      <w:tr>
        <w:tblPrEx>
          <w:tblCellMar>
            <w:top w:w="0" w:type="dxa"/>
            <w:left w:w="108" w:type="dxa"/>
            <w:bottom w:w="0" w:type="dxa"/>
            <w:right w:w="108" w:type="dxa"/>
          </w:tblCellMar>
        </w:tblPrEx>
        <w:trPr>
          <w:trHeight w:val="349" w:hRule="exact"/>
          <w:jc w:val="center"/>
        </w:trPr>
        <w:tc>
          <w:tcPr>
            <w:tcW w:w="9825" w:type="dxa"/>
            <w:gridSpan w:val="15"/>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825" w:type="dxa"/>
            <w:gridSpan w:val="15"/>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rPr>
              <w:t>2020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520"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8257"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未参保集体企业退休人员生活补助</w:t>
            </w:r>
          </w:p>
        </w:tc>
      </w:tr>
      <w:tr>
        <w:tblPrEx>
          <w:tblCellMar>
            <w:top w:w="0" w:type="dxa"/>
            <w:left w:w="108" w:type="dxa"/>
            <w:bottom w:w="0" w:type="dxa"/>
            <w:right w:w="108" w:type="dxa"/>
          </w:tblCellMar>
        </w:tblPrEx>
        <w:trPr>
          <w:trHeight w:val="427" w:hRule="exact"/>
          <w:jc w:val="center"/>
        </w:trPr>
        <w:tc>
          <w:tcPr>
            <w:tcW w:w="156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30"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中方县人力资源和社会保障局</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83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中方县社会保险服务中心</w:t>
            </w:r>
          </w:p>
        </w:tc>
      </w:tr>
      <w:tr>
        <w:tblPrEx>
          <w:tblCellMar>
            <w:top w:w="0" w:type="dxa"/>
            <w:left w:w="108" w:type="dxa"/>
            <w:bottom w:w="0" w:type="dxa"/>
            <w:right w:w="108" w:type="dxa"/>
          </w:tblCellMar>
        </w:tblPrEx>
        <w:trPr>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145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2</w:t>
            </w:r>
            <w:r>
              <w:rPr>
                <w:rFonts w:hint="eastAsia" w:ascii="Times New Roman" w:hAnsi="Times New Roman"/>
                <w:kern w:val="0"/>
                <w:sz w:val="18"/>
                <w:szCs w:val="18"/>
                <w:lang w:val="en-US" w:eastAsia="zh-CN"/>
              </w:rPr>
              <w:t>.40</w:t>
            </w: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rPr>
              <w:t>2</w:t>
            </w:r>
            <w:r>
              <w:rPr>
                <w:rFonts w:hint="eastAsia" w:ascii="Times New Roman" w:hAnsi="Times New Roman"/>
                <w:kern w:val="0"/>
                <w:sz w:val="18"/>
                <w:szCs w:val="18"/>
                <w:lang w:val="en-US" w:eastAsia="zh-CN"/>
              </w:rPr>
              <w:t>.40</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45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82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4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确保政府补贴及时到位，</w:t>
            </w:r>
            <w:r>
              <w:rPr>
                <w:rFonts w:hint="eastAsia" w:ascii="Times New Roman" w:hAnsi="Times New Roman"/>
                <w:kern w:val="0"/>
                <w:sz w:val="18"/>
                <w:szCs w:val="18"/>
                <w:lang w:eastAsia="zh-CN"/>
              </w:rPr>
              <w:t>维护</w:t>
            </w:r>
            <w:bookmarkStart w:id="0" w:name="_GoBack"/>
            <w:bookmarkEnd w:id="0"/>
            <w:r>
              <w:rPr>
                <w:rFonts w:hint="eastAsia" w:ascii="Times New Roman" w:hAnsi="Times New Roman"/>
                <w:kern w:val="0"/>
                <w:sz w:val="18"/>
                <w:szCs w:val="18"/>
                <w:lang w:eastAsia="zh-CN"/>
              </w:rPr>
              <w:t>未参保集体企业退休人员</w:t>
            </w:r>
            <w:r>
              <w:rPr>
                <w:rFonts w:hint="eastAsia" w:ascii="Times New Roman" w:hAnsi="Times New Roman"/>
                <w:kern w:val="0"/>
                <w:sz w:val="18"/>
                <w:szCs w:val="18"/>
              </w:rPr>
              <w:t>权益。</w:t>
            </w:r>
          </w:p>
        </w:tc>
        <w:tc>
          <w:tcPr>
            <w:tcW w:w="382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 xml:space="preserve"> 因该人员未年审，故项目资金无法发放。</w:t>
            </w:r>
          </w:p>
        </w:tc>
      </w:tr>
      <w:tr>
        <w:tblPrEx>
          <w:tblCellMar>
            <w:top w:w="0" w:type="dxa"/>
            <w:left w:w="108" w:type="dxa"/>
            <w:bottom w:w="0" w:type="dxa"/>
            <w:right w:w="108" w:type="dxa"/>
          </w:tblCellMar>
        </w:tblPrEx>
        <w:trPr>
          <w:trHeight w:val="533" w:hRule="exact"/>
          <w:jc w:val="center"/>
        </w:trPr>
        <w:tc>
          <w:tcPr>
            <w:tcW w:w="588" w:type="dxa"/>
            <w:gridSpan w:val="2"/>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70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未参保集体企业退休人数</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1人</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restart"/>
            <w:tcBorders>
              <w:top w:val="single" w:color="auto" w:sz="4" w:space="0"/>
              <w:left w:val="nil"/>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Times New Roman" w:hAnsi="Times New Roman"/>
                <w:kern w:val="0"/>
                <w:sz w:val="18"/>
                <w:szCs w:val="18"/>
              </w:rPr>
              <w:t>因该人员从2019年起未年审，故项目资金无法使用。</w:t>
            </w:r>
          </w:p>
          <w:p>
            <w:pPr>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足额发放补助资金</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24000元</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0元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continue"/>
            <w:tcBorders>
              <w:left w:val="nil"/>
              <w:right w:val="single" w:color="auto" w:sz="4" w:space="0"/>
            </w:tcBorders>
            <w:vAlign w:val="center"/>
          </w:tcPr>
          <w:p>
            <w:pPr>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510"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资金下达</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及时到位</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701" w:type="dxa"/>
            <w:gridSpan w:val="3"/>
            <w:vMerge w:val="continue"/>
            <w:tcBorders>
              <w:left w:val="nil"/>
              <w:right w:val="single" w:color="auto" w:sz="4" w:space="0"/>
            </w:tcBorders>
            <w:vAlign w:val="center"/>
          </w:tcPr>
          <w:p>
            <w:pPr>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504"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r>
              <w:rPr>
                <w:rFonts w:hint="eastAsia" w:ascii="Times New Roman" w:hAnsi="Times New Roman"/>
                <w:color w:val="000000"/>
                <w:kern w:val="0"/>
                <w:sz w:val="18"/>
                <w:szCs w:val="18"/>
              </w:rPr>
              <w:t>资金发放</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按月发放</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未发放</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continue"/>
            <w:tcBorders>
              <w:left w:val="nil"/>
              <w:right w:val="single" w:color="auto" w:sz="4" w:space="0"/>
            </w:tcBorders>
            <w:vAlign w:val="center"/>
          </w:tcPr>
          <w:p>
            <w:pPr>
              <w:spacing w:line="240" w:lineRule="exact"/>
              <w:jc w:val="left"/>
            </w:pPr>
          </w:p>
        </w:tc>
      </w:tr>
      <w:tr>
        <w:tblPrEx>
          <w:tblCellMar>
            <w:top w:w="0" w:type="dxa"/>
            <w:left w:w="108" w:type="dxa"/>
            <w:bottom w:w="0" w:type="dxa"/>
            <w:right w:w="108" w:type="dxa"/>
          </w:tblCellMar>
        </w:tblPrEx>
        <w:trPr>
          <w:trHeight w:val="568"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1人补贴共计</w:t>
            </w:r>
          </w:p>
        </w:tc>
        <w:tc>
          <w:tcPr>
            <w:tcW w:w="1075"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24000元</w:t>
            </w:r>
          </w:p>
        </w:tc>
        <w:tc>
          <w:tcPr>
            <w:tcW w:w="992" w:type="dxa"/>
            <w:tcBorders>
              <w:top w:val="nil"/>
              <w:left w:val="nil"/>
              <w:bottom w:val="single" w:color="auto" w:sz="4" w:space="0"/>
              <w:right w:val="single" w:color="auto" w:sz="4" w:space="0"/>
            </w:tcBorders>
            <w:vAlign w:val="center"/>
          </w:tcPr>
          <w:p>
            <w:pPr>
              <w:jc w:val="center"/>
            </w:pPr>
            <w:r>
              <w:rPr>
                <w:rFonts w:hint="eastAsia" w:ascii="Times New Roman" w:hAnsi="Times New Roman"/>
                <w:kern w:val="0"/>
                <w:sz w:val="18"/>
                <w:szCs w:val="18"/>
              </w:rPr>
              <w:t>0元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continue"/>
            <w:tcBorders>
              <w:left w:val="nil"/>
              <w:right w:val="single" w:color="auto" w:sz="4" w:space="0"/>
            </w:tcBorders>
            <w:vAlign w:val="center"/>
          </w:tcPr>
          <w:p>
            <w:pPr>
              <w:spacing w:line="240" w:lineRule="exact"/>
              <w:jc w:val="left"/>
            </w:pPr>
          </w:p>
        </w:tc>
      </w:tr>
      <w:tr>
        <w:tblPrEx>
          <w:tblCellMar>
            <w:top w:w="0" w:type="dxa"/>
            <w:left w:w="108" w:type="dxa"/>
            <w:bottom w:w="0" w:type="dxa"/>
            <w:right w:w="108" w:type="dxa"/>
          </w:tblCellMar>
        </w:tblPrEx>
        <w:trPr>
          <w:trHeight w:val="561"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资金使用率</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continue"/>
            <w:tcBorders>
              <w:left w:val="nil"/>
              <w:right w:val="single" w:color="auto" w:sz="4" w:space="0"/>
            </w:tcBorders>
            <w:vAlign w:val="center"/>
          </w:tcPr>
          <w:p>
            <w:pPr>
              <w:spacing w:line="240" w:lineRule="exact"/>
              <w:jc w:val="left"/>
            </w:pPr>
          </w:p>
        </w:tc>
      </w:tr>
      <w:tr>
        <w:tblPrEx>
          <w:tblCellMar>
            <w:top w:w="0" w:type="dxa"/>
            <w:left w:w="108" w:type="dxa"/>
            <w:bottom w:w="0" w:type="dxa"/>
            <w:right w:w="108" w:type="dxa"/>
          </w:tblCellMar>
        </w:tblPrEx>
        <w:trPr>
          <w:trHeight w:val="69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改善未参保集体企业退休人员生活状况</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较好改善</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未能改善</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continue"/>
            <w:tcBorders>
              <w:left w:val="nil"/>
              <w:right w:val="single" w:color="auto" w:sz="4" w:space="0"/>
            </w:tcBorders>
            <w:vAlign w:val="center"/>
          </w:tcPr>
          <w:p>
            <w:pPr>
              <w:spacing w:line="240" w:lineRule="exact"/>
              <w:jc w:val="left"/>
            </w:pPr>
          </w:p>
        </w:tc>
      </w:tr>
      <w:tr>
        <w:tblPrEx>
          <w:tblCellMar>
            <w:top w:w="0" w:type="dxa"/>
            <w:left w:w="108" w:type="dxa"/>
            <w:bottom w:w="0" w:type="dxa"/>
            <w:right w:w="108" w:type="dxa"/>
          </w:tblCellMar>
        </w:tblPrEx>
        <w:trPr>
          <w:trHeight w:val="567"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维护未参保集体企业退休人员权益</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维护</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701" w:type="dxa"/>
            <w:gridSpan w:val="3"/>
            <w:vMerge w:val="continue"/>
            <w:tcBorders>
              <w:left w:val="nil"/>
              <w:right w:val="single" w:color="auto" w:sz="4" w:space="0"/>
            </w:tcBorders>
            <w:vAlign w:val="center"/>
          </w:tcPr>
          <w:p>
            <w:pPr>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771"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确保未参保集体企业退休人员的利益，保证发放</w:t>
            </w:r>
          </w:p>
        </w:tc>
        <w:tc>
          <w:tcPr>
            <w:tcW w:w="10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7</w:t>
            </w:r>
          </w:p>
        </w:tc>
        <w:tc>
          <w:tcPr>
            <w:tcW w:w="1701" w:type="dxa"/>
            <w:gridSpan w:val="3"/>
            <w:vMerge w:val="continue"/>
            <w:tcBorders>
              <w:left w:val="nil"/>
              <w:right w:val="single" w:color="auto" w:sz="4" w:space="0"/>
            </w:tcBorders>
            <w:vAlign w:val="center"/>
          </w:tcPr>
          <w:p>
            <w:pPr>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748" w:hRule="exact"/>
          <w:jc w:val="center"/>
        </w:trPr>
        <w:tc>
          <w:tcPr>
            <w:tcW w:w="588" w:type="dxa"/>
            <w:gridSpan w:val="2"/>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43"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未参保集体企业退休人员满意度</w:t>
            </w:r>
          </w:p>
        </w:tc>
        <w:tc>
          <w:tcPr>
            <w:tcW w:w="10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w:t>
            </w:r>
          </w:p>
        </w:tc>
        <w:tc>
          <w:tcPr>
            <w:tcW w:w="1701" w:type="dxa"/>
            <w:gridSpan w:val="3"/>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9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19</w:t>
            </w:r>
          </w:p>
        </w:tc>
        <w:tc>
          <w:tcPr>
            <w:tcW w:w="170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gridAfter w:val="1"/>
          <w:wBefore w:w="97" w:type="dxa"/>
          <w:wAfter w:w="188" w:type="dxa"/>
          <w:trHeight w:val="465" w:hRule="atLeast"/>
          <w:jc w:val="center"/>
        </w:trPr>
        <w:tc>
          <w:tcPr>
            <w:tcW w:w="9540" w:type="dxa"/>
            <w:gridSpan w:val="13"/>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gridAfter w:val="1"/>
          <w:wBefore w:w="97" w:type="dxa"/>
          <w:wAfter w:w="188"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gridAfter w:val="1"/>
          <w:wBefore w:w="97" w:type="dxa"/>
          <w:wAfter w:w="188" w:type="dxa"/>
          <w:trHeight w:val="465" w:hRule="atLeast"/>
          <w:jc w:val="center"/>
        </w:trPr>
        <w:tc>
          <w:tcPr>
            <w:tcW w:w="9540" w:type="dxa"/>
            <w:gridSpan w:val="13"/>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hint="eastAsia" w:ascii="宋体" w:hAnsi="宋体" w:cs="宋体"/>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hint="eastAsia" w:ascii="宋体" w:hAnsi="宋体" w:cs="宋体"/>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gridAfter w:val="1"/>
          <w:wBefore w:w="97" w:type="dxa"/>
          <w:wAfter w:w="188" w:type="dxa"/>
          <w:trHeight w:val="210" w:hRule="atLeast"/>
          <w:jc w:val="center"/>
        </w:trPr>
        <w:tc>
          <w:tcPr>
            <w:tcW w:w="9540" w:type="dxa"/>
            <w:gridSpan w:val="13"/>
            <w:tcBorders>
              <w:top w:val="nil"/>
              <w:left w:val="nil"/>
              <w:bottom w:val="nil"/>
              <w:right w:val="nil"/>
            </w:tcBorders>
            <w:noWrap/>
            <w:vAlign w:val="center"/>
          </w:tcPr>
          <w:p>
            <w:pPr>
              <w:widowControl/>
              <w:spacing w:line="400" w:lineRule="exact"/>
              <w:ind w:firstLine="345"/>
              <w:jc w:val="left"/>
              <w:rPr>
                <w:rFonts w:ascii="Times New Roman" w:hAnsi="Times New Roman"/>
                <w:color w:val="000000"/>
                <w:kern w:val="0"/>
                <w:sz w:val="18"/>
                <w:szCs w:val="18"/>
              </w:rPr>
            </w:pPr>
            <w:r>
              <w:rPr>
                <w:rFonts w:ascii="Times New Roman" w:hAnsi="Times New Roman"/>
                <w:color w:val="000000"/>
                <w:kern w:val="0"/>
                <w:sz w:val="18"/>
                <w:szCs w:val="18"/>
              </w:rPr>
              <w:t>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rPr>
          <w:rFonts w:ascii="Times New Roman" w:hAnsi="Times New Roman" w:eastAsia="黑体"/>
        </w:rPr>
        <w:sectPr>
          <w:pgSz w:w="11906" w:h="16838"/>
          <w:pgMar w:top="1134" w:right="1588" w:bottom="907" w:left="1588" w:header="737" w:footer="851"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项目支出绩效评价指标</w:t>
      </w:r>
      <w:r>
        <w:rPr>
          <w:rFonts w:hint="eastAsia" w:ascii="Times New Roman" w:hAnsi="Times New Roman" w:eastAsia="宋体"/>
          <w:bCs/>
          <w:color w:val="000000"/>
          <w:sz w:val="36"/>
          <w:szCs w:val="28"/>
          <w:lang w:eastAsia="zh-CN"/>
        </w:rPr>
        <w:t>评分</w:t>
      </w:r>
      <w:r>
        <w:rPr>
          <w:rFonts w:ascii="Times New Roman" w:hAnsi="Times New Roman" w:eastAsia="宋体"/>
          <w:bCs/>
          <w:color w:val="000000"/>
          <w:sz w:val="36"/>
          <w:szCs w:val="28"/>
        </w:rPr>
        <w:t>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40</w:t>
            </w:r>
          </w:p>
        </w:tc>
      </w:tr>
    </w:tbl>
    <w:p>
      <w:pPr>
        <w:spacing w:line="560" w:lineRule="exact"/>
        <w:ind w:firstLine="210" w:firstLineChars="100"/>
      </w:pP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3382"/>
    <w:rsid w:val="00011711"/>
    <w:rsid w:val="00104B12"/>
    <w:rsid w:val="001377A5"/>
    <w:rsid w:val="001A7123"/>
    <w:rsid w:val="00263B72"/>
    <w:rsid w:val="0027346A"/>
    <w:rsid w:val="0038027D"/>
    <w:rsid w:val="004255CD"/>
    <w:rsid w:val="004506E7"/>
    <w:rsid w:val="004A771A"/>
    <w:rsid w:val="0054610C"/>
    <w:rsid w:val="005C3EC9"/>
    <w:rsid w:val="00610719"/>
    <w:rsid w:val="006132EB"/>
    <w:rsid w:val="00632C39"/>
    <w:rsid w:val="006D3382"/>
    <w:rsid w:val="006D3EA2"/>
    <w:rsid w:val="00725BD5"/>
    <w:rsid w:val="007903F4"/>
    <w:rsid w:val="007D0ABE"/>
    <w:rsid w:val="007D6416"/>
    <w:rsid w:val="00864BB1"/>
    <w:rsid w:val="00876621"/>
    <w:rsid w:val="008B2B36"/>
    <w:rsid w:val="00987FF9"/>
    <w:rsid w:val="009D7D01"/>
    <w:rsid w:val="009E500D"/>
    <w:rsid w:val="009F6EE8"/>
    <w:rsid w:val="00A21CD7"/>
    <w:rsid w:val="00A63812"/>
    <w:rsid w:val="00B00EDF"/>
    <w:rsid w:val="00B35B1B"/>
    <w:rsid w:val="00BB3202"/>
    <w:rsid w:val="00BB6F3C"/>
    <w:rsid w:val="00BE63E1"/>
    <w:rsid w:val="00C20AAF"/>
    <w:rsid w:val="00C5048F"/>
    <w:rsid w:val="00C542CC"/>
    <w:rsid w:val="00C909CE"/>
    <w:rsid w:val="00CE004E"/>
    <w:rsid w:val="00CF32B3"/>
    <w:rsid w:val="00D327E7"/>
    <w:rsid w:val="00D80FEC"/>
    <w:rsid w:val="00E30A1D"/>
    <w:rsid w:val="00E842C9"/>
    <w:rsid w:val="00F63B34"/>
    <w:rsid w:val="00F92E92"/>
    <w:rsid w:val="00FB2013"/>
    <w:rsid w:val="00FD230B"/>
    <w:rsid w:val="11E93F71"/>
    <w:rsid w:val="310330C6"/>
    <w:rsid w:val="41B111B6"/>
    <w:rsid w:val="59354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Char"/>
    <w:basedOn w:val="8"/>
    <w:link w:val="2"/>
    <w:uiPriority w:val="0"/>
    <w:rPr>
      <w:rFonts w:ascii="Arial" w:hAnsi="Arial" w:eastAsia="黑体" w:cs="Times New Roman"/>
      <w:b/>
      <w:sz w:val="32"/>
      <w:szCs w:val="24"/>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页眉 Char"/>
    <w:basedOn w:val="8"/>
    <w:link w:val="4"/>
    <w:semiHidden/>
    <w:uiPriority w:val="99"/>
    <w:rPr>
      <w:rFonts w:ascii="Calibri" w:hAnsi="Calibri" w:eastAsia="宋体" w:cs="Times New Roman"/>
      <w:sz w:val="18"/>
      <w:szCs w:val="18"/>
    </w:rPr>
  </w:style>
  <w:style w:type="character" w:customStyle="1" w:styleId="12">
    <w:name w:val="页脚 Char"/>
    <w:basedOn w:val="8"/>
    <w:link w:val="3"/>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937</Words>
  <Characters>5343</Characters>
  <Lines>44</Lines>
  <Paragraphs>12</Paragraphs>
  <TotalTime>1327</TotalTime>
  <ScaleCrop>false</ScaleCrop>
  <LinksUpToDate>false</LinksUpToDate>
  <CharactersWithSpaces>6268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2021-07-19T03:37:00Z</dcterms:created>
  <dc:creator>Administrator</dc:creator>
  <cp:lastModifiedBy>lenovo</cp:lastModifiedBy>
  <dcterms:modified xsi:type="dcterms:W3CDTF">2021-08-03T07:55:30Z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2B72366FB8984412A68BA7560C9730C6</vt:lpwstr>
  </property>
</Properties>
</file>