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510" w:lineRule="exact"/>
        <w:ind w:firstLine="440" w:firstLineChars="100"/>
        <w:jc w:val="both"/>
        <w:rPr>
          <w:rFonts w:hint="eastAsia" w:ascii="Times New Roman" w:hAnsi="Times New Roman" w:eastAsia="黑体"/>
          <w:sz w:val="44"/>
          <w:szCs w:val="44"/>
        </w:rPr>
      </w:pPr>
    </w:p>
    <w:p>
      <w:pPr>
        <w:pStyle w:val="10"/>
        <w:spacing w:line="510" w:lineRule="exact"/>
        <w:ind w:firstLine="440" w:firstLineChars="100"/>
        <w:jc w:val="both"/>
        <w:rPr>
          <w:rFonts w:hint="eastAsia" w:ascii="Times New Roman" w:hAnsi="Times New Roman" w:eastAsia="黑体"/>
          <w:sz w:val="44"/>
          <w:szCs w:val="44"/>
        </w:rPr>
      </w:pPr>
    </w:p>
    <w:p>
      <w:pPr>
        <w:pStyle w:val="10"/>
        <w:spacing w:line="510" w:lineRule="exact"/>
        <w:ind w:firstLine="440" w:firstLineChars="100"/>
        <w:jc w:val="both"/>
        <w:rPr>
          <w:rFonts w:ascii="Times New Roman" w:hAnsi="Times New Roman" w:eastAsia="黑体"/>
          <w:sz w:val="44"/>
          <w:szCs w:val="44"/>
        </w:rPr>
      </w:pPr>
      <w:r>
        <w:rPr>
          <w:rFonts w:hint="eastAsia" w:ascii="Times New Roman" w:hAnsi="Times New Roman" w:eastAsia="黑体"/>
          <w:sz w:val="44"/>
          <w:szCs w:val="44"/>
        </w:rPr>
        <w:t>中方县人力资源和社会保障局2020年度</w:t>
      </w:r>
    </w:p>
    <w:p>
      <w:pPr>
        <w:pStyle w:val="10"/>
        <w:spacing w:line="510" w:lineRule="exact"/>
        <w:jc w:val="center"/>
        <w:rPr>
          <w:rFonts w:ascii="Times New Roman" w:hAnsi="Times New Roman" w:eastAsia="黑体"/>
          <w:sz w:val="44"/>
          <w:szCs w:val="44"/>
        </w:rPr>
      </w:pPr>
      <w:r>
        <w:rPr>
          <w:rFonts w:hint="eastAsia" w:ascii="Times New Roman" w:hAnsi="Times New Roman" w:eastAsia="黑体"/>
          <w:sz w:val="44"/>
          <w:szCs w:val="44"/>
        </w:rPr>
        <w:t>政府代缴低保对象城乡居民养老保险费</w:t>
      </w:r>
    </w:p>
    <w:p>
      <w:pPr>
        <w:pStyle w:val="10"/>
        <w:spacing w:line="510" w:lineRule="exact"/>
        <w:jc w:val="center"/>
        <w:rPr>
          <w:rFonts w:ascii="Times New Roman" w:hAnsi="Times New Roman" w:eastAsia="黑体"/>
          <w:sz w:val="44"/>
          <w:szCs w:val="44"/>
        </w:rPr>
      </w:pPr>
      <w:r>
        <w:rPr>
          <w:rFonts w:ascii="Times New Roman" w:hAnsi="Times New Roman" w:eastAsia="黑体"/>
          <w:sz w:val="44"/>
          <w:szCs w:val="44"/>
        </w:rPr>
        <w:t>项目支出绩效</w:t>
      </w:r>
      <w:r>
        <w:rPr>
          <w:rFonts w:hint="eastAsia" w:ascii="Times New Roman" w:hAnsi="Times New Roman" w:eastAsia="黑体"/>
          <w:sz w:val="44"/>
          <w:szCs w:val="44"/>
        </w:rPr>
        <w:t>自评</w:t>
      </w:r>
      <w:r>
        <w:rPr>
          <w:rFonts w:ascii="Times New Roman" w:hAnsi="Times New Roman" w:eastAsia="黑体"/>
          <w:sz w:val="44"/>
          <w:szCs w:val="44"/>
        </w:rPr>
        <w:t>报告</w:t>
      </w:r>
    </w:p>
    <w:p>
      <w:pPr>
        <w:pStyle w:val="10"/>
        <w:spacing w:line="510" w:lineRule="exact"/>
        <w:ind w:firstLine="643" w:firstLineChars="200"/>
        <w:rPr>
          <w:rFonts w:ascii="Times New Roman" w:hAnsi="Times New Roman" w:eastAsia="楷体"/>
          <w:b/>
          <w:sz w:val="32"/>
          <w:szCs w:val="32"/>
        </w:rPr>
      </w:pP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（一）项目概况。包括项目背景、主要内容及实施情况、资金投入和使用情况等。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根据湘政发【2020】19号湖南省人民政府关于完善城乡居民基本养老保险制度的实施意见的要求，为缴费困难群体代缴养老保险费。对重要残疾人等缴费特别困难群体，县市区人民政府按每人每年100元缴费档次给予全部代缴费；对其他缴费困难群体，县市区人民政府每人每年100元缴费档次给予部分或全部补贴。有条件的县市区可适当提高代缴标准。代缴对象为低保人员。</w:t>
      </w:r>
    </w:p>
    <w:p>
      <w:pPr>
        <w:pStyle w:val="10"/>
        <w:spacing w:line="510" w:lineRule="exact"/>
        <w:ind w:firstLine="640" w:firstLineChars="200"/>
        <w:rPr>
          <w:rFonts w:ascii="仿宋" w:hAnsi="仿宋" w:eastAsia="仿宋"/>
          <w:sz w:val="32"/>
          <w:szCs w:val="32"/>
        </w:rPr>
      </w:pPr>
      <w:r>
        <w:rPr>
          <w:rFonts w:hint="eastAsia" w:ascii="仿宋" w:hAnsi="仿宋" w:eastAsia="仿宋"/>
          <w:kern w:val="0"/>
          <w:sz w:val="32"/>
          <w:szCs w:val="32"/>
        </w:rPr>
        <w:t>低保人员的代缴城乡居民养老保险费是由相关部门予以缴纳，故年初未纳入预算，2020年共代缴低保对象城乡居民养老保险费2921人，共计29</w:t>
      </w:r>
      <w:r>
        <w:rPr>
          <w:rFonts w:hint="eastAsia" w:ascii="仿宋" w:hAnsi="仿宋" w:eastAsia="仿宋"/>
          <w:kern w:val="0"/>
          <w:sz w:val="32"/>
          <w:szCs w:val="32"/>
          <w:lang w:val="en-US" w:eastAsia="zh-CN"/>
        </w:rPr>
        <w:t>.21万</w:t>
      </w:r>
      <w:r>
        <w:rPr>
          <w:rFonts w:hint="eastAsia" w:ascii="仿宋" w:hAnsi="仿宋" w:eastAsia="仿宋"/>
          <w:kern w:val="0"/>
          <w:sz w:val="32"/>
          <w:szCs w:val="32"/>
        </w:rPr>
        <w:t>元</w:t>
      </w:r>
      <w:r>
        <w:rPr>
          <w:rFonts w:hint="eastAsia" w:ascii="Times New Roman" w:hAnsi="Times New Roman" w:eastAsia="仿宋"/>
          <w:sz w:val="32"/>
          <w:szCs w:val="32"/>
        </w:rPr>
        <w:t>，整体项目资金使用规范，管理到位，无挤占、挪用等违规现象。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（二）项目绩效目标。包括总体目标和阶段性目标。</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主要是代缴低保对象城乡居民养老保险费2921人。</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（一）绩效评价目的、对象和范围。</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目的：通过本次绩效评价，进一步了解资金使用是否达到预期目标、资金管理是否规范、资金使用是否有效，检验资金支出效率和效果，分析存在问题及原因，及时意绪经验，改进管理措施，不断增强和落实绩效管理责任，完善工作机制，有效提高资金管理水平和使用效益，为下一步预算资金安排提供重要参考。</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对象和范围：中方县低保人员2020年度代缴城乡居民养老保险费项目资金收支安排、资金使用和绩效管理情况。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（二）绩效评价原则、评价指标体系（附表说明）、评价方法、评价标准等。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绩效评价原则：本次评价指标体系制定遵循充分性原则、规范性原则、合理性原则、明确性原则、科学性原则、合规性原则、健全性原则、有效性原则。</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评价指标体系：</w:t>
      </w:r>
    </w:p>
    <w:p>
      <w:pPr>
        <w:pStyle w:val="10"/>
        <w:spacing w:line="510" w:lineRule="exact"/>
        <w:ind w:firstLine="640" w:firstLineChars="200"/>
        <w:rPr>
          <w:rFonts w:ascii="Times New Roman" w:hAnsi="Times New Roman" w:eastAsia="仿宋"/>
          <w:sz w:val="32"/>
          <w:szCs w:val="32"/>
        </w:rPr>
      </w:pPr>
    </w:p>
    <w:tbl>
      <w:tblPr>
        <w:tblStyle w:val="6"/>
        <w:tblW w:w="9667" w:type="dxa"/>
        <w:jc w:val="center"/>
        <w:tblLayout w:type="fixed"/>
        <w:tblCellMar>
          <w:top w:w="0" w:type="dxa"/>
          <w:left w:w="108" w:type="dxa"/>
          <w:bottom w:w="0" w:type="dxa"/>
          <w:right w:w="108" w:type="dxa"/>
        </w:tblCellMar>
      </w:tblPr>
      <w:tblGrid>
        <w:gridCol w:w="588"/>
        <w:gridCol w:w="980"/>
        <w:gridCol w:w="1112"/>
        <w:gridCol w:w="2243"/>
        <w:gridCol w:w="1075"/>
        <w:gridCol w:w="992"/>
        <w:gridCol w:w="567"/>
        <w:gridCol w:w="567"/>
        <w:gridCol w:w="1543"/>
      </w:tblGrid>
      <w:tr>
        <w:tblPrEx>
          <w:tblCellMar>
            <w:top w:w="0" w:type="dxa"/>
            <w:left w:w="108" w:type="dxa"/>
            <w:bottom w:w="0" w:type="dxa"/>
            <w:right w:w="108" w:type="dxa"/>
          </w:tblCellMar>
        </w:tblPrEx>
        <w:trPr>
          <w:trHeight w:val="533" w:hRule="exact"/>
          <w:jc w:val="center"/>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kern w:val="0"/>
                <w:sz w:val="18"/>
                <w:szCs w:val="18"/>
              </w:rPr>
              <w:t>政府代缴低保人员</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2921人</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部分代缴人员代缴的城乡居民养老保险费是由相关部门予以缴纳，故年初未纳入预算</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足额代缴低保人员城乡居民养老保险费</w:t>
            </w: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29</w:t>
            </w:r>
            <w:r>
              <w:rPr>
                <w:rFonts w:hint="eastAsia" w:ascii="Times New Roman" w:hAnsi="Times New Roman"/>
                <w:kern w:val="0"/>
                <w:sz w:val="18"/>
                <w:szCs w:val="18"/>
                <w:lang w:val="en-US" w:eastAsia="zh-CN"/>
              </w:rPr>
              <w:t>.21万</w:t>
            </w:r>
            <w:r>
              <w:rPr>
                <w:rFonts w:hint="eastAsia" w:ascii="Times New Roman" w:hAnsi="Times New Roman"/>
                <w:kern w:val="0"/>
                <w:sz w:val="18"/>
                <w:szCs w:val="18"/>
              </w:rPr>
              <w:t>元</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代缴资金共计</w:t>
            </w: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29</w:t>
            </w:r>
            <w:r>
              <w:rPr>
                <w:rFonts w:hint="eastAsia" w:ascii="Times New Roman" w:hAnsi="Times New Roman"/>
                <w:kern w:val="0"/>
                <w:sz w:val="18"/>
                <w:szCs w:val="18"/>
                <w:lang w:val="en-US" w:eastAsia="zh-CN"/>
              </w:rPr>
              <w:t>.21万</w:t>
            </w:r>
            <w:r>
              <w:rPr>
                <w:rFonts w:hint="eastAsia" w:ascii="Times New Roman" w:hAnsi="Times New Roman"/>
                <w:kern w:val="0"/>
                <w:sz w:val="18"/>
                <w:szCs w:val="18"/>
              </w:rPr>
              <w:t>元</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维护社会和谐稳定</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较稳定</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保障低保人员权益</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作用明显</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确保低保人员利益</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48"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低保人员满意度</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90"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98</w:t>
            </w:r>
          </w:p>
        </w:tc>
        <w:tc>
          <w:tcPr>
            <w:tcW w:w="15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pStyle w:val="10"/>
        <w:spacing w:line="510" w:lineRule="exact"/>
        <w:rPr>
          <w:rFonts w:ascii="Times New Roman" w:hAnsi="Times New Roman" w:eastAsia="仿宋"/>
          <w:sz w:val="32"/>
          <w:szCs w:val="32"/>
        </w:rPr>
      </w:pP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评价方法：主要通过成本效益分析法、比较法、因素分析法、最人氏 成本法、公众评判法、标杆管理法、其他评价方法等进行评价。</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评价标准：本次绩效评价采用百分制，各级指标依据其指标权重确定分值，最终得分由各级评价指标得分加总开成。根据最终得分将评价标准分为四档：</w:t>
      </w:r>
      <w:r>
        <w:rPr>
          <w:rFonts w:ascii="Times New Roman" w:hAnsi="Times New Roman" w:eastAsia="仿宋"/>
          <w:sz w:val="32"/>
          <w:szCs w:val="32"/>
        </w:rPr>
        <w:t xml:space="preserve"> 90分（含）—100分为优，80分（含）—90分为良，60分（含）—80分为中，60分以下为差。</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（三）绩效评价工作过程。</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前期准备:学习评价指标体系和绩效相关文件通过。</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组织实施：按照规定的工作程序组织绩效评价自评，注重评价质量，撰写绩效评价报告。</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绩效评价等级一般划分为四档：90分（含）—100分为优，80分（含）—90分为良，60分（含）—80分为中，60分以下为差。</w:t>
      </w:r>
    </w:p>
    <w:p>
      <w:pPr>
        <w:jc w:val="center"/>
        <w:rPr>
          <w:b/>
          <w:sz w:val="28"/>
          <w:szCs w:val="28"/>
        </w:rPr>
      </w:pPr>
      <w:r>
        <w:rPr>
          <w:rFonts w:hint="eastAsia"/>
          <w:b/>
          <w:sz w:val="28"/>
          <w:szCs w:val="28"/>
        </w:rPr>
        <w:t>综合评价表</w:t>
      </w:r>
    </w:p>
    <w:tbl>
      <w:tblPr>
        <w:tblStyle w:val="7"/>
        <w:tblW w:w="0" w:type="auto"/>
        <w:tblInd w:w="5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34"/>
        <w:gridCol w:w="1842"/>
        <w:gridCol w:w="1986"/>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序号</w:t>
            </w:r>
          </w:p>
        </w:tc>
        <w:tc>
          <w:tcPr>
            <w:tcW w:w="1134" w:type="dxa"/>
            <w:vAlign w:val="center"/>
          </w:tcPr>
          <w:p>
            <w:pPr>
              <w:jc w:val="center"/>
            </w:pPr>
            <w:r>
              <w:rPr>
                <w:rFonts w:hint="eastAsia"/>
              </w:rPr>
              <w:t>一级指标</w:t>
            </w:r>
          </w:p>
        </w:tc>
        <w:tc>
          <w:tcPr>
            <w:tcW w:w="1842" w:type="dxa"/>
            <w:vAlign w:val="center"/>
          </w:tcPr>
          <w:p>
            <w:pPr>
              <w:jc w:val="center"/>
            </w:pPr>
            <w:r>
              <w:rPr>
                <w:rFonts w:hint="eastAsia"/>
              </w:rPr>
              <w:t>二级指标</w:t>
            </w:r>
          </w:p>
        </w:tc>
        <w:tc>
          <w:tcPr>
            <w:tcW w:w="1986" w:type="dxa"/>
            <w:vAlign w:val="center"/>
          </w:tcPr>
          <w:p>
            <w:pPr>
              <w:jc w:val="center"/>
            </w:pPr>
            <w:r>
              <w:rPr>
                <w:rFonts w:hint="eastAsia"/>
              </w:rPr>
              <w:t>三级指标</w:t>
            </w:r>
          </w:p>
        </w:tc>
        <w:tc>
          <w:tcPr>
            <w:tcW w:w="1134" w:type="dxa"/>
            <w:vAlign w:val="center"/>
          </w:tcPr>
          <w:p>
            <w:pPr>
              <w:jc w:val="center"/>
            </w:pPr>
            <w:r>
              <w:rPr>
                <w:rFonts w:hint="eastAsia"/>
              </w:rPr>
              <w:t>分值</w:t>
            </w:r>
          </w:p>
        </w:tc>
        <w:tc>
          <w:tcPr>
            <w:tcW w:w="1134" w:type="dxa"/>
            <w:vAlign w:val="center"/>
          </w:tcPr>
          <w:p>
            <w:pPr>
              <w:jc w:val="cente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立项依据充分性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2</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立项程序规范性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3</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绩效目标合理性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4</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绩效指标明确性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5</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预算编制科学性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6</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资金分配合理性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7</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资金到位率</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8</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预算执行率</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9</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资金使用合规性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10</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管理制度健全性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11</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制度执行有效性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12</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产出数量</w:t>
            </w:r>
          </w:p>
        </w:tc>
        <w:tc>
          <w:tcPr>
            <w:tcW w:w="1986" w:type="dxa"/>
            <w:vAlign w:val="center"/>
          </w:tcPr>
          <w:p>
            <w:pPr>
              <w:jc w:val="center"/>
            </w:pPr>
            <w:r>
              <w:rPr>
                <w:rFonts w:hint="eastAsia"/>
              </w:rPr>
              <w:t>实际完成率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13</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产出质量</w:t>
            </w:r>
          </w:p>
        </w:tc>
        <w:tc>
          <w:tcPr>
            <w:tcW w:w="1986" w:type="dxa"/>
            <w:vAlign w:val="center"/>
          </w:tcPr>
          <w:p>
            <w:pPr>
              <w:jc w:val="center"/>
            </w:pPr>
            <w:r>
              <w:rPr>
                <w:rFonts w:hint="eastAsia"/>
              </w:rPr>
              <w:t>质量达标率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14</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产出时效</w:t>
            </w:r>
          </w:p>
        </w:tc>
        <w:tc>
          <w:tcPr>
            <w:tcW w:w="1986" w:type="dxa"/>
            <w:vAlign w:val="center"/>
          </w:tcPr>
          <w:p>
            <w:pPr>
              <w:jc w:val="center"/>
            </w:pPr>
            <w:r>
              <w:rPr>
                <w:rFonts w:hint="eastAsia"/>
              </w:rPr>
              <w:t>完成及时性</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15</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产出成本</w:t>
            </w:r>
          </w:p>
        </w:tc>
        <w:tc>
          <w:tcPr>
            <w:tcW w:w="1986" w:type="dxa"/>
            <w:vAlign w:val="center"/>
          </w:tcPr>
          <w:p>
            <w:pPr>
              <w:jc w:val="center"/>
            </w:pPr>
            <w:r>
              <w:rPr>
                <w:rFonts w:hint="eastAsia"/>
              </w:rPr>
              <w:t>成本节约率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16</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实施效益</w:t>
            </w:r>
          </w:p>
        </w:tc>
        <w:tc>
          <w:tcPr>
            <w:tcW w:w="1134" w:type="dxa"/>
            <w:vAlign w:val="center"/>
          </w:tcPr>
          <w:p>
            <w:pPr>
              <w:jc w:val="center"/>
            </w:pPr>
            <w:r>
              <w:rPr>
                <w:rFonts w:hint="eastAsia"/>
              </w:rPr>
              <w:t>20</w:t>
            </w:r>
          </w:p>
        </w:tc>
        <w:tc>
          <w:tcPr>
            <w:tcW w:w="1134" w:type="dxa"/>
            <w:vAlign w:val="center"/>
          </w:tcPr>
          <w:p>
            <w:pPr>
              <w:jc w:val="center"/>
            </w:pP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17</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满意度</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p>
        </w:tc>
        <w:tc>
          <w:tcPr>
            <w:tcW w:w="1134" w:type="dxa"/>
            <w:vAlign w:val="center"/>
          </w:tcPr>
          <w:p>
            <w:pPr>
              <w:jc w:val="center"/>
            </w:pPr>
            <w:r>
              <w:rPr>
                <w:rFonts w:hint="eastAsia"/>
              </w:rPr>
              <w:t>总分</w:t>
            </w:r>
          </w:p>
        </w:tc>
        <w:tc>
          <w:tcPr>
            <w:tcW w:w="1842" w:type="dxa"/>
            <w:vAlign w:val="center"/>
          </w:tcPr>
          <w:p>
            <w:pPr>
              <w:jc w:val="center"/>
            </w:pPr>
          </w:p>
        </w:tc>
        <w:tc>
          <w:tcPr>
            <w:tcW w:w="1986" w:type="dxa"/>
            <w:vAlign w:val="center"/>
          </w:tcPr>
          <w:p>
            <w:pPr>
              <w:jc w:val="center"/>
            </w:pPr>
          </w:p>
        </w:tc>
        <w:tc>
          <w:tcPr>
            <w:tcW w:w="1134" w:type="dxa"/>
            <w:vAlign w:val="center"/>
          </w:tcPr>
          <w:p>
            <w:pPr>
              <w:jc w:val="center"/>
            </w:pPr>
            <w:r>
              <w:rPr>
                <w:rFonts w:hint="eastAsia"/>
              </w:rPr>
              <w:t>100</w:t>
            </w:r>
          </w:p>
        </w:tc>
        <w:tc>
          <w:tcPr>
            <w:tcW w:w="1134" w:type="dxa"/>
            <w:vAlign w:val="center"/>
          </w:tcPr>
          <w:p>
            <w:pPr>
              <w:jc w:val="center"/>
            </w:pPr>
            <w:r>
              <w:rPr>
                <w:rFonts w:hint="eastAsia"/>
              </w:rPr>
              <w:t>98</w:t>
            </w:r>
          </w:p>
        </w:tc>
      </w:tr>
    </w:tbl>
    <w:p>
      <w:pPr>
        <w:pStyle w:val="10"/>
        <w:spacing w:line="510" w:lineRule="exact"/>
        <w:ind w:firstLine="640" w:firstLineChars="200"/>
        <w:rPr>
          <w:rFonts w:ascii="Times New Roman" w:hAnsi="Times New Roman" w:eastAsia="仿宋"/>
          <w:sz w:val="32"/>
          <w:szCs w:val="32"/>
        </w:rPr>
      </w:pP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此项目的实施，深入扎实地做好困难群体稳定工作，维护困难群体总体稳定效果显著。</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（一）项目决策情况。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项目立项依据充分，项目资金严格按文件政策执行。</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（二）项目过程情况。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资金及时到位，未影响项目实施。资金管理较规范，使用合规，无截留、挪用等现象。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（三）项目产出情况。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项目资金及时按政策代缴低保人员城乡居民养老保险费。</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（四）项目效益情况。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维护困难群体权益，使低保人员满意。</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5"/>
        <w:shd w:val="clear" w:color="auto" w:fill="FFFFFF"/>
        <w:spacing w:before="0" w:beforeAutospacing="0" w:after="0" w:afterAutospacing="0" w:line="450" w:lineRule="atLeast"/>
        <w:ind w:firstLine="495"/>
        <w:rPr>
          <w:rFonts w:ascii="仿宋" w:hAnsi="仿宋" w:eastAsia="仿宋"/>
          <w:sz w:val="32"/>
          <w:szCs w:val="32"/>
        </w:rPr>
      </w:pPr>
      <w:r>
        <w:rPr>
          <w:rFonts w:hint="eastAsia" w:ascii="仿宋" w:hAnsi="仿宋" w:eastAsia="仿宋"/>
          <w:b/>
          <w:sz w:val="32"/>
          <w:szCs w:val="32"/>
        </w:rPr>
        <w:t xml:space="preserve"> </w:t>
      </w:r>
      <w:r>
        <w:rPr>
          <w:rFonts w:hint="eastAsia" w:ascii="仿宋" w:hAnsi="仿宋" w:eastAsia="仿宋"/>
          <w:sz w:val="32"/>
          <w:szCs w:val="32"/>
        </w:rPr>
        <w:t>高度重视绩效管理工作，加强预算执行管理，定期汇总项目资金使用进度，预算执行进度，加强督促跟踪问效，单位领导不定期地项目进行跟踪检查，督促项目按时、按质、按量完成。</w:t>
      </w:r>
    </w:p>
    <w:p>
      <w:pPr>
        <w:pStyle w:val="5"/>
        <w:shd w:val="clear" w:color="auto" w:fill="FFFFFF"/>
        <w:spacing w:before="0" w:beforeAutospacing="0" w:after="0" w:afterAutospacing="0" w:line="450" w:lineRule="atLeast"/>
        <w:ind w:firstLine="495"/>
        <w:rPr>
          <w:rFonts w:ascii="仿宋" w:hAnsi="仿宋" w:eastAsia="仿宋"/>
          <w:color w:val="666666"/>
          <w:sz w:val="32"/>
          <w:szCs w:val="32"/>
        </w:rPr>
      </w:pPr>
      <w:r>
        <w:rPr>
          <w:rFonts w:hint="eastAsia" w:ascii="仿宋" w:hAnsi="仿宋" w:eastAsia="仿宋"/>
          <w:sz w:val="32"/>
          <w:szCs w:val="32"/>
        </w:rPr>
        <w:t>项目支出绩效评价体系不完善，给考核评价及评分工作带来了一定的困难。</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5"/>
        <w:shd w:val="clear" w:color="auto" w:fill="FFFFFF"/>
        <w:spacing w:before="0" w:beforeAutospacing="0" w:after="0" w:afterAutospacing="0" w:line="42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建议财政局加强对部门财政支出绩效评价管理工作的培训和指导，提高部门绩效自评质量</w:t>
      </w:r>
      <w:r>
        <w:rPr>
          <w:rFonts w:hint="eastAsia" w:ascii="仿宋" w:hAnsi="仿宋" w:eastAsia="仿宋"/>
          <w:sz w:val="32"/>
          <w:szCs w:val="32"/>
        </w:rPr>
        <w:t>。</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七、其他需要说明的问题</w:t>
      </w:r>
    </w:p>
    <w:p>
      <w:pPr>
        <w:pStyle w:val="10"/>
        <w:spacing w:line="510" w:lineRule="exact"/>
        <w:ind w:firstLine="643" w:firstLineChars="200"/>
        <w:rPr>
          <w:rFonts w:ascii="仿宋" w:hAnsi="仿宋" w:eastAsia="仿宋"/>
          <w:sz w:val="32"/>
          <w:szCs w:val="32"/>
        </w:rPr>
      </w:pPr>
      <w:r>
        <w:rPr>
          <w:rFonts w:hint="eastAsia" w:ascii="仿宋" w:hAnsi="仿宋" w:eastAsia="仿宋"/>
          <w:b/>
          <w:sz w:val="32"/>
          <w:szCs w:val="32"/>
        </w:rPr>
        <w:t xml:space="preserve"> </w:t>
      </w:r>
      <w:r>
        <w:rPr>
          <w:rFonts w:hint="eastAsia" w:ascii="仿宋" w:hAnsi="仿宋" w:eastAsia="仿宋"/>
          <w:sz w:val="32"/>
          <w:szCs w:val="32"/>
        </w:rPr>
        <w:t>无</w:t>
      </w:r>
    </w:p>
    <w:p>
      <w:pPr>
        <w:widowControl/>
        <w:spacing w:line="510" w:lineRule="exact"/>
        <w:ind w:firstLine="645"/>
        <w:jc w:val="left"/>
        <w:rPr>
          <w:rFonts w:ascii="仿宋" w:hAnsi="仿宋" w:eastAsia="仿宋"/>
          <w:b/>
          <w:sz w:val="32"/>
          <w:szCs w:val="32"/>
        </w:rPr>
      </w:pPr>
      <w:r>
        <w:rPr>
          <w:rFonts w:ascii="仿宋" w:hAnsi="仿宋" w:eastAsia="仿宋"/>
          <w:b/>
          <w:sz w:val="32"/>
          <w:szCs w:val="32"/>
        </w:rPr>
        <w:t>附件：1.项目支出绩效自评表</w:t>
      </w:r>
    </w:p>
    <w:p>
      <w:pPr>
        <w:widowControl/>
        <w:spacing w:line="510" w:lineRule="exact"/>
        <w:ind w:firstLine="1606" w:firstLineChars="500"/>
        <w:jc w:val="left"/>
        <w:rPr>
          <w:rFonts w:ascii="仿宋" w:hAnsi="仿宋" w:eastAsia="仿宋"/>
          <w:b/>
          <w:sz w:val="32"/>
          <w:szCs w:val="32"/>
        </w:rPr>
      </w:pPr>
      <w:r>
        <w:rPr>
          <w:rFonts w:ascii="仿宋" w:hAnsi="仿宋" w:eastAsia="仿宋"/>
          <w:b/>
          <w:sz w:val="32"/>
          <w:szCs w:val="32"/>
        </w:rPr>
        <w:t>2.项目支出绩效评价指标</w:t>
      </w:r>
      <w:r>
        <w:rPr>
          <w:rFonts w:ascii="仿宋" w:hAnsi="仿宋" w:eastAsia="仿宋"/>
          <w:b/>
          <w:bCs/>
          <w:color w:val="000000"/>
          <w:kern w:val="0"/>
          <w:sz w:val="32"/>
          <w:szCs w:val="32"/>
        </w:rPr>
        <w:t>评分表</w:t>
      </w:r>
    </w:p>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1</w:t>
      </w:r>
    </w:p>
    <w:tbl>
      <w:tblPr>
        <w:tblStyle w:val="6"/>
        <w:tblW w:w="9667" w:type="dxa"/>
        <w:jc w:val="center"/>
        <w:tblLayout w:type="fixed"/>
        <w:tblCellMar>
          <w:top w:w="0" w:type="dxa"/>
          <w:left w:w="108" w:type="dxa"/>
          <w:bottom w:w="0" w:type="dxa"/>
          <w:right w:w="108" w:type="dxa"/>
        </w:tblCellMar>
      </w:tblPr>
      <w:tblGrid>
        <w:gridCol w:w="97"/>
        <w:gridCol w:w="491"/>
        <w:gridCol w:w="980"/>
        <w:gridCol w:w="1112"/>
        <w:gridCol w:w="730"/>
        <w:gridCol w:w="1134"/>
        <w:gridCol w:w="379"/>
        <w:gridCol w:w="1075"/>
        <w:gridCol w:w="992"/>
        <w:gridCol w:w="531"/>
        <w:gridCol w:w="36"/>
        <w:gridCol w:w="567"/>
        <w:gridCol w:w="248"/>
        <w:gridCol w:w="1265"/>
        <w:gridCol w:w="30"/>
      </w:tblGrid>
      <w:tr>
        <w:tblPrEx>
          <w:tblCellMar>
            <w:top w:w="0" w:type="dxa"/>
            <w:left w:w="108" w:type="dxa"/>
            <w:bottom w:w="0" w:type="dxa"/>
            <w:right w:w="108" w:type="dxa"/>
          </w:tblCellMar>
        </w:tblPrEx>
        <w:trPr>
          <w:trHeight w:val="349" w:hRule="exact"/>
          <w:jc w:val="center"/>
        </w:trPr>
        <w:tc>
          <w:tcPr>
            <w:tcW w:w="9667" w:type="dxa"/>
            <w:gridSpan w:val="15"/>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667" w:type="dxa"/>
            <w:gridSpan w:val="15"/>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w:t>
            </w:r>
            <w:r>
              <w:rPr>
                <w:rFonts w:hint="eastAsia" w:ascii="Times New Roman" w:hAnsi="Times New Roman"/>
                <w:kern w:val="0"/>
                <w:sz w:val="22"/>
                <w:szCs w:val="22"/>
              </w:rPr>
              <w:t>2020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520"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8099" w:type="dxa"/>
            <w:gridSpan w:val="12"/>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政府代缴低保对象城乡居民养老保险费</w:t>
            </w:r>
          </w:p>
        </w:tc>
      </w:tr>
      <w:tr>
        <w:tblPrEx>
          <w:tblCellMar>
            <w:top w:w="0" w:type="dxa"/>
            <w:left w:w="108" w:type="dxa"/>
            <w:bottom w:w="0" w:type="dxa"/>
            <w:right w:w="108" w:type="dxa"/>
          </w:tblCellMar>
        </w:tblPrEx>
        <w:trPr>
          <w:trHeight w:val="427"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30"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中方县人力资源和社会保障局</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67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中方县社会保险服务中心</w:t>
            </w:r>
          </w:p>
        </w:tc>
      </w:tr>
      <w:tr>
        <w:tblPrEx>
          <w:tblCellMar>
            <w:top w:w="0" w:type="dxa"/>
            <w:left w:w="108" w:type="dxa"/>
            <w:bottom w:w="0" w:type="dxa"/>
            <w:right w:w="108" w:type="dxa"/>
          </w:tblCellMar>
        </w:tblPrEx>
        <w:trPr>
          <w:trHeight w:val="436" w:hRule="exact"/>
          <w:jc w:val="center"/>
        </w:trPr>
        <w:tc>
          <w:tcPr>
            <w:tcW w:w="1568"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29</w:t>
            </w:r>
            <w:r>
              <w:rPr>
                <w:rFonts w:hint="eastAsia" w:ascii="Times New Roman" w:hAnsi="Times New Roman"/>
                <w:kern w:val="0"/>
                <w:sz w:val="18"/>
                <w:szCs w:val="18"/>
                <w:lang w:val="en-US" w:eastAsia="zh-CN"/>
              </w:rPr>
              <w:t>.21万</w:t>
            </w:r>
            <w:r>
              <w:rPr>
                <w:rFonts w:hint="eastAsia" w:ascii="Times New Roman" w:hAnsi="Times New Roman"/>
                <w:kern w:val="0"/>
                <w:sz w:val="18"/>
                <w:szCs w:val="18"/>
              </w:rPr>
              <w:t>元</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29</w:t>
            </w:r>
            <w:r>
              <w:rPr>
                <w:rFonts w:hint="eastAsia" w:ascii="Times New Roman" w:hAnsi="Times New Roman"/>
                <w:kern w:val="0"/>
                <w:sz w:val="18"/>
                <w:szCs w:val="18"/>
                <w:lang w:val="en-US" w:eastAsia="zh-CN"/>
              </w:rPr>
              <w:t>.21万</w:t>
            </w:r>
            <w:r>
              <w:rPr>
                <w:rFonts w:hint="eastAsia" w:ascii="Times New Roman" w:hAnsi="Times New Roman"/>
                <w:kern w:val="0"/>
                <w:sz w:val="18"/>
                <w:szCs w:val="18"/>
              </w:rPr>
              <w:t>元</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69"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4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确保政府补贴及时到位，保障低保人员权益。</w:t>
            </w:r>
          </w:p>
        </w:tc>
        <w:tc>
          <w:tcPr>
            <w:tcW w:w="3669"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2020年</w:t>
            </w:r>
            <w:bookmarkStart w:id="0" w:name="_GoBack"/>
            <w:bookmarkEnd w:id="0"/>
            <w:r>
              <w:rPr>
                <w:rFonts w:hint="eastAsia" w:ascii="Times New Roman" w:hAnsi="Times New Roman"/>
                <w:kern w:val="0"/>
                <w:sz w:val="18"/>
                <w:szCs w:val="18"/>
              </w:rPr>
              <w:t>共代缴低保人员城乡居民养老保险费2921人，共计29.21万元</w:t>
            </w:r>
          </w:p>
        </w:tc>
      </w:tr>
      <w:tr>
        <w:tblPrEx>
          <w:tblCellMar>
            <w:top w:w="0" w:type="dxa"/>
            <w:left w:w="108" w:type="dxa"/>
            <w:bottom w:w="0" w:type="dxa"/>
            <w:right w:w="108" w:type="dxa"/>
          </w:tblCellMar>
        </w:tblPrEx>
        <w:trPr>
          <w:trHeight w:val="533" w:hRule="exact"/>
          <w:jc w:val="center"/>
        </w:trPr>
        <w:tc>
          <w:tcPr>
            <w:tcW w:w="588" w:type="dxa"/>
            <w:gridSpan w:val="2"/>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kern w:val="0"/>
                <w:sz w:val="18"/>
                <w:szCs w:val="18"/>
              </w:rPr>
              <w:t>政府代缴低保人员</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2921人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gridSpan w:val="3"/>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部分代缴人员代缴的城乡居民养老保险费是由相关部门予以缴纳，故年初未纳入预算</w:t>
            </w: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足额代缴低保人员城乡居民养老保险费</w:t>
            </w:r>
          </w:p>
        </w:tc>
        <w:tc>
          <w:tcPr>
            <w:tcW w:w="1075" w:type="dxa"/>
            <w:tcBorders>
              <w:top w:val="nil"/>
              <w:left w:val="nil"/>
              <w:bottom w:val="single" w:color="auto" w:sz="4" w:space="0"/>
              <w:right w:val="single" w:color="auto" w:sz="4" w:space="0"/>
            </w:tcBorders>
            <w:vAlign w:val="center"/>
          </w:tcPr>
          <w:p>
            <w:pPr>
              <w:jc w:val="center"/>
            </w:pP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29</w:t>
            </w:r>
            <w:r>
              <w:rPr>
                <w:rFonts w:hint="eastAsia" w:ascii="Times New Roman" w:hAnsi="Times New Roman"/>
                <w:kern w:val="0"/>
                <w:sz w:val="18"/>
                <w:szCs w:val="18"/>
                <w:lang w:val="en-US" w:eastAsia="zh-CN"/>
              </w:rPr>
              <w:t>.21万</w:t>
            </w:r>
            <w:r>
              <w:rPr>
                <w:rFonts w:hint="eastAsia" w:ascii="Times New Roman" w:hAnsi="Times New Roman"/>
                <w:kern w:val="0"/>
                <w:sz w:val="18"/>
                <w:szCs w:val="18"/>
              </w:rPr>
              <w:t>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1075" w:type="dxa"/>
            <w:tcBorders>
              <w:top w:val="nil"/>
              <w:left w:val="nil"/>
              <w:bottom w:val="single" w:color="auto" w:sz="4" w:space="0"/>
              <w:right w:val="single" w:color="auto" w:sz="4" w:space="0"/>
            </w:tcBorders>
            <w:vAlign w:val="center"/>
          </w:tcPr>
          <w:p>
            <w:pPr>
              <w:jc w:val="center"/>
            </w:pP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代缴资金共计</w:t>
            </w:r>
          </w:p>
        </w:tc>
        <w:tc>
          <w:tcPr>
            <w:tcW w:w="1075" w:type="dxa"/>
            <w:tcBorders>
              <w:top w:val="nil"/>
              <w:left w:val="nil"/>
              <w:bottom w:val="single" w:color="auto" w:sz="4" w:space="0"/>
              <w:right w:val="single" w:color="auto" w:sz="4" w:space="0"/>
            </w:tcBorders>
            <w:vAlign w:val="center"/>
          </w:tcPr>
          <w:p>
            <w:pPr>
              <w:jc w:val="center"/>
            </w:pP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29</w:t>
            </w:r>
            <w:r>
              <w:rPr>
                <w:rFonts w:hint="eastAsia" w:ascii="Times New Roman" w:hAnsi="Times New Roman"/>
                <w:kern w:val="0"/>
                <w:sz w:val="18"/>
                <w:szCs w:val="18"/>
                <w:lang w:val="en-US" w:eastAsia="zh-CN"/>
              </w:rPr>
              <w:t>.21万</w:t>
            </w:r>
            <w:r>
              <w:rPr>
                <w:rFonts w:hint="eastAsia" w:ascii="Times New Roman" w:hAnsi="Times New Roman"/>
                <w:kern w:val="0"/>
                <w:sz w:val="18"/>
                <w:szCs w:val="18"/>
              </w:rPr>
              <w:t>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维护社会和谐稳定</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较稳定</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保障低保人员权益</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作用明显</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确保低保人员利益</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48"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低保人员满意度</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gridSpan w:val="3"/>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90"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98</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97" w:type="dxa"/>
          <w:wAfter w:w="30" w:type="dxa"/>
          <w:trHeight w:val="465" w:hRule="atLeast"/>
          <w:jc w:val="center"/>
        </w:trPr>
        <w:tc>
          <w:tcPr>
            <w:tcW w:w="9540" w:type="dxa"/>
            <w:gridSpan w:val="13"/>
            <w:tcBorders>
              <w:top w:val="single" w:color="auto" w:sz="4" w:space="0"/>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gridAfter w:val="1"/>
          <w:wBefore w:w="97" w:type="dxa"/>
          <w:wAfter w:w="30" w:type="dxa"/>
          <w:trHeight w:val="465" w:hRule="atLeast"/>
          <w:jc w:val="center"/>
        </w:trPr>
        <w:tc>
          <w:tcPr>
            <w:tcW w:w="9540" w:type="dxa"/>
            <w:gridSpan w:val="13"/>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gridBefore w:val="1"/>
          <w:gridAfter w:val="1"/>
          <w:wBefore w:w="97" w:type="dxa"/>
          <w:wAfter w:w="30" w:type="dxa"/>
          <w:trHeight w:val="465" w:hRule="atLeast"/>
          <w:jc w:val="center"/>
        </w:trPr>
        <w:tc>
          <w:tcPr>
            <w:tcW w:w="9540" w:type="dxa"/>
            <w:gridSpan w:val="13"/>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hint="eastAsia" w:ascii="宋体" w:hAnsi="宋体" w:cs="宋体"/>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hint="eastAsia" w:ascii="宋体" w:hAnsi="宋体" w:cs="宋体"/>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gridAfter w:val="1"/>
          <w:wBefore w:w="97" w:type="dxa"/>
          <w:wAfter w:w="30" w:type="dxa"/>
          <w:trHeight w:val="210" w:hRule="atLeast"/>
          <w:jc w:val="center"/>
        </w:trPr>
        <w:tc>
          <w:tcPr>
            <w:tcW w:w="9540" w:type="dxa"/>
            <w:gridSpan w:val="13"/>
            <w:tcBorders>
              <w:top w:val="nil"/>
              <w:left w:val="nil"/>
              <w:bottom w:val="nil"/>
              <w:right w:val="nil"/>
            </w:tcBorders>
            <w:noWrap/>
            <w:vAlign w:val="center"/>
          </w:tcPr>
          <w:p>
            <w:pPr>
              <w:widowControl/>
              <w:spacing w:line="400" w:lineRule="exact"/>
              <w:ind w:firstLine="345"/>
              <w:jc w:val="left"/>
              <w:rPr>
                <w:rFonts w:ascii="Times New Roman" w:hAnsi="Times New Roman"/>
                <w:color w:val="000000"/>
                <w:kern w:val="0"/>
                <w:sz w:val="18"/>
                <w:szCs w:val="18"/>
              </w:rPr>
            </w:pPr>
            <w:r>
              <w:rPr>
                <w:rFonts w:ascii="Times New Roman" w:hAnsi="Times New Roman"/>
                <w:color w:val="000000"/>
                <w:kern w:val="0"/>
                <w:sz w:val="18"/>
                <w:szCs w:val="18"/>
              </w:rPr>
              <w:t>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rPr>
          <w:rFonts w:ascii="Times New Roman" w:hAnsi="Times New Roman" w:eastAsia="黑体"/>
        </w:rPr>
        <w:sectPr>
          <w:pgSz w:w="11906" w:h="16838"/>
          <w:pgMar w:top="1134" w:right="1588" w:bottom="1134" w:left="1588" w:header="737" w:footer="851" w:gutter="0"/>
          <w:pgBorders>
            <w:top w:val="none" w:sz="0" w:space="0"/>
            <w:left w:val="none" w:sz="0" w:space="0"/>
            <w:bottom w:val="none" w:sz="0" w:space="0"/>
            <w:right w:val="none" w:sz="0" w:space="0"/>
          </w:pgBorders>
          <w:cols w:space="720" w:num="1"/>
          <w:docGrid w:type="lines" w:linePitch="408" w:charSpace="0"/>
        </w:sectPr>
      </w:pPr>
    </w:p>
    <w:p>
      <w:pPr>
        <w:spacing w:line="56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项目支出绩效评价指标</w:t>
      </w:r>
      <w:r>
        <w:rPr>
          <w:rFonts w:hint="eastAsia" w:ascii="Times New Roman" w:hAnsi="Times New Roman" w:eastAsia="宋体"/>
          <w:bCs/>
          <w:color w:val="000000"/>
          <w:sz w:val="36"/>
          <w:szCs w:val="28"/>
          <w:lang w:eastAsia="zh-CN"/>
        </w:rPr>
        <w:t>评分</w:t>
      </w:r>
      <w:r>
        <w:rPr>
          <w:rFonts w:ascii="Times New Roman" w:hAnsi="Times New Roman" w:eastAsia="宋体"/>
          <w:bCs/>
          <w:color w:val="000000"/>
          <w:sz w:val="36"/>
          <w:szCs w:val="28"/>
        </w:rPr>
        <w:t>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98</w:t>
            </w:r>
          </w:p>
        </w:tc>
      </w:tr>
    </w:tbl>
    <w:p>
      <w:pPr>
        <w:spacing w:line="560" w:lineRule="exact"/>
        <w:ind w:firstLine="200" w:firstLineChars="100"/>
        <w:rPr>
          <w:rFonts w:ascii="Times New Roman" w:hAnsi="Times New Roman" w:eastAsia="仿宋_GB2312"/>
          <w:sz w:val="20"/>
          <w:szCs w:val="20"/>
        </w:rPr>
      </w:pP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D3382"/>
    <w:rsid w:val="000323BF"/>
    <w:rsid w:val="00104B12"/>
    <w:rsid w:val="001377A5"/>
    <w:rsid w:val="00146052"/>
    <w:rsid w:val="00177834"/>
    <w:rsid w:val="001A1EBB"/>
    <w:rsid w:val="002353D6"/>
    <w:rsid w:val="00263B72"/>
    <w:rsid w:val="0038027D"/>
    <w:rsid w:val="00497E5E"/>
    <w:rsid w:val="004A771A"/>
    <w:rsid w:val="005F542D"/>
    <w:rsid w:val="006132EB"/>
    <w:rsid w:val="006360B2"/>
    <w:rsid w:val="006D3382"/>
    <w:rsid w:val="006D3EA2"/>
    <w:rsid w:val="00705FF6"/>
    <w:rsid w:val="007722FE"/>
    <w:rsid w:val="007C04DA"/>
    <w:rsid w:val="00876621"/>
    <w:rsid w:val="008E5B76"/>
    <w:rsid w:val="00A17244"/>
    <w:rsid w:val="00A21CD7"/>
    <w:rsid w:val="00A22A74"/>
    <w:rsid w:val="00A63812"/>
    <w:rsid w:val="00AB7244"/>
    <w:rsid w:val="00B35B1B"/>
    <w:rsid w:val="00B73AE9"/>
    <w:rsid w:val="00BB6F3C"/>
    <w:rsid w:val="00BE45F3"/>
    <w:rsid w:val="00C20AAF"/>
    <w:rsid w:val="00C542CC"/>
    <w:rsid w:val="00C909CE"/>
    <w:rsid w:val="00CF32B3"/>
    <w:rsid w:val="00D80FEC"/>
    <w:rsid w:val="00DF04B1"/>
    <w:rsid w:val="00E30A1D"/>
    <w:rsid w:val="00E47B33"/>
    <w:rsid w:val="00E71B2F"/>
    <w:rsid w:val="00E96BC0"/>
    <w:rsid w:val="00F82699"/>
    <w:rsid w:val="00F92E92"/>
    <w:rsid w:val="00FA48AD"/>
    <w:rsid w:val="00FD230B"/>
    <w:rsid w:val="00FD63D1"/>
    <w:rsid w:val="58DA55CB"/>
    <w:rsid w:val="63C45C95"/>
    <w:rsid w:val="7B6B2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2 Char"/>
    <w:basedOn w:val="8"/>
    <w:link w:val="2"/>
    <w:qFormat/>
    <w:uiPriority w:val="0"/>
    <w:rPr>
      <w:rFonts w:ascii="Arial" w:hAnsi="Arial" w:eastAsia="黑体" w:cs="Times New Roman"/>
      <w:b/>
      <w:sz w:val="32"/>
      <w:szCs w:val="24"/>
    </w:rPr>
  </w:style>
  <w:style w:type="paragraph" w:styleId="10">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
    <w:name w:val="页眉 Char"/>
    <w:basedOn w:val="8"/>
    <w:link w:val="4"/>
    <w:semiHidden/>
    <w:qFormat/>
    <w:uiPriority w:val="99"/>
    <w:rPr>
      <w:rFonts w:ascii="Calibri" w:hAnsi="Calibri" w:eastAsia="宋体" w:cs="Times New Roman"/>
      <w:sz w:val="18"/>
      <w:szCs w:val="18"/>
    </w:rPr>
  </w:style>
  <w:style w:type="character" w:customStyle="1" w:styleId="12">
    <w:name w:val="页脚 Char"/>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917</Words>
  <Characters>5233</Characters>
  <Lines>43</Lines>
  <Paragraphs>12</Paragraphs>
  <TotalTime>1271</TotalTime>
  <ScaleCrop>false</ScaleCrop>
  <LinksUpToDate>false</LinksUpToDate>
  <CharactersWithSpaces>6138</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2021-07-19T03:37:00Z</dcterms:created>
  <dc:creator>Administrator</dc:creator>
  <cp:lastModifiedBy>lenovo</cp:lastModifiedBy>
  <dcterms:modified xsi:type="dcterms:W3CDTF">2021-08-03T07:54:06Z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B56EDA537EA0432F8B78E9D213F5B3E0</vt:lpwstr>
  </property>
</Properties>
</file>