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510" w:lineRule="exact"/>
        <w:jc w:val="center"/>
        <w:rPr>
          <w:rFonts w:ascii="Times New Roman" w:hAnsi="Times New Roman" w:eastAsia="黑体"/>
          <w:sz w:val="44"/>
          <w:szCs w:val="44"/>
        </w:rPr>
      </w:pPr>
      <w:r>
        <w:rPr>
          <w:rFonts w:hint="eastAsia" w:ascii="Times New Roman" w:hAnsi="Times New Roman" w:eastAsia="黑体"/>
          <w:sz w:val="44"/>
          <w:szCs w:val="44"/>
        </w:rPr>
        <w:t>中方县</w:t>
      </w:r>
      <w:r>
        <w:rPr>
          <w:rFonts w:hint="eastAsia" w:ascii="Times New Roman" w:hAnsi="Times New Roman" w:eastAsia="黑体"/>
          <w:sz w:val="44"/>
          <w:szCs w:val="44"/>
          <w:lang w:eastAsia="zh-CN"/>
        </w:rPr>
        <w:t>人力资源和社会保障局</w:t>
      </w:r>
      <w:r>
        <w:rPr>
          <w:rFonts w:hint="eastAsia" w:ascii="Times New Roman" w:hAnsi="Times New Roman" w:eastAsia="黑体"/>
          <w:sz w:val="44"/>
          <w:szCs w:val="44"/>
        </w:rPr>
        <w:t>20</w:t>
      </w:r>
      <w:r>
        <w:rPr>
          <w:rFonts w:ascii="Times New Roman" w:hAnsi="Times New Roman" w:eastAsia="黑体"/>
          <w:sz w:val="44"/>
          <w:szCs w:val="44"/>
        </w:rPr>
        <w:t>20</w:t>
      </w:r>
      <w:r>
        <w:rPr>
          <w:rFonts w:hint="eastAsia" w:ascii="Times New Roman" w:hAnsi="Times New Roman" w:eastAsia="黑体"/>
          <w:sz w:val="44"/>
          <w:szCs w:val="44"/>
        </w:rPr>
        <w:t>年度</w:t>
      </w:r>
      <w:r>
        <w:rPr>
          <w:rFonts w:hint="eastAsia" w:ascii="Times New Roman" w:hAnsi="Times New Roman" w:eastAsia="黑体"/>
          <w:sz w:val="44"/>
          <w:szCs w:val="44"/>
          <w:lang w:eastAsia="zh-CN"/>
        </w:rPr>
        <w:t>再就业上级专项资金</w:t>
      </w:r>
      <w:r>
        <w:rPr>
          <w:rFonts w:ascii="Times New Roman" w:hAnsi="Times New Roman" w:eastAsia="黑体"/>
          <w:sz w:val="44"/>
          <w:szCs w:val="44"/>
        </w:rPr>
        <w:t>项目支出绩效</w:t>
      </w:r>
      <w:r>
        <w:rPr>
          <w:rFonts w:hint="eastAsia" w:ascii="Times New Roman" w:hAnsi="Times New Roman" w:eastAsia="黑体"/>
          <w:sz w:val="44"/>
          <w:szCs w:val="44"/>
        </w:rPr>
        <w:t>自评</w:t>
      </w:r>
      <w:r>
        <w:rPr>
          <w:rFonts w:ascii="Times New Roman" w:hAnsi="Times New Roman" w:eastAsia="黑体"/>
          <w:sz w:val="44"/>
          <w:szCs w:val="44"/>
        </w:rPr>
        <w:t>报告</w:t>
      </w:r>
    </w:p>
    <w:p>
      <w:pPr>
        <w:pStyle w:val="7"/>
        <w:spacing w:line="510" w:lineRule="exact"/>
        <w:ind w:firstLine="643" w:firstLineChars="200"/>
        <w:rPr>
          <w:rFonts w:ascii="Times New Roman" w:hAnsi="Times New Roman" w:eastAsia="楷体"/>
          <w:b/>
          <w:sz w:val="32"/>
          <w:szCs w:val="32"/>
        </w:rPr>
      </w:pPr>
    </w:p>
    <w:p>
      <w:pPr>
        <w:pStyle w:val="7"/>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一、基本情况</w:t>
      </w:r>
    </w:p>
    <w:p>
      <w:pPr>
        <w:pStyle w:val="7"/>
        <w:numPr>
          <w:ilvl w:val="0"/>
          <w:numId w:val="1"/>
        </w:numPr>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项目概况。包括项目背景、主要内容及实施情况、资金投入和使用情况等。</w:t>
      </w:r>
    </w:p>
    <w:p>
      <w:pPr>
        <w:pStyle w:val="7"/>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为进一步规范</w:t>
      </w:r>
      <w:r>
        <w:rPr>
          <w:rFonts w:hint="eastAsia" w:ascii="Times New Roman" w:hAnsi="Times New Roman" w:eastAsia="仿宋"/>
          <w:sz w:val="32"/>
          <w:szCs w:val="32"/>
          <w:lang w:eastAsia="zh-CN"/>
        </w:rPr>
        <w:t>再就业上级专项</w:t>
      </w:r>
      <w:r>
        <w:rPr>
          <w:rFonts w:hint="eastAsia" w:ascii="Times New Roman" w:hAnsi="Times New Roman" w:eastAsia="仿宋"/>
          <w:sz w:val="32"/>
          <w:szCs w:val="32"/>
        </w:rPr>
        <w:t>资金管理，强化绩效和责任意识，切实提高专项资金使用效益，根据《关于开展20</w:t>
      </w:r>
      <w:r>
        <w:rPr>
          <w:rFonts w:ascii="Times New Roman" w:hAnsi="Times New Roman" w:eastAsia="仿宋"/>
          <w:sz w:val="32"/>
          <w:szCs w:val="32"/>
        </w:rPr>
        <w:t>20</w:t>
      </w:r>
      <w:r>
        <w:rPr>
          <w:rFonts w:hint="eastAsia" w:ascii="Times New Roman" w:hAnsi="Times New Roman" w:eastAsia="仿宋"/>
          <w:sz w:val="32"/>
          <w:szCs w:val="32"/>
        </w:rPr>
        <w:t>年度全县财政专项资金绩效自评工作的通知》文件要求，我</w:t>
      </w:r>
      <w:r>
        <w:rPr>
          <w:rFonts w:hint="eastAsia" w:ascii="Times New Roman" w:hAnsi="Times New Roman" w:eastAsia="仿宋"/>
          <w:sz w:val="32"/>
          <w:szCs w:val="32"/>
          <w:lang w:eastAsia="zh-CN"/>
        </w:rPr>
        <w:t>局</w:t>
      </w:r>
      <w:r>
        <w:rPr>
          <w:rFonts w:hint="eastAsia" w:ascii="Times New Roman" w:hAnsi="Times New Roman" w:eastAsia="仿宋"/>
          <w:sz w:val="32"/>
          <w:szCs w:val="32"/>
        </w:rPr>
        <w:t>认真组织开展了20</w:t>
      </w:r>
      <w:r>
        <w:rPr>
          <w:rFonts w:ascii="Times New Roman" w:hAnsi="Times New Roman" w:eastAsia="仿宋"/>
          <w:sz w:val="32"/>
          <w:szCs w:val="32"/>
        </w:rPr>
        <w:t>20</w:t>
      </w:r>
      <w:r>
        <w:rPr>
          <w:rFonts w:hint="eastAsia" w:ascii="Times New Roman" w:hAnsi="Times New Roman" w:eastAsia="仿宋"/>
          <w:sz w:val="32"/>
          <w:szCs w:val="32"/>
        </w:rPr>
        <w:t>年度</w:t>
      </w:r>
      <w:r>
        <w:rPr>
          <w:rFonts w:hint="eastAsia" w:ascii="Times New Roman" w:hAnsi="Times New Roman" w:eastAsia="仿宋"/>
          <w:sz w:val="32"/>
          <w:szCs w:val="32"/>
          <w:lang w:eastAsia="zh-CN"/>
        </w:rPr>
        <w:t>再就业上级专项</w:t>
      </w:r>
      <w:r>
        <w:rPr>
          <w:rFonts w:hint="eastAsia" w:ascii="Times New Roman" w:hAnsi="Times New Roman" w:eastAsia="仿宋"/>
          <w:sz w:val="32"/>
          <w:szCs w:val="32"/>
        </w:rPr>
        <w:t>资金绩效自评工作。现将专项资金绩效评价工作报告如下：</w:t>
      </w:r>
    </w:p>
    <w:p>
      <w:pPr>
        <w:pStyle w:val="7"/>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2020年</w:t>
      </w:r>
      <w:r>
        <w:rPr>
          <w:rFonts w:hint="eastAsia" w:ascii="Times New Roman" w:hAnsi="Times New Roman" w:eastAsia="仿宋"/>
          <w:sz w:val="32"/>
          <w:szCs w:val="32"/>
        </w:rPr>
        <w:t>中方县</w:t>
      </w:r>
      <w:r>
        <w:rPr>
          <w:rFonts w:hint="eastAsia" w:ascii="Times New Roman" w:hAnsi="Times New Roman" w:eastAsia="仿宋"/>
          <w:sz w:val="32"/>
          <w:szCs w:val="32"/>
          <w:lang w:eastAsia="zh-CN"/>
        </w:rPr>
        <w:t>人力资源和社会保障局再就业上级专项资金</w:t>
      </w:r>
      <w:r>
        <w:rPr>
          <w:rFonts w:ascii="Times New Roman" w:hAnsi="Times New Roman" w:eastAsia="仿宋"/>
          <w:sz w:val="32"/>
          <w:szCs w:val="32"/>
        </w:rPr>
        <w:t>项目</w:t>
      </w:r>
      <w:r>
        <w:rPr>
          <w:rFonts w:hint="eastAsia" w:ascii="Times New Roman" w:hAnsi="Times New Roman" w:eastAsia="仿宋"/>
          <w:sz w:val="32"/>
          <w:szCs w:val="32"/>
          <w:lang w:eastAsia="zh-CN"/>
        </w:rPr>
        <w:t>预算计划</w:t>
      </w:r>
      <w:r>
        <w:rPr>
          <w:rFonts w:ascii="Times New Roman" w:hAnsi="Times New Roman" w:eastAsia="仿宋"/>
          <w:sz w:val="32"/>
          <w:szCs w:val="32"/>
        </w:rPr>
        <w:t>资金</w:t>
      </w:r>
      <w:r>
        <w:rPr>
          <w:rFonts w:hint="eastAsia" w:ascii="Times New Roman" w:hAnsi="Times New Roman" w:eastAsia="仿宋"/>
          <w:sz w:val="32"/>
          <w:szCs w:val="32"/>
          <w:lang w:val="en-US" w:eastAsia="zh-CN"/>
        </w:rPr>
        <w:t>1014.1</w:t>
      </w:r>
      <w:r>
        <w:rPr>
          <w:rFonts w:ascii="Times New Roman" w:hAnsi="Times New Roman" w:eastAsia="仿宋"/>
          <w:sz w:val="32"/>
          <w:szCs w:val="32"/>
        </w:rPr>
        <w:t>万</w:t>
      </w:r>
      <w:r>
        <w:rPr>
          <w:rFonts w:hint="eastAsia" w:ascii="Times New Roman" w:hAnsi="Times New Roman" w:eastAsia="仿宋"/>
          <w:sz w:val="32"/>
          <w:szCs w:val="32"/>
          <w:lang w:eastAsia="zh-CN"/>
        </w:rPr>
        <w:t>元</w:t>
      </w:r>
      <w:r>
        <w:rPr>
          <w:rFonts w:ascii="Times New Roman" w:hAnsi="Times New Roman" w:eastAsia="仿宋"/>
          <w:sz w:val="32"/>
          <w:szCs w:val="32"/>
        </w:rPr>
        <w:t>，</w:t>
      </w:r>
      <w:r>
        <w:rPr>
          <w:rFonts w:hint="eastAsia" w:ascii="Times New Roman" w:hAnsi="Times New Roman" w:eastAsia="仿宋"/>
          <w:sz w:val="32"/>
          <w:szCs w:val="32"/>
          <w:lang w:eastAsia="zh-CN"/>
        </w:rPr>
        <w:t>决算</w:t>
      </w:r>
      <w:r>
        <w:rPr>
          <w:rFonts w:ascii="Times New Roman" w:hAnsi="Times New Roman" w:eastAsia="仿宋"/>
          <w:sz w:val="32"/>
          <w:szCs w:val="32"/>
        </w:rPr>
        <w:t>执行过程中，财政拨付专项</w:t>
      </w:r>
      <w:r>
        <w:rPr>
          <w:rFonts w:hint="eastAsia" w:ascii="Times New Roman" w:hAnsi="Times New Roman" w:eastAsia="仿宋"/>
          <w:sz w:val="32"/>
          <w:szCs w:val="32"/>
          <w:lang w:eastAsia="zh-CN"/>
        </w:rPr>
        <w:t>资金</w:t>
      </w:r>
      <w:r>
        <w:rPr>
          <w:rFonts w:hint="eastAsia" w:ascii="Times New Roman" w:hAnsi="Times New Roman" w:eastAsia="仿宋"/>
          <w:sz w:val="32"/>
          <w:szCs w:val="32"/>
          <w:lang w:val="en-US" w:eastAsia="zh-CN"/>
        </w:rPr>
        <w:t>700.72</w:t>
      </w:r>
      <w:r>
        <w:rPr>
          <w:rFonts w:ascii="Times New Roman" w:hAnsi="Times New Roman" w:eastAsia="仿宋"/>
          <w:sz w:val="32"/>
          <w:szCs w:val="32"/>
        </w:rPr>
        <w:t>万元，资金到位率</w:t>
      </w:r>
      <w:r>
        <w:rPr>
          <w:rFonts w:hint="eastAsia" w:ascii="Times New Roman" w:hAnsi="Times New Roman" w:eastAsia="仿宋"/>
          <w:sz w:val="32"/>
          <w:szCs w:val="32"/>
        </w:rPr>
        <w:t>100</w:t>
      </w:r>
      <w:r>
        <w:rPr>
          <w:rFonts w:ascii="Times New Roman" w:hAnsi="Times New Roman" w:eastAsia="仿宋"/>
          <w:sz w:val="32"/>
          <w:szCs w:val="32"/>
        </w:rPr>
        <w:t>%</w:t>
      </w:r>
      <w:r>
        <w:rPr>
          <w:rFonts w:hint="eastAsia" w:ascii="Times New Roman" w:hAnsi="Times New Roman" w:eastAsia="仿宋"/>
          <w:sz w:val="32"/>
          <w:szCs w:val="32"/>
          <w:lang w:eastAsia="zh-CN"/>
        </w:rPr>
        <w:t>，</w:t>
      </w:r>
      <w:r>
        <w:rPr>
          <w:rFonts w:ascii="Times New Roman" w:hAnsi="Times New Roman" w:eastAsia="仿宋"/>
          <w:sz w:val="32"/>
          <w:szCs w:val="32"/>
        </w:rPr>
        <w:t>实际支出率为100%。</w:t>
      </w:r>
    </w:p>
    <w:p>
      <w:pPr>
        <w:pStyle w:val="7"/>
        <w:numPr>
          <w:ilvl w:val="0"/>
          <w:numId w:val="1"/>
        </w:numPr>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项目绩效目标。包括总体目标和阶段性目标。</w:t>
      </w:r>
    </w:p>
    <w:p>
      <w:pPr>
        <w:pStyle w:val="7"/>
        <w:spacing w:line="510" w:lineRule="exact"/>
        <w:ind w:firstLine="640" w:firstLineChars="200"/>
        <w:rPr>
          <w:rFonts w:ascii="仿宋_GB2312" w:hAnsi="Times New Roman" w:eastAsia="仿宋_GB2312"/>
          <w:snapToGrid w:val="0"/>
          <w:kern w:val="0"/>
          <w:sz w:val="32"/>
          <w:szCs w:val="32"/>
        </w:rPr>
      </w:pPr>
      <w:r>
        <w:rPr>
          <w:rFonts w:hint="eastAsia" w:ascii="Times New Roman" w:hAnsi="Times New Roman" w:eastAsia="仿宋"/>
          <w:sz w:val="32"/>
          <w:szCs w:val="32"/>
          <w:lang w:eastAsia="zh-CN"/>
        </w:rPr>
        <w:t>再就业上级专项资金</w:t>
      </w:r>
      <w:r>
        <w:rPr>
          <w:rFonts w:ascii="Times New Roman" w:hAnsi="Times New Roman" w:eastAsia="仿宋"/>
          <w:sz w:val="32"/>
          <w:szCs w:val="32"/>
        </w:rPr>
        <w:t>项目</w:t>
      </w:r>
      <w:r>
        <w:rPr>
          <w:rFonts w:hint="eastAsia" w:ascii="Times New Roman" w:hAnsi="Times New Roman" w:eastAsia="仿宋"/>
          <w:sz w:val="32"/>
          <w:szCs w:val="32"/>
        </w:rPr>
        <w:t>绩效目标为确保</w:t>
      </w:r>
      <w:r>
        <w:rPr>
          <w:rFonts w:hint="eastAsia" w:ascii="Times New Roman" w:hAnsi="Times New Roman" w:eastAsia="仿宋"/>
          <w:sz w:val="32"/>
          <w:szCs w:val="32"/>
          <w:lang w:eastAsia="zh-CN"/>
        </w:rPr>
        <w:t>稳就业、保民生</w:t>
      </w:r>
      <w:r>
        <w:rPr>
          <w:rFonts w:hint="eastAsia" w:ascii="Times New Roman" w:hAnsi="Times New Roman" w:eastAsia="仿宋"/>
          <w:sz w:val="32"/>
          <w:szCs w:val="32"/>
        </w:rPr>
        <w:t>专项工作正常运转</w:t>
      </w:r>
      <w:r>
        <w:rPr>
          <w:rFonts w:hint="eastAsia" w:ascii="仿宋_GB2312" w:hAnsi="Times New Roman" w:eastAsia="仿宋_GB2312"/>
          <w:snapToGrid w:val="0"/>
          <w:kern w:val="0"/>
          <w:sz w:val="32"/>
          <w:szCs w:val="32"/>
        </w:rPr>
        <w:t>。本年度的绩效目标是确保</w:t>
      </w:r>
      <w:r>
        <w:rPr>
          <w:rFonts w:hint="eastAsia" w:ascii="仿宋_GB2312" w:hAnsi="Times New Roman" w:eastAsia="仿宋_GB2312"/>
          <w:snapToGrid w:val="0"/>
          <w:kern w:val="0"/>
          <w:sz w:val="32"/>
          <w:szCs w:val="32"/>
          <w:lang w:eastAsia="zh-CN"/>
        </w:rPr>
        <w:t>稳就业、保民生</w:t>
      </w:r>
      <w:r>
        <w:rPr>
          <w:rFonts w:hint="eastAsia" w:ascii="Times New Roman" w:hAnsi="Times New Roman" w:eastAsia="仿宋"/>
          <w:sz w:val="32"/>
          <w:szCs w:val="32"/>
        </w:rPr>
        <w:t>专项工作</w:t>
      </w:r>
      <w:r>
        <w:rPr>
          <w:rFonts w:hint="eastAsia" w:ascii="仿宋_GB2312" w:hAnsi="Times New Roman" w:eastAsia="仿宋_GB2312"/>
          <w:snapToGrid w:val="0"/>
          <w:kern w:val="0"/>
          <w:sz w:val="32"/>
          <w:szCs w:val="32"/>
        </w:rPr>
        <w:t>正常运转。</w:t>
      </w:r>
    </w:p>
    <w:p>
      <w:pPr>
        <w:pStyle w:val="7"/>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二、绩效评价工作开展情况</w:t>
      </w:r>
    </w:p>
    <w:p>
      <w:pPr>
        <w:pStyle w:val="7"/>
        <w:spacing w:line="510" w:lineRule="exact"/>
        <w:ind w:firstLine="640" w:firstLineChars="200"/>
        <w:rPr>
          <w:rFonts w:ascii="仿宋_GB2312" w:hAnsi="Times New Roman" w:eastAsia="仿宋_GB2312"/>
          <w:snapToGrid w:val="0"/>
          <w:kern w:val="0"/>
          <w:sz w:val="32"/>
          <w:szCs w:val="32"/>
        </w:rPr>
      </w:pPr>
      <w:r>
        <w:rPr>
          <w:rFonts w:ascii="仿宋_GB2312" w:hAnsi="Times New Roman" w:eastAsia="仿宋_GB2312"/>
          <w:snapToGrid w:val="0"/>
          <w:kern w:val="0"/>
          <w:sz w:val="32"/>
          <w:szCs w:val="32"/>
        </w:rPr>
        <w:t>（一）绩效评价目的、对象和范围。</w:t>
      </w:r>
    </w:p>
    <w:p>
      <w:pPr>
        <w:pStyle w:val="7"/>
        <w:spacing w:line="510" w:lineRule="exact"/>
        <w:ind w:firstLine="640" w:firstLineChars="200"/>
        <w:rPr>
          <w:rFonts w:ascii="仿宋_GB2312" w:hAnsi="Times New Roman" w:eastAsia="仿宋_GB2312"/>
          <w:snapToGrid w:val="0"/>
          <w:kern w:val="0"/>
          <w:sz w:val="32"/>
          <w:szCs w:val="32"/>
        </w:rPr>
      </w:pPr>
      <w:r>
        <w:rPr>
          <w:rFonts w:ascii="仿宋_GB2312" w:hAnsi="Times New Roman" w:eastAsia="仿宋_GB2312"/>
          <w:snapToGrid w:val="0"/>
          <w:kern w:val="0"/>
          <w:sz w:val="32"/>
          <w:szCs w:val="32"/>
        </w:rPr>
        <w:t>绩效评价目的</w:t>
      </w:r>
      <w:r>
        <w:rPr>
          <w:rFonts w:hint="eastAsia" w:ascii="仿宋_GB2312" w:hAnsi="Times New Roman" w:eastAsia="仿宋_GB2312"/>
          <w:snapToGrid w:val="0"/>
          <w:kern w:val="0"/>
          <w:sz w:val="32"/>
          <w:szCs w:val="32"/>
        </w:rPr>
        <w:t>为进一步规范</w:t>
      </w:r>
      <w:r>
        <w:rPr>
          <w:rFonts w:hint="eastAsia" w:ascii="仿宋_GB2312" w:hAnsi="Times New Roman" w:eastAsia="仿宋_GB2312"/>
          <w:snapToGrid w:val="0"/>
          <w:kern w:val="0"/>
          <w:sz w:val="32"/>
          <w:szCs w:val="32"/>
          <w:lang w:eastAsia="zh-CN"/>
        </w:rPr>
        <w:t>再就业上级</w:t>
      </w:r>
      <w:r>
        <w:rPr>
          <w:rFonts w:hint="eastAsia" w:ascii="Times New Roman" w:hAnsi="Times New Roman" w:eastAsia="仿宋"/>
          <w:sz w:val="32"/>
          <w:szCs w:val="32"/>
        </w:rPr>
        <w:t>专项</w:t>
      </w:r>
      <w:r>
        <w:rPr>
          <w:rFonts w:hint="eastAsia" w:ascii="仿宋_GB2312" w:hAnsi="Times New Roman" w:eastAsia="仿宋_GB2312"/>
          <w:snapToGrid w:val="0"/>
          <w:kern w:val="0"/>
          <w:sz w:val="32"/>
          <w:szCs w:val="32"/>
        </w:rPr>
        <w:t>资金管理，强化绩效和责任意识，切实提高专项资金使用效益。评价</w:t>
      </w:r>
      <w:r>
        <w:rPr>
          <w:rFonts w:ascii="仿宋_GB2312" w:hAnsi="Times New Roman" w:eastAsia="仿宋_GB2312"/>
          <w:snapToGrid w:val="0"/>
          <w:kern w:val="0"/>
          <w:sz w:val="32"/>
          <w:szCs w:val="32"/>
        </w:rPr>
        <w:t>对象</w:t>
      </w:r>
      <w:r>
        <w:rPr>
          <w:rFonts w:hint="eastAsia" w:ascii="仿宋_GB2312" w:hAnsi="Times New Roman" w:eastAsia="仿宋_GB2312"/>
          <w:snapToGrid w:val="0"/>
          <w:kern w:val="0"/>
          <w:sz w:val="32"/>
          <w:szCs w:val="32"/>
        </w:rPr>
        <w:t>为</w:t>
      </w:r>
      <w:r>
        <w:rPr>
          <w:rFonts w:hint="eastAsia" w:ascii="仿宋_GB2312" w:hAnsi="Times New Roman" w:eastAsia="仿宋_GB2312"/>
          <w:snapToGrid w:val="0"/>
          <w:kern w:val="0"/>
          <w:sz w:val="32"/>
          <w:szCs w:val="32"/>
          <w:lang w:eastAsia="zh-CN"/>
        </w:rPr>
        <w:t>再就业上级</w:t>
      </w:r>
      <w:r>
        <w:rPr>
          <w:rFonts w:hint="eastAsia" w:ascii="仿宋_GB2312" w:hAnsi="Times New Roman" w:eastAsia="仿宋_GB2312"/>
          <w:snapToGrid w:val="0"/>
          <w:kern w:val="0"/>
          <w:sz w:val="32"/>
          <w:szCs w:val="32"/>
        </w:rPr>
        <w:t>专项资金。评价范围包括中方县</w:t>
      </w:r>
      <w:r>
        <w:rPr>
          <w:rFonts w:hint="eastAsia" w:ascii="仿宋_GB2312" w:hAnsi="Times New Roman" w:eastAsia="仿宋_GB2312"/>
          <w:snapToGrid w:val="0"/>
          <w:kern w:val="0"/>
          <w:sz w:val="32"/>
          <w:szCs w:val="32"/>
          <w:lang w:eastAsia="zh-CN"/>
        </w:rPr>
        <w:t>人力资源和社会保障</w:t>
      </w:r>
      <w:r>
        <w:rPr>
          <w:rFonts w:hint="eastAsia" w:ascii="仿宋_GB2312" w:hAnsi="Times New Roman" w:eastAsia="仿宋_GB2312"/>
          <w:snapToGrid w:val="0"/>
          <w:kern w:val="0"/>
          <w:sz w:val="32"/>
          <w:szCs w:val="32"/>
        </w:rPr>
        <w:t>20</w:t>
      </w:r>
      <w:r>
        <w:rPr>
          <w:rFonts w:ascii="仿宋_GB2312" w:hAnsi="Times New Roman" w:eastAsia="仿宋_GB2312"/>
          <w:snapToGrid w:val="0"/>
          <w:kern w:val="0"/>
          <w:sz w:val="32"/>
          <w:szCs w:val="32"/>
        </w:rPr>
        <w:t>20</w:t>
      </w:r>
      <w:r>
        <w:rPr>
          <w:rFonts w:hint="eastAsia" w:ascii="仿宋_GB2312" w:hAnsi="Times New Roman" w:eastAsia="仿宋_GB2312"/>
          <w:snapToGrid w:val="0"/>
          <w:kern w:val="0"/>
          <w:sz w:val="32"/>
          <w:szCs w:val="32"/>
        </w:rPr>
        <w:t>年度</w:t>
      </w:r>
      <w:r>
        <w:rPr>
          <w:rFonts w:hint="eastAsia" w:ascii="仿宋_GB2312" w:hAnsi="Times New Roman" w:eastAsia="仿宋_GB2312"/>
          <w:snapToGrid w:val="0"/>
          <w:kern w:val="0"/>
          <w:sz w:val="32"/>
          <w:szCs w:val="32"/>
          <w:lang w:eastAsia="zh-CN"/>
        </w:rPr>
        <w:t>再就业上级专项</w:t>
      </w:r>
      <w:r>
        <w:rPr>
          <w:rFonts w:hint="eastAsia" w:ascii="仿宋_GB2312" w:hAnsi="Times New Roman" w:eastAsia="仿宋_GB2312"/>
          <w:snapToGrid w:val="0"/>
          <w:kern w:val="0"/>
          <w:sz w:val="32"/>
          <w:szCs w:val="32"/>
        </w:rPr>
        <w:t>资金。</w:t>
      </w:r>
    </w:p>
    <w:p>
      <w:pPr>
        <w:pStyle w:val="7"/>
        <w:spacing w:line="510" w:lineRule="exact"/>
        <w:ind w:firstLine="640" w:firstLineChars="200"/>
        <w:rPr>
          <w:rFonts w:ascii="仿宋_GB2312" w:hAnsi="Times New Roman" w:eastAsia="仿宋_GB2312"/>
          <w:snapToGrid w:val="0"/>
          <w:kern w:val="0"/>
          <w:sz w:val="32"/>
          <w:szCs w:val="32"/>
        </w:rPr>
      </w:pPr>
      <w:r>
        <w:rPr>
          <w:rFonts w:hint="eastAsia" w:ascii="仿宋_GB2312" w:hAnsi="Times New Roman" w:eastAsia="仿宋_GB2312"/>
          <w:snapToGrid w:val="0"/>
          <w:kern w:val="0"/>
          <w:sz w:val="32"/>
          <w:szCs w:val="32"/>
        </w:rPr>
        <w:t>（二）</w:t>
      </w:r>
      <w:r>
        <w:rPr>
          <w:rFonts w:ascii="仿宋_GB2312" w:hAnsi="Times New Roman" w:eastAsia="仿宋_GB2312"/>
          <w:snapToGrid w:val="0"/>
          <w:kern w:val="0"/>
          <w:sz w:val="32"/>
          <w:szCs w:val="32"/>
        </w:rPr>
        <w:t>绩效评价原则、评价指标体系（附表说明）、评价方法、评价标准等。</w:t>
      </w:r>
    </w:p>
    <w:p>
      <w:pPr>
        <w:pStyle w:val="7"/>
        <w:spacing w:line="510" w:lineRule="exact"/>
        <w:ind w:firstLine="640" w:firstLineChars="200"/>
        <w:rPr>
          <w:rFonts w:ascii="仿宋_GB2312" w:hAnsi="Times New Roman" w:eastAsia="仿宋_GB2312"/>
          <w:snapToGrid w:val="0"/>
          <w:kern w:val="0"/>
          <w:sz w:val="32"/>
          <w:szCs w:val="32"/>
        </w:rPr>
      </w:pPr>
      <w:r>
        <w:rPr>
          <w:rFonts w:hint="eastAsia" w:ascii="仿宋_GB2312" w:hAnsi="Times New Roman" w:eastAsia="仿宋_GB2312"/>
          <w:snapToGrid w:val="0"/>
          <w:kern w:val="0"/>
          <w:sz w:val="32"/>
          <w:szCs w:val="32"/>
        </w:rPr>
        <w:t>本项目的</w:t>
      </w:r>
      <w:r>
        <w:rPr>
          <w:rFonts w:ascii="仿宋_GB2312" w:hAnsi="Times New Roman" w:eastAsia="仿宋_GB2312"/>
          <w:snapToGrid w:val="0"/>
          <w:kern w:val="0"/>
          <w:sz w:val="32"/>
          <w:szCs w:val="32"/>
        </w:rPr>
        <w:t>绩效评价原则</w:t>
      </w:r>
      <w:r>
        <w:rPr>
          <w:rFonts w:hint="eastAsia" w:ascii="仿宋_GB2312" w:hAnsi="Times New Roman" w:eastAsia="仿宋_GB2312"/>
          <w:snapToGrid w:val="0"/>
          <w:kern w:val="0"/>
          <w:sz w:val="32"/>
          <w:szCs w:val="32"/>
        </w:rPr>
        <w:t>和</w:t>
      </w:r>
      <w:r>
        <w:rPr>
          <w:rFonts w:ascii="仿宋_GB2312" w:hAnsi="Times New Roman" w:eastAsia="仿宋_GB2312"/>
          <w:snapToGrid w:val="0"/>
          <w:kern w:val="0"/>
          <w:sz w:val="32"/>
          <w:szCs w:val="32"/>
        </w:rPr>
        <w:t>评价指标</w:t>
      </w:r>
      <w:r>
        <w:rPr>
          <w:rFonts w:hint="eastAsia" w:ascii="仿宋_GB2312" w:hAnsi="Times New Roman" w:eastAsia="仿宋_GB2312"/>
          <w:snapToGrid w:val="0"/>
          <w:kern w:val="0"/>
          <w:sz w:val="32"/>
          <w:szCs w:val="32"/>
        </w:rPr>
        <w:t>紧密联系，相互融通。本年度该项目绩效指标分别有一级指标、二级指标、三级指标以及指标值及单位。详见</w:t>
      </w:r>
      <w:r>
        <w:rPr>
          <w:rFonts w:ascii="仿宋_GB2312" w:hAnsi="Times New Roman" w:eastAsia="仿宋_GB2312"/>
          <w:snapToGrid w:val="0"/>
          <w:kern w:val="0"/>
          <w:sz w:val="32"/>
          <w:szCs w:val="32"/>
        </w:rPr>
        <w:t>附表</w:t>
      </w:r>
      <w:r>
        <w:rPr>
          <w:rFonts w:hint="eastAsia" w:ascii="仿宋_GB2312" w:hAnsi="Times New Roman" w:eastAsia="仿宋_GB2312"/>
          <w:snapToGrid w:val="0"/>
          <w:kern w:val="0"/>
          <w:sz w:val="32"/>
          <w:szCs w:val="32"/>
        </w:rPr>
        <w:t>。</w:t>
      </w:r>
    </w:p>
    <w:p>
      <w:pPr>
        <w:pStyle w:val="7"/>
        <w:spacing w:line="510" w:lineRule="exact"/>
        <w:ind w:firstLine="640" w:firstLineChars="200"/>
        <w:rPr>
          <w:rFonts w:ascii="仿宋_GB2312" w:hAnsi="Times New Roman" w:eastAsia="仿宋_GB2312"/>
          <w:snapToGrid w:val="0"/>
          <w:kern w:val="0"/>
          <w:sz w:val="32"/>
          <w:szCs w:val="32"/>
        </w:rPr>
      </w:pPr>
      <w:r>
        <w:rPr>
          <w:rFonts w:hint="eastAsia" w:ascii="仿宋_GB2312" w:hAnsi="Times New Roman" w:eastAsia="仿宋_GB2312"/>
          <w:snapToGrid w:val="0"/>
          <w:kern w:val="0"/>
          <w:sz w:val="32"/>
          <w:szCs w:val="32"/>
        </w:rPr>
        <w:t>（三）</w:t>
      </w:r>
      <w:r>
        <w:rPr>
          <w:rFonts w:ascii="仿宋_GB2312" w:hAnsi="Times New Roman" w:eastAsia="仿宋_GB2312"/>
          <w:snapToGrid w:val="0"/>
          <w:kern w:val="0"/>
          <w:sz w:val="32"/>
          <w:szCs w:val="32"/>
        </w:rPr>
        <w:t>绩效评价工作过程。</w:t>
      </w:r>
    </w:p>
    <w:p>
      <w:pPr>
        <w:pStyle w:val="7"/>
        <w:spacing w:line="510" w:lineRule="exact"/>
        <w:ind w:firstLine="640" w:firstLineChars="200"/>
        <w:rPr>
          <w:rFonts w:ascii="仿宋_GB2312" w:hAnsi="Times New Roman" w:eastAsia="仿宋_GB2312"/>
          <w:snapToGrid w:val="0"/>
          <w:kern w:val="0"/>
          <w:sz w:val="32"/>
          <w:szCs w:val="32"/>
        </w:rPr>
      </w:pPr>
      <w:r>
        <w:rPr>
          <w:rFonts w:hint="eastAsia" w:ascii="仿宋_GB2312" w:hAnsi="Times New Roman" w:eastAsia="仿宋_GB2312"/>
          <w:snapToGrid w:val="0"/>
          <w:kern w:val="0"/>
          <w:sz w:val="32"/>
          <w:szCs w:val="32"/>
        </w:rPr>
        <w:t>1、我</w:t>
      </w:r>
      <w:r>
        <w:rPr>
          <w:rFonts w:hint="eastAsia" w:ascii="仿宋_GB2312" w:hAnsi="Times New Roman" w:eastAsia="仿宋_GB2312"/>
          <w:snapToGrid w:val="0"/>
          <w:kern w:val="0"/>
          <w:sz w:val="32"/>
          <w:szCs w:val="32"/>
          <w:lang w:eastAsia="zh-CN"/>
        </w:rPr>
        <w:t>局</w:t>
      </w:r>
      <w:r>
        <w:rPr>
          <w:rFonts w:hint="eastAsia" w:ascii="仿宋_GB2312" w:hAnsi="Times New Roman" w:eastAsia="仿宋_GB2312"/>
          <w:snapToGrid w:val="0"/>
          <w:kern w:val="0"/>
          <w:sz w:val="32"/>
          <w:szCs w:val="32"/>
        </w:rPr>
        <w:t>坚持把项目管理作为工作的重中之重，</w:t>
      </w:r>
      <w:r>
        <w:rPr>
          <w:rFonts w:hint="eastAsia" w:ascii="仿宋_GB2312" w:hAnsi="Times New Roman" w:eastAsia="仿宋_GB2312"/>
          <w:snapToGrid w:val="0"/>
          <w:kern w:val="0"/>
          <w:sz w:val="32"/>
          <w:szCs w:val="32"/>
          <w:lang w:eastAsia="zh-CN"/>
        </w:rPr>
        <w:t>财务</w:t>
      </w:r>
      <w:r>
        <w:rPr>
          <w:rFonts w:hint="eastAsia" w:ascii="仿宋_GB2312" w:hAnsi="Times New Roman" w:eastAsia="仿宋_GB2312"/>
          <w:snapToGrid w:val="0"/>
          <w:kern w:val="0"/>
          <w:sz w:val="32"/>
          <w:szCs w:val="32"/>
        </w:rPr>
        <w:t>人员负责对</w:t>
      </w:r>
      <w:r>
        <w:rPr>
          <w:rFonts w:hint="eastAsia" w:ascii="仿宋_GB2312" w:hAnsi="Times New Roman" w:eastAsia="仿宋_GB2312"/>
          <w:snapToGrid w:val="0"/>
          <w:kern w:val="0"/>
          <w:sz w:val="32"/>
          <w:szCs w:val="32"/>
          <w:lang w:eastAsia="zh-CN"/>
        </w:rPr>
        <w:t>再就业上级专项</w:t>
      </w:r>
      <w:r>
        <w:rPr>
          <w:rFonts w:hint="eastAsia" w:ascii="Times New Roman" w:hAnsi="Times New Roman" w:eastAsia="仿宋"/>
          <w:sz w:val="32"/>
          <w:szCs w:val="32"/>
          <w:lang w:eastAsia="zh-CN"/>
        </w:rPr>
        <w:t>资金</w:t>
      </w:r>
      <w:r>
        <w:rPr>
          <w:rFonts w:hint="eastAsia" w:ascii="仿宋_GB2312" w:hAnsi="Times New Roman" w:eastAsia="仿宋_GB2312"/>
          <w:snapToGrid w:val="0"/>
          <w:kern w:val="0"/>
          <w:sz w:val="32"/>
          <w:szCs w:val="32"/>
        </w:rPr>
        <w:t>严格监督把关，确保</w:t>
      </w:r>
      <w:r>
        <w:rPr>
          <w:rFonts w:hint="eastAsia" w:ascii="Times New Roman" w:hAnsi="Times New Roman" w:eastAsia="仿宋"/>
          <w:sz w:val="32"/>
          <w:szCs w:val="32"/>
        </w:rPr>
        <w:t>专项工作</w:t>
      </w:r>
      <w:r>
        <w:rPr>
          <w:rFonts w:hint="eastAsia" w:ascii="仿宋_GB2312" w:hAnsi="Times New Roman" w:eastAsia="仿宋_GB2312"/>
          <w:snapToGrid w:val="0"/>
          <w:kern w:val="0"/>
          <w:sz w:val="32"/>
          <w:szCs w:val="32"/>
        </w:rPr>
        <w:t>正常运转。</w:t>
      </w:r>
    </w:p>
    <w:p>
      <w:pPr>
        <w:pStyle w:val="7"/>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三、综合评价情况及评价结论（附相关评分表）</w:t>
      </w:r>
    </w:p>
    <w:p>
      <w:pPr>
        <w:pStyle w:val="7"/>
        <w:spacing w:line="510" w:lineRule="exact"/>
        <w:ind w:firstLine="640" w:firstLineChars="200"/>
        <w:rPr>
          <w:rFonts w:ascii="仿宋_GB2312" w:hAnsi="Times New Roman" w:eastAsia="仿宋_GB2312"/>
          <w:snapToGrid w:val="0"/>
          <w:kern w:val="0"/>
          <w:sz w:val="32"/>
          <w:szCs w:val="32"/>
        </w:rPr>
      </w:pPr>
      <w:r>
        <w:rPr>
          <w:rFonts w:ascii="仿宋_GB2312" w:hAnsi="Times New Roman" w:eastAsia="仿宋_GB2312"/>
          <w:snapToGrid w:val="0"/>
          <w:kern w:val="0"/>
          <w:sz w:val="32"/>
          <w:szCs w:val="32"/>
        </w:rPr>
        <w:t>绩效评价等级一般划分为四档：90分（含）—100分为优，80分（含）—90分为良，60分（含）—80分为中，60分以下为差。</w:t>
      </w:r>
    </w:p>
    <w:p>
      <w:pPr>
        <w:pStyle w:val="7"/>
        <w:spacing w:line="510" w:lineRule="exact"/>
        <w:ind w:firstLine="640" w:firstLineChars="200"/>
        <w:rPr>
          <w:rFonts w:ascii="仿宋_GB2312" w:hAnsi="Times New Roman" w:eastAsia="仿宋_GB2312"/>
          <w:snapToGrid w:val="0"/>
          <w:kern w:val="0"/>
          <w:sz w:val="32"/>
          <w:szCs w:val="32"/>
        </w:rPr>
      </w:pPr>
      <w:r>
        <w:rPr>
          <w:rFonts w:hint="eastAsia" w:ascii="仿宋_GB2312" w:hAnsi="Times New Roman" w:eastAsia="仿宋_GB2312"/>
          <w:snapToGrid w:val="0"/>
          <w:kern w:val="0"/>
          <w:sz w:val="32"/>
          <w:szCs w:val="32"/>
        </w:rPr>
        <w:t>20</w:t>
      </w:r>
      <w:r>
        <w:rPr>
          <w:rFonts w:ascii="仿宋_GB2312" w:hAnsi="Times New Roman" w:eastAsia="仿宋_GB2312"/>
          <w:snapToGrid w:val="0"/>
          <w:kern w:val="0"/>
          <w:sz w:val="32"/>
          <w:szCs w:val="32"/>
        </w:rPr>
        <w:t>20</w:t>
      </w:r>
      <w:r>
        <w:rPr>
          <w:rFonts w:hint="eastAsia" w:ascii="仿宋_GB2312" w:hAnsi="Times New Roman" w:eastAsia="仿宋_GB2312"/>
          <w:snapToGrid w:val="0"/>
          <w:kern w:val="0"/>
          <w:sz w:val="32"/>
          <w:szCs w:val="32"/>
        </w:rPr>
        <w:t>年度，本单位</w:t>
      </w:r>
      <w:r>
        <w:rPr>
          <w:rFonts w:hint="eastAsia" w:ascii="仿宋_GB2312" w:hAnsi="Times New Roman" w:eastAsia="仿宋_GB2312"/>
          <w:snapToGrid w:val="0"/>
          <w:kern w:val="0"/>
          <w:sz w:val="32"/>
          <w:szCs w:val="32"/>
          <w:lang w:eastAsia="zh-CN"/>
        </w:rPr>
        <w:t>再就业上级专项资金</w:t>
      </w:r>
      <w:r>
        <w:rPr>
          <w:rFonts w:ascii="仿宋_GB2312" w:hAnsi="Times New Roman" w:eastAsia="仿宋_GB2312"/>
          <w:snapToGrid w:val="0"/>
          <w:kern w:val="0"/>
          <w:sz w:val="32"/>
          <w:szCs w:val="32"/>
        </w:rPr>
        <w:t>项目绩效评价等级</w:t>
      </w:r>
      <w:r>
        <w:rPr>
          <w:rFonts w:hint="eastAsia" w:ascii="仿宋_GB2312" w:hAnsi="Times New Roman" w:eastAsia="仿宋_GB2312"/>
          <w:snapToGrid w:val="0"/>
          <w:kern w:val="0"/>
          <w:sz w:val="32"/>
          <w:szCs w:val="32"/>
        </w:rPr>
        <w:t>为</w:t>
      </w:r>
      <w:r>
        <w:rPr>
          <w:rFonts w:hint="eastAsia" w:ascii="仿宋_GB2312" w:hAnsi="Times New Roman" w:eastAsia="仿宋_GB2312"/>
          <w:snapToGrid w:val="0"/>
          <w:kern w:val="0"/>
          <w:sz w:val="32"/>
          <w:szCs w:val="32"/>
          <w:lang w:eastAsia="zh-CN"/>
        </w:rPr>
        <w:t>优</w:t>
      </w:r>
      <w:r>
        <w:rPr>
          <w:rFonts w:hint="eastAsia" w:ascii="仿宋_GB2312" w:hAnsi="Times New Roman" w:eastAsia="仿宋_GB2312"/>
          <w:snapToGrid w:val="0"/>
          <w:kern w:val="0"/>
          <w:sz w:val="32"/>
          <w:szCs w:val="32"/>
        </w:rPr>
        <w:t>。</w:t>
      </w:r>
    </w:p>
    <w:p>
      <w:pPr>
        <w:pStyle w:val="7"/>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四、绩效评价指标分析</w:t>
      </w:r>
    </w:p>
    <w:p>
      <w:pPr>
        <w:pStyle w:val="7"/>
        <w:spacing w:line="510" w:lineRule="exact"/>
        <w:ind w:firstLine="640" w:firstLineChars="200"/>
        <w:rPr>
          <w:rFonts w:ascii="仿宋_GB2312" w:hAnsi="Times New Roman" w:eastAsia="仿宋_GB2312"/>
          <w:snapToGrid w:val="0"/>
          <w:kern w:val="0"/>
          <w:sz w:val="32"/>
          <w:szCs w:val="32"/>
        </w:rPr>
      </w:pPr>
      <w:r>
        <w:rPr>
          <w:rFonts w:ascii="仿宋_GB2312" w:hAnsi="Times New Roman" w:eastAsia="仿宋_GB2312"/>
          <w:snapToGrid w:val="0"/>
          <w:kern w:val="0"/>
          <w:sz w:val="32"/>
          <w:szCs w:val="32"/>
        </w:rPr>
        <w:t>通过自评，2020年度</w:t>
      </w:r>
      <w:r>
        <w:rPr>
          <w:rFonts w:hint="eastAsia" w:ascii="仿宋_GB2312" w:hAnsi="Times New Roman" w:eastAsia="仿宋_GB2312"/>
          <w:snapToGrid w:val="0"/>
          <w:kern w:val="0"/>
          <w:sz w:val="32"/>
          <w:szCs w:val="32"/>
          <w:lang w:eastAsia="zh-CN"/>
        </w:rPr>
        <w:t>再就业上级</w:t>
      </w:r>
      <w:r>
        <w:rPr>
          <w:rFonts w:hint="eastAsia" w:ascii="Times New Roman" w:hAnsi="Times New Roman" w:eastAsia="仿宋"/>
          <w:sz w:val="32"/>
          <w:szCs w:val="32"/>
        </w:rPr>
        <w:t>专项</w:t>
      </w:r>
      <w:r>
        <w:rPr>
          <w:rFonts w:ascii="仿宋_GB2312" w:hAnsi="Times New Roman" w:eastAsia="仿宋_GB2312"/>
          <w:snapToGrid w:val="0"/>
          <w:kern w:val="0"/>
          <w:sz w:val="32"/>
          <w:szCs w:val="32"/>
        </w:rPr>
        <w:t>资金管理规范，所有项目均实现了统筹规划、归口管理、规范运作。各项效益指标完成良好，一是数量指标：</w:t>
      </w:r>
      <w:r>
        <w:rPr>
          <w:rFonts w:hint="eastAsia" w:ascii="仿宋_GB2312" w:hAnsi="Times New Roman" w:eastAsia="仿宋_GB2312"/>
          <w:snapToGrid w:val="0"/>
          <w:kern w:val="0"/>
          <w:sz w:val="32"/>
          <w:szCs w:val="32"/>
          <w:lang w:eastAsia="zh-CN"/>
        </w:rPr>
        <w:t>稳就业、保民生</w:t>
      </w:r>
      <w:r>
        <w:rPr>
          <w:rFonts w:hint="eastAsia" w:ascii="Times New Roman" w:hAnsi="Times New Roman" w:eastAsia="仿宋"/>
          <w:sz w:val="32"/>
          <w:szCs w:val="32"/>
        </w:rPr>
        <w:t>专项</w:t>
      </w:r>
      <w:r>
        <w:rPr>
          <w:rFonts w:ascii="仿宋_GB2312" w:hAnsi="Times New Roman" w:eastAsia="仿宋_GB2312"/>
          <w:snapToGrid w:val="0"/>
          <w:kern w:val="0"/>
          <w:sz w:val="32"/>
          <w:szCs w:val="32"/>
        </w:rPr>
        <w:t>工作。二是可持续影响：确保</w:t>
      </w:r>
      <w:r>
        <w:rPr>
          <w:rFonts w:hint="eastAsia" w:ascii="仿宋_GB2312" w:hAnsi="Times New Roman" w:eastAsia="仿宋_GB2312"/>
          <w:snapToGrid w:val="0"/>
          <w:kern w:val="0"/>
          <w:sz w:val="32"/>
          <w:szCs w:val="32"/>
          <w:lang w:eastAsia="zh-CN"/>
        </w:rPr>
        <w:t>再就业</w:t>
      </w:r>
      <w:r>
        <w:rPr>
          <w:rFonts w:hint="eastAsia" w:ascii="Times New Roman" w:hAnsi="Times New Roman" w:eastAsia="仿宋"/>
          <w:sz w:val="32"/>
          <w:szCs w:val="32"/>
        </w:rPr>
        <w:t>专项工作</w:t>
      </w:r>
      <w:r>
        <w:rPr>
          <w:rFonts w:ascii="仿宋_GB2312" w:hAnsi="Times New Roman" w:eastAsia="仿宋_GB2312"/>
          <w:snapToGrid w:val="0"/>
          <w:kern w:val="0"/>
          <w:sz w:val="32"/>
          <w:szCs w:val="32"/>
        </w:rPr>
        <w:t>正常运转。三是服务对象满意度：根据满意度调查反馈，反映良好，项目实施取得满意的效果。</w:t>
      </w:r>
    </w:p>
    <w:p>
      <w:pPr>
        <w:pStyle w:val="7"/>
        <w:spacing w:line="510" w:lineRule="exact"/>
        <w:ind w:firstLine="643" w:firstLineChars="200"/>
        <w:rPr>
          <w:rFonts w:ascii="Times New Roman" w:hAnsi="Times New Roman" w:eastAsia="楷体"/>
          <w:b/>
          <w:sz w:val="32"/>
          <w:szCs w:val="32"/>
        </w:rPr>
      </w:pPr>
      <w:r>
        <w:rPr>
          <w:rFonts w:hint="eastAsia" w:ascii="Times New Roman" w:hAnsi="Times New Roman" w:eastAsia="楷体"/>
          <w:b/>
          <w:sz w:val="32"/>
          <w:szCs w:val="32"/>
        </w:rPr>
        <w:t>五、</w:t>
      </w:r>
      <w:r>
        <w:rPr>
          <w:rFonts w:ascii="Times New Roman" w:hAnsi="Times New Roman" w:eastAsia="楷体"/>
          <w:b/>
          <w:sz w:val="32"/>
          <w:szCs w:val="32"/>
        </w:rPr>
        <w:t>主要经验及做法、存在的问题及原因分析</w:t>
      </w:r>
    </w:p>
    <w:p>
      <w:pPr>
        <w:pStyle w:val="7"/>
        <w:spacing w:line="510" w:lineRule="exact"/>
        <w:ind w:firstLine="640" w:firstLineChars="200"/>
        <w:rPr>
          <w:rFonts w:ascii="仿宋_GB2312" w:hAnsi="Times New Roman" w:eastAsia="仿宋_GB2312"/>
          <w:snapToGrid w:val="0"/>
          <w:kern w:val="0"/>
          <w:sz w:val="32"/>
          <w:szCs w:val="32"/>
        </w:rPr>
      </w:pPr>
      <w:r>
        <w:rPr>
          <w:rFonts w:ascii="仿宋_GB2312" w:hAnsi="Times New Roman" w:eastAsia="仿宋_GB2312"/>
          <w:snapToGrid w:val="0"/>
          <w:kern w:val="0"/>
          <w:sz w:val="32"/>
          <w:szCs w:val="32"/>
        </w:rPr>
        <w:t>主要经验及做法：2020年度，本单位根据往年经验和年初工作规划制定预算，加强预算收支管理，不断建立健全内部管理制度，梳理内部管理流程，较好的完成了工作目标，部门整体支出管理情况得到提升。</w:t>
      </w:r>
    </w:p>
    <w:p>
      <w:pPr>
        <w:pStyle w:val="7"/>
        <w:spacing w:line="510" w:lineRule="exact"/>
        <w:ind w:firstLine="640" w:firstLineChars="200"/>
        <w:rPr>
          <w:rFonts w:ascii="Times New Roman" w:hAnsi="Times New Roman" w:eastAsia="仿宋"/>
          <w:sz w:val="32"/>
          <w:szCs w:val="32"/>
        </w:rPr>
      </w:pPr>
      <w:r>
        <w:rPr>
          <w:rFonts w:ascii="仿宋_GB2312" w:hAnsi="Times New Roman" w:eastAsia="仿宋_GB2312"/>
          <w:snapToGrid w:val="0"/>
          <w:kern w:val="0"/>
          <w:sz w:val="32"/>
          <w:szCs w:val="32"/>
        </w:rPr>
        <w:t>存在问题：</w:t>
      </w:r>
      <w:r>
        <w:rPr>
          <w:rFonts w:hint="eastAsia" w:ascii="仿宋_GB2312" w:hAnsi="Times New Roman" w:eastAsia="仿宋_GB2312"/>
          <w:snapToGrid w:val="0"/>
          <w:kern w:val="0"/>
          <w:sz w:val="32"/>
          <w:szCs w:val="32"/>
        </w:rPr>
        <w:t>无。</w:t>
      </w:r>
    </w:p>
    <w:p>
      <w:pPr>
        <w:pStyle w:val="7"/>
        <w:numPr>
          <w:ilvl w:val="0"/>
          <w:numId w:val="2"/>
        </w:numPr>
        <w:spacing w:line="510" w:lineRule="exact"/>
        <w:ind w:left="645"/>
        <w:rPr>
          <w:rFonts w:ascii="Times New Roman" w:hAnsi="Times New Roman" w:eastAsia="楷体"/>
          <w:b/>
          <w:sz w:val="32"/>
          <w:szCs w:val="32"/>
        </w:rPr>
      </w:pPr>
      <w:r>
        <w:rPr>
          <w:rFonts w:ascii="Times New Roman" w:hAnsi="Times New Roman" w:eastAsia="楷体"/>
          <w:b/>
          <w:sz w:val="32"/>
          <w:szCs w:val="32"/>
        </w:rPr>
        <w:t>有关建议</w:t>
      </w:r>
    </w:p>
    <w:p>
      <w:pPr>
        <w:pStyle w:val="7"/>
        <w:numPr>
          <w:ilvl w:val="0"/>
          <w:numId w:val="0"/>
        </w:numPr>
        <w:spacing w:line="510" w:lineRule="exact"/>
        <w:rPr>
          <w:rFonts w:hint="default" w:ascii="Times New Roman" w:hAnsi="Times New Roman" w:eastAsia="楷体"/>
          <w:b w:val="0"/>
          <w:bCs/>
          <w:sz w:val="32"/>
          <w:szCs w:val="32"/>
          <w:lang w:val="en-US" w:eastAsia="zh-CN"/>
        </w:rPr>
      </w:pPr>
      <w:r>
        <w:rPr>
          <w:rFonts w:hint="eastAsia" w:ascii="Times New Roman" w:hAnsi="Times New Roman" w:eastAsia="楷体"/>
          <w:b/>
          <w:sz w:val="32"/>
          <w:szCs w:val="32"/>
          <w:lang w:val="en-US" w:eastAsia="zh-CN"/>
        </w:rPr>
        <w:t xml:space="preserve">       </w:t>
      </w:r>
      <w:r>
        <w:rPr>
          <w:rFonts w:hint="eastAsia" w:ascii="Times New Roman" w:hAnsi="Times New Roman" w:eastAsia="楷体"/>
          <w:b w:val="0"/>
          <w:bCs/>
          <w:sz w:val="32"/>
          <w:szCs w:val="32"/>
          <w:lang w:val="en-US" w:eastAsia="zh-CN"/>
        </w:rPr>
        <w:t xml:space="preserve"> 无</w:t>
      </w:r>
    </w:p>
    <w:p>
      <w:pPr>
        <w:pStyle w:val="7"/>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七、其他需要说明的问题</w:t>
      </w:r>
    </w:p>
    <w:p>
      <w:pPr>
        <w:widowControl/>
        <w:spacing w:line="510" w:lineRule="exact"/>
        <w:ind w:firstLine="645"/>
        <w:jc w:val="left"/>
        <w:rPr>
          <w:rFonts w:eastAsia="仿宋_GB2312"/>
          <w:sz w:val="32"/>
          <w:szCs w:val="32"/>
        </w:rPr>
      </w:pPr>
      <w:r>
        <w:rPr>
          <w:rFonts w:eastAsia="仿宋_GB2312"/>
          <w:sz w:val="32"/>
          <w:szCs w:val="32"/>
        </w:rPr>
        <w:t>附件：1.项目支出绩效自评表</w:t>
      </w:r>
    </w:p>
    <w:p>
      <w:pPr>
        <w:widowControl/>
        <w:spacing w:line="510" w:lineRule="exact"/>
        <w:ind w:firstLine="1600" w:firstLineChars="500"/>
        <w:jc w:val="left"/>
        <w:rPr>
          <w:rFonts w:eastAsia="仿宋_GB2312"/>
          <w:sz w:val="32"/>
          <w:szCs w:val="32"/>
        </w:rPr>
      </w:pPr>
      <w:r>
        <w:rPr>
          <w:rFonts w:eastAsia="仿宋_GB2312"/>
          <w:sz w:val="32"/>
          <w:szCs w:val="32"/>
        </w:rPr>
        <w:t>2.项目支出绩效评价指标</w:t>
      </w:r>
      <w:r>
        <w:rPr>
          <w:rFonts w:eastAsia="仿宋_GB2312"/>
          <w:bCs/>
          <w:color w:val="000000"/>
          <w:kern w:val="0"/>
          <w:sz w:val="32"/>
          <w:szCs w:val="32"/>
        </w:rPr>
        <w:t>评分表</w:t>
      </w:r>
    </w:p>
    <w:p>
      <w:pPr>
        <w:spacing w:line="400" w:lineRule="exact"/>
        <w:rPr>
          <w:rFonts w:eastAsia="仿宋_GB2312"/>
          <w:bCs/>
          <w:color w:val="000000"/>
          <w:sz w:val="32"/>
          <w:szCs w:val="32"/>
        </w:rPr>
      </w:pPr>
    </w:p>
    <w:p>
      <w:pPr>
        <w:spacing w:line="400" w:lineRule="exact"/>
        <w:rPr>
          <w:rFonts w:eastAsia="仿宋_GB2312"/>
          <w:bCs/>
          <w:color w:val="000000"/>
          <w:sz w:val="32"/>
          <w:szCs w:val="32"/>
        </w:rPr>
      </w:pPr>
    </w:p>
    <w:p>
      <w:pPr>
        <w:spacing w:line="400" w:lineRule="exact"/>
        <w:rPr>
          <w:rFonts w:eastAsia="仿宋_GB2312"/>
          <w:bCs/>
          <w:color w:val="000000"/>
          <w:sz w:val="32"/>
          <w:szCs w:val="32"/>
        </w:rPr>
      </w:pPr>
    </w:p>
    <w:p>
      <w:pPr>
        <w:spacing w:line="400" w:lineRule="exact"/>
        <w:rPr>
          <w:rFonts w:eastAsia="仿宋_GB2312"/>
          <w:bCs/>
          <w:color w:val="000000"/>
          <w:sz w:val="32"/>
          <w:szCs w:val="32"/>
        </w:rPr>
      </w:pPr>
    </w:p>
    <w:p>
      <w:pPr>
        <w:spacing w:line="400" w:lineRule="exact"/>
        <w:rPr>
          <w:rFonts w:eastAsia="仿宋_GB2312"/>
          <w:bCs/>
          <w:color w:val="000000"/>
          <w:sz w:val="32"/>
          <w:szCs w:val="32"/>
        </w:rPr>
      </w:pPr>
    </w:p>
    <w:p>
      <w:pPr>
        <w:spacing w:line="400" w:lineRule="exact"/>
        <w:rPr>
          <w:rFonts w:eastAsia="仿宋_GB2312"/>
          <w:bCs/>
          <w:color w:val="000000"/>
          <w:sz w:val="32"/>
          <w:szCs w:val="32"/>
        </w:rPr>
      </w:pPr>
    </w:p>
    <w:p>
      <w:pPr>
        <w:spacing w:line="400" w:lineRule="exact"/>
        <w:rPr>
          <w:rFonts w:eastAsia="仿宋_GB2312"/>
          <w:bCs/>
          <w:color w:val="000000"/>
          <w:sz w:val="32"/>
          <w:szCs w:val="32"/>
        </w:rPr>
      </w:pPr>
    </w:p>
    <w:p>
      <w:pPr>
        <w:spacing w:line="400" w:lineRule="exact"/>
        <w:rPr>
          <w:rFonts w:eastAsia="仿宋_GB2312"/>
          <w:bCs/>
          <w:color w:val="000000"/>
          <w:sz w:val="32"/>
          <w:szCs w:val="32"/>
        </w:rPr>
      </w:pPr>
    </w:p>
    <w:p>
      <w:pPr>
        <w:spacing w:line="400" w:lineRule="exact"/>
        <w:rPr>
          <w:rFonts w:eastAsia="仿宋_GB2312"/>
          <w:bCs/>
          <w:color w:val="000000"/>
          <w:sz w:val="32"/>
          <w:szCs w:val="32"/>
        </w:rPr>
      </w:pPr>
    </w:p>
    <w:p>
      <w:pPr>
        <w:spacing w:line="400" w:lineRule="exact"/>
        <w:rPr>
          <w:rFonts w:eastAsia="仿宋_GB2312"/>
          <w:bCs/>
          <w:color w:val="000000"/>
          <w:sz w:val="32"/>
          <w:szCs w:val="32"/>
        </w:rPr>
      </w:pPr>
    </w:p>
    <w:p>
      <w:pPr>
        <w:spacing w:line="400" w:lineRule="exact"/>
        <w:rPr>
          <w:rFonts w:eastAsia="仿宋_GB2312"/>
          <w:bCs/>
          <w:color w:val="000000"/>
          <w:sz w:val="32"/>
          <w:szCs w:val="32"/>
        </w:rPr>
      </w:pPr>
    </w:p>
    <w:p>
      <w:pPr>
        <w:spacing w:line="400" w:lineRule="exact"/>
        <w:rPr>
          <w:rFonts w:eastAsia="仿宋_GB2312"/>
          <w:bCs/>
          <w:color w:val="000000"/>
          <w:sz w:val="32"/>
          <w:szCs w:val="32"/>
        </w:rPr>
      </w:pPr>
    </w:p>
    <w:p>
      <w:pPr>
        <w:keepNext/>
        <w:keepLines/>
        <w:pageBreakBefore/>
        <w:widowControl/>
        <w:spacing w:line="400" w:lineRule="exact"/>
        <w:rPr>
          <w:rFonts w:eastAsia="仿宋_GB2312"/>
          <w:bCs/>
          <w:color w:val="000000"/>
          <w:sz w:val="32"/>
          <w:szCs w:val="32"/>
        </w:rPr>
      </w:pPr>
      <w:r>
        <w:rPr>
          <w:rFonts w:eastAsia="仿宋_GB2312"/>
          <w:bCs/>
          <w:color w:val="000000"/>
          <w:sz w:val="32"/>
          <w:szCs w:val="32"/>
        </w:rPr>
        <w:t>附件</w:t>
      </w:r>
      <w:r>
        <w:rPr>
          <w:rFonts w:hint="eastAsia" w:eastAsia="仿宋_GB2312"/>
          <w:bCs/>
          <w:color w:val="000000"/>
          <w:sz w:val="32"/>
          <w:szCs w:val="32"/>
        </w:rPr>
        <w:t>1</w:t>
      </w:r>
    </w:p>
    <w:tbl>
      <w:tblPr>
        <w:tblStyle w:val="5"/>
        <w:tblW w:w="9080" w:type="dxa"/>
        <w:jc w:val="center"/>
        <w:tblLayout w:type="fixed"/>
        <w:tblCellMar>
          <w:top w:w="0" w:type="dxa"/>
          <w:left w:w="108" w:type="dxa"/>
          <w:bottom w:w="0" w:type="dxa"/>
          <w:right w:w="108" w:type="dxa"/>
        </w:tblCellMar>
      </w:tblPr>
      <w:tblGrid>
        <w:gridCol w:w="588"/>
        <w:gridCol w:w="980"/>
        <w:gridCol w:w="962"/>
        <w:gridCol w:w="880"/>
        <w:gridCol w:w="1134"/>
        <w:gridCol w:w="461"/>
        <w:gridCol w:w="855"/>
        <w:gridCol w:w="990"/>
        <w:gridCol w:w="405"/>
        <w:gridCol w:w="188"/>
        <w:gridCol w:w="352"/>
        <w:gridCol w:w="577"/>
        <w:gridCol w:w="708"/>
      </w:tblGrid>
      <w:tr>
        <w:tblPrEx>
          <w:tblCellMar>
            <w:top w:w="0" w:type="dxa"/>
            <w:left w:w="108" w:type="dxa"/>
            <w:bottom w:w="0" w:type="dxa"/>
            <w:right w:w="108" w:type="dxa"/>
          </w:tblCellMar>
        </w:tblPrEx>
        <w:trPr>
          <w:trHeight w:val="349" w:hRule="exact"/>
          <w:jc w:val="center"/>
        </w:trPr>
        <w:tc>
          <w:tcPr>
            <w:tcW w:w="9080" w:type="dxa"/>
            <w:gridSpan w:val="13"/>
            <w:tcBorders>
              <w:top w:val="nil"/>
              <w:left w:val="nil"/>
              <w:bottom w:val="nil"/>
              <w:right w:val="nil"/>
            </w:tcBorders>
            <w:vAlign w:val="center"/>
          </w:tcPr>
          <w:p>
            <w:pPr>
              <w:widowControl/>
              <w:spacing w:line="320" w:lineRule="exact"/>
              <w:jc w:val="center"/>
              <w:rPr>
                <w:b/>
                <w:bCs/>
                <w:kern w:val="0"/>
                <w:sz w:val="32"/>
                <w:szCs w:val="32"/>
              </w:rPr>
            </w:pPr>
            <w:r>
              <w:rPr>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3"/>
            <w:tcBorders>
              <w:top w:val="nil"/>
              <w:left w:val="nil"/>
              <w:bottom w:val="nil"/>
              <w:right w:val="nil"/>
            </w:tcBorders>
          </w:tcPr>
          <w:p>
            <w:pPr>
              <w:widowControl/>
              <w:jc w:val="center"/>
              <w:rPr>
                <w:kern w:val="0"/>
                <w:sz w:val="22"/>
                <w:szCs w:val="22"/>
              </w:rPr>
            </w:pPr>
            <w:r>
              <w:rPr>
                <w:kern w:val="0"/>
                <w:sz w:val="22"/>
                <w:szCs w:val="22"/>
              </w:rPr>
              <w:t>（2020年度）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项目名称</w:t>
            </w:r>
          </w:p>
        </w:tc>
        <w:tc>
          <w:tcPr>
            <w:tcW w:w="7512" w:type="dxa"/>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lang w:eastAsia="zh-CN"/>
              </w:rPr>
              <w:t>再就业上级专项资金</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主管部门</w:t>
            </w:r>
          </w:p>
        </w:tc>
        <w:tc>
          <w:tcPr>
            <w:tcW w:w="429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eastAsia="宋体"/>
                <w:kern w:val="0"/>
                <w:sz w:val="18"/>
                <w:szCs w:val="18"/>
                <w:lang w:eastAsia="zh-CN"/>
              </w:rPr>
            </w:pPr>
            <w:r>
              <w:rPr>
                <w:rFonts w:hint="eastAsia"/>
                <w:kern w:val="0"/>
                <w:sz w:val="18"/>
                <w:szCs w:val="18"/>
              </w:rPr>
              <w:t>县</w:t>
            </w:r>
            <w:r>
              <w:rPr>
                <w:rFonts w:hint="eastAsia"/>
                <w:kern w:val="0"/>
                <w:sz w:val="18"/>
                <w:szCs w:val="18"/>
                <w:lang w:eastAsia="zh-CN"/>
              </w:rPr>
              <w:t>人力资源和社会保障局</w:t>
            </w: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实施单位</w:t>
            </w:r>
          </w:p>
        </w:tc>
        <w:tc>
          <w:tcPr>
            <w:tcW w:w="223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县</w:t>
            </w:r>
            <w:r>
              <w:rPr>
                <w:rFonts w:hint="eastAsia"/>
                <w:kern w:val="0"/>
                <w:sz w:val="18"/>
                <w:szCs w:val="18"/>
                <w:lang w:eastAsia="zh-CN"/>
              </w:rPr>
              <w:t>人力资源和社会保障局</w:t>
            </w:r>
          </w:p>
        </w:tc>
      </w:tr>
      <w:tr>
        <w:tblPrEx>
          <w:tblCellMar>
            <w:top w:w="0" w:type="dxa"/>
            <w:left w:w="108" w:type="dxa"/>
            <w:bottom w:w="0" w:type="dxa"/>
            <w:right w:w="108" w:type="dxa"/>
          </w:tblCellMar>
        </w:tblPrEx>
        <w:trPr>
          <w:trHeight w:val="436"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项目资金</w:t>
            </w:r>
            <w:r>
              <w:rPr>
                <w:kern w:val="0"/>
                <w:sz w:val="18"/>
                <w:szCs w:val="18"/>
              </w:rPr>
              <w:br w:type="textWrapping"/>
            </w:r>
            <w:r>
              <w:rPr>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年初</w:t>
            </w:r>
            <w:r>
              <w:rPr>
                <w:rFonts w:hint="eastAsia"/>
                <w:kern w:val="0"/>
                <w:sz w:val="18"/>
                <w:szCs w:val="18"/>
              </w:rPr>
              <w:t>预算金额</w:t>
            </w:r>
          </w:p>
        </w:tc>
        <w:tc>
          <w:tcPr>
            <w:tcW w:w="1316"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全年</w:t>
            </w:r>
            <w:r>
              <w:rPr>
                <w:rFonts w:hint="eastAsia"/>
                <w:kern w:val="0"/>
                <w:sz w:val="18"/>
                <w:szCs w:val="18"/>
              </w:rPr>
              <w:t>预算金额</w:t>
            </w:r>
            <w:r>
              <w:rPr>
                <w:color w:val="000000"/>
                <w:kern w:val="0"/>
                <w:sz w:val="20"/>
                <w:szCs w:val="20"/>
              </w:rPr>
              <w:t>（A）</w:t>
            </w: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全年执行数</w:t>
            </w:r>
            <w:r>
              <w:rPr>
                <w:color w:val="000000"/>
                <w:kern w:val="0"/>
                <w:sz w:val="20"/>
                <w:szCs w:val="20"/>
              </w:rPr>
              <w:t>（B）</w:t>
            </w:r>
          </w:p>
        </w:tc>
        <w:tc>
          <w:tcPr>
            <w:tcW w:w="593"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分值</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执行率</w:t>
            </w:r>
            <w:r>
              <w:rPr>
                <w:color w:val="000000"/>
                <w:kern w:val="0"/>
                <w:sz w:val="20"/>
                <w:szCs w:val="20"/>
              </w:rPr>
              <w:t>（B/A)</w:t>
            </w: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kern w:val="0"/>
                <w:sz w:val="18"/>
                <w:szCs w:val="18"/>
              </w:rPr>
            </w:pPr>
            <w:r>
              <w:rPr>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0</w:t>
            </w:r>
          </w:p>
        </w:tc>
        <w:tc>
          <w:tcPr>
            <w:tcW w:w="1316"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eastAsia="宋体"/>
                <w:kern w:val="0"/>
                <w:sz w:val="18"/>
                <w:szCs w:val="18"/>
                <w:lang w:val="en-US" w:eastAsia="zh-CN"/>
              </w:rPr>
            </w:pPr>
            <w:r>
              <w:rPr>
                <w:rFonts w:hint="eastAsia"/>
                <w:kern w:val="0"/>
                <w:sz w:val="18"/>
                <w:szCs w:val="18"/>
                <w:lang w:val="en-US" w:eastAsia="zh-CN"/>
              </w:rPr>
              <w:t>1014.1</w:t>
            </w:r>
          </w:p>
        </w:tc>
        <w:tc>
          <w:tcPr>
            <w:tcW w:w="990" w:type="dxa"/>
            <w:tcBorders>
              <w:top w:val="nil"/>
              <w:left w:val="nil"/>
              <w:bottom w:val="single" w:color="auto" w:sz="4" w:space="0"/>
              <w:right w:val="single" w:color="auto" w:sz="4" w:space="0"/>
            </w:tcBorders>
            <w:vAlign w:val="center"/>
          </w:tcPr>
          <w:p>
            <w:pPr>
              <w:widowControl/>
              <w:spacing w:line="240" w:lineRule="exact"/>
              <w:jc w:val="center"/>
              <w:rPr>
                <w:rFonts w:hint="default" w:eastAsia="宋体"/>
                <w:kern w:val="0"/>
                <w:sz w:val="18"/>
                <w:szCs w:val="18"/>
                <w:lang w:val="en-US" w:eastAsia="zh-CN"/>
              </w:rPr>
            </w:pPr>
            <w:r>
              <w:rPr>
                <w:rFonts w:hint="eastAsia"/>
                <w:kern w:val="0"/>
                <w:sz w:val="18"/>
                <w:szCs w:val="18"/>
                <w:lang w:val="en-US" w:eastAsia="zh-CN"/>
              </w:rPr>
              <w:t>700.72</w:t>
            </w:r>
          </w:p>
        </w:tc>
        <w:tc>
          <w:tcPr>
            <w:tcW w:w="593"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10</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color w:val="000000" w:themeColor="text1"/>
                <w:kern w:val="0"/>
                <w:sz w:val="18"/>
                <w:szCs w:val="18"/>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0</w:t>
            </w:r>
          </w:p>
        </w:tc>
        <w:tc>
          <w:tcPr>
            <w:tcW w:w="1316"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eastAsia="宋体"/>
                <w:kern w:val="0"/>
                <w:sz w:val="18"/>
                <w:szCs w:val="18"/>
                <w:lang w:val="en-US" w:eastAsia="zh-CN"/>
              </w:rPr>
            </w:pPr>
            <w:r>
              <w:rPr>
                <w:rFonts w:hint="eastAsia"/>
                <w:kern w:val="0"/>
                <w:sz w:val="18"/>
                <w:szCs w:val="18"/>
                <w:lang w:val="en-US" w:eastAsia="zh-CN"/>
              </w:rPr>
              <w:t>1014.1</w:t>
            </w:r>
          </w:p>
        </w:tc>
        <w:tc>
          <w:tcPr>
            <w:tcW w:w="990" w:type="dxa"/>
            <w:tcBorders>
              <w:top w:val="nil"/>
              <w:left w:val="nil"/>
              <w:bottom w:val="single" w:color="auto" w:sz="4" w:space="0"/>
              <w:right w:val="single" w:color="auto" w:sz="4" w:space="0"/>
            </w:tcBorders>
            <w:vAlign w:val="center"/>
          </w:tcPr>
          <w:p>
            <w:pPr>
              <w:widowControl/>
              <w:spacing w:line="240" w:lineRule="exact"/>
              <w:jc w:val="center"/>
              <w:rPr>
                <w:rFonts w:hint="default" w:eastAsia="宋体"/>
                <w:kern w:val="0"/>
                <w:sz w:val="18"/>
                <w:szCs w:val="18"/>
                <w:lang w:val="en-US" w:eastAsia="zh-CN"/>
              </w:rPr>
            </w:pPr>
            <w:r>
              <w:rPr>
                <w:rFonts w:hint="eastAsia"/>
                <w:kern w:val="0"/>
                <w:sz w:val="18"/>
                <w:szCs w:val="18"/>
                <w:lang w:val="en-US" w:eastAsia="zh-CN"/>
              </w:rPr>
              <w:t>700.72</w:t>
            </w:r>
          </w:p>
        </w:tc>
        <w:tc>
          <w:tcPr>
            <w:tcW w:w="593"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316"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93"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316"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93"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年度总体目标</w:t>
            </w:r>
          </w:p>
        </w:tc>
        <w:tc>
          <w:tcPr>
            <w:tcW w:w="5272"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预期目标</w:t>
            </w:r>
          </w:p>
        </w:tc>
        <w:tc>
          <w:tcPr>
            <w:tcW w:w="322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实际完成情况</w:t>
            </w:r>
          </w:p>
        </w:tc>
      </w:tr>
      <w:tr>
        <w:tblPrEx>
          <w:tblCellMar>
            <w:top w:w="0" w:type="dxa"/>
            <w:left w:w="108" w:type="dxa"/>
            <w:bottom w:w="0" w:type="dxa"/>
            <w:right w:w="108" w:type="dxa"/>
          </w:tblCellMar>
        </w:tblPrEx>
        <w:trPr>
          <w:trHeight w:val="565"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5272"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确保</w:t>
            </w:r>
            <w:r>
              <w:rPr>
                <w:rFonts w:hint="eastAsia"/>
                <w:kern w:val="0"/>
                <w:sz w:val="18"/>
                <w:szCs w:val="18"/>
                <w:lang w:eastAsia="zh-CN"/>
              </w:rPr>
              <w:t>稳就业、保民生</w:t>
            </w:r>
            <w:r>
              <w:rPr>
                <w:rFonts w:hint="eastAsia"/>
                <w:kern w:val="0"/>
                <w:sz w:val="18"/>
                <w:szCs w:val="18"/>
              </w:rPr>
              <w:t>专项</w:t>
            </w:r>
            <w:r>
              <w:rPr>
                <w:kern w:val="0"/>
                <w:sz w:val="18"/>
                <w:szCs w:val="18"/>
              </w:rPr>
              <w:t>工作正常运转</w:t>
            </w:r>
          </w:p>
        </w:tc>
        <w:tc>
          <w:tcPr>
            <w:tcW w:w="322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达成</w:t>
            </w:r>
          </w:p>
        </w:tc>
      </w:tr>
      <w:tr>
        <w:tblPrEx>
          <w:tblCellMar>
            <w:top w:w="0" w:type="dxa"/>
            <w:left w:w="108" w:type="dxa"/>
            <w:bottom w:w="0" w:type="dxa"/>
            <w:right w:w="108" w:type="dxa"/>
          </w:tblCellMar>
        </w:tblPrEx>
        <w:trPr>
          <w:trHeight w:val="623" w:hRule="exact"/>
          <w:jc w:val="center"/>
        </w:trPr>
        <w:tc>
          <w:tcPr>
            <w:tcW w:w="588" w:type="dxa"/>
            <w:vMerge w:val="restart"/>
            <w:tcBorders>
              <w:top w:val="nil"/>
              <w:left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绩</w:t>
            </w:r>
            <w:r>
              <w:rPr>
                <w:kern w:val="0"/>
                <w:sz w:val="18"/>
                <w:szCs w:val="18"/>
              </w:rPr>
              <w:br w:type="textWrapping"/>
            </w:r>
            <w:r>
              <w:rPr>
                <w:kern w:val="0"/>
                <w:sz w:val="18"/>
                <w:szCs w:val="18"/>
              </w:rPr>
              <w:t>效</w:t>
            </w:r>
            <w:r>
              <w:rPr>
                <w:kern w:val="0"/>
                <w:sz w:val="18"/>
                <w:szCs w:val="18"/>
              </w:rPr>
              <w:br w:type="textWrapping"/>
            </w:r>
            <w:r>
              <w:rPr>
                <w:kern w:val="0"/>
                <w:sz w:val="18"/>
                <w:szCs w:val="18"/>
              </w:rPr>
              <w:t>指</w:t>
            </w:r>
            <w:r>
              <w:rPr>
                <w:kern w:val="0"/>
                <w:sz w:val="18"/>
                <w:szCs w:val="18"/>
              </w:rPr>
              <w:br w:type="textWrapping"/>
            </w:r>
            <w:r>
              <w:rPr>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一级指标</w:t>
            </w:r>
          </w:p>
        </w:tc>
        <w:tc>
          <w:tcPr>
            <w:tcW w:w="962"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二级指标</w:t>
            </w:r>
          </w:p>
        </w:tc>
        <w:tc>
          <w:tcPr>
            <w:tcW w:w="2475"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三级指标</w:t>
            </w: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年度</w:t>
            </w:r>
          </w:p>
          <w:p>
            <w:pPr>
              <w:widowControl/>
              <w:spacing w:line="240" w:lineRule="exact"/>
              <w:jc w:val="center"/>
              <w:rPr>
                <w:kern w:val="0"/>
                <w:sz w:val="18"/>
                <w:szCs w:val="18"/>
              </w:rPr>
            </w:pPr>
            <w:r>
              <w:rPr>
                <w:kern w:val="0"/>
                <w:sz w:val="18"/>
                <w:szCs w:val="18"/>
              </w:rPr>
              <w:t>指标值</w:t>
            </w: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实际</w:t>
            </w:r>
          </w:p>
          <w:p>
            <w:pPr>
              <w:widowControl/>
              <w:spacing w:line="240" w:lineRule="exact"/>
              <w:jc w:val="center"/>
              <w:rPr>
                <w:kern w:val="0"/>
                <w:sz w:val="18"/>
                <w:szCs w:val="18"/>
              </w:rPr>
            </w:pPr>
            <w:r>
              <w:rPr>
                <w:kern w:val="0"/>
                <w:sz w:val="18"/>
                <w:szCs w:val="18"/>
              </w:rPr>
              <w:t>完成值</w:t>
            </w: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分值</w:t>
            </w: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得分</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偏差原因分析及改进措施</w:t>
            </w:r>
          </w:p>
        </w:tc>
      </w:tr>
      <w:tr>
        <w:tblPrEx>
          <w:tblCellMar>
            <w:top w:w="0" w:type="dxa"/>
            <w:left w:w="108" w:type="dxa"/>
            <w:bottom w:w="0" w:type="dxa"/>
            <w:right w:w="108" w:type="dxa"/>
          </w:tblCellMar>
        </w:tblPrEx>
        <w:trPr>
          <w:trHeight w:val="311"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产出指标</w:t>
            </w:r>
            <w:r>
              <w:rPr>
                <w:kern w:val="0"/>
                <w:sz w:val="20"/>
                <w:szCs w:val="20"/>
              </w:rPr>
              <w:t>(50分)</w:t>
            </w:r>
          </w:p>
        </w:tc>
        <w:tc>
          <w:tcPr>
            <w:tcW w:w="96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数量指标</w:t>
            </w:r>
          </w:p>
        </w:tc>
        <w:tc>
          <w:tcPr>
            <w:tcW w:w="2475" w:type="dxa"/>
            <w:gridSpan w:val="3"/>
            <w:tcBorders>
              <w:top w:val="single" w:color="auto" w:sz="4" w:space="0"/>
              <w:left w:val="nil"/>
              <w:bottom w:val="single" w:color="auto" w:sz="4" w:space="0"/>
              <w:right w:val="single" w:color="auto" w:sz="4" w:space="0"/>
            </w:tcBorders>
            <w:vAlign w:val="center"/>
          </w:tcPr>
          <w:p>
            <w:pPr>
              <w:widowControl/>
              <w:jc w:val="center"/>
              <w:textAlignment w:val="center"/>
              <w:rPr>
                <w:rFonts w:hint="eastAsia" w:eastAsia="宋体"/>
                <w:color w:val="000000"/>
                <w:kern w:val="0"/>
                <w:sz w:val="18"/>
                <w:szCs w:val="18"/>
                <w:lang w:eastAsia="zh-CN"/>
              </w:rPr>
            </w:pPr>
            <w:r>
              <w:rPr>
                <w:rFonts w:hint="eastAsia"/>
                <w:color w:val="000000"/>
                <w:kern w:val="0"/>
                <w:sz w:val="18"/>
                <w:szCs w:val="18"/>
                <w:lang w:eastAsia="zh-CN"/>
              </w:rPr>
              <w:t>城镇新增就业岗位</w:t>
            </w:r>
          </w:p>
        </w:tc>
        <w:tc>
          <w:tcPr>
            <w:tcW w:w="855" w:type="dxa"/>
            <w:tcBorders>
              <w:top w:val="nil"/>
              <w:left w:val="nil"/>
              <w:bottom w:val="single" w:color="auto" w:sz="4" w:space="0"/>
              <w:right w:val="single" w:color="auto" w:sz="4" w:space="0"/>
            </w:tcBorders>
            <w:vAlign w:val="center"/>
          </w:tcPr>
          <w:p>
            <w:pPr>
              <w:widowControl/>
              <w:jc w:val="center"/>
              <w:textAlignment w:val="center"/>
              <w:rPr>
                <w:rFonts w:hint="default" w:eastAsia="宋体"/>
                <w:kern w:val="0"/>
                <w:sz w:val="18"/>
                <w:szCs w:val="18"/>
                <w:lang w:val="en-US" w:eastAsia="zh-CN"/>
              </w:rPr>
            </w:pPr>
            <w:r>
              <w:rPr>
                <w:rFonts w:hint="eastAsia"/>
                <w:kern w:val="0"/>
                <w:sz w:val="18"/>
                <w:szCs w:val="18"/>
                <w:lang w:val="en-US" w:eastAsia="zh-CN"/>
              </w:rPr>
              <w:t>1552</w:t>
            </w:r>
          </w:p>
        </w:tc>
        <w:tc>
          <w:tcPr>
            <w:tcW w:w="990" w:type="dxa"/>
            <w:tcBorders>
              <w:top w:val="nil"/>
              <w:left w:val="nil"/>
              <w:bottom w:val="single" w:color="auto" w:sz="4" w:space="0"/>
              <w:right w:val="single" w:color="auto" w:sz="4" w:space="0"/>
            </w:tcBorders>
            <w:vAlign w:val="center"/>
          </w:tcPr>
          <w:p>
            <w:pPr>
              <w:widowControl/>
              <w:spacing w:line="240" w:lineRule="exact"/>
              <w:jc w:val="center"/>
              <w:rPr>
                <w:rFonts w:hint="default" w:eastAsia="宋体"/>
                <w:kern w:val="0"/>
                <w:sz w:val="18"/>
                <w:szCs w:val="18"/>
                <w:lang w:val="en-US" w:eastAsia="zh-CN"/>
              </w:rPr>
            </w:pPr>
            <w:r>
              <w:rPr>
                <w:rFonts w:hint="eastAsia"/>
                <w:kern w:val="0"/>
                <w:sz w:val="18"/>
                <w:szCs w:val="18"/>
                <w:lang w:val="en-US" w:eastAsia="zh-CN"/>
              </w:rPr>
              <w:t>1552</w:t>
            </w:r>
          </w:p>
        </w:tc>
        <w:tc>
          <w:tcPr>
            <w:tcW w:w="405" w:type="dxa"/>
            <w:tcBorders>
              <w:top w:val="nil"/>
              <w:left w:val="nil"/>
              <w:bottom w:val="single" w:color="auto" w:sz="4" w:space="0"/>
              <w:right w:val="single" w:color="auto" w:sz="4" w:space="0"/>
            </w:tcBorders>
            <w:vAlign w:val="center"/>
          </w:tcPr>
          <w:p>
            <w:pPr>
              <w:widowControl/>
              <w:spacing w:line="240" w:lineRule="exact"/>
              <w:jc w:val="center"/>
              <w:rPr>
                <w:rFonts w:hint="default" w:eastAsia="宋体"/>
                <w:kern w:val="0"/>
                <w:sz w:val="18"/>
                <w:szCs w:val="18"/>
                <w:lang w:val="en-US" w:eastAsia="zh-CN"/>
              </w:rPr>
            </w:pPr>
            <w:r>
              <w:rPr>
                <w:rFonts w:hint="eastAsia"/>
                <w:kern w:val="0"/>
                <w:sz w:val="18"/>
                <w:szCs w:val="18"/>
                <w:lang w:val="en-US" w:eastAsia="zh-CN"/>
              </w:rPr>
              <w:t>10</w:t>
            </w: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eastAsia="宋体"/>
                <w:kern w:val="0"/>
                <w:sz w:val="18"/>
                <w:szCs w:val="18"/>
                <w:lang w:val="en-US" w:eastAsia="zh-CN"/>
              </w:rPr>
            </w:pPr>
            <w:r>
              <w:rPr>
                <w:rFonts w:hint="eastAsia"/>
                <w:kern w:val="0"/>
                <w:sz w:val="18"/>
                <w:szCs w:val="18"/>
                <w:lang w:val="en-US" w:eastAsia="zh-CN"/>
              </w:rPr>
              <w:t>10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475" w:type="dxa"/>
            <w:gridSpan w:val="3"/>
            <w:tcBorders>
              <w:top w:val="single" w:color="auto" w:sz="4" w:space="0"/>
              <w:left w:val="nil"/>
              <w:bottom w:val="single" w:color="auto" w:sz="4" w:space="0"/>
              <w:right w:val="single" w:color="auto" w:sz="4" w:space="0"/>
            </w:tcBorders>
            <w:vAlign w:val="center"/>
          </w:tcPr>
          <w:p>
            <w:pPr>
              <w:widowControl/>
              <w:spacing w:line="240" w:lineRule="exact"/>
              <w:ind w:firstLine="540" w:firstLineChars="300"/>
              <w:jc w:val="left"/>
              <w:rPr>
                <w:rFonts w:hint="eastAsia" w:eastAsia="宋体"/>
                <w:color w:val="000000"/>
                <w:kern w:val="0"/>
                <w:sz w:val="18"/>
                <w:szCs w:val="18"/>
                <w:lang w:eastAsia="zh-CN"/>
              </w:rPr>
            </w:pPr>
            <w:r>
              <w:rPr>
                <w:rFonts w:hint="eastAsia"/>
                <w:color w:val="000000"/>
                <w:kern w:val="0"/>
                <w:sz w:val="18"/>
                <w:szCs w:val="18"/>
                <w:lang w:eastAsia="zh-CN"/>
              </w:rPr>
              <w:t>职业培训人数</w:t>
            </w:r>
          </w:p>
        </w:tc>
        <w:tc>
          <w:tcPr>
            <w:tcW w:w="855" w:type="dxa"/>
            <w:tcBorders>
              <w:top w:val="nil"/>
              <w:left w:val="nil"/>
              <w:bottom w:val="single" w:color="auto" w:sz="4" w:space="0"/>
              <w:right w:val="single" w:color="auto" w:sz="4" w:space="0"/>
            </w:tcBorders>
            <w:vAlign w:val="center"/>
          </w:tcPr>
          <w:p>
            <w:pPr>
              <w:widowControl/>
              <w:spacing w:line="240" w:lineRule="exact"/>
              <w:jc w:val="center"/>
              <w:rPr>
                <w:rFonts w:hint="default" w:eastAsia="宋体"/>
                <w:kern w:val="0"/>
                <w:sz w:val="18"/>
                <w:szCs w:val="18"/>
                <w:lang w:val="en-US" w:eastAsia="zh-CN"/>
              </w:rPr>
            </w:pPr>
            <w:r>
              <w:rPr>
                <w:rFonts w:hint="eastAsia"/>
                <w:kern w:val="0"/>
                <w:sz w:val="18"/>
                <w:szCs w:val="18"/>
                <w:lang w:val="en-US" w:eastAsia="zh-CN"/>
              </w:rPr>
              <w:t>2055</w:t>
            </w:r>
          </w:p>
        </w:tc>
        <w:tc>
          <w:tcPr>
            <w:tcW w:w="990" w:type="dxa"/>
            <w:tcBorders>
              <w:top w:val="nil"/>
              <w:left w:val="nil"/>
              <w:bottom w:val="single" w:color="auto" w:sz="4" w:space="0"/>
              <w:right w:val="single" w:color="auto" w:sz="4" w:space="0"/>
            </w:tcBorders>
            <w:vAlign w:val="center"/>
          </w:tcPr>
          <w:p>
            <w:pPr>
              <w:widowControl/>
              <w:spacing w:line="240" w:lineRule="exact"/>
              <w:jc w:val="center"/>
              <w:rPr>
                <w:rFonts w:hint="default" w:eastAsia="宋体"/>
                <w:kern w:val="0"/>
                <w:sz w:val="18"/>
                <w:szCs w:val="18"/>
                <w:lang w:val="en-US" w:eastAsia="zh-CN"/>
              </w:rPr>
            </w:pPr>
            <w:r>
              <w:rPr>
                <w:rFonts w:hint="eastAsia"/>
                <w:kern w:val="0"/>
                <w:sz w:val="18"/>
                <w:szCs w:val="18"/>
                <w:lang w:val="en-US" w:eastAsia="zh-CN"/>
              </w:rPr>
              <w:t>2055</w:t>
            </w:r>
          </w:p>
        </w:tc>
        <w:tc>
          <w:tcPr>
            <w:tcW w:w="405" w:type="dxa"/>
            <w:tcBorders>
              <w:top w:val="nil"/>
              <w:left w:val="nil"/>
              <w:bottom w:val="single" w:color="auto" w:sz="4" w:space="0"/>
              <w:right w:val="single" w:color="auto" w:sz="4" w:space="0"/>
            </w:tcBorders>
            <w:vAlign w:val="center"/>
          </w:tcPr>
          <w:p>
            <w:pPr>
              <w:widowControl/>
              <w:spacing w:line="240" w:lineRule="exact"/>
              <w:jc w:val="center"/>
              <w:rPr>
                <w:rFonts w:hint="default" w:eastAsia="宋体"/>
                <w:kern w:val="0"/>
                <w:sz w:val="18"/>
                <w:szCs w:val="18"/>
                <w:lang w:val="en-US" w:eastAsia="zh-CN"/>
              </w:rPr>
            </w:pPr>
            <w:r>
              <w:rPr>
                <w:rFonts w:hint="eastAsia"/>
                <w:kern w:val="0"/>
                <w:sz w:val="18"/>
                <w:szCs w:val="18"/>
                <w:lang w:val="en-US" w:eastAsia="zh-CN"/>
              </w:rPr>
              <w:t>10</w:t>
            </w: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eastAsia="宋体"/>
                <w:kern w:val="0"/>
                <w:sz w:val="18"/>
                <w:szCs w:val="18"/>
                <w:lang w:val="en-US" w:eastAsia="zh-CN"/>
              </w:rPr>
            </w:pPr>
            <w:r>
              <w:rPr>
                <w:rFonts w:hint="eastAsia"/>
                <w:kern w:val="0"/>
                <w:sz w:val="18"/>
                <w:szCs w:val="18"/>
                <w:lang w:val="en-US" w:eastAsia="zh-CN"/>
              </w:rPr>
              <w:t>10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47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w:t>
            </w: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质量指标</w:t>
            </w:r>
          </w:p>
        </w:tc>
        <w:tc>
          <w:tcPr>
            <w:tcW w:w="2475" w:type="dxa"/>
            <w:gridSpan w:val="3"/>
            <w:tcBorders>
              <w:top w:val="single" w:color="auto" w:sz="4" w:space="0"/>
              <w:left w:val="nil"/>
              <w:bottom w:val="single" w:color="auto" w:sz="4" w:space="0"/>
              <w:right w:val="single" w:color="auto" w:sz="4" w:space="0"/>
            </w:tcBorders>
            <w:vAlign w:val="center"/>
          </w:tcPr>
          <w:p>
            <w:pPr>
              <w:widowControl/>
              <w:jc w:val="center"/>
              <w:textAlignment w:val="center"/>
              <w:rPr>
                <w:kern w:val="0"/>
                <w:sz w:val="18"/>
                <w:szCs w:val="18"/>
              </w:rPr>
            </w:pPr>
            <w:r>
              <w:rPr>
                <w:rFonts w:hint="eastAsia"/>
                <w:kern w:val="0"/>
                <w:sz w:val="18"/>
                <w:szCs w:val="18"/>
                <w:lang w:eastAsia="zh-CN"/>
              </w:rPr>
              <w:t>稳就业</w:t>
            </w:r>
            <w:r>
              <w:rPr>
                <w:rFonts w:hint="eastAsia"/>
                <w:kern w:val="0"/>
                <w:sz w:val="18"/>
                <w:szCs w:val="18"/>
              </w:rPr>
              <w:t>专项</w:t>
            </w:r>
            <w:r>
              <w:rPr>
                <w:kern w:val="0"/>
                <w:sz w:val="18"/>
                <w:szCs w:val="18"/>
              </w:rPr>
              <w:t>工作</w:t>
            </w: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5"/>
                <w:szCs w:val="15"/>
              </w:rPr>
            </w:pPr>
            <w:r>
              <w:rPr>
                <w:rFonts w:hint="eastAsia"/>
                <w:kern w:val="0"/>
                <w:sz w:val="15"/>
                <w:szCs w:val="15"/>
              </w:rPr>
              <w:t>正常运转</w:t>
            </w: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5"/>
                <w:szCs w:val="15"/>
              </w:rPr>
            </w:pPr>
            <w:r>
              <w:rPr>
                <w:rFonts w:hint="eastAsia"/>
                <w:kern w:val="0"/>
                <w:sz w:val="15"/>
                <w:szCs w:val="15"/>
              </w:rPr>
              <w:t>正常运转</w:t>
            </w: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15</w:t>
            </w: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15</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47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指标2：</w:t>
            </w: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5"/>
                <w:szCs w:val="15"/>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5"/>
                <w:szCs w:val="15"/>
              </w:rPr>
            </w:pP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47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w:t>
            </w: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5"/>
                <w:szCs w:val="15"/>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5"/>
                <w:szCs w:val="15"/>
              </w:rPr>
            </w:pP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16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时效指标</w:t>
            </w:r>
          </w:p>
        </w:tc>
        <w:tc>
          <w:tcPr>
            <w:tcW w:w="2475" w:type="dxa"/>
            <w:gridSpan w:val="3"/>
            <w:tcBorders>
              <w:top w:val="single" w:color="auto" w:sz="4" w:space="0"/>
              <w:left w:val="nil"/>
              <w:bottom w:val="single" w:color="auto" w:sz="4" w:space="0"/>
              <w:right w:val="single" w:color="auto" w:sz="4" w:space="0"/>
            </w:tcBorders>
            <w:vAlign w:val="center"/>
          </w:tcPr>
          <w:p>
            <w:pPr>
              <w:widowControl/>
              <w:jc w:val="both"/>
              <w:textAlignment w:val="center"/>
              <w:rPr>
                <w:color w:val="000000"/>
                <w:kern w:val="0"/>
                <w:sz w:val="18"/>
                <w:szCs w:val="18"/>
              </w:rPr>
            </w:pP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5"/>
                <w:szCs w:val="15"/>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5"/>
                <w:szCs w:val="15"/>
              </w:rPr>
            </w:pP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47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指标2：</w:t>
            </w: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5"/>
                <w:szCs w:val="15"/>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5"/>
                <w:szCs w:val="15"/>
              </w:rPr>
            </w:pP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25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47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w:t>
            </w: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46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成本指标</w:t>
            </w:r>
          </w:p>
        </w:tc>
        <w:tc>
          <w:tcPr>
            <w:tcW w:w="2475" w:type="dxa"/>
            <w:gridSpan w:val="3"/>
            <w:tcBorders>
              <w:top w:val="single" w:color="auto" w:sz="4" w:space="0"/>
              <w:left w:val="nil"/>
              <w:bottom w:val="single" w:color="auto" w:sz="4" w:space="0"/>
              <w:right w:val="single" w:color="auto" w:sz="4" w:space="0"/>
            </w:tcBorders>
            <w:vAlign w:val="center"/>
          </w:tcPr>
          <w:p>
            <w:pPr>
              <w:widowControl/>
              <w:ind w:firstLine="180" w:firstLineChars="100"/>
              <w:textAlignment w:val="center"/>
              <w:rPr>
                <w:rFonts w:hint="eastAsia" w:eastAsia="宋体"/>
                <w:color w:val="000000"/>
                <w:kern w:val="0"/>
                <w:sz w:val="18"/>
                <w:szCs w:val="18"/>
                <w:lang w:eastAsia="zh-CN"/>
              </w:rPr>
            </w:pPr>
            <w:r>
              <w:rPr>
                <w:rFonts w:hint="eastAsia"/>
                <w:kern w:val="0"/>
                <w:sz w:val="18"/>
                <w:szCs w:val="18"/>
                <w:lang w:eastAsia="zh-CN"/>
              </w:rPr>
              <w:t>再就业上级</w:t>
            </w:r>
            <w:r>
              <w:rPr>
                <w:rFonts w:hint="eastAsia"/>
                <w:kern w:val="0"/>
                <w:sz w:val="18"/>
                <w:szCs w:val="18"/>
              </w:rPr>
              <w:t>专项</w:t>
            </w:r>
            <w:r>
              <w:rPr>
                <w:rFonts w:hint="eastAsia"/>
                <w:kern w:val="0"/>
                <w:sz w:val="18"/>
                <w:szCs w:val="18"/>
                <w:lang w:eastAsia="zh-CN"/>
              </w:rPr>
              <w:t>资金</w:t>
            </w: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lang w:val="en-US" w:eastAsia="zh-CN"/>
              </w:rPr>
              <w:t>700.72</w:t>
            </w:r>
            <w:r>
              <w:rPr>
                <w:rFonts w:hint="eastAsia"/>
                <w:kern w:val="0"/>
                <w:sz w:val="18"/>
                <w:szCs w:val="18"/>
              </w:rPr>
              <w:t>万</w:t>
            </w:r>
          </w:p>
        </w:tc>
        <w:tc>
          <w:tcPr>
            <w:tcW w:w="990" w:type="dxa"/>
            <w:tcBorders>
              <w:top w:val="nil"/>
              <w:left w:val="nil"/>
              <w:bottom w:val="single" w:color="auto" w:sz="4" w:space="0"/>
              <w:right w:val="single" w:color="auto" w:sz="4" w:space="0"/>
            </w:tcBorders>
            <w:vAlign w:val="center"/>
          </w:tcPr>
          <w:p>
            <w:pPr>
              <w:widowControl/>
              <w:spacing w:line="240" w:lineRule="exact"/>
              <w:jc w:val="both"/>
              <w:rPr>
                <w:kern w:val="0"/>
                <w:sz w:val="18"/>
                <w:szCs w:val="18"/>
              </w:rPr>
            </w:pPr>
            <w:r>
              <w:rPr>
                <w:rFonts w:hint="eastAsia"/>
                <w:kern w:val="0"/>
                <w:sz w:val="18"/>
                <w:szCs w:val="18"/>
                <w:lang w:val="en-US" w:eastAsia="zh-CN"/>
              </w:rPr>
              <w:t>700.72</w:t>
            </w:r>
            <w:r>
              <w:rPr>
                <w:rFonts w:hint="eastAsia"/>
                <w:kern w:val="0"/>
                <w:sz w:val="18"/>
                <w:szCs w:val="18"/>
              </w:rPr>
              <w:t>万</w:t>
            </w: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10</w:t>
            </w: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47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指标2：</w:t>
            </w: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40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效益指标</w:t>
            </w:r>
            <w:r>
              <w:rPr>
                <w:kern w:val="0"/>
                <w:sz w:val="20"/>
                <w:szCs w:val="20"/>
              </w:rPr>
              <w:t>(30分)</w:t>
            </w:r>
          </w:p>
        </w:tc>
        <w:tc>
          <w:tcPr>
            <w:tcW w:w="96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经济效益</w:t>
            </w:r>
          </w:p>
          <w:p>
            <w:pPr>
              <w:widowControl/>
              <w:spacing w:line="240" w:lineRule="exact"/>
              <w:jc w:val="center"/>
              <w:rPr>
                <w:kern w:val="0"/>
                <w:sz w:val="18"/>
                <w:szCs w:val="18"/>
              </w:rPr>
            </w:pPr>
            <w:r>
              <w:rPr>
                <w:kern w:val="0"/>
                <w:sz w:val="18"/>
                <w:szCs w:val="18"/>
              </w:rPr>
              <w:t>指标</w:t>
            </w:r>
          </w:p>
        </w:tc>
        <w:tc>
          <w:tcPr>
            <w:tcW w:w="247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eastAsia="宋体"/>
                <w:color w:val="000000"/>
                <w:kern w:val="0"/>
                <w:sz w:val="18"/>
                <w:szCs w:val="18"/>
                <w:lang w:eastAsia="zh-CN"/>
              </w:rPr>
            </w:pPr>
            <w:r>
              <w:rPr>
                <w:color w:val="000000"/>
                <w:kern w:val="0"/>
                <w:sz w:val="18"/>
                <w:szCs w:val="18"/>
              </w:rPr>
              <w:t>指标1：</w:t>
            </w:r>
            <w:r>
              <w:rPr>
                <w:rFonts w:hint="eastAsia"/>
                <w:color w:val="000000"/>
                <w:kern w:val="0"/>
                <w:sz w:val="18"/>
                <w:szCs w:val="18"/>
                <w:lang w:eastAsia="zh-CN"/>
              </w:rPr>
              <w:t>保障企业正常开工</w:t>
            </w:r>
          </w:p>
        </w:tc>
        <w:tc>
          <w:tcPr>
            <w:tcW w:w="855" w:type="dxa"/>
            <w:tcBorders>
              <w:top w:val="nil"/>
              <w:left w:val="nil"/>
              <w:bottom w:val="single" w:color="auto" w:sz="4" w:space="0"/>
              <w:right w:val="single" w:color="auto" w:sz="4" w:space="0"/>
            </w:tcBorders>
            <w:vAlign w:val="center"/>
          </w:tcPr>
          <w:p>
            <w:pPr>
              <w:widowControl/>
              <w:spacing w:line="240" w:lineRule="exact"/>
              <w:jc w:val="center"/>
              <w:rPr>
                <w:rFonts w:hint="eastAsia" w:eastAsia="宋体"/>
                <w:kern w:val="0"/>
                <w:sz w:val="18"/>
                <w:szCs w:val="18"/>
                <w:lang w:eastAsia="zh-CN"/>
              </w:rPr>
            </w:pPr>
            <w:r>
              <w:rPr>
                <w:rFonts w:hint="eastAsia"/>
                <w:kern w:val="0"/>
                <w:sz w:val="15"/>
                <w:szCs w:val="15"/>
              </w:rPr>
              <w:t>正常运转</w:t>
            </w: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5"/>
                <w:szCs w:val="15"/>
              </w:rPr>
              <w:t>正常运转</w:t>
            </w:r>
          </w:p>
        </w:tc>
        <w:tc>
          <w:tcPr>
            <w:tcW w:w="405" w:type="dxa"/>
            <w:tcBorders>
              <w:top w:val="nil"/>
              <w:left w:val="nil"/>
              <w:bottom w:val="single" w:color="auto" w:sz="4" w:space="0"/>
              <w:right w:val="single" w:color="auto" w:sz="4" w:space="0"/>
            </w:tcBorders>
            <w:vAlign w:val="center"/>
          </w:tcPr>
          <w:p>
            <w:pPr>
              <w:widowControl/>
              <w:spacing w:line="240" w:lineRule="exact"/>
              <w:jc w:val="center"/>
              <w:rPr>
                <w:rFonts w:hint="default" w:eastAsia="宋体"/>
                <w:kern w:val="0"/>
                <w:sz w:val="18"/>
                <w:szCs w:val="18"/>
                <w:lang w:val="en-US" w:eastAsia="zh-CN"/>
              </w:rPr>
            </w:pPr>
            <w:r>
              <w:rPr>
                <w:rFonts w:hint="eastAsia"/>
                <w:kern w:val="0"/>
                <w:sz w:val="18"/>
                <w:szCs w:val="18"/>
                <w:lang w:val="en-US" w:eastAsia="zh-CN"/>
              </w:rPr>
              <w:t>10</w:t>
            </w: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eastAsia="宋体"/>
                <w:kern w:val="0"/>
                <w:sz w:val="18"/>
                <w:szCs w:val="18"/>
                <w:lang w:val="en-US" w:eastAsia="zh-CN"/>
              </w:rPr>
            </w:pPr>
            <w:r>
              <w:rPr>
                <w:rFonts w:hint="eastAsia"/>
                <w:kern w:val="0"/>
                <w:sz w:val="18"/>
                <w:szCs w:val="18"/>
                <w:lang w:val="en-US" w:eastAsia="zh-CN"/>
              </w:rPr>
              <w:t>10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47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指标2：</w:t>
            </w: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47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w:t>
            </w: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678" w:hRule="atLeas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社会效益</w:t>
            </w:r>
          </w:p>
          <w:p>
            <w:pPr>
              <w:widowControl/>
              <w:spacing w:line="240" w:lineRule="exact"/>
              <w:jc w:val="center"/>
              <w:rPr>
                <w:kern w:val="0"/>
                <w:sz w:val="18"/>
                <w:szCs w:val="18"/>
              </w:rPr>
            </w:pPr>
            <w:r>
              <w:rPr>
                <w:kern w:val="0"/>
                <w:sz w:val="18"/>
                <w:szCs w:val="18"/>
              </w:rPr>
              <w:t>指标</w:t>
            </w:r>
          </w:p>
        </w:tc>
        <w:tc>
          <w:tcPr>
            <w:tcW w:w="2475" w:type="dxa"/>
            <w:gridSpan w:val="3"/>
            <w:tcBorders>
              <w:top w:val="single" w:color="auto" w:sz="4" w:space="0"/>
              <w:left w:val="nil"/>
              <w:bottom w:val="single" w:color="auto" w:sz="4" w:space="0"/>
              <w:right w:val="single" w:color="auto" w:sz="4" w:space="0"/>
            </w:tcBorders>
            <w:vAlign w:val="center"/>
          </w:tcPr>
          <w:p>
            <w:pPr>
              <w:widowControl/>
              <w:spacing w:line="260" w:lineRule="exact"/>
              <w:textAlignment w:val="center"/>
              <w:rPr>
                <w:color w:val="000000"/>
                <w:kern w:val="0"/>
                <w:sz w:val="18"/>
                <w:szCs w:val="18"/>
              </w:rPr>
            </w:pPr>
            <w:r>
              <w:rPr>
                <w:rFonts w:hint="eastAsia"/>
                <w:color w:val="000000"/>
                <w:kern w:val="0"/>
                <w:sz w:val="18"/>
                <w:szCs w:val="18"/>
              </w:rPr>
              <w:t>确保</w:t>
            </w:r>
            <w:r>
              <w:rPr>
                <w:rFonts w:hint="eastAsia"/>
                <w:color w:val="000000"/>
                <w:kern w:val="0"/>
                <w:sz w:val="18"/>
                <w:szCs w:val="18"/>
                <w:lang w:eastAsia="zh-CN"/>
              </w:rPr>
              <w:t>稳就业、保民生</w:t>
            </w:r>
            <w:r>
              <w:rPr>
                <w:rFonts w:hint="eastAsia"/>
                <w:kern w:val="0"/>
                <w:sz w:val="18"/>
                <w:szCs w:val="18"/>
              </w:rPr>
              <w:t>工作正常运转</w:t>
            </w:r>
          </w:p>
        </w:tc>
        <w:tc>
          <w:tcPr>
            <w:tcW w:w="855" w:type="dxa"/>
            <w:tcBorders>
              <w:top w:val="nil"/>
              <w:left w:val="nil"/>
              <w:bottom w:val="single" w:color="auto" w:sz="4" w:space="0"/>
              <w:right w:val="single" w:color="auto" w:sz="4" w:space="0"/>
            </w:tcBorders>
            <w:vAlign w:val="center"/>
          </w:tcPr>
          <w:p>
            <w:pPr>
              <w:widowControl/>
              <w:textAlignment w:val="center"/>
              <w:rPr>
                <w:kern w:val="0"/>
                <w:sz w:val="18"/>
                <w:szCs w:val="18"/>
              </w:rPr>
            </w:pPr>
            <w:r>
              <w:rPr>
                <w:kern w:val="0"/>
                <w:sz w:val="18"/>
                <w:szCs w:val="18"/>
              </w:rPr>
              <w:t>长期</w:t>
            </w: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长期</w:t>
            </w:r>
          </w:p>
        </w:tc>
        <w:tc>
          <w:tcPr>
            <w:tcW w:w="405" w:type="dxa"/>
            <w:tcBorders>
              <w:top w:val="nil"/>
              <w:left w:val="nil"/>
              <w:bottom w:val="single" w:color="auto" w:sz="4" w:space="0"/>
              <w:right w:val="single" w:color="auto" w:sz="4" w:space="0"/>
            </w:tcBorders>
            <w:vAlign w:val="center"/>
          </w:tcPr>
          <w:p>
            <w:pPr>
              <w:widowControl/>
              <w:spacing w:line="240" w:lineRule="exact"/>
              <w:jc w:val="center"/>
              <w:rPr>
                <w:rFonts w:hint="eastAsia" w:eastAsia="宋体"/>
                <w:kern w:val="0"/>
                <w:sz w:val="18"/>
                <w:szCs w:val="18"/>
                <w:lang w:val="en-US" w:eastAsia="zh-CN"/>
              </w:rPr>
            </w:pPr>
            <w:r>
              <w:rPr>
                <w:rFonts w:hint="eastAsia"/>
                <w:kern w:val="0"/>
                <w:sz w:val="18"/>
                <w:szCs w:val="18"/>
              </w:rPr>
              <w:t>1</w:t>
            </w:r>
            <w:r>
              <w:rPr>
                <w:rFonts w:hint="eastAsia"/>
                <w:kern w:val="0"/>
                <w:sz w:val="18"/>
                <w:szCs w:val="18"/>
                <w:lang w:val="en-US" w:eastAsia="zh-CN"/>
              </w:rPr>
              <w:t>0</w:t>
            </w: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eastAsia="宋体"/>
                <w:kern w:val="0"/>
                <w:sz w:val="18"/>
                <w:szCs w:val="18"/>
                <w:lang w:val="en-US" w:eastAsia="zh-CN"/>
              </w:rPr>
            </w:pPr>
            <w:r>
              <w:rPr>
                <w:rFonts w:hint="eastAsia"/>
                <w:kern w:val="0"/>
                <w:sz w:val="18"/>
                <w:szCs w:val="18"/>
              </w:rPr>
              <w:t>1</w:t>
            </w:r>
            <w:r>
              <w:rPr>
                <w:rFonts w:hint="eastAsia"/>
                <w:kern w:val="0"/>
                <w:sz w:val="18"/>
                <w:szCs w:val="18"/>
                <w:lang w:val="en-US" w:eastAsia="zh-CN"/>
              </w:rPr>
              <w:t>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47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指标2：</w:t>
            </w: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24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47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w:t>
            </w: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生态效益</w:t>
            </w:r>
          </w:p>
          <w:p>
            <w:pPr>
              <w:widowControl/>
              <w:spacing w:line="240" w:lineRule="exact"/>
              <w:jc w:val="center"/>
              <w:rPr>
                <w:kern w:val="0"/>
                <w:sz w:val="18"/>
                <w:szCs w:val="18"/>
              </w:rPr>
            </w:pPr>
            <w:r>
              <w:rPr>
                <w:kern w:val="0"/>
                <w:sz w:val="18"/>
                <w:szCs w:val="18"/>
              </w:rPr>
              <w:t>指标</w:t>
            </w:r>
          </w:p>
        </w:tc>
        <w:tc>
          <w:tcPr>
            <w:tcW w:w="2475" w:type="dxa"/>
            <w:gridSpan w:val="3"/>
            <w:tcBorders>
              <w:top w:val="single" w:color="auto" w:sz="4" w:space="0"/>
              <w:left w:val="nil"/>
              <w:bottom w:val="single" w:color="auto" w:sz="4" w:space="0"/>
              <w:right w:val="single" w:color="auto" w:sz="4" w:space="0"/>
            </w:tcBorders>
            <w:vAlign w:val="center"/>
          </w:tcPr>
          <w:p>
            <w:pPr>
              <w:widowControl/>
              <w:jc w:val="center"/>
              <w:textAlignment w:val="center"/>
              <w:rPr>
                <w:color w:val="000000"/>
                <w:kern w:val="0"/>
                <w:sz w:val="18"/>
                <w:szCs w:val="18"/>
              </w:rPr>
            </w:pPr>
          </w:p>
        </w:tc>
        <w:tc>
          <w:tcPr>
            <w:tcW w:w="855" w:type="dxa"/>
            <w:tcBorders>
              <w:top w:val="nil"/>
              <w:left w:val="nil"/>
              <w:bottom w:val="single" w:color="auto" w:sz="4" w:space="0"/>
              <w:right w:val="single" w:color="auto" w:sz="4" w:space="0"/>
            </w:tcBorders>
            <w:vAlign w:val="center"/>
          </w:tcPr>
          <w:p>
            <w:pPr>
              <w:widowControl/>
              <w:jc w:val="center"/>
              <w:textAlignment w:val="center"/>
              <w:rPr>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47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指标2：</w:t>
            </w: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47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w:t>
            </w: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48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可持续影响指标</w:t>
            </w:r>
          </w:p>
        </w:tc>
        <w:tc>
          <w:tcPr>
            <w:tcW w:w="2475" w:type="dxa"/>
            <w:gridSpan w:val="3"/>
            <w:tcBorders>
              <w:top w:val="single" w:color="auto" w:sz="4" w:space="0"/>
              <w:left w:val="nil"/>
              <w:bottom w:val="single" w:color="auto" w:sz="4" w:space="0"/>
              <w:right w:val="single" w:color="auto" w:sz="4" w:space="0"/>
            </w:tcBorders>
            <w:vAlign w:val="center"/>
          </w:tcPr>
          <w:p>
            <w:pPr>
              <w:widowControl/>
              <w:spacing w:line="260" w:lineRule="exact"/>
              <w:textAlignment w:val="center"/>
              <w:rPr>
                <w:color w:val="000000"/>
                <w:kern w:val="0"/>
                <w:sz w:val="18"/>
                <w:szCs w:val="18"/>
              </w:rPr>
            </w:pPr>
            <w:r>
              <w:rPr>
                <w:rFonts w:hint="eastAsia"/>
                <w:color w:val="000000"/>
                <w:kern w:val="0"/>
                <w:sz w:val="18"/>
                <w:szCs w:val="18"/>
              </w:rPr>
              <w:t>确保</w:t>
            </w:r>
            <w:r>
              <w:rPr>
                <w:rFonts w:hint="eastAsia"/>
                <w:color w:val="000000"/>
                <w:kern w:val="0"/>
                <w:sz w:val="18"/>
                <w:szCs w:val="18"/>
                <w:lang w:eastAsia="zh-CN"/>
              </w:rPr>
              <w:t>稳就业、保民生</w:t>
            </w:r>
            <w:r>
              <w:rPr>
                <w:rFonts w:hint="eastAsia"/>
                <w:color w:val="000000"/>
                <w:kern w:val="0"/>
                <w:sz w:val="18"/>
                <w:szCs w:val="18"/>
              </w:rPr>
              <w:t>工作正常运转</w:t>
            </w:r>
          </w:p>
        </w:tc>
        <w:tc>
          <w:tcPr>
            <w:tcW w:w="855" w:type="dxa"/>
            <w:tcBorders>
              <w:top w:val="nil"/>
              <w:left w:val="nil"/>
              <w:bottom w:val="single" w:color="auto" w:sz="4" w:space="0"/>
              <w:right w:val="single" w:color="auto" w:sz="4" w:space="0"/>
            </w:tcBorders>
            <w:vAlign w:val="center"/>
          </w:tcPr>
          <w:p>
            <w:pPr>
              <w:widowControl/>
              <w:jc w:val="center"/>
              <w:textAlignment w:val="center"/>
              <w:rPr>
                <w:kern w:val="0"/>
                <w:sz w:val="18"/>
                <w:szCs w:val="18"/>
              </w:rPr>
            </w:pPr>
            <w:r>
              <w:rPr>
                <w:kern w:val="0"/>
                <w:sz w:val="18"/>
                <w:szCs w:val="18"/>
              </w:rPr>
              <w:t>长期</w:t>
            </w: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长期</w:t>
            </w:r>
          </w:p>
        </w:tc>
        <w:tc>
          <w:tcPr>
            <w:tcW w:w="405" w:type="dxa"/>
            <w:tcBorders>
              <w:top w:val="nil"/>
              <w:left w:val="nil"/>
              <w:bottom w:val="single" w:color="auto" w:sz="4" w:space="0"/>
              <w:right w:val="single" w:color="auto" w:sz="4" w:space="0"/>
            </w:tcBorders>
            <w:vAlign w:val="center"/>
          </w:tcPr>
          <w:p>
            <w:pPr>
              <w:widowControl/>
              <w:spacing w:line="240" w:lineRule="exact"/>
              <w:jc w:val="center"/>
              <w:rPr>
                <w:rFonts w:hint="eastAsia" w:eastAsia="宋体"/>
                <w:kern w:val="0"/>
                <w:sz w:val="18"/>
                <w:szCs w:val="18"/>
                <w:lang w:val="en-US" w:eastAsia="zh-CN"/>
              </w:rPr>
            </w:pPr>
            <w:r>
              <w:rPr>
                <w:rFonts w:hint="eastAsia"/>
                <w:kern w:val="0"/>
                <w:sz w:val="18"/>
                <w:szCs w:val="18"/>
              </w:rPr>
              <w:t>1</w:t>
            </w:r>
            <w:r>
              <w:rPr>
                <w:rFonts w:hint="eastAsia"/>
                <w:kern w:val="0"/>
                <w:sz w:val="18"/>
                <w:szCs w:val="18"/>
                <w:lang w:val="en-US" w:eastAsia="zh-CN"/>
              </w:rPr>
              <w:t>0</w:t>
            </w: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eastAsia="宋体"/>
                <w:kern w:val="0"/>
                <w:sz w:val="18"/>
                <w:szCs w:val="18"/>
                <w:lang w:val="en-US" w:eastAsia="zh-CN"/>
              </w:rPr>
            </w:pPr>
            <w:r>
              <w:rPr>
                <w:rFonts w:hint="eastAsia"/>
                <w:kern w:val="0"/>
                <w:sz w:val="18"/>
                <w:szCs w:val="18"/>
              </w:rPr>
              <w:t>1</w:t>
            </w:r>
            <w:r>
              <w:rPr>
                <w:rFonts w:hint="eastAsia"/>
                <w:kern w:val="0"/>
                <w:sz w:val="18"/>
                <w:szCs w:val="18"/>
                <w:lang w:val="en-US" w:eastAsia="zh-CN"/>
              </w:rPr>
              <w:t>0</w:t>
            </w:r>
            <w:bookmarkStart w:id="0" w:name="_GoBack"/>
            <w:bookmarkEnd w:id="0"/>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47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指标2：</w:t>
            </w: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27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47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w:t>
            </w: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restart"/>
            <w:tcBorders>
              <w:top w:val="single" w:color="auto" w:sz="4" w:space="0"/>
              <w:left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满意度</w:t>
            </w:r>
          </w:p>
          <w:p>
            <w:pPr>
              <w:widowControl/>
              <w:spacing w:line="240" w:lineRule="exact"/>
              <w:jc w:val="center"/>
              <w:rPr>
                <w:kern w:val="0"/>
                <w:sz w:val="18"/>
                <w:szCs w:val="18"/>
              </w:rPr>
            </w:pPr>
            <w:r>
              <w:rPr>
                <w:kern w:val="0"/>
                <w:sz w:val="18"/>
                <w:szCs w:val="18"/>
              </w:rPr>
              <w:t>指标</w:t>
            </w:r>
            <w:r>
              <w:rPr>
                <w:kern w:val="0"/>
                <w:sz w:val="20"/>
                <w:szCs w:val="20"/>
              </w:rPr>
              <w:t>(10分)</w:t>
            </w:r>
          </w:p>
        </w:tc>
        <w:tc>
          <w:tcPr>
            <w:tcW w:w="96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服务对象满意度指标</w:t>
            </w:r>
          </w:p>
        </w:tc>
        <w:tc>
          <w:tcPr>
            <w:tcW w:w="2475" w:type="dxa"/>
            <w:gridSpan w:val="3"/>
            <w:tcBorders>
              <w:top w:val="single" w:color="auto" w:sz="4" w:space="0"/>
              <w:left w:val="nil"/>
              <w:bottom w:val="single" w:color="auto" w:sz="4" w:space="0"/>
              <w:right w:val="single" w:color="auto" w:sz="4" w:space="0"/>
            </w:tcBorders>
            <w:vAlign w:val="center"/>
          </w:tcPr>
          <w:p>
            <w:pPr>
              <w:widowControl/>
              <w:textAlignment w:val="center"/>
              <w:rPr>
                <w:color w:val="000000"/>
                <w:kern w:val="0"/>
                <w:sz w:val="18"/>
                <w:szCs w:val="18"/>
              </w:rPr>
            </w:pPr>
            <w:r>
              <w:rPr>
                <w:rFonts w:hint="eastAsia" w:ascii="宋体" w:hAnsi="宋体" w:cs="宋体"/>
                <w:color w:val="000000"/>
                <w:kern w:val="0"/>
                <w:sz w:val="18"/>
                <w:szCs w:val="18"/>
              </w:rPr>
              <w:t>群众对</w:t>
            </w:r>
            <w:r>
              <w:rPr>
                <w:rFonts w:hint="eastAsia" w:ascii="宋体" w:hAnsi="宋体" w:cs="宋体"/>
                <w:color w:val="000000"/>
                <w:kern w:val="0"/>
                <w:sz w:val="18"/>
                <w:szCs w:val="18"/>
                <w:lang w:eastAsia="zh-CN"/>
              </w:rPr>
              <w:t>就业</w:t>
            </w:r>
            <w:r>
              <w:rPr>
                <w:rFonts w:hint="eastAsia" w:ascii="宋体" w:hAnsi="宋体" w:cs="宋体"/>
                <w:color w:val="000000"/>
                <w:kern w:val="0"/>
                <w:sz w:val="18"/>
                <w:szCs w:val="18"/>
              </w:rPr>
              <w:t>工作满意</w:t>
            </w:r>
          </w:p>
        </w:tc>
        <w:tc>
          <w:tcPr>
            <w:tcW w:w="855" w:type="dxa"/>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100%</w:t>
            </w:r>
          </w:p>
        </w:tc>
        <w:tc>
          <w:tcPr>
            <w:tcW w:w="990" w:type="dxa"/>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100%</w:t>
            </w:r>
          </w:p>
        </w:tc>
        <w:tc>
          <w:tcPr>
            <w:tcW w:w="405" w:type="dxa"/>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10</w:t>
            </w:r>
          </w:p>
        </w:tc>
        <w:tc>
          <w:tcPr>
            <w:tcW w:w="54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47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指标2：</w:t>
            </w: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47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w:t>
            </w: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685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color w:val="000000"/>
                <w:kern w:val="0"/>
                <w:sz w:val="18"/>
                <w:szCs w:val="18"/>
              </w:rPr>
            </w:pPr>
            <w:r>
              <w:rPr>
                <w:color w:val="000000"/>
                <w:kern w:val="0"/>
                <w:sz w:val="18"/>
                <w:szCs w:val="18"/>
              </w:rPr>
              <w:t>总分</w:t>
            </w:r>
          </w:p>
        </w:tc>
        <w:tc>
          <w:tcPr>
            <w:tcW w:w="405" w:type="dxa"/>
            <w:tcBorders>
              <w:top w:val="nil"/>
              <w:left w:val="nil"/>
              <w:bottom w:val="single" w:color="auto" w:sz="4" w:space="0"/>
              <w:right w:val="single" w:color="auto" w:sz="4" w:space="0"/>
            </w:tcBorders>
            <w:vAlign w:val="center"/>
          </w:tcPr>
          <w:p>
            <w:pPr>
              <w:widowControl/>
              <w:spacing w:line="240" w:lineRule="exact"/>
              <w:jc w:val="center"/>
              <w:rPr>
                <w:rFonts w:hint="default" w:eastAsia="宋体"/>
                <w:color w:val="000000"/>
                <w:kern w:val="0"/>
                <w:sz w:val="18"/>
                <w:szCs w:val="18"/>
                <w:lang w:val="en-US" w:eastAsia="zh-CN"/>
              </w:rPr>
            </w:pPr>
            <w:r>
              <w:rPr>
                <w:rFonts w:hint="eastAsia"/>
                <w:color w:val="000000"/>
                <w:kern w:val="0"/>
                <w:sz w:val="18"/>
                <w:szCs w:val="18"/>
                <w:lang w:val="en-US" w:eastAsia="zh-CN"/>
              </w:rPr>
              <w:t>95</w:t>
            </w: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eastAsia="宋体"/>
                <w:color w:val="000000"/>
                <w:kern w:val="0"/>
                <w:sz w:val="18"/>
                <w:szCs w:val="18"/>
                <w:lang w:val="en-US" w:eastAsia="zh-CN"/>
              </w:rPr>
            </w:pPr>
            <w:r>
              <w:rPr>
                <w:rFonts w:hint="eastAsia"/>
                <w:color w:val="000000"/>
                <w:kern w:val="0"/>
                <w:sz w:val="18"/>
                <w:szCs w:val="18"/>
                <w:lang w:val="en-US" w:eastAsia="zh-CN"/>
              </w:rPr>
              <w:t>95</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bl>
    <w:p>
      <w:pPr>
        <w:widowControl/>
        <w:spacing w:line="400" w:lineRule="exact"/>
        <w:jc w:val="left"/>
        <w:rPr>
          <w:color w:val="000000"/>
          <w:kern w:val="0"/>
          <w:sz w:val="18"/>
          <w:szCs w:val="18"/>
        </w:rPr>
      </w:pPr>
    </w:p>
    <w:tbl>
      <w:tblPr>
        <w:tblStyle w:val="5"/>
        <w:tblW w:w="9540" w:type="dxa"/>
        <w:tblInd w:w="97" w:type="dxa"/>
        <w:tblLayout w:type="fixed"/>
        <w:tblCellMar>
          <w:top w:w="0" w:type="dxa"/>
          <w:left w:w="108" w:type="dxa"/>
          <w:bottom w:w="0" w:type="dxa"/>
          <w:right w:w="108" w:type="dxa"/>
        </w:tblCellMar>
      </w:tblPr>
      <w:tblGrid>
        <w:gridCol w:w="9540"/>
      </w:tblGrid>
      <w:tr>
        <w:trPr>
          <w:trHeight w:val="465" w:hRule="atLeast"/>
        </w:trPr>
        <w:tc>
          <w:tcPr>
            <w:tcW w:w="9540" w:type="dxa"/>
            <w:tcBorders>
              <w:top w:val="single" w:color="auto" w:sz="4" w:space="0"/>
              <w:left w:val="nil"/>
              <w:bottom w:val="nil"/>
              <w:right w:val="nil"/>
            </w:tcBorders>
            <w:vAlign w:val="center"/>
          </w:tcPr>
          <w:p>
            <w:pPr>
              <w:widowControl/>
              <w:spacing w:line="400" w:lineRule="exact"/>
              <w:jc w:val="left"/>
              <w:rPr>
                <w:color w:val="000000"/>
                <w:kern w:val="0"/>
                <w:sz w:val="18"/>
                <w:szCs w:val="18"/>
              </w:rPr>
            </w:pPr>
            <w:r>
              <w:rPr>
                <w:color w:val="000000"/>
                <w:kern w:val="0"/>
                <w:sz w:val="18"/>
                <w:szCs w:val="18"/>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widowControl/>
              <w:spacing w:line="400" w:lineRule="exact"/>
              <w:jc w:val="left"/>
              <w:rPr>
                <w:color w:val="000000"/>
                <w:kern w:val="0"/>
                <w:sz w:val="18"/>
                <w:szCs w:val="18"/>
              </w:rPr>
            </w:pPr>
            <w:r>
              <w:rPr>
                <w:color w:val="000000"/>
                <w:kern w:val="0"/>
                <w:sz w:val="18"/>
                <w:szCs w:val="18"/>
              </w:rPr>
              <w:t xml:space="preserve">    2.定性指标根据指标完成情况分为：达成预期指标、部分达成预期指标并具有一定效果、未达成预期指标且效果较差三档，分别按照该指标对应分值区间100-80%(含80%)、80-50%(含50%)、50-0%合理确定分值。</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widowControl/>
              <w:spacing w:line="400" w:lineRule="exact"/>
              <w:jc w:val="left"/>
              <w:rPr>
                <w:color w:val="000000"/>
                <w:kern w:val="0"/>
                <w:sz w:val="18"/>
                <w:szCs w:val="18"/>
              </w:rPr>
            </w:pPr>
            <w:r>
              <w:rPr>
                <w:color w:val="000000"/>
                <w:kern w:val="0"/>
                <w:sz w:val="18"/>
                <w:szCs w:val="18"/>
              </w:rPr>
              <w:t xml:space="preserve">    3.定量指标若为正向指标（即指标值为≥*），则得分计算方法应用全年实际值（B）/年度指标值（A）</w:t>
            </w:r>
            <w:r>
              <w:rPr>
                <w:color w:val="000000"/>
                <w:kern w:val="0"/>
                <w:sz w:val="12"/>
                <w:szCs w:val="12"/>
              </w:rPr>
              <w:t>╳</w:t>
            </w:r>
            <w:r>
              <w:rPr>
                <w:color w:val="000000"/>
                <w:kern w:val="0"/>
                <w:sz w:val="18"/>
                <w:szCs w:val="18"/>
              </w:rPr>
              <w:t>该指标分值；若定量指标为反向指标（即指标值为≤*），则得分计算方法应用年度指标值（A）/全年实际值（B）</w:t>
            </w:r>
            <w:r>
              <w:rPr>
                <w:color w:val="000000"/>
                <w:kern w:val="0"/>
                <w:sz w:val="12"/>
                <w:szCs w:val="12"/>
              </w:rPr>
              <w:t>╳</w:t>
            </w:r>
            <w:r>
              <w:rPr>
                <w:color w:val="000000"/>
                <w:kern w:val="0"/>
                <w:sz w:val="18"/>
                <w:szCs w:val="18"/>
              </w:rPr>
              <w:t>该指标分值。</w:t>
            </w:r>
          </w:p>
        </w:tc>
      </w:tr>
      <w:tr>
        <w:tblPrEx>
          <w:tblCellMar>
            <w:top w:w="0" w:type="dxa"/>
            <w:left w:w="108" w:type="dxa"/>
            <w:bottom w:w="0" w:type="dxa"/>
            <w:right w:w="108" w:type="dxa"/>
          </w:tblCellMar>
        </w:tblPrEx>
        <w:trPr>
          <w:trHeight w:val="210" w:hRule="atLeast"/>
        </w:trPr>
        <w:tc>
          <w:tcPr>
            <w:tcW w:w="9540" w:type="dxa"/>
            <w:tcBorders>
              <w:top w:val="nil"/>
              <w:left w:val="nil"/>
              <w:bottom w:val="nil"/>
              <w:right w:val="nil"/>
            </w:tcBorders>
            <w:vAlign w:val="center"/>
          </w:tcPr>
          <w:p>
            <w:pPr>
              <w:widowControl/>
              <w:spacing w:line="400" w:lineRule="exact"/>
              <w:jc w:val="left"/>
              <w:rPr>
                <w:color w:val="000000"/>
                <w:kern w:val="0"/>
                <w:sz w:val="18"/>
                <w:szCs w:val="18"/>
              </w:rPr>
            </w:pPr>
            <w:r>
              <w:rPr>
                <w:color w:val="000000"/>
                <w:kern w:val="0"/>
                <w:sz w:val="18"/>
                <w:szCs w:val="18"/>
              </w:rPr>
              <w:t xml:space="preserve">    4.请在“</w:t>
            </w:r>
            <w:r>
              <w:rPr>
                <w:kern w:val="0"/>
                <w:sz w:val="18"/>
                <w:szCs w:val="18"/>
              </w:rPr>
              <w:t>偏差原因分析及改进措施</w:t>
            </w:r>
            <w:r>
              <w:rPr>
                <w:color w:val="000000"/>
                <w:kern w:val="0"/>
                <w:sz w:val="18"/>
                <w:szCs w:val="18"/>
              </w:rPr>
              <w:t>”中说明偏离目标、不能完成目标的原因及拟采取的措施。</w:t>
            </w:r>
          </w:p>
        </w:tc>
      </w:tr>
    </w:tbl>
    <w:p>
      <w:pPr>
        <w:widowControl/>
        <w:spacing w:line="400" w:lineRule="exact"/>
        <w:jc w:val="left"/>
        <w:rPr>
          <w:color w:val="000000"/>
          <w:kern w:val="0"/>
          <w:sz w:val="18"/>
          <w:szCs w:val="18"/>
        </w:rPr>
      </w:pPr>
    </w:p>
    <w:p/>
    <w:p>
      <w:pPr>
        <w:rPr>
          <w:rFonts w:eastAsia="黑体"/>
        </w:rPr>
        <w:sectPr>
          <w:pgSz w:w="11906" w:h="16838"/>
          <w:pgMar w:top="1587" w:right="1587" w:bottom="1587" w:left="1587" w:header="737" w:footer="850" w:gutter="0"/>
          <w:cols w:space="720" w:num="1"/>
          <w:docGrid w:type="lines" w:linePitch="408" w:charSpace="0"/>
        </w:sectPr>
      </w:pPr>
    </w:p>
    <w:p>
      <w:pPr>
        <w:keepNext/>
        <w:keepLines/>
        <w:pageBreakBefore/>
        <w:widowControl/>
        <w:spacing w:line="560" w:lineRule="exact"/>
        <w:rPr>
          <w:rFonts w:eastAsia="仿宋_GB2312"/>
          <w:bCs/>
          <w:color w:val="000000"/>
          <w:sz w:val="32"/>
          <w:szCs w:val="32"/>
        </w:rPr>
      </w:pPr>
      <w:r>
        <w:rPr>
          <w:rFonts w:eastAsia="仿宋_GB2312"/>
          <w:bCs/>
          <w:color w:val="000000"/>
          <w:sz w:val="32"/>
          <w:szCs w:val="32"/>
        </w:rPr>
        <w:t>附件</w:t>
      </w:r>
      <w:r>
        <w:rPr>
          <w:rFonts w:hint="eastAsia" w:eastAsia="仿宋_GB2312"/>
          <w:bCs/>
          <w:color w:val="000000"/>
          <w:sz w:val="32"/>
          <w:szCs w:val="32"/>
        </w:rPr>
        <w:t>2</w:t>
      </w:r>
    </w:p>
    <w:p>
      <w:pPr>
        <w:pStyle w:val="2"/>
        <w:spacing w:before="0" w:after="0" w:line="240" w:lineRule="auto"/>
        <w:jc w:val="center"/>
        <w:rPr>
          <w:rFonts w:ascii="Times New Roman" w:hAnsi="Times New Roman" w:eastAsia="宋体"/>
          <w:bCs/>
          <w:color w:val="000000"/>
          <w:sz w:val="36"/>
          <w:szCs w:val="28"/>
        </w:rPr>
      </w:pPr>
      <w:r>
        <w:rPr>
          <w:rFonts w:ascii="Times New Roman" w:hAnsi="Times New Roman" w:eastAsia="宋体"/>
          <w:bCs/>
          <w:color w:val="000000"/>
          <w:sz w:val="36"/>
          <w:szCs w:val="28"/>
        </w:rPr>
        <w:t>项目支出绩效评价共性指标表</w:t>
      </w:r>
    </w:p>
    <w:tbl>
      <w:tblPr>
        <w:tblStyle w:val="5"/>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09"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113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567" w:type="dxa"/>
            <w:shd w:val="clear" w:color="auto" w:fill="FFFFFF"/>
          </w:tcPr>
          <w:p>
            <w:pPr>
              <w:widowControl/>
              <w:spacing w:line="0" w:lineRule="atLeast"/>
              <w:jc w:val="center"/>
              <w:rPr>
                <w:b/>
                <w:bCs/>
                <w:color w:val="000000"/>
                <w:kern w:val="0"/>
                <w:sz w:val="22"/>
                <w:szCs w:val="22"/>
              </w:rPr>
            </w:pPr>
            <w:r>
              <w:rPr>
                <w:b/>
                <w:bCs/>
                <w:color w:val="000000"/>
                <w:kern w:val="0"/>
                <w:sz w:val="22"/>
                <w:szCs w:val="22"/>
              </w:rPr>
              <w:t>分</w:t>
            </w:r>
          </w:p>
          <w:p>
            <w:pPr>
              <w:widowControl/>
              <w:spacing w:line="0" w:lineRule="atLeast"/>
              <w:jc w:val="center"/>
              <w:rPr>
                <w:b/>
                <w:bCs/>
                <w:color w:val="000000"/>
                <w:kern w:val="0"/>
                <w:sz w:val="22"/>
                <w:szCs w:val="22"/>
              </w:rPr>
            </w:pPr>
            <w:r>
              <w:rPr>
                <w:b/>
                <w:bCs/>
                <w:color w:val="000000"/>
                <w:kern w:val="0"/>
                <w:sz w:val="22"/>
                <w:szCs w:val="22"/>
              </w:rPr>
              <w:t>值</w:t>
            </w:r>
          </w:p>
        </w:tc>
        <w:tc>
          <w:tcPr>
            <w:tcW w:w="2835"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6096"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566"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tc>
        <w:tc>
          <w:tcPr>
            <w:tcW w:w="70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566"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shd w:val="clear" w:color="auto" w:fill="FFFFFF"/>
            <w:vAlign w:val="center"/>
          </w:tcPr>
          <w:p>
            <w:pPr>
              <w:spacing w:line="0" w:lineRule="atLeast"/>
              <w:jc w:val="center"/>
              <w:rPr>
                <w:color w:val="000000"/>
                <w:kern w:val="0"/>
                <w:sz w:val="22"/>
                <w:szCs w:val="22"/>
              </w:rPr>
            </w:pPr>
          </w:p>
        </w:tc>
        <w:tc>
          <w:tcPr>
            <w:tcW w:w="709" w:type="dxa"/>
            <w:vMerge w:val="continue"/>
            <w:shd w:val="clear" w:color="auto" w:fill="FFFFFF"/>
            <w:vAlign w:val="center"/>
          </w:tcPr>
          <w:p>
            <w:pPr>
              <w:widowControl/>
              <w:spacing w:line="0" w:lineRule="atLeast"/>
              <w:jc w:val="center"/>
              <w:rPr>
                <w:color w:val="000000"/>
                <w:kern w:val="0"/>
                <w:sz w:val="22"/>
                <w:szCs w:val="22"/>
              </w:rPr>
            </w:pP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6096"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566"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shd w:val="clear" w:color="auto" w:fill="FFFFFF"/>
            <w:vAlign w:val="center"/>
          </w:tcPr>
          <w:p>
            <w:pPr>
              <w:spacing w:line="0" w:lineRule="atLeast"/>
              <w:jc w:val="center"/>
              <w:rPr>
                <w:color w:val="000000"/>
                <w:kern w:val="0"/>
                <w:sz w:val="22"/>
                <w:szCs w:val="22"/>
              </w:rPr>
            </w:pPr>
          </w:p>
        </w:tc>
        <w:tc>
          <w:tcPr>
            <w:tcW w:w="709"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566" w:type="dxa"/>
            <w:shd w:val="clear" w:color="auto" w:fill="FFFFFF"/>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tc>
        <w:tc>
          <w:tcPr>
            <w:tcW w:w="709"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566" w:type="dxa"/>
            <w:shd w:val="clear" w:color="auto" w:fill="FFFFFF"/>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82" w:type="dxa"/>
            <w:vMerge w:val="continue"/>
            <w:shd w:val="clear" w:color="auto" w:fill="FFFFFF"/>
            <w:vAlign w:val="center"/>
          </w:tcPr>
          <w:p>
            <w:pPr>
              <w:spacing w:line="0" w:lineRule="atLeast"/>
              <w:jc w:val="center"/>
              <w:rPr>
                <w:color w:val="000000"/>
                <w:kern w:val="0"/>
                <w:sz w:val="22"/>
                <w:szCs w:val="22"/>
              </w:rPr>
            </w:pPr>
          </w:p>
        </w:tc>
        <w:tc>
          <w:tcPr>
            <w:tcW w:w="70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566"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82" w:type="dxa"/>
            <w:vMerge w:val="continue"/>
            <w:shd w:val="clear" w:color="auto" w:fill="FFFFFF"/>
            <w:vAlign w:val="center"/>
          </w:tcPr>
          <w:p>
            <w:pPr>
              <w:widowControl/>
              <w:spacing w:line="0" w:lineRule="atLeast"/>
              <w:jc w:val="center"/>
              <w:rPr>
                <w:color w:val="000000"/>
                <w:kern w:val="0"/>
                <w:sz w:val="22"/>
                <w:szCs w:val="22"/>
              </w:rPr>
            </w:pPr>
          </w:p>
        </w:tc>
        <w:tc>
          <w:tcPr>
            <w:tcW w:w="709" w:type="dxa"/>
            <w:vMerge w:val="continue"/>
            <w:shd w:val="clear" w:color="auto" w:fill="FFFFFF"/>
            <w:vAlign w:val="center"/>
          </w:tcPr>
          <w:p>
            <w:pPr>
              <w:widowControl/>
              <w:spacing w:line="0" w:lineRule="atLeast"/>
              <w:jc w:val="center"/>
              <w:rPr>
                <w:color w:val="000000"/>
                <w:kern w:val="0"/>
                <w:sz w:val="22"/>
                <w:szCs w:val="22"/>
              </w:rPr>
            </w:pP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566" w:type="dxa"/>
            <w:shd w:val="clear" w:color="auto" w:fill="FFFFFF"/>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tc>
        <w:tc>
          <w:tcPr>
            <w:tcW w:w="70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66"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shd w:val="clear" w:color="auto" w:fill="FFFFFF"/>
            <w:vAlign w:val="center"/>
          </w:tcPr>
          <w:p>
            <w:pPr>
              <w:spacing w:line="0" w:lineRule="atLeast"/>
              <w:jc w:val="center"/>
              <w:rPr>
                <w:color w:val="000000"/>
                <w:kern w:val="0"/>
                <w:sz w:val="22"/>
                <w:szCs w:val="22"/>
              </w:rPr>
            </w:pPr>
          </w:p>
        </w:tc>
        <w:tc>
          <w:tcPr>
            <w:tcW w:w="709" w:type="dxa"/>
            <w:vMerge w:val="continue"/>
            <w:shd w:val="clear" w:color="auto" w:fill="FFFFFF"/>
            <w:vAlign w:val="center"/>
          </w:tcPr>
          <w:p>
            <w:pPr>
              <w:spacing w:line="0" w:lineRule="atLeast"/>
              <w:jc w:val="center"/>
              <w:rPr>
                <w:color w:val="000000"/>
                <w:kern w:val="0"/>
                <w:sz w:val="22"/>
                <w:szCs w:val="22"/>
              </w:rPr>
            </w:pP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566" w:type="dxa"/>
            <w:shd w:val="clear" w:color="auto" w:fill="FFFFFF"/>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过程　</w:t>
            </w:r>
          </w:p>
        </w:tc>
        <w:tc>
          <w:tcPr>
            <w:tcW w:w="709"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566" w:type="dxa"/>
            <w:shd w:val="clear" w:color="auto" w:fill="FFFFFF"/>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82" w:type="dxa"/>
            <w:vMerge w:val="continue"/>
            <w:shd w:val="clear" w:color="auto" w:fill="FFFFFF"/>
            <w:vAlign w:val="center"/>
          </w:tcPr>
          <w:p>
            <w:pPr>
              <w:spacing w:line="0" w:lineRule="atLeast"/>
              <w:jc w:val="center"/>
              <w:rPr>
                <w:color w:val="000000"/>
                <w:kern w:val="0"/>
                <w:sz w:val="22"/>
                <w:szCs w:val="22"/>
              </w:rPr>
            </w:pPr>
          </w:p>
        </w:tc>
        <w:tc>
          <w:tcPr>
            <w:tcW w:w="70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566" w:type="dxa"/>
            <w:shd w:val="clear" w:color="auto" w:fill="FFFFFF"/>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shd w:val="clear" w:color="auto" w:fill="FFFFFF"/>
            <w:vAlign w:val="center"/>
          </w:tcPr>
          <w:p>
            <w:pPr>
              <w:widowControl/>
              <w:spacing w:line="0" w:lineRule="atLeast"/>
              <w:jc w:val="center"/>
              <w:rPr>
                <w:color w:val="000000"/>
                <w:kern w:val="0"/>
                <w:sz w:val="22"/>
                <w:szCs w:val="22"/>
              </w:rPr>
            </w:pPr>
          </w:p>
        </w:tc>
        <w:tc>
          <w:tcPr>
            <w:tcW w:w="709" w:type="dxa"/>
            <w:vMerge w:val="continue"/>
            <w:shd w:val="clear" w:color="auto" w:fill="FFFFFF"/>
            <w:vAlign w:val="center"/>
          </w:tcPr>
          <w:p>
            <w:pPr>
              <w:widowControl/>
              <w:spacing w:line="0" w:lineRule="atLeast"/>
              <w:jc w:val="center"/>
              <w:rPr>
                <w:color w:val="000000"/>
                <w:kern w:val="0"/>
                <w:sz w:val="22"/>
                <w:szCs w:val="22"/>
              </w:rPr>
            </w:pP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566" w:type="dxa"/>
            <w:shd w:val="clear" w:color="auto" w:fill="FFFFFF"/>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82" w:type="dxa"/>
            <w:vMerge w:val="continue"/>
            <w:shd w:val="clear" w:color="auto" w:fill="FFFFFF"/>
            <w:vAlign w:val="center"/>
          </w:tcPr>
          <w:p>
            <w:pPr>
              <w:spacing w:line="0" w:lineRule="atLeast"/>
              <w:jc w:val="center"/>
              <w:rPr>
                <w:color w:val="000000"/>
                <w:kern w:val="0"/>
                <w:sz w:val="22"/>
                <w:szCs w:val="22"/>
              </w:rPr>
            </w:pPr>
          </w:p>
        </w:tc>
        <w:tc>
          <w:tcPr>
            <w:tcW w:w="709"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566"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shd w:val="clear" w:color="auto" w:fill="FFFFFF"/>
            <w:vAlign w:val="center"/>
          </w:tcPr>
          <w:p>
            <w:pPr>
              <w:widowControl/>
              <w:spacing w:line="0" w:lineRule="atLeast"/>
              <w:jc w:val="center"/>
              <w:rPr>
                <w:color w:val="000000"/>
                <w:kern w:val="0"/>
                <w:sz w:val="22"/>
                <w:szCs w:val="22"/>
              </w:rPr>
            </w:pPr>
          </w:p>
        </w:tc>
        <w:tc>
          <w:tcPr>
            <w:tcW w:w="709"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566" w:type="dxa"/>
            <w:shd w:val="clear" w:color="auto" w:fill="FFFFFF"/>
            <w:vAlign w:val="center"/>
          </w:tcPr>
          <w:p>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0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20</w:t>
            </w:r>
          </w:p>
        </w:tc>
        <w:tc>
          <w:tcPr>
            <w:tcW w:w="2835"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shd w:val="clear" w:color="auto" w:fill="FFFFFF"/>
            <w:vAlign w:val="center"/>
          </w:tcPr>
          <w:p>
            <w:pPr>
              <w:widowControl/>
              <w:spacing w:line="0" w:lineRule="atLeast"/>
              <w:jc w:val="center"/>
              <w:rPr>
                <w:color w:val="000000"/>
                <w:kern w:val="0"/>
                <w:sz w:val="22"/>
                <w:szCs w:val="22"/>
              </w:rPr>
            </w:pPr>
          </w:p>
        </w:tc>
        <w:tc>
          <w:tcPr>
            <w:tcW w:w="709" w:type="dxa"/>
            <w:vMerge w:val="continue"/>
            <w:shd w:val="clear" w:color="auto" w:fill="FFFFFF"/>
            <w:vAlign w:val="center"/>
          </w:tcPr>
          <w:p>
            <w:pPr>
              <w:widowControl/>
              <w:spacing w:line="0" w:lineRule="atLeast"/>
              <w:jc w:val="center"/>
              <w:rPr>
                <w:color w:val="000000"/>
                <w:kern w:val="0"/>
                <w:sz w:val="22"/>
                <w:szCs w:val="22"/>
              </w:rPr>
            </w:pP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shd w:val="clear" w:color="auto" w:fill="FFFFFF"/>
            <w:vAlign w:val="center"/>
          </w:tcPr>
          <w:p>
            <w:pPr>
              <w:widowControl/>
              <w:spacing w:line="0" w:lineRule="atLeast"/>
              <w:jc w:val="center"/>
              <w:rPr>
                <w:color w:val="000000"/>
                <w:kern w:val="0"/>
                <w:sz w:val="22"/>
                <w:szCs w:val="22"/>
              </w:rPr>
            </w:pPr>
            <w:r>
              <w:rPr>
                <w:color w:val="000000"/>
                <w:kern w:val="0"/>
                <w:sz w:val="22"/>
                <w:szCs w:val="22"/>
              </w:rPr>
              <w:t>总分</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2835" w:type="dxa"/>
            <w:shd w:val="clear" w:color="auto" w:fill="FFFFFF"/>
            <w:vAlign w:val="center"/>
          </w:tcPr>
          <w:p>
            <w:pPr>
              <w:widowControl/>
              <w:spacing w:line="0" w:lineRule="atLeast"/>
              <w:rPr>
                <w:color w:val="000000"/>
                <w:kern w:val="0"/>
                <w:sz w:val="22"/>
                <w:szCs w:val="22"/>
              </w:rPr>
            </w:pPr>
          </w:p>
        </w:tc>
        <w:tc>
          <w:tcPr>
            <w:tcW w:w="6096" w:type="dxa"/>
            <w:shd w:val="clear" w:color="auto" w:fill="FFFFFF"/>
            <w:vAlign w:val="center"/>
          </w:tcPr>
          <w:p>
            <w:pPr>
              <w:widowControl/>
              <w:spacing w:line="0" w:lineRule="atLeast"/>
              <w:rPr>
                <w:color w:val="000000"/>
                <w:kern w:val="0"/>
                <w:sz w:val="22"/>
                <w:szCs w:val="22"/>
              </w:rPr>
            </w:pPr>
          </w:p>
        </w:tc>
        <w:tc>
          <w:tcPr>
            <w:tcW w:w="566" w:type="dxa"/>
            <w:shd w:val="clear" w:color="auto" w:fill="FFFFFF"/>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90</w:t>
            </w:r>
          </w:p>
        </w:tc>
      </w:tr>
    </w:tbl>
    <w:p>
      <w:pPr>
        <w:spacing w:line="560" w:lineRule="exact"/>
        <w:ind w:firstLine="210" w:firstLineChars="100"/>
      </w:pPr>
    </w:p>
    <w:sectPr>
      <w:pgSz w:w="16838" w:h="11906" w:orient="landscape"/>
      <w:pgMar w:top="1474" w:right="1474" w:bottom="1474" w:left="1474" w:header="851" w:footer="1361" w:gutter="0"/>
      <w:cols w:space="720" w:num="1"/>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B1772C"/>
    <w:multiLevelType w:val="singleLevel"/>
    <w:tmpl w:val="D2B1772C"/>
    <w:lvl w:ilvl="0" w:tentative="0">
      <w:start w:val="6"/>
      <w:numFmt w:val="chineseCounting"/>
      <w:suff w:val="nothing"/>
      <w:lvlText w:val="%1、"/>
      <w:lvlJc w:val="left"/>
      <w:rPr>
        <w:rFonts w:hint="eastAsia"/>
      </w:rPr>
    </w:lvl>
  </w:abstractNum>
  <w:abstractNum w:abstractNumId="1">
    <w:nsid w:val="D9B9AE55"/>
    <w:multiLevelType w:val="singleLevel"/>
    <w:tmpl w:val="D9B9AE55"/>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12BF0"/>
    <w:rsid w:val="00025159"/>
    <w:rsid w:val="000774D0"/>
    <w:rsid w:val="00122C5E"/>
    <w:rsid w:val="001B0600"/>
    <w:rsid w:val="00400945"/>
    <w:rsid w:val="00412BF0"/>
    <w:rsid w:val="00481DE2"/>
    <w:rsid w:val="004922CD"/>
    <w:rsid w:val="0055644A"/>
    <w:rsid w:val="00574331"/>
    <w:rsid w:val="006B2AF2"/>
    <w:rsid w:val="0070713A"/>
    <w:rsid w:val="00733A47"/>
    <w:rsid w:val="00771954"/>
    <w:rsid w:val="00936C8E"/>
    <w:rsid w:val="0095525C"/>
    <w:rsid w:val="00AA44BE"/>
    <w:rsid w:val="00BA71E3"/>
    <w:rsid w:val="00BF1496"/>
    <w:rsid w:val="00C1593A"/>
    <w:rsid w:val="00C51913"/>
    <w:rsid w:val="00C52F77"/>
    <w:rsid w:val="00CC6E5D"/>
    <w:rsid w:val="00DE335D"/>
    <w:rsid w:val="00E60602"/>
    <w:rsid w:val="00E629B0"/>
    <w:rsid w:val="00EB37F2"/>
    <w:rsid w:val="00EF3D43"/>
    <w:rsid w:val="016F1FEF"/>
    <w:rsid w:val="0176339A"/>
    <w:rsid w:val="024462F7"/>
    <w:rsid w:val="026104B7"/>
    <w:rsid w:val="04B23BD4"/>
    <w:rsid w:val="051128DA"/>
    <w:rsid w:val="06A25214"/>
    <w:rsid w:val="073D090C"/>
    <w:rsid w:val="07B24833"/>
    <w:rsid w:val="07E04E2A"/>
    <w:rsid w:val="08875497"/>
    <w:rsid w:val="0A4A6049"/>
    <w:rsid w:val="0B061BCE"/>
    <w:rsid w:val="0ECA352D"/>
    <w:rsid w:val="0FE44633"/>
    <w:rsid w:val="100137EC"/>
    <w:rsid w:val="105939C7"/>
    <w:rsid w:val="11315A19"/>
    <w:rsid w:val="113317D5"/>
    <w:rsid w:val="119C7F26"/>
    <w:rsid w:val="12685FF5"/>
    <w:rsid w:val="13645FA2"/>
    <w:rsid w:val="13C55902"/>
    <w:rsid w:val="13D4736C"/>
    <w:rsid w:val="14B91FAE"/>
    <w:rsid w:val="15A52F10"/>
    <w:rsid w:val="16343B67"/>
    <w:rsid w:val="17B6416D"/>
    <w:rsid w:val="19675662"/>
    <w:rsid w:val="19BB5F56"/>
    <w:rsid w:val="1AAD7B7A"/>
    <w:rsid w:val="1B870550"/>
    <w:rsid w:val="1BAA690A"/>
    <w:rsid w:val="1C1E6B01"/>
    <w:rsid w:val="1C6A120F"/>
    <w:rsid w:val="1DAC14BC"/>
    <w:rsid w:val="20584D6C"/>
    <w:rsid w:val="20FF1E89"/>
    <w:rsid w:val="212E5E3B"/>
    <w:rsid w:val="21D24AF6"/>
    <w:rsid w:val="22210ED6"/>
    <w:rsid w:val="23111CBA"/>
    <w:rsid w:val="240D1D4E"/>
    <w:rsid w:val="26925AB7"/>
    <w:rsid w:val="282E6B08"/>
    <w:rsid w:val="2B68726A"/>
    <w:rsid w:val="2C990014"/>
    <w:rsid w:val="2D713905"/>
    <w:rsid w:val="316844F6"/>
    <w:rsid w:val="31C672CE"/>
    <w:rsid w:val="31FD579A"/>
    <w:rsid w:val="327A3AA5"/>
    <w:rsid w:val="33E81400"/>
    <w:rsid w:val="34B91A82"/>
    <w:rsid w:val="35DE2E45"/>
    <w:rsid w:val="36FE4014"/>
    <w:rsid w:val="377866F1"/>
    <w:rsid w:val="38305CC0"/>
    <w:rsid w:val="389802E9"/>
    <w:rsid w:val="39370691"/>
    <w:rsid w:val="3956004B"/>
    <w:rsid w:val="3B952CC0"/>
    <w:rsid w:val="3CF8470D"/>
    <w:rsid w:val="3DF0111E"/>
    <w:rsid w:val="3E331D9A"/>
    <w:rsid w:val="3E460296"/>
    <w:rsid w:val="40C35FEB"/>
    <w:rsid w:val="41885C9F"/>
    <w:rsid w:val="41F950CB"/>
    <w:rsid w:val="42D93103"/>
    <w:rsid w:val="431E1162"/>
    <w:rsid w:val="43603FF5"/>
    <w:rsid w:val="43C60C7E"/>
    <w:rsid w:val="43FD5581"/>
    <w:rsid w:val="44591D7F"/>
    <w:rsid w:val="448559D3"/>
    <w:rsid w:val="45381E27"/>
    <w:rsid w:val="49AE5FFC"/>
    <w:rsid w:val="49BB3979"/>
    <w:rsid w:val="4A2941F5"/>
    <w:rsid w:val="4A883699"/>
    <w:rsid w:val="4B7D4F69"/>
    <w:rsid w:val="4BE46F91"/>
    <w:rsid w:val="4D265BE8"/>
    <w:rsid w:val="4DD56282"/>
    <w:rsid w:val="4E4D2C5E"/>
    <w:rsid w:val="4E5321B1"/>
    <w:rsid w:val="4EC0683C"/>
    <w:rsid w:val="4F4707FA"/>
    <w:rsid w:val="4F5815AA"/>
    <w:rsid w:val="51FE4B9D"/>
    <w:rsid w:val="52801A3E"/>
    <w:rsid w:val="53EE11D9"/>
    <w:rsid w:val="550801BE"/>
    <w:rsid w:val="563B47F6"/>
    <w:rsid w:val="56813666"/>
    <w:rsid w:val="5685175E"/>
    <w:rsid w:val="58240E45"/>
    <w:rsid w:val="598E35D0"/>
    <w:rsid w:val="5A9635AE"/>
    <w:rsid w:val="5AF7579F"/>
    <w:rsid w:val="5B8A34D4"/>
    <w:rsid w:val="5C805932"/>
    <w:rsid w:val="5CF36028"/>
    <w:rsid w:val="5D3C5DB0"/>
    <w:rsid w:val="6244348C"/>
    <w:rsid w:val="635F6CC2"/>
    <w:rsid w:val="63A030B6"/>
    <w:rsid w:val="649A3FBF"/>
    <w:rsid w:val="66F97575"/>
    <w:rsid w:val="68824DC1"/>
    <w:rsid w:val="69731A7F"/>
    <w:rsid w:val="6A572BC0"/>
    <w:rsid w:val="6A651E22"/>
    <w:rsid w:val="6AF01A6D"/>
    <w:rsid w:val="6B463FBB"/>
    <w:rsid w:val="6C7953ED"/>
    <w:rsid w:val="6D267077"/>
    <w:rsid w:val="6D28056C"/>
    <w:rsid w:val="6F9E2A95"/>
    <w:rsid w:val="702C01E9"/>
    <w:rsid w:val="70487917"/>
    <w:rsid w:val="70D668A0"/>
    <w:rsid w:val="70E57D40"/>
    <w:rsid w:val="71901AB5"/>
    <w:rsid w:val="71985DF0"/>
    <w:rsid w:val="725F5E61"/>
    <w:rsid w:val="73674581"/>
    <w:rsid w:val="75537940"/>
    <w:rsid w:val="75A22264"/>
    <w:rsid w:val="769329F1"/>
    <w:rsid w:val="76EB0EDC"/>
    <w:rsid w:val="7768059E"/>
    <w:rsid w:val="778C1F5C"/>
    <w:rsid w:val="7A8B6625"/>
    <w:rsid w:val="7B6659E3"/>
    <w:rsid w:val="7B8E443D"/>
    <w:rsid w:val="7C0F2CF8"/>
    <w:rsid w:val="7DAE3A53"/>
    <w:rsid w:val="7EC6658B"/>
    <w:rsid w:val="7FBD3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unhideWhenUsed/>
    <w:qFormat/>
    <w:uiPriority w:val="0"/>
    <w:pPr>
      <w:tabs>
        <w:tab w:val="center" w:pos="4153"/>
        <w:tab w:val="right" w:pos="8306"/>
      </w:tabs>
      <w:snapToGrid w:val="0"/>
      <w:jc w:val="left"/>
    </w:pPr>
    <w:rPr>
      <w:kern w:val="0"/>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7">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8">
    <w:name w:val="页眉 Char"/>
    <w:basedOn w:val="6"/>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785</Words>
  <Characters>4475</Characters>
  <Lines>37</Lines>
  <Paragraphs>10</Paragraphs>
  <TotalTime>36</TotalTime>
  <ScaleCrop>false</ScaleCrop>
  <LinksUpToDate>false</LinksUpToDate>
  <CharactersWithSpaces>5250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2020-06-27T08:43:00Z</dcterms:created>
  <dc:creator>Lenovo</dc:creator>
  <cp:lastModifiedBy>lenovo</cp:lastModifiedBy>
  <dcterms:modified xsi:type="dcterms:W3CDTF">2021-08-03T07:20:48Z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D3E4814BAE5445DBB1103647A2B1FFF5</vt:lpwstr>
  </property>
</Properties>
</file>