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9BB" w:rsidRDefault="00FD49BB">
      <w:pPr>
        <w:spacing w:line="560" w:lineRule="exact"/>
        <w:rPr>
          <w:rFonts w:ascii="Times New Roman" w:eastAsia="仿宋_GB2312" w:hAnsi="Times New Roman"/>
          <w:bCs/>
          <w:color w:val="000000"/>
          <w:sz w:val="32"/>
          <w:szCs w:val="32"/>
        </w:rPr>
      </w:pPr>
    </w:p>
    <w:p w:rsidR="00FD49BB" w:rsidRDefault="00FD49BB">
      <w:pPr>
        <w:spacing w:line="600" w:lineRule="exact"/>
        <w:rPr>
          <w:rFonts w:ascii="Times New Roman" w:eastAsia="黑体" w:hAnsi="Times New Roman"/>
          <w:kern w:val="0"/>
          <w:sz w:val="32"/>
          <w:szCs w:val="32"/>
        </w:rPr>
      </w:pPr>
    </w:p>
    <w:p w:rsidR="00FD49BB" w:rsidRDefault="00B036C2">
      <w:pPr>
        <w:jc w:val="center"/>
        <w:rPr>
          <w:rFonts w:ascii="Times New Roman" w:eastAsia="方正小标宋_GBK" w:hAnsi="Times New Roman"/>
          <w:sz w:val="48"/>
          <w:szCs w:val="48"/>
        </w:rPr>
      </w:pPr>
      <w:r>
        <w:rPr>
          <w:rFonts w:ascii="Times New Roman" w:eastAsia="方正小标宋_GBK" w:hAnsi="Times New Roman"/>
          <w:sz w:val="48"/>
          <w:szCs w:val="48"/>
        </w:rPr>
        <w:t>20</w:t>
      </w:r>
      <w:r>
        <w:rPr>
          <w:rFonts w:ascii="Times New Roman" w:eastAsia="方正小标宋_GBK" w:hAnsi="Times New Roman" w:hint="eastAsia"/>
          <w:sz w:val="48"/>
          <w:szCs w:val="48"/>
        </w:rPr>
        <w:t>20</w:t>
      </w:r>
      <w:r>
        <w:rPr>
          <w:rFonts w:ascii="Times New Roman" w:eastAsia="方正小标宋_GBK" w:hAnsi="Times New Roman"/>
          <w:sz w:val="48"/>
          <w:szCs w:val="48"/>
        </w:rPr>
        <w:t>年度部门整体支出绩效自评报告</w:t>
      </w: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FD49BB">
      <w:pPr>
        <w:jc w:val="center"/>
        <w:rPr>
          <w:rFonts w:ascii="Times New Roman" w:eastAsia="黑体" w:hAnsi="Times New Roman"/>
          <w:sz w:val="32"/>
          <w:szCs w:val="32"/>
        </w:rPr>
      </w:pPr>
    </w:p>
    <w:p w:rsidR="00FD49BB" w:rsidRDefault="00B036C2">
      <w:pPr>
        <w:jc w:val="center"/>
        <w:rPr>
          <w:rFonts w:ascii="Times New Roman" w:eastAsia="黑体" w:hAnsi="Times New Roman"/>
          <w:sz w:val="32"/>
          <w:szCs w:val="32"/>
        </w:rPr>
      </w:pPr>
      <w:r>
        <w:rPr>
          <w:rFonts w:ascii="Times New Roman" w:eastAsia="黑体" w:hAnsi="Times New Roman" w:hint="eastAsia"/>
          <w:sz w:val="44"/>
          <w:szCs w:val="44"/>
        </w:rPr>
        <w:t>中方县科学技术协会</w:t>
      </w:r>
    </w:p>
    <w:p w:rsidR="00FD49BB" w:rsidRDefault="00FD49BB">
      <w:pPr>
        <w:jc w:val="center"/>
        <w:rPr>
          <w:rFonts w:ascii="Times New Roman" w:eastAsia="黑体" w:hAnsi="Times New Roman"/>
          <w:sz w:val="32"/>
          <w:szCs w:val="32"/>
        </w:rPr>
      </w:pPr>
    </w:p>
    <w:p w:rsidR="00FD49BB" w:rsidRDefault="00B036C2">
      <w:pPr>
        <w:jc w:val="center"/>
        <w:rPr>
          <w:rFonts w:ascii="Times New Roman" w:eastAsia="仿宋_GB2312" w:hAnsi="Times New Roman"/>
          <w:sz w:val="32"/>
          <w:szCs w:val="32"/>
        </w:rPr>
      </w:pPr>
      <w:r>
        <w:rPr>
          <w:rFonts w:ascii="Times New Roman" w:eastAsia="仿宋_GB2312" w:hAnsi="Times New Roman"/>
          <w:sz w:val="32"/>
          <w:szCs w:val="32"/>
        </w:rPr>
        <w:t>（此页为封面）</w:t>
      </w:r>
    </w:p>
    <w:p w:rsidR="00FD49BB" w:rsidRDefault="00B036C2">
      <w:pPr>
        <w:pStyle w:val="a6"/>
        <w:widowControl/>
        <w:spacing w:line="600" w:lineRule="exact"/>
        <w:ind w:firstLineChars="0" w:firstLine="0"/>
        <w:rPr>
          <w:rFonts w:ascii="Times New Roman" w:eastAsia="黑体" w:hAnsi="Times New Roman"/>
          <w:bCs/>
          <w:color w:val="000000"/>
          <w:sz w:val="32"/>
          <w:szCs w:val="32"/>
        </w:rPr>
      </w:pPr>
      <w:r>
        <w:rPr>
          <w:rFonts w:ascii="Times New Roman" w:eastAsia="黑体" w:hAnsi="Times New Roman"/>
          <w:sz w:val="32"/>
          <w:szCs w:val="32"/>
        </w:rPr>
        <w:br w:type="page"/>
      </w:r>
      <w:r>
        <w:rPr>
          <w:rFonts w:ascii="Times New Roman" w:eastAsia="黑体" w:hAnsi="Times New Roman"/>
          <w:bCs/>
          <w:color w:val="000000"/>
          <w:sz w:val="32"/>
          <w:szCs w:val="32"/>
        </w:rPr>
        <w:lastRenderedPageBreak/>
        <w:t>一、单位基本情况</w:t>
      </w:r>
    </w:p>
    <w:p w:rsidR="00FD49BB" w:rsidRDefault="00B036C2">
      <w:pPr>
        <w:spacing w:line="560" w:lineRule="exact"/>
        <w:ind w:firstLineChars="200" w:firstLine="560"/>
        <w:rPr>
          <w:rFonts w:eastAsia="仿宋_GB2312"/>
          <w:color w:val="000000"/>
          <w:sz w:val="28"/>
          <w:szCs w:val="28"/>
        </w:rPr>
      </w:pPr>
      <w:r>
        <w:rPr>
          <w:rFonts w:ascii="宋体" w:hAnsi="宋体" w:cs="宋体" w:hint="eastAsia"/>
          <w:color w:val="333333"/>
          <w:sz w:val="28"/>
          <w:szCs w:val="28"/>
        </w:rPr>
        <w:t>县科协是中共中方县委领导下的人民团体，为正科级参照公务员法管理的事业单位，归为党群系统。</w:t>
      </w:r>
    </w:p>
    <w:p w:rsidR="00FD49BB" w:rsidRDefault="00B036C2">
      <w:pPr>
        <w:pStyle w:val="a5"/>
        <w:spacing w:before="0" w:beforeAutospacing="0" w:after="0"/>
        <w:ind w:firstLine="643"/>
        <w:rPr>
          <w:sz w:val="28"/>
          <w:szCs w:val="28"/>
        </w:rPr>
      </w:pPr>
      <w:r>
        <w:rPr>
          <w:rFonts w:hint="eastAsia"/>
          <w:b/>
          <w:color w:val="333333"/>
          <w:sz w:val="28"/>
          <w:szCs w:val="28"/>
        </w:rPr>
        <w:t>1</w:t>
      </w:r>
      <w:r>
        <w:rPr>
          <w:rFonts w:hint="eastAsia"/>
          <w:b/>
          <w:color w:val="333333"/>
          <w:sz w:val="28"/>
          <w:szCs w:val="28"/>
        </w:rPr>
        <w:t>、主要职责是</w:t>
      </w:r>
      <w:r>
        <w:rPr>
          <w:rFonts w:hint="eastAsia"/>
          <w:color w:val="333333"/>
          <w:sz w:val="28"/>
          <w:szCs w:val="28"/>
        </w:rPr>
        <w:t>：</w:t>
      </w:r>
    </w:p>
    <w:p w:rsidR="00FD49BB" w:rsidRDefault="00B036C2">
      <w:pPr>
        <w:spacing w:line="520" w:lineRule="exact"/>
        <w:rPr>
          <w:sz w:val="28"/>
          <w:szCs w:val="28"/>
        </w:rPr>
      </w:pPr>
      <w:r>
        <w:rPr>
          <w:rFonts w:ascii="宋体" w:hAnsi="宋体" w:cs="宋体" w:hint="eastAsia"/>
          <w:color w:val="333333"/>
          <w:sz w:val="28"/>
          <w:szCs w:val="28"/>
        </w:rPr>
        <w:t xml:space="preserve">　　</w:t>
      </w:r>
      <w:r>
        <w:rPr>
          <w:rFonts w:hint="eastAsia"/>
          <w:sz w:val="28"/>
          <w:szCs w:val="28"/>
        </w:rPr>
        <w:t>组织学术活动，开展学术交流，活跃学术思想，促进学科发展，推动决策的科学化和民主化。</w:t>
      </w:r>
    </w:p>
    <w:p w:rsidR="00FD49BB" w:rsidRDefault="00B036C2">
      <w:pPr>
        <w:spacing w:line="520" w:lineRule="exact"/>
        <w:rPr>
          <w:sz w:val="28"/>
          <w:szCs w:val="28"/>
        </w:rPr>
      </w:pPr>
      <w:r>
        <w:rPr>
          <w:rFonts w:hint="eastAsia"/>
          <w:sz w:val="28"/>
          <w:szCs w:val="28"/>
        </w:rPr>
        <w:t xml:space="preserve">　　弘扬科学精神，普及科学知识，传播科学思想和科学方法，捍卫科学尊严，推广先进技术，开展青少年科学技术教育活动，提高全民的科学文化素质。</w:t>
      </w:r>
    </w:p>
    <w:p w:rsidR="00FD49BB" w:rsidRDefault="00B036C2">
      <w:pPr>
        <w:spacing w:line="520" w:lineRule="exact"/>
        <w:rPr>
          <w:sz w:val="28"/>
          <w:szCs w:val="28"/>
        </w:rPr>
      </w:pPr>
      <w:r>
        <w:rPr>
          <w:rFonts w:hint="eastAsia"/>
          <w:sz w:val="28"/>
          <w:szCs w:val="28"/>
        </w:rPr>
        <w:t xml:space="preserve">　</w:t>
      </w:r>
      <w:r>
        <w:rPr>
          <w:rFonts w:hint="eastAsia"/>
          <w:sz w:val="28"/>
          <w:szCs w:val="28"/>
        </w:rPr>
        <w:t xml:space="preserve"> </w:t>
      </w:r>
      <w:r>
        <w:rPr>
          <w:rFonts w:hint="eastAsia"/>
          <w:sz w:val="28"/>
          <w:szCs w:val="28"/>
        </w:rPr>
        <w:t>反映科学技术工作者的意见和要求，维护科技工作者的合法权益，为科技团体和科技工作者服务，表彰奖励优秀科技工作者，举荐人才，促进尊重知识，尊重人才社会风气的形成。</w:t>
      </w:r>
    </w:p>
    <w:p w:rsidR="00FD49BB" w:rsidRDefault="00B036C2">
      <w:pPr>
        <w:spacing w:line="520" w:lineRule="exact"/>
        <w:rPr>
          <w:sz w:val="28"/>
          <w:szCs w:val="28"/>
        </w:rPr>
      </w:pPr>
      <w:r>
        <w:rPr>
          <w:rFonts w:hint="eastAsia"/>
          <w:sz w:val="28"/>
          <w:szCs w:val="28"/>
        </w:rPr>
        <w:t xml:space="preserve">　　开展继续教育和技术培训工作，促进科技人才的成长和知识更新。</w:t>
      </w:r>
    </w:p>
    <w:p w:rsidR="00FD49BB" w:rsidRDefault="00B036C2">
      <w:pPr>
        <w:spacing w:line="520" w:lineRule="exact"/>
        <w:rPr>
          <w:sz w:val="28"/>
          <w:szCs w:val="28"/>
        </w:rPr>
      </w:pPr>
      <w:r>
        <w:rPr>
          <w:rFonts w:hint="eastAsia"/>
          <w:sz w:val="28"/>
          <w:szCs w:val="28"/>
        </w:rPr>
        <w:t xml:space="preserve">　　组织、指导并开展科学论证，科技咨询服务，推动科技成果向现实生产力转化。</w:t>
      </w:r>
    </w:p>
    <w:p w:rsidR="00FD49BB" w:rsidRDefault="00B036C2">
      <w:pPr>
        <w:spacing w:line="520" w:lineRule="exact"/>
        <w:rPr>
          <w:rFonts w:ascii="宋体" w:hAnsi="宋体"/>
          <w:sz w:val="28"/>
          <w:szCs w:val="28"/>
        </w:rPr>
      </w:pPr>
      <w:r>
        <w:rPr>
          <w:rFonts w:hint="eastAsia"/>
          <w:sz w:val="28"/>
          <w:szCs w:val="28"/>
        </w:rPr>
        <w:t xml:space="preserve">　　开展民间的科学技术交流活动，促进对外开放。</w:t>
      </w:r>
    </w:p>
    <w:p w:rsidR="00FD49BB" w:rsidRDefault="00B036C2">
      <w:pPr>
        <w:pStyle w:val="a5"/>
        <w:spacing w:before="0" w:beforeAutospacing="0" w:after="0"/>
        <w:rPr>
          <w:sz w:val="28"/>
          <w:szCs w:val="28"/>
        </w:rPr>
      </w:pPr>
      <w:r>
        <w:rPr>
          <w:rFonts w:hint="eastAsia"/>
          <w:color w:val="333333"/>
          <w:sz w:val="28"/>
          <w:szCs w:val="28"/>
        </w:rPr>
        <w:t xml:space="preserve">　　</w:t>
      </w:r>
      <w:r>
        <w:rPr>
          <w:rFonts w:hint="eastAsia"/>
          <w:b/>
          <w:color w:val="333333"/>
          <w:sz w:val="28"/>
          <w:szCs w:val="28"/>
        </w:rPr>
        <w:t>2</w:t>
      </w:r>
      <w:r>
        <w:rPr>
          <w:rFonts w:hint="eastAsia"/>
          <w:b/>
          <w:color w:val="333333"/>
          <w:sz w:val="28"/>
          <w:szCs w:val="28"/>
        </w:rPr>
        <w:t>、内设机构</w:t>
      </w:r>
    </w:p>
    <w:p w:rsidR="00FD49BB" w:rsidRDefault="00B036C2">
      <w:pPr>
        <w:pStyle w:val="a5"/>
        <w:spacing w:before="0" w:beforeAutospacing="0" w:after="0"/>
        <w:ind w:firstLine="630"/>
        <w:rPr>
          <w:sz w:val="28"/>
          <w:szCs w:val="28"/>
        </w:rPr>
      </w:pPr>
      <w:r>
        <w:rPr>
          <w:rFonts w:hint="eastAsia"/>
          <w:color w:val="333333"/>
          <w:sz w:val="28"/>
          <w:szCs w:val="28"/>
        </w:rPr>
        <w:t>内设机构：办公室、科学技术普及部</w:t>
      </w:r>
      <w:r>
        <w:rPr>
          <w:rFonts w:hint="eastAsia"/>
          <w:color w:val="333333"/>
          <w:sz w:val="28"/>
          <w:szCs w:val="28"/>
        </w:rPr>
        <w:t>和学会学术部</w:t>
      </w:r>
      <w:r>
        <w:rPr>
          <w:rFonts w:hint="eastAsia"/>
          <w:color w:val="333333"/>
          <w:sz w:val="28"/>
          <w:szCs w:val="28"/>
        </w:rPr>
        <w:t>。</w:t>
      </w:r>
    </w:p>
    <w:p w:rsidR="00FD49BB" w:rsidRDefault="00B036C2">
      <w:pPr>
        <w:pStyle w:val="a5"/>
        <w:spacing w:before="0" w:beforeAutospacing="0" w:after="0"/>
        <w:rPr>
          <w:sz w:val="28"/>
          <w:szCs w:val="28"/>
        </w:rPr>
      </w:pPr>
      <w:r>
        <w:rPr>
          <w:rFonts w:hint="eastAsia"/>
          <w:color w:val="333333"/>
          <w:sz w:val="28"/>
          <w:szCs w:val="28"/>
        </w:rPr>
        <w:t xml:space="preserve">　</w:t>
      </w:r>
      <w:r>
        <w:rPr>
          <w:rFonts w:hint="eastAsia"/>
          <w:color w:val="333333"/>
          <w:sz w:val="28"/>
          <w:szCs w:val="28"/>
        </w:rPr>
        <w:t xml:space="preserve">  </w:t>
      </w:r>
      <w:r>
        <w:rPr>
          <w:rFonts w:hint="eastAsia"/>
          <w:b/>
          <w:color w:val="333333"/>
          <w:sz w:val="28"/>
          <w:szCs w:val="28"/>
        </w:rPr>
        <w:t>3</w:t>
      </w:r>
      <w:r>
        <w:rPr>
          <w:rFonts w:hint="eastAsia"/>
          <w:b/>
          <w:color w:val="333333"/>
          <w:sz w:val="28"/>
          <w:szCs w:val="28"/>
        </w:rPr>
        <w:t>、人员情况</w:t>
      </w:r>
    </w:p>
    <w:p w:rsidR="00FD49BB" w:rsidRDefault="00B036C2">
      <w:pPr>
        <w:pStyle w:val="a5"/>
        <w:spacing w:before="0" w:beforeAutospacing="0" w:after="0"/>
        <w:rPr>
          <w:sz w:val="28"/>
          <w:szCs w:val="28"/>
        </w:rPr>
      </w:pPr>
      <w:r>
        <w:rPr>
          <w:rFonts w:hint="eastAsia"/>
          <w:color w:val="333333"/>
          <w:sz w:val="28"/>
          <w:szCs w:val="28"/>
        </w:rPr>
        <w:t xml:space="preserve">　　</w:t>
      </w:r>
      <w:r>
        <w:rPr>
          <w:rFonts w:hint="eastAsia"/>
          <w:color w:val="333333"/>
          <w:sz w:val="28"/>
          <w:szCs w:val="28"/>
        </w:rPr>
        <w:t>单位</w:t>
      </w:r>
      <w:r>
        <w:rPr>
          <w:rFonts w:hint="eastAsia"/>
          <w:color w:val="333333"/>
          <w:sz w:val="28"/>
          <w:szCs w:val="28"/>
        </w:rPr>
        <w:t>编制共</w:t>
      </w:r>
      <w:r>
        <w:rPr>
          <w:rFonts w:hint="eastAsia"/>
          <w:color w:val="333333"/>
          <w:sz w:val="28"/>
          <w:szCs w:val="28"/>
        </w:rPr>
        <w:t>10</w:t>
      </w:r>
      <w:r>
        <w:rPr>
          <w:rFonts w:hint="eastAsia"/>
          <w:color w:val="333333"/>
          <w:sz w:val="28"/>
          <w:szCs w:val="28"/>
        </w:rPr>
        <w:t>人，实际在职人员</w:t>
      </w:r>
      <w:r>
        <w:rPr>
          <w:rFonts w:hint="eastAsia"/>
          <w:color w:val="333333"/>
          <w:sz w:val="28"/>
          <w:szCs w:val="28"/>
        </w:rPr>
        <w:t>1</w:t>
      </w:r>
      <w:r>
        <w:rPr>
          <w:rFonts w:hint="eastAsia"/>
          <w:color w:val="333333"/>
          <w:sz w:val="28"/>
          <w:szCs w:val="28"/>
        </w:rPr>
        <w:t>1</w:t>
      </w:r>
      <w:r>
        <w:rPr>
          <w:rFonts w:hint="eastAsia"/>
          <w:color w:val="333333"/>
          <w:sz w:val="28"/>
          <w:szCs w:val="28"/>
        </w:rPr>
        <w:t>人、退休人员</w:t>
      </w:r>
      <w:r>
        <w:rPr>
          <w:rFonts w:hint="eastAsia"/>
          <w:color w:val="333333"/>
          <w:sz w:val="28"/>
          <w:szCs w:val="28"/>
        </w:rPr>
        <w:t>7</w:t>
      </w:r>
      <w:r>
        <w:rPr>
          <w:rFonts w:hint="eastAsia"/>
          <w:color w:val="333333"/>
          <w:sz w:val="28"/>
          <w:szCs w:val="28"/>
        </w:rPr>
        <w:t>人，合计</w:t>
      </w:r>
      <w:r>
        <w:rPr>
          <w:rFonts w:hint="eastAsia"/>
          <w:color w:val="333333"/>
          <w:sz w:val="28"/>
          <w:szCs w:val="28"/>
        </w:rPr>
        <w:t>1</w:t>
      </w:r>
      <w:r>
        <w:rPr>
          <w:rFonts w:hint="eastAsia"/>
          <w:color w:val="333333"/>
          <w:sz w:val="28"/>
          <w:szCs w:val="28"/>
        </w:rPr>
        <w:t>8</w:t>
      </w:r>
      <w:r>
        <w:rPr>
          <w:rFonts w:hint="eastAsia"/>
          <w:color w:val="333333"/>
          <w:sz w:val="28"/>
          <w:szCs w:val="28"/>
        </w:rPr>
        <w:t>人。</w:t>
      </w:r>
      <w:r>
        <w:rPr>
          <w:rFonts w:hint="eastAsia"/>
          <w:sz w:val="28"/>
          <w:szCs w:val="28"/>
        </w:rPr>
        <w:t xml:space="preserve">    </w:t>
      </w:r>
    </w:p>
    <w:p w:rsidR="00FD49BB" w:rsidRDefault="00B036C2">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二、部门整体支出管理及使用情况</w:t>
      </w:r>
    </w:p>
    <w:p w:rsidR="00FD49BB" w:rsidRDefault="00B036C2">
      <w:pPr>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（一）基本支出</w:t>
      </w:r>
    </w:p>
    <w:p w:rsidR="00FD49BB" w:rsidRDefault="00B036C2">
      <w:pPr>
        <w:spacing w:line="560" w:lineRule="exact"/>
        <w:ind w:firstLineChars="160" w:firstLine="512"/>
        <w:jc w:val="left"/>
        <w:rPr>
          <w:rFonts w:ascii="宋体" w:hAnsi="宋体" w:cs="宋体"/>
          <w:color w:val="303030"/>
          <w:sz w:val="30"/>
          <w:szCs w:val="30"/>
        </w:rPr>
      </w:pPr>
      <w:r>
        <w:rPr>
          <w:rFonts w:ascii="仿宋_GB2312" w:eastAsia="仿宋_GB2312" w:hAnsi="仿宋_GB2312" w:cs="仿宋_GB2312" w:hint="eastAsia"/>
          <w:color w:val="333333"/>
          <w:sz w:val="32"/>
          <w:szCs w:val="32"/>
          <w:shd w:val="clear" w:color="auto" w:fill="FFFFFF"/>
        </w:rPr>
        <w:t>2020</w:t>
      </w:r>
      <w:r>
        <w:rPr>
          <w:rFonts w:ascii="仿宋_GB2312" w:eastAsia="仿宋_GB2312" w:hAnsi="仿宋_GB2312" w:cs="仿宋_GB2312" w:hint="eastAsia"/>
          <w:color w:val="333333"/>
          <w:sz w:val="32"/>
          <w:szCs w:val="32"/>
          <w:shd w:val="clear" w:color="auto" w:fill="FFFFFF"/>
        </w:rPr>
        <w:t>年年初预算数</w:t>
      </w:r>
      <w:r>
        <w:rPr>
          <w:rFonts w:ascii="仿宋_GB2312" w:eastAsia="仿宋_GB2312" w:hAnsi="仿宋_GB2312" w:cs="仿宋_GB2312" w:hint="eastAsia"/>
          <w:color w:val="333333"/>
          <w:sz w:val="32"/>
          <w:szCs w:val="32"/>
          <w:shd w:val="clear" w:color="auto" w:fill="FFFFFF"/>
        </w:rPr>
        <w:t>132.93</w:t>
      </w:r>
      <w:r>
        <w:rPr>
          <w:rFonts w:ascii="仿宋_GB2312" w:eastAsia="仿宋_GB2312" w:hAnsi="仿宋_GB2312" w:cs="仿宋_GB2312" w:hint="eastAsia"/>
          <w:color w:val="333333"/>
          <w:sz w:val="32"/>
          <w:szCs w:val="32"/>
          <w:shd w:val="clear" w:color="auto" w:fill="FFFFFF"/>
        </w:rPr>
        <w:t>万元，其中，</w:t>
      </w:r>
      <w:r>
        <w:rPr>
          <w:rFonts w:ascii="宋体" w:hAnsi="宋体" w:cs="宋体" w:hint="eastAsia"/>
          <w:color w:val="303030"/>
          <w:sz w:val="30"/>
          <w:szCs w:val="30"/>
        </w:rPr>
        <w:t>人员支出</w:t>
      </w:r>
      <w:r>
        <w:rPr>
          <w:rFonts w:ascii="宋体" w:hAnsi="宋体" w:cs="宋体" w:hint="eastAsia"/>
          <w:color w:val="303030"/>
          <w:sz w:val="30"/>
          <w:szCs w:val="30"/>
        </w:rPr>
        <w:t>122.07</w:t>
      </w:r>
      <w:r>
        <w:rPr>
          <w:rFonts w:ascii="宋体" w:hAnsi="宋体" w:cs="宋体" w:hint="eastAsia"/>
          <w:color w:val="303030"/>
          <w:sz w:val="30"/>
          <w:szCs w:val="30"/>
        </w:rPr>
        <w:t>万元，包括用于在职人员及提</w:t>
      </w:r>
      <w:bookmarkStart w:id="0" w:name="_GoBack"/>
      <w:bookmarkEnd w:id="0"/>
      <w:r>
        <w:rPr>
          <w:rFonts w:ascii="宋体" w:hAnsi="宋体" w:cs="宋体" w:hint="eastAsia"/>
          <w:color w:val="303030"/>
          <w:sz w:val="30"/>
          <w:szCs w:val="30"/>
        </w:rPr>
        <w:t>前退休人员的基本工资、津贴补贴等；公用支出</w:t>
      </w:r>
      <w:r>
        <w:rPr>
          <w:rFonts w:ascii="宋体" w:hAnsi="宋体" w:cs="宋体" w:hint="eastAsia"/>
          <w:color w:val="303030"/>
          <w:sz w:val="30"/>
          <w:szCs w:val="30"/>
        </w:rPr>
        <w:t>10.86</w:t>
      </w:r>
      <w:r>
        <w:rPr>
          <w:rFonts w:ascii="宋体" w:hAnsi="宋体" w:cs="宋体" w:hint="eastAsia"/>
          <w:color w:val="303030"/>
          <w:sz w:val="30"/>
          <w:szCs w:val="30"/>
        </w:rPr>
        <w:t>万元，为保障单位正常运转、完成日常工作任务而发生的各项支出，包括工会经费和福利费、基层党组织活动经费、办公费、印刷费、水电费、办公设备购置等日常公用经费。</w:t>
      </w:r>
    </w:p>
    <w:p w:rsidR="00FD49BB" w:rsidRDefault="00B036C2">
      <w:pPr>
        <w:spacing w:line="560" w:lineRule="exact"/>
        <w:ind w:firstLineChars="160" w:firstLine="480"/>
        <w:jc w:val="left"/>
        <w:rPr>
          <w:rFonts w:ascii="宋体" w:hAnsi="宋体" w:cs="宋体"/>
          <w:color w:val="303030"/>
          <w:sz w:val="30"/>
          <w:szCs w:val="30"/>
        </w:rPr>
      </w:pPr>
      <w:r>
        <w:rPr>
          <w:rFonts w:ascii="宋体" w:hAnsi="宋体" w:cs="宋体" w:hint="eastAsia"/>
          <w:color w:val="303030"/>
          <w:sz w:val="30"/>
          <w:szCs w:val="30"/>
        </w:rPr>
        <w:t>本年度实际收到的财政拨款</w:t>
      </w:r>
      <w:r>
        <w:rPr>
          <w:rFonts w:ascii="宋体" w:hAnsi="宋体" w:cs="宋体" w:hint="eastAsia"/>
          <w:color w:val="303030"/>
          <w:sz w:val="30"/>
          <w:szCs w:val="30"/>
        </w:rPr>
        <w:t>基本支出</w:t>
      </w:r>
      <w:r>
        <w:rPr>
          <w:rFonts w:ascii="宋体" w:hAnsi="宋体" w:cs="宋体" w:hint="eastAsia"/>
          <w:color w:val="303030"/>
          <w:sz w:val="30"/>
          <w:szCs w:val="30"/>
        </w:rPr>
        <w:t>收入</w:t>
      </w:r>
      <w:r>
        <w:rPr>
          <w:rFonts w:ascii="宋体" w:hAnsi="宋体" w:cs="宋体" w:hint="eastAsia"/>
          <w:color w:val="303030"/>
          <w:sz w:val="30"/>
          <w:szCs w:val="30"/>
        </w:rPr>
        <w:t>139.54</w:t>
      </w:r>
      <w:r>
        <w:rPr>
          <w:rFonts w:ascii="宋体" w:hAnsi="宋体" w:cs="宋体" w:hint="eastAsia"/>
          <w:color w:val="303030"/>
          <w:sz w:val="30"/>
          <w:szCs w:val="30"/>
        </w:rPr>
        <w:t>万元</w:t>
      </w:r>
      <w:r>
        <w:rPr>
          <w:rFonts w:ascii="宋体" w:hAnsi="宋体" w:cs="宋体" w:hint="eastAsia"/>
          <w:color w:val="303030"/>
          <w:sz w:val="30"/>
          <w:szCs w:val="30"/>
        </w:rPr>
        <w:t>，</w:t>
      </w:r>
      <w:r>
        <w:rPr>
          <w:rFonts w:ascii="仿宋_GB2312" w:eastAsia="仿宋_GB2312" w:hAnsi="仿宋_GB2312" w:cs="仿宋_GB2312" w:hint="eastAsia"/>
          <w:color w:val="333333"/>
          <w:sz w:val="32"/>
          <w:szCs w:val="32"/>
          <w:shd w:val="clear" w:color="auto" w:fill="FFFFFF"/>
        </w:rPr>
        <w:t>其中</w:t>
      </w:r>
      <w:r>
        <w:rPr>
          <w:rFonts w:ascii="宋体" w:hAnsi="宋体" w:cs="宋体" w:hint="eastAsia"/>
          <w:color w:val="303030"/>
          <w:sz w:val="30"/>
          <w:szCs w:val="30"/>
        </w:rPr>
        <w:t>人</w:t>
      </w:r>
      <w:r>
        <w:rPr>
          <w:rFonts w:ascii="宋体" w:hAnsi="宋体" w:cs="宋体" w:hint="eastAsia"/>
          <w:color w:val="303030"/>
          <w:sz w:val="30"/>
          <w:szCs w:val="30"/>
        </w:rPr>
        <w:lastRenderedPageBreak/>
        <w:t>员支出</w:t>
      </w:r>
      <w:r>
        <w:rPr>
          <w:rFonts w:ascii="宋体" w:hAnsi="宋体" w:cs="宋体" w:hint="eastAsia"/>
          <w:color w:val="303030"/>
          <w:sz w:val="30"/>
          <w:szCs w:val="30"/>
        </w:rPr>
        <w:t>122.</w:t>
      </w:r>
      <w:r>
        <w:rPr>
          <w:rFonts w:ascii="宋体" w:hAnsi="宋体" w:cs="宋体" w:hint="eastAsia"/>
          <w:color w:val="303030"/>
          <w:sz w:val="30"/>
          <w:szCs w:val="30"/>
        </w:rPr>
        <w:t>51</w:t>
      </w:r>
      <w:r>
        <w:rPr>
          <w:rFonts w:ascii="宋体" w:hAnsi="宋体" w:cs="宋体" w:hint="eastAsia"/>
          <w:color w:val="303030"/>
          <w:sz w:val="30"/>
          <w:szCs w:val="30"/>
        </w:rPr>
        <w:t>万元，包括用于在职人员及提前退休人员的基本工资、津贴补贴等；公用支出</w:t>
      </w:r>
      <w:r>
        <w:rPr>
          <w:rFonts w:ascii="宋体" w:hAnsi="宋体" w:cs="宋体" w:hint="eastAsia"/>
          <w:color w:val="303030"/>
          <w:sz w:val="30"/>
          <w:szCs w:val="30"/>
        </w:rPr>
        <w:t>17.03</w:t>
      </w:r>
      <w:r>
        <w:rPr>
          <w:rFonts w:ascii="宋体" w:hAnsi="宋体" w:cs="宋体" w:hint="eastAsia"/>
          <w:color w:val="303030"/>
          <w:sz w:val="30"/>
          <w:szCs w:val="30"/>
        </w:rPr>
        <w:t>万元</w:t>
      </w:r>
      <w:r>
        <w:rPr>
          <w:rFonts w:ascii="宋体" w:hAnsi="宋体" w:cs="宋体" w:hint="eastAsia"/>
          <w:color w:val="303030"/>
          <w:sz w:val="30"/>
          <w:szCs w:val="30"/>
        </w:rPr>
        <w:t>。</w:t>
      </w:r>
    </w:p>
    <w:p w:rsidR="00FD49BB" w:rsidRDefault="00B036C2">
      <w:pPr>
        <w:spacing w:line="560" w:lineRule="exact"/>
        <w:ind w:firstLineChars="160" w:firstLine="480"/>
        <w:jc w:val="left"/>
        <w:rPr>
          <w:rFonts w:ascii="宋体" w:hAnsi="宋体" w:cs="宋体"/>
          <w:color w:val="303030"/>
          <w:sz w:val="30"/>
          <w:szCs w:val="30"/>
        </w:rPr>
      </w:pPr>
      <w:r>
        <w:rPr>
          <w:rFonts w:ascii="宋体" w:hAnsi="宋体" w:cs="宋体" w:hint="eastAsia"/>
          <w:color w:val="303030"/>
          <w:sz w:val="30"/>
          <w:szCs w:val="30"/>
        </w:rPr>
        <w:t>2020</w:t>
      </w:r>
      <w:r>
        <w:rPr>
          <w:rFonts w:ascii="宋体" w:hAnsi="宋体" w:cs="宋体" w:hint="eastAsia"/>
          <w:color w:val="303030"/>
          <w:sz w:val="30"/>
          <w:szCs w:val="30"/>
        </w:rPr>
        <w:t>年“三公”经费总额</w:t>
      </w:r>
      <w:r>
        <w:rPr>
          <w:rFonts w:ascii="宋体" w:hAnsi="宋体" w:cs="宋体" w:hint="eastAsia"/>
          <w:color w:val="303030"/>
          <w:sz w:val="30"/>
          <w:szCs w:val="30"/>
        </w:rPr>
        <w:t>0.76</w:t>
      </w:r>
      <w:r>
        <w:rPr>
          <w:rFonts w:ascii="宋体" w:hAnsi="宋体" w:cs="宋体" w:hint="eastAsia"/>
          <w:color w:val="303030"/>
          <w:sz w:val="30"/>
          <w:szCs w:val="30"/>
        </w:rPr>
        <w:t>万元，其中公务用车购置及运行维护费</w:t>
      </w:r>
      <w:r>
        <w:rPr>
          <w:rFonts w:ascii="宋体" w:hAnsi="宋体" w:cs="宋体" w:hint="eastAsia"/>
          <w:color w:val="303030"/>
          <w:sz w:val="30"/>
          <w:szCs w:val="30"/>
        </w:rPr>
        <w:t>0</w:t>
      </w:r>
      <w:r>
        <w:rPr>
          <w:rFonts w:ascii="宋体" w:hAnsi="宋体" w:cs="宋体" w:hint="eastAsia"/>
          <w:color w:val="303030"/>
          <w:sz w:val="30"/>
          <w:szCs w:val="30"/>
        </w:rPr>
        <w:t>万元，公务接待</w:t>
      </w:r>
      <w:r>
        <w:rPr>
          <w:rFonts w:ascii="宋体" w:hAnsi="宋体" w:cs="宋体" w:hint="eastAsia"/>
          <w:color w:val="303030"/>
          <w:sz w:val="30"/>
          <w:szCs w:val="30"/>
        </w:rPr>
        <w:t>0.76</w:t>
      </w:r>
      <w:r>
        <w:rPr>
          <w:rFonts w:ascii="宋体" w:hAnsi="宋体" w:cs="宋体" w:hint="eastAsia"/>
          <w:color w:val="303030"/>
          <w:sz w:val="30"/>
          <w:szCs w:val="30"/>
        </w:rPr>
        <w:t>万元。与年初预算</w:t>
      </w:r>
      <w:r>
        <w:rPr>
          <w:rFonts w:ascii="宋体" w:hAnsi="宋体" w:cs="宋体" w:hint="eastAsia"/>
          <w:color w:val="303030"/>
          <w:sz w:val="30"/>
          <w:szCs w:val="30"/>
        </w:rPr>
        <w:t>0.76</w:t>
      </w:r>
      <w:r>
        <w:rPr>
          <w:rFonts w:ascii="宋体" w:hAnsi="宋体" w:cs="宋体" w:hint="eastAsia"/>
          <w:color w:val="303030"/>
          <w:sz w:val="30"/>
          <w:szCs w:val="30"/>
        </w:rPr>
        <w:t>万元比较，总量无变化。上年三公经费总额</w:t>
      </w:r>
      <w:r>
        <w:rPr>
          <w:rFonts w:ascii="宋体" w:hAnsi="宋体" w:cs="宋体" w:hint="eastAsia"/>
          <w:color w:val="303030"/>
          <w:sz w:val="30"/>
          <w:szCs w:val="30"/>
        </w:rPr>
        <w:t>0.48</w:t>
      </w:r>
      <w:r>
        <w:rPr>
          <w:rFonts w:ascii="宋体" w:hAnsi="宋体" w:cs="宋体" w:hint="eastAsia"/>
          <w:color w:val="303030"/>
          <w:sz w:val="30"/>
          <w:szCs w:val="30"/>
        </w:rPr>
        <w:t>万元，同比</w:t>
      </w:r>
      <w:r>
        <w:rPr>
          <w:rFonts w:ascii="宋体" w:hAnsi="宋体" w:cs="宋体" w:hint="eastAsia"/>
          <w:color w:val="303030"/>
          <w:sz w:val="30"/>
          <w:szCs w:val="30"/>
        </w:rPr>
        <w:t>增加</w:t>
      </w:r>
      <w:r>
        <w:rPr>
          <w:rFonts w:ascii="宋体" w:hAnsi="宋体" w:cs="宋体" w:hint="eastAsia"/>
          <w:color w:val="303030"/>
          <w:sz w:val="30"/>
          <w:szCs w:val="30"/>
        </w:rPr>
        <w:t>0.</w:t>
      </w:r>
      <w:r>
        <w:rPr>
          <w:rFonts w:ascii="宋体" w:hAnsi="宋体" w:cs="宋体" w:hint="eastAsia"/>
          <w:color w:val="303030"/>
          <w:sz w:val="30"/>
          <w:szCs w:val="30"/>
        </w:rPr>
        <w:t>28</w:t>
      </w:r>
      <w:r>
        <w:rPr>
          <w:rFonts w:ascii="宋体" w:hAnsi="宋体" w:cs="宋体" w:hint="eastAsia"/>
          <w:color w:val="303030"/>
          <w:sz w:val="30"/>
          <w:szCs w:val="30"/>
        </w:rPr>
        <w:t>万元，全年共接待公务人员用餐</w:t>
      </w:r>
      <w:r>
        <w:rPr>
          <w:rFonts w:ascii="宋体" w:hAnsi="宋体" w:cs="宋体" w:hint="eastAsia"/>
          <w:color w:val="303030"/>
          <w:sz w:val="30"/>
          <w:szCs w:val="30"/>
        </w:rPr>
        <w:t>8</w:t>
      </w:r>
      <w:r>
        <w:rPr>
          <w:rFonts w:ascii="宋体" w:hAnsi="宋体" w:cs="宋体" w:hint="eastAsia"/>
          <w:color w:val="303030"/>
          <w:sz w:val="30"/>
          <w:szCs w:val="30"/>
        </w:rPr>
        <w:t>次、</w:t>
      </w:r>
      <w:r>
        <w:rPr>
          <w:rFonts w:ascii="宋体" w:hAnsi="宋体" w:cs="宋体" w:hint="eastAsia"/>
          <w:color w:val="303030"/>
          <w:sz w:val="30"/>
          <w:szCs w:val="30"/>
        </w:rPr>
        <w:t>38</w:t>
      </w:r>
      <w:r>
        <w:rPr>
          <w:rFonts w:ascii="宋体" w:hAnsi="宋体" w:cs="宋体" w:hint="eastAsia"/>
          <w:color w:val="303030"/>
          <w:sz w:val="30"/>
          <w:szCs w:val="30"/>
        </w:rPr>
        <w:t>人。</w:t>
      </w:r>
    </w:p>
    <w:p w:rsidR="00FD49BB" w:rsidRDefault="00B036C2">
      <w:pPr>
        <w:spacing w:line="560" w:lineRule="exact"/>
        <w:ind w:firstLineChars="160" w:firstLine="480"/>
        <w:jc w:val="left"/>
        <w:rPr>
          <w:rFonts w:ascii="宋体" w:hAnsi="宋体" w:cs="宋体"/>
          <w:color w:val="303030"/>
          <w:sz w:val="30"/>
          <w:szCs w:val="30"/>
        </w:rPr>
      </w:pPr>
      <w:r>
        <w:rPr>
          <w:rFonts w:ascii="宋体" w:hAnsi="宋体" w:cs="宋体" w:hint="eastAsia"/>
          <w:color w:val="303030"/>
          <w:sz w:val="30"/>
          <w:szCs w:val="30"/>
        </w:rPr>
        <w:t>机关运行费</w:t>
      </w:r>
      <w:r>
        <w:rPr>
          <w:rFonts w:ascii="宋体" w:hAnsi="宋体" w:cs="宋体" w:hint="eastAsia"/>
          <w:color w:val="303030"/>
          <w:sz w:val="30"/>
          <w:szCs w:val="30"/>
        </w:rPr>
        <w:t>17.03</w:t>
      </w:r>
      <w:r>
        <w:rPr>
          <w:rFonts w:ascii="宋体" w:hAnsi="宋体" w:cs="宋体" w:hint="eastAsia"/>
          <w:color w:val="303030"/>
          <w:sz w:val="30"/>
          <w:szCs w:val="30"/>
        </w:rPr>
        <w:t>万元，同比</w:t>
      </w:r>
      <w:r>
        <w:rPr>
          <w:rFonts w:ascii="宋体" w:hAnsi="宋体" w:cs="宋体" w:hint="eastAsia"/>
          <w:color w:val="303030"/>
          <w:sz w:val="30"/>
          <w:szCs w:val="30"/>
        </w:rPr>
        <w:t>减少</w:t>
      </w:r>
      <w:r>
        <w:rPr>
          <w:rFonts w:ascii="宋体" w:hAnsi="宋体" w:cs="宋体" w:hint="eastAsia"/>
          <w:color w:val="303030"/>
          <w:sz w:val="30"/>
          <w:szCs w:val="30"/>
        </w:rPr>
        <w:t>5.68</w:t>
      </w:r>
      <w:r>
        <w:rPr>
          <w:rFonts w:ascii="宋体" w:hAnsi="宋体" w:cs="宋体" w:hint="eastAsia"/>
          <w:color w:val="303030"/>
          <w:sz w:val="30"/>
          <w:szCs w:val="30"/>
        </w:rPr>
        <w:t>万元</w:t>
      </w:r>
      <w:r>
        <w:rPr>
          <w:rFonts w:ascii="宋体" w:hAnsi="宋体" w:cs="宋体" w:hint="eastAsia"/>
          <w:color w:val="303030"/>
          <w:sz w:val="30"/>
          <w:szCs w:val="30"/>
        </w:rPr>
        <w:t>，主要原因为项目开支增加</w:t>
      </w:r>
      <w:r>
        <w:rPr>
          <w:rFonts w:ascii="宋体" w:hAnsi="宋体" w:cs="宋体" w:hint="eastAsia"/>
          <w:color w:val="303030"/>
          <w:sz w:val="30"/>
          <w:szCs w:val="30"/>
        </w:rPr>
        <w:t>。</w:t>
      </w:r>
    </w:p>
    <w:p w:rsidR="00FD49BB" w:rsidRDefault="00B036C2">
      <w:pPr>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（二）项目支出</w:t>
      </w:r>
    </w:p>
    <w:p w:rsidR="00FD49BB" w:rsidRDefault="00B036C2">
      <w:pPr>
        <w:spacing w:line="560" w:lineRule="exact"/>
        <w:ind w:firstLineChars="200" w:firstLine="640"/>
        <w:rPr>
          <w:rFonts w:ascii="Times New Roman" w:eastAsia="黑体" w:hAnsi="Times New Roman"/>
          <w:bCs/>
          <w:color w:val="000000"/>
          <w:sz w:val="32"/>
          <w:szCs w:val="32"/>
        </w:rPr>
      </w:pPr>
      <w:r>
        <w:rPr>
          <w:rFonts w:ascii="Times New Roman" w:eastAsia="仿宋_GB2312" w:hAnsi="Times New Roman" w:hint="eastAsia"/>
          <w:bCs/>
          <w:color w:val="000000"/>
          <w:sz w:val="32"/>
          <w:szCs w:val="32"/>
        </w:rPr>
        <w:t>2020</w:t>
      </w:r>
      <w:r>
        <w:rPr>
          <w:rFonts w:ascii="Times New Roman" w:eastAsia="仿宋_GB2312" w:hAnsi="Times New Roman" w:hint="eastAsia"/>
          <w:bCs/>
          <w:color w:val="000000"/>
          <w:sz w:val="32"/>
          <w:szCs w:val="32"/>
        </w:rPr>
        <w:t>年初预算没有项目支出。决算项目支出</w:t>
      </w:r>
      <w:r>
        <w:rPr>
          <w:rFonts w:ascii="Times New Roman" w:eastAsia="仿宋_GB2312" w:hAnsi="Times New Roman" w:hint="eastAsia"/>
          <w:bCs/>
          <w:color w:val="000000"/>
          <w:sz w:val="32"/>
          <w:szCs w:val="32"/>
        </w:rPr>
        <w:t>27.10</w:t>
      </w:r>
      <w:r>
        <w:rPr>
          <w:rFonts w:ascii="Times New Roman" w:eastAsia="仿宋_GB2312" w:hAnsi="Times New Roman" w:hint="eastAsia"/>
          <w:bCs/>
          <w:color w:val="000000"/>
          <w:sz w:val="32"/>
          <w:szCs w:val="32"/>
        </w:rPr>
        <w:t>万元，其中流动科技馆项目支出</w:t>
      </w:r>
      <w:r>
        <w:rPr>
          <w:rFonts w:ascii="Times New Roman" w:eastAsia="仿宋_GB2312" w:hAnsi="Times New Roman" w:hint="eastAsia"/>
          <w:bCs/>
          <w:color w:val="000000"/>
          <w:sz w:val="32"/>
          <w:szCs w:val="32"/>
        </w:rPr>
        <w:t>9.99</w:t>
      </w:r>
      <w:r>
        <w:rPr>
          <w:rFonts w:ascii="Times New Roman" w:eastAsia="仿宋_GB2312" w:hAnsi="Times New Roman" w:hint="eastAsia"/>
          <w:bCs/>
          <w:color w:val="000000"/>
          <w:sz w:val="32"/>
          <w:szCs w:val="32"/>
        </w:rPr>
        <w:t>万元，科普小镇项目支出</w:t>
      </w:r>
      <w:r>
        <w:rPr>
          <w:rFonts w:ascii="Times New Roman" w:eastAsia="仿宋_GB2312" w:hAnsi="Times New Roman" w:hint="eastAsia"/>
          <w:bCs/>
          <w:color w:val="000000"/>
          <w:sz w:val="32"/>
          <w:szCs w:val="32"/>
        </w:rPr>
        <w:t>17.11</w:t>
      </w:r>
      <w:r>
        <w:rPr>
          <w:rFonts w:ascii="Times New Roman" w:eastAsia="仿宋_GB2312" w:hAnsi="Times New Roman" w:hint="eastAsia"/>
          <w:bCs/>
          <w:color w:val="000000"/>
          <w:sz w:val="32"/>
          <w:szCs w:val="32"/>
        </w:rPr>
        <w:t>万元。</w:t>
      </w:r>
    </w:p>
    <w:p w:rsidR="00FD49BB" w:rsidRDefault="00B036C2">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2020</w:t>
      </w:r>
      <w:r>
        <w:rPr>
          <w:rFonts w:ascii="仿宋_GB2312" w:eastAsia="仿宋_GB2312" w:hAnsi="仿宋" w:hint="eastAsia"/>
          <w:sz w:val="32"/>
          <w:szCs w:val="32"/>
        </w:rPr>
        <w:t>年度我单位项目为专项业务费，预期年度绩效目标基本完成。</w:t>
      </w:r>
    </w:p>
    <w:p w:rsidR="00FD49BB" w:rsidRDefault="00B036C2">
      <w:pPr>
        <w:widowControl/>
        <w:spacing w:line="600" w:lineRule="exact"/>
        <w:ind w:firstLine="645"/>
        <w:jc w:val="left"/>
        <w:rPr>
          <w:rFonts w:ascii="Times New Roman" w:eastAsia="黑体" w:hAnsi="Times New Roman"/>
          <w:sz w:val="32"/>
          <w:szCs w:val="32"/>
        </w:rPr>
      </w:pPr>
      <w:r>
        <w:rPr>
          <w:rFonts w:ascii="Times New Roman" w:eastAsia="黑体" w:hAnsi="Times New Roman"/>
          <w:color w:val="000000"/>
          <w:sz w:val="32"/>
          <w:szCs w:val="32"/>
        </w:rPr>
        <w:t>四、</w:t>
      </w:r>
      <w:r>
        <w:rPr>
          <w:rFonts w:ascii="Times New Roman" w:eastAsia="黑体" w:hAnsi="Times New Roman"/>
          <w:sz w:val="32"/>
          <w:szCs w:val="32"/>
        </w:rPr>
        <w:t>存在的主要问题及下一步改进措施</w:t>
      </w:r>
    </w:p>
    <w:p w:rsidR="00FD49BB" w:rsidRDefault="00B036C2">
      <w:pPr>
        <w:widowControl/>
        <w:spacing w:line="600" w:lineRule="exact"/>
        <w:ind w:firstLine="645"/>
        <w:jc w:val="left"/>
        <w:rPr>
          <w:rFonts w:ascii="Times New Roman" w:eastAsia="仿宋_GB2312" w:hAnsi="Times New Roman"/>
          <w:sz w:val="32"/>
          <w:szCs w:val="32"/>
        </w:rPr>
      </w:pPr>
      <w:r>
        <w:rPr>
          <w:rFonts w:ascii="Times New Roman" w:eastAsia="仿宋_GB2312" w:hAnsi="Times New Roman" w:hint="eastAsia"/>
          <w:sz w:val="32"/>
          <w:szCs w:val="32"/>
        </w:rPr>
        <w:t>本年度基本支出决算超出预算</w:t>
      </w:r>
      <w:r>
        <w:rPr>
          <w:rFonts w:ascii="Times New Roman" w:eastAsia="仿宋_GB2312" w:hAnsi="Times New Roman" w:hint="eastAsia"/>
          <w:sz w:val="32"/>
          <w:szCs w:val="32"/>
        </w:rPr>
        <w:t>6.61</w:t>
      </w:r>
      <w:r>
        <w:rPr>
          <w:rFonts w:ascii="Times New Roman" w:eastAsia="仿宋_GB2312" w:hAnsi="Times New Roman" w:hint="eastAsia"/>
          <w:sz w:val="32"/>
          <w:szCs w:val="32"/>
        </w:rPr>
        <w:t>万元，主要为单位新调入人员的工资和福利支出。项目支出超出</w:t>
      </w:r>
      <w:r>
        <w:rPr>
          <w:rFonts w:ascii="Times New Roman" w:eastAsia="仿宋_GB2312" w:hAnsi="Times New Roman" w:hint="eastAsia"/>
          <w:sz w:val="32"/>
          <w:szCs w:val="32"/>
        </w:rPr>
        <w:t>27.10</w:t>
      </w:r>
      <w:r>
        <w:rPr>
          <w:rFonts w:ascii="Times New Roman" w:eastAsia="仿宋_GB2312" w:hAnsi="Times New Roman" w:hint="eastAsia"/>
          <w:sz w:val="32"/>
          <w:szCs w:val="32"/>
        </w:rPr>
        <w:t>万元，主要原因是单位争取上级项目资金，属上级项目资金拨款。</w:t>
      </w:r>
    </w:p>
    <w:p w:rsidR="00FD49BB" w:rsidRDefault="00B036C2">
      <w:pPr>
        <w:widowControl/>
        <w:spacing w:line="600" w:lineRule="exact"/>
        <w:ind w:firstLine="645"/>
        <w:jc w:val="left"/>
        <w:rPr>
          <w:rFonts w:ascii="Times New Roman" w:eastAsia="黑体" w:hAnsi="Times New Roman"/>
          <w:sz w:val="32"/>
          <w:szCs w:val="32"/>
        </w:rPr>
      </w:pPr>
      <w:r>
        <w:rPr>
          <w:rFonts w:ascii="Times New Roman" w:eastAsia="黑体" w:hAnsi="Times New Roman"/>
          <w:sz w:val="32"/>
          <w:szCs w:val="32"/>
        </w:rPr>
        <w:t>五、绩效自评结果拟应用和公开情况</w:t>
      </w:r>
    </w:p>
    <w:p w:rsidR="00FD49BB" w:rsidRDefault="00B036C2">
      <w:pPr>
        <w:widowControl/>
        <w:spacing w:line="600" w:lineRule="exact"/>
        <w:ind w:firstLine="645"/>
        <w:jc w:val="left"/>
        <w:rPr>
          <w:rFonts w:ascii="Times New Roman" w:eastAsia="黑体" w:hAnsi="Times New Roman"/>
          <w:sz w:val="32"/>
          <w:szCs w:val="32"/>
        </w:rPr>
      </w:pPr>
      <w:r>
        <w:rPr>
          <w:rFonts w:ascii="Times New Roman" w:eastAsia="黑体" w:hAnsi="Times New Roman"/>
          <w:sz w:val="32"/>
          <w:szCs w:val="32"/>
        </w:rPr>
        <w:t>六、其他需要说明的情况</w:t>
      </w:r>
    </w:p>
    <w:p w:rsidR="00FD49BB" w:rsidRDefault="00B036C2">
      <w:pPr>
        <w:widowControl/>
        <w:spacing w:line="60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部门整体支出绩效评价基础数据表</w:t>
      </w:r>
    </w:p>
    <w:p w:rsidR="00FD49BB" w:rsidRDefault="00B036C2">
      <w:pPr>
        <w:widowControl/>
        <w:spacing w:line="60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部门整体支出绩效评价指标评分表</w:t>
      </w:r>
    </w:p>
    <w:p w:rsidR="00FD49BB" w:rsidRDefault="00FD49BB">
      <w:pPr>
        <w:spacing w:line="560" w:lineRule="exact"/>
        <w:ind w:firstLineChars="200" w:firstLine="640"/>
        <w:rPr>
          <w:rFonts w:ascii="Times New Roman" w:eastAsia="仿宋_GB2312" w:hAnsi="Times New Roman"/>
          <w:sz w:val="32"/>
          <w:szCs w:val="32"/>
        </w:rPr>
      </w:pPr>
    </w:p>
    <w:p w:rsidR="00FD49BB" w:rsidRDefault="00FD49BB" w:rsidP="00385016">
      <w:pPr>
        <w:pStyle w:val="2"/>
        <w:ind w:firstLine="640"/>
        <w:rPr>
          <w:rFonts w:ascii="Times New Roman" w:hAnsi="Times New Roman"/>
          <w:szCs w:val="32"/>
        </w:rPr>
      </w:pPr>
    </w:p>
    <w:p w:rsidR="00FD49BB" w:rsidRDefault="00FD49BB" w:rsidP="00385016">
      <w:pPr>
        <w:pStyle w:val="2"/>
        <w:ind w:firstLine="640"/>
        <w:rPr>
          <w:rFonts w:ascii="Times New Roman" w:hAnsi="Times New Roman"/>
          <w:szCs w:val="32"/>
        </w:rPr>
      </w:pPr>
    </w:p>
    <w:p w:rsidR="00FD49BB" w:rsidRDefault="00FD49BB">
      <w:pPr>
        <w:spacing w:line="560" w:lineRule="exact"/>
        <w:ind w:firstLineChars="200" w:firstLine="640"/>
        <w:rPr>
          <w:rFonts w:ascii="Times New Roman" w:eastAsia="仿宋_GB2312" w:hAnsi="Times New Roman"/>
          <w:sz w:val="32"/>
          <w:szCs w:val="32"/>
        </w:rPr>
      </w:pPr>
    </w:p>
    <w:p w:rsidR="00FD49BB" w:rsidRDefault="00FD49BB">
      <w:pPr>
        <w:spacing w:line="560" w:lineRule="exact"/>
        <w:rPr>
          <w:rFonts w:ascii="Times New Roman" w:eastAsia="仿宋_GB2312" w:hAnsi="Times New Roman"/>
          <w:bCs/>
          <w:color w:val="000000"/>
          <w:sz w:val="32"/>
          <w:szCs w:val="32"/>
        </w:rPr>
      </w:pPr>
    </w:p>
    <w:p w:rsidR="00FD49BB" w:rsidRDefault="00FD49BB">
      <w:pPr>
        <w:spacing w:line="560" w:lineRule="exact"/>
        <w:rPr>
          <w:rFonts w:ascii="Times New Roman" w:eastAsia="仿宋_GB2312" w:hAnsi="Times New Roman"/>
          <w:bCs/>
          <w:color w:val="000000"/>
          <w:sz w:val="32"/>
          <w:szCs w:val="32"/>
        </w:rPr>
        <w:sectPr w:rsidR="00FD49BB">
          <w:footerReference w:type="default" r:id="rId7"/>
          <w:pgSz w:w="11906" w:h="16838"/>
          <w:pgMar w:top="1134" w:right="1531" w:bottom="1134" w:left="1531" w:header="737" w:footer="851" w:gutter="0"/>
          <w:pgNumType w:start="1"/>
          <w:cols w:space="720"/>
          <w:docGrid w:type="lines" w:linePitch="408"/>
        </w:sectPr>
      </w:pPr>
    </w:p>
    <w:p w:rsidR="00FD49BB" w:rsidRDefault="00FD49BB">
      <w:pPr>
        <w:spacing w:line="560" w:lineRule="exact"/>
        <w:rPr>
          <w:rFonts w:ascii="Times New Roman" w:eastAsia="仿宋_GB2312" w:hAnsi="Times New Roman"/>
          <w:bCs/>
          <w:color w:val="000000"/>
          <w:sz w:val="32"/>
          <w:szCs w:val="32"/>
        </w:rPr>
      </w:pPr>
    </w:p>
    <w:p w:rsidR="00FD49BB" w:rsidRDefault="00B036C2" w:rsidP="00385016">
      <w:pPr>
        <w:spacing w:beforeLines="50" w:afterLines="50" w:line="3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部门整体支出绩效评价基础数据表</w:t>
      </w:r>
    </w:p>
    <w:tbl>
      <w:tblPr>
        <w:tblpPr w:leftFromText="180" w:rightFromText="180" w:vertAnchor="text" w:horzAnchor="page" w:tblpX="1626" w:tblpY="28"/>
        <w:tblOverlap w:val="never"/>
        <w:tblW w:w="0" w:type="auto"/>
        <w:tblLayout w:type="fixed"/>
        <w:tblLook w:val="04A0"/>
      </w:tblPr>
      <w:tblGrid>
        <w:gridCol w:w="4883"/>
        <w:gridCol w:w="1545"/>
        <w:gridCol w:w="1522"/>
        <w:gridCol w:w="1468"/>
        <w:gridCol w:w="1901"/>
        <w:gridCol w:w="1260"/>
        <w:gridCol w:w="1121"/>
      </w:tblGrid>
      <w:tr w:rsidR="00FD49BB">
        <w:trPr>
          <w:trHeight w:val="263"/>
        </w:trPr>
        <w:tc>
          <w:tcPr>
            <w:tcW w:w="4883" w:type="dxa"/>
            <w:vMerge w:val="restart"/>
            <w:tcBorders>
              <w:top w:val="single" w:sz="4" w:space="0" w:color="auto"/>
              <w:left w:val="single" w:sz="4" w:space="0" w:color="auto"/>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财政供养人员情况</w:t>
            </w:r>
          </w:p>
        </w:tc>
        <w:tc>
          <w:tcPr>
            <w:tcW w:w="3067" w:type="dxa"/>
            <w:gridSpan w:val="2"/>
            <w:tcBorders>
              <w:top w:val="single" w:sz="4" w:space="0" w:color="auto"/>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编制数</w:t>
            </w:r>
          </w:p>
        </w:tc>
        <w:tc>
          <w:tcPr>
            <w:tcW w:w="3369" w:type="dxa"/>
            <w:gridSpan w:val="2"/>
            <w:tcBorders>
              <w:top w:val="single" w:sz="4" w:space="0" w:color="auto"/>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年实际在职人数</w:t>
            </w:r>
          </w:p>
        </w:tc>
        <w:tc>
          <w:tcPr>
            <w:tcW w:w="2381" w:type="dxa"/>
            <w:gridSpan w:val="2"/>
            <w:tcBorders>
              <w:top w:val="single" w:sz="4" w:space="0" w:color="auto"/>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控制率</w:t>
            </w:r>
          </w:p>
        </w:tc>
      </w:tr>
      <w:tr w:rsidR="00FD49BB">
        <w:trPr>
          <w:trHeight w:val="263"/>
        </w:trPr>
        <w:tc>
          <w:tcPr>
            <w:tcW w:w="4883" w:type="dxa"/>
            <w:vMerge/>
            <w:tcBorders>
              <w:top w:val="single" w:sz="4" w:space="0" w:color="auto"/>
              <w:left w:val="single" w:sz="4" w:space="0" w:color="auto"/>
              <w:bottom w:val="single" w:sz="4" w:space="0" w:color="auto"/>
              <w:right w:val="single" w:sz="4" w:space="0" w:color="auto"/>
            </w:tcBorders>
            <w:vAlign w:val="center"/>
          </w:tcPr>
          <w:p w:rsidR="00FD49BB" w:rsidRDefault="00FD49BB">
            <w:pPr>
              <w:widowControl/>
              <w:spacing w:line="240" w:lineRule="exact"/>
              <w:jc w:val="left"/>
              <w:rPr>
                <w:rFonts w:ascii="Times New Roman" w:eastAsia="仿宋_GB2312" w:hAnsi="Times New Roman"/>
                <w:kern w:val="0"/>
                <w:sz w:val="18"/>
                <w:szCs w:val="18"/>
              </w:rPr>
            </w:pPr>
          </w:p>
        </w:tc>
        <w:tc>
          <w:tcPr>
            <w:tcW w:w="3067" w:type="dxa"/>
            <w:gridSpan w:val="2"/>
            <w:tcBorders>
              <w:top w:val="single" w:sz="4" w:space="0" w:color="auto"/>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11</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110%</w:t>
            </w:r>
            <w:r>
              <w:rPr>
                <w:rFonts w:ascii="Times New Roman" w:eastAsia="仿宋_GB2312" w:hAnsi="Times New Roman"/>
                <w:kern w:val="0"/>
                <w:sz w:val="18"/>
                <w:szCs w:val="18"/>
              </w:rPr>
              <w:t xml:space="preserve">　</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经费控制情况</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201</w:t>
            </w:r>
            <w:r>
              <w:rPr>
                <w:rFonts w:ascii="Times New Roman" w:eastAsia="仿宋_GB2312" w:hAnsi="Times New Roman" w:hint="eastAsia"/>
                <w:kern w:val="0"/>
                <w:sz w:val="18"/>
                <w:szCs w:val="18"/>
              </w:rPr>
              <w:t>9</w:t>
            </w:r>
            <w:r>
              <w:rPr>
                <w:rFonts w:ascii="Times New Roman" w:eastAsia="仿宋_GB2312" w:hAnsi="Times New Roman"/>
                <w:kern w:val="0"/>
                <w:sz w:val="18"/>
                <w:szCs w:val="18"/>
              </w:rPr>
              <w:t>年决算数</w:t>
            </w: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年预算数</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年决算数</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三公经费</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0.48</w:t>
            </w: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0.76</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0.76</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、公务用车购置和维护经费</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FD49BB">
            <w:pPr>
              <w:widowControl/>
              <w:spacing w:line="240" w:lineRule="exact"/>
              <w:jc w:val="center"/>
              <w:rPr>
                <w:rFonts w:ascii="仿宋_GB2312" w:eastAsia="仿宋_GB2312" w:hAnsi="仿宋_GB2312" w:cs="仿宋_GB2312"/>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其中：公车购置</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FD49BB">
            <w:pPr>
              <w:widowControl/>
              <w:spacing w:line="240" w:lineRule="exact"/>
              <w:jc w:val="center"/>
              <w:rPr>
                <w:rFonts w:ascii="仿宋_GB2312" w:eastAsia="仿宋_GB2312" w:hAnsi="仿宋_GB2312" w:cs="仿宋_GB2312"/>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公车运行维护</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FD49BB">
            <w:pPr>
              <w:widowControl/>
              <w:spacing w:line="240" w:lineRule="exact"/>
              <w:jc w:val="center"/>
              <w:rPr>
                <w:rFonts w:ascii="仿宋_GB2312" w:eastAsia="仿宋_GB2312" w:hAnsi="仿宋_GB2312" w:cs="仿宋_GB2312"/>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、出国经费</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FD49BB">
            <w:pPr>
              <w:widowControl/>
              <w:spacing w:line="240" w:lineRule="exact"/>
              <w:jc w:val="center"/>
              <w:rPr>
                <w:rFonts w:ascii="仿宋_GB2312" w:eastAsia="仿宋_GB2312" w:hAnsi="仿宋_GB2312" w:cs="仿宋_GB2312"/>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3</w:t>
            </w:r>
            <w:r>
              <w:rPr>
                <w:rFonts w:ascii="Times New Roman" w:eastAsia="仿宋_GB2312" w:hAnsi="Times New Roman"/>
                <w:kern w:val="0"/>
                <w:sz w:val="18"/>
                <w:szCs w:val="18"/>
              </w:rPr>
              <w:t>、公务接待</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0.48</w:t>
            </w: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0.76</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0.76</w:t>
            </w:r>
            <w:r>
              <w:rPr>
                <w:rFonts w:ascii="Times New Roman" w:eastAsia="仿宋_GB2312" w:hAnsi="Times New Roman"/>
                <w:kern w:val="0"/>
                <w:sz w:val="18"/>
                <w:szCs w:val="18"/>
              </w:rPr>
              <w:t xml:space="preserve">　</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项目支出：</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（一个项目一行）</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FD49BB">
            <w:pPr>
              <w:widowControl/>
              <w:spacing w:line="240" w:lineRule="exact"/>
              <w:jc w:val="center"/>
              <w:rPr>
                <w:rFonts w:ascii="仿宋_GB2312" w:eastAsia="仿宋_GB2312" w:hAnsi="仿宋_GB2312" w:cs="仿宋_GB2312"/>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27.09</w:t>
            </w:r>
            <w:r>
              <w:rPr>
                <w:rFonts w:ascii="Times New Roman" w:eastAsia="仿宋_GB2312" w:hAnsi="Times New Roman"/>
                <w:kern w:val="0"/>
                <w:sz w:val="18"/>
                <w:szCs w:val="18"/>
              </w:rPr>
              <w:t xml:space="preserve">　</w:t>
            </w:r>
          </w:p>
        </w:tc>
      </w:tr>
      <w:tr w:rsidR="00FD49BB">
        <w:trPr>
          <w:trHeight w:val="248"/>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w:t>
            </w:r>
            <w:r>
              <w:rPr>
                <w:rFonts w:ascii="Times New Roman" w:eastAsia="仿宋_GB2312" w:hAnsi="Times New Roman" w:hint="eastAsia"/>
                <w:kern w:val="0"/>
                <w:sz w:val="18"/>
                <w:szCs w:val="18"/>
              </w:rPr>
              <w:t>流动科技馆</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FD49BB">
            <w:pPr>
              <w:widowControl/>
              <w:spacing w:line="240" w:lineRule="exact"/>
              <w:jc w:val="center"/>
              <w:rPr>
                <w:rFonts w:ascii="仿宋_GB2312" w:eastAsia="仿宋_GB2312" w:hAnsi="仿宋_GB2312" w:cs="仿宋_GB2312"/>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9.99</w:t>
            </w:r>
            <w:r>
              <w:rPr>
                <w:rFonts w:ascii="Times New Roman" w:eastAsia="仿宋_GB2312" w:hAnsi="Times New Roman"/>
                <w:kern w:val="0"/>
                <w:sz w:val="18"/>
                <w:szCs w:val="18"/>
              </w:rPr>
              <w:t xml:space="preserve">　</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w:t>
            </w:r>
            <w:r>
              <w:rPr>
                <w:rFonts w:ascii="Times New Roman" w:eastAsia="仿宋_GB2312" w:hAnsi="Times New Roman" w:hint="eastAsia"/>
                <w:kern w:val="0"/>
                <w:sz w:val="18"/>
                <w:szCs w:val="18"/>
              </w:rPr>
              <w:t>科普小镇</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FD49BB">
            <w:pPr>
              <w:widowControl/>
              <w:spacing w:line="240" w:lineRule="exact"/>
              <w:jc w:val="center"/>
              <w:rPr>
                <w:rFonts w:ascii="仿宋_GB2312" w:eastAsia="仿宋_GB2312" w:hAnsi="仿宋_GB2312" w:cs="仿宋_GB2312"/>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17.10</w:t>
            </w:r>
            <w:r>
              <w:rPr>
                <w:rFonts w:ascii="Times New Roman" w:eastAsia="仿宋_GB2312" w:hAnsi="Times New Roman"/>
                <w:kern w:val="0"/>
                <w:sz w:val="18"/>
                <w:szCs w:val="18"/>
              </w:rPr>
              <w:t xml:space="preserve">　</w:t>
            </w:r>
          </w:p>
        </w:tc>
      </w:tr>
      <w:tr w:rsidR="00FD49BB">
        <w:trPr>
          <w:trHeight w:val="263"/>
        </w:trPr>
        <w:tc>
          <w:tcPr>
            <w:tcW w:w="4883" w:type="dxa"/>
            <w:tcBorders>
              <w:top w:val="single" w:sz="4" w:space="0" w:color="auto"/>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FD49BB" w:rsidRDefault="00FD49BB">
            <w:pPr>
              <w:widowControl/>
              <w:spacing w:line="240" w:lineRule="exact"/>
              <w:jc w:val="center"/>
              <w:rPr>
                <w:rFonts w:ascii="仿宋_GB2312" w:eastAsia="仿宋_GB2312" w:hAnsi="仿宋_GB2312" w:cs="仿宋_GB2312"/>
                <w:kern w:val="0"/>
                <w:sz w:val="18"/>
                <w:szCs w:val="18"/>
              </w:rPr>
            </w:pP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D49BB">
        <w:trPr>
          <w:trHeight w:val="263"/>
        </w:trPr>
        <w:tc>
          <w:tcPr>
            <w:tcW w:w="4883" w:type="dxa"/>
            <w:tcBorders>
              <w:top w:val="single" w:sz="4" w:space="0" w:color="auto"/>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22.71</w:t>
            </w: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17.03</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17.03</w:t>
            </w:r>
            <w:r>
              <w:rPr>
                <w:rFonts w:ascii="Times New Roman" w:eastAsia="仿宋_GB2312" w:hAnsi="Times New Roman"/>
                <w:kern w:val="0"/>
                <w:sz w:val="18"/>
                <w:szCs w:val="18"/>
              </w:rPr>
              <w:t xml:space="preserve">　</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其中：办公经费</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13.28</w:t>
            </w: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5.16</w:t>
            </w:r>
            <w:r>
              <w:rPr>
                <w:rFonts w:ascii="Times New Roman" w:eastAsia="仿宋_GB2312" w:hAnsi="Times New Roman"/>
                <w:color w:val="FF0000"/>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5.16</w:t>
            </w:r>
            <w:r>
              <w:rPr>
                <w:rFonts w:ascii="Times New Roman" w:eastAsia="仿宋_GB2312" w:hAnsi="Times New Roman"/>
                <w:color w:val="FF0000"/>
                <w:kern w:val="0"/>
                <w:sz w:val="18"/>
                <w:szCs w:val="18"/>
              </w:rPr>
              <w:t xml:space="preserve">　</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水费、电费、差旅费</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2.49</w:t>
            </w: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1.59</w:t>
            </w:r>
            <w:r>
              <w:rPr>
                <w:rFonts w:ascii="Times New Roman" w:eastAsia="仿宋_GB2312" w:hAnsi="Times New Roman"/>
                <w:color w:val="FF0000"/>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1.59</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其他交通费用</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7</w:t>
            </w: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7.42</w:t>
            </w:r>
            <w:r>
              <w:rPr>
                <w:rFonts w:ascii="Times New Roman" w:eastAsia="仿宋_GB2312" w:hAnsi="Times New Roman"/>
                <w:color w:val="FF0000"/>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7.42</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hint="eastAsia"/>
                <w:kern w:val="0"/>
                <w:sz w:val="18"/>
                <w:szCs w:val="18"/>
              </w:rPr>
              <w:t>工会和福利费</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FD49BB">
            <w:pPr>
              <w:widowControl/>
              <w:spacing w:line="240" w:lineRule="exact"/>
              <w:jc w:val="center"/>
              <w:rPr>
                <w:rFonts w:ascii="仿宋_GB2312" w:eastAsia="仿宋_GB2312" w:hAnsi="仿宋_GB2312" w:cs="仿宋_GB2312"/>
                <w:color w:val="000000"/>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2.86</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2.86</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政府采购金额</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D49BB">
        <w:trPr>
          <w:trHeight w:val="263"/>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部门基本支出预算调整</w:t>
            </w:r>
            <w:r>
              <w:rPr>
                <w:rFonts w:ascii="Times New Roman" w:eastAsia="仿宋_GB2312" w:hAnsi="Times New Roman"/>
                <w:kern w:val="0"/>
                <w:sz w:val="18"/>
                <w:szCs w:val="18"/>
              </w:rPr>
              <w:t xml:space="preserve"> </w:t>
            </w:r>
          </w:p>
        </w:tc>
        <w:tc>
          <w:tcPr>
            <w:tcW w:w="3067" w:type="dxa"/>
            <w:gridSpan w:val="2"/>
            <w:tcBorders>
              <w:top w:val="single" w:sz="4" w:space="0" w:color="auto"/>
              <w:left w:val="nil"/>
              <w:bottom w:val="single" w:sz="4" w:space="0" w:color="auto"/>
              <w:right w:val="single" w:sz="4" w:space="0" w:color="000000"/>
            </w:tcBorders>
            <w:vAlign w:val="center"/>
          </w:tcPr>
          <w:p w:rsidR="00FD49BB" w:rsidRDefault="00FD49BB">
            <w:pPr>
              <w:widowControl/>
              <w:spacing w:line="240" w:lineRule="exact"/>
              <w:jc w:val="center"/>
              <w:rPr>
                <w:rFonts w:ascii="仿宋_GB2312" w:eastAsia="仿宋_GB2312" w:hAnsi="仿宋_GB2312" w:cs="仿宋_GB2312"/>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D49BB">
        <w:trPr>
          <w:trHeight w:val="505"/>
        </w:trPr>
        <w:tc>
          <w:tcPr>
            <w:tcW w:w="4883" w:type="dxa"/>
            <w:vMerge w:val="restart"/>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楼堂馆所控制情况</w:t>
            </w:r>
            <w:r>
              <w:rPr>
                <w:rFonts w:ascii="Times New Roman" w:eastAsia="仿宋_GB2312" w:hAnsi="Times New Roman"/>
                <w:kern w:val="0"/>
                <w:sz w:val="18"/>
                <w:szCs w:val="18"/>
              </w:rPr>
              <w:br/>
            </w:r>
            <w:r>
              <w:rPr>
                <w:rFonts w:ascii="Times New Roman" w:eastAsia="仿宋_GB2312" w:hAnsi="Times New Roman"/>
                <w:kern w:val="0"/>
                <w:sz w:val="18"/>
                <w:szCs w:val="18"/>
              </w:rPr>
              <w:t>（</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年完工项目）</w:t>
            </w:r>
          </w:p>
        </w:tc>
        <w:tc>
          <w:tcPr>
            <w:tcW w:w="1545" w:type="dxa"/>
            <w:tcBorders>
              <w:top w:val="nil"/>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批复规模</w:t>
            </w:r>
            <w:r>
              <w:rPr>
                <w:rFonts w:ascii="Times New Roman" w:eastAsia="仿宋_GB2312" w:hAnsi="Times New Roman"/>
                <w:kern w:val="0"/>
                <w:sz w:val="18"/>
                <w:szCs w:val="18"/>
              </w:rPr>
              <w:br/>
            </w:r>
            <w:r>
              <w:rPr>
                <w:rFonts w:ascii="Times New Roman" w:eastAsia="仿宋_GB2312" w:hAnsi="Times New Roman"/>
                <w:kern w:val="0"/>
                <w:sz w:val="18"/>
                <w:szCs w:val="18"/>
              </w:rPr>
              <w:t>（㎡）</w:t>
            </w:r>
          </w:p>
        </w:tc>
        <w:tc>
          <w:tcPr>
            <w:tcW w:w="1522" w:type="dxa"/>
            <w:tcBorders>
              <w:top w:val="nil"/>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实际规模（㎡）</w:t>
            </w:r>
          </w:p>
        </w:tc>
        <w:tc>
          <w:tcPr>
            <w:tcW w:w="1468" w:type="dxa"/>
            <w:tcBorders>
              <w:top w:val="nil"/>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规模控制率</w:t>
            </w:r>
          </w:p>
        </w:tc>
        <w:tc>
          <w:tcPr>
            <w:tcW w:w="1901" w:type="dxa"/>
            <w:tcBorders>
              <w:top w:val="nil"/>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预算投资（万元）</w:t>
            </w:r>
          </w:p>
        </w:tc>
        <w:tc>
          <w:tcPr>
            <w:tcW w:w="1260" w:type="dxa"/>
            <w:tcBorders>
              <w:top w:val="nil"/>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实际投资（万元）</w:t>
            </w:r>
          </w:p>
        </w:tc>
        <w:tc>
          <w:tcPr>
            <w:tcW w:w="1121" w:type="dxa"/>
            <w:tcBorders>
              <w:top w:val="nil"/>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投资概算控制率</w:t>
            </w:r>
          </w:p>
        </w:tc>
      </w:tr>
      <w:tr w:rsidR="00FD49BB">
        <w:trPr>
          <w:trHeight w:val="263"/>
        </w:trPr>
        <w:tc>
          <w:tcPr>
            <w:tcW w:w="4883" w:type="dxa"/>
            <w:vMerge/>
            <w:tcBorders>
              <w:top w:val="nil"/>
              <w:left w:val="single" w:sz="4" w:space="0" w:color="auto"/>
              <w:bottom w:val="single" w:sz="4" w:space="0" w:color="auto"/>
              <w:right w:val="single" w:sz="4" w:space="0" w:color="auto"/>
            </w:tcBorders>
            <w:vAlign w:val="center"/>
          </w:tcPr>
          <w:p w:rsidR="00FD49BB" w:rsidRDefault="00FD49BB">
            <w:pPr>
              <w:widowControl/>
              <w:spacing w:line="240" w:lineRule="exact"/>
              <w:jc w:val="left"/>
              <w:rPr>
                <w:rFonts w:ascii="Times New Roman" w:eastAsia="仿宋_GB2312" w:hAnsi="Times New Roman"/>
                <w:kern w:val="0"/>
                <w:sz w:val="18"/>
                <w:szCs w:val="18"/>
              </w:rPr>
            </w:pPr>
          </w:p>
        </w:tc>
        <w:tc>
          <w:tcPr>
            <w:tcW w:w="1545" w:type="dxa"/>
            <w:tcBorders>
              <w:top w:val="nil"/>
              <w:left w:val="nil"/>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522" w:type="dxa"/>
            <w:tcBorders>
              <w:top w:val="nil"/>
              <w:left w:val="nil"/>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468" w:type="dxa"/>
            <w:tcBorders>
              <w:top w:val="nil"/>
              <w:left w:val="nil"/>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901" w:type="dxa"/>
            <w:tcBorders>
              <w:top w:val="nil"/>
              <w:left w:val="nil"/>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260" w:type="dxa"/>
            <w:tcBorders>
              <w:top w:val="nil"/>
              <w:left w:val="nil"/>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121" w:type="dxa"/>
            <w:tcBorders>
              <w:top w:val="nil"/>
              <w:left w:val="nil"/>
              <w:bottom w:val="single" w:sz="4" w:space="0" w:color="auto"/>
              <w:right w:val="single" w:sz="4" w:space="0" w:color="auto"/>
            </w:tcBorders>
            <w:vAlign w:val="center"/>
          </w:tcPr>
          <w:p w:rsidR="00FD49BB" w:rsidRDefault="00B036C2">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FD49BB">
        <w:trPr>
          <w:trHeight w:val="282"/>
        </w:trPr>
        <w:tc>
          <w:tcPr>
            <w:tcW w:w="4883" w:type="dxa"/>
            <w:tcBorders>
              <w:top w:val="nil"/>
              <w:left w:val="single" w:sz="4" w:space="0" w:color="auto"/>
              <w:bottom w:val="single" w:sz="4" w:space="0" w:color="auto"/>
              <w:right w:val="single" w:sz="4" w:space="0" w:color="auto"/>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厉行节约保障措施</w:t>
            </w:r>
          </w:p>
        </w:tc>
        <w:tc>
          <w:tcPr>
            <w:tcW w:w="8817" w:type="dxa"/>
            <w:gridSpan w:val="6"/>
            <w:tcBorders>
              <w:top w:val="single" w:sz="4" w:space="0" w:color="auto"/>
              <w:left w:val="nil"/>
              <w:bottom w:val="single" w:sz="4" w:space="0" w:color="auto"/>
              <w:right w:val="single" w:sz="4" w:space="0" w:color="000000"/>
            </w:tcBorders>
            <w:vAlign w:val="center"/>
          </w:tcPr>
          <w:p w:rsidR="00FD49BB" w:rsidRDefault="00B036C2">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bl>
    <w:p w:rsidR="00FD49BB" w:rsidRDefault="00B036C2">
      <w:pPr>
        <w:widowControl/>
        <w:tabs>
          <w:tab w:val="left" w:pos="3611"/>
          <w:tab w:val="left" w:pos="4791"/>
          <w:tab w:val="left" w:pos="5951"/>
          <w:tab w:val="left" w:pos="7071"/>
          <w:tab w:val="left" w:pos="8191"/>
          <w:tab w:val="left" w:pos="9311"/>
        </w:tabs>
        <w:spacing w:line="500" w:lineRule="exact"/>
        <w:ind w:left="91"/>
        <w:jc w:val="left"/>
        <w:rPr>
          <w:rFonts w:ascii="Times New Roman" w:eastAsia="仿宋_GB2312" w:hAnsi="Times New Roman"/>
          <w:kern w:val="0"/>
          <w:sz w:val="30"/>
          <w:szCs w:val="30"/>
        </w:rPr>
      </w:pPr>
      <w:r>
        <w:rPr>
          <w:rFonts w:ascii="Times New Roman" w:eastAsia="仿宋_GB2312" w:hAnsi="Times New Roman"/>
          <w:kern w:val="0"/>
          <w:sz w:val="30"/>
          <w:szCs w:val="30"/>
        </w:rPr>
        <w:t>填报单位：</w:t>
      </w:r>
    </w:p>
    <w:p w:rsidR="00FD49BB" w:rsidRDefault="00B036C2">
      <w:pPr>
        <w:widowControl/>
        <w:spacing w:line="300" w:lineRule="exact"/>
        <w:ind w:firstLineChars="200" w:firstLine="560"/>
        <w:jc w:val="left"/>
        <w:rPr>
          <w:rFonts w:ascii="Times New Roman" w:eastAsia="仿宋_GB2312" w:hAnsi="Times New Roman"/>
          <w:bCs/>
          <w:color w:val="000000"/>
          <w:sz w:val="32"/>
          <w:szCs w:val="32"/>
        </w:rPr>
      </w:pPr>
      <w:r>
        <w:rPr>
          <w:rFonts w:ascii="Times New Roman" w:eastAsia="楷体_GB2312" w:hAnsi="Times New Roman"/>
          <w:kern w:val="0"/>
          <w:sz w:val="28"/>
          <w:szCs w:val="28"/>
        </w:rPr>
        <w:t>说明：</w:t>
      </w:r>
      <w:r>
        <w:rPr>
          <w:rFonts w:ascii="Times New Roman" w:eastAsia="楷体_GB2312" w:hAnsi="Times New Roman"/>
          <w:kern w:val="0"/>
          <w:sz w:val="28"/>
          <w:szCs w:val="28"/>
        </w:rPr>
        <w:t>“</w:t>
      </w:r>
      <w:r>
        <w:rPr>
          <w:rFonts w:ascii="Times New Roman" w:eastAsia="楷体_GB2312" w:hAnsi="Times New Roman"/>
          <w:kern w:val="0"/>
          <w:sz w:val="28"/>
          <w:szCs w:val="28"/>
        </w:rPr>
        <w:t>项目支出</w:t>
      </w:r>
      <w:r>
        <w:rPr>
          <w:rFonts w:ascii="Times New Roman" w:eastAsia="楷体_GB2312" w:hAnsi="Times New Roman"/>
          <w:kern w:val="0"/>
          <w:sz w:val="28"/>
          <w:szCs w:val="28"/>
        </w:rPr>
        <w:t>”</w:t>
      </w:r>
      <w:r>
        <w:rPr>
          <w:rFonts w:ascii="Times New Roman" w:eastAsia="楷体_GB2312" w:hAnsi="Times New Roman"/>
          <w:kern w:val="0"/>
          <w:sz w:val="28"/>
          <w:szCs w:val="28"/>
        </w:rPr>
        <w:t>需要填报基本支出以外的所有项目情况，包括业务工作项目、运行维护项目等；</w:t>
      </w:r>
      <w:r>
        <w:rPr>
          <w:rFonts w:ascii="Times New Roman" w:eastAsia="楷体_GB2312" w:hAnsi="Times New Roman"/>
          <w:kern w:val="0"/>
          <w:sz w:val="28"/>
          <w:szCs w:val="28"/>
        </w:rPr>
        <w:t>“</w:t>
      </w:r>
      <w:r>
        <w:rPr>
          <w:rFonts w:ascii="Times New Roman" w:eastAsia="楷体_GB2312" w:hAnsi="Times New Roman"/>
          <w:kern w:val="0"/>
          <w:sz w:val="28"/>
          <w:szCs w:val="28"/>
        </w:rPr>
        <w:t>公用经费</w:t>
      </w:r>
      <w:r>
        <w:rPr>
          <w:rFonts w:ascii="Times New Roman" w:eastAsia="楷体_GB2312" w:hAnsi="Times New Roman"/>
          <w:kern w:val="0"/>
          <w:sz w:val="28"/>
          <w:szCs w:val="28"/>
        </w:rPr>
        <w:t>”</w:t>
      </w:r>
      <w:r>
        <w:rPr>
          <w:rFonts w:ascii="Times New Roman" w:eastAsia="楷体_GB2312" w:hAnsi="Times New Roman"/>
          <w:kern w:val="0"/>
          <w:sz w:val="28"/>
          <w:szCs w:val="28"/>
        </w:rPr>
        <w:t>填报基本支出中的一般商品和服务支出。</w:t>
      </w:r>
    </w:p>
    <w:p w:rsidR="00FD49BB" w:rsidRDefault="00FD49BB" w:rsidP="00385016">
      <w:pPr>
        <w:spacing w:afterLines="50" w:line="560" w:lineRule="exact"/>
        <w:jc w:val="center"/>
        <w:rPr>
          <w:rFonts w:ascii="Times New Roman" w:eastAsia="方正小标宋简体" w:hAnsi="Times New Roman"/>
          <w:kern w:val="0"/>
          <w:sz w:val="44"/>
          <w:szCs w:val="44"/>
        </w:rPr>
      </w:pPr>
    </w:p>
    <w:p w:rsidR="00FD49BB" w:rsidRDefault="00B036C2" w:rsidP="00385016">
      <w:pPr>
        <w:spacing w:afterLines="50" w:line="5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lastRenderedPageBreak/>
        <w:t>部门整体支出绩效评价指标表</w:t>
      </w:r>
    </w:p>
    <w:tbl>
      <w:tblPr>
        <w:tblW w:w="14196" w:type="dxa"/>
        <w:jc w:val="center"/>
        <w:tblLayout w:type="fixed"/>
        <w:tblLook w:val="04A0"/>
      </w:tblPr>
      <w:tblGrid>
        <w:gridCol w:w="823"/>
        <w:gridCol w:w="519"/>
        <w:gridCol w:w="1258"/>
        <w:gridCol w:w="542"/>
        <w:gridCol w:w="1419"/>
        <w:gridCol w:w="565"/>
        <w:gridCol w:w="4593"/>
        <w:gridCol w:w="3773"/>
        <w:gridCol w:w="704"/>
      </w:tblGrid>
      <w:tr w:rsidR="00FD49BB">
        <w:trPr>
          <w:trHeight w:val="679"/>
          <w:tblHeader/>
          <w:jc w:val="center"/>
        </w:trPr>
        <w:tc>
          <w:tcPr>
            <w:tcW w:w="823" w:type="dxa"/>
            <w:tcBorders>
              <w:top w:val="single" w:sz="4" w:space="0" w:color="auto"/>
              <w:left w:val="single" w:sz="4" w:space="0" w:color="auto"/>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一级指标</w:t>
            </w:r>
          </w:p>
        </w:tc>
        <w:tc>
          <w:tcPr>
            <w:tcW w:w="519"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258"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二级指标</w:t>
            </w:r>
          </w:p>
        </w:tc>
        <w:tc>
          <w:tcPr>
            <w:tcW w:w="542"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419"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三级</w:t>
            </w:r>
          </w:p>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w:t>
            </w:r>
          </w:p>
        </w:tc>
        <w:tc>
          <w:tcPr>
            <w:tcW w:w="565"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4593"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评价标准</w:t>
            </w:r>
          </w:p>
        </w:tc>
        <w:tc>
          <w:tcPr>
            <w:tcW w:w="3773"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指标说明</w:t>
            </w:r>
          </w:p>
        </w:tc>
        <w:tc>
          <w:tcPr>
            <w:tcW w:w="704"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得分</w:t>
            </w:r>
          </w:p>
        </w:tc>
      </w:tr>
      <w:tr w:rsidR="00FD49BB">
        <w:trPr>
          <w:trHeight w:val="750"/>
          <w:jc w:val="center"/>
        </w:trPr>
        <w:tc>
          <w:tcPr>
            <w:tcW w:w="823" w:type="dxa"/>
            <w:vMerge w:val="restart"/>
            <w:tcBorders>
              <w:top w:val="nil"/>
              <w:left w:val="single" w:sz="4" w:space="0" w:color="auto"/>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投入</w:t>
            </w:r>
          </w:p>
        </w:tc>
        <w:tc>
          <w:tcPr>
            <w:tcW w:w="519"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258" w:type="dxa"/>
            <w:vMerge w:val="restart"/>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预算配置</w:t>
            </w:r>
          </w:p>
        </w:tc>
        <w:tc>
          <w:tcPr>
            <w:tcW w:w="542"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在职人员控制率</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nil"/>
              <w:right w:val="nil"/>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以</w:t>
            </w:r>
            <w:r>
              <w:rPr>
                <w:rFonts w:ascii="Times New Roman" w:eastAsia="仿宋_GB2312" w:hAnsi="Times New Roman"/>
                <w:kern w:val="0"/>
                <w:sz w:val="18"/>
                <w:szCs w:val="18"/>
              </w:rPr>
              <w:t>100%</w:t>
            </w:r>
            <w:r>
              <w:rPr>
                <w:rFonts w:ascii="Times New Roman" w:eastAsia="仿宋_GB2312" w:hAnsi="Times New Roman"/>
                <w:kern w:val="0"/>
                <w:sz w:val="18"/>
                <w:szCs w:val="18"/>
              </w:rPr>
              <w:t>为标准。在职人员控制率</w:t>
            </w:r>
            <w:r>
              <w:rPr>
                <w:rFonts w:ascii="Times New Roman" w:eastAsia="仿宋_GB2312" w:hAnsi="Times New Roman"/>
                <w:kern w:val="0"/>
                <w:sz w:val="18"/>
                <w:szCs w:val="18"/>
              </w:rPr>
              <w:t>≦100%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single" w:sz="4" w:space="0" w:color="auto"/>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在职人员控制率</w:t>
            </w:r>
            <w:r>
              <w:rPr>
                <w:rFonts w:ascii="Times New Roman" w:eastAsia="仿宋_GB2312" w:hAnsi="Times New Roman"/>
                <w:kern w:val="0"/>
                <w:sz w:val="18"/>
                <w:szCs w:val="18"/>
              </w:rPr>
              <w:t>=</w:t>
            </w:r>
            <w:r>
              <w:rPr>
                <w:rFonts w:ascii="Times New Roman" w:eastAsia="仿宋_GB2312" w:hAnsi="Times New Roman"/>
                <w:kern w:val="0"/>
                <w:sz w:val="18"/>
                <w:szCs w:val="18"/>
              </w:rPr>
              <w:t>（在职人员数</w:t>
            </w:r>
            <w:r>
              <w:rPr>
                <w:rFonts w:ascii="Times New Roman" w:eastAsia="仿宋_GB2312" w:hAnsi="Times New Roman"/>
                <w:kern w:val="0"/>
                <w:sz w:val="18"/>
                <w:szCs w:val="18"/>
              </w:rPr>
              <w:t>/</w:t>
            </w:r>
            <w:r>
              <w:rPr>
                <w:rFonts w:ascii="Times New Roman" w:eastAsia="仿宋_GB2312" w:hAnsi="Times New Roman"/>
                <w:kern w:val="0"/>
                <w:sz w:val="18"/>
                <w:szCs w:val="18"/>
              </w:rPr>
              <w:t>编制数）</w:t>
            </w:r>
            <w:r>
              <w:rPr>
                <w:rFonts w:ascii="Times New Roman" w:eastAsia="仿宋_GB2312" w:hAnsi="Times New Roman"/>
                <w:kern w:val="0"/>
                <w:sz w:val="18"/>
                <w:szCs w:val="18"/>
              </w:rPr>
              <w:t>×100%</w:t>
            </w:r>
            <w:r>
              <w:rPr>
                <w:rFonts w:ascii="Times New Roman" w:eastAsia="仿宋_GB2312" w:hAnsi="Times New Roman"/>
                <w:kern w:val="0"/>
                <w:sz w:val="18"/>
                <w:szCs w:val="18"/>
              </w:rPr>
              <w:t>，在职人员数：部门（单位）实际在职人数，以财政厅确定的部门决算编制口径为准。</w:t>
            </w:r>
            <w:r>
              <w:rPr>
                <w:rFonts w:ascii="Times New Roman" w:eastAsia="仿宋_GB2312" w:hAnsi="Times New Roman"/>
                <w:kern w:val="0"/>
                <w:sz w:val="18"/>
                <w:szCs w:val="18"/>
              </w:rPr>
              <w:br/>
            </w:r>
            <w:r>
              <w:rPr>
                <w:rFonts w:ascii="Times New Roman" w:eastAsia="仿宋_GB2312" w:hAnsi="Times New Roman"/>
                <w:kern w:val="0"/>
                <w:sz w:val="18"/>
                <w:szCs w:val="18"/>
              </w:rPr>
              <w:t>编制数：机构编制部门核定批复的部门（单位）的人员编制数。</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r>
      <w:tr w:rsidR="00FD49BB">
        <w:trPr>
          <w:trHeight w:val="607"/>
          <w:jc w:val="center"/>
        </w:trPr>
        <w:tc>
          <w:tcPr>
            <w:tcW w:w="823" w:type="dxa"/>
            <w:vMerge/>
            <w:tcBorders>
              <w:top w:val="nil"/>
              <w:left w:val="single" w:sz="4" w:space="0" w:color="auto"/>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0</w:t>
            </w:r>
            <w:r>
              <w:rPr>
                <w:rFonts w:ascii="Times New Roman" w:eastAsia="仿宋_GB2312" w:hAnsi="Times New Roman"/>
                <w:kern w:val="0"/>
                <w:sz w:val="18"/>
                <w:szCs w:val="18"/>
              </w:rPr>
              <w:t>，每超过一个百分点扣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w:t>
            </w:r>
            <w:r>
              <w:rPr>
                <w:rFonts w:ascii="Times New Roman" w:eastAsia="仿宋_GB2312" w:hAnsi="Times New Roman"/>
                <w:kern w:val="0"/>
                <w:sz w:val="18"/>
                <w:szCs w:val="18"/>
              </w:rPr>
              <w:t>（本年度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FD49BB">
        <w:trPr>
          <w:trHeight w:val="495"/>
          <w:jc w:val="center"/>
        </w:trPr>
        <w:tc>
          <w:tcPr>
            <w:tcW w:w="823"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程</w:t>
            </w:r>
          </w:p>
        </w:tc>
        <w:tc>
          <w:tcPr>
            <w:tcW w:w="519"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60</w:t>
            </w:r>
          </w:p>
        </w:tc>
        <w:tc>
          <w:tcPr>
            <w:tcW w:w="1258"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w:t>
            </w:r>
            <w:r>
              <w:rPr>
                <w:rFonts w:ascii="Times New Roman" w:eastAsia="仿宋_GB2312" w:hAnsi="Times New Roman"/>
                <w:kern w:val="0"/>
                <w:sz w:val="18"/>
                <w:szCs w:val="18"/>
              </w:rPr>
              <w:t>算执行</w:t>
            </w:r>
          </w:p>
        </w:tc>
        <w:tc>
          <w:tcPr>
            <w:tcW w:w="542"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预算完成率</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计满分，每低于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预算完成率</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年末结余）</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FD49BB">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预算控制率</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0-10%</w:t>
            </w:r>
            <w:r>
              <w:rPr>
                <w:rFonts w:ascii="Times New Roman" w:eastAsia="仿宋_GB2312" w:hAnsi="Times New Roman"/>
                <w:kern w:val="0"/>
                <w:sz w:val="18"/>
                <w:szCs w:val="18"/>
              </w:rPr>
              <w:t>（含），计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t>10-20%</w:t>
            </w:r>
            <w:r>
              <w:rPr>
                <w:rFonts w:ascii="Times New Roman" w:eastAsia="仿宋_GB2312" w:hAnsi="Times New Roman"/>
                <w:kern w:val="0"/>
                <w:sz w:val="18"/>
                <w:szCs w:val="18"/>
              </w:rPr>
              <w:t>（含），计</w:t>
            </w:r>
            <w:r>
              <w:rPr>
                <w:rFonts w:ascii="Times New Roman" w:eastAsia="仿宋_GB2312" w:hAnsi="Times New Roman"/>
                <w:kern w:val="0"/>
                <w:sz w:val="18"/>
                <w:szCs w:val="18"/>
              </w:rPr>
              <w:t>3</w:t>
            </w:r>
            <w:r>
              <w:rPr>
                <w:rFonts w:ascii="Times New Roman" w:eastAsia="仿宋_GB2312" w:hAnsi="Times New Roman"/>
                <w:kern w:val="0"/>
                <w:sz w:val="18"/>
                <w:szCs w:val="18"/>
              </w:rPr>
              <w:t>分；</w:t>
            </w:r>
            <w:r>
              <w:rPr>
                <w:rFonts w:ascii="Times New Roman" w:eastAsia="仿宋_GB2312" w:hAnsi="Times New Roman"/>
                <w:kern w:val="0"/>
                <w:sz w:val="18"/>
                <w:szCs w:val="18"/>
              </w:rPr>
              <w:t>20-30%</w:t>
            </w:r>
            <w:r>
              <w:rPr>
                <w:rFonts w:ascii="Times New Roman" w:eastAsia="仿宋_GB2312" w:hAnsi="Times New Roman"/>
                <w:kern w:val="0"/>
                <w:sz w:val="18"/>
                <w:szCs w:val="18"/>
              </w:rPr>
              <w:t>（含），计</w:t>
            </w:r>
            <w:r>
              <w:rPr>
                <w:rFonts w:ascii="Times New Roman" w:eastAsia="仿宋_GB2312" w:hAnsi="Times New Roman"/>
                <w:kern w:val="0"/>
                <w:sz w:val="18"/>
                <w:szCs w:val="18"/>
              </w:rPr>
              <w:t>2</w:t>
            </w:r>
            <w:r>
              <w:rPr>
                <w:rFonts w:ascii="Times New Roman" w:eastAsia="仿宋_GB2312" w:hAnsi="Times New Roman"/>
                <w:kern w:val="0"/>
                <w:sz w:val="18"/>
                <w:szCs w:val="18"/>
              </w:rPr>
              <w:t>分；大于</w:t>
            </w:r>
            <w:r>
              <w:rPr>
                <w:rFonts w:ascii="Times New Roman" w:eastAsia="仿宋_GB2312" w:hAnsi="Times New Roman"/>
                <w:kern w:val="0"/>
                <w:sz w:val="18"/>
                <w:szCs w:val="18"/>
              </w:rPr>
              <w:t>30%</w:t>
            </w:r>
            <w:r>
              <w:rPr>
                <w:rFonts w:ascii="Times New Roman" w:eastAsia="仿宋_GB2312" w:hAnsi="Times New Roman"/>
                <w:kern w:val="0"/>
                <w:sz w:val="18"/>
                <w:szCs w:val="18"/>
              </w:rPr>
              <w:t>不得分。</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FD49BB">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新建楼堂馆所面积控制率</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分，扣完为止。没有楼堂馆所项目的部门按满分计算。</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楼堂馆所面积控制率</w:t>
            </w:r>
            <w:r>
              <w:rPr>
                <w:rFonts w:ascii="Times New Roman" w:eastAsia="仿宋_GB2312" w:hAnsi="Times New Roman"/>
                <w:kern w:val="0"/>
                <w:sz w:val="18"/>
                <w:szCs w:val="18"/>
              </w:rPr>
              <w:t>=</w:t>
            </w:r>
            <w:r>
              <w:rPr>
                <w:rFonts w:ascii="Times New Roman" w:eastAsia="仿宋_GB2312" w:hAnsi="Times New Roman"/>
                <w:kern w:val="0"/>
                <w:sz w:val="18"/>
                <w:szCs w:val="18"/>
              </w:rPr>
              <w:t>实际建设面积</w:t>
            </w:r>
            <w:r>
              <w:rPr>
                <w:rFonts w:ascii="Times New Roman" w:eastAsia="仿宋_GB2312" w:hAnsi="Times New Roman"/>
                <w:kern w:val="0"/>
                <w:sz w:val="18"/>
                <w:szCs w:val="18"/>
              </w:rPr>
              <w:t>/</w:t>
            </w:r>
            <w:r>
              <w:rPr>
                <w:rFonts w:ascii="Times New Roman" w:eastAsia="仿宋_GB2312" w:hAnsi="Times New Roman"/>
                <w:kern w:val="0"/>
                <w:sz w:val="18"/>
                <w:szCs w:val="18"/>
              </w:rPr>
              <w:t>批准建设面积</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2019</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FD49BB">
        <w:trPr>
          <w:trHeight w:val="686"/>
          <w:jc w:val="center"/>
        </w:trPr>
        <w:tc>
          <w:tcPr>
            <w:tcW w:w="823"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spacing w:val="-14"/>
                <w:kern w:val="0"/>
                <w:sz w:val="18"/>
                <w:szCs w:val="18"/>
              </w:rPr>
            </w:pPr>
            <w:r>
              <w:rPr>
                <w:rFonts w:ascii="Times New Roman" w:eastAsia="仿宋_GB2312" w:hAnsi="Times New Roman"/>
                <w:spacing w:val="-14"/>
                <w:kern w:val="0"/>
                <w:sz w:val="18"/>
                <w:szCs w:val="18"/>
              </w:rPr>
              <w:t>新建楼堂馆所投资概算控制率</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楼堂馆所投资预算控制率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实际投资金额</w:t>
            </w:r>
            <w:r>
              <w:rPr>
                <w:rFonts w:ascii="Times New Roman" w:eastAsia="仿宋_GB2312" w:hAnsi="Times New Roman"/>
                <w:kern w:val="0"/>
                <w:sz w:val="18"/>
                <w:szCs w:val="18"/>
              </w:rPr>
              <w:t>/</w:t>
            </w:r>
            <w:r>
              <w:rPr>
                <w:rFonts w:ascii="Times New Roman" w:eastAsia="仿宋_GB2312" w:hAnsi="Times New Roman"/>
                <w:kern w:val="0"/>
                <w:sz w:val="18"/>
                <w:szCs w:val="18"/>
              </w:rPr>
              <w:t>批准投资金额</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2019</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FD49BB">
        <w:trPr>
          <w:trHeight w:val="730"/>
          <w:jc w:val="center"/>
        </w:trPr>
        <w:tc>
          <w:tcPr>
            <w:tcW w:w="823"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40</w:t>
            </w: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公用经费控制率</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（实际支出公用经费总额</w:t>
            </w:r>
            <w:r>
              <w:rPr>
                <w:rFonts w:ascii="Times New Roman" w:eastAsia="仿宋_GB2312" w:hAnsi="Times New Roman"/>
                <w:kern w:val="0"/>
                <w:sz w:val="18"/>
                <w:szCs w:val="18"/>
              </w:rPr>
              <w:t>/</w:t>
            </w:r>
            <w:r>
              <w:rPr>
                <w:rFonts w:ascii="Times New Roman" w:eastAsia="仿宋_GB2312" w:hAnsi="Times New Roman"/>
                <w:kern w:val="0"/>
                <w:sz w:val="18"/>
                <w:szCs w:val="18"/>
              </w:rPr>
              <w:t>预算安排公用经费总额）</w:t>
            </w:r>
            <w:r>
              <w:rPr>
                <w:rFonts w:ascii="Times New Roman" w:eastAsia="仿宋_GB2312" w:hAnsi="Times New Roman"/>
                <w:kern w:val="0"/>
                <w:sz w:val="18"/>
                <w:szCs w:val="18"/>
              </w:rPr>
              <w:t>×100%</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公用经费支出是指部门基本支出中的一般商品和服务支出。</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FD49BB">
        <w:trPr>
          <w:trHeight w:val="584"/>
          <w:jc w:val="center"/>
        </w:trPr>
        <w:tc>
          <w:tcPr>
            <w:tcW w:w="823"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7</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实际支出数</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预算安排数）</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7</w:t>
            </w:r>
          </w:p>
        </w:tc>
      </w:tr>
      <w:tr w:rsidR="00FD49BB">
        <w:trPr>
          <w:trHeight w:val="504"/>
          <w:jc w:val="center"/>
        </w:trPr>
        <w:tc>
          <w:tcPr>
            <w:tcW w:w="823" w:type="dxa"/>
            <w:vMerge/>
            <w:tcBorders>
              <w:top w:val="nil"/>
              <w:left w:val="single" w:sz="4" w:space="0" w:color="auto"/>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政府采购执</w:t>
            </w:r>
            <w:r>
              <w:rPr>
                <w:rFonts w:ascii="Times New Roman" w:eastAsia="仿宋_GB2312" w:hAnsi="Times New Roman"/>
                <w:kern w:val="0"/>
                <w:sz w:val="18"/>
                <w:szCs w:val="18"/>
              </w:rPr>
              <w:t>行率</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计满分，每超过（降低）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政府采购执行率</w:t>
            </w:r>
            <w:r>
              <w:rPr>
                <w:rFonts w:ascii="Times New Roman" w:eastAsia="仿宋_GB2312" w:hAnsi="Times New Roman"/>
                <w:kern w:val="0"/>
                <w:sz w:val="18"/>
                <w:szCs w:val="18"/>
              </w:rPr>
              <w:t>=</w:t>
            </w:r>
            <w:r>
              <w:rPr>
                <w:rFonts w:ascii="Times New Roman" w:eastAsia="仿宋_GB2312" w:hAnsi="Times New Roman"/>
                <w:kern w:val="0"/>
                <w:sz w:val="18"/>
                <w:szCs w:val="18"/>
              </w:rPr>
              <w:t>（实际政府采购金额</w:t>
            </w:r>
            <w:r>
              <w:rPr>
                <w:rFonts w:ascii="Times New Roman" w:eastAsia="仿宋_GB2312" w:hAnsi="Times New Roman"/>
                <w:kern w:val="0"/>
                <w:sz w:val="18"/>
                <w:szCs w:val="18"/>
              </w:rPr>
              <w:t>/</w:t>
            </w:r>
            <w:r>
              <w:rPr>
                <w:rFonts w:ascii="Times New Roman" w:eastAsia="仿宋_GB2312" w:hAnsi="Times New Roman"/>
                <w:kern w:val="0"/>
                <w:sz w:val="18"/>
                <w:szCs w:val="18"/>
              </w:rPr>
              <w:t>政府采购预算数）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FD49BB">
        <w:trPr>
          <w:trHeight w:val="1150"/>
          <w:jc w:val="center"/>
        </w:trPr>
        <w:tc>
          <w:tcPr>
            <w:tcW w:w="823" w:type="dxa"/>
            <w:vMerge w:val="restart"/>
            <w:tcBorders>
              <w:top w:val="single" w:sz="4" w:space="0" w:color="auto"/>
              <w:left w:val="single" w:sz="4" w:space="0" w:color="auto"/>
              <w:bottom w:val="single" w:sz="4" w:space="0" w:color="000000"/>
              <w:right w:val="single" w:sz="4" w:space="0" w:color="auto"/>
            </w:tcBorders>
            <w:vAlign w:val="center"/>
          </w:tcPr>
          <w:p w:rsidR="00FD49BB" w:rsidRDefault="00B036C2">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过程</w:t>
            </w:r>
          </w:p>
        </w:tc>
        <w:tc>
          <w:tcPr>
            <w:tcW w:w="519" w:type="dxa"/>
            <w:vMerge w:val="restart"/>
            <w:tcBorders>
              <w:top w:val="single" w:sz="4" w:space="0" w:color="auto"/>
              <w:left w:val="single" w:sz="4" w:space="0" w:color="auto"/>
              <w:bottom w:val="single" w:sz="4" w:space="0" w:color="000000"/>
              <w:right w:val="single" w:sz="4" w:space="0" w:color="auto"/>
            </w:tcBorders>
            <w:vAlign w:val="center"/>
          </w:tcPr>
          <w:p w:rsidR="00FD49BB" w:rsidRDefault="00FD49BB">
            <w:pPr>
              <w:spacing w:line="200" w:lineRule="exact"/>
              <w:jc w:val="left"/>
              <w:rPr>
                <w:rFonts w:ascii="Times New Roman" w:eastAsia="仿宋_GB2312" w:hAnsi="Times New Roman"/>
                <w:kern w:val="0"/>
                <w:sz w:val="18"/>
                <w:szCs w:val="18"/>
              </w:rPr>
            </w:pPr>
          </w:p>
        </w:tc>
        <w:tc>
          <w:tcPr>
            <w:tcW w:w="1258" w:type="dxa"/>
            <w:vMerge w:val="restart"/>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管理制度</w:t>
            </w:r>
            <w:r>
              <w:rPr>
                <w:rFonts w:ascii="Times New Roman" w:eastAsia="仿宋_GB2312" w:hAnsi="Times New Roman"/>
                <w:kern w:val="0"/>
                <w:sz w:val="18"/>
                <w:szCs w:val="18"/>
              </w:rPr>
              <w:t>健全性</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有内部财务管理制度、会计核算制度等管理制度，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②</w:t>
            </w:r>
            <w:r>
              <w:rPr>
                <w:rFonts w:ascii="Times New Roman" w:eastAsia="仿宋_GB2312" w:hAnsi="Times New Roman"/>
                <w:kern w:val="0"/>
                <w:sz w:val="18"/>
                <w:szCs w:val="18"/>
              </w:rPr>
              <w:t>有本部门厉行节约制度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③</w:t>
            </w:r>
            <w:r>
              <w:rPr>
                <w:rFonts w:ascii="Times New Roman" w:eastAsia="仿宋_GB2312" w:hAnsi="Times New Roman"/>
                <w:kern w:val="0"/>
                <w:sz w:val="18"/>
                <w:szCs w:val="18"/>
              </w:rPr>
              <w:t>相关管理制度合法、合规、完整，</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相关管理制度得到有效执行，</w:t>
            </w:r>
            <w:r>
              <w:rPr>
                <w:rFonts w:ascii="Times New Roman" w:eastAsia="仿宋_GB2312" w:hAnsi="Times New Roman"/>
                <w:kern w:val="0"/>
                <w:sz w:val="18"/>
                <w:szCs w:val="18"/>
              </w:rPr>
              <w:t>2</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FD49BB">
        <w:trPr>
          <w:trHeight w:val="1434"/>
          <w:jc w:val="center"/>
        </w:trPr>
        <w:tc>
          <w:tcPr>
            <w:tcW w:w="823"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资金使用</w:t>
            </w:r>
            <w:r>
              <w:rPr>
                <w:rFonts w:ascii="Times New Roman" w:eastAsia="仿宋_GB2312" w:hAnsi="Times New Roman"/>
                <w:kern w:val="0"/>
                <w:sz w:val="18"/>
                <w:szCs w:val="18"/>
              </w:rPr>
              <w:t>合规性</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支出符合国家财经法规和财务管理制度规定以及有关专项资金管理办法的规定；</w:t>
            </w:r>
            <w:r>
              <w:rPr>
                <w:rFonts w:ascii="Times New Roman" w:eastAsia="仿宋_GB2312" w:hAnsi="Times New Roman"/>
                <w:kern w:val="0"/>
                <w:sz w:val="18"/>
                <w:szCs w:val="18"/>
              </w:rPr>
              <w:t>②</w:t>
            </w:r>
            <w:r>
              <w:rPr>
                <w:rFonts w:ascii="Times New Roman" w:eastAsia="仿宋_GB2312" w:hAnsi="Times New Roman"/>
                <w:kern w:val="0"/>
                <w:sz w:val="18"/>
                <w:szCs w:val="18"/>
              </w:rPr>
              <w:t>资金拨付有完整的审批程序和手续；</w:t>
            </w:r>
            <w:r>
              <w:rPr>
                <w:rFonts w:ascii="Times New Roman" w:eastAsia="仿宋_GB2312" w:hAnsi="Times New Roman"/>
                <w:kern w:val="0"/>
                <w:sz w:val="18"/>
                <w:szCs w:val="18"/>
              </w:rPr>
              <w:t>③</w:t>
            </w:r>
            <w:r>
              <w:rPr>
                <w:rFonts w:ascii="Times New Roman" w:eastAsia="仿宋_GB2312" w:hAnsi="Times New Roman"/>
                <w:kern w:val="0"/>
                <w:sz w:val="18"/>
                <w:szCs w:val="18"/>
              </w:rPr>
              <w:t>项目支出按规定经过评估论证；</w:t>
            </w:r>
            <w:r>
              <w:rPr>
                <w:rFonts w:ascii="Times New Roman" w:eastAsia="仿宋_GB2312" w:hAnsi="Times New Roman"/>
                <w:kern w:val="0"/>
                <w:sz w:val="18"/>
                <w:szCs w:val="18"/>
              </w:rPr>
              <w:t>④</w:t>
            </w:r>
            <w:r>
              <w:rPr>
                <w:rFonts w:ascii="Times New Roman" w:eastAsia="仿宋_GB2312" w:hAnsi="Times New Roman"/>
                <w:kern w:val="0"/>
                <w:sz w:val="18"/>
                <w:szCs w:val="18"/>
              </w:rPr>
              <w:t>支出符合部门预算批复的用途；</w:t>
            </w:r>
            <w:r>
              <w:rPr>
                <w:rFonts w:ascii="Times New Roman" w:eastAsia="仿宋_GB2312" w:hAnsi="Times New Roman"/>
                <w:kern w:val="0"/>
                <w:sz w:val="18"/>
                <w:szCs w:val="18"/>
              </w:rPr>
              <w:t>⑤</w:t>
            </w:r>
            <w:r>
              <w:rPr>
                <w:rFonts w:ascii="Times New Roman" w:eastAsia="仿宋_GB2312" w:hAnsi="Times New Roman"/>
                <w:kern w:val="0"/>
                <w:sz w:val="18"/>
                <w:szCs w:val="18"/>
              </w:rPr>
              <w:t>资金使用无截留、挤占、挪用、虚列支出等情况。</w:t>
            </w:r>
            <w:r>
              <w:rPr>
                <w:rFonts w:ascii="Times New Roman" w:eastAsia="仿宋_GB2312" w:hAnsi="Times New Roman"/>
                <w:kern w:val="0"/>
                <w:sz w:val="18"/>
                <w:szCs w:val="18"/>
              </w:rPr>
              <w:br/>
            </w:r>
            <w:r>
              <w:rPr>
                <w:rFonts w:ascii="Times New Roman" w:eastAsia="仿宋_GB2312" w:hAnsi="Times New Roman"/>
                <w:kern w:val="0"/>
                <w:sz w:val="18"/>
                <w:szCs w:val="18"/>
              </w:rPr>
              <w:t>以上情况每出现一例不符合要求的扣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FD49BB">
        <w:trPr>
          <w:trHeight w:val="892"/>
          <w:jc w:val="center"/>
        </w:trPr>
        <w:tc>
          <w:tcPr>
            <w:tcW w:w="823"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预决算信息公开性</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按规定内容公开预决算信息，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②</w:t>
            </w:r>
            <w:r>
              <w:rPr>
                <w:rFonts w:ascii="Times New Roman" w:eastAsia="仿宋_GB2312" w:hAnsi="Times New Roman"/>
                <w:kern w:val="0"/>
                <w:sz w:val="18"/>
                <w:szCs w:val="18"/>
              </w:rPr>
              <w:t>按规定时限公开预决算信息，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③</w:t>
            </w:r>
            <w:r>
              <w:rPr>
                <w:rFonts w:ascii="Times New Roman" w:eastAsia="仿宋_GB2312" w:hAnsi="Times New Roman"/>
                <w:kern w:val="0"/>
                <w:sz w:val="18"/>
                <w:szCs w:val="18"/>
              </w:rPr>
              <w:t>基础数据信息和会计信息资料真实，</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基础数据信息和会计信息资料完整，</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⑤</w:t>
            </w:r>
            <w:r>
              <w:rPr>
                <w:rFonts w:ascii="Times New Roman" w:eastAsia="仿宋_GB2312" w:hAnsi="Times New Roman"/>
                <w:kern w:val="0"/>
                <w:sz w:val="18"/>
                <w:szCs w:val="18"/>
              </w:rPr>
              <w:t>基础数据信息和汇集信息资料准确，</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 xml:space="preserve">  </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预决算信息是指与部门预算、执行、决算、监督、绩效等管理相关的信息。</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FD49BB">
        <w:trPr>
          <w:trHeight w:val="622"/>
          <w:jc w:val="center"/>
        </w:trPr>
        <w:tc>
          <w:tcPr>
            <w:tcW w:w="823"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产出及效率</w:t>
            </w:r>
          </w:p>
        </w:tc>
        <w:tc>
          <w:tcPr>
            <w:tcW w:w="519"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30</w:t>
            </w:r>
          </w:p>
        </w:tc>
        <w:tc>
          <w:tcPr>
            <w:tcW w:w="1258"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职责履行</w:t>
            </w:r>
          </w:p>
        </w:tc>
        <w:tc>
          <w:tcPr>
            <w:tcW w:w="542"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1419" w:type="dxa"/>
            <w:tcBorders>
              <w:top w:val="nil"/>
              <w:left w:val="nil"/>
              <w:bottom w:val="nil"/>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重点工作实际完成率</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根据绩效办</w:t>
            </w:r>
            <w:r>
              <w:rPr>
                <w:rFonts w:ascii="Times New Roman" w:eastAsia="仿宋_GB2312" w:hAnsi="Times New Roman"/>
                <w:kern w:val="0"/>
                <w:sz w:val="18"/>
                <w:szCs w:val="18"/>
              </w:rPr>
              <w:t>2019</w:t>
            </w:r>
            <w:r>
              <w:rPr>
                <w:rFonts w:ascii="Times New Roman" w:eastAsia="仿宋_GB2312" w:hAnsi="Times New Roman"/>
                <w:kern w:val="0"/>
                <w:sz w:val="18"/>
                <w:szCs w:val="18"/>
              </w:rPr>
              <w:t>年对各部门为民办实事和部门重点工程与重点工作考核分数折算。</w:t>
            </w:r>
            <w:r>
              <w:rPr>
                <w:rFonts w:ascii="Times New Roman" w:eastAsia="仿宋_GB2312" w:hAnsi="Times New Roman"/>
                <w:kern w:val="0"/>
                <w:sz w:val="18"/>
                <w:szCs w:val="18"/>
              </w:rPr>
              <w:br/>
            </w:r>
            <w:r>
              <w:rPr>
                <w:rFonts w:ascii="Times New Roman" w:eastAsia="仿宋_GB2312" w:hAnsi="Times New Roman"/>
                <w:kern w:val="0"/>
                <w:sz w:val="18"/>
                <w:szCs w:val="18"/>
              </w:rPr>
              <w:t>该项得分</w:t>
            </w:r>
            <w:r>
              <w:rPr>
                <w:rFonts w:ascii="Times New Roman" w:eastAsia="仿宋_GB2312" w:hAnsi="Times New Roman"/>
                <w:kern w:val="0"/>
                <w:sz w:val="18"/>
                <w:szCs w:val="18"/>
              </w:rPr>
              <w:t>=</w:t>
            </w:r>
            <w:r>
              <w:rPr>
                <w:rFonts w:ascii="Times New Roman" w:eastAsia="仿宋_GB2312" w:hAnsi="Times New Roman"/>
                <w:kern w:val="0"/>
                <w:sz w:val="18"/>
                <w:szCs w:val="18"/>
              </w:rPr>
              <w:t>（绩效办对应部分考核得分</w:t>
            </w:r>
            <w:r>
              <w:rPr>
                <w:rFonts w:ascii="Times New Roman" w:eastAsia="仿宋_GB2312" w:hAnsi="Times New Roman"/>
                <w:kern w:val="0"/>
                <w:sz w:val="18"/>
                <w:szCs w:val="18"/>
              </w:rPr>
              <w:t>/</w:t>
            </w:r>
            <w:r>
              <w:rPr>
                <w:rFonts w:ascii="Times New Roman" w:eastAsia="仿宋_GB2312" w:hAnsi="Times New Roman"/>
                <w:kern w:val="0"/>
                <w:sz w:val="18"/>
                <w:szCs w:val="18"/>
              </w:rPr>
              <w:t>该部分总分）</w:t>
            </w:r>
            <w:r>
              <w:rPr>
                <w:rFonts w:ascii="Times New Roman" w:eastAsia="仿宋_GB2312" w:hAnsi="Times New Roman"/>
                <w:kern w:val="0"/>
                <w:sz w:val="18"/>
                <w:szCs w:val="18"/>
              </w:rPr>
              <w:t>*8</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FD49BB">
        <w:trPr>
          <w:trHeight w:val="439"/>
          <w:jc w:val="center"/>
        </w:trPr>
        <w:tc>
          <w:tcPr>
            <w:tcW w:w="823"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履职效益</w:t>
            </w:r>
          </w:p>
        </w:tc>
        <w:tc>
          <w:tcPr>
            <w:tcW w:w="542"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经济效益</w:t>
            </w:r>
          </w:p>
        </w:tc>
        <w:tc>
          <w:tcPr>
            <w:tcW w:w="565" w:type="dxa"/>
            <w:tcBorders>
              <w:top w:val="nil"/>
              <w:left w:val="single" w:sz="4" w:space="0" w:color="auto"/>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对经济发展带来的直接影响和间接影响。</w:t>
            </w:r>
          </w:p>
        </w:tc>
        <w:tc>
          <w:tcPr>
            <w:tcW w:w="3773" w:type="dxa"/>
            <w:vMerge w:val="restart"/>
            <w:tcBorders>
              <w:top w:val="single" w:sz="4" w:space="0" w:color="auto"/>
              <w:left w:val="single" w:sz="4" w:space="0" w:color="auto"/>
              <w:right w:val="single" w:sz="4" w:space="0" w:color="000000"/>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FD49BB">
        <w:trPr>
          <w:trHeight w:val="428"/>
          <w:jc w:val="center"/>
        </w:trPr>
        <w:tc>
          <w:tcPr>
            <w:tcW w:w="823"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社会效益</w:t>
            </w:r>
          </w:p>
        </w:tc>
        <w:tc>
          <w:tcPr>
            <w:tcW w:w="565" w:type="dxa"/>
            <w:tcBorders>
              <w:top w:val="single" w:sz="4" w:space="0" w:color="auto"/>
              <w:left w:val="single" w:sz="4" w:space="0" w:color="auto"/>
              <w:bottom w:val="nil"/>
              <w:right w:val="single" w:sz="4" w:space="0" w:color="auto"/>
            </w:tcBorders>
            <w:vAlign w:val="center"/>
          </w:tcPr>
          <w:p w:rsidR="00FD49BB" w:rsidRDefault="00B036C2">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nil"/>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对社会发展带来的直接影响和间接影响。</w:t>
            </w:r>
          </w:p>
        </w:tc>
        <w:tc>
          <w:tcPr>
            <w:tcW w:w="3773" w:type="dxa"/>
            <w:vMerge/>
            <w:tcBorders>
              <w:left w:val="single" w:sz="4" w:space="0" w:color="auto"/>
              <w:bottom w:val="nil"/>
              <w:right w:val="single" w:sz="4" w:space="0" w:color="000000"/>
            </w:tcBorders>
            <w:vAlign w:val="center"/>
          </w:tcPr>
          <w:p w:rsidR="00FD49BB" w:rsidRDefault="00FD49BB">
            <w:pPr>
              <w:spacing w:line="200" w:lineRule="exact"/>
              <w:jc w:val="left"/>
              <w:rPr>
                <w:rFonts w:ascii="Times New Roman" w:eastAsia="仿宋_GB2312" w:hAnsi="Times New Roman"/>
                <w:kern w:val="0"/>
                <w:sz w:val="18"/>
                <w:szCs w:val="18"/>
              </w:rPr>
            </w:pPr>
          </w:p>
        </w:tc>
        <w:tc>
          <w:tcPr>
            <w:tcW w:w="704" w:type="dxa"/>
            <w:tcBorders>
              <w:top w:val="single" w:sz="4" w:space="0" w:color="auto"/>
              <w:left w:val="nil"/>
              <w:bottom w:val="nil"/>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FD49BB">
        <w:trPr>
          <w:trHeight w:val="835"/>
          <w:jc w:val="center"/>
        </w:trPr>
        <w:tc>
          <w:tcPr>
            <w:tcW w:w="823"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42" w:type="dxa"/>
            <w:vMerge w:val="restart"/>
            <w:tcBorders>
              <w:top w:val="nil"/>
              <w:left w:val="single" w:sz="4" w:space="0" w:color="auto"/>
              <w:bottom w:val="single" w:sz="4" w:space="0" w:color="000000"/>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12</w:t>
            </w: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行政效能</w:t>
            </w:r>
          </w:p>
        </w:tc>
        <w:tc>
          <w:tcPr>
            <w:tcW w:w="565"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促进部门改进文风会风，加强经费及资产管理，推动网上办事，提高行政效率，降低行政成本效果较好的计</w:t>
            </w:r>
            <w:r>
              <w:rPr>
                <w:rFonts w:ascii="Times New Roman" w:eastAsia="仿宋_GB2312" w:hAnsi="Times New Roman"/>
                <w:kern w:val="0"/>
                <w:sz w:val="18"/>
                <w:szCs w:val="18"/>
              </w:rPr>
              <w:t>6</w:t>
            </w:r>
            <w:r>
              <w:rPr>
                <w:rFonts w:ascii="Times New Roman" w:eastAsia="仿宋_GB2312" w:hAnsi="Times New Roman"/>
                <w:kern w:val="0"/>
                <w:sz w:val="18"/>
                <w:szCs w:val="18"/>
              </w:rPr>
              <w:t>分；一般</w:t>
            </w:r>
            <w:r>
              <w:rPr>
                <w:rFonts w:ascii="Times New Roman" w:eastAsia="仿宋_GB2312" w:hAnsi="Times New Roman"/>
                <w:kern w:val="0"/>
                <w:sz w:val="18"/>
                <w:szCs w:val="18"/>
              </w:rPr>
              <w:t>3</w:t>
            </w:r>
            <w:r>
              <w:rPr>
                <w:rFonts w:ascii="Times New Roman" w:eastAsia="仿宋_GB2312" w:hAnsi="Times New Roman"/>
                <w:kern w:val="0"/>
                <w:sz w:val="18"/>
                <w:szCs w:val="18"/>
              </w:rPr>
              <w:t>分；无效果或者效果不明显</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根据部门自评材料评定。</w:t>
            </w:r>
          </w:p>
        </w:tc>
        <w:tc>
          <w:tcPr>
            <w:tcW w:w="704" w:type="dxa"/>
            <w:tcBorders>
              <w:top w:val="single" w:sz="4" w:space="0" w:color="auto"/>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FD49BB">
        <w:trPr>
          <w:trHeight w:val="832"/>
          <w:jc w:val="center"/>
        </w:trPr>
        <w:tc>
          <w:tcPr>
            <w:tcW w:w="823" w:type="dxa"/>
            <w:vMerge/>
            <w:tcBorders>
              <w:top w:val="nil"/>
              <w:left w:val="single" w:sz="4" w:space="0" w:color="auto"/>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社会公众或服务对象满意度</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90%</w:t>
            </w:r>
            <w:r>
              <w:rPr>
                <w:rFonts w:ascii="Times New Roman" w:eastAsia="仿宋_GB2312" w:hAnsi="Times New Roman"/>
                <w:kern w:val="0"/>
                <w:sz w:val="18"/>
                <w:szCs w:val="18"/>
              </w:rPr>
              <w:t>（含）以上计</w:t>
            </w:r>
            <w:r>
              <w:rPr>
                <w:rFonts w:ascii="Times New Roman" w:eastAsia="仿宋_GB2312" w:hAnsi="Times New Roman"/>
                <w:kern w:val="0"/>
                <w:sz w:val="18"/>
                <w:szCs w:val="18"/>
              </w:rPr>
              <w:t>6</w:t>
            </w:r>
            <w:r>
              <w:rPr>
                <w:rFonts w:ascii="Times New Roman" w:eastAsia="仿宋_GB2312" w:hAnsi="Times New Roman"/>
                <w:kern w:val="0"/>
                <w:sz w:val="18"/>
                <w:szCs w:val="18"/>
              </w:rPr>
              <w:t>分；</w:t>
            </w:r>
            <w:r>
              <w:rPr>
                <w:rFonts w:ascii="Times New Roman" w:eastAsia="仿宋_GB2312" w:hAnsi="Times New Roman"/>
                <w:kern w:val="0"/>
                <w:sz w:val="18"/>
                <w:szCs w:val="18"/>
              </w:rPr>
              <w:br/>
              <w:t>80%</w:t>
            </w:r>
            <w:r>
              <w:rPr>
                <w:rFonts w:ascii="Times New Roman" w:eastAsia="仿宋_GB2312" w:hAnsi="Times New Roman"/>
                <w:kern w:val="0"/>
                <w:sz w:val="18"/>
                <w:szCs w:val="18"/>
              </w:rPr>
              <w:t>（含）</w:t>
            </w:r>
            <w:r>
              <w:rPr>
                <w:rFonts w:ascii="Times New Roman" w:eastAsia="仿宋_GB2312" w:hAnsi="Times New Roman"/>
                <w:kern w:val="0"/>
                <w:sz w:val="18"/>
                <w:szCs w:val="18"/>
              </w:rPr>
              <w:t>-90%</w:t>
            </w:r>
            <w:r>
              <w:rPr>
                <w:rFonts w:ascii="Times New Roman" w:eastAsia="仿宋_GB2312" w:hAnsi="Times New Roman"/>
                <w:kern w:val="0"/>
                <w:sz w:val="18"/>
                <w:szCs w:val="18"/>
              </w:rPr>
              <w:t>，计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br/>
              <w:t>70%</w:t>
            </w:r>
            <w:r>
              <w:rPr>
                <w:rFonts w:ascii="Times New Roman" w:eastAsia="仿宋_GB2312" w:hAnsi="Times New Roman"/>
                <w:kern w:val="0"/>
                <w:sz w:val="18"/>
                <w:szCs w:val="18"/>
              </w:rPr>
              <w:t>（含）</w:t>
            </w:r>
            <w:r>
              <w:rPr>
                <w:rFonts w:ascii="Times New Roman" w:eastAsia="仿宋_GB2312" w:hAnsi="Times New Roman"/>
                <w:kern w:val="0"/>
                <w:sz w:val="18"/>
                <w:szCs w:val="18"/>
              </w:rPr>
              <w:t>-80%</w:t>
            </w:r>
            <w:r>
              <w:rPr>
                <w:rFonts w:ascii="Times New Roman" w:eastAsia="仿宋_GB2312" w:hAnsi="Times New Roman"/>
                <w:kern w:val="0"/>
                <w:sz w:val="18"/>
                <w:szCs w:val="18"/>
              </w:rPr>
              <w:t>，计</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r>
            <w:r>
              <w:rPr>
                <w:rFonts w:ascii="Times New Roman" w:eastAsia="仿宋_GB2312" w:hAnsi="Times New Roman"/>
                <w:kern w:val="0"/>
                <w:sz w:val="18"/>
                <w:szCs w:val="18"/>
              </w:rPr>
              <w:t>低于</w:t>
            </w:r>
            <w:r>
              <w:rPr>
                <w:rFonts w:ascii="Times New Roman" w:eastAsia="仿宋_GB2312" w:hAnsi="Times New Roman"/>
                <w:kern w:val="0"/>
                <w:sz w:val="18"/>
                <w:szCs w:val="18"/>
              </w:rPr>
              <w:t>70%</w:t>
            </w:r>
            <w:r>
              <w:rPr>
                <w:rFonts w:ascii="Times New Roman" w:eastAsia="仿宋_GB2312" w:hAnsi="Times New Roman"/>
                <w:kern w:val="0"/>
                <w:sz w:val="18"/>
                <w:szCs w:val="18"/>
              </w:rPr>
              <w:t>计</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p w:rsidR="00FD49BB" w:rsidRDefault="00FD49BB">
            <w:pPr>
              <w:widowControl/>
              <w:spacing w:line="200" w:lineRule="exact"/>
              <w:jc w:val="left"/>
              <w:rPr>
                <w:rFonts w:ascii="Times New Roman" w:eastAsia="仿宋_GB2312" w:hAnsi="Times New Roman"/>
                <w:kern w:val="0"/>
                <w:sz w:val="18"/>
                <w:szCs w:val="18"/>
              </w:rPr>
            </w:pPr>
          </w:p>
        </w:tc>
      </w:tr>
      <w:tr w:rsidR="00FD49BB">
        <w:trPr>
          <w:trHeight w:val="832"/>
          <w:jc w:val="center"/>
        </w:trPr>
        <w:tc>
          <w:tcPr>
            <w:tcW w:w="4561" w:type="dxa"/>
            <w:gridSpan w:val="5"/>
            <w:tcBorders>
              <w:top w:val="nil"/>
              <w:left w:val="single" w:sz="4" w:space="0" w:color="auto"/>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总分</w:t>
            </w:r>
          </w:p>
        </w:tc>
        <w:tc>
          <w:tcPr>
            <w:tcW w:w="565" w:type="dxa"/>
            <w:tcBorders>
              <w:top w:val="nil"/>
              <w:left w:val="nil"/>
              <w:bottom w:val="single" w:sz="4" w:space="0" w:color="auto"/>
              <w:right w:val="single" w:sz="4" w:space="0" w:color="auto"/>
            </w:tcBorders>
            <w:vAlign w:val="center"/>
          </w:tcPr>
          <w:p w:rsidR="00FD49BB" w:rsidRDefault="00B036C2">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100</w:t>
            </w:r>
          </w:p>
        </w:tc>
        <w:tc>
          <w:tcPr>
            <w:tcW w:w="8366" w:type="dxa"/>
            <w:gridSpan w:val="2"/>
            <w:tcBorders>
              <w:top w:val="nil"/>
              <w:left w:val="nil"/>
              <w:bottom w:val="single" w:sz="4" w:space="0" w:color="auto"/>
              <w:right w:val="single" w:sz="4" w:space="0" w:color="auto"/>
            </w:tcBorders>
            <w:vAlign w:val="center"/>
          </w:tcPr>
          <w:p w:rsidR="00FD49BB" w:rsidRDefault="00FD49BB">
            <w:pPr>
              <w:widowControl/>
              <w:spacing w:line="200" w:lineRule="exact"/>
              <w:jc w:val="left"/>
              <w:rPr>
                <w:rFonts w:ascii="Times New Roman" w:eastAsia="仿宋_GB2312" w:hAnsi="Times New Roman"/>
                <w:kern w:val="0"/>
                <w:sz w:val="18"/>
                <w:szCs w:val="18"/>
              </w:rPr>
            </w:pPr>
          </w:p>
        </w:tc>
        <w:tc>
          <w:tcPr>
            <w:tcW w:w="704" w:type="dxa"/>
            <w:tcBorders>
              <w:top w:val="nil"/>
              <w:left w:val="nil"/>
              <w:bottom w:val="single" w:sz="4" w:space="0" w:color="auto"/>
              <w:right w:val="single" w:sz="4" w:space="0" w:color="auto"/>
            </w:tcBorders>
            <w:vAlign w:val="center"/>
          </w:tcPr>
          <w:p w:rsidR="00FD49BB" w:rsidRDefault="00B036C2">
            <w:pPr>
              <w:widowControl/>
              <w:spacing w:line="200" w:lineRule="exact"/>
              <w:ind w:firstLineChars="100" w:firstLine="180"/>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95</w:t>
            </w:r>
          </w:p>
        </w:tc>
      </w:tr>
    </w:tbl>
    <w:p w:rsidR="00FD49BB" w:rsidRDefault="00FD49BB">
      <w:pPr>
        <w:spacing w:line="20" w:lineRule="exact"/>
        <w:rPr>
          <w:rFonts w:ascii="Times New Roman" w:eastAsia="新宋体" w:hAnsi="Times New Roman"/>
          <w:bCs/>
          <w:color w:val="000000"/>
          <w:sz w:val="32"/>
          <w:szCs w:val="32"/>
        </w:rPr>
      </w:pPr>
    </w:p>
    <w:p w:rsidR="00FD49BB" w:rsidRDefault="00FD49BB">
      <w:pPr>
        <w:spacing w:line="20" w:lineRule="exact"/>
        <w:rPr>
          <w:rFonts w:ascii="Times New Roman" w:eastAsia="新宋体" w:hAnsi="Times New Roman"/>
          <w:bCs/>
          <w:color w:val="000000"/>
          <w:sz w:val="32"/>
          <w:szCs w:val="32"/>
        </w:rPr>
      </w:pPr>
    </w:p>
    <w:p w:rsidR="00FD49BB" w:rsidRDefault="00FD49BB"/>
    <w:p w:rsidR="00FD49BB" w:rsidRDefault="00FD49BB" w:rsidP="00385016">
      <w:pPr>
        <w:pStyle w:val="2"/>
        <w:ind w:firstLine="640"/>
      </w:pPr>
    </w:p>
    <w:p w:rsidR="00FD49BB" w:rsidRDefault="00FD49BB" w:rsidP="00385016">
      <w:pPr>
        <w:pStyle w:val="2"/>
        <w:ind w:firstLine="640"/>
      </w:pPr>
    </w:p>
    <w:p w:rsidR="00FD49BB" w:rsidRDefault="00FD49BB">
      <w:pPr>
        <w:pStyle w:val="2"/>
        <w:ind w:left="0" w:firstLineChars="0" w:firstLine="0"/>
      </w:pPr>
    </w:p>
    <w:sectPr w:rsidR="00FD49BB" w:rsidSect="00FD49BB">
      <w:pgSz w:w="16838" w:h="11906" w:orient="landscape"/>
      <w:pgMar w:top="1134" w:right="1474" w:bottom="1134"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6C2" w:rsidRDefault="00B036C2" w:rsidP="00FD49BB">
      <w:r>
        <w:separator/>
      </w:r>
    </w:p>
  </w:endnote>
  <w:endnote w:type="continuationSeparator" w:id="0">
    <w:p w:rsidR="00B036C2" w:rsidRDefault="00B036C2" w:rsidP="00FD49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方正小标宋简体">
    <w:altName w:val="仿宋_GB2312"/>
    <w:panose1 w:val="03000509000000000000"/>
    <w:charset w:val="86"/>
    <w:family w:val="script"/>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9BB" w:rsidRDefault="00FD49BB">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filled="f" stroked="f">
          <v:textbox style="mso-fit-shape-to-text:t" inset="0,0,0,0">
            <w:txbxContent>
              <w:p w:rsidR="00FD49BB" w:rsidRDefault="00FD49BB">
                <w:pPr>
                  <w:pStyle w:val="a4"/>
                </w:pPr>
                <w:r>
                  <w:rPr>
                    <w:rFonts w:hint="eastAsia"/>
                  </w:rPr>
                  <w:fldChar w:fldCharType="begin"/>
                </w:r>
                <w:r w:rsidR="00B036C2">
                  <w:rPr>
                    <w:rFonts w:hint="eastAsia"/>
                  </w:rPr>
                  <w:instrText xml:space="preserve"> PAGE  \* MERGE</w:instrText>
                </w:r>
                <w:r w:rsidR="00B036C2">
                  <w:rPr>
                    <w:rFonts w:hint="eastAsia"/>
                  </w:rPr>
                  <w:instrText xml:space="preserve">FORMAT </w:instrText>
                </w:r>
                <w:r>
                  <w:rPr>
                    <w:rFonts w:hint="eastAsia"/>
                  </w:rPr>
                  <w:fldChar w:fldCharType="separate"/>
                </w:r>
                <w:r w:rsidR="00385016">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6C2" w:rsidRDefault="00B036C2" w:rsidP="00FD49BB">
      <w:r>
        <w:separator/>
      </w:r>
    </w:p>
  </w:footnote>
  <w:footnote w:type="continuationSeparator" w:id="0">
    <w:p w:rsidR="00B036C2" w:rsidRDefault="00B036C2" w:rsidP="00FD49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AB91029"/>
    <w:rsid w:val="00385016"/>
    <w:rsid w:val="00B036C2"/>
    <w:rsid w:val="00FD49BB"/>
    <w:rsid w:val="4DB55071"/>
    <w:rsid w:val="7AB910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lsdException w:name="Body Text Indent" w:uiPriority="99" w:unhideWhenUsed="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FD49BB"/>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FD49BB"/>
    <w:pPr>
      <w:ind w:firstLineChars="200" w:firstLine="420"/>
    </w:pPr>
  </w:style>
  <w:style w:type="paragraph" w:styleId="a3">
    <w:name w:val="Body Text Indent"/>
    <w:basedOn w:val="a"/>
    <w:uiPriority w:val="99"/>
    <w:unhideWhenUsed/>
    <w:rsid w:val="00FD49BB"/>
    <w:pPr>
      <w:ind w:left="640"/>
    </w:pPr>
    <w:rPr>
      <w:rFonts w:ascii="仿宋_GB2312" w:eastAsia="仿宋_GB2312"/>
      <w:sz w:val="32"/>
    </w:rPr>
  </w:style>
  <w:style w:type="paragraph" w:styleId="a4">
    <w:name w:val="footer"/>
    <w:basedOn w:val="a"/>
    <w:unhideWhenUsed/>
    <w:qFormat/>
    <w:rsid w:val="00FD49BB"/>
    <w:pPr>
      <w:tabs>
        <w:tab w:val="center" w:pos="4153"/>
        <w:tab w:val="right" w:pos="8306"/>
      </w:tabs>
      <w:snapToGrid w:val="0"/>
      <w:jc w:val="left"/>
    </w:pPr>
    <w:rPr>
      <w:kern w:val="0"/>
      <w:sz w:val="18"/>
      <w:szCs w:val="18"/>
    </w:rPr>
  </w:style>
  <w:style w:type="paragraph" w:styleId="a5">
    <w:name w:val="Normal (Web)"/>
    <w:basedOn w:val="a"/>
    <w:qFormat/>
    <w:rsid w:val="00FD49BB"/>
    <w:pPr>
      <w:widowControl/>
      <w:spacing w:before="100" w:beforeAutospacing="1" w:after="119"/>
      <w:jc w:val="left"/>
    </w:pPr>
    <w:rPr>
      <w:rFonts w:ascii="宋体" w:hAnsi="宋体" w:cs="宋体"/>
      <w:kern w:val="0"/>
      <w:sz w:val="24"/>
    </w:rPr>
  </w:style>
  <w:style w:type="paragraph" w:styleId="a6">
    <w:name w:val="List Paragraph"/>
    <w:basedOn w:val="a"/>
    <w:uiPriority w:val="99"/>
    <w:qFormat/>
    <w:rsid w:val="00FD49BB"/>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590</Words>
  <Characters>3364</Characters>
  <Application>Microsoft Office Word</Application>
  <DocSecurity>0</DocSecurity>
  <Lines>28</Lines>
  <Paragraphs>7</Paragraphs>
  <ScaleCrop>false</ScaleCrop>
  <Company/>
  <LinksUpToDate>false</LinksUpToDate>
  <CharactersWithSpaces>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2021-07-26T08:10:00Z</dcterms:created>
  <dcterms:modified xsi:type="dcterms:W3CDTF">2021-07-27T02:13:00Z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7F1413253F4C49CE998796EAADBEB3FB</vt:lpwstr>
  </property>
</Properties>
</file>