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C4C" w:rsidRDefault="003A5C4C">
      <w:pPr>
        <w:spacing w:line="560" w:lineRule="exact"/>
        <w:rPr>
          <w:rFonts w:ascii="Times New Roman" w:eastAsia="仿宋_GB2312" w:hAnsi="Times New Roman"/>
          <w:bCs/>
          <w:color w:val="000000"/>
          <w:sz w:val="32"/>
          <w:szCs w:val="32"/>
        </w:rPr>
      </w:pPr>
    </w:p>
    <w:p w:rsidR="003A5C4C" w:rsidRPr="00702945" w:rsidRDefault="009D23C6" w:rsidP="00702945">
      <w:pPr>
        <w:jc w:val="center"/>
        <w:rPr>
          <w:rFonts w:ascii="Times New Roman" w:eastAsia="黑体" w:hAnsi="Times New Roman"/>
          <w:sz w:val="44"/>
          <w:szCs w:val="44"/>
        </w:rPr>
      </w:pPr>
      <w:r w:rsidRPr="00702945">
        <w:rPr>
          <w:rFonts w:ascii="黑体" w:eastAsia="黑体" w:hAnsi="黑体" w:cs="黑体" w:hint="eastAsia"/>
          <w:sz w:val="44"/>
          <w:szCs w:val="44"/>
        </w:rPr>
        <w:t>中方县科协</w:t>
      </w:r>
      <w:r w:rsidR="00702945" w:rsidRPr="00702945">
        <w:rPr>
          <w:rFonts w:ascii="黑体" w:eastAsia="黑体" w:hAnsi="黑体" w:cs="黑体" w:hint="eastAsia"/>
          <w:sz w:val="44"/>
          <w:szCs w:val="44"/>
        </w:rPr>
        <w:t>2020年度</w:t>
      </w:r>
      <w:r w:rsidRPr="00702945">
        <w:rPr>
          <w:rFonts w:ascii="黑体" w:eastAsia="黑体" w:hAnsi="黑体" w:cs="黑体" w:hint="eastAsia"/>
          <w:sz w:val="44"/>
          <w:szCs w:val="44"/>
        </w:rPr>
        <w:t>“科技助力乡村振兴县域试点”</w:t>
      </w:r>
      <w:r w:rsidRPr="00702945">
        <w:rPr>
          <w:rFonts w:ascii="Times New Roman" w:eastAsia="黑体" w:hAnsi="Times New Roman"/>
          <w:sz w:val="44"/>
          <w:szCs w:val="44"/>
        </w:rPr>
        <w:t>项目支出绩效评价报告</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3A5C4C" w:rsidRDefault="009D23C6">
      <w:pPr>
        <w:pStyle w:val="a6"/>
        <w:spacing w:line="510" w:lineRule="exact"/>
        <w:ind w:left="604"/>
        <w:rPr>
          <w:rFonts w:ascii="楷体" w:eastAsia="楷体" w:hAnsi="楷体" w:cs="楷体"/>
          <w:sz w:val="32"/>
          <w:szCs w:val="32"/>
        </w:rPr>
      </w:pPr>
      <w:r>
        <w:rPr>
          <w:rFonts w:ascii="楷体" w:eastAsia="楷体" w:hAnsi="楷体" w:cs="楷体" w:hint="eastAsia"/>
          <w:sz w:val="32"/>
          <w:szCs w:val="32"/>
        </w:rPr>
        <w:t>（一）项目概况。</w:t>
      </w:r>
    </w:p>
    <w:p w:rsidR="003A5C4C" w:rsidRDefault="009D23C6">
      <w:pPr>
        <w:pStyle w:val="a6"/>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项目背景</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项目单位基本情况</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中方县科学技术协会内设办公室、科学普及部、学会学术部，核定事业编制</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名，工作人员</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名，其中</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名任驻村扶贫工作队队长。</w:t>
      </w:r>
    </w:p>
    <w:p w:rsidR="003A5C4C" w:rsidRDefault="009D23C6">
      <w:pPr>
        <w:spacing w:line="560" w:lineRule="exact"/>
        <w:ind w:firstLineChars="200" w:firstLine="640"/>
        <w:rPr>
          <w:rFonts w:ascii="Times New Roman" w:eastAsia="仿宋" w:hAnsi="Times New Roman"/>
          <w:sz w:val="32"/>
          <w:szCs w:val="32"/>
        </w:rPr>
      </w:pPr>
      <w:r>
        <w:rPr>
          <w:rFonts w:ascii="Times New Roman" w:eastAsia="仿宋" w:hAnsi="Times New Roman"/>
          <w:sz w:val="32"/>
          <w:szCs w:val="32"/>
        </w:rPr>
        <w:t>主要内容及实施情况</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科技助力乡村振兴县域试点项目包含学会服务站建设、科技志愿者队伍建设、科普小镇建设和科普信息化及基层科协组织建设</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个子项目。</w:t>
      </w:r>
    </w:p>
    <w:p w:rsidR="003A5C4C" w:rsidRDefault="009D23C6">
      <w:pPr>
        <w:snapToGrid w:val="0"/>
        <w:ind w:firstLineChars="200" w:firstLine="640"/>
        <w:rPr>
          <w:rFonts w:ascii="Times New Roman" w:eastAsia="仿宋" w:hAnsi="Times New Roman"/>
          <w:sz w:val="32"/>
          <w:szCs w:val="32"/>
        </w:rPr>
      </w:pPr>
      <w:r>
        <w:rPr>
          <w:rFonts w:ascii="Times New Roman" w:eastAsia="仿宋" w:hAnsi="Times New Roman"/>
          <w:sz w:val="32"/>
          <w:szCs w:val="32"/>
        </w:rPr>
        <w:t>资金投入和使用情况</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年支持项目资金</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万元，截至</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日，计划使用</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年度项目资金</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万元。</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年支持项目资金以湖南省财政</w:t>
      </w:r>
      <w:bookmarkStart w:id="0" w:name="_GoBack"/>
      <w:bookmarkEnd w:id="0"/>
      <w:r>
        <w:rPr>
          <w:rFonts w:ascii="仿宋_GB2312" w:eastAsia="仿宋_GB2312" w:hAnsi="仿宋_GB2312" w:cs="仿宋_GB2312" w:hint="eastAsia"/>
          <w:sz w:val="32"/>
          <w:szCs w:val="32"/>
        </w:rPr>
        <w:t>厅核准的资金额度为准。截至</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日，计划使用</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年度项目资金及</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年度项目结余资金</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2020-2021</w:t>
      </w:r>
      <w:r>
        <w:rPr>
          <w:rFonts w:ascii="仿宋_GB2312" w:eastAsia="仿宋_GB2312" w:hAnsi="仿宋_GB2312" w:cs="仿宋_GB2312" w:hint="eastAsia"/>
          <w:sz w:val="32"/>
          <w:szCs w:val="32"/>
        </w:rPr>
        <w:t>年，省级财政专项资金连续</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年支持，根据</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年度绩效考核结果确定</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年度是否继续支持。经费使用</w:t>
      </w:r>
      <w:r>
        <w:rPr>
          <w:rFonts w:ascii="仿宋_GB2312" w:eastAsia="仿宋_GB2312" w:hAnsi="仿宋_GB2312" w:cs="仿宋_GB2312" w:hint="eastAsia"/>
          <w:sz w:val="32"/>
          <w:szCs w:val="32"/>
        </w:rPr>
        <w:t>应遵照国家和省有关规定执行，用于项目单位开展学会服务站建设、科技志愿者队伍建设、科普小镇建设和科普信息化及基层科协组织建设，不得用于基本建设、对外投资、罚款、捐赠、员工工资及福利。</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经费预算分子项目按年度编制，标准为：学会服务站建设</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万元）、科技志愿者队伍建设</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万元）、科普小镇建设</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72</w:t>
      </w:r>
      <w:r>
        <w:rPr>
          <w:rFonts w:ascii="仿宋_GB2312" w:eastAsia="仿宋_GB2312" w:hAnsi="仿宋_GB2312" w:cs="仿宋_GB2312" w:hint="eastAsia"/>
          <w:sz w:val="32"/>
          <w:szCs w:val="32"/>
        </w:rPr>
        <w:t>万元）、科普信息化及基层科协组织建设</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万元）。实际资金额度以湖</w:t>
      </w:r>
      <w:r>
        <w:rPr>
          <w:rFonts w:ascii="仿宋_GB2312" w:eastAsia="仿宋_GB2312" w:hAnsi="仿宋_GB2312" w:cs="仿宋_GB2312" w:hint="eastAsia"/>
          <w:sz w:val="32"/>
          <w:szCs w:val="32"/>
        </w:rPr>
        <w:t>南省财政厅核准的资金额度为准。</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（二）项目绩效目标。</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学会服务站建设，包括：建立中方县学会服务站；建立“土专家”数据库；引进四家省级学会；实用技术推广；技能培训；阵地建设。</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科技志愿者队伍建设，包括：队伍建设；表彰优秀科技工作者；开展科技志愿服务活动。</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w:t>
      </w:r>
      <w:r>
        <w:rPr>
          <w:rFonts w:ascii="仿宋_GB2312" w:eastAsia="仿宋_GB2312" w:hAnsi="仿宋_GB2312" w:cs="仿宋_GB2312" w:hint="eastAsia"/>
          <w:sz w:val="32"/>
          <w:szCs w:val="32"/>
        </w:rPr>
        <w:t>科普小镇建设，包括：阵地建设；科普广场建设；队伍建设；科普信息化及基层科协组织建设。</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科普信息化及基层科协组织建设，包括：科普信息化嵌入平台；基层科协组织建设；科普信息员队伍建设；科学素质大赛参赛。</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亮点和特色工作，包括：建立农村土专家数据库，筹建中方县农技协；与县融媒体中心合作，合办“科普中方“科普栏目。</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3A5C4C" w:rsidRDefault="009D23C6">
      <w:pPr>
        <w:ind w:firstLineChars="200" w:firstLine="640"/>
        <w:rPr>
          <w:rFonts w:ascii="仿宋_GB2312" w:eastAsia="仿宋_GB2312" w:hAnsi="仿宋_GB2312" w:cs="仿宋_GB2312"/>
          <w:sz w:val="32"/>
          <w:szCs w:val="32"/>
        </w:rPr>
      </w:pPr>
      <w:r>
        <w:rPr>
          <w:rFonts w:ascii="楷体" w:eastAsia="楷体" w:hAnsi="楷体" w:cs="楷体" w:hint="eastAsia"/>
          <w:sz w:val="32"/>
          <w:szCs w:val="32"/>
        </w:rPr>
        <w:t>（一）绩效评价目的、对象和范围。</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严格执行《预算法》，强化支出责任，提</w:t>
      </w:r>
      <w:r>
        <w:rPr>
          <w:rFonts w:ascii="仿宋_GB2312" w:eastAsia="仿宋_GB2312" w:hAnsi="仿宋_GB2312" w:cs="仿宋_GB2312" w:hint="eastAsia"/>
          <w:sz w:val="32"/>
          <w:szCs w:val="32"/>
        </w:rPr>
        <w:t>高项目</w:t>
      </w:r>
      <w:r>
        <w:rPr>
          <w:rFonts w:ascii="仿宋_GB2312" w:eastAsia="仿宋_GB2312" w:hAnsi="仿宋_GB2312" w:cs="仿宋_GB2312" w:hint="eastAsia"/>
          <w:sz w:val="32"/>
          <w:szCs w:val="32"/>
        </w:rPr>
        <w:t>资金使用效益，对项目支出情况开展绩效评价。</w:t>
      </w:r>
    </w:p>
    <w:p w:rsidR="003A5C4C" w:rsidRDefault="009D23C6">
      <w:pPr>
        <w:numPr>
          <w:ilvl w:val="0"/>
          <w:numId w:val="1"/>
        </w:numPr>
        <w:ind w:firstLine="640"/>
        <w:rPr>
          <w:rFonts w:ascii="楷体" w:eastAsia="楷体" w:hAnsi="楷体" w:cs="楷体"/>
          <w:sz w:val="32"/>
          <w:szCs w:val="32"/>
        </w:rPr>
      </w:pPr>
      <w:r>
        <w:rPr>
          <w:rFonts w:ascii="楷体" w:eastAsia="楷体" w:hAnsi="楷体" w:cs="楷体" w:hint="eastAsia"/>
          <w:sz w:val="32"/>
          <w:szCs w:val="32"/>
        </w:rPr>
        <w:t>绩效评价原则、评价指标体系（附表说明）、评价方法、评价标准等。</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本着客观公正和有效性原则，按照设定的指标体系，单位中层以上干部参与评价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打分，由项目负责人进行梳理并整改。</w:t>
      </w:r>
    </w:p>
    <w:p w:rsidR="003A5C4C" w:rsidRDefault="009D23C6">
      <w:pPr>
        <w:numPr>
          <w:ilvl w:val="0"/>
          <w:numId w:val="1"/>
        </w:numPr>
        <w:ind w:firstLine="640"/>
        <w:rPr>
          <w:rFonts w:ascii="楷体" w:eastAsia="楷体" w:hAnsi="楷体" w:cs="楷体"/>
          <w:sz w:val="32"/>
          <w:szCs w:val="32"/>
        </w:rPr>
      </w:pPr>
      <w:r>
        <w:rPr>
          <w:rFonts w:ascii="楷体" w:eastAsia="楷体" w:hAnsi="楷体" w:cs="楷体" w:hint="eastAsia"/>
          <w:sz w:val="32"/>
          <w:szCs w:val="32"/>
        </w:rPr>
        <w:t>绩效评价工作过程。</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、前期准备。成立部门绩效评价小组，学习评价指标体系和绩效相关文件通知。</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、组织实施。按照规定的工作程序组织绩效评价自评，注重评价质量，撰写绩效评价报告。</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、分析评价。对评价结果进行整改，充分运用分析评价引导。</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三、综合评价情况及评价结论（附相关评分表）</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绩效评价等级一般划分为四档：</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分（含）—</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分为优，</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分（含）—</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分为良，</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分（含）—</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分为中，</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分以下为差。通过评价指标逐项评价，我</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项目共计得分</w:t>
      </w:r>
      <w:r>
        <w:rPr>
          <w:rFonts w:ascii="仿宋_GB2312" w:eastAsia="仿宋_GB2312" w:hAnsi="仿宋_GB2312" w:cs="仿宋_GB2312" w:hint="eastAsia"/>
          <w:sz w:val="32"/>
          <w:szCs w:val="32"/>
        </w:rPr>
        <w:t>92</w:t>
      </w:r>
      <w:r>
        <w:rPr>
          <w:rFonts w:ascii="仿宋_GB2312" w:eastAsia="仿宋_GB2312" w:hAnsi="仿宋_GB2312" w:cs="仿宋_GB2312" w:hint="eastAsia"/>
          <w:sz w:val="32"/>
          <w:szCs w:val="32"/>
        </w:rPr>
        <w:t>分，评价等级为优。</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四、绩效评价指标分析</w:t>
      </w:r>
    </w:p>
    <w:p w:rsidR="003A5C4C" w:rsidRDefault="009D23C6">
      <w:pPr>
        <w:ind w:firstLineChars="200" w:firstLine="640"/>
        <w:rPr>
          <w:rFonts w:ascii="楷体" w:eastAsia="楷体" w:hAnsi="楷体" w:cs="楷体"/>
          <w:sz w:val="32"/>
          <w:szCs w:val="32"/>
        </w:rPr>
      </w:pPr>
      <w:r>
        <w:rPr>
          <w:rFonts w:ascii="楷体" w:eastAsia="楷体" w:hAnsi="楷体" w:cs="楷体" w:hint="eastAsia"/>
          <w:sz w:val="32"/>
          <w:szCs w:val="32"/>
        </w:rPr>
        <w:t>（一）项目决策情况。</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单位班子对项目决</w:t>
      </w:r>
      <w:r>
        <w:rPr>
          <w:rFonts w:ascii="仿宋_GB2312" w:eastAsia="仿宋_GB2312" w:hAnsi="仿宋_GB2312" w:cs="仿宋_GB2312" w:hint="eastAsia"/>
          <w:sz w:val="32"/>
          <w:szCs w:val="32"/>
        </w:rPr>
        <w:t>策有力，管理规范，资金使用得当，按时完成项目资金发放。</w:t>
      </w:r>
    </w:p>
    <w:p w:rsidR="003A5C4C" w:rsidRDefault="009D23C6">
      <w:pPr>
        <w:ind w:firstLineChars="200" w:firstLine="640"/>
        <w:rPr>
          <w:rFonts w:ascii="楷体" w:eastAsia="楷体" w:hAnsi="楷体" w:cs="楷体"/>
          <w:sz w:val="32"/>
          <w:szCs w:val="32"/>
        </w:rPr>
      </w:pPr>
      <w:r>
        <w:rPr>
          <w:rFonts w:ascii="楷体" w:eastAsia="楷体" w:hAnsi="楷体" w:cs="楷体" w:hint="eastAsia"/>
          <w:sz w:val="32"/>
          <w:szCs w:val="32"/>
        </w:rPr>
        <w:t>（二）项目过程情况。</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项目依法依规进行实施，通过领导班子把关，专人管理，</w:t>
      </w:r>
      <w:r>
        <w:rPr>
          <w:rFonts w:ascii="仿宋_GB2312" w:eastAsia="仿宋_GB2312" w:hAnsi="仿宋_GB2312" w:cs="仿宋_GB2312" w:hint="eastAsia"/>
          <w:sz w:val="32"/>
          <w:szCs w:val="32"/>
        </w:rPr>
        <w:lastRenderedPageBreak/>
        <w:t>责任明确等形式，保证了项目的顺利实施和有效落实。</w:t>
      </w:r>
    </w:p>
    <w:p w:rsidR="003A5C4C" w:rsidRDefault="009D23C6">
      <w:pPr>
        <w:ind w:firstLineChars="200" w:firstLine="640"/>
        <w:rPr>
          <w:rFonts w:ascii="楷体" w:eastAsia="楷体" w:hAnsi="楷体" w:cs="楷体"/>
          <w:sz w:val="32"/>
          <w:szCs w:val="32"/>
        </w:rPr>
      </w:pPr>
      <w:r>
        <w:rPr>
          <w:rFonts w:ascii="楷体" w:eastAsia="楷体" w:hAnsi="楷体" w:cs="楷体" w:hint="eastAsia"/>
          <w:sz w:val="32"/>
          <w:szCs w:val="32"/>
        </w:rPr>
        <w:t>（三）项目产出情况。</w:t>
      </w:r>
    </w:p>
    <w:p w:rsidR="003A5C4C" w:rsidRDefault="009D23C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项目产出组织有计划有措施，严格执行相关制度和文件规定，顺利完成项目预期目标。</w:t>
      </w:r>
    </w:p>
    <w:p w:rsidR="003A5C4C" w:rsidRDefault="009D23C6">
      <w:pPr>
        <w:ind w:firstLineChars="200" w:firstLine="640"/>
        <w:rPr>
          <w:rFonts w:ascii="楷体" w:eastAsia="楷体" w:hAnsi="楷体" w:cs="楷体"/>
          <w:sz w:val="32"/>
          <w:szCs w:val="32"/>
        </w:rPr>
      </w:pPr>
      <w:r>
        <w:rPr>
          <w:rFonts w:ascii="楷体" w:eastAsia="楷体" w:hAnsi="楷体" w:cs="楷体" w:hint="eastAsia"/>
          <w:sz w:val="32"/>
          <w:szCs w:val="32"/>
        </w:rPr>
        <w:t>（四）</w:t>
      </w:r>
      <w:r>
        <w:rPr>
          <w:rFonts w:ascii="楷体" w:eastAsia="楷体" w:hAnsi="楷体" w:cs="楷体" w:hint="eastAsia"/>
          <w:sz w:val="32"/>
          <w:szCs w:val="32"/>
        </w:rPr>
        <w:t>项目效益情况。</w:t>
      </w:r>
    </w:p>
    <w:p w:rsidR="003A5C4C" w:rsidRDefault="009D23C6">
      <w:pPr>
        <w:ind w:firstLineChars="200" w:firstLine="420"/>
        <w:rPr>
          <w:rFonts w:ascii="仿宋" w:eastAsia="仿宋" w:hAnsi="仿宋"/>
          <w:sz w:val="32"/>
          <w:szCs w:val="32"/>
        </w:rPr>
      </w:pPr>
      <w:r>
        <w:rPr>
          <w:rFonts w:hint="eastAsia"/>
        </w:rPr>
        <w:t xml:space="preserve">  </w:t>
      </w:r>
      <w:r>
        <w:rPr>
          <w:rFonts w:ascii="仿宋_GB2312" w:eastAsia="仿宋_GB2312" w:hAnsi="仿宋_GB2312" w:cs="仿宋_GB2312" w:hint="eastAsia"/>
          <w:bCs/>
          <w:sz w:val="32"/>
          <w:szCs w:val="32"/>
        </w:rPr>
        <w:t xml:space="preserve">  </w:t>
      </w:r>
      <w:r>
        <w:rPr>
          <w:rFonts w:ascii="仿宋_GB2312" w:eastAsia="仿宋_GB2312" w:hAnsi="仿宋_GB2312" w:cs="仿宋_GB2312" w:hint="eastAsia"/>
          <w:bCs/>
          <w:sz w:val="32"/>
          <w:szCs w:val="32"/>
        </w:rPr>
        <w:t>为我县提供生态环境保护、产业发展、医卫健康、农业专业技术等专业支持和服务，开展技能培训，共培训农民，培养“土专家”，培育发展农技协，培育示范基地，带动致富产业，建立科技志愿者队伍，将科技志愿服务品牌建成具有中方特色的志愿服务活动品牌，在摸清全县“土专家”和农业产业状况的基础上，成立由土专家及产业、农产品加工企业、物流电商企业、零售企业组成中方县农技协，打通我县产、加、销农业产业链条，助推我县乡村产业振兴。</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、组织农民参加技能培训的难度较大。我们引进的</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rPr>
        <w:t>个省级</w:t>
      </w:r>
      <w:r>
        <w:rPr>
          <w:rFonts w:ascii="仿宋_GB2312" w:eastAsia="仿宋_GB2312" w:hAnsi="仿宋_GB2312" w:cs="仿宋_GB2312" w:hint="eastAsia"/>
          <w:bCs/>
          <w:sz w:val="32"/>
          <w:szCs w:val="32"/>
        </w:rPr>
        <w:t>学会和县农业局都有非常优质的师资力量，也开展了很多次农业技能培训，发现农民参加培训的积极性不是很高，加大了</w:t>
      </w:r>
      <w:r>
        <w:rPr>
          <w:rFonts w:ascii="仿宋_GB2312" w:eastAsia="仿宋_GB2312" w:hAnsi="仿宋_GB2312" w:cs="仿宋_GB2312" w:hint="eastAsia"/>
          <w:bCs/>
          <w:sz w:val="32"/>
          <w:szCs w:val="32"/>
        </w:rPr>
        <w:lastRenderedPageBreak/>
        <w:t>我们组织培训的难度。</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、基层“科普中国”信息员传播科普知识主动意识不强，积极性不高，尤其是未能充分发挥基层网格员的传播作用。</w:t>
      </w:r>
    </w:p>
    <w:p w:rsidR="003A5C4C" w:rsidRDefault="003A5C4C">
      <w:pPr>
        <w:pStyle w:val="a6"/>
        <w:spacing w:line="510" w:lineRule="exact"/>
        <w:ind w:firstLineChars="200" w:firstLine="643"/>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一是进一步完善科普小镇规划，不断充实科普小镇建设内容；进一步抓好科普小镇重点工程建设，力争成为全省推进科普小镇建设的样板。</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具体做法：</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以华汉茶园为依托，重点建好青少年科普教育体验基地；在中小学生研学基础上，做好科普教育工作。</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知青茶园为载体，采取合作模</w:t>
      </w:r>
      <w:r>
        <w:rPr>
          <w:rFonts w:ascii="仿宋_GB2312" w:eastAsia="仿宋_GB2312" w:hAnsi="仿宋_GB2312" w:cs="仿宋_GB2312" w:hint="eastAsia"/>
          <w:bCs/>
          <w:sz w:val="32"/>
          <w:szCs w:val="32"/>
        </w:rPr>
        <w:t>式，用好公司新建综合楼，努力建好中方县科技馆。</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w:t>
      </w:r>
      <w:r>
        <w:rPr>
          <w:rFonts w:ascii="仿宋_GB2312" w:eastAsia="仿宋_GB2312" w:hAnsi="仿宋_GB2312" w:cs="仿宋_GB2312" w:hint="eastAsia"/>
          <w:bCs/>
          <w:sz w:val="32"/>
          <w:szCs w:val="32"/>
        </w:rPr>
        <w:t>以华汉茶业农庄为基础，做好农耕文化文章，以农耕体验为切入点，加强现代农业知识的科普。</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rPr>
        <w:t>加强桐坪村生态环保宜居示范村建设，用卡通动漫形象（如海绵宝宝、蓝猫精灵、喜羊羊等），采取墙绘方式，宣传节水、节电、急救、防火、垃圾分类、新能源、庭院美化等科普</w:t>
      </w:r>
      <w:r>
        <w:rPr>
          <w:rFonts w:ascii="仿宋_GB2312" w:eastAsia="仿宋_GB2312" w:hAnsi="仿宋_GB2312" w:cs="仿宋_GB2312" w:hint="eastAsia"/>
          <w:bCs/>
          <w:sz w:val="32"/>
          <w:szCs w:val="32"/>
        </w:rPr>
        <w:lastRenderedPageBreak/>
        <w:t>知识宣传，打造宜居示范点。</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w:t>
      </w:r>
      <w:r>
        <w:rPr>
          <w:rFonts w:ascii="仿宋_GB2312" w:eastAsia="仿宋_GB2312" w:hAnsi="仿宋_GB2312" w:cs="仿宋_GB2312" w:hint="eastAsia"/>
          <w:bCs/>
          <w:sz w:val="32"/>
          <w:szCs w:val="32"/>
        </w:rPr>
        <w:t>以蒲海千米长廊为基础，打造千米科普长廊，采取参赛答题有奖的方式，普及现代农业知识。</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以南方葡萄沟酒庄为载体，加强养生保健科普知识宣传，一方面在酒庄大门前建一个网红打卡点，另外与</w:t>
      </w:r>
      <w:r>
        <w:rPr>
          <w:rFonts w:ascii="仿宋_GB2312" w:eastAsia="仿宋_GB2312" w:hAnsi="仿宋_GB2312" w:cs="仿宋_GB2312" w:hint="eastAsia"/>
          <w:bCs/>
          <w:sz w:val="32"/>
          <w:szCs w:val="32"/>
        </w:rPr>
        <w:t>酒庄合作，建一个葡萄博物馆，展示葡萄文化，葡萄酒文化等内容。</w:t>
      </w:r>
    </w:p>
    <w:p w:rsidR="003A5C4C" w:rsidRDefault="009D23C6">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7.</w:t>
      </w:r>
      <w:r>
        <w:rPr>
          <w:rFonts w:ascii="仿宋_GB2312" w:eastAsia="仿宋_GB2312" w:hAnsi="仿宋_GB2312" w:cs="仿宋_GB2312" w:hint="eastAsia"/>
          <w:bCs/>
          <w:sz w:val="32"/>
          <w:szCs w:val="32"/>
        </w:rPr>
        <w:t>与市楹联协会合作，在科普小镇各个节点拟做</w:t>
      </w:r>
      <w:r>
        <w:rPr>
          <w:rFonts w:ascii="仿宋_GB2312" w:eastAsia="仿宋_GB2312" w:hAnsi="仿宋_GB2312" w:cs="仿宋_GB2312" w:hint="eastAsia"/>
          <w:bCs/>
          <w:sz w:val="32"/>
          <w:szCs w:val="32"/>
        </w:rPr>
        <w:t>40</w:t>
      </w:r>
      <w:r>
        <w:rPr>
          <w:rFonts w:ascii="仿宋_GB2312" w:eastAsia="仿宋_GB2312" w:hAnsi="仿宋_GB2312" w:cs="仿宋_GB2312" w:hint="eastAsia"/>
          <w:bCs/>
          <w:sz w:val="32"/>
          <w:szCs w:val="32"/>
        </w:rPr>
        <w:t>幅传统楹联，给科普小镇增加人文色彩。</w:t>
      </w:r>
    </w:p>
    <w:p w:rsidR="003A5C4C" w:rsidRDefault="003A5C4C">
      <w:pPr>
        <w:ind w:firstLineChars="200" w:firstLine="640"/>
        <w:rPr>
          <w:rFonts w:ascii="仿宋_GB2312" w:eastAsia="仿宋_GB2312" w:hAnsi="仿宋_GB2312" w:cs="仿宋_GB2312"/>
          <w:bCs/>
          <w:sz w:val="32"/>
          <w:szCs w:val="32"/>
        </w:rPr>
      </w:pPr>
    </w:p>
    <w:p w:rsidR="003A5C4C" w:rsidRDefault="003A5C4C">
      <w:pPr>
        <w:pStyle w:val="a6"/>
        <w:spacing w:line="510" w:lineRule="exact"/>
        <w:ind w:left="769"/>
        <w:rPr>
          <w:rFonts w:ascii="Times New Roman" w:eastAsia="楷体" w:hAnsi="Times New Roman"/>
          <w:b/>
          <w:sz w:val="32"/>
          <w:szCs w:val="32"/>
        </w:rPr>
      </w:pPr>
    </w:p>
    <w:p w:rsidR="003A5C4C" w:rsidRDefault="009D23C6">
      <w:pPr>
        <w:pStyle w:val="a6"/>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3A5C4C" w:rsidRDefault="009D23C6">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3A5C4C" w:rsidRDefault="009D23C6">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3A5C4C" w:rsidRDefault="003A5C4C"/>
    <w:p w:rsidR="003A5C4C" w:rsidRDefault="003A5C4C" w:rsidP="00702945">
      <w:pPr>
        <w:pStyle w:val="2"/>
        <w:ind w:firstLine="640"/>
      </w:pPr>
    </w:p>
    <w:p w:rsidR="003A5C4C" w:rsidRDefault="003A5C4C" w:rsidP="00702945">
      <w:pPr>
        <w:pStyle w:val="2"/>
        <w:ind w:firstLine="640"/>
      </w:pPr>
    </w:p>
    <w:p w:rsidR="003A5C4C" w:rsidRDefault="003A5C4C" w:rsidP="00702945">
      <w:pPr>
        <w:pStyle w:val="2"/>
        <w:ind w:firstLine="640"/>
      </w:pPr>
    </w:p>
    <w:p w:rsidR="003A5C4C" w:rsidRDefault="003A5C4C" w:rsidP="00702945">
      <w:pPr>
        <w:pStyle w:val="2"/>
        <w:ind w:firstLine="640"/>
      </w:pPr>
    </w:p>
    <w:p w:rsidR="003A5C4C" w:rsidRDefault="003A5C4C" w:rsidP="00702945">
      <w:pPr>
        <w:pStyle w:val="2"/>
        <w:ind w:firstLine="640"/>
      </w:pPr>
    </w:p>
    <w:p w:rsidR="003A5C4C" w:rsidRDefault="003A5C4C" w:rsidP="00702945">
      <w:pPr>
        <w:pStyle w:val="2"/>
        <w:ind w:firstLine="640"/>
      </w:pPr>
    </w:p>
    <w:p w:rsidR="003A5C4C" w:rsidRDefault="009D23C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985"/>
        <w:gridCol w:w="149"/>
        <w:gridCol w:w="391"/>
        <w:gridCol w:w="318"/>
        <w:gridCol w:w="142"/>
        <w:gridCol w:w="709"/>
        <w:gridCol w:w="708"/>
      </w:tblGrid>
      <w:tr w:rsidR="003A5C4C">
        <w:trPr>
          <w:trHeight w:hRule="exact" w:val="349"/>
          <w:jc w:val="center"/>
        </w:trPr>
        <w:tc>
          <w:tcPr>
            <w:tcW w:w="9080" w:type="dxa"/>
            <w:gridSpan w:val="14"/>
            <w:tcBorders>
              <w:top w:val="nil"/>
              <w:left w:val="nil"/>
              <w:bottom w:val="nil"/>
              <w:right w:val="nil"/>
            </w:tcBorders>
            <w:vAlign w:val="center"/>
          </w:tcPr>
          <w:p w:rsidR="003A5C4C" w:rsidRDefault="009D23C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A5C4C">
        <w:trPr>
          <w:trHeight w:val="201"/>
          <w:jc w:val="center"/>
        </w:trPr>
        <w:tc>
          <w:tcPr>
            <w:tcW w:w="9080" w:type="dxa"/>
            <w:gridSpan w:val="14"/>
            <w:tcBorders>
              <w:top w:val="nil"/>
              <w:left w:val="nil"/>
              <w:bottom w:val="nil"/>
              <w:right w:val="nil"/>
            </w:tcBorders>
          </w:tcPr>
          <w:p w:rsidR="003A5C4C" w:rsidRDefault="009D23C6">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A5C4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科技助力乡村振兴县域试点</w:t>
            </w:r>
          </w:p>
        </w:tc>
      </w:tr>
      <w:tr w:rsidR="003A5C4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湖南省科协</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A5C4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45.28</w:t>
            </w:r>
          </w:p>
        </w:tc>
        <w:tc>
          <w:tcPr>
            <w:tcW w:w="709"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56.6%</w:t>
            </w:r>
          </w:p>
        </w:tc>
        <w:tc>
          <w:tcPr>
            <w:tcW w:w="708"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r>
      <w:tr w:rsidR="003A5C4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45.28</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45.28</w:t>
            </w:r>
          </w:p>
        </w:tc>
        <w:tc>
          <w:tcPr>
            <w:tcW w:w="1134"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45.28</w:t>
            </w:r>
          </w:p>
        </w:tc>
        <w:tc>
          <w:tcPr>
            <w:tcW w:w="709"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A5C4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A5C4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A5C4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A5C4C">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33"/>
          <w:jc w:val="center"/>
        </w:trPr>
        <w:tc>
          <w:tcPr>
            <w:tcW w:w="588" w:type="dxa"/>
            <w:vMerge w:val="restart"/>
            <w:tcBorders>
              <w:top w:val="nil"/>
              <w:left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建立学会服务站</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8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引进省级及以上学会专家服务团队</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8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应用推广适合当地产业发展的先进实用技术</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培训当地农民</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2084</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培养“土专家”</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培育农村专业技术协会</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培育农村科普示范基地</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建设科普文化广场</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建立科普教育、体验基地</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1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科普教育、体验基地组织参加科普活动</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建立科普教育、体验基地</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9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组织开展科技志愿服务活动</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培养农村科普带头人</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建立科技志愿者队伍</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1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科普教育、体验基地组织青少年参加科普活动</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8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项目实施期内完成各项指标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年</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年</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2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建立学会与当地开展技术应用推广及科普合作的长效机制</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1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学会服务站</w:t>
            </w:r>
            <w:r>
              <w:rPr>
                <w:rFonts w:ascii="Times New Roman" w:hAnsi="Times New Roman" w:hint="eastAsia"/>
                <w:color w:val="000000"/>
                <w:kern w:val="0"/>
                <w:sz w:val="18"/>
                <w:szCs w:val="18"/>
              </w:rPr>
              <w:t>建设</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Cs w:val="21"/>
              </w:rPr>
              <w:t>8</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3.14</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科技志愿者队伍建设</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Cs w:val="21"/>
              </w:rPr>
              <w:t>8</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11.82</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科普小镇建设</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Cs w:val="21"/>
              </w:rPr>
              <w:t>48</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20.41</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科普信息化及基层科协组织建设</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Cs w:val="21"/>
              </w:rPr>
              <w:t>16</w:t>
            </w:r>
            <w:r>
              <w:rPr>
                <w:rFonts w:ascii="Times New Roman" w:hAnsi="Times New Roman" w:hint="eastAsia"/>
                <w:kern w:val="0"/>
                <w:sz w:val="13"/>
                <w:szCs w:val="13"/>
              </w:rPr>
              <w:t>万元</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9.91</w:t>
            </w:r>
            <w:r>
              <w:rPr>
                <w:rFonts w:ascii="Times New Roman" w:hAnsi="Times New Roman" w:hint="eastAsia"/>
                <w:kern w:val="0"/>
                <w:sz w:val="13"/>
                <w:szCs w:val="13"/>
              </w:rPr>
              <w:t>万元</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4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带动农村致富产业</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9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打造本地科技志愿服务活动品牌</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1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宣传普及医卫健康技术覆盖本县市区城乡居民</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9.76</w:t>
            </w:r>
            <w:r>
              <w:rPr>
                <w:rFonts w:ascii="Times New Roman" w:hAnsi="Times New Roman" w:hint="eastAsia"/>
                <w:kern w:val="0"/>
                <w:sz w:val="18"/>
                <w:szCs w:val="18"/>
              </w:rPr>
              <w:t>万</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12.5</w:t>
            </w:r>
            <w:r>
              <w:rPr>
                <w:rFonts w:ascii="Times New Roman" w:hAnsi="Times New Roman" w:hint="eastAsia"/>
                <w:kern w:val="0"/>
                <w:sz w:val="18"/>
                <w:szCs w:val="18"/>
              </w:rPr>
              <w:t>万</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8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建立村（社区）科协（科普）组织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70"/>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宣传普及生态环保技术覆盖本县市区城乡居民</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9.76</w:t>
            </w:r>
            <w:r>
              <w:rPr>
                <w:rFonts w:ascii="Times New Roman" w:hAnsi="Times New Roman" w:hint="eastAsia"/>
                <w:kern w:val="0"/>
                <w:sz w:val="18"/>
                <w:szCs w:val="18"/>
              </w:rPr>
              <w:t>万</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11.5</w:t>
            </w:r>
            <w:r>
              <w:rPr>
                <w:rFonts w:ascii="Times New Roman" w:hAnsi="Times New Roman" w:hint="eastAsia"/>
                <w:kern w:val="0"/>
                <w:sz w:val="18"/>
                <w:szCs w:val="18"/>
              </w:rPr>
              <w:t>万</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9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宣传普及现代农业技术覆盖本县市区农村居民</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5.6</w:t>
            </w:r>
            <w:r>
              <w:rPr>
                <w:rFonts w:ascii="Times New Roman" w:hAnsi="Times New Roman" w:hint="eastAsia"/>
                <w:kern w:val="0"/>
                <w:sz w:val="18"/>
                <w:szCs w:val="18"/>
              </w:rPr>
              <w:t>万</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6.8</w:t>
            </w:r>
            <w:r>
              <w:rPr>
                <w:rFonts w:ascii="Times New Roman" w:hAnsi="Times New Roman" w:hint="eastAsia"/>
                <w:kern w:val="0"/>
                <w:sz w:val="18"/>
                <w:szCs w:val="18"/>
              </w:rPr>
              <w:t>万</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2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“科普中国”“科普湖南”覆盖镇、村居民</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0.8</w:t>
            </w:r>
            <w:r>
              <w:rPr>
                <w:rFonts w:ascii="Times New Roman" w:hAnsi="Times New Roman" w:hint="eastAsia"/>
                <w:kern w:val="0"/>
                <w:sz w:val="18"/>
                <w:szCs w:val="18"/>
              </w:rPr>
              <w:t>万</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万</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9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建立村（社区）科协（科普）组织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2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对全县农民</w:t>
            </w:r>
            <w:r>
              <w:rPr>
                <w:rFonts w:ascii="Times New Roman" w:hAnsi="Times New Roman" w:hint="eastAsia"/>
                <w:color w:val="000000"/>
                <w:kern w:val="0"/>
                <w:sz w:val="18"/>
                <w:szCs w:val="18"/>
              </w:rPr>
              <w:t>进行</w:t>
            </w:r>
            <w:r>
              <w:rPr>
                <w:rFonts w:ascii="Times New Roman" w:hAnsi="Times New Roman" w:hint="eastAsia"/>
                <w:color w:val="000000"/>
                <w:kern w:val="0"/>
                <w:sz w:val="18"/>
                <w:szCs w:val="18"/>
              </w:rPr>
              <w:t>抽样</w:t>
            </w:r>
            <w:r>
              <w:rPr>
                <w:rFonts w:ascii="Times New Roman" w:hAnsi="Times New Roman" w:hint="eastAsia"/>
                <w:color w:val="000000"/>
                <w:kern w:val="0"/>
                <w:sz w:val="18"/>
                <w:szCs w:val="18"/>
              </w:rPr>
              <w:t>调查问卷满意率</w:t>
            </w:r>
          </w:p>
        </w:tc>
        <w:tc>
          <w:tcPr>
            <w:tcW w:w="850" w:type="dxa"/>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460" w:type="dxa"/>
            <w:gridSpan w:val="2"/>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495"/>
          <w:jc w:val="center"/>
        </w:trPr>
        <w:tc>
          <w:tcPr>
            <w:tcW w:w="588"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对各基层科协组织进行调查问卷满意率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590"/>
          <w:jc w:val="center"/>
        </w:trPr>
        <w:tc>
          <w:tcPr>
            <w:tcW w:w="588" w:type="dxa"/>
            <w:vMerge/>
            <w:tcBorders>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A5C4C" w:rsidRDefault="009D23C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对科普信息员及科技志愿者进行调查问卷满意率</w:t>
            </w:r>
          </w:p>
        </w:tc>
        <w:tc>
          <w:tcPr>
            <w:tcW w:w="850"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85" w:type="dxa"/>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r w:rsidR="003A5C4C">
        <w:trPr>
          <w:trHeight w:hRule="exact" w:val="300"/>
          <w:jc w:val="center"/>
        </w:trPr>
        <w:tc>
          <w:tcPr>
            <w:tcW w:w="6663" w:type="dxa"/>
            <w:gridSpan w:val="8"/>
            <w:tcBorders>
              <w:top w:val="single" w:sz="4" w:space="0" w:color="auto"/>
              <w:left w:val="single" w:sz="4" w:space="0" w:color="auto"/>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4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60" w:type="dxa"/>
            <w:gridSpan w:val="2"/>
            <w:tcBorders>
              <w:top w:val="nil"/>
              <w:left w:val="nil"/>
              <w:bottom w:val="single" w:sz="4" w:space="0" w:color="auto"/>
              <w:right w:val="single" w:sz="4" w:space="0" w:color="auto"/>
            </w:tcBorders>
            <w:vAlign w:val="center"/>
          </w:tcPr>
          <w:p w:rsidR="003A5C4C" w:rsidRDefault="009D23C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92</w:t>
            </w:r>
          </w:p>
        </w:tc>
        <w:tc>
          <w:tcPr>
            <w:tcW w:w="1417" w:type="dxa"/>
            <w:gridSpan w:val="2"/>
            <w:tcBorders>
              <w:top w:val="single" w:sz="4" w:space="0" w:color="auto"/>
              <w:left w:val="nil"/>
              <w:bottom w:val="single" w:sz="4" w:space="0" w:color="auto"/>
              <w:right w:val="single" w:sz="4" w:space="0" w:color="auto"/>
            </w:tcBorders>
            <w:vAlign w:val="center"/>
          </w:tcPr>
          <w:p w:rsidR="003A5C4C" w:rsidRDefault="003A5C4C">
            <w:pPr>
              <w:widowControl/>
              <w:spacing w:line="240" w:lineRule="exact"/>
              <w:jc w:val="center"/>
              <w:rPr>
                <w:rFonts w:ascii="Times New Roman" w:hAnsi="Times New Roman"/>
                <w:kern w:val="0"/>
                <w:sz w:val="18"/>
                <w:szCs w:val="18"/>
              </w:rPr>
            </w:pPr>
          </w:p>
        </w:tc>
      </w:tr>
    </w:tbl>
    <w:tbl>
      <w:tblPr>
        <w:tblpPr w:leftFromText="180" w:rightFromText="180" w:vertAnchor="text" w:horzAnchor="page" w:tblpX="1435" w:tblpY="1152"/>
        <w:tblOverlap w:val="never"/>
        <w:tblW w:w="9540" w:type="dxa"/>
        <w:tblLayout w:type="fixed"/>
        <w:tblLook w:val="04A0"/>
      </w:tblPr>
      <w:tblGrid>
        <w:gridCol w:w="9540"/>
      </w:tblGrid>
      <w:tr w:rsidR="003A5C4C">
        <w:trPr>
          <w:trHeight w:val="465"/>
        </w:trPr>
        <w:tc>
          <w:tcPr>
            <w:tcW w:w="9540" w:type="dxa"/>
            <w:tcBorders>
              <w:top w:val="single" w:sz="4" w:space="0" w:color="auto"/>
              <w:left w:val="nil"/>
              <w:bottom w:val="nil"/>
              <w:right w:val="nil"/>
            </w:tcBorders>
            <w:vAlign w:val="center"/>
          </w:tcPr>
          <w:p w:rsidR="003A5C4C" w:rsidRDefault="009D23C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A5C4C">
        <w:trPr>
          <w:trHeight w:val="465"/>
        </w:trPr>
        <w:tc>
          <w:tcPr>
            <w:tcW w:w="9540" w:type="dxa"/>
            <w:tcBorders>
              <w:top w:val="nil"/>
              <w:left w:val="nil"/>
              <w:bottom w:val="nil"/>
              <w:right w:val="nil"/>
            </w:tcBorders>
            <w:vAlign w:val="center"/>
          </w:tcPr>
          <w:p w:rsidR="003A5C4C" w:rsidRDefault="009D23C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A5C4C">
        <w:trPr>
          <w:trHeight w:val="465"/>
        </w:trPr>
        <w:tc>
          <w:tcPr>
            <w:tcW w:w="9540" w:type="dxa"/>
            <w:tcBorders>
              <w:top w:val="nil"/>
              <w:left w:val="nil"/>
              <w:bottom w:val="nil"/>
              <w:right w:val="nil"/>
            </w:tcBorders>
            <w:vAlign w:val="center"/>
          </w:tcPr>
          <w:p w:rsidR="003A5C4C" w:rsidRDefault="009D23C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A5C4C">
        <w:trPr>
          <w:trHeight w:val="210"/>
        </w:trPr>
        <w:tc>
          <w:tcPr>
            <w:tcW w:w="9540" w:type="dxa"/>
            <w:tcBorders>
              <w:top w:val="nil"/>
              <w:left w:val="nil"/>
              <w:bottom w:val="nil"/>
              <w:right w:val="nil"/>
            </w:tcBorders>
            <w:noWrap/>
            <w:vAlign w:val="center"/>
          </w:tcPr>
          <w:p w:rsidR="003A5C4C" w:rsidRDefault="009D23C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A5C4C" w:rsidRDefault="003A5C4C">
      <w:pPr>
        <w:widowControl/>
        <w:spacing w:line="400" w:lineRule="exact"/>
        <w:jc w:val="left"/>
        <w:rPr>
          <w:rFonts w:ascii="Times New Roman" w:eastAsia="黑体" w:hAnsi="Times New Roman"/>
        </w:rPr>
        <w:sectPr w:rsidR="003A5C4C">
          <w:footerReference w:type="default" r:id="rId8"/>
          <w:pgSz w:w="11906" w:h="16838"/>
          <w:pgMar w:top="1134" w:right="1587" w:bottom="1134" w:left="1587" w:header="737" w:footer="850" w:gutter="0"/>
          <w:pgNumType w:start="1"/>
          <w:cols w:space="720"/>
          <w:docGrid w:type="lines" w:linePitch="408"/>
        </w:sectPr>
      </w:pPr>
      <w:r w:rsidRPr="003A5C4C">
        <w:rPr>
          <w:sz w:val="18"/>
        </w:rPr>
        <w:pict>
          <v:rect id="_x0000_s1026" style="position:absolute;margin-left:-8.5pt;margin-top:14.6pt;width:7in;height:9.75pt;z-index:251659264;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DGWLgz2AQAAHgQAAA4AAAAAAAAAAQAgAAAAJgEAAGRycy9lMm9Eb2MueG1s&#10;UEsFBgAAAAAGAAYAWQEAAI4FAAAAAA==&#10;" strokecolor="white"/>
        </w:pict>
      </w:r>
    </w:p>
    <w:p w:rsidR="003A5C4C" w:rsidRDefault="009D23C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3A5C4C" w:rsidRDefault="009D23C6">
      <w:pPr>
        <w:pStyle w:val="20"/>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A5C4C">
        <w:trPr>
          <w:trHeight w:val="692"/>
          <w:tblHeader/>
          <w:jc w:val="center"/>
        </w:trPr>
        <w:tc>
          <w:tcPr>
            <w:tcW w:w="682"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A5C4C" w:rsidRDefault="009D23C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A5C4C">
        <w:trPr>
          <w:trHeight w:val="2318"/>
          <w:jc w:val="center"/>
        </w:trPr>
        <w:tc>
          <w:tcPr>
            <w:tcW w:w="682"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A5C4C" w:rsidRDefault="009D23C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510"/>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A5C4C" w:rsidRDefault="009D23C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A5C4C">
        <w:trPr>
          <w:trHeight w:val="1829"/>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A5C4C" w:rsidRDefault="009D23C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A5C4C" w:rsidRDefault="009D23C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464"/>
          <w:jc w:val="center"/>
        </w:trPr>
        <w:tc>
          <w:tcPr>
            <w:tcW w:w="682"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942"/>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A5C4C">
        <w:trPr>
          <w:trHeight w:val="1706"/>
          <w:jc w:val="center"/>
        </w:trPr>
        <w:tc>
          <w:tcPr>
            <w:tcW w:w="682"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A5C4C">
        <w:trPr>
          <w:trHeight w:val="1415"/>
          <w:jc w:val="center"/>
        </w:trPr>
        <w:tc>
          <w:tcPr>
            <w:tcW w:w="682" w:type="dxa"/>
            <w:vMerge w:val="restart"/>
            <w:shd w:val="clear" w:color="auto" w:fill="FFFFFF"/>
            <w:vAlign w:val="center"/>
          </w:tcPr>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3A5C4C">
        <w:trPr>
          <w:trHeight w:val="1320"/>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A5C4C">
        <w:trPr>
          <w:trHeight w:val="2076"/>
          <w:jc w:val="center"/>
        </w:trPr>
        <w:tc>
          <w:tcPr>
            <w:tcW w:w="682"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797"/>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769"/>
          <w:jc w:val="center"/>
        </w:trPr>
        <w:tc>
          <w:tcPr>
            <w:tcW w:w="682"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A5C4C">
        <w:trPr>
          <w:trHeight w:val="1917"/>
          <w:jc w:val="center"/>
        </w:trPr>
        <w:tc>
          <w:tcPr>
            <w:tcW w:w="682"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A5C4C">
        <w:trPr>
          <w:trHeight w:val="1718"/>
          <w:jc w:val="center"/>
        </w:trPr>
        <w:tc>
          <w:tcPr>
            <w:tcW w:w="682"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A5C4C">
        <w:trPr>
          <w:trHeight w:val="1506"/>
          <w:jc w:val="center"/>
        </w:trPr>
        <w:tc>
          <w:tcPr>
            <w:tcW w:w="682" w:type="dxa"/>
            <w:vMerge/>
            <w:shd w:val="clear" w:color="auto" w:fill="FFFFFF"/>
            <w:vAlign w:val="center"/>
          </w:tcPr>
          <w:p w:rsidR="003A5C4C" w:rsidRDefault="003A5C4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A5C4C" w:rsidRDefault="009D23C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A5C4C">
        <w:trPr>
          <w:trHeight w:val="1674"/>
          <w:jc w:val="center"/>
        </w:trPr>
        <w:tc>
          <w:tcPr>
            <w:tcW w:w="682"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A5C4C">
        <w:trPr>
          <w:trHeight w:val="693"/>
          <w:jc w:val="center"/>
        </w:trPr>
        <w:tc>
          <w:tcPr>
            <w:tcW w:w="682"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A5C4C" w:rsidRDefault="009D23C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A5C4C">
        <w:trPr>
          <w:trHeight w:val="929"/>
          <w:jc w:val="center"/>
        </w:trPr>
        <w:tc>
          <w:tcPr>
            <w:tcW w:w="682"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A5C4C" w:rsidRDefault="003A5C4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A5C4C" w:rsidRDefault="009D23C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A5C4C">
        <w:trPr>
          <w:trHeight w:val="558"/>
          <w:jc w:val="center"/>
        </w:trPr>
        <w:tc>
          <w:tcPr>
            <w:tcW w:w="2525" w:type="dxa"/>
            <w:gridSpan w:val="3"/>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A5C4C" w:rsidRDefault="003A5C4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A5C4C" w:rsidRDefault="003A5C4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A5C4C" w:rsidRDefault="009D23C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3A5C4C" w:rsidRDefault="009D23C6">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sectPr w:rsidR="003A5C4C" w:rsidSect="003A5C4C">
      <w:footerReference w:type="default" r:id="rId9"/>
      <w:pgSz w:w="16838" w:h="11906" w:orient="landscape"/>
      <w:pgMar w:top="1474" w:right="1474" w:bottom="1474" w:left="1474" w:header="851" w:footer="1361" w:gutter="0"/>
      <w:pgNumType w:start="18"/>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3C6" w:rsidRDefault="009D23C6" w:rsidP="003A5C4C">
      <w:r>
        <w:separator/>
      </w:r>
    </w:p>
  </w:endnote>
  <w:endnote w:type="continuationSeparator" w:id="0">
    <w:p w:rsidR="009D23C6" w:rsidRDefault="009D23C6" w:rsidP="003A5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C4C" w:rsidRDefault="003A5C4C">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filled="f" stroked="f">
          <v:textbox style="mso-fit-shape-to-text:t" inset="0,0,0,0">
            <w:txbxContent>
              <w:p w:rsidR="003A5C4C" w:rsidRDefault="003A5C4C">
                <w:pPr>
                  <w:pStyle w:val="a4"/>
                </w:pPr>
                <w:r>
                  <w:rPr>
                    <w:rFonts w:hint="eastAsia"/>
                  </w:rPr>
                  <w:fldChar w:fldCharType="begin"/>
                </w:r>
                <w:r w:rsidR="009D23C6">
                  <w:rPr>
                    <w:rFonts w:hint="eastAsia"/>
                  </w:rPr>
                  <w:instrText xml:space="preserve"> PAGE  \* MERGEFORMAT </w:instrText>
                </w:r>
                <w:r>
                  <w:rPr>
                    <w:rFonts w:hint="eastAsia"/>
                  </w:rPr>
                  <w:fldChar w:fldCharType="separate"/>
                </w:r>
                <w:r w:rsidR="00702945">
                  <w:rPr>
                    <w:noProof/>
                  </w:rPr>
                  <w:t>9</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C4C" w:rsidRDefault="003A5C4C">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3A5C4C" w:rsidRDefault="003A5C4C">
                <w:pPr>
                  <w:pStyle w:val="a4"/>
                </w:pPr>
                <w:r>
                  <w:rPr>
                    <w:rFonts w:hint="eastAsia"/>
                  </w:rPr>
                  <w:fldChar w:fldCharType="begin"/>
                </w:r>
                <w:r w:rsidR="009D23C6">
                  <w:rPr>
                    <w:rFonts w:hint="eastAsia"/>
                  </w:rPr>
                  <w:instrText xml:space="preserve"> PAGE  \* MERGEFORMAT </w:instrText>
                </w:r>
                <w:r>
                  <w:rPr>
                    <w:rFonts w:hint="eastAsia"/>
                  </w:rPr>
                  <w:fldChar w:fldCharType="separate"/>
                </w:r>
                <w:r w:rsidR="00702945">
                  <w:rPr>
                    <w:noProof/>
                  </w:rPr>
                  <w:t>21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3C6" w:rsidRDefault="009D23C6" w:rsidP="003A5C4C">
      <w:r>
        <w:separator/>
      </w:r>
    </w:p>
  </w:footnote>
  <w:footnote w:type="continuationSeparator" w:id="0">
    <w:p w:rsidR="009D23C6" w:rsidRDefault="009D23C6" w:rsidP="003A5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6225"/>
    <w:multiLevelType w:val="singleLevel"/>
    <w:tmpl w:val="2A7B6225"/>
    <w:lvl w:ilvl="0">
      <w:start w:val="2"/>
      <w:numFmt w:val="chineseCounting"/>
      <w:suff w:val="nothing"/>
      <w:lvlText w:val="（%1）"/>
      <w:lvlJc w:val="left"/>
      <w:pPr>
        <w:ind w:left="6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9753BB8"/>
    <w:rsid w:val="003A5C4C"/>
    <w:rsid w:val="00702945"/>
    <w:rsid w:val="009D23C6"/>
    <w:rsid w:val="79753B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Body Text Indent" w:uiPriority="99"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3A5C4C"/>
    <w:pPr>
      <w:widowControl w:val="0"/>
      <w:jc w:val="both"/>
    </w:pPr>
    <w:rPr>
      <w:rFonts w:ascii="Calibri" w:eastAsia="宋体" w:hAnsi="Calibri" w:cs="Times New Roman"/>
      <w:kern w:val="2"/>
      <w:sz w:val="21"/>
      <w:szCs w:val="24"/>
    </w:rPr>
  </w:style>
  <w:style w:type="paragraph" w:styleId="20">
    <w:name w:val="heading 2"/>
    <w:basedOn w:val="a"/>
    <w:next w:val="a"/>
    <w:qFormat/>
    <w:rsid w:val="003A5C4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3A5C4C"/>
    <w:pPr>
      <w:ind w:firstLineChars="200" w:firstLine="420"/>
    </w:pPr>
  </w:style>
  <w:style w:type="paragraph" w:styleId="a3">
    <w:name w:val="Body Text Indent"/>
    <w:basedOn w:val="a"/>
    <w:uiPriority w:val="99"/>
    <w:unhideWhenUsed/>
    <w:qFormat/>
    <w:rsid w:val="003A5C4C"/>
    <w:pPr>
      <w:ind w:left="640"/>
    </w:pPr>
    <w:rPr>
      <w:rFonts w:ascii="仿宋_GB2312" w:eastAsia="仿宋_GB2312"/>
      <w:sz w:val="32"/>
    </w:rPr>
  </w:style>
  <w:style w:type="paragraph" w:styleId="a4">
    <w:name w:val="footer"/>
    <w:basedOn w:val="a"/>
    <w:unhideWhenUsed/>
    <w:qFormat/>
    <w:rsid w:val="003A5C4C"/>
    <w:pPr>
      <w:tabs>
        <w:tab w:val="center" w:pos="4153"/>
        <w:tab w:val="right" w:pos="8306"/>
      </w:tabs>
      <w:snapToGrid w:val="0"/>
      <w:jc w:val="left"/>
    </w:pPr>
    <w:rPr>
      <w:kern w:val="0"/>
      <w:sz w:val="18"/>
      <w:szCs w:val="18"/>
    </w:rPr>
  </w:style>
  <w:style w:type="paragraph" w:styleId="a5">
    <w:name w:val="header"/>
    <w:basedOn w:val="a"/>
    <w:rsid w:val="003A5C4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 Spacing"/>
    <w:qFormat/>
    <w:rsid w:val="003A5C4C"/>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1016</Words>
  <Characters>5793</Characters>
  <Application>Microsoft Office Word</Application>
  <DocSecurity>0</DocSecurity>
  <Lines>48</Lines>
  <Paragraphs>13</Paragraphs>
  <ScaleCrop>false</ScaleCrop>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2021-07-26T08:20:00Z</dcterms:created>
  <dcterms:modified xsi:type="dcterms:W3CDTF">2021-07-27T02:16:00Z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62E62541EF3149519CE67C864ED6DD4A</vt:lpwstr>
  </property>
</Properties>
</file>