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192" w:beforeAutospacing="0" w:after="0" w:afterAutospacing="0" w:line="440" w:lineRule="atLeast"/>
        <w:jc w:val="center"/>
        <w:rPr>
          <w:rFonts w:ascii="仿宋" w:hAnsi="仿宋" w:eastAsia="仿宋"/>
          <w:color w:val="333333"/>
          <w:spacing w:val="15"/>
          <w:sz w:val="44"/>
          <w:szCs w:val="44"/>
        </w:rPr>
      </w:pPr>
      <w:r>
        <w:rPr>
          <w:rFonts w:hint="eastAsia" w:ascii="仿宋" w:hAnsi="仿宋" w:eastAsia="仿宋"/>
          <w:color w:val="333333"/>
          <w:spacing w:val="15"/>
          <w:sz w:val="44"/>
          <w:szCs w:val="44"/>
        </w:rPr>
        <w:t>中方县交通运输局2020年度干线公路建设项目支出绩效自评报告</w:t>
      </w:r>
    </w:p>
    <w:p>
      <w:pPr>
        <w:pStyle w:val="2"/>
        <w:shd w:val="clear" w:color="auto" w:fill="FFFFFF"/>
        <w:spacing w:before="192" w:beforeAutospacing="0" w:after="0" w:afterAutospacing="0" w:line="440" w:lineRule="atLeast"/>
        <w:rPr>
          <w:rFonts w:hint="eastAsia" w:ascii="仿宋" w:hAnsi="仿宋" w:eastAsia="仿宋"/>
          <w:color w:val="000000"/>
          <w:sz w:val="30"/>
          <w:szCs w:val="30"/>
        </w:rPr>
      </w:pPr>
      <w:r>
        <w:rPr>
          <w:rFonts w:hint="eastAsia" w:ascii="仿宋" w:hAnsi="仿宋" w:eastAsia="仿宋"/>
          <w:color w:val="333333"/>
          <w:spacing w:val="15"/>
          <w:sz w:val="30"/>
          <w:szCs w:val="30"/>
        </w:rPr>
        <w:t>一、基本情况</w:t>
      </w:r>
    </w:p>
    <w:p>
      <w:pPr>
        <w:pStyle w:val="2"/>
        <w:shd w:val="clear" w:color="auto" w:fill="FFFFFF"/>
        <w:spacing w:before="192" w:beforeAutospacing="0" w:after="0" w:afterAutospacing="0" w:line="560" w:lineRule="atLeast"/>
        <w:ind w:firstLine="420"/>
        <w:rPr>
          <w:rFonts w:hint="eastAsia" w:ascii="仿宋" w:hAnsi="仿宋" w:eastAsia="仿宋"/>
          <w:color w:val="333333"/>
          <w:spacing w:val="15"/>
          <w:sz w:val="30"/>
          <w:szCs w:val="30"/>
          <w:shd w:val="clear" w:color="auto" w:fill="FFFFFF"/>
        </w:rPr>
      </w:pPr>
      <w:r>
        <w:rPr>
          <w:rFonts w:hint="eastAsia" w:ascii="仿宋" w:hAnsi="仿宋" w:eastAsia="仿宋"/>
          <w:color w:val="333333"/>
          <w:spacing w:val="15"/>
          <w:sz w:val="30"/>
          <w:szCs w:val="30"/>
          <w:shd w:val="clear" w:color="auto" w:fill="FFFFFF"/>
        </w:rPr>
        <w:t> （一）项目概况</w:t>
      </w:r>
    </w:p>
    <w:p>
      <w:pPr>
        <w:pStyle w:val="2"/>
        <w:shd w:val="clear" w:color="auto" w:fill="FFFFFF"/>
        <w:spacing w:before="192" w:beforeAutospacing="0" w:after="0" w:afterAutospacing="0" w:line="560" w:lineRule="atLeast"/>
        <w:ind w:firstLine="42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交通运输是国民经济建设的基础设施和先行部门，公路建设带动工程建材、饮食服务、劳务用工等一系列产业的兴起和发展，对促进就业，拉动地区经济发展有较大的影响。我县交通行业紧盯建设区域性交通枢纽城市目标不放松，大力实施“交通先行”战略，对内大循环、对外大开放的现代综合交通网络基本形成。交通专项资金实为交通系统专项资金，用于全县交通事业发展，2020年专项资金安排5392.9万元。</w:t>
      </w:r>
    </w:p>
    <w:p>
      <w:pPr>
        <w:pStyle w:val="2"/>
        <w:spacing w:before="0" w:beforeAutospacing="0" w:after="0" w:afterAutospacing="0" w:line="560" w:lineRule="atLeast"/>
        <w:ind w:firstLine="660"/>
        <w:jc w:val="both"/>
        <w:rPr>
          <w:rFonts w:hint="eastAsia" w:ascii="仿宋" w:hAnsi="仿宋" w:eastAsia="仿宋"/>
          <w:color w:val="000000"/>
          <w:sz w:val="30"/>
          <w:szCs w:val="30"/>
        </w:rPr>
      </w:pPr>
      <w:r>
        <w:rPr>
          <w:rFonts w:hint="eastAsia" w:ascii="仿宋" w:hAnsi="仿宋" w:eastAsia="仿宋"/>
          <w:color w:val="333333"/>
          <w:spacing w:val="15"/>
          <w:sz w:val="30"/>
          <w:szCs w:val="30"/>
        </w:rPr>
        <w:t>（二）</w:t>
      </w:r>
      <w:r>
        <w:rPr>
          <w:rFonts w:hint="eastAsia" w:ascii="仿宋" w:hAnsi="仿宋" w:eastAsia="仿宋"/>
          <w:color w:val="333333"/>
          <w:spacing w:val="15"/>
          <w:sz w:val="30"/>
          <w:szCs w:val="30"/>
          <w:shd w:val="clear" w:color="auto" w:fill="FFFFFF"/>
        </w:rPr>
        <w:t>项目绩效目标</w:t>
      </w:r>
    </w:p>
    <w:p>
      <w:pPr>
        <w:spacing w:line="600" w:lineRule="exact"/>
        <w:ind w:firstLine="660" w:firstLineChars="20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2020年，在县委县政府的正确领导和市局的关心支持下，全县交通系统干部职工凝心聚力、攻坚克难，超额完成了交通建设投资任务，行业管理水平有明显提升。</w:t>
      </w:r>
      <w:r>
        <w:rPr>
          <w:rFonts w:hint="eastAsia" w:ascii="仿宋" w:hAnsi="仿宋" w:eastAsia="仿宋"/>
          <w:sz w:val="30"/>
          <w:szCs w:val="30"/>
        </w:rPr>
        <w:t>2020年安排完成S243袁铜、S249新硖和S250石蒿三条干线公路沥青路面铺筑等主体工程，完成投资3600多万元，完成率实现100%；</w:t>
      </w:r>
    </w:p>
    <w:p>
      <w:pPr>
        <w:pStyle w:val="2"/>
        <w:spacing w:before="0" w:beforeAutospacing="0" w:after="0" w:afterAutospacing="0" w:line="560" w:lineRule="atLeast"/>
        <w:jc w:val="both"/>
        <w:rPr>
          <w:rFonts w:hint="eastAsia" w:ascii="仿宋" w:hAnsi="仿宋" w:eastAsia="仿宋"/>
          <w:color w:val="000000"/>
          <w:sz w:val="30"/>
          <w:szCs w:val="30"/>
        </w:rPr>
      </w:pPr>
      <w:r>
        <w:rPr>
          <w:rFonts w:hint="eastAsia" w:ascii="仿宋" w:hAnsi="仿宋" w:eastAsia="仿宋"/>
          <w:color w:val="000000"/>
          <w:sz w:val="30"/>
          <w:szCs w:val="30"/>
        </w:rPr>
        <w:t>让全县交通运输体系得到有效完善，群众出行难问题得到较大缓解。</w:t>
      </w:r>
    </w:p>
    <w:p>
      <w:pPr>
        <w:pStyle w:val="2"/>
        <w:shd w:val="clear" w:color="auto" w:fill="FFFFFF"/>
        <w:spacing w:before="192" w:beforeAutospacing="0" w:after="0" w:afterAutospacing="0" w:line="560" w:lineRule="atLeast"/>
        <w:ind w:firstLine="42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 二、绩效评价工作开展情况</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（一）绩效评价目的、对象和范围</w:t>
      </w:r>
    </w:p>
    <w:p>
      <w:pPr>
        <w:pStyle w:val="2"/>
        <w:spacing w:before="0" w:beforeAutospacing="0" w:after="0" w:afterAutospacing="0" w:line="560" w:lineRule="atLeast"/>
        <w:ind w:firstLine="660"/>
        <w:jc w:val="both"/>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2020年的交通专项资金根据县委县政府对《县财政局关于2020年交通县级配套预算专项资金安排的通知》的批示及上级资金文件要求进行分配及实施。并对资金使用绩效情况进行自我评价。</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（二）绩效评价原则、评价指标体系、评价说话法、评价标准等。</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2020年我局严格按年初预算安排资金执行，积极落实项目专项资金，严格按照《怀化市本级财政专项资金管理办法》（怀政发〔2015〕8号）进行资金管理，并接受县财政等部门的监督，做到了专款专用，没有滞留、截留、挤占和挪用的现象。项目</w:t>
      </w:r>
      <w:r>
        <w:rPr>
          <w:rFonts w:hint="eastAsia" w:ascii="仿宋" w:hAnsi="仿宋" w:eastAsia="仿宋"/>
          <w:spacing w:val="15"/>
          <w:sz w:val="30"/>
          <w:szCs w:val="30"/>
          <w:shd w:val="clear" w:color="auto" w:fill="FFFFFF"/>
        </w:rPr>
        <w:t>财务</w:t>
      </w:r>
      <w:r>
        <w:rPr>
          <w:rFonts w:hint="eastAsia" w:ascii="仿宋" w:hAnsi="仿宋" w:eastAsia="仿宋"/>
          <w:color w:val="333333"/>
          <w:spacing w:val="15"/>
          <w:sz w:val="30"/>
          <w:szCs w:val="30"/>
          <w:shd w:val="clear" w:color="auto" w:fill="FFFFFF"/>
        </w:rPr>
        <w:t>管理方面，财务管理制度健全，严格执行财务管理制度，账务处理及时，</w:t>
      </w:r>
      <w:r>
        <w:rPr>
          <w:rFonts w:hint="eastAsia" w:ascii="仿宋" w:hAnsi="仿宋" w:eastAsia="仿宋"/>
          <w:spacing w:val="15"/>
          <w:sz w:val="30"/>
          <w:szCs w:val="30"/>
          <w:shd w:val="clear" w:color="auto" w:fill="FFFFFF"/>
        </w:rPr>
        <w:t>会计</w:t>
      </w:r>
      <w:r>
        <w:rPr>
          <w:rFonts w:hint="eastAsia" w:ascii="仿宋" w:hAnsi="仿宋" w:eastAsia="仿宋"/>
          <w:color w:val="333333"/>
          <w:spacing w:val="15"/>
          <w:sz w:val="30"/>
          <w:szCs w:val="30"/>
          <w:shd w:val="clear" w:color="auto" w:fill="FFFFFF"/>
        </w:rPr>
        <w:t>核算规范。并按以上原则、体系和标准进行绩效评价。</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（三）、绩效评价工作过程</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我局根据县财政局批复预算，按部门职责分工明确，严格遵循工作计划稳步推进实施。完善各项内部控制与考核制度，建立较为完整的财务管理制度。各实施单位基本做到了资金的专款专用，资金支付有相关审批程序和手续，制度执行较有效，项目质量可控性较好。</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三、综合评价情况及评价结论 </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项目总体执行情况较好，能按照制定的计划完成，预期的绩效目标的也基本实现，无论是取得的经济效益还是社会效益都有显著成果，项目的运行也是严格按照相关规章制度执行，不存在违法乱纪的问题，总体评分98分，等级为优。 </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四、绩效评价指标分析</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（一）项目决策情况。根据怀化市发展和改革委员会批复，怀发改基础〔2017〕9号文。</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（二）项目过程情况。项目由我局负责管理，并由中方县县乡公路改造工程有限公司具体实施。</w:t>
      </w:r>
    </w:p>
    <w:p>
      <w:pPr>
        <w:pStyle w:val="2"/>
        <w:shd w:val="clear" w:color="auto" w:fill="FFFFFF"/>
        <w:spacing w:before="192" w:beforeAutospacing="0" w:after="0" w:afterAutospacing="0" w:line="560" w:lineRule="atLeast"/>
        <w:ind w:firstLine="660"/>
        <w:rPr>
          <w:rFonts w:hint="eastAsia" w:ascii="仿宋" w:hAnsi="仿宋" w:eastAsia="仿宋"/>
          <w:sz w:val="30"/>
          <w:szCs w:val="30"/>
        </w:rPr>
      </w:pPr>
      <w:r>
        <w:rPr>
          <w:rFonts w:hint="eastAsia" w:ascii="仿宋" w:hAnsi="仿宋" w:eastAsia="仿宋"/>
          <w:color w:val="333333"/>
          <w:spacing w:val="15"/>
          <w:sz w:val="30"/>
          <w:szCs w:val="30"/>
          <w:shd w:val="clear" w:color="auto" w:fill="FFFFFF"/>
        </w:rPr>
        <w:t>（三）项目产出情况。</w:t>
      </w:r>
      <w:r>
        <w:rPr>
          <w:rFonts w:hint="eastAsia" w:ascii="仿宋" w:hAnsi="仿宋" w:eastAsia="仿宋"/>
          <w:sz w:val="30"/>
          <w:szCs w:val="30"/>
        </w:rPr>
        <w:t>2020年已完成S243袁铜、S249新硖和S250石蒿三条干线公路沥青路面铺筑等主体工程，完成投资3600多万元，完成率为100%；</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（四）项目效益情况。改善人们出行条件，促进当地经济发展，并增加当地群众收入。</w:t>
      </w:r>
    </w:p>
    <w:p>
      <w:pPr>
        <w:pStyle w:val="2"/>
        <w:shd w:val="clear" w:color="auto" w:fill="FFFFFF"/>
        <w:spacing w:before="192" w:beforeAutospacing="0" w:after="0" w:afterAutospacing="0" w:line="560" w:lineRule="atLeast"/>
        <w:ind w:firstLine="660"/>
        <w:rPr>
          <w:rFonts w:hint="eastAsia" w:ascii="仿宋" w:hAnsi="仿宋" w:eastAsia="仿宋"/>
          <w:color w:val="333333"/>
          <w:spacing w:val="15"/>
          <w:sz w:val="30"/>
          <w:szCs w:val="30"/>
          <w:shd w:val="clear" w:color="auto" w:fill="FFFFFF"/>
        </w:rPr>
      </w:pPr>
      <w:r>
        <w:rPr>
          <w:rFonts w:hint="eastAsia" w:ascii="仿宋" w:hAnsi="仿宋" w:eastAsia="仿宋"/>
          <w:color w:val="333333"/>
          <w:spacing w:val="15"/>
          <w:sz w:val="30"/>
          <w:szCs w:val="30"/>
          <w:shd w:val="clear" w:color="auto" w:fill="FFFFFF"/>
        </w:rPr>
        <w:t>五、主要经验及做法、存在的问题及原因分析</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2020年县直交通系统有效科学地使用专项资金，取得了一定的成绩，但仍存在着一些困难和问题。一是交通专项资金到位进度慢，2020年的专项资金年底才拨付到位，一定程度上影响项目进度。二是交通专项资金存在一定的缺口。“十三五”期间是我县交通大建设、大投入的发展期，各项工作任务繁重，工作经费支出大。三是增加项目工作经费。</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六、有关建议</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我局针对存在得困难提出以下建议：一是建议县财政局交通专项资金按照项目进度拨付，确保项目前期工作的开展。二是根据《预算法》及全口径预算的要求，建议县财政局将交通建设资金纳入年度专项预算。</w:t>
      </w:r>
    </w:p>
    <w:p>
      <w:pPr>
        <w:pStyle w:val="2"/>
        <w:shd w:val="clear" w:color="auto" w:fill="FFFFFF"/>
        <w:spacing w:before="192" w:beforeAutospacing="0" w:after="0" w:afterAutospacing="0" w:line="560" w:lineRule="atLeast"/>
        <w:ind w:firstLine="660"/>
        <w:rPr>
          <w:rFonts w:hint="eastAsia" w:ascii="仿宋" w:hAnsi="仿宋" w:eastAsia="仿宋"/>
          <w:color w:val="000000"/>
          <w:sz w:val="30"/>
          <w:szCs w:val="30"/>
        </w:rPr>
      </w:pPr>
      <w:r>
        <w:rPr>
          <w:rFonts w:hint="eastAsia" w:ascii="仿宋" w:hAnsi="仿宋" w:eastAsia="仿宋"/>
          <w:color w:val="333333"/>
          <w:spacing w:val="15"/>
          <w:sz w:val="30"/>
          <w:szCs w:val="30"/>
          <w:shd w:val="clear" w:color="auto" w:fill="FFFFFF"/>
        </w:rPr>
        <w:t>七、其他需要说明的问题</w:t>
      </w:r>
    </w:p>
    <w:p>
      <w:pPr>
        <w:pStyle w:val="2"/>
        <w:spacing w:before="0" w:beforeAutospacing="0" w:after="0" w:afterAutospacing="0" w:line="560" w:lineRule="atLeast"/>
        <w:jc w:val="both"/>
        <w:rPr>
          <w:rFonts w:hint="eastAsia" w:ascii="仿宋" w:hAnsi="仿宋" w:eastAsia="仿宋"/>
          <w:color w:val="000000"/>
          <w:sz w:val="30"/>
          <w:szCs w:val="30"/>
        </w:rPr>
      </w:pPr>
      <w:r>
        <w:rPr>
          <w:rFonts w:hint="eastAsia" w:ascii="仿宋" w:hAnsi="仿宋" w:eastAsia="仿宋"/>
          <w:color w:val="000000"/>
          <w:sz w:val="30"/>
          <w:szCs w:val="30"/>
        </w:rPr>
        <w:t>     无</w:t>
      </w:r>
    </w:p>
    <w:p>
      <w:pPr>
        <w:pStyle w:val="2"/>
        <w:spacing w:before="0" w:beforeAutospacing="0" w:after="0" w:afterAutospacing="0" w:line="560" w:lineRule="atLeast"/>
        <w:jc w:val="both"/>
        <w:rPr>
          <w:rFonts w:hint="eastAsia" w:ascii="仿宋" w:hAnsi="仿宋" w:eastAsia="仿宋"/>
          <w:color w:val="000000"/>
          <w:sz w:val="30"/>
          <w:szCs w:val="30"/>
        </w:rPr>
      </w:pPr>
      <w:r>
        <w:rPr>
          <w:rFonts w:hint="eastAsia" w:ascii="仿宋" w:hAnsi="仿宋" w:eastAsia="仿宋"/>
          <w:color w:val="000000"/>
          <w:sz w:val="30"/>
          <w:szCs w:val="30"/>
        </w:rPr>
        <w:t xml:space="preserve"> </w:t>
      </w:r>
    </w:p>
    <w:p>
      <w:pPr>
        <w:pStyle w:val="2"/>
        <w:spacing w:before="0" w:beforeAutospacing="0" w:after="0" w:afterAutospacing="0" w:line="560" w:lineRule="atLeast"/>
        <w:jc w:val="both"/>
        <w:rPr>
          <w:rFonts w:hint="eastAsia" w:ascii="仿宋" w:hAnsi="仿宋" w:eastAsia="仿宋"/>
          <w:color w:val="000000"/>
          <w:sz w:val="30"/>
          <w:szCs w:val="30"/>
        </w:rPr>
      </w:pPr>
      <w:r>
        <w:rPr>
          <w:rFonts w:hint="eastAsia" w:ascii="仿宋" w:hAnsi="仿宋" w:eastAsia="仿宋"/>
          <w:color w:val="000000"/>
          <w:sz w:val="30"/>
          <w:szCs w:val="30"/>
        </w:rPr>
        <w:t> </w:t>
      </w:r>
    </w:p>
    <w:p>
      <w:pPr>
        <w:rPr>
          <w:rFonts w:hint="eastAsia" w:ascii="仿宋" w:hAnsi="仿宋" w:eastAsia="仿宋"/>
          <w:sz w:val="30"/>
          <w:szCs w:val="30"/>
        </w:rPr>
      </w:pPr>
      <w:r>
        <w:rPr>
          <w:rFonts w:hint="eastAsia" w:ascii="仿宋" w:hAnsi="仿宋" w:eastAsia="仿宋"/>
          <w:sz w:val="30"/>
          <w:szCs w:val="30"/>
        </w:rPr>
        <w:t xml:space="preserve"> </w:t>
      </w:r>
    </w:p>
    <w:p>
      <w:pPr>
        <w:rPr>
          <w:rFonts w:hint="eastAsia" w:ascii="仿宋" w:hAnsi="仿宋" w:eastAsia="仿宋"/>
          <w:sz w:val="30"/>
          <w:szCs w:val="30"/>
        </w:rPr>
      </w:pPr>
      <w:r>
        <w:rPr>
          <w:rFonts w:hint="eastAsia" w:ascii="仿宋" w:hAnsi="仿宋" w:eastAsia="仿宋"/>
          <w:sz w:val="30"/>
          <w:szCs w:val="30"/>
        </w:rPr>
        <w:br w:type="page"/>
      </w:r>
    </w:p>
    <w:tbl>
      <w:tblPr>
        <w:tblStyle w:val="3"/>
        <w:tblpPr w:leftFromText="180" w:rightFromText="180" w:vertAnchor="text" w:horzAnchor="page" w:tblpX="1376" w:tblpY="24"/>
        <w:tblOverlap w:val="never"/>
        <w:tblW w:w="9916" w:type="dxa"/>
        <w:tblInd w:w="0" w:type="dxa"/>
        <w:tblLayout w:type="fixed"/>
        <w:tblCellMar>
          <w:top w:w="0" w:type="dxa"/>
          <w:left w:w="108" w:type="dxa"/>
          <w:bottom w:w="0" w:type="dxa"/>
          <w:right w:w="108" w:type="dxa"/>
        </w:tblCellMar>
      </w:tblPr>
      <w:tblGrid>
        <w:gridCol w:w="279"/>
        <w:gridCol w:w="588"/>
        <w:gridCol w:w="980"/>
        <w:gridCol w:w="1112"/>
        <w:gridCol w:w="730"/>
        <w:gridCol w:w="1134"/>
        <w:gridCol w:w="284"/>
        <w:gridCol w:w="850"/>
        <w:gridCol w:w="851"/>
        <w:gridCol w:w="283"/>
        <w:gridCol w:w="284"/>
        <w:gridCol w:w="425"/>
        <w:gridCol w:w="142"/>
        <w:gridCol w:w="709"/>
        <w:gridCol w:w="708"/>
        <w:gridCol w:w="557"/>
      </w:tblGrid>
      <w:tr>
        <w:tblPrEx>
          <w:tblCellMar>
            <w:top w:w="0" w:type="dxa"/>
            <w:left w:w="108" w:type="dxa"/>
            <w:bottom w:w="0" w:type="dxa"/>
            <w:right w:w="108" w:type="dxa"/>
          </w:tblCellMar>
        </w:tblPrEx>
        <w:trPr>
          <w:gridBefore w:val="1"/>
          <w:gridAfter w:val="1"/>
          <w:wBefore w:w="279" w:type="dxa"/>
          <w:wAfter w:w="557" w:type="dxa"/>
          <w:trHeight w:val="349" w:hRule="exact"/>
        </w:trPr>
        <w:tc>
          <w:tcPr>
            <w:tcW w:w="9080" w:type="dxa"/>
            <w:gridSpan w:val="14"/>
            <w:tcBorders>
              <w:top w:val="nil"/>
              <w:left w:val="nil"/>
              <w:bottom w:val="nil"/>
              <w:right w:val="nil"/>
            </w:tcBorders>
            <w:noWrap/>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Before w:val="1"/>
          <w:gridAfter w:val="1"/>
          <w:wBefore w:w="279" w:type="dxa"/>
          <w:wAfter w:w="557" w:type="dxa"/>
          <w:trHeight w:val="201" w:hRule="atLeast"/>
        </w:trPr>
        <w:tc>
          <w:tcPr>
            <w:tcW w:w="9080" w:type="dxa"/>
            <w:gridSpan w:val="14"/>
            <w:tcBorders>
              <w:top w:val="nil"/>
              <w:left w:val="nil"/>
              <w:bottom w:val="nil"/>
              <w:right w:val="nil"/>
            </w:tcBorders>
            <w:noWrap/>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中方县境内国省干线公路改建工程</w:t>
            </w:r>
          </w:p>
        </w:tc>
      </w:tr>
      <w:tr>
        <w:tblPrEx>
          <w:tblCellMar>
            <w:top w:w="0" w:type="dxa"/>
            <w:left w:w="108" w:type="dxa"/>
            <w:bottom w:w="0" w:type="dxa"/>
            <w:right w:w="108" w:type="dxa"/>
          </w:tblCellMar>
        </w:tblPrEx>
        <w:trPr>
          <w:gridBefore w:val="1"/>
          <w:gridAfter w:val="1"/>
          <w:wBefore w:w="279" w:type="dxa"/>
          <w:wAfter w:w="557" w:type="dxa"/>
          <w:trHeight w:val="590" w:hRule="exact"/>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中方县交通运输局</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中方县县乡公路改造工程有限公司</w:t>
            </w:r>
          </w:p>
        </w:tc>
      </w:tr>
      <w:tr>
        <w:tblPrEx>
          <w:tblCellMar>
            <w:top w:w="0" w:type="dxa"/>
            <w:left w:w="108" w:type="dxa"/>
            <w:bottom w:w="0" w:type="dxa"/>
            <w:right w:w="108" w:type="dxa"/>
          </w:tblCellMar>
        </w:tblPrEx>
        <w:trPr>
          <w:gridBefore w:val="1"/>
          <w:gridAfter w:val="1"/>
          <w:wBefore w:w="279" w:type="dxa"/>
          <w:wAfter w:w="557" w:type="dxa"/>
          <w:trHeight w:val="436" w:hRule="exact"/>
        </w:trPr>
        <w:tc>
          <w:tcPr>
            <w:tcW w:w="156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3600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3600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08"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3600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3600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08"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Before w:val="1"/>
          <w:gridAfter w:val="1"/>
          <w:wBefore w:w="279" w:type="dxa"/>
          <w:wAfter w:w="557" w:type="dxa"/>
          <w:trHeight w:val="1162" w:hRule="exact"/>
        </w:trPr>
        <w:tc>
          <w:tcPr>
            <w:tcW w:w="588"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宋体"/>
                <w:kern w:val="0"/>
                <w:sz w:val="18"/>
                <w:szCs w:val="18"/>
              </w:rPr>
            </w:pPr>
            <w:r>
              <w:rPr>
                <w:rFonts w:hint="eastAsia" w:ascii="仿宋" w:hAnsi="仿宋" w:eastAsia="宋体" w:cs="仿宋_GB2312"/>
                <w:sz w:val="18"/>
                <w:szCs w:val="18"/>
              </w:rPr>
              <w:t>完成S243袁铜、S250石蒿</w:t>
            </w:r>
            <w:r>
              <w:rPr>
                <w:rFonts w:hint="eastAsia" w:ascii="仿宋" w:hAnsi="仿宋" w:eastAsia="宋体" w:cs="仿宋_GB2312"/>
                <w:sz w:val="18"/>
                <w:szCs w:val="18"/>
                <w:lang w:val="en-US" w:eastAsia="zh-CN"/>
              </w:rPr>
              <w:t>和</w:t>
            </w:r>
            <w:r>
              <w:rPr>
                <w:rFonts w:hint="eastAsia" w:ascii="仿宋" w:hAnsi="仿宋" w:eastAsia="宋体" w:cs="仿宋_GB2312"/>
                <w:sz w:val="18"/>
                <w:szCs w:val="18"/>
              </w:rPr>
              <w:t>S2</w:t>
            </w:r>
            <w:r>
              <w:rPr>
                <w:rFonts w:hint="eastAsia" w:ascii="仿宋" w:hAnsi="仿宋" w:eastAsia="宋体" w:cs="仿宋_GB2312"/>
                <w:sz w:val="18"/>
                <w:szCs w:val="18"/>
                <w:lang w:val="en-US" w:eastAsia="zh-CN"/>
              </w:rPr>
              <w:t>49新硖</w:t>
            </w:r>
            <w:r>
              <w:rPr>
                <w:rFonts w:hint="eastAsia" w:ascii="仿宋" w:hAnsi="仿宋" w:eastAsia="宋体" w:cs="仿宋_GB2312"/>
                <w:sz w:val="18"/>
                <w:szCs w:val="18"/>
              </w:rPr>
              <w:t>公路沥青路面铺筑等主体工程。</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宋体" w:cstheme="minorBidi"/>
                <w:kern w:val="0"/>
                <w:sz w:val="18"/>
                <w:szCs w:val="18"/>
                <w:lang w:val="en-US" w:eastAsia="zh-CN" w:bidi="ar-SA"/>
              </w:rPr>
            </w:pPr>
            <w:r>
              <w:rPr>
                <w:rFonts w:hint="eastAsia" w:ascii="仿宋" w:hAnsi="仿宋" w:eastAsia="宋体" w:cs="仿宋_GB2312"/>
                <w:sz w:val="18"/>
                <w:szCs w:val="18"/>
              </w:rPr>
              <w:t>完成S243袁铜、S250石蒿</w:t>
            </w:r>
            <w:r>
              <w:rPr>
                <w:rFonts w:hint="eastAsia" w:ascii="仿宋" w:hAnsi="仿宋" w:eastAsia="宋体" w:cs="仿宋_GB2312"/>
                <w:sz w:val="18"/>
                <w:szCs w:val="18"/>
                <w:lang w:val="en-US" w:eastAsia="zh-CN"/>
              </w:rPr>
              <w:t>和</w:t>
            </w:r>
            <w:r>
              <w:rPr>
                <w:rFonts w:hint="eastAsia" w:ascii="仿宋" w:hAnsi="仿宋" w:eastAsia="宋体" w:cs="仿宋_GB2312"/>
                <w:sz w:val="18"/>
                <w:szCs w:val="18"/>
              </w:rPr>
              <w:t>S2</w:t>
            </w:r>
            <w:r>
              <w:rPr>
                <w:rFonts w:hint="eastAsia" w:ascii="仿宋" w:hAnsi="仿宋" w:eastAsia="宋体" w:cs="仿宋_GB2312"/>
                <w:sz w:val="18"/>
                <w:szCs w:val="18"/>
                <w:lang w:val="en-US" w:eastAsia="zh-CN"/>
              </w:rPr>
              <w:t>49新硖</w:t>
            </w:r>
            <w:r>
              <w:rPr>
                <w:rFonts w:hint="eastAsia" w:ascii="仿宋" w:hAnsi="仿宋" w:eastAsia="宋体" w:cs="仿宋_GB2312"/>
                <w:sz w:val="18"/>
                <w:szCs w:val="18"/>
              </w:rPr>
              <w:t>公路沥青路面铺筑等主体工程，。</w:t>
            </w:r>
          </w:p>
        </w:tc>
      </w:tr>
      <w:tr>
        <w:tblPrEx>
          <w:tblCellMar>
            <w:top w:w="0" w:type="dxa"/>
            <w:left w:w="108" w:type="dxa"/>
            <w:bottom w:w="0" w:type="dxa"/>
            <w:right w:w="108" w:type="dxa"/>
          </w:tblCellMar>
        </w:tblPrEx>
        <w:trPr>
          <w:gridBefore w:val="1"/>
          <w:gridAfter w:val="1"/>
          <w:wBefore w:w="279" w:type="dxa"/>
          <w:wAfter w:w="557" w:type="dxa"/>
          <w:trHeight w:val="533" w:hRule="exact"/>
        </w:trPr>
        <w:tc>
          <w:tcPr>
            <w:tcW w:w="588" w:type="dxa"/>
            <w:vMerge w:val="restart"/>
            <w:tcBorders>
              <w:top w:val="nil"/>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3条</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3条</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达标</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10个月</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12个月</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3600</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hint="default"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3600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增收</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增收</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492"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改善出行条件</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改善出行条件</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444"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保护环境</w:t>
            </w:r>
          </w:p>
        </w:tc>
        <w:tc>
          <w:tcPr>
            <w:tcW w:w="851" w:type="dxa"/>
            <w:tcBorders>
              <w:top w:val="nil"/>
              <w:left w:val="nil"/>
              <w:bottom w:val="single" w:color="auto" w:sz="4" w:space="0"/>
              <w:right w:val="single" w:color="auto" w:sz="4" w:space="0"/>
            </w:tcBorders>
            <w:noWrap/>
            <w:vAlign w:val="center"/>
          </w:tcPr>
          <w:p>
            <w:pPr>
              <w:widowControl/>
              <w:spacing w:line="240" w:lineRule="exact"/>
              <w:rPr>
                <w:rFonts w:ascii="Times New Roman" w:hAnsi="Times New Roman"/>
                <w:kern w:val="0"/>
                <w:sz w:val="18"/>
                <w:szCs w:val="18"/>
              </w:rPr>
            </w:pPr>
            <w:r>
              <w:rPr>
                <w:rFonts w:hint="eastAsia" w:ascii="Times New Roman" w:hAnsi="Times New Roman"/>
                <w:kern w:val="0"/>
                <w:sz w:val="18"/>
                <w:szCs w:val="18"/>
              </w:rPr>
              <w:t>保护环境</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48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促进经济发展</w:t>
            </w: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促进经济发展</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8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588"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279" w:type="dxa"/>
          <w:wAfter w:w="557" w:type="dxa"/>
          <w:trHeight w:val="300" w:hRule="exact"/>
        </w:trPr>
        <w:tc>
          <w:tcPr>
            <w:tcW w:w="652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98</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65" w:hRule="atLeast"/>
        </w:trPr>
        <w:tc>
          <w:tcPr>
            <w:tcW w:w="9916" w:type="dxa"/>
            <w:gridSpan w:val="16"/>
            <w:tcBorders>
              <w:top w:val="single" w:color="auto" w:sz="4" w:space="0"/>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916" w:type="dxa"/>
            <w:gridSpan w:val="16"/>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916" w:type="dxa"/>
            <w:gridSpan w:val="16"/>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916" w:type="dxa"/>
            <w:gridSpan w:val="16"/>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rPr>
          <w:rFonts w:hint="eastAsia" w:ascii="仿宋" w:hAnsi="仿宋" w:eastAsia="仿宋"/>
          <w:sz w:val="30"/>
          <w:szCs w:val="30"/>
        </w:rPr>
        <w:sectPr>
          <w:pgSz w:w="11906" w:h="16838"/>
          <w:pgMar w:top="1440" w:right="1800" w:bottom="1440" w:left="1800" w:header="851" w:footer="992" w:gutter="0"/>
          <w:cols w:space="425" w:num="1"/>
          <w:docGrid w:type="lines" w:linePitch="312" w:charSpace="0"/>
        </w:sectPr>
      </w:pPr>
    </w:p>
    <w:tbl>
      <w:tblPr>
        <w:tblStyle w:val="3"/>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noWra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ign w:val="center"/>
          </w:tcPr>
          <w:p>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noWrap/>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noWrap/>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noWrap/>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noWrap/>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w:t>
            </w:r>
            <w:bookmarkStart w:id="0" w:name="_GoBack"/>
            <w:bookmarkEnd w:id="0"/>
            <w:r>
              <w:rPr>
                <w:rFonts w:ascii="Times New Roman" w:hAnsi="Times New Roman"/>
                <w:color w:val="000000"/>
                <w:kern w:val="0"/>
                <w:sz w:val="22"/>
                <w:szCs w:val="22"/>
              </w:rPr>
              <w:t>用以反映和考核项目产出质量目标的实现程度。</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noWrap/>
            <w:vAlign w:val="center"/>
          </w:tcPr>
          <w:p>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noWrap/>
            <w:vAlign w:val="center"/>
          </w:tcPr>
          <w:p>
            <w:pPr>
              <w:widowControl/>
              <w:spacing w:line="0" w:lineRule="atLeast"/>
              <w:rPr>
                <w:rFonts w:ascii="Times New Roman" w:hAnsi="Times New Roman"/>
                <w:color w:val="000000"/>
                <w:kern w:val="0"/>
                <w:sz w:val="22"/>
                <w:szCs w:val="22"/>
              </w:rPr>
            </w:pPr>
          </w:p>
        </w:tc>
        <w:tc>
          <w:tcPr>
            <w:tcW w:w="6096" w:type="dxa"/>
            <w:shd w:val="clear" w:color="auto" w:fill="FFFFFF"/>
            <w:noWrap/>
            <w:vAlign w:val="center"/>
          </w:tcPr>
          <w:p>
            <w:pPr>
              <w:widowControl/>
              <w:spacing w:line="0" w:lineRule="atLeast"/>
              <w:rPr>
                <w:rFonts w:ascii="Times New Roman" w:hAnsi="Times New Roman"/>
                <w:color w:val="000000"/>
                <w:kern w:val="0"/>
                <w:sz w:val="22"/>
                <w:szCs w:val="22"/>
              </w:rPr>
            </w:pPr>
          </w:p>
        </w:tc>
        <w:tc>
          <w:tcPr>
            <w:tcW w:w="566" w:type="dxa"/>
            <w:shd w:val="clear" w:color="auto" w:fill="FFFFFF"/>
            <w:noWrap/>
            <w:vAlign w:val="center"/>
          </w:tcPr>
          <w:p>
            <w:pPr>
              <w:widowControl/>
              <w:spacing w:line="0" w:lineRule="atLeast"/>
              <w:jc w:val="center"/>
              <w:rPr>
                <w:rFonts w:ascii="Times New Roman" w:hAnsi="Times New Roman" w:eastAsia="宋体"/>
                <w:color w:val="000000"/>
                <w:kern w:val="0"/>
                <w:sz w:val="22"/>
                <w:szCs w:val="22"/>
              </w:rPr>
            </w:pPr>
            <w:r>
              <w:rPr>
                <w:rFonts w:hint="eastAsia" w:ascii="Times New Roman" w:hAnsi="Times New Roman"/>
                <w:color w:val="000000"/>
                <w:kern w:val="0"/>
                <w:sz w:val="22"/>
                <w:szCs w:val="22"/>
              </w:rPr>
              <w:t>98</w:t>
            </w:r>
          </w:p>
        </w:tc>
      </w:tr>
    </w:tbl>
    <w:p>
      <w:pPr>
        <w:rPr>
          <w:rFonts w:hint="eastAsia" w:ascii="仿宋" w:hAnsi="仿宋" w:eastAsia="仿宋"/>
          <w:sz w:val="30"/>
          <w:szCs w:val="30"/>
        </w:rPr>
        <w:sectPr>
          <w:pgSz w:w="16838" w:h="11906" w:orient="landscape"/>
          <w:pgMar w:top="1800" w:right="1440" w:bottom="1800" w:left="1440" w:header="851" w:footer="992" w:gutter="0"/>
          <w:cols w:space="425" w:num="1"/>
          <w:docGrid w:type="lines" w:linePitch="312" w:charSpace="0"/>
        </w:sectPr>
      </w:pPr>
    </w:p>
    <w:p>
      <w:pPr>
        <w:rPr>
          <w:rFonts w:hint="eastAsia" w:ascii="仿宋" w:hAnsi="仿宋" w:eastAsia="仿宋"/>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C0E"/>
    <w:rsid w:val="005A1C0E"/>
    <w:rsid w:val="0068187A"/>
    <w:rsid w:val="063C3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5">
    <w:name w:val="Normal"/>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225</Words>
  <Characters>1285</Characters>
  <Lines>10</Lines>
  <Paragraphs>3</Paragraphs>
  <TotalTime>0</TotalTime>
  <ScaleCrop>false</ScaleCrop>
  <LinksUpToDate>false</LinksUpToDate>
  <CharactersWithSpaces>1507</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2021-07-22T03:08:00Z</dcterms:created>
  <dc:creator>xb21cn</dc:creator>
  <cp:lastModifiedBy>舒超群</cp:lastModifiedBy>
  <cp:lastPrinted>2021-07-22T03:18:00Z</cp:lastPrinted>
  <dcterms:modified xsi:type="dcterms:W3CDTF">2021-07-23T09:33:50Z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4F540DC092A64F1D9E6F5B951385C0AE</vt:lpwstr>
  </property>
</Properties>
</file>