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15C" w:rsidRDefault="00A11190" w:rsidP="00D3516F">
      <w:pPr>
        <w:spacing w:after="0" w:line="700" w:lineRule="atLeast"/>
        <w:ind w:left="3300" w:hangingChars="750" w:hanging="3300"/>
        <w:rPr>
          <w:rFonts w:ascii="方正小标宋简体" w:eastAsia="方正小标宋简体" w:hAnsi="仿宋"/>
          <w:bCs/>
          <w:sz w:val="44"/>
          <w:szCs w:val="44"/>
        </w:rPr>
      </w:pPr>
      <w:r>
        <w:rPr>
          <w:rFonts w:ascii="方正小标宋简体" w:eastAsia="方正小标宋简体" w:hAnsi="仿宋" w:hint="eastAsia"/>
          <w:bCs/>
          <w:sz w:val="44"/>
          <w:szCs w:val="44"/>
        </w:rPr>
        <w:t>中方县</w:t>
      </w:r>
      <w:r w:rsidR="00545FFA">
        <w:rPr>
          <w:rFonts w:ascii="方正小标宋简体" w:eastAsia="方正小标宋简体" w:hAnsi="仿宋" w:hint="eastAsia"/>
          <w:bCs/>
          <w:sz w:val="44"/>
          <w:szCs w:val="44"/>
        </w:rPr>
        <w:t>自然资源局</w:t>
      </w:r>
      <w:r w:rsidR="00A40BEF">
        <w:rPr>
          <w:rFonts w:ascii="方正小标宋简体" w:eastAsia="方正小标宋简体" w:hAnsi="仿宋" w:hint="eastAsia"/>
          <w:bCs/>
          <w:sz w:val="44"/>
          <w:szCs w:val="44"/>
        </w:rPr>
        <w:t>2023</w:t>
      </w:r>
      <w:r w:rsidR="00397A32">
        <w:rPr>
          <w:rFonts w:ascii="方正小标宋简体" w:eastAsia="方正小标宋简体" w:hAnsi="仿宋" w:hint="eastAsia"/>
          <w:bCs/>
          <w:sz w:val="44"/>
          <w:szCs w:val="44"/>
        </w:rPr>
        <w:t>年度部门整体支出绩效自评</w:t>
      </w:r>
    </w:p>
    <w:p w:rsidR="005E515C" w:rsidRDefault="005E515C">
      <w:pPr>
        <w:spacing w:after="0" w:line="560" w:lineRule="atLeast"/>
        <w:jc w:val="center"/>
        <w:rPr>
          <w:rFonts w:ascii="楷体" w:eastAsia="楷体" w:hAnsi="楷体" w:cs="楷体"/>
          <w:bCs/>
          <w:sz w:val="32"/>
          <w:szCs w:val="32"/>
        </w:rPr>
      </w:pPr>
    </w:p>
    <w:p w:rsidR="005E515C" w:rsidRDefault="005E515C">
      <w:pPr>
        <w:spacing w:after="0" w:line="560" w:lineRule="atLeast"/>
        <w:jc w:val="center"/>
        <w:rPr>
          <w:rFonts w:ascii="楷体" w:eastAsia="楷体" w:hAnsi="楷体" w:cs="楷体"/>
          <w:bCs/>
          <w:sz w:val="36"/>
          <w:szCs w:val="36"/>
        </w:rPr>
      </w:pPr>
    </w:p>
    <w:p w:rsidR="005E515C" w:rsidRDefault="00A11190">
      <w:pPr>
        <w:spacing w:after="0" w:line="600" w:lineRule="atLeast"/>
        <w:ind w:firstLineChars="200" w:firstLine="640"/>
        <w:rPr>
          <w:rFonts w:ascii="黑体" w:eastAsia="黑体" w:hAnsi="黑体" w:cs="黑体"/>
          <w:bCs/>
          <w:sz w:val="32"/>
          <w:szCs w:val="32"/>
        </w:rPr>
      </w:pPr>
      <w:r>
        <w:rPr>
          <w:rFonts w:ascii="黑体" w:eastAsia="黑体" w:hAnsi="黑体" w:cs="黑体" w:hint="eastAsia"/>
          <w:bCs/>
          <w:sz w:val="32"/>
          <w:szCs w:val="32"/>
        </w:rPr>
        <w:t>一、部门基本情况</w:t>
      </w:r>
    </w:p>
    <w:p w:rsidR="005E515C" w:rsidRDefault="00650925">
      <w:pPr>
        <w:spacing w:after="0" w:line="600" w:lineRule="atLeast"/>
        <w:ind w:firstLineChars="200" w:firstLine="640"/>
        <w:rPr>
          <w:rFonts w:ascii="仿宋" w:eastAsia="仿宋" w:hAnsi="仿宋" w:cs="仿宋"/>
          <w:sz w:val="32"/>
          <w:szCs w:val="32"/>
        </w:rPr>
      </w:pPr>
      <w:r>
        <w:rPr>
          <w:rFonts w:ascii="仿宋" w:eastAsia="仿宋" w:hAnsi="仿宋" w:cs="仿宋" w:hint="eastAsia"/>
          <w:sz w:val="32"/>
          <w:szCs w:val="32"/>
        </w:rPr>
        <w:t>（一）部门职能与机构设置</w:t>
      </w:r>
    </w:p>
    <w:p w:rsidR="004D4926" w:rsidRDefault="004D4926" w:rsidP="0078444A">
      <w:pPr>
        <w:spacing w:after="0" w:line="600" w:lineRule="atLeast"/>
        <w:ind w:firstLineChars="500" w:firstLine="1600"/>
        <w:rPr>
          <w:rFonts w:ascii="仿宋" w:eastAsia="仿宋" w:hAnsi="仿宋" w:cs="仿宋"/>
          <w:sz w:val="32"/>
          <w:szCs w:val="32"/>
        </w:rPr>
      </w:pPr>
      <w:r>
        <w:rPr>
          <w:rFonts w:ascii="仿宋" w:eastAsia="仿宋" w:hAnsi="仿宋" w:cs="仿宋" w:hint="eastAsia"/>
          <w:sz w:val="32"/>
          <w:szCs w:val="32"/>
        </w:rPr>
        <w:t>部门职能</w:t>
      </w:r>
    </w:p>
    <w:p w:rsidR="004D4926" w:rsidRDefault="004D4926" w:rsidP="004D4926">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1.依法履行全民所有土地、矿产、森林、草原、湿地、水等自然资源资产所有者职责和所有国土空间用途管制职责。</w:t>
      </w:r>
    </w:p>
    <w:p w:rsidR="004D4926" w:rsidRDefault="004D4926" w:rsidP="004D4926">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2.负责自然资源调查监测评价。</w:t>
      </w:r>
    </w:p>
    <w:p w:rsidR="004D4926" w:rsidRDefault="004D4926" w:rsidP="004D4926">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3.负责自然资源统一确权登记工作。</w:t>
      </w:r>
    </w:p>
    <w:p w:rsidR="004D4926" w:rsidRDefault="004D4926" w:rsidP="004D4926">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4.负责自然资源资产有偿使用工作。</w:t>
      </w:r>
    </w:p>
    <w:p w:rsidR="004D4926" w:rsidRDefault="004D4926" w:rsidP="004D4926">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5.负责自然资源的合理开发利用。</w:t>
      </w:r>
    </w:p>
    <w:p w:rsidR="004D4926" w:rsidRDefault="004D4926" w:rsidP="004D4926">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6.负责建立空间规划体系并监督实施。</w:t>
      </w:r>
    </w:p>
    <w:p w:rsidR="004D4926" w:rsidRDefault="004D4926" w:rsidP="004D4926">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7.负责统筹国土空间生态修复。</w:t>
      </w:r>
    </w:p>
    <w:p w:rsidR="004D4926" w:rsidRDefault="004D4926" w:rsidP="004D4926">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8.负责组织实施最严格的耕地保护制度。</w:t>
      </w:r>
    </w:p>
    <w:p w:rsidR="004D4926" w:rsidRDefault="004D4926" w:rsidP="004D4926">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9.负责管理地质勘查行业和全县地质工作。</w:t>
      </w:r>
    </w:p>
    <w:p w:rsidR="004D4926" w:rsidRDefault="004D4926" w:rsidP="004D4926">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10.负责矿产资源管理工作。</w:t>
      </w:r>
    </w:p>
    <w:p w:rsidR="004D4926" w:rsidRDefault="004D4926" w:rsidP="004D4926">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11.负责测绘地理信息管理工作。</w:t>
      </w:r>
    </w:p>
    <w:p w:rsidR="004D4926" w:rsidRDefault="004D4926" w:rsidP="004D4926">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12.推动自然资源和规划领域科技发展。</w:t>
      </w:r>
    </w:p>
    <w:p w:rsidR="004D4926" w:rsidRDefault="004D4926" w:rsidP="004D4926">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13.负责组织城镇总体规划发展战略研究，提出统筹城乡规划、促进两型社会建设的政策建议，强化城乡规划在经济社会发展中的引领作用，推动城乡一体化进程；负责组织城镇体系规划、总体规划、详细规划的审查及报批工作，参与其他重大建设项目规划的可行性论证。承担全县历史文化名城相关审查报批和监督工作。</w:t>
      </w:r>
    </w:p>
    <w:p w:rsidR="004D4926" w:rsidRDefault="004D4926" w:rsidP="004D4926">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lastRenderedPageBreak/>
        <w:t>14.负责城镇规划区建设项目和市政工程项目选址定点、规划设计方案和建筑工程设计方案的审查、建设用地和工程的规划管理，核发《建设项目选址意见书》、《建设用地规划许可证》、《建设工程规划许可证》。</w:t>
      </w:r>
    </w:p>
    <w:p w:rsidR="004D4926" w:rsidRDefault="004D4926" w:rsidP="004D4926">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15.负责规划设计单位资质的管理。指导城镇规划专业执业资格管理。</w:t>
      </w:r>
    </w:p>
    <w:p w:rsidR="004D4926" w:rsidRDefault="004D4926" w:rsidP="004D4926">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16.承担县土地管理委员会、县城乡规划委员会日常工作。</w:t>
      </w:r>
    </w:p>
    <w:p w:rsidR="004D4926" w:rsidRDefault="004D4926" w:rsidP="004D4926">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17.统一领导和管理中方县林业局。</w:t>
      </w:r>
    </w:p>
    <w:p w:rsidR="004D4926" w:rsidRDefault="004D4926" w:rsidP="004D4926">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18.完成县委和县政府交办的其他任务。</w:t>
      </w:r>
    </w:p>
    <w:p w:rsidR="004D4926" w:rsidRDefault="004D4926" w:rsidP="004D4926">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19.职能转变。县自然资源局要落实中央关于统一行使全民所有自然资源资产所有者职责，统一行使所有国土空间用途管制和生态保护修复职责的要求，强化顶层设计，发挥国土空间规划管控作用，为保护和合理开发利用自然资源提供科学指引。进一步加强自然资源的保护和合理开发利用，建立健全源头保护和全过程修复治理相结合的工作机制，实现整体保护、系统修复、综合治理。创新激励约束并举的制度措施，推进自然资源节约集约利用。进一步精简下放有关行政审批事项、强化监管力度，充分发挥市场对资源配置的决定性作用，更好发挥政府作用，强化自然资源管理规则、标准、制度的约束性作用，推进自然资源确权登记和评估的便民高效。</w:t>
      </w:r>
    </w:p>
    <w:p w:rsidR="004D4926" w:rsidRDefault="004D4926" w:rsidP="0078444A">
      <w:pPr>
        <w:widowControl w:val="0"/>
        <w:adjustRightInd/>
        <w:snapToGrid/>
        <w:spacing w:after="0" w:line="480" w:lineRule="exact"/>
        <w:ind w:firstLineChars="300" w:firstLine="960"/>
        <w:jc w:val="both"/>
        <w:rPr>
          <w:rFonts w:ascii="仿宋" w:eastAsia="仿宋" w:hAnsi="仿宋" w:cs="仿宋"/>
          <w:kern w:val="2"/>
          <w:sz w:val="32"/>
          <w:szCs w:val="32"/>
        </w:rPr>
      </w:pPr>
      <w:r>
        <w:rPr>
          <w:rFonts w:ascii="仿宋" w:eastAsia="仿宋" w:hAnsi="仿宋" w:cs="仿宋" w:hint="eastAsia"/>
          <w:kern w:val="2"/>
          <w:sz w:val="32"/>
          <w:szCs w:val="32"/>
        </w:rPr>
        <w:t>机构设置</w:t>
      </w:r>
    </w:p>
    <w:p w:rsidR="0078444A" w:rsidRDefault="004D4926" w:rsidP="001346A0">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中方县自然资源局为正科级行政事业单位。下设12个乡镇自然资源所及办公室、地理信息股、法规股、自然资源调查监测确权登记股、地产股、国土空间规划股、国土空间用途管制股、耕地保护监督股、地质勘查修复股、矿产资源保护监督股、国土空间测绘股、用地规划管理股、计财股、人事教育股、行政审批服务股、城乡规划管理股16个股室及不动产登记中心、国土测量队、土地整理中心等10个二级机构。</w:t>
      </w:r>
    </w:p>
    <w:p w:rsidR="0078444A" w:rsidRDefault="0078444A" w:rsidP="0078444A">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lastRenderedPageBreak/>
        <w:t>(二)</w:t>
      </w:r>
      <w:r w:rsidRPr="0078444A">
        <w:rPr>
          <w:rFonts w:ascii="仿宋" w:eastAsia="仿宋" w:hAnsi="仿宋" w:cs="仿宋" w:hint="eastAsia"/>
          <w:kern w:val="2"/>
          <w:sz w:val="32"/>
          <w:szCs w:val="32"/>
        </w:rPr>
        <w:t xml:space="preserve"> </w:t>
      </w:r>
      <w:r>
        <w:rPr>
          <w:rFonts w:ascii="仿宋" w:eastAsia="仿宋" w:hAnsi="仿宋" w:cs="仿宋" w:hint="eastAsia"/>
          <w:kern w:val="2"/>
          <w:sz w:val="32"/>
          <w:szCs w:val="32"/>
        </w:rPr>
        <w:t>人员情况</w:t>
      </w:r>
    </w:p>
    <w:p w:rsidR="004D4926" w:rsidRPr="001346A0" w:rsidRDefault="00E14C33" w:rsidP="001346A0">
      <w:pPr>
        <w:widowControl w:val="0"/>
        <w:adjustRightInd/>
        <w:snapToGrid/>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本单位</w:t>
      </w:r>
      <w:r w:rsidR="004D4926">
        <w:rPr>
          <w:rFonts w:ascii="仿宋" w:eastAsia="仿宋" w:hAnsi="仿宋" w:cs="仿宋" w:hint="eastAsia"/>
          <w:kern w:val="2"/>
          <w:sz w:val="32"/>
          <w:szCs w:val="32"/>
        </w:rPr>
        <w:t>核定编制303人，实有在职人数</w:t>
      </w:r>
      <w:r w:rsidR="005C40EE">
        <w:rPr>
          <w:rFonts w:ascii="仿宋" w:eastAsia="仿宋" w:hAnsi="仿宋" w:cs="仿宋" w:hint="eastAsia"/>
          <w:kern w:val="2"/>
          <w:sz w:val="32"/>
          <w:szCs w:val="32"/>
        </w:rPr>
        <w:t>2</w:t>
      </w:r>
      <w:r w:rsidR="00AB5A92">
        <w:rPr>
          <w:rFonts w:ascii="仿宋" w:eastAsia="仿宋" w:hAnsi="仿宋" w:cs="仿宋" w:hint="eastAsia"/>
          <w:kern w:val="2"/>
          <w:sz w:val="32"/>
          <w:szCs w:val="32"/>
        </w:rPr>
        <w:t>56</w:t>
      </w:r>
      <w:r w:rsidR="004D4926">
        <w:rPr>
          <w:rFonts w:ascii="仿宋" w:eastAsia="仿宋" w:hAnsi="仿宋" w:cs="仿宋" w:hint="eastAsia"/>
          <w:kern w:val="2"/>
          <w:sz w:val="32"/>
          <w:szCs w:val="32"/>
        </w:rPr>
        <w:t>人，</w:t>
      </w:r>
      <w:r w:rsidR="00F123D6">
        <w:rPr>
          <w:rFonts w:ascii="仿宋" w:eastAsia="仿宋" w:hAnsi="仿宋" w:cs="仿宋" w:hint="eastAsia"/>
          <w:kern w:val="2"/>
          <w:sz w:val="32"/>
          <w:szCs w:val="32"/>
        </w:rPr>
        <w:t>无超编制情况。</w:t>
      </w:r>
      <w:r w:rsidR="004D4926">
        <w:rPr>
          <w:rFonts w:ascii="仿宋" w:eastAsia="仿宋" w:hAnsi="仿宋" w:cs="仿宋" w:hint="eastAsia"/>
          <w:kern w:val="2"/>
          <w:sz w:val="32"/>
          <w:szCs w:val="32"/>
        </w:rPr>
        <w:t>其中：全额拨款</w:t>
      </w:r>
      <w:r w:rsidR="005C40EE">
        <w:rPr>
          <w:rFonts w:ascii="仿宋" w:eastAsia="仿宋" w:hAnsi="仿宋" w:cs="仿宋" w:hint="eastAsia"/>
          <w:kern w:val="2"/>
          <w:sz w:val="32"/>
          <w:szCs w:val="32"/>
        </w:rPr>
        <w:t>15</w:t>
      </w:r>
      <w:r w:rsidR="00AB5A92">
        <w:rPr>
          <w:rFonts w:ascii="仿宋" w:eastAsia="仿宋" w:hAnsi="仿宋" w:cs="仿宋" w:hint="eastAsia"/>
          <w:kern w:val="2"/>
          <w:sz w:val="32"/>
          <w:szCs w:val="32"/>
        </w:rPr>
        <w:t>5</w:t>
      </w:r>
      <w:r w:rsidR="00886A35">
        <w:rPr>
          <w:rFonts w:ascii="仿宋" w:eastAsia="仿宋" w:hAnsi="仿宋" w:cs="仿宋" w:hint="eastAsia"/>
          <w:kern w:val="2"/>
          <w:sz w:val="32"/>
          <w:szCs w:val="32"/>
        </w:rPr>
        <w:t>人，</w:t>
      </w:r>
      <w:r w:rsidR="004D4926">
        <w:rPr>
          <w:rFonts w:ascii="仿宋" w:eastAsia="仿宋" w:hAnsi="仿宋" w:cs="仿宋" w:hint="eastAsia"/>
          <w:kern w:val="2"/>
          <w:sz w:val="32"/>
          <w:szCs w:val="32"/>
        </w:rPr>
        <w:t>差额</w:t>
      </w:r>
      <w:r w:rsidR="003634F7">
        <w:rPr>
          <w:rFonts w:ascii="仿宋" w:eastAsia="仿宋" w:hAnsi="仿宋" w:cs="仿宋" w:hint="eastAsia"/>
          <w:kern w:val="2"/>
          <w:sz w:val="32"/>
          <w:szCs w:val="32"/>
        </w:rPr>
        <w:t>、</w:t>
      </w:r>
      <w:r w:rsidR="005C40EE">
        <w:rPr>
          <w:rFonts w:ascii="仿宋" w:eastAsia="仿宋" w:hAnsi="仿宋" w:cs="仿宋" w:hint="eastAsia"/>
          <w:kern w:val="2"/>
          <w:sz w:val="32"/>
          <w:szCs w:val="32"/>
        </w:rPr>
        <w:t>自筹</w:t>
      </w:r>
      <w:r w:rsidR="00AB5A92">
        <w:rPr>
          <w:rFonts w:ascii="仿宋" w:eastAsia="仿宋" w:hAnsi="仿宋" w:cs="仿宋" w:hint="eastAsia"/>
          <w:kern w:val="2"/>
          <w:sz w:val="32"/>
          <w:szCs w:val="32"/>
        </w:rPr>
        <w:t>101</w:t>
      </w:r>
      <w:r w:rsidR="004D4926">
        <w:rPr>
          <w:rFonts w:ascii="仿宋" w:eastAsia="仿宋" w:hAnsi="仿宋" w:cs="仿宋" w:hint="eastAsia"/>
          <w:kern w:val="2"/>
          <w:sz w:val="32"/>
          <w:szCs w:val="32"/>
        </w:rPr>
        <w:t>人</w:t>
      </w:r>
      <w:r w:rsidR="00886A35">
        <w:rPr>
          <w:rFonts w:ascii="仿宋" w:eastAsia="仿宋" w:hAnsi="仿宋" w:cs="仿宋" w:hint="eastAsia"/>
          <w:kern w:val="2"/>
          <w:sz w:val="32"/>
          <w:szCs w:val="32"/>
        </w:rPr>
        <w:t>；</w:t>
      </w:r>
      <w:r w:rsidR="004D4926">
        <w:rPr>
          <w:rFonts w:ascii="仿宋" w:eastAsia="仿宋" w:hAnsi="仿宋" w:cs="仿宋" w:hint="eastAsia"/>
          <w:kern w:val="2"/>
          <w:sz w:val="32"/>
          <w:szCs w:val="32"/>
        </w:rPr>
        <w:t>退休</w:t>
      </w:r>
      <w:r w:rsidR="00AB5A92">
        <w:rPr>
          <w:rFonts w:ascii="仿宋" w:eastAsia="仿宋" w:hAnsi="仿宋" w:cs="仿宋" w:hint="eastAsia"/>
          <w:kern w:val="2"/>
          <w:sz w:val="32"/>
          <w:szCs w:val="32"/>
        </w:rPr>
        <w:t>74</w:t>
      </w:r>
      <w:r w:rsidR="004D4926">
        <w:rPr>
          <w:rFonts w:ascii="仿宋" w:eastAsia="仿宋" w:hAnsi="仿宋" w:cs="仿宋" w:hint="eastAsia"/>
          <w:kern w:val="2"/>
          <w:sz w:val="32"/>
          <w:szCs w:val="32"/>
        </w:rPr>
        <w:t>人</w:t>
      </w:r>
      <w:r w:rsidR="00AB5A92">
        <w:rPr>
          <w:rFonts w:ascii="仿宋" w:eastAsia="仿宋" w:hAnsi="仿宋" w:cs="仿宋" w:hint="eastAsia"/>
          <w:kern w:val="2"/>
          <w:sz w:val="32"/>
          <w:szCs w:val="32"/>
        </w:rPr>
        <w:t>。</w:t>
      </w:r>
    </w:p>
    <w:p w:rsidR="005E515C" w:rsidRDefault="00AD2C0E">
      <w:pPr>
        <w:spacing w:after="0" w:line="600" w:lineRule="atLeast"/>
        <w:ind w:firstLineChars="200" w:firstLine="640"/>
        <w:rPr>
          <w:rFonts w:ascii="仿宋" w:eastAsia="仿宋" w:hAnsi="仿宋" w:cs="仿宋"/>
          <w:sz w:val="32"/>
          <w:szCs w:val="32"/>
        </w:rPr>
      </w:pPr>
      <w:r>
        <w:rPr>
          <w:rFonts w:ascii="仿宋" w:eastAsia="仿宋" w:hAnsi="仿宋" w:cs="仿宋" w:hint="eastAsia"/>
          <w:sz w:val="32"/>
          <w:szCs w:val="32"/>
        </w:rPr>
        <w:t>（三）部门年度总体工作任务和重点工作任务</w:t>
      </w:r>
    </w:p>
    <w:p w:rsidR="003453D4" w:rsidRPr="00F42CFA" w:rsidRDefault="004756D5" w:rsidP="004756D5">
      <w:pPr>
        <w:spacing w:after="0" w:line="480" w:lineRule="atLeast"/>
        <w:ind w:firstLineChars="250" w:firstLine="815"/>
        <w:jc w:val="both"/>
        <w:rPr>
          <w:rFonts w:ascii="仿宋" w:eastAsia="仿宋" w:hAnsi="仿宋" w:cs="仿宋"/>
          <w:sz w:val="32"/>
          <w:szCs w:val="32"/>
        </w:rPr>
      </w:pPr>
      <w:r w:rsidRPr="004756D5">
        <w:rPr>
          <w:rFonts w:ascii="仿宋" w:eastAsia="仿宋" w:hAnsi="仿宋" w:cs="仿宋" w:hint="eastAsia"/>
          <w:spacing w:val="6"/>
          <w:sz w:val="32"/>
          <w:szCs w:val="32"/>
        </w:rPr>
        <w:t>紧紧围绕省厅、市局及中方县委、县政府中心工作，坚决扛牢保障发展和保护资源“两大使命”，积极主动做好服务，切实保障招商引资、基础设施和民生项目的建设用地需求，全力保障深度融入怀化国际陆港建设和推进鹤中一体化，为推进中方县域经济发展再作新贡献。</w:t>
      </w:r>
      <w:r w:rsidR="00FD2604" w:rsidRPr="00F42CFA">
        <w:rPr>
          <w:rFonts w:ascii="仿宋" w:eastAsia="仿宋" w:hAnsi="仿宋" w:cs="仿宋_GB2312" w:hint="eastAsia"/>
          <w:color w:val="000000"/>
          <w:spacing w:val="-6"/>
          <w:sz w:val="32"/>
          <w:szCs w:val="32"/>
          <w:shd w:val="clear" w:color="auto" w:fill="FFFFFF"/>
        </w:rPr>
        <w:t>重点工作任务：一、</w:t>
      </w:r>
      <w:r w:rsidRPr="004756D5">
        <w:rPr>
          <w:rStyle w:val="a9"/>
          <w:rFonts w:ascii="仿宋" w:eastAsia="仿宋" w:hAnsi="仿宋" w:cs="仿宋_GB2312" w:hint="eastAsia"/>
          <w:kern w:val="2"/>
          <w:sz w:val="32"/>
          <w:szCs w:val="32"/>
        </w:rPr>
        <w:t>坚决落实“长牙齿”的硬措施，守牢耕地保护红线</w:t>
      </w:r>
      <w:r w:rsidR="00FD2604" w:rsidRPr="00F42CFA">
        <w:rPr>
          <w:rStyle w:val="a9"/>
          <w:rFonts w:ascii="仿宋" w:eastAsia="仿宋" w:hAnsi="仿宋" w:cs="仿宋_GB2312" w:hint="eastAsia"/>
          <w:kern w:val="2"/>
          <w:sz w:val="32"/>
          <w:szCs w:val="32"/>
        </w:rPr>
        <w:t>；</w:t>
      </w:r>
      <w:r w:rsidR="00FD2604" w:rsidRPr="00F42CFA">
        <w:rPr>
          <w:rFonts w:ascii="仿宋" w:eastAsia="仿宋" w:hAnsi="仿宋" w:cs="仿宋_GB2312" w:hint="eastAsia"/>
          <w:b/>
          <w:bCs/>
          <w:kern w:val="2"/>
          <w:sz w:val="32"/>
          <w:szCs w:val="32"/>
        </w:rPr>
        <w:t xml:space="preserve"> </w:t>
      </w:r>
      <w:r w:rsidR="00FD2604" w:rsidRPr="00F42CFA">
        <w:rPr>
          <w:rStyle w:val="a9"/>
          <w:rFonts w:ascii="仿宋" w:eastAsia="仿宋" w:hAnsi="仿宋" w:cs="仿宋_GB2312" w:hint="eastAsia"/>
          <w:bCs/>
          <w:kern w:val="2"/>
          <w:sz w:val="32"/>
          <w:szCs w:val="32"/>
        </w:rPr>
        <w:t>二、</w:t>
      </w:r>
      <w:r w:rsidRPr="004756D5">
        <w:rPr>
          <w:rStyle w:val="a9"/>
          <w:rFonts w:ascii="仿宋" w:eastAsia="仿宋" w:hAnsi="仿宋" w:cs="仿宋_GB2312" w:hint="eastAsia"/>
          <w:kern w:val="2"/>
          <w:sz w:val="32"/>
          <w:szCs w:val="32"/>
        </w:rPr>
        <w:t>对标怀化国际陆港和鹤中一体化发展，提升要素保障能力</w:t>
      </w:r>
      <w:r w:rsidR="00FD2604" w:rsidRPr="00F42CFA">
        <w:rPr>
          <w:rStyle w:val="a9"/>
          <w:rFonts w:ascii="仿宋" w:eastAsia="仿宋" w:hAnsi="仿宋" w:cs="仿宋_GB2312" w:hint="eastAsia"/>
          <w:kern w:val="2"/>
          <w:sz w:val="32"/>
          <w:szCs w:val="32"/>
        </w:rPr>
        <w:t>；</w:t>
      </w:r>
      <w:r w:rsidR="00FD2604" w:rsidRPr="00F42CFA">
        <w:rPr>
          <w:rStyle w:val="a9"/>
          <w:rFonts w:ascii="仿宋" w:eastAsia="仿宋" w:hAnsi="仿宋" w:cs="仿宋_GB2312" w:hint="eastAsia"/>
          <w:bCs/>
          <w:kern w:val="2"/>
          <w:sz w:val="32"/>
          <w:szCs w:val="32"/>
        </w:rPr>
        <w:t>三</w:t>
      </w:r>
      <w:r w:rsidR="00FD2604" w:rsidRPr="00F42CFA">
        <w:rPr>
          <w:rStyle w:val="a9"/>
          <w:rFonts w:ascii="仿宋" w:eastAsia="仿宋" w:hAnsi="仿宋" w:cs="仿宋_GB2312" w:hint="eastAsia"/>
          <w:b/>
          <w:bCs/>
          <w:kern w:val="2"/>
          <w:sz w:val="32"/>
          <w:szCs w:val="32"/>
        </w:rPr>
        <w:t>、</w:t>
      </w:r>
      <w:r w:rsidR="0029394A" w:rsidRPr="0029394A">
        <w:rPr>
          <w:rStyle w:val="a9"/>
          <w:rFonts w:ascii="仿宋" w:eastAsia="仿宋" w:hAnsi="仿宋" w:cs="仿宋_GB2312" w:hint="eastAsia"/>
          <w:kern w:val="2"/>
          <w:sz w:val="32"/>
          <w:szCs w:val="32"/>
        </w:rPr>
        <w:t>坚持以人为本，切实维护群众利益</w:t>
      </w:r>
      <w:r w:rsidR="00FD2604" w:rsidRPr="00F42CFA">
        <w:rPr>
          <w:rStyle w:val="a9"/>
          <w:rFonts w:ascii="仿宋" w:eastAsia="仿宋" w:hAnsi="仿宋" w:cs="仿宋_GB2312" w:hint="eastAsia"/>
          <w:kern w:val="2"/>
          <w:sz w:val="32"/>
          <w:szCs w:val="32"/>
        </w:rPr>
        <w:t>；</w:t>
      </w:r>
      <w:r w:rsidR="00FD2604" w:rsidRPr="00F42CFA">
        <w:rPr>
          <w:rStyle w:val="a9"/>
          <w:rFonts w:ascii="仿宋" w:eastAsia="仿宋" w:hAnsi="仿宋" w:cs="仿宋_GB2312" w:hint="eastAsia"/>
          <w:bCs/>
          <w:kern w:val="2"/>
          <w:sz w:val="32"/>
          <w:szCs w:val="32"/>
        </w:rPr>
        <w:t>四</w:t>
      </w:r>
      <w:r w:rsidR="00C20683" w:rsidRPr="00F42CFA">
        <w:rPr>
          <w:rStyle w:val="a9"/>
          <w:rFonts w:ascii="仿宋" w:eastAsia="仿宋" w:hAnsi="仿宋" w:cs="仿宋_GB2312" w:hint="eastAsia"/>
          <w:bCs/>
          <w:kern w:val="2"/>
          <w:sz w:val="32"/>
          <w:szCs w:val="32"/>
        </w:rPr>
        <w:t>、</w:t>
      </w:r>
      <w:r w:rsidR="0029394A" w:rsidRPr="0029394A">
        <w:rPr>
          <w:rStyle w:val="a9"/>
          <w:rFonts w:ascii="仿宋" w:eastAsia="仿宋" w:hAnsi="仿宋" w:cs="仿宋_GB2312" w:hint="eastAsia"/>
          <w:kern w:val="2"/>
          <w:sz w:val="32"/>
          <w:szCs w:val="32"/>
        </w:rPr>
        <w:t>坚持生态优先，推进绿色发展</w:t>
      </w:r>
      <w:r w:rsidR="00C20683" w:rsidRPr="00F42CFA">
        <w:rPr>
          <w:rStyle w:val="a9"/>
          <w:rFonts w:ascii="仿宋" w:eastAsia="仿宋" w:hAnsi="仿宋" w:cs="仿宋_GB2312" w:hint="eastAsia"/>
          <w:kern w:val="2"/>
          <w:sz w:val="32"/>
          <w:szCs w:val="32"/>
        </w:rPr>
        <w:t>；</w:t>
      </w:r>
      <w:r w:rsidR="00C20683" w:rsidRPr="00F42CFA">
        <w:rPr>
          <w:rStyle w:val="a9"/>
          <w:rFonts w:ascii="仿宋" w:eastAsia="仿宋" w:hAnsi="仿宋" w:cs="仿宋_GB2312" w:hint="eastAsia"/>
          <w:bCs/>
          <w:kern w:val="2"/>
          <w:sz w:val="32"/>
          <w:szCs w:val="32"/>
        </w:rPr>
        <w:t>五</w:t>
      </w:r>
      <w:r w:rsidR="00C20683" w:rsidRPr="00F42CFA">
        <w:rPr>
          <w:rStyle w:val="a9"/>
          <w:rFonts w:ascii="仿宋" w:eastAsia="仿宋" w:hAnsi="仿宋" w:cs="仿宋_GB2312" w:hint="eastAsia"/>
          <w:b/>
          <w:bCs/>
          <w:kern w:val="2"/>
          <w:sz w:val="32"/>
          <w:szCs w:val="32"/>
        </w:rPr>
        <w:t>、</w:t>
      </w:r>
      <w:r w:rsidR="00954FEA" w:rsidRPr="00954FEA">
        <w:rPr>
          <w:rStyle w:val="a9"/>
          <w:rFonts w:ascii="仿宋" w:eastAsia="仿宋" w:hAnsi="仿宋" w:cs="仿宋_GB2312" w:hint="eastAsia"/>
          <w:kern w:val="2"/>
          <w:sz w:val="32"/>
          <w:szCs w:val="32"/>
        </w:rPr>
        <w:t>强化顶层设计，助力乡村振兴</w:t>
      </w:r>
      <w:r w:rsidR="00C20683" w:rsidRPr="00F42CFA">
        <w:rPr>
          <w:rStyle w:val="a9"/>
          <w:rFonts w:ascii="仿宋" w:eastAsia="仿宋" w:hAnsi="仿宋" w:cs="仿宋_GB2312" w:hint="eastAsia"/>
          <w:kern w:val="2"/>
          <w:sz w:val="32"/>
          <w:szCs w:val="32"/>
        </w:rPr>
        <w:t>；</w:t>
      </w:r>
      <w:r w:rsidR="00C20683" w:rsidRPr="00F42CFA">
        <w:rPr>
          <w:rStyle w:val="a9"/>
          <w:rFonts w:ascii="仿宋" w:eastAsia="仿宋" w:hAnsi="仿宋" w:cs="仿宋_GB2312" w:hint="eastAsia"/>
          <w:bCs/>
          <w:kern w:val="2"/>
          <w:sz w:val="32"/>
          <w:szCs w:val="32"/>
        </w:rPr>
        <w:t>六、</w:t>
      </w:r>
      <w:r w:rsidR="00954FEA" w:rsidRPr="00954FEA">
        <w:rPr>
          <w:rStyle w:val="a9"/>
          <w:rFonts w:ascii="仿宋" w:eastAsia="仿宋" w:hAnsi="仿宋" w:cs="仿宋_GB2312" w:hint="eastAsia"/>
          <w:kern w:val="2"/>
          <w:sz w:val="32"/>
          <w:szCs w:val="32"/>
        </w:rPr>
        <w:t>加强内外联动，强化自然资源督查执法</w:t>
      </w:r>
      <w:r w:rsidR="00C20683" w:rsidRPr="00F42CFA">
        <w:rPr>
          <w:rStyle w:val="a9"/>
          <w:rFonts w:ascii="仿宋" w:eastAsia="仿宋" w:hAnsi="仿宋" w:cs="仿宋_GB2312" w:hint="eastAsia"/>
          <w:kern w:val="2"/>
          <w:sz w:val="32"/>
          <w:szCs w:val="32"/>
        </w:rPr>
        <w:t>；</w:t>
      </w:r>
      <w:r w:rsidR="00C20683" w:rsidRPr="00F42CFA">
        <w:rPr>
          <w:rStyle w:val="a9"/>
          <w:rFonts w:ascii="仿宋" w:eastAsia="仿宋" w:hAnsi="仿宋" w:cs="仿宋_GB2312" w:hint="eastAsia"/>
          <w:bCs/>
          <w:kern w:val="2"/>
          <w:sz w:val="32"/>
          <w:szCs w:val="32"/>
        </w:rPr>
        <w:t>七、</w:t>
      </w:r>
      <w:r w:rsidR="00954FEA" w:rsidRPr="00954FEA">
        <w:rPr>
          <w:rStyle w:val="a9"/>
          <w:rFonts w:ascii="仿宋" w:eastAsia="仿宋" w:hAnsi="仿宋" w:cs="仿宋_GB2312" w:hint="eastAsia"/>
          <w:kern w:val="2"/>
          <w:sz w:val="32"/>
          <w:szCs w:val="32"/>
        </w:rPr>
        <w:t>加强自身建设，提升自然资源部门形象</w:t>
      </w:r>
      <w:r w:rsidR="00C20683" w:rsidRPr="00F42CFA">
        <w:rPr>
          <w:rStyle w:val="a9"/>
          <w:rFonts w:ascii="仿宋" w:eastAsia="仿宋" w:hAnsi="仿宋" w:cs="仿宋_GB2312" w:hint="eastAsia"/>
          <w:kern w:val="2"/>
          <w:sz w:val="32"/>
          <w:szCs w:val="32"/>
        </w:rPr>
        <w:t>。</w:t>
      </w:r>
    </w:p>
    <w:p w:rsidR="00AD2C0E" w:rsidRPr="005D5503" w:rsidRDefault="00AD2C0E" w:rsidP="005D5503">
      <w:pPr>
        <w:pStyle w:val="aa"/>
        <w:numPr>
          <w:ilvl w:val="0"/>
          <w:numId w:val="2"/>
        </w:numPr>
        <w:spacing w:after="0" w:line="600" w:lineRule="atLeast"/>
        <w:ind w:firstLineChars="0"/>
        <w:rPr>
          <w:rFonts w:ascii="仿宋" w:eastAsia="仿宋" w:hAnsi="仿宋" w:cs="仿宋"/>
          <w:sz w:val="32"/>
          <w:szCs w:val="32"/>
        </w:rPr>
      </w:pPr>
      <w:r w:rsidRPr="005D5503">
        <w:rPr>
          <w:rFonts w:ascii="仿宋" w:eastAsia="仿宋" w:hAnsi="仿宋" w:cs="仿宋" w:hint="eastAsia"/>
          <w:sz w:val="32"/>
          <w:szCs w:val="32"/>
        </w:rPr>
        <w:t>部门年度整体收支情况</w:t>
      </w:r>
    </w:p>
    <w:p w:rsidR="00E763D3" w:rsidRDefault="005D5503" w:rsidP="00E763D3">
      <w:pPr>
        <w:pStyle w:val="aa"/>
        <w:widowControl w:val="0"/>
        <w:adjustRightInd/>
        <w:snapToGrid/>
        <w:spacing w:after="0" w:line="480" w:lineRule="atLeast"/>
        <w:ind w:firstLineChars="250" w:firstLine="800"/>
        <w:jc w:val="both"/>
        <w:rPr>
          <w:rFonts w:ascii="仿宋_GB2312" w:eastAsia="仿宋_GB2312" w:hAnsi="仿宋_GB2312" w:cs="宋体"/>
          <w:sz w:val="32"/>
        </w:rPr>
      </w:pPr>
      <w:r w:rsidRPr="005D5503">
        <w:rPr>
          <w:rFonts w:ascii="仿宋_GB2312" w:eastAsia="仿宋_GB2312" w:hAnsi="仿宋_GB2312" w:cs="仿宋_GB2312" w:hint="eastAsia"/>
          <w:color w:val="000000"/>
          <w:sz w:val="32"/>
          <w:szCs w:val="32"/>
          <w:shd w:val="clear" w:color="auto" w:fill="FFFFFF"/>
        </w:rPr>
        <w:t>202</w:t>
      </w:r>
      <w:r w:rsidR="00BC01BB">
        <w:rPr>
          <w:rFonts w:ascii="仿宋_GB2312" w:eastAsia="仿宋_GB2312" w:hAnsi="仿宋_GB2312" w:cs="仿宋_GB2312" w:hint="eastAsia"/>
          <w:color w:val="000000"/>
          <w:sz w:val="32"/>
          <w:szCs w:val="32"/>
          <w:shd w:val="clear" w:color="auto" w:fill="FFFFFF"/>
        </w:rPr>
        <w:t>3</w:t>
      </w:r>
      <w:r w:rsidRPr="005D5503">
        <w:rPr>
          <w:rFonts w:eastAsia="仿宋_GB2312" w:cs="Times New Roman"/>
          <w:sz w:val="32"/>
          <w:szCs w:val="32"/>
        </w:rPr>
        <w:t>年</w:t>
      </w:r>
      <w:bookmarkStart w:id="0" w:name="IS_DEPT1"/>
      <w:bookmarkStart w:id="1" w:name="START_DEPT1"/>
      <w:bookmarkStart w:id="2" w:name="DIS_MARK_DEPT1"/>
      <w:bookmarkStart w:id="3" w:name="END_DEPT1"/>
      <w:bookmarkStart w:id="4" w:name="START_DIV1"/>
      <w:bookmarkStart w:id="5" w:name="END_DIV1"/>
      <w:bookmarkEnd w:id="0"/>
      <w:bookmarkEnd w:id="1"/>
      <w:bookmarkEnd w:id="2"/>
      <w:bookmarkEnd w:id="3"/>
      <w:bookmarkEnd w:id="4"/>
      <w:bookmarkEnd w:id="5"/>
      <w:r w:rsidR="00E763D3">
        <w:rPr>
          <w:rFonts w:ascii="仿宋_GB2312" w:eastAsia="仿宋_GB2312" w:hAnsi="仿宋_GB2312" w:cs="宋体"/>
          <w:sz w:val="32"/>
        </w:rPr>
        <w:t>收入预算6739.42万元，其中，一般公共预算拨款4225.46万元，政府性基金预算拨款800.00万元，国有资本经营预算拨款0万元，纳入专户管理的非税收入140.00万元，上级财政补助1573.96万元。收入较上年增加1534.83万元，主要原因是上级补助收入增加了1373.96万元，具体为历史遗留及废弃矿山生态修复项目828.32万元、花桥磷矿及白沙溪污水治理项目333万元、</w:t>
      </w:r>
      <w:r w:rsidR="00E763D3">
        <w:rPr>
          <w:rFonts w:ascii="仿宋_GB2312" w:eastAsia="仿宋_GB2312" w:hAnsi="仿宋_GB2312" w:cs="宋体" w:hint="eastAsia"/>
          <w:sz w:val="32"/>
        </w:rPr>
        <w:t>2020-2022年度地质灾害综合防治体系建设项目100</w:t>
      </w:r>
      <w:r w:rsidR="00E763D3">
        <w:rPr>
          <w:rFonts w:ascii="仿宋_GB2312" w:eastAsia="仿宋_GB2312" w:hAnsi="仿宋_GB2312" w:cs="宋体"/>
          <w:sz w:val="32"/>
        </w:rPr>
        <w:t>万元</w:t>
      </w:r>
      <w:r w:rsidR="00E763D3">
        <w:rPr>
          <w:rFonts w:ascii="仿宋_GB2312" w:eastAsia="仿宋_GB2312" w:hAnsi="仿宋_GB2312" w:cs="宋体" w:hint="eastAsia"/>
          <w:sz w:val="32"/>
        </w:rPr>
        <w:t>等</w:t>
      </w:r>
      <w:r w:rsidR="00E763D3">
        <w:rPr>
          <w:rFonts w:ascii="仿宋_GB2312" w:eastAsia="仿宋_GB2312" w:hAnsi="仿宋_GB2312" w:cs="宋体"/>
          <w:sz w:val="32"/>
        </w:rPr>
        <w:t>;财政专户管理资金收入增加127万元，为自筹人员福利支出项目 ;另外人员保障经费拨款收入增加33.87万元</w:t>
      </w:r>
      <w:r w:rsidR="00E763D3">
        <w:rPr>
          <w:rFonts w:ascii="仿宋_GB2312" w:eastAsia="仿宋_GB2312" w:hAnsi="仿宋_GB2312" w:cs="宋体" w:hint="eastAsia"/>
          <w:sz w:val="32"/>
        </w:rPr>
        <w:t>。</w:t>
      </w:r>
    </w:p>
    <w:p w:rsidR="00E763D3" w:rsidRDefault="00E763D3" w:rsidP="00541F7F">
      <w:pPr>
        <w:widowControl w:val="0"/>
        <w:adjustRightInd/>
        <w:snapToGrid/>
        <w:spacing w:after="0" w:line="480" w:lineRule="exact"/>
        <w:ind w:firstLineChars="250" w:firstLine="800"/>
        <w:jc w:val="both"/>
        <w:rPr>
          <w:rFonts w:ascii="仿宋_GB2312" w:eastAsia="仿宋_GB2312" w:hAnsi="仿宋_GB2312" w:cs="宋体"/>
          <w:sz w:val="32"/>
        </w:rPr>
      </w:pPr>
      <w:r>
        <w:rPr>
          <w:rFonts w:ascii="仿宋_GB2312" w:eastAsia="仿宋_GB2312" w:hAnsi="仿宋_GB2312" w:cs="宋体"/>
          <w:sz w:val="32"/>
        </w:rPr>
        <w:lastRenderedPageBreak/>
        <w:t>2023</w:t>
      </w:r>
      <w:r w:rsidR="00F571E0">
        <w:rPr>
          <w:rFonts w:ascii="仿宋_GB2312" w:eastAsia="仿宋_GB2312" w:hAnsi="仿宋_GB2312" w:cs="宋体"/>
          <w:sz w:val="32"/>
        </w:rPr>
        <w:t>年</w:t>
      </w:r>
      <w:r>
        <w:rPr>
          <w:rFonts w:ascii="仿宋_GB2312" w:eastAsia="仿宋_GB2312" w:hAnsi="仿宋_GB2312" w:cs="宋体"/>
          <w:sz w:val="32"/>
        </w:rPr>
        <w:t>支出预算6739.42万元，其中，社会保障和就业支出192.91万元，卫生健康支出81.08万元，节能环保支出433.00万元，城乡社区支出800.00万元，农林水支出1000.00万元，自然资源海洋气象等支出3724.92万元，住房保障支出114.47万元，灾害防治及应急管理支出393.04万元。支出较上年增加1534.83万元，主要原因是节能环保和农林水专项项目数较上年增加，且支出也增加，其中主要增加了：田长制工作经费专项100万元，历史遗留及废弃矿山生态修复项目828.32万元，花桥磷矿及白沙溪污水治理项目333万元，</w:t>
      </w:r>
      <w:r>
        <w:rPr>
          <w:rFonts w:ascii="仿宋_GB2312" w:eastAsia="仿宋_GB2312" w:hAnsi="仿宋_GB2312" w:cs="宋体" w:hint="eastAsia"/>
          <w:sz w:val="32"/>
        </w:rPr>
        <w:t>2018年-2020年</w:t>
      </w:r>
      <w:r>
        <w:rPr>
          <w:rFonts w:ascii="仿宋_GB2312" w:eastAsia="仿宋_GB2312" w:hAnsi="仿宋_GB2312" w:cs="宋体"/>
          <w:sz w:val="32"/>
        </w:rPr>
        <w:t>地质灾害移民搬迁及应急处置专项272.4万元等</w:t>
      </w:r>
      <w:r>
        <w:rPr>
          <w:rFonts w:ascii="仿宋_GB2312" w:eastAsia="仿宋_GB2312" w:hAnsi="仿宋_GB2312" w:cs="宋体" w:hint="eastAsia"/>
          <w:sz w:val="32"/>
        </w:rPr>
        <w:t>。</w:t>
      </w:r>
    </w:p>
    <w:p w:rsidR="008438A8" w:rsidRPr="00541F7F" w:rsidRDefault="00D15CC8" w:rsidP="00541F7F">
      <w:pPr>
        <w:widowControl w:val="0"/>
        <w:adjustRightInd/>
        <w:snapToGrid/>
        <w:spacing w:after="0" w:line="480" w:lineRule="exact"/>
        <w:ind w:firstLineChars="250" w:firstLine="800"/>
        <w:jc w:val="both"/>
        <w:rPr>
          <w:rFonts w:ascii="仿宋" w:eastAsia="仿宋" w:hAnsi="仿宋"/>
          <w:sz w:val="32"/>
          <w:szCs w:val="32"/>
        </w:rPr>
      </w:pPr>
      <w:r w:rsidRPr="00280B2C">
        <w:rPr>
          <w:rFonts w:ascii="仿宋" w:eastAsia="仿宋" w:hAnsi="仿宋" w:cs="仿宋" w:hint="eastAsia"/>
          <w:kern w:val="2"/>
          <w:sz w:val="32"/>
          <w:szCs w:val="32"/>
        </w:rPr>
        <w:t>专项资金</w:t>
      </w:r>
      <w:r w:rsidR="008438A8" w:rsidRPr="00280B2C">
        <w:rPr>
          <w:rFonts w:ascii="仿宋" w:eastAsia="仿宋" w:hAnsi="仿宋" w:hint="eastAsia"/>
          <w:sz w:val="32"/>
          <w:szCs w:val="32"/>
        </w:rPr>
        <w:t>实行“专项指标管理、专项项目核算、专项使用”；</w:t>
      </w:r>
      <w:r w:rsidR="00450F31" w:rsidRPr="00450F31">
        <w:rPr>
          <w:rFonts w:ascii="仿宋" w:eastAsia="仿宋" w:hAnsi="仿宋" w:cs="仿宋" w:hint="eastAsia"/>
          <w:kern w:val="2"/>
          <w:sz w:val="32"/>
          <w:szCs w:val="32"/>
        </w:rPr>
        <w:t xml:space="preserve"> </w:t>
      </w:r>
      <w:r w:rsidR="00450F31" w:rsidRPr="003A4283">
        <w:rPr>
          <w:rFonts w:ascii="仿宋" w:eastAsia="仿宋" w:hAnsi="仿宋" w:cs="仿宋" w:hint="eastAsia"/>
          <w:kern w:val="2"/>
          <w:sz w:val="32"/>
          <w:szCs w:val="32"/>
        </w:rPr>
        <w:t>专项项目实行采购人专管制度</w:t>
      </w:r>
      <w:r w:rsidR="00450F31">
        <w:rPr>
          <w:rFonts w:ascii="仿宋" w:eastAsia="仿宋" w:hAnsi="仿宋" w:cs="仿宋" w:hint="eastAsia"/>
          <w:kern w:val="2"/>
          <w:sz w:val="32"/>
          <w:szCs w:val="32"/>
        </w:rPr>
        <w:t>；</w:t>
      </w:r>
      <w:r w:rsidR="008438A8" w:rsidRPr="00280B2C">
        <w:rPr>
          <w:rFonts w:ascii="仿宋" w:eastAsia="仿宋" w:hAnsi="仿宋" w:hint="eastAsia"/>
          <w:sz w:val="32"/>
          <w:szCs w:val="32"/>
        </w:rPr>
        <w:t>资金的拨付本着专款专用的原则，严格执行项目资金批准的使用计划和项目批复资料，不准擅自调项、扩项、缩项，更不准拆借、挪用、挤占和随</w:t>
      </w:r>
      <w:r w:rsidR="005B509E">
        <w:rPr>
          <w:rFonts w:ascii="仿宋" w:eastAsia="仿宋" w:hAnsi="仿宋" w:hint="eastAsia"/>
          <w:sz w:val="32"/>
          <w:szCs w:val="32"/>
        </w:rPr>
        <w:t>意扣压；资金拨付动向，按不一样专项资金的要求执行，不准任意改变，</w:t>
      </w:r>
      <w:r w:rsidR="008438A8" w:rsidRPr="00280B2C">
        <w:rPr>
          <w:rFonts w:ascii="仿宋" w:eastAsia="仿宋" w:hAnsi="仿宋" w:hint="eastAsia"/>
          <w:sz w:val="32"/>
          <w:szCs w:val="32"/>
        </w:rPr>
        <w:t>特殊状况，务必请示</w:t>
      </w:r>
      <w:r w:rsidR="00280B2C" w:rsidRPr="00280B2C">
        <w:rPr>
          <w:rFonts w:ascii="仿宋" w:eastAsia="仿宋" w:hAnsi="仿宋" w:hint="eastAsia"/>
          <w:sz w:val="32"/>
          <w:szCs w:val="32"/>
        </w:rPr>
        <w:t>局领导</w:t>
      </w:r>
      <w:r w:rsidR="005B509E">
        <w:rPr>
          <w:rFonts w:ascii="仿宋" w:eastAsia="仿宋" w:hAnsi="仿宋" w:hint="eastAsia"/>
          <w:sz w:val="32"/>
          <w:szCs w:val="32"/>
        </w:rPr>
        <w:t>批准</w:t>
      </w:r>
      <w:r w:rsidR="008438A8" w:rsidRPr="00280B2C">
        <w:rPr>
          <w:rFonts w:ascii="仿宋" w:eastAsia="仿宋" w:hAnsi="仿宋" w:hint="eastAsia"/>
          <w:sz w:val="32"/>
          <w:szCs w:val="32"/>
        </w:rPr>
        <w:t>；专项资金报账拨付要附真实、有效、合法的凭证；严格专项资金初审、终审审核制度；</w:t>
      </w:r>
      <w:r w:rsidR="00280B2C" w:rsidRPr="00280B2C">
        <w:rPr>
          <w:rFonts w:ascii="仿宋" w:eastAsia="仿宋" w:hAnsi="仿宋" w:hint="eastAsia"/>
          <w:sz w:val="32"/>
          <w:szCs w:val="32"/>
        </w:rPr>
        <w:t>对专项资金要定期或不定期进行督查，确保项目资金专款专用，</w:t>
      </w:r>
      <w:r w:rsidR="008438A8" w:rsidRPr="00280B2C">
        <w:rPr>
          <w:rFonts w:ascii="仿宋" w:eastAsia="仿宋" w:hAnsi="仿宋" w:hint="eastAsia"/>
          <w:sz w:val="32"/>
          <w:szCs w:val="32"/>
        </w:rPr>
        <w:t>全程参与项目验收和采购项目接交。</w:t>
      </w:r>
    </w:p>
    <w:p w:rsidR="00931C11" w:rsidRDefault="00931C11" w:rsidP="005611A5">
      <w:pPr>
        <w:widowControl w:val="0"/>
        <w:adjustRightInd/>
        <w:snapToGrid/>
        <w:spacing w:after="0" w:line="480" w:lineRule="exact"/>
        <w:ind w:firstLineChars="250" w:firstLine="803"/>
        <w:jc w:val="both"/>
        <w:rPr>
          <w:rFonts w:ascii="仿宋" w:eastAsia="仿宋" w:hAnsi="仿宋" w:cs="仿宋"/>
          <w:kern w:val="2"/>
          <w:sz w:val="32"/>
          <w:szCs w:val="32"/>
        </w:rPr>
      </w:pPr>
      <w:r>
        <w:rPr>
          <w:rFonts w:ascii="仿宋" w:eastAsia="仿宋" w:hAnsi="仿宋" w:cs="仿宋" w:hint="eastAsia"/>
          <w:b/>
          <w:bCs/>
          <w:kern w:val="2"/>
          <w:sz w:val="32"/>
          <w:szCs w:val="32"/>
        </w:rPr>
        <w:t>“三公”经费支出情况：</w:t>
      </w:r>
      <w:r>
        <w:rPr>
          <w:rFonts w:ascii="仿宋" w:eastAsia="仿宋" w:hAnsi="仿宋" w:cs="仿宋" w:hint="eastAsia"/>
          <w:kern w:val="2"/>
          <w:sz w:val="32"/>
          <w:szCs w:val="32"/>
        </w:rPr>
        <w:t xml:space="preserve"> </w:t>
      </w:r>
      <w:r w:rsidR="00E763D3">
        <w:rPr>
          <w:rFonts w:ascii="仿宋" w:eastAsia="仿宋" w:hAnsi="仿宋" w:cs="仿宋" w:hint="eastAsia"/>
          <w:kern w:val="2"/>
          <w:sz w:val="32"/>
          <w:szCs w:val="32"/>
        </w:rPr>
        <w:t>2023</w:t>
      </w:r>
      <w:r>
        <w:rPr>
          <w:rFonts w:ascii="仿宋" w:eastAsia="仿宋" w:hAnsi="仿宋" w:cs="仿宋" w:hint="eastAsia"/>
          <w:kern w:val="2"/>
          <w:sz w:val="32"/>
          <w:szCs w:val="32"/>
        </w:rPr>
        <w:t>年</w:t>
      </w:r>
      <w:r w:rsidR="00FF6A0B">
        <w:rPr>
          <w:rFonts w:ascii="仿宋" w:eastAsia="仿宋" w:hAnsi="仿宋" w:cs="仿宋" w:hint="eastAsia"/>
          <w:kern w:val="2"/>
          <w:sz w:val="32"/>
          <w:szCs w:val="32"/>
        </w:rPr>
        <w:t>末</w:t>
      </w:r>
      <w:r>
        <w:rPr>
          <w:rFonts w:ascii="仿宋" w:eastAsia="仿宋" w:hAnsi="仿宋" w:cs="仿宋" w:hint="eastAsia"/>
          <w:kern w:val="2"/>
          <w:sz w:val="32"/>
          <w:szCs w:val="32"/>
        </w:rPr>
        <w:t>“三公”经费决算数</w:t>
      </w:r>
      <w:r w:rsidR="00877D58">
        <w:rPr>
          <w:rFonts w:ascii="仿宋" w:eastAsia="仿宋" w:hAnsi="仿宋" w:cs="仿宋" w:hint="eastAsia"/>
          <w:kern w:val="2"/>
          <w:sz w:val="32"/>
          <w:szCs w:val="32"/>
        </w:rPr>
        <w:t>3.91</w:t>
      </w:r>
      <w:r w:rsidR="003A1240">
        <w:rPr>
          <w:rFonts w:ascii="仿宋" w:eastAsia="仿宋" w:hAnsi="仿宋" w:cs="仿宋" w:hint="eastAsia"/>
          <w:kern w:val="2"/>
          <w:sz w:val="32"/>
          <w:szCs w:val="32"/>
        </w:rPr>
        <w:t>万元，其中：公务接待费</w:t>
      </w:r>
      <w:r w:rsidR="00877D58">
        <w:rPr>
          <w:rFonts w:ascii="仿宋" w:eastAsia="仿宋" w:hAnsi="仿宋" w:cs="仿宋" w:hint="eastAsia"/>
          <w:kern w:val="2"/>
          <w:sz w:val="32"/>
          <w:szCs w:val="32"/>
        </w:rPr>
        <w:t>1.21</w:t>
      </w:r>
      <w:r w:rsidR="003A1240">
        <w:rPr>
          <w:rFonts w:ascii="仿宋" w:eastAsia="仿宋" w:hAnsi="仿宋" w:cs="仿宋" w:hint="eastAsia"/>
          <w:kern w:val="2"/>
          <w:sz w:val="32"/>
          <w:szCs w:val="32"/>
        </w:rPr>
        <w:t>万元，公务用车购置及运行费</w:t>
      </w:r>
      <w:r w:rsidR="00877D58">
        <w:rPr>
          <w:rFonts w:ascii="仿宋" w:eastAsia="仿宋" w:hAnsi="仿宋" w:cs="仿宋" w:hint="eastAsia"/>
          <w:kern w:val="2"/>
          <w:sz w:val="32"/>
          <w:szCs w:val="32"/>
        </w:rPr>
        <w:t>2.7</w:t>
      </w:r>
      <w:r w:rsidR="003A1240">
        <w:rPr>
          <w:rFonts w:ascii="仿宋" w:eastAsia="仿宋" w:hAnsi="仿宋" w:cs="仿宋" w:hint="eastAsia"/>
          <w:kern w:val="2"/>
          <w:sz w:val="32"/>
          <w:szCs w:val="32"/>
        </w:rPr>
        <w:t>万元（其中，公务用车购置费0万元，公务用车运行费</w:t>
      </w:r>
      <w:r w:rsidR="00877D58">
        <w:rPr>
          <w:rFonts w:ascii="仿宋" w:eastAsia="仿宋" w:hAnsi="仿宋" w:cs="仿宋" w:hint="eastAsia"/>
          <w:kern w:val="2"/>
          <w:sz w:val="32"/>
          <w:szCs w:val="32"/>
        </w:rPr>
        <w:t>2.7</w:t>
      </w:r>
      <w:r w:rsidR="003A1240">
        <w:rPr>
          <w:rFonts w:ascii="仿宋" w:eastAsia="仿宋" w:hAnsi="仿宋" w:cs="仿宋" w:hint="eastAsia"/>
          <w:kern w:val="2"/>
          <w:sz w:val="32"/>
          <w:szCs w:val="32"/>
        </w:rPr>
        <w:t>万元），因公出国（境）费0万元</w:t>
      </w:r>
      <w:r w:rsidR="00C14F3F">
        <w:rPr>
          <w:rFonts w:ascii="仿宋" w:eastAsia="仿宋" w:hAnsi="仿宋" w:cs="仿宋" w:hint="eastAsia"/>
          <w:kern w:val="2"/>
          <w:sz w:val="32"/>
          <w:szCs w:val="32"/>
        </w:rPr>
        <w:t>。</w:t>
      </w:r>
    </w:p>
    <w:p w:rsidR="00457F72" w:rsidRPr="003A75F8" w:rsidRDefault="00431125" w:rsidP="003A75F8">
      <w:pPr>
        <w:widowControl w:val="0"/>
        <w:adjustRightInd/>
        <w:snapToGrid/>
        <w:spacing w:after="0" w:line="480" w:lineRule="exact"/>
        <w:ind w:firstLineChars="250" w:firstLine="803"/>
        <w:jc w:val="both"/>
        <w:rPr>
          <w:rFonts w:ascii="仿宋" w:eastAsia="仿宋" w:hAnsi="仿宋" w:cs="仿宋"/>
          <w:kern w:val="2"/>
          <w:sz w:val="32"/>
          <w:szCs w:val="32"/>
        </w:rPr>
      </w:pPr>
      <w:r w:rsidRPr="00431125">
        <w:rPr>
          <w:rFonts w:ascii="仿宋" w:eastAsia="仿宋" w:hAnsi="仿宋" w:cs="仿宋" w:hint="eastAsia"/>
          <w:b/>
          <w:kern w:val="2"/>
          <w:sz w:val="32"/>
          <w:szCs w:val="32"/>
        </w:rPr>
        <w:t>政府采购情况：</w:t>
      </w:r>
      <w:r w:rsidR="00877D58">
        <w:rPr>
          <w:rFonts w:ascii="仿宋" w:eastAsia="仿宋" w:hAnsi="仿宋" w:cs="仿宋" w:hint="eastAsia"/>
          <w:kern w:val="2"/>
          <w:sz w:val="32"/>
          <w:szCs w:val="32"/>
        </w:rPr>
        <w:t>2023</w:t>
      </w:r>
      <w:r w:rsidR="00931C11">
        <w:rPr>
          <w:rFonts w:ascii="仿宋" w:eastAsia="仿宋" w:hAnsi="仿宋" w:cs="仿宋" w:hint="eastAsia"/>
          <w:kern w:val="2"/>
          <w:sz w:val="32"/>
          <w:szCs w:val="32"/>
        </w:rPr>
        <w:t>年</w:t>
      </w:r>
      <w:r w:rsidR="008E6C61">
        <w:rPr>
          <w:rFonts w:ascii="仿宋" w:eastAsia="仿宋" w:hAnsi="仿宋" w:cs="仿宋" w:hint="eastAsia"/>
          <w:kern w:val="2"/>
          <w:sz w:val="32"/>
          <w:szCs w:val="32"/>
        </w:rPr>
        <w:t>末</w:t>
      </w:r>
      <w:r w:rsidR="00931C11">
        <w:rPr>
          <w:rFonts w:ascii="仿宋" w:eastAsia="仿宋" w:hAnsi="仿宋" w:cs="仿宋" w:hint="eastAsia"/>
          <w:kern w:val="2"/>
          <w:sz w:val="32"/>
          <w:szCs w:val="32"/>
        </w:rPr>
        <w:t>本部门政府采购总额</w:t>
      </w:r>
      <w:r w:rsidR="00CA6AA7">
        <w:rPr>
          <w:rFonts w:ascii="仿宋" w:eastAsia="仿宋" w:hAnsi="仿宋" w:cs="仿宋" w:hint="eastAsia"/>
          <w:kern w:val="2"/>
          <w:sz w:val="32"/>
          <w:szCs w:val="32"/>
        </w:rPr>
        <w:t>2441.05</w:t>
      </w:r>
      <w:r>
        <w:rPr>
          <w:rFonts w:ascii="仿宋" w:eastAsia="仿宋" w:hAnsi="仿宋" w:cs="仿宋" w:hint="eastAsia"/>
          <w:kern w:val="2"/>
          <w:sz w:val="32"/>
          <w:szCs w:val="32"/>
        </w:rPr>
        <w:t>万元，其中：货物类采购</w:t>
      </w:r>
      <w:r w:rsidR="00CA6AA7">
        <w:rPr>
          <w:rFonts w:ascii="仿宋" w:eastAsia="仿宋" w:hAnsi="仿宋" w:cs="仿宋" w:hint="eastAsia"/>
          <w:kern w:val="2"/>
          <w:sz w:val="32"/>
          <w:szCs w:val="32"/>
        </w:rPr>
        <w:t>325.94</w:t>
      </w:r>
      <w:r>
        <w:rPr>
          <w:rFonts w:ascii="仿宋" w:eastAsia="仿宋" w:hAnsi="仿宋" w:cs="仿宋" w:hint="eastAsia"/>
          <w:kern w:val="2"/>
          <w:sz w:val="32"/>
          <w:szCs w:val="32"/>
        </w:rPr>
        <w:t>万元、工程类采购</w:t>
      </w:r>
      <w:r w:rsidR="00CA6AA7">
        <w:rPr>
          <w:rFonts w:ascii="仿宋" w:eastAsia="仿宋" w:hAnsi="仿宋" w:cs="仿宋" w:hint="eastAsia"/>
          <w:kern w:val="2"/>
          <w:sz w:val="32"/>
          <w:szCs w:val="32"/>
        </w:rPr>
        <w:t>1518.79</w:t>
      </w:r>
      <w:r>
        <w:rPr>
          <w:rFonts w:ascii="仿宋" w:eastAsia="仿宋" w:hAnsi="仿宋" w:cs="仿宋" w:hint="eastAsia"/>
          <w:kern w:val="2"/>
          <w:sz w:val="32"/>
          <w:szCs w:val="32"/>
        </w:rPr>
        <w:t>万元、服务类采购</w:t>
      </w:r>
      <w:r w:rsidR="00CA6AA7">
        <w:rPr>
          <w:rFonts w:ascii="仿宋" w:eastAsia="仿宋" w:hAnsi="仿宋" w:cs="仿宋" w:hint="eastAsia"/>
          <w:kern w:val="2"/>
          <w:sz w:val="32"/>
          <w:szCs w:val="32"/>
        </w:rPr>
        <w:t>596.32</w:t>
      </w:r>
      <w:r w:rsidR="00931C11">
        <w:rPr>
          <w:rFonts w:ascii="仿宋" w:eastAsia="仿宋" w:hAnsi="仿宋" w:cs="仿宋" w:hint="eastAsia"/>
          <w:kern w:val="2"/>
          <w:sz w:val="32"/>
          <w:szCs w:val="32"/>
        </w:rPr>
        <w:t>万元</w:t>
      </w:r>
      <w:r>
        <w:rPr>
          <w:rFonts w:ascii="仿宋" w:eastAsia="仿宋" w:hAnsi="仿宋" w:cs="仿宋" w:hint="eastAsia"/>
          <w:kern w:val="2"/>
          <w:sz w:val="32"/>
          <w:szCs w:val="32"/>
        </w:rPr>
        <w:t>。</w:t>
      </w:r>
    </w:p>
    <w:p w:rsidR="005E515C" w:rsidRDefault="00A11190" w:rsidP="00457F72">
      <w:pPr>
        <w:spacing w:after="0" w:line="48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（五）部门年度整体工作目标任务完成情况</w:t>
      </w:r>
      <w:r w:rsidR="000F5460">
        <w:rPr>
          <w:rFonts w:ascii="仿宋" w:eastAsia="仿宋" w:hAnsi="仿宋" w:cs="仿宋" w:hint="eastAsia"/>
          <w:sz w:val="32"/>
          <w:szCs w:val="32"/>
        </w:rPr>
        <w:t>较好，</w:t>
      </w:r>
      <w:r w:rsidR="007F4764">
        <w:rPr>
          <w:rFonts w:ascii="仿宋" w:eastAsia="仿宋" w:hAnsi="仿宋" w:cs="仿宋" w:hint="eastAsia"/>
          <w:sz w:val="32"/>
          <w:szCs w:val="32"/>
        </w:rPr>
        <w:t>详细见本单位绩效情况，</w:t>
      </w:r>
      <w:r>
        <w:rPr>
          <w:rFonts w:ascii="仿宋" w:eastAsia="仿宋" w:hAnsi="仿宋" w:cs="仿宋" w:hint="eastAsia"/>
          <w:sz w:val="32"/>
          <w:szCs w:val="32"/>
        </w:rPr>
        <w:t>财政资金支出</w:t>
      </w:r>
      <w:r w:rsidR="000F5460">
        <w:rPr>
          <w:rFonts w:ascii="仿宋" w:eastAsia="仿宋" w:hAnsi="仿宋" w:cs="仿宋" w:hint="eastAsia"/>
          <w:sz w:val="32"/>
          <w:szCs w:val="32"/>
        </w:rPr>
        <w:t>总体</w:t>
      </w:r>
      <w:r w:rsidR="00CA523A">
        <w:rPr>
          <w:rFonts w:ascii="仿宋" w:eastAsia="仿宋" w:hAnsi="仿宋" w:cs="仿宋" w:hint="eastAsia"/>
          <w:sz w:val="32"/>
          <w:szCs w:val="32"/>
        </w:rPr>
        <w:t>情况较好</w:t>
      </w:r>
      <w:r w:rsidR="00042BD9">
        <w:rPr>
          <w:rFonts w:ascii="仿宋" w:eastAsia="仿宋" w:hAnsi="仿宋" w:cs="仿宋" w:hint="eastAsia"/>
          <w:sz w:val="32"/>
          <w:szCs w:val="32"/>
        </w:rPr>
        <w:t>，</w:t>
      </w:r>
      <w:r w:rsidR="0097061E">
        <w:rPr>
          <w:rFonts w:ascii="仿宋" w:eastAsia="仿宋" w:hAnsi="仿宋" w:cs="仿宋" w:hint="eastAsia"/>
          <w:sz w:val="32"/>
          <w:szCs w:val="32"/>
        </w:rPr>
        <w:t>达74% 。</w:t>
      </w:r>
      <w:r w:rsidR="00650925">
        <w:rPr>
          <w:rFonts w:ascii="仿宋" w:eastAsia="仿宋" w:hAnsi="仿宋" w:cs="仿宋" w:hint="eastAsia"/>
          <w:sz w:val="32"/>
          <w:szCs w:val="32"/>
        </w:rPr>
        <w:t>项目</w:t>
      </w:r>
      <w:r w:rsidR="00042BD9">
        <w:rPr>
          <w:rFonts w:ascii="仿宋" w:eastAsia="仿宋" w:hAnsi="仿宋" w:cs="仿宋" w:hint="eastAsia"/>
          <w:sz w:val="32"/>
          <w:szCs w:val="32"/>
        </w:rPr>
        <w:t>技术服务费</w:t>
      </w:r>
      <w:r w:rsidR="00650925">
        <w:rPr>
          <w:rFonts w:ascii="仿宋" w:eastAsia="仿宋" w:hAnsi="仿宋" w:cs="仿宋" w:hint="eastAsia"/>
          <w:sz w:val="32"/>
          <w:szCs w:val="32"/>
        </w:rPr>
        <w:t>资金支出不理想，原因是</w:t>
      </w:r>
      <w:r w:rsidR="00897B0E">
        <w:rPr>
          <w:rFonts w:ascii="仿宋" w:eastAsia="仿宋" w:hAnsi="仿宋" w:cs="仿宋" w:hint="eastAsia"/>
          <w:sz w:val="32"/>
          <w:szCs w:val="32"/>
        </w:rPr>
        <w:t>单位年度中因上级和县级临时增加项目任务，</w:t>
      </w:r>
      <w:r w:rsidR="000F5460">
        <w:rPr>
          <w:rFonts w:ascii="仿宋" w:eastAsia="仿宋" w:hAnsi="仿宋" w:cs="仿宋" w:hint="eastAsia"/>
          <w:sz w:val="32"/>
          <w:szCs w:val="32"/>
        </w:rPr>
        <w:t>社会满意度</w:t>
      </w:r>
      <w:r w:rsidR="00363B1F">
        <w:rPr>
          <w:rFonts w:ascii="仿宋" w:eastAsia="仿宋" w:hAnsi="仿宋" w:cs="仿宋" w:hint="eastAsia"/>
          <w:sz w:val="32"/>
          <w:szCs w:val="32"/>
        </w:rPr>
        <w:t>90</w:t>
      </w:r>
      <w:r w:rsidR="000F5460">
        <w:rPr>
          <w:rFonts w:ascii="仿宋" w:eastAsia="仿宋" w:hAnsi="仿宋" w:cs="仿宋" w:hint="eastAsia"/>
          <w:sz w:val="32"/>
          <w:szCs w:val="32"/>
        </w:rPr>
        <w:t>%以上</w:t>
      </w:r>
      <w:r>
        <w:rPr>
          <w:rFonts w:ascii="仿宋" w:eastAsia="仿宋" w:hAnsi="仿宋" w:cs="仿宋" w:hint="eastAsia"/>
          <w:sz w:val="32"/>
          <w:szCs w:val="32"/>
        </w:rPr>
        <w:t>。</w:t>
      </w:r>
    </w:p>
    <w:p w:rsidR="005E515C" w:rsidRDefault="00A11190">
      <w:pPr>
        <w:spacing w:after="0" w:line="600" w:lineRule="atLeast"/>
        <w:ind w:firstLineChars="200" w:firstLine="640"/>
        <w:rPr>
          <w:rFonts w:ascii="黑体" w:eastAsia="黑体" w:hAnsi="黑体" w:cs="黑体"/>
          <w:bCs/>
          <w:sz w:val="32"/>
          <w:szCs w:val="32"/>
        </w:rPr>
      </w:pPr>
      <w:r>
        <w:rPr>
          <w:rFonts w:ascii="黑体" w:eastAsia="黑体" w:hAnsi="黑体" w:cs="黑体" w:hint="eastAsia"/>
          <w:bCs/>
          <w:sz w:val="32"/>
          <w:szCs w:val="32"/>
        </w:rPr>
        <w:t>二、部门整体评价工作开展</w:t>
      </w:r>
    </w:p>
    <w:p w:rsidR="000158D1" w:rsidRDefault="000158D1" w:rsidP="005611A5">
      <w:pPr>
        <w:spacing w:after="0" w:line="480" w:lineRule="exact"/>
        <w:ind w:firstLineChars="200" w:firstLine="640"/>
        <w:jc w:val="both"/>
        <w:rPr>
          <w:rFonts w:ascii="仿宋" w:eastAsia="仿宋" w:hAnsi="仿宋" w:cs="Times New Roman"/>
          <w:sz w:val="32"/>
          <w:szCs w:val="32"/>
        </w:rPr>
      </w:pPr>
      <w:r>
        <w:rPr>
          <w:rFonts w:ascii="仿宋" w:eastAsia="仿宋" w:hAnsi="仿宋" w:cs="Times New Roman" w:hint="eastAsia"/>
          <w:sz w:val="32"/>
          <w:szCs w:val="32"/>
        </w:rPr>
        <w:t>（一）绩效评价实施过程情况</w:t>
      </w:r>
    </w:p>
    <w:p w:rsidR="000158D1" w:rsidRDefault="00FE3AEA" w:rsidP="000158D1">
      <w:pPr>
        <w:spacing w:after="0" w:line="480" w:lineRule="exact"/>
        <w:ind w:firstLineChars="250" w:firstLine="800"/>
        <w:jc w:val="both"/>
        <w:rPr>
          <w:rFonts w:ascii="仿宋" w:eastAsia="仿宋" w:hAnsi="仿宋" w:cs="Times New Roman"/>
          <w:sz w:val="32"/>
          <w:szCs w:val="32"/>
        </w:rPr>
      </w:pPr>
      <w:r w:rsidRPr="005611A5">
        <w:rPr>
          <w:rFonts w:ascii="仿宋" w:eastAsia="仿宋" w:hAnsi="仿宋" w:cs="Times New Roman" w:hint="eastAsia"/>
          <w:sz w:val="32"/>
          <w:szCs w:val="32"/>
        </w:rPr>
        <w:t>本单位</w:t>
      </w:r>
      <w:r w:rsidR="00650925">
        <w:rPr>
          <w:rFonts w:ascii="仿宋" w:eastAsia="仿宋" w:hAnsi="仿宋" w:cs="Times New Roman" w:hint="eastAsia"/>
          <w:sz w:val="32"/>
          <w:szCs w:val="32"/>
        </w:rPr>
        <w:t>部门整体</w:t>
      </w:r>
      <w:r w:rsidRPr="005611A5">
        <w:rPr>
          <w:rFonts w:ascii="仿宋" w:eastAsia="仿宋" w:hAnsi="仿宋" w:cs="Times New Roman" w:hint="eastAsia"/>
          <w:sz w:val="32"/>
          <w:szCs w:val="32"/>
        </w:rPr>
        <w:t>绩效评价</w:t>
      </w:r>
      <w:r w:rsidR="005A4195">
        <w:rPr>
          <w:rFonts w:ascii="仿宋" w:eastAsia="仿宋" w:hAnsi="仿宋" w:cs="Times New Roman" w:hint="eastAsia"/>
          <w:sz w:val="32"/>
          <w:szCs w:val="32"/>
        </w:rPr>
        <w:t>由财务室牵头，办公室</w:t>
      </w:r>
      <w:r w:rsidR="000158D1">
        <w:rPr>
          <w:rFonts w:ascii="仿宋" w:eastAsia="仿宋" w:hAnsi="仿宋" w:cs="Times New Roman" w:hint="eastAsia"/>
          <w:sz w:val="32"/>
          <w:szCs w:val="32"/>
        </w:rPr>
        <w:t>、</w:t>
      </w:r>
      <w:r w:rsidR="00CA523A">
        <w:rPr>
          <w:rFonts w:ascii="仿宋" w:eastAsia="仿宋" w:hAnsi="仿宋" w:cs="Times New Roman" w:hint="eastAsia"/>
          <w:sz w:val="32"/>
          <w:szCs w:val="32"/>
        </w:rPr>
        <w:t>人事股、</w:t>
      </w:r>
      <w:r w:rsidR="000158D1">
        <w:rPr>
          <w:rFonts w:ascii="仿宋" w:eastAsia="仿宋" w:hAnsi="仿宋" w:cs="Times New Roman" w:hint="eastAsia"/>
          <w:sz w:val="32"/>
          <w:szCs w:val="32"/>
        </w:rPr>
        <w:t>各业务股室</w:t>
      </w:r>
      <w:r w:rsidR="005A4195">
        <w:rPr>
          <w:rFonts w:ascii="仿宋" w:eastAsia="仿宋" w:hAnsi="仿宋" w:cs="Times New Roman" w:hint="eastAsia"/>
          <w:sz w:val="32"/>
          <w:szCs w:val="32"/>
        </w:rPr>
        <w:t>配合，</w:t>
      </w:r>
      <w:r w:rsidR="003A75F8">
        <w:rPr>
          <w:rFonts w:ascii="仿宋" w:eastAsia="仿宋" w:hAnsi="仿宋" w:cs="仿宋" w:hint="eastAsia"/>
          <w:sz w:val="32"/>
          <w:szCs w:val="32"/>
        </w:rPr>
        <w:t>采用比较分析法、因数分析法、公众评判法等</w:t>
      </w:r>
      <w:r w:rsidRPr="005611A5">
        <w:rPr>
          <w:rFonts w:ascii="仿宋" w:eastAsia="仿宋" w:hAnsi="仿宋" w:cs="Times New Roman" w:hint="eastAsia"/>
          <w:sz w:val="32"/>
          <w:szCs w:val="32"/>
        </w:rPr>
        <w:t>按中财绩【</w:t>
      </w:r>
      <w:r w:rsidR="00333828">
        <w:rPr>
          <w:rFonts w:ascii="仿宋" w:eastAsia="仿宋" w:hAnsi="仿宋" w:hint="eastAsia"/>
          <w:sz w:val="32"/>
          <w:szCs w:val="32"/>
        </w:rPr>
        <w:t>2024</w:t>
      </w:r>
      <w:r w:rsidRPr="005611A5">
        <w:rPr>
          <w:rFonts w:ascii="仿宋" w:eastAsia="仿宋" w:hAnsi="仿宋" w:cs="Times New Roman" w:hint="eastAsia"/>
          <w:sz w:val="32"/>
          <w:szCs w:val="32"/>
        </w:rPr>
        <w:t>】</w:t>
      </w:r>
      <w:r w:rsidR="00333828">
        <w:rPr>
          <w:rFonts w:ascii="仿宋" w:eastAsia="仿宋" w:hAnsi="仿宋" w:hint="eastAsia"/>
          <w:sz w:val="32"/>
          <w:szCs w:val="32"/>
        </w:rPr>
        <w:t>174</w:t>
      </w:r>
      <w:r w:rsidRPr="005611A5">
        <w:rPr>
          <w:rFonts w:ascii="仿宋" w:eastAsia="仿宋" w:hAnsi="仿宋" w:cs="Times New Roman" w:hint="eastAsia"/>
          <w:sz w:val="32"/>
          <w:szCs w:val="32"/>
        </w:rPr>
        <w:t>号文件绩效评价</w:t>
      </w:r>
      <w:r w:rsidRPr="005611A5">
        <w:rPr>
          <w:rFonts w:ascii="仿宋" w:eastAsia="仿宋" w:hAnsi="仿宋" w:hint="eastAsia"/>
          <w:sz w:val="32"/>
          <w:szCs w:val="32"/>
        </w:rPr>
        <w:t>中</w:t>
      </w:r>
      <w:r w:rsidRPr="005611A5">
        <w:rPr>
          <w:rFonts w:ascii="仿宋" w:eastAsia="仿宋" w:hAnsi="仿宋" w:cs="Times New Roman" w:hint="eastAsia"/>
          <w:sz w:val="32"/>
          <w:szCs w:val="32"/>
        </w:rPr>
        <w:t>各项指标严格评定</w:t>
      </w:r>
      <w:r w:rsidR="000158D1">
        <w:rPr>
          <w:rFonts w:ascii="仿宋" w:eastAsia="仿宋" w:hAnsi="仿宋" w:cs="Times New Roman" w:hint="eastAsia"/>
          <w:sz w:val="32"/>
          <w:szCs w:val="32"/>
        </w:rPr>
        <w:t xml:space="preserve">。 </w:t>
      </w:r>
    </w:p>
    <w:p w:rsidR="000158D1" w:rsidRDefault="000158D1" w:rsidP="005611A5">
      <w:pPr>
        <w:spacing w:after="0" w:line="480" w:lineRule="exact"/>
        <w:ind w:firstLineChars="200" w:firstLine="640"/>
        <w:jc w:val="both"/>
        <w:rPr>
          <w:rFonts w:ascii="仿宋" w:eastAsia="仿宋" w:hAnsi="仿宋" w:cs="Times New Roman"/>
          <w:sz w:val="32"/>
          <w:szCs w:val="32"/>
        </w:rPr>
      </w:pPr>
      <w:r>
        <w:rPr>
          <w:rFonts w:ascii="仿宋" w:eastAsia="仿宋" w:hAnsi="仿宋" w:cs="Times New Roman" w:hint="eastAsia"/>
          <w:sz w:val="32"/>
          <w:szCs w:val="32"/>
        </w:rPr>
        <w:t>（二）绩效评价整体结果概况</w:t>
      </w:r>
    </w:p>
    <w:p w:rsidR="000158D1" w:rsidRPr="005611A5" w:rsidRDefault="000158D1" w:rsidP="000158D1">
      <w:pPr>
        <w:spacing w:after="0" w:line="480" w:lineRule="exact"/>
        <w:ind w:firstLineChars="250" w:firstLine="800"/>
        <w:jc w:val="both"/>
        <w:rPr>
          <w:rFonts w:ascii="仿宋" w:eastAsia="仿宋" w:hAnsi="仿宋" w:cs="Times New Roman"/>
          <w:sz w:val="32"/>
          <w:szCs w:val="32"/>
        </w:rPr>
      </w:pPr>
      <w:r w:rsidRPr="005611A5">
        <w:rPr>
          <w:rFonts w:ascii="仿宋" w:eastAsia="仿宋" w:hAnsi="仿宋" w:cs="Times New Roman" w:hint="eastAsia"/>
          <w:sz w:val="32"/>
          <w:szCs w:val="32"/>
        </w:rPr>
        <w:t>评定结果</w:t>
      </w:r>
      <w:r w:rsidR="00AD2346">
        <w:rPr>
          <w:rFonts w:ascii="仿宋" w:eastAsia="仿宋" w:hAnsi="仿宋" w:hint="eastAsia"/>
          <w:sz w:val="32"/>
          <w:szCs w:val="32"/>
        </w:rPr>
        <w:t>92</w:t>
      </w:r>
      <w:r w:rsidRPr="005611A5">
        <w:rPr>
          <w:rFonts w:ascii="仿宋" w:eastAsia="仿宋" w:hAnsi="仿宋" w:cs="Times New Roman" w:hint="eastAsia"/>
          <w:sz w:val="32"/>
          <w:szCs w:val="32"/>
        </w:rPr>
        <w:t>分</w:t>
      </w:r>
      <w:r>
        <w:rPr>
          <w:rFonts w:ascii="仿宋" w:eastAsia="仿宋" w:hAnsi="仿宋" w:cs="Times New Roman" w:hint="eastAsia"/>
          <w:sz w:val="32"/>
          <w:szCs w:val="32"/>
        </w:rPr>
        <w:t>，为优秀。</w:t>
      </w:r>
    </w:p>
    <w:p w:rsidR="008933E2" w:rsidRDefault="00333828" w:rsidP="00F4143D">
      <w:pPr>
        <w:spacing w:after="0" w:line="480" w:lineRule="exact"/>
        <w:ind w:firstLineChars="250" w:firstLine="800"/>
        <w:jc w:val="both"/>
        <w:rPr>
          <w:rFonts w:ascii="仿宋_GB2312" w:eastAsia="仿宋_GB2312" w:hAnsi="仿宋_GB2312" w:cs="宋体"/>
          <w:sz w:val="32"/>
        </w:rPr>
      </w:pPr>
      <w:r w:rsidRPr="005D5503">
        <w:rPr>
          <w:rFonts w:ascii="仿宋_GB2312" w:eastAsia="仿宋_GB2312" w:hAnsi="仿宋_GB2312" w:cs="仿宋_GB2312" w:hint="eastAsia"/>
          <w:color w:val="000000"/>
          <w:sz w:val="32"/>
          <w:szCs w:val="32"/>
          <w:shd w:val="clear" w:color="auto" w:fill="FFFFFF"/>
        </w:rPr>
        <w:t>202</w:t>
      </w:r>
      <w:r>
        <w:rPr>
          <w:rFonts w:ascii="仿宋_GB2312" w:eastAsia="仿宋_GB2312" w:hAnsi="仿宋_GB2312" w:cs="仿宋_GB2312" w:hint="eastAsia"/>
          <w:color w:val="000000"/>
          <w:sz w:val="32"/>
          <w:szCs w:val="32"/>
          <w:shd w:val="clear" w:color="auto" w:fill="FFFFFF"/>
        </w:rPr>
        <w:t>3</w:t>
      </w:r>
      <w:r w:rsidRPr="005D5503">
        <w:rPr>
          <w:rFonts w:eastAsia="仿宋_GB2312" w:cs="Times New Roman"/>
          <w:sz w:val="32"/>
          <w:szCs w:val="32"/>
        </w:rPr>
        <w:t>年</w:t>
      </w:r>
      <w:r>
        <w:rPr>
          <w:rFonts w:ascii="仿宋_GB2312" w:eastAsia="仿宋_GB2312" w:hAnsi="仿宋_GB2312" w:cs="宋体"/>
          <w:sz w:val="32"/>
        </w:rPr>
        <w:t>收入预算6739.42</w:t>
      </w:r>
      <w:r w:rsidR="008933E2">
        <w:rPr>
          <w:rFonts w:ascii="仿宋_GB2312" w:eastAsia="仿宋_GB2312" w:hAnsi="仿宋_GB2312" w:cs="宋体"/>
          <w:sz w:val="32"/>
        </w:rPr>
        <w:t>万元，其中</w:t>
      </w:r>
      <w:r w:rsidR="008933E2">
        <w:rPr>
          <w:rFonts w:ascii="仿宋_GB2312" w:eastAsia="仿宋_GB2312" w:hAnsi="仿宋_GB2312" w:cs="宋体" w:hint="eastAsia"/>
          <w:sz w:val="32"/>
        </w:rPr>
        <w:t>;</w:t>
      </w:r>
      <w:r>
        <w:rPr>
          <w:rFonts w:ascii="仿宋_GB2312" w:eastAsia="仿宋_GB2312" w:hAnsi="仿宋_GB2312" w:cs="宋体"/>
          <w:sz w:val="32"/>
        </w:rPr>
        <w:t>一般公共预算拨款4225.46万元，政府性基金预算拨款800.00万元，国有资本经营预算拨款0万元，纳入专户管理的非税收入140.00万元，上级财政补助1573.96万元。</w:t>
      </w:r>
    </w:p>
    <w:p w:rsidR="00F4143D" w:rsidRPr="00F4143D" w:rsidRDefault="008933E2" w:rsidP="00F4143D">
      <w:pPr>
        <w:spacing w:after="0" w:line="480" w:lineRule="exact"/>
        <w:ind w:firstLineChars="250" w:firstLine="800"/>
        <w:jc w:val="both"/>
        <w:rPr>
          <w:rFonts w:ascii="仿宋" w:eastAsia="仿宋" w:hAnsi="仿宋" w:cs="仿宋"/>
          <w:kern w:val="2"/>
          <w:sz w:val="32"/>
          <w:szCs w:val="32"/>
        </w:rPr>
      </w:pPr>
      <w:r>
        <w:rPr>
          <w:rFonts w:ascii="仿宋_GB2312" w:eastAsia="仿宋_GB2312" w:hAnsi="仿宋_GB2312" w:cs="宋体" w:hint="eastAsia"/>
          <w:sz w:val="32"/>
        </w:rPr>
        <w:t>2023年收入</w:t>
      </w:r>
      <w:r w:rsidR="00BE69E2">
        <w:rPr>
          <w:rFonts w:ascii="仿宋_GB2312" w:eastAsia="仿宋_GB2312" w:hAnsi="仿宋_GB2312" w:cs="宋体" w:hint="eastAsia"/>
          <w:sz w:val="32"/>
        </w:rPr>
        <w:t>决算</w:t>
      </w:r>
      <w:r>
        <w:rPr>
          <w:rFonts w:ascii="仿宋_GB2312" w:eastAsia="仿宋_GB2312" w:hAnsi="仿宋_GB2312" w:cs="宋体" w:hint="eastAsia"/>
          <w:sz w:val="32"/>
        </w:rPr>
        <w:t>8644.38万元，其中：</w:t>
      </w:r>
      <w:r>
        <w:rPr>
          <w:rFonts w:ascii="仿宋_GB2312" w:eastAsia="仿宋_GB2312" w:hAnsi="仿宋_GB2312" w:cs="宋体"/>
          <w:sz w:val="32"/>
        </w:rPr>
        <w:t>一般公共预算拨款</w:t>
      </w:r>
      <w:r>
        <w:rPr>
          <w:rFonts w:ascii="仿宋_GB2312" w:eastAsia="仿宋_GB2312" w:hAnsi="仿宋_GB2312" w:cs="宋体" w:hint="eastAsia"/>
          <w:sz w:val="32"/>
        </w:rPr>
        <w:t>6136.06万元，</w:t>
      </w:r>
      <w:r>
        <w:rPr>
          <w:rFonts w:ascii="仿宋_GB2312" w:eastAsia="仿宋_GB2312" w:hAnsi="仿宋_GB2312" w:cs="宋体"/>
          <w:sz w:val="32"/>
        </w:rPr>
        <w:t>政府性基金预算拨款</w:t>
      </w:r>
      <w:r>
        <w:rPr>
          <w:rFonts w:ascii="仿宋_GB2312" w:eastAsia="仿宋_GB2312" w:hAnsi="仿宋_GB2312" w:cs="宋体" w:hint="eastAsia"/>
          <w:sz w:val="32"/>
        </w:rPr>
        <w:t>2076.6万元，</w:t>
      </w:r>
      <w:r>
        <w:rPr>
          <w:rFonts w:ascii="仿宋_GB2312" w:eastAsia="仿宋_GB2312" w:hAnsi="仿宋_GB2312" w:cs="宋体"/>
          <w:sz w:val="32"/>
        </w:rPr>
        <w:t>纳入专户管理的非税收入</w:t>
      </w:r>
      <w:r>
        <w:rPr>
          <w:rFonts w:ascii="仿宋_GB2312" w:eastAsia="仿宋_GB2312" w:hAnsi="仿宋_GB2312" w:cs="宋体" w:hint="eastAsia"/>
          <w:sz w:val="32"/>
        </w:rPr>
        <w:t>431.72</w:t>
      </w:r>
      <w:r>
        <w:rPr>
          <w:rFonts w:ascii="仿宋_GB2312" w:eastAsia="仿宋_GB2312" w:hAnsi="仿宋_GB2312" w:cs="宋体"/>
          <w:sz w:val="32"/>
        </w:rPr>
        <w:t>万元</w:t>
      </w:r>
      <w:r>
        <w:rPr>
          <w:rFonts w:ascii="仿宋_GB2312" w:eastAsia="仿宋_GB2312" w:hAnsi="仿宋_GB2312" w:cs="宋体" w:hint="eastAsia"/>
          <w:sz w:val="32"/>
        </w:rPr>
        <w:t>，</w:t>
      </w:r>
      <w:r w:rsidR="00CE60BC">
        <w:rPr>
          <w:rFonts w:ascii="仿宋_GB2312" w:eastAsia="仿宋_GB2312" w:hAnsi="仿宋_GB2312" w:cs="宋体" w:hint="eastAsia"/>
          <w:sz w:val="32"/>
        </w:rPr>
        <w:t>预算执行率128%</w:t>
      </w:r>
      <w:r w:rsidR="000B78B9">
        <w:rPr>
          <w:rFonts w:ascii="仿宋_GB2312" w:eastAsia="仿宋_GB2312" w:hAnsi="仿宋_GB2312" w:cs="宋体" w:hint="eastAsia"/>
          <w:sz w:val="32"/>
        </w:rPr>
        <w:t xml:space="preserve"> 。</w:t>
      </w:r>
    </w:p>
    <w:p w:rsidR="00981299" w:rsidRDefault="00333828" w:rsidP="005A5590">
      <w:pPr>
        <w:spacing w:after="0" w:line="480" w:lineRule="exact"/>
        <w:ind w:firstLineChars="250" w:firstLine="800"/>
        <w:jc w:val="both"/>
        <w:rPr>
          <w:rFonts w:ascii="仿宋" w:eastAsia="仿宋" w:hAnsi="仿宋" w:cs="仿宋_GB2312"/>
          <w:color w:val="000000"/>
          <w:sz w:val="32"/>
          <w:szCs w:val="32"/>
          <w:shd w:val="clear" w:color="auto" w:fill="FFFFFF"/>
        </w:rPr>
      </w:pPr>
      <w:r>
        <w:rPr>
          <w:rFonts w:ascii="仿宋_GB2312" w:eastAsia="仿宋_GB2312" w:hAnsi="仿宋_GB2312" w:cs="宋体"/>
          <w:sz w:val="32"/>
        </w:rPr>
        <w:t>2023年支出预算6739.42</w:t>
      </w:r>
      <w:r w:rsidR="008933E2">
        <w:rPr>
          <w:rFonts w:ascii="仿宋_GB2312" w:eastAsia="仿宋_GB2312" w:hAnsi="仿宋_GB2312" w:cs="宋体"/>
          <w:sz w:val="32"/>
        </w:rPr>
        <w:t>万元，其中</w:t>
      </w:r>
      <w:r w:rsidR="008933E2">
        <w:rPr>
          <w:rFonts w:ascii="仿宋_GB2312" w:eastAsia="仿宋_GB2312" w:hAnsi="仿宋_GB2312" w:cs="宋体" w:hint="eastAsia"/>
          <w:sz w:val="32"/>
        </w:rPr>
        <w:t>:</w:t>
      </w:r>
      <w:r>
        <w:rPr>
          <w:rFonts w:ascii="仿宋_GB2312" w:eastAsia="仿宋_GB2312" w:hAnsi="仿宋_GB2312" w:cs="宋体"/>
          <w:sz w:val="32"/>
        </w:rPr>
        <w:t>社会保障和就业支出192.91万元，卫生健康支出81.08万元，节能环保支出433.00万元，城乡社区支出800.00万元，农林水支出1000.00万元，自然资源海洋气象等支出3724.92万元，住房保障支出114.47万元，灾害防治及应急管理支出393.04万元。</w:t>
      </w:r>
      <w:r w:rsidR="005A5590">
        <w:rPr>
          <w:rFonts w:ascii="仿宋" w:eastAsia="仿宋" w:hAnsi="仿宋" w:cs="仿宋" w:hint="eastAsia"/>
          <w:kern w:val="2"/>
          <w:sz w:val="32"/>
          <w:szCs w:val="32"/>
        </w:rPr>
        <w:t>2022</w:t>
      </w:r>
      <w:r w:rsidR="005611A5" w:rsidRPr="003A4283">
        <w:rPr>
          <w:rFonts w:ascii="仿宋" w:eastAsia="仿宋" w:hAnsi="仿宋" w:cs="仿宋" w:hint="eastAsia"/>
          <w:kern w:val="2"/>
          <w:sz w:val="32"/>
          <w:szCs w:val="32"/>
        </w:rPr>
        <w:t>年</w:t>
      </w:r>
      <w:r w:rsidR="00FF6A0B" w:rsidRPr="003A4283">
        <w:rPr>
          <w:rFonts w:ascii="仿宋" w:eastAsia="仿宋" w:hAnsi="仿宋" w:cs="仿宋" w:hint="eastAsia"/>
          <w:kern w:val="2"/>
          <w:sz w:val="32"/>
          <w:szCs w:val="32"/>
        </w:rPr>
        <w:t>末</w:t>
      </w:r>
      <w:r w:rsidR="00275D82" w:rsidRPr="003A4283">
        <w:rPr>
          <w:rFonts w:ascii="仿宋" w:eastAsia="仿宋" w:hAnsi="仿宋" w:cs="仿宋" w:hint="eastAsia"/>
          <w:kern w:val="2"/>
          <w:sz w:val="32"/>
          <w:szCs w:val="32"/>
        </w:rPr>
        <w:t>支出决算</w:t>
      </w:r>
      <w:r w:rsidR="0016592F" w:rsidRPr="003A4283">
        <w:rPr>
          <w:rFonts w:ascii="仿宋" w:eastAsia="仿宋" w:hAnsi="仿宋" w:cs="仿宋" w:hint="eastAsia"/>
          <w:kern w:val="2"/>
          <w:sz w:val="32"/>
          <w:szCs w:val="32"/>
        </w:rPr>
        <w:t>6028.97</w:t>
      </w:r>
      <w:r w:rsidR="00275D82" w:rsidRPr="003A4283">
        <w:rPr>
          <w:rFonts w:ascii="仿宋" w:eastAsia="仿宋" w:hAnsi="仿宋" w:cs="仿宋" w:hint="eastAsia"/>
          <w:kern w:val="2"/>
          <w:sz w:val="32"/>
          <w:szCs w:val="32"/>
        </w:rPr>
        <w:t>万元，其中</w:t>
      </w:r>
      <w:r w:rsidR="0016592F" w:rsidRPr="003A4283">
        <w:rPr>
          <w:rFonts w:ascii="仿宋" w:eastAsia="仿宋" w:hAnsi="仿宋" w:cs="仿宋_GB2312" w:hint="eastAsia"/>
          <w:color w:val="000000"/>
          <w:sz w:val="32"/>
          <w:szCs w:val="32"/>
          <w:shd w:val="clear" w:color="auto" w:fill="FFFFFF"/>
        </w:rPr>
        <w:t>社会保障和就业支出159.45万元，卫生健康支出74.90万元，节能环保支出</w:t>
      </w:r>
      <w:r w:rsidR="003123B4">
        <w:rPr>
          <w:rFonts w:ascii="仿宋" w:eastAsia="仿宋" w:hAnsi="仿宋" w:cs="仿宋_GB2312" w:hint="eastAsia"/>
          <w:color w:val="000000"/>
          <w:sz w:val="32"/>
          <w:szCs w:val="32"/>
          <w:shd w:val="clear" w:color="auto" w:fill="FFFFFF"/>
        </w:rPr>
        <w:t>265.60</w:t>
      </w:r>
      <w:r w:rsidR="0016592F" w:rsidRPr="003A4283">
        <w:rPr>
          <w:rFonts w:ascii="仿宋" w:eastAsia="仿宋" w:hAnsi="仿宋" w:cs="仿宋_GB2312" w:hint="eastAsia"/>
          <w:color w:val="000000"/>
          <w:sz w:val="32"/>
          <w:szCs w:val="32"/>
          <w:shd w:val="clear" w:color="auto" w:fill="FFFFFF"/>
        </w:rPr>
        <w:t>万元，城乡社区支出1309.68万元，农林水支出303.38万元，自然资源海洋气象等支出3710.52万元，</w:t>
      </w:r>
      <w:r w:rsidR="000B2087" w:rsidRPr="003A4283">
        <w:rPr>
          <w:rFonts w:ascii="仿宋" w:eastAsia="仿宋" w:hAnsi="仿宋" w:cs="仿宋_GB2312" w:hint="eastAsia"/>
          <w:color w:val="000000"/>
          <w:sz w:val="32"/>
          <w:szCs w:val="32"/>
          <w:shd w:val="clear" w:color="auto" w:fill="FFFFFF"/>
        </w:rPr>
        <w:t>灾害防</w:t>
      </w:r>
      <w:r w:rsidR="000B2087" w:rsidRPr="003A4283">
        <w:rPr>
          <w:rFonts w:ascii="仿宋" w:eastAsia="仿宋" w:hAnsi="仿宋" w:cs="仿宋_GB2312" w:hint="eastAsia"/>
          <w:color w:val="000000"/>
          <w:sz w:val="32"/>
          <w:szCs w:val="32"/>
          <w:shd w:val="clear" w:color="auto" w:fill="FFFFFF"/>
        </w:rPr>
        <w:lastRenderedPageBreak/>
        <w:t>治及应急管理支出</w:t>
      </w:r>
      <w:r w:rsidR="000B2087">
        <w:rPr>
          <w:rFonts w:ascii="仿宋" w:eastAsia="仿宋" w:hAnsi="仿宋" w:cs="仿宋_GB2312" w:hint="eastAsia"/>
          <w:color w:val="000000"/>
          <w:sz w:val="32"/>
          <w:szCs w:val="32"/>
          <w:shd w:val="clear" w:color="auto" w:fill="FFFFFF"/>
        </w:rPr>
        <w:t>147.64</w:t>
      </w:r>
      <w:r w:rsidR="000B2087" w:rsidRPr="003A4283">
        <w:rPr>
          <w:rFonts w:ascii="仿宋" w:eastAsia="仿宋" w:hAnsi="仿宋" w:cs="仿宋_GB2312" w:hint="eastAsia"/>
          <w:color w:val="000000"/>
          <w:sz w:val="32"/>
          <w:szCs w:val="32"/>
          <w:shd w:val="clear" w:color="auto" w:fill="FFFFFF"/>
        </w:rPr>
        <w:t>万元</w:t>
      </w:r>
      <w:r w:rsidR="000B2087">
        <w:rPr>
          <w:rFonts w:ascii="仿宋" w:eastAsia="仿宋" w:hAnsi="仿宋" w:cs="仿宋_GB2312" w:hint="eastAsia"/>
          <w:color w:val="000000"/>
          <w:sz w:val="32"/>
          <w:szCs w:val="32"/>
          <w:shd w:val="clear" w:color="auto" w:fill="FFFFFF"/>
        </w:rPr>
        <w:t>，</w:t>
      </w:r>
      <w:r w:rsidR="0016592F" w:rsidRPr="003A4283">
        <w:rPr>
          <w:rFonts w:ascii="仿宋" w:eastAsia="仿宋" w:hAnsi="仿宋" w:cs="仿宋_GB2312" w:hint="eastAsia"/>
          <w:color w:val="000000"/>
          <w:sz w:val="32"/>
          <w:szCs w:val="32"/>
          <w:shd w:val="clear" w:color="auto" w:fill="FFFFFF"/>
        </w:rPr>
        <w:t>住房保障支出16.82万元</w:t>
      </w:r>
      <w:r w:rsidR="000B2087">
        <w:rPr>
          <w:rFonts w:ascii="仿宋" w:eastAsia="仿宋" w:hAnsi="仿宋" w:cs="仿宋_GB2312" w:hint="eastAsia"/>
          <w:color w:val="000000"/>
          <w:sz w:val="32"/>
          <w:szCs w:val="32"/>
          <w:shd w:val="clear" w:color="auto" w:fill="FFFFFF"/>
        </w:rPr>
        <w:t>，粮油物质储备支出</w:t>
      </w:r>
      <w:r w:rsidR="000F4A47">
        <w:rPr>
          <w:rFonts w:ascii="仿宋" w:eastAsia="仿宋" w:hAnsi="仿宋" w:cs="仿宋_GB2312" w:hint="eastAsia"/>
          <w:color w:val="000000"/>
          <w:sz w:val="32"/>
          <w:szCs w:val="32"/>
          <w:shd w:val="clear" w:color="auto" w:fill="FFFFFF"/>
        </w:rPr>
        <w:t>40.98</w:t>
      </w:r>
      <w:r w:rsidR="000B2087">
        <w:rPr>
          <w:rFonts w:ascii="仿宋" w:eastAsia="仿宋" w:hAnsi="仿宋" w:cs="仿宋_GB2312" w:hint="eastAsia"/>
          <w:color w:val="000000"/>
          <w:sz w:val="32"/>
          <w:szCs w:val="32"/>
          <w:shd w:val="clear" w:color="auto" w:fill="FFFFFF"/>
        </w:rPr>
        <w:t>万元</w:t>
      </w:r>
      <w:r w:rsidR="0016592F" w:rsidRPr="003A4283">
        <w:rPr>
          <w:rFonts w:ascii="仿宋" w:eastAsia="仿宋" w:hAnsi="仿宋" w:cs="仿宋_GB2312" w:hint="eastAsia"/>
          <w:color w:val="000000"/>
          <w:sz w:val="32"/>
          <w:szCs w:val="32"/>
          <w:shd w:val="clear" w:color="auto" w:fill="FFFFFF"/>
        </w:rPr>
        <w:t>。</w:t>
      </w:r>
    </w:p>
    <w:p w:rsidR="0016592F" w:rsidRPr="005A5590" w:rsidRDefault="00981299" w:rsidP="005A5590">
      <w:pPr>
        <w:spacing w:after="0" w:line="480" w:lineRule="exact"/>
        <w:ind w:firstLineChars="250" w:firstLine="800"/>
        <w:jc w:val="both"/>
        <w:rPr>
          <w:rFonts w:ascii="仿宋" w:eastAsia="仿宋" w:hAnsi="仿宋" w:cs="仿宋_GB2312"/>
          <w:color w:val="000000"/>
          <w:sz w:val="32"/>
          <w:szCs w:val="32"/>
          <w:shd w:val="clear" w:color="auto" w:fill="FFFFFF"/>
        </w:rPr>
      </w:pPr>
      <w:r>
        <w:rPr>
          <w:rFonts w:ascii="仿宋" w:eastAsia="仿宋" w:hAnsi="仿宋" w:cs="仿宋_GB2312" w:hint="eastAsia"/>
          <w:color w:val="000000"/>
          <w:sz w:val="32"/>
          <w:szCs w:val="32"/>
          <w:shd w:val="clear" w:color="auto" w:fill="FFFFFF"/>
        </w:rPr>
        <w:t>2023年</w:t>
      </w:r>
      <w:r w:rsidR="00F4143D">
        <w:rPr>
          <w:rFonts w:ascii="仿宋" w:eastAsia="仿宋" w:hAnsi="仿宋" w:cs="仿宋_GB2312" w:hint="eastAsia"/>
          <w:color w:val="000000"/>
          <w:sz w:val="32"/>
          <w:szCs w:val="32"/>
          <w:shd w:val="clear" w:color="auto" w:fill="FFFFFF"/>
        </w:rPr>
        <w:t>支出</w:t>
      </w:r>
      <w:r w:rsidR="00BE69E2">
        <w:rPr>
          <w:rFonts w:ascii="仿宋" w:eastAsia="仿宋" w:hAnsi="仿宋" w:cs="仿宋_GB2312" w:hint="eastAsia"/>
          <w:color w:val="000000"/>
          <w:sz w:val="32"/>
          <w:szCs w:val="32"/>
          <w:shd w:val="clear" w:color="auto" w:fill="FFFFFF"/>
        </w:rPr>
        <w:t>决算</w:t>
      </w:r>
      <w:r>
        <w:rPr>
          <w:rFonts w:ascii="仿宋_GB2312" w:eastAsia="仿宋_GB2312" w:hAnsi="仿宋_GB2312" w:cs="宋体" w:hint="eastAsia"/>
          <w:sz w:val="32"/>
        </w:rPr>
        <w:t>8644.38万元，其中：</w:t>
      </w:r>
      <w:r>
        <w:rPr>
          <w:rFonts w:ascii="仿宋_GB2312" w:eastAsia="仿宋_GB2312" w:hAnsi="仿宋_GB2312" w:cs="宋体"/>
          <w:sz w:val="32"/>
        </w:rPr>
        <w:t>社会保障和就业支出</w:t>
      </w:r>
      <w:r w:rsidR="00C511AB">
        <w:rPr>
          <w:rFonts w:ascii="仿宋_GB2312" w:eastAsia="仿宋_GB2312" w:hAnsi="仿宋_GB2312" w:cs="宋体" w:hint="eastAsia"/>
          <w:sz w:val="32"/>
        </w:rPr>
        <w:t>186.79</w:t>
      </w:r>
      <w:r>
        <w:rPr>
          <w:rFonts w:ascii="仿宋_GB2312" w:eastAsia="仿宋_GB2312" w:hAnsi="仿宋_GB2312" w:cs="宋体"/>
          <w:sz w:val="32"/>
        </w:rPr>
        <w:t>万元，卫生健康支出</w:t>
      </w:r>
      <w:r>
        <w:rPr>
          <w:rFonts w:ascii="仿宋_GB2312" w:eastAsia="仿宋_GB2312" w:hAnsi="仿宋_GB2312" w:cs="宋体" w:hint="eastAsia"/>
          <w:sz w:val="32"/>
        </w:rPr>
        <w:t>81.53</w:t>
      </w:r>
      <w:r>
        <w:rPr>
          <w:rFonts w:ascii="仿宋_GB2312" w:eastAsia="仿宋_GB2312" w:hAnsi="仿宋_GB2312" w:cs="宋体"/>
          <w:sz w:val="32"/>
        </w:rPr>
        <w:t>万元，节能环保支出</w:t>
      </w:r>
      <w:r>
        <w:rPr>
          <w:rFonts w:ascii="仿宋_GB2312" w:eastAsia="仿宋_GB2312" w:hAnsi="仿宋_GB2312" w:cs="宋体" w:hint="eastAsia"/>
          <w:sz w:val="32"/>
        </w:rPr>
        <w:t>197.57</w:t>
      </w:r>
      <w:r>
        <w:rPr>
          <w:rFonts w:ascii="仿宋_GB2312" w:eastAsia="仿宋_GB2312" w:hAnsi="仿宋_GB2312" w:cs="宋体"/>
          <w:sz w:val="32"/>
        </w:rPr>
        <w:t>万元，城乡社区支出</w:t>
      </w:r>
      <w:r>
        <w:rPr>
          <w:rFonts w:ascii="仿宋_GB2312" w:eastAsia="仿宋_GB2312" w:hAnsi="仿宋_GB2312" w:cs="宋体" w:hint="eastAsia"/>
          <w:sz w:val="32"/>
        </w:rPr>
        <w:t>2076.60</w:t>
      </w:r>
      <w:r>
        <w:rPr>
          <w:rFonts w:ascii="仿宋_GB2312" w:eastAsia="仿宋_GB2312" w:hAnsi="仿宋_GB2312" w:cs="宋体"/>
          <w:sz w:val="32"/>
        </w:rPr>
        <w:t>万元，农林水支出</w:t>
      </w:r>
      <w:r>
        <w:rPr>
          <w:rFonts w:ascii="仿宋_GB2312" w:eastAsia="仿宋_GB2312" w:hAnsi="仿宋_GB2312" w:cs="宋体" w:hint="eastAsia"/>
          <w:sz w:val="32"/>
        </w:rPr>
        <w:t>1</w:t>
      </w:r>
      <w:r w:rsidR="00C511AB">
        <w:rPr>
          <w:rFonts w:ascii="仿宋_GB2312" w:eastAsia="仿宋_GB2312" w:hAnsi="仿宋_GB2312" w:cs="宋体" w:hint="eastAsia"/>
          <w:sz w:val="32"/>
        </w:rPr>
        <w:t>721.35</w:t>
      </w:r>
      <w:r>
        <w:rPr>
          <w:rFonts w:ascii="仿宋_GB2312" w:eastAsia="仿宋_GB2312" w:hAnsi="仿宋_GB2312" w:cs="宋体"/>
          <w:sz w:val="32"/>
        </w:rPr>
        <w:t>万元，自然资源海洋气象等支出</w:t>
      </w:r>
      <w:r>
        <w:rPr>
          <w:rFonts w:ascii="仿宋_GB2312" w:eastAsia="仿宋_GB2312" w:hAnsi="仿宋_GB2312" w:cs="宋体" w:hint="eastAsia"/>
          <w:sz w:val="32"/>
        </w:rPr>
        <w:t>4026.97</w:t>
      </w:r>
      <w:r>
        <w:rPr>
          <w:rFonts w:ascii="仿宋_GB2312" w:eastAsia="仿宋_GB2312" w:hAnsi="仿宋_GB2312" w:cs="宋体"/>
          <w:sz w:val="32"/>
        </w:rPr>
        <w:t>万元，住房保障支出</w:t>
      </w:r>
      <w:r>
        <w:rPr>
          <w:rFonts w:ascii="仿宋_GB2312" w:eastAsia="仿宋_GB2312" w:hAnsi="仿宋_GB2312" w:cs="宋体" w:hint="eastAsia"/>
          <w:sz w:val="32"/>
        </w:rPr>
        <w:t>126.25</w:t>
      </w:r>
      <w:r>
        <w:rPr>
          <w:rFonts w:ascii="仿宋_GB2312" w:eastAsia="仿宋_GB2312" w:hAnsi="仿宋_GB2312" w:cs="宋体"/>
          <w:sz w:val="32"/>
        </w:rPr>
        <w:t>万元，灾害防治及应急管理支出</w:t>
      </w:r>
      <w:r>
        <w:rPr>
          <w:rFonts w:ascii="仿宋_GB2312" w:eastAsia="仿宋_GB2312" w:hAnsi="仿宋_GB2312" w:cs="宋体" w:hint="eastAsia"/>
          <w:sz w:val="32"/>
        </w:rPr>
        <w:t>227.32</w:t>
      </w:r>
      <w:r>
        <w:rPr>
          <w:rFonts w:ascii="仿宋_GB2312" w:eastAsia="仿宋_GB2312" w:hAnsi="仿宋_GB2312" w:cs="宋体"/>
          <w:sz w:val="32"/>
        </w:rPr>
        <w:t>万元。</w:t>
      </w:r>
      <w:r w:rsidR="00F4143D">
        <w:rPr>
          <w:rFonts w:ascii="仿宋" w:eastAsia="仿宋" w:hAnsi="仿宋" w:cs="仿宋_GB2312" w:hint="eastAsia"/>
          <w:color w:val="000000"/>
          <w:sz w:val="32"/>
          <w:szCs w:val="32"/>
          <w:shd w:val="clear" w:color="auto" w:fill="FFFFFF"/>
        </w:rPr>
        <w:t>执行率</w:t>
      </w:r>
      <w:r w:rsidR="00CE60BC">
        <w:rPr>
          <w:rFonts w:ascii="仿宋" w:eastAsia="仿宋" w:hAnsi="仿宋" w:cs="仿宋_GB2312" w:hint="eastAsia"/>
          <w:color w:val="000000"/>
          <w:sz w:val="32"/>
          <w:szCs w:val="32"/>
          <w:shd w:val="clear" w:color="auto" w:fill="FFFFFF"/>
        </w:rPr>
        <w:t>128</w:t>
      </w:r>
      <w:r w:rsidR="00F4143D">
        <w:rPr>
          <w:rFonts w:ascii="仿宋" w:eastAsia="仿宋" w:hAnsi="仿宋" w:cs="仿宋_GB2312" w:hint="eastAsia"/>
          <w:color w:val="000000"/>
          <w:sz w:val="32"/>
          <w:szCs w:val="32"/>
          <w:shd w:val="clear" w:color="auto" w:fill="FFFFFF"/>
        </w:rPr>
        <w:t>%</w:t>
      </w:r>
      <w:r w:rsidR="00C54B39">
        <w:rPr>
          <w:rFonts w:ascii="仿宋" w:eastAsia="仿宋" w:hAnsi="仿宋" w:cs="仿宋_GB2312" w:hint="eastAsia"/>
          <w:color w:val="000000"/>
          <w:sz w:val="32"/>
          <w:szCs w:val="32"/>
          <w:shd w:val="clear" w:color="auto" w:fill="FFFFFF"/>
        </w:rPr>
        <w:t xml:space="preserve"> 。</w:t>
      </w:r>
    </w:p>
    <w:p w:rsidR="004C33DF" w:rsidRDefault="00275D82" w:rsidP="005611A5">
      <w:pPr>
        <w:spacing w:after="0" w:line="480" w:lineRule="exact"/>
        <w:ind w:firstLineChars="200" w:firstLine="643"/>
        <w:jc w:val="both"/>
        <w:rPr>
          <w:rFonts w:ascii="仿宋" w:eastAsia="仿宋" w:hAnsi="仿宋" w:cs="仿宋_GB2312"/>
          <w:color w:val="000000"/>
          <w:sz w:val="32"/>
          <w:szCs w:val="32"/>
          <w:shd w:val="clear" w:color="auto" w:fill="FFFFFF"/>
        </w:rPr>
      </w:pPr>
      <w:r w:rsidRPr="003A4283">
        <w:rPr>
          <w:rFonts w:ascii="仿宋" w:eastAsia="仿宋" w:hAnsi="仿宋" w:cs="仿宋" w:hint="eastAsia"/>
          <w:b/>
          <w:bCs/>
          <w:kern w:val="2"/>
          <w:sz w:val="32"/>
          <w:szCs w:val="32"/>
        </w:rPr>
        <w:t>“三公”经费控制情况：</w:t>
      </w:r>
      <w:r w:rsidR="00803E3A">
        <w:rPr>
          <w:rFonts w:ascii="仿宋" w:eastAsia="仿宋" w:hAnsi="仿宋" w:cs="仿宋" w:hint="eastAsia"/>
          <w:bCs/>
          <w:kern w:val="2"/>
          <w:sz w:val="32"/>
          <w:szCs w:val="32"/>
        </w:rPr>
        <w:t>2023</w:t>
      </w:r>
      <w:r w:rsidR="005611A5" w:rsidRPr="003A4283">
        <w:rPr>
          <w:rFonts w:ascii="仿宋" w:eastAsia="仿宋" w:hAnsi="仿宋" w:cs="仿宋" w:hint="eastAsia"/>
          <w:bCs/>
          <w:kern w:val="2"/>
          <w:sz w:val="32"/>
          <w:szCs w:val="32"/>
        </w:rPr>
        <w:t>年</w:t>
      </w:r>
      <w:r w:rsidR="00FF6A0B" w:rsidRPr="003A4283">
        <w:rPr>
          <w:rFonts w:ascii="仿宋" w:eastAsia="仿宋" w:hAnsi="仿宋" w:cs="仿宋" w:hint="eastAsia"/>
          <w:bCs/>
          <w:kern w:val="2"/>
          <w:sz w:val="32"/>
          <w:szCs w:val="32"/>
        </w:rPr>
        <w:t>初</w:t>
      </w:r>
      <w:r w:rsidRPr="003A4283">
        <w:rPr>
          <w:rFonts w:ascii="仿宋" w:eastAsia="仿宋" w:hAnsi="仿宋" w:cs="仿宋" w:hint="eastAsia"/>
          <w:kern w:val="2"/>
          <w:sz w:val="32"/>
          <w:szCs w:val="32"/>
        </w:rPr>
        <w:t>“三公”经费预算数为</w:t>
      </w:r>
      <w:bookmarkStart w:id="6" w:name="THERR_FUNDS_AMT"/>
      <w:r w:rsidR="00803E3A">
        <w:rPr>
          <w:rFonts w:ascii="仿宋" w:eastAsia="仿宋" w:hAnsi="仿宋" w:cs="仿宋_GB2312" w:hint="eastAsia"/>
          <w:color w:val="000000"/>
          <w:sz w:val="32"/>
          <w:szCs w:val="32"/>
          <w:shd w:val="clear" w:color="auto" w:fill="FFFFFF"/>
        </w:rPr>
        <w:t>11</w:t>
      </w:r>
      <w:r w:rsidR="00EB658B" w:rsidRPr="003A4283">
        <w:rPr>
          <w:rFonts w:ascii="仿宋" w:eastAsia="仿宋" w:hAnsi="仿宋" w:cs="仿宋_GB2312" w:hint="eastAsia"/>
          <w:color w:val="000000"/>
          <w:sz w:val="32"/>
          <w:szCs w:val="32"/>
          <w:shd w:val="clear" w:color="auto" w:fill="FFFFFF"/>
        </w:rPr>
        <w:t>万元</w:t>
      </w:r>
      <w:bookmarkEnd w:id="6"/>
      <w:r w:rsidR="00EB658B" w:rsidRPr="003A4283">
        <w:rPr>
          <w:rFonts w:ascii="仿宋" w:eastAsia="仿宋" w:hAnsi="仿宋" w:cs="仿宋_GB2312" w:hint="eastAsia"/>
          <w:color w:val="000000"/>
          <w:sz w:val="32"/>
          <w:szCs w:val="32"/>
          <w:shd w:val="clear" w:color="auto" w:fill="FFFFFF"/>
        </w:rPr>
        <w:t>，其中，公务接待费</w:t>
      </w:r>
      <w:bookmarkStart w:id="7" w:name="THERR_AMT_30217"/>
      <w:r w:rsidR="00803E3A">
        <w:rPr>
          <w:rFonts w:ascii="仿宋" w:eastAsia="仿宋" w:hAnsi="仿宋" w:cs="仿宋_GB2312" w:hint="eastAsia"/>
          <w:color w:val="000000"/>
          <w:sz w:val="32"/>
          <w:szCs w:val="32"/>
          <w:shd w:val="clear" w:color="auto" w:fill="FFFFFF"/>
        </w:rPr>
        <w:t>6</w:t>
      </w:r>
      <w:r w:rsidR="00EB658B" w:rsidRPr="003A4283">
        <w:rPr>
          <w:rFonts w:ascii="仿宋" w:eastAsia="仿宋" w:hAnsi="仿宋" w:cs="仿宋_GB2312" w:hint="eastAsia"/>
          <w:color w:val="000000"/>
          <w:sz w:val="32"/>
          <w:szCs w:val="32"/>
          <w:shd w:val="clear" w:color="auto" w:fill="FFFFFF"/>
        </w:rPr>
        <w:t>万元</w:t>
      </w:r>
      <w:bookmarkEnd w:id="7"/>
      <w:r w:rsidR="00EB658B" w:rsidRPr="003A4283">
        <w:rPr>
          <w:rFonts w:ascii="仿宋" w:eastAsia="仿宋" w:hAnsi="仿宋" w:cs="仿宋_GB2312" w:hint="eastAsia"/>
          <w:color w:val="000000"/>
          <w:sz w:val="32"/>
          <w:szCs w:val="32"/>
          <w:shd w:val="clear" w:color="auto" w:fill="FFFFFF"/>
        </w:rPr>
        <w:t>，公务用车购置及运行费</w:t>
      </w:r>
      <w:bookmarkStart w:id="8" w:name="THERR_AMT_30913_31013_30231"/>
      <w:r w:rsidR="00803E3A">
        <w:rPr>
          <w:rFonts w:ascii="仿宋" w:eastAsia="仿宋" w:hAnsi="仿宋" w:cs="仿宋_GB2312" w:hint="eastAsia"/>
          <w:color w:val="000000"/>
          <w:sz w:val="32"/>
          <w:szCs w:val="32"/>
          <w:shd w:val="clear" w:color="auto" w:fill="FFFFFF"/>
        </w:rPr>
        <w:t>5</w:t>
      </w:r>
      <w:r w:rsidR="00EB658B" w:rsidRPr="003A4283">
        <w:rPr>
          <w:rFonts w:ascii="仿宋" w:eastAsia="仿宋" w:hAnsi="仿宋" w:cs="仿宋_GB2312" w:hint="eastAsia"/>
          <w:color w:val="000000"/>
          <w:sz w:val="32"/>
          <w:szCs w:val="32"/>
          <w:shd w:val="clear" w:color="auto" w:fill="FFFFFF"/>
        </w:rPr>
        <w:t>万元</w:t>
      </w:r>
      <w:bookmarkEnd w:id="8"/>
      <w:r w:rsidR="00EB658B" w:rsidRPr="003A4283">
        <w:rPr>
          <w:rFonts w:ascii="仿宋" w:eastAsia="仿宋" w:hAnsi="仿宋" w:cs="仿宋_GB2312" w:hint="eastAsia"/>
          <w:color w:val="000000"/>
          <w:sz w:val="32"/>
          <w:szCs w:val="32"/>
          <w:shd w:val="clear" w:color="auto" w:fill="FFFFFF"/>
        </w:rPr>
        <w:t>（其中，公务用车购置费</w:t>
      </w:r>
      <w:bookmarkStart w:id="9" w:name="THERR_AMT_30913_31013"/>
      <w:r w:rsidR="00EB658B" w:rsidRPr="003A4283">
        <w:rPr>
          <w:rFonts w:ascii="仿宋" w:eastAsia="仿宋" w:hAnsi="仿宋" w:cs="仿宋_GB2312" w:hint="eastAsia"/>
          <w:color w:val="000000"/>
          <w:sz w:val="32"/>
          <w:szCs w:val="32"/>
          <w:shd w:val="clear" w:color="auto" w:fill="FFFFFF"/>
        </w:rPr>
        <w:t>0</w:t>
      </w:r>
      <w:bookmarkEnd w:id="9"/>
      <w:r w:rsidR="00EB658B" w:rsidRPr="003A4283">
        <w:rPr>
          <w:rFonts w:ascii="仿宋" w:eastAsia="仿宋" w:hAnsi="仿宋" w:cs="仿宋_GB2312" w:hint="eastAsia"/>
          <w:color w:val="000000"/>
          <w:sz w:val="32"/>
          <w:szCs w:val="32"/>
          <w:shd w:val="clear" w:color="auto" w:fill="FFFFFF"/>
        </w:rPr>
        <w:t>万元，公务用车运行费</w:t>
      </w:r>
      <w:bookmarkStart w:id="10" w:name="THERR_AMT_30231"/>
      <w:r w:rsidR="00803E3A">
        <w:rPr>
          <w:rFonts w:ascii="仿宋" w:eastAsia="仿宋" w:hAnsi="仿宋" w:cs="仿宋_GB2312" w:hint="eastAsia"/>
          <w:color w:val="000000"/>
          <w:sz w:val="32"/>
          <w:szCs w:val="32"/>
          <w:shd w:val="clear" w:color="auto" w:fill="FFFFFF"/>
        </w:rPr>
        <w:t>5</w:t>
      </w:r>
      <w:r w:rsidR="00EB658B" w:rsidRPr="003A4283">
        <w:rPr>
          <w:rFonts w:ascii="仿宋" w:eastAsia="仿宋" w:hAnsi="仿宋" w:cs="仿宋_GB2312" w:hint="eastAsia"/>
          <w:color w:val="000000"/>
          <w:sz w:val="32"/>
          <w:szCs w:val="32"/>
          <w:shd w:val="clear" w:color="auto" w:fill="FFFFFF"/>
        </w:rPr>
        <w:t>万元</w:t>
      </w:r>
      <w:bookmarkEnd w:id="10"/>
      <w:r w:rsidR="00EB658B" w:rsidRPr="003A4283">
        <w:rPr>
          <w:rFonts w:ascii="仿宋" w:eastAsia="仿宋" w:hAnsi="仿宋" w:cs="仿宋_GB2312" w:hint="eastAsia"/>
          <w:color w:val="000000"/>
          <w:sz w:val="32"/>
          <w:szCs w:val="32"/>
          <w:shd w:val="clear" w:color="auto" w:fill="FFFFFF"/>
        </w:rPr>
        <w:t>），因公出国（境）费</w:t>
      </w:r>
      <w:bookmarkStart w:id="11" w:name="THERR_AMT_30212"/>
      <w:r w:rsidR="00EB658B" w:rsidRPr="003A4283">
        <w:rPr>
          <w:rFonts w:ascii="仿宋" w:eastAsia="仿宋" w:hAnsi="仿宋" w:cs="仿宋_GB2312" w:hint="eastAsia"/>
          <w:color w:val="000000"/>
          <w:sz w:val="32"/>
          <w:szCs w:val="32"/>
          <w:shd w:val="clear" w:color="auto" w:fill="FFFFFF"/>
        </w:rPr>
        <w:t>0</w:t>
      </w:r>
      <w:bookmarkEnd w:id="11"/>
      <w:r w:rsidR="00EB658B" w:rsidRPr="003A4283">
        <w:rPr>
          <w:rFonts w:ascii="仿宋" w:eastAsia="仿宋" w:hAnsi="仿宋" w:cs="仿宋_GB2312" w:hint="eastAsia"/>
          <w:color w:val="000000"/>
          <w:sz w:val="32"/>
          <w:szCs w:val="32"/>
          <w:shd w:val="clear" w:color="auto" w:fill="FFFFFF"/>
        </w:rPr>
        <w:t>万元。</w:t>
      </w:r>
    </w:p>
    <w:p w:rsidR="004C33DF" w:rsidRDefault="00913D12" w:rsidP="004C33DF">
      <w:pPr>
        <w:spacing w:after="0"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2023</w:t>
      </w:r>
      <w:r w:rsidR="00EB658B" w:rsidRPr="003A4283">
        <w:rPr>
          <w:rFonts w:ascii="仿宋" w:eastAsia="仿宋" w:hAnsi="仿宋" w:cs="仿宋" w:hint="eastAsia"/>
          <w:kern w:val="2"/>
          <w:sz w:val="32"/>
          <w:szCs w:val="32"/>
        </w:rPr>
        <w:t>年末“三公”经费决算数</w:t>
      </w:r>
      <w:r>
        <w:rPr>
          <w:rFonts w:ascii="仿宋" w:eastAsia="仿宋" w:hAnsi="仿宋" w:cs="仿宋" w:hint="eastAsia"/>
          <w:kern w:val="2"/>
          <w:sz w:val="32"/>
          <w:szCs w:val="32"/>
        </w:rPr>
        <w:t>3.91</w:t>
      </w:r>
      <w:r w:rsidR="00EB658B" w:rsidRPr="003A4283">
        <w:rPr>
          <w:rFonts w:ascii="仿宋" w:eastAsia="仿宋" w:hAnsi="仿宋" w:cs="仿宋" w:hint="eastAsia"/>
          <w:kern w:val="2"/>
          <w:sz w:val="32"/>
          <w:szCs w:val="32"/>
        </w:rPr>
        <w:t>万元，其中：公务接待费</w:t>
      </w:r>
      <w:r>
        <w:rPr>
          <w:rFonts w:ascii="仿宋" w:eastAsia="仿宋" w:hAnsi="仿宋" w:cs="仿宋" w:hint="eastAsia"/>
          <w:kern w:val="2"/>
          <w:sz w:val="32"/>
          <w:szCs w:val="32"/>
        </w:rPr>
        <w:t>1.21</w:t>
      </w:r>
      <w:r w:rsidR="00EB658B" w:rsidRPr="003A4283">
        <w:rPr>
          <w:rFonts w:ascii="仿宋" w:eastAsia="仿宋" w:hAnsi="仿宋" w:cs="仿宋" w:hint="eastAsia"/>
          <w:kern w:val="2"/>
          <w:sz w:val="32"/>
          <w:szCs w:val="32"/>
        </w:rPr>
        <w:t>万元，公务用车购置及运行费</w:t>
      </w:r>
      <w:r>
        <w:rPr>
          <w:rFonts w:ascii="仿宋" w:eastAsia="仿宋" w:hAnsi="仿宋" w:cs="仿宋" w:hint="eastAsia"/>
          <w:kern w:val="2"/>
          <w:sz w:val="32"/>
          <w:szCs w:val="32"/>
        </w:rPr>
        <w:t>2.7</w:t>
      </w:r>
      <w:r w:rsidR="00EB658B" w:rsidRPr="003A4283">
        <w:rPr>
          <w:rFonts w:ascii="仿宋" w:eastAsia="仿宋" w:hAnsi="仿宋" w:cs="仿宋" w:hint="eastAsia"/>
          <w:kern w:val="2"/>
          <w:sz w:val="32"/>
          <w:szCs w:val="32"/>
        </w:rPr>
        <w:t>万元（其中，公务用车购置费0万元，公务用车运行费</w:t>
      </w:r>
      <w:r>
        <w:rPr>
          <w:rFonts w:ascii="仿宋" w:eastAsia="仿宋" w:hAnsi="仿宋" w:cs="仿宋" w:hint="eastAsia"/>
          <w:kern w:val="2"/>
          <w:sz w:val="32"/>
          <w:szCs w:val="32"/>
        </w:rPr>
        <w:t>2.7</w:t>
      </w:r>
      <w:r w:rsidR="00EB658B" w:rsidRPr="003A4283">
        <w:rPr>
          <w:rFonts w:ascii="仿宋" w:eastAsia="仿宋" w:hAnsi="仿宋" w:cs="仿宋" w:hint="eastAsia"/>
          <w:kern w:val="2"/>
          <w:sz w:val="32"/>
          <w:szCs w:val="32"/>
        </w:rPr>
        <w:t>万元），因公出国（境）费0万元。</w:t>
      </w:r>
      <w:r w:rsidR="003F7517">
        <w:rPr>
          <w:rFonts w:ascii="仿宋" w:eastAsia="仿宋" w:hAnsi="仿宋" w:cs="仿宋" w:hint="eastAsia"/>
          <w:kern w:val="2"/>
          <w:sz w:val="32"/>
          <w:szCs w:val="32"/>
        </w:rPr>
        <w:t>控制率64%</w:t>
      </w:r>
      <w:r w:rsidR="000B78B9">
        <w:rPr>
          <w:rFonts w:ascii="仿宋" w:eastAsia="仿宋" w:hAnsi="仿宋" w:cs="仿宋" w:hint="eastAsia"/>
          <w:kern w:val="2"/>
          <w:sz w:val="32"/>
          <w:szCs w:val="32"/>
        </w:rPr>
        <w:t xml:space="preserve"> 。</w:t>
      </w:r>
    </w:p>
    <w:p w:rsidR="00275D82" w:rsidRPr="003A4283" w:rsidRDefault="002A12D0" w:rsidP="004C33DF">
      <w:pPr>
        <w:spacing w:after="0" w:line="480" w:lineRule="exact"/>
        <w:ind w:firstLineChars="200" w:firstLine="640"/>
        <w:jc w:val="both"/>
        <w:rPr>
          <w:rFonts w:ascii="仿宋" w:eastAsia="仿宋" w:hAnsi="仿宋" w:cs="仿宋"/>
          <w:kern w:val="2"/>
          <w:sz w:val="32"/>
          <w:szCs w:val="32"/>
        </w:rPr>
      </w:pPr>
      <w:r w:rsidRPr="003A4283">
        <w:rPr>
          <w:rFonts w:ascii="仿宋" w:eastAsia="仿宋" w:hAnsi="仿宋" w:cs="仿宋" w:hint="eastAsia"/>
          <w:kern w:val="2"/>
          <w:sz w:val="32"/>
          <w:szCs w:val="32"/>
        </w:rPr>
        <w:t>“三公”经费</w:t>
      </w:r>
      <w:r w:rsidR="003F7517">
        <w:rPr>
          <w:rFonts w:ascii="仿宋" w:eastAsia="仿宋" w:hAnsi="仿宋" w:cs="仿宋" w:hint="eastAsia"/>
          <w:kern w:val="2"/>
          <w:sz w:val="32"/>
          <w:szCs w:val="32"/>
        </w:rPr>
        <w:t>决算</w:t>
      </w:r>
      <w:r w:rsidRPr="003A4283">
        <w:rPr>
          <w:rFonts w:ascii="仿宋" w:eastAsia="仿宋" w:hAnsi="仿宋" w:cs="仿宋" w:hint="eastAsia"/>
          <w:kern w:val="2"/>
          <w:sz w:val="32"/>
          <w:szCs w:val="32"/>
        </w:rPr>
        <w:t>比上年</w:t>
      </w:r>
      <w:r w:rsidR="00275D82" w:rsidRPr="003A4283">
        <w:rPr>
          <w:rFonts w:ascii="仿宋" w:eastAsia="仿宋" w:hAnsi="仿宋" w:cs="仿宋" w:hint="eastAsia"/>
          <w:kern w:val="2"/>
          <w:sz w:val="32"/>
          <w:szCs w:val="32"/>
        </w:rPr>
        <w:t>减少</w:t>
      </w:r>
      <w:r w:rsidR="00CA1D92">
        <w:rPr>
          <w:rFonts w:ascii="仿宋" w:eastAsia="仿宋" w:hAnsi="仿宋" w:cs="仿宋" w:hint="eastAsia"/>
          <w:kern w:val="2"/>
          <w:sz w:val="32"/>
          <w:szCs w:val="32"/>
        </w:rPr>
        <w:t>11.29</w:t>
      </w:r>
      <w:r w:rsidRPr="003A4283">
        <w:rPr>
          <w:rFonts w:ascii="仿宋" w:eastAsia="仿宋" w:hAnsi="仿宋" w:cs="仿宋" w:hint="eastAsia"/>
          <w:kern w:val="2"/>
          <w:sz w:val="32"/>
          <w:szCs w:val="32"/>
        </w:rPr>
        <w:t>万元</w:t>
      </w:r>
      <w:r w:rsidR="00275D82" w:rsidRPr="003A4283">
        <w:rPr>
          <w:rFonts w:ascii="仿宋" w:eastAsia="仿宋" w:hAnsi="仿宋" w:cs="仿宋" w:hint="eastAsia"/>
          <w:kern w:val="2"/>
          <w:sz w:val="32"/>
          <w:szCs w:val="32"/>
        </w:rPr>
        <w:t>，主要是</w:t>
      </w:r>
      <w:r w:rsidR="00CA1D92">
        <w:rPr>
          <w:rFonts w:ascii="仿宋" w:eastAsia="仿宋" w:hAnsi="仿宋" w:cs="仿宋" w:hint="eastAsia"/>
          <w:kern w:val="2"/>
          <w:sz w:val="32"/>
          <w:szCs w:val="32"/>
        </w:rPr>
        <w:t>单位公务车移交县公车平台和</w:t>
      </w:r>
      <w:r w:rsidR="00275D82" w:rsidRPr="003A4283">
        <w:rPr>
          <w:rFonts w:ascii="仿宋" w:eastAsia="仿宋" w:hAnsi="仿宋" w:cs="仿宋" w:hint="eastAsia"/>
          <w:kern w:val="2"/>
          <w:sz w:val="32"/>
          <w:szCs w:val="32"/>
        </w:rPr>
        <w:t>贯彻落实八项规定要求，厉行节约、严格控制支出</w:t>
      </w:r>
      <w:r w:rsidR="005611A5" w:rsidRPr="003A4283">
        <w:rPr>
          <w:rFonts w:ascii="仿宋" w:eastAsia="仿宋" w:hAnsi="仿宋" w:cs="仿宋" w:hint="eastAsia"/>
          <w:kern w:val="2"/>
          <w:sz w:val="32"/>
          <w:szCs w:val="32"/>
        </w:rPr>
        <w:t>。</w:t>
      </w:r>
    </w:p>
    <w:p w:rsidR="009713B5" w:rsidRPr="003A4283" w:rsidRDefault="00650925" w:rsidP="00D75F24">
      <w:pPr>
        <w:topLinePunct/>
        <w:spacing w:after="0" w:line="480" w:lineRule="exact"/>
        <w:ind w:firstLineChars="200" w:firstLine="640"/>
        <w:jc w:val="both"/>
        <w:rPr>
          <w:rFonts w:ascii="仿宋" w:eastAsia="仿宋" w:hAnsi="仿宋" w:cs="仿宋"/>
          <w:kern w:val="2"/>
          <w:sz w:val="32"/>
          <w:szCs w:val="32"/>
        </w:rPr>
      </w:pPr>
      <w:r w:rsidRPr="003A4283">
        <w:rPr>
          <w:rFonts w:ascii="仿宋" w:eastAsia="仿宋" w:hAnsi="仿宋" w:cs="仿宋" w:hint="eastAsia"/>
          <w:kern w:val="2"/>
          <w:sz w:val="32"/>
          <w:szCs w:val="32"/>
        </w:rPr>
        <w:t>专项项目资金</w:t>
      </w:r>
      <w:r w:rsidR="00050D33" w:rsidRPr="00280B2C">
        <w:rPr>
          <w:rFonts w:ascii="仿宋" w:eastAsia="仿宋" w:hAnsi="仿宋" w:hint="eastAsia"/>
          <w:sz w:val="32"/>
          <w:szCs w:val="32"/>
        </w:rPr>
        <w:t>实行“专项指标管理、专项项目核算、专项使用”</w:t>
      </w:r>
      <w:r w:rsidRPr="003A4283">
        <w:rPr>
          <w:rFonts w:ascii="仿宋" w:eastAsia="仿宋" w:hAnsi="仿宋" w:cs="仿宋" w:hint="eastAsia"/>
          <w:kern w:val="2"/>
          <w:sz w:val="32"/>
          <w:szCs w:val="32"/>
        </w:rPr>
        <w:t>由财政统一拨款，单位通过</w:t>
      </w:r>
      <w:r w:rsidR="002A12D0" w:rsidRPr="003A4283">
        <w:rPr>
          <w:rFonts w:ascii="仿宋" w:eastAsia="仿宋" w:hAnsi="仿宋" w:cs="仿宋" w:hint="eastAsia"/>
          <w:kern w:val="2"/>
          <w:sz w:val="32"/>
          <w:szCs w:val="32"/>
        </w:rPr>
        <w:t>预算一体化</w:t>
      </w:r>
      <w:r w:rsidRPr="003A4283">
        <w:rPr>
          <w:rFonts w:ascii="仿宋" w:eastAsia="仿宋" w:hAnsi="仿宋" w:cs="仿宋" w:hint="eastAsia"/>
          <w:kern w:val="2"/>
          <w:sz w:val="32"/>
          <w:szCs w:val="32"/>
        </w:rPr>
        <w:t>系统直接支付，</w:t>
      </w:r>
      <w:r w:rsidR="009713B5" w:rsidRPr="003A4283">
        <w:rPr>
          <w:rFonts w:ascii="仿宋" w:eastAsia="仿宋" w:hAnsi="仿宋" w:cs="仿宋" w:hint="eastAsia"/>
          <w:kern w:val="2"/>
          <w:sz w:val="32"/>
          <w:szCs w:val="32"/>
        </w:rPr>
        <w:t>专项项目实行采购人专管制度。</w:t>
      </w:r>
    </w:p>
    <w:p w:rsidR="003A4283" w:rsidRPr="001C2800" w:rsidRDefault="009713B5" w:rsidP="001C2800">
      <w:pPr>
        <w:spacing w:after="0" w:line="480" w:lineRule="exact"/>
        <w:ind w:firstLineChars="200" w:firstLine="643"/>
        <w:jc w:val="both"/>
        <w:rPr>
          <w:rFonts w:ascii="Calibri" w:eastAsiaTheme="minorEastAsia" w:hAnsi="Calibri" w:cs="Calibri"/>
          <w:b/>
          <w:spacing w:val="6"/>
          <w:sz w:val="29"/>
          <w:szCs w:val="29"/>
        </w:rPr>
      </w:pPr>
      <w:r w:rsidRPr="001C2800">
        <w:rPr>
          <w:rFonts w:ascii="仿宋" w:eastAsia="仿宋" w:hAnsi="仿宋" w:cs="仿宋" w:hint="eastAsia"/>
          <w:b/>
          <w:kern w:val="2"/>
          <w:sz w:val="32"/>
          <w:szCs w:val="32"/>
        </w:rPr>
        <w:t>本单位绩效情况：</w:t>
      </w:r>
    </w:p>
    <w:p w:rsidR="008D7B6A" w:rsidRPr="008D7B6A" w:rsidRDefault="008D7B6A" w:rsidP="00897B0E">
      <w:pPr>
        <w:spacing w:after="0" w:line="480" w:lineRule="exact"/>
        <w:ind w:firstLineChars="200" w:firstLine="652"/>
        <w:jc w:val="both"/>
        <w:rPr>
          <w:rFonts w:ascii="仿宋" w:eastAsia="仿宋" w:hAnsi="仿宋" w:cs="仿宋"/>
          <w:spacing w:val="6"/>
          <w:sz w:val="32"/>
          <w:szCs w:val="32"/>
        </w:rPr>
      </w:pPr>
      <w:r w:rsidRPr="008D7B6A">
        <w:rPr>
          <w:rFonts w:ascii="仿宋" w:eastAsia="仿宋" w:hAnsi="仿宋" w:cs="仿宋" w:hint="eastAsia"/>
          <w:spacing w:val="6"/>
          <w:sz w:val="32"/>
          <w:szCs w:val="32"/>
        </w:rPr>
        <w:t>一、科学统筹，国土资源配置持续优化。完成《中方县国土空间总体规划（2021-2035年）》编制并获省2023年优秀国土空间规划设计和案例三等奖，完成10个乡镇国土空间规划的初稿编制工作，开展了现有村庄规划质量评估并制定了质量提升工作台账。通过科学的规划和管理，有效优化了</w:t>
      </w:r>
      <w:r w:rsidRPr="008D7B6A">
        <w:rPr>
          <w:rFonts w:ascii="仿宋" w:eastAsia="仿宋" w:hAnsi="仿宋" w:cs="仿宋" w:hint="eastAsia"/>
          <w:spacing w:val="6"/>
          <w:sz w:val="32"/>
          <w:szCs w:val="32"/>
        </w:rPr>
        <w:lastRenderedPageBreak/>
        <w:t>资源配置，保障了生态环境的完整性和稳定性，提升了城市品质，推动了区域协调发展，促进了可持续发展目标的实现。</w:t>
      </w:r>
    </w:p>
    <w:p w:rsidR="008D7B6A" w:rsidRPr="008D7B6A" w:rsidRDefault="008D7B6A" w:rsidP="00897B0E">
      <w:pPr>
        <w:spacing w:after="0" w:line="480" w:lineRule="exact"/>
        <w:ind w:firstLineChars="200" w:firstLine="652"/>
        <w:jc w:val="both"/>
        <w:rPr>
          <w:rFonts w:ascii="仿宋" w:eastAsia="仿宋" w:hAnsi="仿宋" w:cs="仿宋"/>
          <w:spacing w:val="6"/>
          <w:sz w:val="32"/>
          <w:szCs w:val="32"/>
        </w:rPr>
      </w:pPr>
      <w:r w:rsidRPr="008D7B6A">
        <w:rPr>
          <w:rFonts w:ascii="仿宋" w:eastAsia="仿宋" w:hAnsi="仿宋" w:cs="仿宋" w:hint="eastAsia"/>
          <w:spacing w:val="6"/>
          <w:sz w:val="32"/>
          <w:szCs w:val="32"/>
        </w:rPr>
        <w:t>二、防治并举，防灾减灾能力不断提升。实施避险搬迁1个批次7户，开展花桥村滑坡、铜湾村李家坡滑坡2个省级地灾项目治理，新路河灯盏型地灾工程治理成功纳入省级地灾治理项目库，申报资金813万，16个防危除险项目纳入国债资金项目库申报地质灾害综合防治体系建设资金821万。组织开展地质灾害应急抢险演练123次，安装普适型监测设备4处，另由市局统一申报国债项目资金预计270余万，用于我县监测设备新建25处、改建维护16处，进一步提升了防灾减灾能力。开展巡排查工作220轮660人次，成功避险1起山体滑坡，未发生人员伤亡，被应急管理部风险监测和综合减灾司作为典型案例，予以肯定并通报表扬。因防治得当，我县自1998年建县以来，连续25年未发生地质灾害事故。</w:t>
      </w:r>
    </w:p>
    <w:p w:rsidR="008D7B6A" w:rsidRPr="008D7B6A" w:rsidRDefault="008D7B6A" w:rsidP="00897B0E">
      <w:pPr>
        <w:spacing w:after="0" w:line="480" w:lineRule="exact"/>
        <w:ind w:firstLineChars="200" w:firstLine="652"/>
        <w:jc w:val="both"/>
        <w:rPr>
          <w:rFonts w:ascii="仿宋" w:eastAsia="仿宋" w:hAnsi="仿宋" w:cs="仿宋"/>
          <w:spacing w:val="6"/>
          <w:sz w:val="32"/>
          <w:szCs w:val="32"/>
        </w:rPr>
      </w:pPr>
      <w:r w:rsidRPr="008D7B6A">
        <w:rPr>
          <w:rFonts w:ascii="仿宋" w:eastAsia="仿宋" w:hAnsi="仿宋" w:cs="仿宋" w:hint="eastAsia"/>
          <w:spacing w:val="6"/>
          <w:sz w:val="32"/>
          <w:szCs w:val="32"/>
        </w:rPr>
        <w:t>三、严守红线，耕地保护工作稳步推进。在守住26.61万亩耕地底线目标的同时，耕地保有量净增0.77万亩；年度流出耕地70.12亩，流入136.55亩，实现进出平衡；占补平衡库存耕地数量指标1826.55亩，水田规模指标1193.94亩，粮食产能指标11.2万公斤，实现占补平衡；安装铁塔视频46个，“天空地网”监测体系进一步健全；全面完成74个“非农化、非粮化”问题举证销号，耕地保护工作成果得到有效巩固；耕地恢复施工面积7358.23亩，变更入库6684亩，超额完成耕地恢复任务。</w:t>
      </w:r>
    </w:p>
    <w:p w:rsidR="008D7B6A" w:rsidRPr="008D7B6A" w:rsidRDefault="008D7B6A" w:rsidP="00897B0E">
      <w:pPr>
        <w:spacing w:after="0" w:line="480" w:lineRule="exact"/>
        <w:ind w:firstLineChars="200" w:firstLine="652"/>
        <w:jc w:val="both"/>
        <w:rPr>
          <w:rFonts w:ascii="仿宋" w:eastAsia="仿宋" w:hAnsi="仿宋" w:cs="仿宋"/>
          <w:spacing w:val="6"/>
          <w:sz w:val="32"/>
          <w:szCs w:val="32"/>
        </w:rPr>
      </w:pPr>
      <w:r w:rsidRPr="008D7B6A">
        <w:rPr>
          <w:rFonts w:ascii="仿宋" w:eastAsia="仿宋" w:hAnsi="仿宋" w:cs="仿宋" w:hint="eastAsia"/>
          <w:spacing w:val="6"/>
          <w:sz w:val="32"/>
          <w:szCs w:val="32"/>
        </w:rPr>
        <w:t>四、持之以恒，生态修复取得重要进展。完成历史遗留矿山生态修复37个图斑44.84公顷、有责任主体废弃矿山生态修复3个矿点7个图斑19.35公顷，均已通过省级验收销号，超额完成年度任务。完成裸露山体修复5个图斑主体工程，5个图斑正在进行采购意向公示，1个有责任主体图斑完</w:t>
      </w:r>
      <w:r w:rsidRPr="008D7B6A">
        <w:rPr>
          <w:rFonts w:ascii="仿宋" w:eastAsia="仿宋" w:hAnsi="仿宋" w:cs="仿宋" w:hint="eastAsia"/>
          <w:spacing w:val="6"/>
          <w:sz w:val="32"/>
          <w:szCs w:val="32"/>
        </w:rPr>
        <w:lastRenderedPageBreak/>
        <w:t>成主体工程的50%。我县生态修复工作严格落实“因地制宜”原则，注重经济效益、生态效益和社会效益的有效结合，积极推进生态修复+模式，探索一条符合县域实际的生态文明建设新路径，生态环境保护全民参与的良好氛围正在形成，县域内生态环境质量得到进一步提升。</w:t>
      </w:r>
    </w:p>
    <w:p w:rsidR="008D7B6A" w:rsidRPr="008D7B6A" w:rsidRDefault="008D7B6A" w:rsidP="00897B0E">
      <w:pPr>
        <w:spacing w:after="0" w:line="480" w:lineRule="exact"/>
        <w:ind w:firstLineChars="200" w:firstLine="652"/>
        <w:jc w:val="both"/>
        <w:rPr>
          <w:rFonts w:ascii="仿宋" w:eastAsia="仿宋" w:hAnsi="仿宋" w:cs="仿宋"/>
          <w:spacing w:val="6"/>
          <w:sz w:val="32"/>
          <w:szCs w:val="32"/>
        </w:rPr>
      </w:pPr>
      <w:r w:rsidRPr="008D7B6A">
        <w:rPr>
          <w:rFonts w:ascii="仿宋" w:eastAsia="仿宋" w:hAnsi="仿宋" w:cs="仿宋" w:hint="eastAsia"/>
          <w:spacing w:val="6"/>
          <w:sz w:val="32"/>
          <w:szCs w:val="32"/>
        </w:rPr>
        <w:t>五、强化责任，要素保障任务有效落实。完成湘首云、恒裕钢构等重点项目国有土地报批305.62亩，正在报批110.41亩；完成8个村级活动中心等集体土地报批30.71亩，已批未取批单29.03亩，正在报批56.46亩；完成临港产业园土地征收成片开发方案编制并通过省人民政府审批；完成包茂互通建设项目规划选址与用地初审；完成恒裕钢构、华实木门等项目土地供应580.5亩。完成花桥黄鸡坨建筑石料灰岩矿出让工作，实现县级价款收益约706万元；完成花桥王家湾建筑用白云岩矿出让工作，目前正在签订采矿权成交确认书和合同阶段，预计实现县级收入2160万；完成了新建牛眠口石灰岩矿开发利用方案专家评审并在市局备案，正在准备开展采矿权价款收益评估工作。同时考虑台泥出让交易中止，向省厅汇报新设下村白云石矿，预计实现县级价款收益分成3000多万并有效解决我县涂料企业原料供给，目前正在向省厅申请矿区范围核查；完成土地出让、矿权出让、指标交易、罚没等非税收入6422.43万元，基金收入27385.77万元。</w:t>
      </w:r>
    </w:p>
    <w:p w:rsidR="008D7B6A" w:rsidRPr="008D7B6A" w:rsidRDefault="008D7B6A" w:rsidP="00897B0E">
      <w:pPr>
        <w:spacing w:after="0" w:line="480" w:lineRule="exact"/>
        <w:ind w:firstLineChars="200" w:firstLine="652"/>
        <w:jc w:val="both"/>
        <w:rPr>
          <w:rFonts w:ascii="仿宋" w:eastAsia="仿宋" w:hAnsi="仿宋" w:cs="仿宋"/>
          <w:spacing w:val="6"/>
          <w:sz w:val="32"/>
          <w:szCs w:val="32"/>
        </w:rPr>
      </w:pPr>
      <w:r w:rsidRPr="008D7B6A">
        <w:rPr>
          <w:rFonts w:ascii="仿宋" w:eastAsia="仿宋" w:hAnsi="仿宋" w:cs="仿宋" w:hint="eastAsia"/>
          <w:spacing w:val="6"/>
          <w:sz w:val="32"/>
          <w:szCs w:val="32"/>
        </w:rPr>
        <w:t>六、精打细算，资源集约节约成效显著。加快批而未供土地处置，完成启航学校、工业中专等20余宗434.55亩土地供应，处置率31.5%，超额完成任务；推进闲置土地盘活利用，完成存量闲置土地处置9宗1010.42亩，处置率45.32%。完成4宗96.14亩年度内新增闲置土地处置，处置率100%；全力处置园区“三类用地”，完成批而未供土地处</w:t>
      </w:r>
      <w:r w:rsidRPr="008D7B6A">
        <w:rPr>
          <w:rFonts w:ascii="仿宋" w:eastAsia="仿宋" w:hAnsi="仿宋" w:cs="仿宋" w:hint="eastAsia"/>
          <w:spacing w:val="6"/>
          <w:sz w:val="32"/>
          <w:szCs w:val="32"/>
        </w:rPr>
        <w:lastRenderedPageBreak/>
        <w:t>置125.13亩，处置率107.59%。完成闲置土地处置10.3亩，处置率100%。完成低效用地处置261.14亩，处置率105.26%。超额完成年度任务。严厉打击违法用地行为，完成2022年武汉督查局国家例行督察任务30宗，整改率100%。完成2023年武汉督察局国家例行督察任务19宗，整改率95%。完成省月清平台年度内下发11批次任务136宗，整改率78.16%，其中违法用地10宗整改率100%，非法采矿5宗整改率100%。</w:t>
      </w:r>
    </w:p>
    <w:p w:rsidR="008D7B6A" w:rsidRPr="008D7B6A" w:rsidRDefault="008D7B6A" w:rsidP="00897B0E">
      <w:pPr>
        <w:spacing w:after="0" w:line="480" w:lineRule="exact"/>
        <w:ind w:firstLineChars="200" w:firstLine="652"/>
        <w:jc w:val="both"/>
        <w:rPr>
          <w:rFonts w:ascii="仿宋" w:eastAsia="仿宋" w:hAnsi="仿宋" w:cs="仿宋"/>
          <w:spacing w:val="6"/>
          <w:sz w:val="32"/>
          <w:szCs w:val="32"/>
        </w:rPr>
      </w:pPr>
      <w:r w:rsidRPr="008D7B6A">
        <w:rPr>
          <w:rFonts w:ascii="仿宋" w:eastAsia="仿宋" w:hAnsi="仿宋" w:cs="仿宋" w:hint="eastAsia"/>
          <w:spacing w:val="6"/>
          <w:sz w:val="32"/>
          <w:szCs w:val="32"/>
        </w:rPr>
        <w:t>七、突破创新，助推营商环境不断优化。紧紧围绕企业和群众关心关注的热点、堵点、难点问题，推行各项改革举措，提升登记服务质量、提高财产登记效率，不断推进自然资源领域政务服务水平，形成了登记系统运行良好、业务流程精简优化、服务群众优质高效的工作格局，优化营商环境“财产登记”考核指标排名较去年提升了20名；结合主题教育，积极开展“立足岗位作贡献”、“我为单位和群众献一策，办一事，解一难”和“学习身边榜样”等活动，推动以学促进，形成“比学赶帮超”的良好干事创业氛围；不动产登记中心服务窗口设立党员示范岗，主动亮身份、亮职责、亮承诺，接受群众监督，发挥先锋模范作用，全年获得2次流动红旗窗口和4人次服务标兵。针对困难群众，提供不动产登记上门服务3次，打通服务群众的最后一公里。</w:t>
      </w:r>
    </w:p>
    <w:p w:rsidR="008D7B6A" w:rsidRPr="008D7B6A" w:rsidRDefault="008D7B6A" w:rsidP="00897B0E">
      <w:pPr>
        <w:spacing w:after="0" w:line="480" w:lineRule="exact"/>
        <w:ind w:firstLineChars="200" w:firstLine="652"/>
        <w:jc w:val="both"/>
        <w:rPr>
          <w:rFonts w:ascii="仿宋" w:eastAsia="仿宋" w:hAnsi="仿宋" w:cs="仿宋"/>
          <w:spacing w:val="6"/>
          <w:sz w:val="32"/>
          <w:szCs w:val="32"/>
        </w:rPr>
      </w:pPr>
      <w:r w:rsidRPr="008D7B6A">
        <w:rPr>
          <w:rFonts w:ascii="仿宋" w:eastAsia="仿宋" w:hAnsi="仿宋" w:cs="仿宋" w:hint="eastAsia"/>
          <w:spacing w:val="6"/>
          <w:sz w:val="32"/>
          <w:szCs w:val="32"/>
        </w:rPr>
        <w:t>八、常抓不懈，安全生产工作扎实有效。充分发挥县自然资源安全生产专业委员会对全县自然资源领域安全生产工作的牵头作用，健全完善运行机制，定期召开会议研究解决重点、难点问题，加强工作统筹、监督、协调，构建了自然资源安全生产“全县一盘棋”的工作格局，自然资源领域安全生产形势持续稳定向好。构建“县管乡、乡包村、村盯矿”督巡责任机制，建立公开举报有奖机制，全年通过巡查、举报发现非法打开矿硐3起，非法盗采线索6起，有力打击了</w:t>
      </w:r>
      <w:r w:rsidRPr="008D7B6A">
        <w:rPr>
          <w:rFonts w:ascii="仿宋" w:eastAsia="仿宋" w:hAnsi="仿宋" w:cs="仿宋" w:hint="eastAsia"/>
          <w:spacing w:val="6"/>
          <w:sz w:val="32"/>
          <w:szCs w:val="32"/>
        </w:rPr>
        <w:lastRenderedPageBreak/>
        <w:t>自然资源违法犯罪，维护了自然资源管理秩序；建立“月清三地两矿”联席会议机制，由县长亲自担任召集人，每月15日前召开联席会议，实现上级下发违法问题月清月结；推行行业领域企业安全生产派驻员制度，对全县9家正在进行生态修复的矿山企业派驻安全员，跟踪督办问题整改；建立安全执法技防加人防机制，全年开展执法检查523次，扣留非法开采设备3台，立案调查29起，收缴罚没款241.4202万元。在田长制平台铁塔视频监测系统基础上加装执法监测摄像头，加大对违法开采行为的视频监测，严厉打击非法开采行为；常态化开展行业领域“大排查大管控大整治”行动，确保隐患排查到位、安全风险防控化解整治到位。先后开展了岁末年初安全生产大排查，地灾防治“三查”、行业领导重大事故隐患专项排查，中秋、国庆长假期间“打非治违”专项整治行动等，发现并整改到位11个问题，安全生产强执法排名，从2022年二季度全市最后一名提升至2023年四季度全市第一名。因工作开展扎实有效，获评2023年安全生产和消防工作优秀单位。</w:t>
      </w:r>
    </w:p>
    <w:p w:rsidR="008D7B6A" w:rsidRPr="008D7B6A" w:rsidRDefault="008D7B6A" w:rsidP="00897B0E">
      <w:pPr>
        <w:spacing w:after="0" w:line="480" w:lineRule="exact"/>
        <w:ind w:firstLineChars="200" w:firstLine="652"/>
        <w:jc w:val="both"/>
        <w:rPr>
          <w:rFonts w:ascii="仿宋" w:eastAsia="仿宋" w:hAnsi="仿宋" w:cs="仿宋"/>
          <w:spacing w:val="6"/>
          <w:sz w:val="32"/>
          <w:szCs w:val="32"/>
        </w:rPr>
      </w:pPr>
      <w:r w:rsidRPr="008D7B6A">
        <w:rPr>
          <w:rFonts w:ascii="仿宋" w:eastAsia="仿宋" w:hAnsi="仿宋" w:cs="仿宋" w:hint="eastAsia"/>
          <w:spacing w:val="6"/>
          <w:sz w:val="32"/>
          <w:szCs w:val="32"/>
        </w:rPr>
        <w:t>九、锐意进取，特色亮点工作成效明显。在全市率先开展农村集体经营性建设用地入市改革并纳入全国试点。制定了《中方县农村集体经营性建设用地使用权入市管理办法（试行）》等相关规范性文件，完成了全县12个乡镇（不含主城区、高新区、县产业开发区、黄岩乡）农村集体经营性建设用地可入市空间范围、面积、权属、规划、用地批准，开展了入市意愿等调查工作，摸底集体土地数147宗约5825亩。根据调研成果，梳理有入市意愿的地块3宗，正在开展出让前期工作。在全市先行开展集体土地所有权确权登记成果更新汇交工作。收集整理了全县近十五年的征地批准文件、图件以及历史登记档案资料并进行矢量化。完成125个村的</w:t>
      </w:r>
      <w:r w:rsidRPr="008D7B6A">
        <w:rPr>
          <w:rFonts w:ascii="仿宋" w:eastAsia="仿宋" w:hAnsi="仿宋" w:cs="仿宋" w:hint="eastAsia"/>
          <w:spacing w:val="6"/>
          <w:sz w:val="32"/>
          <w:szCs w:val="32"/>
        </w:rPr>
        <w:lastRenderedPageBreak/>
        <w:t>集体土地确权成果公示，8月份举行了县“首批集体土地所有权不动产权证书”颁发仪式。截止目前，全县集体土地确权共计12107宗地，已落宗5790宗地。为依法维护农民土地权益、规范土地征收、支撑集体经营性建设用地入市等工作奠定了坚实基础。</w:t>
      </w:r>
    </w:p>
    <w:p w:rsidR="005E515C" w:rsidRDefault="00A11190">
      <w:pPr>
        <w:spacing w:after="0" w:line="600" w:lineRule="atLeast"/>
        <w:ind w:firstLineChars="200" w:firstLine="640"/>
        <w:rPr>
          <w:rFonts w:ascii="黑体" w:eastAsia="黑体" w:hAnsi="黑体" w:cs="黑体"/>
          <w:bCs/>
          <w:sz w:val="32"/>
          <w:szCs w:val="32"/>
        </w:rPr>
      </w:pPr>
      <w:r>
        <w:rPr>
          <w:rFonts w:ascii="黑体" w:eastAsia="黑体" w:hAnsi="黑体" w:cs="黑体" w:hint="eastAsia"/>
          <w:bCs/>
          <w:sz w:val="32"/>
          <w:szCs w:val="32"/>
        </w:rPr>
        <w:t>三、部门整体支出绩效评价分析</w:t>
      </w:r>
    </w:p>
    <w:p w:rsidR="00EE769F" w:rsidRDefault="00946F35" w:rsidP="00EE769F">
      <w:pPr>
        <w:spacing w:after="0" w:line="480" w:lineRule="exact"/>
        <w:ind w:firstLineChars="250" w:firstLine="800"/>
        <w:jc w:val="both"/>
        <w:rPr>
          <w:rFonts w:ascii="仿宋" w:eastAsia="仿宋" w:hAnsi="仿宋" w:cs="黑体"/>
          <w:bCs/>
          <w:sz w:val="32"/>
          <w:szCs w:val="32"/>
        </w:rPr>
      </w:pPr>
      <w:r>
        <w:rPr>
          <w:rFonts w:ascii="仿宋" w:eastAsia="仿宋" w:hAnsi="仿宋" w:cs="黑体" w:hint="eastAsia"/>
          <w:bCs/>
          <w:sz w:val="32"/>
          <w:szCs w:val="32"/>
        </w:rPr>
        <w:t>（一）投入情况</w:t>
      </w:r>
    </w:p>
    <w:p w:rsidR="00EE769F" w:rsidRPr="00EE769F" w:rsidRDefault="00952F7A" w:rsidP="00EE769F">
      <w:pPr>
        <w:spacing w:after="0" w:line="480" w:lineRule="exact"/>
        <w:ind w:firstLineChars="250" w:firstLine="800"/>
        <w:jc w:val="both"/>
        <w:rPr>
          <w:rFonts w:ascii="仿宋" w:eastAsia="仿宋" w:hAnsi="仿宋" w:cs="黑体"/>
          <w:bCs/>
          <w:sz w:val="32"/>
          <w:szCs w:val="32"/>
        </w:rPr>
      </w:pPr>
      <w:r>
        <w:rPr>
          <w:rFonts w:ascii="仿宋" w:eastAsia="仿宋" w:hAnsi="仿宋" w:cs="黑体" w:hint="eastAsia"/>
          <w:bCs/>
          <w:sz w:val="32"/>
          <w:szCs w:val="32"/>
        </w:rPr>
        <w:t>本单位的预算编制以财务室，业务股室为主，办公室，人事股配合完成。</w:t>
      </w:r>
      <w:r w:rsidR="00EE769F">
        <w:rPr>
          <w:rFonts w:ascii="仿宋_GB2312" w:eastAsia="仿宋_GB2312" w:hAnsi="仿宋_GB2312" w:cs="宋体"/>
          <w:sz w:val="32"/>
        </w:rPr>
        <w:t>2023年部门预算</w:t>
      </w:r>
      <w:r w:rsidR="0031046E">
        <w:rPr>
          <w:rFonts w:ascii="仿宋_GB2312" w:eastAsia="仿宋_GB2312" w:hAnsi="仿宋_GB2312" w:cs="宋体" w:hint="eastAsia"/>
          <w:sz w:val="32"/>
        </w:rPr>
        <w:t>为</w:t>
      </w:r>
      <w:r w:rsidR="00EE769F">
        <w:rPr>
          <w:rFonts w:ascii="仿宋_GB2312" w:eastAsia="仿宋_GB2312" w:hAnsi="仿宋_GB2312" w:cs="宋体"/>
          <w:sz w:val="32"/>
        </w:rPr>
        <w:t>本级</w:t>
      </w:r>
      <w:r w:rsidR="0031046E">
        <w:rPr>
          <w:rFonts w:ascii="仿宋_GB2312" w:eastAsia="仿宋_GB2312" w:hAnsi="仿宋_GB2312" w:cs="宋体" w:hint="eastAsia"/>
          <w:sz w:val="32"/>
        </w:rPr>
        <w:t>单位</w:t>
      </w:r>
      <w:r w:rsidR="00EE769F">
        <w:rPr>
          <w:rFonts w:ascii="仿宋_GB2312" w:eastAsia="仿宋_GB2312" w:hAnsi="仿宋_GB2312" w:cs="宋体"/>
          <w:sz w:val="32"/>
        </w:rPr>
        <w:t>预算</w:t>
      </w:r>
      <w:r w:rsidR="0031046E">
        <w:rPr>
          <w:rFonts w:ascii="仿宋_GB2312" w:eastAsia="仿宋_GB2312" w:hAnsi="仿宋_GB2312" w:cs="宋体" w:hint="eastAsia"/>
          <w:sz w:val="32"/>
        </w:rPr>
        <w:t>。</w:t>
      </w:r>
      <w:r w:rsidR="00EE769F">
        <w:rPr>
          <w:rFonts w:ascii="仿宋_GB2312" w:eastAsia="仿宋_GB2312" w:hAnsi="仿宋_GB2312" w:cs="宋体"/>
          <w:sz w:val="32"/>
        </w:rPr>
        <w:t>收入包括一般公共预算、政府性基金、国有资本经营预算等财政拨款收入，以及经营收入、事业收入等单位资金；支出包括保机关基本运行的经费以及归口管理专项经费。</w:t>
      </w:r>
      <w:r w:rsidR="00946F35">
        <w:rPr>
          <w:rFonts w:ascii="仿宋" w:eastAsia="仿宋" w:hAnsi="仿宋" w:cs="黑体" w:hint="eastAsia"/>
          <w:bCs/>
          <w:sz w:val="32"/>
          <w:szCs w:val="32"/>
        </w:rPr>
        <w:t>2023年</w:t>
      </w:r>
      <w:r w:rsidR="00BB2D9D">
        <w:rPr>
          <w:rFonts w:ascii="仿宋" w:eastAsia="仿宋" w:hAnsi="仿宋" w:cs="黑体" w:hint="eastAsia"/>
          <w:bCs/>
          <w:sz w:val="32"/>
          <w:szCs w:val="32"/>
        </w:rPr>
        <w:t>预算目标</w:t>
      </w:r>
      <w:r w:rsidR="00946F35">
        <w:rPr>
          <w:rFonts w:ascii="仿宋" w:eastAsia="仿宋" w:hAnsi="仿宋" w:cs="黑体" w:hint="eastAsia"/>
          <w:bCs/>
          <w:sz w:val="32"/>
          <w:szCs w:val="32"/>
        </w:rPr>
        <w:t>收入6739.42万元，</w:t>
      </w:r>
      <w:r>
        <w:rPr>
          <w:rFonts w:ascii="仿宋_GB2312" w:eastAsia="仿宋_GB2312" w:hAnsi="仿宋_GB2312" w:cs="宋体"/>
          <w:sz w:val="32"/>
        </w:rPr>
        <w:t>其中</w:t>
      </w:r>
      <w:r>
        <w:rPr>
          <w:rFonts w:ascii="仿宋_GB2312" w:eastAsia="仿宋_GB2312" w:hAnsi="仿宋_GB2312" w:cs="宋体" w:hint="eastAsia"/>
          <w:sz w:val="32"/>
        </w:rPr>
        <w:t>;</w:t>
      </w:r>
      <w:r>
        <w:rPr>
          <w:rFonts w:ascii="仿宋_GB2312" w:eastAsia="仿宋_GB2312" w:hAnsi="仿宋_GB2312" w:cs="宋体"/>
          <w:sz w:val="32"/>
        </w:rPr>
        <w:t>一般公共预算拨款</w:t>
      </w:r>
      <w:r>
        <w:rPr>
          <w:rFonts w:ascii="仿宋_GB2312" w:eastAsia="仿宋_GB2312" w:hAnsi="仿宋_GB2312" w:cs="宋体" w:hint="eastAsia"/>
          <w:sz w:val="32"/>
        </w:rPr>
        <w:t>收入</w:t>
      </w:r>
      <w:r>
        <w:rPr>
          <w:rFonts w:ascii="仿宋_GB2312" w:eastAsia="仿宋_GB2312" w:hAnsi="仿宋_GB2312" w:cs="宋体"/>
          <w:sz w:val="32"/>
        </w:rPr>
        <w:t>4225.46万元，政府性基金预算拨款</w:t>
      </w:r>
      <w:r>
        <w:rPr>
          <w:rFonts w:ascii="仿宋_GB2312" w:eastAsia="仿宋_GB2312" w:hAnsi="仿宋_GB2312" w:cs="宋体" w:hint="eastAsia"/>
          <w:sz w:val="32"/>
        </w:rPr>
        <w:t>收入</w:t>
      </w:r>
      <w:r>
        <w:rPr>
          <w:rFonts w:ascii="仿宋_GB2312" w:eastAsia="仿宋_GB2312" w:hAnsi="仿宋_GB2312" w:cs="宋体"/>
          <w:sz w:val="32"/>
        </w:rPr>
        <w:t>800.00万元，国有资本经营预算拨款0万元，纳入专户管理的非税收入140.00万元，上级财政补助</w:t>
      </w:r>
      <w:r>
        <w:rPr>
          <w:rFonts w:ascii="仿宋_GB2312" w:eastAsia="仿宋_GB2312" w:hAnsi="仿宋_GB2312" w:cs="宋体" w:hint="eastAsia"/>
          <w:sz w:val="32"/>
        </w:rPr>
        <w:t>收入</w:t>
      </w:r>
      <w:r>
        <w:rPr>
          <w:rFonts w:ascii="仿宋_GB2312" w:eastAsia="仿宋_GB2312" w:hAnsi="仿宋_GB2312" w:cs="宋体"/>
          <w:sz w:val="32"/>
        </w:rPr>
        <w:t>1573.96万元。</w:t>
      </w:r>
      <w:r w:rsidR="0031046E">
        <w:rPr>
          <w:rFonts w:ascii="仿宋_GB2312" w:eastAsia="仿宋_GB2312" w:hAnsi="仿宋_GB2312" w:cs="宋体" w:hint="eastAsia"/>
          <w:sz w:val="32"/>
        </w:rPr>
        <w:t>2023年预算支出</w:t>
      </w:r>
      <w:r w:rsidR="00B61453">
        <w:rPr>
          <w:rFonts w:ascii="仿宋_GB2312" w:eastAsia="仿宋_GB2312" w:hAnsi="仿宋_GB2312" w:cs="宋体" w:hint="eastAsia"/>
          <w:sz w:val="32"/>
        </w:rPr>
        <w:t>6739.42万元，其中：基本支出2773.46万元，项目支出3965.96万元。</w:t>
      </w:r>
    </w:p>
    <w:p w:rsidR="00B61453" w:rsidRDefault="00946F35" w:rsidP="0031046E">
      <w:pPr>
        <w:spacing w:after="0" w:line="480" w:lineRule="exact"/>
        <w:ind w:firstLineChars="200" w:firstLine="640"/>
        <w:jc w:val="both"/>
        <w:rPr>
          <w:rFonts w:ascii="仿宋" w:eastAsia="仿宋" w:hAnsi="仿宋" w:cs="黑体"/>
          <w:bCs/>
          <w:sz w:val="32"/>
          <w:szCs w:val="32"/>
        </w:rPr>
      </w:pPr>
      <w:r>
        <w:rPr>
          <w:rFonts w:ascii="仿宋" w:eastAsia="仿宋" w:hAnsi="仿宋" w:cs="黑体" w:hint="eastAsia"/>
          <w:bCs/>
          <w:sz w:val="32"/>
          <w:szCs w:val="32"/>
        </w:rPr>
        <w:t>（二）执行管理情况</w:t>
      </w:r>
    </w:p>
    <w:p w:rsidR="0031046E" w:rsidRPr="005A5590" w:rsidRDefault="0031046E" w:rsidP="0031046E">
      <w:pPr>
        <w:spacing w:after="0" w:line="480" w:lineRule="exact"/>
        <w:ind w:firstLineChars="200" w:firstLine="640"/>
        <w:jc w:val="both"/>
        <w:rPr>
          <w:rFonts w:ascii="仿宋" w:eastAsia="仿宋" w:hAnsi="仿宋" w:cs="仿宋_GB2312"/>
          <w:color w:val="000000"/>
          <w:sz w:val="32"/>
          <w:szCs w:val="32"/>
          <w:shd w:val="clear" w:color="auto" w:fill="FFFFFF"/>
        </w:rPr>
      </w:pPr>
      <w:r>
        <w:rPr>
          <w:rFonts w:ascii="仿宋_GB2312" w:eastAsia="仿宋_GB2312" w:hAnsi="仿宋_GB2312" w:cs="宋体" w:hint="eastAsia"/>
          <w:sz w:val="32"/>
        </w:rPr>
        <w:t>2023年收入决算8644.38万元，其中：</w:t>
      </w:r>
      <w:r>
        <w:rPr>
          <w:rFonts w:ascii="仿宋_GB2312" w:eastAsia="仿宋_GB2312" w:hAnsi="仿宋_GB2312" w:cs="宋体"/>
          <w:sz w:val="32"/>
        </w:rPr>
        <w:t>一般公共预算拨款</w:t>
      </w:r>
      <w:r>
        <w:rPr>
          <w:rFonts w:ascii="仿宋_GB2312" w:eastAsia="仿宋_GB2312" w:hAnsi="仿宋_GB2312" w:cs="宋体" w:hint="eastAsia"/>
          <w:sz w:val="32"/>
        </w:rPr>
        <w:t>6136.06万元，</w:t>
      </w:r>
      <w:r>
        <w:rPr>
          <w:rFonts w:ascii="仿宋_GB2312" w:eastAsia="仿宋_GB2312" w:hAnsi="仿宋_GB2312" w:cs="宋体"/>
          <w:sz w:val="32"/>
        </w:rPr>
        <w:t>政府性基金预算拨款</w:t>
      </w:r>
      <w:r>
        <w:rPr>
          <w:rFonts w:ascii="仿宋_GB2312" w:eastAsia="仿宋_GB2312" w:hAnsi="仿宋_GB2312" w:cs="宋体" w:hint="eastAsia"/>
          <w:sz w:val="32"/>
        </w:rPr>
        <w:t>2076.6万元，</w:t>
      </w:r>
      <w:r>
        <w:rPr>
          <w:rFonts w:ascii="仿宋_GB2312" w:eastAsia="仿宋_GB2312" w:hAnsi="仿宋_GB2312" w:cs="宋体"/>
          <w:sz w:val="32"/>
        </w:rPr>
        <w:t>纳入专户管理的非税收入</w:t>
      </w:r>
      <w:r>
        <w:rPr>
          <w:rFonts w:ascii="仿宋_GB2312" w:eastAsia="仿宋_GB2312" w:hAnsi="仿宋_GB2312" w:cs="宋体" w:hint="eastAsia"/>
          <w:sz w:val="32"/>
        </w:rPr>
        <w:t>431.72</w:t>
      </w:r>
      <w:r>
        <w:rPr>
          <w:rFonts w:ascii="仿宋_GB2312" w:eastAsia="仿宋_GB2312" w:hAnsi="仿宋_GB2312" w:cs="宋体"/>
          <w:sz w:val="32"/>
        </w:rPr>
        <w:t>万元</w:t>
      </w:r>
      <w:r>
        <w:rPr>
          <w:rFonts w:ascii="仿宋_GB2312" w:eastAsia="仿宋_GB2312" w:hAnsi="仿宋_GB2312" w:cs="宋体" w:hint="eastAsia"/>
          <w:sz w:val="32"/>
        </w:rPr>
        <w:t>，预算执行率128% 。</w:t>
      </w:r>
      <w:r>
        <w:rPr>
          <w:rFonts w:ascii="仿宋" w:eastAsia="仿宋" w:hAnsi="仿宋" w:cs="仿宋_GB2312" w:hint="eastAsia"/>
          <w:color w:val="000000"/>
          <w:sz w:val="32"/>
          <w:szCs w:val="32"/>
          <w:shd w:val="clear" w:color="auto" w:fill="FFFFFF"/>
        </w:rPr>
        <w:t>2023年支出决算</w:t>
      </w:r>
      <w:r>
        <w:rPr>
          <w:rFonts w:ascii="仿宋_GB2312" w:eastAsia="仿宋_GB2312" w:hAnsi="仿宋_GB2312" w:cs="宋体" w:hint="eastAsia"/>
          <w:sz w:val="32"/>
        </w:rPr>
        <w:t>8644.38万元，其中：</w:t>
      </w:r>
      <w:r>
        <w:rPr>
          <w:rFonts w:ascii="仿宋_GB2312" w:eastAsia="仿宋_GB2312" w:hAnsi="仿宋_GB2312" w:cs="宋体"/>
          <w:sz w:val="32"/>
        </w:rPr>
        <w:t>社会保障和就业支出</w:t>
      </w:r>
      <w:r>
        <w:rPr>
          <w:rFonts w:ascii="仿宋_GB2312" w:eastAsia="仿宋_GB2312" w:hAnsi="仿宋_GB2312" w:cs="宋体" w:hint="eastAsia"/>
          <w:sz w:val="32"/>
        </w:rPr>
        <w:t>186.79</w:t>
      </w:r>
      <w:r>
        <w:rPr>
          <w:rFonts w:ascii="仿宋_GB2312" w:eastAsia="仿宋_GB2312" w:hAnsi="仿宋_GB2312" w:cs="宋体"/>
          <w:sz w:val="32"/>
        </w:rPr>
        <w:t>万元，卫生健康支出</w:t>
      </w:r>
      <w:r>
        <w:rPr>
          <w:rFonts w:ascii="仿宋_GB2312" w:eastAsia="仿宋_GB2312" w:hAnsi="仿宋_GB2312" w:cs="宋体" w:hint="eastAsia"/>
          <w:sz w:val="32"/>
        </w:rPr>
        <w:t>81.53</w:t>
      </w:r>
      <w:r>
        <w:rPr>
          <w:rFonts w:ascii="仿宋_GB2312" w:eastAsia="仿宋_GB2312" w:hAnsi="仿宋_GB2312" w:cs="宋体"/>
          <w:sz w:val="32"/>
        </w:rPr>
        <w:t>万元，节能环保支出</w:t>
      </w:r>
      <w:r>
        <w:rPr>
          <w:rFonts w:ascii="仿宋_GB2312" w:eastAsia="仿宋_GB2312" w:hAnsi="仿宋_GB2312" w:cs="宋体" w:hint="eastAsia"/>
          <w:sz w:val="32"/>
        </w:rPr>
        <w:t>197.57</w:t>
      </w:r>
      <w:r>
        <w:rPr>
          <w:rFonts w:ascii="仿宋_GB2312" w:eastAsia="仿宋_GB2312" w:hAnsi="仿宋_GB2312" w:cs="宋体"/>
          <w:sz w:val="32"/>
        </w:rPr>
        <w:t>万元，城乡社区支出</w:t>
      </w:r>
      <w:r>
        <w:rPr>
          <w:rFonts w:ascii="仿宋_GB2312" w:eastAsia="仿宋_GB2312" w:hAnsi="仿宋_GB2312" w:cs="宋体" w:hint="eastAsia"/>
          <w:sz w:val="32"/>
        </w:rPr>
        <w:t>2076.60</w:t>
      </w:r>
      <w:r>
        <w:rPr>
          <w:rFonts w:ascii="仿宋_GB2312" w:eastAsia="仿宋_GB2312" w:hAnsi="仿宋_GB2312" w:cs="宋体"/>
          <w:sz w:val="32"/>
        </w:rPr>
        <w:t>万元，农林水支出</w:t>
      </w:r>
      <w:r>
        <w:rPr>
          <w:rFonts w:ascii="仿宋_GB2312" w:eastAsia="仿宋_GB2312" w:hAnsi="仿宋_GB2312" w:cs="宋体" w:hint="eastAsia"/>
          <w:sz w:val="32"/>
        </w:rPr>
        <w:t>1721.35</w:t>
      </w:r>
      <w:r>
        <w:rPr>
          <w:rFonts w:ascii="仿宋_GB2312" w:eastAsia="仿宋_GB2312" w:hAnsi="仿宋_GB2312" w:cs="宋体"/>
          <w:sz w:val="32"/>
        </w:rPr>
        <w:t>万元，自然资源海洋气象等支出</w:t>
      </w:r>
      <w:r>
        <w:rPr>
          <w:rFonts w:ascii="仿宋_GB2312" w:eastAsia="仿宋_GB2312" w:hAnsi="仿宋_GB2312" w:cs="宋体" w:hint="eastAsia"/>
          <w:sz w:val="32"/>
        </w:rPr>
        <w:t>4026.97</w:t>
      </w:r>
      <w:r>
        <w:rPr>
          <w:rFonts w:ascii="仿宋_GB2312" w:eastAsia="仿宋_GB2312" w:hAnsi="仿宋_GB2312" w:cs="宋体"/>
          <w:sz w:val="32"/>
        </w:rPr>
        <w:t>万元，住房保障支出</w:t>
      </w:r>
      <w:r>
        <w:rPr>
          <w:rFonts w:ascii="仿宋_GB2312" w:eastAsia="仿宋_GB2312" w:hAnsi="仿宋_GB2312" w:cs="宋体" w:hint="eastAsia"/>
          <w:sz w:val="32"/>
        </w:rPr>
        <w:t>126.25</w:t>
      </w:r>
      <w:r>
        <w:rPr>
          <w:rFonts w:ascii="仿宋_GB2312" w:eastAsia="仿宋_GB2312" w:hAnsi="仿宋_GB2312" w:cs="宋体"/>
          <w:sz w:val="32"/>
        </w:rPr>
        <w:t>万元，灾害防治及应急管理支出</w:t>
      </w:r>
      <w:r>
        <w:rPr>
          <w:rFonts w:ascii="仿宋_GB2312" w:eastAsia="仿宋_GB2312" w:hAnsi="仿宋_GB2312" w:cs="宋体" w:hint="eastAsia"/>
          <w:sz w:val="32"/>
        </w:rPr>
        <w:t>227.32</w:t>
      </w:r>
      <w:r>
        <w:rPr>
          <w:rFonts w:ascii="仿宋_GB2312" w:eastAsia="仿宋_GB2312" w:hAnsi="仿宋_GB2312" w:cs="宋体"/>
          <w:sz w:val="32"/>
        </w:rPr>
        <w:t>万元。</w:t>
      </w:r>
      <w:r w:rsidR="00363BC5">
        <w:rPr>
          <w:rFonts w:ascii="仿宋" w:eastAsia="仿宋" w:hAnsi="仿宋" w:cs="仿宋_GB2312" w:hint="eastAsia"/>
          <w:color w:val="000000"/>
          <w:sz w:val="32"/>
          <w:szCs w:val="32"/>
          <w:shd w:val="clear" w:color="auto" w:fill="FFFFFF"/>
        </w:rPr>
        <w:t>完成</w:t>
      </w:r>
      <w:r>
        <w:rPr>
          <w:rFonts w:ascii="仿宋" w:eastAsia="仿宋" w:hAnsi="仿宋" w:cs="仿宋_GB2312" w:hint="eastAsia"/>
          <w:color w:val="000000"/>
          <w:sz w:val="32"/>
          <w:szCs w:val="32"/>
          <w:shd w:val="clear" w:color="auto" w:fill="FFFFFF"/>
        </w:rPr>
        <w:t>率128% 。</w:t>
      </w:r>
    </w:p>
    <w:p w:rsidR="00B61453" w:rsidRDefault="0031046E" w:rsidP="00B61453">
      <w:pPr>
        <w:spacing w:after="0" w:line="480" w:lineRule="exact"/>
        <w:ind w:firstLineChars="200" w:firstLine="640"/>
        <w:jc w:val="both"/>
        <w:rPr>
          <w:rFonts w:ascii="仿宋" w:eastAsia="仿宋" w:hAnsi="仿宋" w:cs="黑体"/>
          <w:bCs/>
          <w:sz w:val="32"/>
          <w:szCs w:val="32"/>
        </w:rPr>
      </w:pPr>
      <w:r>
        <w:rPr>
          <w:rFonts w:ascii="仿宋" w:eastAsia="仿宋" w:hAnsi="仿宋" w:cs="黑体" w:hint="eastAsia"/>
          <w:bCs/>
          <w:sz w:val="32"/>
          <w:szCs w:val="32"/>
        </w:rPr>
        <w:t>（三）</w:t>
      </w:r>
      <w:r w:rsidR="00B61453">
        <w:rPr>
          <w:rFonts w:ascii="仿宋" w:eastAsia="仿宋" w:hAnsi="仿宋" w:cs="黑体" w:hint="eastAsia"/>
          <w:bCs/>
          <w:sz w:val="32"/>
          <w:szCs w:val="32"/>
        </w:rPr>
        <w:t>支出绩效情况</w:t>
      </w:r>
    </w:p>
    <w:p w:rsidR="0098790A" w:rsidRPr="00952F7A" w:rsidRDefault="00162060" w:rsidP="00B61453">
      <w:pPr>
        <w:spacing w:after="0" w:line="480" w:lineRule="exact"/>
        <w:ind w:firstLineChars="200" w:firstLine="640"/>
        <w:jc w:val="both"/>
        <w:rPr>
          <w:rFonts w:ascii="仿宋_GB2312" w:eastAsia="仿宋_GB2312" w:hAnsi="仿宋_GB2312" w:cs="宋体"/>
          <w:sz w:val="32"/>
        </w:rPr>
      </w:pPr>
      <w:r>
        <w:rPr>
          <w:rFonts w:ascii="仿宋" w:eastAsia="仿宋" w:hAnsi="仿宋" w:cs="黑体" w:hint="eastAsia"/>
          <w:bCs/>
          <w:sz w:val="32"/>
          <w:szCs w:val="32"/>
        </w:rPr>
        <w:lastRenderedPageBreak/>
        <w:t>本单位</w:t>
      </w:r>
      <w:r w:rsidR="008B0956">
        <w:rPr>
          <w:rFonts w:ascii="仿宋" w:eastAsia="仿宋" w:hAnsi="仿宋" w:cs="黑体" w:hint="eastAsia"/>
          <w:bCs/>
          <w:sz w:val="32"/>
          <w:szCs w:val="32"/>
        </w:rPr>
        <w:t>2023</w:t>
      </w:r>
      <w:r w:rsidR="0098790A">
        <w:rPr>
          <w:rFonts w:ascii="仿宋" w:eastAsia="仿宋" w:hAnsi="仿宋" w:cs="黑体" w:hint="eastAsia"/>
          <w:bCs/>
          <w:sz w:val="32"/>
          <w:szCs w:val="32"/>
        </w:rPr>
        <w:t>年初</w:t>
      </w:r>
      <w:r w:rsidR="00943337">
        <w:rPr>
          <w:rFonts w:ascii="仿宋" w:eastAsia="仿宋" w:hAnsi="仿宋" w:cs="黑体" w:hint="eastAsia"/>
          <w:bCs/>
          <w:sz w:val="32"/>
          <w:szCs w:val="32"/>
        </w:rPr>
        <w:t>收入</w:t>
      </w:r>
      <w:r w:rsidR="0098790A">
        <w:rPr>
          <w:rFonts w:ascii="仿宋" w:eastAsia="仿宋" w:hAnsi="仿宋" w:cs="黑体" w:hint="eastAsia"/>
          <w:bCs/>
          <w:sz w:val="32"/>
          <w:szCs w:val="32"/>
        </w:rPr>
        <w:t>预算</w:t>
      </w:r>
      <w:r w:rsidR="008B0956">
        <w:rPr>
          <w:rFonts w:ascii="仿宋" w:eastAsia="仿宋" w:hAnsi="仿宋" w:cs="黑体" w:hint="eastAsia"/>
          <w:bCs/>
          <w:sz w:val="32"/>
          <w:szCs w:val="32"/>
        </w:rPr>
        <w:t>6739.42</w:t>
      </w:r>
      <w:r w:rsidR="0098790A">
        <w:rPr>
          <w:rFonts w:ascii="仿宋" w:eastAsia="仿宋" w:hAnsi="仿宋" w:cs="黑体" w:hint="eastAsia"/>
          <w:bCs/>
          <w:sz w:val="32"/>
          <w:szCs w:val="32"/>
        </w:rPr>
        <w:t>万元，年末</w:t>
      </w:r>
      <w:r w:rsidR="00943337">
        <w:rPr>
          <w:rFonts w:ascii="仿宋" w:eastAsia="仿宋" w:hAnsi="仿宋" w:cs="黑体" w:hint="eastAsia"/>
          <w:bCs/>
          <w:sz w:val="32"/>
          <w:szCs w:val="32"/>
        </w:rPr>
        <w:t>收入</w:t>
      </w:r>
      <w:r w:rsidR="0098790A">
        <w:rPr>
          <w:rFonts w:ascii="仿宋" w:eastAsia="仿宋" w:hAnsi="仿宋" w:cs="黑体" w:hint="eastAsia"/>
          <w:bCs/>
          <w:sz w:val="32"/>
          <w:szCs w:val="32"/>
        </w:rPr>
        <w:t>决算</w:t>
      </w:r>
      <w:r w:rsidR="008B0956">
        <w:rPr>
          <w:rFonts w:ascii="仿宋" w:eastAsia="仿宋" w:hAnsi="仿宋" w:cs="黑体" w:hint="eastAsia"/>
          <w:bCs/>
          <w:sz w:val="32"/>
          <w:szCs w:val="32"/>
        </w:rPr>
        <w:t>8644.38</w:t>
      </w:r>
      <w:r w:rsidR="00B61453">
        <w:rPr>
          <w:rFonts w:ascii="仿宋" w:eastAsia="仿宋" w:hAnsi="仿宋" w:cs="黑体" w:hint="eastAsia"/>
          <w:bCs/>
          <w:sz w:val="32"/>
          <w:szCs w:val="32"/>
        </w:rPr>
        <w:t>万元，预算执行率</w:t>
      </w:r>
      <w:r w:rsidR="008B0956">
        <w:rPr>
          <w:rFonts w:ascii="仿宋" w:eastAsia="仿宋" w:hAnsi="仿宋" w:cs="黑体" w:hint="eastAsia"/>
          <w:bCs/>
          <w:sz w:val="32"/>
          <w:szCs w:val="32"/>
        </w:rPr>
        <w:t>128</w:t>
      </w:r>
      <w:r w:rsidR="0098790A">
        <w:rPr>
          <w:rFonts w:ascii="仿宋" w:eastAsia="仿宋" w:hAnsi="仿宋" w:cs="黑体" w:hint="eastAsia"/>
          <w:bCs/>
          <w:sz w:val="32"/>
          <w:szCs w:val="32"/>
        </w:rPr>
        <w:t>%</w:t>
      </w:r>
      <w:r w:rsidR="00943337">
        <w:rPr>
          <w:rFonts w:ascii="仿宋" w:eastAsia="仿宋" w:hAnsi="仿宋" w:cs="黑体" w:hint="eastAsia"/>
          <w:bCs/>
          <w:sz w:val="32"/>
          <w:szCs w:val="32"/>
        </w:rPr>
        <w:t>；</w:t>
      </w:r>
      <w:r w:rsidR="008B0956">
        <w:rPr>
          <w:rFonts w:ascii="仿宋" w:eastAsia="仿宋" w:hAnsi="仿宋" w:cs="黑体" w:hint="eastAsia"/>
          <w:bCs/>
          <w:sz w:val="32"/>
          <w:szCs w:val="32"/>
        </w:rPr>
        <w:t>2023</w:t>
      </w:r>
      <w:r w:rsidR="00943337">
        <w:rPr>
          <w:rFonts w:ascii="仿宋" w:eastAsia="仿宋" w:hAnsi="仿宋" w:cs="黑体" w:hint="eastAsia"/>
          <w:bCs/>
          <w:sz w:val="32"/>
          <w:szCs w:val="32"/>
        </w:rPr>
        <w:t>年初</w:t>
      </w:r>
      <w:r w:rsidR="00901D02">
        <w:rPr>
          <w:rFonts w:ascii="仿宋" w:eastAsia="仿宋" w:hAnsi="仿宋" w:cs="黑体" w:hint="eastAsia"/>
          <w:bCs/>
          <w:sz w:val="32"/>
          <w:szCs w:val="32"/>
        </w:rPr>
        <w:t>支出预算6739.42万元，年未支出决算8644.38万元，完成128% 。其中：</w:t>
      </w:r>
      <w:r w:rsidR="00943337">
        <w:rPr>
          <w:rFonts w:ascii="仿宋" w:eastAsia="仿宋" w:hAnsi="仿宋" w:cs="仿宋" w:hint="eastAsia"/>
          <w:kern w:val="2"/>
          <w:sz w:val="32"/>
          <w:szCs w:val="32"/>
        </w:rPr>
        <w:t>基本支出</w:t>
      </w:r>
      <w:r w:rsidR="00901D02">
        <w:rPr>
          <w:rFonts w:ascii="仿宋" w:eastAsia="仿宋" w:hAnsi="仿宋" w:cs="仿宋" w:hint="eastAsia"/>
          <w:kern w:val="2"/>
          <w:sz w:val="32"/>
          <w:szCs w:val="32"/>
        </w:rPr>
        <w:t>年初</w:t>
      </w:r>
      <w:r w:rsidR="00943337">
        <w:rPr>
          <w:rFonts w:ascii="仿宋" w:eastAsia="仿宋" w:hAnsi="仿宋" w:cs="仿宋" w:hint="eastAsia"/>
          <w:kern w:val="2"/>
          <w:sz w:val="32"/>
          <w:szCs w:val="32"/>
        </w:rPr>
        <w:t>预算</w:t>
      </w:r>
      <w:r w:rsidR="008B0956">
        <w:rPr>
          <w:rFonts w:ascii="仿宋" w:eastAsia="仿宋" w:hAnsi="仿宋" w:cs="仿宋" w:hint="eastAsia"/>
          <w:kern w:val="2"/>
          <w:sz w:val="32"/>
          <w:szCs w:val="32"/>
        </w:rPr>
        <w:t>2773.46</w:t>
      </w:r>
      <w:r w:rsidR="00943337">
        <w:rPr>
          <w:rFonts w:ascii="仿宋" w:eastAsia="仿宋" w:hAnsi="仿宋" w:cs="仿宋" w:hint="eastAsia"/>
          <w:kern w:val="2"/>
          <w:sz w:val="32"/>
          <w:szCs w:val="32"/>
        </w:rPr>
        <w:t>万元，年末基本支出决算</w:t>
      </w:r>
      <w:r w:rsidR="008B0956">
        <w:rPr>
          <w:rFonts w:ascii="仿宋" w:eastAsia="仿宋" w:hAnsi="仿宋" w:cs="仿宋" w:hint="eastAsia"/>
          <w:kern w:val="2"/>
          <w:sz w:val="32"/>
          <w:szCs w:val="32"/>
        </w:rPr>
        <w:t>3375.3</w:t>
      </w:r>
      <w:r w:rsidR="00943337">
        <w:rPr>
          <w:rFonts w:ascii="仿宋" w:eastAsia="仿宋" w:hAnsi="仿宋" w:cs="仿宋" w:hint="eastAsia"/>
          <w:kern w:val="2"/>
          <w:sz w:val="32"/>
          <w:szCs w:val="32"/>
        </w:rPr>
        <w:t>万元，完成</w:t>
      </w:r>
      <w:r w:rsidR="008B0956">
        <w:rPr>
          <w:rFonts w:ascii="仿宋" w:eastAsia="仿宋" w:hAnsi="仿宋" w:cs="仿宋" w:hint="eastAsia"/>
          <w:kern w:val="2"/>
          <w:sz w:val="32"/>
          <w:szCs w:val="32"/>
        </w:rPr>
        <w:t>122</w:t>
      </w:r>
      <w:r w:rsidR="00943337">
        <w:rPr>
          <w:rFonts w:ascii="仿宋" w:eastAsia="仿宋" w:hAnsi="仿宋" w:cs="仿宋" w:hint="eastAsia"/>
          <w:kern w:val="2"/>
          <w:sz w:val="32"/>
          <w:szCs w:val="32"/>
        </w:rPr>
        <w:t>%</w:t>
      </w:r>
      <w:r w:rsidR="00FF6A0B">
        <w:rPr>
          <w:rFonts w:ascii="仿宋" w:eastAsia="仿宋" w:hAnsi="仿宋" w:cs="仿宋" w:hint="eastAsia"/>
          <w:kern w:val="2"/>
          <w:sz w:val="32"/>
          <w:szCs w:val="32"/>
        </w:rPr>
        <w:t>，</w:t>
      </w:r>
      <w:r w:rsidR="00943337">
        <w:rPr>
          <w:rFonts w:ascii="仿宋" w:eastAsia="仿宋" w:hAnsi="仿宋" w:cs="仿宋" w:hint="eastAsia"/>
          <w:kern w:val="2"/>
          <w:sz w:val="32"/>
          <w:szCs w:val="32"/>
        </w:rPr>
        <w:t>年初项目支出</w:t>
      </w:r>
      <w:r w:rsidR="00FF6A0B">
        <w:rPr>
          <w:rFonts w:ascii="仿宋" w:eastAsia="仿宋" w:hAnsi="仿宋" w:cs="仿宋" w:hint="eastAsia"/>
          <w:kern w:val="2"/>
          <w:sz w:val="32"/>
          <w:szCs w:val="32"/>
        </w:rPr>
        <w:t>预算</w:t>
      </w:r>
      <w:r w:rsidR="008B0956">
        <w:rPr>
          <w:rFonts w:ascii="仿宋" w:eastAsia="仿宋" w:hAnsi="仿宋" w:cs="仿宋" w:hint="eastAsia"/>
          <w:kern w:val="2"/>
          <w:sz w:val="32"/>
          <w:szCs w:val="32"/>
        </w:rPr>
        <w:t>3965.96</w:t>
      </w:r>
      <w:r w:rsidR="00943337">
        <w:rPr>
          <w:rFonts w:ascii="仿宋" w:eastAsia="仿宋" w:hAnsi="仿宋" w:cs="仿宋" w:hint="eastAsia"/>
          <w:kern w:val="2"/>
          <w:sz w:val="32"/>
          <w:szCs w:val="32"/>
        </w:rPr>
        <w:t>万元，</w:t>
      </w:r>
      <w:r w:rsidR="007807AF">
        <w:rPr>
          <w:rFonts w:ascii="仿宋" w:eastAsia="仿宋" w:hAnsi="仿宋" w:cs="仿宋" w:hint="eastAsia"/>
          <w:kern w:val="2"/>
          <w:sz w:val="32"/>
          <w:szCs w:val="32"/>
        </w:rPr>
        <w:t>年末</w:t>
      </w:r>
      <w:r w:rsidR="00943337">
        <w:rPr>
          <w:rFonts w:ascii="仿宋" w:eastAsia="仿宋" w:hAnsi="仿宋" w:cs="仿宋" w:hint="eastAsia"/>
          <w:kern w:val="2"/>
          <w:sz w:val="32"/>
          <w:szCs w:val="32"/>
        </w:rPr>
        <w:t>项目支出决算</w:t>
      </w:r>
      <w:r w:rsidR="008B0956">
        <w:rPr>
          <w:rFonts w:ascii="仿宋" w:eastAsia="仿宋" w:hAnsi="仿宋" w:cs="仿宋" w:hint="eastAsia"/>
          <w:kern w:val="2"/>
          <w:sz w:val="32"/>
          <w:szCs w:val="32"/>
        </w:rPr>
        <w:t>5269.08</w:t>
      </w:r>
      <w:r w:rsidR="00943337">
        <w:rPr>
          <w:rFonts w:ascii="仿宋" w:eastAsia="仿宋" w:hAnsi="仿宋" w:cs="仿宋" w:hint="eastAsia"/>
          <w:kern w:val="2"/>
          <w:sz w:val="32"/>
          <w:szCs w:val="32"/>
        </w:rPr>
        <w:t>万元，</w:t>
      </w:r>
      <w:r w:rsidR="00FF6A0B">
        <w:rPr>
          <w:rFonts w:ascii="仿宋" w:eastAsia="仿宋" w:hAnsi="仿宋" w:cs="仿宋" w:hint="eastAsia"/>
          <w:kern w:val="2"/>
          <w:sz w:val="32"/>
          <w:szCs w:val="32"/>
        </w:rPr>
        <w:t>完成</w:t>
      </w:r>
      <w:r w:rsidR="008B0956">
        <w:rPr>
          <w:rFonts w:ascii="仿宋" w:eastAsia="仿宋" w:hAnsi="仿宋" w:cs="仿宋" w:hint="eastAsia"/>
          <w:kern w:val="2"/>
          <w:sz w:val="32"/>
          <w:szCs w:val="32"/>
        </w:rPr>
        <w:t>133</w:t>
      </w:r>
      <w:r w:rsidR="00943337">
        <w:rPr>
          <w:rFonts w:ascii="仿宋" w:eastAsia="仿宋" w:hAnsi="仿宋" w:cs="仿宋" w:hint="eastAsia"/>
          <w:kern w:val="2"/>
          <w:sz w:val="32"/>
          <w:szCs w:val="32"/>
        </w:rPr>
        <w:t>%</w:t>
      </w:r>
      <w:r w:rsidR="00FF6A0B">
        <w:rPr>
          <w:rFonts w:ascii="仿宋" w:eastAsia="仿宋" w:hAnsi="仿宋" w:cs="仿宋" w:hint="eastAsia"/>
          <w:kern w:val="2"/>
          <w:sz w:val="32"/>
          <w:szCs w:val="32"/>
        </w:rPr>
        <w:t>。</w:t>
      </w:r>
      <w:r w:rsidR="00A94D12">
        <w:rPr>
          <w:rFonts w:ascii="仿宋" w:eastAsia="仿宋" w:hAnsi="仿宋" w:cs="仿宋" w:hint="eastAsia"/>
          <w:kern w:val="2"/>
          <w:sz w:val="32"/>
          <w:szCs w:val="32"/>
        </w:rPr>
        <w:t>部门</w:t>
      </w:r>
      <w:r w:rsidR="00A94D12">
        <w:rPr>
          <w:rFonts w:ascii="仿宋" w:eastAsia="仿宋" w:hAnsi="仿宋" w:cs="黑体" w:hint="eastAsia"/>
          <w:bCs/>
          <w:sz w:val="32"/>
          <w:szCs w:val="32"/>
        </w:rPr>
        <w:t>预算各项目完成情况</w:t>
      </w:r>
      <w:r w:rsidR="00943337">
        <w:rPr>
          <w:rFonts w:ascii="仿宋" w:eastAsia="仿宋" w:hAnsi="仿宋" w:cs="黑体" w:hint="eastAsia"/>
          <w:bCs/>
          <w:sz w:val="32"/>
          <w:szCs w:val="32"/>
        </w:rPr>
        <w:t>好，但款项在支付进度上不理想，</w:t>
      </w:r>
      <w:r w:rsidR="00650925">
        <w:rPr>
          <w:rFonts w:ascii="仿宋" w:eastAsia="仿宋" w:hAnsi="仿宋" w:cs="黑体" w:hint="eastAsia"/>
          <w:bCs/>
          <w:sz w:val="32"/>
          <w:szCs w:val="32"/>
        </w:rPr>
        <w:t>主要是因为财政资金紧张，</w:t>
      </w:r>
      <w:r w:rsidR="00D80713">
        <w:rPr>
          <w:rFonts w:ascii="仿宋" w:eastAsia="仿宋" w:hAnsi="仿宋" w:cs="黑体" w:hint="eastAsia"/>
          <w:bCs/>
          <w:sz w:val="32"/>
          <w:szCs w:val="32"/>
        </w:rPr>
        <w:t>不能及时到位。</w:t>
      </w:r>
      <w:r w:rsidR="00FF6A0B">
        <w:rPr>
          <w:rFonts w:ascii="仿宋" w:eastAsia="仿宋" w:hAnsi="仿宋" w:cs="黑体" w:hint="eastAsia"/>
          <w:bCs/>
          <w:sz w:val="32"/>
          <w:szCs w:val="32"/>
        </w:rPr>
        <w:t>其它详见</w:t>
      </w:r>
      <w:r w:rsidR="00D30AA6">
        <w:rPr>
          <w:rFonts w:ascii="仿宋" w:eastAsia="仿宋" w:hAnsi="仿宋" w:cs="黑体" w:hint="eastAsia"/>
          <w:bCs/>
          <w:sz w:val="32"/>
          <w:szCs w:val="32"/>
        </w:rPr>
        <w:t>部门整体评价工作开</w:t>
      </w:r>
      <w:r w:rsidR="0098790A" w:rsidRPr="0098790A">
        <w:rPr>
          <w:rFonts w:ascii="仿宋" w:eastAsia="仿宋" w:hAnsi="仿宋" w:cs="黑体" w:hint="eastAsia"/>
          <w:bCs/>
          <w:sz w:val="32"/>
          <w:szCs w:val="32"/>
        </w:rPr>
        <w:t>展分析。</w:t>
      </w:r>
    </w:p>
    <w:p w:rsidR="005E515C" w:rsidRDefault="00A11190">
      <w:pPr>
        <w:spacing w:after="0" w:line="600" w:lineRule="atLeast"/>
        <w:ind w:firstLineChars="200" w:firstLine="640"/>
        <w:rPr>
          <w:rFonts w:ascii="黑体" w:eastAsia="黑体" w:hAnsi="黑体" w:cs="黑体"/>
          <w:bCs/>
          <w:sz w:val="32"/>
          <w:szCs w:val="32"/>
        </w:rPr>
      </w:pPr>
      <w:r>
        <w:rPr>
          <w:rFonts w:ascii="黑体" w:eastAsia="黑体" w:hAnsi="黑体" w:cs="黑体" w:hint="eastAsia"/>
          <w:bCs/>
          <w:sz w:val="32"/>
          <w:szCs w:val="32"/>
        </w:rPr>
        <w:t>四、存在的问题</w:t>
      </w:r>
    </w:p>
    <w:p w:rsidR="00AD2C0E" w:rsidRPr="00DC5B8B" w:rsidRDefault="00951180" w:rsidP="002B0AE4">
      <w:pPr>
        <w:spacing w:after="0" w:line="480" w:lineRule="exact"/>
        <w:jc w:val="both"/>
        <w:rPr>
          <w:rFonts w:ascii="仿宋" w:eastAsia="仿宋" w:hAnsi="仿宋" w:cs="黑体"/>
          <w:bCs/>
          <w:sz w:val="32"/>
          <w:szCs w:val="32"/>
        </w:rPr>
      </w:pPr>
      <w:r>
        <w:rPr>
          <w:rFonts w:ascii="仿宋" w:eastAsia="仿宋" w:hAnsi="仿宋" w:cs="黑体" w:hint="eastAsia"/>
          <w:bCs/>
          <w:sz w:val="32"/>
          <w:szCs w:val="32"/>
        </w:rPr>
        <w:t>单位自筹人员和退休人员多，经费严重不足，其公用经费和工资福利方面不能全面保障；各业股室历年累计未及时付款的项目多；单位业务专业人才缺乏。</w:t>
      </w:r>
    </w:p>
    <w:p w:rsidR="005E515C" w:rsidRDefault="00A11190">
      <w:pPr>
        <w:spacing w:after="0" w:line="600" w:lineRule="atLeast"/>
        <w:ind w:firstLineChars="200" w:firstLine="640"/>
        <w:rPr>
          <w:rFonts w:ascii="黑体" w:eastAsia="黑体" w:hAnsi="黑体" w:cs="黑体"/>
          <w:bCs/>
          <w:sz w:val="32"/>
          <w:szCs w:val="32"/>
        </w:rPr>
      </w:pPr>
      <w:r>
        <w:rPr>
          <w:rFonts w:ascii="黑体" w:eastAsia="黑体" w:hAnsi="黑体" w:cs="黑体" w:hint="eastAsia"/>
          <w:bCs/>
          <w:sz w:val="32"/>
          <w:szCs w:val="32"/>
        </w:rPr>
        <w:t>五、整改措施或建议</w:t>
      </w:r>
    </w:p>
    <w:p w:rsidR="002B0AE4" w:rsidRPr="002B0AE4" w:rsidRDefault="00C65666" w:rsidP="002B0AE4">
      <w:pPr>
        <w:spacing w:after="0" w:line="480" w:lineRule="exact"/>
        <w:ind w:leftChars="100" w:left="220" w:firstLineChars="200" w:firstLine="640"/>
        <w:jc w:val="both"/>
        <w:rPr>
          <w:rFonts w:ascii="仿宋" w:eastAsia="仿宋" w:hAnsi="仿宋" w:cs="仿宋"/>
          <w:spacing w:val="6"/>
          <w:sz w:val="32"/>
          <w:szCs w:val="32"/>
        </w:rPr>
      </w:pPr>
      <w:r w:rsidRPr="002B0AE4">
        <w:rPr>
          <w:rFonts w:ascii="仿宋" w:eastAsia="仿宋" w:hAnsi="仿宋" w:cs="黑体" w:hint="eastAsia"/>
          <w:bCs/>
          <w:sz w:val="32"/>
          <w:szCs w:val="32"/>
        </w:rPr>
        <w:t>希望</w:t>
      </w:r>
      <w:r w:rsidR="00951180" w:rsidRPr="002B0AE4">
        <w:rPr>
          <w:rFonts w:ascii="仿宋" w:eastAsia="仿宋" w:hAnsi="仿宋" w:cs="黑体" w:hint="eastAsia"/>
          <w:bCs/>
          <w:sz w:val="32"/>
          <w:szCs w:val="32"/>
        </w:rPr>
        <w:t>把单位自筹人员</w:t>
      </w:r>
      <w:r w:rsidR="002B0AE4" w:rsidRPr="002B0AE4">
        <w:rPr>
          <w:rFonts w:ascii="仿宋" w:eastAsia="仿宋" w:hAnsi="仿宋" w:cs="黑体" w:hint="eastAsia"/>
          <w:bCs/>
          <w:sz w:val="32"/>
          <w:szCs w:val="32"/>
        </w:rPr>
        <w:t>经费</w:t>
      </w:r>
      <w:r w:rsidR="00951180" w:rsidRPr="002B0AE4">
        <w:rPr>
          <w:rFonts w:ascii="仿宋" w:eastAsia="仿宋" w:hAnsi="仿宋" w:cs="黑体" w:hint="eastAsia"/>
          <w:bCs/>
          <w:sz w:val="32"/>
          <w:szCs w:val="32"/>
        </w:rPr>
        <w:t>全部纳入部门预</w:t>
      </w:r>
      <w:r w:rsidR="002B0AE4" w:rsidRPr="002B0AE4">
        <w:rPr>
          <w:rFonts w:ascii="仿宋" w:eastAsia="仿宋" w:hAnsi="仿宋" w:cs="黑体" w:hint="eastAsia"/>
          <w:bCs/>
          <w:sz w:val="32"/>
          <w:szCs w:val="32"/>
        </w:rPr>
        <w:t>算</w:t>
      </w:r>
      <w:r w:rsidR="00951180" w:rsidRPr="002B0AE4">
        <w:rPr>
          <w:rFonts w:ascii="仿宋" w:eastAsia="仿宋" w:hAnsi="仿宋" w:cs="黑体" w:hint="eastAsia"/>
          <w:bCs/>
          <w:sz w:val="32"/>
          <w:szCs w:val="32"/>
        </w:rPr>
        <w:t>，解决自筹人员</w:t>
      </w:r>
      <w:r w:rsidR="002B0AE4" w:rsidRPr="002B0AE4">
        <w:rPr>
          <w:rFonts w:ascii="仿宋" w:eastAsia="仿宋" w:hAnsi="仿宋" w:cs="黑体" w:hint="eastAsia"/>
          <w:bCs/>
          <w:sz w:val="32"/>
          <w:szCs w:val="32"/>
        </w:rPr>
        <w:t>无</w:t>
      </w:r>
      <w:r w:rsidR="00951180" w:rsidRPr="002B0AE4">
        <w:rPr>
          <w:rFonts w:ascii="仿宋" w:eastAsia="仿宋" w:hAnsi="仿宋" w:cs="黑体" w:hint="eastAsia"/>
          <w:bCs/>
          <w:sz w:val="32"/>
          <w:szCs w:val="32"/>
        </w:rPr>
        <w:t>车补问题，</w:t>
      </w:r>
      <w:r w:rsidR="002B0AE4" w:rsidRPr="002B0AE4">
        <w:rPr>
          <w:rFonts w:ascii="仿宋" w:eastAsia="仿宋" w:hAnsi="仿宋" w:cs="黑体" w:hint="eastAsia"/>
          <w:bCs/>
          <w:sz w:val="32"/>
          <w:szCs w:val="32"/>
        </w:rPr>
        <w:t>把单位的项目纳入县财政资金预算，而不是每年从单位完成非税任务返还中解决项目经费，</w:t>
      </w:r>
      <w:r w:rsidR="002B0AE4" w:rsidRPr="002B0AE4">
        <w:rPr>
          <w:rFonts w:ascii="仿宋" w:eastAsia="仿宋" w:hAnsi="仿宋" w:cs="仿宋" w:hint="eastAsia"/>
          <w:spacing w:val="6"/>
          <w:sz w:val="32"/>
          <w:szCs w:val="32"/>
        </w:rPr>
        <w:t>根据岗位需求，有所侧重的采取人才引进的方式，壮大人才队伍；与此同时，有计划的选派培养对象交流学习，在实践中不断健全和完善培养措施。</w:t>
      </w:r>
    </w:p>
    <w:p w:rsidR="005E515C" w:rsidRDefault="00A11190" w:rsidP="002B0AE4">
      <w:pPr>
        <w:spacing w:after="0" w:line="600" w:lineRule="atLeast"/>
        <w:ind w:firstLineChars="350" w:firstLine="1120"/>
        <w:rPr>
          <w:rFonts w:ascii="黑体" w:eastAsia="黑体" w:hAnsi="黑体" w:cs="黑体"/>
          <w:bCs/>
          <w:sz w:val="32"/>
          <w:szCs w:val="32"/>
        </w:rPr>
      </w:pPr>
      <w:r>
        <w:rPr>
          <w:rFonts w:ascii="黑体" w:eastAsia="黑体" w:hAnsi="黑体" w:cs="黑体" w:hint="eastAsia"/>
          <w:bCs/>
          <w:sz w:val="32"/>
          <w:szCs w:val="32"/>
        </w:rPr>
        <w:t>六、其他需要说明的问题</w:t>
      </w:r>
    </w:p>
    <w:p w:rsidR="00193809" w:rsidRDefault="004E0166" w:rsidP="00A722D2">
      <w:pPr>
        <w:spacing w:after="0" w:line="600" w:lineRule="atLeast"/>
        <w:ind w:firstLineChars="350" w:firstLine="1120"/>
        <w:rPr>
          <w:rFonts w:ascii="仿宋" w:eastAsia="仿宋" w:hAnsi="仿宋" w:cs="黑体"/>
          <w:bCs/>
          <w:sz w:val="32"/>
          <w:szCs w:val="32"/>
        </w:rPr>
      </w:pPr>
      <w:r>
        <w:rPr>
          <w:rFonts w:ascii="仿宋" w:eastAsia="仿宋" w:hAnsi="仿宋" w:cs="黑体" w:hint="eastAsia"/>
          <w:bCs/>
          <w:sz w:val="32"/>
          <w:szCs w:val="32"/>
        </w:rPr>
        <w:t>2023年决算</w:t>
      </w:r>
      <w:r w:rsidR="006E5F2B">
        <w:rPr>
          <w:rFonts w:ascii="仿宋" w:eastAsia="仿宋" w:hAnsi="仿宋" w:cs="黑体" w:hint="eastAsia"/>
          <w:bCs/>
          <w:sz w:val="32"/>
          <w:szCs w:val="32"/>
        </w:rPr>
        <w:t>报表中</w:t>
      </w:r>
      <w:r>
        <w:rPr>
          <w:rFonts w:ascii="仿宋" w:eastAsia="仿宋" w:hAnsi="仿宋" w:cs="黑体" w:hint="eastAsia"/>
          <w:bCs/>
          <w:sz w:val="32"/>
          <w:szCs w:val="32"/>
        </w:rPr>
        <w:t>年初一般公共财政拨款收入预算包含了上级财政补助</w:t>
      </w:r>
      <w:r w:rsidR="009C0B2E">
        <w:rPr>
          <w:rFonts w:ascii="仿宋" w:eastAsia="仿宋" w:hAnsi="仿宋" w:cs="黑体" w:hint="eastAsia"/>
          <w:bCs/>
          <w:sz w:val="32"/>
          <w:szCs w:val="32"/>
        </w:rPr>
        <w:t>收入</w:t>
      </w:r>
      <w:r>
        <w:rPr>
          <w:rFonts w:ascii="仿宋" w:eastAsia="仿宋" w:hAnsi="仿宋" w:cs="黑体" w:hint="eastAsia"/>
          <w:bCs/>
          <w:sz w:val="32"/>
          <w:szCs w:val="32"/>
        </w:rPr>
        <w:t>和纳入</w:t>
      </w:r>
      <w:r w:rsidR="009C0B2E">
        <w:rPr>
          <w:rFonts w:ascii="仿宋" w:eastAsia="仿宋" w:hAnsi="仿宋" w:cs="黑体" w:hint="eastAsia"/>
          <w:bCs/>
          <w:sz w:val="32"/>
          <w:szCs w:val="32"/>
        </w:rPr>
        <w:t>财政专户</w:t>
      </w:r>
      <w:r w:rsidR="006E5F2B">
        <w:rPr>
          <w:rFonts w:ascii="仿宋" w:eastAsia="仿宋" w:hAnsi="仿宋" w:cs="黑体" w:hint="eastAsia"/>
          <w:bCs/>
          <w:sz w:val="32"/>
          <w:szCs w:val="32"/>
        </w:rPr>
        <w:t>非税</w:t>
      </w:r>
      <w:r>
        <w:rPr>
          <w:rFonts w:ascii="仿宋" w:eastAsia="仿宋" w:hAnsi="仿宋" w:cs="黑体" w:hint="eastAsia"/>
          <w:bCs/>
          <w:sz w:val="32"/>
          <w:szCs w:val="32"/>
        </w:rPr>
        <w:t>收入的预算数据</w:t>
      </w:r>
      <w:r w:rsidR="00E97D5B">
        <w:rPr>
          <w:rFonts w:ascii="仿宋" w:eastAsia="仿宋" w:hAnsi="仿宋" w:cs="仿宋_GB2312" w:hint="eastAsia"/>
          <w:color w:val="000000"/>
          <w:sz w:val="32"/>
          <w:szCs w:val="32"/>
          <w:shd w:val="clear" w:color="auto" w:fill="FFFFFF"/>
        </w:rPr>
        <w:t>。</w:t>
      </w:r>
    </w:p>
    <w:p w:rsidR="008C61A8" w:rsidRDefault="008C61A8" w:rsidP="00480CDA">
      <w:pPr>
        <w:spacing w:after="0" w:line="600" w:lineRule="atLeast"/>
        <w:rPr>
          <w:rFonts w:ascii="仿宋" w:eastAsia="仿宋" w:hAnsi="仿宋" w:cs="黑体"/>
          <w:bCs/>
          <w:sz w:val="32"/>
          <w:szCs w:val="32"/>
        </w:rPr>
      </w:pPr>
    </w:p>
    <w:p w:rsidR="00816784" w:rsidRPr="00816784" w:rsidRDefault="00816784" w:rsidP="00921FC5">
      <w:pPr>
        <w:spacing w:after="0" w:line="600" w:lineRule="atLeast"/>
        <w:ind w:firstLineChars="200" w:firstLine="640"/>
        <w:rPr>
          <w:rFonts w:ascii="仿宋" w:eastAsia="仿宋" w:hAnsi="仿宋" w:cs="黑体"/>
          <w:bCs/>
          <w:sz w:val="32"/>
          <w:szCs w:val="32"/>
        </w:rPr>
      </w:pPr>
      <w:r>
        <w:rPr>
          <w:rFonts w:ascii="仿宋" w:eastAsia="仿宋" w:hAnsi="仿宋" w:cs="黑体" w:hint="eastAsia"/>
          <w:bCs/>
          <w:sz w:val="32"/>
          <w:szCs w:val="32"/>
        </w:rPr>
        <w:t>附件1 ：</w:t>
      </w:r>
      <w:r w:rsidRPr="00816784">
        <w:rPr>
          <w:rFonts w:ascii="仿宋" w:eastAsia="仿宋" w:hAnsi="仿宋" w:cs="方正小标宋简体" w:hint="eastAsia"/>
          <w:bCs/>
          <w:color w:val="000000"/>
          <w:sz w:val="32"/>
          <w:szCs w:val="32"/>
        </w:rPr>
        <w:t>部门整体支出绩效评价指标体系评分表</w:t>
      </w:r>
    </w:p>
    <w:p w:rsidR="00D727EF" w:rsidRDefault="00D727EF" w:rsidP="00EB2EF7">
      <w:pPr>
        <w:spacing w:after="0" w:line="600" w:lineRule="atLeast"/>
        <w:ind w:firstLineChars="200" w:firstLine="640"/>
        <w:rPr>
          <w:rFonts w:ascii="仿宋" w:eastAsia="仿宋" w:hAnsi="仿宋" w:cs="黑体"/>
          <w:bCs/>
          <w:sz w:val="32"/>
          <w:szCs w:val="32"/>
        </w:rPr>
      </w:pPr>
      <w:r>
        <w:rPr>
          <w:rFonts w:ascii="仿宋" w:eastAsia="仿宋" w:hAnsi="仿宋" w:cs="黑体" w:hint="eastAsia"/>
          <w:bCs/>
          <w:sz w:val="32"/>
          <w:szCs w:val="32"/>
        </w:rPr>
        <w:t>附件2：</w:t>
      </w:r>
      <w:r w:rsidRPr="00D727EF">
        <w:rPr>
          <w:rFonts w:ascii="仿宋" w:eastAsia="仿宋" w:hAnsi="仿宋" w:cs="黑体" w:hint="eastAsia"/>
          <w:bCs/>
          <w:sz w:val="32"/>
          <w:szCs w:val="32"/>
        </w:rPr>
        <w:t>项目支出绩效自评结果汇总表</w:t>
      </w:r>
    </w:p>
    <w:p w:rsidR="00EB2EF7" w:rsidRDefault="00EB2EF7" w:rsidP="00EB2EF7">
      <w:pPr>
        <w:spacing w:after="0" w:line="600" w:lineRule="atLeast"/>
        <w:ind w:firstLineChars="200" w:firstLine="640"/>
        <w:rPr>
          <w:rFonts w:ascii="仿宋" w:eastAsia="仿宋" w:hAnsi="仿宋" w:cs="黑体"/>
          <w:bCs/>
          <w:sz w:val="32"/>
          <w:szCs w:val="32"/>
        </w:rPr>
      </w:pPr>
    </w:p>
    <w:p w:rsidR="00EB2EF7" w:rsidRPr="00EF4007" w:rsidRDefault="00EB2EF7" w:rsidP="00EB2EF7">
      <w:pPr>
        <w:spacing w:after="0" w:line="600" w:lineRule="atLeast"/>
        <w:ind w:firstLineChars="200" w:firstLine="640"/>
        <w:rPr>
          <w:rFonts w:ascii="仿宋" w:eastAsia="仿宋" w:hAnsi="仿宋" w:cs="黑体"/>
          <w:bCs/>
          <w:sz w:val="32"/>
          <w:szCs w:val="32"/>
        </w:rPr>
        <w:sectPr w:rsidR="00EB2EF7" w:rsidRPr="00EF4007">
          <w:footerReference w:type="default" r:id="rId8"/>
          <w:pgSz w:w="11906" w:h="16838"/>
          <w:pgMar w:top="1587" w:right="1587" w:bottom="1587" w:left="1587" w:header="708" w:footer="709" w:gutter="0"/>
          <w:cols w:space="0"/>
          <w:docGrid w:linePitch="360"/>
        </w:sectPr>
      </w:pPr>
    </w:p>
    <w:p w:rsidR="005E515C" w:rsidRDefault="00A11190">
      <w:pPr>
        <w:spacing w:line="400" w:lineRule="exact"/>
        <w:rPr>
          <w:rFonts w:ascii="黑体" w:eastAsia="黑体" w:hAnsi="仿宋_GB2312" w:cs="仿宋_GB2312"/>
          <w:sz w:val="32"/>
          <w:szCs w:val="32"/>
        </w:rPr>
      </w:pPr>
      <w:r>
        <w:rPr>
          <w:rFonts w:ascii="黑体" w:eastAsia="黑体" w:hAnsi="仿宋_GB2312" w:cs="仿宋_GB2312" w:hint="eastAsia"/>
          <w:sz w:val="28"/>
          <w:szCs w:val="28"/>
        </w:rPr>
        <w:lastRenderedPageBreak/>
        <w:t>附件</w:t>
      </w:r>
      <w:r w:rsidR="00CC5A67">
        <w:rPr>
          <w:rFonts w:ascii="黑体" w:eastAsia="黑体" w:hAnsi="仿宋_GB2312" w:cs="仿宋_GB2312" w:hint="eastAsia"/>
          <w:sz w:val="28"/>
          <w:szCs w:val="28"/>
        </w:rPr>
        <w:t>1</w:t>
      </w:r>
      <w:r>
        <w:rPr>
          <w:rFonts w:ascii="黑体" w:eastAsia="黑体" w:hAnsi="仿宋_GB2312" w:cs="仿宋_GB2312" w:hint="eastAsia"/>
          <w:sz w:val="32"/>
          <w:szCs w:val="32"/>
        </w:rPr>
        <w:t>：</w:t>
      </w:r>
    </w:p>
    <w:p w:rsidR="005E515C" w:rsidRDefault="00A11190">
      <w:pPr>
        <w:spacing w:after="0" w:line="700" w:lineRule="atLeas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color w:val="000000"/>
          <w:sz w:val="44"/>
          <w:szCs w:val="44"/>
        </w:rPr>
        <w:t>部门整体支出绩效评价指标体系评分表</w:t>
      </w:r>
    </w:p>
    <w:tbl>
      <w:tblPr>
        <w:tblW w:w="141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33"/>
        <w:gridCol w:w="803"/>
        <w:gridCol w:w="1182"/>
        <w:gridCol w:w="6911"/>
        <w:gridCol w:w="3423"/>
        <w:gridCol w:w="1090"/>
      </w:tblGrid>
      <w:tr w:rsidR="005E515C">
        <w:trPr>
          <w:trHeight w:val="365"/>
          <w:tblHeader/>
          <w:jc w:val="center"/>
        </w:trPr>
        <w:tc>
          <w:tcPr>
            <w:tcW w:w="733" w:type="dxa"/>
            <w:vMerge w:val="restart"/>
            <w:tcBorders>
              <w:top w:val="single" w:sz="4" w:space="0" w:color="000000"/>
              <w:left w:val="single" w:sz="4" w:space="0" w:color="000000"/>
              <w:bottom w:val="single" w:sz="4" w:space="0" w:color="000000"/>
              <w:right w:val="single" w:sz="4" w:space="0" w:color="000000"/>
            </w:tcBorders>
            <w:vAlign w:val="center"/>
          </w:tcPr>
          <w:p w:rsidR="005E515C" w:rsidRDefault="00A11190">
            <w:pPr>
              <w:spacing w:after="0" w:line="68" w:lineRule="atLeast"/>
              <w:jc w:val="center"/>
              <w:rPr>
                <w:rFonts w:ascii="宋体" w:eastAsia="宋体" w:hAnsi="宋体" w:cs="宋体"/>
              </w:rPr>
            </w:pPr>
            <w:r>
              <w:rPr>
                <w:rFonts w:ascii="宋体" w:eastAsia="宋体" w:hAnsi="宋体" w:cs="宋体" w:hint="eastAsia"/>
                <w:b/>
                <w:bCs/>
              </w:rPr>
              <w:t>一级指标</w:t>
            </w:r>
          </w:p>
        </w:tc>
        <w:tc>
          <w:tcPr>
            <w:tcW w:w="803" w:type="dxa"/>
            <w:vMerge w:val="restart"/>
            <w:tcBorders>
              <w:top w:val="single" w:sz="4" w:space="0" w:color="000000"/>
              <w:left w:val="single" w:sz="4" w:space="0" w:color="000000"/>
              <w:bottom w:val="single" w:sz="4" w:space="0" w:color="000000"/>
              <w:right w:val="single" w:sz="4" w:space="0" w:color="000000"/>
            </w:tcBorders>
            <w:vAlign w:val="center"/>
          </w:tcPr>
          <w:p w:rsidR="005E515C" w:rsidRDefault="00A11190">
            <w:pPr>
              <w:spacing w:after="0" w:line="68" w:lineRule="atLeast"/>
              <w:jc w:val="center"/>
              <w:rPr>
                <w:rFonts w:ascii="宋体" w:eastAsia="宋体" w:hAnsi="宋体" w:cs="宋体"/>
              </w:rPr>
            </w:pPr>
            <w:r>
              <w:rPr>
                <w:rFonts w:ascii="宋体" w:eastAsia="宋体" w:hAnsi="宋体" w:cs="宋体" w:hint="eastAsia"/>
                <w:b/>
                <w:bCs/>
              </w:rPr>
              <w:t>二级指标</w:t>
            </w:r>
          </w:p>
        </w:tc>
        <w:tc>
          <w:tcPr>
            <w:tcW w:w="8093" w:type="dxa"/>
            <w:gridSpan w:val="2"/>
            <w:tcBorders>
              <w:top w:val="single" w:sz="4" w:space="0" w:color="000000"/>
              <w:left w:val="single" w:sz="4" w:space="0" w:color="000000"/>
              <w:bottom w:val="single" w:sz="4" w:space="0" w:color="000000"/>
              <w:right w:val="single" w:sz="4" w:space="0" w:color="auto"/>
            </w:tcBorders>
            <w:vAlign w:val="center"/>
          </w:tcPr>
          <w:p w:rsidR="005E515C" w:rsidRDefault="00A11190">
            <w:pPr>
              <w:spacing w:after="0" w:line="68" w:lineRule="atLeast"/>
              <w:jc w:val="center"/>
              <w:rPr>
                <w:rFonts w:ascii="宋体" w:eastAsia="宋体" w:hAnsi="宋体" w:cs="宋体"/>
              </w:rPr>
            </w:pPr>
            <w:r>
              <w:rPr>
                <w:rFonts w:ascii="宋体" w:eastAsia="宋体" w:hAnsi="宋体" w:cs="宋体" w:hint="eastAsia"/>
                <w:b/>
                <w:bCs/>
              </w:rPr>
              <w:t>三级指标</w:t>
            </w:r>
          </w:p>
        </w:tc>
        <w:tc>
          <w:tcPr>
            <w:tcW w:w="3423" w:type="dxa"/>
            <w:vMerge w:val="restart"/>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68" w:lineRule="atLeast"/>
              <w:jc w:val="center"/>
              <w:rPr>
                <w:rFonts w:ascii="宋体" w:eastAsia="宋体" w:hAnsi="宋体" w:cs="宋体"/>
              </w:rPr>
            </w:pPr>
            <w:r>
              <w:rPr>
                <w:rFonts w:ascii="宋体" w:eastAsia="宋体" w:hAnsi="宋体" w:cs="宋体" w:hint="eastAsia"/>
                <w:b/>
                <w:bCs/>
              </w:rPr>
              <w:t>评分标准</w:t>
            </w:r>
          </w:p>
        </w:tc>
        <w:tc>
          <w:tcPr>
            <w:tcW w:w="1090" w:type="dxa"/>
            <w:vMerge w:val="restart"/>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68" w:lineRule="atLeast"/>
              <w:jc w:val="center"/>
              <w:rPr>
                <w:rFonts w:ascii="宋体" w:eastAsia="宋体" w:hAnsi="宋体" w:cs="宋体"/>
              </w:rPr>
            </w:pPr>
            <w:r>
              <w:rPr>
                <w:rFonts w:ascii="宋体" w:eastAsia="宋体" w:hAnsi="宋体" w:cs="宋体" w:hint="eastAsia"/>
                <w:b/>
                <w:bCs/>
              </w:rPr>
              <w:t>得分</w:t>
            </w:r>
          </w:p>
        </w:tc>
      </w:tr>
      <w:tr w:rsidR="005E515C">
        <w:trPr>
          <w:trHeight w:val="395"/>
          <w:tblHeader/>
          <w:jc w:val="center"/>
        </w:trPr>
        <w:tc>
          <w:tcPr>
            <w:tcW w:w="733" w:type="dxa"/>
            <w:vMerge/>
            <w:tcBorders>
              <w:top w:val="single" w:sz="4" w:space="0" w:color="000000"/>
              <w:left w:val="single" w:sz="4" w:space="0" w:color="000000"/>
              <w:bottom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top w:val="single" w:sz="4" w:space="0" w:color="000000"/>
              <w:left w:val="single" w:sz="4" w:space="0" w:color="000000"/>
              <w:bottom w:val="single" w:sz="4" w:space="0" w:color="000000"/>
              <w:right w:val="single" w:sz="4" w:space="0" w:color="000000"/>
            </w:tcBorders>
            <w:vAlign w:val="center"/>
          </w:tcPr>
          <w:p w:rsidR="005E515C" w:rsidRDefault="005E515C">
            <w:pPr>
              <w:spacing w:after="0"/>
              <w:rPr>
                <w:rFonts w:ascii="宋体" w:eastAsia="宋体" w:hAnsi="宋体" w:cs="宋体"/>
              </w:rPr>
            </w:pPr>
          </w:p>
        </w:tc>
        <w:tc>
          <w:tcPr>
            <w:tcW w:w="1182" w:type="dxa"/>
            <w:tcBorders>
              <w:top w:val="single" w:sz="4" w:space="0" w:color="000000"/>
              <w:left w:val="single" w:sz="4" w:space="0" w:color="000000"/>
              <w:bottom w:val="single" w:sz="4" w:space="0" w:color="000000"/>
              <w:right w:val="single" w:sz="4" w:space="0" w:color="auto"/>
            </w:tcBorders>
            <w:vAlign w:val="center"/>
          </w:tcPr>
          <w:p w:rsidR="005E515C" w:rsidRDefault="00A11190">
            <w:pPr>
              <w:spacing w:after="0" w:line="68" w:lineRule="atLeast"/>
              <w:jc w:val="center"/>
              <w:rPr>
                <w:rFonts w:ascii="宋体" w:eastAsia="宋体" w:hAnsi="宋体" w:cs="宋体"/>
              </w:rPr>
            </w:pPr>
            <w:r>
              <w:rPr>
                <w:rFonts w:ascii="宋体" w:eastAsia="宋体" w:hAnsi="宋体" w:cs="宋体" w:hint="eastAsia"/>
                <w:b/>
                <w:bCs/>
              </w:rPr>
              <w:t>指标名称</w:t>
            </w:r>
          </w:p>
        </w:tc>
        <w:tc>
          <w:tcPr>
            <w:tcW w:w="6911"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68" w:lineRule="atLeast"/>
              <w:jc w:val="center"/>
              <w:rPr>
                <w:rFonts w:ascii="宋体" w:eastAsia="宋体" w:hAnsi="宋体" w:cs="宋体"/>
              </w:rPr>
            </w:pPr>
            <w:r>
              <w:rPr>
                <w:rFonts w:ascii="宋体" w:eastAsia="宋体" w:hAnsi="宋体" w:cs="宋体" w:hint="eastAsia"/>
                <w:b/>
                <w:bCs/>
              </w:rPr>
              <w:t>指标解释说明</w:t>
            </w:r>
          </w:p>
        </w:tc>
        <w:tc>
          <w:tcPr>
            <w:tcW w:w="3423" w:type="dxa"/>
            <w:vMerge/>
            <w:tcBorders>
              <w:top w:val="single" w:sz="4" w:space="0" w:color="000000"/>
              <w:left w:val="single" w:sz="4" w:space="0" w:color="auto"/>
              <w:bottom w:val="single" w:sz="4" w:space="0" w:color="000000"/>
              <w:right w:val="single" w:sz="4" w:space="0" w:color="auto"/>
            </w:tcBorders>
            <w:vAlign w:val="center"/>
          </w:tcPr>
          <w:p w:rsidR="005E515C" w:rsidRDefault="005E515C">
            <w:pPr>
              <w:spacing w:after="0"/>
              <w:rPr>
                <w:rFonts w:ascii="宋体" w:eastAsia="宋体" w:hAnsi="宋体" w:cs="宋体"/>
              </w:rPr>
            </w:pPr>
          </w:p>
        </w:tc>
        <w:tc>
          <w:tcPr>
            <w:tcW w:w="1090" w:type="dxa"/>
            <w:vMerge/>
            <w:tcBorders>
              <w:top w:val="single" w:sz="4" w:space="0" w:color="000000"/>
              <w:left w:val="single" w:sz="4" w:space="0" w:color="auto"/>
              <w:bottom w:val="single" w:sz="4" w:space="0" w:color="000000"/>
              <w:right w:val="single" w:sz="4" w:space="0" w:color="auto"/>
            </w:tcBorders>
            <w:vAlign w:val="center"/>
          </w:tcPr>
          <w:p w:rsidR="005E515C" w:rsidRDefault="005E515C">
            <w:pPr>
              <w:spacing w:after="0"/>
              <w:rPr>
                <w:rFonts w:ascii="宋体" w:eastAsia="宋体" w:hAnsi="宋体" w:cs="宋体"/>
              </w:rPr>
            </w:pPr>
          </w:p>
        </w:tc>
      </w:tr>
      <w:tr w:rsidR="005E515C">
        <w:trPr>
          <w:trHeight w:val="670"/>
          <w:jc w:val="center"/>
        </w:trPr>
        <w:tc>
          <w:tcPr>
            <w:tcW w:w="733" w:type="dxa"/>
            <w:vMerge w:val="restart"/>
            <w:tcBorders>
              <w:top w:val="single" w:sz="4" w:space="0" w:color="000000"/>
              <w:left w:val="single" w:sz="4" w:space="0" w:color="000000"/>
              <w:right w:val="single" w:sz="4" w:space="0" w:color="000000"/>
            </w:tcBorders>
          </w:tcPr>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A11190">
            <w:pPr>
              <w:spacing w:after="0" w:line="68" w:lineRule="atLeast"/>
              <w:rPr>
                <w:rFonts w:ascii="宋体" w:eastAsia="宋体" w:hAnsi="宋体" w:cs="宋体"/>
              </w:rPr>
            </w:pPr>
            <w:r>
              <w:rPr>
                <w:rFonts w:ascii="宋体" w:eastAsia="宋体" w:hAnsi="宋体" w:cs="宋体" w:hint="eastAsia"/>
              </w:rPr>
              <w:t>投入（15分）</w:t>
            </w: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A11190">
            <w:pPr>
              <w:spacing w:after="0" w:line="68" w:lineRule="atLeast"/>
              <w:rPr>
                <w:rFonts w:ascii="宋体" w:eastAsia="宋体" w:hAnsi="宋体" w:cs="宋体"/>
              </w:rPr>
            </w:pPr>
            <w:r>
              <w:rPr>
                <w:rFonts w:ascii="宋体" w:eastAsia="宋体" w:hAnsi="宋体" w:cs="宋体" w:hint="eastAsia"/>
              </w:rPr>
              <w:t>投入（15分）</w:t>
            </w:r>
          </w:p>
        </w:tc>
        <w:tc>
          <w:tcPr>
            <w:tcW w:w="803" w:type="dxa"/>
            <w:vMerge w:val="restart"/>
            <w:tcBorders>
              <w:top w:val="single" w:sz="4" w:space="0" w:color="000000"/>
              <w:left w:val="single" w:sz="4" w:space="0" w:color="000000"/>
              <w:right w:val="single" w:sz="4" w:space="0" w:color="000000"/>
            </w:tcBorders>
          </w:tcPr>
          <w:p w:rsidR="005E515C" w:rsidRDefault="005E515C">
            <w:pPr>
              <w:spacing w:after="0" w:line="240" w:lineRule="exact"/>
              <w:rPr>
                <w:rFonts w:ascii="宋体" w:eastAsia="宋体" w:hAnsi="宋体" w:cs="宋体"/>
              </w:rPr>
            </w:pPr>
          </w:p>
          <w:p w:rsidR="005E515C" w:rsidRDefault="005E515C">
            <w:pPr>
              <w:spacing w:after="0" w:line="240" w:lineRule="exact"/>
              <w:rPr>
                <w:rFonts w:ascii="宋体" w:eastAsia="宋体" w:hAnsi="宋体" w:cs="宋体"/>
              </w:rPr>
            </w:pPr>
          </w:p>
          <w:p w:rsidR="005E515C" w:rsidRDefault="005E515C">
            <w:pPr>
              <w:spacing w:after="0" w:line="240" w:lineRule="exact"/>
              <w:rPr>
                <w:rFonts w:ascii="宋体" w:eastAsia="宋体" w:hAnsi="宋体" w:cs="宋体"/>
              </w:rPr>
            </w:pPr>
          </w:p>
          <w:p w:rsidR="005E515C" w:rsidRDefault="005E515C">
            <w:pPr>
              <w:spacing w:after="0" w:line="240" w:lineRule="exact"/>
              <w:rPr>
                <w:rFonts w:ascii="宋体" w:eastAsia="宋体" w:hAnsi="宋体" w:cs="宋体"/>
              </w:rPr>
            </w:pPr>
          </w:p>
          <w:p w:rsidR="005E515C" w:rsidRDefault="005E515C">
            <w:pPr>
              <w:spacing w:after="0" w:line="240" w:lineRule="exact"/>
              <w:rPr>
                <w:rFonts w:ascii="宋体" w:eastAsia="宋体" w:hAnsi="宋体" w:cs="宋体"/>
              </w:rPr>
            </w:pPr>
          </w:p>
          <w:p w:rsidR="005E515C" w:rsidRDefault="005E515C">
            <w:pPr>
              <w:spacing w:after="0" w:line="240" w:lineRule="exact"/>
              <w:rPr>
                <w:rFonts w:ascii="宋体" w:eastAsia="宋体" w:hAnsi="宋体" w:cs="宋体"/>
              </w:rPr>
            </w:pPr>
          </w:p>
          <w:p w:rsidR="005E515C" w:rsidRDefault="005E515C">
            <w:pPr>
              <w:spacing w:after="0" w:line="240" w:lineRule="exact"/>
              <w:rPr>
                <w:rFonts w:ascii="宋体" w:eastAsia="宋体" w:hAnsi="宋体" w:cs="宋体"/>
              </w:rPr>
            </w:pPr>
          </w:p>
          <w:p w:rsidR="005E515C" w:rsidRDefault="005E515C">
            <w:pPr>
              <w:spacing w:after="0" w:line="240" w:lineRule="exact"/>
              <w:rPr>
                <w:rFonts w:ascii="宋体" w:eastAsia="宋体" w:hAnsi="宋体" w:cs="宋体"/>
              </w:rPr>
            </w:pPr>
          </w:p>
          <w:p w:rsidR="005E515C" w:rsidRDefault="005E515C">
            <w:pPr>
              <w:spacing w:after="0" w:line="240" w:lineRule="exact"/>
              <w:rPr>
                <w:rFonts w:ascii="宋体" w:eastAsia="宋体" w:hAnsi="宋体" w:cs="宋体"/>
              </w:rPr>
            </w:pPr>
          </w:p>
          <w:p w:rsidR="005E515C" w:rsidRDefault="005E515C">
            <w:pPr>
              <w:spacing w:after="0" w:line="240" w:lineRule="exact"/>
              <w:rPr>
                <w:rFonts w:ascii="宋体" w:eastAsia="宋体" w:hAnsi="宋体" w:cs="宋体"/>
              </w:rPr>
            </w:pPr>
          </w:p>
          <w:p w:rsidR="005E515C" w:rsidRDefault="005E515C">
            <w:pPr>
              <w:spacing w:after="0" w:line="240" w:lineRule="exact"/>
              <w:rPr>
                <w:rFonts w:ascii="宋体" w:eastAsia="宋体" w:hAnsi="宋体" w:cs="宋体"/>
              </w:rPr>
            </w:pPr>
          </w:p>
          <w:p w:rsidR="005E515C" w:rsidRDefault="005E515C">
            <w:pPr>
              <w:spacing w:after="0" w:line="240" w:lineRule="exact"/>
              <w:rPr>
                <w:rFonts w:ascii="宋体" w:eastAsia="宋体" w:hAnsi="宋体" w:cs="宋体"/>
              </w:rPr>
            </w:pPr>
          </w:p>
          <w:p w:rsidR="005E515C" w:rsidRDefault="005E515C">
            <w:pPr>
              <w:spacing w:after="0" w:line="240" w:lineRule="exact"/>
              <w:rPr>
                <w:rFonts w:ascii="宋体" w:eastAsia="宋体" w:hAnsi="宋体" w:cs="宋体"/>
              </w:rPr>
            </w:pPr>
          </w:p>
          <w:p w:rsidR="005E515C" w:rsidRDefault="00A11190">
            <w:pPr>
              <w:spacing w:after="0" w:line="240" w:lineRule="exact"/>
              <w:rPr>
                <w:rFonts w:ascii="宋体" w:eastAsia="宋体" w:hAnsi="宋体" w:cs="宋体"/>
              </w:rPr>
            </w:pPr>
            <w:r>
              <w:rPr>
                <w:rFonts w:ascii="宋体" w:eastAsia="宋体" w:hAnsi="宋体" w:cs="宋体" w:hint="eastAsia"/>
              </w:rPr>
              <w:t>目标设定</w:t>
            </w:r>
          </w:p>
          <w:p w:rsidR="005E515C" w:rsidRDefault="00A11190">
            <w:pPr>
              <w:spacing w:after="0" w:line="68" w:lineRule="atLeast"/>
              <w:rPr>
                <w:rFonts w:ascii="宋体" w:eastAsia="宋体" w:hAnsi="宋体" w:cs="宋体"/>
              </w:rPr>
            </w:pPr>
            <w:r>
              <w:rPr>
                <w:rFonts w:ascii="宋体" w:eastAsia="宋体" w:hAnsi="宋体" w:cs="宋体" w:hint="eastAsia"/>
              </w:rPr>
              <w:t>（5分）</w:t>
            </w:r>
          </w:p>
        </w:tc>
        <w:tc>
          <w:tcPr>
            <w:tcW w:w="1182" w:type="dxa"/>
            <w:tcBorders>
              <w:top w:val="single" w:sz="4" w:space="0" w:color="000000"/>
              <w:left w:val="single" w:sz="4" w:space="0" w:color="000000"/>
              <w:bottom w:val="single" w:sz="4" w:space="0" w:color="auto"/>
              <w:right w:val="single" w:sz="4" w:space="0" w:color="auto"/>
            </w:tcBorders>
          </w:tcPr>
          <w:p w:rsidR="005E515C" w:rsidRDefault="00A11190">
            <w:pPr>
              <w:spacing w:after="0" w:line="68" w:lineRule="atLeast"/>
              <w:rPr>
                <w:rFonts w:ascii="宋体" w:eastAsia="宋体" w:hAnsi="宋体" w:cs="宋体"/>
              </w:rPr>
            </w:pPr>
            <w:r>
              <w:rPr>
                <w:rFonts w:ascii="宋体" w:eastAsia="宋体" w:hAnsi="宋体" w:cs="宋体" w:hint="eastAsia"/>
              </w:rPr>
              <w:t>职责明确（1分）</w:t>
            </w:r>
          </w:p>
        </w:tc>
        <w:tc>
          <w:tcPr>
            <w:tcW w:w="6911" w:type="dxa"/>
            <w:tcBorders>
              <w:top w:val="single" w:sz="4" w:space="0" w:color="000000"/>
              <w:left w:val="single" w:sz="4" w:space="0" w:color="auto"/>
              <w:bottom w:val="single" w:sz="4" w:space="0" w:color="auto"/>
              <w:right w:val="single" w:sz="4" w:space="0" w:color="auto"/>
            </w:tcBorders>
          </w:tcPr>
          <w:p w:rsidR="005E515C" w:rsidRDefault="00A11190">
            <w:pPr>
              <w:spacing w:after="0" w:line="68" w:lineRule="atLeast"/>
              <w:rPr>
                <w:rFonts w:ascii="宋体" w:eastAsia="宋体" w:hAnsi="宋体" w:cs="宋体"/>
              </w:rPr>
            </w:pPr>
            <w:r>
              <w:rPr>
                <w:rFonts w:ascii="宋体" w:eastAsia="宋体" w:hAnsi="宋体" w:cs="宋体" w:hint="eastAsia"/>
              </w:rPr>
              <w:t>部门的职责设定是否符合“三定”方案中所赋予的职责和年度承担的重点工作，用以反映和评价部门工作的目的性与计划性。</w:t>
            </w:r>
          </w:p>
        </w:tc>
        <w:tc>
          <w:tcPr>
            <w:tcW w:w="3423" w:type="dxa"/>
            <w:tcBorders>
              <w:top w:val="single" w:sz="4" w:space="0" w:color="000000"/>
              <w:left w:val="single" w:sz="4" w:space="0" w:color="auto"/>
              <w:bottom w:val="single" w:sz="4" w:space="0" w:color="auto"/>
              <w:right w:val="single" w:sz="4" w:space="0" w:color="auto"/>
            </w:tcBorders>
          </w:tcPr>
          <w:p w:rsidR="005E515C" w:rsidRDefault="00A11190">
            <w:pPr>
              <w:spacing w:after="0" w:line="240" w:lineRule="exact"/>
              <w:rPr>
                <w:rFonts w:ascii="宋体" w:eastAsia="宋体" w:hAnsi="宋体" w:cs="宋体"/>
              </w:rPr>
            </w:pPr>
            <w:r>
              <w:rPr>
                <w:rFonts w:ascii="宋体" w:eastAsia="宋体" w:hAnsi="宋体" w:cs="宋体" w:hint="eastAsia"/>
              </w:rPr>
              <w:t>符合（1分）；</w:t>
            </w:r>
          </w:p>
          <w:p w:rsidR="005E515C" w:rsidRDefault="00A11190">
            <w:pPr>
              <w:spacing w:after="0" w:line="68" w:lineRule="atLeast"/>
              <w:rPr>
                <w:rFonts w:ascii="宋体" w:eastAsia="宋体" w:hAnsi="宋体" w:cs="宋体"/>
              </w:rPr>
            </w:pPr>
            <w:r>
              <w:rPr>
                <w:rFonts w:ascii="宋体" w:eastAsia="宋体" w:hAnsi="宋体" w:cs="宋体" w:hint="eastAsia"/>
              </w:rPr>
              <w:t>不符合（0分）。</w:t>
            </w:r>
          </w:p>
        </w:tc>
        <w:tc>
          <w:tcPr>
            <w:tcW w:w="1090" w:type="dxa"/>
            <w:tcBorders>
              <w:top w:val="single" w:sz="4" w:space="0" w:color="000000"/>
              <w:left w:val="single" w:sz="4" w:space="0" w:color="auto"/>
              <w:bottom w:val="single" w:sz="4" w:space="0" w:color="auto"/>
              <w:right w:val="single" w:sz="4" w:space="0" w:color="000000"/>
            </w:tcBorders>
          </w:tcPr>
          <w:p w:rsidR="0045627D" w:rsidRDefault="0045627D" w:rsidP="0045627D">
            <w:pPr>
              <w:spacing w:after="0" w:line="68" w:lineRule="atLeast"/>
              <w:jc w:val="center"/>
              <w:rPr>
                <w:rFonts w:ascii="宋体" w:eastAsia="宋体" w:hAnsi="宋体" w:cs="宋体"/>
              </w:rPr>
            </w:pPr>
          </w:p>
          <w:p w:rsidR="005E515C" w:rsidRDefault="0045627D" w:rsidP="0045627D">
            <w:pPr>
              <w:spacing w:after="0" w:line="68" w:lineRule="atLeast"/>
              <w:jc w:val="center"/>
              <w:rPr>
                <w:rFonts w:ascii="宋体" w:eastAsia="宋体" w:hAnsi="宋体" w:cs="宋体"/>
              </w:rPr>
            </w:pPr>
            <w:r>
              <w:rPr>
                <w:rFonts w:ascii="宋体" w:eastAsia="宋体" w:hAnsi="宋体" w:cs="宋体" w:hint="eastAsia"/>
              </w:rPr>
              <w:t>1</w:t>
            </w:r>
          </w:p>
        </w:tc>
      </w:tr>
      <w:tr w:rsidR="005E515C">
        <w:trPr>
          <w:trHeight w:val="1744"/>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1182" w:type="dxa"/>
            <w:tcBorders>
              <w:top w:val="single" w:sz="4" w:space="0" w:color="000000"/>
              <w:left w:val="single" w:sz="4" w:space="0" w:color="000000"/>
              <w:bottom w:val="single" w:sz="4" w:space="0" w:color="auto"/>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活动合规性（1分）</w:t>
            </w:r>
          </w:p>
        </w:tc>
        <w:tc>
          <w:tcPr>
            <w:tcW w:w="6911" w:type="dxa"/>
            <w:tcBorders>
              <w:top w:val="single" w:sz="4" w:space="0" w:color="000000"/>
              <w:left w:val="single" w:sz="4" w:space="0" w:color="auto"/>
              <w:bottom w:val="single" w:sz="4" w:space="0" w:color="auto"/>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部门的活动是否在职责范围之内并符合部门中长期规划，用以反映和评价部门活动目标与部门履职、年度工作任务的相符性情况。</w:t>
            </w:r>
          </w:p>
          <w:p w:rsidR="005E515C" w:rsidRDefault="00A11190">
            <w:pPr>
              <w:spacing w:after="0" w:line="240" w:lineRule="exact"/>
              <w:rPr>
                <w:rFonts w:ascii="宋体" w:eastAsia="宋体" w:hAnsi="宋体" w:cs="宋体"/>
              </w:rPr>
            </w:pPr>
            <w:r>
              <w:rPr>
                <w:rFonts w:ascii="宋体" w:eastAsia="宋体" w:hAnsi="宋体" w:cs="宋体" w:hint="eastAsia"/>
              </w:rPr>
              <w:t>评价要点：</w:t>
            </w:r>
          </w:p>
          <w:p w:rsidR="005E515C" w:rsidRDefault="00A11190">
            <w:pPr>
              <w:spacing w:after="0" w:line="240" w:lineRule="exact"/>
              <w:rPr>
                <w:rFonts w:ascii="宋体" w:eastAsia="宋体" w:hAnsi="宋体" w:cs="宋体"/>
              </w:rPr>
            </w:pPr>
            <w:r>
              <w:rPr>
                <w:rFonts w:ascii="宋体" w:eastAsia="宋体" w:hAnsi="宋体" w:cs="宋体" w:hint="eastAsia"/>
              </w:rPr>
              <w:t>1.部门活动的设定在部门所确定的职责范围之内；</w:t>
            </w:r>
          </w:p>
          <w:p w:rsidR="005E515C" w:rsidRDefault="00A11190">
            <w:pPr>
              <w:spacing w:after="0" w:line="68" w:lineRule="atLeast"/>
              <w:rPr>
                <w:rFonts w:ascii="宋体" w:eastAsia="宋体" w:hAnsi="宋体" w:cs="宋体"/>
              </w:rPr>
            </w:pPr>
            <w:r>
              <w:rPr>
                <w:rFonts w:ascii="宋体" w:eastAsia="宋体" w:hAnsi="宋体" w:cs="宋体" w:hint="eastAsia"/>
              </w:rPr>
              <w:t>2.部门活动符合市委、市政府的发展规划及本部门的年度工作安排与发展规划。</w:t>
            </w:r>
          </w:p>
        </w:tc>
        <w:tc>
          <w:tcPr>
            <w:tcW w:w="3423" w:type="dxa"/>
            <w:tcBorders>
              <w:top w:val="single" w:sz="4" w:space="0" w:color="000000"/>
              <w:left w:val="single" w:sz="4" w:space="0" w:color="auto"/>
              <w:bottom w:val="single" w:sz="4" w:space="0" w:color="auto"/>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全部符合（1分）；</w:t>
            </w:r>
          </w:p>
          <w:p w:rsidR="005E515C" w:rsidRDefault="00A11190">
            <w:pPr>
              <w:spacing w:after="0" w:line="68" w:lineRule="atLeast"/>
              <w:rPr>
                <w:rFonts w:ascii="宋体" w:eastAsia="宋体" w:hAnsi="宋体" w:cs="宋体"/>
              </w:rPr>
            </w:pPr>
            <w:r>
              <w:rPr>
                <w:rFonts w:ascii="宋体" w:eastAsia="宋体" w:hAnsi="宋体" w:cs="宋体" w:hint="eastAsia"/>
              </w:rPr>
              <w:t>其中一项不符合（0分）。</w:t>
            </w:r>
          </w:p>
        </w:tc>
        <w:tc>
          <w:tcPr>
            <w:tcW w:w="1090" w:type="dxa"/>
            <w:tcBorders>
              <w:top w:val="single" w:sz="4" w:space="0" w:color="000000"/>
              <w:left w:val="single" w:sz="4" w:space="0" w:color="auto"/>
              <w:bottom w:val="single" w:sz="4" w:space="0" w:color="auto"/>
              <w:right w:val="single" w:sz="4" w:space="0" w:color="000000"/>
            </w:tcBorders>
            <w:vAlign w:val="center"/>
          </w:tcPr>
          <w:p w:rsidR="005E515C" w:rsidRDefault="0045627D" w:rsidP="0045627D">
            <w:pPr>
              <w:spacing w:after="0" w:line="68" w:lineRule="atLeast"/>
              <w:jc w:val="center"/>
              <w:rPr>
                <w:rFonts w:ascii="宋体" w:eastAsia="宋体" w:hAnsi="宋体" w:cs="宋体"/>
              </w:rPr>
            </w:pPr>
            <w:r>
              <w:rPr>
                <w:rFonts w:ascii="宋体" w:eastAsia="宋体" w:hAnsi="宋体" w:cs="宋体" w:hint="eastAsia"/>
              </w:rPr>
              <w:t>1</w:t>
            </w:r>
          </w:p>
        </w:tc>
      </w:tr>
      <w:tr w:rsidR="005E515C">
        <w:trPr>
          <w:trHeight w:val="1832"/>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1182" w:type="dxa"/>
            <w:tcBorders>
              <w:top w:val="single" w:sz="4" w:space="0" w:color="000000"/>
              <w:left w:val="single" w:sz="4" w:space="0" w:color="000000"/>
              <w:bottom w:val="single" w:sz="4" w:space="0" w:color="auto"/>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活动合理性（1分）</w:t>
            </w:r>
          </w:p>
        </w:tc>
        <w:tc>
          <w:tcPr>
            <w:tcW w:w="6911" w:type="dxa"/>
            <w:tcBorders>
              <w:top w:val="single" w:sz="4" w:space="0" w:color="000000"/>
              <w:left w:val="single" w:sz="4" w:space="0" w:color="auto"/>
              <w:bottom w:val="single" w:sz="4" w:space="0" w:color="auto"/>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部门所设立的活动是否明确合理、活动的关键性指标设置是否可衡量，用以反映和评价部门活动目标设定的合理性。</w:t>
            </w:r>
          </w:p>
          <w:p w:rsidR="005E515C" w:rsidRDefault="00A11190">
            <w:pPr>
              <w:spacing w:after="0" w:line="240" w:lineRule="exact"/>
              <w:rPr>
                <w:rFonts w:ascii="宋体" w:eastAsia="宋体" w:hAnsi="宋体" w:cs="宋体"/>
              </w:rPr>
            </w:pPr>
            <w:r>
              <w:rPr>
                <w:rFonts w:ascii="宋体" w:eastAsia="宋体" w:hAnsi="宋体" w:cs="宋体" w:hint="eastAsia"/>
              </w:rPr>
              <w:t>评价要点：</w:t>
            </w:r>
          </w:p>
          <w:p w:rsidR="005E515C" w:rsidRDefault="00A11190">
            <w:pPr>
              <w:spacing w:after="0" w:line="240" w:lineRule="exact"/>
              <w:rPr>
                <w:rFonts w:ascii="宋体" w:eastAsia="宋体" w:hAnsi="宋体" w:cs="宋体"/>
              </w:rPr>
            </w:pPr>
            <w:r>
              <w:rPr>
                <w:rFonts w:ascii="宋体" w:eastAsia="宋体" w:hAnsi="宋体" w:cs="宋体" w:hint="eastAsia"/>
              </w:rPr>
              <w:t>1.活动目标的设定是可量化的，可通过清晰、可衡量的关键指标值予以体现；</w:t>
            </w:r>
          </w:p>
          <w:p w:rsidR="005E515C" w:rsidRDefault="00A11190">
            <w:pPr>
              <w:spacing w:after="0" w:line="68" w:lineRule="atLeast"/>
              <w:rPr>
                <w:rFonts w:ascii="宋体" w:eastAsia="宋体" w:hAnsi="宋体" w:cs="宋体"/>
              </w:rPr>
            </w:pPr>
            <w:r>
              <w:rPr>
                <w:rFonts w:ascii="宋体" w:eastAsia="宋体" w:hAnsi="宋体" w:cs="宋体" w:hint="eastAsia"/>
              </w:rPr>
              <w:t>2.在活动目标设定时，将关键指标明细分解为具体的达成目标与工作任务。</w:t>
            </w:r>
          </w:p>
        </w:tc>
        <w:tc>
          <w:tcPr>
            <w:tcW w:w="3423" w:type="dxa"/>
            <w:tcBorders>
              <w:top w:val="single" w:sz="4" w:space="0" w:color="000000"/>
              <w:left w:val="single" w:sz="4" w:space="0" w:color="auto"/>
              <w:bottom w:val="single" w:sz="4" w:space="0" w:color="auto"/>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全部符合（1分）；</w:t>
            </w:r>
          </w:p>
          <w:p w:rsidR="005E515C" w:rsidRDefault="00A11190">
            <w:pPr>
              <w:spacing w:after="0" w:line="68" w:lineRule="atLeast"/>
              <w:rPr>
                <w:rFonts w:ascii="宋体" w:eastAsia="宋体" w:hAnsi="宋体" w:cs="宋体"/>
              </w:rPr>
            </w:pPr>
            <w:r>
              <w:rPr>
                <w:rFonts w:ascii="宋体" w:eastAsia="宋体" w:hAnsi="宋体" w:cs="宋体" w:hint="eastAsia"/>
              </w:rPr>
              <w:t>其中一项不符合（0分）。</w:t>
            </w:r>
          </w:p>
        </w:tc>
        <w:tc>
          <w:tcPr>
            <w:tcW w:w="1090" w:type="dxa"/>
            <w:tcBorders>
              <w:top w:val="single" w:sz="4" w:space="0" w:color="000000"/>
              <w:left w:val="single" w:sz="4" w:space="0" w:color="auto"/>
              <w:bottom w:val="single" w:sz="4" w:space="0" w:color="auto"/>
              <w:right w:val="single" w:sz="4" w:space="0" w:color="000000"/>
            </w:tcBorders>
            <w:vAlign w:val="center"/>
          </w:tcPr>
          <w:p w:rsidR="005E515C" w:rsidRDefault="0045627D" w:rsidP="0045627D">
            <w:pPr>
              <w:spacing w:after="0" w:line="68" w:lineRule="atLeast"/>
              <w:jc w:val="center"/>
              <w:rPr>
                <w:rFonts w:ascii="宋体" w:eastAsia="宋体" w:hAnsi="宋体" w:cs="宋体"/>
              </w:rPr>
            </w:pPr>
            <w:r>
              <w:rPr>
                <w:rFonts w:ascii="宋体" w:eastAsia="宋体" w:hAnsi="宋体" w:cs="宋体" w:hint="eastAsia"/>
              </w:rPr>
              <w:t>1</w:t>
            </w:r>
          </w:p>
        </w:tc>
      </w:tr>
      <w:tr w:rsidR="005E515C">
        <w:trPr>
          <w:trHeight w:val="1234"/>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1182" w:type="dxa"/>
            <w:tcBorders>
              <w:top w:val="single" w:sz="4" w:space="0" w:color="000000"/>
              <w:left w:val="single" w:sz="4" w:space="0" w:color="000000"/>
              <w:bottom w:val="single" w:sz="4" w:space="0" w:color="auto"/>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目标覆盖率（1分）</w:t>
            </w:r>
          </w:p>
        </w:tc>
        <w:tc>
          <w:tcPr>
            <w:tcW w:w="6911" w:type="dxa"/>
            <w:tcBorders>
              <w:top w:val="single" w:sz="4" w:space="0" w:color="000000"/>
              <w:left w:val="single" w:sz="4" w:space="0" w:color="auto"/>
              <w:bottom w:val="single" w:sz="4" w:space="0" w:color="auto"/>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部门年度申报绩效目标项目资金额与部门项目预算资金总额的比率，用以反映部门落实财政部门绩效目标申报要求的资金覆盖情况。</w:t>
            </w:r>
          </w:p>
          <w:p w:rsidR="005E515C" w:rsidRDefault="00A11190">
            <w:pPr>
              <w:spacing w:after="0" w:line="240" w:lineRule="exact"/>
              <w:rPr>
                <w:rFonts w:ascii="宋体" w:eastAsia="宋体" w:hAnsi="宋体" w:cs="宋体"/>
              </w:rPr>
            </w:pPr>
            <w:r>
              <w:rPr>
                <w:rFonts w:ascii="宋体" w:eastAsia="宋体" w:hAnsi="宋体" w:cs="宋体" w:hint="eastAsia"/>
              </w:rPr>
              <w:t>覆盖率=实际申报绩效目标项目资金总额/部门项目预算资金总额×100%</w:t>
            </w:r>
          </w:p>
        </w:tc>
        <w:tc>
          <w:tcPr>
            <w:tcW w:w="3423" w:type="dxa"/>
            <w:tcBorders>
              <w:top w:val="single" w:sz="4" w:space="0" w:color="000000"/>
              <w:left w:val="single" w:sz="4" w:space="0" w:color="auto"/>
              <w:bottom w:val="single" w:sz="4" w:space="0" w:color="auto"/>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达到目标值得1分，未达到目标值采用完成比率法计分：得分=覆盖率/目标值×1，超过目标值不加分。</w:t>
            </w:r>
          </w:p>
        </w:tc>
        <w:tc>
          <w:tcPr>
            <w:tcW w:w="1090" w:type="dxa"/>
            <w:tcBorders>
              <w:top w:val="single" w:sz="4" w:space="0" w:color="000000"/>
              <w:left w:val="single" w:sz="4" w:space="0" w:color="auto"/>
              <w:bottom w:val="single" w:sz="4" w:space="0" w:color="auto"/>
              <w:right w:val="single" w:sz="4" w:space="0" w:color="000000"/>
            </w:tcBorders>
            <w:vAlign w:val="center"/>
          </w:tcPr>
          <w:p w:rsidR="005E515C" w:rsidRDefault="00210C98" w:rsidP="0045627D">
            <w:pPr>
              <w:spacing w:after="0" w:line="68" w:lineRule="atLeast"/>
              <w:jc w:val="center"/>
              <w:rPr>
                <w:rFonts w:ascii="宋体" w:eastAsia="宋体" w:hAnsi="宋体" w:cs="宋体"/>
              </w:rPr>
            </w:pPr>
            <w:r>
              <w:rPr>
                <w:rFonts w:ascii="宋体" w:eastAsia="宋体" w:hAnsi="宋体" w:cs="宋体" w:hint="eastAsia"/>
              </w:rPr>
              <w:t>1</w:t>
            </w:r>
          </w:p>
        </w:tc>
      </w:tr>
      <w:tr w:rsidR="005E515C">
        <w:trPr>
          <w:trHeight w:val="1072"/>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left w:val="single" w:sz="4" w:space="0" w:color="000000"/>
              <w:bottom w:val="single" w:sz="4" w:space="0" w:color="000000"/>
              <w:right w:val="single" w:sz="4" w:space="0" w:color="000000"/>
            </w:tcBorders>
            <w:vAlign w:val="center"/>
          </w:tcPr>
          <w:p w:rsidR="005E515C" w:rsidRDefault="005E515C">
            <w:pPr>
              <w:spacing w:after="0"/>
              <w:rPr>
                <w:rFonts w:ascii="宋体" w:eastAsia="宋体" w:hAnsi="宋体" w:cs="宋体"/>
              </w:rPr>
            </w:pPr>
          </w:p>
        </w:tc>
        <w:tc>
          <w:tcPr>
            <w:tcW w:w="1182" w:type="dxa"/>
            <w:tcBorders>
              <w:top w:val="single" w:sz="4" w:space="0" w:color="000000"/>
              <w:left w:val="single" w:sz="4" w:space="0" w:color="000000"/>
              <w:bottom w:val="single" w:sz="4" w:space="0" w:color="auto"/>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目标管理创新（1分）</w:t>
            </w:r>
          </w:p>
        </w:tc>
        <w:tc>
          <w:tcPr>
            <w:tcW w:w="6911" w:type="dxa"/>
            <w:tcBorders>
              <w:top w:val="single" w:sz="4" w:space="0" w:color="000000"/>
              <w:left w:val="single" w:sz="4" w:space="0" w:color="auto"/>
              <w:bottom w:val="single" w:sz="4" w:space="0" w:color="auto"/>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部门编报整体绩效目标和申报项目绩效目标的数量超过规定的要求。用以反映和考核部门绩效目标管理创新工作情况。</w:t>
            </w:r>
          </w:p>
          <w:p w:rsidR="005E515C" w:rsidRDefault="00A11190">
            <w:pPr>
              <w:spacing w:after="0" w:line="240" w:lineRule="exact"/>
              <w:rPr>
                <w:rFonts w:ascii="宋体" w:eastAsia="宋体" w:hAnsi="宋体" w:cs="宋体"/>
              </w:rPr>
            </w:pPr>
            <w:r>
              <w:rPr>
                <w:rFonts w:ascii="宋体" w:eastAsia="宋体" w:hAnsi="宋体" w:cs="宋体" w:hint="eastAsia"/>
              </w:rPr>
              <w:t>项目绩效目标创新=部门绩效目标编报数量-按财政部门要求的绩效目标填报数量</w:t>
            </w:r>
          </w:p>
        </w:tc>
        <w:tc>
          <w:tcPr>
            <w:tcW w:w="3423" w:type="dxa"/>
            <w:tcBorders>
              <w:top w:val="single" w:sz="4" w:space="0" w:color="000000"/>
              <w:left w:val="single" w:sz="4" w:space="0" w:color="auto"/>
              <w:bottom w:val="single" w:sz="4" w:space="0" w:color="auto"/>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每超过1项得0.1分，满分1分。</w:t>
            </w:r>
          </w:p>
        </w:tc>
        <w:tc>
          <w:tcPr>
            <w:tcW w:w="1090" w:type="dxa"/>
            <w:tcBorders>
              <w:top w:val="single" w:sz="4" w:space="0" w:color="000000"/>
              <w:left w:val="single" w:sz="4" w:space="0" w:color="auto"/>
              <w:bottom w:val="single" w:sz="4" w:space="0" w:color="auto"/>
              <w:right w:val="single" w:sz="4" w:space="0" w:color="000000"/>
            </w:tcBorders>
            <w:vAlign w:val="center"/>
          </w:tcPr>
          <w:p w:rsidR="005E515C" w:rsidRDefault="0045627D" w:rsidP="0045627D">
            <w:pPr>
              <w:spacing w:after="0" w:line="68" w:lineRule="atLeast"/>
              <w:jc w:val="center"/>
              <w:rPr>
                <w:rFonts w:ascii="宋体" w:eastAsia="宋体" w:hAnsi="宋体" w:cs="宋体"/>
              </w:rPr>
            </w:pPr>
            <w:r>
              <w:rPr>
                <w:rFonts w:ascii="宋体" w:eastAsia="宋体" w:hAnsi="宋体" w:cs="宋体" w:hint="eastAsia"/>
              </w:rPr>
              <w:t>1</w:t>
            </w:r>
          </w:p>
        </w:tc>
      </w:tr>
      <w:tr w:rsidR="005E515C">
        <w:trPr>
          <w:trHeight w:val="1895"/>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val="restart"/>
            <w:tcBorders>
              <w:top w:val="single" w:sz="4" w:space="0" w:color="000000"/>
              <w:left w:val="single" w:sz="4" w:space="0" w:color="000000"/>
              <w:right w:val="single" w:sz="4" w:space="0" w:color="000000"/>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预算配置(10分)</w:t>
            </w:r>
          </w:p>
        </w:tc>
        <w:tc>
          <w:tcPr>
            <w:tcW w:w="1182" w:type="dxa"/>
            <w:tcBorders>
              <w:top w:val="single" w:sz="4" w:space="0" w:color="auto"/>
              <w:left w:val="single" w:sz="4" w:space="0" w:color="000000"/>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财政供养人员控制率（3分）</w:t>
            </w:r>
          </w:p>
        </w:tc>
        <w:tc>
          <w:tcPr>
            <w:tcW w:w="6911" w:type="dxa"/>
            <w:tcBorders>
              <w:top w:val="single" w:sz="4" w:space="0" w:color="auto"/>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部门本年度实际在职人员数与编制数的比率，用以反映和评价部门对人员成本的控制程度。</w:t>
            </w:r>
          </w:p>
          <w:p w:rsidR="005E515C" w:rsidRDefault="00A11190">
            <w:pPr>
              <w:spacing w:after="0" w:line="240" w:lineRule="exact"/>
              <w:rPr>
                <w:rFonts w:ascii="宋体" w:eastAsia="宋体" w:hAnsi="宋体" w:cs="宋体"/>
              </w:rPr>
            </w:pPr>
            <w:r>
              <w:rPr>
                <w:rFonts w:ascii="宋体" w:eastAsia="宋体" w:hAnsi="宋体" w:cs="宋体" w:hint="eastAsia"/>
              </w:rPr>
              <w:t>在职人员控制率=（在职人员数/编制数）×100%。</w:t>
            </w:r>
          </w:p>
          <w:p w:rsidR="005E515C" w:rsidRDefault="00A11190">
            <w:pPr>
              <w:spacing w:after="0" w:line="240" w:lineRule="exact"/>
              <w:rPr>
                <w:rFonts w:ascii="宋体" w:eastAsia="宋体" w:hAnsi="宋体" w:cs="宋体"/>
              </w:rPr>
            </w:pPr>
            <w:r>
              <w:rPr>
                <w:rFonts w:ascii="宋体" w:eastAsia="宋体" w:hAnsi="宋体" w:cs="宋体" w:hint="eastAsia"/>
              </w:rPr>
              <w:t>在职人员数：部门实际在职人数，以财政部确定的部门决算编制口径为准，由编制部门和人劳部门批复同意的临聘人员除外。</w:t>
            </w:r>
          </w:p>
          <w:p w:rsidR="005E515C" w:rsidRDefault="00A11190">
            <w:pPr>
              <w:spacing w:after="0" w:line="68" w:lineRule="atLeast"/>
              <w:rPr>
                <w:rFonts w:ascii="宋体" w:eastAsia="宋体" w:hAnsi="宋体" w:cs="宋体"/>
              </w:rPr>
            </w:pPr>
            <w:r>
              <w:rPr>
                <w:rFonts w:ascii="宋体" w:eastAsia="宋体" w:hAnsi="宋体" w:cs="宋体" w:hint="eastAsia"/>
              </w:rPr>
              <w:t>编制数：机构编制部门核定批复的部门人员编制数。</w:t>
            </w:r>
          </w:p>
        </w:tc>
        <w:tc>
          <w:tcPr>
            <w:tcW w:w="3423" w:type="dxa"/>
            <w:tcBorders>
              <w:top w:val="single" w:sz="4" w:space="0" w:color="auto"/>
              <w:left w:val="single" w:sz="4" w:space="0" w:color="auto"/>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目标值≤100%；达到目标值得3分，每超出1人扣0.1分，扣完为止。</w:t>
            </w:r>
          </w:p>
        </w:tc>
        <w:tc>
          <w:tcPr>
            <w:tcW w:w="1090" w:type="dxa"/>
            <w:tcBorders>
              <w:top w:val="single" w:sz="4" w:space="0" w:color="auto"/>
              <w:left w:val="single" w:sz="4" w:space="0" w:color="auto"/>
              <w:bottom w:val="single" w:sz="4" w:space="0" w:color="000000"/>
              <w:right w:val="single" w:sz="4" w:space="0" w:color="000000"/>
            </w:tcBorders>
            <w:vAlign w:val="center"/>
          </w:tcPr>
          <w:p w:rsidR="005E515C" w:rsidRDefault="0045627D" w:rsidP="0045627D">
            <w:pPr>
              <w:spacing w:after="0" w:line="68" w:lineRule="atLeast"/>
              <w:jc w:val="center"/>
              <w:rPr>
                <w:rFonts w:ascii="宋体" w:eastAsia="宋体" w:hAnsi="宋体" w:cs="宋体"/>
              </w:rPr>
            </w:pPr>
            <w:r>
              <w:rPr>
                <w:rFonts w:ascii="宋体" w:eastAsia="宋体" w:hAnsi="宋体" w:cs="宋体" w:hint="eastAsia"/>
              </w:rPr>
              <w:t>3</w:t>
            </w:r>
          </w:p>
        </w:tc>
      </w:tr>
      <w:tr w:rsidR="005E515C">
        <w:trPr>
          <w:trHeight w:val="1775"/>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1182" w:type="dxa"/>
            <w:tcBorders>
              <w:top w:val="single" w:sz="4" w:space="0" w:color="auto"/>
              <w:left w:val="single" w:sz="4" w:space="0" w:color="000000"/>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“三公经费”变动率（4分）</w:t>
            </w:r>
          </w:p>
        </w:tc>
        <w:tc>
          <w:tcPr>
            <w:tcW w:w="6911" w:type="dxa"/>
            <w:tcBorders>
              <w:top w:val="single" w:sz="4" w:space="0" w:color="auto"/>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部门本年度“三公经费”预算数与上年度“三公经费”预算数的变动比率，用以反映和考核部门对控制重点行政成本的努力程度。</w:t>
            </w:r>
          </w:p>
          <w:p w:rsidR="005E515C" w:rsidRDefault="00A11190">
            <w:pPr>
              <w:spacing w:after="0" w:line="240" w:lineRule="exact"/>
              <w:rPr>
                <w:rFonts w:ascii="宋体" w:eastAsia="宋体" w:hAnsi="宋体" w:cs="宋体"/>
              </w:rPr>
            </w:pPr>
            <w:r>
              <w:rPr>
                <w:rFonts w:ascii="宋体" w:eastAsia="宋体" w:hAnsi="宋体" w:cs="宋体" w:hint="eastAsia"/>
              </w:rPr>
              <w:t>“三公经费”变动率=〔（本年度“三公经费”总额-上年度“三公经费”总额）/上年度“三公经费”总额〕×100%</w:t>
            </w:r>
          </w:p>
          <w:p w:rsidR="005E515C" w:rsidRDefault="00A11190">
            <w:pPr>
              <w:spacing w:after="0" w:line="240" w:lineRule="exact"/>
              <w:rPr>
                <w:rFonts w:ascii="宋体" w:eastAsia="宋体" w:hAnsi="宋体" w:cs="宋体"/>
              </w:rPr>
            </w:pPr>
            <w:r>
              <w:rPr>
                <w:rFonts w:ascii="宋体" w:eastAsia="宋体" w:hAnsi="宋体" w:cs="宋体" w:hint="eastAsia"/>
              </w:rPr>
              <w:t>“三公经费”：年度预算安排的因公出国（境）费、公务车辆购置及运行费和公务招待费。</w:t>
            </w:r>
          </w:p>
        </w:tc>
        <w:tc>
          <w:tcPr>
            <w:tcW w:w="3423" w:type="dxa"/>
            <w:tcBorders>
              <w:top w:val="single" w:sz="4" w:space="0" w:color="auto"/>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目标值≤0；达到目标值得4分，未达到目标值的采用比率扣分法：扣分值=“三公经费”变动率×4×10，变动率达10%以上的扣4分。</w:t>
            </w:r>
          </w:p>
        </w:tc>
        <w:tc>
          <w:tcPr>
            <w:tcW w:w="1090" w:type="dxa"/>
            <w:tcBorders>
              <w:top w:val="single" w:sz="4" w:space="0" w:color="auto"/>
              <w:left w:val="single" w:sz="4" w:space="0" w:color="auto"/>
              <w:bottom w:val="single" w:sz="4" w:space="0" w:color="000000"/>
              <w:right w:val="single" w:sz="4" w:space="0" w:color="000000"/>
            </w:tcBorders>
            <w:vAlign w:val="center"/>
          </w:tcPr>
          <w:p w:rsidR="005E515C" w:rsidRDefault="0045627D" w:rsidP="0045627D">
            <w:pPr>
              <w:spacing w:after="0" w:line="68" w:lineRule="atLeast"/>
              <w:jc w:val="center"/>
              <w:rPr>
                <w:rFonts w:ascii="宋体" w:eastAsia="宋体" w:hAnsi="宋体" w:cs="宋体"/>
              </w:rPr>
            </w:pPr>
            <w:r>
              <w:rPr>
                <w:rFonts w:ascii="宋体" w:eastAsia="宋体" w:hAnsi="宋体" w:cs="宋体" w:hint="eastAsia"/>
              </w:rPr>
              <w:t>4</w:t>
            </w:r>
          </w:p>
        </w:tc>
      </w:tr>
      <w:tr w:rsidR="005E515C">
        <w:trPr>
          <w:trHeight w:val="2607"/>
          <w:jc w:val="center"/>
        </w:trPr>
        <w:tc>
          <w:tcPr>
            <w:tcW w:w="733" w:type="dxa"/>
            <w:vMerge/>
            <w:tcBorders>
              <w:left w:val="single" w:sz="4" w:space="0" w:color="000000"/>
              <w:bottom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left w:val="single" w:sz="4" w:space="0" w:color="000000"/>
              <w:bottom w:val="single" w:sz="4" w:space="0" w:color="000000"/>
              <w:right w:val="single" w:sz="4" w:space="0" w:color="000000"/>
            </w:tcBorders>
            <w:vAlign w:val="center"/>
          </w:tcPr>
          <w:p w:rsidR="005E515C" w:rsidRDefault="005E515C">
            <w:pPr>
              <w:spacing w:after="0"/>
              <w:rPr>
                <w:rFonts w:ascii="宋体" w:eastAsia="宋体" w:hAnsi="宋体" w:cs="宋体"/>
              </w:rPr>
            </w:pPr>
          </w:p>
        </w:tc>
        <w:tc>
          <w:tcPr>
            <w:tcW w:w="1182" w:type="dxa"/>
            <w:tcBorders>
              <w:top w:val="single" w:sz="4" w:space="0" w:color="auto"/>
              <w:left w:val="single" w:sz="4" w:space="0" w:color="000000"/>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重点支出安排率（3分）</w:t>
            </w:r>
          </w:p>
        </w:tc>
        <w:tc>
          <w:tcPr>
            <w:tcW w:w="6911" w:type="dxa"/>
            <w:tcBorders>
              <w:top w:val="single" w:sz="4" w:space="0" w:color="auto"/>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部门（单位）本年度预算安排的重点项目支出与部门项目总支出的比率，用以反映和考核部门（单位）对履行主要职责或完成重点任务的保障程度。重点支出安排率=（重点项目支出/项目总支出）×100%。</w:t>
            </w:r>
          </w:p>
          <w:p w:rsidR="005E515C" w:rsidRDefault="00A11190">
            <w:pPr>
              <w:spacing w:after="0" w:line="240" w:lineRule="exact"/>
              <w:rPr>
                <w:rFonts w:ascii="宋体" w:eastAsia="宋体" w:hAnsi="宋体" w:cs="宋体"/>
              </w:rPr>
            </w:pPr>
            <w:r>
              <w:rPr>
                <w:rFonts w:ascii="宋体" w:eastAsia="宋体" w:hAnsi="宋体" w:cs="宋体" w:hint="eastAsia"/>
              </w:rPr>
              <w:t>重点项目支出：部门（单位）年度预算安排的，与本部门履职和发展密切相关、具有明显社会和经济影响、党委政府关心或社会比较关注的项目支出总额。具体由被评价部门提出后经对口部门预算管理处审核确定。</w:t>
            </w:r>
          </w:p>
          <w:p w:rsidR="005E515C" w:rsidRDefault="00A11190">
            <w:pPr>
              <w:spacing w:after="0" w:line="240" w:lineRule="exact"/>
              <w:rPr>
                <w:rFonts w:ascii="宋体" w:eastAsia="宋体" w:hAnsi="宋体" w:cs="宋体"/>
              </w:rPr>
            </w:pPr>
            <w:r>
              <w:rPr>
                <w:rFonts w:ascii="宋体" w:eastAsia="宋体" w:hAnsi="宋体" w:cs="宋体" w:hint="eastAsia"/>
              </w:rPr>
              <w:t>项目总支出：部门（单位）年度预算安排的项目支出总额。</w:t>
            </w:r>
          </w:p>
        </w:tc>
        <w:tc>
          <w:tcPr>
            <w:tcW w:w="3423" w:type="dxa"/>
            <w:tcBorders>
              <w:top w:val="single" w:sz="4" w:space="0" w:color="auto"/>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目标值≥70%；以3分为上限，采用完成比率法计分：得分=重点支出安排率/70%×100%×3，超出目标值不加分。</w:t>
            </w:r>
          </w:p>
        </w:tc>
        <w:tc>
          <w:tcPr>
            <w:tcW w:w="1090" w:type="dxa"/>
            <w:tcBorders>
              <w:top w:val="single" w:sz="4" w:space="0" w:color="auto"/>
              <w:left w:val="single" w:sz="4" w:space="0" w:color="auto"/>
              <w:bottom w:val="single" w:sz="4" w:space="0" w:color="000000"/>
              <w:right w:val="single" w:sz="4" w:space="0" w:color="000000"/>
            </w:tcBorders>
            <w:vAlign w:val="center"/>
          </w:tcPr>
          <w:p w:rsidR="005E515C" w:rsidRDefault="00767A40" w:rsidP="0045627D">
            <w:pPr>
              <w:spacing w:after="0" w:line="68" w:lineRule="atLeast"/>
              <w:jc w:val="center"/>
              <w:rPr>
                <w:rFonts w:ascii="宋体" w:eastAsia="宋体" w:hAnsi="宋体" w:cs="宋体"/>
              </w:rPr>
            </w:pPr>
            <w:r>
              <w:rPr>
                <w:rFonts w:ascii="宋体" w:eastAsia="宋体" w:hAnsi="宋体" w:cs="宋体" w:hint="eastAsia"/>
              </w:rPr>
              <w:t>3</w:t>
            </w:r>
          </w:p>
        </w:tc>
      </w:tr>
      <w:tr w:rsidR="005E515C">
        <w:trPr>
          <w:trHeight w:val="1596"/>
          <w:jc w:val="center"/>
        </w:trPr>
        <w:tc>
          <w:tcPr>
            <w:tcW w:w="733" w:type="dxa"/>
            <w:vMerge w:val="restart"/>
            <w:tcBorders>
              <w:top w:val="single" w:sz="4" w:space="0" w:color="000000"/>
              <w:left w:val="single" w:sz="4" w:space="0" w:color="000000"/>
              <w:right w:val="single" w:sz="4" w:space="0" w:color="000000"/>
            </w:tcBorders>
            <w:vAlign w:val="center"/>
          </w:tcPr>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A11190">
            <w:pPr>
              <w:spacing w:after="0" w:line="68" w:lineRule="atLeast"/>
              <w:jc w:val="center"/>
              <w:rPr>
                <w:rFonts w:ascii="宋体" w:eastAsia="宋体" w:hAnsi="宋体" w:cs="宋体"/>
              </w:rPr>
            </w:pPr>
            <w:r>
              <w:rPr>
                <w:rFonts w:ascii="宋体" w:eastAsia="宋体" w:hAnsi="宋体" w:cs="宋体" w:hint="eastAsia"/>
              </w:rPr>
              <w:t>过程(55分)</w:t>
            </w: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A11190">
            <w:pPr>
              <w:spacing w:after="0" w:line="68" w:lineRule="atLeast"/>
              <w:jc w:val="center"/>
              <w:rPr>
                <w:rFonts w:ascii="宋体" w:eastAsia="宋体" w:hAnsi="宋体" w:cs="宋体"/>
              </w:rPr>
            </w:pPr>
            <w:r>
              <w:rPr>
                <w:rFonts w:ascii="宋体" w:eastAsia="宋体" w:hAnsi="宋体" w:cs="宋体" w:hint="eastAsia"/>
              </w:rPr>
              <w:t>过程(55分)</w:t>
            </w: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A11190">
            <w:pPr>
              <w:spacing w:after="0" w:line="68" w:lineRule="atLeast"/>
              <w:jc w:val="center"/>
              <w:rPr>
                <w:rFonts w:ascii="宋体" w:eastAsia="宋体" w:hAnsi="宋体" w:cs="宋体"/>
              </w:rPr>
            </w:pPr>
            <w:r>
              <w:rPr>
                <w:rFonts w:ascii="宋体" w:eastAsia="宋体" w:hAnsi="宋体" w:cs="宋体" w:hint="eastAsia"/>
              </w:rPr>
              <w:t>过程(55分)</w:t>
            </w: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jc w:val="center"/>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A11190">
            <w:pPr>
              <w:spacing w:after="0" w:line="68" w:lineRule="atLeast"/>
              <w:jc w:val="center"/>
              <w:rPr>
                <w:rFonts w:ascii="宋体" w:eastAsia="宋体" w:hAnsi="宋体" w:cs="宋体"/>
              </w:rPr>
            </w:pPr>
            <w:r>
              <w:rPr>
                <w:rFonts w:ascii="宋体" w:eastAsia="宋体" w:hAnsi="宋体" w:cs="宋体" w:hint="eastAsia"/>
              </w:rPr>
              <w:t>过程(55分)</w:t>
            </w:r>
          </w:p>
          <w:p w:rsidR="005E515C" w:rsidRDefault="005E515C">
            <w:pPr>
              <w:spacing w:after="0" w:line="68" w:lineRule="atLeast"/>
              <w:rPr>
                <w:rFonts w:ascii="宋体" w:eastAsia="宋体" w:hAnsi="宋体" w:cs="宋体"/>
              </w:rPr>
            </w:pPr>
          </w:p>
        </w:tc>
        <w:tc>
          <w:tcPr>
            <w:tcW w:w="803" w:type="dxa"/>
            <w:vMerge w:val="restart"/>
            <w:tcBorders>
              <w:top w:val="single" w:sz="4" w:space="0" w:color="000000"/>
              <w:left w:val="single" w:sz="4" w:space="0" w:color="000000"/>
              <w:bottom w:val="single" w:sz="4" w:space="0" w:color="000000"/>
              <w:right w:val="single" w:sz="4" w:space="0" w:color="000000"/>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lastRenderedPageBreak/>
              <w:t>预算执行(27分)</w:t>
            </w:r>
          </w:p>
        </w:tc>
        <w:tc>
          <w:tcPr>
            <w:tcW w:w="1182" w:type="dxa"/>
            <w:tcBorders>
              <w:top w:val="single" w:sz="4" w:space="0" w:color="000000"/>
              <w:left w:val="single" w:sz="4" w:space="0" w:color="000000"/>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预算完成率（3分）</w:t>
            </w:r>
          </w:p>
        </w:tc>
        <w:tc>
          <w:tcPr>
            <w:tcW w:w="6911"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通过对部门本年度预算完成数与预算数的比较，反映和评价部门预算的完成程度。</w:t>
            </w:r>
          </w:p>
          <w:p w:rsidR="005E515C" w:rsidRDefault="00A11190">
            <w:pPr>
              <w:spacing w:after="0" w:line="68" w:lineRule="atLeast"/>
              <w:rPr>
                <w:rFonts w:ascii="宋体" w:eastAsia="宋体" w:hAnsi="宋体" w:cs="宋体"/>
              </w:rPr>
            </w:pPr>
            <w:r>
              <w:rPr>
                <w:rFonts w:ascii="宋体" w:eastAsia="宋体" w:hAnsi="宋体" w:cs="宋体" w:hint="eastAsia"/>
              </w:rPr>
              <w:t>预算完成率=（预算完成数/预算数）×100%。</w:t>
            </w:r>
          </w:p>
        </w:tc>
        <w:tc>
          <w:tcPr>
            <w:tcW w:w="3423"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目标值≥100%；</w:t>
            </w:r>
          </w:p>
          <w:p w:rsidR="005E515C" w:rsidRDefault="00A11190">
            <w:pPr>
              <w:spacing w:after="0" w:line="68" w:lineRule="atLeast"/>
              <w:rPr>
                <w:rFonts w:ascii="宋体" w:eastAsia="宋体" w:hAnsi="宋体" w:cs="宋体"/>
              </w:rPr>
            </w:pPr>
            <w:r>
              <w:rPr>
                <w:rFonts w:ascii="宋体" w:eastAsia="宋体" w:hAnsi="宋体" w:cs="宋体" w:hint="eastAsia"/>
              </w:rPr>
              <w:t>达到目标值的得3分；</w:t>
            </w:r>
          </w:p>
          <w:p w:rsidR="005E515C" w:rsidRDefault="00A11190">
            <w:pPr>
              <w:spacing w:after="0" w:line="68" w:lineRule="atLeast"/>
              <w:rPr>
                <w:rFonts w:ascii="宋体" w:eastAsia="宋体" w:hAnsi="宋体" w:cs="宋体"/>
              </w:rPr>
            </w:pPr>
            <w:r>
              <w:rPr>
                <w:rFonts w:ascii="宋体" w:eastAsia="宋体" w:hAnsi="宋体" w:cs="宋体" w:hint="eastAsia"/>
              </w:rPr>
              <w:t>100%＞结果≥90%，得3分；</w:t>
            </w:r>
          </w:p>
          <w:p w:rsidR="005E515C" w:rsidRDefault="00A11190">
            <w:pPr>
              <w:spacing w:after="0" w:line="68" w:lineRule="atLeast"/>
              <w:rPr>
                <w:rFonts w:ascii="宋体" w:eastAsia="宋体" w:hAnsi="宋体" w:cs="宋体"/>
              </w:rPr>
            </w:pPr>
            <w:r>
              <w:rPr>
                <w:rFonts w:ascii="宋体" w:eastAsia="宋体" w:hAnsi="宋体" w:cs="宋体" w:hint="eastAsia"/>
              </w:rPr>
              <w:t>90%＞结果≥80%，得1分；</w:t>
            </w:r>
          </w:p>
          <w:p w:rsidR="005E515C" w:rsidRDefault="00A11190">
            <w:pPr>
              <w:spacing w:after="0" w:line="68" w:lineRule="atLeast"/>
              <w:rPr>
                <w:rFonts w:ascii="宋体" w:eastAsia="宋体" w:hAnsi="宋体" w:cs="宋体"/>
              </w:rPr>
            </w:pPr>
            <w:r>
              <w:rPr>
                <w:rFonts w:ascii="宋体" w:eastAsia="宋体" w:hAnsi="宋体" w:cs="宋体" w:hint="eastAsia"/>
              </w:rPr>
              <w:t>结果＜80%得0分。</w:t>
            </w:r>
          </w:p>
        </w:tc>
        <w:tc>
          <w:tcPr>
            <w:tcW w:w="1090" w:type="dxa"/>
            <w:tcBorders>
              <w:top w:val="single" w:sz="4" w:space="0" w:color="000000"/>
              <w:left w:val="single" w:sz="4" w:space="0" w:color="auto"/>
              <w:bottom w:val="single" w:sz="4" w:space="0" w:color="000000"/>
              <w:right w:val="single" w:sz="4" w:space="0" w:color="000000"/>
            </w:tcBorders>
            <w:vAlign w:val="center"/>
          </w:tcPr>
          <w:p w:rsidR="005E515C" w:rsidRDefault="00CA5805" w:rsidP="0045627D">
            <w:pPr>
              <w:spacing w:after="0" w:line="68" w:lineRule="atLeast"/>
              <w:jc w:val="center"/>
              <w:rPr>
                <w:rFonts w:ascii="宋体" w:eastAsia="宋体" w:hAnsi="宋体" w:cs="宋体"/>
              </w:rPr>
            </w:pPr>
            <w:r>
              <w:rPr>
                <w:rFonts w:ascii="宋体" w:eastAsia="宋体" w:hAnsi="宋体" w:cs="宋体" w:hint="eastAsia"/>
              </w:rPr>
              <w:t>3</w:t>
            </w:r>
          </w:p>
        </w:tc>
      </w:tr>
      <w:tr w:rsidR="005E515C">
        <w:trPr>
          <w:trHeight w:val="1285"/>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top w:val="single" w:sz="4" w:space="0" w:color="000000"/>
              <w:left w:val="single" w:sz="4" w:space="0" w:color="000000"/>
              <w:bottom w:val="single" w:sz="4" w:space="0" w:color="000000"/>
              <w:right w:val="single" w:sz="4" w:space="0" w:color="000000"/>
            </w:tcBorders>
            <w:vAlign w:val="center"/>
          </w:tcPr>
          <w:p w:rsidR="005E515C" w:rsidRDefault="005E515C">
            <w:pPr>
              <w:spacing w:after="0"/>
              <w:rPr>
                <w:rFonts w:ascii="宋体" w:eastAsia="宋体" w:hAnsi="宋体" w:cs="宋体"/>
              </w:rPr>
            </w:pPr>
          </w:p>
        </w:tc>
        <w:tc>
          <w:tcPr>
            <w:tcW w:w="1182" w:type="dxa"/>
            <w:tcBorders>
              <w:top w:val="single" w:sz="4" w:space="0" w:color="000000"/>
              <w:left w:val="single" w:sz="4" w:space="0" w:color="000000"/>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预算调整率（3分）</w:t>
            </w:r>
          </w:p>
        </w:tc>
        <w:tc>
          <w:tcPr>
            <w:tcW w:w="6911"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部门本年度预算调整数与预算数的比率，用以反映和评价部门预算的调整程度。</w:t>
            </w:r>
          </w:p>
          <w:p w:rsidR="005E515C" w:rsidRDefault="00A11190">
            <w:pPr>
              <w:spacing w:after="0" w:line="68" w:lineRule="atLeast"/>
              <w:rPr>
                <w:rFonts w:ascii="宋体" w:eastAsia="宋体" w:hAnsi="宋体" w:cs="宋体"/>
              </w:rPr>
            </w:pPr>
            <w:r>
              <w:rPr>
                <w:rFonts w:ascii="宋体" w:eastAsia="宋体" w:hAnsi="宋体" w:cs="宋体" w:hint="eastAsia"/>
              </w:rPr>
              <w:t>预算调整率=（预算调整数/预算数）×100%。</w:t>
            </w:r>
          </w:p>
        </w:tc>
        <w:tc>
          <w:tcPr>
            <w:tcW w:w="3423"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目标值为10%；达到目标值得3分，未达到目标值的每增加0.1个百分点扣0.1分，扣完为止。</w:t>
            </w:r>
          </w:p>
        </w:tc>
        <w:tc>
          <w:tcPr>
            <w:tcW w:w="1090" w:type="dxa"/>
            <w:tcBorders>
              <w:top w:val="single" w:sz="4" w:space="0" w:color="000000"/>
              <w:left w:val="single" w:sz="4" w:space="0" w:color="auto"/>
              <w:bottom w:val="single" w:sz="4" w:space="0" w:color="000000"/>
              <w:right w:val="single" w:sz="4" w:space="0" w:color="000000"/>
            </w:tcBorders>
            <w:vAlign w:val="center"/>
          </w:tcPr>
          <w:p w:rsidR="005E515C" w:rsidRDefault="00CA5805" w:rsidP="0045627D">
            <w:pPr>
              <w:spacing w:after="0" w:line="68" w:lineRule="atLeast"/>
              <w:jc w:val="center"/>
              <w:rPr>
                <w:rFonts w:ascii="宋体" w:eastAsia="宋体" w:hAnsi="宋体" w:cs="宋体"/>
              </w:rPr>
            </w:pPr>
            <w:r>
              <w:rPr>
                <w:rFonts w:ascii="宋体" w:eastAsia="宋体" w:hAnsi="宋体" w:cs="宋体" w:hint="eastAsia"/>
              </w:rPr>
              <w:t>3</w:t>
            </w:r>
          </w:p>
        </w:tc>
      </w:tr>
      <w:tr w:rsidR="005E515C">
        <w:trPr>
          <w:trHeight w:val="2090"/>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top w:val="single" w:sz="4" w:space="0" w:color="000000"/>
              <w:left w:val="single" w:sz="4" w:space="0" w:color="000000"/>
              <w:bottom w:val="single" w:sz="4" w:space="0" w:color="000000"/>
              <w:right w:val="single" w:sz="4" w:space="0" w:color="000000"/>
            </w:tcBorders>
            <w:vAlign w:val="center"/>
          </w:tcPr>
          <w:p w:rsidR="005E515C" w:rsidRDefault="005E515C">
            <w:pPr>
              <w:spacing w:after="0"/>
              <w:rPr>
                <w:rFonts w:ascii="宋体" w:eastAsia="宋体" w:hAnsi="宋体" w:cs="宋体"/>
              </w:rPr>
            </w:pPr>
          </w:p>
        </w:tc>
        <w:tc>
          <w:tcPr>
            <w:tcW w:w="1182" w:type="dxa"/>
            <w:tcBorders>
              <w:top w:val="single" w:sz="4" w:space="0" w:color="000000"/>
              <w:left w:val="single" w:sz="4" w:space="0" w:color="000000"/>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color w:val="000000"/>
              </w:rPr>
              <w:t>支付进度率</w:t>
            </w:r>
            <w:r>
              <w:rPr>
                <w:rFonts w:ascii="宋体" w:eastAsia="宋体" w:hAnsi="宋体" w:cs="宋体" w:hint="eastAsia"/>
              </w:rPr>
              <w:t>（6分）</w:t>
            </w:r>
          </w:p>
        </w:tc>
        <w:tc>
          <w:tcPr>
            <w:tcW w:w="6911"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部门年度支付数与年度预算（调整）数的比率，用以反映和评价部门预算执行的及时和均衡程度。</w:t>
            </w:r>
          </w:p>
          <w:p w:rsidR="005E515C" w:rsidRDefault="00A11190">
            <w:pPr>
              <w:spacing w:after="0" w:line="240" w:lineRule="exact"/>
              <w:rPr>
                <w:rFonts w:ascii="宋体" w:eastAsia="宋体" w:hAnsi="宋体" w:cs="宋体"/>
              </w:rPr>
            </w:pPr>
            <w:r>
              <w:rPr>
                <w:rFonts w:ascii="宋体" w:eastAsia="宋体" w:hAnsi="宋体" w:cs="宋体" w:hint="eastAsia"/>
              </w:rPr>
              <w:t>半年支付进度=部门上半年实际支出÷（上年结余结转+本年部门预算安排+上半年执行中追加追减）×100%</w:t>
            </w:r>
          </w:p>
          <w:p w:rsidR="005E515C" w:rsidRDefault="00A11190">
            <w:pPr>
              <w:spacing w:after="0" w:line="240" w:lineRule="exact"/>
              <w:rPr>
                <w:rFonts w:ascii="宋体" w:eastAsia="宋体" w:hAnsi="宋体" w:cs="宋体"/>
              </w:rPr>
            </w:pPr>
            <w:r>
              <w:rPr>
                <w:rFonts w:ascii="宋体" w:eastAsia="宋体" w:hAnsi="宋体" w:cs="宋体" w:hint="eastAsia"/>
              </w:rPr>
              <w:t>全年支付进度=部门全年实际支出÷（上年结余结转+本年部门预算安排+全年执行中追加追减）×100%</w:t>
            </w:r>
          </w:p>
        </w:tc>
        <w:tc>
          <w:tcPr>
            <w:tcW w:w="3423"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半年进度：结果≥50%，得2分；50%＞结果≥40%，得1分；结果＜40%，得0分。</w:t>
            </w:r>
          </w:p>
          <w:p w:rsidR="005E515C" w:rsidRDefault="00A11190">
            <w:pPr>
              <w:spacing w:after="0" w:line="240" w:lineRule="exact"/>
              <w:rPr>
                <w:rFonts w:ascii="宋体" w:eastAsia="宋体" w:hAnsi="宋体" w:cs="宋体"/>
              </w:rPr>
            </w:pPr>
            <w:r>
              <w:rPr>
                <w:rFonts w:ascii="宋体" w:eastAsia="宋体" w:hAnsi="宋体" w:cs="宋体" w:hint="eastAsia"/>
              </w:rPr>
              <w:t>全年进度：结果≥100%，得4分；100%＞结果≥95%，得3分；95%＞结果≥90%，得2分；90%＞结果≥85%，得2分；结果＜85%，得0分。</w:t>
            </w:r>
          </w:p>
        </w:tc>
        <w:tc>
          <w:tcPr>
            <w:tcW w:w="1090" w:type="dxa"/>
            <w:tcBorders>
              <w:top w:val="single" w:sz="4" w:space="0" w:color="000000"/>
              <w:left w:val="single" w:sz="4" w:space="0" w:color="auto"/>
              <w:bottom w:val="single" w:sz="4" w:space="0" w:color="000000"/>
              <w:right w:val="single" w:sz="4" w:space="0" w:color="000000"/>
            </w:tcBorders>
            <w:vAlign w:val="center"/>
          </w:tcPr>
          <w:p w:rsidR="005E515C" w:rsidRDefault="00CA5805" w:rsidP="0045627D">
            <w:pPr>
              <w:spacing w:after="0" w:line="240" w:lineRule="exact"/>
              <w:jc w:val="center"/>
              <w:rPr>
                <w:rFonts w:ascii="宋体" w:eastAsia="宋体" w:hAnsi="宋体" w:cs="宋体"/>
              </w:rPr>
            </w:pPr>
            <w:r>
              <w:rPr>
                <w:rFonts w:ascii="宋体" w:eastAsia="宋体" w:hAnsi="宋体" w:cs="宋体" w:hint="eastAsia"/>
              </w:rPr>
              <w:t>6</w:t>
            </w:r>
          </w:p>
        </w:tc>
      </w:tr>
      <w:tr w:rsidR="005E515C">
        <w:trPr>
          <w:trHeight w:val="1078"/>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top w:val="single" w:sz="4" w:space="0" w:color="000000"/>
              <w:left w:val="single" w:sz="4" w:space="0" w:color="000000"/>
              <w:bottom w:val="single" w:sz="4" w:space="0" w:color="000000"/>
              <w:right w:val="single" w:sz="4" w:space="0" w:color="000000"/>
            </w:tcBorders>
            <w:vAlign w:val="center"/>
          </w:tcPr>
          <w:p w:rsidR="005E515C" w:rsidRDefault="005E515C">
            <w:pPr>
              <w:spacing w:after="0"/>
              <w:rPr>
                <w:rFonts w:ascii="宋体" w:eastAsia="宋体" w:hAnsi="宋体" w:cs="宋体"/>
              </w:rPr>
            </w:pPr>
          </w:p>
        </w:tc>
        <w:tc>
          <w:tcPr>
            <w:tcW w:w="1182" w:type="dxa"/>
            <w:tcBorders>
              <w:top w:val="single" w:sz="4" w:space="0" w:color="000000"/>
              <w:left w:val="single" w:sz="4" w:space="0" w:color="000000"/>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结转结余率（3分）</w:t>
            </w:r>
          </w:p>
        </w:tc>
        <w:tc>
          <w:tcPr>
            <w:tcW w:w="6911"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通过对部门本年度结转结余总额与支出预算数的比较，反映和评价部门对本年度结转结余资金的实际控制程度。</w:t>
            </w:r>
          </w:p>
          <w:p w:rsidR="005E515C" w:rsidRDefault="00A11190">
            <w:pPr>
              <w:spacing w:after="0" w:line="240" w:lineRule="exact"/>
              <w:rPr>
                <w:rFonts w:ascii="宋体" w:eastAsia="宋体" w:hAnsi="宋体" w:cs="宋体"/>
              </w:rPr>
            </w:pPr>
            <w:r>
              <w:rPr>
                <w:rFonts w:ascii="宋体" w:eastAsia="宋体" w:hAnsi="宋体" w:cs="宋体" w:hint="eastAsia"/>
              </w:rPr>
              <w:t>结转结余率=（结转结余总额/支出预算数）×100%。</w:t>
            </w:r>
          </w:p>
        </w:tc>
        <w:tc>
          <w:tcPr>
            <w:tcW w:w="3423"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目标值为0；达到目标值得3分，未达到目标值的每增加0.1个百分点扣0.1分，扣完为止。</w:t>
            </w:r>
          </w:p>
        </w:tc>
        <w:tc>
          <w:tcPr>
            <w:tcW w:w="1090" w:type="dxa"/>
            <w:tcBorders>
              <w:top w:val="single" w:sz="4" w:space="0" w:color="000000"/>
              <w:left w:val="single" w:sz="4" w:space="0" w:color="auto"/>
              <w:bottom w:val="single" w:sz="4" w:space="0" w:color="000000"/>
              <w:right w:val="single" w:sz="4" w:space="0" w:color="000000"/>
            </w:tcBorders>
            <w:vAlign w:val="center"/>
          </w:tcPr>
          <w:p w:rsidR="005E515C" w:rsidRDefault="00CA5805" w:rsidP="0045627D">
            <w:pPr>
              <w:spacing w:after="0" w:line="240" w:lineRule="exact"/>
              <w:jc w:val="center"/>
              <w:rPr>
                <w:rFonts w:ascii="宋体" w:eastAsia="宋体" w:hAnsi="宋体" w:cs="宋体"/>
              </w:rPr>
            </w:pPr>
            <w:r>
              <w:rPr>
                <w:rFonts w:ascii="宋体" w:eastAsia="宋体" w:hAnsi="宋体" w:cs="宋体" w:hint="eastAsia"/>
              </w:rPr>
              <w:t>3</w:t>
            </w:r>
          </w:p>
        </w:tc>
      </w:tr>
      <w:tr w:rsidR="005E515C">
        <w:trPr>
          <w:trHeight w:val="1707"/>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top w:val="single" w:sz="4" w:space="0" w:color="000000"/>
              <w:left w:val="single" w:sz="4" w:space="0" w:color="000000"/>
              <w:bottom w:val="single" w:sz="4" w:space="0" w:color="000000"/>
              <w:right w:val="single" w:sz="4" w:space="0" w:color="000000"/>
            </w:tcBorders>
            <w:vAlign w:val="center"/>
          </w:tcPr>
          <w:p w:rsidR="005E515C" w:rsidRDefault="005E515C">
            <w:pPr>
              <w:spacing w:after="0"/>
              <w:rPr>
                <w:rFonts w:ascii="宋体" w:eastAsia="宋体" w:hAnsi="宋体" w:cs="宋体"/>
              </w:rPr>
            </w:pPr>
          </w:p>
        </w:tc>
        <w:tc>
          <w:tcPr>
            <w:tcW w:w="1182" w:type="dxa"/>
            <w:tcBorders>
              <w:top w:val="single" w:sz="4" w:space="0" w:color="000000"/>
              <w:left w:val="single" w:sz="4" w:space="0" w:color="000000"/>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结转结余变动率(3分）</w:t>
            </w:r>
          </w:p>
        </w:tc>
        <w:tc>
          <w:tcPr>
            <w:tcW w:w="6911"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部门本年度结转结余资金总额与上年度结转结余资金总额的变动比率，用以反映和考核部门对控制结转结余资金的努力程度。</w:t>
            </w:r>
          </w:p>
          <w:p w:rsidR="005E515C" w:rsidRDefault="00A11190">
            <w:pPr>
              <w:spacing w:after="0" w:line="240" w:lineRule="exact"/>
              <w:rPr>
                <w:rFonts w:ascii="宋体" w:eastAsia="宋体" w:hAnsi="宋体" w:cs="宋体"/>
              </w:rPr>
            </w:pPr>
            <w:r>
              <w:rPr>
                <w:rFonts w:ascii="宋体" w:eastAsia="宋体" w:hAnsi="宋体" w:cs="宋体" w:hint="eastAsia"/>
              </w:rPr>
              <w:t>结转结余变动率=〔（本年度累计结转结余资金总额-上年度累计结转结余资金总额）/上年度累计结转结余资金总额〕×100%。</w:t>
            </w:r>
          </w:p>
        </w:tc>
        <w:tc>
          <w:tcPr>
            <w:tcW w:w="3423"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目标值为≤0%；达到目标值得3分，未达到目标值的采用比率扣分法：扣分值=结转结余变动率×2×10，变动率达10%以上的扣2分。</w:t>
            </w:r>
          </w:p>
        </w:tc>
        <w:tc>
          <w:tcPr>
            <w:tcW w:w="1090" w:type="dxa"/>
            <w:tcBorders>
              <w:top w:val="single" w:sz="4" w:space="0" w:color="000000"/>
              <w:left w:val="single" w:sz="4" w:space="0" w:color="auto"/>
              <w:bottom w:val="single" w:sz="4" w:space="0" w:color="000000"/>
              <w:right w:val="single" w:sz="4" w:space="0" w:color="000000"/>
            </w:tcBorders>
            <w:vAlign w:val="center"/>
          </w:tcPr>
          <w:p w:rsidR="005E515C" w:rsidRDefault="00CA5805" w:rsidP="0045627D">
            <w:pPr>
              <w:spacing w:after="0" w:line="240" w:lineRule="exact"/>
              <w:jc w:val="center"/>
              <w:rPr>
                <w:rFonts w:ascii="宋体" w:eastAsia="宋体" w:hAnsi="宋体" w:cs="宋体"/>
              </w:rPr>
            </w:pPr>
            <w:r>
              <w:rPr>
                <w:rFonts w:ascii="宋体" w:eastAsia="宋体" w:hAnsi="宋体" w:cs="宋体" w:hint="eastAsia"/>
              </w:rPr>
              <w:t>3</w:t>
            </w:r>
          </w:p>
        </w:tc>
      </w:tr>
      <w:tr w:rsidR="005E515C">
        <w:trPr>
          <w:trHeight w:val="1505"/>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top w:val="single" w:sz="4" w:space="0" w:color="000000"/>
              <w:left w:val="single" w:sz="4" w:space="0" w:color="000000"/>
              <w:bottom w:val="single" w:sz="4" w:space="0" w:color="000000"/>
              <w:right w:val="single" w:sz="4" w:space="0" w:color="000000"/>
            </w:tcBorders>
            <w:vAlign w:val="center"/>
          </w:tcPr>
          <w:p w:rsidR="005E515C" w:rsidRDefault="005E515C">
            <w:pPr>
              <w:spacing w:after="0"/>
              <w:rPr>
                <w:rFonts w:ascii="宋体" w:eastAsia="宋体" w:hAnsi="宋体" w:cs="宋体"/>
              </w:rPr>
            </w:pPr>
          </w:p>
        </w:tc>
        <w:tc>
          <w:tcPr>
            <w:tcW w:w="1182" w:type="dxa"/>
            <w:tcBorders>
              <w:top w:val="single" w:sz="4" w:space="0" w:color="000000"/>
              <w:left w:val="single" w:sz="4" w:space="0" w:color="000000"/>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公用经费控制率（3分）</w:t>
            </w:r>
          </w:p>
        </w:tc>
        <w:tc>
          <w:tcPr>
            <w:tcW w:w="6911"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通过对部门本年度实际支出的公用经费总额与预算安排的公用经费总额的比率，反映和评价部门对机构运转成本的实际控制程度。</w:t>
            </w:r>
          </w:p>
          <w:p w:rsidR="005E515C" w:rsidRDefault="00A11190">
            <w:pPr>
              <w:spacing w:after="0" w:line="240" w:lineRule="exact"/>
              <w:rPr>
                <w:rFonts w:ascii="宋体" w:eastAsia="宋体" w:hAnsi="宋体" w:cs="宋体"/>
              </w:rPr>
            </w:pPr>
            <w:r>
              <w:rPr>
                <w:rFonts w:ascii="宋体" w:eastAsia="宋体" w:hAnsi="宋体" w:cs="宋体" w:hint="eastAsia"/>
              </w:rPr>
              <w:t>公用经费控制率=（实际支出公用经费总额/预算安排公用经费总额）×100%。</w:t>
            </w:r>
          </w:p>
        </w:tc>
        <w:tc>
          <w:tcPr>
            <w:tcW w:w="3423"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目标值为≤100%；达到目标值得3分，未达到目标值的每增加0.1个百分点扣0.1分，扣完为止。</w:t>
            </w:r>
          </w:p>
        </w:tc>
        <w:tc>
          <w:tcPr>
            <w:tcW w:w="1090" w:type="dxa"/>
            <w:tcBorders>
              <w:top w:val="single" w:sz="4" w:space="0" w:color="000000"/>
              <w:left w:val="single" w:sz="4" w:space="0" w:color="auto"/>
              <w:bottom w:val="single" w:sz="4" w:space="0" w:color="000000"/>
              <w:right w:val="single" w:sz="4" w:space="0" w:color="000000"/>
            </w:tcBorders>
            <w:vAlign w:val="center"/>
          </w:tcPr>
          <w:p w:rsidR="005E515C" w:rsidRDefault="00CA5805" w:rsidP="0045627D">
            <w:pPr>
              <w:spacing w:after="0" w:line="240" w:lineRule="exact"/>
              <w:jc w:val="center"/>
              <w:rPr>
                <w:rFonts w:ascii="宋体" w:eastAsia="宋体" w:hAnsi="宋体" w:cs="宋体"/>
              </w:rPr>
            </w:pPr>
            <w:r>
              <w:rPr>
                <w:rFonts w:ascii="宋体" w:eastAsia="宋体" w:hAnsi="宋体" w:cs="宋体" w:hint="eastAsia"/>
              </w:rPr>
              <w:t>3</w:t>
            </w:r>
          </w:p>
        </w:tc>
      </w:tr>
      <w:tr w:rsidR="005E515C">
        <w:trPr>
          <w:trHeight w:val="1423"/>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top w:val="single" w:sz="4" w:space="0" w:color="000000"/>
              <w:left w:val="single" w:sz="4" w:space="0" w:color="000000"/>
              <w:bottom w:val="single" w:sz="4" w:space="0" w:color="000000"/>
              <w:right w:val="single" w:sz="4" w:space="0" w:color="000000"/>
            </w:tcBorders>
            <w:vAlign w:val="center"/>
          </w:tcPr>
          <w:p w:rsidR="005E515C" w:rsidRDefault="005E515C">
            <w:pPr>
              <w:spacing w:after="0"/>
              <w:rPr>
                <w:rFonts w:ascii="宋体" w:eastAsia="宋体" w:hAnsi="宋体" w:cs="宋体"/>
              </w:rPr>
            </w:pPr>
          </w:p>
        </w:tc>
        <w:tc>
          <w:tcPr>
            <w:tcW w:w="1182" w:type="dxa"/>
            <w:tcBorders>
              <w:top w:val="single" w:sz="4" w:space="0" w:color="000000"/>
              <w:left w:val="single" w:sz="4" w:space="0" w:color="000000"/>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“三公经费”控制率（3分）</w:t>
            </w:r>
          </w:p>
        </w:tc>
        <w:tc>
          <w:tcPr>
            <w:tcW w:w="6911"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部门（单位）本年度“三公经费”实际支出数与预算安排数的比率，用以反映和考核部门（单位）对“三公经费”的实际控制程度。</w:t>
            </w:r>
          </w:p>
          <w:p w:rsidR="005E515C" w:rsidRDefault="00A11190">
            <w:pPr>
              <w:spacing w:after="0" w:line="240" w:lineRule="exact"/>
              <w:rPr>
                <w:rFonts w:ascii="宋体" w:eastAsia="宋体" w:hAnsi="宋体" w:cs="宋体"/>
              </w:rPr>
            </w:pPr>
            <w:r>
              <w:rPr>
                <w:rFonts w:ascii="宋体" w:eastAsia="宋体" w:hAnsi="宋体" w:cs="宋体" w:hint="eastAsia"/>
              </w:rPr>
              <w:t>“三公经费”控制率=（“三公经费”实际支出/“三公经费”预算安排数）×100%</w:t>
            </w:r>
          </w:p>
        </w:tc>
        <w:tc>
          <w:tcPr>
            <w:tcW w:w="3423"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目标值为≤100%；达到目标值得3分，未达到目标值的每增加0.1个百分点扣0.1分，扣完为止。</w:t>
            </w:r>
          </w:p>
        </w:tc>
        <w:tc>
          <w:tcPr>
            <w:tcW w:w="1090" w:type="dxa"/>
            <w:tcBorders>
              <w:top w:val="single" w:sz="4" w:space="0" w:color="000000"/>
              <w:left w:val="single" w:sz="4" w:space="0" w:color="auto"/>
              <w:bottom w:val="single" w:sz="4" w:space="0" w:color="000000"/>
              <w:right w:val="single" w:sz="4" w:space="0" w:color="000000"/>
            </w:tcBorders>
            <w:vAlign w:val="center"/>
          </w:tcPr>
          <w:p w:rsidR="005E515C" w:rsidRDefault="00CA5805" w:rsidP="0045627D">
            <w:pPr>
              <w:spacing w:after="0" w:line="240" w:lineRule="exact"/>
              <w:jc w:val="center"/>
              <w:rPr>
                <w:rFonts w:ascii="宋体" w:eastAsia="宋体" w:hAnsi="宋体" w:cs="宋体"/>
              </w:rPr>
            </w:pPr>
            <w:r>
              <w:rPr>
                <w:rFonts w:ascii="宋体" w:eastAsia="宋体" w:hAnsi="宋体" w:cs="宋体" w:hint="eastAsia"/>
              </w:rPr>
              <w:t>3</w:t>
            </w:r>
          </w:p>
        </w:tc>
      </w:tr>
      <w:tr w:rsidR="005E515C">
        <w:trPr>
          <w:trHeight w:val="1361"/>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top w:val="single" w:sz="4" w:space="0" w:color="000000"/>
              <w:left w:val="single" w:sz="4" w:space="0" w:color="000000"/>
              <w:bottom w:val="single" w:sz="4" w:space="0" w:color="000000"/>
              <w:right w:val="single" w:sz="4" w:space="0" w:color="000000"/>
            </w:tcBorders>
            <w:vAlign w:val="center"/>
          </w:tcPr>
          <w:p w:rsidR="005E515C" w:rsidRDefault="005E515C">
            <w:pPr>
              <w:spacing w:after="0"/>
              <w:rPr>
                <w:rFonts w:ascii="宋体" w:eastAsia="宋体" w:hAnsi="宋体" w:cs="宋体"/>
              </w:rPr>
            </w:pPr>
          </w:p>
        </w:tc>
        <w:tc>
          <w:tcPr>
            <w:tcW w:w="1182" w:type="dxa"/>
            <w:tcBorders>
              <w:top w:val="single" w:sz="4" w:space="0" w:color="000000"/>
              <w:left w:val="single" w:sz="4" w:space="0" w:color="000000"/>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政府采购执行率（3分）</w:t>
            </w:r>
          </w:p>
        </w:tc>
        <w:tc>
          <w:tcPr>
            <w:tcW w:w="6911"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通过对部门本年度实际政府采购预算项目个数与政府采购预算项目个数的比较，反映和评价部门政府采购预算执行情况。</w:t>
            </w:r>
          </w:p>
          <w:p w:rsidR="005E515C" w:rsidRDefault="00A11190">
            <w:pPr>
              <w:spacing w:after="0" w:line="240" w:lineRule="exact"/>
              <w:rPr>
                <w:rFonts w:ascii="宋体" w:eastAsia="宋体" w:hAnsi="宋体" w:cs="宋体"/>
              </w:rPr>
            </w:pPr>
            <w:r>
              <w:rPr>
                <w:rFonts w:ascii="宋体" w:eastAsia="宋体" w:hAnsi="宋体" w:cs="宋体" w:hint="eastAsia"/>
              </w:rPr>
              <w:t>政府采购执行率=（实际政府采购预算项目个数/政府采购预算项目个数）×100%。</w:t>
            </w:r>
          </w:p>
          <w:p w:rsidR="005E515C" w:rsidRDefault="00A11190">
            <w:pPr>
              <w:spacing w:after="0" w:line="240" w:lineRule="exact"/>
              <w:rPr>
                <w:rFonts w:ascii="宋体" w:eastAsia="宋体" w:hAnsi="宋体" w:cs="宋体"/>
              </w:rPr>
            </w:pPr>
            <w:r>
              <w:rPr>
                <w:rFonts w:ascii="宋体" w:eastAsia="宋体" w:hAnsi="宋体" w:cs="宋体" w:hint="eastAsia"/>
              </w:rPr>
              <w:t>政府采购项目中非预算内安排的项目除外。</w:t>
            </w:r>
          </w:p>
        </w:tc>
        <w:tc>
          <w:tcPr>
            <w:tcW w:w="3423"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目标值为100%；以3分为上限，采用完成比率法计分：得分=政府采购执行率×3。</w:t>
            </w:r>
          </w:p>
        </w:tc>
        <w:tc>
          <w:tcPr>
            <w:tcW w:w="1090" w:type="dxa"/>
            <w:tcBorders>
              <w:top w:val="single" w:sz="4" w:space="0" w:color="000000"/>
              <w:left w:val="single" w:sz="4" w:space="0" w:color="auto"/>
              <w:bottom w:val="single" w:sz="4" w:space="0" w:color="000000"/>
              <w:right w:val="single" w:sz="4" w:space="0" w:color="000000"/>
            </w:tcBorders>
            <w:vAlign w:val="center"/>
          </w:tcPr>
          <w:p w:rsidR="005E515C" w:rsidRDefault="00577A28" w:rsidP="0045627D">
            <w:pPr>
              <w:spacing w:after="0" w:line="240" w:lineRule="exact"/>
              <w:jc w:val="center"/>
              <w:rPr>
                <w:rFonts w:ascii="宋体" w:eastAsia="宋体" w:hAnsi="宋体" w:cs="宋体"/>
              </w:rPr>
            </w:pPr>
            <w:r>
              <w:rPr>
                <w:rFonts w:ascii="宋体" w:eastAsia="宋体" w:hAnsi="宋体" w:cs="宋体" w:hint="eastAsia"/>
              </w:rPr>
              <w:t>3</w:t>
            </w:r>
          </w:p>
        </w:tc>
      </w:tr>
      <w:tr w:rsidR="005E515C">
        <w:trPr>
          <w:trHeight w:val="2274"/>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val="restart"/>
            <w:tcBorders>
              <w:top w:val="single" w:sz="4" w:space="0" w:color="000000"/>
              <w:left w:val="single" w:sz="4" w:space="0" w:color="000000"/>
              <w:right w:val="single" w:sz="4" w:space="0" w:color="000000"/>
            </w:tcBorders>
            <w:vAlign w:val="center"/>
          </w:tcPr>
          <w:p w:rsidR="005E515C" w:rsidRDefault="00A11190">
            <w:pPr>
              <w:spacing w:after="0" w:line="240" w:lineRule="exact"/>
              <w:jc w:val="center"/>
              <w:rPr>
                <w:rFonts w:ascii="宋体" w:eastAsia="宋体" w:hAnsi="宋体" w:cs="宋体"/>
              </w:rPr>
            </w:pPr>
            <w:r>
              <w:rPr>
                <w:rFonts w:ascii="宋体" w:eastAsia="宋体" w:hAnsi="宋体" w:cs="宋体" w:hint="eastAsia"/>
              </w:rPr>
              <w:t>预算管理</w:t>
            </w:r>
          </w:p>
          <w:p w:rsidR="005E515C" w:rsidRDefault="00A11190">
            <w:pPr>
              <w:spacing w:after="0" w:line="68" w:lineRule="atLeast"/>
              <w:jc w:val="center"/>
              <w:rPr>
                <w:rFonts w:ascii="宋体" w:eastAsia="宋体" w:hAnsi="宋体" w:cs="宋体"/>
              </w:rPr>
            </w:pPr>
            <w:r>
              <w:rPr>
                <w:rFonts w:ascii="宋体" w:eastAsia="宋体" w:hAnsi="宋体" w:cs="宋体" w:hint="eastAsia"/>
              </w:rPr>
              <w:t>（18分）</w:t>
            </w:r>
          </w:p>
        </w:tc>
        <w:tc>
          <w:tcPr>
            <w:tcW w:w="1182" w:type="dxa"/>
            <w:tcBorders>
              <w:top w:val="single" w:sz="4" w:space="0" w:color="000000"/>
              <w:left w:val="single" w:sz="4" w:space="0" w:color="000000"/>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管理制度健全性</w:t>
            </w:r>
          </w:p>
          <w:p w:rsidR="005E515C" w:rsidRDefault="00A11190">
            <w:pPr>
              <w:spacing w:after="0" w:line="240" w:lineRule="exact"/>
              <w:rPr>
                <w:rFonts w:ascii="宋体" w:eastAsia="宋体" w:hAnsi="宋体" w:cs="宋体"/>
              </w:rPr>
            </w:pPr>
            <w:r>
              <w:rPr>
                <w:rFonts w:ascii="宋体" w:eastAsia="宋体" w:hAnsi="宋体" w:cs="宋体" w:hint="eastAsia"/>
              </w:rPr>
              <w:t>（2分）</w:t>
            </w:r>
          </w:p>
        </w:tc>
        <w:tc>
          <w:tcPr>
            <w:tcW w:w="6911"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部门为加强预算管理，规范财务行为而制定的管理制度是否健全完整，用以反映和考核部门预算管理制度对完成主要职责或促进事业发展的保障情况。</w:t>
            </w:r>
          </w:p>
          <w:p w:rsidR="005E515C" w:rsidRDefault="00A11190">
            <w:pPr>
              <w:spacing w:after="0" w:line="240" w:lineRule="exact"/>
              <w:rPr>
                <w:rFonts w:ascii="宋体" w:eastAsia="宋体" w:hAnsi="宋体" w:cs="宋体"/>
              </w:rPr>
            </w:pPr>
            <w:r>
              <w:rPr>
                <w:rFonts w:ascii="宋体" w:eastAsia="宋体" w:hAnsi="宋体" w:cs="宋体" w:hint="eastAsia"/>
              </w:rPr>
              <w:t>评价要点：</w:t>
            </w:r>
          </w:p>
          <w:p w:rsidR="005E515C" w:rsidRDefault="00A11190">
            <w:pPr>
              <w:spacing w:after="0" w:line="240" w:lineRule="exact"/>
              <w:rPr>
                <w:rFonts w:ascii="宋体" w:eastAsia="宋体" w:hAnsi="宋体" w:cs="宋体"/>
              </w:rPr>
            </w:pPr>
            <w:r>
              <w:rPr>
                <w:rFonts w:ascii="宋体" w:eastAsia="宋体" w:hAnsi="宋体" w:cs="宋体" w:hint="eastAsia"/>
              </w:rPr>
              <w:t>1．是否已制定或具有预算资金管理办法、内部财务管理制度、会计核算制度等管理制度；</w:t>
            </w:r>
          </w:p>
          <w:p w:rsidR="005E515C" w:rsidRDefault="00A11190">
            <w:pPr>
              <w:spacing w:after="0" w:line="240" w:lineRule="exact"/>
              <w:rPr>
                <w:rFonts w:ascii="宋体" w:eastAsia="宋体" w:hAnsi="宋体" w:cs="宋体"/>
              </w:rPr>
            </w:pPr>
            <w:r>
              <w:rPr>
                <w:rFonts w:ascii="宋体" w:eastAsia="宋体" w:hAnsi="宋体" w:cs="宋体" w:hint="eastAsia"/>
              </w:rPr>
              <w:t>2.相关管理制度是否合法、合规、完整；</w:t>
            </w:r>
          </w:p>
          <w:p w:rsidR="005E515C" w:rsidRDefault="00A11190">
            <w:pPr>
              <w:spacing w:after="0" w:line="240" w:lineRule="exact"/>
              <w:rPr>
                <w:rFonts w:ascii="宋体" w:eastAsia="宋体" w:hAnsi="宋体" w:cs="宋体"/>
              </w:rPr>
            </w:pPr>
            <w:r>
              <w:rPr>
                <w:rFonts w:ascii="宋体" w:eastAsia="宋体" w:hAnsi="宋体" w:cs="宋体" w:hint="eastAsia"/>
              </w:rPr>
              <w:t>3.相关管理制度是否得到有效执行。</w:t>
            </w:r>
          </w:p>
        </w:tc>
        <w:tc>
          <w:tcPr>
            <w:tcW w:w="3423"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全部符合（2分）；</w:t>
            </w:r>
          </w:p>
          <w:p w:rsidR="005E515C" w:rsidRDefault="00A11190">
            <w:pPr>
              <w:spacing w:after="0" w:line="240" w:lineRule="exact"/>
              <w:rPr>
                <w:rFonts w:ascii="宋体" w:eastAsia="宋体" w:hAnsi="宋体" w:cs="宋体"/>
              </w:rPr>
            </w:pPr>
            <w:r>
              <w:rPr>
                <w:rFonts w:ascii="宋体" w:eastAsia="宋体" w:hAnsi="宋体" w:cs="宋体" w:hint="eastAsia"/>
              </w:rPr>
              <w:t>符合其中两项（1分）</w:t>
            </w:r>
          </w:p>
          <w:p w:rsidR="005E515C" w:rsidRDefault="00A11190">
            <w:pPr>
              <w:spacing w:after="0" w:line="240" w:lineRule="exact"/>
              <w:rPr>
                <w:rFonts w:ascii="宋体" w:eastAsia="宋体" w:hAnsi="宋体" w:cs="宋体"/>
              </w:rPr>
            </w:pPr>
            <w:r>
              <w:rPr>
                <w:rFonts w:ascii="宋体" w:eastAsia="宋体" w:hAnsi="宋体" w:cs="宋体" w:hint="eastAsia"/>
              </w:rPr>
              <w:t>符合其中一项及以下（0分）。</w:t>
            </w:r>
          </w:p>
        </w:tc>
        <w:tc>
          <w:tcPr>
            <w:tcW w:w="1090" w:type="dxa"/>
            <w:tcBorders>
              <w:top w:val="single" w:sz="4" w:space="0" w:color="000000"/>
              <w:left w:val="single" w:sz="4" w:space="0" w:color="auto"/>
              <w:bottom w:val="single" w:sz="4" w:space="0" w:color="000000"/>
              <w:right w:val="single" w:sz="4" w:space="0" w:color="000000"/>
            </w:tcBorders>
            <w:vAlign w:val="center"/>
          </w:tcPr>
          <w:p w:rsidR="005E515C" w:rsidRDefault="00CA5805" w:rsidP="0045627D">
            <w:pPr>
              <w:spacing w:after="0" w:line="240" w:lineRule="exact"/>
              <w:jc w:val="center"/>
              <w:rPr>
                <w:rFonts w:ascii="宋体" w:eastAsia="宋体" w:hAnsi="宋体" w:cs="宋体"/>
              </w:rPr>
            </w:pPr>
            <w:r>
              <w:rPr>
                <w:rFonts w:ascii="宋体" w:eastAsia="宋体" w:hAnsi="宋体" w:cs="宋体" w:hint="eastAsia"/>
              </w:rPr>
              <w:t>2</w:t>
            </w:r>
          </w:p>
        </w:tc>
      </w:tr>
      <w:tr w:rsidR="005E515C">
        <w:trPr>
          <w:trHeight w:val="2765"/>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left w:val="single" w:sz="4" w:space="0" w:color="000000"/>
              <w:right w:val="single" w:sz="4" w:space="0" w:color="000000"/>
            </w:tcBorders>
            <w:vAlign w:val="center"/>
          </w:tcPr>
          <w:p w:rsidR="005E515C" w:rsidRDefault="005E515C">
            <w:pPr>
              <w:spacing w:after="0" w:line="68" w:lineRule="atLeast"/>
              <w:rPr>
                <w:rFonts w:ascii="宋体" w:eastAsia="宋体" w:hAnsi="宋体" w:cs="宋体"/>
              </w:rPr>
            </w:pPr>
          </w:p>
        </w:tc>
        <w:tc>
          <w:tcPr>
            <w:tcW w:w="1182" w:type="dxa"/>
            <w:tcBorders>
              <w:top w:val="single" w:sz="4" w:space="0" w:color="000000"/>
              <w:left w:val="single" w:sz="4" w:space="0" w:color="000000"/>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资金使用合规性</w:t>
            </w:r>
          </w:p>
          <w:p w:rsidR="005E515C" w:rsidRDefault="00A11190">
            <w:pPr>
              <w:spacing w:after="0" w:line="68" w:lineRule="atLeast"/>
              <w:rPr>
                <w:rFonts w:ascii="宋体" w:eastAsia="宋体" w:hAnsi="宋体" w:cs="宋体"/>
              </w:rPr>
            </w:pPr>
            <w:r>
              <w:rPr>
                <w:rFonts w:ascii="宋体" w:eastAsia="宋体" w:hAnsi="宋体" w:cs="宋体" w:hint="eastAsia"/>
              </w:rPr>
              <w:t>（9分）</w:t>
            </w:r>
          </w:p>
        </w:tc>
        <w:tc>
          <w:tcPr>
            <w:tcW w:w="6911"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部门使用预算资金是否符合相关的预算财务管理制度的规定，反映和评价部门预算资金的规范运行情况。</w:t>
            </w:r>
          </w:p>
          <w:p w:rsidR="005E515C" w:rsidRDefault="00A11190">
            <w:pPr>
              <w:spacing w:after="0" w:line="240" w:lineRule="exact"/>
              <w:rPr>
                <w:rFonts w:ascii="宋体" w:eastAsia="宋体" w:hAnsi="宋体" w:cs="宋体"/>
              </w:rPr>
            </w:pPr>
            <w:r>
              <w:rPr>
                <w:rFonts w:ascii="宋体" w:eastAsia="宋体" w:hAnsi="宋体" w:cs="宋体" w:hint="eastAsia"/>
              </w:rPr>
              <w:t>评价要点：</w:t>
            </w:r>
          </w:p>
          <w:p w:rsidR="005E515C" w:rsidRDefault="00A11190">
            <w:pPr>
              <w:spacing w:after="0" w:line="240" w:lineRule="exact"/>
              <w:rPr>
                <w:rFonts w:ascii="宋体" w:eastAsia="宋体" w:hAnsi="宋体" w:cs="宋体"/>
              </w:rPr>
            </w:pPr>
            <w:r>
              <w:rPr>
                <w:rFonts w:ascii="宋体" w:eastAsia="宋体" w:hAnsi="宋体" w:cs="宋体" w:hint="eastAsia"/>
              </w:rPr>
              <w:t>1.符合国家财经法规和财务管理制度规定以及有关部门资金管理办法的规定；</w:t>
            </w:r>
          </w:p>
          <w:p w:rsidR="005E515C" w:rsidRDefault="00A11190">
            <w:pPr>
              <w:spacing w:after="0" w:line="240" w:lineRule="exact"/>
              <w:rPr>
                <w:rFonts w:ascii="宋体" w:eastAsia="宋体" w:hAnsi="宋体" w:cs="宋体"/>
              </w:rPr>
            </w:pPr>
            <w:r>
              <w:rPr>
                <w:rFonts w:ascii="宋体" w:eastAsia="宋体" w:hAnsi="宋体" w:cs="宋体" w:hint="eastAsia"/>
              </w:rPr>
              <w:t>2.资金的拨付有完整的审批过程和手续；</w:t>
            </w:r>
          </w:p>
          <w:p w:rsidR="005E515C" w:rsidRDefault="00A11190">
            <w:pPr>
              <w:spacing w:after="0" w:line="240" w:lineRule="exact"/>
              <w:rPr>
                <w:rFonts w:ascii="宋体" w:eastAsia="宋体" w:hAnsi="宋体" w:cs="宋体"/>
              </w:rPr>
            </w:pPr>
            <w:r>
              <w:rPr>
                <w:rFonts w:ascii="宋体" w:eastAsia="宋体" w:hAnsi="宋体" w:cs="宋体" w:hint="eastAsia"/>
              </w:rPr>
              <w:t>3.项目的重大开支经过评估论证；</w:t>
            </w:r>
          </w:p>
          <w:p w:rsidR="005E515C" w:rsidRDefault="00A11190">
            <w:pPr>
              <w:spacing w:after="0" w:line="240" w:lineRule="exact"/>
              <w:rPr>
                <w:rFonts w:ascii="宋体" w:eastAsia="宋体" w:hAnsi="宋体" w:cs="宋体"/>
              </w:rPr>
            </w:pPr>
            <w:r>
              <w:rPr>
                <w:rFonts w:ascii="宋体" w:eastAsia="宋体" w:hAnsi="宋体" w:cs="宋体" w:hint="eastAsia"/>
              </w:rPr>
              <w:t>4.符合部门预算批复的用途；</w:t>
            </w:r>
          </w:p>
          <w:p w:rsidR="005E515C" w:rsidRDefault="00A11190">
            <w:pPr>
              <w:spacing w:after="0" w:line="240" w:lineRule="exact"/>
              <w:rPr>
                <w:rFonts w:ascii="宋体" w:eastAsia="宋体" w:hAnsi="宋体" w:cs="宋体"/>
              </w:rPr>
            </w:pPr>
            <w:r>
              <w:rPr>
                <w:rFonts w:ascii="宋体" w:eastAsia="宋体" w:hAnsi="宋体" w:cs="宋体" w:hint="eastAsia"/>
              </w:rPr>
              <w:t>5.不存在截留情况；6.不存在挤占情况；</w:t>
            </w:r>
          </w:p>
          <w:p w:rsidR="005E515C" w:rsidRDefault="00A11190">
            <w:pPr>
              <w:spacing w:after="0" w:line="240" w:lineRule="exact"/>
              <w:rPr>
                <w:rFonts w:ascii="宋体" w:eastAsia="宋体" w:hAnsi="宋体" w:cs="宋体"/>
              </w:rPr>
            </w:pPr>
            <w:r>
              <w:rPr>
                <w:rFonts w:ascii="宋体" w:eastAsia="宋体" w:hAnsi="宋体" w:cs="宋体" w:hint="eastAsia"/>
              </w:rPr>
              <w:t>7.不存在挪用情况；8.不存在虚列支出情况。</w:t>
            </w:r>
          </w:p>
        </w:tc>
        <w:tc>
          <w:tcPr>
            <w:tcW w:w="3423"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全部符合（9分）；</w:t>
            </w:r>
          </w:p>
          <w:p w:rsidR="005E515C" w:rsidRDefault="00A11190">
            <w:pPr>
              <w:spacing w:after="0" w:line="240" w:lineRule="exact"/>
              <w:rPr>
                <w:rFonts w:ascii="宋体" w:eastAsia="宋体" w:hAnsi="宋体" w:cs="宋体"/>
              </w:rPr>
            </w:pPr>
            <w:r>
              <w:rPr>
                <w:rFonts w:ascii="宋体" w:eastAsia="宋体" w:hAnsi="宋体" w:cs="宋体" w:hint="eastAsia"/>
              </w:rPr>
              <w:t>符合其中七项（8分）；</w:t>
            </w:r>
          </w:p>
          <w:p w:rsidR="005E515C" w:rsidRDefault="00A11190">
            <w:pPr>
              <w:spacing w:after="0" w:line="240" w:lineRule="exact"/>
              <w:rPr>
                <w:rFonts w:ascii="宋体" w:eastAsia="宋体" w:hAnsi="宋体" w:cs="宋体"/>
              </w:rPr>
            </w:pPr>
            <w:r>
              <w:rPr>
                <w:rFonts w:ascii="宋体" w:eastAsia="宋体" w:hAnsi="宋体" w:cs="宋体" w:hint="eastAsia"/>
              </w:rPr>
              <w:t>符合其中六项（5分）；</w:t>
            </w:r>
          </w:p>
          <w:p w:rsidR="005E515C" w:rsidRDefault="00A11190">
            <w:pPr>
              <w:spacing w:after="0" w:line="240" w:lineRule="exact"/>
              <w:rPr>
                <w:rFonts w:ascii="宋体" w:eastAsia="宋体" w:hAnsi="宋体" w:cs="宋体"/>
              </w:rPr>
            </w:pPr>
            <w:r>
              <w:rPr>
                <w:rFonts w:ascii="宋体" w:eastAsia="宋体" w:hAnsi="宋体" w:cs="宋体" w:hint="eastAsia"/>
              </w:rPr>
              <w:t>符合其中五项（3分）；</w:t>
            </w:r>
          </w:p>
          <w:p w:rsidR="005E515C" w:rsidRDefault="00A11190">
            <w:pPr>
              <w:spacing w:after="0" w:line="68" w:lineRule="atLeast"/>
              <w:rPr>
                <w:rFonts w:ascii="宋体" w:eastAsia="宋体" w:hAnsi="宋体" w:cs="宋体"/>
              </w:rPr>
            </w:pPr>
            <w:r>
              <w:rPr>
                <w:rFonts w:ascii="宋体" w:eastAsia="宋体" w:hAnsi="宋体" w:cs="宋体" w:hint="eastAsia"/>
              </w:rPr>
              <w:t>符合其中四项及以下（0分）。</w:t>
            </w:r>
          </w:p>
        </w:tc>
        <w:tc>
          <w:tcPr>
            <w:tcW w:w="1090" w:type="dxa"/>
            <w:tcBorders>
              <w:top w:val="single" w:sz="4" w:space="0" w:color="000000"/>
              <w:left w:val="single" w:sz="4" w:space="0" w:color="auto"/>
              <w:bottom w:val="single" w:sz="4" w:space="0" w:color="000000"/>
              <w:right w:val="single" w:sz="4" w:space="0" w:color="000000"/>
            </w:tcBorders>
            <w:vAlign w:val="center"/>
          </w:tcPr>
          <w:p w:rsidR="005E515C" w:rsidRDefault="00CA5805" w:rsidP="0045627D">
            <w:pPr>
              <w:spacing w:after="0" w:line="68" w:lineRule="atLeast"/>
              <w:jc w:val="center"/>
              <w:rPr>
                <w:rFonts w:ascii="宋体" w:eastAsia="宋体" w:hAnsi="宋体" w:cs="宋体"/>
              </w:rPr>
            </w:pPr>
            <w:r>
              <w:rPr>
                <w:rFonts w:ascii="宋体" w:eastAsia="宋体" w:hAnsi="宋体" w:cs="宋体" w:hint="eastAsia"/>
              </w:rPr>
              <w:t>9</w:t>
            </w:r>
          </w:p>
        </w:tc>
      </w:tr>
      <w:tr w:rsidR="005E515C">
        <w:trPr>
          <w:trHeight w:val="2163"/>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1182" w:type="dxa"/>
            <w:tcBorders>
              <w:top w:val="single" w:sz="4" w:space="0" w:color="000000"/>
              <w:left w:val="single" w:sz="4" w:space="0" w:color="000000"/>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预决算信息公开性（3分）</w:t>
            </w:r>
          </w:p>
        </w:tc>
        <w:tc>
          <w:tcPr>
            <w:tcW w:w="6911"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部门是否按照政府信息公开有关规定公开相关预决算信息，用以反映和评价部门预决算管理的公开透明情况。</w:t>
            </w:r>
          </w:p>
          <w:p w:rsidR="005E515C" w:rsidRDefault="00A11190">
            <w:pPr>
              <w:spacing w:after="0" w:line="240" w:lineRule="exact"/>
              <w:rPr>
                <w:rFonts w:ascii="宋体" w:eastAsia="宋体" w:hAnsi="宋体" w:cs="宋体"/>
              </w:rPr>
            </w:pPr>
            <w:r>
              <w:rPr>
                <w:rFonts w:ascii="宋体" w:eastAsia="宋体" w:hAnsi="宋体" w:cs="宋体" w:hint="eastAsia"/>
              </w:rPr>
              <w:t>预决算信息是指与部门预算、执行、决算、监督、绩效等管理相关的信息。</w:t>
            </w:r>
          </w:p>
          <w:p w:rsidR="005E515C" w:rsidRDefault="00A11190">
            <w:pPr>
              <w:spacing w:after="0" w:line="240" w:lineRule="exact"/>
              <w:rPr>
                <w:rFonts w:ascii="宋体" w:eastAsia="宋体" w:hAnsi="宋体" w:cs="宋体"/>
              </w:rPr>
            </w:pPr>
            <w:r>
              <w:rPr>
                <w:rFonts w:ascii="宋体" w:eastAsia="宋体" w:hAnsi="宋体" w:cs="宋体" w:hint="eastAsia"/>
              </w:rPr>
              <w:t>评价要点：</w:t>
            </w:r>
          </w:p>
          <w:p w:rsidR="005E515C" w:rsidRDefault="00A11190">
            <w:pPr>
              <w:spacing w:after="0" w:line="240" w:lineRule="exact"/>
              <w:rPr>
                <w:rFonts w:ascii="宋体" w:eastAsia="宋体" w:hAnsi="宋体" w:cs="宋体"/>
              </w:rPr>
            </w:pPr>
            <w:r>
              <w:rPr>
                <w:rFonts w:ascii="宋体" w:eastAsia="宋体" w:hAnsi="宋体" w:cs="宋体" w:hint="eastAsia"/>
              </w:rPr>
              <w:t>1.公开预决算信息；</w:t>
            </w:r>
          </w:p>
          <w:p w:rsidR="005E515C" w:rsidRDefault="00A11190">
            <w:pPr>
              <w:spacing w:after="0" w:line="240" w:lineRule="exact"/>
              <w:rPr>
                <w:rFonts w:ascii="宋体" w:eastAsia="宋体" w:hAnsi="宋体" w:cs="宋体"/>
              </w:rPr>
            </w:pPr>
            <w:r>
              <w:rPr>
                <w:rFonts w:ascii="宋体" w:eastAsia="宋体" w:hAnsi="宋体" w:cs="宋体" w:hint="eastAsia"/>
              </w:rPr>
              <w:t>2.按规定内容公开预决算信息；</w:t>
            </w:r>
          </w:p>
          <w:p w:rsidR="005E515C" w:rsidRDefault="00A11190">
            <w:pPr>
              <w:spacing w:after="0" w:line="68" w:lineRule="atLeast"/>
              <w:rPr>
                <w:rFonts w:ascii="宋体" w:eastAsia="宋体" w:hAnsi="宋体" w:cs="宋体"/>
              </w:rPr>
            </w:pPr>
            <w:r>
              <w:rPr>
                <w:rFonts w:ascii="宋体" w:eastAsia="宋体" w:hAnsi="宋体" w:cs="宋体" w:hint="eastAsia"/>
              </w:rPr>
              <w:t>3.按规定时限公开预决算信息。</w:t>
            </w:r>
          </w:p>
        </w:tc>
        <w:tc>
          <w:tcPr>
            <w:tcW w:w="3423"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全部符合（3分）；</w:t>
            </w:r>
          </w:p>
          <w:p w:rsidR="005E515C" w:rsidRDefault="00A11190">
            <w:pPr>
              <w:spacing w:after="0" w:line="240" w:lineRule="exact"/>
              <w:rPr>
                <w:rFonts w:ascii="宋体" w:eastAsia="宋体" w:hAnsi="宋体" w:cs="宋体"/>
              </w:rPr>
            </w:pPr>
            <w:r>
              <w:rPr>
                <w:rFonts w:ascii="宋体" w:eastAsia="宋体" w:hAnsi="宋体" w:cs="宋体" w:hint="eastAsia"/>
              </w:rPr>
              <w:t>符合其中两项（2分）</w:t>
            </w:r>
          </w:p>
          <w:p w:rsidR="005E515C" w:rsidRDefault="00A11190">
            <w:pPr>
              <w:spacing w:after="0" w:line="68" w:lineRule="atLeast"/>
              <w:rPr>
                <w:rFonts w:ascii="宋体" w:eastAsia="宋体" w:hAnsi="宋体" w:cs="宋体"/>
              </w:rPr>
            </w:pPr>
            <w:r>
              <w:rPr>
                <w:rFonts w:ascii="宋体" w:eastAsia="宋体" w:hAnsi="宋体" w:cs="宋体" w:hint="eastAsia"/>
              </w:rPr>
              <w:t>符合其中一项及以下（0分）。</w:t>
            </w:r>
          </w:p>
        </w:tc>
        <w:tc>
          <w:tcPr>
            <w:tcW w:w="1090" w:type="dxa"/>
            <w:tcBorders>
              <w:top w:val="single" w:sz="4" w:space="0" w:color="000000"/>
              <w:left w:val="single" w:sz="4" w:space="0" w:color="auto"/>
              <w:bottom w:val="single" w:sz="4" w:space="0" w:color="000000"/>
              <w:right w:val="single" w:sz="4" w:space="0" w:color="000000"/>
            </w:tcBorders>
            <w:vAlign w:val="center"/>
          </w:tcPr>
          <w:p w:rsidR="005E515C" w:rsidRDefault="00CA5805" w:rsidP="0045627D">
            <w:pPr>
              <w:spacing w:after="0" w:line="68" w:lineRule="atLeast"/>
              <w:jc w:val="center"/>
              <w:rPr>
                <w:rFonts w:ascii="宋体" w:eastAsia="宋体" w:hAnsi="宋体" w:cs="宋体"/>
              </w:rPr>
            </w:pPr>
            <w:r>
              <w:rPr>
                <w:rFonts w:ascii="宋体" w:eastAsia="宋体" w:hAnsi="宋体" w:cs="宋体" w:hint="eastAsia"/>
              </w:rPr>
              <w:t>3</w:t>
            </w:r>
          </w:p>
        </w:tc>
      </w:tr>
      <w:tr w:rsidR="005E515C">
        <w:trPr>
          <w:trHeight w:val="1974"/>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left w:val="single" w:sz="4" w:space="0" w:color="000000"/>
              <w:bottom w:val="single" w:sz="4" w:space="0" w:color="000000"/>
              <w:right w:val="single" w:sz="4" w:space="0" w:color="000000"/>
            </w:tcBorders>
            <w:vAlign w:val="center"/>
          </w:tcPr>
          <w:p w:rsidR="005E515C" w:rsidRDefault="005E515C">
            <w:pPr>
              <w:spacing w:after="0"/>
              <w:rPr>
                <w:rFonts w:ascii="宋体" w:eastAsia="宋体" w:hAnsi="宋体" w:cs="宋体"/>
              </w:rPr>
            </w:pPr>
          </w:p>
        </w:tc>
        <w:tc>
          <w:tcPr>
            <w:tcW w:w="1182" w:type="dxa"/>
            <w:tcBorders>
              <w:top w:val="single" w:sz="4" w:space="0" w:color="000000"/>
              <w:left w:val="single" w:sz="4" w:space="0" w:color="000000"/>
              <w:bottom w:val="single" w:sz="4" w:space="0" w:color="000000"/>
              <w:right w:val="single" w:sz="4" w:space="0" w:color="auto"/>
            </w:tcBorders>
            <w:vAlign w:val="center"/>
          </w:tcPr>
          <w:p w:rsidR="005E515C" w:rsidRDefault="00A11190">
            <w:pPr>
              <w:spacing w:after="0" w:line="68" w:lineRule="atLeast"/>
              <w:rPr>
                <w:rFonts w:ascii="宋体" w:eastAsia="宋体" w:hAnsi="宋体" w:cs="宋体"/>
                <w:color w:val="000000"/>
              </w:rPr>
            </w:pPr>
            <w:r>
              <w:rPr>
                <w:rFonts w:ascii="宋体" w:eastAsia="宋体" w:hAnsi="宋体" w:cs="宋体" w:hint="eastAsia"/>
                <w:color w:val="000000"/>
              </w:rPr>
              <w:t>基础信息完善性</w:t>
            </w:r>
          </w:p>
          <w:p w:rsidR="005E515C" w:rsidRDefault="00A11190">
            <w:pPr>
              <w:spacing w:after="0" w:line="68" w:lineRule="atLeast"/>
              <w:rPr>
                <w:rFonts w:ascii="宋体" w:eastAsia="宋体" w:hAnsi="宋体" w:cs="宋体"/>
              </w:rPr>
            </w:pPr>
            <w:r>
              <w:rPr>
                <w:rFonts w:ascii="宋体" w:eastAsia="宋体" w:hAnsi="宋体" w:cs="宋体" w:hint="eastAsia"/>
              </w:rPr>
              <w:t>（4分）</w:t>
            </w:r>
          </w:p>
        </w:tc>
        <w:tc>
          <w:tcPr>
            <w:tcW w:w="6911"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部门基础信息是否完善，用以反映和评价基础信息对预算管理工作的支撑情况。</w:t>
            </w:r>
          </w:p>
          <w:p w:rsidR="005E515C" w:rsidRDefault="00A11190">
            <w:pPr>
              <w:spacing w:after="0" w:line="240" w:lineRule="exact"/>
              <w:rPr>
                <w:rFonts w:ascii="宋体" w:eastAsia="宋体" w:hAnsi="宋体" w:cs="宋体"/>
              </w:rPr>
            </w:pPr>
            <w:r>
              <w:rPr>
                <w:rFonts w:ascii="宋体" w:eastAsia="宋体" w:hAnsi="宋体" w:cs="宋体" w:hint="eastAsia"/>
              </w:rPr>
              <w:t>评价要点：</w:t>
            </w:r>
          </w:p>
          <w:p w:rsidR="005E515C" w:rsidRDefault="00A11190">
            <w:pPr>
              <w:spacing w:after="0" w:line="240" w:lineRule="exact"/>
              <w:rPr>
                <w:rFonts w:ascii="宋体" w:eastAsia="宋体" w:hAnsi="宋体" w:cs="宋体"/>
              </w:rPr>
            </w:pPr>
            <w:r>
              <w:rPr>
                <w:rFonts w:ascii="宋体" w:eastAsia="宋体" w:hAnsi="宋体" w:cs="宋体" w:hint="eastAsia"/>
              </w:rPr>
              <w:t>1.基本财务管理制度健全；</w:t>
            </w:r>
          </w:p>
          <w:p w:rsidR="005E515C" w:rsidRDefault="00A11190">
            <w:pPr>
              <w:spacing w:after="0" w:line="240" w:lineRule="exact"/>
              <w:rPr>
                <w:rFonts w:ascii="宋体" w:eastAsia="宋体" w:hAnsi="宋体" w:cs="宋体"/>
              </w:rPr>
            </w:pPr>
            <w:r>
              <w:rPr>
                <w:rFonts w:ascii="宋体" w:eastAsia="宋体" w:hAnsi="宋体" w:cs="宋体" w:hint="eastAsia"/>
              </w:rPr>
              <w:t>2.基础数据信息和会计信息资料真实；</w:t>
            </w:r>
          </w:p>
          <w:p w:rsidR="005E515C" w:rsidRDefault="00A11190">
            <w:pPr>
              <w:spacing w:after="0" w:line="240" w:lineRule="exact"/>
              <w:rPr>
                <w:rFonts w:ascii="宋体" w:eastAsia="宋体" w:hAnsi="宋体" w:cs="宋体"/>
              </w:rPr>
            </w:pPr>
            <w:r>
              <w:rPr>
                <w:rFonts w:ascii="宋体" w:eastAsia="宋体" w:hAnsi="宋体" w:cs="宋体" w:hint="eastAsia"/>
              </w:rPr>
              <w:t>3.基础数据信息和会计信息资料完整；</w:t>
            </w:r>
          </w:p>
          <w:p w:rsidR="005E515C" w:rsidRDefault="00A11190">
            <w:pPr>
              <w:spacing w:after="0" w:line="68" w:lineRule="atLeast"/>
              <w:rPr>
                <w:rFonts w:ascii="宋体" w:eastAsia="宋体" w:hAnsi="宋体" w:cs="宋体"/>
              </w:rPr>
            </w:pPr>
            <w:r>
              <w:rPr>
                <w:rFonts w:ascii="宋体" w:eastAsia="宋体" w:hAnsi="宋体" w:cs="宋体" w:hint="eastAsia"/>
              </w:rPr>
              <w:t>4.基础数据信息和会计信息资料准确。</w:t>
            </w:r>
          </w:p>
        </w:tc>
        <w:tc>
          <w:tcPr>
            <w:tcW w:w="3423"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符合全部四项（4分）；</w:t>
            </w:r>
          </w:p>
          <w:p w:rsidR="005E515C" w:rsidRDefault="00A11190">
            <w:pPr>
              <w:spacing w:after="0" w:line="240" w:lineRule="exact"/>
              <w:rPr>
                <w:rFonts w:ascii="宋体" w:eastAsia="宋体" w:hAnsi="宋体" w:cs="宋体"/>
              </w:rPr>
            </w:pPr>
            <w:r>
              <w:rPr>
                <w:rFonts w:ascii="宋体" w:eastAsia="宋体" w:hAnsi="宋体" w:cs="宋体" w:hint="eastAsia"/>
              </w:rPr>
              <w:t>符合其中三项（2分）；</w:t>
            </w:r>
          </w:p>
          <w:p w:rsidR="005E515C" w:rsidRDefault="00A11190">
            <w:pPr>
              <w:spacing w:after="0" w:line="240" w:lineRule="exact"/>
              <w:rPr>
                <w:rFonts w:ascii="宋体" w:eastAsia="宋体" w:hAnsi="宋体" w:cs="宋体"/>
              </w:rPr>
            </w:pPr>
            <w:r>
              <w:rPr>
                <w:rFonts w:ascii="宋体" w:eastAsia="宋体" w:hAnsi="宋体" w:cs="宋体" w:hint="eastAsia"/>
              </w:rPr>
              <w:t>符合其中两项（1分）；</w:t>
            </w:r>
          </w:p>
          <w:p w:rsidR="005E515C" w:rsidRDefault="00A11190">
            <w:pPr>
              <w:spacing w:after="0" w:line="68" w:lineRule="atLeast"/>
              <w:rPr>
                <w:rFonts w:ascii="宋体" w:eastAsia="宋体" w:hAnsi="宋体" w:cs="宋体"/>
              </w:rPr>
            </w:pPr>
            <w:r>
              <w:rPr>
                <w:rFonts w:ascii="宋体" w:eastAsia="宋体" w:hAnsi="宋体" w:cs="宋体" w:hint="eastAsia"/>
              </w:rPr>
              <w:t>符合其中一项及以下（0分）。</w:t>
            </w:r>
          </w:p>
        </w:tc>
        <w:tc>
          <w:tcPr>
            <w:tcW w:w="1090" w:type="dxa"/>
            <w:tcBorders>
              <w:top w:val="single" w:sz="4" w:space="0" w:color="000000"/>
              <w:left w:val="single" w:sz="4" w:space="0" w:color="auto"/>
              <w:bottom w:val="single" w:sz="4" w:space="0" w:color="000000"/>
              <w:right w:val="single" w:sz="4" w:space="0" w:color="000000"/>
            </w:tcBorders>
            <w:vAlign w:val="center"/>
          </w:tcPr>
          <w:p w:rsidR="005E515C" w:rsidRDefault="00CA5805" w:rsidP="0045627D">
            <w:pPr>
              <w:spacing w:after="0" w:line="68" w:lineRule="atLeast"/>
              <w:jc w:val="center"/>
              <w:rPr>
                <w:rFonts w:ascii="宋体" w:eastAsia="宋体" w:hAnsi="宋体" w:cs="宋体"/>
              </w:rPr>
            </w:pPr>
            <w:r>
              <w:rPr>
                <w:rFonts w:ascii="宋体" w:eastAsia="宋体" w:hAnsi="宋体" w:cs="宋体" w:hint="eastAsia"/>
              </w:rPr>
              <w:t>2</w:t>
            </w:r>
          </w:p>
        </w:tc>
      </w:tr>
      <w:tr w:rsidR="005E515C">
        <w:trPr>
          <w:trHeight w:val="1915"/>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val="restart"/>
            <w:tcBorders>
              <w:left w:val="single" w:sz="4" w:space="0" w:color="000000"/>
              <w:right w:val="single" w:sz="4" w:space="0" w:color="000000"/>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资产管理（8分）</w:t>
            </w:r>
          </w:p>
        </w:tc>
        <w:tc>
          <w:tcPr>
            <w:tcW w:w="1182" w:type="dxa"/>
            <w:tcBorders>
              <w:top w:val="single" w:sz="4" w:space="0" w:color="000000"/>
              <w:left w:val="single" w:sz="4" w:space="0" w:color="000000"/>
              <w:bottom w:val="single" w:sz="4" w:space="0" w:color="000000"/>
              <w:right w:val="single" w:sz="4" w:space="0" w:color="auto"/>
            </w:tcBorders>
            <w:vAlign w:val="center"/>
          </w:tcPr>
          <w:p w:rsidR="005E515C" w:rsidRDefault="00A11190">
            <w:pPr>
              <w:spacing w:after="0" w:line="68" w:lineRule="atLeast"/>
              <w:rPr>
                <w:rFonts w:ascii="宋体" w:eastAsia="宋体" w:hAnsi="宋体" w:cs="宋体"/>
                <w:color w:val="000000"/>
              </w:rPr>
            </w:pPr>
            <w:r>
              <w:rPr>
                <w:rFonts w:ascii="宋体" w:eastAsia="宋体" w:hAnsi="宋体" w:cs="宋体" w:hint="eastAsia"/>
                <w:color w:val="000000"/>
              </w:rPr>
              <w:t>管理制度健全性</w:t>
            </w:r>
          </w:p>
          <w:p w:rsidR="005E515C" w:rsidRDefault="00A11190">
            <w:pPr>
              <w:spacing w:after="0" w:line="68" w:lineRule="atLeast"/>
              <w:rPr>
                <w:rFonts w:ascii="宋体" w:eastAsia="宋体" w:hAnsi="宋体" w:cs="宋体"/>
                <w:color w:val="000000"/>
              </w:rPr>
            </w:pPr>
            <w:r>
              <w:rPr>
                <w:rFonts w:ascii="宋体" w:eastAsia="宋体" w:hAnsi="宋体" w:cs="宋体" w:hint="eastAsia"/>
                <w:color w:val="000000"/>
              </w:rPr>
              <w:t>（2分）</w:t>
            </w:r>
          </w:p>
        </w:tc>
        <w:tc>
          <w:tcPr>
            <w:tcW w:w="6911"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部门为加强资产管理、规范资产管理行为而制定的管理制度是否健全完整，用以反映和考核部门资产管理制度对完成主要职责或促进社会发展的保障情况。</w:t>
            </w:r>
          </w:p>
          <w:p w:rsidR="005E515C" w:rsidRDefault="00A11190">
            <w:pPr>
              <w:spacing w:after="0" w:line="240" w:lineRule="exact"/>
              <w:rPr>
                <w:rFonts w:ascii="宋体" w:eastAsia="宋体" w:hAnsi="宋体" w:cs="宋体"/>
              </w:rPr>
            </w:pPr>
            <w:r>
              <w:rPr>
                <w:rFonts w:ascii="宋体" w:eastAsia="宋体" w:hAnsi="宋体" w:cs="宋体" w:hint="eastAsia"/>
              </w:rPr>
              <w:t>评价要点：</w:t>
            </w:r>
          </w:p>
          <w:p w:rsidR="005E515C" w:rsidRDefault="00A11190">
            <w:pPr>
              <w:spacing w:after="0" w:line="240" w:lineRule="exact"/>
              <w:rPr>
                <w:rFonts w:ascii="宋体" w:eastAsia="宋体" w:hAnsi="宋体" w:cs="宋体"/>
              </w:rPr>
            </w:pPr>
            <w:r>
              <w:rPr>
                <w:rFonts w:ascii="宋体" w:eastAsia="宋体" w:hAnsi="宋体" w:cs="宋体" w:hint="eastAsia"/>
              </w:rPr>
              <w:t>1.是否已制定或具有资产管理制度；</w:t>
            </w:r>
          </w:p>
          <w:p w:rsidR="005E515C" w:rsidRDefault="00A11190">
            <w:pPr>
              <w:spacing w:after="0" w:line="240" w:lineRule="exact"/>
              <w:rPr>
                <w:rFonts w:ascii="宋体" w:eastAsia="宋体" w:hAnsi="宋体" w:cs="宋体"/>
              </w:rPr>
            </w:pPr>
            <w:r>
              <w:rPr>
                <w:rFonts w:ascii="宋体" w:eastAsia="宋体" w:hAnsi="宋体" w:cs="宋体" w:hint="eastAsia"/>
              </w:rPr>
              <w:t>2.相关资金管理制度是否合法、合规、完整；</w:t>
            </w:r>
          </w:p>
          <w:p w:rsidR="005E515C" w:rsidRDefault="00A11190">
            <w:pPr>
              <w:spacing w:after="0" w:line="240" w:lineRule="exact"/>
              <w:rPr>
                <w:rFonts w:ascii="宋体" w:eastAsia="宋体" w:hAnsi="宋体" w:cs="宋体"/>
              </w:rPr>
            </w:pPr>
            <w:r>
              <w:rPr>
                <w:rFonts w:ascii="宋体" w:eastAsia="宋体" w:hAnsi="宋体" w:cs="宋体" w:hint="eastAsia"/>
              </w:rPr>
              <w:t>3.相关资产管理制度是否得到有效执行。</w:t>
            </w:r>
          </w:p>
        </w:tc>
        <w:tc>
          <w:tcPr>
            <w:tcW w:w="3423"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全部符合（2分）；</w:t>
            </w:r>
          </w:p>
          <w:p w:rsidR="005E515C" w:rsidRDefault="00A11190">
            <w:pPr>
              <w:spacing w:after="0" w:line="240" w:lineRule="exact"/>
              <w:rPr>
                <w:rFonts w:ascii="宋体" w:eastAsia="宋体" w:hAnsi="宋体" w:cs="宋体"/>
              </w:rPr>
            </w:pPr>
            <w:r>
              <w:rPr>
                <w:rFonts w:ascii="宋体" w:eastAsia="宋体" w:hAnsi="宋体" w:cs="宋体" w:hint="eastAsia"/>
              </w:rPr>
              <w:t>符合其中两项（1分）</w:t>
            </w:r>
          </w:p>
          <w:p w:rsidR="005E515C" w:rsidRDefault="00A11190">
            <w:pPr>
              <w:spacing w:after="0" w:line="240" w:lineRule="exact"/>
              <w:rPr>
                <w:rFonts w:ascii="宋体" w:eastAsia="宋体" w:hAnsi="宋体" w:cs="宋体"/>
              </w:rPr>
            </w:pPr>
            <w:r>
              <w:rPr>
                <w:rFonts w:ascii="宋体" w:eastAsia="宋体" w:hAnsi="宋体" w:cs="宋体" w:hint="eastAsia"/>
              </w:rPr>
              <w:t>符合其中一项及以下（0分）。</w:t>
            </w:r>
          </w:p>
        </w:tc>
        <w:tc>
          <w:tcPr>
            <w:tcW w:w="1090" w:type="dxa"/>
            <w:tcBorders>
              <w:top w:val="single" w:sz="4" w:space="0" w:color="000000"/>
              <w:left w:val="single" w:sz="4" w:space="0" w:color="auto"/>
              <w:bottom w:val="single" w:sz="4" w:space="0" w:color="000000"/>
              <w:right w:val="single" w:sz="4" w:space="0" w:color="000000"/>
            </w:tcBorders>
            <w:vAlign w:val="center"/>
          </w:tcPr>
          <w:p w:rsidR="005E515C" w:rsidRDefault="004B36A7" w:rsidP="0045627D">
            <w:pPr>
              <w:spacing w:after="0" w:line="68" w:lineRule="atLeast"/>
              <w:jc w:val="center"/>
              <w:rPr>
                <w:rFonts w:ascii="宋体" w:eastAsia="宋体" w:hAnsi="宋体" w:cs="宋体"/>
              </w:rPr>
            </w:pPr>
            <w:r>
              <w:rPr>
                <w:rFonts w:ascii="宋体" w:eastAsia="宋体" w:hAnsi="宋体" w:cs="宋体" w:hint="eastAsia"/>
              </w:rPr>
              <w:t>2</w:t>
            </w:r>
          </w:p>
        </w:tc>
      </w:tr>
      <w:tr w:rsidR="005E515C">
        <w:trPr>
          <w:trHeight w:val="1786"/>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left w:val="single" w:sz="4" w:space="0" w:color="000000"/>
              <w:right w:val="single" w:sz="4" w:space="0" w:color="000000"/>
            </w:tcBorders>
            <w:vAlign w:val="center"/>
          </w:tcPr>
          <w:p w:rsidR="005E515C" w:rsidRDefault="005E515C">
            <w:pPr>
              <w:spacing w:after="0" w:line="68" w:lineRule="atLeast"/>
              <w:rPr>
                <w:rFonts w:ascii="宋体" w:eastAsia="宋体" w:hAnsi="宋体" w:cs="宋体"/>
              </w:rPr>
            </w:pPr>
          </w:p>
        </w:tc>
        <w:tc>
          <w:tcPr>
            <w:tcW w:w="1182" w:type="dxa"/>
            <w:tcBorders>
              <w:top w:val="single" w:sz="4" w:space="0" w:color="auto"/>
              <w:left w:val="single" w:sz="4" w:space="0" w:color="000000"/>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资产管理完全性</w:t>
            </w:r>
          </w:p>
          <w:p w:rsidR="005E515C" w:rsidRDefault="00A11190">
            <w:pPr>
              <w:spacing w:after="0" w:line="68" w:lineRule="atLeast"/>
              <w:rPr>
                <w:rFonts w:ascii="宋体" w:eastAsia="宋体" w:hAnsi="宋体" w:cs="宋体"/>
              </w:rPr>
            </w:pPr>
            <w:r>
              <w:rPr>
                <w:rFonts w:ascii="宋体" w:eastAsia="宋体" w:hAnsi="宋体" w:cs="宋体" w:hint="eastAsia"/>
              </w:rPr>
              <w:t>（3分）</w:t>
            </w:r>
          </w:p>
        </w:tc>
        <w:tc>
          <w:tcPr>
            <w:tcW w:w="6911" w:type="dxa"/>
            <w:tcBorders>
              <w:top w:val="single" w:sz="4" w:space="0" w:color="auto"/>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部门的资产是否保存完整、使用合规、收入及时足额上缴，用以反映和评价部门资产运行情况。</w:t>
            </w:r>
          </w:p>
          <w:p w:rsidR="005E515C" w:rsidRDefault="00A11190">
            <w:pPr>
              <w:spacing w:after="0" w:line="240" w:lineRule="exact"/>
              <w:rPr>
                <w:rFonts w:ascii="宋体" w:eastAsia="宋体" w:hAnsi="宋体" w:cs="宋体"/>
              </w:rPr>
            </w:pPr>
            <w:r>
              <w:rPr>
                <w:rFonts w:ascii="宋体" w:eastAsia="宋体" w:hAnsi="宋体" w:cs="宋体" w:hint="eastAsia"/>
              </w:rPr>
              <w:t>评价要点：</w:t>
            </w:r>
          </w:p>
          <w:p w:rsidR="005E515C" w:rsidRDefault="00A11190">
            <w:pPr>
              <w:spacing w:after="0" w:line="240" w:lineRule="exact"/>
              <w:rPr>
                <w:rFonts w:ascii="宋体" w:eastAsia="宋体" w:hAnsi="宋体" w:cs="宋体"/>
              </w:rPr>
            </w:pPr>
            <w:r>
              <w:rPr>
                <w:rFonts w:ascii="宋体" w:eastAsia="宋体" w:hAnsi="宋体" w:cs="宋体" w:hint="eastAsia"/>
              </w:rPr>
              <w:t>1.资产保存完整；</w:t>
            </w:r>
          </w:p>
          <w:p w:rsidR="005E515C" w:rsidRDefault="00A11190">
            <w:pPr>
              <w:spacing w:after="0" w:line="240" w:lineRule="exact"/>
              <w:rPr>
                <w:rFonts w:ascii="宋体" w:eastAsia="宋体" w:hAnsi="宋体" w:cs="宋体"/>
              </w:rPr>
            </w:pPr>
            <w:r>
              <w:rPr>
                <w:rFonts w:ascii="宋体" w:eastAsia="宋体" w:hAnsi="宋体" w:cs="宋体" w:hint="eastAsia"/>
              </w:rPr>
              <w:t>2.资产账务管理是否合规，帐实相符；</w:t>
            </w:r>
          </w:p>
          <w:p w:rsidR="005E515C" w:rsidRDefault="00A11190">
            <w:pPr>
              <w:spacing w:after="0" w:line="68" w:lineRule="atLeast"/>
              <w:rPr>
                <w:rFonts w:ascii="宋体" w:eastAsia="宋体" w:hAnsi="宋体" w:cs="宋体"/>
              </w:rPr>
            </w:pPr>
            <w:r>
              <w:rPr>
                <w:rFonts w:ascii="宋体" w:eastAsia="宋体" w:hAnsi="宋体" w:cs="宋体" w:hint="eastAsia"/>
              </w:rPr>
              <w:t>3.资产有偿使用及处置收入及时足额上缴。</w:t>
            </w:r>
          </w:p>
        </w:tc>
        <w:tc>
          <w:tcPr>
            <w:tcW w:w="3423" w:type="dxa"/>
            <w:tcBorders>
              <w:top w:val="single" w:sz="4" w:space="0" w:color="auto"/>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符合全部三项（3分）；</w:t>
            </w:r>
          </w:p>
          <w:p w:rsidR="005E515C" w:rsidRDefault="00A11190">
            <w:pPr>
              <w:spacing w:after="0" w:line="240" w:lineRule="exact"/>
              <w:rPr>
                <w:rFonts w:ascii="宋体" w:eastAsia="宋体" w:hAnsi="宋体" w:cs="宋体"/>
              </w:rPr>
            </w:pPr>
            <w:r>
              <w:rPr>
                <w:rFonts w:ascii="宋体" w:eastAsia="宋体" w:hAnsi="宋体" w:cs="宋体" w:hint="eastAsia"/>
              </w:rPr>
              <w:t>符合其中两项（2分）；</w:t>
            </w:r>
          </w:p>
          <w:p w:rsidR="005E515C" w:rsidRDefault="00A11190">
            <w:pPr>
              <w:spacing w:after="0" w:line="240" w:lineRule="exact"/>
              <w:rPr>
                <w:rFonts w:ascii="宋体" w:eastAsia="宋体" w:hAnsi="宋体" w:cs="宋体"/>
              </w:rPr>
            </w:pPr>
            <w:r>
              <w:rPr>
                <w:rFonts w:ascii="宋体" w:eastAsia="宋体" w:hAnsi="宋体" w:cs="宋体" w:hint="eastAsia"/>
              </w:rPr>
              <w:t>符合其中一项（1分）；</w:t>
            </w:r>
          </w:p>
          <w:p w:rsidR="005E515C" w:rsidRDefault="00A11190">
            <w:pPr>
              <w:spacing w:after="0" w:line="68" w:lineRule="atLeast"/>
              <w:rPr>
                <w:rFonts w:ascii="宋体" w:eastAsia="宋体" w:hAnsi="宋体" w:cs="宋体"/>
              </w:rPr>
            </w:pPr>
            <w:r>
              <w:rPr>
                <w:rFonts w:ascii="宋体" w:eastAsia="宋体" w:hAnsi="宋体" w:cs="宋体" w:hint="eastAsia"/>
              </w:rPr>
              <w:t>符合零项（0分）。</w:t>
            </w:r>
          </w:p>
        </w:tc>
        <w:tc>
          <w:tcPr>
            <w:tcW w:w="1090" w:type="dxa"/>
            <w:tcBorders>
              <w:top w:val="single" w:sz="4" w:space="0" w:color="auto"/>
              <w:left w:val="single" w:sz="4" w:space="0" w:color="auto"/>
              <w:bottom w:val="single" w:sz="4" w:space="0" w:color="000000"/>
              <w:right w:val="single" w:sz="4" w:space="0" w:color="000000"/>
            </w:tcBorders>
            <w:vAlign w:val="center"/>
          </w:tcPr>
          <w:p w:rsidR="005E515C" w:rsidRDefault="00A02069" w:rsidP="0045627D">
            <w:pPr>
              <w:spacing w:after="0" w:line="68" w:lineRule="atLeast"/>
              <w:jc w:val="center"/>
              <w:rPr>
                <w:rFonts w:ascii="宋体" w:eastAsia="宋体" w:hAnsi="宋体" w:cs="宋体"/>
              </w:rPr>
            </w:pPr>
            <w:r>
              <w:rPr>
                <w:rFonts w:ascii="宋体" w:eastAsia="宋体" w:hAnsi="宋体" w:cs="宋体" w:hint="eastAsia"/>
              </w:rPr>
              <w:t>2</w:t>
            </w:r>
          </w:p>
        </w:tc>
      </w:tr>
      <w:tr w:rsidR="005E515C">
        <w:trPr>
          <w:trHeight w:val="1139"/>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left w:val="single" w:sz="4" w:space="0" w:color="000000"/>
              <w:bottom w:val="single" w:sz="4" w:space="0" w:color="000000"/>
              <w:right w:val="single" w:sz="4" w:space="0" w:color="000000"/>
            </w:tcBorders>
            <w:vAlign w:val="center"/>
          </w:tcPr>
          <w:p w:rsidR="005E515C" w:rsidRDefault="005E515C">
            <w:pPr>
              <w:spacing w:after="0"/>
              <w:rPr>
                <w:rFonts w:ascii="宋体" w:eastAsia="宋体" w:hAnsi="宋体" w:cs="宋体"/>
              </w:rPr>
            </w:pPr>
          </w:p>
        </w:tc>
        <w:tc>
          <w:tcPr>
            <w:tcW w:w="1182" w:type="dxa"/>
            <w:tcBorders>
              <w:top w:val="single" w:sz="4" w:space="0" w:color="auto"/>
              <w:left w:val="single" w:sz="4" w:space="0" w:color="000000"/>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固定资产利用率</w:t>
            </w:r>
          </w:p>
          <w:p w:rsidR="005E515C" w:rsidRDefault="00A11190">
            <w:pPr>
              <w:spacing w:after="0" w:line="68" w:lineRule="atLeast"/>
              <w:rPr>
                <w:rFonts w:ascii="宋体" w:eastAsia="宋体" w:hAnsi="宋体" w:cs="宋体"/>
              </w:rPr>
            </w:pPr>
            <w:r>
              <w:rPr>
                <w:rFonts w:ascii="宋体" w:eastAsia="宋体" w:hAnsi="宋体" w:cs="宋体" w:hint="eastAsia"/>
              </w:rPr>
              <w:t>（3分）</w:t>
            </w:r>
          </w:p>
        </w:tc>
        <w:tc>
          <w:tcPr>
            <w:tcW w:w="6911" w:type="dxa"/>
            <w:tcBorders>
              <w:top w:val="single" w:sz="4" w:space="0" w:color="auto"/>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部门实际在用固定资产总额与所有固定资产总额的比率，用以反映和评价部门固定资产使用效率。</w:t>
            </w:r>
          </w:p>
          <w:p w:rsidR="005E515C" w:rsidRDefault="00A11190">
            <w:pPr>
              <w:spacing w:after="0" w:line="68" w:lineRule="atLeast"/>
              <w:rPr>
                <w:rFonts w:ascii="宋体" w:eastAsia="宋体" w:hAnsi="宋体" w:cs="宋体"/>
              </w:rPr>
            </w:pPr>
            <w:r>
              <w:rPr>
                <w:rFonts w:ascii="宋体" w:eastAsia="宋体" w:hAnsi="宋体" w:cs="宋体" w:hint="eastAsia"/>
              </w:rPr>
              <w:t>固定资产利用率=（实际在用固定资产总额/所有固定资产总额）×100%。</w:t>
            </w:r>
          </w:p>
        </w:tc>
        <w:tc>
          <w:tcPr>
            <w:tcW w:w="3423" w:type="dxa"/>
            <w:tcBorders>
              <w:top w:val="single" w:sz="4" w:space="0" w:color="auto"/>
              <w:left w:val="single" w:sz="4" w:space="0" w:color="auto"/>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目标值为80%；以3分为上限，采用完成比率法计分：得分=固定资产利用率/80%×100%×3，超出目标值不加分。</w:t>
            </w:r>
          </w:p>
        </w:tc>
        <w:tc>
          <w:tcPr>
            <w:tcW w:w="1090" w:type="dxa"/>
            <w:tcBorders>
              <w:top w:val="single" w:sz="4" w:space="0" w:color="auto"/>
              <w:left w:val="single" w:sz="4" w:space="0" w:color="auto"/>
              <w:bottom w:val="single" w:sz="4" w:space="0" w:color="000000"/>
              <w:right w:val="single" w:sz="4" w:space="0" w:color="000000"/>
            </w:tcBorders>
            <w:vAlign w:val="center"/>
          </w:tcPr>
          <w:p w:rsidR="005E515C" w:rsidRDefault="00CA5805" w:rsidP="0045627D">
            <w:pPr>
              <w:spacing w:after="0" w:line="68" w:lineRule="atLeast"/>
              <w:jc w:val="center"/>
              <w:rPr>
                <w:rFonts w:ascii="宋体" w:eastAsia="宋体" w:hAnsi="宋体" w:cs="宋体"/>
              </w:rPr>
            </w:pPr>
            <w:r>
              <w:rPr>
                <w:rFonts w:ascii="宋体" w:eastAsia="宋体" w:hAnsi="宋体" w:cs="宋体" w:hint="eastAsia"/>
              </w:rPr>
              <w:t>2</w:t>
            </w:r>
          </w:p>
        </w:tc>
      </w:tr>
      <w:tr w:rsidR="005E515C">
        <w:trPr>
          <w:trHeight w:val="1506"/>
          <w:jc w:val="center"/>
        </w:trPr>
        <w:tc>
          <w:tcPr>
            <w:tcW w:w="733" w:type="dxa"/>
            <w:vMerge/>
            <w:tcBorders>
              <w:left w:val="single" w:sz="4" w:space="0" w:color="000000"/>
              <w:bottom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tcBorders>
              <w:left w:val="single" w:sz="4" w:space="0" w:color="000000"/>
              <w:bottom w:val="single" w:sz="4" w:space="0" w:color="000000"/>
              <w:right w:val="single" w:sz="4" w:space="0" w:color="000000"/>
            </w:tcBorders>
            <w:vAlign w:val="center"/>
          </w:tcPr>
          <w:p w:rsidR="005E515C" w:rsidRDefault="00A11190">
            <w:pPr>
              <w:spacing w:after="0"/>
              <w:rPr>
                <w:rFonts w:ascii="宋体" w:eastAsia="宋体" w:hAnsi="宋体" w:cs="宋体"/>
              </w:rPr>
            </w:pPr>
            <w:r>
              <w:rPr>
                <w:rFonts w:ascii="宋体" w:eastAsia="宋体" w:hAnsi="宋体" w:cs="宋体" w:hint="eastAsia"/>
              </w:rPr>
              <w:t>预算绩效监控管理（2分）</w:t>
            </w:r>
          </w:p>
        </w:tc>
        <w:tc>
          <w:tcPr>
            <w:tcW w:w="1182" w:type="dxa"/>
            <w:tcBorders>
              <w:top w:val="single" w:sz="4" w:space="0" w:color="auto"/>
              <w:left w:val="single" w:sz="4" w:space="0" w:color="000000"/>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监控率（2分）</w:t>
            </w:r>
          </w:p>
        </w:tc>
        <w:tc>
          <w:tcPr>
            <w:tcW w:w="6911" w:type="dxa"/>
            <w:tcBorders>
              <w:top w:val="single" w:sz="4" w:space="0" w:color="auto"/>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部门（单位）纳入绩效监控的项目数量占实际申报绩效目标项目数量的比重，用以反映和考核部门（单位）在项目运行中实施绩效管理的水平和程度。</w:t>
            </w:r>
          </w:p>
          <w:p w:rsidR="005E515C" w:rsidRDefault="00A11190">
            <w:pPr>
              <w:spacing w:after="0" w:line="240" w:lineRule="exact"/>
              <w:rPr>
                <w:rFonts w:ascii="宋体" w:eastAsia="宋体" w:hAnsi="宋体" w:cs="宋体"/>
              </w:rPr>
            </w:pPr>
            <w:r>
              <w:rPr>
                <w:rFonts w:ascii="宋体" w:eastAsia="宋体" w:hAnsi="宋体" w:cs="宋体" w:hint="eastAsia"/>
              </w:rPr>
              <w:t>监控率=实施绩效监控项目数/实际申报绩效目标项目数×100%</w:t>
            </w:r>
          </w:p>
        </w:tc>
        <w:tc>
          <w:tcPr>
            <w:tcW w:w="3423" w:type="dxa"/>
            <w:tcBorders>
              <w:top w:val="single" w:sz="4" w:space="0" w:color="auto"/>
              <w:left w:val="single" w:sz="4" w:space="0" w:color="auto"/>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目标值为90%；以2分为上限，采用完成比率法计分：得分=监控率×2，超出目标值不加分。</w:t>
            </w:r>
          </w:p>
        </w:tc>
        <w:tc>
          <w:tcPr>
            <w:tcW w:w="1090" w:type="dxa"/>
            <w:tcBorders>
              <w:top w:val="single" w:sz="4" w:space="0" w:color="auto"/>
              <w:left w:val="single" w:sz="4" w:space="0" w:color="auto"/>
              <w:bottom w:val="single" w:sz="4" w:space="0" w:color="000000"/>
              <w:right w:val="single" w:sz="4" w:space="0" w:color="000000"/>
            </w:tcBorders>
            <w:vAlign w:val="center"/>
          </w:tcPr>
          <w:p w:rsidR="005E515C" w:rsidRDefault="00CA5805" w:rsidP="0045627D">
            <w:pPr>
              <w:spacing w:after="0" w:line="68" w:lineRule="atLeast"/>
              <w:jc w:val="center"/>
              <w:rPr>
                <w:rFonts w:ascii="宋体" w:eastAsia="宋体" w:hAnsi="宋体" w:cs="宋体"/>
              </w:rPr>
            </w:pPr>
            <w:r>
              <w:rPr>
                <w:rFonts w:ascii="宋体" w:eastAsia="宋体" w:hAnsi="宋体" w:cs="宋体" w:hint="eastAsia"/>
              </w:rPr>
              <w:t>2</w:t>
            </w:r>
          </w:p>
        </w:tc>
      </w:tr>
      <w:tr w:rsidR="005E515C">
        <w:trPr>
          <w:trHeight w:val="68"/>
          <w:jc w:val="center"/>
        </w:trPr>
        <w:tc>
          <w:tcPr>
            <w:tcW w:w="733" w:type="dxa"/>
            <w:vMerge w:val="restart"/>
            <w:tcBorders>
              <w:top w:val="single" w:sz="4" w:space="0" w:color="000000"/>
              <w:left w:val="single" w:sz="4" w:space="0" w:color="000000"/>
              <w:right w:val="single" w:sz="4" w:space="0" w:color="000000"/>
            </w:tcBorders>
            <w:vAlign w:val="center"/>
          </w:tcPr>
          <w:p w:rsidR="005E515C" w:rsidRDefault="005E515C">
            <w:pPr>
              <w:spacing w:after="0" w:line="68" w:lineRule="atLeast"/>
              <w:rPr>
                <w:rFonts w:ascii="宋体" w:eastAsia="宋体" w:hAnsi="宋体" w:cs="宋体"/>
              </w:rPr>
            </w:pPr>
          </w:p>
          <w:p w:rsidR="005E515C" w:rsidRDefault="00A11190">
            <w:pPr>
              <w:spacing w:after="0" w:line="68" w:lineRule="atLeast"/>
              <w:rPr>
                <w:rFonts w:ascii="宋体" w:eastAsia="宋体" w:hAnsi="宋体" w:cs="宋体"/>
              </w:rPr>
            </w:pPr>
            <w:r>
              <w:rPr>
                <w:rFonts w:ascii="宋体" w:eastAsia="宋体" w:hAnsi="宋体" w:cs="宋体" w:hint="eastAsia"/>
              </w:rPr>
              <w:t>产出(15分)</w:t>
            </w: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A11190">
            <w:pPr>
              <w:spacing w:after="0" w:line="68" w:lineRule="atLeast"/>
              <w:rPr>
                <w:rFonts w:ascii="宋体" w:eastAsia="宋体" w:hAnsi="宋体" w:cs="宋体"/>
              </w:rPr>
            </w:pPr>
            <w:r>
              <w:rPr>
                <w:rFonts w:ascii="宋体" w:eastAsia="宋体" w:hAnsi="宋体" w:cs="宋体" w:hint="eastAsia"/>
              </w:rPr>
              <w:t>产出(15分)</w:t>
            </w:r>
          </w:p>
        </w:tc>
        <w:tc>
          <w:tcPr>
            <w:tcW w:w="803" w:type="dxa"/>
            <w:vMerge w:val="restart"/>
            <w:tcBorders>
              <w:top w:val="single" w:sz="4" w:space="0" w:color="000000"/>
              <w:left w:val="single" w:sz="4" w:space="0" w:color="000000"/>
              <w:right w:val="single" w:sz="4" w:space="0" w:color="000000"/>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lastRenderedPageBreak/>
              <w:t>职责履行（15分）</w:t>
            </w:r>
          </w:p>
        </w:tc>
        <w:tc>
          <w:tcPr>
            <w:tcW w:w="1182" w:type="dxa"/>
            <w:tcBorders>
              <w:top w:val="single" w:sz="4" w:space="0" w:color="000000"/>
              <w:left w:val="single" w:sz="4" w:space="0" w:color="000000"/>
              <w:bottom w:val="single" w:sz="4" w:space="0" w:color="auto"/>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项目实际完成率（4分）</w:t>
            </w:r>
          </w:p>
        </w:tc>
        <w:tc>
          <w:tcPr>
            <w:tcW w:w="6911" w:type="dxa"/>
            <w:tcBorders>
              <w:top w:val="single" w:sz="4" w:space="0" w:color="000000"/>
              <w:left w:val="single" w:sz="4" w:space="0" w:color="auto"/>
              <w:bottom w:val="single" w:sz="4" w:space="0" w:color="auto"/>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部门履行职责而实际完成的项目数与计划完成的项目数的比率，用以反映和评价部门履职任务目标的实现程度。</w:t>
            </w:r>
          </w:p>
          <w:p w:rsidR="005E515C" w:rsidRDefault="00A11190">
            <w:pPr>
              <w:spacing w:after="0" w:line="68" w:lineRule="atLeast"/>
              <w:rPr>
                <w:rFonts w:ascii="宋体" w:eastAsia="宋体" w:hAnsi="宋体" w:cs="宋体"/>
              </w:rPr>
            </w:pPr>
            <w:r>
              <w:rPr>
                <w:rFonts w:ascii="宋体" w:eastAsia="宋体" w:hAnsi="宋体" w:cs="宋体" w:hint="eastAsia"/>
              </w:rPr>
              <w:t>项目实际完成率=（实际完成项目数/计划完成项目数）×100%。</w:t>
            </w:r>
          </w:p>
        </w:tc>
        <w:tc>
          <w:tcPr>
            <w:tcW w:w="3423" w:type="dxa"/>
            <w:tcBorders>
              <w:top w:val="single" w:sz="4" w:space="0" w:color="000000"/>
              <w:left w:val="single" w:sz="4" w:space="0" w:color="auto"/>
              <w:bottom w:val="single" w:sz="4" w:space="0" w:color="auto"/>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目标值为100%；</w:t>
            </w:r>
          </w:p>
          <w:p w:rsidR="005E515C" w:rsidRDefault="00A11190">
            <w:pPr>
              <w:spacing w:after="0" w:line="68" w:lineRule="atLeast"/>
              <w:rPr>
                <w:rFonts w:ascii="宋体" w:eastAsia="宋体" w:hAnsi="宋体" w:cs="宋体"/>
              </w:rPr>
            </w:pPr>
            <w:r>
              <w:rPr>
                <w:rFonts w:ascii="宋体" w:eastAsia="宋体" w:hAnsi="宋体" w:cs="宋体" w:hint="eastAsia"/>
              </w:rPr>
              <w:t>达到目标值得4分；</w:t>
            </w:r>
          </w:p>
          <w:p w:rsidR="005E515C" w:rsidRDefault="00A11190">
            <w:pPr>
              <w:spacing w:after="0" w:line="68" w:lineRule="atLeast"/>
              <w:rPr>
                <w:rFonts w:ascii="宋体" w:eastAsia="宋体" w:hAnsi="宋体" w:cs="宋体"/>
              </w:rPr>
            </w:pPr>
            <w:r>
              <w:rPr>
                <w:rFonts w:ascii="宋体" w:eastAsia="宋体" w:hAnsi="宋体" w:cs="宋体" w:hint="eastAsia"/>
              </w:rPr>
              <w:t>100%＞结果≥95%，得3分；</w:t>
            </w:r>
          </w:p>
          <w:p w:rsidR="005E515C" w:rsidRDefault="00A11190">
            <w:pPr>
              <w:spacing w:after="0" w:line="68" w:lineRule="atLeast"/>
              <w:rPr>
                <w:rFonts w:ascii="宋体" w:eastAsia="宋体" w:hAnsi="宋体" w:cs="宋体"/>
              </w:rPr>
            </w:pPr>
            <w:r>
              <w:rPr>
                <w:rFonts w:ascii="宋体" w:eastAsia="宋体" w:hAnsi="宋体" w:cs="宋体" w:hint="eastAsia"/>
              </w:rPr>
              <w:t>95%＞结果≥90%，得2分；</w:t>
            </w:r>
          </w:p>
          <w:p w:rsidR="005E515C" w:rsidRDefault="00A11190">
            <w:pPr>
              <w:spacing w:after="0" w:line="68" w:lineRule="atLeast"/>
              <w:rPr>
                <w:rFonts w:ascii="宋体" w:eastAsia="宋体" w:hAnsi="宋体" w:cs="宋体"/>
              </w:rPr>
            </w:pPr>
            <w:r>
              <w:rPr>
                <w:rFonts w:ascii="宋体" w:eastAsia="宋体" w:hAnsi="宋体" w:cs="宋体" w:hint="eastAsia"/>
              </w:rPr>
              <w:lastRenderedPageBreak/>
              <w:t>90%＞结果≥85%，得1分；</w:t>
            </w:r>
          </w:p>
          <w:p w:rsidR="005E515C" w:rsidRDefault="00A11190">
            <w:pPr>
              <w:spacing w:after="0" w:line="68" w:lineRule="atLeast"/>
              <w:rPr>
                <w:rFonts w:ascii="宋体" w:eastAsia="宋体" w:hAnsi="宋体" w:cs="宋体"/>
              </w:rPr>
            </w:pPr>
            <w:r>
              <w:rPr>
                <w:rFonts w:ascii="宋体" w:eastAsia="宋体" w:hAnsi="宋体" w:cs="宋体" w:hint="eastAsia"/>
              </w:rPr>
              <w:t>结果＜85%得0分。</w:t>
            </w:r>
          </w:p>
        </w:tc>
        <w:tc>
          <w:tcPr>
            <w:tcW w:w="1090" w:type="dxa"/>
            <w:tcBorders>
              <w:top w:val="single" w:sz="4" w:space="0" w:color="000000"/>
              <w:left w:val="single" w:sz="4" w:space="0" w:color="auto"/>
              <w:bottom w:val="single" w:sz="4" w:space="0" w:color="auto"/>
              <w:right w:val="single" w:sz="4" w:space="0" w:color="000000"/>
            </w:tcBorders>
            <w:vAlign w:val="center"/>
          </w:tcPr>
          <w:p w:rsidR="005E515C" w:rsidRDefault="00577A28" w:rsidP="0045627D">
            <w:pPr>
              <w:spacing w:after="0" w:line="68" w:lineRule="atLeast"/>
              <w:jc w:val="center"/>
              <w:rPr>
                <w:rFonts w:ascii="宋体" w:eastAsia="宋体" w:hAnsi="宋体" w:cs="宋体"/>
              </w:rPr>
            </w:pPr>
            <w:r>
              <w:rPr>
                <w:rFonts w:ascii="宋体" w:eastAsia="宋体" w:hAnsi="宋体" w:cs="宋体" w:hint="eastAsia"/>
              </w:rPr>
              <w:lastRenderedPageBreak/>
              <w:t>4</w:t>
            </w:r>
          </w:p>
        </w:tc>
      </w:tr>
      <w:tr w:rsidR="005E515C">
        <w:trPr>
          <w:trHeight w:val="1719"/>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1182" w:type="dxa"/>
            <w:tcBorders>
              <w:top w:val="single" w:sz="4" w:space="0" w:color="000000"/>
              <w:left w:val="single" w:sz="4" w:space="0" w:color="000000"/>
              <w:bottom w:val="single" w:sz="4" w:space="0" w:color="auto"/>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项目质量达标率（4分）</w:t>
            </w:r>
          </w:p>
        </w:tc>
        <w:tc>
          <w:tcPr>
            <w:tcW w:w="6911" w:type="dxa"/>
            <w:tcBorders>
              <w:top w:val="single" w:sz="4" w:space="0" w:color="000000"/>
              <w:left w:val="single" w:sz="4" w:space="0" w:color="auto"/>
              <w:bottom w:val="single" w:sz="4" w:space="0" w:color="auto"/>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部门已完成项目中质量达标项目个数占已完成项目个数的比率,用以反映和评价部门履职质量目标的实现程度。</w:t>
            </w:r>
          </w:p>
          <w:p w:rsidR="005E515C" w:rsidRDefault="00A11190">
            <w:pPr>
              <w:spacing w:after="0" w:line="240" w:lineRule="exact"/>
              <w:rPr>
                <w:rFonts w:ascii="宋体" w:eastAsia="宋体" w:hAnsi="宋体" w:cs="宋体"/>
              </w:rPr>
            </w:pPr>
            <w:r>
              <w:rPr>
                <w:rFonts w:ascii="宋体" w:eastAsia="宋体" w:hAnsi="宋体" w:cs="宋体" w:hint="eastAsia"/>
              </w:rPr>
              <w:t>项目质量达标率=（已完成项目中质量达标项目个数/已完成项目个数）×100%。</w:t>
            </w:r>
          </w:p>
          <w:p w:rsidR="005E515C" w:rsidRDefault="00A11190">
            <w:pPr>
              <w:spacing w:after="0" w:line="68" w:lineRule="atLeast"/>
              <w:rPr>
                <w:rFonts w:ascii="宋体" w:eastAsia="宋体" w:hAnsi="宋体" w:cs="宋体"/>
              </w:rPr>
            </w:pPr>
            <w:r>
              <w:rPr>
                <w:rFonts w:ascii="宋体" w:eastAsia="宋体" w:hAnsi="宋体" w:cs="宋体" w:hint="eastAsia"/>
              </w:rPr>
              <w:t>项目质量达标是指项目决算验收合格。</w:t>
            </w:r>
          </w:p>
        </w:tc>
        <w:tc>
          <w:tcPr>
            <w:tcW w:w="3423" w:type="dxa"/>
            <w:tcBorders>
              <w:top w:val="single" w:sz="4" w:space="0" w:color="000000"/>
              <w:left w:val="single" w:sz="4" w:space="0" w:color="auto"/>
              <w:bottom w:val="single" w:sz="4" w:space="0" w:color="auto"/>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目标值100%；以4分为上限，采用完成比率法计分：得分=项目质量达标率×4，≤95%的扣4分。</w:t>
            </w:r>
          </w:p>
        </w:tc>
        <w:tc>
          <w:tcPr>
            <w:tcW w:w="1090" w:type="dxa"/>
            <w:tcBorders>
              <w:top w:val="single" w:sz="4" w:space="0" w:color="000000"/>
              <w:left w:val="single" w:sz="4" w:space="0" w:color="auto"/>
              <w:bottom w:val="single" w:sz="4" w:space="0" w:color="auto"/>
              <w:right w:val="single" w:sz="4" w:space="0" w:color="000000"/>
            </w:tcBorders>
            <w:vAlign w:val="center"/>
          </w:tcPr>
          <w:p w:rsidR="005E515C" w:rsidRDefault="00CA5805" w:rsidP="0045627D">
            <w:pPr>
              <w:spacing w:after="0" w:line="68" w:lineRule="atLeast"/>
              <w:jc w:val="center"/>
              <w:rPr>
                <w:rFonts w:ascii="宋体" w:eastAsia="宋体" w:hAnsi="宋体" w:cs="宋体"/>
              </w:rPr>
            </w:pPr>
            <w:r>
              <w:rPr>
                <w:rFonts w:ascii="宋体" w:eastAsia="宋体" w:hAnsi="宋体" w:cs="宋体" w:hint="eastAsia"/>
              </w:rPr>
              <w:t>4</w:t>
            </w:r>
          </w:p>
        </w:tc>
      </w:tr>
      <w:tr w:rsidR="005E515C">
        <w:trPr>
          <w:trHeight w:val="1541"/>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1182" w:type="dxa"/>
            <w:tcBorders>
              <w:top w:val="single" w:sz="4" w:space="0" w:color="000000"/>
              <w:left w:val="single" w:sz="4" w:space="0" w:color="000000"/>
              <w:bottom w:val="single" w:sz="4" w:space="0" w:color="auto"/>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重点工作办结率（4分）</w:t>
            </w:r>
          </w:p>
        </w:tc>
        <w:tc>
          <w:tcPr>
            <w:tcW w:w="6911" w:type="dxa"/>
            <w:tcBorders>
              <w:top w:val="single" w:sz="4" w:space="0" w:color="000000"/>
              <w:left w:val="single" w:sz="4" w:space="0" w:color="auto"/>
              <w:bottom w:val="single" w:sz="4" w:space="0" w:color="auto"/>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部门年度重点工作实际完成数与交办或下达数的比率，用以反映部门对重点工作的办理落实程度。</w:t>
            </w:r>
          </w:p>
          <w:p w:rsidR="005E515C" w:rsidRDefault="00A11190">
            <w:pPr>
              <w:spacing w:after="0" w:line="68" w:lineRule="atLeast"/>
              <w:rPr>
                <w:rFonts w:ascii="宋体" w:eastAsia="宋体" w:hAnsi="宋体" w:cs="宋体"/>
              </w:rPr>
            </w:pPr>
            <w:r>
              <w:rPr>
                <w:rFonts w:ascii="宋体" w:eastAsia="宋体" w:hAnsi="宋体" w:cs="宋体" w:hint="eastAsia"/>
              </w:rPr>
              <w:t>重点工作办结率=（重点工作实际完成数/交办或下达数）×100%。</w:t>
            </w:r>
          </w:p>
          <w:p w:rsidR="005E515C" w:rsidRDefault="00A11190">
            <w:pPr>
              <w:spacing w:after="0" w:line="68" w:lineRule="atLeast"/>
              <w:rPr>
                <w:rFonts w:ascii="宋体" w:eastAsia="宋体" w:hAnsi="宋体" w:cs="宋体"/>
              </w:rPr>
            </w:pPr>
            <w:r>
              <w:rPr>
                <w:rFonts w:ascii="宋体" w:eastAsia="宋体" w:hAnsi="宋体" w:cs="宋体" w:hint="eastAsia"/>
              </w:rPr>
              <w:t>重点工作是指党委、政府、人大、相关部门交办或下达的工作任务。</w:t>
            </w:r>
          </w:p>
        </w:tc>
        <w:tc>
          <w:tcPr>
            <w:tcW w:w="3423" w:type="dxa"/>
            <w:tcBorders>
              <w:top w:val="single" w:sz="4" w:space="0" w:color="000000"/>
              <w:left w:val="single" w:sz="4" w:space="0" w:color="auto"/>
              <w:bottom w:val="single" w:sz="4" w:space="0" w:color="auto"/>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目标值100%；以4分为上限，采用完成比率法计分：得分=重点工作办结率×4，≤90%的扣4分。</w:t>
            </w:r>
          </w:p>
        </w:tc>
        <w:tc>
          <w:tcPr>
            <w:tcW w:w="1090" w:type="dxa"/>
            <w:tcBorders>
              <w:top w:val="single" w:sz="4" w:space="0" w:color="000000"/>
              <w:left w:val="single" w:sz="4" w:space="0" w:color="auto"/>
              <w:bottom w:val="single" w:sz="4" w:space="0" w:color="auto"/>
              <w:right w:val="single" w:sz="4" w:space="0" w:color="000000"/>
            </w:tcBorders>
            <w:vAlign w:val="center"/>
          </w:tcPr>
          <w:p w:rsidR="005E515C" w:rsidRDefault="00744665" w:rsidP="0045627D">
            <w:pPr>
              <w:spacing w:after="0" w:line="68" w:lineRule="atLeast"/>
              <w:jc w:val="center"/>
              <w:rPr>
                <w:rFonts w:ascii="宋体" w:eastAsia="宋体" w:hAnsi="宋体" w:cs="宋体"/>
              </w:rPr>
            </w:pPr>
            <w:r>
              <w:rPr>
                <w:rFonts w:ascii="宋体" w:eastAsia="宋体" w:hAnsi="宋体" w:cs="宋体" w:hint="eastAsia"/>
              </w:rPr>
              <w:t>0</w:t>
            </w:r>
          </w:p>
        </w:tc>
      </w:tr>
      <w:tr w:rsidR="005E515C">
        <w:trPr>
          <w:trHeight w:val="1539"/>
          <w:jc w:val="center"/>
        </w:trPr>
        <w:tc>
          <w:tcPr>
            <w:tcW w:w="733" w:type="dxa"/>
            <w:vMerge/>
            <w:tcBorders>
              <w:left w:val="single" w:sz="4" w:space="0" w:color="000000"/>
              <w:bottom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vMerge/>
            <w:tcBorders>
              <w:left w:val="single" w:sz="4" w:space="0" w:color="000000"/>
              <w:bottom w:val="single" w:sz="4" w:space="0" w:color="000000"/>
              <w:right w:val="single" w:sz="4" w:space="0" w:color="000000"/>
            </w:tcBorders>
            <w:vAlign w:val="center"/>
          </w:tcPr>
          <w:p w:rsidR="005E515C" w:rsidRDefault="005E515C">
            <w:pPr>
              <w:spacing w:after="0"/>
              <w:rPr>
                <w:rFonts w:ascii="宋体" w:eastAsia="宋体" w:hAnsi="宋体" w:cs="宋体"/>
              </w:rPr>
            </w:pPr>
          </w:p>
        </w:tc>
        <w:tc>
          <w:tcPr>
            <w:tcW w:w="1182" w:type="dxa"/>
            <w:tcBorders>
              <w:top w:val="single" w:sz="4" w:space="0" w:color="000000"/>
              <w:left w:val="single" w:sz="4" w:space="0" w:color="000000"/>
              <w:bottom w:val="single" w:sz="4" w:space="0" w:color="auto"/>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部门绩效自评项目占比率（3分）</w:t>
            </w:r>
          </w:p>
        </w:tc>
        <w:tc>
          <w:tcPr>
            <w:tcW w:w="6911" w:type="dxa"/>
            <w:tcBorders>
              <w:top w:val="single" w:sz="4" w:space="0" w:color="000000"/>
              <w:left w:val="single" w:sz="4" w:space="0" w:color="auto"/>
              <w:bottom w:val="single" w:sz="4" w:space="0" w:color="auto"/>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部门自评项目在所有项目中所占的份额，反映和评价部门对项目自评的重视程度。</w:t>
            </w:r>
          </w:p>
          <w:p w:rsidR="005E515C" w:rsidRDefault="00A11190">
            <w:pPr>
              <w:spacing w:after="0" w:line="240" w:lineRule="exact"/>
              <w:rPr>
                <w:rFonts w:ascii="宋体" w:eastAsia="宋体" w:hAnsi="宋体" w:cs="宋体"/>
              </w:rPr>
            </w:pPr>
            <w:r>
              <w:rPr>
                <w:rFonts w:ascii="宋体" w:eastAsia="宋体" w:hAnsi="宋体" w:cs="宋体" w:hint="eastAsia"/>
              </w:rPr>
              <w:t>占比率=(自评项目资金量/项目支出资金量)×100%。</w:t>
            </w:r>
          </w:p>
          <w:p w:rsidR="005E515C" w:rsidRDefault="00A11190">
            <w:pPr>
              <w:spacing w:after="0" w:line="68" w:lineRule="atLeast"/>
              <w:rPr>
                <w:rFonts w:ascii="宋体" w:eastAsia="宋体" w:hAnsi="宋体" w:cs="宋体"/>
              </w:rPr>
            </w:pPr>
            <w:r>
              <w:rPr>
                <w:rFonts w:ascii="宋体" w:eastAsia="宋体" w:hAnsi="宋体" w:cs="宋体" w:hint="eastAsia"/>
              </w:rPr>
              <w:t>部门支出项目绩效自评范围：本年度列入本级财政预算安排的项目。</w:t>
            </w:r>
          </w:p>
        </w:tc>
        <w:tc>
          <w:tcPr>
            <w:tcW w:w="3423" w:type="dxa"/>
            <w:tcBorders>
              <w:top w:val="single" w:sz="4" w:space="0" w:color="000000"/>
              <w:left w:val="single" w:sz="4" w:space="0" w:color="auto"/>
              <w:bottom w:val="single" w:sz="4" w:space="0" w:color="auto"/>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达到目标值得3分，未达到目标值采用完成比率法计分：得分=占比率/目标值×3，超过目标值不加分。</w:t>
            </w:r>
          </w:p>
        </w:tc>
        <w:tc>
          <w:tcPr>
            <w:tcW w:w="1090" w:type="dxa"/>
            <w:tcBorders>
              <w:top w:val="single" w:sz="4" w:space="0" w:color="000000"/>
              <w:left w:val="single" w:sz="4" w:space="0" w:color="auto"/>
              <w:bottom w:val="single" w:sz="4" w:space="0" w:color="auto"/>
              <w:right w:val="single" w:sz="4" w:space="0" w:color="000000"/>
            </w:tcBorders>
            <w:vAlign w:val="center"/>
          </w:tcPr>
          <w:p w:rsidR="005E515C" w:rsidRDefault="00166AA5" w:rsidP="0045627D">
            <w:pPr>
              <w:spacing w:after="0" w:line="68" w:lineRule="atLeast"/>
              <w:jc w:val="center"/>
              <w:rPr>
                <w:rFonts w:ascii="宋体" w:eastAsia="宋体" w:hAnsi="宋体" w:cs="宋体"/>
              </w:rPr>
            </w:pPr>
            <w:r>
              <w:rPr>
                <w:rFonts w:ascii="宋体" w:eastAsia="宋体" w:hAnsi="宋体" w:cs="宋体" w:hint="eastAsia"/>
              </w:rPr>
              <w:t>3</w:t>
            </w:r>
          </w:p>
        </w:tc>
      </w:tr>
      <w:tr w:rsidR="005E515C" w:rsidTr="00545FFA">
        <w:trPr>
          <w:trHeight w:val="774"/>
          <w:jc w:val="center"/>
        </w:trPr>
        <w:tc>
          <w:tcPr>
            <w:tcW w:w="733" w:type="dxa"/>
            <w:vMerge w:val="restart"/>
            <w:tcBorders>
              <w:top w:val="single" w:sz="4" w:space="0" w:color="000000"/>
              <w:left w:val="single" w:sz="4" w:space="0" w:color="000000"/>
              <w:right w:val="single" w:sz="4" w:space="0" w:color="000000"/>
            </w:tcBorders>
            <w:vAlign w:val="center"/>
          </w:tcPr>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A11190">
            <w:pPr>
              <w:spacing w:after="0" w:line="68" w:lineRule="atLeast"/>
              <w:rPr>
                <w:rFonts w:ascii="宋体" w:eastAsia="宋体" w:hAnsi="宋体" w:cs="宋体"/>
              </w:rPr>
            </w:pPr>
            <w:r>
              <w:rPr>
                <w:rFonts w:ascii="宋体" w:eastAsia="宋体" w:hAnsi="宋体" w:cs="宋体" w:hint="eastAsia"/>
              </w:rPr>
              <w:t>效果（15）</w:t>
            </w: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5E515C">
            <w:pPr>
              <w:spacing w:after="0" w:line="68" w:lineRule="atLeast"/>
              <w:rPr>
                <w:rFonts w:ascii="宋体" w:eastAsia="宋体" w:hAnsi="宋体" w:cs="宋体"/>
              </w:rPr>
            </w:pPr>
          </w:p>
          <w:p w:rsidR="005E515C" w:rsidRDefault="00A11190">
            <w:pPr>
              <w:spacing w:after="0" w:line="68" w:lineRule="atLeast"/>
              <w:rPr>
                <w:rFonts w:ascii="宋体" w:eastAsia="宋体" w:hAnsi="宋体" w:cs="宋体"/>
              </w:rPr>
            </w:pPr>
            <w:r>
              <w:rPr>
                <w:rFonts w:ascii="宋体" w:eastAsia="宋体" w:hAnsi="宋体" w:cs="宋体" w:hint="eastAsia"/>
              </w:rPr>
              <w:t>效果（15）</w:t>
            </w:r>
          </w:p>
          <w:p w:rsidR="005E515C" w:rsidRDefault="005E515C">
            <w:pPr>
              <w:spacing w:after="0" w:line="68" w:lineRule="atLeast"/>
              <w:rPr>
                <w:rFonts w:ascii="宋体" w:eastAsia="宋体" w:hAnsi="宋体" w:cs="宋体"/>
              </w:rPr>
            </w:pPr>
          </w:p>
        </w:tc>
        <w:tc>
          <w:tcPr>
            <w:tcW w:w="803" w:type="dxa"/>
            <w:tcBorders>
              <w:top w:val="single" w:sz="4" w:space="0" w:color="auto"/>
              <w:left w:val="single" w:sz="4" w:space="0" w:color="000000"/>
              <w:bottom w:val="single" w:sz="4" w:space="0" w:color="auto"/>
              <w:right w:val="single" w:sz="4" w:space="0" w:color="000000"/>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lastRenderedPageBreak/>
              <w:t>监督发现问题</w:t>
            </w:r>
          </w:p>
          <w:p w:rsidR="005E515C" w:rsidRDefault="00A11190">
            <w:pPr>
              <w:spacing w:after="0" w:line="68" w:lineRule="atLeast"/>
              <w:rPr>
                <w:rFonts w:ascii="宋体" w:eastAsia="宋体" w:hAnsi="宋体" w:cs="宋体"/>
              </w:rPr>
            </w:pPr>
            <w:r>
              <w:rPr>
                <w:rFonts w:ascii="宋体" w:eastAsia="宋体" w:hAnsi="宋体" w:cs="宋体" w:hint="eastAsia"/>
              </w:rPr>
              <w:t>（2分）</w:t>
            </w:r>
          </w:p>
        </w:tc>
        <w:tc>
          <w:tcPr>
            <w:tcW w:w="1182" w:type="dxa"/>
            <w:tcBorders>
              <w:top w:val="single" w:sz="4" w:space="0" w:color="000000"/>
              <w:left w:val="single" w:sz="4" w:space="0" w:color="000000"/>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违规率（2分）</w:t>
            </w:r>
          </w:p>
        </w:tc>
        <w:tc>
          <w:tcPr>
            <w:tcW w:w="6911"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部门存在违规问题的资金数量占部门预算支出资金总额的比重，用以反映和考核部门预算资金管理使用的合法、合规情况。</w:t>
            </w:r>
          </w:p>
          <w:p w:rsidR="005E515C" w:rsidRDefault="00A11190">
            <w:pPr>
              <w:spacing w:after="0" w:line="68" w:lineRule="atLeast"/>
              <w:rPr>
                <w:rFonts w:ascii="宋体" w:eastAsia="宋体" w:hAnsi="宋体" w:cs="宋体"/>
              </w:rPr>
            </w:pPr>
            <w:r>
              <w:rPr>
                <w:rFonts w:ascii="宋体" w:eastAsia="宋体" w:hAnsi="宋体" w:cs="宋体" w:hint="eastAsia"/>
              </w:rPr>
              <w:t>违规率=存在违规问题的资金额/部门预算支出资金总额×100%</w:t>
            </w:r>
          </w:p>
        </w:tc>
        <w:tc>
          <w:tcPr>
            <w:tcW w:w="3423"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目标值0，达到目标值得2分，未达到目标值的每增加0.1个百分点扣0.1分</w:t>
            </w:r>
          </w:p>
        </w:tc>
        <w:tc>
          <w:tcPr>
            <w:tcW w:w="1090" w:type="dxa"/>
            <w:tcBorders>
              <w:top w:val="single" w:sz="4" w:space="0" w:color="000000"/>
              <w:left w:val="single" w:sz="4" w:space="0" w:color="auto"/>
              <w:bottom w:val="single" w:sz="4" w:space="0" w:color="000000"/>
              <w:right w:val="single" w:sz="4" w:space="0" w:color="000000"/>
            </w:tcBorders>
            <w:vAlign w:val="center"/>
          </w:tcPr>
          <w:p w:rsidR="005E515C" w:rsidRDefault="00166AA5" w:rsidP="0045627D">
            <w:pPr>
              <w:spacing w:after="0" w:line="68" w:lineRule="atLeast"/>
              <w:jc w:val="center"/>
              <w:rPr>
                <w:rFonts w:ascii="宋体" w:eastAsia="宋体" w:hAnsi="宋体" w:cs="宋体"/>
              </w:rPr>
            </w:pPr>
            <w:r>
              <w:rPr>
                <w:rFonts w:ascii="宋体" w:eastAsia="宋体" w:hAnsi="宋体" w:cs="宋体" w:hint="eastAsia"/>
              </w:rPr>
              <w:t>2</w:t>
            </w:r>
          </w:p>
        </w:tc>
      </w:tr>
      <w:tr w:rsidR="005E515C">
        <w:trPr>
          <w:trHeight w:val="2115"/>
          <w:jc w:val="center"/>
        </w:trPr>
        <w:tc>
          <w:tcPr>
            <w:tcW w:w="733" w:type="dxa"/>
            <w:vMerge/>
            <w:tcBorders>
              <w:left w:val="single" w:sz="4" w:space="0" w:color="000000"/>
              <w:right w:val="single" w:sz="4" w:space="0" w:color="000000"/>
            </w:tcBorders>
            <w:vAlign w:val="center"/>
          </w:tcPr>
          <w:p w:rsidR="005E515C" w:rsidRDefault="005E515C">
            <w:pPr>
              <w:spacing w:after="0" w:line="68" w:lineRule="atLeast"/>
              <w:rPr>
                <w:rFonts w:ascii="宋体" w:eastAsia="宋体" w:hAnsi="宋体" w:cs="宋体"/>
              </w:rPr>
            </w:pPr>
          </w:p>
        </w:tc>
        <w:tc>
          <w:tcPr>
            <w:tcW w:w="803" w:type="dxa"/>
            <w:tcBorders>
              <w:top w:val="single" w:sz="4" w:space="0" w:color="auto"/>
              <w:left w:val="single" w:sz="4" w:space="0" w:color="000000"/>
              <w:bottom w:val="single" w:sz="4" w:space="0" w:color="auto"/>
              <w:right w:val="single" w:sz="4" w:space="0" w:color="000000"/>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工作成效（5）</w:t>
            </w:r>
          </w:p>
        </w:tc>
        <w:tc>
          <w:tcPr>
            <w:tcW w:w="1182" w:type="dxa"/>
            <w:tcBorders>
              <w:top w:val="single" w:sz="4" w:space="0" w:color="000000"/>
              <w:left w:val="single" w:sz="4" w:space="0" w:color="000000"/>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bCs/>
                <w:color w:val="000000"/>
              </w:rPr>
              <w:t>部门预算绩效管理考核评价</w:t>
            </w:r>
            <w:r>
              <w:rPr>
                <w:rFonts w:ascii="宋体" w:eastAsia="宋体" w:hAnsi="宋体" w:cs="宋体" w:hint="eastAsia"/>
                <w:bCs/>
              </w:rPr>
              <w:t>（5）</w:t>
            </w:r>
          </w:p>
        </w:tc>
        <w:tc>
          <w:tcPr>
            <w:tcW w:w="6911"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color w:val="000000"/>
              </w:rPr>
              <w:t>财政部门对部门开展预算绩效管理工作的评价结果，用以反映部门对预算绩效管理工作的重视程度和取得的成效。</w:t>
            </w:r>
          </w:p>
          <w:p w:rsidR="005E515C" w:rsidRDefault="00A11190">
            <w:pPr>
              <w:spacing w:after="0" w:line="240" w:lineRule="exact"/>
              <w:rPr>
                <w:rFonts w:ascii="宋体" w:eastAsia="宋体" w:hAnsi="宋体" w:cs="宋体"/>
              </w:rPr>
            </w:pPr>
            <w:r>
              <w:rPr>
                <w:rFonts w:ascii="宋体" w:eastAsia="宋体" w:hAnsi="宋体" w:cs="宋体" w:hint="eastAsia"/>
                <w:color w:val="000000"/>
              </w:rPr>
              <w:t>1.财政部门对部门绩效管理工作开展情况进行核查评价，包括绩效目标管理、绩效执行监控、绩效自评和评价结果应用等情况，按百分制。</w:t>
            </w:r>
          </w:p>
          <w:p w:rsidR="005E515C" w:rsidRDefault="00A11190">
            <w:pPr>
              <w:spacing w:after="0" w:line="68" w:lineRule="atLeast"/>
              <w:rPr>
                <w:rFonts w:ascii="宋体" w:eastAsia="宋体" w:hAnsi="宋体" w:cs="宋体"/>
              </w:rPr>
            </w:pPr>
            <w:r>
              <w:rPr>
                <w:rFonts w:ascii="宋体" w:eastAsia="宋体" w:hAnsi="宋体" w:cs="宋体" w:hint="eastAsia"/>
                <w:color w:val="000000"/>
              </w:rPr>
              <w:t>2.以部门为单位进行综合计算，得出各部门绩效管理工作评价结果。</w:t>
            </w:r>
          </w:p>
        </w:tc>
        <w:tc>
          <w:tcPr>
            <w:tcW w:w="3423"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color w:val="000000"/>
              </w:rPr>
              <w:t>综合得分=（部门绩效管理工作评价结果/100）*5分</w:t>
            </w:r>
          </w:p>
          <w:p w:rsidR="005E515C" w:rsidRDefault="00A11190">
            <w:pPr>
              <w:spacing w:after="0" w:line="68" w:lineRule="atLeast"/>
              <w:rPr>
                <w:rFonts w:ascii="宋体" w:eastAsia="宋体" w:hAnsi="宋体" w:cs="宋体"/>
              </w:rPr>
            </w:pPr>
            <w:r>
              <w:rPr>
                <w:rFonts w:ascii="宋体" w:eastAsia="宋体" w:hAnsi="宋体" w:cs="宋体" w:hint="eastAsia"/>
              </w:rPr>
              <w:t> </w:t>
            </w:r>
          </w:p>
        </w:tc>
        <w:tc>
          <w:tcPr>
            <w:tcW w:w="1090" w:type="dxa"/>
            <w:tcBorders>
              <w:top w:val="single" w:sz="4" w:space="0" w:color="000000"/>
              <w:left w:val="single" w:sz="4" w:space="0" w:color="auto"/>
              <w:bottom w:val="single" w:sz="4" w:space="0" w:color="000000"/>
              <w:right w:val="single" w:sz="4" w:space="0" w:color="000000"/>
            </w:tcBorders>
            <w:vAlign w:val="center"/>
          </w:tcPr>
          <w:p w:rsidR="005E515C" w:rsidRDefault="00166AA5" w:rsidP="0045627D">
            <w:pPr>
              <w:spacing w:after="0" w:line="68" w:lineRule="atLeast"/>
              <w:jc w:val="center"/>
              <w:rPr>
                <w:rFonts w:ascii="宋体" w:eastAsia="宋体" w:hAnsi="宋体" w:cs="宋体"/>
              </w:rPr>
            </w:pPr>
            <w:r>
              <w:rPr>
                <w:rFonts w:ascii="宋体" w:eastAsia="宋体" w:hAnsi="宋体" w:cs="宋体" w:hint="eastAsia"/>
              </w:rPr>
              <w:t>5</w:t>
            </w:r>
          </w:p>
        </w:tc>
      </w:tr>
      <w:tr w:rsidR="005E515C">
        <w:trPr>
          <w:trHeight w:val="2467"/>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tcBorders>
              <w:top w:val="single" w:sz="4" w:space="0" w:color="auto"/>
              <w:left w:val="single" w:sz="4" w:space="0" w:color="000000"/>
              <w:bottom w:val="single" w:sz="4" w:space="0" w:color="auto"/>
              <w:right w:val="single" w:sz="4" w:space="0" w:color="000000"/>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评价结果应用</w:t>
            </w:r>
          </w:p>
          <w:p w:rsidR="005E515C" w:rsidRDefault="00A11190">
            <w:pPr>
              <w:spacing w:after="0" w:line="68" w:lineRule="atLeast"/>
              <w:rPr>
                <w:rFonts w:ascii="宋体" w:eastAsia="宋体" w:hAnsi="宋体" w:cs="宋体"/>
              </w:rPr>
            </w:pPr>
            <w:r>
              <w:rPr>
                <w:rFonts w:ascii="宋体" w:eastAsia="宋体" w:hAnsi="宋体" w:cs="宋体" w:hint="eastAsia"/>
              </w:rPr>
              <w:t>（2分）</w:t>
            </w:r>
          </w:p>
        </w:tc>
        <w:tc>
          <w:tcPr>
            <w:tcW w:w="1182" w:type="dxa"/>
            <w:tcBorders>
              <w:top w:val="single" w:sz="4" w:space="0" w:color="000000"/>
              <w:left w:val="single" w:sz="4" w:space="0" w:color="000000"/>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应用率（2分）</w:t>
            </w:r>
          </w:p>
        </w:tc>
        <w:tc>
          <w:tcPr>
            <w:tcW w:w="6911"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部门应用绩效评价结果的项目数占绩效评价项目数的比重，用以反映和考核部门绩效评价结果的利用水平和程度。</w:t>
            </w:r>
          </w:p>
          <w:p w:rsidR="005E515C" w:rsidRDefault="00A11190">
            <w:pPr>
              <w:spacing w:after="0" w:line="68" w:lineRule="atLeast"/>
              <w:rPr>
                <w:rFonts w:ascii="宋体" w:eastAsia="宋体" w:hAnsi="宋体" w:cs="宋体"/>
              </w:rPr>
            </w:pPr>
            <w:r>
              <w:rPr>
                <w:rFonts w:ascii="宋体" w:eastAsia="宋体" w:hAnsi="宋体" w:cs="宋体" w:hint="eastAsia"/>
              </w:rPr>
              <w:t>应用率=应用绩效评价结果的项目数量/部门实施绩效评价项目数量×100%。</w:t>
            </w:r>
          </w:p>
          <w:p w:rsidR="005E515C" w:rsidRDefault="00A11190">
            <w:pPr>
              <w:spacing w:after="0" w:line="68" w:lineRule="atLeast"/>
              <w:rPr>
                <w:rFonts w:ascii="宋体" w:eastAsia="宋体" w:hAnsi="宋体" w:cs="宋体"/>
              </w:rPr>
            </w:pPr>
            <w:r>
              <w:rPr>
                <w:rFonts w:ascii="宋体" w:eastAsia="宋体" w:hAnsi="宋体" w:cs="宋体" w:hint="eastAsia"/>
              </w:rPr>
              <w:t>应用绩效评价结果包括向财政部门报告绩效评价结果、向被评价单位反馈绩效评价结果、内部公开绩效评价结果和落实整改措施等方面，其中，落实整改措施包括调整预算结构、改革预算管理、整改发现问题、健全制度措施和实施绩效问责。</w:t>
            </w:r>
          </w:p>
        </w:tc>
        <w:tc>
          <w:tcPr>
            <w:tcW w:w="3423"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目标值为100%；以2分为上限，采用完成比率法计分：得分=应用率×2，超出目标值不加分。</w:t>
            </w:r>
          </w:p>
        </w:tc>
        <w:tc>
          <w:tcPr>
            <w:tcW w:w="1090" w:type="dxa"/>
            <w:tcBorders>
              <w:top w:val="single" w:sz="4" w:space="0" w:color="000000"/>
              <w:left w:val="single" w:sz="4" w:space="0" w:color="auto"/>
              <w:bottom w:val="single" w:sz="4" w:space="0" w:color="000000"/>
              <w:right w:val="single" w:sz="4" w:space="0" w:color="000000"/>
            </w:tcBorders>
            <w:vAlign w:val="center"/>
          </w:tcPr>
          <w:p w:rsidR="005E515C" w:rsidRDefault="00166AA5" w:rsidP="0045627D">
            <w:pPr>
              <w:spacing w:after="0" w:line="68" w:lineRule="atLeast"/>
              <w:jc w:val="center"/>
              <w:rPr>
                <w:rFonts w:ascii="宋体" w:eastAsia="宋体" w:hAnsi="宋体" w:cs="宋体"/>
              </w:rPr>
            </w:pPr>
            <w:r>
              <w:rPr>
                <w:rFonts w:ascii="宋体" w:eastAsia="宋体" w:hAnsi="宋体" w:cs="宋体" w:hint="eastAsia"/>
              </w:rPr>
              <w:t>2</w:t>
            </w:r>
          </w:p>
        </w:tc>
      </w:tr>
      <w:tr w:rsidR="005E515C">
        <w:trPr>
          <w:trHeight w:val="2479"/>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tcBorders>
              <w:top w:val="single" w:sz="4" w:space="0" w:color="auto"/>
              <w:left w:val="single" w:sz="4" w:space="0" w:color="000000"/>
              <w:bottom w:val="single" w:sz="4" w:space="0" w:color="auto"/>
              <w:right w:val="single" w:sz="4" w:space="0" w:color="000000"/>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结果应用创新（1分）</w:t>
            </w:r>
          </w:p>
        </w:tc>
        <w:tc>
          <w:tcPr>
            <w:tcW w:w="1182" w:type="dxa"/>
            <w:tcBorders>
              <w:top w:val="single" w:sz="4" w:space="0" w:color="000000"/>
              <w:left w:val="single" w:sz="4" w:space="0" w:color="000000"/>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结果应用创新（1分）</w:t>
            </w:r>
          </w:p>
        </w:tc>
        <w:tc>
          <w:tcPr>
            <w:tcW w:w="6911"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部门将绩效结果主动对外公开、预算绩效管理工作开展情况向同级政府、人大等部门报告，用以反映和考核部门在结果应用方面的创新情况。</w:t>
            </w:r>
          </w:p>
          <w:p w:rsidR="005E515C" w:rsidRDefault="00A11190">
            <w:pPr>
              <w:spacing w:after="0" w:line="68" w:lineRule="atLeast"/>
              <w:rPr>
                <w:rFonts w:ascii="宋体" w:eastAsia="宋体" w:hAnsi="宋体" w:cs="宋体"/>
              </w:rPr>
            </w:pPr>
            <w:r>
              <w:rPr>
                <w:rFonts w:ascii="宋体" w:eastAsia="宋体" w:hAnsi="宋体" w:cs="宋体" w:hint="eastAsia"/>
              </w:rPr>
              <w:t>评价要点：</w:t>
            </w:r>
          </w:p>
          <w:p w:rsidR="005E515C" w:rsidRDefault="00A11190">
            <w:pPr>
              <w:spacing w:after="0" w:line="68" w:lineRule="atLeast"/>
              <w:rPr>
                <w:rFonts w:ascii="宋体" w:eastAsia="宋体" w:hAnsi="宋体" w:cs="宋体"/>
              </w:rPr>
            </w:pPr>
            <w:r>
              <w:rPr>
                <w:rFonts w:ascii="宋体" w:eastAsia="宋体" w:hAnsi="宋体" w:cs="宋体" w:hint="eastAsia"/>
              </w:rPr>
              <w:t>1.部门是否按要求对社会公开绩效评价结果。</w:t>
            </w:r>
          </w:p>
          <w:p w:rsidR="005E515C" w:rsidRDefault="00A11190">
            <w:pPr>
              <w:spacing w:after="0" w:line="68" w:lineRule="atLeast"/>
              <w:rPr>
                <w:rFonts w:ascii="宋体" w:eastAsia="宋体" w:hAnsi="宋体" w:cs="宋体"/>
              </w:rPr>
            </w:pPr>
            <w:r>
              <w:rPr>
                <w:rFonts w:ascii="宋体" w:eastAsia="宋体" w:hAnsi="宋体" w:cs="宋体" w:hint="eastAsia"/>
              </w:rPr>
              <w:t>2.部门是否将预算绩效管理工作开展情况向同级政府、人大等部门报告。</w:t>
            </w:r>
          </w:p>
        </w:tc>
        <w:tc>
          <w:tcPr>
            <w:tcW w:w="3423"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全部符合（1分）；</w:t>
            </w:r>
          </w:p>
          <w:p w:rsidR="005E515C" w:rsidRDefault="00A11190">
            <w:pPr>
              <w:spacing w:after="0" w:line="240" w:lineRule="exact"/>
              <w:rPr>
                <w:rFonts w:ascii="宋体" w:eastAsia="宋体" w:hAnsi="宋体" w:cs="宋体"/>
              </w:rPr>
            </w:pPr>
            <w:r>
              <w:rPr>
                <w:rFonts w:ascii="宋体" w:eastAsia="宋体" w:hAnsi="宋体" w:cs="宋体" w:hint="eastAsia"/>
              </w:rPr>
              <w:t>符合其中两项（0.5分）</w:t>
            </w:r>
          </w:p>
          <w:p w:rsidR="005E515C" w:rsidRDefault="00A11190">
            <w:pPr>
              <w:spacing w:after="0" w:line="240" w:lineRule="exact"/>
              <w:rPr>
                <w:rFonts w:ascii="宋体" w:eastAsia="宋体" w:hAnsi="宋体" w:cs="宋体"/>
              </w:rPr>
            </w:pPr>
            <w:r>
              <w:rPr>
                <w:rFonts w:ascii="宋体" w:eastAsia="宋体" w:hAnsi="宋体" w:cs="宋体" w:hint="eastAsia"/>
              </w:rPr>
              <w:t>符合其中一项及以下（0分）。</w:t>
            </w:r>
          </w:p>
        </w:tc>
        <w:tc>
          <w:tcPr>
            <w:tcW w:w="1090" w:type="dxa"/>
            <w:tcBorders>
              <w:top w:val="single" w:sz="4" w:space="0" w:color="000000"/>
              <w:left w:val="single" w:sz="4" w:space="0" w:color="auto"/>
              <w:bottom w:val="single" w:sz="4" w:space="0" w:color="000000"/>
              <w:right w:val="single" w:sz="4" w:space="0" w:color="000000"/>
            </w:tcBorders>
            <w:vAlign w:val="center"/>
          </w:tcPr>
          <w:p w:rsidR="005E515C" w:rsidRDefault="0043228D" w:rsidP="0045627D">
            <w:pPr>
              <w:spacing w:after="0" w:line="68" w:lineRule="atLeast"/>
              <w:jc w:val="center"/>
              <w:rPr>
                <w:rFonts w:ascii="宋体" w:eastAsia="宋体" w:hAnsi="宋体" w:cs="宋体"/>
              </w:rPr>
            </w:pPr>
            <w:r>
              <w:rPr>
                <w:rFonts w:ascii="宋体" w:eastAsia="宋体" w:hAnsi="宋体" w:cs="宋体" w:hint="eastAsia"/>
              </w:rPr>
              <w:t>1</w:t>
            </w:r>
          </w:p>
        </w:tc>
      </w:tr>
      <w:tr w:rsidR="005E515C">
        <w:trPr>
          <w:trHeight w:val="1478"/>
          <w:jc w:val="center"/>
        </w:trPr>
        <w:tc>
          <w:tcPr>
            <w:tcW w:w="733" w:type="dxa"/>
            <w:vMerge/>
            <w:tcBorders>
              <w:left w:val="single" w:sz="4" w:space="0" w:color="000000"/>
              <w:right w:val="single" w:sz="4" w:space="0" w:color="000000"/>
            </w:tcBorders>
            <w:vAlign w:val="center"/>
          </w:tcPr>
          <w:p w:rsidR="005E515C" w:rsidRDefault="005E515C">
            <w:pPr>
              <w:spacing w:after="0"/>
              <w:rPr>
                <w:rFonts w:ascii="宋体" w:eastAsia="宋体" w:hAnsi="宋体" w:cs="宋体"/>
              </w:rPr>
            </w:pPr>
          </w:p>
        </w:tc>
        <w:tc>
          <w:tcPr>
            <w:tcW w:w="803" w:type="dxa"/>
            <w:tcBorders>
              <w:top w:val="single" w:sz="4" w:space="0" w:color="auto"/>
              <w:left w:val="single" w:sz="4" w:space="0" w:color="000000"/>
              <w:bottom w:val="single" w:sz="4" w:space="0" w:color="auto"/>
              <w:right w:val="single" w:sz="4" w:space="0" w:color="000000"/>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社会效益（5分）</w:t>
            </w:r>
          </w:p>
        </w:tc>
        <w:tc>
          <w:tcPr>
            <w:tcW w:w="1182" w:type="dxa"/>
            <w:tcBorders>
              <w:top w:val="single" w:sz="4" w:space="0" w:color="000000"/>
              <w:left w:val="single" w:sz="4" w:space="0" w:color="000000"/>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社会公众满意度（5分）</w:t>
            </w:r>
          </w:p>
        </w:tc>
        <w:tc>
          <w:tcPr>
            <w:tcW w:w="6911"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通过问卷调查了解社会公众对部门履职效果、解决民众关心的热点问题、厉行节约等方面的满意程度，反映和评价部门支出所带来的社会效益。</w:t>
            </w:r>
          </w:p>
        </w:tc>
        <w:tc>
          <w:tcPr>
            <w:tcW w:w="3423" w:type="dxa"/>
            <w:tcBorders>
              <w:top w:val="single" w:sz="4" w:space="0" w:color="000000"/>
              <w:left w:val="single" w:sz="4" w:space="0" w:color="auto"/>
              <w:bottom w:val="single" w:sz="4" w:space="0" w:color="000000"/>
              <w:right w:val="single" w:sz="4" w:space="0" w:color="auto"/>
            </w:tcBorders>
            <w:vAlign w:val="center"/>
          </w:tcPr>
          <w:p w:rsidR="005E515C" w:rsidRDefault="00A11190">
            <w:pPr>
              <w:spacing w:after="0" w:line="240" w:lineRule="exact"/>
              <w:rPr>
                <w:rFonts w:ascii="宋体" w:eastAsia="宋体" w:hAnsi="宋体" w:cs="宋体"/>
              </w:rPr>
            </w:pPr>
            <w:r>
              <w:rPr>
                <w:rFonts w:ascii="宋体" w:eastAsia="宋体" w:hAnsi="宋体" w:cs="宋体" w:hint="eastAsia"/>
              </w:rPr>
              <w:t>按照满意度调查的优秀、良好、合格、不合格给予该项指标打分：</w:t>
            </w:r>
          </w:p>
          <w:p w:rsidR="005E515C" w:rsidRDefault="00A11190">
            <w:pPr>
              <w:spacing w:after="0" w:line="68" w:lineRule="atLeast"/>
              <w:rPr>
                <w:rFonts w:ascii="宋体" w:eastAsia="宋体" w:hAnsi="宋体" w:cs="宋体"/>
              </w:rPr>
            </w:pPr>
            <w:r>
              <w:rPr>
                <w:rFonts w:ascii="宋体" w:eastAsia="宋体" w:hAnsi="宋体" w:cs="宋体" w:hint="eastAsia"/>
              </w:rPr>
              <w:t>优秀（5分）；良好（3分）；合格（1分）；不合格（0分）。</w:t>
            </w:r>
          </w:p>
        </w:tc>
        <w:tc>
          <w:tcPr>
            <w:tcW w:w="1090" w:type="dxa"/>
            <w:tcBorders>
              <w:top w:val="single" w:sz="4" w:space="0" w:color="000000"/>
              <w:left w:val="single" w:sz="4" w:space="0" w:color="auto"/>
              <w:bottom w:val="single" w:sz="4" w:space="0" w:color="000000"/>
              <w:right w:val="single" w:sz="4" w:space="0" w:color="000000"/>
            </w:tcBorders>
            <w:vAlign w:val="center"/>
          </w:tcPr>
          <w:p w:rsidR="005E515C" w:rsidRDefault="0043228D" w:rsidP="0045627D">
            <w:pPr>
              <w:spacing w:after="0" w:line="68" w:lineRule="atLeast"/>
              <w:ind w:firstLineChars="100" w:firstLine="220"/>
              <w:jc w:val="center"/>
              <w:rPr>
                <w:rFonts w:ascii="宋体" w:eastAsia="宋体" w:hAnsi="宋体" w:cs="宋体"/>
              </w:rPr>
            </w:pPr>
            <w:r>
              <w:rPr>
                <w:rFonts w:ascii="宋体" w:eastAsia="宋体" w:hAnsi="宋体" w:cs="宋体" w:hint="eastAsia"/>
              </w:rPr>
              <w:t>5</w:t>
            </w:r>
          </w:p>
        </w:tc>
      </w:tr>
      <w:tr w:rsidR="005E515C">
        <w:trPr>
          <w:trHeight w:val="520"/>
          <w:jc w:val="center"/>
        </w:trPr>
        <w:tc>
          <w:tcPr>
            <w:tcW w:w="733" w:type="dxa"/>
            <w:tcBorders>
              <w:left w:val="single" w:sz="4" w:space="0" w:color="000000"/>
              <w:right w:val="single" w:sz="4" w:space="0" w:color="000000"/>
            </w:tcBorders>
            <w:vAlign w:val="center"/>
          </w:tcPr>
          <w:p w:rsidR="005E515C" w:rsidRDefault="00A11190">
            <w:pPr>
              <w:spacing w:after="0"/>
              <w:rPr>
                <w:rFonts w:ascii="宋体" w:eastAsia="宋体" w:hAnsi="宋体" w:cs="宋体"/>
              </w:rPr>
            </w:pPr>
            <w:r>
              <w:rPr>
                <w:rFonts w:ascii="宋体" w:eastAsia="宋体" w:hAnsi="宋体" w:cs="宋体" w:hint="eastAsia"/>
              </w:rPr>
              <w:lastRenderedPageBreak/>
              <w:t>小计</w:t>
            </w:r>
          </w:p>
        </w:tc>
        <w:tc>
          <w:tcPr>
            <w:tcW w:w="803" w:type="dxa"/>
            <w:tcBorders>
              <w:top w:val="single" w:sz="4" w:space="0" w:color="auto"/>
              <w:left w:val="single" w:sz="4" w:space="0" w:color="000000"/>
              <w:bottom w:val="single" w:sz="4" w:space="0" w:color="auto"/>
              <w:right w:val="single" w:sz="4" w:space="0" w:color="000000"/>
            </w:tcBorders>
            <w:vAlign w:val="center"/>
          </w:tcPr>
          <w:p w:rsidR="005E515C" w:rsidRDefault="00A11190">
            <w:pPr>
              <w:spacing w:after="0" w:line="68" w:lineRule="atLeast"/>
              <w:rPr>
                <w:rFonts w:ascii="宋体" w:eastAsia="宋体" w:hAnsi="宋体" w:cs="宋体"/>
              </w:rPr>
            </w:pPr>
            <w:r>
              <w:rPr>
                <w:rFonts w:ascii="宋体" w:eastAsia="宋体" w:hAnsi="宋体" w:cs="宋体" w:hint="eastAsia"/>
              </w:rPr>
              <w:t>100</w:t>
            </w:r>
          </w:p>
        </w:tc>
        <w:tc>
          <w:tcPr>
            <w:tcW w:w="1182" w:type="dxa"/>
            <w:tcBorders>
              <w:top w:val="single" w:sz="4" w:space="0" w:color="000000"/>
              <w:left w:val="single" w:sz="4" w:space="0" w:color="000000"/>
              <w:bottom w:val="single" w:sz="4" w:space="0" w:color="000000"/>
              <w:right w:val="single" w:sz="4" w:space="0" w:color="auto"/>
            </w:tcBorders>
            <w:vAlign w:val="center"/>
          </w:tcPr>
          <w:p w:rsidR="005E515C" w:rsidRDefault="005E515C">
            <w:pPr>
              <w:spacing w:after="0" w:line="68" w:lineRule="atLeast"/>
              <w:rPr>
                <w:rFonts w:ascii="宋体" w:eastAsia="宋体" w:hAnsi="宋体" w:cs="宋体"/>
              </w:rPr>
            </w:pPr>
          </w:p>
        </w:tc>
        <w:tc>
          <w:tcPr>
            <w:tcW w:w="6911" w:type="dxa"/>
            <w:tcBorders>
              <w:top w:val="single" w:sz="4" w:space="0" w:color="000000"/>
              <w:left w:val="single" w:sz="4" w:space="0" w:color="auto"/>
              <w:bottom w:val="single" w:sz="4" w:space="0" w:color="000000"/>
              <w:right w:val="single" w:sz="4" w:space="0" w:color="auto"/>
            </w:tcBorders>
            <w:vAlign w:val="center"/>
          </w:tcPr>
          <w:p w:rsidR="005E515C" w:rsidRDefault="005E515C">
            <w:pPr>
              <w:spacing w:after="0" w:line="68" w:lineRule="atLeast"/>
              <w:rPr>
                <w:rFonts w:ascii="宋体" w:eastAsia="宋体" w:hAnsi="宋体" w:cs="宋体"/>
              </w:rPr>
            </w:pPr>
          </w:p>
        </w:tc>
        <w:tc>
          <w:tcPr>
            <w:tcW w:w="3423" w:type="dxa"/>
            <w:tcBorders>
              <w:top w:val="single" w:sz="4" w:space="0" w:color="000000"/>
              <w:left w:val="single" w:sz="4" w:space="0" w:color="auto"/>
              <w:bottom w:val="single" w:sz="4" w:space="0" w:color="000000"/>
              <w:right w:val="single" w:sz="4" w:space="0" w:color="auto"/>
            </w:tcBorders>
            <w:vAlign w:val="center"/>
          </w:tcPr>
          <w:p w:rsidR="005E515C" w:rsidRDefault="005E515C">
            <w:pPr>
              <w:spacing w:after="0" w:line="68" w:lineRule="atLeast"/>
              <w:rPr>
                <w:rFonts w:ascii="宋体" w:eastAsia="宋体" w:hAnsi="宋体" w:cs="宋体"/>
              </w:rPr>
            </w:pPr>
          </w:p>
        </w:tc>
        <w:tc>
          <w:tcPr>
            <w:tcW w:w="1090" w:type="dxa"/>
            <w:tcBorders>
              <w:top w:val="single" w:sz="4" w:space="0" w:color="000000"/>
              <w:left w:val="single" w:sz="4" w:space="0" w:color="auto"/>
              <w:bottom w:val="single" w:sz="4" w:space="0" w:color="000000"/>
              <w:right w:val="single" w:sz="4" w:space="0" w:color="000000"/>
            </w:tcBorders>
            <w:vAlign w:val="center"/>
          </w:tcPr>
          <w:p w:rsidR="005E515C" w:rsidRDefault="005E515C">
            <w:pPr>
              <w:spacing w:after="0" w:line="68" w:lineRule="atLeast"/>
              <w:rPr>
                <w:rFonts w:ascii="宋体" w:eastAsia="宋体" w:hAnsi="宋体" w:cs="宋体"/>
              </w:rPr>
            </w:pPr>
          </w:p>
        </w:tc>
      </w:tr>
      <w:tr w:rsidR="005E515C">
        <w:trPr>
          <w:trHeight w:val="828"/>
          <w:jc w:val="center"/>
        </w:trPr>
        <w:tc>
          <w:tcPr>
            <w:tcW w:w="733" w:type="dxa"/>
            <w:tcBorders>
              <w:left w:val="single" w:sz="4" w:space="0" w:color="000000"/>
              <w:bottom w:val="single" w:sz="4" w:space="0" w:color="000000"/>
              <w:right w:val="single" w:sz="4" w:space="0" w:color="000000"/>
            </w:tcBorders>
            <w:vAlign w:val="center"/>
          </w:tcPr>
          <w:p w:rsidR="005E515C" w:rsidRDefault="00A11190">
            <w:pPr>
              <w:spacing w:after="0"/>
              <w:rPr>
                <w:rFonts w:ascii="宋体" w:eastAsia="宋体" w:hAnsi="宋体" w:cs="宋体"/>
              </w:rPr>
            </w:pPr>
            <w:r>
              <w:rPr>
                <w:rFonts w:ascii="宋体" w:eastAsia="宋体" w:hAnsi="宋体" w:cs="宋体" w:hint="eastAsia"/>
              </w:rPr>
              <w:t>评价结果</w:t>
            </w:r>
          </w:p>
        </w:tc>
        <w:tc>
          <w:tcPr>
            <w:tcW w:w="803" w:type="dxa"/>
            <w:tcBorders>
              <w:top w:val="single" w:sz="4" w:space="0" w:color="auto"/>
              <w:left w:val="single" w:sz="4" w:space="0" w:color="000000"/>
              <w:bottom w:val="single" w:sz="4" w:space="0" w:color="auto"/>
              <w:right w:val="single" w:sz="4" w:space="0" w:color="000000"/>
            </w:tcBorders>
            <w:vAlign w:val="center"/>
          </w:tcPr>
          <w:p w:rsidR="005E515C" w:rsidRDefault="005E515C">
            <w:pPr>
              <w:spacing w:after="0" w:line="68" w:lineRule="atLeast"/>
              <w:rPr>
                <w:rFonts w:ascii="宋体" w:eastAsia="宋体" w:hAnsi="宋体" w:cs="宋体"/>
              </w:rPr>
            </w:pPr>
          </w:p>
        </w:tc>
        <w:tc>
          <w:tcPr>
            <w:tcW w:w="1182" w:type="dxa"/>
            <w:tcBorders>
              <w:top w:val="single" w:sz="4" w:space="0" w:color="000000"/>
              <w:left w:val="single" w:sz="4" w:space="0" w:color="000000"/>
              <w:bottom w:val="single" w:sz="4" w:space="0" w:color="000000"/>
              <w:right w:val="single" w:sz="4" w:space="0" w:color="auto"/>
            </w:tcBorders>
            <w:vAlign w:val="center"/>
          </w:tcPr>
          <w:p w:rsidR="005E515C" w:rsidRDefault="005E515C">
            <w:pPr>
              <w:spacing w:after="0" w:line="68" w:lineRule="atLeast"/>
              <w:rPr>
                <w:rFonts w:ascii="宋体" w:eastAsia="宋体" w:hAnsi="宋体" w:cs="宋体"/>
              </w:rPr>
            </w:pPr>
          </w:p>
        </w:tc>
        <w:tc>
          <w:tcPr>
            <w:tcW w:w="10334" w:type="dxa"/>
            <w:gridSpan w:val="2"/>
            <w:tcBorders>
              <w:top w:val="single" w:sz="4" w:space="0" w:color="000000"/>
              <w:left w:val="single" w:sz="4" w:space="0" w:color="auto"/>
              <w:bottom w:val="single" w:sz="4" w:space="0" w:color="000000"/>
              <w:right w:val="single" w:sz="4" w:space="0" w:color="auto"/>
            </w:tcBorders>
            <w:vAlign w:val="center"/>
          </w:tcPr>
          <w:p w:rsidR="005E515C" w:rsidRDefault="009C119D">
            <w:pPr>
              <w:spacing w:after="0" w:line="68" w:lineRule="atLeast"/>
              <w:rPr>
                <w:rFonts w:ascii="宋体" w:eastAsia="宋体" w:hAnsi="宋体" w:cs="宋体"/>
              </w:rPr>
            </w:pPr>
            <w:r>
              <w:rPr>
                <w:rFonts w:ascii="宋体" w:eastAsia="宋体" w:hAnsi="宋体" w:cs="宋体" w:hint="eastAsia"/>
              </w:rPr>
              <w:t>■</w:t>
            </w:r>
            <w:r w:rsidR="00A11190">
              <w:rPr>
                <w:rFonts w:ascii="宋体" w:eastAsia="宋体" w:hAnsi="宋体" w:cs="宋体" w:hint="eastAsia"/>
              </w:rPr>
              <w:t>优秀  90分≤得分≤100分；</w:t>
            </w:r>
            <w:r w:rsidR="00E517BE">
              <w:rPr>
                <w:rFonts w:ascii="宋体" w:eastAsia="宋体" w:hAnsi="宋体" w:cs="宋体" w:hint="eastAsia"/>
              </w:rPr>
              <w:t>□</w:t>
            </w:r>
            <w:r w:rsidR="00A11190">
              <w:rPr>
                <w:rFonts w:ascii="宋体" w:eastAsia="宋体" w:hAnsi="宋体" w:cs="宋体" w:hint="eastAsia"/>
              </w:rPr>
              <w:t xml:space="preserve"> 良好  80分≤得分≤89分；</w:t>
            </w:r>
          </w:p>
          <w:p w:rsidR="005E515C" w:rsidRDefault="00A11190">
            <w:pPr>
              <w:spacing w:after="0" w:line="68" w:lineRule="atLeast"/>
              <w:rPr>
                <w:rFonts w:ascii="宋体" w:eastAsia="宋体" w:hAnsi="宋体" w:cs="宋体"/>
              </w:rPr>
            </w:pPr>
            <w:r>
              <w:rPr>
                <w:rFonts w:ascii="宋体" w:eastAsia="宋体" w:hAnsi="宋体" w:cs="宋体" w:hint="eastAsia"/>
              </w:rPr>
              <w:t xml:space="preserve">  □中  60分≤得分≤79分；  □较差  0≤得分≤59分</w:t>
            </w:r>
          </w:p>
        </w:tc>
        <w:tc>
          <w:tcPr>
            <w:tcW w:w="1090" w:type="dxa"/>
            <w:tcBorders>
              <w:top w:val="single" w:sz="4" w:space="0" w:color="000000"/>
              <w:left w:val="single" w:sz="4" w:space="0" w:color="auto"/>
              <w:bottom w:val="single" w:sz="4" w:space="0" w:color="000000"/>
              <w:right w:val="single" w:sz="4" w:space="0" w:color="000000"/>
            </w:tcBorders>
            <w:vAlign w:val="center"/>
          </w:tcPr>
          <w:p w:rsidR="005E515C" w:rsidRDefault="00577A28" w:rsidP="007F14A4">
            <w:pPr>
              <w:spacing w:after="0" w:line="68" w:lineRule="atLeast"/>
              <w:ind w:firstLineChars="100" w:firstLine="220"/>
              <w:rPr>
                <w:rFonts w:ascii="宋体" w:eastAsia="宋体" w:hAnsi="宋体" w:cs="宋体"/>
              </w:rPr>
            </w:pPr>
            <w:r>
              <w:rPr>
                <w:rFonts w:ascii="宋体" w:eastAsia="宋体" w:hAnsi="宋体" w:cs="宋体" w:hint="eastAsia"/>
              </w:rPr>
              <w:t>92</w:t>
            </w:r>
            <w:r w:rsidR="007F14A4">
              <w:rPr>
                <w:rFonts w:ascii="宋体" w:eastAsia="宋体" w:hAnsi="宋体" w:cs="宋体" w:hint="eastAsia"/>
              </w:rPr>
              <w:t>分</w:t>
            </w:r>
          </w:p>
        </w:tc>
      </w:tr>
    </w:tbl>
    <w:p w:rsidR="005E515C" w:rsidRDefault="005E515C">
      <w:pPr>
        <w:spacing w:line="432" w:lineRule="auto"/>
      </w:pPr>
    </w:p>
    <w:p w:rsidR="00545FFA" w:rsidRDefault="00545FFA">
      <w:pPr>
        <w:spacing w:line="432" w:lineRule="auto"/>
      </w:pPr>
    </w:p>
    <w:p w:rsidR="00545FFA" w:rsidRDefault="00545FFA">
      <w:pPr>
        <w:spacing w:line="432" w:lineRule="auto"/>
      </w:pPr>
    </w:p>
    <w:p w:rsidR="00545FFA" w:rsidRDefault="00545FFA">
      <w:pPr>
        <w:spacing w:line="432" w:lineRule="auto"/>
      </w:pPr>
    </w:p>
    <w:p w:rsidR="00545FFA" w:rsidRDefault="00545FFA">
      <w:pPr>
        <w:spacing w:line="432" w:lineRule="auto"/>
      </w:pPr>
    </w:p>
    <w:p w:rsidR="00545FFA" w:rsidRDefault="00545FFA">
      <w:pPr>
        <w:spacing w:line="432" w:lineRule="auto"/>
      </w:pPr>
    </w:p>
    <w:p w:rsidR="00CC5A67" w:rsidRDefault="00CC5A67" w:rsidP="00CC5A67">
      <w:pPr>
        <w:spacing w:after="0"/>
        <w:textAlignment w:val="center"/>
        <w:rPr>
          <w:rFonts w:ascii="黑体" w:eastAsia="黑体" w:hAnsi="黑体" w:cs="黑体"/>
          <w:color w:val="000000"/>
          <w:sz w:val="28"/>
          <w:szCs w:val="28"/>
        </w:rPr>
      </w:pPr>
    </w:p>
    <w:p w:rsidR="00EB2EF7" w:rsidRDefault="00EB2EF7" w:rsidP="00CC5A67">
      <w:pPr>
        <w:spacing w:after="0"/>
        <w:textAlignment w:val="center"/>
        <w:rPr>
          <w:rFonts w:ascii="黑体" w:eastAsia="黑体" w:hAnsi="黑体" w:cs="黑体"/>
          <w:color w:val="000000"/>
          <w:sz w:val="28"/>
          <w:szCs w:val="28"/>
        </w:rPr>
      </w:pPr>
    </w:p>
    <w:p w:rsidR="00887C2A" w:rsidRDefault="00887C2A" w:rsidP="00CC5A67">
      <w:pPr>
        <w:spacing w:after="0"/>
        <w:textAlignment w:val="center"/>
        <w:rPr>
          <w:rFonts w:ascii="仿宋" w:eastAsia="仿宋" w:hAnsi="仿宋" w:cs="黑体" w:hint="eastAsia"/>
          <w:bCs/>
          <w:sz w:val="32"/>
          <w:szCs w:val="32"/>
        </w:rPr>
      </w:pPr>
    </w:p>
    <w:p w:rsidR="00EB2EF7" w:rsidRDefault="00BE7971" w:rsidP="00CC5A67">
      <w:pPr>
        <w:spacing w:after="0"/>
        <w:textAlignment w:val="center"/>
        <w:rPr>
          <w:rFonts w:ascii="仿宋" w:eastAsia="仿宋" w:hAnsi="仿宋" w:cs="黑体"/>
          <w:bCs/>
          <w:sz w:val="32"/>
          <w:szCs w:val="32"/>
        </w:rPr>
      </w:pPr>
      <w:r>
        <w:rPr>
          <w:rFonts w:ascii="仿宋" w:eastAsia="仿宋" w:hAnsi="仿宋" w:cs="黑体" w:hint="eastAsia"/>
          <w:bCs/>
          <w:sz w:val="32"/>
          <w:szCs w:val="32"/>
        </w:rPr>
        <w:t>附件2：</w:t>
      </w:r>
    </w:p>
    <w:tbl>
      <w:tblPr>
        <w:tblW w:w="14020" w:type="dxa"/>
        <w:tblInd w:w="96" w:type="dxa"/>
        <w:tblLook w:val="04A0"/>
      </w:tblPr>
      <w:tblGrid>
        <w:gridCol w:w="728"/>
        <w:gridCol w:w="2787"/>
        <w:gridCol w:w="6157"/>
        <w:gridCol w:w="2099"/>
        <w:gridCol w:w="436"/>
        <w:gridCol w:w="436"/>
        <w:gridCol w:w="436"/>
        <w:gridCol w:w="436"/>
        <w:gridCol w:w="725"/>
      </w:tblGrid>
      <w:tr w:rsidR="00887C2A" w:rsidRPr="00887C2A" w:rsidTr="00887C2A">
        <w:trPr>
          <w:trHeight w:val="699"/>
        </w:trPr>
        <w:tc>
          <w:tcPr>
            <w:tcW w:w="14020" w:type="dxa"/>
            <w:gridSpan w:val="9"/>
            <w:tcBorders>
              <w:top w:val="nil"/>
              <w:left w:val="nil"/>
              <w:bottom w:val="single" w:sz="4" w:space="0" w:color="auto"/>
              <w:right w:val="nil"/>
            </w:tcBorders>
            <w:shd w:val="clear" w:color="auto" w:fill="auto"/>
            <w:noWrap/>
            <w:vAlign w:val="center"/>
            <w:hideMark/>
          </w:tcPr>
          <w:p w:rsidR="00887C2A" w:rsidRPr="00887C2A" w:rsidRDefault="00887C2A" w:rsidP="00887C2A">
            <w:pPr>
              <w:adjustRightInd/>
              <w:snapToGrid/>
              <w:spacing w:after="0"/>
              <w:jc w:val="center"/>
              <w:rPr>
                <w:rFonts w:ascii="仿宋" w:eastAsia="仿宋" w:hAnsi="仿宋" w:cs="Tahoma"/>
                <w:b/>
                <w:bCs/>
                <w:color w:val="000000"/>
                <w:sz w:val="40"/>
                <w:szCs w:val="40"/>
              </w:rPr>
            </w:pPr>
            <w:r w:rsidRPr="00887C2A">
              <w:rPr>
                <w:rFonts w:ascii="仿宋" w:eastAsia="仿宋" w:hAnsi="仿宋" w:cs="Tahoma" w:hint="eastAsia"/>
                <w:b/>
                <w:bCs/>
                <w:color w:val="000000"/>
                <w:sz w:val="40"/>
                <w:szCs w:val="40"/>
              </w:rPr>
              <w:t>项目支出绩效自评结果汇总表</w:t>
            </w:r>
          </w:p>
        </w:tc>
      </w:tr>
      <w:tr w:rsidR="00887C2A" w:rsidRPr="00887C2A" w:rsidTr="00887C2A">
        <w:trPr>
          <w:trHeight w:val="372"/>
        </w:trPr>
        <w:tc>
          <w:tcPr>
            <w:tcW w:w="7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序号</w:t>
            </w:r>
          </w:p>
        </w:tc>
        <w:tc>
          <w:tcPr>
            <w:tcW w:w="278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单位</w:t>
            </w:r>
          </w:p>
        </w:tc>
        <w:tc>
          <w:tcPr>
            <w:tcW w:w="615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项目名称</w:t>
            </w:r>
          </w:p>
        </w:tc>
        <w:tc>
          <w:tcPr>
            <w:tcW w:w="209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金额（万元）</w:t>
            </w:r>
          </w:p>
        </w:tc>
        <w:tc>
          <w:tcPr>
            <w:tcW w:w="152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评价等级</w:t>
            </w:r>
          </w:p>
        </w:tc>
        <w:tc>
          <w:tcPr>
            <w:tcW w:w="72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备注</w:t>
            </w:r>
          </w:p>
        </w:tc>
      </w:tr>
      <w:tr w:rsidR="00887C2A" w:rsidRPr="00887C2A" w:rsidTr="00887C2A">
        <w:trPr>
          <w:trHeight w:val="408"/>
        </w:trPr>
        <w:tc>
          <w:tcPr>
            <w:tcW w:w="728" w:type="dxa"/>
            <w:vMerge/>
            <w:tcBorders>
              <w:top w:val="nil"/>
              <w:left w:val="single" w:sz="4" w:space="0" w:color="auto"/>
              <w:bottom w:val="single" w:sz="4" w:space="0" w:color="000000"/>
              <w:right w:val="single" w:sz="4" w:space="0" w:color="auto"/>
            </w:tcBorders>
            <w:vAlign w:val="center"/>
            <w:hideMark/>
          </w:tcPr>
          <w:p w:rsidR="00887C2A" w:rsidRPr="00887C2A" w:rsidRDefault="00887C2A" w:rsidP="00887C2A">
            <w:pPr>
              <w:adjustRightInd/>
              <w:snapToGrid/>
              <w:spacing w:after="0"/>
              <w:rPr>
                <w:rFonts w:ascii="仿宋" w:eastAsia="仿宋" w:hAnsi="仿宋" w:cs="Tahoma"/>
                <w:color w:val="000000"/>
              </w:rPr>
            </w:pPr>
          </w:p>
        </w:tc>
        <w:tc>
          <w:tcPr>
            <w:tcW w:w="2787" w:type="dxa"/>
            <w:vMerge/>
            <w:tcBorders>
              <w:top w:val="nil"/>
              <w:left w:val="single" w:sz="4" w:space="0" w:color="auto"/>
              <w:bottom w:val="single" w:sz="4" w:space="0" w:color="000000"/>
              <w:right w:val="single" w:sz="4" w:space="0" w:color="auto"/>
            </w:tcBorders>
            <w:vAlign w:val="center"/>
            <w:hideMark/>
          </w:tcPr>
          <w:p w:rsidR="00887C2A" w:rsidRPr="00887C2A" w:rsidRDefault="00887C2A" w:rsidP="00887C2A">
            <w:pPr>
              <w:adjustRightInd/>
              <w:snapToGrid/>
              <w:spacing w:after="0"/>
              <w:rPr>
                <w:rFonts w:ascii="仿宋" w:eastAsia="仿宋" w:hAnsi="仿宋" w:cs="Tahoma"/>
                <w:color w:val="000000"/>
              </w:rPr>
            </w:pPr>
          </w:p>
        </w:tc>
        <w:tc>
          <w:tcPr>
            <w:tcW w:w="6157" w:type="dxa"/>
            <w:vMerge/>
            <w:tcBorders>
              <w:top w:val="nil"/>
              <w:left w:val="single" w:sz="4" w:space="0" w:color="auto"/>
              <w:bottom w:val="single" w:sz="4" w:space="0" w:color="000000"/>
              <w:right w:val="single" w:sz="4" w:space="0" w:color="auto"/>
            </w:tcBorders>
            <w:vAlign w:val="center"/>
            <w:hideMark/>
          </w:tcPr>
          <w:p w:rsidR="00887C2A" w:rsidRPr="00887C2A" w:rsidRDefault="00887C2A" w:rsidP="00887C2A">
            <w:pPr>
              <w:adjustRightInd/>
              <w:snapToGrid/>
              <w:spacing w:after="0"/>
              <w:rPr>
                <w:rFonts w:ascii="仿宋" w:eastAsia="仿宋" w:hAnsi="仿宋" w:cs="Tahoma"/>
                <w:color w:val="000000"/>
              </w:rPr>
            </w:pPr>
          </w:p>
        </w:tc>
        <w:tc>
          <w:tcPr>
            <w:tcW w:w="2099" w:type="dxa"/>
            <w:vMerge/>
            <w:tcBorders>
              <w:top w:val="nil"/>
              <w:left w:val="single" w:sz="4" w:space="0" w:color="auto"/>
              <w:bottom w:val="single" w:sz="4" w:space="0" w:color="000000"/>
              <w:right w:val="single" w:sz="4" w:space="0" w:color="auto"/>
            </w:tcBorders>
            <w:vAlign w:val="center"/>
            <w:hideMark/>
          </w:tcPr>
          <w:p w:rsidR="00887C2A" w:rsidRPr="00887C2A" w:rsidRDefault="00887C2A" w:rsidP="00887C2A">
            <w:pPr>
              <w:adjustRightInd/>
              <w:snapToGrid/>
              <w:spacing w:after="0"/>
              <w:rPr>
                <w:rFonts w:ascii="仿宋" w:eastAsia="仿宋" w:hAnsi="仿宋" w:cs="Tahoma"/>
                <w:color w:val="000000"/>
              </w:rPr>
            </w:pPr>
          </w:p>
        </w:tc>
        <w:tc>
          <w:tcPr>
            <w:tcW w:w="381" w:type="dxa"/>
            <w:tcBorders>
              <w:top w:val="nil"/>
              <w:left w:val="nil"/>
              <w:bottom w:val="single" w:sz="4" w:space="0" w:color="auto"/>
              <w:right w:val="single" w:sz="4" w:space="0" w:color="auto"/>
            </w:tcBorders>
            <w:shd w:val="clear" w:color="auto" w:fill="auto"/>
            <w:noWrap/>
            <w:vAlign w:val="center"/>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优</w:t>
            </w:r>
          </w:p>
        </w:tc>
        <w:tc>
          <w:tcPr>
            <w:tcW w:w="381" w:type="dxa"/>
            <w:tcBorders>
              <w:top w:val="nil"/>
              <w:left w:val="nil"/>
              <w:bottom w:val="single" w:sz="4" w:space="0" w:color="auto"/>
              <w:right w:val="single" w:sz="4" w:space="0" w:color="auto"/>
            </w:tcBorders>
            <w:shd w:val="clear" w:color="auto" w:fill="auto"/>
            <w:noWrap/>
            <w:vAlign w:val="center"/>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良</w:t>
            </w:r>
          </w:p>
        </w:tc>
        <w:tc>
          <w:tcPr>
            <w:tcW w:w="381" w:type="dxa"/>
            <w:tcBorders>
              <w:top w:val="nil"/>
              <w:left w:val="nil"/>
              <w:bottom w:val="single" w:sz="4" w:space="0" w:color="auto"/>
              <w:right w:val="single" w:sz="4" w:space="0" w:color="auto"/>
            </w:tcBorders>
            <w:shd w:val="clear" w:color="auto" w:fill="auto"/>
            <w:noWrap/>
            <w:vAlign w:val="center"/>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中</w:t>
            </w:r>
          </w:p>
        </w:tc>
        <w:tc>
          <w:tcPr>
            <w:tcW w:w="381" w:type="dxa"/>
            <w:tcBorders>
              <w:top w:val="nil"/>
              <w:left w:val="nil"/>
              <w:bottom w:val="single" w:sz="4" w:space="0" w:color="auto"/>
              <w:right w:val="single" w:sz="4" w:space="0" w:color="auto"/>
            </w:tcBorders>
            <w:shd w:val="clear" w:color="auto" w:fill="auto"/>
            <w:noWrap/>
            <w:vAlign w:val="center"/>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差</w:t>
            </w:r>
          </w:p>
        </w:tc>
        <w:tc>
          <w:tcPr>
            <w:tcW w:w="725" w:type="dxa"/>
            <w:vMerge/>
            <w:tcBorders>
              <w:top w:val="nil"/>
              <w:left w:val="single" w:sz="4" w:space="0" w:color="auto"/>
              <w:bottom w:val="single" w:sz="4" w:space="0" w:color="000000"/>
              <w:right w:val="single" w:sz="4" w:space="0" w:color="auto"/>
            </w:tcBorders>
            <w:vAlign w:val="center"/>
            <w:hideMark/>
          </w:tcPr>
          <w:p w:rsidR="00887C2A" w:rsidRPr="00887C2A" w:rsidRDefault="00887C2A" w:rsidP="00887C2A">
            <w:pPr>
              <w:adjustRightInd/>
              <w:snapToGrid/>
              <w:spacing w:after="0"/>
              <w:rPr>
                <w:rFonts w:ascii="仿宋" w:eastAsia="仿宋" w:hAnsi="仿宋" w:cs="Tahoma"/>
                <w:color w:val="000000"/>
              </w:rPr>
            </w:pPr>
          </w:p>
        </w:tc>
      </w:tr>
      <w:tr w:rsidR="00887C2A" w:rsidRPr="00887C2A" w:rsidTr="00887C2A">
        <w:trPr>
          <w:trHeight w:val="360"/>
        </w:trPr>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1</w:t>
            </w:r>
          </w:p>
        </w:tc>
        <w:tc>
          <w:tcPr>
            <w:tcW w:w="2787" w:type="dxa"/>
            <w:tcBorders>
              <w:top w:val="nil"/>
              <w:left w:val="nil"/>
              <w:bottom w:val="single" w:sz="4" w:space="0" w:color="auto"/>
              <w:right w:val="single" w:sz="4" w:space="0" w:color="auto"/>
            </w:tcBorders>
            <w:shd w:val="clear" w:color="auto" w:fill="auto"/>
            <w:noWrap/>
            <w:vAlign w:val="center"/>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中方县自然资源局</w:t>
            </w:r>
          </w:p>
        </w:tc>
        <w:tc>
          <w:tcPr>
            <w:tcW w:w="6157"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地质灾害项目</w:t>
            </w:r>
          </w:p>
        </w:tc>
        <w:tc>
          <w:tcPr>
            <w:tcW w:w="2099"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234.32</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725"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r>
      <w:tr w:rsidR="00887C2A" w:rsidRPr="00887C2A" w:rsidTr="00887C2A">
        <w:trPr>
          <w:trHeight w:val="360"/>
        </w:trPr>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2</w:t>
            </w:r>
          </w:p>
        </w:tc>
        <w:tc>
          <w:tcPr>
            <w:tcW w:w="2787"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6157"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大冲垄水库项目</w:t>
            </w:r>
          </w:p>
        </w:tc>
        <w:tc>
          <w:tcPr>
            <w:tcW w:w="2099"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146.97</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725"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r>
      <w:tr w:rsidR="00887C2A" w:rsidRPr="00887C2A" w:rsidTr="00887C2A">
        <w:trPr>
          <w:trHeight w:val="360"/>
        </w:trPr>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3</w:t>
            </w:r>
          </w:p>
        </w:tc>
        <w:tc>
          <w:tcPr>
            <w:tcW w:w="2787"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6157"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怀化花桥磷矿矿井涌水治理项目</w:t>
            </w:r>
          </w:p>
        </w:tc>
        <w:tc>
          <w:tcPr>
            <w:tcW w:w="2099"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181.57</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725"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r>
      <w:tr w:rsidR="00887C2A" w:rsidRPr="00887C2A" w:rsidTr="00887C2A">
        <w:trPr>
          <w:trHeight w:val="360"/>
        </w:trPr>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4</w:t>
            </w:r>
          </w:p>
        </w:tc>
        <w:tc>
          <w:tcPr>
            <w:tcW w:w="2787"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6157"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耕地开垦专项“旱改水”指标交易</w:t>
            </w:r>
          </w:p>
        </w:tc>
        <w:tc>
          <w:tcPr>
            <w:tcW w:w="2099"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300</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725"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r>
      <w:tr w:rsidR="00887C2A" w:rsidRPr="00887C2A" w:rsidTr="00887C2A">
        <w:trPr>
          <w:trHeight w:val="360"/>
        </w:trPr>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5</w:t>
            </w:r>
          </w:p>
        </w:tc>
        <w:tc>
          <w:tcPr>
            <w:tcW w:w="2787"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6157"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自筹人员工资福利补差</w:t>
            </w:r>
          </w:p>
        </w:tc>
        <w:tc>
          <w:tcPr>
            <w:tcW w:w="2099"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449.54</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725"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r>
      <w:tr w:rsidR="00887C2A" w:rsidRPr="00887C2A" w:rsidTr="00887C2A">
        <w:trPr>
          <w:trHeight w:val="360"/>
        </w:trPr>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6</w:t>
            </w:r>
          </w:p>
        </w:tc>
        <w:tc>
          <w:tcPr>
            <w:tcW w:w="2787"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6157"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润恒汇民耕地占补平衡项目</w:t>
            </w:r>
          </w:p>
        </w:tc>
        <w:tc>
          <w:tcPr>
            <w:tcW w:w="2099"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80</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725"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r>
      <w:tr w:rsidR="00887C2A" w:rsidRPr="00887C2A" w:rsidTr="00887C2A">
        <w:trPr>
          <w:trHeight w:val="360"/>
        </w:trPr>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7</w:t>
            </w:r>
          </w:p>
        </w:tc>
        <w:tc>
          <w:tcPr>
            <w:tcW w:w="2787"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6157"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永久基本农田</w:t>
            </w:r>
          </w:p>
        </w:tc>
        <w:tc>
          <w:tcPr>
            <w:tcW w:w="2099"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12.96</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725"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r>
      <w:tr w:rsidR="00887C2A" w:rsidRPr="00887C2A" w:rsidTr="00887C2A">
        <w:trPr>
          <w:trHeight w:val="360"/>
        </w:trPr>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8</w:t>
            </w:r>
          </w:p>
        </w:tc>
        <w:tc>
          <w:tcPr>
            <w:tcW w:w="2787"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6157"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中方县地理国情地图集</w:t>
            </w:r>
          </w:p>
        </w:tc>
        <w:tc>
          <w:tcPr>
            <w:tcW w:w="2099"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5.08</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725"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r>
      <w:tr w:rsidR="00887C2A" w:rsidRPr="00887C2A" w:rsidTr="00887C2A">
        <w:trPr>
          <w:trHeight w:val="360"/>
        </w:trPr>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9</w:t>
            </w:r>
          </w:p>
        </w:tc>
        <w:tc>
          <w:tcPr>
            <w:tcW w:w="2787"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6157"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1：500地形图测绘</w:t>
            </w:r>
          </w:p>
        </w:tc>
        <w:tc>
          <w:tcPr>
            <w:tcW w:w="2099"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70.3</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725"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r>
      <w:tr w:rsidR="00887C2A" w:rsidRPr="00887C2A" w:rsidTr="00887C2A">
        <w:trPr>
          <w:trHeight w:val="360"/>
        </w:trPr>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10</w:t>
            </w:r>
          </w:p>
        </w:tc>
        <w:tc>
          <w:tcPr>
            <w:tcW w:w="2787"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6157"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花桥白沙溪污染防治项目</w:t>
            </w:r>
          </w:p>
        </w:tc>
        <w:tc>
          <w:tcPr>
            <w:tcW w:w="2099"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16</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725"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r>
      <w:tr w:rsidR="00887C2A" w:rsidRPr="00887C2A" w:rsidTr="00887C2A">
        <w:trPr>
          <w:trHeight w:val="360"/>
        </w:trPr>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11</w:t>
            </w:r>
          </w:p>
        </w:tc>
        <w:tc>
          <w:tcPr>
            <w:tcW w:w="2787"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6157"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11个乡镇地形图测绘</w:t>
            </w:r>
          </w:p>
        </w:tc>
        <w:tc>
          <w:tcPr>
            <w:tcW w:w="2099"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45</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725"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r>
      <w:tr w:rsidR="00887C2A" w:rsidRPr="00887C2A" w:rsidTr="00887C2A">
        <w:trPr>
          <w:trHeight w:val="360"/>
        </w:trPr>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12</w:t>
            </w:r>
          </w:p>
        </w:tc>
        <w:tc>
          <w:tcPr>
            <w:tcW w:w="2787"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6157"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中方县普通建筑用砂石矿专项编制</w:t>
            </w:r>
          </w:p>
        </w:tc>
        <w:tc>
          <w:tcPr>
            <w:tcW w:w="2099"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9.8</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725"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r>
      <w:tr w:rsidR="00887C2A" w:rsidRPr="00887C2A" w:rsidTr="00887C2A">
        <w:trPr>
          <w:trHeight w:val="360"/>
        </w:trPr>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13</w:t>
            </w:r>
          </w:p>
        </w:tc>
        <w:tc>
          <w:tcPr>
            <w:tcW w:w="2787"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6157"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不动产登记技术服务维护项目</w:t>
            </w:r>
          </w:p>
        </w:tc>
        <w:tc>
          <w:tcPr>
            <w:tcW w:w="2099"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22.27</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725"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r>
      <w:tr w:rsidR="00887C2A" w:rsidRPr="00887C2A" w:rsidTr="00887C2A">
        <w:trPr>
          <w:trHeight w:val="360"/>
        </w:trPr>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14</w:t>
            </w:r>
          </w:p>
        </w:tc>
        <w:tc>
          <w:tcPr>
            <w:tcW w:w="2787"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6157"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废弃矿山生态修复项目</w:t>
            </w:r>
          </w:p>
        </w:tc>
        <w:tc>
          <w:tcPr>
            <w:tcW w:w="2099"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430.99</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725"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r>
      <w:tr w:rsidR="00887C2A" w:rsidRPr="00887C2A" w:rsidTr="00887C2A">
        <w:trPr>
          <w:trHeight w:val="360"/>
        </w:trPr>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15</w:t>
            </w:r>
          </w:p>
        </w:tc>
        <w:tc>
          <w:tcPr>
            <w:tcW w:w="2787"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6157"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土地评估项目</w:t>
            </w:r>
          </w:p>
        </w:tc>
        <w:tc>
          <w:tcPr>
            <w:tcW w:w="2099"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48.81</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725"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r>
      <w:tr w:rsidR="00887C2A" w:rsidRPr="00887C2A" w:rsidTr="00887C2A">
        <w:trPr>
          <w:trHeight w:val="360"/>
        </w:trPr>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16</w:t>
            </w:r>
          </w:p>
        </w:tc>
        <w:tc>
          <w:tcPr>
            <w:tcW w:w="2787"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6157"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2017年耕地质量等别更新评价</w:t>
            </w:r>
          </w:p>
        </w:tc>
        <w:tc>
          <w:tcPr>
            <w:tcW w:w="2099"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8</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725"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r>
      <w:tr w:rsidR="00887C2A" w:rsidRPr="00887C2A" w:rsidTr="00887C2A">
        <w:trPr>
          <w:trHeight w:val="360"/>
        </w:trPr>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17</w:t>
            </w:r>
          </w:p>
        </w:tc>
        <w:tc>
          <w:tcPr>
            <w:tcW w:w="2787"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6157"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土地成片开发方案</w:t>
            </w:r>
          </w:p>
        </w:tc>
        <w:tc>
          <w:tcPr>
            <w:tcW w:w="2099"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10</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725"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r>
      <w:tr w:rsidR="00887C2A" w:rsidRPr="00887C2A" w:rsidTr="00887C2A">
        <w:trPr>
          <w:trHeight w:val="360"/>
        </w:trPr>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lastRenderedPageBreak/>
              <w:t>18</w:t>
            </w:r>
          </w:p>
        </w:tc>
        <w:tc>
          <w:tcPr>
            <w:tcW w:w="2787"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6157"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2014-2022年临时用地恢复经费</w:t>
            </w:r>
          </w:p>
        </w:tc>
        <w:tc>
          <w:tcPr>
            <w:tcW w:w="2099"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3089.66</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725"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r>
      <w:tr w:rsidR="00887C2A" w:rsidRPr="00887C2A" w:rsidTr="00887C2A">
        <w:trPr>
          <w:trHeight w:val="360"/>
        </w:trPr>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19</w:t>
            </w:r>
          </w:p>
        </w:tc>
        <w:tc>
          <w:tcPr>
            <w:tcW w:w="2787"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6157"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国土空间规划编制</w:t>
            </w:r>
          </w:p>
        </w:tc>
        <w:tc>
          <w:tcPr>
            <w:tcW w:w="2099"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50</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725"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r>
      <w:tr w:rsidR="00887C2A" w:rsidRPr="00887C2A" w:rsidTr="00887C2A">
        <w:trPr>
          <w:trHeight w:val="396"/>
        </w:trPr>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20</w:t>
            </w:r>
          </w:p>
        </w:tc>
        <w:tc>
          <w:tcPr>
            <w:tcW w:w="2787"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6157" w:type="dxa"/>
            <w:tcBorders>
              <w:top w:val="nil"/>
              <w:left w:val="nil"/>
              <w:bottom w:val="single" w:sz="4" w:space="0" w:color="auto"/>
              <w:right w:val="single" w:sz="4" w:space="0" w:color="auto"/>
            </w:tcBorders>
            <w:shd w:val="clear" w:color="auto" w:fill="auto"/>
            <w:vAlign w:val="center"/>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铁塔视频监测项目</w:t>
            </w:r>
          </w:p>
        </w:tc>
        <w:tc>
          <w:tcPr>
            <w:tcW w:w="2099"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30.4</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725"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r>
      <w:tr w:rsidR="00887C2A" w:rsidRPr="00887C2A" w:rsidTr="00887C2A">
        <w:trPr>
          <w:trHeight w:val="396"/>
        </w:trPr>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21</w:t>
            </w:r>
          </w:p>
        </w:tc>
        <w:tc>
          <w:tcPr>
            <w:tcW w:w="2787"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6157" w:type="dxa"/>
            <w:tcBorders>
              <w:top w:val="nil"/>
              <w:left w:val="nil"/>
              <w:bottom w:val="single" w:sz="4" w:space="0" w:color="auto"/>
              <w:right w:val="single" w:sz="4" w:space="0" w:color="auto"/>
            </w:tcBorders>
            <w:shd w:val="clear" w:color="auto" w:fill="auto"/>
            <w:vAlign w:val="center"/>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集体所有权登记成果更新汇交</w:t>
            </w:r>
          </w:p>
        </w:tc>
        <w:tc>
          <w:tcPr>
            <w:tcW w:w="2099"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17.41</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725"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r>
      <w:tr w:rsidR="00887C2A" w:rsidRPr="00887C2A" w:rsidTr="00887C2A">
        <w:trPr>
          <w:trHeight w:val="396"/>
        </w:trPr>
        <w:tc>
          <w:tcPr>
            <w:tcW w:w="728" w:type="dxa"/>
            <w:tcBorders>
              <w:top w:val="nil"/>
              <w:left w:val="single" w:sz="4" w:space="0" w:color="auto"/>
              <w:bottom w:val="single" w:sz="4" w:space="0" w:color="auto"/>
              <w:right w:val="single" w:sz="4" w:space="0" w:color="auto"/>
            </w:tcBorders>
            <w:shd w:val="clear" w:color="auto" w:fill="auto"/>
            <w:noWrap/>
            <w:vAlign w:val="center"/>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22</w:t>
            </w:r>
          </w:p>
        </w:tc>
        <w:tc>
          <w:tcPr>
            <w:tcW w:w="2787"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6157" w:type="dxa"/>
            <w:tcBorders>
              <w:top w:val="nil"/>
              <w:left w:val="nil"/>
              <w:bottom w:val="single" w:sz="4" w:space="0" w:color="auto"/>
              <w:right w:val="single" w:sz="4" w:space="0" w:color="auto"/>
            </w:tcBorders>
            <w:shd w:val="clear" w:color="auto" w:fill="auto"/>
            <w:vAlign w:val="center"/>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设施农用地统一上图入库</w:t>
            </w:r>
          </w:p>
        </w:tc>
        <w:tc>
          <w:tcPr>
            <w:tcW w:w="2099"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10</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725"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r>
      <w:tr w:rsidR="00887C2A" w:rsidRPr="00887C2A" w:rsidTr="00887C2A">
        <w:trPr>
          <w:trHeight w:val="360"/>
        </w:trPr>
        <w:tc>
          <w:tcPr>
            <w:tcW w:w="728" w:type="dxa"/>
            <w:tcBorders>
              <w:top w:val="nil"/>
              <w:left w:val="single" w:sz="4" w:space="0" w:color="auto"/>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b/>
                <w:bCs/>
                <w:color w:val="000000"/>
              </w:rPr>
            </w:pPr>
            <w:r w:rsidRPr="00887C2A">
              <w:rPr>
                <w:rFonts w:ascii="仿宋" w:eastAsia="仿宋" w:hAnsi="仿宋" w:cs="Tahoma" w:hint="eastAsia"/>
                <w:b/>
                <w:bCs/>
                <w:color w:val="000000"/>
              </w:rPr>
              <w:t>汇总</w:t>
            </w:r>
          </w:p>
        </w:tc>
        <w:tc>
          <w:tcPr>
            <w:tcW w:w="2787"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6157"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2099"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5269.08</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jc w:val="center"/>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381"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c>
          <w:tcPr>
            <w:tcW w:w="725" w:type="dxa"/>
            <w:tcBorders>
              <w:top w:val="nil"/>
              <w:left w:val="nil"/>
              <w:bottom w:val="single" w:sz="4" w:space="0" w:color="auto"/>
              <w:right w:val="single" w:sz="4" w:space="0" w:color="auto"/>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 xml:space="preserve">　</w:t>
            </w:r>
          </w:p>
        </w:tc>
      </w:tr>
      <w:tr w:rsidR="00887C2A" w:rsidRPr="00887C2A" w:rsidTr="00887C2A">
        <w:trPr>
          <w:trHeight w:val="564"/>
        </w:trPr>
        <w:tc>
          <w:tcPr>
            <w:tcW w:w="9672" w:type="dxa"/>
            <w:gridSpan w:val="3"/>
            <w:tcBorders>
              <w:top w:val="nil"/>
              <w:left w:val="nil"/>
              <w:bottom w:val="nil"/>
              <w:right w:val="nil"/>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r w:rsidRPr="00887C2A">
              <w:rPr>
                <w:rFonts w:ascii="仿宋" w:eastAsia="仿宋" w:hAnsi="仿宋" w:cs="Tahoma" w:hint="eastAsia"/>
                <w:color w:val="000000"/>
              </w:rPr>
              <w:t>备注：最后一栏请汇总金额，优、良、中、差项目评价等级数量。</w:t>
            </w:r>
          </w:p>
        </w:tc>
        <w:tc>
          <w:tcPr>
            <w:tcW w:w="2099" w:type="dxa"/>
            <w:tcBorders>
              <w:top w:val="nil"/>
              <w:left w:val="nil"/>
              <w:bottom w:val="nil"/>
              <w:right w:val="nil"/>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p>
        </w:tc>
        <w:tc>
          <w:tcPr>
            <w:tcW w:w="381" w:type="dxa"/>
            <w:tcBorders>
              <w:top w:val="nil"/>
              <w:left w:val="nil"/>
              <w:bottom w:val="nil"/>
              <w:right w:val="nil"/>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p>
        </w:tc>
        <w:tc>
          <w:tcPr>
            <w:tcW w:w="381" w:type="dxa"/>
            <w:tcBorders>
              <w:top w:val="nil"/>
              <w:left w:val="nil"/>
              <w:bottom w:val="nil"/>
              <w:right w:val="nil"/>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p>
        </w:tc>
        <w:tc>
          <w:tcPr>
            <w:tcW w:w="381" w:type="dxa"/>
            <w:tcBorders>
              <w:top w:val="nil"/>
              <w:left w:val="nil"/>
              <w:bottom w:val="nil"/>
              <w:right w:val="nil"/>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p>
        </w:tc>
        <w:tc>
          <w:tcPr>
            <w:tcW w:w="381" w:type="dxa"/>
            <w:tcBorders>
              <w:top w:val="nil"/>
              <w:left w:val="nil"/>
              <w:bottom w:val="nil"/>
              <w:right w:val="nil"/>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p>
        </w:tc>
        <w:tc>
          <w:tcPr>
            <w:tcW w:w="725" w:type="dxa"/>
            <w:tcBorders>
              <w:top w:val="nil"/>
              <w:left w:val="nil"/>
              <w:bottom w:val="nil"/>
              <w:right w:val="nil"/>
            </w:tcBorders>
            <w:shd w:val="clear" w:color="auto" w:fill="auto"/>
            <w:noWrap/>
            <w:vAlign w:val="bottom"/>
            <w:hideMark/>
          </w:tcPr>
          <w:p w:rsidR="00887C2A" w:rsidRPr="00887C2A" w:rsidRDefault="00887C2A" w:rsidP="00887C2A">
            <w:pPr>
              <w:adjustRightInd/>
              <w:snapToGrid/>
              <w:spacing w:after="0"/>
              <w:rPr>
                <w:rFonts w:ascii="仿宋" w:eastAsia="仿宋" w:hAnsi="仿宋" w:cs="Tahoma"/>
                <w:color w:val="000000"/>
              </w:rPr>
            </w:pPr>
          </w:p>
        </w:tc>
      </w:tr>
    </w:tbl>
    <w:p w:rsidR="00BE7971" w:rsidRDefault="00BE7971" w:rsidP="00CC5A67">
      <w:pPr>
        <w:spacing w:after="0"/>
        <w:textAlignment w:val="center"/>
        <w:rPr>
          <w:rFonts w:ascii="黑体" w:eastAsia="黑体" w:hAnsi="黑体" w:cs="黑体"/>
          <w:color w:val="000000"/>
          <w:sz w:val="28"/>
          <w:szCs w:val="28"/>
        </w:rPr>
      </w:pPr>
    </w:p>
    <w:sectPr w:rsidR="00BE7971" w:rsidSect="005E515C">
      <w:pgSz w:w="16838" w:h="11906" w:orient="landscape"/>
      <w:pgMar w:top="1587" w:right="1587" w:bottom="1587" w:left="1587" w:header="708" w:footer="709" w:gutter="0"/>
      <w:cols w:space="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0C3E" w:rsidRDefault="006E0C3E" w:rsidP="005E515C">
      <w:pPr>
        <w:spacing w:after="0"/>
      </w:pPr>
      <w:r>
        <w:separator/>
      </w:r>
    </w:p>
  </w:endnote>
  <w:endnote w:type="continuationSeparator" w:id="0">
    <w:p w:rsidR="006E0C3E" w:rsidRDefault="006E0C3E" w:rsidP="005E515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script"/>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F35" w:rsidRDefault="0025628F">
    <w:pPr>
      <w:pStyle w:val="a3"/>
    </w:pPr>
    <w:r>
      <w:pict>
        <v:shapetype id="_x0000_t202" coordsize="21600,21600" o:spt="202" path="m,l,21600r21600,l21600,xe">
          <v:stroke joinstyle="miter"/>
          <v:path gradientshapeok="t" o:connecttype="rect"/>
        </v:shapetype>
        <v:shape id="_x0000_s2051" type="#_x0000_t202" style="position:absolute;margin-left:0;margin-top:0;width:2in;height:2in;z-index:251660288;mso-wrap-style:none;mso-position-horizontal:center;mso-position-horizontal-relative:margin" filled="f" stroked="f">
          <v:textbox style="mso-fit-shape-to-text:t" inset="0,0,0,0">
            <w:txbxContent>
              <w:p w:rsidR="00946F35" w:rsidRDefault="0025628F">
                <w:pPr>
                  <w:pStyle w:val="a3"/>
                  <w:rPr>
                    <w:sz w:val="21"/>
                    <w:szCs w:val="21"/>
                  </w:rPr>
                </w:pPr>
                <w:r>
                  <w:rPr>
                    <w:sz w:val="21"/>
                    <w:szCs w:val="21"/>
                  </w:rPr>
                  <w:fldChar w:fldCharType="begin"/>
                </w:r>
                <w:r w:rsidR="00946F35">
                  <w:rPr>
                    <w:sz w:val="21"/>
                    <w:szCs w:val="21"/>
                  </w:rPr>
                  <w:instrText xml:space="preserve"> PAGE  \* MERGEFORMAT </w:instrText>
                </w:r>
                <w:r>
                  <w:rPr>
                    <w:sz w:val="21"/>
                    <w:szCs w:val="21"/>
                  </w:rPr>
                  <w:fldChar w:fldCharType="separate"/>
                </w:r>
                <w:r w:rsidR="00887C2A">
                  <w:rPr>
                    <w:noProof/>
                    <w:sz w:val="21"/>
                    <w:szCs w:val="21"/>
                  </w:rPr>
                  <w:t>22</w:t>
                </w:r>
                <w:r>
                  <w:rPr>
                    <w:sz w:val="21"/>
                    <w:szCs w:val="21"/>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0C3E" w:rsidRDefault="006E0C3E">
      <w:pPr>
        <w:spacing w:after="0"/>
      </w:pPr>
      <w:r>
        <w:separator/>
      </w:r>
    </w:p>
  </w:footnote>
  <w:footnote w:type="continuationSeparator" w:id="0">
    <w:p w:rsidR="006E0C3E" w:rsidRDefault="006E0C3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26DDEFE"/>
    <w:multiLevelType w:val="singleLevel"/>
    <w:tmpl w:val="826DDEFE"/>
    <w:lvl w:ilvl="0">
      <w:start w:val="1"/>
      <w:numFmt w:val="chineseCounting"/>
      <w:suff w:val="nothing"/>
      <w:lvlText w:val="（%1）"/>
      <w:lvlJc w:val="left"/>
      <w:rPr>
        <w:rFonts w:hint="eastAsia"/>
        <w:b/>
        <w:bCs/>
      </w:rPr>
    </w:lvl>
  </w:abstractNum>
  <w:abstractNum w:abstractNumId="1">
    <w:nsid w:val="70083A52"/>
    <w:multiLevelType w:val="hybridMultilevel"/>
    <w:tmpl w:val="757226C2"/>
    <w:lvl w:ilvl="0" w:tplc="138897EA">
      <w:start w:val="4"/>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57346" fillcolor="white">
      <v:fill color="white"/>
    </o:shapedefaults>
    <o:shapelayout v:ext="edit">
      <o:idmap v:ext="edit" data="2"/>
    </o:shapelayout>
  </w:hdrShapeDefaults>
  <w:footnotePr>
    <w:footnote w:id="-1"/>
    <w:footnote w:id="0"/>
  </w:footnotePr>
  <w:endnotePr>
    <w:endnote w:id="-1"/>
    <w:endnote w:id="0"/>
  </w:endnotePr>
  <w:compat>
    <w:useFELayout/>
  </w:compat>
  <w:rsids>
    <w:rsidRoot w:val="00D31D50"/>
    <w:rsid w:val="0000343A"/>
    <w:rsid w:val="00004562"/>
    <w:rsid w:val="0000478A"/>
    <w:rsid w:val="0000541C"/>
    <w:rsid w:val="00013934"/>
    <w:rsid w:val="0001447D"/>
    <w:rsid w:val="000158D1"/>
    <w:rsid w:val="00037EF2"/>
    <w:rsid w:val="00042BD9"/>
    <w:rsid w:val="00050D33"/>
    <w:rsid w:val="00094C8C"/>
    <w:rsid w:val="000B2087"/>
    <w:rsid w:val="000B540C"/>
    <w:rsid w:val="000B78B9"/>
    <w:rsid w:val="000D35AE"/>
    <w:rsid w:val="000E7766"/>
    <w:rsid w:val="000F3872"/>
    <w:rsid w:val="000F4A47"/>
    <w:rsid w:val="000F5460"/>
    <w:rsid w:val="00101BF5"/>
    <w:rsid w:val="00105082"/>
    <w:rsid w:val="00126C77"/>
    <w:rsid w:val="001346A0"/>
    <w:rsid w:val="00135CB9"/>
    <w:rsid w:val="00150446"/>
    <w:rsid w:val="00162060"/>
    <w:rsid w:val="0016592F"/>
    <w:rsid w:val="00166AA5"/>
    <w:rsid w:val="0019051C"/>
    <w:rsid w:val="00191F8B"/>
    <w:rsid w:val="00193809"/>
    <w:rsid w:val="001A0090"/>
    <w:rsid w:val="001A1EAD"/>
    <w:rsid w:val="001A62F9"/>
    <w:rsid w:val="001B78C6"/>
    <w:rsid w:val="001C2800"/>
    <w:rsid w:val="001C706E"/>
    <w:rsid w:val="001C7F0A"/>
    <w:rsid w:val="001D3741"/>
    <w:rsid w:val="001D47A2"/>
    <w:rsid w:val="001F1A2E"/>
    <w:rsid w:val="00207136"/>
    <w:rsid w:val="00210C98"/>
    <w:rsid w:val="00240A7A"/>
    <w:rsid w:val="0025628F"/>
    <w:rsid w:val="00275D82"/>
    <w:rsid w:val="00280B2C"/>
    <w:rsid w:val="0029394A"/>
    <w:rsid w:val="002958E5"/>
    <w:rsid w:val="002A12D0"/>
    <w:rsid w:val="002A7FF1"/>
    <w:rsid w:val="002B0AE4"/>
    <w:rsid w:val="002B43AE"/>
    <w:rsid w:val="002B757C"/>
    <w:rsid w:val="002E65E6"/>
    <w:rsid w:val="0031046E"/>
    <w:rsid w:val="003115FC"/>
    <w:rsid w:val="003123B4"/>
    <w:rsid w:val="0031526B"/>
    <w:rsid w:val="00323B43"/>
    <w:rsid w:val="00332863"/>
    <w:rsid w:val="00333828"/>
    <w:rsid w:val="003453D4"/>
    <w:rsid w:val="003634F7"/>
    <w:rsid w:val="00363B1F"/>
    <w:rsid w:val="00363BC5"/>
    <w:rsid w:val="0036742F"/>
    <w:rsid w:val="003745FA"/>
    <w:rsid w:val="00374973"/>
    <w:rsid w:val="00376D29"/>
    <w:rsid w:val="0038315F"/>
    <w:rsid w:val="00392902"/>
    <w:rsid w:val="00397A32"/>
    <w:rsid w:val="003A1240"/>
    <w:rsid w:val="003A4283"/>
    <w:rsid w:val="003A75F8"/>
    <w:rsid w:val="003C1A48"/>
    <w:rsid w:val="003D37D8"/>
    <w:rsid w:val="003F7517"/>
    <w:rsid w:val="0041384F"/>
    <w:rsid w:val="00415CE5"/>
    <w:rsid w:val="00426133"/>
    <w:rsid w:val="004269B8"/>
    <w:rsid w:val="00431125"/>
    <w:rsid w:val="00432164"/>
    <w:rsid w:val="0043228D"/>
    <w:rsid w:val="004358AB"/>
    <w:rsid w:val="004419A5"/>
    <w:rsid w:val="00443FF2"/>
    <w:rsid w:val="00450F31"/>
    <w:rsid w:val="00451498"/>
    <w:rsid w:val="00453B53"/>
    <w:rsid w:val="0045627D"/>
    <w:rsid w:val="00457F72"/>
    <w:rsid w:val="004756D5"/>
    <w:rsid w:val="00480CDA"/>
    <w:rsid w:val="00481A2B"/>
    <w:rsid w:val="004915E7"/>
    <w:rsid w:val="004952BB"/>
    <w:rsid w:val="004A0627"/>
    <w:rsid w:val="004A6614"/>
    <w:rsid w:val="004B36A7"/>
    <w:rsid w:val="004B5A5A"/>
    <w:rsid w:val="004C33DF"/>
    <w:rsid w:val="004C6566"/>
    <w:rsid w:val="004D4926"/>
    <w:rsid w:val="004E0166"/>
    <w:rsid w:val="004F3265"/>
    <w:rsid w:val="005028F4"/>
    <w:rsid w:val="00524D31"/>
    <w:rsid w:val="0054098E"/>
    <w:rsid w:val="00541F7F"/>
    <w:rsid w:val="00542C4C"/>
    <w:rsid w:val="00545FFA"/>
    <w:rsid w:val="00546B37"/>
    <w:rsid w:val="005611A5"/>
    <w:rsid w:val="0056698E"/>
    <w:rsid w:val="00577A28"/>
    <w:rsid w:val="005A4195"/>
    <w:rsid w:val="005A5590"/>
    <w:rsid w:val="005A59FC"/>
    <w:rsid w:val="005B509E"/>
    <w:rsid w:val="005C40EE"/>
    <w:rsid w:val="005D078C"/>
    <w:rsid w:val="005D529A"/>
    <w:rsid w:val="005D5503"/>
    <w:rsid w:val="005E515C"/>
    <w:rsid w:val="006419D2"/>
    <w:rsid w:val="00650925"/>
    <w:rsid w:val="0065189B"/>
    <w:rsid w:val="00680A53"/>
    <w:rsid w:val="00684E94"/>
    <w:rsid w:val="006A0894"/>
    <w:rsid w:val="006A3A8F"/>
    <w:rsid w:val="006B50E7"/>
    <w:rsid w:val="006D3021"/>
    <w:rsid w:val="006D455B"/>
    <w:rsid w:val="006E0C3E"/>
    <w:rsid w:val="006E22E2"/>
    <w:rsid w:val="006E5F2B"/>
    <w:rsid w:val="007044E5"/>
    <w:rsid w:val="00721F7D"/>
    <w:rsid w:val="00740D8B"/>
    <w:rsid w:val="0074206C"/>
    <w:rsid w:val="00744665"/>
    <w:rsid w:val="00752110"/>
    <w:rsid w:val="00767A40"/>
    <w:rsid w:val="007807AF"/>
    <w:rsid w:val="00782012"/>
    <w:rsid w:val="0078444A"/>
    <w:rsid w:val="007A0652"/>
    <w:rsid w:val="007F14A4"/>
    <w:rsid w:val="007F4764"/>
    <w:rsid w:val="00803E3A"/>
    <w:rsid w:val="00807C6D"/>
    <w:rsid w:val="00810317"/>
    <w:rsid w:val="00814466"/>
    <w:rsid w:val="00816784"/>
    <w:rsid w:val="00820C05"/>
    <w:rsid w:val="008265E4"/>
    <w:rsid w:val="008438A8"/>
    <w:rsid w:val="00863178"/>
    <w:rsid w:val="00863BC1"/>
    <w:rsid w:val="008703D8"/>
    <w:rsid w:val="0087212B"/>
    <w:rsid w:val="008732FC"/>
    <w:rsid w:val="00877D58"/>
    <w:rsid w:val="0088655A"/>
    <w:rsid w:val="00886A35"/>
    <w:rsid w:val="00887C2A"/>
    <w:rsid w:val="008933E2"/>
    <w:rsid w:val="00897B0E"/>
    <w:rsid w:val="008B0956"/>
    <w:rsid w:val="008B0A8A"/>
    <w:rsid w:val="008B38FE"/>
    <w:rsid w:val="008B7726"/>
    <w:rsid w:val="008C233F"/>
    <w:rsid w:val="008C61A8"/>
    <w:rsid w:val="008D7B6A"/>
    <w:rsid w:val="008E22BF"/>
    <w:rsid w:val="008E30FE"/>
    <w:rsid w:val="008E6C61"/>
    <w:rsid w:val="008F78E4"/>
    <w:rsid w:val="00901D02"/>
    <w:rsid w:val="00904931"/>
    <w:rsid w:val="00905004"/>
    <w:rsid w:val="00911CA0"/>
    <w:rsid w:val="00913D12"/>
    <w:rsid w:val="00921FC5"/>
    <w:rsid w:val="00931C11"/>
    <w:rsid w:val="00942A90"/>
    <w:rsid w:val="009431C6"/>
    <w:rsid w:val="00943337"/>
    <w:rsid w:val="00946F35"/>
    <w:rsid w:val="00951180"/>
    <w:rsid w:val="00952F7A"/>
    <w:rsid w:val="00954FEA"/>
    <w:rsid w:val="0097061E"/>
    <w:rsid w:val="009713B5"/>
    <w:rsid w:val="00974EF5"/>
    <w:rsid w:val="00981299"/>
    <w:rsid w:val="00984B46"/>
    <w:rsid w:val="0098790A"/>
    <w:rsid w:val="009C0B2E"/>
    <w:rsid w:val="009C119D"/>
    <w:rsid w:val="009C3813"/>
    <w:rsid w:val="009D54C6"/>
    <w:rsid w:val="00A02069"/>
    <w:rsid w:val="00A11190"/>
    <w:rsid w:val="00A369CF"/>
    <w:rsid w:val="00A40BEF"/>
    <w:rsid w:val="00A4109E"/>
    <w:rsid w:val="00A722D2"/>
    <w:rsid w:val="00A90A9C"/>
    <w:rsid w:val="00A94D12"/>
    <w:rsid w:val="00A94E5B"/>
    <w:rsid w:val="00AA2BB6"/>
    <w:rsid w:val="00AB473A"/>
    <w:rsid w:val="00AB5A92"/>
    <w:rsid w:val="00AD2346"/>
    <w:rsid w:val="00AD2C0E"/>
    <w:rsid w:val="00AE00B7"/>
    <w:rsid w:val="00AE1D9C"/>
    <w:rsid w:val="00AE6F3A"/>
    <w:rsid w:val="00AF7382"/>
    <w:rsid w:val="00B03912"/>
    <w:rsid w:val="00B11B1C"/>
    <w:rsid w:val="00B337F7"/>
    <w:rsid w:val="00B354B1"/>
    <w:rsid w:val="00B40E26"/>
    <w:rsid w:val="00B41F49"/>
    <w:rsid w:val="00B47EDB"/>
    <w:rsid w:val="00B607A4"/>
    <w:rsid w:val="00B61453"/>
    <w:rsid w:val="00B635B1"/>
    <w:rsid w:val="00B64D33"/>
    <w:rsid w:val="00B8736D"/>
    <w:rsid w:val="00B90CBF"/>
    <w:rsid w:val="00BB2D9D"/>
    <w:rsid w:val="00BB2F4D"/>
    <w:rsid w:val="00BC01BB"/>
    <w:rsid w:val="00BC0AA3"/>
    <w:rsid w:val="00BC371D"/>
    <w:rsid w:val="00BE69E2"/>
    <w:rsid w:val="00BE7971"/>
    <w:rsid w:val="00C04908"/>
    <w:rsid w:val="00C14F3F"/>
    <w:rsid w:val="00C16AC0"/>
    <w:rsid w:val="00C20072"/>
    <w:rsid w:val="00C20683"/>
    <w:rsid w:val="00C2098B"/>
    <w:rsid w:val="00C511AB"/>
    <w:rsid w:val="00C540D5"/>
    <w:rsid w:val="00C54B39"/>
    <w:rsid w:val="00C61C62"/>
    <w:rsid w:val="00C65666"/>
    <w:rsid w:val="00C66DB3"/>
    <w:rsid w:val="00C74164"/>
    <w:rsid w:val="00C74C6D"/>
    <w:rsid w:val="00C764CB"/>
    <w:rsid w:val="00C81C15"/>
    <w:rsid w:val="00CA1D92"/>
    <w:rsid w:val="00CA523A"/>
    <w:rsid w:val="00CA5805"/>
    <w:rsid w:val="00CA6AA7"/>
    <w:rsid w:val="00CB1BBB"/>
    <w:rsid w:val="00CB347D"/>
    <w:rsid w:val="00CC3BE6"/>
    <w:rsid w:val="00CC5A67"/>
    <w:rsid w:val="00CD0446"/>
    <w:rsid w:val="00CD17E0"/>
    <w:rsid w:val="00CD3C66"/>
    <w:rsid w:val="00CE60BC"/>
    <w:rsid w:val="00CF3665"/>
    <w:rsid w:val="00CF5F8D"/>
    <w:rsid w:val="00D0328E"/>
    <w:rsid w:val="00D15CC8"/>
    <w:rsid w:val="00D2587E"/>
    <w:rsid w:val="00D30AA6"/>
    <w:rsid w:val="00D31D50"/>
    <w:rsid w:val="00D3244D"/>
    <w:rsid w:val="00D3516F"/>
    <w:rsid w:val="00D45460"/>
    <w:rsid w:val="00D6532E"/>
    <w:rsid w:val="00D727EF"/>
    <w:rsid w:val="00D72F5C"/>
    <w:rsid w:val="00D74939"/>
    <w:rsid w:val="00D75F24"/>
    <w:rsid w:val="00D80713"/>
    <w:rsid w:val="00D93452"/>
    <w:rsid w:val="00D93737"/>
    <w:rsid w:val="00DC5B8B"/>
    <w:rsid w:val="00DF78D4"/>
    <w:rsid w:val="00E02871"/>
    <w:rsid w:val="00E0324C"/>
    <w:rsid w:val="00E05B20"/>
    <w:rsid w:val="00E14C33"/>
    <w:rsid w:val="00E21B95"/>
    <w:rsid w:val="00E249DE"/>
    <w:rsid w:val="00E517BE"/>
    <w:rsid w:val="00E52BFE"/>
    <w:rsid w:val="00E756C4"/>
    <w:rsid w:val="00E763D3"/>
    <w:rsid w:val="00E97D5B"/>
    <w:rsid w:val="00EA7D7A"/>
    <w:rsid w:val="00EB2EF7"/>
    <w:rsid w:val="00EB4495"/>
    <w:rsid w:val="00EB658B"/>
    <w:rsid w:val="00EB660C"/>
    <w:rsid w:val="00EC0D30"/>
    <w:rsid w:val="00EE769F"/>
    <w:rsid w:val="00EF4007"/>
    <w:rsid w:val="00EF6A19"/>
    <w:rsid w:val="00F04B3E"/>
    <w:rsid w:val="00F123D6"/>
    <w:rsid w:val="00F14F9D"/>
    <w:rsid w:val="00F209C9"/>
    <w:rsid w:val="00F32346"/>
    <w:rsid w:val="00F4143D"/>
    <w:rsid w:val="00F42CFA"/>
    <w:rsid w:val="00F50E7A"/>
    <w:rsid w:val="00F571E0"/>
    <w:rsid w:val="00F57AAC"/>
    <w:rsid w:val="00F82E94"/>
    <w:rsid w:val="00F87120"/>
    <w:rsid w:val="00F97447"/>
    <w:rsid w:val="00F97673"/>
    <w:rsid w:val="00FA17E4"/>
    <w:rsid w:val="00FB3767"/>
    <w:rsid w:val="00FD2604"/>
    <w:rsid w:val="00FE3AEA"/>
    <w:rsid w:val="00FF0349"/>
    <w:rsid w:val="00FF1D36"/>
    <w:rsid w:val="00FF6A0B"/>
    <w:rsid w:val="010D6B75"/>
    <w:rsid w:val="01972837"/>
    <w:rsid w:val="033A1D2B"/>
    <w:rsid w:val="03550139"/>
    <w:rsid w:val="09E813E1"/>
    <w:rsid w:val="12855F2D"/>
    <w:rsid w:val="1C4F7811"/>
    <w:rsid w:val="1E926D9A"/>
    <w:rsid w:val="1FF57DF9"/>
    <w:rsid w:val="27AF54E0"/>
    <w:rsid w:val="283F0101"/>
    <w:rsid w:val="29932CBF"/>
    <w:rsid w:val="2F1A6C8E"/>
    <w:rsid w:val="2FB93755"/>
    <w:rsid w:val="3A9F783C"/>
    <w:rsid w:val="3F2533F6"/>
    <w:rsid w:val="3FFC25C9"/>
    <w:rsid w:val="417D7802"/>
    <w:rsid w:val="42BB7663"/>
    <w:rsid w:val="43B802BF"/>
    <w:rsid w:val="482E79F6"/>
    <w:rsid w:val="4E6B1A2A"/>
    <w:rsid w:val="526B70BF"/>
    <w:rsid w:val="58AE663A"/>
    <w:rsid w:val="5AFD3965"/>
    <w:rsid w:val="5ED74E21"/>
    <w:rsid w:val="6BA204F9"/>
    <w:rsid w:val="6BEC7865"/>
    <w:rsid w:val="6D1920F6"/>
    <w:rsid w:val="6D2A0A99"/>
    <w:rsid w:val="70AC6CA6"/>
    <w:rsid w:val="768B79D3"/>
    <w:rsid w:val="768F0540"/>
    <w:rsid w:val="79A429DF"/>
    <w:rsid w:val="7C8C7339"/>
    <w:rsid w:val="7ECE3F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73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uiPriority="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515C"/>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5E515C"/>
    <w:pPr>
      <w:tabs>
        <w:tab w:val="center" w:pos="4153"/>
        <w:tab w:val="right" w:pos="8306"/>
      </w:tabs>
    </w:pPr>
    <w:rPr>
      <w:sz w:val="18"/>
      <w:szCs w:val="18"/>
    </w:rPr>
  </w:style>
  <w:style w:type="paragraph" w:styleId="a4">
    <w:name w:val="header"/>
    <w:basedOn w:val="a"/>
    <w:link w:val="Char0"/>
    <w:uiPriority w:val="99"/>
    <w:semiHidden/>
    <w:unhideWhenUsed/>
    <w:qFormat/>
    <w:rsid w:val="005E515C"/>
    <w:pPr>
      <w:pBdr>
        <w:bottom w:val="single" w:sz="6" w:space="1" w:color="auto"/>
      </w:pBdr>
      <w:tabs>
        <w:tab w:val="center" w:pos="4153"/>
        <w:tab w:val="right" w:pos="8306"/>
      </w:tabs>
      <w:jc w:val="center"/>
    </w:pPr>
    <w:rPr>
      <w:sz w:val="18"/>
      <w:szCs w:val="18"/>
    </w:rPr>
  </w:style>
  <w:style w:type="paragraph" w:styleId="a5">
    <w:name w:val="Normal (Web)"/>
    <w:basedOn w:val="a"/>
    <w:unhideWhenUsed/>
    <w:qFormat/>
    <w:rsid w:val="005E515C"/>
    <w:pPr>
      <w:adjustRightInd/>
      <w:snapToGrid/>
      <w:spacing w:before="100" w:beforeAutospacing="1" w:after="100" w:afterAutospacing="1"/>
    </w:pPr>
    <w:rPr>
      <w:rFonts w:ascii="宋体" w:eastAsia="宋体" w:hAnsi="宋体" w:cs="宋体"/>
      <w:sz w:val="24"/>
      <w:szCs w:val="24"/>
    </w:rPr>
  </w:style>
  <w:style w:type="character" w:styleId="a6">
    <w:name w:val="page number"/>
    <w:basedOn w:val="a0"/>
    <w:qFormat/>
    <w:rsid w:val="005E515C"/>
  </w:style>
  <w:style w:type="character" w:styleId="a7">
    <w:name w:val="Hyperlink"/>
    <w:basedOn w:val="a0"/>
    <w:uiPriority w:val="99"/>
    <w:semiHidden/>
    <w:unhideWhenUsed/>
    <w:qFormat/>
    <w:rsid w:val="005E515C"/>
    <w:rPr>
      <w:color w:val="333333"/>
      <w:u w:val="none"/>
    </w:rPr>
  </w:style>
  <w:style w:type="character" w:customStyle="1" w:styleId="Char0">
    <w:name w:val="页眉 Char"/>
    <w:basedOn w:val="a0"/>
    <w:link w:val="a4"/>
    <w:uiPriority w:val="99"/>
    <w:semiHidden/>
    <w:qFormat/>
    <w:rsid w:val="005E515C"/>
    <w:rPr>
      <w:rFonts w:ascii="Tahoma" w:hAnsi="Tahoma"/>
      <w:sz w:val="18"/>
      <w:szCs w:val="18"/>
    </w:rPr>
  </w:style>
  <w:style w:type="character" w:customStyle="1" w:styleId="Char">
    <w:name w:val="页脚 Char"/>
    <w:basedOn w:val="a0"/>
    <w:link w:val="a3"/>
    <w:uiPriority w:val="99"/>
    <w:semiHidden/>
    <w:qFormat/>
    <w:rsid w:val="005E515C"/>
    <w:rPr>
      <w:rFonts w:ascii="Tahoma" w:hAnsi="Tahoma"/>
      <w:sz w:val="18"/>
      <w:szCs w:val="18"/>
    </w:rPr>
  </w:style>
  <w:style w:type="paragraph" w:styleId="a8">
    <w:name w:val="Balloon Text"/>
    <w:basedOn w:val="a"/>
    <w:link w:val="Char1"/>
    <w:uiPriority w:val="99"/>
    <w:semiHidden/>
    <w:unhideWhenUsed/>
    <w:rsid w:val="004269B8"/>
    <w:pPr>
      <w:spacing w:after="0"/>
    </w:pPr>
    <w:rPr>
      <w:sz w:val="18"/>
      <w:szCs w:val="18"/>
    </w:rPr>
  </w:style>
  <w:style w:type="character" w:customStyle="1" w:styleId="Char1">
    <w:name w:val="批注框文本 Char"/>
    <w:basedOn w:val="a0"/>
    <w:link w:val="a8"/>
    <w:uiPriority w:val="99"/>
    <w:semiHidden/>
    <w:rsid w:val="004269B8"/>
    <w:rPr>
      <w:rFonts w:ascii="Tahoma" w:hAnsi="Tahoma"/>
      <w:sz w:val="18"/>
      <w:szCs w:val="18"/>
    </w:rPr>
  </w:style>
  <w:style w:type="character" w:customStyle="1" w:styleId="a9">
    <w:name w:val="无"/>
    <w:qFormat/>
    <w:rsid w:val="00FD2604"/>
  </w:style>
  <w:style w:type="paragraph" w:styleId="aa">
    <w:name w:val="List Paragraph"/>
    <w:basedOn w:val="a"/>
    <w:uiPriority w:val="99"/>
    <w:unhideWhenUsed/>
    <w:rsid w:val="005D5503"/>
    <w:pPr>
      <w:ind w:firstLineChars="200" w:firstLine="420"/>
    </w:pPr>
  </w:style>
</w:styles>
</file>

<file path=word/webSettings.xml><?xml version="1.0" encoding="utf-8"?>
<w:webSettings xmlns:r="http://schemas.openxmlformats.org/officeDocument/2006/relationships" xmlns:w="http://schemas.openxmlformats.org/wordprocessingml/2006/main">
  <w:divs>
    <w:div w:id="638221884">
      <w:bodyDiv w:val="1"/>
      <w:marLeft w:val="0"/>
      <w:marRight w:val="0"/>
      <w:marTop w:val="0"/>
      <w:marBottom w:val="0"/>
      <w:divBdr>
        <w:top w:val="none" w:sz="0" w:space="0" w:color="auto"/>
        <w:left w:val="none" w:sz="0" w:space="0" w:color="auto"/>
        <w:bottom w:val="none" w:sz="0" w:space="0" w:color="auto"/>
        <w:right w:val="none" w:sz="0" w:space="0" w:color="auto"/>
      </w:divBdr>
    </w:div>
    <w:div w:id="823937430">
      <w:bodyDiv w:val="1"/>
      <w:marLeft w:val="0"/>
      <w:marRight w:val="0"/>
      <w:marTop w:val="0"/>
      <w:marBottom w:val="0"/>
      <w:divBdr>
        <w:top w:val="none" w:sz="0" w:space="0" w:color="auto"/>
        <w:left w:val="none" w:sz="0" w:space="0" w:color="auto"/>
        <w:bottom w:val="none" w:sz="0" w:space="0" w:color="auto"/>
        <w:right w:val="none" w:sz="0" w:space="0" w:color="auto"/>
      </w:divBdr>
    </w:div>
    <w:div w:id="164974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1" textRotate="1"/>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4294914626</TotalTime>
  <Pages>23</Pages>
  <Words>2298</Words>
  <Characters>13104</Characters>
  <Application>Microsoft Office Word</Application>
  <DocSecurity>0</DocSecurity>
  <Lines>109</Lines>
  <Paragraphs>30</Paragraphs>
  <ScaleCrop>false</ScaleCrop>
  <Company/>
  <LinksUpToDate>false</LinksUpToDate>
  <CharactersWithSpaces>15372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283</cp:revision>
  <cp:lastPrinted>2022-04-24T23:51:00Z</cp:lastPrinted>
  <dcterms:created xsi:type="dcterms:W3CDTF">2008-09-11T17:20:00Z</dcterms:created>
  <dcterms:modified xsi:type="dcterms:W3CDTF">2024-08-19T08:56:00Z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32952C4E98F54BE298EF4F3373D60E9E</vt:lpwstr>
  </property>
</Properties>
</file>