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D3F9B1">
      <w:pPr>
        <w:pStyle w:val="2"/>
        <w:keepNext/>
        <w:keepLines/>
        <w:pageBreakBefore w:val="0"/>
        <w:widowControl/>
        <w:kinsoku/>
        <w:wordWrap/>
        <w:overflowPunct/>
        <w:topLinePunct w:val="0"/>
        <w:autoSpaceDE/>
        <w:autoSpaceDN/>
        <w:bidi w:val="0"/>
        <w:adjustRightInd w:val="0"/>
        <w:snapToGrid w:val="0"/>
        <w:ind w:left="1100" w:leftChars="500" w:right="1100" w:rightChars="500"/>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中方县就业服务中心</w:t>
      </w:r>
      <w:r>
        <w:rPr>
          <w:rFonts w:hint="eastAsia" w:ascii="方正小标宋简体" w:hAnsi="方正小标宋简体" w:eastAsia="方正小标宋简体" w:cs="方正小标宋简体"/>
          <w:sz w:val="44"/>
          <w:szCs w:val="44"/>
          <w:lang w:eastAsia="zh-CN"/>
        </w:rPr>
        <w:t>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年度部门整体支出绩效自评报告</w:t>
      </w:r>
    </w:p>
    <w:p w14:paraId="18DF11DC">
      <w:pPr>
        <w:spacing w:after="0" w:line="560" w:lineRule="atLeast"/>
        <w:jc w:val="center"/>
        <w:rPr>
          <w:rFonts w:hint="eastAsia" w:ascii="楷体" w:hAnsi="楷体" w:eastAsia="楷体" w:cs="楷体"/>
          <w:bCs/>
          <w:sz w:val="36"/>
          <w:szCs w:val="36"/>
        </w:rPr>
      </w:pPr>
    </w:p>
    <w:p w14:paraId="536A508E">
      <w:pPr>
        <w:pStyle w:val="8"/>
        <w:keepNext w:val="0"/>
        <w:keepLines w:val="0"/>
        <w:pageBreakBefore w:val="0"/>
        <w:widowControl/>
        <w:kinsoku/>
        <w:wordWrap/>
        <w:overflowPunct/>
        <w:topLinePunct w:val="0"/>
        <w:bidi w:val="0"/>
        <w:adjustRightInd w:val="0"/>
        <w:snapToGrid w:val="0"/>
        <w:spacing w:before="0" w:after="0" w:line="600" w:lineRule="exact"/>
        <w:ind w:left="0" w:leftChars="0"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根据中方县财政局《关于开展202</w:t>
      </w:r>
      <w:r>
        <w:rPr>
          <w:rFonts w:hint="eastAsia" w:ascii="仿宋" w:hAnsi="仿宋" w:eastAsia="仿宋" w:cs="仿宋"/>
          <w:sz w:val="30"/>
          <w:szCs w:val="30"/>
          <w:lang w:val="en-US" w:eastAsia="zh-CN"/>
        </w:rPr>
        <w:t>3</w:t>
      </w:r>
      <w:r>
        <w:rPr>
          <w:rFonts w:hint="eastAsia" w:ascii="仿宋" w:hAnsi="仿宋" w:eastAsia="仿宋" w:cs="仿宋"/>
          <w:sz w:val="30"/>
          <w:szCs w:val="30"/>
        </w:rPr>
        <w:t>年度部门整体支出绩效自评工作的通知》（中财绩（20</w:t>
      </w:r>
      <w:r>
        <w:rPr>
          <w:rFonts w:hint="eastAsia" w:ascii="仿宋" w:hAnsi="仿宋" w:eastAsia="仿宋" w:cs="仿宋"/>
          <w:sz w:val="30"/>
          <w:szCs w:val="30"/>
          <w:lang w:val="en-US" w:eastAsia="zh-CN"/>
        </w:rPr>
        <w:t>24</w:t>
      </w:r>
      <w:r>
        <w:rPr>
          <w:rFonts w:hint="eastAsia" w:ascii="仿宋" w:hAnsi="仿宋" w:eastAsia="仿宋" w:cs="仿宋"/>
          <w:sz w:val="30"/>
          <w:szCs w:val="30"/>
        </w:rPr>
        <w:t>）</w:t>
      </w:r>
      <w:r>
        <w:rPr>
          <w:rFonts w:hint="eastAsia" w:ascii="仿宋" w:hAnsi="仿宋" w:eastAsia="仿宋" w:cs="仿宋"/>
          <w:sz w:val="30"/>
          <w:szCs w:val="30"/>
          <w:lang w:val="en-US" w:eastAsia="zh-CN"/>
        </w:rPr>
        <w:t>174</w:t>
      </w:r>
      <w:r>
        <w:rPr>
          <w:rFonts w:hint="eastAsia" w:ascii="仿宋" w:hAnsi="仿宋" w:eastAsia="仿宋" w:cs="仿宋"/>
          <w:sz w:val="30"/>
          <w:szCs w:val="30"/>
        </w:rPr>
        <w:t>号）精神，我们对</w:t>
      </w:r>
      <w:r>
        <w:rPr>
          <w:rFonts w:hint="eastAsia" w:ascii="仿宋" w:hAnsi="仿宋" w:eastAsia="仿宋" w:cs="仿宋"/>
          <w:sz w:val="30"/>
          <w:szCs w:val="30"/>
          <w:lang w:val="en-US" w:eastAsia="zh-CN"/>
        </w:rPr>
        <w:t>部门</w:t>
      </w:r>
      <w:r>
        <w:rPr>
          <w:rFonts w:hint="eastAsia" w:ascii="仿宋" w:hAnsi="仿宋" w:eastAsia="仿宋" w:cs="仿宋"/>
          <w:sz w:val="30"/>
          <w:szCs w:val="30"/>
        </w:rPr>
        <w:t>整体支出绩效进行了认真自评，</w:t>
      </w:r>
      <w:r>
        <w:rPr>
          <w:rFonts w:hint="eastAsia" w:ascii="仿宋" w:hAnsi="仿宋" w:eastAsia="仿宋" w:cs="仿宋"/>
          <w:color w:val="auto"/>
          <w:sz w:val="30"/>
          <w:szCs w:val="30"/>
        </w:rPr>
        <w:t>现将我</w:t>
      </w:r>
      <w:r>
        <w:rPr>
          <w:rFonts w:hint="eastAsia" w:ascii="仿宋" w:hAnsi="仿宋" w:eastAsia="仿宋" w:cs="仿宋"/>
          <w:color w:val="auto"/>
          <w:sz w:val="30"/>
          <w:szCs w:val="30"/>
          <w:lang w:eastAsia="zh-CN"/>
        </w:rPr>
        <w:t>中心部门整体支出</w:t>
      </w:r>
      <w:r>
        <w:rPr>
          <w:rFonts w:hint="eastAsia" w:ascii="仿宋" w:hAnsi="仿宋" w:eastAsia="仿宋" w:cs="仿宋"/>
          <w:color w:val="auto"/>
          <w:sz w:val="30"/>
          <w:szCs w:val="30"/>
        </w:rPr>
        <w:t>绩效自评结果报告如下：</w:t>
      </w:r>
    </w:p>
    <w:p w14:paraId="5036D59A">
      <w:pPr>
        <w:pStyle w:val="3"/>
        <w:bidi w:val="0"/>
      </w:pPr>
      <w:r>
        <w:rPr>
          <w:rFonts w:hint="eastAsia"/>
        </w:rPr>
        <w:t>一、部门基本情况</w:t>
      </w:r>
    </w:p>
    <w:p w14:paraId="030018E0">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（一）部门职能与机构设置</w:t>
      </w:r>
    </w:p>
    <w:p w14:paraId="09F95275">
      <w:pPr>
        <w:keepNext w:val="0"/>
        <w:keepLines w:val="0"/>
        <w:pageBreakBefore w:val="0"/>
        <w:widowControl/>
        <w:kinsoku/>
        <w:wordWrap/>
        <w:overflowPunct/>
        <w:topLinePunct w:val="0"/>
        <w:autoSpaceDE/>
        <w:autoSpaceDN/>
        <w:bidi w:val="0"/>
        <w:adjustRightInd w:val="0"/>
        <w:snapToGrid w:val="0"/>
        <w:spacing w:after="0" w:line="600" w:lineRule="atLeas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部门职能：1.承担组织落实促进就业各项政策措施相关事务性工作；2.承担组织落实创业带动就业政策措施相关事务性工作；3.承担组织落实职业技能培训和创业培训相关事务性工作；4.承担组织落实失业保险各项政策相关事务性工作；5.为公共就业服务信息化建设提供技术支持和服务保障，承担就业失业相关统计分析、就业失业信息监测工作；6.承担县人力资源和社会保障局交办的其他工作。</w:t>
      </w:r>
    </w:p>
    <w:p w14:paraId="64F644E2">
      <w:pPr>
        <w:keepNext w:val="0"/>
        <w:keepLines w:val="0"/>
        <w:pageBreakBefore w:val="0"/>
        <w:widowControl/>
        <w:kinsoku/>
        <w:wordWrap/>
        <w:overflowPunct/>
        <w:topLinePunct w:val="0"/>
        <w:autoSpaceDE/>
        <w:autoSpaceDN/>
        <w:bidi w:val="0"/>
        <w:adjustRightInd w:val="0"/>
        <w:snapToGrid w:val="0"/>
        <w:spacing w:after="0" w:line="600" w:lineRule="atLeast"/>
        <w:ind w:firstLine="560" w:firstLineChars="200"/>
        <w:jc w:val="both"/>
        <w:textAlignment w:val="auto"/>
        <w:rPr>
          <w:rFonts w:hint="eastAsia" w:ascii="仿宋" w:hAnsi="仿宋" w:eastAsia="仿宋" w:cs="仿宋"/>
          <w:sz w:val="32"/>
          <w:szCs w:val="32"/>
        </w:rPr>
      </w:pPr>
      <w:r>
        <w:rPr>
          <w:rFonts w:hint="eastAsia" w:ascii="仿宋" w:hAnsi="仿宋" w:eastAsia="仿宋" w:cs="仿宋"/>
          <w:sz w:val="28"/>
          <w:szCs w:val="28"/>
        </w:rPr>
        <w:t>机构设置：本中心作为中方县人力资源和社会保障局管理的副科级公益一类事业单位。内设机构5个，分别为综合室、就业服务室、培训室、失业保险室、促进就业小额担保贷款服务室。</w:t>
      </w:r>
    </w:p>
    <w:p w14:paraId="094AB230">
      <w:pPr>
        <w:keepNext w:val="0"/>
        <w:keepLines w:val="0"/>
        <w:pageBreakBefore w:val="0"/>
        <w:widowControl/>
        <w:numPr>
          <w:ilvl w:val="0"/>
          <w:numId w:val="1"/>
        </w:numPr>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人员情况</w:t>
      </w:r>
    </w:p>
    <w:p w14:paraId="029FC36E">
      <w:pPr>
        <w:keepNext w:val="0"/>
        <w:keepLines w:val="0"/>
        <w:pageBreakBefore w:val="0"/>
        <w:widowControl/>
        <w:kinsoku/>
        <w:wordWrap/>
        <w:overflowPunct/>
        <w:topLinePunct w:val="0"/>
        <w:autoSpaceDE/>
        <w:autoSpaceDN/>
        <w:bidi w:val="0"/>
        <w:adjustRightInd w:val="0"/>
        <w:snapToGrid w:val="0"/>
        <w:spacing w:after="0" w:line="600" w:lineRule="atLeas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eastAsia="zh-CN"/>
        </w:rPr>
        <w:t>编制人数</w:t>
      </w:r>
      <w:r>
        <w:rPr>
          <w:rFonts w:hint="eastAsia" w:ascii="仿宋" w:hAnsi="仿宋" w:eastAsia="仿宋" w:cs="仿宋"/>
          <w:sz w:val="28"/>
          <w:szCs w:val="28"/>
          <w:lang w:val="en-US" w:eastAsia="zh-CN"/>
        </w:rPr>
        <w:t>22</w:t>
      </w:r>
      <w:r>
        <w:rPr>
          <w:rFonts w:hint="eastAsia" w:ascii="仿宋" w:hAnsi="仿宋" w:eastAsia="仿宋" w:cs="仿宋"/>
          <w:sz w:val="28"/>
          <w:szCs w:val="28"/>
          <w:lang w:eastAsia="zh-CN"/>
        </w:rPr>
        <w:t>人，在职人员</w:t>
      </w:r>
      <w:r>
        <w:rPr>
          <w:rFonts w:hint="eastAsia" w:ascii="仿宋" w:hAnsi="仿宋" w:eastAsia="仿宋" w:cs="仿宋"/>
          <w:sz w:val="28"/>
          <w:szCs w:val="28"/>
          <w:lang w:val="en-US" w:eastAsia="zh-CN"/>
        </w:rPr>
        <w:t>17</w:t>
      </w:r>
      <w:bookmarkStart w:id="0" w:name="_GoBack"/>
      <w:bookmarkEnd w:id="0"/>
      <w:r>
        <w:rPr>
          <w:rFonts w:hint="eastAsia" w:ascii="仿宋" w:hAnsi="仿宋" w:eastAsia="仿宋" w:cs="仿宋"/>
          <w:sz w:val="28"/>
          <w:szCs w:val="28"/>
          <w:lang w:eastAsia="zh-CN"/>
        </w:rPr>
        <w:t>人。</w:t>
      </w:r>
    </w:p>
    <w:p w14:paraId="0F2B4060">
      <w:pPr>
        <w:keepNext w:val="0"/>
        <w:keepLines w:val="0"/>
        <w:pageBreakBefore w:val="0"/>
        <w:widowControl/>
        <w:numPr>
          <w:ilvl w:val="0"/>
          <w:numId w:val="1"/>
        </w:numPr>
        <w:kinsoku/>
        <w:wordWrap/>
        <w:overflowPunct/>
        <w:topLinePunct w:val="0"/>
        <w:autoSpaceDE/>
        <w:autoSpaceDN/>
        <w:bidi w:val="0"/>
        <w:adjustRightInd w:val="0"/>
        <w:snapToGrid w:val="0"/>
        <w:spacing w:after="0" w:line="600" w:lineRule="atLeas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部门年度总体工作任务和重点工作任务</w:t>
      </w:r>
    </w:p>
    <w:p w14:paraId="0BF2CA13">
      <w:pPr>
        <w:keepNext w:val="0"/>
        <w:keepLines w:val="0"/>
        <w:pageBreakBefore w:val="0"/>
        <w:widowControl/>
        <w:kinsoku/>
        <w:wordWrap/>
        <w:overflowPunct/>
        <w:topLinePunct w:val="0"/>
        <w:autoSpaceDE/>
        <w:autoSpaceDN/>
        <w:bidi w:val="0"/>
        <w:adjustRightInd w:val="0"/>
        <w:snapToGrid w:val="0"/>
        <w:spacing w:after="0" w:line="600" w:lineRule="atLeast"/>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落实就业政策，做好就业服务工作；做好职业技能培训，保障重点群体就业；做好失业保险待遇的认定；发挥创业担保货款的作用。</w:t>
      </w:r>
    </w:p>
    <w:p w14:paraId="7B7E7D1A">
      <w:pPr>
        <w:keepNext w:val="0"/>
        <w:keepLines w:val="0"/>
        <w:pageBreakBefore w:val="0"/>
        <w:widowControl/>
        <w:numPr>
          <w:ilvl w:val="0"/>
          <w:numId w:val="1"/>
        </w:numPr>
        <w:kinsoku/>
        <w:wordWrap/>
        <w:overflowPunct/>
        <w:topLinePunct w:val="0"/>
        <w:autoSpaceDE/>
        <w:autoSpaceDN/>
        <w:bidi w:val="0"/>
        <w:adjustRightInd w:val="0"/>
        <w:snapToGrid w:val="0"/>
        <w:spacing w:after="0" w:line="600" w:lineRule="atLeas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部门年度整体收支情况</w:t>
      </w:r>
    </w:p>
    <w:p w14:paraId="6C1AC5F1">
      <w:pPr>
        <w:keepNext w:val="0"/>
        <w:keepLines w:val="0"/>
        <w:pageBreakBefore w:val="0"/>
        <w:widowControl/>
        <w:kinsoku/>
        <w:wordWrap/>
        <w:overflowPunct/>
        <w:topLinePunct w:val="0"/>
        <w:autoSpaceDE/>
        <w:autoSpaceDN/>
        <w:bidi w:val="0"/>
        <w:adjustRightInd w:val="0"/>
        <w:snapToGrid w:val="0"/>
        <w:spacing w:after="0" w:line="600" w:lineRule="atLeast"/>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1.收入的预决算情况。202</w:t>
      </w: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年支出年初预算数为</w:t>
      </w:r>
      <w:r>
        <w:rPr>
          <w:rFonts w:hint="eastAsia" w:ascii="仿宋" w:hAnsi="仿宋" w:eastAsia="仿宋" w:cs="仿宋"/>
          <w:sz w:val="28"/>
          <w:szCs w:val="28"/>
          <w:lang w:val="en-US" w:eastAsia="zh-CN"/>
        </w:rPr>
        <w:t>125.56</w:t>
      </w:r>
      <w:r>
        <w:rPr>
          <w:rFonts w:hint="eastAsia" w:ascii="仿宋" w:hAnsi="仿宋" w:eastAsia="仿宋" w:cs="仿宋"/>
          <w:sz w:val="28"/>
          <w:szCs w:val="28"/>
          <w:lang w:eastAsia="zh-CN"/>
        </w:rPr>
        <w:t>万元，调整预算数为</w:t>
      </w:r>
      <w:r>
        <w:rPr>
          <w:rFonts w:hint="eastAsia" w:ascii="仿宋" w:hAnsi="仿宋" w:eastAsia="仿宋" w:cs="仿宋"/>
          <w:sz w:val="28"/>
          <w:szCs w:val="28"/>
          <w:lang w:val="en-US" w:eastAsia="zh-CN"/>
        </w:rPr>
        <w:t>264.80</w:t>
      </w:r>
      <w:r>
        <w:rPr>
          <w:rFonts w:hint="eastAsia" w:ascii="仿宋" w:hAnsi="仿宋" w:eastAsia="仿宋" w:cs="仿宋"/>
          <w:sz w:val="28"/>
          <w:szCs w:val="28"/>
          <w:lang w:eastAsia="zh-CN"/>
        </w:rPr>
        <w:t>万元，决算数为</w:t>
      </w:r>
      <w:r>
        <w:rPr>
          <w:rFonts w:hint="eastAsia" w:ascii="仿宋" w:hAnsi="仿宋" w:eastAsia="仿宋" w:cs="仿宋"/>
          <w:sz w:val="28"/>
          <w:szCs w:val="28"/>
          <w:lang w:val="en-US" w:eastAsia="zh-CN"/>
        </w:rPr>
        <w:t>390.36</w:t>
      </w:r>
      <w:r>
        <w:rPr>
          <w:rFonts w:hint="eastAsia" w:ascii="仿宋" w:hAnsi="仿宋" w:eastAsia="仿宋" w:cs="仿宋"/>
          <w:sz w:val="28"/>
          <w:szCs w:val="28"/>
          <w:lang w:eastAsia="zh-CN"/>
        </w:rPr>
        <w:t>万元，其中一般公共预算财政拨款收入</w:t>
      </w:r>
      <w:r>
        <w:rPr>
          <w:rFonts w:hint="eastAsia" w:ascii="仿宋" w:hAnsi="仿宋" w:eastAsia="仿宋" w:cs="仿宋"/>
          <w:sz w:val="28"/>
          <w:szCs w:val="28"/>
          <w:lang w:val="en-US" w:eastAsia="zh-CN"/>
        </w:rPr>
        <w:t>390.36</w:t>
      </w:r>
      <w:r>
        <w:rPr>
          <w:rFonts w:hint="eastAsia" w:ascii="仿宋" w:hAnsi="仿宋" w:eastAsia="仿宋" w:cs="仿宋"/>
          <w:sz w:val="28"/>
          <w:szCs w:val="28"/>
          <w:lang w:eastAsia="zh-CN"/>
        </w:rPr>
        <w:t>万元。</w:t>
      </w:r>
    </w:p>
    <w:p w14:paraId="5E4A34EA">
      <w:pPr>
        <w:keepNext w:val="0"/>
        <w:keepLines w:val="0"/>
        <w:pageBreakBefore w:val="0"/>
        <w:widowControl/>
        <w:kinsoku/>
        <w:wordWrap/>
        <w:overflowPunct/>
        <w:topLinePunct w:val="0"/>
        <w:autoSpaceDE/>
        <w:autoSpaceDN/>
        <w:bidi w:val="0"/>
        <w:adjustRightInd w:val="0"/>
        <w:snapToGrid w:val="0"/>
        <w:spacing w:after="0" w:line="600" w:lineRule="atLeast"/>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2.支出的预决算情况。202</w:t>
      </w: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年支出预算数为</w:t>
      </w:r>
      <w:r>
        <w:rPr>
          <w:rFonts w:hint="eastAsia" w:ascii="仿宋" w:hAnsi="仿宋" w:eastAsia="仿宋" w:cs="仿宋"/>
          <w:sz w:val="28"/>
          <w:szCs w:val="28"/>
          <w:lang w:val="en-US" w:eastAsia="zh-CN"/>
        </w:rPr>
        <w:t>125.56</w:t>
      </w:r>
      <w:r>
        <w:rPr>
          <w:rFonts w:hint="eastAsia" w:ascii="仿宋" w:hAnsi="仿宋" w:eastAsia="仿宋" w:cs="仿宋"/>
          <w:sz w:val="28"/>
          <w:szCs w:val="28"/>
          <w:lang w:eastAsia="zh-CN"/>
        </w:rPr>
        <w:t>万元，支出预算调整数为</w:t>
      </w:r>
      <w:r>
        <w:rPr>
          <w:rFonts w:hint="eastAsia" w:ascii="仿宋" w:hAnsi="仿宋" w:eastAsia="仿宋" w:cs="仿宋"/>
          <w:sz w:val="28"/>
          <w:szCs w:val="28"/>
          <w:lang w:val="en-US" w:eastAsia="zh-CN"/>
        </w:rPr>
        <w:t>264.80</w:t>
      </w:r>
      <w:r>
        <w:rPr>
          <w:rFonts w:hint="eastAsia" w:ascii="仿宋" w:hAnsi="仿宋" w:eastAsia="仿宋" w:cs="仿宋"/>
          <w:sz w:val="28"/>
          <w:szCs w:val="28"/>
          <w:lang w:eastAsia="zh-CN"/>
        </w:rPr>
        <w:t>万元，支出决算数</w:t>
      </w:r>
      <w:r>
        <w:rPr>
          <w:rFonts w:hint="eastAsia" w:ascii="仿宋" w:hAnsi="仿宋" w:eastAsia="仿宋" w:cs="仿宋"/>
          <w:sz w:val="28"/>
          <w:szCs w:val="28"/>
          <w:lang w:val="en-US" w:eastAsia="zh-CN"/>
        </w:rPr>
        <w:t>390.36</w:t>
      </w:r>
      <w:r>
        <w:rPr>
          <w:rFonts w:hint="eastAsia" w:ascii="仿宋" w:hAnsi="仿宋" w:eastAsia="仿宋" w:cs="仿宋"/>
          <w:sz w:val="28"/>
          <w:szCs w:val="28"/>
          <w:lang w:eastAsia="zh-CN"/>
        </w:rPr>
        <w:t>万元。具体情况为：（1）工资福利支出</w:t>
      </w:r>
      <w:r>
        <w:rPr>
          <w:rFonts w:hint="eastAsia" w:ascii="仿宋" w:hAnsi="仿宋" w:eastAsia="仿宋" w:cs="仿宋"/>
          <w:sz w:val="28"/>
          <w:szCs w:val="28"/>
          <w:lang w:val="en-US" w:eastAsia="zh-CN"/>
        </w:rPr>
        <w:t>286.41</w:t>
      </w:r>
      <w:r>
        <w:rPr>
          <w:rFonts w:hint="eastAsia" w:ascii="仿宋" w:hAnsi="仿宋" w:eastAsia="仿宋" w:cs="仿宋"/>
          <w:sz w:val="28"/>
          <w:szCs w:val="28"/>
          <w:lang w:eastAsia="zh-CN"/>
        </w:rPr>
        <w:t>万元：</w:t>
      </w:r>
      <w:r>
        <w:rPr>
          <w:rFonts w:hint="eastAsia" w:ascii="仿宋" w:hAnsi="仿宋" w:eastAsia="仿宋" w:cs="仿宋"/>
          <w:sz w:val="28"/>
          <w:szCs w:val="28"/>
          <w:lang w:val="en-US" w:eastAsia="zh-CN"/>
        </w:rPr>
        <w:t>基本工资155.65万元、津贴补贴31.76万元、奖金2.99万元、绩效工资10.30万元、机关事业单位基本养老保险缴费10.30万元、职业年金缴费26.48万元、职工基本医疗保险缴费10.25万元、其他社会保障缴费9.93万元、住房公积金18.73万元。</w:t>
      </w:r>
      <w:r>
        <w:rPr>
          <w:rFonts w:hint="eastAsia" w:ascii="仿宋" w:hAnsi="仿宋" w:eastAsia="仿宋" w:cs="仿宋"/>
          <w:sz w:val="28"/>
          <w:szCs w:val="28"/>
          <w:lang w:eastAsia="zh-CN"/>
        </w:rPr>
        <w:t>（2）商品和服务支出</w:t>
      </w:r>
      <w:r>
        <w:rPr>
          <w:rFonts w:hint="eastAsia" w:ascii="仿宋" w:hAnsi="仿宋" w:eastAsia="仿宋" w:cs="仿宋"/>
          <w:sz w:val="28"/>
          <w:szCs w:val="28"/>
          <w:lang w:val="en-US" w:eastAsia="zh-CN"/>
        </w:rPr>
        <w:t>89.72</w:t>
      </w:r>
      <w:r>
        <w:rPr>
          <w:rFonts w:hint="eastAsia" w:ascii="仿宋" w:hAnsi="仿宋" w:eastAsia="仿宋" w:cs="仿宋"/>
          <w:sz w:val="28"/>
          <w:szCs w:val="28"/>
          <w:lang w:eastAsia="zh-CN"/>
        </w:rPr>
        <w:t>万元：办公费</w:t>
      </w:r>
      <w:r>
        <w:rPr>
          <w:rFonts w:hint="eastAsia" w:ascii="仿宋" w:hAnsi="仿宋" w:eastAsia="仿宋" w:cs="仿宋"/>
          <w:sz w:val="28"/>
          <w:szCs w:val="28"/>
          <w:lang w:val="en-US" w:eastAsia="zh-CN"/>
        </w:rPr>
        <w:t>19.11</w:t>
      </w:r>
      <w:r>
        <w:rPr>
          <w:rFonts w:hint="eastAsia" w:ascii="仿宋" w:hAnsi="仿宋" w:eastAsia="仿宋" w:cs="仿宋"/>
          <w:sz w:val="28"/>
          <w:szCs w:val="28"/>
          <w:lang w:eastAsia="zh-CN"/>
        </w:rPr>
        <w:t>万元、印刷费</w:t>
      </w:r>
      <w:r>
        <w:rPr>
          <w:rFonts w:hint="eastAsia" w:ascii="仿宋" w:hAnsi="仿宋" w:eastAsia="仿宋" w:cs="仿宋"/>
          <w:sz w:val="28"/>
          <w:szCs w:val="28"/>
          <w:lang w:val="en-US" w:eastAsia="zh-CN"/>
        </w:rPr>
        <w:t>9.74</w:t>
      </w:r>
      <w:r>
        <w:rPr>
          <w:rFonts w:hint="eastAsia" w:ascii="仿宋" w:hAnsi="仿宋" w:eastAsia="仿宋" w:cs="仿宋"/>
          <w:sz w:val="28"/>
          <w:szCs w:val="28"/>
          <w:lang w:eastAsia="zh-CN"/>
        </w:rPr>
        <w:t>万元、水费</w:t>
      </w:r>
      <w:r>
        <w:rPr>
          <w:rFonts w:hint="eastAsia" w:ascii="仿宋" w:hAnsi="仿宋" w:eastAsia="仿宋" w:cs="仿宋"/>
          <w:sz w:val="28"/>
          <w:szCs w:val="28"/>
          <w:lang w:val="en-US" w:eastAsia="zh-CN"/>
        </w:rPr>
        <w:t>0.2</w:t>
      </w:r>
      <w:r>
        <w:rPr>
          <w:rFonts w:hint="eastAsia" w:ascii="仿宋" w:hAnsi="仿宋" w:eastAsia="仿宋" w:cs="仿宋"/>
          <w:sz w:val="28"/>
          <w:szCs w:val="28"/>
          <w:lang w:eastAsia="zh-CN"/>
        </w:rPr>
        <w:t>万元、</w:t>
      </w:r>
      <w:r>
        <w:rPr>
          <w:rFonts w:hint="eastAsia" w:ascii="仿宋" w:hAnsi="仿宋" w:eastAsia="仿宋" w:cs="仿宋"/>
          <w:sz w:val="28"/>
          <w:szCs w:val="28"/>
          <w:lang w:val="en-US" w:eastAsia="zh-CN"/>
        </w:rPr>
        <w:t>电费2.18万元、邮电费0.74万元、</w:t>
      </w:r>
      <w:r>
        <w:rPr>
          <w:rFonts w:hint="eastAsia" w:ascii="仿宋" w:hAnsi="仿宋" w:eastAsia="仿宋" w:cs="仿宋"/>
          <w:sz w:val="28"/>
          <w:szCs w:val="28"/>
          <w:lang w:eastAsia="zh-CN"/>
        </w:rPr>
        <w:t>差旅费</w:t>
      </w:r>
      <w:r>
        <w:rPr>
          <w:rFonts w:hint="eastAsia" w:ascii="仿宋" w:hAnsi="仿宋" w:eastAsia="仿宋" w:cs="仿宋"/>
          <w:sz w:val="28"/>
          <w:szCs w:val="28"/>
          <w:lang w:val="en-US" w:eastAsia="zh-CN"/>
        </w:rPr>
        <w:t>21.48</w:t>
      </w:r>
      <w:r>
        <w:rPr>
          <w:rFonts w:hint="eastAsia" w:ascii="仿宋" w:hAnsi="仿宋" w:eastAsia="仿宋" w:cs="仿宋"/>
          <w:sz w:val="28"/>
          <w:szCs w:val="28"/>
          <w:lang w:eastAsia="zh-CN"/>
        </w:rPr>
        <w:t>万元、</w:t>
      </w:r>
      <w:r>
        <w:rPr>
          <w:rFonts w:hint="eastAsia" w:ascii="仿宋" w:hAnsi="仿宋" w:eastAsia="仿宋" w:cs="仿宋"/>
          <w:sz w:val="28"/>
          <w:szCs w:val="28"/>
          <w:lang w:val="en-US" w:eastAsia="zh-CN"/>
        </w:rPr>
        <w:t>培训</w:t>
      </w:r>
      <w:r>
        <w:rPr>
          <w:rFonts w:hint="eastAsia" w:ascii="仿宋" w:hAnsi="仿宋" w:eastAsia="仿宋" w:cs="仿宋"/>
          <w:sz w:val="28"/>
          <w:szCs w:val="28"/>
          <w:lang w:eastAsia="zh-CN"/>
        </w:rPr>
        <w:t>费</w:t>
      </w:r>
      <w:r>
        <w:rPr>
          <w:rFonts w:hint="eastAsia" w:ascii="仿宋" w:hAnsi="仿宋" w:eastAsia="仿宋" w:cs="仿宋"/>
          <w:sz w:val="28"/>
          <w:szCs w:val="28"/>
          <w:lang w:val="en-US" w:eastAsia="zh-CN"/>
        </w:rPr>
        <w:t>0.27</w:t>
      </w:r>
      <w:r>
        <w:rPr>
          <w:rFonts w:hint="eastAsia" w:ascii="仿宋" w:hAnsi="仿宋" w:eastAsia="仿宋" w:cs="仿宋"/>
          <w:sz w:val="28"/>
          <w:szCs w:val="28"/>
          <w:lang w:eastAsia="zh-CN"/>
        </w:rPr>
        <w:t>万元、</w:t>
      </w:r>
      <w:r>
        <w:rPr>
          <w:rFonts w:hint="eastAsia" w:ascii="仿宋" w:hAnsi="仿宋" w:eastAsia="仿宋" w:cs="仿宋"/>
          <w:sz w:val="28"/>
          <w:szCs w:val="28"/>
          <w:lang w:val="en-US" w:eastAsia="zh-CN"/>
        </w:rPr>
        <w:t>劳务费0.52万元、工会经费4.62万元、</w:t>
      </w:r>
      <w:r>
        <w:rPr>
          <w:rFonts w:hint="eastAsia" w:ascii="仿宋" w:hAnsi="仿宋" w:eastAsia="仿宋" w:cs="仿宋"/>
          <w:sz w:val="28"/>
          <w:szCs w:val="28"/>
          <w:lang w:eastAsia="zh-CN"/>
        </w:rPr>
        <w:t>其他交通费用</w:t>
      </w:r>
      <w:r>
        <w:rPr>
          <w:rFonts w:hint="eastAsia" w:ascii="仿宋" w:hAnsi="仿宋" w:eastAsia="仿宋" w:cs="仿宋"/>
          <w:sz w:val="28"/>
          <w:szCs w:val="28"/>
          <w:lang w:val="en-US" w:eastAsia="zh-CN"/>
        </w:rPr>
        <w:t>23.29</w:t>
      </w:r>
      <w:r>
        <w:rPr>
          <w:rFonts w:hint="eastAsia" w:ascii="仿宋" w:hAnsi="仿宋" w:eastAsia="仿宋" w:cs="仿宋"/>
          <w:sz w:val="28"/>
          <w:szCs w:val="28"/>
          <w:lang w:eastAsia="zh-CN"/>
        </w:rPr>
        <w:t>万元、其他商品和服务支出</w:t>
      </w:r>
      <w:r>
        <w:rPr>
          <w:rFonts w:hint="eastAsia" w:ascii="仿宋" w:hAnsi="仿宋" w:eastAsia="仿宋" w:cs="仿宋"/>
          <w:sz w:val="28"/>
          <w:szCs w:val="28"/>
          <w:lang w:val="en-US" w:eastAsia="zh-CN"/>
        </w:rPr>
        <w:t>7.56</w:t>
      </w:r>
      <w:r>
        <w:rPr>
          <w:rFonts w:hint="eastAsia" w:ascii="仿宋" w:hAnsi="仿宋" w:eastAsia="仿宋" w:cs="仿宋"/>
          <w:sz w:val="28"/>
          <w:szCs w:val="28"/>
          <w:lang w:eastAsia="zh-CN"/>
        </w:rPr>
        <w:t>万元。（3）对个人和家庭补助支出</w:t>
      </w:r>
      <w:r>
        <w:rPr>
          <w:rFonts w:hint="eastAsia" w:ascii="仿宋" w:hAnsi="仿宋" w:eastAsia="仿宋" w:cs="仿宋"/>
          <w:sz w:val="28"/>
          <w:szCs w:val="28"/>
          <w:lang w:val="en-US" w:eastAsia="zh-CN"/>
        </w:rPr>
        <w:t>4.23</w:t>
      </w:r>
      <w:r>
        <w:rPr>
          <w:rFonts w:hint="eastAsia" w:ascii="仿宋" w:hAnsi="仿宋" w:eastAsia="仿宋" w:cs="仿宋"/>
          <w:sz w:val="28"/>
          <w:szCs w:val="28"/>
          <w:lang w:eastAsia="zh-CN"/>
        </w:rPr>
        <w:t>万元：</w:t>
      </w:r>
      <w:r>
        <w:rPr>
          <w:rFonts w:hint="eastAsia" w:ascii="仿宋" w:hAnsi="仿宋" w:eastAsia="仿宋" w:cs="仿宋"/>
          <w:sz w:val="28"/>
          <w:szCs w:val="28"/>
          <w:lang w:val="en-US" w:eastAsia="zh-CN"/>
        </w:rPr>
        <w:t>退休费2.80万元、</w:t>
      </w:r>
      <w:r>
        <w:rPr>
          <w:rFonts w:hint="eastAsia" w:ascii="仿宋" w:hAnsi="仿宋" w:eastAsia="仿宋" w:cs="仿宋"/>
          <w:sz w:val="28"/>
          <w:szCs w:val="28"/>
          <w:lang w:eastAsia="zh-CN"/>
        </w:rPr>
        <w:t>生活补助</w:t>
      </w:r>
      <w:r>
        <w:rPr>
          <w:rFonts w:hint="eastAsia" w:ascii="仿宋" w:hAnsi="仿宋" w:eastAsia="仿宋" w:cs="仿宋"/>
          <w:sz w:val="28"/>
          <w:szCs w:val="28"/>
          <w:lang w:val="en-US" w:eastAsia="zh-CN"/>
        </w:rPr>
        <w:t>1.43</w:t>
      </w:r>
      <w:r>
        <w:rPr>
          <w:rFonts w:hint="eastAsia" w:ascii="仿宋" w:hAnsi="仿宋" w:eastAsia="仿宋" w:cs="仿宋"/>
          <w:sz w:val="28"/>
          <w:szCs w:val="28"/>
          <w:lang w:eastAsia="zh-CN"/>
        </w:rPr>
        <w:t>万元。（3）对企业补助</w:t>
      </w:r>
      <w:r>
        <w:rPr>
          <w:rFonts w:hint="eastAsia" w:ascii="仿宋" w:hAnsi="仿宋" w:eastAsia="仿宋" w:cs="仿宋"/>
          <w:sz w:val="28"/>
          <w:szCs w:val="28"/>
          <w:lang w:val="en-US" w:eastAsia="zh-CN"/>
        </w:rPr>
        <w:t>10</w:t>
      </w:r>
      <w:r>
        <w:rPr>
          <w:rFonts w:hint="eastAsia" w:ascii="仿宋" w:hAnsi="仿宋" w:eastAsia="仿宋" w:cs="仿宋"/>
          <w:sz w:val="28"/>
          <w:szCs w:val="28"/>
          <w:lang w:eastAsia="zh-CN"/>
        </w:rPr>
        <w:t>万元：费用补贴</w:t>
      </w:r>
      <w:r>
        <w:rPr>
          <w:rFonts w:hint="eastAsia" w:ascii="仿宋" w:hAnsi="仿宋" w:eastAsia="仿宋" w:cs="仿宋"/>
          <w:sz w:val="28"/>
          <w:szCs w:val="28"/>
          <w:lang w:val="en-US" w:eastAsia="zh-CN"/>
        </w:rPr>
        <w:t>10</w:t>
      </w:r>
      <w:r>
        <w:rPr>
          <w:rFonts w:hint="eastAsia" w:ascii="仿宋" w:hAnsi="仿宋" w:eastAsia="仿宋" w:cs="仿宋"/>
          <w:sz w:val="28"/>
          <w:szCs w:val="28"/>
          <w:lang w:eastAsia="zh-CN"/>
        </w:rPr>
        <w:t>万元。</w:t>
      </w:r>
    </w:p>
    <w:p w14:paraId="108C7D7D">
      <w:pPr>
        <w:keepNext w:val="0"/>
        <w:keepLines w:val="0"/>
        <w:pageBreakBefore w:val="0"/>
        <w:widowControl/>
        <w:kinsoku/>
        <w:wordWrap/>
        <w:overflowPunct/>
        <w:topLinePunct w:val="0"/>
        <w:autoSpaceDE/>
        <w:autoSpaceDN/>
        <w:bidi w:val="0"/>
        <w:adjustRightInd w:val="0"/>
        <w:snapToGrid w:val="0"/>
        <w:spacing w:after="0" w:line="600" w:lineRule="atLeast"/>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3.“三公”经费的预决算执行及控制情况。202</w:t>
      </w: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年度“三公”经费年预算数为0万元，决算数0万元，控制率100%。“三公”经费决算数与预算数持平。</w:t>
      </w:r>
    </w:p>
    <w:p w14:paraId="369F0385">
      <w:pPr>
        <w:keepNext w:val="0"/>
        <w:keepLines w:val="0"/>
        <w:pageBreakBefore w:val="0"/>
        <w:widowControl/>
        <w:kinsoku/>
        <w:wordWrap/>
        <w:overflowPunct/>
        <w:topLinePunct w:val="0"/>
        <w:autoSpaceDE/>
        <w:autoSpaceDN/>
        <w:bidi w:val="0"/>
        <w:adjustRightInd w:val="0"/>
        <w:snapToGrid w:val="0"/>
        <w:spacing w:after="0" w:line="600" w:lineRule="atLeast"/>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4.政府采购情况。202</w:t>
      </w: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年本部门政府采购总额</w:t>
      </w:r>
      <w:r>
        <w:rPr>
          <w:rFonts w:hint="eastAsia" w:ascii="仿宋" w:hAnsi="仿宋" w:eastAsia="仿宋" w:cs="仿宋"/>
          <w:sz w:val="28"/>
          <w:szCs w:val="28"/>
          <w:lang w:val="en-US" w:eastAsia="zh-CN"/>
        </w:rPr>
        <w:t>10.50</w:t>
      </w:r>
      <w:r>
        <w:rPr>
          <w:rFonts w:hint="eastAsia" w:ascii="仿宋" w:hAnsi="仿宋" w:eastAsia="仿宋" w:cs="仿宋"/>
          <w:sz w:val="28"/>
          <w:szCs w:val="28"/>
          <w:lang w:eastAsia="zh-CN"/>
        </w:rPr>
        <w:t>万元，其中，货物类采购预算</w:t>
      </w:r>
      <w:r>
        <w:rPr>
          <w:rFonts w:hint="eastAsia" w:ascii="仿宋" w:hAnsi="仿宋" w:eastAsia="仿宋" w:cs="仿宋"/>
          <w:sz w:val="28"/>
          <w:szCs w:val="28"/>
          <w:lang w:val="en-US" w:eastAsia="zh-CN"/>
        </w:rPr>
        <w:t>10.50</w:t>
      </w:r>
      <w:r>
        <w:rPr>
          <w:rFonts w:hint="eastAsia" w:ascii="仿宋" w:hAnsi="仿宋" w:eastAsia="仿宋" w:cs="仿宋"/>
          <w:sz w:val="28"/>
          <w:szCs w:val="28"/>
          <w:lang w:eastAsia="zh-CN"/>
        </w:rPr>
        <w:t>万元。</w:t>
      </w:r>
    </w:p>
    <w:p w14:paraId="27A6EEC2">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（五）部门年度整体工作目标任务完成情况</w:t>
      </w:r>
    </w:p>
    <w:p w14:paraId="1B8854DB">
      <w:pPr>
        <w:keepNext w:val="0"/>
        <w:keepLines w:val="0"/>
        <w:pageBreakBefore w:val="0"/>
        <w:widowControl/>
        <w:kinsoku/>
        <w:wordWrap/>
        <w:overflowPunct/>
        <w:topLinePunct w:val="0"/>
        <w:autoSpaceDE/>
        <w:autoSpaceDN/>
        <w:bidi w:val="0"/>
        <w:adjustRightInd w:val="0"/>
        <w:snapToGrid w:val="0"/>
        <w:spacing w:after="0" w:line="600" w:lineRule="atLeast"/>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新增农村劳动力转移2117人，完成市县目标任务2100人的100.81%，其中贫困劳动力305人；城镇新增就业人员1201人，完成市目标任务1200人的100.08%；城镇失业人员再就业316人，完成市目标任务270人的117.03%；城镇登记失业率控制在4.5%以内；就业困难人员就业140人，完成市目标任务140人的100%；年内高校毕业生就业325人完成321，就业率97.54%；对离校未就业高校毕业生开展6个100%服务，实名登记离校未就业高校毕业生单位就业214人，单位就业比例66.67%；累计拓展开发就业岗位7900余个，县目标数3000的263%，组织专场招聘会59场，政策宣传53场，发放宣传资料4.5万册，参加单位近590家，登记求职人员近5100人，成功匹配就业178人，现场招聘帮助引导781人就业；基层服务平台146，100%全覆盖，创业孵化基地1个，基层服务平台146个，100%全覆盖，充分就业社区7个；岗位归集每月10个，重点企业岗位信息更新和发布，按月完成94家重点企业岗位信息更新；就业失业登记情况完成率100%，“311”就业服务率98.64%，100%全覆盖；全县脱贫劳动力19376名，有劳动能力且有就业意愿已就业18469人，就业率95.46%，走访就业困难和重点群体人数80人，帮扶就业困难人员和重点群体实现就业44人，城镇零就业家庭动态就业援助率为100%；就业帮扶车间19个，乡镇覆盖率100%，脱贫车间及脱贫基地吸纳脱贫劳动力419名；退捕渔民172人有劳动能力且有就业意愿已就业128人；申请一次性交通补贴人数320人，发放一次性交通补贴124700元；青年见习补贴开展就业见习计划26人，完成任务数26人的100%；完成职业培训1265人次，完成任务数1061人的119.23%，其中技能培训922人，创业培训343人，共补贴196.1729万元；发放小额担保贷款48笔，发放金额810万，贴息51.543431万，带动就业177人；失业保险参保369家，参保缴费人数8009人，征缴失业保险金508.59万元；稳岗返还发放67家，稳岗返还发放金额58.68万；发放失业保险金人数350人，发放失业保险金149.96万元；发放失业补助金人数20人，发放失业补助金4.45万元。</w:t>
      </w:r>
    </w:p>
    <w:p w14:paraId="2192B404">
      <w:pPr>
        <w:pStyle w:val="3"/>
        <w:bidi w:val="0"/>
      </w:pPr>
      <w:r>
        <w:rPr>
          <w:rFonts w:hint="eastAsia"/>
        </w:rPr>
        <w:t>二、部门整体评价工作开展</w:t>
      </w:r>
    </w:p>
    <w:p w14:paraId="01E518F7">
      <w:pPr>
        <w:keepNext w:val="0"/>
        <w:keepLines w:val="0"/>
        <w:pageBreakBefore w:val="0"/>
        <w:widowControl/>
        <w:kinsoku/>
        <w:wordWrap/>
        <w:overflowPunct/>
        <w:topLinePunct w:val="0"/>
        <w:autoSpaceDE/>
        <w:autoSpaceDN/>
        <w:bidi w:val="0"/>
        <w:adjustRightInd w:val="0"/>
        <w:snapToGrid w:val="0"/>
        <w:spacing w:after="0" w:line="600" w:lineRule="atLeast"/>
        <w:ind w:firstLine="596" w:firstLineChars="200"/>
        <w:textAlignment w:val="auto"/>
        <w:rPr>
          <w:rFonts w:hint="eastAsia" w:ascii="仿宋" w:hAnsi="仿宋" w:eastAsia="仿宋" w:cs="仿宋"/>
          <w:bCs/>
          <w:spacing w:val="-11"/>
          <w:sz w:val="32"/>
          <w:szCs w:val="32"/>
        </w:rPr>
      </w:pPr>
      <w:r>
        <w:rPr>
          <w:rFonts w:hint="eastAsia" w:ascii="仿宋" w:hAnsi="仿宋" w:eastAsia="仿宋" w:cs="仿宋"/>
          <w:spacing w:val="-11"/>
          <w:sz w:val="32"/>
          <w:szCs w:val="32"/>
        </w:rPr>
        <w:t>（一）绩效评价实施过程情况</w:t>
      </w:r>
    </w:p>
    <w:p w14:paraId="4F01A563">
      <w:pPr>
        <w:pStyle w:val="8"/>
        <w:keepNext w:val="0"/>
        <w:keepLines w:val="0"/>
        <w:pageBreakBefore w:val="0"/>
        <w:widowControl/>
        <w:kinsoku/>
        <w:wordWrap/>
        <w:overflowPunct/>
        <w:topLinePunct w:val="0"/>
        <w:bidi w:val="0"/>
        <w:adjustRightInd w:val="0"/>
        <w:snapToGrid w:val="0"/>
        <w:spacing w:before="0" w:after="0" w:line="600" w:lineRule="exact"/>
        <w:ind w:left="0" w:leftChars="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评价原则。此次绩效评价工作遵循科学规范、公开公正、分级分类和绩效相关的原则。</w:t>
      </w:r>
    </w:p>
    <w:p w14:paraId="28E3559B">
      <w:pPr>
        <w:pStyle w:val="8"/>
        <w:keepNext w:val="0"/>
        <w:keepLines w:val="0"/>
        <w:pageBreakBefore w:val="0"/>
        <w:widowControl/>
        <w:kinsoku/>
        <w:wordWrap/>
        <w:overflowPunct/>
        <w:topLinePunct w:val="0"/>
        <w:bidi w:val="0"/>
        <w:adjustRightInd w:val="0"/>
        <w:snapToGrid w:val="0"/>
        <w:spacing w:before="0" w:after="0" w:line="600" w:lineRule="exact"/>
        <w:ind w:left="0" w:leftChars="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评价依据。此次绩效评价的依据包括：《中共中央国务院关于全面实施预算绩效管理的意见》、中共湖南省委办公厅湖南省人民政府办公厅关于全面实施预算绩效管理的实施意见》（湘办发〔2019〕10号）、《关于开展202</w:t>
      </w:r>
      <w:r>
        <w:rPr>
          <w:rFonts w:hint="eastAsia" w:ascii="仿宋" w:hAnsi="仿宋" w:eastAsia="仿宋" w:cs="仿宋"/>
          <w:sz w:val="28"/>
          <w:szCs w:val="28"/>
          <w:lang w:val="en-US" w:eastAsia="zh-CN"/>
        </w:rPr>
        <w:t>3</w:t>
      </w:r>
      <w:r>
        <w:rPr>
          <w:rFonts w:hint="eastAsia" w:ascii="仿宋" w:hAnsi="仿宋" w:eastAsia="仿宋" w:cs="仿宋"/>
          <w:sz w:val="28"/>
          <w:szCs w:val="28"/>
        </w:rPr>
        <w:t>年度部门整体支出绩效自评工作的通知》（中财绩[202</w:t>
      </w:r>
      <w:r>
        <w:rPr>
          <w:rFonts w:hint="eastAsia" w:ascii="仿宋" w:hAnsi="仿宋" w:eastAsia="仿宋" w:cs="仿宋"/>
          <w:sz w:val="28"/>
          <w:szCs w:val="28"/>
          <w:lang w:val="en-US" w:eastAsia="zh-CN"/>
        </w:rPr>
        <w:t>4</w:t>
      </w:r>
      <w:r>
        <w:rPr>
          <w:rFonts w:hint="eastAsia" w:ascii="仿宋" w:hAnsi="仿宋" w:eastAsia="仿宋" w:cs="仿宋"/>
          <w:sz w:val="28"/>
          <w:szCs w:val="28"/>
        </w:rPr>
        <w:t>]1</w:t>
      </w:r>
      <w:r>
        <w:rPr>
          <w:rFonts w:hint="eastAsia" w:ascii="仿宋" w:hAnsi="仿宋" w:eastAsia="仿宋" w:cs="仿宋"/>
          <w:sz w:val="28"/>
          <w:szCs w:val="28"/>
          <w:lang w:val="en-US" w:eastAsia="zh-CN"/>
        </w:rPr>
        <w:t>74</w:t>
      </w:r>
      <w:r>
        <w:rPr>
          <w:rFonts w:hint="eastAsia" w:ascii="仿宋" w:hAnsi="仿宋" w:eastAsia="仿宋" w:cs="仿宋"/>
          <w:sz w:val="28"/>
          <w:szCs w:val="28"/>
        </w:rPr>
        <w:t>号）及其他相关资料。</w:t>
      </w:r>
    </w:p>
    <w:p w14:paraId="5159B18E">
      <w:pPr>
        <w:pStyle w:val="8"/>
        <w:keepNext w:val="0"/>
        <w:keepLines w:val="0"/>
        <w:pageBreakBefore w:val="0"/>
        <w:widowControl/>
        <w:kinsoku/>
        <w:wordWrap/>
        <w:overflowPunct/>
        <w:topLinePunct w:val="0"/>
        <w:bidi w:val="0"/>
        <w:adjustRightInd w:val="0"/>
        <w:snapToGrid w:val="0"/>
        <w:spacing w:before="0" w:after="0" w:line="600" w:lineRule="exact"/>
        <w:ind w:left="0" w:leftChars="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w:t>
      </w:r>
      <w:r>
        <w:rPr>
          <w:rFonts w:hint="eastAsia" w:ascii="仿宋" w:hAnsi="仿宋" w:eastAsia="仿宋" w:cs="仿宋"/>
          <w:sz w:val="28"/>
          <w:szCs w:val="28"/>
        </w:rPr>
        <w:t>评价方法。此次绩效评价主要采用比较法、公众评价法、定量分析与定性分析相结合的评价方法。</w:t>
      </w:r>
    </w:p>
    <w:p w14:paraId="6B982F2B">
      <w:pPr>
        <w:pStyle w:val="8"/>
        <w:keepNext w:val="0"/>
        <w:keepLines w:val="0"/>
        <w:pageBreakBefore w:val="0"/>
        <w:widowControl/>
        <w:kinsoku/>
        <w:wordWrap/>
        <w:overflowPunct/>
        <w:topLinePunct w:val="0"/>
        <w:bidi w:val="0"/>
        <w:adjustRightInd w:val="0"/>
        <w:snapToGrid w:val="0"/>
        <w:spacing w:before="0" w:after="0" w:line="600" w:lineRule="exact"/>
        <w:ind w:left="0" w:leftChars="0" w:firstLine="560" w:firstLineChars="200"/>
        <w:jc w:val="both"/>
        <w:textAlignment w:val="auto"/>
        <w:rPr>
          <w:rFonts w:hint="eastAsia" w:ascii="仿宋" w:hAnsi="仿宋" w:eastAsia="仿宋" w:cs="仿宋"/>
          <w:bCs/>
          <w:spacing w:val="-11"/>
          <w:sz w:val="28"/>
          <w:szCs w:val="28"/>
          <w:lang w:eastAsia="zh-CN"/>
        </w:rPr>
      </w:pPr>
      <w:r>
        <w:rPr>
          <w:rFonts w:hint="eastAsia" w:ascii="仿宋" w:hAnsi="仿宋" w:eastAsia="仿宋" w:cs="仿宋"/>
          <w:sz w:val="28"/>
          <w:szCs w:val="28"/>
        </w:rPr>
        <w:t>4</w:t>
      </w:r>
      <w:r>
        <w:rPr>
          <w:rFonts w:hint="eastAsia" w:ascii="仿宋" w:hAnsi="仿宋" w:eastAsia="仿宋" w:cs="仿宋"/>
          <w:sz w:val="28"/>
          <w:szCs w:val="28"/>
          <w:lang w:val="en-US" w:eastAsia="zh-CN"/>
        </w:rPr>
        <w:t>.</w:t>
      </w:r>
      <w:r>
        <w:rPr>
          <w:rFonts w:hint="eastAsia" w:ascii="仿宋" w:hAnsi="仿宋" w:eastAsia="仿宋" w:cs="仿宋"/>
          <w:sz w:val="28"/>
          <w:szCs w:val="28"/>
        </w:rPr>
        <w:t>绩效评价工作过程。根据绩效评价的要求，成立了自评工作领导小组，对照自评方案进行研究和布署，各股室全程参与，按照自评方案的要求，对照各实施项目的内容逐条逐项自评。在自评过程发现问题，查找原因，及时纠正偏差，为下一步工作夯实基础。通过开展部门整体支出绩效评价，全面了解、分析部门预算，执行并公开“三公”经费管理、资产管理及部门工作绩效等情况，规范资金管理，围绕绩效目标开展工作，加强财务管理，强化支出责任，提高财政资金使用绩效。</w:t>
      </w:r>
    </w:p>
    <w:p w14:paraId="627A2ECE">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（二）绩效评价整体结果概况</w:t>
      </w:r>
    </w:p>
    <w:p w14:paraId="70029FEF">
      <w:pPr>
        <w:keepNext w:val="0"/>
        <w:keepLines w:val="0"/>
        <w:pageBreakBefore w:val="0"/>
        <w:widowControl/>
        <w:kinsoku/>
        <w:wordWrap/>
        <w:overflowPunct/>
        <w:topLinePunct w:val="0"/>
        <w:autoSpaceDE/>
        <w:autoSpaceDN/>
        <w:bidi w:val="0"/>
        <w:adjustRightInd w:val="0"/>
        <w:snapToGrid w:val="0"/>
        <w:spacing w:after="0" w:line="600" w:lineRule="atLeast"/>
        <w:ind w:firstLine="560" w:firstLineChars="200"/>
        <w:jc w:val="both"/>
        <w:textAlignment w:val="auto"/>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根据现场绩效评价情况，结合单位自评结果，经综合评定，中方县就业服务中心2023年度部门资金整体支出绩效评价得分85.5分，评价等级为“良好”（具体评分情况详见2023年单位整体支出绩效自评表）。</w:t>
      </w:r>
    </w:p>
    <w:p w14:paraId="0389B2FE">
      <w:pPr>
        <w:pStyle w:val="3"/>
        <w:bidi w:val="0"/>
        <w:rPr>
          <w:rFonts w:hint="eastAsia"/>
        </w:rPr>
      </w:pPr>
      <w:r>
        <w:rPr>
          <w:rFonts w:hint="eastAsia"/>
        </w:rPr>
        <w:t>三、部门整体支出绩效评价分析</w:t>
      </w:r>
    </w:p>
    <w:p w14:paraId="7911475F">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（一）投入情况分析</w:t>
      </w:r>
    </w:p>
    <w:p w14:paraId="558C07F6">
      <w:pPr>
        <w:pStyle w:val="8"/>
        <w:keepNext w:val="0"/>
        <w:keepLines w:val="0"/>
        <w:pageBreakBefore w:val="0"/>
        <w:widowControl/>
        <w:kinsoku/>
        <w:wordWrap/>
        <w:overflowPunct/>
        <w:topLinePunct w:val="0"/>
        <w:bidi w:val="0"/>
        <w:adjustRightInd w:val="0"/>
        <w:snapToGrid w:val="0"/>
        <w:spacing w:before="0" w:after="0" w:line="600" w:lineRule="exact"/>
        <w:ind w:left="0" w:leftChars="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1.预算编制：为规范部门预算编制，我</w:t>
      </w:r>
      <w:r>
        <w:rPr>
          <w:rFonts w:hint="eastAsia" w:ascii="仿宋" w:hAnsi="仿宋" w:eastAsia="仿宋" w:cs="仿宋"/>
          <w:sz w:val="28"/>
          <w:szCs w:val="28"/>
          <w:lang w:eastAsia="zh-CN"/>
        </w:rPr>
        <w:t>中心</w:t>
      </w:r>
      <w:r>
        <w:rPr>
          <w:rFonts w:hint="eastAsia" w:ascii="仿宋" w:hAnsi="仿宋" w:eastAsia="仿宋" w:cs="仿宋"/>
          <w:sz w:val="28"/>
          <w:szCs w:val="28"/>
        </w:rPr>
        <w:t>严格按照“两上两下”编制流程，确保按时按质做好202</w:t>
      </w:r>
      <w:r>
        <w:rPr>
          <w:rFonts w:hint="eastAsia" w:ascii="仿宋" w:hAnsi="仿宋" w:eastAsia="仿宋" w:cs="仿宋"/>
          <w:sz w:val="28"/>
          <w:szCs w:val="28"/>
          <w:lang w:val="en-US" w:eastAsia="zh-CN"/>
        </w:rPr>
        <w:t>3</w:t>
      </w:r>
      <w:r>
        <w:rPr>
          <w:rFonts w:hint="eastAsia" w:ascii="仿宋" w:hAnsi="仿宋" w:eastAsia="仿宋" w:cs="仿宋"/>
          <w:sz w:val="28"/>
          <w:szCs w:val="28"/>
        </w:rPr>
        <w:t>年预算编制工作。202</w:t>
      </w:r>
      <w:r>
        <w:rPr>
          <w:rFonts w:hint="eastAsia" w:ascii="仿宋" w:hAnsi="仿宋" w:eastAsia="仿宋" w:cs="仿宋"/>
          <w:sz w:val="28"/>
          <w:szCs w:val="28"/>
          <w:lang w:val="en-US" w:eastAsia="zh-CN"/>
        </w:rPr>
        <w:t>3</w:t>
      </w:r>
      <w:r>
        <w:rPr>
          <w:rFonts w:hint="eastAsia" w:ascii="仿宋" w:hAnsi="仿宋" w:eastAsia="仿宋" w:cs="仿宋"/>
          <w:sz w:val="28"/>
          <w:szCs w:val="28"/>
        </w:rPr>
        <w:t>年本部门收入预算</w:t>
      </w:r>
      <w:r>
        <w:rPr>
          <w:rFonts w:hint="eastAsia" w:ascii="仿宋" w:hAnsi="仿宋" w:eastAsia="仿宋" w:cs="仿宋"/>
          <w:sz w:val="28"/>
          <w:szCs w:val="28"/>
          <w:lang w:val="en-US" w:eastAsia="zh-CN"/>
        </w:rPr>
        <w:t>125.56</w:t>
      </w:r>
      <w:r>
        <w:rPr>
          <w:rFonts w:hint="eastAsia" w:ascii="仿宋" w:hAnsi="仿宋" w:eastAsia="仿宋" w:cs="仿宋"/>
          <w:sz w:val="28"/>
          <w:szCs w:val="28"/>
        </w:rPr>
        <w:t>万元，其中，一般公共预算拨款</w:t>
      </w:r>
      <w:r>
        <w:rPr>
          <w:rFonts w:hint="eastAsia" w:ascii="仿宋" w:hAnsi="仿宋" w:eastAsia="仿宋" w:cs="仿宋"/>
          <w:sz w:val="28"/>
          <w:szCs w:val="28"/>
          <w:lang w:val="en-US" w:eastAsia="zh-CN"/>
        </w:rPr>
        <w:t>125.56</w:t>
      </w:r>
      <w:r>
        <w:rPr>
          <w:rFonts w:hint="eastAsia" w:ascii="仿宋" w:hAnsi="仿宋" w:eastAsia="仿宋" w:cs="仿宋"/>
          <w:sz w:val="28"/>
          <w:szCs w:val="28"/>
        </w:rPr>
        <w:t>万元。202</w:t>
      </w:r>
      <w:r>
        <w:rPr>
          <w:rFonts w:hint="eastAsia" w:ascii="仿宋" w:hAnsi="仿宋" w:eastAsia="仿宋" w:cs="仿宋"/>
          <w:sz w:val="28"/>
          <w:szCs w:val="28"/>
          <w:lang w:val="en-US" w:eastAsia="zh-CN"/>
        </w:rPr>
        <w:t>3</w:t>
      </w:r>
      <w:r>
        <w:rPr>
          <w:rFonts w:hint="eastAsia" w:ascii="仿宋" w:hAnsi="仿宋" w:eastAsia="仿宋" w:cs="仿宋"/>
          <w:sz w:val="28"/>
          <w:szCs w:val="28"/>
        </w:rPr>
        <w:t>年本部门支出预算</w:t>
      </w:r>
      <w:r>
        <w:rPr>
          <w:rFonts w:hint="eastAsia" w:ascii="仿宋" w:hAnsi="仿宋" w:eastAsia="仿宋" w:cs="仿宋"/>
          <w:sz w:val="28"/>
          <w:szCs w:val="28"/>
          <w:lang w:val="en-US" w:eastAsia="zh-CN"/>
        </w:rPr>
        <w:t>125.56</w:t>
      </w:r>
      <w:r>
        <w:rPr>
          <w:rFonts w:hint="eastAsia" w:ascii="仿宋" w:hAnsi="仿宋" w:eastAsia="仿宋" w:cs="仿宋"/>
          <w:sz w:val="28"/>
          <w:szCs w:val="28"/>
        </w:rPr>
        <w:t>万元，其中，社会保障和就业支出</w:t>
      </w:r>
      <w:r>
        <w:rPr>
          <w:rFonts w:hint="eastAsia" w:ascii="仿宋" w:hAnsi="仿宋" w:eastAsia="仿宋" w:cs="仿宋"/>
          <w:sz w:val="28"/>
          <w:szCs w:val="28"/>
          <w:lang w:val="en-US" w:eastAsia="zh-CN"/>
        </w:rPr>
        <w:t>121.46</w:t>
      </w:r>
      <w:r>
        <w:rPr>
          <w:rFonts w:hint="eastAsia" w:ascii="仿宋" w:hAnsi="仿宋" w:eastAsia="仿宋" w:cs="仿宋"/>
          <w:sz w:val="28"/>
          <w:szCs w:val="28"/>
        </w:rPr>
        <w:t>万元，住房保障支出</w:t>
      </w:r>
      <w:r>
        <w:rPr>
          <w:rFonts w:hint="eastAsia" w:ascii="仿宋" w:hAnsi="仿宋" w:eastAsia="仿宋" w:cs="仿宋"/>
          <w:sz w:val="28"/>
          <w:szCs w:val="28"/>
          <w:lang w:val="en-US" w:eastAsia="zh-CN"/>
        </w:rPr>
        <w:t>4.10</w:t>
      </w:r>
      <w:r>
        <w:rPr>
          <w:rFonts w:hint="eastAsia" w:ascii="仿宋" w:hAnsi="仿宋" w:eastAsia="仿宋" w:cs="仿宋"/>
          <w:sz w:val="28"/>
          <w:szCs w:val="28"/>
        </w:rPr>
        <w:t>万元。</w:t>
      </w:r>
    </w:p>
    <w:p w14:paraId="255CE166">
      <w:pPr>
        <w:pStyle w:val="8"/>
        <w:keepNext w:val="0"/>
        <w:keepLines w:val="0"/>
        <w:pageBreakBefore w:val="0"/>
        <w:widowControl/>
        <w:kinsoku/>
        <w:wordWrap/>
        <w:overflowPunct/>
        <w:topLinePunct w:val="0"/>
        <w:bidi w:val="0"/>
        <w:adjustRightInd w:val="0"/>
        <w:snapToGrid w:val="0"/>
        <w:spacing w:before="0" w:after="0" w:line="600" w:lineRule="exact"/>
        <w:ind w:left="0" w:leftChars="0" w:firstLine="560" w:firstLineChars="200"/>
        <w:jc w:val="both"/>
        <w:textAlignment w:val="auto"/>
        <w:rPr>
          <w:rFonts w:hint="eastAsia" w:ascii="仿宋" w:hAnsi="仿宋" w:eastAsia="仿宋" w:cs="仿宋"/>
          <w:sz w:val="32"/>
          <w:szCs w:val="32"/>
        </w:rPr>
      </w:pPr>
      <w:r>
        <w:rPr>
          <w:rFonts w:hint="eastAsia" w:ascii="仿宋" w:hAnsi="仿宋" w:eastAsia="仿宋" w:cs="仿宋"/>
          <w:sz w:val="28"/>
          <w:szCs w:val="28"/>
        </w:rPr>
        <w:t>2.目标设定：①本部门设立的整体绩效目标符合国家法律法规、国民经济和社会发展总体规划、符合“三定”方案确定的职责与部门制定的中长期实施规划。②本部门设定的绩效指标清晰、细化、可衡量，与部门年度的任务数相对应，并与本年度部门预算资金相匹配。③本部门编报整体绩效目标和申报项目绩效目标的数量没有超过财政部门要求的绩效目标填报数量。</w:t>
      </w:r>
    </w:p>
    <w:p w14:paraId="098CF331">
      <w:pPr>
        <w:keepNext w:val="0"/>
        <w:keepLines w:val="0"/>
        <w:pageBreakBefore w:val="0"/>
        <w:widowControl/>
        <w:numPr>
          <w:ilvl w:val="0"/>
          <w:numId w:val="2"/>
        </w:numPr>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执行管理情况分析</w:t>
      </w:r>
    </w:p>
    <w:p w14:paraId="6EFFA394">
      <w:pPr>
        <w:pStyle w:val="8"/>
        <w:keepNext w:val="0"/>
        <w:keepLines w:val="0"/>
        <w:pageBreakBefore w:val="0"/>
        <w:widowControl/>
        <w:kinsoku/>
        <w:wordWrap/>
        <w:overflowPunct/>
        <w:topLinePunct w:val="0"/>
        <w:bidi w:val="0"/>
        <w:adjustRightInd w:val="0"/>
        <w:snapToGrid w:val="0"/>
        <w:spacing w:before="0" w:after="0" w:line="600" w:lineRule="exact"/>
        <w:ind w:left="0" w:leftChars="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1.本部门年初预算</w:t>
      </w:r>
      <w:r>
        <w:rPr>
          <w:rFonts w:hint="eastAsia" w:ascii="仿宋" w:hAnsi="仿宋" w:eastAsia="仿宋" w:cs="仿宋"/>
          <w:sz w:val="28"/>
          <w:szCs w:val="28"/>
          <w:lang w:val="en-US" w:eastAsia="zh-CN"/>
        </w:rPr>
        <w:t>125.56</w:t>
      </w:r>
      <w:r>
        <w:rPr>
          <w:rFonts w:hint="eastAsia" w:ascii="仿宋" w:hAnsi="仿宋" w:eastAsia="仿宋" w:cs="仿宋"/>
          <w:sz w:val="28"/>
          <w:szCs w:val="28"/>
        </w:rPr>
        <w:t>万元，决算支出</w:t>
      </w:r>
      <w:r>
        <w:rPr>
          <w:rFonts w:hint="eastAsia" w:ascii="仿宋" w:hAnsi="仿宋" w:eastAsia="仿宋" w:cs="仿宋"/>
          <w:sz w:val="28"/>
          <w:szCs w:val="28"/>
          <w:lang w:val="en-US" w:eastAsia="zh-CN"/>
        </w:rPr>
        <w:t>390.36</w:t>
      </w:r>
      <w:r>
        <w:rPr>
          <w:rFonts w:hint="eastAsia" w:ascii="仿宋" w:hAnsi="仿宋" w:eastAsia="仿宋" w:cs="仿宋"/>
          <w:sz w:val="28"/>
          <w:szCs w:val="28"/>
        </w:rPr>
        <w:t>万元，预算完成率</w:t>
      </w:r>
      <w:r>
        <w:rPr>
          <w:rFonts w:hint="eastAsia" w:ascii="仿宋" w:hAnsi="仿宋" w:eastAsia="仿宋" w:cs="仿宋"/>
          <w:sz w:val="28"/>
          <w:szCs w:val="28"/>
          <w:lang w:val="en-US" w:eastAsia="zh-CN"/>
        </w:rPr>
        <w:t>100.00</w:t>
      </w:r>
      <w:r>
        <w:rPr>
          <w:rFonts w:hint="eastAsia" w:ascii="仿宋" w:hAnsi="仿宋" w:eastAsia="仿宋" w:cs="仿宋"/>
          <w:sz w:val="28"/>
          <w:szCs w:val="28"/>
        </w:rPr>
        <w:t>%。</w:t>
      </w:r>
    </w:p>
    <w:p w14:paraId="0B4D9054">
      <w:pPr>
        <w:pStyle w:val="8"/>
        <w:keepNext w:val="0"/>
        <w:keepLines w:val="0"/>
        <w:pageBreakBefore w:val="0"/>
        <w:widowControl/>
        <w:kinsoku/>
        <w:wordWrap/>
        <w:overflowPunct/>
        <w:topLinePunct w:val="0"/>
        <w:bidi w:val="0"/>
        <w:adjustRightInd w:val="0"/>
        <w:snapToGrid w:val="0"/>
        <w:spacing w:before="0" w:after="0" w:line="600" w:lineRule="exact"/>
        <w:ind w:left="0" w:leftChars="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2.本部门调整预算数</w:t>
      </w:r>
      <w:r>
        <w:rPr>
          <w:rFonts w:hint="eastAsia" w:ascii="仿宋" w:hAnsi="仿宋" w:eastAsia="仿宋" w:cs="仿宋"/>
          <w:sz w:val="28"/>
          <w:szCs w:val="28"/>
          <w:lang w:val="en-US" w:eastAsia="zh-CN"/>
        </w:rPr>
        <w:t>264.80</w:t>
      </w:r>
      <w:r>
        <w:rPr>
          <w:rFonts w:hint="eastAsia" w:ascii="仿宋" w:hAnsi="仿宋" w:eastAsia="仿宋" w:cs="仿宋"/>
          <w:sz w:val="28"/>
          <w:szCs w:val="28"/>
        </w:rPr>
        <w:t>万元，年初预算数</w:t>
      </w:r>
      <w:r>
        <w:rPr>
          <w:rFonts w:hint="eastAsia" w:ascii="仿宋" w:hAnsi="仿宋" w:eastAsia="仿宋" w:cs="仿宋"/>
          <w:sz w:val="28"/>
          <w:szCs w:val="28"/>
          <w:lang w:val="en-US" w:eastAsia="zh-CN"/>
        </w:rPr>
        <w:t>125.56</w:t>
      </w:r>
      <w:r>
        <w:rPr>
          <w:rFonts w:hint="eastAsia" w:ascii="仿宋" w:hAnsi="仿宋" w:eastAsia="仿宋" w:cs="仿宋"/>
          <w:sz w:val="28"/>
          <w:szCs w:val="28"/>
        </w:rPr>
        <w:t>万元，预算调整率</w:t>
      </w:r>
      <w:r>
        <w:rPr>
          <w:rFonts w:hint="eastAsia" w:ascii="仿宋" w:hAnsi="仿宋" w:eastAsia="仿宋" w:cs="仿宋"/>
          <w:sz w:val="28"/>
          <w:szCs w:val="28"/>
          <w:lang w:val="en-US" w:eastAsia="zh-CN"/>
        </w:rPr>
        <w:t>210.89</w:t>
      </w:r>
      <w:r>
        <w:rPr>
          <w:rFonts w:hint="eastAsia" w:ascii="仿宋" w:hAnsi="仿宋" w:eastAsia="仿宋" w:cs="仿宋"/>
          <w:sz w:val="28"/>
          <w:szCs w:val="28"/>
        </w:rPr>
        <w:t>%。</w:t>
      </w:r>
    </w:p>
    <w:p w14:paraId="6BC0C840">
      <w:pPr>
        <w:pStyle w:val="8"/>
        <w:keepNext w:val="0"/>
        <w:keepLines w:val="0"/>
        <w:pageBreakBefore w:val="0"/>
        <w:widowControl/>
        <w:kinsoku/>
        <w:wordWrap/>
        <w:overflowPunct/>
        <w:topLinePunct w:val="0"/>
        <w:bidi w:val="0"/>
        <w:adjustRightInd w:val="0"/>
        <w:snapToGrid w:val="0"/>
        <w:spacing w:before="0" w:after="0" w:line="600" w:lineRule="exact"/>
        <w:ind w:left="0" w:leftChars="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.本部门结转结余为0，结转结余率为0，结转结余变动率为0。</w:t>
      </w:r>
    </w:p>
    <w:p w14:paraId="476B9F9A">
      <w:pPr>
        <w:pStyle w:val="8"/>
        <w:keepNext w:val="0"/>
        <w:keepLines w:val="0"/>
        <w:pageBreakBefore w:val="0"/>
        <w:widowControl/>
        <w:kinsoku/>
        <w:wordWrap/>
        <w:overflowPunct/>
        <w:topLinePunct w:val="0"/>
        <w:bidi w:val="0"/>
        <w:adjustRightInd w:val="0"/>
        <w:snapToGrid w:val="0"/>
        <w:spacing w:before="0" w:after="0" w:line="600" w:lineRule="exact"/>
        <w:ind w:left="0" w:leftChars="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.本部门202</w:t>
      </w:r>
      <w:r>
        <w:rPr>
          <w:rFonts w:hint="eastAsia" w:ascii="仿宋" w:hAnsi="仿宋" w:eastAsia="仿宋" w:cs="仿宋"/>
          <w:sz w:val="28"/>
          <w:szCs w:val="28"/>
          <w:lang w:val="en-US" w:eastAsia="zh-CN"/>
        </w:rPr>
        <w:t>3</w:t>
      </w:r>
      <w:r>
        <w:rPr>
          <w:rFonts w:hint="eastAsia" w:ascii="仿宋" w:hAnsi="仿宋" w:eastAsia="仿宋" w:cs="仿宋"/>
          <w:sz w:val="28"/>
          <w:szCs w:val="28"/>
        </w:rPr>
        <w:t>年实际支出公用经费总额为</w:t>
      </w:r>
      <w:r>
        <w:rPr>
          <w:rFonts w:hint="eastAsia" w:ascii="仿宋" w:hAnsi="仿宋" w:eastAsia="仿宋" w:cs="仿宋"/>
          <w:sz w:val="28"/>
          <w:szCs w:val="28"/>
          <w:lang w:val="en-US" w:eastAsia="zh-CN"/>
        </w:rPr>
        <w:t>18.40万</w:t>
      </w:r>
      <w:r>
        <w:rPr>
          <w:rFonts w:hint="eastAsia" w:ascii="仿宋" w:hAnsi="仿宋" w:eastAsia="仿宋" w:cs="仿宋"/>
          <w:sz w:val="28"/>
          <w:szCs w:val="28"/>
        </w:rPr>
        <w:t>元，预算安排公用经费为</w:t>
      </w:r>
      <w:r>
        <w:rPr>
          <w:rFonts w:hint="eastAsia" w:ascii="仿宋" w:hAnsi="仿宋" w:eastAsia="仿宋" w:cs="仿宋"/>
          <w:sz w:val="28"/>
          <w:szCs w:val="28"/>
          <w:lang w:val="en-US" w:eastAsia="zh-CN"/>
        </w:rPr>
        <w:t>11.70</w:t>
      </w:r>
      <w:r>
        <w:rPr>
          <w:rFonts w:hint="eastAsia" w:ascii="仿宋" w:hAnsi="仿宋" w:eastAsia="仿宋" w:cs="仿宋"/>
          <w:sz w:val="28"/>
          <w:szCs w:val="28"/>
        </w:rPr>
        <w:t>万元，公用经费控制率为</w:t>
      </w:r>
      <w:r>
        <w:rPr>
          <w:rFonts w:hint="eastAsia" w:ascii="仿宋" w:hAnsi="仿宋" w:eastAsia="仿宋" w:cs="仿宋"/>
          <w:sz w:val="28"/>
          <w:szCs w:val="28"/>
          <w:lang w:val="en-US" w:eastAsia="zh-CN"/>
        </w:rPr>
        <w:t>157.2</w:t>
      </w:r>
      <w:r>
        <w:rPr>
          <w:rFonts w:hint="eastAsia" w:ascii="仿宋" w:hAnsi="仿宋" w:eastAsia="仿宋" w:cs="仿宋"/>
          <w:sz w:val="28"/>
          <w:szCs w:val="28"/>
        </w:rPr>
        <w:t>%。</w:t>
      </w:r>
    </w:p>
    <w:p w14:paraId="7AEA61F9">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jc w:val="both"/>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.本部门202</w:t>
      </w:r>
      <w:r>
        <w:rPr>
          <w:rFonts w:hint="eastAsia" w:ascii="仿宋" w:hAnsi="仿宋" w:eastAsia="仿宋" w:cs="仿宋"/>
          <w:sz w:val="28"/>
          <w:szCs w:val="28"/>
          <w:lang w:val="en-US" w:eastAsia="zh-CN"/>
        </w:rPr>
        <w:t>3</w:t>
      </w:r>
      <w:r>
        <w:rPr>
          <w:rFonts w:hint="eastAsia" w:ascii="仿宋" w:hAnsi="仿宋" w:eastAsia="仿宋" w:cs="仿宋"/>
          <w:sz w:val="28"/>
          <w:szCs w:val="28"/>
        </w:rPr>
        <w:t>年“三公经费”实际支出数为</w:t>
      </w:r>
      <w:r>
        <w:rPr>
          <w:rFonts w:hint="eastAsia" w:ascii="仿宋" w:hAnsi="仿宋" w:eastAsia="仿宋" w:cs="仿宋"/>
          <w:sz w:val="28"/>
          <w:szCs w:val="28"/>
          <w:lang w:val="en-US" w:eastAsia="zh-CN"/>
        </w:rPr>
        <w:t>0</w:t>
      </w:r>
      <w:r>
        <w:rPr>
          <w:rFonts w:hint="eastAsia" w:ascii="仿宋" w:hAnsi="仿宋" w:eastAsia="仿宋" w:cs="仿宋"/>
          <w:sz w:val="28"/>
          <w:szCs w:val="28"/>
        </w:rPr>
        <w:t>万元，年初预算安排</w:t>
      </w:r>
      <w:r>
        <w:rPr>
          <w:rFonts w:hint="eastAsia" w:ascii="仿宋" w:hAnsi="仿宋" w:eastAsia="仿宋" w:cs="仿宋"/>
          <w:sz w:val="28"/>
          <w:szCs w:val="28"/>
          <w:lang w:val="en-US" w:eastAsia="zh-CN"/>
        </w:rPr>
        <w:t>0</w:t>
      </w:r>
      <w:r>
        <w:rPr>
          <w:rFonts w:hint="eastAsia" w:ascii="仿宋" w:hAnsi="仿宋" w:eastAsia="仿宋" w:cs="仿宋"/>
          <w:sz w:val="28"/>
          <w:szCs w:val="28"/>
        </w:rPr>
        <w:t>万元，“三公经费”控制率</w:t>
      </w:r>
      <w:r>
        <w:rPr>
          <w:rFonts w:hint="eastAsia" w:ascii="仿宋" w:hAnsi="仿宋" w:eastAsia="仿宋" w:cs="仿宋"/>
          <w:sz w:val="28"/>
          <w:szCs w:val="28"/>
          <w:lang w:val="en-US" w:eastAsia="zh-CN"/>
        </w:rPr>
        <w:t>100</w:t>
      </w:r>
      <w:r>
        <w:rPr>
          <w:rFonts w:hint="eastAsia" w:ascii="仿宋" w:hAnsi="仿宋" w:eastAsia="仿宋" w:cs="仿宋"/>
          <w:sz w:val="28"/>
          <w:szCs w:val="28"/>
        </w:rPr>
        <w:t>%。</w:t>
      </w:r>
    </w:p>
    <w:p w14:paraId="38DC562E">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（三）支出绩效情况</w:t>
      </w:r>
    </w:p>
    <w:p w14:paraId="0954A148">
      <w:pPr>
        <w:pStyle w:val="8"/>
        <w:keepNext w:val="0"/>
        <w:keepLines w:val="0"/>
        <w:pageBreakBefore w:val="0"/>
        <w:widowControl/>
        <w:kinsoku/>
        <w:wordWrap/>
        <w:overflowPunct/>
        <w:topLinePunct w:val="0"/>
        <w:bidi w:val="0"/>
        <w:adjustRightInd w:val="0"/>
        <w:snapToGrid w:val="0"/>
        <w:spacing w:before="0" w:after="0" w:line="600" w:lineRule="exact"/>
        <w:ind w:left="0" w:leftChars="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本</w:t>
      </w:r>
      <w:r>
        <w:rPr>
          <w:rFonts w:hint="eastAsia" w:ascii="仿宋" w:hAnsi="仿宋" w:eastAsia="仿宋" w:cs="仿宋"/>
          <w:sz w:val="28"/>
          <w:szCs w:val="28"/>
        </w:rPr>
        <w:t>部门202</w:t>
      </w:r>
      <w:r>
        <w:rPr>
          <w:rFonts w:hint="eastAsia" w:ascii="仿宋" w:hAnsi="仿宋" w:eastAsia="仿宋" w:cs="仿宋"/>
          <w:sz w:val="28"/>
          <w:szCs w:val="28"/>
          <w:lang w:val="en-US" w:eastAsia="zh-CN"/>
        </w:rPr>
        <w:t>3</w:t>
      </w:r>
      <w:r>
        <w:rPr>
          <w:rFonts w:hint="eastAsia" w:ascii="仿宋" w:hAnsi="仿宋" w:eastAsia="仿宋" w:cs="仿宋"/>
          <w:sz w:val="28"/>
          <w:szCs w:val="28"/>
        </w:rPr>
        <w:t>年度基本支出</w:t>
      </w:r>
      <w:r>
        <w:rPr>
          <w:rFonts w:hint="eastAsia" w:ascii="仿宋" w:hAnsi="仿宋" w:eastAsia="仿宋" w:cs="仿宋"/>
          <w:sz w:val="28"/>
          <w:szCs w:val="28"/>
          <w:lang w:val="en-US" w:eastAsia="zh-CN"/>
        </w:rPr>
        <w:t>197.40</w:t>
      </w:r>
      <w:r>
        <w:rPr>
          <w:rFonts w:hint="eastAsia" w:ascii="仿宋" w:hAnsi="仿宋" w:eastAsia="仿宋" w:cs="仿宋"/>
          <w:sz w:val="28"/>
          <w:szCs w:val="28"/>
        </w:rPr>
        <w:t>万元，其中人员经费</w:t>
      </w:r>
      <w:r>
        <w:rPr>
          <w:rFonts w:hint="eastAsia" w:ascii="仿宋" w:hAnsi="仿宋" w:eastAsia="仿宋" w:cs="仿宋"/>
          <w:sz w:val="28"/>
          <w:szCs w:val="28"/>
          <w:lang w:val="en-US" w:eastAsia="zh-CN"/>
        </w:rPr>
        <w:t>179</w:t>
      </w:r>
      <w:r>
        <w:rPr>
          <w:rFonts w:hint="eastAsia" w:ascii="仿宋" w:hAnsi="仿宋" w:eastAsia="仿宋" w:cs="仿宋"/>
          <w:sz w:val="28"/>
          <w:szCs w:val="28"/>
        </w:rPr>
        <w:t>万元、公用经费</w:t>
      </w:r>
      <w:r>
        <w:rPr>
          <w:rFonts w:hint="eastAsia" w:ascii="仿宋" w:hAnsi="仿宋" w:eastAsia="仿宋" w:cs="仿宋"/>
          <w:sz w:val="28"/>
          <w:szCs w:val="28"/>
          <w:lang w:val="en-US" w:eastAsia="zh-CN"/>
        </w:rPr>
        <w:t>18.40</w:t>
      </w:r>
      <w:r>
        <w:rPr>
          <w:rFonts w:hint="eastAsia" w:ascii="仿宋" w:hAnsi="仿宋" w:eastAsia="仿宋" w:cs="仿宋"/>
          <w:sz w:val="28"/>
          <w:szCs w:val="28"/>
        </w:rPr>
        <w:t>万元，基本保障机构正常运转和完成日常工作任务；项目支出</w:t>
      </w:r>
      <w:r>
        <w:rPr>
          <w:rFonts w:hint="eastAsia" w:ascii="仿宋" w:hAnsi="仿宋" w:eastAsia="仿宋" w:cs="仿宋"/>
          <w:sz w:val="28"/>
          <w:szCs w:val="28"/>
          <w:lang w:val="en-US" w:eastAsia="zh-CN"/>
        </w:rPr>
        <w:t>192.95</w:t>
      </w:r>
      <w:r>
        <w:rPr>
          <w:rFonts w:hint="eastAsia" w:ascii="仿宋" w:hAnsi="仿宋" w:eastAsia="仿宋" w:cs="仿宋"/>
          <w:sz w:val="28"/>
          <w:szCs w:val="28"/>
        </w:rPr>
        <w:t>万元，其中</w:t>
      </w:r>
      <w:r>
        <w:rPr>
          <w:rFonts w:hint="eastAsia" w:ascii="仿宋" w:hAnsi="仿宋" w:eastAsia="仿宋" w:cs="仿宋"/>
          <w:sz w:val="28"/>
          <w:szCs w:val="28"/>
          <w:lang w:val="en-US" w:eastAsia="zh-CN"/>
        </w:rPr>
        <w:t>公益性岗位及村级协管员补助111.64</w:t>
      </w:r>
      <w:r>
        <w:rPr>
          <w:rFonts w:hint="eastAsia" w:ascii="仿宋" w:hAnsi="仿宋" w:eastAsia="仿宋" w:cs="仿宋"/>
          <w:sz w:val="28"/>
          <w:szCs w:val="28"/>
        </w:rPr>
        <w:t>万元、</w:t>
      </w:r>
      <w:r>
        <w:rPr>
          <w:rFonts w:hint="eastAsia" w:ascii="仿宋" w:hAnsi="仿宋" w:eastAsia="仿宋" w:cs="仿宋"/>
          <w:sz w:val="28"/>
          <w:szCs w:val="28"/>
          <w:lang w:val="en-US" w:eastAsia="zh-CN"/>
        </w:rPr>
        <w:t>公共就业服务58.85</w:t>
      </w:r>
      <w:r>
        <w:rPr>
          <w:rFonts w:hint="eastAsia" w:ascii="仿宋" w:hAnsi="仿宋" w:eastAsia="仿宋" w:cs="仿宋"/>
          <w:sz w:val="28"/>
          <w:szCs w:val="28"/>
        </w:rPr>
        <w:t>万元</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一次性交通补贴12.47万元、就业帮扶车间10万元</w:t>
      </w:r>
      <w:r>
        <w:rPr>
          <w:rFonts w:hint="eastAsia" w:ascii="仿宋" w:hAnsi="仿宋" w:eastAsia="仿宋" w:cs="仿宋"/>
          <w:sz w:val="28"/>
          <w:szCs w:val="28"/>
        </w:rPr>
        <w:t>，完成了我县</w:t>
      </w:r>
      <w:r>
        <w:rPr>
          <w:rFonts w:hint="eastAsia" w:ascii="仿宋" w:hAnsi="仿宋" w:eastAsia="仿宋" w:cs="仿宋"/>
          <w:sz w:val="28"/>
          <w:szCs w:val="28"/>
          <w:lang w:eastAsia="zh-CN"/>
        </w:rPr>
        <w:t>就业</w:t>
      </w:r>
      <w:r>
        <w:rPr>
          <w:rFonts w:hint="eastAsia" w:ascii="仿宋" w:hAnsi="仿宋" w:eastAsia="仿宋" w:cs="仿宋"/>
          <w:sz w:val="28"/>
          <w:szCs w:val="28"/>
        </w:rPr>
        <w:t>事业发展特定的工作任务和事业发展目标，达到了预期的目的。</w:t>
      </w:r>
    </w:p>
    <w:p w14:paraId="0B1D2D63">
      <w:pPr>
        <w:pStyle w:val="8"/>
        <w:keepNext w:val="0"/>
        <w:keepLines w:val="0"/>
        <w:pageBreakBefore w:val="0"/>
        <w:widowControl/>
        <w:kinsoku/>
        <w:wordWrap/>
        <w:overflowPunct/>
        <w:topLinePunct w:val="0"/>
        <w:bidi w:val="0"/>
        <w:adjustRightInd w:val="0"/>
        <w:snapToGrid w:val="0"/>
        <w:spacing w:before="0" w:after="0" w:line="600" w:lineRule="exact"/>
        <w:ind w:left="0" w:leftChars="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2.部门预算资金管理使用合法合规，不存在违规支出资金。</w:t>
      </w:r>
    </w:p>
    <w:p w14:paraId="5A81C293">
      <w:pPr>
        <w:pStyle w:val="8"/>
        <w:keepNext w:val="0"/>
        <w:keepLines w:val="0"/>
        <w:pageBreakBefore w:val="0"/>
        <w:widowControl/>
        <w:kinsoku/>
        <w:wordWrap/>
        <w:overflowPunct/>
        <w:topLinePunct w:val="0"/>
        <w:bidi w:val="0"/>
        <w:adjustRightInd w:val="0"/>
        <w:snapToGrid w:val="0"/>
        <w:spacing w:before="0" w:after="0" w:line="600" w:lineRule="exact"/>
        <w:ind w:left="0" w:leftChars="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.本部门将绩效结果按要求在县政府门户网站上对外主动公开绩效自评结果，并将预算绩效管理工作向县政府等部门报告。</w:t>
      </w:r>
    </w:p>
    <w:p w14:paraId="638724CD">
      <w:pPr>
        <w:pStyle w:val="3"/>
        <w:bidi w:val="0"/>
        <w:rPr>
          <w:rFonts w:hint="eastAsia"/>
        </w:rPr>
      </w:pPr>
      <w:r>
        <w:rPr>
          <w:rFonts w:hint="eastAsia"/>
        </w:rPr>
        <w:t>四、存在的问题</w:t>
      </w:r>
    </w:p>
    <w:p w14:paraId="312D5E54">
      <w:pPr>
        <w:keepNext w:val="0"/>
        <w:keepLines w:val="0"/>
        <w:pageBreakBefore w:val="0"/>
        <w:widowControl/>
        <w:kinsoku/>
        <w:wordWrap/>
        <w:overflowPunct/>
        <w:topLinePunct w:val="0"/>
        <w:autoSpaceDE/>
        <w:autoSpaceDN/>
        <w:bidi w:val="0"/>
        <w:adjustRightInd w:val="0"/>
        <w:snapToGrid w:val="0"/>
        <w:spacing w:after="0" w:line="600" w:lineRule="atLeast"/>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预算绩效管理工作有待加强。虽然开展了预算绩效管理工作，但仍存在一些不足：一是绩效目标设立不够细化、量化；二是部门整体支出绩效自评工作不够全面，绩效自评报告质量有待进一步提升。</w:t>
      </w:r>
    </w:p>
    <w:p w14:paraId="32096245">
      <w:pPr>
        <w:pStyle w:val="3"/>
        <w:bidi w:val="0"/>
        <w:rPr>
          <w:rFonts w:hint="eastAsia"/>
        </w:rPr>
      </w:pPr>
      <w:r>
        <w:rPr>
          <w:rFonts w:hint="eastAsia"/>
        </w:rPr>
        <w:t>五、整改措施或建议</w:t>
      </w:r>
    </w:p>
    <w:p w14:paraId="0F5127A6">
      <w:pPr>
        <w:keepNext w:val="0"/>
        <w:keepLines w:val="0"/>
        <w:pageBreakBefore w:val="0"/>
        <w:widowControl/>
        <w:kinsoku/>
        <w:wordWrap/>
        <w:overflowPunct/>
        <w:topLinePunct w:val="0"/>
        <w:autoSpaceDE/>
        <w:autoSpaceDN/>
        <w:bidi w:val="0"/>
        <w:adjustRightInd w:val="0"/>
        <w:snapToGrid w:val="0"/>
        <w:spacing w:after="0" w:line="600" w:lineRule="atLeast"/>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加强预算绩效管理。规范绩效目标编制，科学选定绩效指标，合理确定指标标准。</w:t>
      </w:r>
    </w:p>
    <w:p w14:paraId="7B1B7451">
      <w:pPr>
        <w:pStyle w:val="3"/>
        <w:numPr>
          <w:ilvl w:val="0"/>
          <w:numId w:val="3"/>
        </w:numPr>
        <w:bidi w:val="0"/>
        <w:rPr>
          <w:rFonts w:hint="eastAsia"/>
        </w:rPr>
      </w:pPr>
      <w:r>
        <w:rPr>
          <w:rFonts w:hint="eastAsia"/>
        </w:rPr>
        <w:t>其他需要说明的问题</w:t>
      </w:r>
    </w:p>
    <w:p w14:paraId="006CE1ED">
      <w:pPr>
        <w:keepNext w:val="0"/>
        <w:keepLines w:val="0"/>
        <w:pageBreakBefore w:val="0"/>
        <w:widowControl/>
        <w:kinsoku/>
        <w:wordWrap/>
        <w:overflowPunct/>
        <w:topLinePunct w:val="0"/>
        <w:autoSpaceDE/>
        <w:autoSpaceDN/>
        <w:bidi w:val="0"/>
        <w:adjustRightInd w:val="0"/>
        <w:snapToGrid w:val="0"/>
        <w:spacing w:after="0" w:line="600" w:lineRule="atLeast"/>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无其他需要说明的问题。</w:t>
      </w:r>
    </w:p>
    <w:p w14:paraId="33F11173">
      <w:pPr>
        <w:keepNext w:val="0"/>
        <w:keepLines w:val="0"/>
        <w:pageBreakBefore w:val="0"/>
        <w:widowControl/>
        <w:kinsoku/>
        <w:wordWrap/>
        <w:overflowPunct/>
        <w:topLinePunct w:val="0"/>
        <w:autoSpaceDE/>
        <w:autoSpaceDN/>
        <w:bidi w:val="0"/>
        <w:adjustRightInd w:val="0"/>
        <w:snapToGrid w:val="0"/>
        <w:spacing w:after="0" w:line="600" w:lineRule="atLeast"/>
        <w:ind w:firstLine="560" w:firstLineChars="200"/>
        <w:textAlignment w:val="auto"/>
        <w:rPr>
          <w:rFonts w:hint="eastAsia" w:ascii="仿宋" w:hAnsi="仿宋" w:eastAsia="仿宋" w:cs="仿宋"/>
          <w:sz w:val="28"/>
          <w:szCs w:val="28"/>
          <w:lang w:eastAsia="zh-CN"/>
        </w:rPr>
      </w:pPr>
    </w:p>
    <w:p w14:paraId="35EAB908">
      <w:pPr>
        <w:keepNext w:val="0"/>
        <w:keepLines w:val="0"/>
        <w:pageBreakBefore w:val="0"/>
        <w:widowControl/>
        <w:shd w:val="solid" w:color="FFFFFF" w:fill="auto"/>
        <w:kinsoku/>
        <w:wordWrap/>
        <w:overflowPunct/>
        <w:topLinePunct w:val="0"/>
        <w:autoSpaceDE/>
        <w:autoSpaceDN w:val="0"/>
        <w:bidi w:val="0"/>
        <w:adjustRightInd w:val="0"/>
        <w:snapToGrid w:val="0"/>
        <w:spacing w:before="361" w:beforeLines="100" w:after="0" w:line="360" w:lineRule="atLeast"/>
        <w:ind w:firstLine="0" w:firstLineChars="0"/>
        <w:jc w:val="both"/>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附件</w:t>
      </w:r>
      <w:r>
        <w:rPr>
          <w:rFonts w:hint="eastAsia" w:ascii="仿宋" w:hAnsi="仿宋" w:eastAsia="仿宋" w:cs="仿宋_GB2312"/>
          <w:sz w:val="32"/>
          <w:szCs w:val="32"/>
          <w:lang w:val="en-US" w:eastAsia="zh-CN"/>
        </w:rPr>
        <w:t>：</w:t>
      </w:r>
      <w:r>
        <w:rPr>
          <w:rFonts w:hint="eastAsia" w:ascii="仿宋" w:hAnsi="仿宋" w:eastAsia="仿宋" w:cs="仿宋_GB2312"/>
          <w:sz w:val="32"/>
          <w:szCs w:val="32"/>
          <w:lang w:eastAsia="zh-CN"/>
        </w:rPr>
        <w:t>部门整体支出绩效评价指标体系评分表</w:t>
      </w:r>
    </w:p>
    <w:p w14:paraId="1CDDB2C3">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exact"/>
        <w:ind w:left="0" w:leftChars="0" w:firstLine="480" w:firstLineChars="200"/>
        <w:textAlignment w:val="auto"/>
        <w:rPr>
          <w:rFonts w:hint="eastAsia" w:asciiTheme="minorEastAsia" w:hAnsiTheme="minorEastAsia" w:eastAsiaTheme="minorEastAsia" w:cstheme="minorEastAsia"/>
          <w:sz w:val="24"/>
          <w:szCs w:val="24"/>
          <w:lang w:eastAsia="zh-CN"/>
        </w:rPr>
      </w:pPr>
    </w:p>
    <w:p w14:paraId="58C82EE4">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exact"/>
        <w:ind w:left="0" w:leftChars="0" w:firstLine="480" w:firstLineChars="200"/>
        <w:textAlignment w:val="auto"/>
        <w:rPr>
          <w:rFonts w:hint="eastAsia" w:asciiTheme="minorEastAsia" w:hAnsiTheme="minorEastAsia" w:eastAsiaTheme="minorEastAsia" w:cstheme="minorEastAsia"/>
          <w:sz w:val="24"/>
          <w:szCs w:val="24"/>
          <w:lang w:eastAsia="zh-CN"/>
        </w:rPr>
      </w:pPr>
    </w:p>
    <w:p w14:paraId="400F1707">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exact"/>
        <w:ind w:left="0" w:leftChars="0" w:firstLine="480" w:firstLineChars="200"/>
        <w:textAlignment w:val="auto"/>
        <w:rPr>
          <w:rFonts w:hint="eastAsia" w:asciiTheme="minorEastAsia" w:hAnsiTheme="minorEastAsia" w:eastAsiaTheme="minorEastAsia" w:cstheme="minorEastAsia"/>
          <w:sz w:val="24"/>
          <w:szCs w:val="24"/>
          <w:lang w:eastAsia="zh-CN"/>
        </w:rPr>
      </w:pPr>
    </w:p>
    <w:p w14:paraId="66EF17E2">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exact"/>
        <w:ind w:left="0" w:leftChars="0" w:firstLine="480" w:firstLineChars="200"/>
        <w:textAlignment w:val="auto"/>
        <w:rPr>
          <w:rFonts w:hint="eastAsia" w:asciiTheme="minorEastAsia" w:hAnsiTheme="minorEastAsia" w:eastAsiaTheme="minorEastAsia" w:cstheme="minorEastAsia"/>
          <w:sz w:val="24"/>
          <w:szCs w:val="24"/>
          <w:lang w:eastAsia="zh-CN"/>
        </w:rPr>
      </w:pPr>
    </w:p>
    <w:p w14:paraId="3CCAD7BA">
      <w:pPr>
        <w:shd w:val="solid" w:color="FFFFFF" w:fill="auto"/>
        <w:wordWrap w:val="0"/>
        <w:autoSpaceDN w:val="0"/>
        <w:spacing w:line="360" w:lineRule="atLeast"/>
        <w:ind w:firstLine="1920" w:firstLineChars="600"/>
        <w:jc w:val="right"/>
        <w:rPr>
          <w:rFonts w:hint="default" w:ascii="仿宋" w:hAnsi="仿宋" w:eastAsia="仿宋" w:cs="仿宋_GB2312"/>
          <w:sz w:val="32"/>
          <w:szCs w:val="32"/>
          <w:lang w:val="en-US" w:eastAsia="zh-CN"/>
        </w:rPr>
      </w:pPr>
      <w:r>
        <w:rPr>
          <w:rFonts w:hint="eastAsia" w:ascii="仿宋" w:hAnsi="仿宋" w:eastAsia="仿宋" w:cs="仿宋_GB2312"/>
          <w:sz w:val="32"/>
          <w:szCs w:val="32"/>
        </w:rPr>
        <w:t>中方县</w:t>
      </w:r>
      <w:r>
        <w:rPr>
          <w:rFonts w:hint="eastAsia" w:ascii="仿宋" w:hAnsi="仿宋" w:eastAsia="仿宋" w:cs="仿宋_GB2312"/>
          <w:sz w:val="32"/>
          <w:szCs w:val="32"/>
          <w:lang w:eastAsia="zh-CN"/>
        </w:rPr>
        <w:t>就业</w:t>
      </w:r>
      <w:r>
        <w:rPr>
          <w:rFonts w:hint="eastAsia" w:ascii="仿宋" w:hAnsi="仿宋" w:eastAsia="仿宋" w:cs="仿宋_GB2312"/>
          <w:sz w:val="32"/>
          <w:szCs w:val="32"/>
        </w:rPr>
        <w:t>服务中心</w:t>
      </w:r>
      <w:r>
        <w:rPr>
          <w:rFonts w:hint="eastAsia" w:ascii="仿宋" w:hAnsi="仿宋" w:eastAsia="仿宋" w:cs="仿宋_GB2312"/>
          <w:sz w:val="32"/>
          <w:szCs w:val="32"/>
          <w:lang w:val="en-US" w:eastAsia="zh-CN"/>
        </w:rPr>
        <w:t xml:space="preserve">   </w:t>
      </w:r>
    </w:p>
    <w:p w14:paraId="3A55C177">
      <w:pPr>
        <w:keepNext w:val="0"/>
        <w:keepLines w:val="0"/>
        <w:pageBreakBefore w:val="0"/>
        <w:widowControl/>
        <w:numPr>
          <w:ilvl w:val="0"/>
          <w:numId w:val="0"/>
        </w:numPr>
        <w:kinsoku/>
        <w:wordWrap w:val="0"/>
        <w:overflowPunct/>
        <w:topLinePunct w:val="0"/>
        <w:autoSpaceDE/>
        <w:autoSpaceDN/>
        <w:bidi w:val="0"/>
        <w:adjustRightInd w:val="0"/>
        <w:snapToGrid w:val="0"/>
        <w:spacing w:after="0" w:line="600" w:lineRule="exact"/>
        <w:ind w:left="0" w:leftChars="0" w:firstLine="640" w:firstLineChars="200"/>
        <w:jc w:val="right"/>
        <w:textAlignment w:val="auto"/>
        <w:rPr>
          <w:rFonts w:hint="default" w:eastAsia="仿宋" w:asciiTheme="minorEastAsia" w:hAnsiTheme="minorEastAsia" w:cstheme="minorEastAsia"/>
          <w:sz w:val="24"/>
          <w:szCs w:val="24"/>
          <w:lang w:val="en-US" w:eastAsia="zh-CN"/>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8</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2</w:t>
      </w:r>
      <w:r>
        <w:rPr>
          <w:rFonts w:hint="eastAsia" w:ascii="仿宋" w:hAnsi="仿宋" w:eastAsia="仿宋" w:cs="仿宋_GB2312"/>
          <w:sz w:val="32"/>
          <w:szCs w:val="32"/>
        </w:rPr>
        <w:t>日</w:t>
      </w:r>
      <w:r>
        <w:rPr>
          <w:rFonts w:hint="eastAsia" w:ascii="仿宋" w:hAnsi="仿宋" w:eastAsia="仿宋" w:cs="仿宋_GB2312"/>
          <w:sz w:val="32"/>
          <w:szCs w:val="32"/>
          <w:lang w:val="en-US" w:eastAsia="zh-CN"/>
        </w:rPr>
        <w:t xml:space="preserve">    </w:t>
      </w:r>
    </w:p>
    <w:p w14:paraId="0CD8E77F">
      <w:pPr>
        <w:rPr>
          <w:rFonts w:hint="eastAsia"/>
        </w:rPr>
      </w:pPr>
    </w:p>
    <w:p w14:paraId="1A2C7D1B">
      <w:pPr>
        <w:numPr>
          <w:ilvl w:val="0"/>
          <w:numId w:val="3"/>
        </w:numPr>
        <w:rPr>
          <w:rFonts w:hint="eastAsia"/>
        </w:rPr>
        <w:sectPr>
          <w:footerReference r:id="rId4" w:type="default"/>
          <w:pgSz w:w="11906" w:h="16838"/>
          <w:pgMar w:top="1440" w:right="1800" w:bottom="1440" w:left="1800" w:header="708" w:footer="709" w:gutter="0"/>
          <w:pgNumType w:fmt="decimal"/>
          <w:cols w:space="0" w:num="1"/>
          <w:docGrid w:linePitch="360" w:charSpace="0"/>
        </w:sectPr>
      </w:pPr>
    </w:p>
    <w:p w14:paraId="43DE23F8">
      <w:pPr>
        <w:spacing w:line="400" w:lineRule="exact"/>
        <w:rPr>
          <w:rFonts w:ascii="黑体" w:hAnsi="仿宋_GB2312" w:eastAsia="黑体" w:cs="仿宋_GB2312"/>
          <w:sz w:val="32"/>
          <w:szCs w:val="32"/>
        </w:rPr>
      </w:pPr>
      <w:r>
        <w:rPr>
          <w:rFonts w:hint="eastAsia" w:ascii="黑体" w:hAnsi="仿宋_GB2312" w:eastAsia="黑体" w:cs="仿宋_GB2312"/>
          <w:sz w:val="28"/>
          <w:szCs w:val="28"/>
        </w:rPr>
        <w:t>附件</w:t>
      </w:r>
      <w:r>
        <w:rPr>
          <w:rFonts w:ascii="黑体" w:hAnsi="仿宋_GB2312" w:eastAsia="黑体" w:cs="仿宋_GB2312"/>
          <w:sz w:val="28"/>
          <w:szCs w:val="28"/>
        </w:rPr>
        <w:t>2</w:t>
      </w:r>
      <w:r>
        <w:rPr>
          <w:rFonts w:hint="eastAsia" w:ascii="黑体" w:hAnsi="仿宋_GB2312" w:eastAsia="黑体" w:cs="仿宋_GB2312"/>
          <w:sz w:val="32"/>
          <w:szCs w:val="32"/>
        </w:rPr>
        <w:t>：</w:t>
      </w:r>
    </w:p>
    <w:p w14:paraId="7B00B4B4">
      <w:pPr>
        <w:spacing w:after="0" w:line="700" w:lineRule="atLeas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color w:val="000000"/>
          <w:sz w:val="44"/>
          <w:szCs w:val="44"/>
        </w:rPr>
        <w:t>部门整体支出绩效评价指标体系评分表</w:t>
      </w:r>
    </w:p>
    <w:tbl>
      <w:tblPr>
        <w:tblStyle w:val="9"/>
        <w:tblW w:w="141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803"/>
        <w:gridCol w:w="1182"/>
        <w:gridCol w:w="6911"/>
        <w:gridCol w:w="3423"/>
        <w:gridCol w:w="1090"/>
      </w:tblGrid>
      <w:tr w14:paraId="06C454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blHeader/>
          <w:jc w:val="center"/>
        </w:trPr>
        <w:tc>
          <w:tcPr>
            <w:tcW w:w="733" w:type="dxa"/>
            <w:vMerge w:val="restart"/>
            <w:tcBorders>
              <w:top w:val="single" w:color="000000" w:sz="4" w:space="0"/>
              <w:left w:val="single" w:color="000000" w:sz="4" w:space="0"/>
              <w:bottom w:val="single" w:color="000000" w:sz="4" w:space="0"/>
              <w:right w:val="single" w:color="000000" w:sz="4" w:space="0"/>
            </w:tcBorders>
            <w:vAlign w:val="center"/>
          </w:tcPr>
          <w:p w14:paraId="2D6E83E4">
            <w:pPr>
              <w:spacing w:after="0" w:line="68" w:lineRule="atLeast"/>
              <w:jc w:val="center"/>
              <w:rPr>
                <w:rFonts w:ascii="宋体" w:hAnsi="宋体" w:eastAsia="宋体" w:cs="宋体"/>
              </w:rPr>
            </w:pPr>
            <w:r>
              <w:rPr>
                <w:rFonts w:hint="eastAsia" w:ascii="宋体" w:hAnsi="宋体" w:eastAsia="宋体" w:cs="宋体"/>
                <w:b/>
                <w:bCs/>
              </w:rPr>
              <w:t>一级指标</w:t>
            </w: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04651CC1">
            <w:pPr>
              <w:spacing w:after="0" w:line="68" w:lineRule="atLeast"/>
              <w:jc w:val="center"/>
              <w:rPr>
                <w:rFonts w:ascii="宋体" w:hAnsi="宋体" w:eastAsia="宋体" w:cs="宋体"/>
              </w:rPr>
            </w:pPr>
            <w:r>
              <w:rPr>
                <w:rFonts w:hint="eastAsia" w:ascii="宋体" w:hAnsi="宋体" w:eastAsia="宋体" w:cs="宋体"/>
                <w:b/>
                <w:bCs/>
              </w:rPr>
              <w:t>二级指标</w:t>
            </w:r>
          </w:p>
        </w:tc>
        <w:tc>
          <w:tcPr>
            <w:tcW w:w="8093" w:type="dxa"/>
            <w:gridSpan w:val="2"/>
            <w:tcBorders>
              <w:top w:val="single" w:color="000000" w:sz="4" w:space="0"/>
              <w:left w:val="single" w:color="000000" w:sz="4" w:space="0"/>
              <w:bottom w:val="single" w:color="000000" w:sz="4" w:space="0"/>
              <w:right w:val="single" w:color="auto" w:sz="4" w:space="0"/>
            </w:tcBorders>
            <w:vAlign w:val="center"/>
          </w:tcPr>
          <w:p w14:paraId="318344EC">
            <w:pPr>
              <w:spacing w:after="0" w:line="68" w:lineRule="atLeast"/>
              <w:jc w:val="center"/>
              <w:rPr>
                <w:rFonts w:ascii="宋体" w:hAnsi="宋体" w:eastAsia="宋体" w:cs="宋体"/>
              </w:rPr>
            </w:pPr>
            <w:r>
              <w:rPr>
                <w:rFonts w:hint="eastAsia" w:ascii="宋体" w:hAnsi="宋体" w:eastAsia="宋体" w:cs="宋体"/>
                <w:b/>
                <w:bCs/>
              </w:rPr>
              <w:t>三级指标</w:t>
            </w:r>
          </w:p>
        </w:tc>
        <w:tc>
          <w:tcPr>
            <w:tcW w:w="3423" w:type="dxa"/>
            <w:vMerge w:val="restart"/>
            <w:tcBorders>
              <w:top w:val="single" w:color="000000" w:sz="4" w:space="0"/>
              <w:left w:val="single" w:color="auto" w:sz="4" w:space="0"/>
              <w:bottom w:val="single" w:color="000000" w:sz="4" w:space="0"/>
              <w:right w:val="single" w:color="auto" w:sz="4" w:space="0"/>
            </w:tcBorders>
            <w:vAlign w:val="center"/>
          </w:tcPr>
          <w:p w14:paraId="02619B8C">
            <w:pPr>
              <w:spacing w:after="0" w:line="68" w:lineRule="atLeast"/>
              <w:jc w:val="center"/>
              <w:rPr>
                <w:rFonts w:ascii="宋体" w:hAnsi="宋体" w:eastAsia="宋体" w:cs="宋体"/>
              </w:rPr>
            </w:pPr>
            <w:r>
              <w:rPr>
                <w:rFonts w:hint="eastAsia" w:ascii="宋体" w:hAnsi="宋体" w:eastAsia="宋体" w:cs="宋体"/>
                <w:b/>
                <w:bCs/>
              </w:rPr>
              <w:t>评分标准</w:t>
            </w:r>
          </w:p>
        </w:tc>
        <w:tc>
          <w:tcPr>
            <w:tcW w:w="1090" w:type="dxa"/>
            <w:vMerge w:val="restart"/>
            <w:tcBorders>
              <w:top w:val="single" w:color="000000" w:sz="4" w:space="0"/>
              <w:left w:val="single" w:color="auto" w:sz="4" w:space="0"/>
              <w:bottom w:val="single" w:color="000000" w:sz="4" w:space="0"/>
              <w:right w:val="single" w:color="auto" w:sz="4" w:space="0"/>
            </w:tcBorders>
            <w:vAlign w:val="center"/>
          </w:tcPr>
          <w:p w14:paraId="6DE4730A">
            <w:pPr>
              <w:spacing w:after="0" w:line="68" w:lineRule="atLeast"/>
              <w:jc w:val="center"/>
              <w:rPr>
                <w:rFonts w:ascii="宋体" w:hAnsi="宋体" w:eastAsia="宋体" w:cs="宋体"/>
              </w:rPr>
            </w:pPr>
            <w:r>
              <w:rPr>
                <w:rFonts w:hint="eastAsia" w:ascii="宋体" w:hAnsi="宋体" w:eastAsia="宋体" w:cs="宋体"/>
                <w:b/>
                <w:bCs/>
              </w:rPr>
              <w:t>得分</w:t>
            </w:r>
          </w:p>
        </w:tc>
      </w:tr>
      <w:tr w14:paraId="767209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blHeader/>
          <w:jc w:val="center"/>
        </w:trPr>
        <w:tc>
          <w:tcPr>
            <w:tcW w:w="733" w:type="dxa"/>
            <w:vMerge w:val="continue"/>
            <w:tcBorders>
              <w:top w:val="single" w:color="000000" w:sz="4" w:space="0"/>
              <w:left w:val="single" w:color="000000" w:sz="4" w:space="0"/>
              <w:bottom w:val="single" w:color="000000" w:sz="4" w:space="0"/>
              <w:right w:val="single" w:color="000000" w:sz="4" w:space="0"/>
            </w:tcBorders>
            <w:vAlign w:val="center"/>
          </w:tcPr>
          <w:p w14:paraId="3AE87744">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53164F63">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3B24A6E3">
            <w:pPr>
              <w:spacing w:after="0" w:line="68" w:lineRule="atLeast"/>
              <w:jc w:val="center"/>
              <w:rPr>
                <w:rFonts w:ascii="宋体" w:hAnsi="宋体" w:eastAsia="宋体" w:cs="宋体"/>
              </w:rPr>
            </w:pPr>
            <w:r>
              <w:rPr>
                <w:rFonts w:hint="eastAsia" w:ascii="宋体" w:hAnsi="宋体" w:eastAsia="宋体" w:cs="宋体"/>
                <w:b/>
                <w:bCs/>
              </w:rPr>
              <w:t>指标名称</w:t>
            </w:r>
          </w:p>
        </w:tc>
        <w:tc>
          <w:tcPr>
            <w:tcW w:w="6911" w:type="dxa"/>
            <w:tcBorders>
              <w:top w:val="single" w:color="000000" w:sz="4" w:space="0"/>
              <w:left w:val="single" w:color="auto" w:sz="4" w:space="0"/>
              <w:bottom w:val="single" w:color="000000" w:sz="4" w:space="0"/>
              <w:right w:val="single" w:color="auto" w:sz="4" w:space="0"/>
            </w:tcBorders>
            <w:vAlign w:val="center"/>
          </w:tcPr>
          <w:p w14:paraId="2BB26F26">
            <w:pPr>
              <w:spacing w:after="0" w:line="68" w:lineRule="atLeast"/>
              <w:jc w:val="center"/>
              <w:rPr>
                <w:rFonts w:ascii="宋体" w:hAnsi="宋体" w:eastAsia="宋体" w:cs="宋体"/>
              </w:rPr>
            </w:pPr>
            <w:r>
              <w:rPr>
                <w:rFonts w:hint="eastAsia" w:ascii="宋体" w:hAnsi="宋体" w:eastAsia="宋体" w:cs="宋体"/>
                <w:b/>
                <w:bCs/>
              </w:rPr>
              <w:t>指标解释说明</w:t>
            </w:r>
          </w:p>
        </w:tc>
        <w:tc>
          <w:tcPr>
            <w:tcW w:w="3423" w:type="dxa"/>
            <w:vMerge w:val="continue"/>
            <w:tcBorders>
              <w:top w:val="single" w:color="000000" w:sz="4" w:space="0"/>
              <w:left w:val="single" w:color="auto" w:sz="4" w:space="0"/>
              <w:bottom w:val="single" w:color="000000" w:sz="4" w:space="0"/>
              <w:right w:val="single" w:color="auto" w:sz="4" w:space="0"/>
            </w:tcBorders>
            <w:vAlign w:val="center"/>
          </w:tcPr>
          <w:p w14:paraId="33D19BE4">
            <w:pPr>
              <w:spacing w:after="0"/>
              <w:rPr>
                <w:rFonts w:ascii="宋体" w:hAnsi="宋体" w:eastAsia="宋体" w:cs="宋体"/>
              </w:rPr>
            </w:pPr>
          </w:p>
        </w:tc>
        <w:tc>
          <w:tcPr>
            <w:tcW w:w="1090" w:type="dxa"/>
            <w:vMerge w:val="continue"/>
            <w:tcBorders>
              <w:top w:val="single" w:color="000000" w:sz="4" w:space="0"/>
              <w:left w:val="single" w:color="auto" w:sz="4" w:space="0"/>
              <w:bottom w:val="single" w:color="000000" w:sz="4" w:space="0"/>
              <w:right w:val="single" w:color="auto" w:sz="4" w:space="0"/>
            </w:tcBorders>
            <w:vAlign w:val="center"/>
          </w:tcPr>
          <w:p w14:paraId="4A78C2F3">
            <w:pPr>
              <w:spacing w:after="0"/>
              <w:jc w:val="center"/>
              <w:rPr>
                <w:rFonts w:ascii="宋体" w:hAnsi="宋体" w:eastAsia="宋体" w:cs="宋体"/>
              </w:rPr>
            </w:pPr>
          </w:p>
        </w:tc>
      </w:tr>
      <w:tr w14:paraId="2E53E4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733" w:type="dxa"/>
            <w:vMerge w:val="restart"/>
            <w:tcBorders>
              <w:top w:val="single" w:color="000000" w:sz="4" w:space="0"/>
              <w:left w:val="single" w:color="000000" w:sz="4" w:space="0"/>
              <w:right w:val="single" w:color="000000" w:sz="4" w:space="0"/>
            </w:tcBorders>
            <w:vAlign w:val="center"/>
          </w:tcPr>
          <w:p w14:paraId="60D3D27F">
            <w:pPr>
              <w:spacing w:after="0" w:line="68" w:lineRule="atLeast"/>
              <w:jc w:val="left"/>
              <w:rPr>
                <w:rFonts w:ascii="宋体" w:hAnsi="宋体" w:eastAsia="宋体" w:cs="宋体"/>
              </w:rPr>
            </w:pPr>
          </w:p>
          <w:p w14:paraId="41F3A41A">
            <w:pPr>
              <w:spacing w:after="0" w:line="68" w:lineRule="atLeast"/>
              <w:jc w:val="left"/>
              <w:rPr>
                <w:rFonts w:ascii="宋体" w:hAnsi="宋体" w:eastAsia="宋体" w:cs="宋体"/>
              </w:rPr>
            </w:pPr>
          </w:p>
          <w:p w14:paraId="6C9654E8">
            <w:pPr>
              <w:spacing w:after="0" w:line="68" w:lineRule="atLeast"/>
              <w:jc w:val="left"/>
              <w:rPr>
                <w:rFonts w:ascii="宋体" w:hAnsi="宋体" w:eastAsia="宋体" w:cs="宋体"/>
              </w:rPr>
            </w:pPr>
          </w:p>
          <w:p w14:paraId="4E447A42">
            <w:pPr>
              <w:spacing w:after="0" w:line="68" w:lineRule="atLeast"/>
              <w:jc w:val="left"/>
              <w:rPr>
                <w:rFonts w:ascii="宋体" w:hAnsi="宋体" w:eastAsia="宋体" w:cs="宋体"/>
              </w:rPr>
            </w:pPr>
          </w:p>
          <w:p w14:paraId="611E39DC">
            <w:pPr>
              <w:spacing w:after="0" w:line="68" w:lineRule="atLeast"/>
              <w:jc w:val="left"/>
              <w:rPr>
                <w:rFonts w:ascii="宋体" w:hAnsi="宋体" w:eastAsia="宋体" w:cs="宋体"/>
              </w:rPr>
            </w:pPr>
          </w:p>
          <w:p w14:paraId="5AF7D31B">
            <w:pPr>
              <w:spacing w:after="0" w:line="68" w:lineRule="atLeast"/>
              <w:jc w:val="left"/>
              <w:rPr>
                <w:rFonts w:ascii="宋体" w:hAnsi="宋体" w:eastAsia="宋体" w:cs="宋体"/>
              </w:rPr>
            </w:pPr>
          </w:p>
          <w:p w14:paraId="3571FCBD">
            <w:pPr>
              <w:spacing w:after="0" w:line="68" w:lineRule="atLeast"/>
              <w:jc w:val="left"/>
              <w:rPr>
                <w:rFonts w:ascii="宋体" w:hAnsi="宋体" w:eastAsia="宋体" w:cs="宋体"/>
              </w:rPr>
            </w:pPr>
          </w:p>
          <w:p w14:paraId="00669EF6">
            <w:pPr>
              <w:spacing w:after="0" w:line="68" w:lineRule="atLeast"/>
              <w:jc w:val="left"/>
              <w:rPr>
                <w:rFonts w:ascii="宋体" w:hAnsi="宋体" w:eastAsia="宋体" w:cs="宋体"/>
              </w:rPr>
            </w:pPr>
          </w:p>
          <w:p w14:paraId="5582F39B">
            <w:pPr>
              <w:spacing w:after="0" w:line="68" w:lineRule="atLeast"/>
              <w:jc w:val="left"/>
              <w:rPr>
                <w:rFonts w:ascii="宋体" w:hAnsi="宋体" w:eastAsia="宋体" w:cs="宋体"/>
              </w:rPr>
            </w:pPr>
          </w:p>
          <w:p w14:paraId="57D9002E">
            <w:pPr>
              <w:spacing w:after="0" w:line="68" w:lineRule="atLeast"/>
              <w:jc w:val="left"/>
              <w:rPr>
                <w:rFonts w:ascii="宋体" w:hAnsi="宋体" w:eastAsia="宋体" w:cs="宋体"/>
              </w:rPr>
            </w:pPr>
          </w:p>
          <w:p w14:paraId="7D15C2AC">
            <w:pPr>
              <w:spacing w:after="0" w:line="68" w:lineRule="atLeast"/>
              <w:jc w:val="left"/>
              <w:rPr>
                <w:rFonts w:ascii="宋体" w:hAnsi="宋体" w:eastAsia="宋体" w:cs="宋体"/>
              </w:rPr>
            </w:pPr>
            <w:r>
              <w:rPr>
                <w:rFonts w:hint="eastAsia" w:ascii="宋体" w:hAnsi="宋体" w:eastAsia="宋体" w:cs="宋体"/>
              </w:rPr>
              <w:t>投入（15分）</w:t>
            </w:r>
          </w:p>
          <w:p w14:paraId="37966C82">
            <w:pPr>
              <w:spacing w:after="0" w:line="68" w:lineRule="atLeast"/>
              <w:jc w:val="left"/>
              <w:rPr>
                <w:rFonts w:ascii="宋体" w:hAnsi="宋体" w:eastAsia="宋体" w:cs="宋体"/>
              </w:rPr>
            </w:pPr>
          </w:p>
          <w:p w14:paraId="352CD267">
            <w:pPr>
              <w:spacing w:after="0" w:line="68" w:lineRule="atLeast"/>
              <w:jc w:val="left"/>
              <w:rPr>
                <w:rFonts w:ascii="宋体" w:hAnsi="宋体" w:eastAsia="宋体" w:cs="宋体"/>
              </w:rPr>
            </w:pPr>
          </w:p>
          <w:p w14:paraId="441FE07F">
            <w:pPr>
              <w:spacing w:after="0" w:line="68" w:lineRule="atLeast"/>
              <w:jc w:val="left"/>
              <w:rPr>
                <w:rFonts w:ascii="宋体" w:hAnsi="宋体" w:eastAsia="宋体" w:cs="宋体"/>
              </w:rPr>
            </w:pPr>
          </w:p>
          <w:p w14:paraId="6C54F93A">
            <w:pPr>
              <w:spacing w:after="0" w:line="68" w:lineRule="atLeast"/>
              <w:jc w:val="left"/>
              <w:rPr>
                <w:rFonts w:ascii="宋体" w:hAnsi="宋体" w:eastAsia="宋体" w:cs="宋体"/>
              </w:rPr>
            </w:pPr>
          </w:p>
          <w:p w14:paraId="5EB9D48D">
            <w:pPr>
              <w:spacing w:after="0" w:line="68" w:lineRule="atLeast"/>
              <w:jc w:val="left"/>
              <w:rPr>
                <w:rFonts w:ascii="宋体" w:hAnsi="宋体" w:eastAsia="宋体" w:cs="宋体"/>
              </w:rPr>
            </w:pPr>
          </w:p>
          <w:p w14:paraId="179E893D">
            <w:pPr>
              <w:spacing w:after="0" w:line="68" w:lineRule="atLeast"/>
              <w:jc w:val="left"/>
              <w:rPr>
                <w:rFonts w:ascii="宋体" w:hAnsi="宋体" w:eastAsia="宋体" w:cs="宋体"/>
              </w:rPr>
            </w:pPr>
          </w:p>
          <w:p w14:paraId="66642732">
            <w:pPr>
              <w:spacing w:after="0" w:line="68" w:lineRule="atLeast"/>
              <w:jc w:val="left"/>
              <w:rPr>
                <w:rFonts w:ascii="宋体" w:hAnsi="宋体" w:eastAsia="宋体" w:cs="宋体"/>
              </w:rPr>
            </w:pPr>
          </w:p>
          <w:p w14:paraId="385BB209">
            <w:pPr>
              <w:spacing w:after="0" w:line="68" w:lineRule="atLeast"/>
              <w:jc w:val="left"/>
              <w:rPr>
                <w:rFonts w:ascii="宋体" w:hAnsi="宋体" w:eastAsia="宋体" w:cs="宋体"/>
              </w:rPr>
            </w:pPr>
          </w:p>
          <w:p w14:paraId="41B0AD26">
            <w:pPr>
              <w:spacing w:after="0" w:line="68" w:lineRule="atLeast"/>
              <w:jc w:val="left"/>
              <w:rPr>
                <w:rFonts w:ascii="宋体" w:hAnsi="宋体" w:eastAsia="宋体" w:cs="宋体"/>
              </w:rPr>
            </w:pPr>
          </w:p>
          <w:p w14:paraId="249C1F65">
            <w:pPr>
              <w:spacing w:after="0" w:line="68" w:lineRule="atLeast"/>
              <w:jc w:val="left"/>
              <w:rPr>
                <w:rFonts w:ascii="宋体" w:hAnsi="宋体" w:eastAsia="宋体" w:cs="宋体"/>
              </w:rPr>
            </w:pPr>
          </w:p>
          <w:p w14:paraId="2AA2AF50">
            <w:pPr>
              <w:spacing w:after="0" w:line="68" w:lineRule="atLeast"/>
              <w:jc w:val="left"/>
              <w:rPr>
                <w:rFonts w:ascii="宋体" w:hAnsi="宋体" w:eastAsia="宋体" w:cs="宋体"/>
              </w:rPr>
            </w:pPr>
          </w:p>
          <w:p w14:paraId="123215A8">
            <w:pPr>
              <w:spacing w:after="0" w:line="68" w:lineRule="atLeast"/>
              <w:jc w:val="left"/>
              <w:rPr>
                <w:rFonts w:ascii="宋体" w:hAnsi="宋体" w:eastAsia="宋体" w:cs="宋体"/>
              </w:rPr>
            </w:pPr>
          </w:p>
          <w:p w14:paraId="021CFC56">
            <w:pPr>
              <w:spacing w:after="0" w:line="68" w:lineRule="atLeast"/>
              <w:jc w:val="left"/>
              <w:rPr>
                <w:rFonts w:ascii="宋体" w:hAnsi="宋体" w:eastAsia="宋体" w:cs="宋体"/>
              </w:rPr>
            </w:pPr>
          </w:p>
          <w:p w14:paraId="0F7FBAAA">
            <w:pPr>
              <w:spacing w:after="0" w:line="68" w:lineRule="atLeast"/>
              <w:jc w:val="left"/>
              <w:rPr>
                <w:rFonts w:ascii="宋体" w:hAnsi="宋体" w:eastAsia="宋体" w:cs="宋体"/>
              </w:rPr>
            </w:pPr>
          </w:p>
          <w:p w14:paraId="3090A22F">
            <w:pPr>
              <w:spacing w:after="0" w:line="68" w:lineRule="atLeast"/>
              <w:jc w:val="left"/>
              <w:rPr>
                <w:rFonts w:ascii="宋体" w:hAnsi="宋体" w:eastAsia="宋体" w:cs="宋体"/>
              </w:rPr>
            </w:pPr>
          </w:p>
          <w:p w14:paraId="76F5CCDB">
            <w:pPr>
              <w:spacing w:after="0" w:line="68" w:lineRule="atLeast"/>
              <w:jc w:val="left"/>
              <w:rPr>
                <w:rFonts w:ascii="宋体" w:hAnsi="宋体" w:eastAsia="宋体" w:cs="宋体"/>
              </w:rPr>
            </w:pPr>
          </w:p>
          <w:p w14:paraId="702DD05C">
            <w:pPr>
              <w:spacing w:after="0" w:line="68" w:lineRule="atLeast"/>
              <w:jc w:val="left"/>
              <w:rPr>
                <w:rFonts w:ascii="宋体" w:hAnsi="宋体" w:eastAsia="宋体" w:cs="宋体"/>
              </w:rPr>
            </w:pPr>
          </w:p>
          <w:p w14:paraId="0602E38D">
            <w:pPr>
              <w:spacing w:after="0" w:line="68" w:lineRule="atLeast"/>
              <w:jc w:val="left"/>
              <w:rPr>
                <w:rFonts w:ascii="宋体" w:hAnsi="宋体" w:eastAsia="宋体" w:cs="宋体"/>
              </w:rPr>
            </w:pPr>
          </w:p>
          <w:p w14:paraId="1076C9A3">
            <w:pPr>
              <w:spacing w:after="0" w:line="68" w:lineRule="atLeast"/>
              <w:jc w:val="left"/>
              <w:rPr>
                <w:rFonts w:ascii="宋体" w:hAnsi="宋体" w:eastAsia="宋体" w:cs="宋体"/>
              </w:rPr>
            </w:pPr>
          </w:p>
          <w:p w14:paraId="52637EA8">
            <w:pPr>
              <w:spacing w:after="0" w:line="68" w:lineRule="atLeast"/>
              <w:jc w:val="left"/>
              <w:rPr>
                <w:rFonts w:ascii="宋体" w:hAnsi="宋体" w:eastAsia="宋体" w:cs="宋体"/>
              </w:rPr>
            </w:pPr>
            <w:r>
              <w:rPr>
                <w:rFonts w:hint="eastAsia" w:ascii="宋体" w:hAnsi="宋体" w:eastAsia="宋体" w:cs="宋体"/>
              </w:rPr>
              <w:t>投入（15分）</w:t>
            </w:r>
          </w:p>
        </w:tc>
        <w:tc>
          <w:tcPr>
            <w:tcW w:w="803" w:type="dxa"/>
            <w:vMerge w:val="restart"/>
            <w:tcBorders>
              <w:top w:val="single" w:color="000000" w:sz="4" w:space="0"/>
              <w:left w:val="single" w:color="000000" w:sz="4" w:space="0"/>
              <w:right w:val="single" w:color="000000" w:sz="4" w:space="0"/>
            </w:tcBorders>
            <w:vAlign w:val="center"/>
          </w:tcPr>
          <w:p w14:paraId="40521785">
            <w:pPr>
              <w:spacing w:after="0" w:line="240" w:lineRule="exact"/>
              <w:jc w:val="left"/>
              <w:rPr>
                <w:rFonts w:ascii="宋体" w:hAnsi="宋体" w:eastAsia="宋体" w:cs="宋体"/>
              </w:rPr>
            </w:pPr>
          </w:p>
          <w:p w14:paraId="092C076C">
            <w:pPr>
              <w:spacing w:after="0" w:line="240" w:lineRule="exact"/>
              <w:jc w:val="left"/>
              <w:rPr>
                <w:rFonts w:ascii="宋体" w:hAnsi="宋体" w:eastAsia="宋体" w:cs="宋体"/>
              </w:rPr>
            </w:pPr>
          </w:p>
          <w:p w14:paraId="44647562">
            <w:pPr>
              <w:spacing w:after="0" w:line="240" w:lineRule="exact"/>
              <w:jc w:val="left"/>
              <w:rPr>
                <w:rFonts w:ascii="宋体" w:hAnsi="宋体" w:eastAsia="宋体" w:cs="宋体"/>
              </w:rPr>
            </w:pPr>
          </w:p>
          <w:p w14:paraId="153E3AC3">
            <w:pPr>
              <w:spacing w:after="0" w:line="240" w:lineRule="exact"/>
              <w:jc w:val="left"/>
              <w:rPr>
                <w:rFonts w:ascii="宋体" w:hAnsi="宋体" w:eastAsia="宋体" w:cs="宋体"/>
              </w:rPr>
            </w:pPr>
          </w:p>
          <w:p w14:paraId="75085041">
            <w:pPr>
              <w:spacing w:after="0" w:line="240" w:lineRule="exact"/>
              <w:jc w:val="left"/>
              <w:rPr>
                <w:rFonts w:ascii="宋体" w:hAnsi="宋体" w:eastAsia="宋体" w:cs="宋体"/>
              </w:rPr>
            </w:pPr>
          </w:p>
          <w:p w14:paraId="730CCA53">
            <w:pPr>
              <w:spacing w:after="0" w:line="240" w:lineRule="exact"/>
              <w:jc w:val="left"/>
              <w:rPr>
                <w:rFonts w:ascii="宋体" w:hAnsi="宋体" w:eastAsia="宋体" w:cs="宋体"/>
              </w:rPr>
            </w:pPr>
          </w:p>
          <w:p w14:paraId="4F346EB3">
            <w:pPr>
              <w:spacing w:after="0" w:line="240" w:lineRule="exact"/>
              <w:jc w:val="left"/>
              <w:rPr>
                <w:rFonts w:ascii="宋体" w:hAnsi="宋体" w:eastAsia="宋体" w:cs="宋体"/>
              </w:rPr>
            </w:pPr>
          </w:p>
          <w:p w14:paraId="01DFAF1E">
            <w:pPr>
              <w:spacing w:after="0" w:line="240" w:lineRule="exact"/>
              <w:jc w:val="left"/>
              <w:rPr>
                <w:rFonts w:ascii="宋体" w:hAnsi="宋体" w:eastAsia="宋体" w:cs="宋体"/>
              </w:rPr>
            </w:pPr>
          </w:p>
          <w:p w14:paraId="19E8F28F">
            <w:pPr>
              <w:spacing w:after="0" w:line="240" w:lineRule="exact"/>
              <w:jc w:val="left"/>
              <w:rPr>
                <w:rFonts w:ascii="宋体" w:hAnsi="宋体" w:eastAsia="宋体" w:cs="宋体"/>
              </w:rPr>
            </w:pPr>
          </w:p>
          <w:p w14:paraId="435F6B5E">
            <w:pPr>
              <w:spacing w:after="0" w:line="240" w:lineRule="exact"/>
              <w:jc w:val="left"/>
              <w:rPr>
                <w:rFonts w:ascii="宋体" w:hAnsi="宋体" w:eastAsia="宋体" w:cs="宋体"/>
              </w:rPr>
            </w:pPr>
          </w:p>
          <w:p w14:paraId="272C0F67">
            <w:pPr>
              <w:spacing w:after="0" w:line="240" w:lineRule="exact"/>
              <w:jc w:val="left"/>
              <w:rPr>
                <w:rFonts w:ascii="宋体" w:hAnsi="宋体" w:eastAsia="宋体" w:cs="宋体"/>
              </w:rPr>
            </w:pPr>
          </w:p>
          <w:p w14:paraId="3A7DDC6C">
            <w:pPr>
              <w:spacing w:after="0" w:line="240" w:lineRule="exact"/>
              <w:jc w:val="left"/>
              <w:rPr>
                <w:rFonts w:ascii="宋体" w:hAnsi="宋体" w:eastAsia="宋体" w:cs="宋体"/>
              </w:rPr>
            </w:pPr>
          </w:p>
          <w:p w14:paraId="6F6EF22B">
            <w:pPr>
              <w:spacing w:after="0" w:line="240" w:lineRule="exact"/>
              <w:jc w:val="left"/>
              <w:rPr>
                <w:rFonts w:ascii="宋体" w:hAnsi="宋体" w:eastAsia="宋体" w:cs="宋体"/>
              </w:rPr>
            </w:pPr>
          </w:p>
          <w:p w14:paraId="7ADE7622">
            <w:pPr>
              <w:spacing w:after="0" w:line="240" w:lineRule="exact"/>
              <w:jc w:val="left"/>
              <w:rPr>
                <w:rFonts w:ascii="宋体" w:hAnsi="宋体" w:eastAsia="宋体" w:cs="宋体"/>
              </w:rPr>
            </w:pPr>
            <w:r>
              <w:rPr>
                <w:rFonts w:hint="eastAsia" w:ascii="宋体" w:hAnsi="宋体" w:eastAsia="宋体" w:cs="宋体"/>
              </w:rPr>
              <w:t>目标设定</w:t>
            </w:r>
          </w:p>
          <w:p w14:paraId="7BB246CE">
            <w:pPr>
              <w:spacing w:after="0" w:line="68" w:lineRule="atLeast"/>
              <w:jc w:val="left"/>
              <w:rPr>
                <w:rFonts w:ascii="宋体" w:hAnsi="宋体" w:eastAsia="宋体" w:cs="宋体"/>
              </w:rPr>
            </w:pPr>
            <w:r>
              <w:rPr>
                <w:rFonts w:hint="eastAsia" w:ascii="宋体" w:hAnsi="宋体" w:eastAsia="宋体" w:cs="宋体"/>
              </w:rPr>
              <w:t>（5分）</w:t>
            </w:r>
          </w:p>
        </w:tc>
        <w:tc>
          <w:tcPr>
            <w:tcW w:w="1182" w:type="dxa"/>
            <w:tcBorders>
              <w:top w:val="single" w:color="000000" w:sz="4" w:space="0"/>
              <w:left w:val="single" w:color="000000" w:sz="4" w:space="0"/>
              <w:bottom w:val="single" w:color="auto" w:sz="4" w:space="0"/>
              <w:right w:val="single" w:color="auto" w:sz="4" w:space="0"/>
            </w:tcBorders>
            <w:vAlign w:val="center"/>
          </w:tcPr>
          <w:p w14:paraId="103C6CED">
            <w:pPr>
              <w:spacing w:after="0" w:line="68" w:lineRule="atLeast"/>
              <w:jc w:val="left"/>
              <w:rPr>
                <w:rFonts w:ascii="宋体" w:hAnsi="宋体" w:eastAsia="宋体" w:cs="宋体"/>
              </w:rPr>
            </w:pPr>
            <w:r>
              <w:rPr>
                <w:rFonts w:hint="eastAsia" w:ascii="宋体" w:hAnsi="宋体" w:eastAsia="宋体" w:cs="宋体"/>
              </w:rPr>
              <w:t>职责明确（1分）</w:t>
            </w:r>
          </w:p>
        </w:tc>
        <w:tc>
          <w:tcPr>
            <w:tcW w:w="6911" w:type="dxa"/>
            <w:tcBorders>
              <w:top w:val="single" w:color="000000" w:sz="4" w:space="0"/>
              <w:left w:val="single" w:color="auto" w:sz="4" w:space="0"/>
              <w:bottom w:val="single" w:color="auto" w:sz="4" w:space="0"/>
              <w:right w:val="single" w:color="auto" w:sz="4" w:space="0"/>
            </w:tcBorders>
            <w:vAlign w:val="center"/>
          </w:tcPr>
          <w:p w14:paraId="26B35934">
            <w:pPr>
              <w:spacing w:after="0" w:line="68" w:lineRule="atLeast"/>
              <w:jc w:val="left"/>
              <w:rPr>
                <w:rFonts w:ascii="宋体" w:hAnsi="宋体" w:eastAsia="宋体" w:cs="宋体"/>
              </w:rPr>
            </w:pPr>
            <w:r>
              <w:rPr>
                <w:rFonts w:hint="eastAsia" w:ascii="宋体" w:hAnsi="宋体" w:eastAsia="宋体" w:cs="宋体"/>
              </w:rPr>
              <w:t>部门的职责设定是否符合“三定”方案中所赋予的职责和年度承担的重点工作，用以反映和评价部门工作的目的性与计划性。</w:t>
            </w:r>
          </w:p>
        </w:tc>
        <w:tc>
          <w:tcPr>
            <w:tcW w:w="3423" w:type="dxa"/>
            <w:tcBorders>
              <w:top w:val="single" w:color="000000" w:sz="4" w:space="0"/>
              <w:left w:val="single" w:color="auto" w:sz="4" w:space="0"/>
              <w:bottom w:val="single" w:color="auto" w:sz="4" w:space="0"/>
              <w:right w:val="single" w:color="auto" w:sz="4" w:space="0"/>
            </w:tcBorders>
            <w:vAlign w:val="center"/>
          </w:tcPr>
          <w:p w14:paraId="1D1A52A4">
            <w:pPr>
              <w:spacing w:after="0" w:line="240" w:lineRule="exact"/>
              <w:jc w:val="left"/>
              <w:rPr>
                <w:rFonts w:ascii="宋体" w:hAnsi="宋体" w:eastAsia="宋体" w:cs="宋体"/>
              </w:rPr>
            </w:pPr>
            <w:r>
              <w:rPr>
                <w:rFonts w:hint="eastAsia" w:ascii="宋体" w:hAnsi="宋体" w:eastAsia="宋体" w:cs="宋体"/>
              </w:rPr>
              <w:t>符合（1分）；</w:t>
            </w:r>
          </w:p>
          <w:p w14:paraId="0BA06F4B">
            <w:pPr>
              <w:spacing w:after="0" w:line="68" w:lineRule="atLeast"/>
              <w:jc w:val="left"/>
              <w:rPr>
                <w:rFonts w:ascii="宋体" w:hAnsi="宋体" w:eastAsia="宋体" w:cs="宋体"/>
              </w:rPr>
            </w:pPr>
            <w:r>
              <w:rPr>
                <w:rFonts w:hint="eastAsia" w:ascii="宋体" w:hAnsi="宋体" w:eastAsia="宋体" w:cs="宋体"/>
              </w:rPr>
              <w:t>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18C14408">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363C62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4" w:hRule="atLeast"/>
          <w:jc w:val="center"/>
        </w:trPr>
        <w:tc>
          <w:tcPr>
            <w:tcW w:w="733" w:type="dxa"/>
            <w:vMerge w:val="continue"/>
            <w:tcBorders>
              <w:left w:val="single" w:color="000000" w:sz="4" w:space="0"/>
              <w:right w:val="single" w:color="000000" w:sz="4" w:space="0"/>
            </w:tcBorders>
            <w:vAlign w:val="center"/>
          </w:tcPr>
          <w:p w14:paraId="4BB51AF7">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406DCF61">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1222CCF1">
            <w:pPr>
              <w:spacing w:after="0" w:line="68" w:lineRule="atLeast"/>
              <w:rPr>
                <w:rFonts w:ascii="宋体" w:hAnsi="宋体" w:eastAsia="宋体" w:cs="宋体"/>
              </w:rPr>
            </w:pPr>
            <w:r>
              <w:rPr>
                <w:rFonts w:hint="eastAsia" w:ascii="宋体" w:hAnsi="宋体" w:eastAsia="宋体" w:cs="宋体"/>
              </w:rPr>
              <w:t>活动合规性（1分）</w:t>
            </w:r>
          </w:p>
        </w:tc>
        <w:tc>
          <w:tcPr>
            <w:tcW w:w="6911" w:type="dxa"/>
            <w:tcBorders>
              <w:top w:val="single" w:color="000000" w:sz="4" w:space="0"/>
              <w:left w:val="single" w:color="auto" w:sz="4" w:space="0"/>
              <w:bottom w:val="single" w:color="auto" w:sz="4" w:space="0"/>
              <w:right w:val="single" w:color="auto" w:sz="4" w:space="0"/>
            </w:tcBorders>
            <w:vAlign w:val="center"/>
          </w:tcPr>
          <w:p w14:paraId="72A039C3">
            <w:pPr>
              <w:spacing w:after="0" w:line="240" w:lineRule="exact"/>
              <w:rPr>
                <w:rFonts w:ascii="宋体" w:hAnsi="宋体" w:eastAsia="宋体" w:cs="宋体"/>
              </w:rPr>
            </w:pPr>
            <w:r>
              <w:rPr>
                <w:rFonts w:hint="eastAsia" w:ascii="宋体" w:hAnsi="宋体" w:eastAsia="宋体" w:cs="宋体"/>
              </w:rPr>
              <w:t>部门的活动是否在职责范围之内并符合部门中长期规划，用以反映和评价部门活动目标与部门履职、年度工作任务的相符性情况。</w:t>
            </w:r>
          </w:p>
          <w:p w14:paraId="560F6E52">
            <w:pPr>
              <w:spacing w:after="0" w:line="240" w:lineRule="exact"/>
              <w:rPr>
                <w:rFonts w:ascii="宋体" w:hAnsi="宋体" w:eastAsia="宋体" w:cs="宋体"/>
              </w:rPr>
            </w:pPr>
            <w:r>
              <w:rPr>
                <w:rFonts w:hint="eastAsia" w:ascii="宋体" w:hAnsi="宋体" w:eastAsia="宋体" w:cs="宋体"/>
              </w:rPr>
              <w:t>评价要点：</w:t>
            </w:r>
          </w:p>
          <w:p w14:paraId="68B54A37">
            <w:pPr>
              <w:spacing w:after="0" w:line="240" w:lineRule="exact"/>
              <w:rPr>
                <w:rFonts w:ascii="宋体" w:hAnsi="宋体" w:eastAsia="宋体" w:cs="宋体"/>
              </w:rPr>
            </w:pPr>
            <w:r>
              <w:rPr>
                <w:rFonts w:hint="eastAsia" w:ascii="宋体" w:hAnsi="宋体" w:eastAsia="宋体" w:cs="宋体"/>
              </w:rPr>
              <w:t>1.部门活动的设定在部门所确定的职责范围之内；</w:t>
            </w:r>
          </w:p>
          <w:p w14:paraId="55A32F89">
            <w:pPr>
              <w:spacing w:after="0" w:line="68" w:lineRule="atLeast"/>
              <w:rPr>
                <w:rFonts w:ascii="宋体" w:hAnsi="宋体" w:eastAsia="宋体" w:cs="宋体"/>
              </w:rPr>
            </w:pPr>
            <w:r>
              <w:rPr>
                <w:rFonts w:hint="eastAsia" w:ascii="宋体" w:hAnsi="宋体" w:eastAsia="宋体" w:cs="宋体"/>
              </w:rPr>
              <w:t>2.部门活动符合市委、市政府的发展规划及本部门的年度工作安排与发展规划。</w:t>
            </w:r>
          </w:p>
        </w:tc>
        <w:tc>
          <w:tcPr>
            <w:tcW w:w="3423" w:type="dxa"/>
            <w:tcBorders>
              <w:top w:val="single" w:color="000000" w:sz="4" w:space="0"/>
              <w:left w:val="single" w:color="auto" w:sz="4" w:space="0"/>
              <w:bottom w:val="single" w:color="auto" w:sz="4" w:space="0"/>
              <w:right w:val="single" w:color="auto" w:sz="4" w:space="0"/>
            </w:tcBorders>
            <w:vAlign w:val="center"/>
          </w:tcPr>
          <w:p w14:paraId="308A204F">
            <w:pPr>
              <w:spacing w:after="0" w:line="240" w:lineRule="exact"/>
              <w:rPr>
                <w:rFonts w:ascii="宋体" w:hAnsi="宋体" w:eastAsia="宋体" w:cs="宋体"/>
              </w:rPr>
            </w:pPr>
            <w:r>
              <w:rPr>
                <w:rFonts w:hint="eastAsia" w:ascii="宋体" w:hAnsi="宋体" w:eastAsia="宋体" w:cs="宋体"/>
              </w:rPr>
              <w:t>全部符合（1分）；</w:t>
            </w:r>
          </w:p>
          <w:p w14:paraId="54145494">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4D81702D">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2FEAB3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2" w:hRule="atLeast"/>
          <w:jc w:val="center"/>
        </w:trPr>
        <w:tc>
          <w:tcPr>
            <w:tcW w:w="733" w:type="dxa"/>
            <w:vMerge w:val="continue"/>
            <w:tcBorders>
              <w:left w:val="single" w:color="000000" w:sz="4" w:space="0"/>
              <w:right w:val="single" w:color="000000" w:sz="4" w:space="0"/>
            </w:tcBorders>
            <w:vAlign w:val="center"/>
          </w:tcPr>
          <w:p w14:paraId="43554CDD">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75413AD5">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35812809">
            <w:pPr>
              <w:spacing w:after="0" w:line="68" w:lineRule="atLeast"/>
              <w:rPr>
                <w:rFonts w:ascii="宋体" w:hAnsi="宋体" w:eastAsia="宋体" w:cs="宋体"/>
              </w:rPr>
            </w:pPr>
            <w:r>
              <w:rPr>
                <w:rFonts w:hint="eastAsia" w:ascii="宋体" w:hAnsi="宋体" w:eastAsia="宋体" w:cs="宋体"/>
              </w:rPr>
              <w:t>活动合理性（1分）</w:t>
            </w:r>
          </w:p>
        </w:tc>
        <w:tc>
          <w:tcPr>
            <w:tcW w:w="6911" w:type="dxa"/>
            <w:tcBorders>
              <w:top w:val="single" w:color="000000" w:sz="4" w:space="0"/>
              <w:left w:val="single" w:color="auto" w:sz="4" w:space="0"/>
              <w:bottom w:val="single" w:color="auto" w:sz="4" w:space="0"/>
              <w:right w:val="single" w:color="auto" w:sz="4" w:space="0"/>
            </w:tcBorders>
            <w:vAlign w:val="center"/>
          </w:tcPr>
          <w:p w14:paraId="2C7C781D">
            <w:pPr>
              <w:spacing w:after="0" w:line="240" w:lineRule="exact"/>
              <w:rPr>
                <w:rFonts w:ascii="宋体" w:hAnsi="宋体" w:eastAsia="宋体" w:cs="宋体"/>
              </w:rPr>
            </w:pPr>
            <w:r>
              <w:rPr>
                <w:rFonts w:hint="eastAsia" w:ascii="宋体" w:hAnsi="宋体" w:eastAsia="宋体" w:cs="宋体"/>
              </w:rPr>
              <w:t>部门所设立的活动是否明确合理、活动的关键性指标设置是否可衡量，用以反映和评价部门活动目标设定的合理性。</w:t>
            </w:r>
          </w:p>
          <w:p w14:paraId="3982F69D">
            <w:pPr>
              <w:spacing w:after="0" w:line="240" w:lineRule="exact"/>
              <w:rPr>
                <w:rFonts w:ascii="宋体" w:hAnsi="宋体" w:eastAsia="宋体" w:cs="宋体"/>
              </w:rPr>
            </w:pPr>
            <w:r>
              <w:rPr>
                <w:rFonts w:hint="eastAsia" w:ascii="宋体" w:hAnsi="宋体" w:eastAsia="宋体" w:cs="宋体"/>
              </w:rPr>
              <w:t>评价要点：</w:t>
            </w:r>
          </w:p>
          <w:p w14:paraId="1285FAD5">
            <w:pPr>
              <w:spacing w:after="0" w:line="240" w:lineRule="exact"/>
              <w:rPr>
                <w:rFonts w:ascii="宋体" w:hAnsi="宋体" w:eastAsia="宋体" w:cs="宋体"/>
              </w:rPr>
            </w:pPr>
            <w:r>
              <w:rPr>
                <w:rFonts w:hint="eastAsia" w:ascii="宋体" w:hAnsi="宋体" w:eastAsia="宋体" w:cs="宋体"/>
              </w:rPr>
              <w:t>1.活动目标的设定是可量化的，可通过清晰、可衡量的关键指标值予以体现；</w:t>
            </w:r>
          </w:p>
          <w:p w14:paraId="34ECDFB0">
            <w:pPr>
              <w:spacing w:after="0" w:line="68" w:lineRule="atLeast"/>
              <w:rPr>
                <w:rFonts w:ascii="宋体" w:hAnsi="宋体" w:eastAsia="宋体" w:cs="宋体"/>
              </w:rPr>
            </w:pPr>
            <w:r>
              <w:rPr>
                <w:rFonts w:hint="eastAsia" w:ascii="宋体" w:hAnsi="宋体" w:eastAsia="宋体" w:cs="宋体"/>
              </w:rPr>
              <w:t>2.在活动目标设定时，将关键指标明细分解为具体的达成目标与工作任务。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675BCA5A">
            <w:pPr>
              <w:spacing w:after="0" w:line="240" w:lineRule="exact"/>
              <w:rPr>
                <w:rFonts w:ascii="宋体" w:hAnsi="宋体" w:eastAsia="宋体" w:cs="宋体"/>
              </w:rPr>
            </w:pPr>
            <w:r>
              <w:rPr>
                <w:rFonts w:hint="eastAsia" w:ascii="宋体" w:hAnsi="宋体" w:eastAsia="宋体" w:cs="宋体"/>
              </w:rPr>
              <w:t>全部符合（1分）；</w:t>
            </w:r>
          </w:p>
          <w:p w14:paraId="49993455">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685A1A20">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243391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4" w:hRule="atLeast"/>
          <w:jc w:val="center"/>
        </w:trPr>
        <w:tc>
          <w:tcPr>
            <w:tcW w:w="733" w:type="dxa"/>
            <w:vMerge w:val="continue"/>
            <w:tcBorders>
              <w:left w:val="single" w:color="000000" w:sz="4" w:space="0"/>
              <w:right w:val="single" w:color="000000" w:sz="4" w:space="0"/>
            </w:tcBorders>
            <w:vAlign w:val="center"/>
          </w:tcPr>
          <w:p w14:paraId="0113EEDD">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1BE59552">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3D88D6C4">
            <w:pPr>
              <w:spacing w:after="0" w:line="68" w:lineRule="atLeast"/>
              <w:rPr>
                <w:rFonts w:ascii="宋体" w:hAnsi="宋体" w:eastAsia="宋体" w:cs="宋体"/>
              </w:rPr>
            </w:pPr>
            <w:r>
              <w:rPr>
                <w:rFonts w:hint="eastAsia" w:ascii="宋体" w:hAnsi="宋体" w:eastAsia="宋体" w:cs="宋体"/>
              </w:rPr>
              <w:t>目标覆盖率（1分）</w:t>
            </w:r>
          </w:p>
        </w:tc>
        <w:tc>
          <w:tcPr>
            <w:tcW w:w="6911" w:type="dxa"/>
            <w:tcBorders>
              <w:top w:val="single" w:color="000000" w:sz="4" w:space="0"/>
              <w:left w:val="single" w:color="auto" w:sz="4" w:space="0"/>
              <w:bottom w:val="single" w:color="auto" w:sz="4" w:space="0"/>
              <w:right w:val="single" w:color="auto" w:sz="4" w:space="0"/>
            </w:tcBorders>
            <w:vAlign w:val="center"/>
          </w:tcPr>
          <w:p w14:paraId="02C41B62">
            <w:pPr>
              <w:spacing w:after="0" w:line="240" w:lineRule="exact"/>
              <w:rPr>
                <w:rFonts w:ascii="宋体" w:hAnsi="宋体" w:eastAsia="宋体" w:cs="宋体"/>
              </w:rPr>
            </w:pPr>
            <w:r>
              <w:rPr>
                <w:rFonts w:hint="eastAsia" w:ascii="宋体" w:hAnsi="宋体" w:eastAsia="宋体" w:cs="宋体"/>
              </w:rPr>
              <w:t>部门年度申报绩效目标项目资金额与部门项目预算资金总额的比率，用以反映部门落实财政部门绩效目标申报要求的资金覆盖情况。</w:t>
            </w:r>
          </w:p>
          <w:p w14:paraId="6C7C21CD">
            <w:pPr>
              <w:spacing w:after="0" w:line="240" w:lineRule="exact"/>
              <w:rPr>
                <w:rFonts w:ascii="宋体" w:hAnsi="宋体" w:eastAsia="宋体" w:cs="宋体"/>
              </w:rPr>
            </w:pPr>
            <w:r>
              <w:rPr>
                <w:rFonts w:hint="eastAsia" w:ascii="宋体" w:hAnsi="宋体" w:eastAsia="宋体" w:cs="宋体"/>
              </w:rPr>
              <w:t>覆盖率=实际申报绩效目标项目资金总额/部门项目预算资金总额×100%</w:t>
            </w:r>
          </w:p>
        </w:tc>
        <w:tc>
          <w:tcPr>
            <w:tcW w:w="3423" w:type="dxa"/>
            <w:tcBorders>
              <w:top w:val="single" w:color="000000" w:sz="4" w:space="0"/>
              <w:left w:val="single" w:color="auto" w:sz="4" w:space="0"/>
              <w:bottom w:val="single" w:color="auto" w:sz="4" w:space="0"/>
              <w:right w:val="single" w:color="auto" w:sz="4" w:space="0"/>
            </w:tcBorders>
            <w:vAlign w:val="center"/>
          </w:tcPr>
          <w:p w14:paraId="4C24A620">
            <w:pPr>
              <w:spacing w:after="0" w:line="240" w:lineRule="exact"/>
              <w:rPr>
                <w:rFonts w:ascii="宋体" w:hAnsi="宋体" w:eastAsia="宋体" w:cs="宋体"/>
              </w:rPr>
            </w:pPr>
            <w:r>
              <w:rPr>
                <w:rFonts w:hint="eastAsia" w:ascii="宋体" w:hAnsi="宋体" w:eastAsia="宋体" w:cs="宋体"/>
              </w:rPr>
              <w:t>达到目标值得1分，未达到目标值采用完成比率法计分：得分=覆盖率/目标值×1，超过目标值不加分。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2328A0FC">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1DFCE2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2" w:hRule="atLeast"/>
          <w:jc w:val="center"/>
        </w:trPr>
        <w:tc>
          <w:tcPr>
            <w:tcW w:w="733" w:type="dxa"/>
            <w:vMerge w:val="continue"/>
            <w:tcBorders>
              <w:left w:val="single" w:color="000000" w:sz="4" w:space="0"/>
              <w:right w:val="single" w:color="000000" w:sz="4" w:space="0"/>
            </w:tcBorders>
            <w:vAlign w:val="center"/>
          </w:tcPr>
          <w:p w14:paraId="27666271">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402C5884">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0BCA3BF0">
            <w:pPr>
              <w:spacing w:after="0" w:line="68" w:lineRule="atLeast"/>
              <w:rPr>
                <w:rFonts w:ascii="宋体" w:hAnsi="宋体" w:eastAsia="宋体" w:cs="宋体"/>
              </w:rPr>
            </w:pPr>
            <w:r>
              <w:rPr>
                <w:rFonts w:hint="eastAsia" w:ascii="宋体" w:hAnsi="宋体" w:eastAsia="宋体" w:cs="宋体"/>
              </w:rPr>
              <w:t>目标管理创新（1分）</w:t>
            </w:r>
          </w:p>
        </w:tc>
        <w:tc>
          <w:tcPr>
            <w:tcW w:w="6911" w:type="dxa"/>
            <w:tcBorders>
              <w:top w:val="single" w:color="000000" w:sz="4" w:space="0"/>
              <w:left w:val="single" w:color="auto" w:sz="4" w:space="0"/>
              <w:bottom w:val="single" w:color="auto" w:sz="4" w:space="0"/>
              <w:right w:val="single" w:color="auto" w:sz="4" w:space="0"/>
            </w:tcBorders>
            <w:vAlign w:val="center"/>
          </w:tcPr>
          <w:p w14:paraId="43211EC3">
            <w:pPr>
              <w:spacing w:after="0" w:line="240" w:lineRule="exact"/>
              <w:rPr>
                <w:rFonts w:ascii="宋体" w:hAnsi="宋体" w:eastAsia="宋体" w:cs="宋体"/>
              </w:rPr>
            </w:pPr>
            <w:r>
              <w:rPr>
                <w:rFonts w:hint="eastAsia" w:ascii="宋体" w:hAnsi="宋体" w:eastAsia="宋体" w:cs="宋体"/>
              </w:rPr>
              <w:t>部门编报整体绩效目标和申报项目绩效目标的数量超过规定的要求。用以反映和考核部门绩效目标管理创新工作情况。</w:t>
            </w:r>
          </w:p>
          <w:p w14:paraId="7301FCC7">
            <w:pPr>
              <w:spacing w:after="0" w:line="240" w:lineRule="exact"/>
              <w:rPr>
                <w:rFonts w:ascii="宋体" w:hAnsi="宋体" w:eastAsia="宋体" w:cs="宋体"/>
              </w:rPr>
            </w:pPr>
            <w:r>
              <w:rPr>
                <w:rFonts w:hint="eastAsia" w:ascii="宋体" w:hAnsi="宋体" w:eastAsia="宋体" w:cs="宋体"/>
              </w:rPr>
              <w:t>项目绩效目标创新=部门绩效目标编报数量-按财政部门要求的绩效目标填报数量</w:t>
            </w:r>
          </w:p>
        </w:tc>
        <w:tc>
          <w:tcPr>
            <w:tcW w:w="3423" w:type="dxa"/>
            <w:tcBorders>
              <w:top w:val="single" w:color="000000" w:sz="4" w:space="0"/>
              <w:left w:val="single" w:color="auto" w:sz="4" w:space="0"/>
              <w:bottom w:val="single" w:color="auto" w:sz="4" w:space="0"/>
              <w:right w:val="single" w:color="auto" w:sz="4" w:space="0"/>
            </w:tcBorders>
            <w:vAlign w:val="center"/>
          </w:tcPr>
          <w:p w14:paraId="63640153">
            <w:pPr>
              <w:spacing w:after="0" w:line="240" w:lineRule="exact"/>
              <w:rPr>
                <w:rFonts w:ascii="宋体" w:hAnsi="宋体" w:eastAsia="宋体" w:cs="宋体"/>
              </w:rPr>
            </w:pPr>
            <w:r>
              <w:rPr>
                <w:rFonts w:hint="eastAsia" w:ascii="宋体" w:hAnsi="宋体" w:eastAsia="宋体" w:cs="宋体"/>
              </w:rPr>
              <w:t>每超过1项得0.1分，满分1分。</w:t>
            </w:r>
          </w:p>
        </w:tc>
        <w:tc>
          <w:tcPr>
            <w:tcW w:w="1090" w:type="dxa"/>
            <w:tcBorders>
              <w:top w:val="single" w:color="000000" w:sz="4" w:space="0"/>
              <w:left w:val="single" w:color="auto" w:sz="4" w:space="0"/>
              <w:bottom w:val="single" w:color="auto" w:sz="4" w:space="0"/>
              <w:right w:val="single" w:color="000000" w:sz="4" w:space="0"/>
            </w:tcBorders>
            <w:vAlign w:val="center"/>
          </w:tcPr>
          <w:p w14:paraId="0CD93FDB">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4CB106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95" w:hRule="atLeast"/>
          <w:jc w:val="center"/>
        </w:trPr>
        <w:tc>
          <w:tcPr>
            <w:tcW w:w="733" w:type="dxa"/>
            <w:vMerge w:val="continue"/>
            <w:tcBorders>
              <w:left w:val="single" w:color="000000" w:sz="4" w:space="0"/>
              <w:right w:val="single" w:color="000000" w:sz="4" w:space="0"/>
            </w:tcBorders>
            <w:vAlign w:val="center"/>
          </w:tcPr>
          <w:p w14:paraId="6CA1BFE2">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4DBAF6C9">
            <w:pPr>
              <w:spacing w:after="0" w:line="68" w:lineRule="atLeast"/>
              <w:rPr>
                <w:rFonts w:ascii="宋体" w:hAnsi="宋体" w:eastAsia="宋体" w:cs="宋体"/>
              </w:rPr>
            </w:pPr>
            <w:r>
              <w:rPr>
                <w:rFonts w:hint="eastAsia" w:ascii="宋体" w:hAnsi="宋体" w:eastAsia="宋体" w:cs="宋体"/>
              </w:rPr>
              <w:t>预算配置(10分)</w:t>
            </w:r>
          </w:p>
        </w:tc>
        <w:tc>
          <w:tcPr>
            <w:tcW w:w="1182" w:type="dxa"/>
            <w:tcBorders>
              <w:top w:val="single" w:color="auto" w:sz="4" w:space="0"/>
              <w:left w:val="single" w:color="000000" w:sz="4" w:space="0"/>
              <w:bottom w:val="single" w:color="000000" w:sz="4" w:space="0"/>
              <w:right w:val="single" w:color="auto" w:sz="4" w:space="0"/>
            </w:tcBorders>
            <w:vAlign w:val="center"/>
          </w:tcPr>
          <w:p w14:paraId="41AAF453">
            <w:pPr>
              <w:spacing w:after="0" w:line="68" w:lineRule="atLeast"/>
              <w:rPr>
                <w:rFonts w:ascii="宋体" w:hAnsi="宋体" w:eastAsia="宋体" w:cs="宋体"/>
              </w:rPr>
            </w:pPr>
            <w:r>
              <w:rPr>
                <w:rFonts w:hint="eastAsia" w:ascii="宋体" w:hAnsi="宋体" w:eastAsia="宋体" w:cs="宋体"/>
              </w:rPr>
              <w:t>财政供养人员控制率（3分）</w:t>
            </w:r>
          </w:p>
        </w:tc>
        <w:tc>
          <w:tcPr>
            <w:tcW w:w="6911" w:type="dxa"/>
            <w:tcBorders>
              <w:top w:val="single" w:color="auto" w:sz="4" w:space="0"/>
              <w:left w:val="single" w:color="auto" w:sz="4" w:space="0"/>
              <w:bottom w:val="single" w:color="000000" w:sz="4" w:space="0"/>
              <w:right w:val="single" w:color="auto" w:sz="4" w:space="0"/>
            </w:tcBorders>
            <w:vAlign w:val="center"/>
          </w:tcPr>
          <w:p w14:paraId="323EAA30">
            <w:pPr>
              <w:spacing w:after="0" w:line="240" w:lineRule="exact"/>
              <w:rPr>
                <w:rFonts w:ascii="宋体" w:hAnsi="宋体" w:eastAsia="宋体" w:cs="宋体"/>
              </w:rPr>
            </w:pPr>
            <w:r>
              <w:rPr>
                <w:rFonts w:hint="eastAsia" w:ascii="宋体" w:hAnsi="宋体" w:eastAsia="宋体" w:cs="宋体"/>
              </w:rPr>
              <w:t>部门本年度实际在职人员数与编制数的比率，用以反映和评价部门对人员成本的控制程度。</w:t>
            </w:r>
          </w:p>
          <w:p w14:paraId="684CCF13">
            <w:pPr>
              <w:spacing w:after="0" w:line="240" w:lineRule="exact"/>
              <w:rPr>
                <w:rFonts w:ascii="宋体" w:hAnsi="宋体" w:eastAsia="宋体" w:cs="宋体"/>
              </w:rPr>
            </w:pPr>
            <w:r>
              <w:rPr>
                <w:rFonts w:hint="eastAsia" w:ascii="宋体" w:hAnsi="宋体" w:eastAsia="宋体" w:cs="宋体"/>
              </w:rPr>
              <w:t>在职人员控制率=（在职人员数/编制数）×100%。</w:t>
            </w:r>
          </w:p>
          <w:p w14:paraId="7BC2FAC8">
            <w:pPr>
              <w:spacing w:after="0" w:line="240" w:lineRule="exact"/>
              <w:rPr>
                <w:rFonts w:ascii="宋体" w:hAnsi="宋体" w:eastAsia="宋体" w:cs="宋体"/>
              </w:rPr>
            </w:pPr>
            <w:r>
              <w:rPr>
                <w:rFonts w:hint="eastAsia" w:ascii="宋体" w:hAnsi="宋体" w:eastAsia="宋体" w:cs="宋体"/>
              </w:rPr>
              <w:t>在职人员数：部门实际在职人数，以财政部确定的部门决算编制口径为准，由编制部门和人劳部门批复同意的临聘人员除外。</w:t>
            </w:r>
          </w:p>
          <w:p w14:paraId="347D4411">
            <w:pPr>
              <w:spacing w:after="0" w:line="68" w:lineRule="atLeast"/>
              <w:rPr>
                <w:rFonts w:ascii="宋体" w:hAnsi="宋体" w:eastAsia="宋体" w:cs="宋体"/>
              </w:rPr>
            </w:pPr>
            <w:r>
              <w:rPr>
                <w:rFonts w:hint="eastAsia" w:ascii="宋体" w:hAnsi="宋体" w:eastAsia="宋体" w:cs="宋体"/>
              </w:rPr>
              <w:t>编制数：机构编制部门核定批复的部门人员编制数。</w:t>
            </w:r>
          </w:p>
        </w:tc>
        <w:tc>
          <w:tcPr>
            <w:tcW w:w="3423" w:type="dxa"/>
            <w:tcBorders>
              <w:top w:val="single" w:color="auto" w:sz="4" w:space="0"/>
              <w:left w:val="single" w:color="auto" w:sz="4" w:space="0"/>
              <w:bottom w:val="single" w:color="000000" w:sz="4" w:space="0"/>
              <w:right w:val="single" w:color="auto" w:sz="4" w:space="0"/>
            </w:tcBorders>
            <w:vAlign w:val="center"/>
          </w:tcPr>
          <w:p w14:paraId="201D08C6">
            <w:pPr>
              <w:spacing w:after="0" w:line="68" w:lineRule="atLeast"/>
              <w:rPr>
                <w:rFonts w:ascii="宋体" w:hAnsi="宋体" w:eastAsia="宋体" w:cs="宋体"/>
              </w:rPr>
            </w:pPr>
            <w:r>
              <w:rPr>
                <w:rFonts w:hint="eastAsia" w:ascii="宋体" w:hAnsi="宋体" w:eastAsia="宋体" w:cs="宋体"/>
              </w:rPr>
              <w:t>目标值≤100%；达到目标值得3分，每超出1人扣0.1分，扣完为止。</w:t>
            </w:r>
          </w:p>
        </w:tc>
        <w:tc>
          <w:tcPr>
            <w:tcW w:w="1090" w:type="dxa"/>
            <w:tcBorders>
              <w:top w:val="single" w:color="auto" w:sz="4" w:space="0"/>
              <w:left w:val="single" w:color="auto" w:sz="4" w:space="0"/>
              <w:bottom w:val="single" w:color="000000" w:sz="4" w:space="0"/>
              <w:right w:val="single" w:color="000000" w:sz="4" w:space="0"/>
            </w:tcBorders>
            <w:vAlign w:val="center"/>
          </w:tcPr>
          <w:p w14:paraId="20005CB6">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29567A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5" w:hRule="atLeast"/>
          <w:jc w:val="center"/>
        </w:trPr>
        <w:tc>
          <w:tcPr>
            <w:tcW w:w="733" w:type="dxa"/>
            <w:vMerge w:val="continue"/>
            <w:tcBorders>
              <w:left w:val="single" w:color="000000" w:sz="4" w:space="0"/>
              <w:right w:val="single" w:color="000000" w:sz="4" w:space="0"/>
            </w:tcBorders>
            <w:vAlign w:val="center"/>
          </w:tcPr>
          <w:p w14:paraId="5F98EBCE">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4347E17A">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4C686B80">
            <w:pPr>
              <w:spacing w:after="0" w:line="68" w:lineRule="atLeast"/>
              <w:rPr>
                <w:rFonts w:ascii="宋体" w:hAnsi="宋体" w:eastAsia="宋体" w:cs="宋体"/>
              </w:rPr>
            </w:pPr>
            <w:r>
              <w:rPr>
                <w:rFonts w:hint="eastAsia" w:ascii="宋体" w:hAnsi="宋体" w:eastAsia="宋体" w:cs="宋体"/>
              </w:rPr>
              <w:t>“三公经费”变动率（4分）</w:t>
            </w:r>
          </w:p>
        </w:tc>
        <w:tc>
          <w:tcPr>
            <w:tcW w:w="6911" w:type="dxa"/>
            <w:tcBorders>
              <w:top w:val="single" w:color="auto" w:sz="4" w:space="0"/>
              <w:left w:val="single" w:color="auto" w:sz="4" w:space="0"/>
              <w:bottom w:val="single" w:color="000000" w:sz="4" w:space="0"/>
              <w:right w:val="single" w:color="auto" w:sz="4" w:space="0"/>
            </w:tcBorders>
            <w:vAlign w:val="center"/>
          </w:tcPr>
          <w:p w14:paraId="0BF3D5C0">
            <w:pPr>
              <w:spacing w:after="0" w:line="240" w:lineRule="exact"/>
              <w:rPr>
                <w:rFonts w:ascii="宋体" w:hAnsi="宋体" w:eastAsia="宋体" w:cs="宋体"/>
              </w:rPr>
            </w:pPr>
            <w:r>
              <w:rPr>
                <w:rFonts w:hint="eastAsia" w:ascii="宋体" w:hAnsi="宋体" w:eastAsia="宋体" w:cs="宋体"/>
              </w:rPr>
              <w:t>部门本年度“三公经费”预算数与上年度“三公经费”预算数的变动比率，用以反映和考核部门对控制重点行政成本的努力程度。</w:t>
            </w:r>
          </w:p>
          <w:p w14:paraId="75702640">
            <w:pPr>
              <w:spacing w:after="0" w:line="240" w:lineRule="exact"/>
              <w:rPr>
                <w:rFonts w:ascii="宋体" w:hAnsi="宋体" w:eastAsia="宋体" w:cs="宋体"/>
              </w:rPr>
            </w:pPr>
            <w:r>
              <w:rPr>
                <w:rFonts w:hint="eastAsia" w:ascii="宋体" w:hAnsi="宋体" w:eastAsia="宋体" w:cs="宋体"/>
              </w:rPr>
              <w:t>“三公经费”变动率=〔（本年度“三公经费”总额-上年度“三公经费”总额）/上年度“三公经费”总额〕×100%</w:t>
            </w:r>
          </w:p>
          <w:p w14:paraId="0B824D61">
            <w:pPr>
              <w:spacing w:after="0" w:line="240" w:lineRule="exact"/>
              <w:rPr>
                <w:rFonts w:ascii="宋体" w:hAnsi="宋体" w:eastAsia="宋体" w:cs="宋体"/>
              </w:rPr>
            </w:pPr>
            <w:r>
              <w:rPr>
                <w:rFonts w:hint="eastAsia" w:ascii="宋体" w:hAnsi="宋体" w:eastAsia="宋体" w:cs="宋体"/>
              </w:rPr>
              <w:t>“三公经费”：年度预算安排的因公出国（境）费、公务车辆购置及运行费和公务招待费。</w:t>
            </w:r>
          </w:p>
        </w:tc>
        <w:tc>
          <w:tcPr>
            <w:tcW w:w="3423" w:type="dxa"/>
            <w:tcBorders>
              <w:top w:val="single" w:color="auto" w:sz="4" w:space="0"/>
              <w:left w:val="single" w:color="auto" w:sz="4" w:space="0"/>
              <w:bottom w:val="single" w:color="000000" w:sz="4" w:space="0"/>
              <w:right w:val="single" w:color="auto" w:sz="4" w:space="0"/>
            </w:tcBorders>
            <w:vAlign w:val="center"/>
          </w:tcPr>
          <w:p w14:paraId="0F5E49D6">
            <w:pPr>
              <w:spacing w:after="0" w:line="240" w:lineRule="exact"/>
              <w:rPr>
                <w:rFonts w:ascii="宋体" w:hAnsi="宋体" w:eastAsia="宋体" w:cs="宋体"/>
              </w:rPr>
            </w:pPr>
            <w:r>
              <w:rPr>
                <w:rFonts w:hint="eastAsia" w:ascii="宋体" w:hAnsi="宋体" w:eastAsia="宋体" w:cs="宋体"/>
              </w:rPr>
              <w:t>目标值≤0；达到目标值得4分，未达到目标值的采用比率扣分法：扣分值=“三公经费”变动率×4×10，变动率达10%以上的扣4分。</w:t>
            </w:r>
          </w:p>
        </w:tc>
        <w:tc>
          <w:tcPr>
            <w:tcW w:w="1090" w:type="dxa"/>
            <w:tcBorders>
              <w:top w:val="single" w:color="auto" w:sz="4" w:space="0"/>
              <w:left w:val="single" w:color="auto" w:sz="4" w:space="0"/>
              <w:bottom w:val="single" w:color="000000" w:sz="4" w:space="0"/>
              <w:right w:val="single" w:color="000000" w:sz="4" w:space="0"/>
            </w:tcBorders>
            <w:vAlign w:val="center"/>
          </w:tcPr>
          <w:p w14:paraId="40E39E83">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0DD939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07" w:hRule="atLeast"/>
          <w:jc w:val="center"/>
        </w:trPr>
        <w:tc>
          <w:tcPr>
            <w:tcW w:w="733" w:type="dxa"/>
            <w:vMerge w:val="continue"/>
            <w:tcBorders>
              <w:left w:val="single" w:color="000000" w:sz="4" w:space="0"/>
              <w:bottom w:val="single" w:color="000000" w:sz="4" w:space="0"/>
              <w:right w:val="single" w:color="000000" w:sz="4" w:space="0"/>
            </w:tcBorders>
            <w:vAlign w:val="center"/>
          </w:tcPr>
          <w:p w14:paraId="3BCC27C5">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2D5C860D">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170B32A4">
            <w:pPr>
              <w:spacing w:after="0" w:line="68" w:lineRule="atLeast"/>
              <w:rPr>
                <w:rFonts w:ascii="宋体" w:hAnsi="宋体" w:eastAsia="宋体" w:cs="宋体"/>
              </w:rPr>
            </w:pPr>
            <w:r>
              <w:rPr>
                <w:rFonts w:hint="eastAsia" w:ascii="宋体" w:hAnsi="宋体" w:eastAsia="宋体" w:cs="宋体"/>
              </w:rPr>
              <w:t>重点支出安排率（3分）</w:t>
            </w:r>
          </w:p>
        </w:tc>
        <w:tc>
          <w:tcPr>
            <w:tcW w:w="6911" w:type="dxa"/>
            <w:tcBorders>
              <w:top w:val="single" w:color="auto" w:sz="4" w:space="0"/>
              <w:left w:val="single" w:color="auto" w:sz="4" w:space="0"/>
              <w:bottom w:val="single" w:color="000000" w:sz="4" w:space="0"/>
              <w:right w:val="single" w:color="auto" w:sz="4" w:space="0"/>
            </w:tcBorders>
            <w:vAlign w:val="center"/>
          </w:tcPr>
          <w:p w14:paraId="799BB5E7">
            <w:pPr>
              <w:spacing w:after="0" w:line="240" w:lineRule="exact"/>
              <w:rPr>
                <w:rFonts w:ascii="宋体" w:hAnsi="宋体" w:eastAsia="宋体" w:cs="宋体"/>
              </w:rPr>
            </w:pPr>
            <w:r>
              <w:rPr>
                <w:rFonts w:hint="eastAsia" w:ascii="宋体" w:hAnsi="宋体" w:eastAsia="宋体" w:cs="宋体"/>
              </w:rPr>
              <w:t>部门（单位）本年度预算安排的重点项目支出与部门项目总支出的比率，用以反映和考核部门（单位）对履行主要职责或完成重点任务的保障程度。重点支出安排率=（重点项目支出/项目总支出）×100%。</w:t>
            </w:r>
          </w:p>
          <w:p w14:paraId="003427E2">
            <w:pPr>
              <w:spacing w:after="0" w:line="240" w:lineRule="exact"/>
              <w:rPr>
                <w:rFonts w:ascii="宋体" w:hAnsi="宋体" w:eastAsia="宋体" w:cs="宋体"/>
              </w:rPr>
            </w:pPr>
            <w:r>
              <w:rPr>
                <w:rFonts w:hint="eastAsia" w:ascii="宋体" w:hAnsi="宋体" w:eastAsia="宋体" w:cs="宋体"/>
              </w:rPr>
              <w:t>重点项目支出：部门（单位）年度预算安排的，与本部门履职和发展密切相关、具有明显社会和经济影响、党委政府关心或社会比较关注的项目支出总额。具体由被评价部门提出后经对口部门预算管理处审核确定。</w:t>
            </w:r>
          </w:p>
          <w:p w14:paraId="20AB8127">
            <w:pPr>
              <w:spacing w:after="0" w:line="240" w:lineRule="exact"/>
              <w:rPr>
                <w:rFonts w:ascii="宋体" w:hAnsi="宋体" w:eastAsia="宋体" w:cs="宋体"/>
              </w:rPr>
            </w:pPr>
            <w:r>
              <w:rPr>
                <w:rFonts w:hint="eastAsia" w:ascii="宋体" w:hAnsi="宋体" w:eastAsia="宋体" w:cs="宋体"/>
              </w:rPr>
              <w:t>项目总支出：部门（单位）年度预算安排的项目支出总额。</w:t>
            </w:r>
          </w:p>
        </w:tc>
        <w:tc>
          <w:tcPr>
            <w:tcW w:w="3423" w:type="dxa"/>
            <w:tcBorders>
              <w:top w:val="single" w:color="auto" w:sz="4" w:space="0"/>
              <w:left w:val="single" w:color="auto" w:sz="4" w:space="0"/>
              <w:bottom w:val="single" w:color="000000" w:sz="4" w:space="0"/>
              <w:right w:val="single" w:color="auto" w:sz="4" w:space="0"/>
            </w:tcBorders>
            <w:vAlign w:val="center"/>
          </w:tcPr>
          <w:p w14:paraId="1B7E2FC6">
            <w:pPr>
              <w:spacing w:after="0" w:line="240" w:lineRule="exact"/>
              <w:rPr>
                <w:rFonts w:ascii="宋体" w:hAnsi="宋体" w:eastAsia="宋体" w:cs="宋体"/>
              </w:rPr>
            </w:pPr>
            <w:r>
              <w:rPr>
                <w:rFonts w:hint="eastAsia" w:ascii="宋体" w:hAnsi="宋体" w:eastAsia="宋体" w:cs="宋体"/>
              </w:rPr>
              <w:t>目标值≥70%；以3分为上限，采用完成比率法计分：得分=重点支出安排率/70%×100%×3，超出目标值不加分。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56FE4D47">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054E73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6" w:hRule="atLeast"/>
          <w:jc w:val="center"/>
        </w:trPr>
        <w:tc>
          <w:tcPr>
            <w:tcW w:w="733" w:type="dxa"/>
            <w:vMerge w:val="restart"/>
            <w:tcBorders>
              <w:top w:val="single" w:color="000000" w:sz="4" w:space="0"/>
              <w:left w:val="single" w:color="000000" w:sz="4" w:space="0"/>
              <w:right w:val="single" w:color="000000" w:sz="4" w:space="0"/>
            </w:tcBorders>
            <w:vAlign w:val="center"/>
          </w:tcPr>
          <w:p w14:paraId="363EAC50">
            <w:pPr>
              <w:spacing w:after="0" w:line="68" w:lineRule="atLeast"/>
              <w:jc w:val="center"/>
              <w:rPr>
                <w:rFonts w:ascii="宋体" w:hAnsi="宋体" w:eastAsia="宋体" w:cs="宋体"/>
              </w:rPr>
            </w:pPr>
          </w:p>
          <w:p w14:paraId="1661BC86">
            <w:pPr>
              <w:spacing w:after="0" w:line="68" w:lineRule="atLeast"/>
              <w:jc w:val="center"/>
              <w:rPr>
                <w:rFonts w:ascii="宋体" w:hAnsi="宋体" w:eastAsia="宋体" w:cs="宋体"/>
              </w:rPr>
            </w:pPr>
          </w:p>
          <w:p w14:paraId="79FDF512">
            <w:pPr>
              <w:spacing w:after="0" w:line="68" w:lineRule="atLeast"/>
              <w:jc w:val="center"/>
              <w:rPr>
                <w:rFonts w:ascii="宋体" w:hAnsi="宋体" w:eastAsia="宋体" w:cs="宋体"/>
              </w:rPr>
            </w:pPr>
          </w:p>
          <w:p w14:paraId="38D367A1">
            <w:pPr>
              <w:spacing w:after="0" w:line="68" w:lineRule="atLeast"/>
              <w:jc w:val="center"/>
              <w:rPr>
                <w:rFonts w:ascii="宋体" w:hAnsi="宋体" w:eastAsia="宋体" w:cs="宋体"/>
              </w:rPr>
            </w:pPr>
          </w:p>
          <w:p w14:paraId="0B144015">
            <w:pPr>
              <w:spacing w:after="0" w:line="68" w:lineRule="atLeast"/>
              <w:jc w:val="center"/>
              <w:rPr>
                <w:rFonts w:ascii="宋体" w:hAnsi="宋体" w:eastAsia="宋体" w:cs="宋体"/>
              </w:rPr>
            </w:pPr>
          </w:p>
          <w:p w14:paraId="77AAC472">
            <w:pPr>
              <w:spacing w:after="0" w:line="68" w:lineRule="atLeast"/>
              <w:jc w:val="center"/>
              <w:rPr>
                <w:rFonts w:ascii="宋体" w:hAnsi="宋体" w:eastAsia="宋体" w:cs="宋体"/>
              </w:rPr>
            </w:pPr>
          </w:p>
          <w:p w14:paraId="100782ED">
            <w:pPr>
              <w:spacing w:after="0" w:line="68" w:lineRule="atLeast"/>
              <w:jc w:val="center"/>
              <w:rPr>
                <w:rFonts w:ascii="宋体" w:hAnsi="宋体" w:eastAsia="宋体" w:cs="宋体"/>
              </w:rPr>
            </w:pPr>
          </w:p>
          <w:p w14:paraId="2ED8EFC7">
            <w:pPr>
              <w:spacing w:after="0" w:line="68" w:lineRule="atLeast"/>
              <w:jc w:val="center"/>
              <w:rPr>
                <w:rFonts w:ascii="宋体" w:hAnsi="宋体" w:eastAsia="宋体" w:cs="宋体"/>
              </w:rPr>
            </w:pPr>
          </w:p>
          <w:p w14:paraId="3BE08682">
            <w:pPr>
              <w:spacing w:after="0" w:line="68" w:lineRule="atLeast"/>
              <w:jc w:val="center"/>
              <w:rPr>
                <w:rFonts w:ascii="宋体" w:hAnsi="宋体" w:eastAsia="宋体" w:cs="宋体"/>
              </w:rPr>
            </w:pPr>
          </w:p>
          <w:p w14:paraId="569D112C">
            <w:pPr>
              <w:spacing w:after="0" w:line="68" w:lineRule="atLeast"/>
              <w:jc w:val="center"/>
              <w:rPr>
                <w:rFonts w:ascii="宋体" w:hAnsi="宋体" w:eastAsia="宋体" w:cs="宋体"/>
              </w:rPr>
            </w:pPr>
          </w:p>
          <w:p w14:paraId="0CD960F7">
            <w:pPr>
              <w:spacing w:after="0" w:line="68" w:lineRule="atLeast"/>
              <w:jc w:val="center"/>
              <w:rPr>
                <w:rFonts w:ascii="宋体" w:hAnsi="宋体" w:eastAsia="宋体" w:cs="宋体"/>
              </w:rPr>
            </w:pPr>
          </w:p>
          <w:p w14:paraId="1EB45D2D">
            <w:pPr>
              <w:spacing w:after="0" w:line="68" w:lineRule="atLeast"/>
              <w:jc w:val="center"/>
              <w:rPr>
                <w:rFonts w:ascii="宋体" w:hAnsi="宋体" w:eastAsia="宋体" w:cs="宋体"/>
              </w:rPr>
            </w:pPr>
          </w:p>
          <w:p w14:paraId="68CB58A9">
            <w:pPr>
              <w:spacing w:after="0" w:line="68" w:lineRule="atLeast"/>
              <w:jc w:val="center"/>
              <w:rPr>
                <w:rFonts w:ascii="宋体" w:hAnsi="宋体" w:eastAsia="宋体" w:cs="宋体"/>
              </w:rPr>
            </w:pPr>
          </w:p>
          <w:p w14:paraId="6833DC81">
            <w:pPr>
              <w:spacing w:after="0" w:line="68" w:lineRule="atLeast"/>
              <w:jc w:val="center"/>
              <w:rPr>
                <w:rFonts w:ascii="宋体" w:hAnsi="宋体" w:eastAsia="宋体" w:cs="宋体"/>
              </w:rPr>
            </w:pPr>
          </w:p>
          <w:p w14:paraId="3D3FE7C4">
            <w:pPr>
              <w:spacing w:after="0" w:line="68" w:lineRule="atLeast"/>
              <w:jc w:val="center"/>
              <w:rPr>
                <w:rFonts w:ascii="宋体" w:hAnsi="宋体" w:eastAsia="宋体" w:cs="宋体"/>
              </w:rPr>
            </w:pPr>
          </w:p>
          <w:p w14:paraId="57A59018">
            <w:pPr>
              <w:spacing w:after="0" w:line="68" w:lineRule="atLeast"/>
              <w:jc w:val="center"/>
              <w:rPr>
                <w:rFonts w:ascii="宋体" w:hAnsi="宋体" w:eastAsia="宋体" w:cs="宋体"/>
              </w:rPr>
            </w:pPr>
          </w:p>
          <w:p w14:paraId="1CB50668">
            <w:pPr>
              <w:spacing w:after="0" w:line="68" w:lineRule="atLeast"/>
              <w:jc w:val="center"/>
              <w:rPr>
                <w:rFonts w:ascii="宋体" w:hAnsi="宋体" w:eastAsia="宋体" w:cs="宋体"/>
              </w:rPr>
            </w:pPr>
            <w:r>
              <w:rPr>
                <w:rFonts w:hint="eastAsia" w:ascii="宋体" w:hAnsi="宋体" w:eastAsia="宋体" w:cs="宋体"/>
              </w:rPr>
              <w:t>过程(55分)</w:t>
            </w:r>
          </w:p>
          <w:p w14:paraId="5445B366">
            <w:pPr>
              <w:spacing w:after="0" w:line="68" w:lineRule="atLeast"/>
              <w:jc w:val="center"/>
              <w:rPr>
                <w:rFonts w:ascii="宋体" w:hAnsi="宋体" w:eastAsia="宋体" w:cs="宋体"/>
              </w:rPr>
            </w:pPr>
          </w:p>
          <w:p w14:paraId="3B8289D6">
            <w:pPr>
              <w:spacing w:after="0" w:line="68" w:lineRule="atLeast"/>
              <w:jc w:val="center"/>
              <w:rPr>
                <w:rFonts w:ascii="宋体" w:hAnsi="宋体" w:eastAsia="宋体" w:cs="宋体"/>
              </w:rPr>
            </w:pPr>
          </w:p>
          <w:p w14:paraId="77C004C4">
            <w:pPr>
              <w:spacing w:after="0" w:line="68" w:lineRule="atLeast"/>
              <w:jc w:val="center"/>
              <w:rPr>
                <w:rFonts w:ascii="宋体" w:hAnsi="宋体" w:eastAsia="宋体" w:cs="宋体"/>
              </w:rPr>
            </w:pPr>
          </w:p>
          <w:p w14:paraId="69C7121D">
            <w:pPr>
              <w:spacing w:after="0" w:line="68" w:lineRule="atLeast"/>
              <w:jc w:val="center"/>
              <w:rPr>
                <w:rFonts w:ascii="宋体" w:hAnsi="宋体" w:eastAsia="宋体" w:cs="宋体"/>
              </w:rPr>
            </w:pPr>
          </w:p>
          <w:p w14:paraId="1A40C6CC">
            <w:pPr>
              <w:spacing w:after="0" w:line="68" w:lineRule="atLeast"/>
              <w:jc w:val="center"/>
              <w:rPr>
                <w:rFonts w:ascii="宋体" w:hAnsi="宋体" w:eastAsia="宋体" w:cs="宋体"/>
              </w:rPr>
            </w:pPr>
          </w:p>
          <w:p w14:paraId="274F9E15">
            <w:pPr>
              <w:spacing w:after="0" w:line="68" w:lineRule="atLeast"/>
              <w:jc w:val="center"/>
              <w:rPr>
                <w:rFonts w:ascii="宋体" w:hAnsi="宋体" w:eastAsia="宋体" w:cs="宋体"/>
              </w:rPr>
            </w:pPr>
          </w:p>
          <w:p w14:paraId="6510A7DB">
            <w:pPr>
              <w:spacing w:after="0" w:line="68" w:lineRule="atLeast"/>
              <w:jc w:val="center"/>
              <w:rPr>
                <w:rFonts w:ascii="宋体" w:hAnsi="宋体" w:eastAsia="宋体" w:cs="宋体"/>
              </w:rPr>
            </w:pPr>
          </w:p>
          <w:p w14:paraId="0F2BCD69">
            <w:pPr>
              <w:spacing w:after="0" w:line="68" w:lineRule="atLeast"/>
              <w:jc w:val="center"/>
              <w:rPr>
                <w:rFonts w:ascii="宋体" w:hAnsi="宋体" w:eastAsia="宋体" w:cs="宋体"/>
              </w:rPr>
            </w:pPr>
          </w:p>
          <w:p w14:paraId="4BBDB25B">
            <w:pPr>
              <w:spacing w:after="0" w:line="68" w:lineRule="atLeast"/>
              <w:jc w:val="center"/>
              <w:rPr>
                <w:rFonts w:ascii="宋体" w:hAnsi="宋体" w:eastAsia="宋体" w:cs="宋体"/>
              </w:rPr>
            </w:pPr>
          </w:p>
          <w:p w14:paraId="1E92A1E7">
            <w:pPr>
              <w:spacing w:after="0" w:line="68" w:lineRule="atLeast"/>
              <w:jc w:val="center"/>
              <w:rPr>
                <w:rFonts w:ascii="宋体" w:hAnsi="宋体" w:eastAsia="宋体" w:cs="宋体"/>
              </w:rPr>
            </w:pPr>
          </w:p>
          <w:p w14:paraId="6800DC8E">
            <w:pPr>
              <w:spacing w:after="0" w:line="68" w:lineRule="atLeast"/>
              <w:jc w:val="center"/>
              <w:rPr>
                <w:rFonts w:ascii="宋体" w:hAnsi="宋体" w:eastAsia="宋体" w:cs="宋体"/>
              </w:rPr>
            </w:pPr>
          </w:p>
          <w:p w14:paraId="702D0137">
            <w:pPr>
              <w:spacing w:after="0" w:line="68" w:lineRule="atLeast"/>
              <w:jc w:val="center"/>
              <w:rPr>
                <w:rFonts w:ascii="宋体" w:hAnsi="宋体" w:eastAsia="宋体" w:cs="宋体"/>
              </w:rPr>
            </w:pPr>
          </w:p>
          <w:p w14:paraId="73CAAF71">
            <w:pPr>
              <w:spacing w:after="0" w:line="68" w:lineRule="atLeast"/>
              <w:jc w:val="center"/>
              <w:rPr>
                <w:rFonts w:ascii="宋体" w:hAnsi="宋体" w:eastAsia="宋体" w:cs="宋体"/>
              </w:rPr>
            </w:pPr>
          </w:p>
          <w:p w14:paraId="0445D559">
            <w:pPr>
              <w:spacing w:after="0" w:line="68" w:lineRule="atLeast"/>
              <w:jc w:val="center"/>
              <w:rPr>
                <w:rFonts w:ascii="宋体" w:hAnsi="宋体" w:eastAsia="宋体" w:cs="宋体"/>
              </w:rPr>
            </w:pPr>
          </w:p>
          <w:p w14:paraId="3AB8D55F">
            <w:pPr>
              <w:spacing w:after="0" w:line="68" w:lineRule="atLeast"/>
              <w:jc w:val="center"/>
              <w:rPr>
                <w:rFonts w:ascii="宋体" w:hAnsi="宋体" w:eastAsia="宋体" w:cs="宋体"/>
              </w:rPr>
            </w:pPr>
          </w:p>
          <w:p w14:paraId="56A10B6A">
            <w:pPr>
              <w:spacing w:after="0" w:line="68" w:lineRule="atLeast"/>
              <w:jc w:val="center"/>
              <w:rPr>
                <w:rFonts w:ascii="宋体" w:hAnsi="宋体" w:eastAsia="宋体" w:cs="宋体"/>
              </w:rPr>
            </w:pPr>
          </w:p>
          <w:p w14:paraId="618A15AC">
            <w:pPr>
              <w:spacing w:after="0" w:line="68" w:lineRule="atLeast"/>
              <w:jc w:val="center"/>
              <w:rPr>
                <w:rFonts w:ascii="宋体" w:hAnsi="宋体" w:eastAsia="宋体" w:cs="宋体"/>
              </w:rPr>
            </w:pPr>
          </w:p>
          <w:p w14:paraId="3B02B95E">
            <w:pPr>
              <w:spacing w:after="0" w:line="68" w:lineRule="atLeast"/>
              <w:jc w:val="center"/>
              <w:rPr>
                <w:rFonts w:ascii="宋体" w:hAnsi="宋体" w:eastAsia="宋体" w:cs="宋体"/>
              </w:rPr>
            </w:pPr>
          </w:p>
          <w:p w14:paraId="04649644">
            <w:pPr>
              <w:spacing w:after="0" w:line="68" w:lineRule="atLeast"/>
              <w:jc w:val="center"/>
              <w:rPr>
                <w:rFonts w:ascii="宋体" w:hAnsi="宋体" w:eastAsia="宋体" w:cs="宋体"/>
              </w:rPr>
            </w:pPr>
          </w:p>
          <w:p w14:paraId="196C161A">
            <w:pPr>
              <w:spacing w:after="0" w:line="68" w:lineRule="atLeast"/>
              <w:jc w:val="center"/>
              <w:rPr>
                <w:rFonts w:ascii="宋体" w:hAnsi="宋体" w:eastAsia="宋体" w:cs="宋体"/>
              </w:rPr>
            </w:pPr>
          </w:p>
          <w:p w14:paraId="40078888">
            <w:pPr>
              <w:spacing w:after="0" w:line="68" w:lineRule="atLeast"/>
              <w:jc w:val="center"/>
              <w:rPr>
                <w:rFonts w:ascii="宋体" w:hAnsi="宋体" w:eastAsia="宋体" w:cs="宋体"/>
              </w:rPr>
            </w:pPr>
          </w:p>
          <w:p w14:paraId="6AA8F6DB">
            <w:pPr>
              <w:spacing w:after="0" w:line="68" w:lineRule="atLeast"/>
              <w:jc w:val="center"/>
              <w:rPr>
                <w:rFonts w:ascii="宋体" w:hAnsi="宋体" w:eastAsia="宋体" w:cs="宋体"/>
              </w:rPr>
            </w:pPr>
          </w:p>
          <w:p w14:paraId="25C1B22E">
            <w:pPr>
              <w:spacing w:after="0" w:line="68" w:lineRule="atLeast"/>
              <w:jc w:val="center"/>
              <w:rPr>
                <w:rFonts w:ascii="宋体" w:hAnsi="宋体" w:eastAsia="宋体" w:cs="宋体"/>
              </w:rPr>
            </w:pPr>
          </w:p>
          <w:p w14:paraId="3788AC78">
            <w:pPr>
              <w:spacing w:after="0" w:line="68" w:lineRule="atLeast"/>
              <w:jc w:val="center"/>
              <w:rPr>
                <w:rFonts w:ascii="宋体" w:hAnsi="宋体" w:eastAsia="宋体" w:cs="宋体"/>
              </w:rPr>
            </w:pPr>
          </w:p>
          <w:p w14:paraId="3B261219">
            <w:pPr>
              <w:spacing w:after="0" w:line="68" w:lineRule="atLeast"/>
              <w:jc w:val="center"/>
              <w:rPr>
                <w:rFonts w:ascii="宋体" w:hAnsi="宋体" w:eastAsia="宋体" w:cs="宋体"/>
              </w:rPr>
            </w:pPr>
            <w:r>
              <w:rPr>
                <w:rFonts w:hint="eastAsia" w:ascii="宋体" w:hAnsi="宋体" w:eastAsia="宋体" w:cs="宋体"/>
              </w:rPr>
              <w:t>过程(55分)</w:t>
            </w:r>
          </w:p>
          <w:p w14:paraId="132962A4">
            <w:pPr>
              <w:spacing w:after="0" w:line="68" w:lineRule="atLeast"/>
              <w:jc w:val="center"/>
              <w:rPr>
                <w:rFonts w:ascii="宋体" w:hAnsi="宋体" w:eastAsia="宋体" w:cs="宋体"/>
              </w:rPr>
            </w:pPr>
          </w:p>
          <w:p w14:paraId="394C6ADE">
            <w:pPr>
              <w:spacing w:after="0" w:line="68" w:lineRule="atLeast"/>
              <w:jc w:val="center"/>
              <w:rPr>
                <w:rFonts w:ascii="宋体" w:hAnsi="宋体" w:eastAsia="宋体" w:cs="宋体"/>
              </w:rPr>
            </w:pPr>
          </w:p>
          <w:p w14:paraId="1D8D6E65">
            <w:pPr>
              <w:spacing w:after="0" w:line="68" w:lineRule="atLeast"/>
              <w:jc w:val="center"/>
              <w:rPr>
                <w:rFonts w:ascii="宋体" w:hAnsi="宋体" w:eastAsia="宋体" w:cs="宋体"/>
              </w:rPr>
            </w:pPr>
          </w:p>
          <w:p w14:paraId="390AC5AC">
            <w:pPr>
              <w:spacing w:after="0" w:line="68" w:lineRule="atLeast"/>
              <w:jc w:val="center"/>
              <w:rPr>
                <w:rFonts w:ascii="宋体" w:hAnsi="宋体" w:eastAsia="宋体" w:cs="宋体"/>
              </w:rPr>
            </w:pPr>
          </w:p>
          <w:p w14:paraId="00BE0F0E">
            <w:pPr>
              <w:spacing w:after="0" w:line="68" w:lineRule="atLeast"/>
              <w:jc w:val="center"/>
              <w:rPr>
                <w:rFonts w:ascii="宋体" w:hAnsi="宋体" w:eastAsia="宋体" w:cs="宋体"/>
              </w:rPr>
            </w:pPr>
          </w:p>
          <w:p w14:paraId="03BFB41F">
            <w:pPr>
              <w:spacing w:after="0" w:line="68" w:lineRule="atLeast"/>
              <w:jc w:val="center"/>
              <w:rPr>
                <w:rFonts w:ascii="宋体" w:hAnsi="宋体" w:eastAsia="宋体" w:cs="宋体"/>
              </w:rPr>
            </w:pPr>
          </w:p>
          <w:p w14:paraId="11A27CB1">
            <w:pPr>
              <w:spacing w:after="0" w:line="68" w:lineRule="atLeast"/>
              <w:jc w:val="center"/>
              <w:rPr>
                <w:rFonts w:ascii="宋体" w:hAnsi="宋体" w:eastAsia="宋体" w:cs="宋体"/>
              </w:rPr>
            </w:pPr>
          </w:p>
          <w:p w14:paraId="16E0E80A">
            <w:pPr>
              <w:spacing w:after="0" w:line="68" w:lineRule="atLeast"/>
              <w:jc w:val="center"/>
              <w:rPr>
                <w:rFonts w:ascii="宋体" w:hAnsi="宋体" w:eastAsia="宋体" w:cs="宋体"/>
              </w:rPr>
            </w:pPr>
          </w:p>
          <w:p w14:paraId="7A57EFC5">
            <w:pPr>
              <w:spacing w:after="0" w:line="68" w:lineRule="atLeast"/>
              <w:jc w:val="center"/>
              <w:rPr>
                <w:rFonts w:ascii="宋体" w:hAnsi="宋体" w:eastAsia="宋体" w:cs="宋体"/>
              </w:rPr>
            </w:pPr>
          </w:p>
          <w:p w14:paraId="7035BD90">
            <w:pPr>
              <w:spacing w:after="0" w:line="68" w:lineRule="atLeast"/>
              <w:jc w:val="center"/>
              <w:rPr>
                <w:rFonts w:ascii="宋体" w:hAnsi="宋体" w:eastAsia="宋体" w:cs="宋体"/>
              </w:rPr>
            </w:pPr>
          </w:p>
          <w:p w14:paraId="562EE74B">
            <w:pPr>
              <w:spacing w:after="0" w:line="68" w:lineRule="atLeast"/>
              <w:jc w:val="center"/>
              <w:rPr>
                <w:rFonts w:ascii="宋体" w:hAnsi="宋体" w:eastAsia="宋体" w:cs="宋体"/>
              </w:rPr>
            </w:pPr>
          </w:p>
          <w:p w14:paraId="16CB651D">
            <w:pPr>
              <w:spacing w:after="0" w:line="68" w:lineRule="atLeast"/>
              <w:jc w:val="center"/>
              <w:rPr>
                <w:rFonts w:ascii="宋体" w:hAnsi="宋体" w:eastAsia="宋体" w:cs="宋体"/>
              </w:rPr>
            </w:pPr>
          </w:p>
          <w:p w14:paraId="2C212215">
            <w:pPr>
              <w:spacing w:after="0" w:line="68" w:lineRule="atLeast"/>
              <w:jc w:val="center"/>
              <w:rPr>
                <w:rFonts w:ascii="宋体" w:hAnsi="宋体" w:eastAsia="宋体" w:cs="宋体"/>
              </w:rPr>
            </w:pPr>
          </w:p>
          <w:p w14:paraId="68CDE3DC">
            <w:pPr>
              <w:spacing w:after="0" w:line="68" w:lineRule="atLeast"/>
              <w:jc w:val="center"/>
              <w:rPr>
                <w:rFonts w:ascii="宋体" w:hAnsi="宋体" w:eastAsia="宋体" w:cs="宋体"/>
              </w:rPr>
            </w:pPr>
          </w:p>
          <w:p w14:paraId="26B07D94">
            <w:pPr>
              <w:spacing w:after="0" w:line="68" w:lineRule="atLeast"/>
              <w:jc w:val="center"/>
              <w:rPr>
                <w:rFonts w:ascii="宋体" w:hAnsi="宋体" w:eastAsia="宋体" w:cs="宋体"/>
              </w:rPr>
            </w:pPr>
          </w:p>
          <w:p w14:paraId="00BEBB0F">
            <w:pPr>
              <w:spacing w:after="0" w:line="68" w:lineRule="atLeast"/>
              <w:jc w:val="center"/>
              <w:rPr>
                <w:rFonts w:ascii="宋体" w:hAnsi="宋体" w:eastAsia="宋体" w:cs="宋体"/>
              </w:rPr>
            </w:pPr>
          </w:p>
          <w:p w14:paraId="4413509A">
            <w:pPr>
              <w:spacing w:after="0" w:line="68" w:lineRule="atLeast"/>
              <w:jc w:val="center"/>
              <w:rPr>
                <w:rFonts w:ascii="宋体" w:hAnsi="宋体" w:eastAsia="宋体" w:cs="宋体"/>
              </w:rPr>
            </w:pPr>
          </w:p>
          <w:p w14:paraId="14AC91C4">
            <w:pPr>
              <w:spacing w:after="0" w:line="68" w:lineRule="atLeast"/>
              <w:jc w:val="center"/>
              <w:rPr>
                <w:rFonts w:ascii="宋体" w:hAnsi="宋体" w:eastAsia="宋体" w:cs="宋体"/>
              </w:rPr>
            </w:pPr>
          </w:p>
          <w:p w14:paraId="5E172518">
            <w:pPr>
              <w:spacing w:after="0" w:line="68" w:lineRule="atLeast"/>
              <w:jc w:val="center"/>
              <w:rPr>
                <w:rFonts w:ascii="宋体" w:hAnsi="宋体" w:eastAsia="宋体" w:cs="宋体"/>
              </w:rPr>
            </w:pPr>
          </w:p>
          <w:p w14:paraId="52B83594">
            <w:pPr>
              <w:spacing w:after="0" w:line="68" w:lineRule="atLeast"/>
              <w:jc w:val="center"/>
              <w:rPr>
                <w:rFonts w:ascii="宋体" w:hAnsi="宋体" w:eastAsia="宋体" w:cs="宋体"/>
              </w:rPr>
            </w:pPr>
          </w:p>
          <w:p w14:paraId="1816C6F5">
            <w:pPr>
              <w:spacing w:after="0" w:line="68" w:lineRule="atLeast"/>
              <w:jc w:val="center"/>
              <w:rPr>
                <w:rFonts w:ascii="宋体" w:hAnsi="宋体" w:eastAsia="宋体" w:cs="宋体"/>
              </w:rPr>
            </w:pPr>
          </w:p>
          <w:p w14:paraId="09C2D67C">
            <w:pPr>
              <w:spacing w:after="0" w:line="68" w:lineRule="atLeast"/>
              <w:jc w:val="center"/>
              <w:rPr>
                <w:rFonts w:ascii="宋体" w:hAnsi="宋体" w:eastAsia="宋体" w:cs="宋体"/>
              </w:rPr>
            </w:pPr>
          </w:p>
          <w:p w14:paraId="34DACC8C">
            <w:pPr>
              <w:spacing w:after="0" w:line="68" w:lineRule="atLeast"/>
              <w:jc w:val="center"/>
              <w:rPr>
                <w:rFonts w:ascii="宋体" w:hAnsi="宋体" w:eastAsia="宋体" w:cs="宋体"/>
              </w:rPr>
            </w:pPr>
          </w:p>
          <w:p w14:paraId="222E62E3">
            <w:pPr>
              <w:spacing w:after="0" w:line="68" w:lineRule="atLeast"/>
              <w:jc w:val="center"/>
              <w:rPr>
                <w:rFonts w:ascii="宋体" w:hAnsi="宋体" w:eastAsia="宋体" w:cs="宋体"/>
              </w:rPr>
            </w:pPr>
          </w:p>
          <w:p w14:paraId="3D54A788">
            <w:pPr>
              <w:spacing w:after="0" w:line="68" w:lineRule="atLeast"/>
              <w:jc w:val="center"/>
              <w:rPr>
                <w:rFonts w:ascii="宋体" w:hAnsi="宋体" w:eastAsia="宋体" w:cs="宋体"/>
              </w:rPr>
            </w:pPr>
          </w:p>
          <w:p w14:paraId="331D07CE">
            <w:pPr>
              <w:spacing w:after="0" w:line="68" w:lineRule="atLeast"/>
              <w:jc w:val="center"/>
              <w:rPr>
                <w:rFonts w:ascii="宋体" w:hAnsi="宋体" w:eastAsia="宋体" w:cs="宋体"/>
              </w:rPr>
            </w:pPr>
            <w:r>
              <w:rPr>
                <w:rFonts w:hint="eastAsia" w:ascii="宋体" w:hAnsi="宋体" w:eastAsia="宋体" w:cs="宋体"/>
              </w:rPr>
              <w:t>过程(55分)</w:t>
            </w:r>
          </w:p>
          <w:p w14:paraId="42E905A6">
            <w:pPr>
              <w:spacing w:after="0" w:line="68" w:lineRule="atLeast"/>
              <w:jc w:val="center"/>
              <w:rPr>
                <w:rFonts w:ascii="宋体" w:hAnsi="宋体" w:eastAsia="宋体" w:cs="宋体"/>
              </w:rPr>
            </w:pPr>
          </w:p>
          <w:p w14:paraId="36BD1D1F">
            <w:pPr>
              <w:spacing w:after="0" w:line="68" w:lineRule="atLeast"/>
              <w:jc w:val="center"/>
              <w:rPr>
                <w:rFonts w:ascii="宋体" w:hAnsi="宋体" w:eastAsia="宋体" w:cs="宋体"/>
              </w:rPr>
            </w:pPr>
          </w:p>
          <w:p w14:paraId="249CCA92">
            <w:pPr>
              <w:spacing w:after="0" w:line="68" w:lineRule="atLeast"/>
              <w:jc w:val="center"/>
              <w:rPr>
                <w:rFonts w:ascii="宋体" w:hAnsi="宋体" w:eastAsia="宋体" w:cs="宋体"/>
              </w:rPr>
            </w:pPr>
          </w:p>
          <w:p w14:paraId="416BACB9">
            <w:pPr>
              <w:spacing w:after="0" w:line="68" w:lineRule="atLeast"/>
              <w:jc w:val="center"/>
              <w:rPr>
                <w:rFonts w:ascii="宋体" w:hAnsi="宋体" w:eastAsia="宋体" w:cs="宋体"/>
              </w:rPr>
            </w:pPr>
          </w:p>
          <w:p w14:paraId="063C516A">
            <w:pPr>
              <w:spacing w:after="0" w:line="68" w:lineRule="atLeast"/>
              <w:jc w:val="center"/>
              <w:rPr>
                <w:rFonts w:ascii="宋体" w:hAnsi="宋体" w:eastAsia="宋体" w:cs="宋体"/>
              </w:rPr>
            </w:pPr>
          </w:p>
          <w:p w14:paraId="79E7BEF7">
            <w:pPr>
              <w:spacing w:after="0" w:line="68" w:lineRule="atLeast"/>
              <w:jc w:val="center"/>
              <w:rPr>
                <w:rFonts w:ascii="宋体" w:hAnsi="宋体" w:eastAsia="宋体" w:cs="宋体"/>
              </w:rPr>
            </w:pPr>
          </w:p>
          <w:p w14:paraId="72DC7B5B">
            <w:pPr>
              <w:spacing w:after="0" w:line="68" w:lineRule="atLeast"/>
              <w:jc w:val="center"/>
              <w:rPr>
                <w:rFonts w:ascii="宋体" w:hAnsi="宋体" w:eastAsia="宋体" w:cs="宋体"/>
              </w:rPr>
            </w:pPr>
          </w:p>
          <w:p w14:paraId="7FC2618A">
            <w:pPr>
              <w:spacing w:after="0" w:line="68" w:lineRule="atLeast"/>
              <w:jc w:val="center"/>
              <w:rPr>
                <w:rFonts w:ascii="宋体" w:hAnsi="宋体" w:eastAsia="宋体" w:cs="宋体"/>
              </w:rPr>
            </w:pPr>
          </w:p>
          <w:p w14:paraId="7432CF0B">
            <w:pPr>
              <w:spacing w:after="0" w:line="68" w:lineRule="atLeast"/>
              <w:rPr>
                <w:rFonts w:ascii="宋体" w:hAnsi="宋体" w:eastAsia="宋体" w:cs="宋体"/>
              </w:rPr>
            </w:pPr>
          </w:p>
          <w:p w14:paraId="4CC52CBC">
            <w:pPr>
              <w:spacing w:after="0" w:line="68" w:lineRule="atLeast"/>
              <w:rPr>
                <w:rFonts w:ascii="宋体" w:hAnsi="宋体" w:eastAsia="宋体" w:cs="宋体"/>
              </w:rPr>
            </w:pPr>
          </w:p>
          <w:p w14:paraId="4A5806E8">
            <w:pPr>
              <w:spacing w:after="0" w:line="68" w:lineRule="atLeast"/>
              <w:rPr>
                <w:rFonts w:ascii="宋体" w:hAnsi="宋体" w:eastAsia="宋体" w:cs="宋体"/>
              </w:rPr>
            </w:pPr>
          </w:p>
          <w:p w14:paraId="731A6CA5">
            <w:pPr>
              <w:spacing w:after="0" w:line="68" w:lineRule="atLeast"/>
              <w:rPr>
                <w:rFonts w:ascii="宋体" w:hAnsi="宋体" w:eastAsia="宋体" w:cs="宋体"/>
              </w:rPr>
            </w:pPr>
          </w:p>
          <w:p w14:paraId="5FB65F83">
            <w:pPr>
              <w:spacing w:after="0" w:line="68" w:lineRule="atLeast"/>
              <w:rPr>
                <w:rFonts w:ascii="宋体" w:hAnsi="宋体" w:eastAsia="宋体" w:cs="宋体"/>
              </w:rPr>
            </w:pPr>
          </w:p>
          <w:p w14:paraId="47180C10">
            <w:pPr>
              <w:spacing w:after="0" w:line="68" w:lineRule="atLeast"/>
              <w:rPr>
                <w:rFonts w:ascii="宋体" w:hAnsi="宋体" w:eastAsia="宋体" w:cs="宋体"/>
              </w:rPr>
            </w:pPr>
          </w:p>
          <w:p w14:paraId="4FBBEF28">
            <w:pPr>
              <w:spacing w:after="0" w:line="68" w:lineRule="atLeast"/>
              <w:rPr>
                <w:rFonts w:ascii="宋体" w:hAnsi="宋体" w:eastAsia="宋体" w:cs="宋体"/>
              </w:rPr>
            </w:pPr>
          </w:p>
          <w:p w14:paraId="0CF66378">
            <w:pPr>
              <w:spacing w:after="0" w:line="68" w:lineRule="atLeast"/>
              <w:jc w:val="center"/>
              <w:rPr>
                <w:rFonts w:ascii="宋体" w:hAnsi="宋体" w:eastAsia="宋体" w:cs="宋体"/>
              </w:rPr>
            </w:pPr>
            <w:r>
              <w:rPr>
                <w:rFonts w:hint="eastAsia" w:ascii="宋体" w:hAnsi="宋体" w:eastAsia="宋体" w:cs="宋体"/>
              </w:rPr>
              <w:t>过程(55分)</w:t>
            </w:r>
          </w:p>
          <w:p w14:paraId="03640866">
            <w:pPr>
              <w:spacing w:after="0" w:line="68" w:lineRule="atLeast"/>
              <w:rPr>
                <w:rFonts w:ascii="宋体" w:hAnsi="宋体" w:eastAsia="宋体" w:cs="宋体"/>
              </w:rPr>
            </w:pP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53D10E08">
            <w:pPr>
              <w:spacing w:after="0" w:line="68" w:lineRule="atLeast"/>
              <w:rPr>
                <w:rFonts w:ascii="宋体" w:hAnsi="宋体" w:eastAsia="宋体" w:cs="宋体"/>
              </w:rPr>
            </w:pPr>
            <w:r>
              <w:rPr>
                <w:rFonts w:hint="eastAsia" w:ascii="宋体" w:hAnsi="宋体" w:eastAsia="宋体" w:cs="宋体"/>
              </w:rPr>
              <w:t>预算执行(27分)</w:t>
            </w:r>
          </w:p>
        </w:tc>
        <w:tc>
          <w:tcPr>
            <w:tcW w:w="1182" w:type="dxa"/>
            <w:tcBorders>
              <w:top w:val="single" w:color="000000" w:sz="4" w:space="0"/>
              <w:left w:val="single" w:color="000000" w:sz="4" w:space="0"/>
              <w:bottom w:val="single" w:color="000000" w:sz="4" w:space="0"/>
              <w:right w:val="single" w:color="auto" w:sz="4" w:space="0"/>
            </w:tcBorders>
            <w:vAlign w:val="center"/>
          </w:tcPr>
          <w:p w14:paraId="29D67AA0">
            <w:pPr>
              <w:spacing w:after="0" w:line="68" w:lineRule="atLeast"/>
              <w:rPr>
                <w:rFonts w:ascii="宋体" w:hAnsi="宋体" w:eastAsia="宋体" w:cs="宋体"/>
              </w:rPr>
            </w:pPr>
            <w:r>
              <w:rPr>
                <w:rFonts w:hint="eastAsia" w:ascii="宋体" w:hAnsi="宋体" w:eastAsia="宋体" w:cs="宋体"/>
              </w:rPr>
              <w:t>预算完成率（3分）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193DB037">
            <w:pPr>
              <w:spacing w:after="0" w:line="240" w:lineRule="exact"/>
              <w:rPr>
                <w:rFonts w:ascii="宋体" w:hAnsi="宋体" w:eastAsia="宋体" w:cs="宋体"/>
              </w:rPr>
            </w:pPr>
            <w:r>
              <w:rPr>
                <w:rFonts w:hint="eastAsia" w:ascii="宋体" w:hAnsi="宋体" w:eastAsia="宋体" w:cs="宋体"/>
              </w:rPr>
              <w:t>通过对部门本年度预算完成数与预算数的比较，反映和评价部门预算的完成程度。</w:t>
            </w:r>
          </w:p>
          <w:p w14:paraId="1486B126">
            <w:pPr>
              <w:spacing w:after="0" w:line="68" w:lineRule="atLeast"/>
              <w:rPr>
                <w:rFonts w:ascii="宋体" w:hAnsi="宋体" w:eastAsia="宋体" w:cs="宋体"/>
              </w:rPr>
            </w:pPr>
            <w:r>
              <w:rPr>
                <w:rFonts w:hint="eastAsia" w:ascii="宋体" w:hAnsi="宋体" w:eastAsia="宋体" w:cs="宋体"/>
              </w:rPr>
              <w:t>预算完成率=（预算完成数/预算数）×100%。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61D89F8E">
            <w:pPr>
              <w:spacing w:after="0" w:line="68" w:lineRule="atLeast"/>
              <w:rPr>
                <w:rFonts w:ascii="宋体" w:hAnsi="宋体" w:eastAsia="宋体" w:cs="宋体"/>
              </w:rPr>
            </w:pPr>
            <w:r>
              <w:rPr>
                <w:rFonts w:hint="eastAsia" w:ascii="宋体" w:hAnsi="宋体" w:eastAsia="宋体" w:cs="宋体"/>
              </w:rPr>
              <w:t>目标值≥100%；</w:t>
            </w:r>
          </w:p>
          <w:p w14:paraId="57D45E72">
            <w:pPr>
              <w:spacing w:after="0" w:line="68" w:lineRule="atLeast"/>
              <w:rPr>
                <w:rFonts w:ascii="宋体" w:hAnsi="宋体" w:eastAsia="宋体" w:cs="宋体"/>
              </w:rPr>
            </w:pPr>
            <w:r>
              <w:rPr>
                <w:rFonts w:hint="eastAsia" w:ascii="宋体" w:hAnsi="宋体" w:eastAsia="宋体" w:cs="宋体"/>
              </w:rPr>
              <w:t>达到目标值的得3分；</w:t>
            </w:r>
          </w:p>
          <w:p w14:paraId="0790436B">
            <w:pPr>
              <w:spacing w:after="0" w:line="68" w:lineRule="atLeast"/>
              <w:rPr>
                <w:rFonts w:ascii="宋体" w:hAnsi="宋体" w:eastAsia="宋体" w:cs="宋体"/>
              </w:rPr>
            </w:pPr>
            <w:r>
              <w:rPr>
                <w:rFonts w:hint="eastAsia" w:ascii="宋体" w:hAnsi="宋体" w:eastAsia="宋体" w:cs="宋体"/>
              </w:rPr>
              <w:t>100%＞结果≥90%，得3分；</w:t>
            </w:r>
          </w:p>
          <w:p w14:paraId="445433D6">
            <w:pPr>
              <w:spacing w:after="0" w:line="68" w:lineRule="atLeast"/>
              <w:rPr>
                <w:rFonts w:ascii="宋体" w:hAnsi="宋体" w:eastAsia="宋体" w:cs="宋体"/>
              </w:rPr>
            </w:pPr>
            <w:r>
              <w:rPr>
                <w:rFonts w:hint="eastAsia" w:ascii="宋体" w:hAnsi="宋体" w:eastAsia="宋体" w:cs="宋体"/>
              </w:rPr>
              <w:t>90%＞结果≥80%，得1分；</w:t>
            </w:r>
          </w:p>
          <w:p w14:paraId="0439DAF3">
            <w:pPr>
              <w:spacing w:after="0" w:line="68" w:lineRule="atLeast"/>
              <w:rPr>
                <w:rFonts w:ascii="宋体" w:hAnsi="宋体" w:eastAsia="宋体" w:cs="宋体"/>
              </w:rPr>
            </w:pPr>
            <w:r>
              <w:rPr>
                <w:rFonts w:hint="eastAsia" w:ascii="宋体" w:hAnsi="宋体" w:eastAsia="宋体" w:cs="宋体"/>
              </w:rPr>
              <w:t>结果＜80%得0分。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76ADF5FD">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586E36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5" w:hRule="atLeast"/>
          <w:jc w:val="center"/>
        </w:trPr>
        <w:tc>
          <w:tcPr>
            <w:tcW w:w="733" w:type="dxa"/>
            <w:vMerge w:val="continue"/>
            <w:tcBorders>
              <w:left w:val="single" w:color="000000" w:sz="4" w:space="0"/>
              <w:right w:val="single" w:color="000000" w:sz="4" w:space="0"/>
            </w:tcBorders>
            <w:vAlign w:val="center"/>
          </w:tcPr>
          <w:p w14:paraId="56EDA261">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19498DA1">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6945ABBF">
            <w:pPr>
              <w:spacing w:after="0" w:line="68" w:lineRule="atLeast"/>
              <w:rPr>
                <w:rFonts w:ascii="宋体" w:hAnsi="宋体" w:eastAsia="宋体" w:cs="宋体"/>
              </w:rPr>
            </w:pPr>
            <w:r>
              <w:rPr>
                <w:rFonts w:hint="eastAsia" w:ascii="宋体" w:hAnsi="宋体" w:eastAsia="宋体" w:cs="宋体"/>
              </w:rPr>
              <w:t>预算调整率（3分）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3CCEAD3C">
            <w:pPr>
              <w:spacing w:after="0" w:line="240" w:lineRule="exact"/>
              <w:rPr>
                <w:rFonts w:ascii="宋体" w:hAnsi="宋体" w:eastAsia="宋体" w:cs="宋体"/>
              </w:rPr>
            </w:pPr>
            <w:r>
              <w:rPr>
                <w:rFonts w:hint="eastAsia" w:ascii="宋体" w:hAnsi="宋体" w:eastAsia="宋体" w:cs="宋体"/>
              </w:rPr>
              <w:t>部门本年度预算调整数与预算数的比率，用以反映和评价部门预算的调整程度。</w:t>
            </w:r>
          </w:p>
          <w:p w14:paraId="6B71FEF8">
            <w:pPr>
              <w:spacing w:after="0" w:line="68" w:lineRule="atLeast"/>
              <w:rPr>
                <w:rFonts w:ascii="宋体" w:hAnsi="宋体" w:eastAsia="宋体" w:cs="宋体"/>
              </w:rPr>
            </w:pPr>
            <w:r>
              <w:rPr>
                <w:rFonts w:hint="eastAsia" w:ascii="宋体" w:hAnsi="宋体" w:eastAsia="宋体" w:cs="宋体"/>
              </w:rPr>
              <w:t>预算调整率=（预算调整数/预算数）×100%。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745981A8">
            <w:pPr>
              <w:spacing w:after="0" w:line="68" w:lineRule="atLeast"/>
              <w:rPr>
                <w:rFonts w:ascii="宋体" w:hAnsi="宋体" w:eastAsia="宋体" w:cs="宋体"/>
              </w:rPr>
            </w:pPr>
            <w:r>
              <w:rPr>
                <w:rFonts w:hint="eastAsia" w:ascii="宋体" w:hAnsi="宋体" w:eastAsia="宋体" w:cs="宋体"/>
              </w:rPr>
              <w:t>目标值为10%；达到目标值得3分，未达到目标值的每增加0.1个百分点扣0.1分，扣完为止。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64BA70E8">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0</w:t>
            </w:r>
          </w:p>
        </w:tc>
      </w:tr>
      <w:tr w14:paraId="3DB160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0" w:hRule="atLeast"/>
          <w:jc w:val="center"/>
        </w:trPr>
        <w:tc>
          <w:tcPr>
            <w:tcW w:w="733" w:type="dxa"/>
            <w:vMerge w:val="continue"/>
            <w:tcBorders>
              <w:left w:val="single" w:color="000000" w:sz="4" w:space="0"/>
              <w:right w:val="single" w:color="000000" w:sz="4" w:space="0"/>
            </w:tcBorders>
            <w:vAlign w:val="center"/>
          </w:tcPr>
          <w:p w14:paraId="4ED62353">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2BED6E45">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B4CCEF9">
            <w:pPr>
              <w:spacing w:after="0" w:line="240" w:lineRule="exact"/>
              <w:rPr>
                <w:rFonts w:ascii="宋体" w:hAnsi="宋体" w:eastAsia="宋体" w:cs="宋体"/>
              </w:rPr>
            </w:pPr>
            <w:r>
              <w:rPr>
                <w:rFonts w:hint="eastAsia" w:ascii="宋体" w:hAnsi="宋体" w:eastAsia="宋体" w:cs="宋体"/>
                <w:color w:val="000000"/>
              </w:rPr>
              <w:t>支付进度率</w:t>
            </w:r>
            <w:r>
              <w:rPr>
                <w:rFonts w:hint="eastAsia" w:ascii="宋体" w:hAnsi="宋体" w:eastAsia="宋体" w:cs="宋体"/>
              </w:rPr>
              <w:t>（6分）</w:t>
            </w:r>
          </w:p>
        </w:tc>
        <w:tc>
          <w:tcPr>
            <w:tcW w:w="6911" w:type="dxa"/>
            <w:tcBorders>
              <w:top w:val="single" w:color="000000" w:sz="4" w:space="0"/>
              <w:left w:val="single" w:color="auto" w:sz="4" w:space="0"/>
              <w:bottom w:val="single" w:color="000000" w:sz="4" w:space="0"/>
              <w:right w:val="single" w:color="auto" w:sz="4" w:space="0"/>
            </w:tcBorders>
            <w:vAlign w:val="center"/>
          </w:tcPr>
          <w:p w14:paraId="037987B7">
            <w:pPr>
              <w:spacing w:after="0" w:line="240" w:lineRule="exact"/>
              <w:rPr>
                <w:rFonts w:ascii="宋体" w:hAnsi="宋体" w:eastAsia="宋体" w:cs="宋体"/>
              </w:rPr>
            </w:pPr>
            <w:r>
              <w:rPr>
                <w:rFonts w:hint="eastAsia" w:ascii="宋体" w:hAnsi="宋体" w:eastAsia="宋体" w:cs="宋体"/>
              </w:rPr>
              <w:t>部门年度支付数与年度预算（调整）数的比率，用以反映和评价部门预算执行的及时和均衡程度。</w:t>
            </w:r>
          </w:p>
          <w:p w14:paraId="6A3442BC">
            <w:pPr>
              <w:spacing w:after="0" w:line="240" w:lineRule="exact"/>
              <w:rPr>
                <w:rFonts w:ascii="宋体" w:hAnsi="宋体" w:eastAsia="宋体" w:cs="宋体"/>
              </w:rPr>
            </w:pPr>
            <w:r>
              <w:rPr>
                <w:rFonts w:hint="eastAsia" w:ascii="宋体" w:hAnsi="宋体" w:eastAsia="宋体" w:cs="宋体"/>
              </w:rPr>
              <w:t>半年支付进度=部门上半年实际支出÷（上年结余结转+本年部门预算安排+上半年执行中追加追减）×100%</w:t>
            </w:r>
          </w:p>
          <w:p w14:paraId="1391B2BA">
            <w:pPr>
              <w:spacing w:after="0" w:line="240" w:lineRule="exact"/>
              <w:rPr>
                <w:rFonts w:ascii="宋体" w:hAnsi="宋体" w:eastAsia="宋体" w:cs="宋体"/>
              </w:rPr>
            </w:pPr>
            <w:r>
              <w:rPr>
                <w:rFonts w:hint="eastAsia" w:ascii="宋体" w:hAnsi="宋体" w:eastAsia="宋体" w:cs="宋体"/>
              </w:rPr>
              <w:t>全年支付进度=部门全年实际支出÷（上年结余结转+本年部门预算安排+全年执行中追加追减）×100%</w:t>
            </w:r>
          </w:p>
        </w:tc>
        <w:tc>
          <w:tcPr>
            <w:tcW w:w="3423" w:type="dxa"/>
            <w:tcBorders>
              <w:top w:val="single" w:color="000000" w:sz="4" w:space="0"/>
              <w:left w:val="single" w:color="auto" w:sz="4" w:space="0"/>
              <w:bottom w:val="single" w:color="000000" w:sz="4" w:space="0"/>
              <w:right w:val="single" w:color="auto" w:sz="4" w:space="0"/>
            </w:tcBorders>
            <w:vAlign w:val="center"/>
          </w:tcPr>
          <w:p w14:paraId="7BFC2857">
            <w:pPr>
              <w:spacing w:after="0" w:line="240" w:lineRule="exact"/>
              <w:rPr>
                <w:rFonts w:ascii="宋体" w:hAnsi="宋体" w:eastAsia="宋体" w:cs="宋体"/>
              </w:rPr>
            </w:pPr>
            <w:r>
              <w:rPr>
                <w:rFonts w:hint="eastAsia" w:ascii="宋体" w:hAnsi="宋体" w:eastAsia="宋体" w:cs="宋体"/>
              </w:rPr>
              <w:t>半年进度：结果≥50%，得2分；50%＞结果≥40%，得1分；结果＜40%，得0分。</w:t>
            </w:r>
          </w:p>
          <w:p w14:paraId="513EF2A4">
            <w:pPr>
              <w:spacing w:after="0" w:line="240" w:lineRule="exact"/>
              <w:rPr>
                <w:rFonts w:ascii="宋体" w:hAnsi="宋体" w:eastAsia="宋体" w:cs="宋体"/>
              </w:rPr>
            </w:pPr>
            <w:r>
              <w:rPr>
                <w:rFonts w:hint="eastAsia" w:ascii="宋体" w:hAnsi="宋体" w:eastAsia="宋体" w:cs="宋体"/>
              </w:rPr>
              <w:t>全年进度：结果≥100%，得4分；100%＞结果≥95%，得3分；95%＞结果≥90%，得2分；90%＞结果≥85%，得2分；结果＜85%，得0分。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64438C8F">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2F54EC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jc w:val="center"/>
        </w:trPr>
        <w:tc>
          <w:tcPr>
            <w:tcW w:w="733" w:type="dxa"/>
            <w:vMerge w:val="continue"/>
            <w:tcBorders>
              <w:left w:val="single" w:color="000000" w:sz="4" w:space="0"/>
              <w:right w:val="single" w:color="000000" w:sz="4" w:space="0"/>
            </w:tcBorders>
            <w:vAlign w:val="center"/>
          </w:tcPr>
          <w:p w14:paraId="01FBDF01">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411F4B82">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47F78B8">
            <w:pPr>
              <w:spacing w:after="0" w:line="240" w:lineRule="exact"/>
              <w:rPr>
                <w:rFonts w:ascii="宋体" w:hAnsi="宋体" w:eastAsia="宋体" w:cs="宋体"/>
              </w:rPr>
            </w:pPr>
            <w:r>
              <w:rPr>
                <w:rFonts w:hint="eastAsia" w:ascii="宋体" w:hAnsi="宋体" w:eastAsia="宋体" w:cs="宋体"/>
              </w:rPr>
              <w:t>结转结余率（3分）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4F9D060F">
            <w:pPr>
              <w:spacing w:after="0" w:line="240" w:lineRule="exact"/>
              <w:rPr>
                <w:rFonts w:ascii="宋体" w:hAnsi="宋体" w:eastAsia="宋体" w:cs="宋体"/>
              </w:rPr>
            </w:pPr>
            <w:r>
              <w:rPr>
                <w:rFonts w:hint="eastAsia" w:ascii="宋体" w:hAnsi="宋体" w:eastAsia="宋体" w:cs="宋体"/>
              </w:rPr>
              <w:t>通过对部门本年度结转结余总额与支出预算数的比较，反映和评价部门对本年度结转结余资金的实际控制程度。</w:t>
            </w:r>
          </w:p>
          <w:p w14:paraId="00392D3C">
            <w:pPr>
              <w:spacing w:after="0" w:line="240" w:lineRule="exact"/>
              <w:rPr>
                <w:rFonts w:ascii="宋体" w:hAnsi="宋体" w:eastAsia="宋体" w:cs="宋体"/>
              </w:rPr>
            </w:pPr>
            <w:r>
              <w:rPr>
                <w:rFonts w:hint="eastAsia" w:ascii="宋体" w:hAnsi="宋体" w:eastAsia="宋体" w:cs="宋体"/>
              </w:rPr>
              <w:t>结转结余率=（结转结余总额/支出预算数）×100%。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4D82DCEC">
            <w:pPr>
              <w:spacing w:after="0" w:line="240" w:lineRule="exact"/>
              <w:rPr>
                <w:rFonts w:ascii="宋体" w:hAnsi="宋体" w:eastAsia="宋体" w:cs="宋体"/>
              </w:rPr>
            </w:pPr>
            <w:r>
              <w:rPr>
                <w:rFonts w:hint="eastAsia" w:ascii="宋体" w:hAnsi="宋体" w:eastAsia="宋体" w:cs="宋体"/>
              </w:rPr>
              <w:t>目标值为0；达到目标值得3分，未达到目标值的每增加0.1个百分点扣0.1分，扣完为止。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0E66A0DE">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6B5CA9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7" w:hRule="atLeast"/>
          <w:jc w:val="center"/>
        </w:trPr>
        <w:tc>
          <w:tcPr>
            <w:tcW w:w="733" w:type="dxa"/>
            <w:vMerge w:val="continue"/>
            <w:tcBorders>
              <w:left w:val="single" w:color="000000" w:sz="4" w:space="0"/>
              <w:right w:val="single" w:color="000000" w:sz="4" w:space="0"/>
            </w:tcBorders>
            <w:vAlign w:val="center"/>
          </w:tcPr>
          <w:p w14:paraId="2538A726">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040EE633">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35AEC0D2">
            <w:pPr>
              <w:spacing w:after="0" w:line="240" w:lineRule="exact"/>
              <w:rPr>
                <w:rFonts w:ascii="宋体" w:hAnsi="宋体" w:eastAsia="宋体" w:cs="宋体"/>
              </w:rPr>
            </w:pPr>
            <w:r>
              <w:rPr>
                <w:rFonts w:hint="eastAsia" w:ascii="宋体" w:hAnsi="宋体" w:eastAsia="宋体" w:cs="宋体"/>
              </w:rPr>
              <w:t>结转结余变动率(3分）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7A628DFB">
            <w:pPr>
              <w:spacing w:after="0" w:line="240" w:lineRule="exact"/>
              <w:rPr>
                <w:rFonts w:ascii="宋体" w:hAnsi="宋体" w:eastAsia="宋体" w:cs="宋体"/>
              </w:rPr>
            </w:pPr>
            <w:r>
              <w:rPr>
                <w:rFonts w:hint="eastAsia" w:ascii="宋体" w:hAnsi="宋体" w:eastAsia="宋体" w:cs="宋体"/>
              </w:rPr>
              <w:t>部门本年度结转结余资金总额与上年度结转结余资金总额的变动比率，用以反映和考核部门对控制结转结余资金的努力程度。</w:t>
            </w:r>
          </w:p>
          <w:p w14:paraId="5014E616">
            <w:pPr>
              <w:spacing w:after="0" w:line="240" w:lineRule="exact"/>
              <w:rPr>
                <w:rFonts w:ascii="宋体" w:hAnsi="宋体" w:eastAsia="宋体" w:cs="宋体"/>
              </w:rPr>
            </w:pPr>
            <w:r>
              <w:rPr>
                <w:rFonts w:hint="eastAsia" w:ascii="宋体" w:hAnsi="宋体" w:eastAsia="宋体" w:cs="宋体"/>
              </w:rPr>
              <w:t>结转结余变动率=〔（本年度累计结转结余资金总额-上年度累计结转结余资金总额）/上年度累计结转结余资金总额〕×100%。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5B46A5A9">
            <w:pPr>
              <w:spacing w:after="0" w:line="240" w:lineRule="exact"/>
              <w:rPr>
                <w:rFonts w:ascii="宋体" w:hAnsi="宋体" w:eastAsia="宋体" w:cs="宋体"/>
              </w:rPr>
            </w:pPr>
            <w:r>
              <w:rPr>
                <w:rFonts w:hint="eastAsia" w:ascii="宋体" w:hAnsi="宋体" w:eastAsia="宋体" w:cs="宋体"/>
              </w:rPr>
              <w:t>目标值为≤0%；达到目标值得3分，未达到目标值的采用比率扣分法：扣分值=结转结余变动率×2×10，变动率达10%以上的扣2分。</w:t>
            </w:r>
          </w:p>
        </w:tc>
        <w:tc>
          <w:tcPr>
            <w:tcW w:w="1090" w:type="dxa"/>
            <w:tcBorders>
              <w:top w:val="single" w:color="000000" w:sz="4" w:space="0"/>
              <w:left w:val="single" w:color="auto" w:sz="4" w:space="0"/>
              <w:bottom w:val="single" w:color="000000" w:sz="4" w:space="0"/>
              <w:right w:val="single" w:color="000000" w:sz="4" w:space="0"/>
            </w:tcBorders>
            <w:vAlign w:val="center"/>
          </w:tcPr>
          <w:p w14:paraId="77D22EB2">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6CA562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5" w:hRule="atLeast"/>
          <w:jc w:val="center"/>
        </w:trPr>
        <w:tc>
          <w:tcPr>
            <w:tcW w:w="733" w:type="dxa"/>
            <w:vMerge w:val="continue"/>
            <w:tcBorders>
              <w:left w:val="single" w:color="000000" w:sz="4" w:space="0"/>
              <w:right w:val="single" w:color="000000" w:sz="4" w:space="0"/>
            </w:tcBorders>
            <w:vAlign w:val="center"/>
          </w:tcPr>
          <w:p w14:paraId="3A217A28">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09ECC1F8">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2E9A1D1">
            <w:pPr>
              <w:spacing w:after="0" w:line="240" w:lineRule="exact"/>
              <w:rPr>
                <w:rFonts w:ascii="宋体" w:hAnsi="宋体" w:eastAsia="宋体" w:cs="宋体"/>
              </w:rPr>
            </w:pPr>
            <w:r>
              <w:rPr>
                <w:rFonts w:hint="eastAsia" w:ascii="宋体" w:hAnsi="宋体" w:eastAsia="宋体" w:cs="宋体"/>
              </w:rPr>
              <w:t>公用经费控制率（3分）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201354E6">
            <w:pPr>
              <w:spacing w:after="0" w:line="240" w:lineRule="exact"/>
              <w:rPr>
                <w:rFonts w:ascii="宋体" w:hAnsi="宋体" w:eastAsia="宋体" w:cs="宋体"/>
              </w:rPr>
            </w:pPr>
            <w:r>
              <w:rPr>
                <w:rFonts w:hint="eastAsia" w:ascii="宋体" w:hAnsi="宋体" w:eastAsia="宋体" w:cs="宋体"/>
              </w:rPr>
              <w:t>通过对部门本年度实际支出的公用经费总额与预算安排的公用经费总额的比率，反映和评价部门对机构运转成本的实际控制程度。</w:t>
            </w:r>
          </w:p>
          <w:p w14:paraId="6B9A51C1">
            <w:pPr>
              <w:spacing w:after="0" w:line="240" w:lineRule="exact"/>
              <w:rPr>
                <w:rFonts w:ascii="宋体" w:hAnsi="宋体" w:eastAsia="宋体" w:cs="宋体"/>
              </w:rPr>
            </w:pPr>
            <w:r>
              <w:rPr>
                <w:rFonts w:hint="eastAsia" w:ascii="宋体" w:hAnsi="宋体" w:eastAsia="宋体" w:cs="宋体"/>
              </w:rPr>
              <w:t>公用经费控制率=（实际支出公用经费总额/预算安排公用经费总额）×100%。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566D9733">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2CD7A3E6">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0</w:t>
            </w:r>
          </w:p>
        </w:tc>
      </w:tr>
      <w:tr w14:paraId="610088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3" w:hRule="atLeast"/>
          <w:jc w:val="center"/>
        </w:trPr>
        <w:tc>
          <w:tcPr>
            <w:tcW w:w="733" w:type="dxa"/>
            <w:vMerge w:val="continue"/>
            <w:tcBorders>
              <w:left w:val="single" w:color="000000" w:sz="4" w:space="0"/>
              <w:right w:val="single" w:color="000000" w:sz="4" w:space="0"/>
            </w:tcBorders>
            <w:vAlign w:val="center"/>
          </w:tcPr>
          <w:p w14:paraId="729B22C7">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22776992">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3D4936DE">
            <w:pPr>
              <w:spacing w:after="0" w:line="240" w:lineRule="exact"/>
              <w:rPr>
                <w:rFonts w:ascii="宋体" w:hAnsi="宋体" w:eastAsia="宋体" w:cs="宋体"/>
              </w:rPr>
            </w:pPr>
            <w:r>
              <w:rPr>
                <w:rFonts w:hint="eastAsia" w:ascii="宋体" w:hAnsi="宋体" w:eastAsia="宋体" w:cs="宋体"/>
              </w:rPr>
              <w:t>“三公经费”控制率（3分）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13606519">
            <w:pPr>
              <w:spacing w:after="0" w:line="240" w:lineRule="exact"/>
              <w:rPr>
                <w:rFonts w:ascii="宋体" w:hAnsi="宋体" w:eastAsia="宋体" w:cs="宋体"/>
              </w:rPr>
            </w:pPr>
            <w:r>
              <w:rPr>
                <w:rFonts w:hint="eastAsia" w:ascii="宋体" w:hAnsi="宋体" w:eastAsia="宋体" w:cs="宋体"/>
              </w:rPr>
              <w:t>部门（单位）本年度“三公经费”实际支出数与预算安排数的比率，用以反映和考核部门（单位）对“三公经费”的实际控制程度。</w:t>
            </w:r>
          </w:p>
          <w:p w14:paraId="1FB9D9F1">
            <w:pPr>
              <w:spacing w:after="0" w:line="240" w:lineRule="exact"/>
              <w:rPr>
                <w:rFonts w:ascii="宋体" w:hAnsi="宋体" w:eastAsia="宋体" w:cs="宋体"/>
              </w:rPr>
            </w:pPr>
            <w:r>
              <w:rPr>
                <w:rFonts w:hint="eastAsia" w:ascii="宋体" w:hAnsi="宋体" w:eastAsia="宋体" w:cs="宋体"/>
              </w:rPr>
              <w:t>“三公经费”控制率=（“三公经费”实际支出/“三公经费”预算安排数）×100%</w:t>
            </w:r>
          </w:p>
        </w:tc>
        <w:tc>
          <w:tcPr>
            <w:tcW w:w="3423" w:type="dxa"/>
            <w:tcBorders>
              <w:top w:val="single" w:color="000000" w:sz="4" w:space="0"/>
              <w:left w:val="single" w:color="auto" w:sz="4" w:space="0"/>
              <w:bottom w:val="single" w:color="000000" w:sz="4" w:space="0"/>
              <w:right w:val="single" w:color="auto" w:sz="4" w:space="0"/>
            </w:tcBorders>
            <w:vAlign w:val="center"/>
          </w:tcPr>
          <w:p w14:paraId="4E70456A">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0848780E">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6EBFDD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jc w:val="center"/>
        </w:trPr>
        <w:tc>
          <w:tcPr>
            <w:tcW w:w="733" w:type="dxa"/>
            <w:vMerge w:val="continue"/>
            <w:tcBorders>
              <w:left w:val="single" w:color="000000" w:sz="4" w:space="0"/>
              <w:right w:val="single" w:color="000000" w:sz="4" w:space="0"/>
            </w:tcBorders>
            <w:vAlign w:val="center"/>
          </w:tcPr>
          <w:p w14:paraId="4DC7944A">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7EB06946">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6FA98C06">
            <w:pPr>
              <w:spacing w:after="0" w:line="240" w:lineRule="exact"/>
              <w:rPr>
                <w:rFonts w:ascii="宋体" w:hAnsi="宋体" w:eastAsia="宋体" w:cs="宋体"/>
              </w:rPr>
            </w:pPr>
            <w:r>
              <w:rPr>
                <w:rFonts w:hint="eastAsia" w:ascii="宋体" w:hAnsi="宋体" w:eastAsia="宋体" w:cs="宋体"/>
              </w:rPr>
              <w:t>政府采购执行率（3分）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15D59F82">
            <w:pPr>
              <w:spacing w:after="0" w:line="240" w:lineRule="exact"/>
              <w:rPr>
                <w:rFonts w:ascii="宋体" w:hAnsi="宋体" w:eastAsia="宋体" w:cs="宋体"/>
              </w:rPr>
            </w:pPr>
            <w:r>
              <w:rPr>
                <w:rFonts w:hint="eastAsia" w:ascii="宋体" w:hAnsi="宋体" w:eastAsia="宋体" w:cs="宋体"/>
              </w:rPr>
              <w:t>通过对部门本年度实际政府采购预算项目个数与政府采购预算项目个数的比较，反映和评价部门政府采购预算执行情况。</w:t>
            </w:r>
          </w:p>
          <w:p w14:paraId="7F27A25D">
            <w:pPr>
              <w:spacing w:after="0" w:line="240" w:lineRule="exact"/>
              <w:rPr>
                <w:rFonts w:ascii="宋体" w:hAnsi="宋体" w:eastAsia="宋体" w:cs="宋体"/>
              </w:rPr>
            </w:pPr>
            <w:r>
              <w:rPr>
                <w:rFonts w:hint="eastAsia" w:ascii="宋体" w:hAnsi="宋体" w:eastAsia="宋体" w:cs="宋体"/>
              </w:rPr>
              <w:t>政府采购执行率=（实际政府采购预算项目个数/政府采购预算项目个数）×100%。</w:t>
            </w:r>
          </w:p>
          <w:p w14:paraId="39AE7CF8">
            <w:pPr>
              <w:spacing w:after="0" w:line="240" w:lineRule="exact"/>
              <w:rPr>
                <w:rFonts w:ascii="宋体" w:hAnsi="宋体" w:eastAsia="宋体" w:cs="宋体"/>
              </w:rPr>
            </w:pPr>
            <w:r>
              <w:rPr>
                <w:rFonts w:hint="eastAsia" w:ascii="宋体" w:hAnsi="宋体" w:eastAsia="宋体" w:cs="宋体"/>
              </w:rPr>
              <w:t>政府采购项目中非预算内安排的项目除外。</w:t>
            </w:r>
          </w:p>
        </w:tc>
        <w:tc>
          <w:tcPr>
            <w:tcW w:w="3423" w:type="dxa"/>
            <w:tcBorders>
              <w:top w:val="single" w:color="000000" w:sz="4" w:space="0"/>
              <w:left w:val="single" w:color="auto" w:sz="4" w:space="0"/>
              <w:bottom w:val="single" w:color="000000" w:sz="4" w:space="0"/>
              <w:right w:val="single" w:color="auto" w:sz="4" w:space="0"/>
            </w:tcBorders>
            <w:vAlign w:val="center"/>
          </w:tcPr>
          <w:p w14:paraId="157B6290">
            <w:pPr>
              <w:spacing w:after="0" w:line="240" w:lineRule="exact"/>
              <w:rPr>
                <w:rFonts w:ascii="宋体" w:hAnsi="宋体" w:eastAsia="宋体" w:cs="宋体"/>
              </w:rPr>
            </w:pPr>
            <w:r>
              <w:rPr>
                <w:rFonts w:hint="eastAsia" w:ascii="宋体" w:hAnsi="宋体" w:eastAsia="宋体" w:cs="宋体"/>
              </w:rPr>
              <w:t>目标值为100%；以3分为上限，采用完成比率法计分：得分=政府采购执行率×3。</w:t>
            </w:r>
          </w:p>
        </w:tc>
        <w:tc>
          <w:tcPr>
            <w:tcW w:w="1090" w:type="dxa"/>
            <w:tcBorders>
              <w:top w:val="single" w:color="000000" w:sz="4" w:space="0"/>
              <w:left w:val="single" w:color="auto" w:sz="4" w:space="0"/>
              <w:bottom w:val="single" w:color="000000" w:sz="4" w:space="0"/>
              <w:right w:val="single" w:color="000000" w:sz="4" w:space="0"/>
            </w:tcBorders>
            <w:vAlign w:val="center"/>
          </w:tcPr>
          <w:p w14:paraId="745879DB">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24D893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4" w:hRule="atLeast"/>
          <w:jc w:val="center"/>
        </w:trPr>
        <w:tc>
          <w:tcPr>
            <w:tcW w:w="733" w:type="dxa"/>
            <w:vMerge w:val="continue"/>
            <w:tcBorders>
              <w:left w:val="single" w:color="000000" w:sz="4" w:space="0"/>
              <w:right w:val="single" w:color="000000" w:sz="4" w:space="0"/>
            </w:tcBorders>
            <w:vAlign w:val="center"/>
          </w:tcPr>
          <w:p w14:paraId="5E9C8C4F">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52B313DD">
            <w:pPr>
              <w:spacing w:after="0" w:line="240" w:lineRule="exact"/>
              <w:jc w:val="center"/>
              <w:rPr>
                <w:rFonts w:ascii="宋体" w:hAnsi="宋体" w:eastAsia="宋体" w:cs="宋体"/>
              </w:rPr>
            </w:pPr>
            <w:r>
              <w:rPr>
                <w:rFonts w:hint="eastAsia" w:ascii="宋体" w:hAnsi="宋体" w:eastAsia="宋体" w:cs="宋体"/>
              </w:rPr>
              <w:t>预算管理</w:t>
            </w:r>
          </w:p>
          <w:p w14:paraId="11B04D20">
            <w:pPr>
              <w:spacing w:after="0" w:line="68" w:lineRule="atLeast"/>
              <w:jc w:val="center"/>
              <w:rPr>
                <w:rFonts w:ascii="宋体" w:hAnsi="宋体" w:eastAsia="宋体" w:cs="宋体"/>
              </w:rPr>
            </w:pPr>
            <w:r>
              <w:rPr>
                <w:rFonts w:hint="eastAsia" w:ascii="宋体" w:hAnsi="宋体" w:eastAsia="宋体" w:cs="宋体"/>
              </w:rPr>
              <w:t>（18分）</w:t>
            </w:r>
          </w:p>
        </w:tc>
        <w:tc>
          <w:tcPr>
            <w:tcW w:w="1182" w:type="dxa"/>
            <w:tcBorders>
              <w:top w:val="single" w:color="000000" w:sz="4" w:space="0"/>
              <w:left w:val="single" w:color="000000" w:sz="4" w:space="0"/>
              <w:bottom w:val="single" w:color="000000" w:sz="4" w:space="0"/>
              <w:right w:val="single" w:color="auto" w:sz="4" w:space="0"/>
            </w:tcBorders>
            <w:vAlign w:val="center"/>
          </w:tcPr>
          <w:p w14:paraId="28DA92BC">
            <w:pPr>
              <w:spacing w:after="0" w:line="240" w:lineRule="exact"/>
              <w:rPr>
                <w:rFonts w:ascii="宋体" w:hAnsi="宋体" w:eastAsia="宋体" w:cs="宋体"/>
              </w:rPr>
            </w:pPr>
            <w:r>
              <w:rPr>
                <w:rFonts w:hint="eastAsia" w:ascii="宋体" w:hAnsi="宋体" w:eastAsia="宋体" w:cs="宋体"/>
              </w:rPr>
              <w:t>管理制度健全性</w:t>
            </w:r>
          </w:p>
          <w:p w14:paraId="0708CDA1">
            <w:pPr>
              <w:spacing w:after="0" w:line="240" w:lineRule="exact"/>
              <w:rPr>
                <w:rFonts w:ascii="宋体" w:hAnsi="宋体" w:eastAsia="宋体" w:cs="宋体"/>
              </w:rPr>
            </w:pPr>
            <w:r>
              <w:rPr>
                <w:rFonts w:hint="eastAsia" w:ascii="宋体" w:hAnsi="宋体" w:eastAsia="宋体" w:cs="宋体"/>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370EAE60">
            <w:pPr>
              <w:spacing w:after="0" w:line="240" w:lineRule="exact"/>
              <w:rPr>
                <w:rFonts w:ascii="宋体" w:hAnsi="宋体" w:eastAsia="宋体" w:cs="宋体"/>
              </w:rPr>
            </w:pPr>
            <w:r>
              <w:rPr>
                <w:rFonts w:hint="eastAsia" w:ascii="宋体" w:hAnsi="宋体" w:eastAsia="宋体" w:cs="宋体"/>
              </w:rPr>
              <w:t>部门为加强预算管理，规范财务行为而制定的管理制度是否健全完整，用以反映和考核部门预算管理制度对完成主要职责或促进事业发展的保障情况。</w:t>
            </w:r>
          </w:p>
          <w:p w14:paraId="10DF6857">
            <w:pPr>
              <w:spacing w:after="0" w:line="240" w:lineRule="exact"/>
              <w:rPr>
                <w:rFonts w:ascii="宋体" w:hAnsi="宋体" w:eastAsia="宋体" w:cs="宋体"/>
              </w:rPr>
            </w:pPr>
            <w:r>
              <w:rPr>
                <w:rFonts w:hint="eastAsia" w:ascii="宋体" w:hAnsi="宋体" w:eastAsia="宋体" w:cs="宋体"/>
              </w:rPr>
              <w:t>评价要点：</w:t>
            </w:r>
          </w:p>
          <w:p w14:paraId="0E1AFF52">
            <w:pPr>
              <w:spacing w:after="0" w:line="240" w:lineRule="exact"/>
              <w:rPr>
                <w:rFonts w:ascii="宋体" w:hAnsi="宋体" w:eastAsia="宋体" w:cs="宋体"/>
              </w:rPr>
            </w:pPr>
            <w:r>
              <w:rPr>
                <w:rFonts w:hint="eastAsia" w:ascii="宋体" w:hAnsi="宋体" w:eastAsia="宋体" w:cs="宋体"/>
              </w:rPr>
              <w:t>1．是否已制定或具有预算资金管理办法、内部财务管理制度、会计核算制度等管理制度；</w:t>
            </w:r>
          </w:p>
          <w:p w14:paraId="085F6FFC">
            <w:pPr>
              <w:spacing w:after="0" w:line="240" w:lineRule="exact"/>
              <w:rPr>
                <w:rFonts w:ascii="宋体" w:hAnsi="宋体" w:eastAsia="宋体" w:cs="宋体"/>
              </w:rPr>
            </w:pPr>
            <w:r>
              <w:rPr>
                <w:rFonts w:hint="eastAsia" w:ascii="宋体" w:hAnsi="宋体" w:eastAsia="宋体" w:cs="宋体"/>
              </w:rPr>
              <w:t>2.相关管理制度是否合法、合规、完整；</w:t>
            </w:r>
          </w:p>
          <w:p w14:paraId="584C9DF1">
            <w:pPr>
              <w:spacing w:after="0" w:line="240" w:lineRule="exact"/>
              <w:rPr>
                <w:rFonts w:ascii="宋体" w:hAnsi="宋体" w:eastAsia="宋体" w:cs="宋体"/>
              </w:rPr>
            </w:pPr>
            <w:r>
              <w:rPr>
                <w:rFonts w:hint="eastAsia" w:ascii="宋体" w:hAnsi="宋体" w:eastAsia="宋体" w:cs="宋体"/>
              </w:rPr>
              <w:t>3.相关管理制度是否得到有效执行。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7A0D9F19">
            <w:pPr>
              <w:spacing w:after="0" w:line="240" w:lineRule="exact"/>
              <w:rPr>
                <w:rFonts w:ascii="宋体" w:hAnsi="宋体" w:eastAsia="宋体" w:cs="宋体"/>
              </w:rPr>
            </w:pPr>
            <w:r>
              <w:rPr>
                <w:rFonts w:hint="eastAsia" w:ascii="宋体" w:hAnsi="宋体" w:eastAsia="宋体" w:cs="宋体"/>
              </w:rPr>
              <w:t>全部符合（2分）；</w:t>
            </w:r>
          </w:p>
          <w:p w14:paraId="3CD3A9DC">
            <w:pPr>
              <w:spacing w:after="0" w:line="240" w:lineRule="exact"/>
              <w:rPr>
                <w:rFonts w:ascii="宋体" w:hAnsi="宋体" w:eastAsia="宋体" w:cs="宋体"/>
              </w:rPr>
            </w:pPr>
            <w:r>
              <w:rPr>
                <w:rFonts w:hint="eastAsia" w:ascii="宋体" w:hAnsi="宋体" w:eastAsia="宋体" w:cs="宋体"/>
              </w:rPr>
              <w:t>符合其中两项（1分）</w:t>
            </w:r>
          </w:p>
          <w:p w14:paraId="6B8CDE1E">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7FE1CD76">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180BD9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5" w:hRule="atLeast"/>
          <w:jc w:val="center"/>
        </w:trPr>
        <w:tc>
          <w:tcPr>
            <w:tcW w:w="733" w:type="dxa"/>
            <w:vMerge w:val="continue"/>
            <w:tcBorders>
              <w:left w:val="single" w:color="000000" w:sz="4" w:space="0"/>
              <w:right w:val="single" w:color="000000" w:sz="4" w:space="0"/>
            </w:tcBorders>
            <w:vAlign w:val="center"/>
          </w:tcPr>
          <w:p w14:paraId="54FE688A">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45920C21">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3C0A4A11">
            <w:pPr>
              <w:spacing w:after="0" w:line="68" w:lineRule="atLeast"/>
              <w:rPr>
                <w:rFonts w:ascii="宋体" w:hAnsi="宋体" w:eastAsia="宋体" w:cs="宋体"/>
              </w:rPr>
            </w:pPr>
            <w:r>
              <w:rPr>
                <w:rFonts w:hint="eastAsia" w:ascii="宋体" w:hAnsi="宋体" w:eastAsia="宋体" w:cs="宋体"/>
              </w:rPr>
              <w:t>资金使用合规性</w:t>
            </w:r>
          </w:p>
          <w:p w14:paraId="29FD8C92">
            <w:pPr>
              <w:spacing w:after="0" w:line="68" w:lineRule="atLeast"/>
              <w:rPr>
                <w:rFonts w:ascii="宋体" w:hAnsi="宋体" w:eastAsia="宋体" w:cs="宋体"/>
              </w:rPr>
            </w:pPr>
            <w:r>
              <w:rPr>
                <w:rFonts w:hint="eastAsia" w:ascii="宋体" w:hAnsi="宋体" w:eastAsia="宋体" w:cs="宋体"/>
              </w:rPr>
              <w:t>（9分）</w:t>
            </w:r>
          </w:p>
        </w:tc>
        <w:tc>
          <w:tcPr>
            <w:tcW w:w="6911" w:type="dxa"/>
            <w:tcBorders>
              <w:top w:val="single" w:color="000000" w:sz="4" w:space="0"/>
              <w:left w:val="single" w:color="auto" w:sz="4" w:space="0"/>
              <w:bottom w:val="single" w:color="000000" w:sz="4" w:space="0"/>
              <w:right w:val="single" w:color="auto" w:sz="4" w:space="0"/>
            </w:tcBorders>
            <w:vAlign w:val="center"/>
          </w:tcPr>
          <w:p w14:paraId="59195E51">
            <w:pPr>
              <w:spacing w:after="0" w:line="240" w:lineRule="exact"/>
              <w:rPr>
                <w:rFonts w:ascii="宋体" w:hAnsi="宋体" w:eastAsia="宋体" w:cs="宋体"/>
              </w:rPr>
            </w:pPr>
            <w:r>
              <w:rPr>
                <w:rFonts w:hint="eastAsia" w:ascii="宋体" w:hAnsi="宋体" w:eastAsia="宋体" w:cs="宋体"/>
              </w:rPr>
              <w:t>部门使用预算资金是否符合相关的预算财务管理制度的规定，反映和评价部门预算资金的规范运行情况。</w:t>
            </w:r>
          </w:p>
          <w:p w14:paraId="1600BB17">
            <w:pPr>
              <w:spacing w:after="0" w:line="240" w:lineRule="exact"/>
              <w:rPr>
                <w:rFonts w:ascii="宋体" w:hAnsi="宋体" w:eastAsia="宋体" w:cs="宋体"/>
              </w:rPr>
            </w:pPr>
            <w:r>
              <w:rPr>
                <w:rFonts w:hint="eastAsia" w:ascii="宋体" w:hAnsi="宋体" w:eastAsia="宋体" w:cs="宋体"/>
              </w:rPr>
              <w:t>评价要点：</w:t>
            </w:r>
          </w:p>
          <w:p w14:paraId="466BA2B1">
            <w:pPr>
              <w:spacing w:after="0" w:line="240" w:lineRule="exact"/>
              <w:rPr>
                <w:rFonts w:ascii="宋体" w:hAnsi="宋体" w:eastAsia="宋体" w:cs="宋体"/>
              </w:rPr>
            </w:pPr>
            <w:r>
              <w:rPr>
                <w:rFonts w:hint="eastAsia" w:ascii="宋体" w:hAnsi="宋体" w:eastAsia="宋体" w:cs="宋体"/>
              </w:rPr>
              <w:t>1.符合国家财经法规和财务管理制度规定以及有关部门资金管理办法的规定；</w:t>
            </w:r>
          </w:p>
          <w:p w14:paraId="6C0C0968">
            <w:pPr>
              <w:spacing w:after="0" w:line="240" w:lineRule="exact"/>
              <w:rPr>
                <w:rFonts w:ascii="宋体" w:hAnsi="宋体" w:eastAsia="宋体" w:cs="宋体"/>
              </w:rPr>
            </w:pPr>
            <w:r>
              <w:rPr>
                <w:rFonts w:hint="eastAsia" w:ascii="宋体" w:hAnsi="宋体" w:eastAsia="宋体" w:cs="宋体"/>
              </w:rPr>
              <w:t>2.资金的拨付有完整的审批过程和手续；</w:t>
            </w:r>
          </w:p>
          <w:p w14:paraId="627EC9DB">
            <w:pPr>
              <w:spacing w:after="0" w:line="240" w:lineRule="exact"/>
              <w:rPr>
                <w:rFonts w:ascii="宋体" w:hAnsi="宋体" w:eastAsia="宋体" w:cs="宋体"/>
              </w:rPr>
            </w:pPr>
            <w:r>
              <w:rPr>
                <w:rFonts w:hint="eastAsia" w:ascii="宋体" w:hAnsi="宋体" w:eastAsia="宋体" w:cs="宋体"/>
              </w:rPr>
              <w:t>3.项目的重大开支经过评估论证；</w:t>
            </w:r>
          </w:p>
          <w:p w14:paraId="33EEFC40">
            <w:pPr>
              <w:spacing w:after="0" w:line="240" w:lineRule="exact"/>
              <w:rPr>
                <w:rFonts w:ascii="宋体" w:hAnsi="宋体" w:eastAsia="宋体" w:cs="宋体"/>
              </w:rPr>
            </w:pPr>
            <w:r>
              <w:rPr>
                <w:rFonts w:hint="eastAsia" w:ascii="宋体" w:hAnsi="宋体" w:eastAsia="宋体" w:cs="宋体"/>
              </w:rPr>
              <w:t>4.符合部门预算批复的用途；</w:t>
            </w:r>
          </w:p>
          <w:p w14:paraId="677D3645">
            <w:pPr>
              <w:spacing w:after="0" w:line="240" w:lineRule="exact"/>
              <w:rPr>
                <w:rFonts w:ascii="宋体" w:hAnsi="宋体" w:eastAsia="宋体" w:cs="宋体"/>
              </w:rPr>
            </w:pPr>
            <w:r>
              <w:rPr>
                <w:rFonts w:hint="eastAsia" w:ascii="宋体" w:hAnsi="宋体" w:eastAsia="宋体" w:cs="宋体"/>
              </w:rPr>
              <w:t>5.不存在截留情况；6.不存在挤占情况；</w:t>
            </w:r>
          </w:p>
          <w:p w14:paraId="4B232ABD">
            <w:pPr>
              <w:spacing w:after="0" w:line="240" w:lineRule="exact"/>
              <w:rPr>
                <w:rFonts w:ascii="宋体" w:hAnsi="宋体" w:eastAsia="宋体" w:cs="宋体"/>
              </w:rPr>
            </w:pPr>
            <w:r>
              <w:rPr>
                <w:rFonts w:hint="eastAsia" w:ascii="宋体" w:hAnsi="宋体" w:eastAsia="宋体" w:cs="宋体"/>
              </w:rPr>
              <w:t>7.不存在挪用情况；8.不存在虚列支出情况。</w:t>
            </w:r>
          </w:p>
        </w:tc>
        <w:tc>
          <w:tcPr>
            <w:tcW w:w="3423" w:type="dxa"/>
            <w:tcBorders>
              <w:top w:val="single" w:color="000000" w:sz="4" w:space="0"/>
              <w:left w:val="single" w:color="auto" w:sz="4" w:space="0"/>
              <w:bottom w:val="single" w:color="000000" w:sz="4" w:space="0"/>
              <w:right w:val="single" w:color="auto" w:sz="4" w:space="0"/>
            </w:tcBorders>
            <w:vAlign w:val="center"/>
          </w:tcPr>
          <w:p w14:paraId="225B2193">
            <w:pPr>
              <w:spacing w:after="0" w:line="240" w:lineRule="exact"/>
              <w:rPr>
                <w:rFonts w:ascii="宋体" w:hAnsi="宋体" w:eastAsia="宋体" w:cs="宋体"/>
              </w:rPr>
            </w:pPr>
            <w:r>
              <w:rPr>
                <w:rFonts w:hint="eastAsia" w:ascii="宋体" w:hAnsi="宋体" w:eastAsia="宋体" w:cs="宋体"/>
              </w:rPr>
              <w:t>全部符合（9分）；</w:t>
            </w:r>
          </w:p>
          <w:p w14:paraId="0D4614F8">
            <w:pPr>
              <w:spacing w:after="0" w:line="240" w:lineRule="exact"/>
              <w:rPr>
                <w:rFonts w:ascii="宋体" w:hAnsi="宋体" w:eastAsia="宋体" w:cs="宋体"/>
              </w:rPr>
            </w:pPr>
            <w:r>
              <w:rPr>
                <w:rFonts w:hint="eastAsia" w:ascii="宋体" w:hAnsi="宋体" w:eastAsia="宋体" w:cs="宋体"/>
              </w:rPr>
              <w:t>符合其中七项（8分）；</w:t>
            </w:r>
          </w:p>
          <w:p w14:paraId="12093093">
            <w:pPr>
              <w:spacing w:after="0" w:line="240" w:lineRule="exact"/>
              <w:rPr>
                <w:rFonts w:ascii="宋体" w:hAnsi="宋体" w:eastAsia="宋体" w:cs="宋体"/>
              </w:rPr>
            </w:pPr>
            <w:r>
              <w:rPr>
                <w:rFonts w:hint="eastAsia" w:ascii="宋体" w:hAnsi="宋体" w:eastAsia="宋体" w:cs="宋体"/>
              </w:rPr>
              <w:t>符合其中六项（5分）；</w:t>
            </w:r>
          </w:p>
          <w:p w14:paraId="64DAEA3C">
            <w:pPr>
              <w:spacing w:after="0" w:line="240" w:lineRule="exact"/>
              <w:rPr>
                <w:rFonts w:ascii="宋体" w:hAnsi="宋体" w:eastAsia="宋体" w:cs="宋体"/>
              </w:rPr>
            </w:pPr>
            <w:r>
              <w:rPr>
                <w:rFonts w:hint="eastAsia" w:ascii="宋体" w:hAnsi="宋体" w:eastAsia="宋体" w:cs="宋体"/>
              </w:rPr>
              <w:t>符合其中五项（3分）；</w:t>
            </w:r>
          </w:p>
          <w:p w14:paraId="61E8EB63">
            <w:pPr>
              <w:spacing w:after="0" w:line="68" w:lineRule="atLeast"/>
              <w:rPr>
                <w:rFonts w:ascii="宋体" w:hAnsi="宋体" w:eastAsia="宋体" w:cs="宋体"/>
              </w:rPr>
            </w:pPr>
            <w:r>
              <w:rPr>
                <w:rFonts w:hint="eastAsia" w:ascii="宋体" w:hAnsi="宋体" w:eastAsia="宋体" w:cs="宋体"/>
              </w:rPr>
              <w:t>符合其中四项及以下（0分）。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43D70523">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9</w:t>
            </w:r>
          </w:p>
        </w:tc>
      </w:tr>
      <w:tr w14:paraId="0D76B4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63" w:hRule="atLeast"/>
          <w:jc w:val="center"/>
        </w:trPr>
        <w:tc>
          <w:tcPr>
            <w:tcW w:w="733" w:type="dxa"/>
            <w:vMerge w:val="continue"/>
            <w:tcBorders>
              <w:left w:val="single" w:color="000000" w:sz="4" w:space="0"/>
              <w:right w:val="single" w:color="000000" w:sz="4" w:space="0"/>
            </w:tcBorders>
            <w:vAlign w:val="center"/>
          </w:tcPr>
          <w:p w14:paraId="0CF9FC54">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6B157B39">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E4949CC">
            <w:pPr>
              <w:spacing w:after="0" w:line="68" w:lineRule="atLeast"/>
              <w:rPr>
                <w:rFonts w:ascii="宋体" w:hAnsi="宋体" w:eastAsia="宋体" w:cs="宋体"/>
              </w:rPr>
            </w:pPr>
            <w:r>
              <w:rPr>
                <w:rFonts w:hint="eastAsia" w:ascii="宋体" w:hAnsi="宋体" w:eastAsia="宋体" w:cs="宋体"/>
              </w:rPr>
              <w:t>预决算信息公开性（3分）</w:t>
            </w:r>
          </w:p>
        </w:tc>
        <w:tc>
          <w:tcPr>
            <w:tcW w:w="6911" w:type="dxa"/>
            <w:tcBorders>
              <w:top w:val="single" w:color="000000" w:sz="4" w:space="0"/>
              <w:left w:val="single" w:color="auto" w:sz="4" w:space="0"/>
              <w:bottom w:val="single" w:color="000000" w:sz="4" w:space="0"/>
              <w:right w:val="single" w:color="auto" w:sz="4" w:space="0"/>
            </w:tcBorders>
            <w:vAlign w:val="center"/>
          </w:tcPr>
          <w:p w14:paraId="138E5358">
            <w:pPr>
              <w:spacing w:after="0" w:line="240" w:lineRule="exact"/>
              <w:rPr>
                <w:rFonts w:ascii="宋体" w:hAnsi="宋体" w:eastAsia="宋体" w:cs="宋体"/>
              </w:rPr>
            </w:pPr>
            <w:r>
              <w:rPr>
                <w:rFonts w:hint="eastAsia" w:ascii="宋体" w:hAnsi="宋体" w:eastAsia="宋体" w:cs="宋体"/>
              </w:rPr>
              <w:t>部门是否按照政府信息公开有关规定公开相关预决算信息，用以反映和评价部门预决算管理的公开透明情况。</w:t>
            </w:r>
          </w:p>
          <w:p w14:paraId="6FD72B2F">
            <w:pPr>
              <w:spacing w:after="0" w:line="240" w:lineRule="exact"/>
              <w:rPr>
                <w:rFonts w:ascii="宋体" w:hAnsi="宋体" w:eastAsia="宋体" w:cs="宋体"/>
              </w:rPr>
            </w:pPr>
            <w:r>
              <w:rPr>
                <w:rFonts w:hint="eastAsia" w:ascii="宋体" w:hAnsi="宋体" w:eastAsia="宋体" w:cs="宋体"/>
              </w:rPr>
              <w:t>预决算信息是指与部门预算、执行、决算、监督、绩效等管理相关的信息。</w:t>
            </w:r>
          </w:p>
          <w:p w14:paraId="0C1657FB">
            <w:pPr>
              <w:spacing w:after="0" w:line="240" w:lineRule="exact"/>
              <w:rPr>
                <w:rFonts w:ascii="宋体" w:hAnsi="宋体" w:eastAsia="宋体" w:cs="宋体"/>
              </w:rPr>
            </w:pPr>
            <w:r>
              <w:rPr>
                <w:rFonts w:hint="eastAsia" w:ascii="宋体" w:hAnsi="宋体" w:eastAsia="宋体" w:cs="宋体"/>
              </w:rPr>
              <w:t>评价要点：</w:t>
            </w:r>
          </w:p>
          <w:p w14:paraId="2BD5509F">
            <w:pPr>
              <w:spacing w:after="0" w:line="240" w:lineRule="exact"/>
              <w:rPr>
                <w:rFonts w:ascii="宋体" w:hAnsi="宋体" w:eastAsia="宋体" w:cs="宋体"/>
              </w:rPr>
            </w:pPr>
            <w:r>
              <w:rPr>
                <w:rFonts w:hint="eastAsia" w:ascii="宋体" w:hAnsi="宋体" w:eastAsia="宋体" w:cs="宋体"/>
              </w:rPr>
              <w:t>1.公开预决算信息；</w:t>
            </w:r>
          </w:p>
          <w:p w14:paraId="1793AA0A">
            <w:pPr>
              <w:spacing w:after="0" w:line="240" w:lineRule="exact"/>
              <w:rPr>
                <w:rFonts w:ascii="宋体" w:hAnsi="宋体" w:eastAsia="宋体" w:cs="宋体"/>
              </w:rPr>
            </w:pPr>
            <w:r>
              <w:rPr>
                <w:rFonts w:hint="eastAsia" w:ascii="宋体" w:hAnsi="宋体" w:eastAsia="宋体" w:cs="宋体"/>
              </w:rPr>
              <w:t>2.按规定内容公开预决算信息；</w:t>
            </w:r>
          </w:p>
          <w:p w14:paraId="062CA840">
            <w:pPr>
              <w:spacing w:after="0" w:line="68" w:lineRule="atLeast"/>
              <w:rPr>
                <w:rFonts w:ascii="宋体" w:hAnsi="宋体" w:eastAsia="宋体" w:cs="宋体"/>
              </w:rPr>
            </w:pPr>
            <w:r>
              <w:rPr>
                <w:rFonts w:hint="eastAsia" w:ascii="宋体" w:hAnsi="宋体" w:eastAsia="宋体" w:cs="宋体"/>
              </w:rPr>
              <w:t>3.按规定时限公开预决算信息。</w:t>
            </w:r>
          </w:p>
        </w:tc>
        <w:tc>
          <w:tcPr>
            <w:tcW w:w="3423" w:type="dxa"/>
            <w:tcBorders>
              <w:top w:val="single" w:color="000000" w:sz="4" w:space="0"/>
              <w:left w:val="single" w:color="auto" w:sz="4" w:space="0"/>
              <w:bottom w:val="single" w:color="000000" w:sz="4" w:space="0"/>
              <w:right w:val="single" w:color="auto" w:sz="4" w:space="0"/>
            </w:tcBorders>
            <w:vAlign w:val="center"/>
          </w:tcPr>
          <w:p w14:paraId="2DDF1662">
            <w:pPr>
              <w:spacing w:after="0" w:line="240" w:lineRule="exact"/>
              <w:rPr>
                <w:rFonts w:ascii="宋体" w:hAnsi="宋体" w:eastAsia="宋体" w:cs="宋体"/>
              </w:rPr>
            </w:pPr>
            <w:r>
              <w:rPr>
                <w:rFonts w:hint="eastAsia" w:ascii="宋体" w:hAnsi="宋体" w:eastAsia="宋体" w:cs="宋体"/>
              </w:rPr>
              <w:t>全部符合（3分）；</w:t>
            </w:r>
          </w:p>
          <w:p w14:paraId="090CB0FA">
            <w:pPr>
              <w:spacing w:after="0" w:line="240" w:lineRule="exact"/>
              <w:rPr>
                <w:rFonts w:ascii="宋体" w:hAnsi="宋体" w:eastAsia="宋体" w:cs="宋体"/>
              </w:rPr>
            </w:pPr>
            <w:r>
              <w:rPr>
                <w:rFonts w:hint="eastAsia" w:ascii="宋体" w:hAnsi="宋体" w:eastAsia="宋体" w:cs="宋体"/>
              </w:rPr>
              <w:t>符合其中两项（2分）</w:t>
            </w:r>
          </w:p>
          <w:p w14:paraId="1BD04A95">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024E2CDD">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7F1F3B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4" w:hRule="atLeast"/>
          <w:jc w:val="center"/>
        </w:trPr>
        <w:tc>
          <w:tcPr>
            <w:tcW w:w="733" w:type="dxa"/>
            <w:vMerge w:val="continue"/>
            <w:tcBorders>
              <w:left w:val="single" w:color="000000" w:sz="4" w:space="0"/>
              <w:right w:val="single" w:color="000000" w:sz="4" w:space="0"/>
            </w:tcBorders>
            <w:vAlign w:val="center"/>
          </w:tcPr>
          <w:p w14:paraId="0E452559">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2692772B">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1F3AEA1A">
            <w:pPr>
              <w:spacing w:after="0" w:line="68" w:lineRule="atLeast"/>
              <w:rPr>
                <w:rFonts w:ascii="宋体" w:hAnsi="宋体" w:eastAsia="宋体" w:cs="宋体"/>
                <w:color w:val="000000"/>
              </w:rPr>
            </w:pPr>
            <w:r>
              <w:rPr>
                <w:rFonts w:hint="eastAsia" w:ascii="宋体" w:hAnsi="宋体" w:eastAsia="宋体" w:cs="宋体"/>
                <w:color w:val="000000"/>
              </w:rPr>
              <w:t>基础信息完善性</w:t>
            </w:r>
          </w:p>
          <w:p w14:paraId="59DBCE0E">
            <w:pPr>
              <w:spacing w:after="0" w:line="68" w:lineRule="atLeast"/>
              <w:rPr>
                <w:rFonts w:ascii="宋体" w:hAnsi="宋体" w:eastAsia="宋体" w:cs="宋体"/>
              </w:rPr>
            </w:pPr>
            <w:r>
              <w:rPr>
                <w:rFonts w:hint="eastAsia" w:ascii="宋体" w:hAnsi="宋体" w:eastAsia="宋体" w:cs="宋体"/>
              </w:rPr>
              <w:t>（4分）</w:t>
            </w:r>
          </w:p>
        </w:tc>
        <w:tc>
          <w:tcPr>
            <w:tcW w:w="6911" w:type="dxa"/>
            <w:tcBorders>
              <w:top w:val="single" w:color="000000" w:sz="4" w:space="0"/>
              <w:left w:val="single" w:color="auto" w:sz="4" w:space="0"/>
              <w:bottom w:val="single" w:color="000000" w:sz="4" w:space="0"/>
              <w:right w:val="single" w:color="auto" w:sz="4" w:space="0"/>
            </w:tcBorders>
            <w:vAlign w:val="center"/>
          </w:tcPr>
          <w:p w14:paraId="5D1E8F6B">
            <w:pPr>
              <w:spacing w:after="0" w:line="240" w:lineRule="exact"/>
              <w:rPr>
                <w:rFonts w:ascii="宋体" w:hAnsi="宋体" w:eastAsia="宋体" w:cs="宋体"/>
              </w:rPr>
            </w:pPr>
            <w:r>
              <w:rPr>
                <w:rFonts w:hint="eastAsia" w:ascii="宋体" w:hAnsi="宋体" w:eastAsia="宋体" w:cs="宋体"/>
              </w:rPr>
              <w:t>部门基础信息是否完善，用以反映和评价基础信息对预算管理工作的支撑情况。</w:t>
            </w:r>
          </w:p>
          <w:p w14:paraId="48743617">
            <w:pPr>
              <w:spacing w:after="0" w:line="240" w:lineRule="exact"/>
              <w:rPr>
                <w:rFonts w:ascii="宋体" w:hAnsi="宋体" w:eastAsia="宋体" w:cs="宋体"/>
              </w:rPr>
            </w:pPr>
            <w:r>
              <w:rPr>
                <w:rFonts w:hint="eastAsia" w:ascii="宋体" w:hAnsi="宋体" w:eastAsia="宋体" w:cs="宋体"/>
              </w:rPr>
              <w:t>评价要点：</w:t>
            </w:r>
          </w:p>
          <w:p w14:paraId="08841D06">
            <w:pPr>
              <w:spacing w:after="0" w:line="240" w:lineRule="exact"/>
              <w:rPr>
                <w:rFonts w:ascii="宋体" w:hAnsi="宋体" w:eastAsia="宋体" w:cs="宋体"/>
              </w:rPr>
            </w:pPr>
            <w:r>
              <w:rPr>
                <w:rFonts w:hint="eastAsia" w:ascii="宋体" w:hAnsi="宋体" w:eastAsia="宋体" w:cs="宋体"/>
              </w:rPr>
              <w:t>1.基本财务管理制度健全；</w:t>
            </w:r>
          </w:p>
          <w:p w14:paraId="2F69CD1D">
            <w:pPr>
              <w:spacing w:after="0" w:line="240" w:lineRule="exact"/>
              <w:rPr>
                <w:rFonts w:ascii="宋体" w:hAnsi="宋体" w:eastAsia="宋体" w:cs="宋体"/>
              </w:rPr>
            </w:pPr>
            <w:r>
              <w:rPr>
                <w:rFonts w:hint="eastAsia" w:ascii="宋体" w:hAnsi="宋体" w:eastAsia="宋体" w:cs="宋体"/>
              </w:rPr>
              <w:t>2.基础数据信息和会计信息资料真实；</w:t>
            </w:r>
          </w:p>
          <w:p w14:paraId="4F82EA74">
            <w:pPr>
              <w:spacing w:after="0" w:line="240" w:lineRule="exact"/>
              <w:rPr>
                <w:rFonts w:ascii="宋体" w:hAnsi="宋体" w:eastAsia="宋体" w:cs="宋体"/>
              </w:rPr>
            </w:pPr>
            <w:r>
              <w:rPr>
                <w:rFonts w:hint="eastAsia" w:ascii="宋体" w:hAnsi="宋体" w:eastAsia="宋体" w:cs="宋体"/>
              </w:rPr>
              <w:t>3.基础数据信息和会计信息资料完整；</w:t>
            </w:r>
          </w:p>
          <w:p w14:paraId="4EDEA95B">
            <w:pPr>
              <w:spacing w:after="0" w:line="68" w:lineRule="atLeast"/>
              <w:rPr>
                <w:rFonts w:ascii="宋体" w:hAnsi="宋体" w:eastAsia="宋体" w:cs="宋体"/>
              </w:rPr>
            </w:pPr>
            <w:r>
              <w:rPr>
                <w:rFonts w:hint="eastAsia" w:ascii="宋体" w:hAnsi="宋体" w:eastAsia="宋体" w:cs="宋体"/>
              </w:rPr>
              <w:t>4.基础数据信息和会计信息资料准确。</w:t>
            </w:r>
          </w:p>
        </w:tc>
        <w:tc>
          <w:tcPr>
            <w:tcW w:w="3423" w:type="dxa"/>
            <w:tcBorders>
              <w:top w:val="single" w:color="000000" w:sz="4" w:space="0"/>
              <w:left w:val="single" w:color="auto" w:sz="4" w:space="0"/>
              <w:bottom w:val="single" w:color="000000" w:sz="4" w:space="0"/>
              <w:right w:val="single" w:color="auto" w:sz="4" w:space="0"/>
            </w:tcBorders>
            <w:vAlign w:val="center"/>
          </w:tcPr>
          <w:p w14:paraId="4B595B06">
            <w:pPr>
              <w:spacing w:after="0" w:line="240" w:lineRule="exact"/>
              <w:rPr>
                <w:rFonts w:ascii="宋体" w:hAnsi="宋体" w:eastAsia="宋体" w:cs="宋体"/>
              </w:rPr>
            </w:pPr>
            <w:r>
              <w:rPr>
                <w:rFonts w:hint="eastAsia" w:ascii="宋体" w:hAnsi="宋体" w:eastAsia="宋体" w:cs="宋体"/>
              </w:rPr>
              <w:t>符合全部四项（4分）；</w:t>
            </w:r>
          </w:p>
          <w:p w14:paraId="19EA1DB8">
            <w:pPr>
              <w:spacing w:after="0" w:line="240" w:lineRule="exact"/>
              <w:rPr>
                <w:rFonts w:ascii="宋体" w:hAnsi="宋体" w:eastAsia="宋体" w:cs="宋体"/>
              </w:rPr>
            </w:pPr>
            <w:r>
              <w:rPr>
                <w:rFonts w:hint="eastAsia" w:ascii="宋体" w:hAnsi="宋体" w:eastAsia="宋体" w:cs="宋体"/>
              </w:rPr>
              <w:t>符合其中三项（2分）；</w:t>
            </w:r>
          </w:p>
          <w:p w14:paraId="649F7A8C">
            <w:pPr>
              <w:spacing w:after="0" w:line="240" w:lineRule="exact"/>
              <w:rPr>
                <w:rFonts w:ascii="宋体" w:hAnsi="宋体" w:eastAsia="宋体" w:cs="宋体"/>
              </w:rPr>
            </w:pPr>
            <w:r>
              <w:rPr>
                <w:rFonts w:hint="eastAsia" w:ascii="宋体" w:hAnsi="宋体" w:eastAsia="宋体" w:cs="宋体"/>
              </w:rPr>
              <w:t>符合其中两项（1分）；</w:t>
            </w:r>
          </w:p>
          <w:p w14:paraId="61CC6AB0">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14B0F537">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15814A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5" w:hRule="atLeast"/>
          <w:jc w:val="center"/>
        </w:trPr>
        <w:tc>
          <w:tcPr>
            <w:tcW w:w="733" w:type="dxa"/>
            <w:vMerge w:val="continue"/>
            <w:tcBorders>
              <w:left w:val="single" w:color="000000" w:sz="4" w:space="0"/>
              <w:right w:val="single" w:color="000000" w:sz="4" w:space="0"/>
            </w:tcBorders>
            <w:vAlign w:val="center"/>
          </w:tcPr>
          <w:p w14:paraId="2E42D1BD">
            <w:pPr>
              <w:spacing w:after="0"/>
              <w:rPr>
                <w:rFonts w:ascii="宋体" w:hAnsi="宋体" w:eastAsia="宋体" w:cs="宋体"/>
              </w:rPr>
            </w:pPr>
          </w:p>
        </w:tc>
        <w:tc>
          <w:tcPr>
            <w:tcW w:w="803" w:type="dxa"/>
            <w:vMerge w:val="restart"/>
            <w:tcBorders>
              <w:left w:val="single" w:color="000000" w:sz="4" w:space="0"/>
              <w:right w:val="single" w:color="000000" w:sz="4" w:space="0"/>
            </w:tcBorders>
            <w:vAlign w:val="center"/>
          </w:tcPr>
          <w:p w14:paraId="34B097D2">
            <w:pPr>
              <w:spacing w:after="0" w:line="68" w:lineRule="atLeast"/>
              <w:rPr>
                <w:rFonts w:ascii="宋体" w:hAnsi="宋体" w:eastAsia="宋体" w:cs="宋体"/>
              </w:rPr>
            </w:pPr>
            <w:r>
              <w:rPr>
                <w:rFonts w:hint="eastAsia" w:ascii="宋体" w:hAnsi="宋体" w:eastAsia="宋体" w:cs="宋体"/>
              </w:rPr>
              <w:t>资产管理（8分）</w:t>
            </w:r>
          </w:p>
        </w:tc>
        <w:tc>
          <w:tcPr>
            <w:tcW w:w="1182" w:type="dxa"/>
            <w:tcBorders>
              <w:top w:val="single" w:color="000000" w:sz="4" w:space="0"/>
              <w:left w:val="single" w:color="000000" w:sz="4" w:space="0"/>
              <w:bottom w:val="single" w:color="000000" w:sz="4" w:space="0"/>
              <w:right w:val="single" w:color="auto" w:sz="4" w:space="0"/>
            </w:tcBorders>
            <w:vAlign w:val="center"/>
          </w:tcPr>
          <w:p w14:paraId="1946C00D">
            <w:pPr>
              <w:spacing w:after="0" w:line="68" w:lineRule="atLeast"/>
              <w:rPr>
                <w:rFonts w:ascii="宋体" w:hAnsi="宋体" w:eastAsia="宋体" w:cs="宋体"/>
                <w:color w:val="000000"/>
              </w:rPr>
            </w:pPr>
            <w:r>
              <w:rPr>
                <w:rFonts w:hint="eastAsia" w:ascii="宋体" w:hAnsi="宋体" w:eastAsia="宋体" w:cs="宋体"/>
                <w:color w:val="000000"/>
              </w:rPr>
              <w:t>管理制度健全性</w:t>
            </w:r>
          </w:p>
          <w:p w14:paraId="5B034523">
            <w:pPr>
              <w:spacing w:after="0" w:line="68" w:lineRule="atLeast"/>
              <w:rPr>
                <w:rFonts w:ascii="宋体" w:hAnsi="宋体" w:eastAsia="宋体" w:cs="宋体"/>
                <w:color w:val="000000"/>
              </w:rPr>
            </w:pPr>
            <w:r>
              <w:rPr>
                <w:rFonts w:hint="eastAsia" w:ascii="宋体" w:hAnsi="宋体" w:eastAsia="宋体" w:cs="宋体"/>
                <w:color w:val="000000"/>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38B53EB5">
            <w:pPr>
              <w:spacing w:after="0" w:line="240" w:lineRule="exact"/>
              <w:rPr>
                <w:rFonts w:ascii="宋体" w:hAnsi="宋体" w:eastAsia="宋体" w:cs="宋体"/>
              </w:rPr>
            </w:pPr>
            <w:r>
              <w:rPr>
                <w:rFonts w:hint="eastAsia" w:ascii="宋体" w:hAnsi="宋体" w:eastAsia="宋体" w:cs="宋体"/>
              </w:rPr>
              <w:t>部门为加强资产管理、规范资产管理行为而制定的管理制度是否健全完整，用以反映和考核部门资产管理制度对完成主要职责或促进社会发展的保障情况。</w:t>
            </w:r>
          </w:p>
          <w:p w14:paraId="73BB0C77">
            <w:pPr>
              <w:spacing w:after="0" w:line="240" w:lineRule="exact"/>
              <w:rPr>
                <w:rFonts w:ascii="宋体" w:hAnsi="宋体" w:eastAsia="宋体" w:cs="宋体"/>
              </w:rPr>
            </w:pPr>
            <w:r>
              <w:rPr>
                <w:rFonts w:hint="eastAsia" w:ascii="宋体" w:hAnsi="宋体" w:eastAsia="宋体" w:cs="宋体"/>
              </w:rPr>
              <w:t>评价要点：</w:t>
            </w:r>
          </w:p>
          <w:p w14:paraId="75CE61F3">
            <w:pPr>
              <w:spacing w:after="0" w:line="240" w:lineRule="exact"/>
              <w:rPr>
                <w:rFonts w:ascii="宋体" w:hAnsi="宋体" w:eastAsia="宋体" w:cs="宋体"/>
              </w:rPr>
            </w:pPr>
            <w:r>
              <w:rPr>
                <w:rFonts w:hint="eastAsia" w:ascii="宋体" w:hAnsi="宋体" w:eastAsia="宋体" w:cs="宋体"/>
              </w:rPr>
              <w:t>1.是否已制定或具有资产管理制度；</w:t>
            </w:r>
          </w:p>
          <w:p w14:paraId="771D1BBD">
            <w:pPr>
              <w:spacing w:after="0" w:line="240" w:lineRule="exact"/>
              <w:rPr>
                <w:rFonts w:ascii="宋体" w:hAnsi="宋体" w:eastAsia="宋体" w:cs="宋体"/>
              </w:rPr>
            </w:pPr>
            <w:r>
              <w:rPr>
                <w:rFonts w:hint="eastAsia" w:ascii="宋体" w:hAnsi="宋体" w:eastAsia="宋体" w:cs="宋体"/>
              </w:rPr>
              <w:t>2.相关资金管理制度是否合法、合规、完整；</w:t>
            </w:r>
          </w:p>
          <w:p w14:paraId="77601445">
            <w:pPr>
              <w:spacing w:after="0" w:line="240" w:lineRule="exact"/>
              <w:rPr>
                <w:rFonts w:ascii="宋体" w:hAnsi="宋体" w:eastAsia="宋体" w:cs="宋体"/>
              </w:rPr>
            </w:pPr>
            <w:r>
              <w:rPr>
                <w:rFonts w:hint="eastAsia" w:ascii="宋体" w:hAnsi="宋体" w:eastAsia="宋体" w:cs="宋体"/>
              </w:rPr>
              <w:t>3.相关资产管理制度是否得到有效执行。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630ED915">
            <w:pPr>
              <w:spacing w:after="0" w:line="240" w:lineRule="exact"/>
              <w:rPr>
                <w:rFonts w:ascii="宋体" w:hAnsi="宋体" w:eastAsia="宋体" w:cs="宋体"/>
              </w:rPr>
            </w:pPr>
            <w:r>
              <w:rPr>
                <w:rFonts w:hint="eastAsia" w:ascii="宋体" w:hAnsi="宋体" w:eastAsia="宋体" w:cs="宋体"/>
              </w:rPr>
              <w:t>全部符合（2分）；</w:t>
            </w:r>
          </w:p>
          <w:p w14:paraId="6ADFEDF8">
            <w:pPr>
              <w:spacing w:after="0" w:line="240" w:lineRule="exact"/>
              <w:rPr>
                <w:rFonts w:ascii="宋体" w:hAnsi="宋体" w:eastAsia="宋体" w:cs="宋体"/>
              </w:rPr>
            </w:pPr>
            <w:r>
              <w:rPr>
                <w:rFonts w:hint="eastAsia" w:ascii="宋体" w:hAnsi="宋体" w:eastAsia="宋体" w:cs="宋体"/>
              </w:rPr>
              <w:t>符合其中两项（1分）</w:t>
            </w:r>
          </w:p>
          <w:p w14:paraId="5E287B8D">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62B304C9">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578774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6" w:hRule="atLeast"/>
          <w:jc w:val="center"/>
        </w:trPr>
        <w:tc>
          <w:tcPr>
            <w:tcW w:w="733" w:type="dxa"/>
            <w:vMerge w:val="continue"/>
            <w:tcBorders>
              <w:left w:val="single" w:color="000000" w:sz="4" w:space="0"/>
              <w:right w:val="single" w:color="000000" w:sz="4" w:space="0"/>
            </w:tcBorders>
            <w:vAlign w:val="center"/>
          </w:tcPr>
          <w:p w14:paraId="1F3B6789">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4AD15515">
            <w:pPr>
              <w:spacing w:after="0" w:line="68" w:lineRule="atLeast"/>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23D15149">
            <w:pPr>
              <w:spacing w:after="0" w:line="68" w:lineRule="atLeast"/>
              <w:rPr>
                <w:rFonts w:ascii="宋体" w:hAnsi="宋体" w:eastAsia="宋体" w:cs="宋体"/>
              </w:rPr>
            </w:pPr>
            <w:r>
              <w:rPr>
                <w:rFonts w:hint="eastAsia" w:ascii="宋体" w:hAnsi="宋体" w:eastAsia="宋体" w:cs="宋体"/>
              </w:rPr>
              <w:t>资产管理完全性</w:t>
            </w:r>
          </w:p>
          <w:p w14:paraId="45A8B83C">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05FFF139">
            <w:pPr>
              <w:spacing w:after="0" w:line="240" w:lineRule="exact"/>
              <w:rPr>
                <w:rFonts w:ascii="宋体" w:hAnsi="宋体" w:eastAsia="宋体" w:cs="宋体"/>
              </w:rPr>
            </w:pPr>
            <w:r>
              <w:rPr>
                <w:rFonts w:hint="eastAsia" w:ascii="宋体" w:hAnsi="宋体" w:eastAsia="宋体" w:cs="宋体"/>
              </w:rPr>
              <w:t>部门的资产是否保存完整、使用合规、收入及时足额上缴，用以反映和评价部门资产运行情况。</w:t>
            </w:r>
          </w:p>
          <w:p w14:paraId="68734CAE">
            <w:pPr>
              <w:spacing w:after="0" w:line="240" w:lineRule="exact"/>
              <w:rPr>
                <w:rFonts w:ascii="宋体" w:hAnsi="宋体" w:eastAsia="宋体" w:cs="宋体"/>
              </w:rPr>
            </w:pPr>
            <w:r>
              <w:rPr>
                <w:rFonts w:hint="eastAsia" w:ascii="宋体" w:hAnsi="宋体" w:eastAsia="宋体" w:cs="宋体"/>
              </w:rPr>
              <w:t>评价要点：</w:t>
            </w:r>
          </w:p>
          <w:p w14:paraId="7BAE1ADF">
            <w:pPr>
              <w:spacing w:after="0" w:line="240" w:lineRule="exact"/>
              <w:rPr>
                <w:rFonts w:ascii="宋体" w:hAnsi="宋体" w:eastAsia="宋体" w:cs="宋体"/>
              </w:rPr>
            </w:pPr>
            <w:r>
              <w:rPr>
                <w:rFonts w:hint="eastAsia" w:ascii="宋体" w:hAnsi="宋体" w:eastAsia="宋体" w:cs="宋体"/>
              </w:rPr>
              <w:t>1.资产保存完整；</w:t>
            </w:r>
          </w:p>
          <w:p w14:paraId="39F32403">
            <w:pPr>
              <w:spacing w:after="0" w:line="240" w:lineRule="exact"/>
              <w:rPr>
                <w:rFonts w:ascii="宋体" w:hAnsi="宋体" w:eastAsia="宋体" w:cs="宋体"/>
              </w:rPr>
            </w:pPr>
            <w:r>
              <w:rPr>
                <w:rFonts w:hint="eastAsia" w:ascii="宋体" w:hAnsi="宋体" w:eastAsia="宋体" w:cs="宋体"/>
              </w:rPr>
              <w:t>2.资产账务管理是否合规，帐实相符；</w:t>
            </w:r>
          </w:p>
          <w:p w14:paraId="7FE2A4EF">
            <w:pPr>
              <w:spacing w:after="0" w:line="68" w:lineRule="atLeast"/>
              <w:rPr>
                <w:rFonts w:ascii="宋体" w:hAnsi="宋体" w:eastAsia="宋体" w:cs="宋体"/>
              </w:rPr>
            </w:pPr>
            <w:r>
              <w:rPr>
                <w:rFonts w:hint="eastAsia" w:ascii="宋体" w:hAnsi="宋体" w:eastAsia="宋体" w:cs="宋体"/>
              </w:rPr>
              <w:t>3.资产有偿使用及处置收入及时足额上缴。</w:t>
            </w:r>
          </w:p>
        </w:tc>
        <w:tc>
          <w:tcPr>
            <w:tcW w:w="3423" w:type="dxa"/>
            <w:tcBorders>
              <w:top w:val="single" w:color="auto" w:sz="4" w:space="0"/>
              <w:left w:val="single" w:color="auto" w:sz="4" w:space="0"/>
              <w:bottom w:val="single" w:color="000000" w:sz="4" w:space="0"/>
              <w:right w:val="single" w:color="auto" w:sz="4" w:space="0"/>
            </w:tcBorders>
            <w:vAlign w:val="center"/>
          </w:tcPr>
          <w:p w14:paraId="5E5FAA46">
            <w:pPr>
              <w:spacing w:after="0" w:line="240" w:lineRule="exact"/>
              <w:rPr>
                <w:rFonts w:ascii="宋体" w:hAnsi="宋体" w:eastAsia="宋体" w:cs="宋体"/>
              </w:rPr>
            </w:pPr>
            <w:r>
              <w:rPr>
                <w:rFonts w:hint="eastAsia" w:ascii="宋体" w:hAnsi="宋体" w:eastAsia="宋体" w:cs="宋体"/>
              </w:rPr>
              <w:t>符合全部三项（3分）；</w:t>
            </w:r>
          </w:p>
          <w:p w14:paraId="0FEEA9A8">
            <w:pPr>
              <w:spacing w:after="0" w:line="240" w:lineRule="exact"/>
              <w:rPr>
                <w:rFonts w:ascii="宋体" w:hAnsi="宋体" w:eastAsia="宋体" w:cs="宋体"/>
              </w:rPr>
            </w:pPr>
            <w:r>
              <w:rPr>
                <w:rFonts w:hint="eastAsia" w:ascii="宋体" w:hAnsi="宋体" w:eastAsia="宋体" w:cs="宋体"/>
              </w:rPr>
              <w:t>符合其中两项（2分）；</w:t>
            </w:r>
          </w:p>
          <w:p w14:paraId="30E110A2">
            <w:pPr>
              <w:spacing w:after="0" w:line="240" w:lineRule="exact"/>
              <w:rPr>
                <w:rFonts w:ascii="宋体" w:hAnsi="宋体" w:eastAsia="宋体" w:cs="宋体"/>
              </w:rPr>
            </w:pPr>
            <w:r>
              <w:rPr>
                <w:rFonts w:hint="eastAsia" w:ascii="宋体" w:hAnsi="宋体" w:eastAsia="宋体" w:cs="宋体"/>
              </w:rPr>
              <w:t>符合其中一项（1分）；</w:t>
            </w:r>
          </w:p>
          <w:p w14:paraId="728301DD">
            <w:pPr>
              <w:spacing w:after="0" w:line="68" w:lineRule="atLeast"/>
              <w:rPr>
                <w:rFonts w:ascii="宋体" w:hAnsi="宋体" w:eastAsia="宋体" w:cs="宋体"/>
              </w:rPr>
            </w:pPr>
            <w:r>
              <w:rPr>
                <w:rFonts w:hint="eastAsia" w:ascii="宋体" w:hAnsi="宋体" w:eastAsia="宋体" w:cs="宋体"/>
              </w:rPr>
              <w:t>符合零项（0分）。</w:t>
            </w:r>
          </w:p>
        </w:tc>
        <w:tc>
          <w:tcPr>
            <w:tcW w:w="1090" w:type="dxa"/>
            <w:tcBorders>
              <w:top w:val="single" w:color="auto" w:sz="4" w:space="0"/>
              <w:left w:val="single" w:color="auto" w:sz="4" w:space="0"/>
              <w:bottom w:val="single" w:color="000000" w:sz="4" w:space="0"/>
              <w:right w:val="single" w:color="000000" w:sz="4" w:space="0"/>
            </w:tcBorders>
            <w:vAlign w:val="center"/>
          </w:tcPr>
          <w:p w14:paraId="2A926E51">
            <w:pPr>
              <w:spacing w:after="0" w:line="68" w:lineRule="atLeast"/>
              <w:jc w:val="center"/>
              <w:rPr>
                <w:rFonts w:hint="default" w:ascii="宋体" w:hAnsi="宋体" w:eastAsia="宋体" w:cs="宋体"/>
                <w:lang w:val="en-US" w:eastAsia="zh-CN"/>
              </w:rPr>
            </w:pPr>
            <w:r>
              <w:rPr>
                <w:rFonts w:hint="eastAsia" w:ascii="宋体" w:hAnsi="宋体" w:eastAsia="宋体" w:cs="宋体"/>
                <w:lang w:val="en-US" w:eastAsia="zh-CN"/>
              </w:rPr>
              <w:t>2</w:t>
            </w:r>
          </w:p>
        </w:tc>
      </w:tr>
      <w:tr w14:paraId="78583B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9" w:hRule="atLeast"/>
          <w:jc w:val="center"/>
        </w:trPr>
        <w:tc>
          <w:tcPr>
            <w:tcW w:w="733" w:type="dxa"/>
            <w:vMerge w:val="continue"/>
            <w:tcBorders>
              <w:left w:val="single" w:color="000000" w:sz="4" w:space="0"/>
              <w:right w:val="single" w:color="000000" w:sz="4" w:space="0"/>
            </w:tcBorders>
            <w:vAlign w:val="center"/>
          </w:tcPr>
          <w:p w14:paraId="69E31311">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148C8034">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36F90689">
            <w:pPr>
              <w:spacing w:after="0" w:line="68" w:lineRule="atLeast"/>
              <w:rPr>
                <w:rFonts w:ascii="宋体" w:hAnsi="宋体" w:eastAsia="宋体" w:cs="宋体"/>
              </w:rPr>
            </w:pPr>
            <w:r>
              <w:rPr>
                <w:rFonts w:hint="eastAsia" w:ascii="宋体" w:hAnsi="宋体" w:eastAsia="宋体" w:cs="宋体"/>
              </w:rPr>
              <w:t>固定资产利用率</w:t>
            </w:r>
          </w:p>
          <w:p w14:paraId="5BF605B6">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00ABFD32">
            <w:pPr>
              <w:spacing w:after="0" w:line="240" w:lineRule="exact"/>
              <w:rPr>
                <w:rFonts w:ascii="宋体" w:hAnsi="宋体" w:eastAsia="宋体" w:cs="宋体"/>
              </w:rPr>
            </w:pPr>
            <w:r>
              <w:rPr>
                <w:rFonts w:hint="eastAsia" w:ascii="宋体" w:hAnsi="宋体" w:eastAsia="宋体" w:cs="宋体"/>
              </w:rPr>
              <w:t>部门实际在用固定资产总额与所有固定资产总额的比率，用以反映和评价部门固定资产使用效率。</w:t>
            </w:r>
          </w:p>
          <w:p w14:paraId="69F0CC57">
            <w:pPr>
              <w:spacing w:after="0" w:line="68" w:lineRule="atLeast"/>
              <w:rPr>
                <w:rFonts w:ascii="宋体" w:hAnsi="宋体" w:eastAsia="宋体" w:cs="宋体"/>
              </w:rPr>
            </w:pPr>
            <w:r>
              <w:rPr>
                <w:rFonts w:hint="eastAsia" w:ascii="宋体" w:hAnsi="宋体" w:eastAsia="宋体" w:cs="宋体"/>
              </w:rPr>
              <w:t>固定资产利用率=（实际在用固定资产总额/所有固定资产总额）×100%。</w:t>
            </w:r>
          </w:p>
        </w:tc>
        <w:tc>
          <w:tcPr>
            <w:tcW w:w="3423" w:type="dxa"/>
            <w:tcBorders>
              <w:top w:val="single" w:color="auto" w:sz="4" w:space="0"/>
              <w:left w:val="single" w:color="auto" w:sz="4" w:space="0"/>
              <w:bottom w:val="single" w:color="000000" w:sz="4" w:space="0"/>
              <w:right w:val="single" w:color="auto" w:sz="4" w:space="0"/>
            </w:tcBorders>
            <w:vAlign w:val="center"/>
          </w:tcPr>
          <w:p w14:paraId="620F300F">
            <w:pPr>
              <w:spacing w:after="0" w:line="68" w:lineRule="atLeast"/>
              <w:rPr>
                <w:rFonts w:ascii="宋体" w:hAnsi="宋体" w:eastAsia="宋体" w:cs="宋体"/>
              </w:rPr>
            </w:pPr>
            <w:r>
              <w:rPr>
                <w:rFonts w:hint="eastAsia" w:ascii="宋体" w:hAnsi="宋体" w:eastAsia="宋体" w:cs="宋体"/>
              </w:rPr>
              <w:t>目标值为80%；以3分为上限，采用完成比率法计分：得分=固定资产利用率/80%×100%×3，超出目标值不加分。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1DF9467F">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1FD27F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6" w:hRule="atLeast"/>
          <w:jc w:val="center"/>
        </w:trPr>
        <w:tc>
          <w:tcPr>
            <w:tcW w:w="733" w:type="dxa"/>
            <w:vMerge w:val="continue"/>
            <w:tcBorders>
              <w:left w:val="single" w:color="000000" w:sz="4" w:space="0"/>
              <w:bottom w:val="single" w:color="000000" w:sz="4" w:space="0"/>
              <w:right w:val="single" w:color="000000" w:sz="4" w:space="0"/>
            </w:tcBorders>
            <w:vAlign w:val="center"/>
          </w:tcPr>
          <w:p w14:paraId="5C507765">
            <w:pPr>
              <w:spacing w:after="0"/>
              <w:rPr>
                <w:rFonts w:ascii="宋体" w:hAnsi="宋体" w:eastAsia="宋体" w:cs="宋体"/>
              </w:rPr>
            </w:pPr>
          </w:p>
        </w:tc>
        <w:tc>
          <w:tcPr>
            <w:tcW w:w="803" w:type="dxa"/>
            <w:tcBorders>
              <w:left w:val="single" w:color="000000" w:sz="4" w:space="0"/>
              <w:bottom w:val="single" w:color="000000" w:sz="4" w:space="0"/>
              <w:right w:val="single" w:color="000000" w:sz="4" w:space="0"/>
            </w:tcBorders>
            <w:vAlign w:val="center"/>
          </w:tcPr>
          <w:p w14:paraId="40313796">
            <w:pPr>
              <w:spacing w:after="0"/>
              <w:rPr>
                <w:rFonts w:ascii="宋体" w:hAnsi="宋体" w:eastAsia="宋体" w:cs="宋体"/>
              </w:rPr>
            </w:pPr>
            <w:r>
              <w:rPr>
                <w:rFonts w:hint="eastAsia" w:ascii="宋体" w:hAnsi="宋体" w:eastAsia="宋体" w:cs="宋体"/>
              </w:rPr>
              <w:t>预算绩效监控管理（2分）</w:t>
            </w:r>
          </w:p>
        </w:tc>
        <w:tc>
          <w:tcPr>
            <w:tcW w:w="1182" w:type="dxa"/>
            <w:tcBorders>
              <w:top w:val="single" w:color="auto" w:sz="4" w:space="0"/>
              <w:left w:val="single" w:color="000000" w:sz="4" w:space="0"/>
              <w:bottom w:val="single" w:color="000000" w:sz="4" w:space="0"/>
              <w:right w:val="single" w:color="auto" w:sz="4" w:space="0"/>
            </w:tcBorders>
            <w:vAlign w:val="center"/>
          </w:tcPr>
          <w:p w14:paraId="372AEAF1">
            <w:pPr>
              <w:spacing w:after="0" w:line="68" w:lineRule="atLeast"/>
              <w:rPr>
                <w:rFonts w:ascii="宋体" w:hAnsi="宋体" w:eastAsia="宋体" w:cs="宋体"/>
              </w:rPr>
            </w:pPr>
            <w:r>
              <w:rPr>
                <w:rFonts w:hint="eastAsia" w:ascii="宋体" w:hAnsi="宋体" w:eastAsia="宋体" w:cs="宋体"/>
              </w:rPr>
              <w:t>监控率（2分）</w:t>
            </w:r>
          </w:p>
        </w:tc>
        <w:tc>
          <w:tcPr>
            <w:tcW w:w="6911" w:type="dxa"/>
            <w:tcBorders>
              <w:top w:val="single" w:color="auto" w:sz="4" w:space="0"/>
              <w:left w:val="single" w:color="auto" w:sz="4" w:space="0"/>
              <w:bottom w:val="single" w:color="000000" w:sz="4" w:space="0"/>
              <w:right w:val="single" w:color="auto" w:sz="4" w:space="0"/>
            </w:tcBorders>
            <w:vAlign w:val="center"/>
          </w:tcPr>
          <w:p w14:paraId="70FA6653">
            <w:pPr>
              <w:spacing w:after="0" w:line="240" w:lineRule="exact"/>
              <w:rPr>
                <w:rFonts w:ascii="宋体" w:hAnsi="宋体" w:eastAsia="宋体" w:cs="宋体"/>
              </w:rPr>
            </w:pPr>
            <w:r>
              <w:rPr>
                <w:rFonts w:hint="eastAsia" w:ascii="宋体" w:hAnsi="宋体" w:eastAsia="宋体" w:cs="宋体"/>
              </w:rPr>
              <w:t>部门（单位）纳入绩效监控的项目数量占实际申报绩效目标项目数量的比重，用以反映和考核部门（单位）在项目运行中实施绩效管理的水平和程度。</w:t>
            </w:r>
          </w:p>
          <w:p w14:paraId="13683732">
            <w:pPr>
              <w:spacing w:after="0" w:line="240" w:lineRule="exact"/>
              <w:rPr>
                <w:rFonts w:ascii="宋体" w:hAnsi="宋体" w:eastAsia="宋体" w:cs="宋体"/>
              </w:rPr>
            </w:pPr>
            <w:r>
              <w:rPr>
                <w:rFonts w:hint="eastAsia" w:ascii="宋体" w:hAnsi="宋体" w:eastAsia="宋体" w:cs="宋体"/>
              </w:rPr>
              <w:t>监控率=实施绩效监控项目数/实际申报绩效目标项目数×100%</w:t>
            </w:r>
          </w:p>
        </w:tc>
        <w:tc>
          <w:tcPr>
            <w:tcW w:w="3423" w:type="dxa"/>
            <w:tcBorders>
              <w:top w:val="single" w:color="auto" w:sz="4" w:space="0"/>
              <w:left w:val="single" w:color="auto" w:sz="4" w:space="0"/>
              <w:bottom w:val="single" w:color="000000" w:sz="4" w:space="0"/>
              <w:right w:val="single" w:color="auto" w:sz="4" w:space="0"/>
            </w:tcBorders>
            <w:vAlign w:val="center"/>
          </w:tcPr>
          <w:p w14:paraId="3731705B">
            <w:pPr>
              <w:spacing w:after="0" w:line="68" w:lineRule="atLeast"/>
              <w:rPr>
                <w:rFonts w:ascii="宋体" w:hAnsi="宋体" w:eastAsia="宋体" w:cs="宋体"/>
              </w:rPr>
            </w:pPr>
            <w:r>
              <w:rPr>
                <w:rFonts w:hint="eastAsia" w:ascii="宋体" w:hAnsi="宋体" w:eastAsia="宋体" w:cs="宋体"/>
              </w:rPr>
              <w:t>目标值为90%；以2分为上限，采用完成比率法计分：得分=监控率×2，超出目标值不加分。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6B28023F">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6B399C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jc w:val="center"/>
        </w:trPr>
        <w:tc>
          <w:tcPr>
            <w:tcW w:w="733" w:type="dxa"/>
            <w:vMerge w:val="restart"/>
            <w:tcBorders>
              <w:top w:val="single" w:color="000000" w:sz="4" w:space="0"/>
              <w:left w:val="single" w:color="000000" w:sz="4" w:space="0"/>
              <w:right w:val="single" w:color="000000" w:sz="4" w:space="0"/>
            </w:tcBorders>
            <w:vAlign w:val="center"/>
          </w:tcPr>
          <w:p w14:paraId="1598A25D">
            <w:pPr>
              <w:spacing w:after="0" w:line="68" w:lineRule="atLeast"/>
              <w:rPr>
                <w:rFonts w:ascii="宋体" w:hAnsi="宋体" w:eastAsia="宋体" w:cs="宋体"/>
              </w:rPr>
            </w:pPr>
          </w:p>
          <w:p w14:paraId="772D71B3">
            <w:pPr>
              <w:spacing w:after="0" w:line="68" w:lineRule="atLeast"/>
              <w:rPr>
                <w:rFonts w:ascii="宋体" w:hAnsi="宋体" w:eastAsia="宋体" w:cs="宋体"/>
              </w:rPr>
            </w:pPr>
          </w:p>
          <w:p w14:paraId="123B7DEF">
            <w:pPr>
              <w:spacing w:after="0" w:line="68" w:lineRule="atLeast"/>
              <w:rPr>
                <w:rFonts w:ascii="宋体" w:hAnsi="宋体" w:eastAsia="宋体" w:cs="宋体"/>
              </w:rPr>
            </w:pPr>
          </w:p>
          <w:p w14:paraId="75CF1155">
            <w:pPr>
              <w:spacing w:after="0" w:line="68" w:lineRule="atLeast"/>
              <w:rPr>
                <w:rFonts w:ascii="宋体" w:hAnsi="宋体" w:eastAsia="宋体" w:cs="宋体"/>
              </w:rPr>
            </w:pPr>
          </w:p>
          <w:p w14:paraId="2FE0AFC8">
            <w:pPr>
              <w:spacing w:after="0" w:line="68" w:lineRule="atLeast"/>
              <w:rPr>
                <w:rFonts w:ascii="宋体" w:hAnsi="宋体" w:eastAsia="宋体" w:cs="宋体"/>
              </w:rPr>
            </w:pPr>
          </w:p>
          <w:p w14:paraId="2B7103FF">
            <w:pPr>
              <w:spacing w:after="0" w:line="68" w:lineRule="atLeast"/>
              <w:rPr>
                <w:rFonts w:ascii="宋体" w:hAnsi="宋体" w:eastAsia="宋体" w:cs="宋体"/>
              </w:rPr>
            </w:pPr>
          </w:p>
          <w:p w14:paraId="3062B592">
            <w:pPr>
              <w:spacing w:after="0" w:line="68" w:lineRule="atLeast"/>
              <w:rPr>
                <w:rFonts w:ascii="宋体" w:hAnsi="宋体" w:eastAsia="宋体" w:cs="宋体"/>
              </w:rPr>
            </w:pPr>
            <w:r>
              <w:rPr>
                <w:rFonts w:hint="eastAsia" w:ascii="宋体" w:hAnsi="宋体" w:eastAsia="宋体" w:cs="宋体"/>
              </w:rPr>
              <w:t>产出(15分)</w:t>
            </w:r>
          </w:p>
          <w:p w14:paraId="1D0D86C5">
            <w:pPr>
              <w:spacing w:after="0" w:line="68" w:lineRule="atLeast"/>
              <w:rPr>
                <w:rFonts w:ascii="宋体" w:hAnsi="宋体" w:eastAsia="宋体" w:cs="宋体"/>
              </w:rPr>
            </w:pPr>
          </w:p>
          <w:p w14:paraId="522AA66B">
            <w:pPr>
              <w:spacing w:after="0" w:line="68" w:lineRule="atLeast"/>
              <w:rPr>
                <w:rFonts w:ascii="宋体" w:hAnsi="宋体" w:eastAsia="宋体" w:cs="宋体"/>
              </w:rPr>
            </w:pPr>
          </w:p>
          <w:p w14:paraId="31DC3A46">
            <w:pPr>
              <w:spacing w:after="0" w:line="68" w:lineRule="atLeast"/>
              <w:rPr>
                <w:rFonts w:ascii="宋体" w:hAnsi="宋体" w:eastAsia="宋体" w:cs="宋体"/>
              </w:rPr>
            </w:pPr>
          </w:p>
          <w:p w14:paraId="360D0364">
            <w:pPr>
              <w:spacing w:after="0" w:line="68" w:lineRule="atLeast"/>
              <w:rPr>
                <w:rFonts w:ascii="宋体" w:hAnsi="宋体" w:eastAsia="宋体" w:cs="宋体"/>
              </w:rPr>
            </w:pPr>
          </w:p>
          <w:p w14:paraId="74FE3705">
            <w:pPr>
              <w:spacing w:after="0" w:line="68" w:lineRule="atLeast"/>
              <w:rPr>
                <w:rFonts w:ascii="宋体" w:hAnsi="宋体" w:eastAsia="宋体" w:cs="宋体"/>
              </w:rPr>
            </w:pPr>
          </w:p>
          <w:p w14:paraId="1AC24860">
            <w:pPr>
              <w:spacing w:after="0" w:line="68" w:lineRule="atLeast"/>
              <w:rPr>
                <w:rFonts w:ascii="宋体" w:hAnsi="宋体" w:eastAsia="宋体" w:cs="宋体"/>
              </w:rPr>
            </w:pPr>
          </w:p>
          <w:p w14:paraId="545EECE0">
            <w:pPr>
              <w:spacing w:after="0" w:line="68" w:lineRule="atLeast"/>
              <w:rPr>
                <w:rFonts w:ascii="宋体" w:hAnsi="宋体" w:eastAsia="宋体" w:cs="宋体"/>
              </w:rPr>
            </w:pPr>
          </w:p>
          <w:p w14:paraId="3F07D6FF">
            <w:pPr>
              <w:spacing w:after="0" w:line="68" w:lineRule="atLeast"/>
              <w:rPr>
                <w:rFonts w:ascii="宋体" w:hAnsi="宋体" w:eastAsia="宋体" w:cs="宋体"/>
              </w:rPr>
            </w:pPr>
          </w:p>
          <w:p w14:paraId="1BD671A1">
            <w:pPr>
              <w:spacing w:after="0" w:line="68" w:lineRule="atLeast"/>
              <w:rPr>
                <w:rFonts w:ascii="宋体" w:hAnsi="宋体" w:eastAsia="宋体" w:cs="宋体"/>
              </w:rPr>
            </w:pPr>
          </w:p>
          <w:p w14:paraId="1AEABA45">
            <w:pPr>
              <w:spacing w:after="0" w:line="68" w:lineRule="atLeast"/>
              <w:rPr>
                <w:rFonts w:ascii="宋体" w:hAnsi="宋体" w:eastAsia="宋体" w:cs="宋体"/>
              </w:rPr>
            </w:pPr>
            <w:r>
              <w:rPr>
                <w:rFonts w:hint="eastAsia" w:ascii="宋体" w:hAnsi="宋体" w:eastAsia="宋体" w:cs="宋体"/>
              </w:rPr>
              <w:t>产出(15分)</w:t>
            </w:r>
          </w:p>
        </w:tc>
        <w:tc>
          <w:tcPr>
            <w:tcW w:w="803" w:type="dxa"/>
            <w:vMerge w:val="restart"/>
            <w:tcBorders>
              <w:top w:val="single" w:color="000000" w:sz="4" w:space="0"/>
              <w:left w:val="single" w:color="000000" w:sz="4" w:space="0"/>
              <w:right w:val="single" w:color="000000" w:sz="4" w:space="0"/>
            </w:tcBorders>
            <w:vAlign w:val="center"/>
          </w:tcPr>
          <w:p w14:paraId="5C331E3F">
            <w:pPr>
              <w:spacing w:after="0" w:line="68" w:lineRule="atLeast"/>
              <w:rPr>
                <w:rFonts w:ascii="宋体" w:hAnsi="宋体" w:eastAsia="宋体" w:cs="宋体"/>
              </w:rPr>
            </w:pPr>
            <w:r>
              <w:rPr>
                <w:rFonts w:hint="eastAsia" w:ascii="宋体" w:hAnsi="宋体" w:eastAsia="宋体" w:cs="宋体"/>
              </w:rPr>
              <w:t>职责履行（15分）</w:t>
            </w:r>
          </w:p>
        </w:tc>
        <w:tc>
          <w:tcPr>
            <w:tcW w:w="1182" w:type="dxa"/>
            <w:tcBorders>
              <w:top w:val="single" w:color="000000" w:sz="4" w:space="0"/>
              <w:left w:val="single" w:color="000000" w:sz="4" w:space="0"/>
              <w:bottom w:val="single" w:color="auto" w:sz="4" w:space="0"/>
              <w:right w:val="single" w:color="auto" w:sz="4" w:space="0"/>
            </w:tcBorders>
            <w:vAlign w:val="center"/>
          </w:tcPr>
          <w:p w14:paraId="2FE2AC48">
            <w:pPr>
              <w:spacing w:after="0" w:line="68" w:lineRule="atLeast"/>
              <w:rPr>
                <w:rFonts w:ascii="宋体" w:hAnsi="宋体" w:eastAsia="宋体" w:cs="宋体"/>
              </w:rPr>
            </w:pPr>
            <w:r>
              <w:rPr>
                <w:rFonts w:hint="eastAsia" w:ascii="宋体" w:hAnsi="宋体" w:eastAsia="宋体" w:cs="宋体"/>
              </w:rPr>
              <w:t>项目实际完成率（4分）</w:t>
            </w:r>
          </w:p>
        </w:tc>
        <w:tc>
          <w:tcPr>
            <w:tcW w:w="6911" w:type="dxa"/>
            <w:tcBorders>
              <w:top w:val="single" w:color="000000" w:sz="4" w:space="0"/>
              <w:left w:val="single" w:color="auto" w:sz="4" w:space="0"/>
              <w:bottom w:val="single" w:color="auto" w:sz="4" w:space="0"/>
              <w:right w:val="single" w:color="auto" w:sz="4" w:space="0"/>
            </w:tcBorders>
            <w:vAlign w:val="center"/>
          </w:tcPr>
          <w:p w14:paraId="0E0BC9FF">
            <w:pPr>
              <w:spacing w:after="0" w:line="240" w:lineRule="exact"/>
              <w:rPr>
                <w:rFonts w:ascii="宋体" w:hAnsi="宋体" w:eastAsia="宋体" w:cs="宋体"/>
              </w:rPr>
            </w:pPr>
            <w:r>
              <w:rPr>
                <w:rFonts w:hint="eastAsia" w:ascii="宋体" w:hAnsi="宋体" w:eastAsia="宋体" w:cs="宋体"/>
              </w:rPr>
              <w:t>部门履行职责而实际完成的项目数与计划完成的项目数的比率，用以反映和评价部门履职任务目标的实现程度。</w:t>
            </w:r>
          </w:p>
          <w:p w14:paraId="492A4F8F">
            <w:pPr>
              <w:spacing w:after="0" w:line="68" w:lineRule="atLeast"/>
              <w:rPr>
                <w:rFonts w:ascii="宋体" w:hAnsi="宋体" w:eastAsia="宋体" w:cs="宋体"/>
              </w:rPr>
            </w:pPr>
            <w:r>
              <w:rPr>
                <w:rFonts w:hint="eastAsia" w:ascii="宋体" w:hAnsi="宋体" w:eastAsia="宋体" w:cs="宋体"/>
              </w:rPr>
              <w:t>项目实际完成率=（实际完成项目数/计划完成项目数）×100%。</w:t>
            </w:r>
          </w:p>
        </w:tc>
        <w:tc>
          <w:tcPr>
            <w:tcW w:w="3423" w:type="dxa"/>
            <w:tcBorders>
              <w:top w:val="single" w:color="000000" w:sz="4" w:space="0"/>
              <w:left w:val="single" w:color="auto" w:sz="4" w:space="0"/>
              <w:bottom w:val="single" w:color="auto" w:sz="4" w:space="0"/>
              <w:right w:val="single" w:color="auto" w:sz="4" w:space="0"/>
            </w:tcBorders>
            <w:vAlign w:val="center"/>
          </w:tcPr>
          <w:p w14:paraId="4ACB94A6">
            <w:pPr>
              <w:spacing w:after="0" w:line="68" w:lineRule="atLeast"/>
              <w:rPr>
                <w:rFonts w:ascii="宋体" w:hAnsi="宋体" w:eastAsia="宋体" w:cs="宋体"/>
              </w:rPr>
            </w:pPr>
            <w:r>
              <w:rPr>
                <w:rFonts w:hint="eastAsia" w:ascii="宋体" w:hAnsi="宋体" w:eastAsia="宋体" w:cs="宋体"/>
              </w:rPr>
              <w:t>目标值为100%；</w:t>
            </w:r>
          </w:p>
          <w:p w14:paraId="44433A6C">
            <w:pPr>
              <w:spacing w:after="0" w:line="68" w:lineRule="atLeast"/>
              <w:rPr>
                <w:rFonts w:ascii="宋体" w:hAnsi="宋体" w:eastAsia="宋体" w:cs="宋体"/>
              </w:rPr>
            </w:pPr>
            <w:r>
              <w:rPr>
                <w:rFonts w:hint="eastAsia" w:ascii="宋体" w:hAnsi="宋体" w:eastAsia="宋体" w:cs="宋体"/>
              </w:rPr>
              <w:t>达到目标值得4分；</w:t>
            </w:r>
          </w:p>
          <w:p w14:paraId="69BD14BA">
            <w:pPr>
              <w:spacing w:after="0" w:line="68" w:lineRule="atLeast"/>
              <w:rPr>
                <w:rFonts w:ascii="宋体" w:hAnsi="宋体" w:eastAsia="宋体" w:cs="宋体"/>
              </w:rPr>
            </w:pPr>
            <w:r>
              <w:rPr>
                <w:rFonts w:hint="eastAsia" w:ascii="宋体" w:hAnsi="宋体" w:eastAsia="宋体" w:cs="宋体"/>
              </w:rPr>
              <w:t>100%＞结果≥95%，得3分；</w:t>
            </w:r>
          </w:p>
          <w:p w14:paraId="157A877B">
            <w:pPr>
              <w:spacing w:after="0" w:line="68" w:lineRule="atLeast"/>
              <w:rPr>
                <w:rFonts w:ascii="宋体" w:hAnsi="宋体" w:eastAsia="宋体" w:cs="宋体"/>
              </w:rPr>
            </w:pPr>
            <w:r>
              <w:rPr>
                <w:rFonts w:hint="eastAsia" w:ascii="宋体" w:hAnsi="宋体" w:eastAsia="宋体" w:cs="宋体"/>
              </w:rPr>
              <w:t>95%＞结果≥90%，得2分；</w:t>
            </w:r>
          </w:p>
          <w:p w14:paraId="3CF32A51">
            <w:pPr>
              <w:spacing w:after="0" w:line="68" w:lineRule="atLeast"/>
              <w:rPr>
                <w:rFonts w:ascii="宋体" w:hAnsi="宋体" w:eastAsia="宋体" w:cs="宋体"/>
              </w:rPr>
            </w:pPr>
            <w:r>
              <w:rPr>
                <w:rFonts w:hint="eastAsia" w:ascii="宋体" w:hAnsi="宋体" w:eastAsia="宋体" w:cs="宋体"/>
              </w:rPr>
              <w:t>90%＞结果≥85%，得1分；</w:t>
            </w:r>
          </w:p>
          <w:p w14:paraId="5DFBB8C2">
            <w:pPr>
              <w:spacing w:after="0" w:line="68" w:lineRule="atLeast"/>
              <w:rPr>
                <w:rFonts w:ascii="宋体" w:hAnsi="宋体" w:eastAsia="宋体" w:cs="宋体"/>
              </w:rPr>
            </w:pPr>
            <w:r>
              <w:rPr>
                <w:rFonts w:hint="eastAsia" w:ascii="宋体" w:hAnsi="宋体" w:eastAsia="宋体" w:cs="宋体"/>
              </w:rPr>
              <w:t>结果＜85%得0分。</w:t>
            </w:r>
          </w:p>
        </w:tc>
        <w:tc>
          <w:tcPr>
            <w:tcW w:w="1090" w:type="dxa"/>
            <w:tcBorders>
              <w:top w:val="single" w:color="000000" w:sz="4" w:space="0"/>
              <w:left w:val="single" w:color="auto" w:sz="4" w:space="0"/>
              <w:bottom w:val="single" w:color="auto" w:sz="4" w:space="0"/>
              <w:right w:val="single" w:color="000000" w:sz="4" w:space="0"/>
            </w:tcBorders>
            <w:vAlign w:val="center"/>
          </w:tcPr>
          <w:p w14:paraId="319EA7E3">
            <w:pPr>
              <w:spacing w:after="0" w:line="68" w:lineRule="atLeast"/>
              <w:jc w:val="center"/>
              <w:rPr>
                <w:rFonts w:hint="default" w:ascii="宋体" w:hAnsi="宋体" w:eastAsia="宋体" w:cs="宋体"/>
                <w:lang w:val="en-US" w:eastAsia="zh-CN"/>
              </w:rPr>
            </w:pPr>
            <w:r>
              <w:rPr>
                <w:rFonts w:hint="eastAsia" w:ascii="宋体" w:hAnsi="宋体" w:eastAsia="宋体" w:cs="宋体"/>
                <w:lang w:val="en-US" w:eastAsia="zh-CN"/>
              </w:rPr>
              <w:t>3</w:t>
            </w:r>
          </w:p>
        </w:tc>
      </w:tr>
      <w:tr w14:paraId="7995FA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9" w:hRule="atLeast"/>
          <w:jc w:val="center"/>
        </w:trPr>
        <w:tc>
          <w:tcPr>
            <w:tcW w:w="733" w:type="dxa"/>
            <w:vMerge w:val="continue"/>
            <w:tcBorders>
              <w:left w:val="single" w:color="000000" w:sz="4" w:space="0"/>
              <w:right w:val="single" w:color="000000" w:sz="4" w:space="0"/>
            </w:tcBorders>
            <w:vAlign w:val="center"/>
          </w:tcPr>
          <w:p w14:paraId="2C97FFA7">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3003993B">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70357FA1">
            <w:pPr>
              <w:spacing w:after="0" w:line="68" w:lineRule="atLeast"/>
              <w:rPr>
                <w:rFonts w:ascii="宋体" w:hAnsi="宋体" w:eastAsia="宋体" w:cs="宋体"/>
              </w:rPr>
            </w:pPr>
            <w:r>
              <w:rPr>
                <w:rFonts w:hint="eastAsia" w:ascii="宋体" w:hAnsi="宋体" w:eastAsia="宋体" w:cs="宋体"/>
              </w:rPr>
              <w:t>项目质量达标率（4分）</w:t>
            </w:r>
          </w:p>
        </w:tc>
        <w:tc>
          <w:tcPr>
            <w:tcW w:w="6911" w:type="dxa"/>
            <w:tcBorders>
              <w:top w:val="single" w:color="000000" w:sz="4" w:space="0"/>
              <w:left w:val="single" w:color="auto" w:sz="4" w:space="0"/>
              <w:bottom w:val="single" w:color="auto" w:sz="4" w:space="0"/>
              <w:right w:val="single" w:color="auto" w:sz="4" w:space="0"/>
            </w:tcBorders>
            <w:vAlign w:val="center"/>
          </w:tcPr>
          <w:p w14:paraId="16015415">
            <w:pPr>
              <w:spacing w:after="0" w:line="240" w:lineRule="exact"/>
              <w:rPr>
                <w:rFonts w:ascii="宋体" w:hAnsi="宋体" w:eastAsia="宋体" w:cs="宋体"/>
              </w:rPr>
            </w:pPr>
            <w:r>
              <w:rPr>
                <w:rFonts w:hint="eastAsia" w:ascii="宋体" w:hAnsi="宋体" w:eastAsia="宋体" w:cs="宋体"/>
              </w:rPr>
              <w:t>部门已完成项目中质量达标项目个数占已完成项目个数的比率,用以反映和评价部门履职质量目标的实现程度。</w:t>
            </w:r>
          </w:p>
          <w:p w14:paraId="53317114">
            <w:pPr>
              <w:spacing w:after="0" w:line="240" w:lineRule="exact"/>
              <w:rPr>
                <w:rFonts w:ascii="宋体" w:hAnsi="宋体" w:eastAsia="宋体" w:cs="宋体"/>
              </w:rPr>
            </w:pPr>
            <w:r>
              <w:rPr>
                <w:rFonts w:hint="eastAsia" w:ascii="宋体" w:hAnsi="宋体" w:eastAsia="宋体" w:cs="宋体"/>
              </w:rPr>
              <w:t>项目质量达标率=（已完成项目中质量达标项目个数/已完成项目个数）×100%。</w:t>
            </w:r>
          </w:p>
          <w:p w14:paraId="66329152">
            <w:pPr>
              <w:spacing w:after="0" w:line="68" w:lineRule="atLeast"/>
              <w:rPr>
                <w:rFonts w:ascii="宋体" w:hAnsi="宋体" w:eastAsia="宋体" w:cs="宋体"/>
              </w:rPr>
            </w:pPr>
            <w:r>
              <w:rPr>
                <w:rFonts w:hint="eastAsia" w:ascii="宋体" w:hAnsi="宋体" w:eastAsia="宋体" w:cs="宋体"/>
              </w:rPr>
              <w:t>项目质量达标是指项目决算验收合格。</w:t>
            </w:r>
          </w:p>
        </w:tc>
        <w:tc>
          <w:tcPr>
            <w:tcW w:w="3423" w:type="dxa"/>
            <w:tcBorders>
              <w:top w:val="single" w:color="000000" w:sz="4" w:space="0"/>
              <w:left w:val="single" w:color="auto" w:sz="4" w:space="0"/>
              <w:bottom w:val="single" w:color="auto" w:sz="4" w:space="0"/>
              <w:right w:val="single" w:color="auto" w:sz="4" w:space="0"/>
            </w:tcBorders>
            <w:vAlign w:val="center"/>
          </w:tcPr>
          <w:p w14:paraId="67997120">
            <w:pPr>
              <w:spacing w:after="0" w:line="68" w:lineRule="atLeast"/>
              <w:rPr>
                <w:rFonts w:ascii="宋体" w:hAnsi="宋体" w:eastAsia="宋体" w:cs="宋体"/>
              </w:rPr>
            </w:pPr>
            <w:r>
              <w:rPr>
                <w:rFonts w:hint="eastAsia" w:ascii="宋体" w:hAnsi="宋体" w:eastAsia="宋体" w:cs="宋体"/>
              </w:rPr>
              <w:t>目标值100%；以4分为上限，采用完成比率法计分：得分=项目质量达标率×4，≤95%的扣4分。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3A572D3A">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647BDB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1" w:hRule="atLeast"/>
          <w:jc w:val="center"/>
        </w:trPr>
        <w:tc>
          <w:tcPr>
            <w:tcW w:w="733" w:type="dxa"/>
            <w:vMerge w:val="continue"/>
            <w:tcBorders>
              <w:left w:val="single" w:color="000000" w:sz="4" w:space="0"/>
              <w:right w:val="single" w:color="000000" w:sz="4" w:space="0"/>
            </w:tcBorders>
            <w:vAlign w:val="center"/>
          </w:tcPr>
          <w:p w14:paraId="6D30781D">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0E3FE56B">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13212E98">
            <w:pPr>
              <w:spacing w:after="0" w:line="68" w:lineRule="atLeast"/>
              <w:rPr>
                <w:rFonts w:ascii="宋体" w:hAnsi="宋体" w:eastAsia="宋体" w:cs="宋体"/>
              </w:rPr>
            </w:pPr>
            <w:r>
              <w:rPr>
                <w:rFonts w:hint="eastAsia" w:ascii="宋体" w:hAnsi="宋体" w:eastAsia="宋体" w:cs="宋体"/>
              </w:rPr>
              <w:t>重点工作办结率（4分）</w:t>
            </w:r>
          </w:p>
        </w:tc>
        <w:tc>
          <w:tcPr>
            <w:tcW w:w="6911" w:type="dxa"/>
            <w:tcBorders>
              <w:top w:val="single" w:color="000000" w:sz="4" w:space="0"/>
              <w:left w:val="single" w:color="auto" w:sz="4" w:space="0"/>
              <w:bottom w:val="single" w:color="auto" w:sz="4" w:space="0"/>
              <w:right w:val="single" w:color="auto" w:sz="4" w:space="0"/>
            </w:tcBorders>
            <w:vAlign w:val="center"/>
          </w:tcPr>
          <w:p w14:paraId="603961F1">
            <w:pPr>
              <w:spacing w:after="0" w:line="68" w:lineRule="atLeast"/>
              <w:rPr>
                <w:rFonts w:ascii="宋体" w:hAnsi="宋体" w:eastAsia="宋体" w:cs="宋体"/>
              </w:rPr>
            </w:pPr>
            <w:r>
              <w:rPr>
                <w:rFonts w:hint="eastAsia" w:ascii="宋体" w:hAnsi="宋体" w:eastAsia="宋体" w:cs="宋体"/>
              </w:rPr>
              <w:t>部门年度重点工作实际完成数与交办或下达数的比率，用以反映部门对重点工作的办理落实程度。</w:t>
            </w:r>
          </w:p>
          <w:p w14:paraId="6B3352CD">
            <w:pPr>
              <w:spacing w:after="0" w:line="68" w:lineRule="atLeast"/>
              <w:rPr>
                <w:rFonts w:ascii="宋体" w:hAnsi="宋体" w:eastAsia="宋体" w:cs="宋体"/>
              </w:rPr>
            </w:pPr>
            <w:r>
              <w:rPr>
                <w:rFonts w:hint="eastAsia" w:ascii="宋体" w:hAnsi="宋体" w:eastAsia="宋体" w:cs="宋体"/>
              </w:rPr>
              <w:t>重点工作办结率=（重点工作实际完成数/交办或下达数）×100%。</w:t>
            </w:r>
          </w:p>
          <w:p w14:paraId="21D38174">
            <w:pPr>
              <w:spacing w:after="0" w:line="68" w:lineRule="atLeast"/>
              <w:rPr>
                <w:rFonts w:ascii="宋体" w:hAnsi="宋体" w:eastAsia="宋体" w:cs="宋体"/>
              </w:rPr>
            </w:pPr>
            <w:r>
              <w:rPr>
                <w:rFonts w:hint="eastAsia" w:ascii="宋体" w:hAnsi="宋体" w:eastAsia="宋体" w:cs="宋体"/>
              </w:rPr>
              <w:t>重点工作是指党委、政府、人大、相关部门交办或下达的工作任务。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1FF53501">
            <w:pPr>
              <w:spacing w:after="0" w:line="68" w:lineRule="atLeast"/>
              <w:rPr>
                <w:rFonts w:ascii="宋体" w:hAnsi="宋体" w:eastAsia="宋体" w:cs="宋体"/>
              </w:rPr>
            </w:pPr>
            <w:r>
              <w:rPr>
                <w:rFonts w:hint="eastAsia" w:ascii="宋体" w:hAnsi="宋体" w:eastAsia="宋体" w:cs="宋体"/>
              </w:rPr>
              <w:t>目标值100%；以4分为上限，采用完成比率法计分：得分=重点工作办结率×4，≤90%的扣4分。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3391A580">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4002FD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9" w:hRule="atLeast"/>
          <w:jc w:val="center"/>
        </w:trPr>
        <w:tc>
          <w:tcPr>
            <w:tcW w:w="733" w:type="dxa"/>
            <w:vMerge w:val="continue"/>
            <w:tcBorders>
              <w:left w:val="single" w:color="000000" w:sz="4" w:space="0"/>
              <w:bottom w:val="single" w:color="000000" w:sz="4" w:space="0"/>
              <w:right w:val="single" w:color="000000" w:sz="4" w:space="0"/>
            </w:tcBorders>
            <w:vAlign w:val="center"/>
          </w:tcPr>
          <w:p w14:paraId="763F8449">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1DF4E709">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6BD71599">
            <w:pPr>
              <w:spacing w:after="0" w:line="68" w:lineRule="atLeast"/>
              <w:rPr>
                <w:rFonts w:ascii="宋体" w:hAnsi="宋体" w:eastAsia="宋体" w:cs="宋体"/>
              </w:rPr>
            </w:pPr>
            <w:r>
              <w:rPr>
                <w:rFonts w:hint="eastAsia" w:ascii="宋体" w:hAnsi="宋体" w:eastAsia="宋体" w:cs="宋体"/>
              </w:rPr>
              <w:t>部门绩效自评项目占比率（3分）</w:t>
            </w:r>
          </w:p>
        </w:tc>
        <w:tc>
          <w:tcPr>
            <w:tcW w:w="6911" w:type="dxa"/>
            <w:tcBorders>
              <w:top w:val="single" w:color="000000" w:sz="4" w:space="0"/>
              <w:left w:val="single" w:color="auto" w:sz="4" w:space="0"/>
              <w:bottom w:val="single" w:color="auto" w:sz="4" w:space="0"/>
              <w:right w:val="single" w:color="auto" w:sz="4" w:space="0"/>
            </w:tcBorders>
            <w:vAlign w:val="center"/>
          </w:tcPr>
          <w:p w14:paraId="6A8DD640">
            <w:pPr>
              <w:spacing w:after="0" w:line="240" w:lineRule="exact"/>
              <w:rPr>
                <w:rFonts w:ascii="宋体" w:hAnsi="宋体" w:eastAsia="宋体" w:cs="宋体"/>
              </w:rPr>
            </w:pPr>
            <w:r>
              <w:rPr>
                <w:rFonts w:hint="eastAsia" w:ascii="宋体" w:hAnsi="宋体" w:eastAsia="宋体" w:cs="宋体"/>
              </w:rPr>
              <w:t>部门自评项目在所有项目中所占的份额，反映和评价部门对项目自评的重视程度。</w:t>
            </w:r>
          </w:p>
          <w:p w14:paraId="70F55A49">
            <w:pPr>
              <w:spacing w:after="0" w:line="240" w:lineRule="exact"/>
              <w:rPr>
                <w:rFonts w:ascii="宋体" w:hAnsi="宋体" w:eastAsia="宋体" w:cs="宋体"/>
              </w:rPr>
            </w:pPr>
            <w:r>
              <w:rPr>
                <w:rFonts w:hint="eastAsia" w:ascii="宋体" w:hAnsi="宋体" w:eastAsia="宋体" w:cs="宋体"/>
              </w:rPr>
              <w:t>占比率=(自评项目资金量/项目支出资金量)×100%。</w:t>
            </w:r>
          </w:p>
          <w:p w14:paraId="00250F90">
            <w:pPr>
              <w:spacing w:after="0" w:line="68" w:lineRule="atLeast"/>
              <w:rPr>
                <w:rFonts w:ascii="宋体" w:hAnsi="宋体" w:eastAsia="宋体" w:cs="宋体"/>
              </w:rPr>
            </w:pPr>
            <w:r>
              <w:rPr>
                <w:rFonts w:hint="eastAsia" w:ascii="宋体" w:hAnsi="宋体" w:eastAsia="宋体" w:cs="宋体"/>
              </w:rPr>
              <w:t>部门支出项目绩效自评范围：本年度列入本级财政预算安排的项目。</w:t>
            </w:r>
          </w:p>
        </w:tc>
        <w:tc>
          <w:tcPr>
            <w:tcW w:w="3423" w:type="dxa"/>
            <w:tcBorders>
              <w:top w:val="single" w:color="000000" w:sz="4" w:space="0"/>
              <w:left w:val="single" w:color="auto" w:sz="4" w:space="0"/>
              <w:bottom w:val="single" w:color="auto" w:sz="4" w:space="0"/>
              <w:right w:val="single" w:color="auto" w:sz="4" w:space="0"/>
            </w:tcBorders>
            <w:vAlign w:val="center"/>
          </w:tcPr>
          <w:p w14:paraId="0722C247">
            <w:pPr>
              <w:spacing w:after="0" w:line="68" w:lineRule="atLeast"/>
              <w:rPr>
                <w:rFonts w:ascii="宋体" w:hAnsi="宋体" w:eastAsia="宋体" w:cs="宋体"/>
              </w:rPr>
            </w:pPr>
            <w:r>
              <w:rPr>
                <w:rFonts w:hint="eastAsia" w:ascii="宋体" w:hAnsi="宋体" w:eastAsia="宋体" w:cs="宋体"/>
              </w:rPr>
              <w:t>达到目标值得3分，未达到目标值采用完成比率法计分：得分=占比率/目标值×3，超过目标值不加分。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62B9CB0D">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47798E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8" w:hRule="atLeast"/>
          <w:jc w:val="center"/>
        </w:trPr>
        <w:tc>
          <w:tcPr>
            <w:tcW w:w="733" w:type="dxa"/>
            <w:vMerge w:val="restart"/>
            <w:tcBorders>
              <w:top w:val="single" w:color="000000" w:sz="4" w:space="0"/>
              <w:left w:val="single" w:color="000000" w:sz="4" w:space="0"/>
              <w:right w:val="single" w:color="000000" w:sz="4" w:space="0"/>
            </w:tcBorders>
            <w:vAlign w:val="center"/>
          </w:tcPr>
          <w:p w14:paraId="36A7087C">
            <w:pPr>
              <w:spacing w:after="0" w:line="68" w:lineRule="atLeast"/>
              <w:rPr>
                <w:rFonts w:ascii="宋体" w:hAnsi="宋体" w:eastAsia="宋体" w:cs="宋体"/>
              </w:rPr>
            </w:pPr>
          </w:p>
          <w:p w14:paraId="6763D711">
            <w:pPr>
              <w:spacing w:after="0" w:line="68" w:lineRule="atLeast"/>
              <w:rPr>
                <w:rFonts w:ascii="宋体" w:hAnsi="宋体" w:eastAsia="宋体" w:cs="宋体"/>
              </w:rPr>
            </w:pPr>
          </w:p>
          <w:p w14:paraId="640428DD">
            <w:pPr>
              <w:spacing w:after="0" w:line="68" w:lineRule="atLeast"/>
              <w:rPr>
                <w:rFonts w:ascii="宋体" w:hAnsi="宋体" w:eastAsia="宋体" w:cs="宋体"/>
              </w:rPr>
            </w:pPr>
          </w:p>
          <w:p w14:paraId="1C241842">
            <w:pPr>
              <w:spacing w:after="0" w:line="68" w:lineRule="atLeast"/>
              <w:rPr>
                <w:rFonts w:ascii="宋体" w:hAnsi="宋体" w:eastAsia="宋体" w:cs="宋体"/>
              </w:rPr>
            </w:pPr>
          </w:p>
          <w:p w14:paraId="7C83A948">
            <w:pPr>
              <w:spacing w:after="0" w:line="68" w:lineRule="atLeast"/>
              <w:rPr>
                <w:rFonts w:ascii="宋体" w:hAnsi="宋体" w:eastAsia="宋体" w:cs="宋体"/>
              </w:rPr>
            </w:pPr>
          </w:p>
          <w:p w14:paraId="6F6581BF">
            <w:pPr>
              <w:spacing w:after="0" w:line="68" w:lineRule="atLeast"/>
              <w:rPr>
                <w:rFonts w:ascii="宋体" w:hAnsi="宋体" w:eastAsia="宋体" w:cs="宋体"/>
              </w:rPr>
            </w:pPr>
          </w:p>
          <w:p w14:paraId="1A853763">
            <w:pPr>
              <w:spacing w:after="0" w:line="68" w:lineRule="atLeast"/>
              <w:rPr>
                <w:rFonts w:ascii="宋体" w:hAnsi="宋体" w:eastAsia="宋体" w:cs="宋体"/>
              </w:rPr>
            </w:pPr>
          </w:p>
          <w:p w14:paraId="3B4BB556">
            <w:pPr>
              <w:spacing w:after="0" w:line="68" w:lineRule="atLeast"/>
              <w:rPr>
                <w:rFonts w:ascii="宋体" w:hAnsi="宋体" w:eastAsia="宋体" w:cs="宋体"/>
              </w:rPr>
            </w:pPr>
            <w:r>
              <w:rPr>
                <w:rFonts w:hint="eastAsia" w:ascii="宋体" w:hAnsi="宋体" w:eastAsia="宋体" w:cs="宋体"/>
              </w:rPr>
              <w:t>效果（15）</w:t>
            </w:r>
          </w:p>
          <w:p w14:paraId="77EF50B1">
            <w:pPr>
              <w:spacing w:after="0" w:line="68" w:lineRule="atLeast"/>
              <w:rPr>
                <w:rFonts w:ascii="宋体" w:hAnsi="宋体" w:eastAsia="宋体" w:cs="宋体"/>
              </w:rPr>
            </w:pPr>
          </w:p>
          <w:p w14:paraId="7D73E8A2">
            <w:pPr>
              <w:spacing w:after="0" w:line="68" w:lineRule="atLeast"/>
              <w:rPr>
                <w:rFonts w:ascii="宋体" w:hAnsi="宋体" w:eastAsia="宋体" w:cs="宋体"/>
              </w:rPr>
            </w:pPr>
          </w:p>
          <w:p w14:paraId="43AA1EAF">
            <w:pPr>
              <w:spacing w:after="0" w:line="68" w:lineRule="atLeast"/>
              <w:rPr>
                <w:rFonts w:ascii="宋体" w:hAnsi="宋体" w:eastAsia="宋体" w:cs="宋体"/>
              </w:rPr>
            </w:pPr>
          </w:p>
          <w:p w14:paraId="2D7BDDF3">
            <w:pPr>
              <w:spacing w:after="0" w:line="68" w:lineRule="atLeast"/>
              <w:rPr>
                <w:rFonts w:ascii="宋体" w:hAnsi="宋体" w:eastAsia="宋体" w:cs="宋体"/>
              </w:rPr>
            </w:pPr>
          </w:p>
          <w:p w14:paraId="4DFE1740">
            <w:pPr>
              <w:spacing w:after="0" w:line="68" w:lineRule="atLeast"/>
              <w:rPr>
                <w:rFonts w:ascii="宋体" w:hAnsi="宋体" w:eastAsia="宋体" w:cs="宋体"/>
              </w:rPr>
            </w:pPr>
          </w:p>
          <w:p w14:paraId="0A132925">
            <w:pPr>
              <w:spacing w:after="0" w:line="68" w:lineRule="atLeast"/>
              <w:rPr>
                <w:rFonts w:ascii="宋体" w:hAnsi="宋体" w:eastAsia="宋体" w:cs="宋体"/>
              </w:rPr>
            </w:pPr>
          </w:p>
          <w:p w14:paraId="6ED91E4D">
            <w:pPr>
              <w:spacing w:after="0" w:line="68" w:lineRule="atLeast"/>
              <w:rPr>
                <w:rFonts w:ascii="宋体" w:hAnsi="宋体" w:eastAsia="宋体" w:cs="宋体"/>
              </w:rPr>
            </w:pPr>
          </w:p>
          <w:p w14:paraId="677D6931">
            <w:pPr>
              <w:spacing w:after="0" w:line="68" w:lineRule="atLeast"/>
              <w:rPr>
                <w:rFonts w:ascii="宋体" w:hAnsi="宋体" w:eastAsia="宋体" w:cs="宋体"/>
              </w:rPr>
            </w:pPr>
          </w:p>
          <w:p w14:paraId="79E86526">
            <w:pPr>
              <w:spacing w:after="0" w:line="68" w:lineRule="atLeast"/>
              <w:rPr>
                <w:rFonts w:ascii="宋体" w:hAnsi="宋体" w:eastAsia="宋体" w:cs="宋体"/>
              </w:rPr>
            </w:pPr>
          </w:p>
          <w:p w14:paraId="3C710603">
            <w:pPr>
              <w:spacing w:after="0" w:line="68" w:lineRule="atLeast"/>
              <w:rPr>
                <w:rFonts w:ascii="宋体" w:hAnsi="宋体" w:eastAsia="宋体" w:cs="宋体"/>
              </w:rPr>
            </w:pPr>
          </w:p>
          <w:p w14:paraId="5EFF509A">
            <w:pPr>
              <w:spacing w:after="0" w:line="68" w:lineRule="atLeast"/>
              <w:rPr>
                <w:rFonts w:ascii="宋体" w:hAnsi="宋体" w:eastAsia="宋体" w:cs="宋体"/>
              </w:rPr>
            </w:pPr>
          </w:p>
          <w:p w14:paraId="09435E8F">
            <w:pPr>
              <w:spacing w:after="0" w:line="68" w:lineRule="atLeast"/>
              <w:rPr>
                <w:rFonts w:ascii="宋体" w:hAnsi="宋体" w:eastAsia="宋体" w:cs="宋体"/>
              </w:rPr>
            </w:pPr>
          </w:p>
          <w:p w14:paraId="71EA8FA1">
            <w:pPr>
              <w:spacing w:after="0" w:line="68" w:lineRule="atLeast"/>
              <w:rPr>
                <w:rFonts w:ascii="宋体" w:hAnsi="宋体" w:eastAsia="宋体" w:cs="宋体"/>
              </w:rPr>
            </w:pPr>
          </w:p>
          <w:p w14:paraId="47D2854D">
            <w:pPr>
              <w:spacing w:after="0" w:line="68" w:lineRule="atLeast"/>
              <w:rPr>
                <w:rFonts w:ascii="宋体" w:hAnsi="宋体" w:eastAsia="宋体" w:cs="宋体"/>
              </w:rPr>
            </w:pPr>
          </w:p>
          <w:p w14:paraId="5FC28CE6">
            <w:pPr>
              <w:spacing w:after="0" w:line="68" w:lineRule="atLeast"/>
              <w:rPr>
                <w:rFonts w:ascii="宋体" w:hAnsi="宋体" w:eastAsia="宋体" w:cs="宋体"/>
              </w:rPr>
            </w:pPr>
          </w:p>
          <w:p w14:paraId="35A4DCA6">
            <w:pPr>
              <w:spacing w:after="0" w:line="68" w:lineRule="atLeast"/>
              <w:rPr>
                <w:rFonts w:ascii="宋体" w:hAnsi="宋体" w:eastAsia="宋体" w:cs="宋体"/>
              </w:rPr>
            </w:pPr>
          </w:p>
          <w:p w14:paraId="0BE4A2F1">
            <w:pPr>
              <w:spacing w:after="0" w:line="68" w:lineRule="atLeast"/>
              <w:rPr>
                <w:rFonts w:ascii="宋体" w:hAnsi="宋体" w:eastAsia="宋体" w:cs="宋体"/>
              </w:rPr>
            </w:pPr>
            <w:r>
              <w:rPr>
                <w:rFonts w:hint="eastAsia" w:ascii="宋体" w:hAnsi="宋体" w:eastAsia="宋体" w:cs="宋体"/>
              </w:rPr>
              <w:t>效果（15）</w:t>
            </w:r>
          </w:p>
          <w:p w14:paraId="090BEEB2">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5A610B00">
            <w:pPr>
              <w:spacing w:after="0" w:line="68" w:lineRule="atLeast"/>
              <w:rPr>
                <w:rFonts w:ascii="宋体" w:hAnsi="宋体" w:eastAsia="宋体" w:cs="宋体"/>
              </w:rPr>
            </w:pPr>
            <w:r>
              <w:rPr>
                <w:rFonts w:hint="eastAsia" w:ascii="宋体" w:hAnsi="宋体" w:eastAsia="宋体" w:cs="宋体"/>
              </w:rPr>
              <w:t>监督发现问题</w:t>
            </w:r>
          </w:p>
          <w:p w14:paraId="745D6812">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7C967787">
            <w:pPr>
              <w:spacing w:after="0" w:line="68" w:lineRule="atLeast"/>
              <w:rPr>
                <w:rFonts w:ascii="宋体" w:hAnsi="宋体" w:eastAsia="宋体" w:cs="宋体"/>
              </w:rPr>
            </w:pPr>
            <w:r>
              <w:rPr>
                <w:rFonts w:hint="eastAsia" w:ascii="宋体" w:hAnsi="宋体" w:eastAsia="宋体" w:cs="宋体"/>
              </w:rPr>
              <w:t>违规率（2分）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7ADACB44">
            <w:pPr>
              <w:spacing w:after="0" w:line="68" w:lineRule="atLeast"/>
              <w:rPr>
                <w:rFonts w:ascii="宋体" w:hAnsi="宋体" w:eastAsia="宋体" w:cs="宋体"/>
              </w:rPr>
            </w:pPr>
            <w:r>
              <w:rPr>
                <w:rFonts w:hint="eastAsia" w:ascii="宋体" w:hAnsi="宋体" w:eastAsia="宋体" w:cs="宋体"/>
              </w:rPr>
              <w:t>部门存在违规问题的资金数量占部门预算支出资金总额的比重，用以反映和考核部门预算资金管理使用的合法、合规情况。</w:t>
            </w:r>
          </w:p>
          <w:p w14:paraId="43760713">
            <w:pPr>
              <w:spacing w:after="0" w:line="68" w:lineRule="atLeast"/>
              <w:rPr>
                <w:rFonts w:ascii="宋体" w:hAnsi="宋体" w:eastAsia="宋体" w:cs="宋体"/>
              </w:rPr>
            </w:pPr>
            <w:r>
              <w:rPr>
                <w:rFonts w:hint="eastAsia" w:ascii="宋体" w:hAnsi="宋体" w:eastAsia="宋体" w:cs="宋体"/>
              </w:rPr>
              <w:t>违规率=存在违规问题的资金额/部门预算支出资金总额×100%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1B1D9B7A">
            <w:pPr>
              <w:spacing w:after="0" w:line="240" w:lineRule="exact"/>
              <w:rPr>
                <w:rFonts w:ascii="宋体" w:hAnsi="宋体" w:eastAsia="宋体" w:cs="宋体"/>
              </w:rPr>
            </w:pPr>
            <w:r>
              <w:rPr>
                <w:rFonts w:hint="eastAsia" w:ascii="宋体" w:hAnsi="宋体" w:eastAsia="宋体" w:cs="宋体"/>
              </w:rPr>
              <w:t>目标值0，达到目标值得2分，未达到目标值的每增加0.1个百分点扣0.1分</w:t>
            </w:r>
          </w:p>
        </w:tc>
        <w:tc>
          <w:tcPr>
            <w:tcW w:w="1090" w:type="dxa"/>
            <w:tcBorders>
              <w:top w:val="single" w:color="000000" w:sz="4" w:space="0"/>
              <w:left w:val="single" w:color="auto" w:sz="4" w:space="0"/>
              <w:bottom w:val="single" w:color="000000" w:sz="4" w:space="0"/>
              <w:right w:val="single" w:color="000000" w:sz="4" w:space="0"/>
            </w:tcBorders>
            <w:vAlign w:val="center"/>
          </w:tcPr>
          <w:p w14:paraId="5B3DFC2B">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1E03F7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5" w:hRule="atLeast"/>
          <w:jc w:val="center"/>
        </w:trPr>
        <w:tc>
          <w:tcPr>
            <w:tcW w:w="733" w:type="dxa"/>
            <w:vMerge w:val="continue"/>
            <w:tcBorders>
              <w:left w:val="single" w:color="000000" w:sz="4" w:space="0"/>
              <w:right w:val="single" w:color="000000" w:sz="4" w:space="0"/>
            </w:tcBorders>
            <w:vAlign w:val="center"/>
          </w:tcPr>
          <w:p w14:paraId="4A1B464B">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2CC4B900">
            <w:pPr>
              <w:spacing w:after="0" w:line="68" w:lineRule="atLeast"/>
              <w:rPr>
                <w:rFonts w:ascii="宋体" w:hAnsi="宋体" w:eastAsia="宋体" w:cs="宋体"/>
              </w:rPr>
            </w:pPr>
            <w:r>
              <w:rPr>
                <w:rFonts w:hint="eastAsia" w:ascii="宋体" w:hAnsi="宋体" w:eastAsia="宋体" w:cs="宋体"/>
              </w:rPr>
              <w:t>工作成效（5）</w:t>
            </w:r>
          </w:p>
        </w:tc>
        <w:tc>
          <w:tcPr>
            <w:tcW w:w="1182" w:type="dxa"/>
            <w:tcBorders>
              <w:top w:val="single" w:color="000000" w:sz="4" w:space="0"/>
              <w:left w:val="single" w:color="000000" w:sz="4" w:space="0"/>
              <w:bottom w:val="single" w:color="000000" w:sz="4" w:space="0"/>
              <w:right w:val="single" w:color="auto" w:sz="4" w:space="0"/>
            </w:tcBorders>
            <w:vAlign w:val="center"/>
          </w:tcPr>
          <w:p w14:paraId="548C933C">
            <w:pPr>
              <w:spacing w:after="0" w:line="68" w:lineRule="atLeast"/>
              <w:rPr>
                <w:rFonts w:ascii="宋体" w:hAnsi="宋体" w:eastAsia="宋体" w:cs="宋体"/>
              </w:rPr>
            </w:pPr>
            <w:r>
              <w:rPr>
                <w:rFonts w:hint="eastAsia" w:ascii="宋体" w:hAnsi="宋体" w:eastAsia="宋体" w:cs="宋体"/>
                <w:bCs/>
                <w:color w:val="000000"/>
              </w:rPr>
              <w:t>部门预算绩效管理考核评价</w:t>
            </w:r>
            <w:r>
              <w:rPr>
                <w:rFonts w:hint="eastAsia" w:ascii="宋体" w:hAnsi="宋体" w:eastAsia="宋体" w:cs="宋体"/>
                <w:bCs/>
              </w:rPr>
              <w:t>（5）</w:t>
            </w:r>
          </w:p>
        </w:tc>
        <w:tc>
          <w:tcPr>
            <w:tcW w:w="6911" w:type="dxa"/>
            <w:tcBorders>
              <w:top w:val="single" w:color="000000" w:sz="4" w:space="0"/>
              <w:left w:val="single" w:color="auto" w:sz="4" w:space="0"/>
              <w:bottom w:val="single" w:color="000000" w:sz="4" w:space="0"/>
              <w:right w:val="single" w:color="auto" w:sz="4" w:space="0"/>
            </w:tcBorders>
            <w:vAlign w:val="center"/>
          </w:tcPr>
          <w:p w14:paraId="6B7A7CA8">
            <w:pPr>
              <w:spacing w:after="0" w:line="240" w:lineRule="exact"/>
              <w:rPr>
                <w:rFonts w:ascii="宋体" w:hAnsi="宋体" w:eastAsia="宋体" w:cs="宋体"/>
              </w:rPr>
            </w:pPr>
            <w:r>
              <w:rPr>
                <w:rFonts w:hint="eastAsia" w:ascii="宋体" w:hAnsi="宋体" w:eastAsia="宋体" w:cs="宋体"/>
                <w:color w:val="000000"/>
              </w:rPr>
              <w:t>财政部门对部门开展预算绩效管理工作的评价结果，用以反映部门对预算绩效管理工作的重视程度和取得的成效。</w:t>
            </w:r>
          </w:p>
          <w:p w14:paraId="15E3C5DE">
            <w:pPr>
              <w:spacing w:after="0" w:line="240" w:lineRule="exact"/>
              <w:rPr>
                <w:rFonts w:ascii="宋体" w:hAnsi="宋体" w:eastAsia="宋体" w:cs="宋体"/>
              </w:rPr>
            </w:pPr>
            <w:r>
              <w:rPr>
                <w:rFonts w:hint="eastAsia" w:ascii="宋体" w:hAnsi="宋体" w:eastAsia="宋体" w:cs="宋体"/>
                <w:color w:val="000000"/>
              </w:rPr>
              <w:t>1.财政部门对部门绩效管理工作开展情况进行核查评价，包括绩效目标管理、绩效执行监控、绩效自评和评价结果应用等情况，按百分制。</w:t>
            </w:r>
          </w:p>
          <w:p w14:paraId="5D725314">
            <w:pPr>
              <w:spacing w:after="0" w:line="68" w:lineRule="atLeast"/>
              <w:rPr>
                <w:rFonts w:ascii="宋体" w:hAnsi="宋体" w:eastAsia="宋体" w:cs="宋体"/>
              </w:rPr>
            </w:pPr>
            <w:r>
              <w:rPr>
                <w:rFonts w:hint="eastAsia" w:ascii="宋体" w:hAnsi="宋体" w:eastAsia="宋体" w:cs="宋体"/>
                <w:color w:val="000000"/>
              </w:rPr>
              <w:t>2.以部门为单位进行综合计算，得出各部门绩效管理工作评价结果。</w:t>
            </w:r>
          </w:p>
        </w:tc>
        <w:tc>
          <w:tcPr>
            <w:tcW w:w="3423" w:type="dxa"/>
            <w:tcBorders>
              <w:top w:val="single" w:color="000000" w:sz="4" w:space="0"/>
              <w:left w:val="single" w:color="auto" w:sz="4" w:space="0"/>
              <w:bottom w:val="single" w:color="000000" w:sz="4" w:space="0"/>
              <w:right w:val="single" w:color="auto" w:sz="4" w:space="0"/>
            </w:tcBorders>
            <w:vAlign w:val="center"/>
          </w:tcPr>
          <w:p w14:paraId="542DF2F4">
            <w:pPr>
              <w:spacing w:after="0" w:line="240" w:lineRule="exact"/>
              <w:rPr>
                <w:rFonts w:ascii="宋体" w:hAnsi="宋体" w:eastAsia="宋体" w:cs="宋体"/>
              </w:rPr>
            </w:pPr>
            <w:r>
              <w:rPr>
                <w:rFonts w:hint="eastAsia" w:ascii="宋体" w:hAnsi="宋体" w:eastAsia="宋体" w:cs="宋体"/>
                <w:color w:val="000000"/>
              </w:rPr>
              <w:t>综合得分=（部门绩效管理工作评价结果/100）*5分</w:t>
            </w:r>
          </w:p>
          <w:p w14:paraId="2A8487AC">
            <w:pPr>
              <w:spacing w:after="0" w:line="68" w:lineRule="atLeast"/>
              <w:rPr>
                <w:rFonts w:ascii="宋体" w:hAnsi="宋体" w:eastAsia="宋体" w:cs="宋体"/>
              </w:rPr>
            </w:pPr>
            <w:r>
              <w:rPr>
                <w:rFonts w:hint="eastAsia" w:ascii="宋体" w:hAnsi="宋体" w:eastAsia="宋体" w:cs="宋体"/>
              </w:rPr>
              <w:t> </w:t>
            </w:r>
          </w:p>
        </w:tc>
        <w:tc>
          <w:tcPr>
            <w:tcW w:w="1090" w:type="dxa"/>
            <w:tcBorders>
              <w:top w:val="single" w:color="000000" w:sz="4" w:space="0"/>
              <w:left w:val="single" w:color="auto" w:sz="4" w:space="0"/>
              <w:bottom w:val="single" w:color="000000" w:sz="4" w:space="0"/>
              <w:right w:val="single" w:color="000000" w:sz="4" w:space="0"/>
            </w:tcBorders>
            <w:vAlign w:val="center"/>
          </w:tcPr>
          <w:p w14:paraId="032BE7A0">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06B25E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7" w:hRule="atLeast"/>
          <w:jc w:val="center"/>
        </w:trPr>
        <w:tc>
          <w:tcPr>
            <w:tcW w:w="733" w:type="dxa"/>
            <w:vMerge w:val="continue"/>
            <w:tcBorders>
              <w:left w:val="single" w:color="000000" w:sz="4" w:space="0"/>
              <w:right w:val="single" w:color="000000" w:sz="4" w:space="0"/>
            </w:tcBorders>
            <w:vAlign w:val="center"/>
          </w:tcPr>
          <w:p w14:paraId="2CC93EE1">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6F4C2D45">
            <w:pPr>
              <w:spacing w:after="0" w:line="68" w:lineRule="atLeast"/>
              <w:rPr>
                <w:rFonts w:ascii="宋体" w:hAnsi="宋体" w:eastAsia="宋体" w:cs="宋体"/>
              </w:rPr>
            </w:pPr>
            <w:r>
              <w:rPr>
                <w:rFonts w:hint="eastAsia" w:ascii="宋体" w:hAnsi="宋体" w:eastAsia="宋体" w:cs="宋体"/>
              </w:rPr>
              <w:t>评价结果应用</w:t>
            </w:r>
          </w:p>
          <w:p w14:paraId="6E9BE6EB">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58FEB828">
            <w:pPr>
              <w:spacing w:after="0" w:line="68" w:lineRule="atLeast"/>
              <w:rPr>
                <w:rFonts w:ascii="宋体" w:hAnsi="宋体" w:eastAsia="宋体" w:cs="宋体"/>
              </w:rPr>
            </w:pPr>
            <w:r>
              <w:rPr>
                <w:rFonts w:hint="eastAsia" w:ascii="宋体" w:hAnsi="宋体" w:eastAsia="宋体" w:cs="宋体"/>
              </w:rPr>
              <w:t>应用率（2分）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01DC5404">
            <w:pPr>
              <w:spacing w:after="0" w:line="68" w:lineRule="atLeast"/>
              <w:rPr>
                <w:rFonts w:ascii="宋体" w:hAnsi="宋体" w:eastAsia="宋体" w:cs="宋体"/>
              </w:rPr>
            </w:pPr>
            <w:r>
              <w:rPr>
                <w:rFonts w:hint="eastAsia" w:ascii="宋体" w:hAnsi="宋体" w:eastAsia="宋体" w:cs="宋体"/>
              </w:rPr>
              <w:t>部门应用绩效评价结果的项目数占绩效评价项目数的比重，用以反映和考核部门绩效评价结果的利用水平和程度。</w:t>
            </w:r>
          </w:p>
          <w:p w14:paraId="560CD9D4">
            <w:pPr>
              <w:spacing w:after="0" w:line="68" w:lineRule="atLeast"/>
              <w:rPr>
                <w:rFonts w:ascii="宋体" w:hAnsi="宋体" w:eastAsia="宋体" w:cs="宋体"/>
              </w:rPr>
            </w:pPr>
            <w:r>
              <w:rPr>
                <w:rFonts w:hint="eastAsia" w:ascii="宋体" w:hAnsi="宋体" w:eastAsia="宋体" w:cs="宋体"/>
              </w:rPr>
              <w:t>应用率=应用绩效评价结果的项目数量/部门实施绩效评价项目数量×100%。</w:t>
            </w:r>
          </w:p>
          <w:p w14:paraId="78092D64">
            <w:pPr>
              <w:spacing w:after="0" w:line="68" w:lineRule="atLeast"/>
              <w:rPr>
                <w:rFonts w:ascii="宋体" w:hAnsi="宋体" w:eastAsia="宋体" w:cs="宋体"/>
              </w:rPr>
            </w:pPr>
            <w:r>
              <w:rPr>
                <w:rFonts w:hint="eastAsia" w:ascii="宋体" w:hAnsi="宋体" w:eastAsia="宋体" w:cs="宋体"/>
              </w:rPr>
              <w:t>应用绩效评价结果包括向财政部门报告绩效评价结果、向被评价单位反馈绩效评价结果、内部公开绩效评价结果和落实整改措施等方面，其中，落实整改措施包括调整预算结构、改革预算管理、整改发现问题、健全制度措施和实施绩效问责。</w:t>
            </w:r>
          </w:p>
        </w:tc>
        <w:tc>
          <w:tcPr>
            <w:tcW w:w="3423" w:type="dxa"/>
            <w:tcBorders>
              <w:top w:val="single" w:color="000000" w:sz="4" w:space="0"/>
              <w:left w:val="single" w:color="auto" w:sz="4" w:space="0"/>
              <w:bottom w:val="single" w:color="000000" w:sz="4" w:space="0"/>
              <w:right w:val="single" w:color="auto" w:sz="4" w:space="0"/>
            </w:tcBorders>
            <w:vAlign w:val="center"/>
          </w:tcPr>
          <w:p w14:paraId="014E1A29">
            <w:pPr>
              <w:spacing w:after="0" w:line="240" w:lineRule="exact"/>
              <w:rPr>
                <w:rFonts w:ascii="宋体" w:hAnsi="宋体" w:eastAsia="宋体" w:cs="宋体"/>
              </w:rPr>
            </w:pPr>
            <w:r>
              <w:rPr>
                <w:rFonts w:hint="eastAsia" w:ascii="宋体" w:hAnsi="宋体" w:eastAsia="宋体" w:cs="宋体"/>
              </w:rPr>
              <w:t>目标值为100%；以2分为上限，采用完成比率法计分：得分=应用率×2，超出目标值不加分。</w:t>
            </w:r>
          </w:p>
        </w:tc>
        <w:tc>
          <w:tcPr>
            <w:tcW w:w="1090" w:type="dxa"/>
            <w:tcBorders>
              <w:top w:val="single" w:color="000000" w:sz="4" w:space="0"/>
              <w:left w:val="single" w:color="auto" w:sz="4" w:space="0"/>
              <w:bottom w:val="single" w:color="000000" w:sz="4" w:space="0"/>
              <w:right w:val="single" w:color="000000" w:sz="4" w:space="0"/>
            </w:tcBorders>
            <w:vAlign w:val="center"/>
          </w:tcPr>
          <w:p w14:paraId="196F5D15">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16D65B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79" w:hRule="atLeast"/>
          <w:jc w:val="center"/>
        </w:trPr>
        <w:tc>
          <w:tcPr>
            <w:tcW w:w="733" w:type="dxa"/>
            <w:vMerge w:val="continue"/>
            <w:tcBorders>
              <w:left w:val="single" w:color="000000" w:sz="4" w:space="0"/>
              <w:right w:val="single" w:color="000000" w:sz="4" w:space="0"/>
            </w:tcBorders>
            <w:vAlign w:val="center"/>
          </w:tcPr>
          <w:p w14:paraId="72F0215F">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6C37D9EC">
            <w:pPr>
              <w:spacing w:after="0" w:line="68" w:lineRule="atLeast"/>
              <w:rPr>
                <w:rFonts w:ascii="宋体" w:hAnsi="宋体" w:eastAsia="宋体" w:cs="宋体"/>
              </w:rPr>
            </w:pPr>
            <w:r>
              <w:rPr>
                <w:rFonts w:hint="eastAsia" w:ascii="宋体" w:hAnsi="宋体" w:eastAsia="宋体" w:cs="宋体"/>
              </w:rPr>
              <w:t>结果应用创新（1分）</w:t>
            </w:r>
          </w:p>
        </w:tc>
        <w:tc>
          <w:tcPr>
            <w:tcW w:w="1182" w:type="dxa"/>
            <w:tcBorders>
              <w:top w:val="single" w:color="000000" w:sz="4" w:space="0"/>
              <w:left w:val="single" w:color="000000" w:sz="4" w:space="0"/>
              <w:bottom w:val="single" w:color="000000" w:sz="4" w:space="0"/>
              <w:right w:val="single" w:color="auto" w:sz="4" w:space="0"/>
            </w:tcBorders>
            <w:vAlign w:val="center"/>
          </w:tcPr>
          <w:p w14:paraId="7FC4F9D4">
            <w:pPr>
              <w:spacing w:after="0" w:line="68" w:lineRule="atLeast"/>
              <w:rPr>
                <w:rFonts w:ascii="宋体" w:hAnsi="宋体" w:eastAsia="宋体" w:cs="宋体"/>
              </w:rPr>
            </w:pPr>
            <w:r>
              <w:rPr>
                <w:rFonts w:hint="eastAsia" w:ascii="宋体" w:hAnsi="宋体" w:eastAsia="宋体" w:cs="宋体"/>
              </w:rPr>
              <w:t>结果应用创新（1分）</w:t>
            </w:r>
          </w:p>
        </w:tc>
        <w:tc>
          <w:tcPr>
            <w:tcW w:w="6911" w:type="dxa"/>
            <w:tcBorders>
              <w:top w:val="single" w:color="000000" w:sz="4" w:space="0"/>
              <w:left w:val="single" w:color="auto" w:sz="4" w:space="0"/>
              <w:bottom w:val="single" w:color="000000" w:sz="4" w:space="0"/>
              <w:right w:val="single" w:color="auto" w:sz="4" w:space="0"/>
            </w:tcBorders>
            <w:vAlign w:val="center"/>
          </w:tcPr>
          <w:p w14:paraId="750A7C55">
            <w:pPr>
              <w:spacing w:after="0" w:line="68" w:lineRule="atLeast"/>
              <w:rPr>
                <w:rFonts w:ascii="宋体" w:hAnsi="宋体" w:eastAsia="宋体" w:cs="宋体"/>
              </w:rPr>
            </w:pPr>
            <w:r>
              <w:rPr>
                <w:rFonts w:hint="eastAsia" w:ascii="宋体" w:hAnsi="宋体" w:eastAsia="宋体" w:cs="宋体"/>
              </w:rPr>
              <w:t>部门将绩效结果主动对外公开、预算绩效管理工作开展情况向同级政府、人大等部门报告，用以反映和考核部门在结果应用方面的创新情况。</w:t>
            </w:r>
          </w:p>
          <w:p w14:paraId="40564376">
            <w:pPr>
              <w:spacing w:after="0" w:line="68" w:lineRule="atLeast"/>
              <w:rPr>
                <w:rFonts w:ascii="宋体" w:hAnsi="宋体" w:eastAsia="宋体" w:cs="宋体"/>
              </w:rPr>
            </w:pPr>
            <w:r>
              <w:rPr>
                <w:rFonts w:hint="eastAsia" w:ascii="宋体" w:hAnsi="宋体" w:eastAsia="宋体" w:cs="宋体"/>
              </w:rPr>
              <w:t>评价要点：</w:t>
            </w:r>
          </w:p>
          <w:p w14:paraId="22A10C5F">
            <w:pPr>
              <w:spacing w:after="0" w:line="68" w:lineRule="atLeast"/>
              <w:rPr>
                <w:rFonts w:ascii="宋体" w:hAnsi="宋体" w:eastAsia="宋体" w:cs="宋体"/>
              </w:rPr>
            </w:pPr>
            <w:r>
              <w:rPr>
                <w:rFonts w:hint="eastAsia" w:ascii="宋体" w:hAnsi="宋体" w:eastAsia="宋体" w:cs="宋体"/>
              </w:rPr>
              <w:t>1.部门是否按要求对社会公开绩效评价结果。</w:t>
            </w:r>
          </w:p>
          <w:p w14:paraId="52BA2F3B">
            <w:pPr>
              <w:spacing w:after="0" w:line="68" w:lineRule="atLeast"/>
              <w:rPr>
                <w:rFonts w:ascii="宋体" w:hAnsi="宋体" w:eastAsia="宋体" w:cs="宋体"/>
              </w:rPr>
            </w:pPr>
            <w:r>
              <w:rPr>
                <w:rFonts w:hint="eastAsia" w:ascii="宋体" w:hAnsi="宋体" w:eastAsia="宋体" w:cs="宋体"/>
              </w:rPr>
              <w:t>2.部门是否将预算绩效管理工作开展情况向同级政府、人大等部门报告。</w:t>
            </w:r>
          </w:p>
        </w:tc>
        <w:tc>
          <w:tcPr>
            <w:tcW w:w="3423" w:type="dxa"/>
            <w:tcBorders>
              <w:top w:val="single" w:color="000000" w:sz="4" w:space="0"/>
              <w:left w:val="single" w:color="auto" w:sz="4" w:space="0"/>
              <w:bottom w:val="single" w:color="000000" w:sz="4" w:space="0"/>
              <w:right w:val="single" w:color="auto" w:sz="4" w:space="0"/>
            </w:tcBorders>
            <w:vAlign w:val="center"/>
          </w:tcPr>
          <w:p w14:paraId="51FA5874">
            <w:pPr>
              <w:spacing w:after="0" w:line="240" w:lineRule="exact"/>
              <w:rPr>
                <w:rFonts w:ascii="宋体" w:hAnsi="宋体" w:eastAsia="宋体" w:cs="宋体"/>
              </w:rPr>
            </w:pPr>
            <w:r>
              <w:rPr>
                <w:rFonts w:hint="eastAsia" w:ascii="宋体" w:hAnsi="宋体" w:eastAsia="宋体" w:cs="宋体"/>
              </w:rPr>
              <w:t>全部符合（1分）；</w:t>
            </w:r>
          </w:p>
          <w:p w14:paraId="08ABD042">
            <w:pPr>
              <w:spacing w:after="0" w:line="240" w:lineRule="exact"/>
              <w:rPr>
                <w:rFonts w:ascii="宋体" w:hAnsi="宋体" w:eastAsia="宋体" w:cs="宋体"/>
              </w:rPr>
            </w:pPr>
            <w:r>
              <w:rPr>
                <w:rFonts w:hint="eastAsia" w:ascii="宋体" w:hAnsi="宋体" w:eastAsia="宋体" w:cs="宋体"/>
              </w:rPr>
              <w:t>符合其中两项（0.5分）</w:t>
            </w:r>
          </w:p>
          <w:p w14:paraId="6907B390">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66DDCD66">
            <w:pPr>
              <w:spacing w:after="0" w:line="68" w:lineRule="atLeast"/>
              <w:jc w:val="center"/>
              <w:rPr>
                <w:rFonts w:hint="default" w:ascii="宋体" w:hAnsi="宋体" w:eastAsia="宋体" w:cs="宋体"/>
                <w:lang w:val="en-US" w:eastAsia="zh-CN"/>
              </w:rPr>
            </w:pPr>
            <w:r>
              <w:rPr>
                <w:rFonts w:hint="eastAsia" w:ascii="宋体" w:hAnsi="宋体" w:eastAsia="宋体" w:cs="宋体"/>
                <w:lang w:val="en-US" w:eastAsia="zh-CN"/>
              </w:rPr>
              <w:t>0.5</w:t>
            </w:r>
          </w:p>
        </w:tc>
      </w:tr>
      <w:tr w14:paraId="25CBA5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8" w:hRule="atLeast"/>
          <w:jc w:val="center"/>
        </w:trPr>
        <w:tc>
          <w:tcPr>
            <w:tcW w:w="733" w:type="dxa"/>
            <w:vMerge w:val="continue"/>
            <w:tcBorders>
              <w:left w:val="single" w:color="000000" w:sz="4" w:space="0"/>
              <w:right w:val="single" w:color="000000" w:sz="4" w:space="0"/>
            </w:tcBorders>
            <w:vAlign w:val="center"/>
          </w:tcPr>
          <w:p w14:paraId="74C61618">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43D7CBC2">
            <w:pPr>
              <w:spacing w:after="0" w:line="68" w:lineRule="atLeast"/>
              <w:rPr>
                <w:rFonts w:ascii="宋体" w:hAnsi="宋体" w:eastAsia="宋体" w:cs="宋体"/>
              </w:rPr>
            </w:pPr>
            <w:r>
              <w:rPr>
                <w:rFonts w:hint="eastAsia" w:ascii="宋体" w:hAnsi="宋体" w:eastAsia="宋体" w:cs="宋体"/>
              </w:rPr>
              <w:t>社会效益（5分）</w:t>
            </w:r>
          </w:p>
        </w:tc>
        <w:tc>
          <w:tcPr>
            <w:tcW w:w="1182" w:type="dxa"/>
            <w:tcBorders>
              <w:top w:val="single" w:color="000000" w:sz="4" w:space="0"/>
              <w:left w:val="single" w:color="000000" w:sz="4" w:space="0"/>
              <w:bottom w:val="single" w:color="000000" w:sz="4" w:space="0"/>
              <w:right w:val="single" w:color="auto" w:sz="4" w:space="0"/>
            </w:tcBorders>
            <w:vAlign w:val="center"/>
          </w:tcPr>
          <w:p w14:paraId="69CD06FB">
            <w:pPr>
              <w:spacing w:after="0" w:line="68" w:lineRule="atLeast"/>
              <w:rPr>
                <w:rFonts w:ascii="宋体" w:hAnsi="宋体" w:eastAsia="宋体" w:cs="宋体"/>
              </w:rPr>
            </w:pPr>
            <w:r>
              <w:rPr>
                <w:rFonts w:hint="eastAsia" w:ascii="宋体" w:hAnsi="宋体" w:eastAsia="宋体" w:cs="宋体"/>
              </w:rPr>
              <w:t>社会公众满意度（5分）</w:t>
            </w:r>
          </w:p>
        </w:tc>
        <w:tc>
          <w:tcPr>
            <w:tcW w:w="6911" w:type="dxa"/>
            <w:tcBorders>
              <w:top w:val="single" w:color="000000" w:sz="4" w:space="0"/>
              <w:left w:val="single" w:color="auto" w:sz="4" w:space="0"/>
              <w:bottom w:val="single" w:color="000000" w:sz="4" w:space="0"/>
              <w:right w:val="single" w:color="auto" w:sz="4" w:space="0"/>
            </w:tcBorders>
            <w:vAlign w:val="center"/>
          </w:tcPr>
          <w:p w14:paraId="20FB9E4E">
            <w:pPr>
              <w:spacing w:after="0" w:line="68" w:lineRule="atLeast"/>
              <w:rPr>
                <w:rFonts w:ascii="宋体" w:hAnsi="宋体" w:eastAsia="宋体" w:cs="宋体"/>
              </w:rPr>
            </w:pPr>
            <w:r>
              <w:rPr>
                <w:rFonts w:hint="eastAsia" w:ascii="宋体" w:hAnsi="宋体" w:eastAsia="宋体" w:cs="宋体"/>
              </w:rPr>
              <w:t>通过问卷调查了解社会公众对部门履职效果、解决民众关心的热点问题、厉行节约等方面的满意程度，反映和评价部门支出所带来的社会效益。</w:t>
            </w:r>
          </w:p>
        </w:tc>
        <w:tc>
          <w:tcPr>
            <w:tcW w:w="3423" w:type="dxa"/>
            <w:tcBorders>
              <w:top w:val="single" w:color="000000" w:sz="4" w:space="0"/>
              <w:left w:val="single" w:color="auto" w:sz="4" w:space="0"/>
              <w:bottom w:val="single" w:color="000000" w:sz="4" w:space="0"/>
              <w:right w:val="single" w:color="auto" w:sz="4" w:space="0"/>
            </w:tcBorders>
            <w:vAlign w:val="center"/>
          </w:tcPr>
          <w:p w14:paraId="6C71CAA4">
            <w:pPr>
              <w:spacing w:after="0" w:line="240" w:lineRule="exact"/>
              <w:rPr>
                <w:rFonts w:ascii="宋体" w:hAnsi="宋体" w:eastAsia="宋体" w:cs="宋体"/>
              </w:rPr>
            </w:pPr>
            <w:r>
              <w:rPr>
                <w:rFonts w:hint="eastAsia" w:ascii="宋体" w:hAnsi="宋体" w:eastAsia="宋体" w:cs="宋体"/>
              </w:rPr>
              <w:t>按照满意度调查的优秀、良好、合格、不合格给予该项指标打分：</w:t>
            </w:r>
          </w:p>
          <w:p w14:paraId="66064D9F">
            <w:pPr>
              <w:spacing w:after="0" w:line="68" w:lineRule="atLeast"/>
              <w:rPr>
                <w:rFonts w:ascii="宋体" w:hAnsi="宋体" w:eastAsia="宋体" w:cs="宋体"/>
              </w:rPr>
            </w:pPr>
            <w:r>
              <w:rPr>
                <w:rFonts w:hint="eastAsia" w:ascii="宋体" w:hAnsi="宋体" w:eastAsia="宋体" w:cs="宋体"/>
              </w:rPr>
              <w:t>优秀（5分）；良好（3分）；合格（1分）；不合格（0分）。</w:t>
            </w:r>
          </w:p>
        </w:tc>
        <w:tc>
          <w:tcPr>
            <w:tcW w:w="1090" w:type="dxa"/>
            <w:tcBorders>
              <w:top w:val="single" w:color="000000" w:sz="4" w:space="0"/>
              <w:left w:val="single" w:color="auto" w:sz="4" w:space="0"/>
              <w:bottom w:val="single" w:color="000000" w:sz="4" w:space="0"/>
              <w:right w:val="single" w:color="000000" w:sz="4" w:space="0"/>
            </w:tcBorders>
            <w:vAlign w:val="center"/>
          </w:tcPr>
          <w:p w14:paraId="603EEB3E">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57884E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733" w:type="dxa"/>
            <w:tcBorders>
              <w:left w:val="single" w:color="000000" w:sz="4" w:space="0"/>
              <w:right w:val="single" w:color="000000" w:sz="4" w:space="0"/>
            </w:tcBorders>
            <w:vAlign w:val="center"/>
          </w:tcPr>
          <w:p w14:paraId="64410DC7">
            <w:pPr>
              <w:spacing w:after="0"/>
              <w:rPr>
                <w:rFonts w:ascii="宋体" w:hAnsi="宋体" w:eastAsia="宋体" w:cs="宋体"/>
              </w:rPr>
            </w:pPr>
            <w:r>
              <w:rPr>
                <w:rFonts w:hint="eastAsia" w:ascii="宋体" w:hAnsi="宋体" w:eastAsia="宋体" w:cs="宋体"/>
              </w:rPr>
              <w:t>小计</w:t>
            </w:r>
          </w:p>
        </w:tc>
        <w:tc>
          <w:tcPr>
            <w:tcW w:w="803" w:type="dxa"/>
            <w:tcBorders>
              <w:top w:val="single" w:color="auto" w:sz="4" w:space="0"/>
              <w:left w:val="single" w:color="000000" w:sz="4" w:space="0"/>
              <w:bottom w:val="single" w:color="auto" w:sz="4" w:space="0"/>
              <w:right w:val="single" w:color="000000" w:sz="4" w:space="0"/>
            </w:tcBorders>
            <w:vAlign w:val="center"/>
          </w:tcPr>
          <w:p w14:paraId="7DCB6D87">
            <w:pPr>
              <w:spacing w:after="0" w:line="68" w:lineRule="atLeast"/>
              <w:rPr>
                <w:rFonts w:ascii="宋体" w:hAnsi="宋体" w:eastAsia="宋体" w:cs="宋体"/>
              </w:rPr>
            </w:pPr>
            <w:r>
              <w:rPr>
                <w:rFonts w:hint="eastAsia" w:ascii="宋体" w:hAnsi="宋体" w:eastAsia="宋体" w:cs="宋体"/>
              </w:rPr>
              <w:t>100</w:t>
            </w:r>
          </w:p>
        </w:tc>
        <w:tc>
          <w:tcPr>
            <w:tcW w:w="1182" w:type="dxa"/>
            <w:tcBorders>
              <w:top w:val="single" w:color="000000" w:sz="4" w:space="0"/>
              <w:left w:val="single" w:color="000000" w:sz="4" w:space="0"/>
              <w:bottom w:val="single" w:color="000000" w:sz="4" w:space="0"/>
              <w:right w:val="single" w:color="auto" w:sz="4" w:space="0"/>
            </w:tcBorders>
            <w:vAlign w:val="center"/>
          </w:tcPr>
          <w:p w14:paraId="5141DC89">
            <w:pPr>
              <w:spacing w:after="0" w:line="68" w:lineRule="atLeast"/>
              <w:rPr>
                <w:rFonts w:ascii="宋体" w:hAnsi="宋体" w:eastAsia="宋体" w:cs="宋体"/>
              </w:rPr>
            </w:pPr>
          </w:p>
        </w:tc>
        <w:tc>
          <w:tcPr>
            <w:tcW w:w="6911" w:type="dxa"/>
            <w:tcBorders>
              <w:top w:val="single" w:color="000000" w:sz="4" w:space="0"/>
              <w:left w:val="single" w:color="auto" w:sz="4" w:space="0"/>
              <w:bottom w:val="single" w:color="000000" w:sz="4" w:space="0"/>
              <w:right w:val="single" w:color="auto" w:sz="4" w:space="0"/>
            </w:tcBorders>
            <w:vAlign w:val="center"/>
          </w:tcPr>
          <w:p w14:paraId="3B00A758">
            <w:pPr>
              <w:spacing w:after="0" w:line="68" w:lineRule="atLeast"/>
              <w:rPr>
                <w:rFonts w:ascii="宋体" w:hAnsi="宋体" w:eastAsia="宋体" w:cs="宋体"/>
              </w:rPr>
            </w:pPr>
          </w:p>
        </w:tc>
        <w:tc>
          <w:tcPr>
            <w:tcW w:w="3423" w:type="dxa"/>
            <w:tcBorders>
              <w:top w:val="single" w:color="000000" w:sz="4" w:space="0"/>
              <w:left w:val="single" w:color="auto" w:sz="4" w:space="0"/>
              <w:bottom w:val="single" w:color="000000" w:sz="4" w:space="0"/>
              <w:right w:val="single" w:color="auto" w:sz="4" w:space="0"/>
            </w:tcBorders>
            <w:vAlign w:val="center"/>
          </w:tcPr>
          <w:p w14:paraId="27CEA270">
            <w:pPr>
              <w:spacing w:after="0" w:line="68" w:lineRule="atLeast"/>
              <w:rPr>
                <w:rFonts w:ascii="宋体" w:hAnsi="宋体" w:eastAsia="宋体" w:cs="宋体"/>
              </w:rPr>
            </w:pPr>
          </w:p>
        </w:tc>
        <w:tc>
          <w:tcPr>
            <w:tcW w:w="1090" w:type="dxa"/>
            <w:tcBorders>
              <w:top w:val="single" w:color="000000" w:sz="4" w:space="0"/>
              <w:left w:val="single" w:color="auto" w:sz="4" w:space="0"/>
              <w:bottom w:val="single" w:color="000000" w:sz="4" w:space="0"/>
              <w:right w:val="single" w:color="000000" w:sz="4" w:space="0"/>
            </w:tcBorders>
            <w:vAlign w:val="center"/>
          </w:tcPr>
          <w:p w14:paraId="77757DD8">
            <w:pPr>
              <w:spacing w:after="0" w:line="68" w:lineRule="atLeast"/>
              <w:jc w:val="center"/>
              <w:rPr>
                <w:rFonts w:hint="default" w:ascii="宋体" w:hAnsi="宋体" w:eastAsia="宋体" w:cs="宋体"/>
                <w:lang w:val="en-US" w:eastAsia="zh-CN"/>
              </w:rPr>
            </w:pPr>
            <w:r>
              <w:rPr>
                <w:rFonts w:hint="eastAsia" w:ascii="宋体" w:hAnsi="宋体" w:eastAsia="宋体" w:cs="宋体"/>
                <w:lang w:val="en-US" w:eastAsia="zh-CN"/>
              </w:rPr>
              <w:t>85.5</w:t>
            </w:r>
          </w:p>
        </w:tc>
      </w:tr>
      <w:tr w14:paraId="78EF5E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jc w:val="center"/>
        </w:trPr>
        <w:tc>
          <w:tcPr>
            <w:tcW w:w="733" w:type="dxa"/>
            <w:tcBorders>
              <w:left w:val="single" w:color="000000" w:sz="4" w:space="0"/>
              <w:bottom w:val="single" w:color="000000" w:sz="4" w:space="0"/>
              <w:right w:val="single" w:color="000000" w:sz="4" w:space="0"/>
            </w:tcBorders>
            <w:vAlign w:val="center"/>
          </w:tcPr>
          <w:p w14:paraId="68042800">
            <w:pPr>
              <w:spacing w:after="0"/>
              <w:rPr>
                <w:rFonts w:ascii="宋体" w:hAnsi="宋体" w:eastAsia="宋体" w:cs="宋体"/>
              </w:rPr>
            </w:pPr>
            <w:r>
              <w:rPr>
                <w:rFonts w:hint="eastAsia" w:ascii="宋体" w:hAnsi="宋体" w:eastAsia="宋体" w:cs="宋体"/>
              </w:rPr>
              <w:t>评价结果</w:t>
            </w:r>
          </w:p>
        </w:tc>
        <w:tc>
          <w:tcPr>
            <w:tcW w:w="803" w:type="dxa"/>
            <w:tcBorders>
              <w:top w:val="single" w:color="auto" w:sz="4" w:space="0"/>
              <w:left w:val="single" w:color="000000" w:sz="4" w:space="0"/>
              <w:bottom w:val="single" w:color="auto" w:sz="4" w:space="0"/>
              <w:right w:val="single" w:color="000000" w:sz="4" w:space="0"/>
            </w:tcBorders>
            <w:vAlign w:val="center"/>
          </w:tcPr>
          <w:p w14:paraId="657F92C1">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093515E1">
            <w:pPr>
              <w:spacing w:after="0" w:line="68" w:lineRule="atLeast"/>
              <w:rPr>
                <w:rFonts w:ascii="宋体" w:hAnsi="宋体" w:eastAsia="宋体" w:cs="宋体"/>
              </w:rPr>
            </w:pPr>
          </w:p>
        </w:tc>
        <w:tc>
          <w:tcPr>
            <w:tcW w:w="10334" w:type="dxa"/>
            <w:gridSpan w:val="2"/>
            <w:tcBorders>
              <w:top w:val="single" w:color="000000" w:sz="4" w:space="0"/>
              <w:left w:val="single" w:color="auto" w:sz="4" w:space="0"/>
              <w:bottom w:val="single" w:color="000000" w:sz="4" w:space="0"/>
              <w:right w:val="single" w:color="auto" w:sz="4" w:space="0"/>
            </w:tcBorders>
            <w:vAlign w:val="center"/>
          </w:tcPr>
          <w:p w14:paraId="4672AF03">
            <w:pPr>
              <w:spacing w:after="0" w:line="68" w:lineRule="atLeast"/>
              <w:rPr>
                <w:rFonts w:ascii="宋体" w:hAnsi="宋体" w:eastAsia="宋体" w:cs="宋体"/>
              </w:rPr>
            </w:pPr>
            <w:r>
              <w:rPr>
                <w:rFonts w:hint="eastAsia" w:ascii="宋体" w:hAnsi="宋体" w:eastAsia="宋体" w:cs="宋体"/>
              </w:rPr>
              <w:t xml:space="preserve">□优秀  90分≤得分≤100分； </w:t>
            </w:r>
            <w:r>
              <w:rPr>
                <w:rFonts w:hint="eastAsia" w:ascii="宋体" w:hAnsi="宋体" w:eastAsia="宋体" w:cs="宋体"/>
              </w:rPr>
              <w:sym w:font="Wingdings 2" w:char="0052"/>
            </w:r>
            <w:r>
              <w:rPr>
                <w:rFonts w:hint="eastAsia" w:ascii="宋体" w:hAnsi="宋体" w:eastAsia="宋体" w:cs="宋体"/>
              </w:rPr>
              <w:t>良好  80分≤得分≤89分；</w:t>
            </w:r>
          </w:p>
          <w:p w14:paraId="12658D6E">
            <w:pPr>
              <w:spacing w:after="0" w:line="68" w:lineRule="atLeast"/>
              <w:rPr>
                <w:rFonts w:ascii="宋体" w:hAnsi="宋体" w:eastAsia="宋体" w:cs="宋体"/>
              </w:rPr>
            </w:pPr>
            <w:r>
              <w:rPr>
                <w:rFonts w:hint="eastAsia" w:ascii="宋体" w:hAnsi="宋体" w:eastAsia="宋体" w:cs="宋体"/>
              </w:rPr>
              <w:t xml:space="preserve">  □中  60分≤得分≤79分；  □较差  0≤得分≤59分</w:t>
            </w:r>
          </w:p>
        </w:tc>
        <w:tc>
          <w:tcPr>
            <w:tcW w:w="1090" w:type="dxa"/>
            <w:tcBorders>
              <w:top w:val="single" w:color="000000" w:sz="4" w:space="0"/>
              <w:left w:val="single" w:color="auto" w:sz="4" w:space="0"/>
              <w:bottom w:val="single" w:color="000000" w:sz="4" w:space="0"/>
              <w:right w:val="single" w:color="000000" w:sz="4" w:space="0"/>
            </w:tcBorders>
            <w:vAlign w:val="center"/>
          </w:tcPr>
          <w:p w14:paraId="28409C40">
            <w:pPr>
              <w:spacing w:after="0" w:line="68" w:lineRule="atLeast"/>
              <w:rPr>
                <w:rFonts w:ascii="宋体" w:hAnsi="宋体" w:eastAsia="宋体" w:cs="宋体"/>
              </w:rPr>
            </w:pPr>
          </w:p>
        </w:tc>
      </w:tr>
    </w:tbl>
    <w:p w14:paraId="356FF9E2">
      <w:pPr>
        <w:spacing w:line="432" w:lineRule="auto"/>
      </w:pPr>
    </w:p>
    <w:p w14:paraId="1ABE4626">
      <w:pPr>
        <w:rPr>
          <w:rFonts w:hint="eastAsia" w:ascii="黑体" w:hAnsi="黑体" w:eastAsia="黑体"/>
          <w:sz w:val="32"/>
          <w:szCs w:val="32"/>
        </w:rPr>
        <w:sectPr>
          <w:footerReference r:id="rId5" w:type="default"/>
          <w:pgSz w:w="16838" w:h="11906" w:orient="landscape"/>
          <w:pgMar w:top="1587" w:right="1587" w:bottom="1587" w:left="1587" w:header="851" w:footer="992" w:gutter="0"/>
          <w:pgNumType w:fmt="decimal" w:start="1"/>
          <w:cols w:space="720" w:num="1"/>
          <w:docGrid w:type="lines" w:linePitch="312" w:charSpace="0"/>
        </w:sectPr>
      </w:pPr>
    </w:p>
    <w:p w14:paraId="19922C22">
      <w:pPr>
        <w:tabs>
          <w:tab w:val="left" w:pos="5438"/>
        </w:tabs>
        <w:rPr>
          <w:rFonts w:hint="eastAsia" w:ascii="黑体" w:hAnsi="黑体" w:eastAsia="黑体"/>
          <w:sz w:val="32"/>
          <w:szCs w:val="32"/>
          <w:lang w:eastAsia="zh-CN"/>
        </w:rPr>
      </w:pPr>
      <w:r>
        <w:rPr>
          <w:rFonts w:hint="eastAsia" w:ascii="黑体" w:hAnsi="黑体" w:eastAsia="黑体"/>
          <w:sz w:val="28"/>
          <w:szCs w:val="28"/>
        </w:rPr>
        <w:t>附件3</w:t>
      </w:r>
      <w:r>
        <w:rPr>
          <w:rFonts w:hint="eastAsia" w:ascii="黑体" w:hAnsi="黑体" w:eastAsia="黑体"/>
          <w:sz w:val="28"/>
          <w:szCs w:val="28"/>
          <w:lang w:eastAsia="zh-CN"/>
        </w:rPr>
        <w:tab/>
      </w:r>
    </w:p>
    <w:p w14:paraId="24896896">
      <w:pPr>
        <w:spacing w:after="0"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14:paraId="4C51ABDE">
      <w:pPr>
        <w:spacing w:after="0" w:line="400" w:lineRule="exact"/>
        <w:jc w:val="center"/>
        <w:rPr>
          <w:rFonts w:ascii="方正小标宋简体" w:hAnsi="Times New Roman" w:eastAsia="方正小标宋简体"/>
          <w:sz w:val="44"/>
          <w:szCs w:val="44"/>
        </w:rPr>
      </w:pPr>
    </w:p>
    <w:p w14:paraId="6FDA09E8">
      <w:pPr>
        <w:rPr>
          <w:rFonts w:ascii="宋体" w:hAnsi="宋体" w:eastAsia="宋体" w:cs="宋体"/>
          <w:sz w:val="24"/>
          <w:szCs w:val="24"/>
        </w:rPr>
      </w:pPr>
      <w:r>
        <w:rPr>
          <w:rFonts w:hint="eastAsia" w:ascii="宋体" w:hAnsi="宋体" w:eastAsia="宋体" w:cs="宋体"/>
          <w:sz w:val="24"/>
          <w:szCs w:val="24"/>
        </w:rPr>
        <w:t>单位：</w:t>
      </w:r>
      <w:r>
        <w:rPr>
          <w:rFonts w:hint="eastAsia" w:ascii="宋体" w:hAnsi="宋体" w:eastAsia="宋体" w:cs="宋体"/>
          <w:sz w:val="24"/>
          <w:szCs w:val="24"/>
          <w:lang w:val="en-US" w:eastAsia="zh-CN"/>
        </w:rPr>
        <w:t>中方县就业服务中心</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2024  </w:t>
      </w: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bl>
      <w:tblPr>
        <w:tblStyle w:val="9"/>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14:paraId="70F897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709" w:type="dxa"/>
            <w:vAlign w:val="bottom"/>
          </w:tcPr>
          <w:p w14:paraId="4BA59E02">
            <w:pPr>
              <w:spacing w:after="0"/>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2383" w:type="dxa"/>
            <w:vAlign w:val="bottom"/>
          </w:tcPr>
          <w:p w14:paraId="30B50E3A">
            <w:pPr>
              <w:spacing w:after="0"/>
              <w:jc w:val="center"/>
              <w:rPr>
                <w:rFonts w:ascii="宋体" w:hAnsi="宋体" w:eastAsia="宋体" w:cs="宋体"/>
                <w:b/>
                <w:bCs/>
                <w:sz w:val="24"/>
                <w:szCs w:val="24"/>
              </w:rPr>
            </w:pPr>
            <w:r>
              <w:rPr>
                <w:rFonts w:hint="eastAsia" w:ascii="宋体" w:hAnsi="宋体" w:eastAsia="宋体" w:cs="宋体"/>
                <w:b/>
                <w:bCs/>
                <w:sz w:val="24"/>
                <w:szCs w:val="24"/>
              </w:rPr>
              <w:t>信息名称</w:t>
            </w:r>
          </w:p>
        </w:tc>
        <w:tc>
          <w:tcPr>
            <w:tcW w:w="3507" w:type="dxa"/>
            <w:vAlign w:val="bottom"/>
          </w:tcPr>
          <w:p w14:paraId="47CE2D26">
            <w:pPr>
              <w:spacing w:after="0"/>
              <w:jc w:val="center"/>
              <w:rPr>
                <w:rFonts w:ascii="宋体" w:hAnsi="宋体" w:eastAsia="宋体" w:cs="宋体"/>
                <w:b/>
                <w:bCs/>
                <w:sz w:val="24"/>
                <w:szCs w:val="24"/>
              </w:rPr>
            </w:pPr>
            <w:r>
              <w:rPr>
                <w:rFonts w:hint="eastAsia" w:ascii="宋体" w:hAnsi="宋体" w:eastAsia="宋体" w:cs="宋体"/>
                <w:b/>
                <w:bCs/>
                <w:sz w:val="24"/>
                <w:szCs w:val="24"/>
              </w:rPr>
              <w:t>信息来源</w:t>
            </w:r>
          </w:p>
        </w:tc>
        <w:tc>
          <w:tcPr>
            <w:tcW w:w="2781" w:type="dxa"/>
            <w:vAlign w:val="bottom"/>
          </w:tcPr>
          <w:p w14:paraId="46FB88D9">
            <w:pPr>
              <w:spacing w:after="0"/>
              <w:jc w:val="center"/>
              <w:rPr>
                <w:rFonts w:ascii="宋体" w:hAnsi="宋体" w:eastAsia="宋体" w:cs="宋体"/>
                <w:b/>
                <w:bCs/>
                <w:sz w:val="24"/>
                <w:szCs w:val="24"/>
              </w:rPr>
            </w:pPr>
            <w:r>
              <w:rPr>
                <w:rFonts w:hint="eastAsia" w:ascii="宋体" w:hAnsi="宋体" w:eastAsia="宋体" w:cs="宋体"/>
                <w:b/>
                <w:bCs/>
                <w:sz w:val="24"/>
                <w:szCs w:val="24"/>
              </w:rPr>
              <w:t>发布形式</w:t>
            </w:r>
          </w:p>
        </w:tc>
        <w:tc>
          <w:tcPr>
            <w:tcW w:w="3277" w:type="dxa"/>
            <w:vAlign w:val="bottom"/>
          </w:tcPr>
          <w:p w14:paraId="04330C86">
            <w:pPr>
              <w:spacing w:after="0"/>
              <w:jc w:val="center"/>
              <w:rPr>
                <w:rFonts w:ascii="宋体" w:hAnsi="宋体" w:eastAsia="宋体" w:cs="宋体"/>
                <w:b/>
                <w:bCs/>
                <w:sz w:val="24"/>
                <w:szCs w:val="24"/>
              </w:rPr>
            </w:pPr>
            <w:r>
              <w:rPr>
                <w:rFonts w:hint="eastAsia" w:ascii="宋体" w:hAnsi="宋体" w:eastAsia="宋体" w:cs="宋体"/>
                <w:b/>
                <w:bCs/>
                <w:sz w:val="24"/>
                <w:szCs w:val="24"/>
              </w:rPr>
              <w:t>保密机构或保密员</w:t>
            </w:r>
            <w:r>
              <w:rPr>
                <w:rFonts w:hint="eastAsia" w:ascii="宋体" w:hAnsi="宋体" w:eastAsia="宋体" w:cs="宋体"/>
                <w:b/>
                <w:bCs/>
                <w:sz w:val="24"/>
                <w:szCs w:val="24"/>
                <w:u w:val="single"/>
              </w:rPr>
              <w:t>复审</w:t>
            </w:r>
          </w:p>
        </w:tc>
        <w:tc>
          <w:tcPr>
            <w:tcW w:w="2081" w:type="dxa"/>
            <w:vAlign w:val="bottom"/>
          </w:tcPr>
          <w:p w14:paraId="4119E830">
            <w:pPr>
              <w:spacing w:after="0"/>
              <w:jc w:val="center"/>
              <w:rPr>
                <w:rFonts w:ascii="宋体" w:hAnsi="宋体" w:eastAsia="宋体" w:cs="宋体"/>
                <w:b/>
                <w:bCs/>
                <w:sz w:val="24"/>
                <w:szCs w:val="24"/>
              </w:rPr>
            </w:pPr>
            <w:r>
              <w:rPr>
                <w:rFonts w:hint="eastAsia" w:ascii="宋体" w:hAnsi="宋体" w:eastAsia="宋体" w:cs="宋体"/>
                <w:b/>
                <w:bCs/>
                <w:sz w:val="24"/>
                <w:szCs w:val="24"/>
              </w:rPr>
              <w:t>主管领导</w:t>
            </w:r>
            <w:r>
              <w:rPr>
                <w:rFonts w:hint="eastAsia" w:ascii="宋体" w:hAnsi="宋体" w:eastAsia="宋体" w:cs="宋体"/>
                <w:b/>
                <w:bCs/>
                <w:sz w:val="24"/>
                <w:szCs w:val="24"/>
                <w:u w:val="single"/>
              </w:rPr>
              <w:t>终审</w:t>
            </w:r>
          </w:p>
        </w:tc>
      </w:tr>
      <w:tr w14:paraId="538E96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0C1D6198">
            <w:pPr>
              <w:spacing w:after="0" w:line="500" w:lineRule="exact"/>
              <w:jc w:val="center"/>
              <w:rPr>
                <w:rFonts w:ascii="宋体" w:hAnsi="宋体" w:eastAsia="宋体" w:cs="宋体"/>
              </w:rPr>
            </w:pPr>
          </w:p>
        </w:tc>
        <w:tc>
          <w:tcPr>
            <w:tcW w:w="2383" w:type="dxa"/>
            <w:vAlign w:val="center"/>
          </w:tcPr>
          <w:p w14:paraId="49C47B86">
            <w:pPr>
              <w:spacing w:after="0" w:line="500" w:lineRule="exact"/>
              <w:jc w:val="center"/>
              <w:rPr>
                <w:rFonts w:ascii="宋体" w:hAnsi="宋体" w:eastAsia="宋体" w:cs="宋体"/>
              </w:rPr>
            </w:pPr>
          </w:p>
        </w:tc>
        <w:tc>
          <w:tcPr>
            <w:tcW w:w="3507" w:type="dxa"/>
            <w:vAlign w:val="center"/>
          </w:tcPr>
          <w:p w14:paraId="635ADA4B">
            <w:pPr>
              <w:spacing w:after="0" w:line="500" w:lineRule="exact"/>
              <w:rPr>
                <w:rFonts w:hint="eastAsia" w:ascii="宋体" w:hAnsi="宋体" w:eastAsia="宋体" w:cs="宋体"/>
                <w:lang w:eastAsia="zh-CN"/>
              </w:rPr>
            </w:pPr>
            <w:r>
              <w:rPr>
                <w:rFonts w:hint="eastAsia" w:ascii="宋体" w:hAnsi="宋体" w:eastAsia="宋体" w:cs="宋体"/>
              </w:rPr>
              <w:t xml:space="preserve">本机关、单位制发  </w:t>
            </w:r>
            <w:r>
              <w:rPr>
                <w:rFonts w:hint="eastAsia" w:ascii="宋体" w:hAnsi="宋体" w:eastAsia="宋体" w:cs="宋体"/>
                <w:lang w:eastAsia="zh-CN"/>
              </w:rPr>
              <w:t>□</w:t>
            </w:r>
          </w:p>
          <w:p w14:paraId="04DAE581">
            <w:pPr>
              <w:spacing w:after="0" w:line="500" w:lineRule="exact"/>
              <w:rPr>
                <w:rFonts w:ascii="宋体" w:hAnsi="宋体" w:eastAsia="宋体" w:cs="宋体"/>
              </w:rPr>
            </w:pPr>
            <w:r>
              <w:rPr>
                <w:rFonts w:hint="eastAsia" w:ascii="宋体" w:hAnsi="宋体" w:eastAsia="宋体" w:cs="宋体"/>
              </w:rPr>
              <w:t>转载（注明转载来源）：</w:t>
            </w:r>
          </w:p>
          <w:p w14:paraId="5F5173E4">
            <w:pPr>
              <w:spacing w:after="0" w:line="500" w:lineRule="exact"/>
              <w:rPr>
                <w:rFonts w:ascii="宋体" w:hAnsi="宋体" w:eastAsia="宋体" w:cs="宋体"/>
                <w:u w:val="single"/>
              </w:rPr>
            </w:pPr>
            <w:r>
              <w:rPr>
                <w:rFonts w:hint="eastAsia" w:ascii="宋体" w:hAnsi="宋体" w:eastAsia="宋体" w:cs="宋体"/>
                <w:u w:val="single"/>
              </w:rPr>
              <w:t xml:space="preserve">                           </w:t>
            </w:r>
          </w:p>
        </w:tc>
        <w:tc>
          <w:tcPr>
            <w:tcW w:w="2781" w:type="dxa"/>
            <w:vAlign w:val="center"/>
          </w:tcPr>
          <w:p w14:paraId="7D518AB1">
            <w:pPr>
              <w:spacing w:after="0" w:line="500" w:lineRule="exact"/>
              <w:rPr>
                <w:rFonts w:ascii="宋体" w:hAnsi="宋体" w:eastAsia="宋体" w:cs="宋体"/>
              </w:rPr>
            </w:pPr>
            <w:r>
              <w:rPr>
                <w:rFonts w:hint="eastAsia" w:ascii="宋体" w:hAnsi="宋体" w:eastAsia="宋体" w:cs="宋体"/>
              </w:rPr>
              <w:t>政府网站主动公开  □</w:t>
            </w:r>
          </w:p>
          <w:p w14:paraId="5C7ED45F">
            <w:pPr>
              <w:spacing w:after="0" w:line="500" w:lineRule="exact"/>
              <w:rPr>
                <w:rFonts w:ascii="宋体" w:hAnsi="宋体" w:eastAsia="宋体" w:cs="宋体"/>
              </w:rPr>
            </w:pPr>
            <w:r>
              <w:rPr>
                <w:rFonts w:hint="eastAsia" w:ascii="宋体" w:hAnsi="宋体" w:eastAsia="宋体" w:cs="宋体"/>
              </w:rPr>
              <w:t xml:space="preserve">依申请公开        </w:t>
            </w:r>
            <w:r>
              <w:rPr>
                <w:rFonts w:hint="eastAsia" w:ascii="宋体" w:hAnsi="宋体" w:eastAsia="宋体" w:cs="宋体"/>
              </w:rPr>
              <w:sym w:font="Wingdings 2" w:char="00A3"/>
            </w:r>
          </w:p>
          <w:p w14:paraId="468ED856">
            <w:pPr>
              <w:spacing w:after="0" w:line="500" w:lineRule="exact"/>
              <w:rPr>
                <w:rFonts w:ascii="宋体" w:hAnsi="宋体" w:eastAsia="宋体" w:cs="宋体"/>
              </w:rPr>
            </w:pPr>
            <w:r>
              <w:rPr>
                <w:rFonts w:hint="eastAsia" w:ascii="宋体" w:hAnsi="宋体" w:eastAsia="宋体" w:cs="宋体"/>
              </w:rPr>
              <w:t>其他</w:t>
            </w:r>
            <w:r>
              <w:rPr>
                <w:rFonts w:hint="eastAsia" w:ascii="宋体" w:hAnsi="宋体" w:eastAsia="宋体" w:cs="宋体"/>
                <w:u w:val="single"/>
              </w:rPr>
              <w:t xml:space="preserve">                </w:t>
            </w:r>
          </w:p>
        </w:tc>
        <w:tc>
          <w:tcPr>
            <w:tcW w:w="3277" w:type="dxa"/>
            <w:vAlign w:val="center"/>
          </w:tcPr>
          <w:p w14:paraId="7272C570">
            <w:pPr>
              <w:spacing w:after="0" w:line="500" w:lineRule="exact"/>
              <w:rPr>
                <w:rFonts w:ascii="宋体" w:hAnsi="宋体" w:eastAsia="宋体" w:cs="宋体"/>
              </w:rPr>
            </w:pPr>
            <w:r>
              <w:rPr>
                <w:rFonts w:hint="eastAsia" w:ascii="宋体" w:hAnsi="宋体" w:eastAsia="宋体" w:cs="宋体"/>
              </w:rPr>
              <w:t>非涉密，同意公开□</w:t>
            </w:r>
          </w:p>
          <w:p w14:paraId="5A33E9A1">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14:paraId="7411F72D">
            <w:pPr>
              <w:spacing w:after="0" w:line="500" w:lineRule="exact"/>
              <w:jc w:val="center"/>
              <w:rPr>
                <w:rFonts w:ascii="宋体" w:hAnsi="宋体" w:eastAsia="宋体" w:cs="宋体"/>
              </w:rPr>
            </w:pPr>
          </w:p>
        </w:tc>
      </w:tr>
      <w:tr w14:paraId="1F136A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1425DDDE">
            <w:pPr>
              <w:spacing w:after="0" w:line="500" w:lineRule="exact"/>
              <w:jc w:val="center"/>
              <w:rPr>
                <w:rFonts w:ascii="宋体" w:hAnsi="宋体" w:eastAsia="宋体" w:cs="宋体"/>
              </w:rPr>
            </w:pPr>
          </w:p>
        </w:tc>
        <w:tc>
          <w:tcPr>
            <w:tcW w:w="2383" w:type="dxa"/>
            <w:vAlign w:val="center"/>
          </w:tcPr>
          <w:p w14:paraId="094711CE">
            <w:pPr>
              <w:spacing w:after="0" w:line="500" w:lineRule="exact"/>
              <w:jc w:val="center"/>
              <w:rPr>
                <w:rFonts w:ascii="宋体" w:hAnsi="宋体" w:eastAsia="宋体" w:cs="宋体"/>
              </w:rPr>
            </w:pPr>
          </w:p>
        </w:tc>
        <w:tc>
          <w:tcPr>
            <w:tcW w:w="3507" w:type="dxa"/>
            <w:vAlign w:val="center"/>
          </w:tcPr>
          <w:p w14:paraId="02C082C9">
            <w:pPr>
              <w:spacing w:after="0" w:line="500" w:lineRule="exact"/>
              <w:rPr>
                <w:rFonts w:ascii="宋体" w:hAnsi="宋体" w:eastAsia="宋体" w:cs="宋体"/>
              </w:rPr>
            </w:pPr>
            <w:r>
              <w:rPr>
                <w:rFonts w:hint="eastAsia" w:ascii="宋体" w:hAnsi="宋体" w:eastAsia="宋体" w:cs="宋体"/>
              </w:rPr>
              <w:t>本机关、单位制发  □</w:t>
            </w:r>
          </w:p>
          <w:p w14:paraId="61300DF0">
            <w:pPr>
              <w:spacing w:after="0" w:line="500" w:lineRule="exact"/>
              <w:rPr>
                <w:rFonts w:ascii="宋体" w:hAnsi="宋体" w:eastAsia="宋体" w:cs="宋体"/>
              </w:rPr>
            </w:pPr>
            <w:r>
              <w:rPr>
                <w:rFonts w:hint="eastAsia" w:ascii="宋体" w:hAnsi="宋体" w:eastAsia="宋体" w:cs="宋体"/>
              </w:rPr>
              <w:t>转载（注明转载来源）：</w:t>
            </w:r>
          </w:p>
          <w:p w14:paraId="68CC0C2D">
            <w:pPr>
              <w:spacing w:after="0" w:line="500" w:lineRule="exact"/>
              <w:rPr>
                <w:rFonts w:ascii="宋体" w:hAnsi="宋体" w:eastAsia="宋体" w:cs="宋体"/>
              </w:rPr>
            </w:pPr>
            <w:r>
              <w:rPr>
                <w:rFonts w:hint="eastAsia" w:ascii="宋体" w:hAnsi="宋体" w:eastAsia="宋体" w:cs="宋体"/>
                <w:u w:val="single"/>
              </w:rPr>
              <w:t xml:space="preserve">                            </w:t>
            </w:r>
          </w:p>
        </w:tc>
        <w:tc>
          <w:tcPr>
            <w:tcW w:w="2781" w:type="dxa"/>
            <w:vAlign w:val="center"/>
          </w:tcPr>
          <w:p w14:paraId="18024CD8">
            <w:pPr>
              <w:spacing w:after="0" w:line="500" w:lineRule="exact"/>
              <w:rPr>
                <w:rFonts w:ascii="宋体" w:hAnsi="宋体" w:eastAsia="宋体" w:cs="宋体"/>
              </w:rPr>
            </w:pPr>
            <w:r>
              <w:rPr>
                <w:rFonts w:hint="eastAsia" w:ascii="宋体" w:hAnsi="宋体" w:eastAsia="宋体" w:cs="宋体"/>
              </w:rPr>
              <w:t>政府网站主动公开  □</w:t>
            </w:r>
          </w:p>
          <w:p w14:paraId="6471B833">
            <w:pPr>
              <w:spacing w:after="0" w:line="500" w:lineRule="exact"/>
              <w:rPr>
                <w:rFonts w:ascii="宋体" w:hAnsi="宋体" w:eastAsia="宋体" w:cs="宋体"/>
              </w:rPr>
            </w:pPr>
            <w:r>
              <w:rPr>
                <w:rFonts w:hint="eastAsia" w:ascii="宋体" w:hAnsi="宋体" w:eastAsia="宋体" w:cs="宋体"/>
              </w:rPr>
              <w:t>依申请公开        □</w:t>
            </w:r>
          </w:p>
          <w:p w14:paraId="4C32EA9F">
            <w:pPr>
              <w:spacing w:after="0" w:line="500" w:lineRule="exact"/>
              <w:rPr>
                <w:rFonts w:ascii="宋体" w:hAnsi="宋体" w:eastAsia="宋体" w:cs="宋体"/>
              </w:rPr>
            </w:pPr>
            <w:r>
              <w:rPr>
                <w:rFonts w:hint="eastAsia" w:ascii="宋体" w:hAnsi="宋体" w:eastAsia="宋体" w:cs="宋体"/>
              </w:rPr>
              <w:t>其他</w:t>
            </w:r>
            <w:r>
              <w:rPr>
                <w:rFonts w:hint="eastAsia" w:ascii="宋体" w:hAnsi="宋体" w:eastAsia="宋体" w:cs="宋体"/>
                <w:u w:val="single"/>
              </w:rPr>
              <w:t xml:space="preserve">                </w:t>
            </w:r>
          </w:p>
        </w:tc>
        <w:tc>
          <w:tcPr>
            <w:tcW w:w="3277" w:type="dxa"/>
            <w:vAlign w:val="center"/>
          </w:tcPr>
          <w:p w14:paraId="3940A35A">
            <w:pPr>
              <w:spacing w:after="0" w:line="500" w:lineRule="exact"/>
              <w:rPr>
                <w:rFonts w:ascii="宋体" w:hAnsi="宋体" w:eastAsia="宋体" w:cs="宋体"/>
              </w:rPr>
            </w:pPr>
            <w:r>
              <w:rPr>
                <w:rFonts w:hint="eastAsia" w:ascii="宋体" w:hAnsi="宋体" w:eastAsia="宋体" w:cs="宋体"/>
              </w:rPr>
              <w:t>非涉密，同意公开□</w:t>
            </w:r>
          </w:p>
          <w:p w14:paraId="7F87A509">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14:paraId="4F6CADD8">
            <w:pPr>
              <w:spacing w:after="0" w:line="500" w:lineRule="exact"/>
              <w:jc w:val="center"/>
              <w:rPr>
                <w:rFonts w:ascii="宋体" w:hAnsi="宋体" w:eastAsia="宋体" w:cs="宋体"/>
              </w:rPr>
            </w:pPr>
          </w:p>
        </w:tc>
      </w:tr>
      <w:tr w14:paraId="2C13CC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14:paraId="5C8F2911">
            <w:pPr>
              <w:spacing w:after="0" w:line="500" w:lineRule="exact"/>
              <w:rPr>
                <w:rFonts w:ascii="宋体" w:hAnsi="宋体" w:eastAsia="宋体" w:cs="宋体"/>
              </w:rPr>
            </w:pPr>
            <w:r>
              <w:rPr>
                <w:rFonts w:hint="eastAsia" w:ascii="宋体" w:hAnsi="宋体" w:eastAsia="宋体" w:cs="宋体"/>
              </w:rPr>
              <w:t>承办人</w:t>
            </w:r>
            <w:r>
              <w:rPr>
                <w:rFonts w:hint="eastAsia" w:ascii="宋体" w:hAnsi="宋体" w:eastAsia="宋体" w:cs="宋体"/>
                <w:u w:val="single"/>
              </w:rPr>
              <w:t>初审</w:t>
            </w:r>
            <w:r>
              <w:rPr>
                <w:rFonts w:hint="eastAsia" w:ascii="宋体" w:hAnsi="宋体" w:eastAsia="宋体" w:cs="宋体"/>
              </w:rPr>
              <w:t>（签字）</w:t>
            </w:r>
          </w:p>
        </w:tc>
        <w:tc>
          <w:tcPr>
            <w:tcW w:w="3277" w:type="dxa"/>
            <w:vAlign w:val="center"/>
          </w:tcPr>
          <w:p w14:paraId="19820931">
            <w:pPr>
              <w:spacing w:after="0" w:line="500" w:lineRule="exact"/>
              <w:rPr>
                <w:rFonts w:ascii="宋体" w:hAnsi="宋体" w:eastAsia="宋体" w:cs="宋体"/>
              </w:rPr>
            </w:pPr>
            <w:r>
              <w:rPr>
                <w:rFonts w:hint="eastAsia" w:ascii="宋体" w:hAnsi="宋体" w:eastAsia="宋体" w:cs="宋体"/>
              </w:rPr>
              <w:t>（签字）</w:t>
            </w:r>
          </w:p>
        </w:tc>
        <w:tc>
          <w:tcPr>
            <w:tcW w:w="2081" w:type="dxa"/>
            <w:vAlign w:val="center"/>
          </w:tcPr>
          <w:p w14:paraId="56DB1FE7">
            <w:pPr>
              <w:spacing w:after="0" w:line="500" w:lineRule="exact"/>
              <w:rPr>
                <w:rFonts w:ascii="宋体" w:hAnsi="宋体" w:eastAsia="宋体" w:cs="宋体"/>
              </w:rPr>
            </w:pPr>
            <w:r>
              <w:rPr>
                <w:rFonts w:hint="eastAsia" w:ascii="宋体" w:hAnsi="宋体" w:eastAsia="宋体" w:cs="宋体"/>
              </w:rPr>
              <w:t>（签字）</w:t>
            </w:r>
          </w:p>
        </w:tc>
      </w:tr>
    </w:tbl>
    <w:p w14:paraId="55055A3A">
      <w:pPr>
        <w:spacing w:after="0" w:line="400" w:lineRule="exact"/>
        <w:ind w:firstLine="440" w:firstLineChars="200"/>
        <w:rPr>
          <w:rFonts w:ascii="宋体" w:hAnsi="宋体" w:eastAsia="宋体" w:cs="宋体"/>
        </w:rPr>
      </w:pPr>
    </w:p>
    <w:p w14:paraId="65C710D2">
      <w:pPr>
        <w:spacing w:after="0" w:line="400" w:lineRule="exact"/>
        <w:ind w:firstLine="440" w:firstLineChars="200"/>
        <w:rPr>
          <w:rFonts w:ascii="宋体" w:hAnsi="宋体" w:eastAsia="宋体" w:cs="宋体"/>
        </w:rPr>
      </w:pPr>
      <w:r>
        <w:rPr>
          <w:rFonts w:hint="eastAsia" w:ascii="宋体" w:hAnsi="宋体" w:eastAsia="宋体" w:cs="宋体"/>
        </w:rPr>
        <w:t>注：1.机关、单位政府网站及政务新媒体发布信息前要认真填写本表；</w:t>
      </w:r>
    </w:p>
    <w:p w14:paraId="07065E27">
      <w:pPr>
        <w:spacing w:after="0" w:line="400" w:lineRule="exact"/>
        <w:ind w:firstLine="880" w:firstLineChars="400"/>
        <w:rPr>
          <w:rFonts w:ascii="宋体" w:hAnsi="宋体" w:eastAsia="宋体" w:cs="宋体"/>
        </w:rPr>
      </w:pPr>
      <w:r>
        <w:rPr>
          <w:rFonts w:hint="eastAsia" w:ascii="宋体" w:hAnsi="宋体" w:eastAsia="宋体" w:cs="宋体"/>
        </w:rPr>
        <w:t>2.严格落实信息发布保密审查制度和“三审制”，请在相应的“□”打“√”或填写意见；</w:t>
      </w:r>
    </w:p>
    <w:p w14:paraId="51C583B4">
      <w:pPr>
        <w:spacing w:after="0" w:line="400" w:lineRule="exact"/>
        <w:ind w:firstLine="880" w:firstLineChars="400"/>
        <w:rPr>
          <w:rFonts w:ascii="宋体" w:hAnsi="宋体" w:eastAsia="宋体" w:cs="宋体"/>
        </w:rPr>
      </w:pPr>
      <w:r>
        <w:rPr>
          <w:rFonts w:hint="eastAsia" w:ascii="宋体" w:hAnsi="宋体" w:eastAsia="宋体" w:cs="宋体"/>
        </w:rPr>
        <w:t>3.信息发布要严把文字、保密、政治关，不能确定信息是否可以公开时，要组织保密审查并报上级部门确认；</w:t>
      </w:r>
    </w:p>
    <w:p w14:paraId="468BA1C5">
      <w:pPr>
        <w:spacing w:after="0" w:line="400" w:lineRule="exact"/>
        <w:ind w:firstLine="880" w:firstLineChars="400"/>
        <w:rPr>
          <w:rFonts w:hint="eastAsia" w:ascii="宋体" w:hAnsi="宋体" w:eastAsia="宋体" w:cs="宋体"/>
        </w:rPr>
      </w:pPr>
      <w:r>
        <w:rPr>
          <w:rFonts w:hint="eastAsia" w:ascii="宋体" w:hAnsi="宋体" w:eastAsia="宋体" w:cs="宋体"/>
        </w:rPr>
        <w:t>4.本表由本机关、单位负责组织填写和保管</w:t>
      </w:r>
    </w:p>
    <w:sectPr>
      <w:footerReference r:id="rId6" w:type="default"/>
      <w:pgSz w:w="16838" w:h="11906" w:orient="landscape"/>
      <w:pgMar w:top="1587" w:right="1587" w:bottom="1587"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6337DEF-EC23-4331-901A-8340F4BFABE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74FBEE0-A5B0-4B1D-9624-536FD3F735FF}"/>
  </w:font>
  <w:font w:name="微软雅黑">
    <w:panose1 w:val="020B0503020204020204"/>
    <w:charset w:val="86"/>
    <w:family w:val="swiss"/>
    <w:pitch w:val="default"/>
    <w:sig w:usb0="80000287" w:usb1="2ACF3C50" w:usb2="00000016" w:usb3="00000000" w:csb0="0004001F" w:csb1="00000000"/>
    <w:embedRegular r:id="rId3" w:fontKey="{1B4E3693-277D-4F74-B581-9A8DE8FB65EA}"/>
  </w:font>
  <w:font w:name="Tahoma">
    <w:panose1 w:val="020B0604030504040204"/>
    <w:charset w:val="00"/>
    <w:family w:val="swiss"/>
    <w:pitch w:val="default"/>
    <w:sig w:usb0="E1002EFF" w:usb1="C000605B" w:usb2="00000029" w:usb3="00000000" w:csb0="200101FF" w:csb1="20280000"/>
  </w:font>
  <w:font w:name="方正小标宋_GBK">
    <w:altName w:val="Arial Unicode MS"/>
    <w:panose1 w:val="02000000000000000000"/>
    <w:charset w:val="86"/>
    <w:family w:val="auto"/>
    <w:pitch w:val="default"/>
    <w:sig w:usb0="00000000" w:usb1="00000000" w:usb2="00082016" w:usb3="00000000" w:csb0="00040001" w:csb1="00000000"/>
  </w:font>
  <w:font w:name="方正小标宋简体">
    <w:panose1 w:val="03000509000000000000"/>
    <w:charset w:val="86"/>
    <w:family w:val="script"/>
    <w:pitch w:val="default"/>
    <w:sig w:usb0="00000001" w:usb1="080E0000" w:usb2="00000000" w:usb3="00000000" w:csb0="00040000" w:csb1="00000000"/>
    <w:embedRegular r:id="rId4" w:fontKey="{323F07C3-B16B-4E51-81AB-AFBFA68BED1C}"/>
  </w:font>
  <w:font w:name="楷体">
    <w:panose1 w:val="02010609060101010101"/>
    <w:charset w:val="86"/>
    <w:family w:val="auto"/>
    <w:pitch w:val="default"/>
    <w:sig w:usb0="800002BF" w:usb1="38CF7CFA" w:usb2="00000016" w:usb3="00000000" w:csb0="00040001" w:csb1="00000000"/>
    <w:embedRegular r:id="rId5" w:fontKey="{23725730-DC62-4493-8C03-9BFDC2AD004F}"/>
  </w:font>
  <w:font w:name="仿宋">
    <w:panose1 w:val="02010609060101010101"/>
    <w:charset w:val="86"/>
    <w:family w:val="auto"/>
    <w:pitch w:val="default"/>
    <w:sig w:usb0="800002BF" w:usb1="38CF7CFA" w:usb2="00000016" w:usb3="00000000" w:csb0="00040001" w:csb1="00000000"/>
    <w:embedRegular r:id="rId6" w:fontKey="{8851ACF5-0E19-4F46-BC4B-27379F8E83ED}"/>
  </w:font>
  <w:font w:name="仿宋_GB2312">
    <w:panose1 w:val="02010609030101010101"/>
    <w:charset w:val="86"/>
    <w:family w:val="modern"/>
    <w:pitch w:val="default"/>
    <w:sig w:usb0="00000001" w:usb1="080E0000" w:usb2="00000000" w:usb3="00000000" w:csb0="00040000" w:csb1="00000000"/>
    <w:embedRegular r:id="rId7" w:fontKey="{6A8DC8DC-43DC-4245-A225-D5D5B25F3D79}"/>
  </w:font>
  <w:font w:name="Wingdings 2">
    <w:panose1 w:val="05020102010507070707"/>
    <w:charset w:val="02"/>
    <w:family w:val="roman"/>
    <w:pitch w:val="default"/>
    <w:sig w:usb0="00000000" w:usb1="00000000" w:usb2="00000000" w:usb3="00000000" w:csb0="80000000" w:csb1="00000000"/>
    <w:embedRegular r:id="rId8" w:fontKey="{D20D54C2-731E-4461-A7F7-C14FD1D907BA}"/>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15B395">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57C560">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C57C560">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52DE4">
    <w:pPr>
      <w:pStyle w:val="5"/>
      <w:tabs>
        <w:tab w:val="clear" w:pos="4153"/>
      </w:tabs>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60CA25">
                          <w:pPr>
                            <w:pStyle w:val="5"/>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960CA25">
                    <w:pPr>
                      <w:pStyle w:val="5"/>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D7C98">
    <w:pPr>
      <w:pStyle w:val="5"/>
      <w:tabs>
        <w:tab w:val="clear" w:pos="4153"/>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004BE"/>
    <w:multiLevelType w:val="singleLevel"/>
    <w:tmpl w:val="029004BE"/>
    <w:lvl w:ilvl="0" w:tentative="0">
      <w:start w:val="2"/>
      <w:numFmt w:val="chineseCounting"/>
      <w:suff w:val="nothing"/>
      <w:lvlText w:val="（%1）"/>
      <w:lvlJc w:val="left"/>
      <w:rPr>
        <w:rFonts w:hint="eastAsia"/>
      </w:rPr>
    </w:lvl>
  </w:abstractNum>
  <w:abstractNum w:abstractNumId="1">
    <w:nsid w:val="27D068E2"/>
    <w:multiLevelType w:val="singleLevel"/>
    <w:tmpl w:val="27D068E2"/>
    <w:lvl w:ilvl="0" w:tentative="0">
      <w:start w:val="2"/>
      <w:numFmt w:val="chineseCounting"/>
      <w:suff w:val="nothing"/>
      <w:lvlText w:val="（%1）"/>
      <w:lvlJc w:val="left"/>
      <w:rPr>
        <w:rFonts w:hint="eastAsia"/>
      </w:rPr>
    </w:lvl>
  </w:abstractNum>
  <w:abstractNum w:abstractNumId="2">
    <w:nsid w:val="3E2ED862"/>
    <w:multiLevelType w:val="singleLevel"/>
    <w:tmpl w:val="3E2ED862"/>
    <w:lvl w:ilvl="0" w:tentative="0">
      <w:start w:val="6"/>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TrueTypeFonts/>
  <w:saveSubsetFonts/>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kYTY1NjRhMzIwODk2ZWJkMzVhNmU2ZGJiMGY5ZjcifQ=="/>
  </w:docVars>
  <w:rsids>
    <w:rsidRoot w:val="00D31D50"/>
    <w:rsid w:val="000B540C"/>
    <w:rsid w:val="00135CB9"/>
    <w:rsid w:val="001F1A2E"/>
    <w:rsid w:val="00323B43"/>
    <w:rsid w:val="0036742F"/>
    <w:rsid w:val="0038315F"/>
    <w:rsid w:val="003D37D8"/>
    <w:rsid w:val="00415CE5"/>
    <w:rsid w:val="00426133"/>
    <w:rsid w:val="004358AB"/>
    <w:rsid w:val="004C6566"/>
    <w:rsid w:val="00542C4C"/>
    <w:rsid w:val="006B50E7"/>
    <w:rsid w:val="00782012"/>
    <w:rsid w:val="00807C6D"/>
    <w:rsid w:val="008B7726"/>
    <w:rsid w:val="00A90A9C"/>
    <w:rsid w:val="00AA2BB6"/>
    <w:rsid w:val="00AF7382"/>
    <w:rsid w:val="00C04908"/>
    <w:rsid w:val="00CF5F8D"/>
    <w:rsid w:val="00D31D50"/>
    <w:rsid w:val="00EA7D7A"/>
    <w:rsid w:val="00EB4495"/>
    <w:rsid w:val="00FA17E4"/>
    <w:rsid w:val="010D6B75"/>
    <w:rsid w:val="01972837"/>
    <w:rsid w:val="033A1D2B"/>
    <w:rsid w:val="03550139"/>
    <w:rsid w:val="09E813E1"/>
    <w:rsid w:val="0AEB002D"/>
    <w:rsid w:val="10BB784F"/>
    <w:rsid w:val="12855F2D"/>
    <w:rsid w:val="14112160"/>
    <w:rsid w:val="1B0A0982"/>
    <w:rsid w:val="1C4F7811"/>
    <w:rsid w:val="1D4E3FF9"/>
    <w:rsid w:val="1E926D9A"/>
    <w:rsid w:val="1EE10A22"/>
    <w:rsid w:val="1FA85DBF"/>
    <w:rsid w:val="1FF57DF9"/>
    <w:rsid w:val="27AF54E0"/>
    <w:rsid w:val="283F0101"/>
    <w:rsid w:val="29932CBF"/>
    <w:rsid w:val="2F1A6C8E"/>
    <w:rsid w:val="2FB93755"/>
    <w:rsid w:val="31E43857"/>
    <w:rsid w:val="32332E03"/>
    <w:rsid w:val="32E462CC"/>
    <w:rsid w:val="350C5A51"/>
    <w:rsid w:val="352E3900"/>
    <w:rsid w:val="353C245D"/>
    <w:rsid w:val="3A9F783C"/>
    <w:rsid w:val="3F2533F6"/>
    <w:rsid w:val="3FFC25C9"/>
    <w:rsid w:val="40FE4130"/>
    <w:rsid w:val="417D7802"/>
    <w:rsid w:val="42BB7663"/>
    <w:rsid w:val="43B802BF"/>
    <w:rsid w:val="482E79F6"/>
    <w:rsid w:val="48D923E5"/>
    <w:rsid w:val="4A4D7699"/>
    <w:rsid w:val="4C847914"/>
    <w:rsid w:val="4CE01FA6"/>
    <w:rsid w:val="4DF06083"/>
    <w:rsid w:val="4E6B1A2A"/>
    <w:rsid w:val="4E834801"/>
    <w:rsid w:val="526B70BF"/>
    <w:rsid w:val="54CA72E7"/>
    <w:rsid w:val="58AE663A"/>
    <w:rsid w:val="59C10F0E"/>
    <w:rsid w:val="5AFD3965"/>
    <w:rsid w:val="5ED74E21"/>
    <w:rsid w:val="5F153A8D"/>
    <w:rsid w:val="61023E55"/>
    <w:rsid w:val="61E87F85"/>
    <w:rsid w:val="6B815160"/>
    <w:rsid w:val="6BA204F9"/>
    <w:rsid w:val="6BEC7865"/>
    <w:rsid w:val="6CD046E7"/>
    <w:rsid w:val="6D1920F6"/>
    <w:rsid w:val="6D2A0A99"/>
    <w:rsid w:val="70AC6CA6"/>
    <w:rsid w:val="73E019C6"/>
    <w:rsid w:val="75466256"/>
    <w:rsid w:val="768B79D3"/>
    <w:rsid w:val="768F0540"/>
    <w:rsid w:val="79A429DF"/>
    <w:rsid w:val="7A252900"/>
    <w:rsid w:val="7B6273C9"/>
    <w:rsid w:val="7BD82D31"/>
    <w:rsid w:val="7C8C7339"/>
    <w:rsid w:val="7DB810CB"/>
    <w:rsid w:val="7ECE3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autoRedefine/>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paragraph" w:styleId="3">
    <w:name w:val="heading 3"/>
    <w:basedOn w:val="1"/>
    <w:next w:val="1"/>
    <w:autoRedefine/>
    <w:unhideWhenUsed/>
    <w:qFormat/>
    <w:uiPriority w:val="9"/>
    <w:pPr>
      <w:spacing w:before="50" w:beforeLines="50" w:beforeAutospacing="0" w:after="50" w:afterLines="50" w:afterAutospacing="0" w:line="600" w:lineRule="exact"/>
      <w:ind w:firstLine="863" w:firstLineChars="200"/>
      <w:jc w:val="left"/>
      <w:outlineLvl w:val="2"/>
    </w:pPr>
    <w:rPr>
      <w:rFonts w:hint="eastAsia" w:ascii="宋体" w:hAnsi="宋体" w:eastAsia="黑体" w:cs="宋体"/>
      <w:bCs/>
      <w:snapToGrid w:val="0"/>
      <w:color w:val="000000"/>
      <w:kern w:val="2"/>
      <w:sz w:val="32"/>
      <w:szCs w:val="27"/>
      <w:lang w:bidi="ar"/>
    </w:rPr>
  </w:style>
  <w:style w:type="character" w:default="1" w:styleId="10">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unhideWhenUsed/>
    <w:qFormat/>
    <w:uiPriority w:val="0"/>
    <w:pPr>
      <w:spacing w:before="0" w:beforeAutospacing="0" w:after="120" w:afterAutospacing="0" w:line="240" w:lineRule="auto"/>
      <w:ind w:left="420" w:leftChars="200" w:firstLine="0" w:firstLineChars="0"/>
    </w:pPr>
    <w:rPr>
      <w:sz w:val="21"/>
    </w:rPr>
  </w:style>
  <w:style w:type="paragraph" w:styleId="5">
    <w:name w:val="footer"/>
    <w:basedOn w:val="1"/>
    <w:link w:val="14"/>
    <w:semiHidden/>
    <w:unhideWhenUsed/>
    <w:qFormat/>
    <w:uiPriority w:val="99"/>
    <w:pPr>
      <w:tabs>
        <w:tab w:val="center" w:pos="4153"/>
        <w:tab w:val="right" w:pos="8306"/>
      </w:tabs>
    </w:pPr>
    <w:rPr>
      <w:sz w:val="18"/>
      <w:szCs w:val="18"/>
    </w:rPr>
  </w:style>
  <w:style w:type="paragraph" w:styleId="6">
    <w:name w:val="header"/>
    <w:basedOn w:val="1"/>
    <w:link w:val="13"/>
    <w:semiHidden/>
    <w:unhideWhenUsed/>
    <w:qFormat/>
    <w:uiPriority w:val="99"/>
    <w:pPr>
      <w:pBdr>
        <w:bottom w:val="single" w:color="auto" w:sz="6" w:space="1"/>
      </w:pBdr>
      <w:tabs>
        <w:tab w:val="center" w:pos="4153"/>
        <w:tab w:val="right" w:pos="8306"/>
      </w:tabs>
      <w:jc w:val="center"/>
    </w:pPr>
    <w:rPr>
      <w:sz w:val="18"/>
      <w:szCs w:val="18"/>
    </w:rPr>
  </w:style>
  <w:style w:type="paragraph" w:styleId="7">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paragraph" w:styleId="8">
    <w:name w:val="Body Text First Indent 2"/>
    <w:basedOn w:val="4"/>
    <w:qFormat/>
    <w:uiPriority w:val="0"/>
    <w:pPr>
      <w:autoSpaceDE w:val="0"/>
      <w:autoSpaceDN w:val="0"/>
      <w:adjustRightInd w:val="0"/>
      <w:spacing w:after="0"/>
      <w:ind w:firstLine="420"/>
      <w:jc w:val="left"/>
    </w:pPr>
    <w:rPr>
      <w:rFonts w:ascii="Calibri" w:hAnsi="Calibri"/>
    </w:rPr>
  </w:style>
  <w:style w:type="character" w:styleId="11">
    <w:name w:val="page number"/>
    <w:basedOn w:val="10"/>
    <w:qFormat/>
    <w:uiPriority w:val="0"/>
  </w:style>
  <w:style w:type="character" w:styleId="12">
    <w:name w:val="Hyperlink"/>
    <w:basedOn w:val="10"/>
    <w:semiHidden/>
    <w:unhideWhenUsed/>
    <w:qFormat/>
    <w:uiPriority w:val="99"/>
    <w:rPr>
      <w:color w:val="333333"/>
      <w:u w:val="none"/>
    </w:rPr>
  </w:style>
  <w:style w:type="character" w:customStyle="1" w:styleId="13">
    <w:name w:val="页眉 Char"/>
    <w:basedOn w:val="10"/>
    <w:link w:val="6"/>
    <w:semiHidden/>
    <w:qFormat/>
    <w:uiPriority w:val="99"/>
    <w:rPr>
      <w:rFonts w:ascii="Tahoma" w:hAnsi="Tahoma"/>
      <w:sz w:val="18"/>
      <w:szCs w:val="18"/>
    </w:rPr>
  </w:style>
  <w:style w:type="character" w:customStyle="1" w:styleId="14">
    <w:name w:val="页脚 Char"/>
    <w:basedOn w:val="10"/>
    <w:link w:val="5"/>
    <w:semiHidden/>
    <w:qFormat/>
    <w:uiPriority w:val="99"/>
    <w:rPr>
      <w:rFonts w:ascii="Tahoma" w:hAnsi="Tahoma"/>
      <w:sz w:val="18"/>
      <w:szCs w:val="18"/>
    </w:rPr>
  </w:style>
  <w:style w:type="character" w:customStyle="1" w:styleId="15">
    <w:name w:val="NormalCharacter"/>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9088</Words>
  <Characters>9913</Characters>
  <Lines>66</Lines>
  <Paragraphs>18</Paragraphs>
  <TotalTime>1</TotalTime>
  <ScaleCrop>false</ScaleCrop>
  <LinksUpToDate>false</LinksUpToDate>
  <CharactersWithSpaces>10141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2024-07-30T09:19:00Z</cp:lastPrinted>
  <dcterms:modified xsi:type="dcterms:W3CDTF">2024-08-12T00:32:45Z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7080D7ECA65A4F1A9EEACB6D12C2DBA7_13</vt:lpwstr>
  </property>
</Properties>
</file>