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D1F250">
      <w:pPr>
        <w:spacing w:line="580" w:lineRule="exact"/>
        <w:rPr>
          <w:rFonts w:hint="eastAsia" w:ascii="黑体" w:hAnsi="黑体" w:eastAsia="黑体" w:cs="黑体"/>
          <w:sz w:val="28"/>
          <w:szCs w:val="28"/>
        </w:rPr>
      </w:pPr>
      <w:r>
        <w:rPr>
          <w:rFonts w:hint="eastAsia" w:ascii="黑体" w:hAnsi="黑体" w:eastAsia="黑体" w:cs="黑体"/>
          <w:sz w:val="28"/>
          <w:szCs w:val="28"/>
        </w:rPr>
        <w:t>附件1：</w:t>
      </w:r>
    </w:p>
    <w:p w14:paraId="1362313F">
      <w:pPr>
        <w:pStyle w:val="4"/>
        <w:bidi w:val="0"/>
        <w:rPr>
          <w:rFonts w:hint="eastAsia" w:ascii="方正小标宋_GBK" w:hAnsi="方正小标宋_GBK" w:eastAsia="方正小标宋_GBK" w:cs="方正小标宋_GBK"/>
        </w:rPr>
      </w:pPr>
      <w:r>
        <w:rPr>
          <w:rFonts w:hint="eastAsia" w:ascii="方正小标宋_GBK" w:hAnsi="方正小标宋_GBK" w:eastAsia="方正小标宋_GBK" w:cs="方正小标宋_GBK"/>
        </w:rPr>
        <w:t>中方县</w:t>
      </w:r>
      <w:r>
        <w:rPr>
          <w:rFonts w:hint="eastAsia" w:ascii="方正小标宋_GBK" w:hAnsi="方正小标宋_GBK" w:cs="方正小标宋_GBK"/>
          <w:lang w:val="en-US" w:eastAsia="zh-CN"/>
        </w:rPr>
        <w:t>医疗保障局</w:t>
      </w:r>
      <w:r>
        <w:rPr>
          <w:rFonts w:hint="eastAsia" w:ascii="方正小标宋_GBK" w:hAnsi="方正小标宋_GBK" w:eastAsia="方正小标宋_GBK" w:cs="方正小标宋_GBK"/>
          <w:lang w:eastAsia="zh-CN"/>
        </w:rPr>
        <w:t>202</w:t>
      </w:r>
      <w:r>
        <w:rPr>
          <w:rFonts w:hint="eastAsia" w:ascii="方正小标宋_GBK" w:hAnsi="方正小标宋_GBK" w:eastAsia="方正小标宋_GBK" w:cs="方正小标宋_GBK"/>
          <w:lang w:val="en-US" w:eastAsia="zh-CN"/>
        </w:rPr>
        <w:t>3</w:t>
      </w:r>
      <w:r>
        <w:rPr>
          <w:rFonts w:hint="eastAsia" w:ascii="方正小标宋_GBK" w:hAnsi="方正小标宋_GBK" w:eastAsia="方正小标宋_GBK" w:cs="方正小标宋_GBK"/>
        </w:rPr>
        <w:t>年度部门整体支出绩效自评报告</w:t>
      </w:r>
    </w:p>
    <w:p w14:paraId="75DD3180">
      <w:pPr>
        <w:spacing w:after="0" w:line="560" w:lineRule="atLeast"/>
        <w:jc w:val="center"/>
        <w:rPr>
          <w:rFonts w:hint="eastAsia" w:ascii="楷体" w:hAnsi="楷体" w:eastAsia="楷体" w:cs="楷体"/>
          <w:bCs/>
          <w:sz w:val="36"/>
          <w:szCs w:val="36"/>
        </w:rPr>
      </w:pPr>
    </w:p>
    <w:p w14:paraId="6E7A4939">
      <w:pPr>
        <w:spacing w:after="0" w:line="600" w:lineRule="atLeast"/>
        <w:ind w:firstLine="640" w:firstLineChars="200"/>
        <w:rPr>
          <w:rFonts w:ascii="黑体" w:hAnsi="黑体" w:eastAsia="黑体" w:cs="黑体"/>
          <w:bCs/>
          <w:sz w:val="32"/>
          <w:szCs w:val="32"/>
        </w:rPr>
      </w:pPr>
      <w:r>
        <w:rPr>
          <w:rFonts w:hint="eastAsia" w:ascii="黑体" w:hAnsi="黑体" w:eastAsia="黑体" w:cs="黑体"/>
          <w:bCs/>
          <w:sz w:val="32"/>
          <w:szCs w:val="32"/>
        </w:rPr>
        <w:t>一、部门基本情况</w:t>
      </w:r>
    </w:p>
    <w:p w14:paraId="18645545">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（一）部门职能与机构设置；</w:t>
      </w:r>
    </w:p>
    <w:p w14:paraId="5CC429E1">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部门职能：</w:t>
      </w:r>
    </w:p>
    <w:p w14:paraId="4D4042D5">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1、组织实施全县医疗保险、生育保险、医疗救助等医疗保障制度的规划和标准。</w:t>
      </w:r>
    </w:p>
    <w:p w14:paraId="30D821AF">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2、组织实施全县医疗保障基金监督管理办法,监督管理相关医疗保障基金,建立健全医疗保障基金安全防控机制,推进医疗保障基金支付方式改革。</w:t>
      </w:r>
    </w:p>
    <w:p w14:paraId="597D5317">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3、组织实施全县医疗保障筹资和待遇实施办法,完善动态调整和区域调剂平衡机制,统筹城乡医疗保障待遇标准,建立健全与筹资水平相适应的待遇调整机制,组织实施并监督执行长期护理保险制度改革方案。</w:t>
      </w:r>
    </w:p>
    <w:p w14:paraId="3AB9C60F">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4、组织实施全城乡统一的药品、医用耗材、医疗服务项目、医疗服务设施等医保目录和支付标准,建立动态调整机制,制定医保目录准入谈判规则并组织实施。</w:t>
      </w:r>
    </w:p>
    <w:p w14:paraId="4DC27CA2">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5、组织实施并监督执行全县药品、医用耗材价格和医疗服务项目、医疗服务设施收费等实施办法,建立医保支付医药服务价格合理确定和动态调整机制，推动建立市场主导的社会医费服务价格形成机制,建立价格信息监测和信息发布制度。</w:t>
      </w:r>
    </w:p>
    <w:p w14:paraId="6CCF9905">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6、制定执行全县药品、医用耗材的招标采购办法并监督</w:t>
      </w:r>
    </w:p>
    <w:p w14:paraId="7D82A508">
      <w:pPr>
        <w:spacing w:after="0" w:line="600" w:lineRule="atLeast"/>
        <w:rPr>
          <w:rFonts w:ascii="仿宋" w:hAnsi="仿宋" w:eastAsia="仿宋" w:cs="仿宋"/>
          <w:sz w:val="32"/>
          <w:szCs w:val="32"/>
        </w:rPr>
      </w:pPr>
      <w:r>
        <w:rPr>
          <w:rFonts w:hint="eastAsia" w:ascii="仿宋" w:hAnsi="仿宋" w:eastAsia="仿宋" w:cs="仿宋"/>
          <w:sz w:val="32"/>
          <w:szCs w:val="32"/>
        </w:rPr>
        <w:t>实施,指导药品、医用耗材招标采购平台建设。</w:t>
      </w:r>
    </w:p>
    <w:p w14:paraId="2F343B61">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7、制定并实施全县定点医药机构协议和支付管理办法建立健全医疗保障信用评价体系和信息披露制度,监督管理纳入医保范围内的医疗服务行为和医疗费用，依法查处医疗保障领域违法违规行为。</w:t>
      </w:r>
    </w:p>
    <w:p w14:paraId="20B99FB9">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8、负责全县医疗保障经办管理工作和公共服务体系、信息化建设。指导、监督全县医疗保险、大病保险(含职工大病互助)、生育保险、医疗救助等医疗保障经办业务工作。组织实施并监督执行异地就医管理和费用结算办法。建立健全医疗保障关系转移接续制度。开展医疗保障领域国内外合作交流。</w:t>
      </w:r>
    </w:p>
    <w:p w14:paraId="04A4C063">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9、职能转变。县医保局应完善统一的城乡居民基本医疗保险制度和大病保险制度,巩固完善城乡居民医疗救助制度,建立健全覆盖全民、城乡统筹的多层次医疗保障体系,不断提高医疗保障水平,确保医保资金合理使用、安全可控,推进医疗、医保、医药"三医联动"改革,更好保障人民群众就医需求、减轻医药费用负担。</w:t>
      </w:r>
    </w:p>
    <w:p w14:paraId="7A9BE25B">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10、与县卫生健康局等部门在医疗、医保、医药等方面加强制度、政策衔接,建立沟通协调机制,协同推进改革,提高医疗资源使用效率和医疗保障水平。</w:t>
      </w:r>
    </w:p>
    <w:p w14:paraId="21445F1D">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11、完成县委、县政府交办的其他任务。</w:t>
      </w:r>
    </w:p>
    <w:p w14:paraId="7888E716">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（二）人员情况；</w:t>
      </w:r>
    </w:p>
    <w:p w14:paraId="0685918F">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核定编制4</w:t>
      </w:r>
      <w:r>
        <w:rPr>
          <w:rFonts w:hint="eastAsia" w:ascii="仿宋" w:hAnsi="仿宋" w:eastAsia="仿宋" w:cs="仿宋"/>
          <w:sz w:val="32"/>
          <w:szCs w:val="32"/>
          <w:lang w:val="en-US" w:eastAsia="zh-CN"/>
        </w:rPr>
        <w:t>4</w:t>
      </w:r>
      <w:r>
        <w:rPr>
          <w:rFonts w:hint="eastAsia" w:ascii="仿宋" w:hAnsi="仿宋" w:eastAsia="仿宋" w:cs="仿宋"/>
          <w:sz w:val="32"/>
          <w:szCs w:val="32"/>
        </w:rPr>
        <w:t>人，其中：行政及参公编制</w:t>
      </w:r>
      <w:r>
        <w:rPr>
          <w:rFonts w:hint="eastAsia" w:ascii="仿宋" w:hAnsi="仿宋" w:eastAsia="仿宋" w:cs="仿宋"/>
          <w:sz w:val="32"/>
          <w:szCs w:val="32"/>
          <w:lang w:val="en-US" w:eastAsia="zh-CN"/>
        </w:rPr>
        <w:t>6</w:t>
      </w:r>
      <w:r>
        <w:rPr>
          <w:rFonts w:hint="eastAsia" w:ascii="仿宋" w:hAnsi="仿宋" w:eastAsia="仿宋" w:cs="仿宋"/>
          <w:sz w:val="32"/>
          <w:szCs w:val="32"/>
        </w:rPr>
        <w:t>人，事业编制3</w:t>
      </w:r>
      <w:r>
        <w:rPr>
          <w:rFonts w:hint="eastAsia" w:ascii="仿宋" w:hAnsi="仿宋" w:eastAsia="仿宋" w:cs="仿宋"/>
          <w:sz w:val="32"/>
          <w:szCs w:val="32"/>
          <w:lang w:val="en-US" w:eastAsia="zh-CN"/>
        </w:rPr>
        <w:t>3</w:t>
      </w:r>
      <w:r>
        <w:rPr>
          <w:rFonts w:hint="eastAsia" w:ascii="仿宋" w:hAnsi="仿宋" w:eastAsia="仿宋" w:cs="仿宋"/>
          <w:sz w:val="32"/>
          <w:szCs w:val="32"/>
        </w:rPr>
        <w:t>人。实有在职人员</w:t>
      </w:r>
      <w:r>
        <w:rPr>
          <w:rFonts w:hint="eastAsia" w:ascii="仿宋" w:hAnsi="仿宋" w:eastAsia="仿宋" w:cs="仿宋"/>
          <w:sz w:val="32"/>
          <w:szCs w:val="32"/>
          <w:lang w:val="en-US" w:eastAsia="zh-CN"/>
        </w:rPr>
        <w:t>39</w:t>
      </w:r>
      <w:r>
        <w:rPr>
          <w:rFonts w:hint="eastAsia" w:ascii="仿宋" w:hAnsi="仿宋" w:eastAsia="仿宋" w:cs="仿宋"/>
          <w:sz w:val="32"/>
          <w:szCs w:val="32"/>
        </w:rPr>
        <w:t>人，退休人员</w:t>
      </w:r>
      <w:r>
        <w:rPr>
          <w:rFonts w:hint="eastAsia" w:ascii="仿宋" w:hAnsi="仿宋" w:eastAsia="仿宋" w:cs="仿宋"/>
          <w:sz w:val="32"/>
          <w:szCs w:val="32"/>
          <w:lang w:val="en-US" w:eastAsia="zh-CN"/>
        </w:rPr>
        <w:t>11</w:t>
      </w:r>
      <w:r>
        <w:rPr>
          <w:rFonts w:hint="eastAsia" w:ascii="仿宋" w:hAnsi="仿宋" w:eastAsia="仿宋" w:cs="仿宋"/>
          <w:sz w:val="32"/>
          <w:szCs w:val="32"/>
        </w:rPr>
        <w:t>人。</w:t>
      </w:r>
    </w:p>
    <w:p w14:paraId="766A886C">
      <w:pPr>
        <w:keepNext w:val="0"/>
        <w:keepLines w:val="0"/>
        <w:pageBreakBefore w:val="0"/>
        <w:widowControl/>
        <w:numPr>
          <w:ilvl w:val="0"/>
          <w:numId w:val="1"/>
        </w:numPr>
        <w:kinsoku/>
        <w:wordWrap/>
        <w:overflowPunct/>
        <w:topLinePunct w:val="0"/>
        <w:autoSpaceDE/>
        <w:autoSpaceDN/>
        <w:bidi w:val="0"/>
        <w:adjustRightInd w:val="0"/>
        <w:snapToGrid w:val="0"/>
        <w:spacing w:after="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部门年度总体工作任务和重点工作任务；</w:t>
      </w:r>
    </w:p>
    <w:p w14:paraId="0005ABFA">
      <w:pPr>
        <w:pStyle w:val="2"/>
        <w:keepNext w:val="0"/>
        <w:keepLines w:val="0"/>
        <w:pageBreakBefore w:val="0"/>
        <w:widowControl/>
        <w:numPr>
          <w:ilvl w:val="0"/>
          <w:numId w:val="0"/>
        </w:numPr>
        <w:kinsoku/>
        <w:wordWrap/>
        <w:overflowPunct/>
        <w:topLinePunct w:val="0"/>
        <w:bidi w:val="0"/>
        <w:adjustRightInd w:val="0"/>
        <w:snapToGrid w:val="0"/>
        <w:spacing w:line="600" w:lineRule="exact"/>
        <w:ind w:leftChars="200"/>
        <w:textAlignment w:val="auto"/>
        <w:rPr>
          <w:rFonts w:hint="eastAsia" w:ascii="仿宋" w:hAnsi="仿宋" w:eastAsia="仿宋" w:cs="仿宋"/>
          <w:sz w:val="32"/>
          <w:szCs w:val="32"/>
        </w:rPr>
      </w:pPr>
      <w:r>
        <w:rPr>
          <w:rFonts w:hint="eastAsia" w:ascii="仿宋" w:hAnsi="仿宋" w:eastAsia="仿宋" w:cs="仿宋"/>
          <w:sz w:val="32"/>
          <w:szCs w:val="32"/>
        </w:rPr>
        <w:t>一、工作开展情况</w:t>
      </w:r>
    </w:p>
    <w:p w14:paraId="2F53D02E">
      <w:pPr>
        <w:pStyle w:val="2"/>
        <w:keepNext w:val="0"/>
        <w:keepLines w:val="0"/>
        <w:pageBreakBefore w:val="0"/>
        <w:widowControl/>
        <w:numPr>
          <w:ilvl w:val="0"/>
          <w:numId w:val="0"/>
        </w:numPr>
        <w:kinsoku/>
        <w:wordWrap/>
        <w:overflowPunct/>
        <w:topLinePunct w:val="0"/>
        <w:bidi w:val="0"/>
        <w:adjustRightInd w:val="0"/>
        <w:snapToGrid w:val="0"/>
        <w:spacing w:line="600" w:lineRule="exact"/>
        <w:ind w:leftChars="200"/>
        <w:textAlignment w:val="auto"/>
        <w:rPr>
          <w:rFonts w:hint="eastAsia" w:ascii="仿宋" w:hAnsi="仿宋" w:eastAsia="仿宋" w:cs="仿宋"/>
          <w:sz w:val="32"/>
          <w:szCs w:val="32"/>
        </w:rPr>
      </w:pPr>
      <w:r>
        <w:rPr>
          <w:rFonts w:hint="eastAsia" w:ascii="仿宋" w:hAnsi="仿宋" w:eastAsia="仿宋" w:cs="仿宋"/>
          <w:sz w:val="32"/>
          <w:szCs w:val="32"/>
        </w:rPr>
        <w:t>（一）医保基金收支情况</w:t>
      </w:r>
    </w:p>
    <w:p w14:paraId="65DCA217">
      <w:pPr>
        <w:pStyle w:val="2"/>
        <w:keepNext w:val="0"/>
        <w:keepLines w:val="0"/>
        <w:pageBreakBefore w:val="0"/>
        <w:widowControl/>
        <w:numPr>
          <w:ilvl w:val="0"/>
          <w:numId w:val="0"/>
        </w:numPr>
        <w:kinsoku/>
        <w:wordWrap/>
        <w:overflowPunct/>
        <w:topLinePunct w:val="0"/>
        <w:bidi w:val="0"/>
        <w:adjustRightInd w:val="0"/>
        <w:snapToGrid w:val="0"/>
        <w:spacing w:line="600" w:lineRule="exact"/>
        <w:ind w:leftChars="200"/>
        <w:textAlignment w:val="auto"/>
        <w:rPr>
          <w:rFonts w:hint="eastAsia" w:ascii="仿宋" w:hAnsi="仿宋" w:eastAsia="仿宋" w:cs="仿宋"/>
          <w:sz w:val="32"/>
          <w:szCs w:val="32"/>
        </w:rPr>
      </w:pPr>
      <w:r>
        <w:rPr>
          <w:rFonts w:hint="eastAsia" w:ascii="仿宋" w:hAnsi="仿宋" w:eastAsia="仿宋" w:cs="仿宋"/>
          <w:sz w:val="32"/>
          <w:szCs w:val="32"/>
        </w:rPr>
        <w:t>1.城乡居民医保。截止2023年12月份城乡居民医疗保险基金收入21161.53万元，其中：财政补贴收入13903.91万元，社会保险费收入5125.10万元，上级补助收入2100.43万元，利息收入24.20万元，其他收入7.89万元。2023年12月份城乡居民医疗保险基金支出26332.68万元，其中：住院费用17626.97万元，门诊费用5111.44万元，大病保险支出1288.92万元，上解上级支出2285.29万元，其他支出18.92万元。本年结余-5171.15万元,累计结余4349.37万元。</w:t>
      </w:r>
    </w:p>
    <w:p w14:paraId="560DF0D5">
      <w:pPr>
        <w:pStyle w:val="2"/>
        <w:keepNext w:val="0"/>
        <w:keepLines w:val="0"/>
        <w:pageBreakBefore w:val="0"/>
        <w:widowControl/>
        <w:numPr>
          <w:ilvl w:val="0"/>
          <w:numId w:val="0"/>
        </w:numPr>
        <w:kinsoku/>
        <w:wordWrap/>
        <w:overflowPunct/>
        <w:topLinePunct w:val="0"/>
        <w:bidi w:val="0"/>
        <w:adjustRightInd w:val="0"/>
        <w:snapToGrid w:val="0"/>
        <w:spacing w:line="600" w:lineRule="exact"/>
        <w:ind w:leftChars="200"/>
        <w:textAlignment w:val="auto"/>
        <w:rPr>
          <w:rFonts w:hint="eastAsia" w:ascii="仿宋" w:hAnsi="仿宋" w:eastAsia="仿宋" w:cs="仿宋"/>
          <w:sz w:val="32"/>
          <w:szCs w:val="32"/>
        </w:rPr>
      </w:pPr>
      <w:r>
        <w:rPr>
          <w:rFonts w:hint="eastAsia" w:ascii="仿宋" w:hAnsi="仿宋" w:eastAsia="仿宋" w:cs="仿宋"/>
          <w:sz w:val="32"/>
          <w:szCs w:val="32"/>
        </w:rPr>
        <w:t>2.城镇职工医保。截止2023年12月份城镇职工医疗保险基金收入8397.13万元，其中：统筹基金收入6418.71万元，个人账户基金收入1978.42万元。支出5438.40万元，其中：统筹基金待遇支出3600.63万元，个人账户基金待遇支出1837.77万元。当年结余2958.73万元，累计结余17502.74万元。2023年12月份大病互助医疗保险基金收入255.99万元，支出100.40万元，当年结余155.59万元，累计结余399.23万元。</w:t>
      </w:r>
    </w:p>
    <w:p w14:paraId="1A2EBDBA">
      <w:pPr>
        <w:pStyle w:val="2"/>
        <w:keepNext w:val="0"/>
        <w:keepLines w:val="0"/>
        <w:pageBreakBefore w:val="0"/>
        <w:widowControl/>
        <w:numPr>
          <w:ilvl w:val="0"/>
          <w:numId w:val="0"/>
        </w:numPr>
        <w:kinsoku/>
        <w:wordWrap/>
        <w:overflowPunct/>
        <w:topLinePunct w:val="0"/>
        <w:bidi w:val="0"/>
        <w:adjustRightInd w:val="0"/>
        <w:snapToGrid w:val="0"/>
        <w:spacing w:line="600" w:lineRule="exact"/>
        <w:ind w:leftChars="200"/>
        <w:textAlignment w:val="auto"/>
        <w:rPr>
          <w:rFonts w:hint="eastAsia" w:ascii="仿宋" w:hAnsi="仿宋" w:eastAsia="仿宋" w:cs="仿宋"/>
          <w:sz w:val="32"/>
          <w:szCs w:val="32"/>
        </w:rPr>
      </w:pPr>
      <w:r>
        <w:rPr>
          <w:rFonts w:hint="eastAsia" w:ascii="仿宋" w:hAnsi="仿宋" w:eastAsia="仿宋" w:cs="仿宋"/>
          <w:sz w:val="32"/>
          <w:szCs w:val="32"/>
        </w:rPr>
        <w:t>3.医疗救助资金。截止2023年12月份医疗救助资金收入721.78万元，支出1745.83万元，当年结余-1024.05万元，累计结余-533.05万元。</w:t>
      </w:r>
    </w:p>
    <w:p w14:paraId="3572BB26">
      <w:pPr>
        <w:pStyle w:val="2"/>
        <w:keepNext w:val="0"/>
        <w:keepLines w:val="0"/>
        <w:pageBreakBefore w:val="0"/>
        <w:widowControl/>
        <w:numPr>
          <w:ilvl w:val="0"/>
          <w:numId w:val="0"/>
        </w:numPr>
        <w:kinsoku/>
        <w:wordWrap/>
        <w:overflowPunct/>
        <w:topLinePunct w:val="0"/>
        <w:bidi w:val="0"/>
        <w:adjustRightInd w:val="0"/>
        <w:snapToGrid w:val="0"/>
        <w:spacing w:line="600" w:lineRule="exact"/>
        <w:ind w:leftChars="200"/>
        <w:textAlignment w:val="auto"/>
        <w:rPr>
          <w:rFonts w:hint="eastAsia" w:ascii="仿宋" w:hAnsi="仿宋" w:eastAsia="仿宋" w:cs="仿宋"/>
          <w:sz w:val="32"/>
          <w:szCs w:val="32"/>
        </w:rPr>
      </w:pPr>
      <w:r>
        <w:rPr>
          <w:rFonts w:hint="eastAsia" w:ascii="仿宋" w:hAnsi="仿宋" w:eastAsia="仿宋" w:cs="仿宋"/>
          <w:sz w:val="32"/>
          <w:szCs w:val="32"/>
        </w:rPr>
        <w:t>（二）征缴工作</w:t>
      </w:r>
    </w:p>
    <w:p w14:paraId="5789199A">
      <w:pPr>
        <w:pStyle w:val="2"/>
        <w:keepNext w:val="0"/>
        <w:keepLines w:val="0"/>
        <w:pageBreakBefore w:val="0"/>
        <w:widowControl/>
        <w:numPr>
          <w:ilvl w:val="0"/>
          <w:numId w:val="0"/>
        </w:numPr>
        <w:kinsoku/>
        <w:wordWrap/>
        <w:overflowPunct/>
        <w:topLinePunct w:val="0"/>
        <w:bidi w:val="0"/>
        <w:adjustRightInd w:val="0"/>
        <w:snapToGrid w:val="0"/>
        <w:spacing w:line="600" w:lineRule="exact"/>
        <w:ind w:leftChars="200"/>
        <w:textAlignment w:val="auto"/>
        <w:rPr>
          <w:rFonts w:hint="eastAsia" w:ascii="仿宋" w:hAnsi="仿宋" w:eastAsia="仿宋" w:cs="仿宋"/>
          <w:sz w:val="32"/>
          <w:szCs w:val="32"/>
        </w:rPr>
      </w:pPr>
      <w:r>
        <w:rPr>
          <w:rFonts w:hint="eastAsia" w:ascii="仿宋" w:hAnsi="仿宋" w:eastAsia="仿宋" w:cs="仿宋"/>
          <w:sz w:val="32"/>
          <w:szCs w:val="32"/>
        </w:rPr>
        <w:t>2023年市局给我县参保目标为任务常住人口数236400人的95%，我县基本医疗保险参保人数225460人（其中城镇职工参保14187人，城乡居民参保211273人），参保率为95.37%。</w:t>
      </w:r>
    </w:p>
    <w:p w14:paraId="3B474642">
      <w:pPr>
        <w:pStyle w:val="2"/>
        <w:keepNext w:val="0"/>
        <w:keepLines w:val="0"/>
        <w:pageBreakBefore w:val="0"/>
        <w:widowControl/>
        <w:numPr>
          <w:ilvl w:val="0"/>
          <w:numId w:val="0"/>
        </w:numPr>
        <w:kinsoku/>
        <w:wordWrap/>
        <w:overflowPunct/>
        <w:topLinePunct w:val="0"/>
        <w:bidi w:val="0"/>
        <w:adjustRightInd w:val="0"/>
        <w:snapToGrid w:val="0"/>
        <w:spacing w:line="600" w:lineRule="exact"/>
        <w:ind w:leftChars="200"/>
        <w:textAlignment w:val="auto"/>
        <w:rPr>
          <w:rFonts w:hint="eastAsia" w:ascii="仿宋" w:hAnsi="仿宋" w:eastAsia="仿宋" w:cs="仿宋"/>
          <w:sz w:val="32"/>
          <w:szCs w:val="32"/>
        </w:rPr>
      </w:pPr>
      <w:r>
        <w:rPr>
          <w:rFonts w:hint="eastAsia" w:ascii="仿宋" w:hAnsi="仿宋" w:eastAsia="仿宋" w:cs="仿宋"/>
          <w:sz w:val="32"/>
          <w:szCs w:val="32"/>
        </w:rPr>
        <w:t>1.全面落实困难人员参保和资助。一是完成了对困难人员(特困人员、重点优抚对象、重度残疾人、孤儿)4978人全额参保资助工作，资助金额174.23万元。二是完成监测对象（含边缘易致贫户、突发困难户、脱贫不稳定户、低保认定边缘户）1453人，资助金额25.4275万元。三是完成了低保对象5142人参保，50%资助金额89.985万元。</w:t>
      </w:r>
    </w:p>
    <w:p w14:paraId="5BDDC59F">
      <w:pPr>
        <w:pStyle w:val="2"/>
        <w:keepNext w:val="0"/>
        <w:keepLines w:val="0"/>
        <w:pageBreakBefore w:val="0"/>
        <w:widowControl/>
        <w:numPr>
          <w:ilvl w:val="0"/>
          <w:numId w:val="0"/>
        </w:numPr>
        <w:kinsoku/>
        <w:wordWrap/>
        <w:overflowPunct/>
        <w:topLinePunct w:val="0"/>
        <w:bidi w:val="0"/>
        <w:adjustRightInd w:val="0"/>
        <w:snapToGrid w:val="0"/>
        <w:spacing w:line="600" w:lineRule="exact"/>
        <w:ind w:leftChars="200"/>
        <w:textAlignment w:val="auto"/>
        <w:rPr>
          <w:rFonts w:hint="eastAsia" w:ascii="仿宋" w:hAnsi="仿宋" w:eastAsia="仿宋" w:cs="仿宋"/>
          <w:sz w:val="32"/>
          <w:szCs w:val="32"/>
        </w:rPr>
      </w:pPr>
      <w:r>
        <w:rPr>
          <w:rFonts w:hint="eastAsia" w:ascii="仿宋" w:hAnsi="仿宋" w:eastAsia="仿宋" w:cs="仿宋"/>
          <w:sz w:val="32"/>
          <w:szCs w:val="32"/>
        </w:rPr>
        <w:t>2.抓精准信息。县医保局依据县统计局数据对各乡镇辖区内的常住人口进行统计，及时动态掌握参保人员情况，县医保局加强与税务局信息交换，从11月底起，县医保局于每周一上午与税务局对接，将上周各乡镇参保情况和参保人员通过与2022年参保信息数据比对出未参保人员名单，并将未参保人员名单下发到各乡镇，各乡镇根据比对名单“点对点”精准督促参保。</w:t>
      </w:r>
    </w:p>
    <w:p w14:paraId="3DB117DA">
      <w:pPr>
        <w:pStyle w:val="2"/>
        <w:keepNext w:val="0"/>
        <w:keepLines w:val="0"/>
        <w:pageBreakBefore w:val="0"/>
        <w:widowControl/>
        <w:numPr>
          <w:ilvl w:val="0"/>
          <w:numId w:val="0"/>
        </w:numPr>
        <w:kinsoku/>
        <w:wordWrap/>
        <w:overflowPunct/>
        <w:topLinePunct w:val="0"/>
        <w:bidi w:val="0"/>
        <w:adjustRightInd w:val="0"/>
        <w:snapToGrid w:val="0"/>
        <w:spacing w:line="600" w:lineRule="exact"/>
        <w:ind w:leftChars="200"/>
        <w:textAlignment w:val="auto"/>
        <w:rPr>
          <w:rFonts w:hint="eastAsia" w:ascii="仿宋" w:hAnsi="仿宋" w:eastAsia="仿宋" w:cs="仿宋"/>
          <w:sz w:val="32"/>
          <w:szCs w:val="32"/>
        </w:rPr>
      </w:pPr>
      <w:r>
        <w:rPr>
          <w:rFonts w:hint="eastAsia" w:ascii="仿宋" w:hAnsi="仿宋" w:eastAsia="仿宋" w:cs="仿宋"/>
          <w:sz w:val="32"/>
          <w:szCs w:val="32"/>
        </w:rPr>
        <w:t>3．抓督查考核。通过采取督查方式和建立考核机制，积极推进基本医疗保险参保缴费工作。去年9月以来，县乡村振兴领导小组、疫情防控指挥部等部门相继下发了《中方县扶乡村振兴领导小组关于迅速开展城乡居民参保清零行动的通知》（中方委乡振组办〔2023〕2号）、《中方县委防指挥部关于对新冠病毒阳性感染者治疗收费进行调整的通知》（中防控办〔2022〕345号）、《中方县教育局、医保局关于中方县辖区内学生2023年度城乡居民医保筹资征缴工作的通知》（中县教通〔2022〕89号），明确了全县参保率达到95%和三类人群参保全覆盖的目标要求；11月，县政府组织各乡镇召开了专题调度会，研究医保征收工作存在的问题，安排了专项经费，并安排县政府督查室对全县参保情况进行专项督查；特别是2月18日以来，县委决定实施了医保征收“十日攻坚”行动，县委书记亲自调度，对征缴工作再次安排部署，全部县级领导下到联系乡镇督导医保征缴工作，对征缴工作实行“日调度、通报、追责”工作机制，困难人群已实现清零目标。</w:t>
      </w:r>
    </w:p>
    <w:p w14:paraId="3D25115B">
      <w:pPr>
        <w:pStyle w:val="2"/>
        <w:keepNext w:val="0"/>
        <w:keepLines w:val="0"/>
        <w:pageBreakBefore w:val="0"/>
        <w:widowControl/>
        <w:numPr>
          <w:ilvl w:val="0"/>
          <w:numId w:val="0"/>
        </w:numPr>
        <w:kinsoku/>
        <w:wordWrap/>
        <w:overflowPunct/>
        <w:topLinePunct w:val="0"/>
        <w:bidi w:val="0"/>
        <w:adjustRightInd w:val="0"/>
        <w:snapToGrid w:val="0"/>
        <w:spacing w:line="600" w:lineRule="exact"/>
        <w:ind w:leftChars="200"/>
        <w:textAlignment w:val="auto"/>
        <w:rPr>
          <w:rFonts w:hint="eastAsia" w:ascii="仿宋" w:hAnsi="仿宋" w:eastAsia="仿宋" w:cs="仿宋"/>
          <w:sz w:val="32"/>
          <w:szCs w:val="32"/>
        </w:rPr>
      </w:pPr>
      <w:r>
        <w:rPr>
          <w:rFonts w:hint="eastAsia" w:ascii="仿宋" w:hAnsi="仿宋" w:eastAsia="仿宋" w:cs="仿宋"/>
          <w:sz w:val="32"/>
          <w:szCs w:val="32"/>
        </w:rPr>
        <w:t>（三）医疗保障和待遇工作</w:t>
      </w:r>
    </w:p>
    <w:p w14:paraId="59B57362">
      <w:pPr>
        <w:pStyle w:val="2"/>
        <w:keepNext w:val="0"/>
        <w:keepLines w:val="0"/>
        <w:pageBreakBefore w:val="0"/>
        <w:widowControl/>
        <w:numPr>
          <w:ilvl w:val="0"/>
          <w:numId w:val="0"/>
        </w:numPr>
        <w:kinsoku/>
        <w:wordWrap/>
        <w:overflowPunct/>
        <w:topLinePunct w:val="0"/>
        <w:bidi w:val="0"/>
        <w:adjustRightInd w:val="0"/>
        <w:snapToGrid w:val="0"/>
        <w:spacing w:line="600" w:lineRule="exact"/>
        <w:ind w:leftChars="200"/>
        <w:textAlignment w:val="auto"/>
        <w:rPr>
          <w:rFonts w:hint="eastAsia" w:ascii="仿宋" w:hAnsi="仿宋" w:eastAsia="仿宋" w:cs="仿宋"/>
          <w:sz w:val="32"/>
          <w:szCs w:val="32"/>
        </w:rPr>
      </w:pPr>
      <w:r>
        <w:rPr>
          <w:rFonts w:hint="eastAsia" w:ascii="仿宋" w:hAnsi="仿宋" w:eastAsia="仿宋" w:cs="仿宋"/>
          <w:sz w:val="32"/>
          <w:szCs w:val="32"/>
        </w:rPr>
        <w:t>1.牢固树立“社会医保”、“阳光医保”的服务理念</w:t>
      </w:r>
    </w:p>
    <w:p w14:paraId="443775AC">
      <w:pPr>
        <w:pStyle w:val="2"/>
        <w:keepNext w:val="0"/>
        <w:keepLines w:val="0"/>
        <w:pageBreakBefore w:val="0"/>
        <w:widowControl/>
        <w:numPr>
          <w:ilvl w:val="0"/>
          <w:numId w:val="0"/>
        </w:numPr>
        <w:kinsoku/>
        <w:wordWrap/>
        <w:overflowPunct/>
        <w:topLinePunct w:val="0"/>
        <w:bidi w:val="0"/>
        <w:adjustRightInd w:val="0"/>
        <w:snapToGrid w:val="0"/>
        <w:spacing w:line="600" w:lineRule="exact"/>
        <w:ind w:leftChars="200"/>
        <w:textAlignment w:val="auto"/>
        <w:rPr>
          <w:rFonts w:hint="eastAsia" w:ascii="仿宋" w:hAnsi="仿宋" w:eastAsia="仿宋" w:cs="仿宋"/>
          <w:sz w:val="32"/>
          <w:szCs w:val="32"/>
        </w:rPr>
      </w:pPr>
      <w:r>
        <w:rPr>
          <w:rFonts w:hint="eastAsia" w:ascii="仿宋" w:hAnsi="仿宋" w:eastAsia="仿宋" w:cs="仿宋"/>
          <w:sz w:val="32"/>
          <w:szCs w:val="32"/>
        </w:rPr>
        <w:t>2023年接待来访群众40000余人，发送温馨提醒短信10万余条，2023年度共收集慢病资料4054份，按照湘医保发{2022}52号和湘医保发{2023}32号文件要求，纳入标准，组织专家评审，通过专家评审，有3687份资料通过，通过率90.9%。</w:t>
      </w:r>
    </w:p>
    <w:p w14:paraId="6C271FDA">
      <w:pPr>
        <w:pStyle w:val="2"/>
        <w:keepNext w:val="0"/>
        <w:keepLines w:val="0"/>
        <w:pageBreakBefore w:val="0"/>
        <w:widowControl/>
        <w:numPr>
          <w:ilvl w:val="0"/>
          <w:numId w:val="0"/>
        </w:numPr>
        <w:kinsoku/>
        <w:wordWrap/>
        <w:overflowPunct/>
        <w:topLinePunct w:val="0"/>
        <w:bidi w:val="0"/>
        <w:adjustRightInd w:val="0"/>
        <w:snapToGrid w:val="0"/>
        <w:spacing w:line="600" w:lineRule="exact"/>
        <w:ind w:leftChars="200"/>
        <w:textAlignment w:val="auto"/>
        <w:rPr>
          <w:rFonts w:hint="eastAsia" w:ascii="仿宋" w:hAnsi="仿宋" w:eastAsia="仿宋" w:cs="仿宋"/>
          <w:sz w:val="32"/>
          <w:szCs w:val="32"/>
        </w:rPr>
      </w:pPr>
      <w:r>
        <w:rPr>
          <w:rFonts w:hint="eastAsia" w:ascii="仿宋" w:hAnsi="仿宋" w:eastAsia="仿宋" w:cs="仿宋"/>
          <w:sz w:val="32"/>
          <w:szCs w:val="32"/>
        </w:rPr>
        <w:t>2.切实保障“两病”门诊用药和职工门诊统筹。我局将“两病”门诊用药完成率纳入定点医药机构年度考核。精准纳入保障，优化备案流程，下放审核权限，开通两病村级卫生室报账，多种形式，广泛宣传两病用药保障，完善家庭签约服务协议，鼓励开展集中配送服务。让两病门诊报账深入基层。两病待遇保障人数28802，保障率124.68%。</w:t>
      </w:r>
    </w:p>
    <w:p w14:paraId="26CC85B5">
      <w:pPr>
        <w:pStyle w:val="2"/>
        <w:keepNext w:val="0"/>
        <w:keepLines w:val="0"/>
        <w:pageBreakBefore w:val="0"/>
        <w:widowControl/>
        <w:numPr>
          <w:ilvl w:val="0"/>
          <w:numId w:val="0"/>
        </w:numPr>
        <w:kinsoku/>
        <w:wordWrap/>
        <w:overflowPunct/>
        <w:topLinePunct w:val="0"/>
        <w:bidi w:val="0"/>
        <w:adjustRightInd w:val="0"/>
        <w:snapToGrid w:val="0"/>
        <w:spacing w:line="600" w:lineRule="exact"/>
        <w:ind w:leftChars="200"/>
        <w:textAlignment w:val="auto"/>
        <w:rPr>
          <w:rFonts w:hint="eastAsia" w:ascii="仿宋" w:hAnsi="仿宋" w:eastAsia="仿宋" w:cs="仿宋"/>
          <w:sz w:val="32"/>
          <w:szCs w:val="32"/>
        </w:rPr>
      </w:pPr>
      <w:r>
        <w:rPr>
          <w:rFonts w:hint="eastAsia" w:ascii="仿宋" w:hAnsi="仿宋" w:eastAsia="仿宋" w:cs="仿宋"/>
          <w:sz w:val="32"/>
          <w:szCs w:val="32"/>
        </w:rPr>
        <w:t>2023年开通职工门诊统筹医疗机构27家，定点药房5家，22家定点医疗机构实行门诊结算，结算人次12301，总医疗费用1974217.74元；定点药房结算5家，结算人次11376，总医疗费用1974217.74元。</w:t>
      </w:r>
    </w:p>
    <w:p w14:paraId="329EDB06">
      <w:pPr>
        <w:pStyle w:val="2"/>
        <w:keepNext w:val="0"/>
        <w:keepLines w:val="0"/>
        <w:pageBreakBefore w:val="0"/>
        <w:widowControl/>
        <w:numPr>
          <w:ilvl w:val="0"/>
          <w:numId w:val="0"/>
        </w:numPr>
        <w:kinsoku/>
        <w:wordWrap/>
        <w:overflowPunct/>
        <w:topLinePunct w:val="0"/>
        <w:bidi w:val="0"/>
        <w:adjustRightInd w:val="0"/>
        <w:snapToGrid w:val="0"/>
        <w:spacing w:line="600" w:lineRule="exact"/>
        <w:ind w:leftChars="200"/>
        <w:textAlignment w:val="auto"/>
        <w:rPr>
          <w:rFonts w:hint="eastAsia" w:ascii="仿宋" w:hAnsi="仿宋" w:eastAsia="仿宋" w:cs="仿宋"/>
          <w:sz w:val="32"/>
          <w:szCs w:val="32"/>
        </w:rPr>
      </w:pPr>
      <w:r>
        <w:rPr>
          <w:rFonts w:hint="eastAsia" w:ascii="仿宋" w:hAnsi="仿宋" w:eastAsia="仿宋" w:cs="仿宋"/>
          <w:sz w:val="32"/>
          <w:szCs w:val="32"/>
        </w:rPr>
        <w:t>（四）基金监管工作</w:t>
      </w:r>
    </w:p>
    <w:p w14:paraId="74C01AF1">
      <w:pPr>
        <w:pStyle w:val="2"/>
        <w:keepNext w:val="0"/>
        <w:keepLines w:val="0"/>
        <w:pageBreakBefore w:val="0"/>
        <w:widowControl/>
        <w:numPr>
          <w:ilvl w:val="0"/>
          <w:numId w:val="0"/>
        </w:numPr>
        <w:kinsoku/>
        <w:wordWrap/>
        <w:overflowPunct/>
        <w:topLinePunct w:val="0"/>
        <w:bidi w:val="0"/>
        <w:adjustRightInd w:val="0"/>
        <w:snapToGrid w:val="0"/>
        <w:spacing w:line="600" w:lineRule="exact"/>
        <w:ind w:leftChars="200"/>
        <w:textAlignment w:val="auto"/>
        <w:rPr>
          <w:rFonts w:hint="eastAsia" w:ascii="仿宋" w:hAnsi="仿宋" w:eastAsia="仿宋" w:cs="仿宋"/>
          <w:sz w:val="32"/>
          <w:szCs w:val="32"/>
        </w:rPr>
      </w:pPr>
      <w:r>
        <w:rPr>
          <w:rFonts w:hint="eastAsia" w:ascii="仿宋" w:hAnsi="仿宋" w:eastAsia="仿宋" w:cs="仿宋"/>
          <w:sz w:val="32"/>
          <w:szCs w:val="32"/>
        </w:rPr>
        <w:t>为确保医保基金安全、有效运行，我们加强了对医保基金的监管力度。通过建立完善的监管机制、加强信息化建设、开展专项整治行动等措施，有效遏制了医保基金的浪费和滥用现象。</w:t>
      </w:r>
    </w:p>
    <w:p w14:paraId="071BA162">
      <w:pPr>
        <w:pStyle w:val="2"/>
        <w:keepNext w:val="0"/>
        <w:keepLines w:val="0"/>
        <w:pageBreakBefore w:val="0"/>
        <w:widowControl/>
        <w:numPr>
          <w:ilvl w:val="0"/>
          <w:numId w:val="0"/>
        </w:numPr>
        <w:kinsoku/>
        <w:wordWrap/>
        <w:overflowPunct/>
        <w:topLinePunct w:val="0"/>
        <w:bidi w:val="0"/>
        <w:adjustRightInd w:val="0"/>
        <w:snapToGrid w:val="0"/>
        <w:spacing w:line="600" w:lineRule="exact"/>
        <w:ind w:leftChars="200"/>
        <w:textAlignment w:val="auto"/>
        <w:rPr>
          <w:rFonts w:hint="eastAsia" w:ascii="仿宋" w:hAnsi="仿宋" w:eastAsia="仿宋" w:cs="仿宋"/>
          <w:sz w:val="32"/>
          <w:szCs w:val="32"/>
        </w:rPr>
      </w:pPr>
      <w:r>
        <w:rPr>
          <w:rFonts w:hint="eastAsia" w:ascii="仿宋" w:hAnsi="仿宋" w:eastAsia="仿宋" w:cs="仿宋"/>
          <w:sz w:val="32"/>
          <w:szCs w:val="32"/>
        </w:rPr>
        <w:t>1、开展“打击欺诈骗保”宣传月活动。按照省市的统一部署，我县将2023年4月定为“织密基金监管网 共筑医保防护线”为活动主题集中宣传月活动，全年在县域内开展了1次集中宣传活动，参与的医药机构达86家，参与群众200余人次。在协议医药机构张贴宣传单30余份，向老百姓发放通俗易懂的医保宣传手册4000余本，向社会公布了举报电话，营造了良好的宣传氛围，通过多措并举，保持了打击欺诈骗保的高压态势，形成了“医保基金骗不得”的社会共识。</w:t>
      </w:r>
    </w:p>
    <w:p w14:paraId="7C3C54D2">
      <w:pPr>
        <w:pStyle w:val="2"/>
        <w:keepNext w:val="0"/>
        <w:keepLines w:val="0"/>
        <w:pageBreakBefore w:val="0"/>
        <w:widowControl/>
        <w:numPr>
          <w:ilvl w:val="0"/>
          <w:numId w:val="0"/>
        </w:numPr>
        <w:kinsoku/>
        <w:wordWrap/>
        <w:overflowPunct/>
        <w:topLinePunct w:val="0"/>
        <w:bidi w:val="0"/>
        <w:adjustRightInd w:val="0"/>
        <w:snapToGrid w:val="0"/>
        <w:spacing w:line="600" w:lineRule="exact"/>
        <w:ind w:leftChars="200"/>
        <w:textAlignment w:val="auto"/>
        <w:rPr>
          <w:rFonts w:hint="eastAsia" w:ascii="仿宋" w:hAnsi="仿宋" w:eastAsia="仿宋" w:cs="仿宋"/>
          <w:sz w:val="32"/>
          <w:szCs w:val="32"/>
        </w:rPr>
      </w:pPr>
      <w:r>
        <w:rPr>
          <w:rFonts w:hint="eastAsia" w:ascii="仿宋" w:hAnsi="仿宋" w:eastAsia="仿宋" w:cs="仿宋"/>
          <w:sz w:val="32"/>
          <w:szCs w:val="32"/>
        </w:rPr>
        <w:t>2、督促协议医疗机构自查自纠工作。2023年3月、5月，10月、湖南省医保定点医疗机构首批违规收费问题清单、湖南省医保定点医疗机构违规收费问题清单（第二批），湖南省医保定点医疗机构违规收费问题清单（第三批），对全县27家协议医疗机构全部完成了自查自纠工作，覆盖率达100%；自查自纠涉及违规违约行为45人次，涉及违规医药机构3家，涉及协议医疗机构主动退缴违规违约基金1753元，并针对存在的违规现象，医药机构均已制定了相应的整改措施、明确了责任人和整改时限。</w:t>
      </w:r>
    </w:p>
    <w:p w14:paraId="2B398359">
      <w:pPr>
        <w:pStyle w:val="2"/>
        <w:keepNext w:val="0"/>
        <w:keepLines w:val="0"/>
        <w:pageBreakBefore w:val="0"/>
        <w:widowControl/>
        <w:numPr>
          <w:ilvl w:val="0"/>
          <w:numId w:val="0"/>
        </w:numPr>
        <w:kinsoku/>
        <w:wordWrap/>
        <w:overflowPunct/>
        <w:topLinePunct w:val="0"/>
        <w:bidi w:val="0"/>
        <w:adjustRightInd w:val="0"/>
        <w:snapToGrid w:val="0"/>
        <w:spacing w:line="600" w:lineRule="exact"/>
        <w:ind w:leftChars="200"/>
        <w:textAlignment w:val="auto"/>
        <w:rPr>
          <w:rFonts w:hint="eastAsia" w:ascii="仿宋" w:hAnsi="仿宋" w:eastAsia="仿宋" w:cs="仿宋"/>
          <w:sz w:val="32"/>
          <w:szCs w:val="32"/>
        </w:rPr>
      </w:pPr>
      <w:r>
        <w:rPr>
          <w:rFonts w:hint="eastAsia" w:ascii="仿宋" w:hAnsi="仿宋" w:eastAsia="仿宋" w:cs="仿宋"/>
          <w:sz w:val="32"/>
          <w:szCs w:val="32"/>
        </w:rPr>
        <w:t>3、开展各项督导检查。2023年4月，我县对定点医疗机构（4家）通过采取抽查的方式进行专项检查，涉及违规定点医疗机构1家，对不执行实名就医与购药管理规定，不核验患者参保身份，将患者家人门诊就医与购药相关费用冒名纳入职工医保普通门诊统筹基金结算涉及违规医疗保障基金1400.32元予以追回医保基金专户，并按协议收缴违规金额2倍共计2800.64元。2022年8月1日至13日我局于对市局交办重复住院次数异常问题线索进行核查，存在过度医疗、串换项目、多计费用等5类19个违规问题清单，造成医疗保障基金损失4938元予以追回医保基金专户，收缴违约金共计9876元。2023年9月1日至13日对中方仁心医院，中方县蒿吉坪乡卫生院、中方县南湖鼎丰盛德仁大药房有限公司等3家定点医药机构检查。共发现超限制用药、重复收费、分解收费、超标准收费、过度医疗、管理不规范等10个违规问题清单。立案2起，行政处罚金额3.1387万元。</w:t>
      </w:r>
    </w:p>
    <w:p w14:paraId="4F2E1CD9">
      <w:pPr>
        <w:pStyle w:val="2"/>
        <w:keepNext w:val="0"/>
        <w:keepLines w:val="0"/>
        <w:pageBreakBefore w:val="0"/>
        <w:widowControl/>
        <w:numPr>
          <w:ilvl w:val="0"/>
          <w:numId w:val="0"/>
        </w:numPr>
        <w:kinsoku/>
        <w:wordWrap/>
        <w:overflowPunct/>
        <w:topLinePunct w:val="0"/>
        <w:bidi w:val="0"/>
        <w:adjustRightInd w:val="0"/>
        <w:snapToGrid w:val="0"/>
        <w:spacing w:line="600" w:lineRule="exact"/>
        <w:ind w:leftChars="200"/>
        <w:textAlignment w:val="auto"/>
        <w:rPr>
          <w:rFonts w:hint="eastAsia" w:ascii="仿宋" w:hAnsi="仿宋" w:eastAsia="仿宋" w:cs="仿宋"/>
          <w:sz w:val="32"/>
          <w:szCs w:val="32"/>
        </w:rPr>
      </w:pPr>
      <w:r>
        <w:rPr>
          <w:rFonts w:hint="eastAsia" w:ascii="仿宋" w:hAnsi="仿宋" w:eastAsia="仿宋" w:cs="仿宋"/>
          <w:sz w:val="32"/>
          <w:szCs w:val="32"/>
        </w:rPr>
        <w:t>2023年12月1日至7日，我局联合县卫健、县市场监督管理局开展定点零售药店医保专项检查，共61家定点零售药店（其中普通门诊统筹5家、门诊慢特病家55家“双通道”1家）开展自查自纠，自查发现2个问题，涉及医保基金0.2524万元，已主动退回医保基金0.2524万。医保部门现场检查定点零售药店21家，发现违规5类35个问题及涉及违规医疗保障基金8.88万元。</w:t>
      </w:r>
    </w:p>
    <w:p w14:paraId="19D5F16C">
      <w:pPr>
        <w:pStyle w:val="2"/>
        <w:keepNext w:val="0"/>
        <w:keepLines w:val="0"/>
        <w:pageBreakBefore w:val="0"/>
        <w:widowControl/>
        <w:numPr>
          <w:ilvl w:val="0"/>
          <w:numId w:val="0"/>
        </w:numPr>
        <w:kinsoku/>
        <w:wordWrap/>
        <w:overflowPunct/>
        <w:topLinePunct w:val="0"/>
        <w:bidi w:val="0"/>
        <w:adjustRightInd w:val="0"/>
        <w:snapToGrid w:val="0"/>
        <w:spacing w:line="600" w:lineRule="exact"/>
        <w:ind w:leftChars="200"/>
        <w:textAlignment w:val="auto"/>
        <w:rPr>
          <w:rFonts w:hint="eastAsia" w:ascii="仿宋" w:hAnsi="仿宋" w:eastAsia="仿宋" w:cs="仿宋"/>
          <w:sz w:val="32"/>
          <w:szCs w:val="32"/>
        </w:rPr>
      </w:pPr>
      <w:r>
        <w:rPr>
          <w:rFonts w:hint="eastAsia" w:ascii="仿宋" w:hAnsi="仿宋" w:eastAsia="仿宋" w:cs="仿宋"/>
          <w:sz w:val="32"/>
          <w:szCs w:val="32"/>
        </w:rPr>
        <w:t>（五）医药服务和定价采购工作</w:t>
      </w:r>
    </w:p>
    <w:p w14:paraId="2B631EB0">
      <w:pPr>
        <w:pStyle w:val="2"/>
        <w:keepNext w:val="0"/>
        <w:keepLines w:val="0"/>
        <w:pageBreakBefore w:val="0"/>
        <w:widowControl/>
        <w:numPr>
          <w:ilvl w:val="0"/>
          <w:numId w:val="0"/>
        </w:numPr>
        <w:kinsoku/>
        <w:wordWrap/>
        <w:overflowPunct/>
        <w:topLinePunct w:val="0"/>
        <w:bidi w:val="0"/>
        <w:adjustRightInd w:val="0"/>
        <w:snapToGrid w:val="0"/>
        <w:spacing w:line="600" w:lineRule="exact"/>
        <w:ind w:leftChars="200"/>
        <w:textAlignment w:val="auto"/>
        <w:rPr>
          <w:rFonts w:hint="eastAsia" w:ascii="仿宋" w:hAnsi="仿宋" w:eastAsia="仿宋" w:cs="仿宋"/>
          <w:sz w:val="32"/>
          <w:szCs w:val="32"/>
        </w:rPr>
      </w:pPr>
      <w:r>
        <w:rPr>
          <w:rFonts w:hint="eastAsia" w:ascii="仿宋" w:hAnsi="仿宋" w:eastAsia="仿宋" w:cs="仿宋"/>
          <w:sz w:val="32"/>
          <w:szCs w:val="32"/>
        </w:rPr>
        <w:t>1.完善医疗服务价格项目管理，落实国家医疗服务价格项目规范。医保三目录《医保药品目录》、《诊疗项目目录》、《医用耗材目录》，对县域内定点医疗机构下发了《怀化市现行医疗服务价格项目目录（2022）的通知》。全覆盖检查县域内定点医疗机构1次，对部分价格执行不到的进行现场调整。10月《怀化市医疗保障关于新增和修订医药类医疗服务价格项目的通知》新增4项，修订11项医药类医疗服务价格。推进DIP医保新支付方式改革扩面，在原有中方县县人民医院试行DIP付费的基础上增加中方仁心医院、红十字医院、中方县泸阳卫生院和新路河卫生院纳入DIP试点范围。根据国家、省、市DIP支付方式改革三年行动的要求，实现2024年符合条件的开展住院服务的医疗机构全面覆盖，上报2022、2023年度26家定点医疗机构结算数据。</w:t>
      </w:r>
    </w:p>
    <w:p w14:paraId="0F939DF3">
      <w:pPr>
        <w:pStyle w:val="2"/>
        <w:keepNext w:val="0"/>
        <w:keepLines w:val="0"/>
        <w:pageBreakBefore w:val="0"/>
        <w:widowControl/>
        <w:numPr>
          <w:ilvl w:val="0"/>
          <w:numId w:val="0"/>
        </w:numPr>
        <w:kinsoku/>
        <w:wordWrap/>
        <w:overflowPunct/>
        <w:topLinePunct w:val="0"/>
        <w:bidi w:val="0"/>
        <w:adjustRightInd w:val="0"/>
        <w:snapToGrid w:val="0"/>
        <w:spacing w:line="600" w:lineRule="exact"/>
        <w:ind w:leftChars="200"/>
        <w:textAlignment w:val="auto"/>
        <w:rPr>
          <w:rFonts w:hint="eastAsia" w:ascii="仿宋" w:hAnsi="仿宋" w:eastAsia="仿宋" w:cs="仿宋"/>
          <w:sz w:val="32"/>
          <w:szCs w:val="32"/>
        </w:rPr>
      </w:pPr>
      <w:r>
        <w:rPr>
          <w:rFonts w:hint="eastAsia" w:ascii="仿宋" w:hAnsi="仿宋" w:eastAsia="仿宋" w:cs="仿宋"/>
          <w:sz w:val="32"/>
          <w:szCs w:val="32"/>
        </w:rPr>
        <w:t>2、常态化开展药品和医用耗材集中带量采购，落实国家、省集采政策，积极参与省、市际医药集采联盟，进一步扩大集采范围。一是药品采购：组织定点医疗机构参加国家采集第一、第二、第三等批次续签报量，上海联盟、十六省联盟、重庆五省联盟等省市级联盟报量，组织参与药品报量共计11个批次。二是集采耗材：完成八市联盟、肝生化联盟、株洲联盟等9个批次耗材报量。三是结余留用：第一、二、三批国采药品和冠状支架长沙城区省内异地就医国家集采药品和耗材医保结余留用居民上解资金28694.53，职工上解资金5671.58元。四是组织培训会议：6月组织召开全县定点医疗机构新平台药品采购流程操作会。11月3日组织开展中方县关于实施医保基金直接结算集中带量采购中选产品医药贷款经办业务培训，此项工作顺利开展，11月27日在新医保平台成功支付第一笔集采医药货款，成为怀化13个县（市区）中率先实现医保基金直接结算集采医药货款的县。</w:t>
      </w:r>
    </w:p>
    <w:p w14:paraId="643D74EC">
      <w:pPr>
        <w:pStyle w:val="2"/>
        <w:keepNext w:val="0"/>
        <w:keepLines w:val="0"/>
        <w:pageBreakBefore w:val="0"/>
        <w:widowControl/>
        <w:numPr>
          <w:ilvl w:val="0"/>
          <w:numId w:val="0"/>
        </w:numPr>
        <w:kinsoku/>
        <w:wordWrap/>
        <w:overflowPunct/>
        <w:topLinePunct w:val="0"/>
        <w:bidi w:val="0"/>
        <w:adjustRightInd w:val="0"/>
        <w:snapToGrid w:val="0"/>
        <w:spacing w:line="600" w:lineRule="exact"/>
        <w:ind w:leftChars="200"/>
        <w:textAlignment w:val="auto"/>
        <w:rPr>
          <w:rFonts w:hint="eastAsia" w:ascii="仿宋" w:hAnsi="仿宋" w:eastAsia="仿宋" w:cs="仿宋"/>
          <w:sz w:val="32"/>
          <w:szCs w:val="32"/>
        </w:rPr>
      </w:pPr>
      <w:r>
        <w:rPr>
          <w:rFonts w:hint="eastAsia" w:ascii="仿宋" w:hAnsi="仿宋" w:eastAsia="仿宋" w:cs="仿宋"/>
          <w:sz w:val="32"/>
          <w:szCs w:val="32"/>
        </w:rPr>
        <w:t>3.加强对两定机构的协议管理，规范了协议医疗机构的诊疗行为。2023年2月2日-3月27日，对我县26家协议定点医院，56家县域内协议药房，5家协议门诊进行了年度考核。85分以上71家，70—84分8家，60—69分2家，60分一下1家。二是处理结果：年度考评得分60—69分的协议医药服务机构：中方县桐木诚中大药房，中方县鼎丰盛德仁大药房铜湾店给予暂停医疗保险服务1个月并限期整改的处理，60分以下1家已停业。</w:t>
      </w:r>
    </w:p>
    <w:p w14:paraId="7ADC66D5">
      <w:pPr>
        <w:pStyle w:val="2"/>
        <w:keepNext w:val="0"/>
        <w:keepLines w:val="0"/>
        <w:pageBreakBefore w:val="0"/>
        <w:widowControl/>
        <w:numPr>
          <w:ilvl w:val="0"/>
          <w:numId w:val="0"/>
        </w:numPr>
        <w:kinsoku/>
        <w:wordWrap/>
        <w:overflowPunct/>
        <w:topLinePunct w:val="0"/>
        <w:bidi w:val="0"/>
        <w:adjustRightInd w:val="0"/>
        <w:snapToGrid w:val="0"/>
        <w:spacing w:line="600" w:lineRule="exact"/>
        <w:ind w:leftChars="200"/>
        <w:textAlignment w:val="auto"/>
        <w:rPr>
          <w:rFonts w:hint="eastAsia" w:ascii="仿宋" w:hAnsi="仿宋" w:eastAsia="仿宋" w:cs="仿宋"/>
          <w:sz w:val="32"/>
          <w:szCs w:val="32"/>
        </w:rPr>
      </w:pPr>
      <w:r>
        <w:rPr>
          <w:rFonts w:hint="eastAsia" w:ascii="仿宋" w:hAnsi="仿宋" w:eastAsia="仿宋" w:cs="仿宋"/>
          <w:sz w:val="32"/>
          <w:szCs w:val="32"/>
        </w:rPr>
        <w:t>（六）医保经办服务工作。以挣扎实干为和民生实事项目抓手加快健全医保经办体系建设，打造“15分钟医保服务圈”，实现了参保登记、信息查询及变更、异地就医备案等9项经办服务事项乡镇（街道）、村（社区）直办或帮代办全覆盖，县域内二级以上定点医疗机构（中方县人民医院、中方慷复医院）实现普通门诊费用跨省直接结算。中方县人民医院已开通43个门诊慢特病治疗费用省内异地直接结算，高血压，糖尿病，恶性肿瘤，肾透析，器官移植术5个门诊慢特病治疗费用实现跨省直接结算工作。为推动医保经办管理服务工作标准化规范化、提升精细化管理水平、提升经办队伍专业化能力，召开业务集中学习18次。</w:t>
      </w:r>
    </w:p>
    <w:p w14:paraId="259E3555">
      <w:pPr>
        <w:pStyle w:val="2"/>
        <w:keepNext w:val="0"/>
        <w:keepLines w:val="0"/>
        <w:pageBreakBefore w:val="0"/>
        <w:widowControl/>
        <w:numPr>
          <w:ilvl w:val="0"/>
          <w:numId w:val="0"/>
        </w:numPr>
        <w:kinsoku/>
        <w:wordWrap/>
        <w:overflowPunct/>
        <w:topLinePunct w:val="0"/>
        <w:bidi w:val="0"/>
        <w:adjustRightInd w:val="0"/>
        <w:snapToGrid w:val="0"/>
        <w:spacing w:line="600" w:lineRule="exact"/>
        <w:ind w:leftChars="200"/>
        <w:textAlignment w:val="auto"/>
        <w:rPr>
          <w:rFonts w:hint="eastAsia" w:ascii="仿宋" w:hAnsi="仿宋" w:eastAsia="仿宋" w:cs="仿宋"/>
          <w:sz w:val="32"/>
          <w:szCs w:val="32"/>
        </w:rPr>
      </w:pPr>
      <w:r>
        <w:rPr>
          <w:rFonts w:hint="eastAsia" w:ascii="仿宋" w:hAnsi="仿宋" w:eastAsia="仿宋" w:cs="仿宋"/>
          <w:sz w:val="32"/>
          <w:szCs w:val="32"/>
        </w:rPr>
        <w:t>（七）深化全面从严治党。加强新时代党的思想建设，坚持不懈用习近平新时代中国特色社会主义思想凝心铸魂。争创“让党中央放心、让群众满意”模范机关建设，全面落实“三会一课”制度，推进支部“五化”建设，充分发挥基层党组织战斗堡垒作用和党员先锋模范作用，扎实开展警示教育和谈心谈话。切实担负起意识形态工作主体责任和班子成员“一岗双责”，进一步完善信息发布审核、舆情应急处置机制，不断夯实单位主流舆论阵地。深入推进“清廉医保”建设，持续正风肃纪，完善纠治“四风”长效机制，营造风清气正政治生态。持续推进党史学习教育、“三整顿两提升”干部作风建设和优化营商环境“清风行动”专项活动，严格对照《怀化市党员干部和公职人员在优化营商环境中最容易触犯的20条警示清单》，加大对医保重点领域、重点环节的廉政风险监督防控，坚决整治群众身边腐败问题和不正之风。</w:t>
      </w:r>
    </w:p>
    <w:p w14:paraId="240406DD">
      <w:pPr>
        <w:pStyle w:val="2"/>
        <w:keepNext w:val="0"/>
        <w:keepLines w:val="0"/>
        <w:pageBreakBefore w:val="0"/>
        <w:widowControl/>
        <w:numPr>
          <w:ilvl w:val="0"/>
          <w:numId w:val="0"/>
        </w:numPr>
        <w:kinsoku/>
        <w:wordWrap/>
        <w:overflowPunct/>
        <w:topLinePunct w:val="0"/>
        <w:bidi w:val="0"/>
        <w:adjustRightInd w:val="0"/>
        <w:snapToGrid w:val="0"/>
        <w:spacing w:line="600" w:lineRule="exact"/>
        <w:ind w:leftChars="200"/>
        <w:textAlignment w:val="auto"/>
        <w:rPr>
          <w:rFonts w:hint="eastAsia" w:ascii="仿宋" w:hAnsi="仿宋" w:eastAsia="仿宋" w:cs="仿宋"/>
          <w:sz w:val="32"/>
          <w:szCs w:val="32"/>
        </w:rPr>
      </w:pPr>
      <w:r>
        <w:rPr>
          <w:rFonts w:hint="eastAsia" w:ascii="仿宋" w:hAnsi="仿宋" w:eastAsia="仿宋" w:cs="仿宋"/>
          <w:sz w:val="32"/>
          <w:szCs w:val="32"/>
        </w:rPr>
        <w:t>二、存在的困难与问题</w:t>
      </w:r>
    </w:p>
    <w:p w14:paraId="348C2023">
      <w:pPr>
        <w:pStyle w:val="2"/>
        <w:keepNext w:val="0"/>
        <w:keepLines w:val="0"/>
        <w:pageBreakBefore w:val="0"/>
        <w:widowControl/>
        <w:numPr>
          <w:ilvl w:val="0"/>
          <w:numId w:val="0"/>
        </w:numPr>
        <w:kinsoku/>
        <w:wordWrap/>
        <w:overflowPunct/>
        <w:topLinePunct w:val="0"/>
        <w:bidi w:val="0"/>
        <w:adjustRightInd w:val="0"/>
        <w:snapToGrid w:val="0"/>
        <w:spacing w:line="600" w:lineRule="exact"/>
        <w:ind w:leftChars="200"/>
        <w:textAlignment w:val="auto"/>
        <w:rPr>
          <w:rFonts w:hint="eastAsia" w:ascii="仿宋" w:hAnsi="仿宋" w:eastAsia="仿宋" w:cs="仿宋"/>
          <w:sz w:val="32"/>
          <w:szCs w:val="32"/>
        </w:rPr>
      </w:pPr>
      <w:r>
        <w:rPr>
          <w:rFonts w:hint="eastAsia" w:ascii="仿宋" w:hAnsi="仿宋" w:eastAsia="仿宋" w:cs="仿宋"/>
          <w:sz w:val="32"/>
          <w:szCs w:val="32"/>
        </w:rPr>
        <w:t>（一）2024年城乡居民医保筹资标准提高到380元/人，相对于去年增加了30元/人，给家庭人口较多的户增加了缴费压力。稳定脱贫人口缴费政策变化带来的缴费压力。原来的稳定脱贫人口等特殊人群由政府代缴的，现政策取消，部分人员不愿意交，存在等靠要的思想。</w:t>
      </w:r>
    </w:p>
    <w:p w14:paraId="4F0F82D4">
      <w:pPr>
        <w:pStyle w:val="2"/>
        <w:keepNext w:val="0"/>
        <w:keepLines w:val="0"/>
        <w:pageBreakBefore w:val="0"/>
        <w:widowControl/>
        <w:numPr>
          <w:ilvl w:val="0"/>
          <w:numId w:val="0"/>
        </w:numPr>
        <w:kinsoku/>
        <w:wordWrap/>
        <w:overflowPunct/>
        <w:topLinePunct w:val="0"/>
        <w:bidi w:val="0"/>
        <w:adjustRightInd w:val="0"/>
        <w:snapToGrid w:val="0"/>
        <w:spacing w:line="600" w:lineRule="exact"/>
        <w:ind w:leftChars="200"/>
        <w:textAlignment w:val="auto"/>
        <w:rPr>
          <w:rFonts w:hint="eastAsia" w:ascii="仿宋" w:hAnsi="仿宋" w:eastAsia="仿宋" w:cs="仿宋"/>
          <w:sz w:val="32"/>
          <w:szCs w:val="32"/>
        </w:rPr>
      </w:pPr>
      <w:r>
        <w:rPr>
          <w:rFonts w:hint="eastAsia" w:ascii="仿宋" w:hAnsi="仿宋" w:eastAsia="仿宋" w:cs="仿宋"/>
          <w:sz w:val="32"/>
          <w:szCs w:val="32"/>
        </w:rPr>
        <w:t>（二）医保信息化建设还有待进一步加强；</w:t>
      </w:r>
    </w:p>
    <w:p w14:paraId="6AA98764">
      <w:pPr>
        <w:pStyle w:val="2"/>
        <w:keepNext w:val="0"/>
        <w:keepLines w:val="0"/>
        <w:pageBreakBefore w:val="0"/>
        <w:widowControl/>
        <w:numPr>
          <w:ilvl w:val="0"/>
          <w:numId w:val="0"/>
        </w:numPr>
        <w:kinsoku/>
        <w:wordWrap/>
        <w:overflowPunct/>
        <w:topLinePunct w:val="0"/>
        <w:bidi w:val="0"/>
        <w:adjustRightInd w:val="0"/>
        <w:snapToGrid w:val="0"/>
        <w:spacing w:line="600" w:lineRule="exact"/>
        <w:ind w:leftChars="200"/>
        <w:textAlignment w:val="auto"/>
        <w:rPr>
          <w:rFonts w:hint="eastAsia" w:ascii="仿宋" w:hAnsi="仿宋" w:eastAsia="仿宋" w:cs="仿宋"/>
          <w:sz w:val="32"/>
          <w:szCs w:val="32"/>
        </w:rPr>
      </w:pPr>
      <w:r>
        <w:rPr>
          <w:rFonts w:hint="eastAsia" w:ascii="仿宋" w:hAnsi="仿宋" w:eastAsia="仿宋" w:cs="仿宋"/>
          <w:sz w:val="32"/>
          <w:szCs w:val="32"/>
        </w:rPr>
        <w:t>（三）部分群众对医保政策了解不够深入，需要我们加大宣传力度。</w:t>
      </w:r>
    </w:p>
    <w:p w14:paraId="2BABD1F1">
      <w:pPr>
        <w:pStyle w:val="2"/>
        <w:keepNext w:val="0"/>
        <w:keepLines w:val="0"/>
        <w:pageBreakBefore w:val="0"/>
        <w:widowControl/>
        <w:numPr>
          <w:ilvl w:val="0"/>
          <w:numId w:val="0"/>
        </w:numPr>
        <w:kinsoku/>
        <w:wordWrap/>
        <w:overflowPunct/>
        <w:topLinePunct w:val="0"/>
        <w:bidi w:val="0"/>
        <w:adjustRightInd w:val="0"/>
        <w:snapToGrid w:val="0"/>
        <w:spacing w:line="600" w:lineRule="exact"/>
        <w:ind w:leftChars="200"/>
        <w:textAlignment w:val="auto"/>
        <w:rPr>
          <w:rFonts w:hint="eastAsia" w:ascii="仿宋" w:hAnsi="仿宋" w:eastAsia="仿宋" w:cs="仿宋"/>
          <w:sz w:val="32"/>
          <w:szCs w:val="32"/>
        </w:rPr>
      </w:pPr>
      <w:r>
        <w:rPr>
          <w:rFonts w:hint="eastAsia" w:ascii="仿宋" w:hAnsi="仿宋" w:eastAsia="仿宋" w:cs="仿宋"/>
          <w:sz w:val="32"/>
          <w:szCs w:val="32"/>
        </w:rPr>
        <w:t>三、工作打算</w:t>
      </w:r>
    </w:p>
    <w:p w14:paraId="7680E384">
      <w:pPr>
        <w:pStyle w:val="2"/>
        <w:keepNext w:val="0"/>
        <w:keepLines w:val="0"/>
        <w:pageBreakBefore w:val="0"/>
        <w:widowControl/>
        <w:numPr>
          <w:ilvl w:val="0"/>
          <w:numId w:val="0"/>
        </w:numPr>
        <w:kinsoku/>
        <w:wordWrap/>
        <w:overflowPunct/>
        <w:topLinePunct w:val="0"/>
        <w:bidi w:val="0"/>
        <w:adjustRightInd w:val="0"/>
        <w:snapToGrid w:val="0"/>
        <w:spacing w:line="600" w:lineRule="exact"/>
        <w:ind w:leftChars="200"/>
        <w:textAlignment w:val="auto"/>
        <w:rPr>
          <w:rFonts w:hint="eastAsia" w:ascii="仿宋" w:hAnsi="仿宋" w:eastAsia="仿宋" w:cs="仿宋"/>
          <w:sz w:val="32"/>
          <w:szCs w:val="32"/>
        </w:rPr>
      </w:pPr>
      <w:r>
        <w:rPr>
          <w:rFonts w:hint="eastAsia" w:ascii="仿宋" w:hAnsi="仿宋" w:eastAsia="仿宋" w:cs="仿宋"/>
          <w:sz w:val="32"/>
          <w:szCs w:val="32"/>
        </w:rPr>
        <w:t>（一）全力推进2024年参保缴费工作，确保应保尽保。根据国家、省、市的要求，基本医疗保险参保要实现全覆盖，下一步，我们将加大筹资政策宣传工作，加强督导力度并按考核要求，严格奖惩到位，确保2024年度参保率达到95%，切实做到应保尽保。</w:t>
      </w:r>
    </w:p>
    <w:p w14:paraId="0AD0964E">
      <w:pPr>
        <w:pStyle w:val="2"/>
        <w:keepNext w:val="0"/>
        <w:keepLines w:val="0"/>
        <w:pageBreakBefore w:val="0"/>
        <w:widowControl/>
        <w:numPr>
          <w:ilvl w:val="0"/>
          <w:numId w:val="0"/>
        </w:numPr>
        <w:kinsoku/>
        <w:wordWrap/>
        <w:overflowPunct/>
        <w:topLinePunct w:val="0"/>
        <w:bidi w:val="0"/>
        <w:adjustRightInd w:val="0"/>
        <w:snapToGrid w:val="0"/>
        <w:spacing w:line="600" w:lineRule="exact"/>
        <w:ind w:leftChars="200"/>
        <w:textAlignment w:val="auto"/>
        <w:rPr>
          <w:rFonts w:hint="eastAsia" w:ascii="仿宋" w:hAnsi="仿宋" w:eastAsia="仿宋" w:cs="仿宋"/>
          <w:sz w:val="32"/>
          <w:szCs w:val="32"/>
        </w:rPr>
      </w:pPr>
      <w:r>
        <w:rPr>
          <w:rFonts w:hint="eastAsia" w:ascii="仿宋" w:hAnsi="仿宋" w:eastAsia="仿宋" w:cs="仿宋"/>
          <w:sz w:val="32"/>
          <w:szCs w:val="32"/>
        </w:rPr>
        <w:t>（二）巩固提升全县医保经办服务体系。以"构建统一的医疗保障经办管理服务体系"为统领,加快形成"有固定经办窗口、有明确岗位职责、有兼专职工作人员、有完整经办服务规程、有一套行之有效的工作制度、有一笔专项工作经费"的常态化工作机制,不断优化提升我县医保经办机构设置,进一步夯实医保经办服务体系和工作基础。对乡村两级医保经办进行业务培训和工作督导，坐实“15分钟医保服务圈”。通过医保信息化建设，全力推进“互联网+”服务，健全完善“中方医保网上办事大厅”，大力推行参保登记、慢病评审，“双通道”目录内药品评审、异地就医备案、医保报销目录查询等各项医保服务网上办、掌上办、电话办。进一步加大医保政策宣传，加强经办机构政策和业务培训，规范异地就医转诊流程，提升服务水平，确保广大参保群众待遇保障落实到位。</w:t>
      </w:r>
    </w:p>
    <w:p w14:paraId="221E466E">
      <w:pPr>
        <w:pStyle w:val="2"/>
        <w:keepNext w:val="0"/>
        <w:keepLines w:val="0"/>
        <w:pageBreakBefore w:val="0"/>
        <w:widowControl/>
        <w:numPr>
          <w:ilvl w:val="0"/>
          <w:numId w:val="0"/>
        </w:numPr>
        <w:kinsoku/>
        <w:wordWrap/>
        <w:overflowPunct/>
        <w:topLinePunct w:val="0"/>
        <w:bidi w:val="0"/>
        <w:adjustRightInd w:val="0"/>
        <w:snapToGrid w:val="0"/>
        <w:spacing w:line="600" w:lineRule="exact"/>
        <w:ind w:leftChars="200"/>
        <w:textAlignment w:val="auto"/>
        <w:rPr>
          <w:rFonts w:hint="eastAsia" w:ascii="仿宋" w:hAnsi="仿宋" w:eastAsia="仿宋" w:cs="仿宋"/>
          <w:sz w:val="32"/>
          <w:szCs w:val="32"/>
        </w:rPr>
      </w:pPr>
      <w:r>
        <w:rPr>
          <w:rFonts w:hint="eastAsia" w:ascii="仿宋" w:hAnsi="仿宋" w:eastAsia="仿宋" w:cs="仿宋"/>
          <w:sz w:val="32"/>
          <w:szCs w:val="32"/>
        </w:rPr>
        <w:t>（三）全面规范医保协议管理。进一步规范“两定”医药机构的协议管理，推进对定点医药机构的监督检查，切实做到“三个严格”。一是严格履行协议，二是严格监督检查，三是严格考核结果。</w:t>
      </w:r>
    </w:p>
    <w:p w14:paraId="653CC5BB">
      <w:pPr>
        <w:pStyle w:val="2"/>
        <w:keepNext w:val="0"/>
        <w:keepLines w:val="0"/>
        <w:pageBreakBefore w:val="0"/>
        <w:widowControl/>
        <w:numPr>
          <w:ilvl w:val="0"/>
          <w:numId w:val="0"/>
        </w:numPr>
        <w:kinsoku/>
        <w:wordWrap/>
        <w:overflowPunct/>
        <w:topLinePunct w:val="0"/>
        <w:bidi w:val="0"/>
        <w:adjustRightInd w:val="0"/>
        <w:snapToGrid w:val="0"/>
        <w:spacing w:line="600" w:lineRule="exact"/>
        <w:ind w:leftChars="200"/>
        <w:textAlignment w:val="auto"/>
        <w:rPr>
          <w:rFonts w:hint="eastAsia" w:ascii="仿宋" w:hAnsi="仿宋" w:eastAsia="仿宋" w:cs="仿宋"/>
          <w:sz w:val="32"/>
          <w:szCs w:val="32"/>
        </w:rPr>
      </w:pPr>
      <w:r>
        <w:rPr>
          <w:rFonts w:hint="eastAsia" w:ascii="仿宋" w:hAnsi="仿宋" w:eastAsia="仿宋" w:cs="仿宋"/>
          <w:sz w:val="32"/>
          <w:szCs w:val="32"/>
        </w:rPr>
        <w:t>（三）继续加大医保基金监管力度。在确保对定点医疗机构检查全覆盖的基础上，持续深入开展集中整治专项行动，进一步加大医保基金相关法律法规的宣传力度，坚持“零容忍”，加强对欺诈骗保线索的发现和受理，建立线索登记和查处反馈制度，及时办结立案案件，提高医保基金的使用效益，守护好老百姓的救命钱。</w:t>
      </w:r>
    </w:p>
    <w:p w14:paraId="55AFECD3">
      <w:pPr>
        <w:pStyle w:val="2"/>
        <w:keepNext w:val="0"/>
        <w:keepLines w:val="0"/>
        <w:pageBreakBefore w:val="0"/>
        <w:widowControl/>
        <w:numPr>
          <w:ilvl w:val="0"/>
          <w:numId w:val="0"/>
        </w:numPr>
        <w:kinsoku/>
        <w:wordWrap/>
        <w:overflowPunct/>
        <w:topLinePunct w:val="0"/>
        <w:bidi w:val="0"/>
        <w:adjustRightInd w:val="0"/>
        <w:snapToGrid w:val="0"/>
        <w:spacing w:line="600" w:lineRule="exact"/>
        <w:ind w:leftChars="200"/>
        <w:textAlignment w:val="auto"/>
        <w:rPr>
          <w:rFonts w:hint="eastAsia" w:ascii="仿宋" w:hAnsi="仿宋" w:eastAsia="仿宋" w:cs="仿宋"/>
          <w:sz w:val="32"/>
          <w:szCs w:val="32"/>
        </w:rPr>
      </w:pPr>
      <w:r>
        <w:rPr>
          <w:rFonts w:hint="eastAsia" w:ascii="仿宋" w:hAnsi="仿宋" w:eastAsia="仿宋" w:cs="仿宋"/>
          <w:sz w:val="32"/>
          <w:szCs w:val="32"/>
        </w:rPr>
        <w:t>（四）强化队伍建设，提升服务效能。强化党建和党风廉政建设，深入学习贯彻党的二十大精神，加强队伍教育管理，强化政治理论和业务知识学习，全面提升干部职工履职尽责的能力和水平；持续推进“清廉医保”工作，狠抓队伍作风建设，进一步健全内部管理制度，规范工作行为。牢固树立以人为本的理念，不断提升医保服务水平。加强经办人员业务培训，强化服务意识，优化办事流程，提升办事效率，努力打造一支业务精湛、办事高效、服务满意的医保队伍。</w:t>
      </w:r>
    </w:p>
    <w:p w14:paraId="6AE1662F">
      <w:pPr>
        <w:keepNext w:val="0"/>
        <w:keepLines w:val="0"/>
        <w:pageBreakBefore w:val="0"/>
        <w:widowControl/>
        <w:kinsoku/>
        <w:wordWrap/>
        <w:overflowPunct/>
        <w:topLinePunct w:val="0"/>
        <w:autoSpaceDE/>
        <w:autoSpaceDN/>
        <w:bidi w:val="0"/>
        <w:adjustRightInd w:val="0"/>
        <w:snapToGrid w:val="0"/>
        <w:spacing w:after="0"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（四）部门年度整体收支情况</w:t>
      </w:r>
      <w:r>
        <w:rPr>
          <w:rFonts w:hint="eastAsia" w:ascii="仿宋" w:hAnsi="仿宋" w:eastAsia="仿宋" w:cs="仿宋"/>
          <w:sz w:val="32"/>
          <w:szCs w:val="32"/>
          <w:lang w:eastAsia="zh-CN"/>
        </w:rPr>
        <w:t>。</w:t>
      </w:r>
    </w:p>
    <w:p w14:paraId="6130959A">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（一）基本支出</w:t>
      </w:r>
    </w:p>
    <w:p w14:paraId="0D5418C7">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1、本单位基本支出的预算情况</w:t>
      </w:r>
    </w:p>
    <w:p w14:paraId="43D5CB6B">
      <w:pPr>
        <w:pStyle w:val="2"/>
        <w:spacing w:line="600" w:lineRule="atLeast"/>
        <w:ind w:left="440"/>
        <w:rPr>
          <w:rFonts w:hint="eastAsia"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hint="eastAsia" w:ascii="仿宋" w:hAnsi="仿宋" w:eastAsia="仿宋"/>
          <w:sz w:val="32"/>
          <w:szCs w:val="32"/>
        </w:rPr>
        <w:t>年决算基本支出为</w:t>
      </w:r>
      <w:r>
        <w:rPr>
          <w:rFonts w:hint="eastAsia" w:ascii="仿宋" w:hAnsi="仿宋" w:eastAsia="仿宋"/>
          <w:sz w:val="32"/>
          <w:szCs w:val="32"/>
          <w:lang w:val="en-US" w:eastAsia="zh-CN"/>
        </w:rPr>
        <w:t>602.61</w:t>
      </w:r>
      <w:r>
        <w:rPr>
          <w:rFonts w:hint="eastAsia" w:ascii="仿宋" w:hAnsi="仿宋" w:eastAsia="仿宋"/>
          <w:sz w:val="32"/>
          <w:szCs w:val="32"/>
        </w:rPr>
        <w:t>万元，较预算增加</w:t>
      </w:r>
      <w:r>
        <w:rPr>
          <w:rFonts w:hint="eastAsia" w:ascii="仿宋" w:hAnsi="仿宋" w:eastAsia="仿宋"/>
          <w:sz w:val="32"/>
          <w:szCs w:val="32"/>
          <w:lang w:val="en-US" w:eastAsia="zh-CN"/>
        </w:rPr>
        <w:t>18.44</w:t>
      </w:r>
      <w:r>
        <w:rPr>
          <w:rFonts w:hint="eastAsia" w:ascii="仿宋" w:hAnsi="仿宋" w:eastAsia="仿宋"/>
          <w:sz w:val="32"/>
          <w:szCs w:val="32"/>
        </w:rPr>
        <w:t>万元，增幅</w:t>
      </w:r>
      <w:r>
        <w:rPr>
          <w:rFonts w:hint="eastAsia" w:ascii="仿宋" w:hAnsi="仿宋" w:eastAsia="仿宋"/>
          <w:sz w:val="32"/>
          <w:szCs w:val="32"/>
          <w:lang w:val="en-US" w:eastAsia="zh-CN"/>
        </w:rPr>
        <w:t>3.16</w:t>
      </w:r>
      <w:r>
        <w:rPr>
          <w:rFonts w:hint="eastAsia" w:ascii="仿宋" w:hAnsi="仿宋" w:eastAsia="仿宋"/>
          <w:sz w:val="32"/>
          <w:szCs w:val="32"/>
        </w:rPr>
        <w:t>%，其中人员经费支出</w:t>
      </w:r>
      <w:r>
        <w:rPr>
          <w:rFonts w:ascii="仿宋" w:hAnsi="仿宋" w:eastAsia="仿宋"/>
          <w:sz w:val="32"/>
          <w:szCs w:val="32"/>
        </w:rPr>
        <w:t>5</w:t>
      </w:r>
      <w:r>
        <w:rPr>
          <w:rFonts w:hint="eastAsia" w:ascii="仿宋" w:hAnsi="仿宋" w:eastAsia="仿宋"/>
          <w:sz w:val="32"/>
          <w:szCs w:val="32"/>
          <w:lang w:val="en-US" w:eastAsia="zh-CN"/>
        </w:rPr>
        <w:t>55.74</w:t>
      </w:r>
      <w:r>
        <w:rPr>
          <w:rFonts w:hint="eastAsia" w:ascii="仿宋" w:hAnsi="仿宋" w:eastAsia="仿宋"/>
          <w:sz w:val="32"/>
          <w:szCs w:val="32"/>
        </w:rPr>
        <w:t>万元，占比9</w:t>
      </w:r>
      <w:r>
        <w:rPr>
          <w:rFonts w:hint="eastAsia" w:ascii="仿宋" w:hAnsi="仿宋" w:eastAsia="仿宋"/>
          <w:sz w:val="32"/>
          <w:szCs w:val="32"/>
          <w:lang w:val="en-US" w:eastAsia="zh-CN"/>
        </w:rPr>
        <w:t>2.22</w:t>
      </w:r>
      <w:r>
        <w:rPr>
          <w:rFonts w:hint="eastAsia" w:ascii="仿宋" w:hAnsi="仿宋" w:eastAsia="仿宋"/>
          <w:sz w:val="32"/>
          <w:szCs w:val="32"/>
        </w:rPr>
        <w:t>%，较预算增加</w:t>
      </w:r>
      <w:r>
        <w:rPr>
          <w:rFonts w:hint="eastAsia" w:ascii="仿宋" w:hAnsi="仿宋" w:eastAsia="仿宋"/>
          <w:sz w:val="32"/>
          <w:szCs w:val="32"/>
          <w:lang w:val="en-US" w:eastAsia="zh-CN"/>
        </w:rPr>
        <w:t>.13</w:t>
      </w:r>
      <w:r>
        <w:rPr>
          <w:rFonts w:hint="eastAsia" w:ascii="仿宋" w:hAnsi="仿宋" w:eastAsia="仿宋"/>
          <w:sz w:val="32"/>
          <w:szCs w:val="32"/>
        </w:rPr>
        <w:t>万元，增幅</w:t>
      </w:r>
      <w:r>
        <w:rPr>
          <w:rFonts w:hint="eastAsia" w:ascii="仿宋" w:hAnsi="仿宋" w:eastAsia="仿宋"/>
          <w:sz w:val="32"/>
          <w:szCs w:val="32"/>
          <w:lang w:val="en-US" w:eastAsia="zh-CN"/>
        </w:rPr>
        <w:t>6.75</w:t>
      </w:r>
      <w:r>
        <w:rPr>
          <w:rFonts w:hint="eastAsia" w:ascii="仿宋" w:hAnsi="仿宋" w:eastAsia="仿宋"/>
          <w:sz w:val="32"/>
          <w:szCs w:val="32"/>
        </w:rPr>
        <w:t>%，日常公用经费支出</w:t>
      </w:r>
      <w:r>
        <w:rPr>
          <w:rFonts w:hint="eastAsia" w:ascii="仿宋" w:hAnsi="仿宋" w:eastAsia="仿宋"/>
          <w:sz w:val="32"/>
          <w:szCs w:val="32"/>
          <w:lang w:val="en-US" w:eastAsia="zh-CN"/>
        </w:rPr>
        <w:t>46.87</w:t>
      </w:r>
      <w:r>
        <w:rPr>
          <w:rFonts w:hint="eastAsia" w:ascii="仿宋" w:hAnsi="仿宋" w:eastAsia="仿宋"/>
          <w:sz w:val="32"/>
          <w:szCs w:val="32"/>
        </w:rPr>
        <w:t>万元，占比</w:t>
      </w:r>
      <w:r>
        <w:rPr>
          <w:rFonts w:hint="eastAsia" w:ascii="仿宋" w:hAnsi="仿宋" w:eastAsia="仿宋"/>
          <w:sz w:val="32"/>
          <w:szCs w:val="32"/>
          <w:lang w:val="en-US" w:eastAsia="zh-CN"/>
        </w:rPr>
        <w:t>7.78</w:t>
      </w:r>
      <w:r>
        <w:rPr>
          <w:rFonts w:hint="eastAsia" w:ascii="仿宋" w:hAnsi="仿宋" w:eastAsia="仿宋"/>
          <w:sz w:val="32"/>
          <w:szCs w:val="32"/>
        </w:rPr>
        <w:t>%，较预算减少</w:t>
      </w:r>
      <w:r>
        <w:rPr>
          <w:rFonts w:hint="eastAsia" w:ascii="仿宋" w:hAnsi="仿宋" w:eastAsia="仿宋"/>
          <w:sz w:val="32"/>
          <w:szCs w:val="32"/>
          <w:lang w:val="en-US" w:eastAsia="zh-CN"/>
        </w:rPr>
        <w:t>16.69</w:t>
      </w:r>
      <w:r>
        <w:rPr>
          <w:rFonts w:hint="eastAsia" w:ascii="仿宋" w:hAnsi="仿宋" w:eastAsia="仿宋"/>
          <w:sz w:val="32"/>
          <w:szCs w:val="32"/>
        </w:rPr>
        <w:t>万元，降幅</w:t>
      </w:r>
      <w:r>
        <w:rPr>
          <w:rFonts w:hint="eastAsia" w:ascii="仿宋" w:hAnsi="仿宋" w:eastAsia="仿宋"/>
          <w:sz w:val="32"/>
          <w:szCs w:val="32"/>
          <w:lang w:val="en-US" w:eastAsia="zh-CN"/>
        </w:rPr>
        <w:t>26.26</w:t>
      </w:r>
      <w:r>
        <w:rPr>
          <w:rFonts w:hint="eastAsia" w:ascii="仿宋" w:hAnsi="仿宋" w:eastAsia="仿宋"/>
          <w:sz w:val="32"/>
          <w:szCs w:val="32"/>
        </w:rPr>
        <w:t>%</w:t>
      </w:r>
    </w:p>
    <w:p w14:paraId="0FB5F602">
      <w:pPr>
        <w:pStyle w:val="2"/>
        <w:spacing w:line="600" w:lineRule="atLeast"/>
        <w:ind w:left="440" w:firstLine="0"/>
        <w:rPr>
          <w:rFonts w:hint="eastAsia"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hint="eastAsia" w:ascii="仿宋" w:hAnsi="仿宋" w:eastAsia="仿宋"/>
          <w:sz w:val="32"/>
          <w:szCs w:val="32"/>
        </w:rPr>
        <w:t>年 “三公”经费决算支出0.</w:t>
      </w:r>
      <w:r>
        <w:rPr>
          <w:rFonts w:hint="eastAsia" w:ascii="仿宋" w:hAnsi="仿宋" w:eastAsia="仿宋"/>
          <w:sz w:val="32"/>
          <w:szCs w:val="32"/>
          <w:lang w:val="en-US" w:eastAsia="zh-CN"/>
        </w:rPr>
        <w:t>38</w:t>
      </w:r>
      <w:r>
        <w:rPr>
          <w:rFonts w:hint="eastAsia" w:ascii="仿宋" w:hAnsi="仿宋" w:eastAsia="仿宋"/>
          <w:sz w:val="32"/>
          <w:szCs w:val="32"/>
        </w:rPr>
        <w:t>万元，其中公务用车购置及运行维护费0.</w:t>
      </w:r>
      <w:r>
        <w:rPr>
          <w:rFonts w:hint="eastAsia" w:ascii="仿宋" w:hAnsi="仿宋" w:eastAsia="仿宋"/>
          <w:sz w:val="32"/>
          <w:szCs w:val="32"/>
          <w:lang w:val="en-US" w:eastAsia="zh-CN"/>
        </w:rPr>
        <w:t>19</w:t>
      </w:r>
      <w:r>
        <w:rPr>
          <w:rFonts w:hint="eastAsia" w:ascii="仿宋" w:hAnsi="仿宋" w:eastAsia="仿宋"/>
          <w:sz w:val="32"/>
          <w:szCs w:val="32"/>
        </w:rPr>
        <w:t>万元，公务接待费</w:t>
      </w:r>
      <w:r>
        <w:rPr>
          <w:rFonts w:hint="eastAsia" w:ascii="仿宋" w:hAnsi="仿宋" w:eastAsia="仿宋"/>
          <w:sz w:val="32"/>
          <w:szCs w:val="32"/>
          <w:lang w:val="en-US" w:eastAsia="zh-CN"/>
        </w:rPr>
        <w:t>0.19</w:t>
      </w:r>
      <w:r>
        <w:rPr>
          <w:rFonts w:hint="eastAsia" w:ascii="仿宋" w:hAnsi="仿宋" w:eastAsia="仿宋"/>
          <w:sz w:val="32"/>
          <w:szCs w:val="32"/>
        </w:rPr>
        <w:t>万元，因公出国（境）费0万元，决算比预算减少</w:t>
      </w:r>
      <w:r>
        <w:rPr>
          <w:rFonts w:hint="eastAsia" w:ascii="仿宋" w:hAnsi="仿宋" w:eastAsia="仿宋"/>
          <w:sz w:val="32"/>
          <w:szCs w:val="32"/>
          <w:lang w:val="en-US" w:eastAsia="zh-CN"/>
        </w:rPr>
        <w:t>0.12</w:t>
      </w:r>
      <w:r>
        <w:rPr>
          <w:rFonts w:hint="eastAsia" w:ascii="仿宋" w:hAnsi="仿宋" w:eastAsia="仿宋"/>
          <w:sz w:val="32"/>
          <w:szCs w:val="32"/>
        </w:rPr>
        <w:t>万元，减幅</w:t>
      </w:r>
      <w:r>
        <w:rPr>
          <w:rFonts w:hint="eastAsia" w:ascii="仿宋" w:hAnsi="仿宋" w:eastAsia="仿宋"/>
          <w:sz w:val="32"/>
          <w:szCs w:val="32"/>
          <w:lang w:val="en-US" w:eastAsia="zh-CN"/>
        </w:rPr>
        <w:t>24</w:t>
      </w:r>
      <w:r>
        <w:rPr>
          <w:rFonts w:hint="eastAsia" w:ascii="仿宋" w:hAnsi="仿宋" w:eastAsia="仿宋"/>
          <w:sz w:val="32"/>
          <w:szCs w:val="32"/>
        </w:rPr>
        <w:t>%。</w:t>
      </w:r>
    </w:p>
    <w:p w14:paraId="0F072CE5">
      <w:pPr>
        <w:pStyle w:val="2"/>
        <w:spacing w:line="600" w:lineRule="atLeast"/>
        <w:ind w:left="440"/>
        <w:rPr>
          <w:rFonts w:hint="eastAsia" w:ascii="仿宋" w:hAnsi="仿宋" w:eastAsia="仿宋"/>
          <w:sz w:val="32"/>
          <w:szCs w:val="32"/>
        </w:rPr>
      </w:pPr>
      <w:r>
        <w:rPr>
          <w:rFonts w:hint="eastAsia" w:ascii="仿宋" w:hAnsi="仿宋" w:eastAsia="仿宋"/>
          <w:sz w:val="32"/>
          <w:szCs w:val="32"/>
        </w:rPr>
        <w:t>（二）项目支出</w:t>
      </w:r>
    </w:p>
    <w:p w14:paraId="34EC38B4">
      <w:pPr>
        <w:pStyle w:val="2"/>
        <w:spacing w:line="600" w:lineRule="atLeast"/>
        <w:ind w:left="4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hint="eastAsia" w:ascii="仿宋" w:hAnsi="仿宋" w:eastAsia="仿宋"/>
          <w:sz w:val="32"/>
          <w:szCs w:val="32"/>
        </w:rPr>
        <w:t>年决算项目支出为</w:t>
      </w:r>
      <w:r>
        <w:rPr>
          <w:rFonts w:ascii="仿宋" w:hAnsi="仿宋" w:eastAsia="仿宋"/>
          <w:sz w:val="32"/>
          <w:szCs w:val="32"/>
        </w:rPr>
        <w:t>1</w:t>
      </w:r>
      <w:r>
        <w:rPr>
          <w:rFonts w:hint="eastAsia" w:ascii="仿宋" w:hAnsi="仿宋" w:eastAsia="仿宋"/>
          <w:sz w:val="32"/>
          <w:szCs w:val="32"/>
          <w:lang w:val="en-US" w:eastAsia="zh-CN"/>
        </w:rPr>
        <w:t>132.34</w:t>
      </w:r>
      <w:r>
        <w:rPr>
          <w:rFonts w:hint="eastAsia" w:ascii="仿宋" w:hAnsi="仿宋" w:eastAsia="仿宋"/>
          <w:sz w:val="32"/>
          <w:szCs w:val="32"/>
        </w:rPr>
        <w:t>万元，其中特殊人群体检和离休老干部医疗费</w:t>
      </w:r>
      <w:r>
        <w:rPr>
          <w:rFonts w:hint="eastAsia" w:ascii="仿宋" w:hAnsi="仿宋" w:eastAsia="仿宋"/>
          <w:sz w:val="32"/>
          <w:szCs w:val="32"/>
          <w:lang w:val="en-US" w:eastAsia="zh-CN"/>
        </w:rPr>
        <w:t>106.82</w:t>
      </w:r>
      <w:r>
        <w:rPr>
          <w:rFonts w:hint="eastAsia" w:ascii="仿宋" w:hAnsi="仿宋" w:eastAsia="仿宋"/>
          <w:sz w:val="32"/>
          <w:szCs w:val="32"/>
        </w:rPr>
        <w:t>万元，占比</w:t>
      </w:r>
      <w:r>
        <w:rPr>
          <w:rFonts w:hint="eastAsia" w:ascii="仿宋" w:hAnsi="仿宋" w:eastAsia="仿宋"/>
          <w:sz w:val="32"/>
          <w:szCs w:val="32"/>
          <w:lang w:val="en-US" w:eastAsia="zh-CN"/>
        </w:rPr>
        <w:t>9.43</w:t>
      </w:r>
      <w:r>
        <w:rPr>
          <w:rFonts w:hint="eastAsia" w:ascii="仿宋" w:hAnsi="仿宋" w:eastAsia="仿宋"/>
          <w:sz w:val="32"/>
          <w:szCs w:val="32"/>
        </w:rPr>
        <w:t>%，城乡医疗救助资金</w:t>
      </w:r>
      <w:r>
        <w:rPr>
          <w:rFonts w:hint="eastAsia" w:ascii="仿宋" w:hAnsi="仿宋" w:eastAsia="仿宋"/>
          <w:sz w:val="32"/>
          <w:szCs w:val="32"/>
          <w:lang w:val="en-US" w:eastAsia="zh-CN"/>
        </w:rPr>
        <w:t>1008.31</w:t>
      </w:r>
      <w:r>
        <w:rPr>
          <w:rFonts w:hint="eastAsia" w:ascii="仿宋" w:hAnsi="仿宋" w:eastAsia="仿宋"/>
          <w:sz w:val="32"/>
          <w:szCs w:val="32"/>
        </w:rPr>
        <w:t>万元，占比</w:t>
      </w:r>
      <w:r>
        <w:rPr>
          <w:rFonts w:hint="eastAsia" w:ascii="仿宋" w:hAnsi="仿宋" w:eastAsia="仿宋"/>
          <w:sz w:val="32"/>
          <w:szCs w:val="32"/>
          <w:lang w:val="en-US" w:eastAsia="zh-CN"/>
        </w:rPr>
        <w:t>89.05</w:t>
      </w:r>
      <w:r>
        <w:rPr>
          <w:rFonts w:hint="eastAsia" w:ascii="仿宋" w:hAnsi="仿宋" w:eastAsia="仿宋"/>
          <w:sz w:val="32"/>
          <w:szCs w:val="32"/>
        </w:rPr>
        <w:t>%，特殊病种专家评审费支出</w:t>
      </w:r>
      <w:r>
        <w:rPr>
          <w:rFonts w:hint="eastAsia" w:ascii="仿宋" w:hAnsi="仿宋" w:eastAsia="仿宋"/>
          <w:sz w:val="32"/>
          <w:szCs w:val="32"/>
          <w:lang w:val="en-US" w:eastAsia="zh-CN"/>
        </w:rPr>
        <w:t>2.21</w:t>
      </w:r>
      <w:r>
        <w:rPr>
          <w:rFonts w:hint="eastAsia" w:ascii="仿宋" w:hAnsi="仿宋" w:eastAsia="仿宋"/>
          <w:sz w:val="32"/>
          <w:szCs w:val="32"/>
        </w:rPr>
        <w:t>万元，占比0.</w:t>
      </w:r>
      <w:r>
        <w:rPr>
          <w:rFonts w:hint="eastAsia" w:ascii="仿宋" w:hAnsi="仿宋" w:eastAsia="仿宋"/>
          <w:sz w:val="32"/>
          <w:szCs w:val="32"/>
          <w:lang w:val="en-US" w:eastAsia="zh-CN"/>
        </w:rPr>
        <w:t>20</w:t>
      </w:r>
      <w:r>
        <w:rPr>
          <w:rFonts w:hint="eastAsia" w:ascii="仿宋" w:hAnsi="仿宋" w:eastAsia="仿宋"/>
          <w:sz w:val="32"/>
          <w:szCs w:val="32"/>
        </w:rPr>
        <w:t>%，城乡居民医保筹资工作支出</w:t>
      </w:r>
      <w:r>
        <w:rPr>
          <w:rFonts w:hint="eastAsia" w:ascii="仿宋" w:hAnsi="仿宋" w:eastAsia="仿宋"/>
          <w:sz w:val="32"/>
          <w:szCs w:val="32"/>
          <w:lang w:val="en-US" w:eastAsia="zh-CN"/>
        </w:rPr>
        <w:t>15</w:t>
      </w:r>
      <w:r>
        <w:rPr>
          <w:rFonts w:hint="eastAsia" w:ascii="仿宋" w:hAnsi="仿宋" w:eastAsia="仿宋"/>
          <w:sz w:val="32"/>
          <w:szCs w:val="32"/>
        </w:rPr>
        <w:t>万元，占比</w:t>
      </w:r>
      <w:r>
        <w:rPr>
          <w:rFonts w:hint="eastAsia" w:ascii="仿宋" w:hAnsi="仿宋" w:eastAsia="仿宋"/>
          <w:sz w:val="32"/>
          <w:szCs w:val="32"/>
          <w:lang w:val="en-US" w:eastAsia="zh-CN"/>
        </w:rPr>
        <w:t>1.32</w:t>
      </w:r>
      <w:r>
        <w:rPr>
          <w:rFonts w:hint="eastAsia" w:ascii="仿宋" w:hAnsi="仿宋" w:eastAsia="仿宋"/>
          <w:sz w:val="32"/>
          <w:szCs w:val="32"/>
        </w:rPr>
        <w:t>%。</w:t>
      </w:r>
    </w:p>
    <w:p w14:paraId="12B5248B">
      <w:pPr>
        <w:keepNext w:val="0"/>
        <w:keepLines w:val="0"/>
        <w:pageBreakBefore w:val="0"/>
        <w:widowControl/>
        <w:numPr>
          <w:ilvl w:val="0"/>
          <w:numId w:val="1"/>
        </w:numPr>
        <w:kinsoku/>
        <w:wordWrap/>
        <w:overflowPunct/>
        <w:topLinePunct w:val="0"/>
        <w:autoSpaceDE/>
        <w:autoSpaceDN/>
        <w:bidi w:val="0"/>
        <w:adjustRightInd w:val="0"/>
        <w:snapToGrid w:val="0"/>
        <w:spacing w:after="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部门年度整体工作目标任务完成情况。</w:t>
      </w:r>
    </w:p>
    <w:p w14:paraId="10DF7A8E">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1、收支平衡，202</w:t>
      </w:r>
      <w:r>
        <w:rPr>
          <w:rFonts w:hint="eastAsia" w:ascii="仿宋" w:hAnsi="仿宋" w:eastAsia="仿宋" w:cs="仿宋"/>
          <w:sz w:val="32"/>
          <w:szCs w:val="32"/>
          <w:lang w:val="en-US" w:eastAsia="zh-CN"/>
        </w:rPr>
        <w:t>3</w:t>
      </w:r>
      <w:r>
        <w:rPr>
          <w:rFonts w:hint="eastAsia" w:ascii="仿宋" w:hAnsi="仿宋" w:eastAsia="仿宋" w:cs="仿宋"/>
          <w:sz w:val="32"/>
          <w:szCs w:val="32"/>
        </w:rPr>
        <w:t>年支出与收入相符，为</w:t>
      </w:r>
      <w:r>
        <w:rPr>
          <w:rFonts w:hint="eastAsia" w:ascii="仿宋" w:hAnsi="仿宋" w:eastAsia="仿宋" w:cs="仿宋"/>
          <w:sz w:val="32"/>
          <w:szCs w:val="32"/>
          <w:lang w:val="en-US" w:eastAsia="zh-CN"/>
        </w:rPr>
        <w:t>1734.95</w:t>
      </w:r>
      <w:r>
        <w:rPr>
          <w:rFonts w:hint="eastAsia" w:ascii="仿宋" w:hAnsi="仿宋" w:eastAsia="仿宋" w:cs="仿宋"/>
          <w:sz w:val="32"/>
          <w:szCs w:val="32"/>
        </w:rPr>
        <w:t>万元。</w:t>
      </w:r>
    </w:p>
    <w:p w14:paraId="02406AAE">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2、贯彻落实医疗保险市级统筹工作任务，稳妥推进城镇、城乡居民医保工作，以整合制度、扩大覆盖面为重点，以强化管理、优化服务为手段，以保障广大参保人员的医疗待遇，维护社会稳定为基础，促进我县各项事业的全面、协调、加快发展、加强基金监管，促进医疗保险健康持续发展。</w:t>
      </w:r>
    </w:p>
    <w:p w14:paraId="2DA359C9">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3、社会满意度达98%。</w:t>
      </w:r>
    </w:p>
    <w:p w14:paraId="07458A25">
      <w:pPr>
        <w:pStyle w:val="2"/>
        <w:numPr>
          <w:ilvl w:val="0"/>
          <w:numId w:val="0"/>
        </w:numPr>
        <w:ind w:leftChars="200"/>
      </w:pPr>
    </w:p>
    <w:p w14:paraId="277AC37D">
      <w:pPr>
        <w:pStyle w:val="5"/>
        <w:bidi w:val="0"/>
      </w:pPr>
      <w:r>
        <w:rPr>
          <w:rFonts w:hint="eastAsia"/>
        </w:rPr>
        <w:t>二、部门整体评价工作开展</w:t>
      </w:r>
    </w:p>
    <w:p w14:paraId="1E07F1C0">
      <w:pPr>
        <w:spacing w:after="0" w:line="600" w:lineRule="atLeast"/>
        <w:ind w:firstLine="596" w:firstLineChars="200"/>
        <w:rPr>
          <w:rFonts w:hint="eastAsia" w:ascii="仿宋" w:hAnsi="仿宋" w:eastAsia="仿宋" w:cs="仿宋"/>
          <w:spacing w:val="-11"/>
          <w:sz w:val="32"/>
          <w:szCs w:val="32"/>
        </w:rPr>
      </w:pPr>
      <w:r>
        <w:rPr>
          <w:rFonts w:hint="eastAsia" w:ascii="仿宋" w:hAnsi="仿宋" w:eastAsia="仿宋" w:cs="仿宋"/>
          <w:spacing w:val="-11"/>
          <w:sz w:val="32"/>
          <w:szCs w:val="32"/>
        </w:rPr>
        <w:t>（一）绩效评价实施过程情况</w:t>
      </w:r>
    </w:p>
    <w:p w14:paraId="557E2CAD">
      <w:pPr>
        <w:spacing w:after="0" w:line="600" w:lineRule="atLeast"/>
        <w:ind w:firstLine="596" w:firstLineChars="200"/>
        <w:rPr>
          <w:rFonts w:ascii="仿宋" w:hAnsi="仿宋" w:eastAsia="仿宋" w:cs="仿宋"/>
          <w:spacing w:val="-11"/>
          <w:sz w:val="32"/>
          <w:szCs w:val="32"/>
        </w:rPr>
      </w:pPr>
      <w:r>
        <w:rPr>
          <w:rFonts w:hint="eastAsia" w:ascii="仿宋" w:hAnsi="仿宋" w:eastAsia="仿宋" w:cs="仿宋"/>
          <w:spacing w:val="-11"/>
          <w:sz w:val="32"/>
          <w:szCs w:val="32"/>
        </w:rPr>
        <w:t>在评价方法上，我们采取了集中评议方法。</w:t>
      </w:r>
    </w:p>
    <w:p w14:paraId="5D885A7E">
      <w:pPr>
        <w:spacing w:after="0" w:line="600" w:lineRule="atLeast"/>
        <w:ind w:firstLine="596" w:firstLineChars="200"/>
        <w:rPr>
          <w:rFonts w:ascii="仿宋" w:hAnsi="仿宋" w:eastAsia="仿宋" w:cs="仿宋"/>
          <w:spacing w:val="-11"/>
          <w:sz w:val="32"/>
          <w:szCs w:val="32"/>
        </w:rPr>
      </w:pPr>
      <w:r>
        <w:rPr>
          <w:rFonts w:hint="eastAsia" w:ascii="仿宋" w:hAnsi="仿宋" w:eastAsia="仿宋" w:cs="仿宋"/>
          <w:spacing w:val="-11"/>
          <w:sz w:val="32"/>
          <w:szCs w:val="32"/>
        </w:rPr>
        <w:t>绩效评价工作程序主要如下：</w:t>
      </w:r>
    </w:p>
    <w:p w14:paraId="426D5E04">
      <w:pPr>
        <w:spacing w:after="0" w:line="600" w:lineRule="atLeast"/>
        <w:ind w:firstLine="596" w:firstLineChars="200"/>
        <w:rPr>
          <w:rFonts w:ascii="仿宋" w:hAnsi="仿宋" w:eastAsia="仿宋" w:cs="仿宋"/>
          <w:spacing w:val="-11"/>
          <w:sz w:val="32"/>
          <w:szCs w:val="32"/>
        </w:rPr>
      </w:pPr>
      <w:r>
        <w:rPr>
          <w:rFonts w:hint="eastAsia" w:ascii="仿宋" w:hAnsi="仿宋" w:eastAsia="仿宋" w:cs="仿宋"/>
          <w:spacing w:val="-11"/>
          <w:sz w:val="32"/>
          <w:szCs w:val="32"/>
        </w:rPr>
        <w:t>1、核实数据。对202</w:t>
      </w:r>
      <w:r>
        <w:rPr>
          <w:rFonts w:hint="eastAsia" w:ascii="仿宋" w:hAnsi="仿宋" w:eastAsia="仿宋" w:cs="仿宋"/>
          <w:spacing w:val="-11"/>
          <w:sz w:val="32"/>
          <w:szCs w:val="32"/>
          <w:lang w:val="en-US" w:eastAsia="zh-CN"/>
        </w:rPr>
        <w:t>3</w:t>
      </w:r>
      <w:r>
        <w:rPr>
          <w:rFonts w:hint="eastAsia" w:ascii="仿宋" w:hAnsi="仿宋" w:eastAsia="仿宋" w:cs="仿宋"/>
          <w:spacing w:val="-11"/>
          <w:sz w:val="32"/>
          <w:szCs w:val="32"/>
        </w:rPr>
        <w:t>年度部门整体支出数据的准确性、真实性进行核实。核对202</w:t>
      </w:r>
      <w:r>
        <w:rPr>
          <w:rFonts w:hint="eastAsia" w:ascii="仿宋" w:hAnsi="仿宋" w:eastAsia="仿宋" w:cs="仿宋"/>
          <w:spacing w:val="-11"/>
          <w:sz w:val="32"/>
          <w:szCs w:val="32"/>
          <w:lang w:val="en-US" w:eastAsia="zh-CN"/>
        </w:rPr>
        <w:t>3</w:t>
      </w:r>
      <w:r>
        <w:rPr>
          <w:rFonts w:hint="eastAsia" w:ascii="仿宋" w:hAnsi="仿宋" w:eastAsia="仿宋" w:cs="仿宋"/>
          <w:spacing w:val="-11"/>
          <w:sz w:val="32"/>
          <w:szCs w:val="32"/>
        </w:rPr>
        <w:t>年度上年结余结转、年初预算安排、本年追加追减数、年末结余数情况以及三公经费、政府采购支出情况，并将202</w:t>
      </w:r>
      <w:r>
        <w:rPr>
          <w:rFonts w:hint="eastAsia" w:ascii="仿宋" w:hAnsi="仿宋" w:eastAsia="仿宋" w:cs="仿宋"/>
          <w:spacing w:val="-11"/>
          <w:sz w:val="32"/>
          <w:szCs w:val="32"/>
          <w:lang w:val="en-US" w:eastAsia="zh-CN"/>
        </w:rPr>
        <w:t>2</w:t>
      </w:r>
      <w:r>
        <w:rPr>
          <w:rFonts w:hint="eastAsia" w:ascii="仿宋" w:hAnsi="仿宋" w:eastAsia="仿宋" w:cs="仿宋"/>
          <w:spacing w:val="-11"/>
          <w:sz w:val="32"/>
          <w:szCs w:val="32"/>
        </w:rPr>
        <w:t>年度和202</w:t>
      </w:r>
      <w:r>
        <w:rPr>
          <w:rFonts w:hint="eastAsia" w:ascii="仿宋" w:hAnsi="仿宋" w:eastAsia="仿宋" w:cs="仿宋"/>
          <w:spacing w:val="-11"/>
          <w:sz w:val="32"/>
          <w:szCs w:val="32"/>
          <w:lang w:val="en-US" w:eastAsia="zh-CN"/>
        </w:rPr>
        <w:t>3</w:t>
      </w:r>
      <w:r>
        <w:rPr>
          <w:rFonts w:hint="eastAsia" w:ascii="仿宋" w:hAnsi="仿宋" w:eastAsia="仿宋" w:cs="仿宋"/>
          <w:spacing w:val="-11"/>
          <w:sz w:val="32"/>
          <w:szCs w:val="32"/>
        </w:rPr>
        <w:t>年度部门整体支出情况进行比较分析；</w:t>
      </w:r>
    </w:p>
    <w:p w14:paraId="30D465C6">
      <w:pPr>
        <w:spacing w:after="0" w:line="600" w:lineRule="atLeast"/>
        <w:ind w:firstLine="596" w:firstLineChars="200"/>
        <w:rPr>
          <w:rFonts w:ascii="仿宋" w:hAnsi="仿宋" w:eastAsia="仿宋" w:cs="仿宋"/>
          <w:spacing w:val="-11"/>
          <w:sz w:val="32"/>
          <w:szCs w:val="32"/>
        </w:rPr>
      </w:pPr>
      <w:r>
        <w:rPr>
          <w:rFonts w:hint="eastAsia" w:ascii="仿宋" w:hAnsi="仿宋" w:eastAsia="仿宋" w:cs="仿宋"/>
          <w:spacing w:val="-11"/>
          <w:sz w:val="32"/>
          <w:szCs w:val="32"/>
        </w:rPr>
        <w:t>2、查阅资料。查阅机构编制部门核定批复的部门人员编制数及实有人员，资金管理、经费支出、政府采购制度、资产管理、年度重点工作等相关文件资料和财务凭证；</w:t>
      </w:r>
    </w:p>
    <w:p w14:paraId="2B4776B2">
      <w:pPr>
        <w:spacing w:after="0" w:line="600" w:lineRule="atLeast"/>
        <w:ind w:firstLine="596" w:firstLineChars="200"/>
        <w:rPr>
          <w:rFonts w:ascii="仿宋" w:hAnsi="仿宋" w:eastAsia="仿宋" w:cs="仿宋"/>
          <w:spacing w:val="-11"/>
          <w:sz w:val="32"/>
          <w:szCs w:val="32"/>
        </w:rPr>
      </w:pPr>
      <w:r>
        <w:rPr>
          <w:rFonts w:hint="eastAsia" w:ascii="仿宋" w:hAnsi="仿宋" w:eastAsia="仿宋" w:cs="仿宋"/>
          <w:spacing w:val="-11"/>
          <w:sz w:val="32"/>
          <w:szCs w:val="32"/>
        </w:rPr>
        <w:t>3、归纳汇总。对收集的评价材料结合本单位情况进行综合分析、归纳汇总；</w:t>
      </w:r>
    </w:p>
    <w:p w14:paraId="2FCD9591">
      <w:pPr>
        <w:spacing w:after="0" w:line="600" w:lineRule="atLeast"/>
        <w:ind w:firstLine="596" w:firstLineChars="200"/>
        <w:rPr>
          <w:rFonts w:ascii="仿宋" w:hAnsi="仿宋" w:eastAsia="仿宋" w:cs="仿宋"/>
          <w:spacing w:val="-11"/>
          <w:sz w:val="32"/>
          <w:szCs w:val="32"/>
        </w:rPr>
      </w:pPr>
      <w:r>
        <w:rPr>
          <w:rFonts w:hint="eastAsia" w:ascii="仿宋" w:hAnsi="仿宋" w:eastAsia="仿宋" w:cs="仿宋"/>
          <w:spacing w:val="-11"/>
          <w:sz w:val="32"/>
          <w:szCs w:val="32"/>
        </w:rPr>
        <w:t>4、根据评价材料结合各项评价指标逐条对应进行分析评分；</w:t>
      </w:r>
    </w:p>
    <w:p w14:paraId="5EDFBC40">
      <w:pPr>
        <w:spacing w:after="0" w:line="600" w:lineRule="atLeast"/>
        <w:ind w:firstLine="596" w:firstLineChars="200"/>
        <w:rPr>
          <w:rFonts w:hint="eastAsia" w:ascii="仿宋" w:hAnsi="仿宋" w:eastAsia="仿宋" w:cs="仿宋"/>
          <w:spacing w:val="-11"/>
          <w:sz w:val="32"/>
          <w:szCs w:val="32"/>
        </w:rPr>
      </w:pPr>
      <w:r>
        <w:rPr>
          <w:rFonts w:hint="eastAsia" w:ascii="仿宋" w:hAnsi="仿宋" w:eastAsia="仿宋" w:cs="仿宋"/>
          <w:spacing w:val="-11"/>
          <w:sz w:val="32"/>
          <w:szCs w:val="32"/>
        </w:rPr>
        <w:t>5、形成绩效评价自评报告；</w:t>
      </w:r>
    </w:p>
    <w:p w14:paraId="48D67D99">
      <w:pPr>
        <w:spacing w:after="0" w:line="600" w:lineRule="atLeast"/>
        <w:ind w:firstLine="640" w:firstLineChars="200"/>
        <w:rPr>
          <w:rFonts w:hint="eastAsia" w:ascii="仿宋" w:hAnsi="仿宋" w:eastAsia="仿宋" w:cs="仿宋"/>
          <w:sz w:val="32"/>
          <w:szCs w:val="32"/>
        </w:rPr>
      </w:pPr>
      <w:r>
        <w:rPr>
          <w:rFonts w:hint="eastAsia" w:ascii="仿宋" w:hAnsi="仿宋" w:eastAsia="仿宋" w:cs="仿宋"/>
          <w:sz w:val="32"/>
          <w:szCs w:val="32"/>
        </w:rPr>
        <w:t>（二）绩效评价整体结果概况</w:t>
      </w:r>
    </w:p>
    <w:p w14:paraId="191FB0C8">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我单位积极履职，强化管理，较好地完成了年度工作目标。通过加强预算收支管理，不断建立健全内部控制制度，梳理内部控制流程，部门整体支出管理水平得到提升。根据部门整体支出绩效评价指标体系，我单位202</w:t>
      </w:r>
      <w:r>
        <w:rPr>
          <w:rFonts w:hint="eastAsia" w:ascii="仿宋" w:hAnsi="仿宋" w:eastAsia="仿宋" w:cs="仿宋"/>
          <w:sz w:val="32"/>
          <w:szCs w:val="32"/>
          <w:lang w:val="en-US" w:eastAsia="zh-CN"/>
        </w:rPr>
        <w:t>3</w:t>
      </w:r>
      <w:r>
        <w:rPr>
          <w:rFonts w:hint="eastAsia" w:ascii="仿宋" w:hAnsi="仿宋" w:eastAsia="仿宋" w:cs="仿宋"/>
          <w:sz w:val="32"/>
          <w:szCs w:val="32"/>
        </w:rPr>
        <w:t>度评价得分为97分，评价结果为优秀。部门整体支出绩效情况如下：</w:t>
      </w:r>
    </w:p>
    <w:p w14:paraId="234DAF3E">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1、预算目标设定得较好得5分。其中：职责明确：部门的职责设定符合“三定”方案中所赋予的职责和年度承担的重点工作，得1分；，活动合规性，得1分；活动合理性得1分；目标覆盖率得1分；目标管理创新不得分。</w:t>
      </w:r>
    </w:p>
    <w:p w14:paraId="30A22476">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2、预算配置比较到位得10分。其中：财政供养人员控制率，在职人员控制率=（在职人员数44/编制数47）×100%≤100%，得3分；“三公经费”变动率得4分；重点支出安排率得4分。</w:t>
      </w:r>
    </w:p>
    <w:p w14:paraId="54B2CB0F">
      <w:pPr>
        <w:spacing w:after="0" w:line="600" w:lineRule="atLeast"/>
        <w:ind w:firstLine="640" w:firstLineChars="200"/>
        <w:rPr>
          <w:rFonts w:hint="eastAsia" w:ascii="仿宋" w:hAnsi="仿宋" w:eastAsia="仿宋" w:cs="仿宋"/>
          <w:sz w:val="32"/>
          <w:szCs w:val="32"/>
        </w:rPr>
      </w:pPr>
      <w:r>
        <w:rPr>
          <w:rFonts w:hint="eastAsia" w:ascii="仿宋" w:hAnsi="仿宋" w:eastAsia="仿宋" w:cs="仿宋"/>
          <w:sz w:val="32"/>
          <w:szCs w:val="32"/>
        </w:rPr>
        <w:t>3、预算执行比较到位得25分；其中预算完成率得3分；预算调整率得3分；支付进度率得4分；结转结余率得3分；结转变动率得3分；公用经费控制率得3分；“三公经费”控制率得3分；政府采购执行率得3分。</w:t>
      </w:r>
    </w:p>
    <w:p w14:paraId="5651FC70">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(1)公用经费控制率得分为3，因政策影响公用经费控制率48.24万元/50.09万元*100%=96.31%.</w:t>
      </w:r>
    </w:p>
    <w:p w14:paraId="4C9B0708">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(2)“三公经费”控制率控制的比较好，实际支出0.59万元/预算2.36万元*100%=25%，得3分。</w:t>
      </w:r>
    </w:p>
    <w:p w14:paraId="72F602E2">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（3）政府采购执行率=（实际政府采购金额/政府采购预算数）*100%=36.3/36.3*100%=100%，得分3分。</w:t>
      </w:r>
    </w:p>
    <w:p w14:paraId="56535C3B">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4、预算管理比较理想得分18分。其中管理制度健全性得2分；资金使用合规性得9分；预决算信息公开性，都已公开，得3分；基础信息完善性得4分。</w:t>
      </w:r>
    </w:p>
    <w:p w14:paraId="46873C49">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（1）管理制度健全性得2分：有内部管理制度、内部控制制度、会计核算制度等管理制度，本部门有厉行节约制度，相关管理制度合法、合规、完整，相关管理制度得到有效执行，并有考核制度。</w:t>
      </w:r>
    </w:p>
    <w:p w14:paraId="09B27468">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（2）资金使用合规性得9分。本年度支出符合国家财经法规和财务管理制度以及有关专项资金管理办法的规定；资金使用无截留、挤占、挪用、虚列支出等情况。</w:t>
      </w:r>
    </w:p>
    <w:p w14:paraId="413D2182">
      <w:pPr>
        <w:spacing w:after="0" w:line="600" w:lineRule="atLeast"/>
        <w:ind w:firstLine="640" w:firstLineChars="200"/>
        <w:rPr>
          <w:rFonts w:hint="eastAsia" w:ascii="仿宋" w:hAnsi="仿宋" w:eastAsia="仿宋" w:cs="仿宋"/>
          <w:sz w:val="32"/>
          <w:szCs w:val="32"/>
        </w:rPr>
      </w:pPr>
      <w:r>
        <w:rPr>
          <w:rFonts w:hint="eastAsia" w:ascii="仿宋" w:hAnsi="仿宋" w:eastAsia="仿宋" w:cs="仿宋"/>
          <w:sz w:val="32"/>
          <w:szCs w:val="32"/>
        </w:rPr>
        <w:t>（3）预决算信息公开性得3分。一是按规定在县政府门户网站公开信息，；二是基础数据信息和会计信息资料真实、完整、准确。</w:t>
      </w:r>
    </w:p>
    <w:p w14:paraId="7CE8BED6">
      <w:pPr>
        <w:spacing w:after="0" w:line="600" w:lineRule="atLeast"/>
        <w:ind w:firstLine="640" w:firstLineChars="200"/>
        <w:rPr>
          <w:rFonts w:hint="eastAsia" w:ascii="仿宋" w:hAnsi="仿宋" w:eastAsia="仿宋" w:cs="仿宋"/>
          <w:sz w:val="32"/>
          <w:szCs w:val="32"/>
        </w:rPr>
      </w:pPr>
      <w:r>
        <w:rPr>
          <w:rFonts w:hint="eastAsia" w:ascii="仿宋" w:hAnsi="仿宋" w:eastAsia="仿宋" w:cs="仿宋"/>
          <w:sz w:val="32"/>
          <w:szCs w:val="32"/>
        </w:rPr>
        <w:t>（4）基础信息完善性得4分。</w:t>
      </w:r>
      <w:r>
        <w:rPr>
          <w:rFonts w:ascii="仿宋" w:hAnsi="仿宋" w:eastAsia="仿宋" w:cs="仿宋"/>
          <w:sz w:val="32"/>
          <w:szCs w:val="32"/>
        </w:rPr>
        <w:t>①</w:t>
      </w:r>
      <w:r>
        <w:rPr>
          <w:rFonts w:hint="eastAsia" w:ascii="仿宋" w:hAnsi="仿宋" w:eastAsia="仿宋" w:cs="仿宋"/>
          <w:sz w:val="32"/>
          <w:szCs w:val="32"/>
        </w:rPr>
        <w:t>基本财务管理制度健全；</w:t>
      </w:r>
    </w:p>
    <w:p w14:paraId="435B0674">
      <w:pPr>
        <w:spacing w:after="0" w:line="600" w:lineRule="atLeast"/>
        <w:ind w:firstLine="640" w:firstLineChars="200"/>
        <w:rPr>
          <w:rFonts w:hint="eastAsia" w:ascii="仿宋" w:hAnsi="仿宋" w:eastAsia="仿宋" w:cs="仿宋"/>
          <w:sz w:val="32"/>
          <w:szCs w:val="32"/>
        </w:rPr>
      </w:pPr>
      <w:r>
        <w:rPr>
          <w:rFonts w:hint="eastAsia" w:ascii="仿宋" w:hAnsi="仿宋" w:eastAsia="仿宋" w:cs="仿宋"/>
          <w:sz w:val="32"/>
          <w:szCs w:val="32"/>
        </w:rPr>
        <w:t>②基础数据信息和会计信息资料真实；</w:t>
      </w:r>
    </w:p>
    <w:p w14:paraId="4A49F430">
      <w:pPr>
        <w:spacing w:after="0" w:line="600" w:lineRule="atLeast"/>
        <w:ind w:firstLine="640" w:firstLineChars="200"/>
        <w:rPr>
          <w:rFonts w:hint="eastAsia" w:ascii="仿宋" w:hAnsi="仿宋" w:eastAsia="仿宋" w:cs="仿宋"/>
          <w:sz w:val="32"/>
          <w:szCs w:val="32"/>
        </w:rPr>
      </w:pPr>
      <w:r>
        <w:rPr>
          <w:rFonts w:hint="eastAsia" w:ascii="仿宋" w:hAnsi="仿宋" w:eastAsia="仿宋" w:cs="仿宋"/>
          <w:sz w:val="32"/>
          <w:szCs w:val="32"/>
        </w:rPr>
        <w:t>③基础数据信息和会计信息资料完整；</w:t>
      </w:r>
    </w:p>
    <w:p w14:paraId="3656F9F4">
      <w:pPr>
        <w:spacing w:after="0" w:line="600" w:lineRule="atLeast"/>
        <w:ind w:firstLine="640" w:firstLineChars="200"/>
        <w:rPr>
          <w:rFonts w:hint="eastAsia" w:ascii="仿宋" w:hAnsi="仿宋" w:eastAsia="仿宋" w:cs="仿宋"/>
          <w:sz w:val="32"/>
          <w:szCs w:val="32"/>
        </w:rPr>
      </w:pPr>
      <w:r>
        <w:rPr>
          <w:rFonts w:hint="eastAsia" w:ascii="仿宋" w:hAnsi="仿宋" w:eastAsia="仿宋" w:cs="仿宋"/>
          <w:sz w:val="32"/>
          <w:szCs w:val="32"/>
        </w:rPr>
        <w:t>④基础数据信息和会计信息资料准确。。</w:t>
      </w:r>
    </w:p>
    <w:p w14:paraId="65082453">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4、资产管理比较得当，得8分。其中管理制度健全性得1分；资产管理完全性得3分；固定资产利用率得3分。</w:t>
      </w:r>
    </w:p>
    <w:p w14:paraId="03A95474">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5、预算绩效监控管理得2分，单位项目全部纳入绩效监控。</w:t>
      </w:r>
    </w:p>
    <w:p w14:paraId="6C2DD828">
      <w:pPr>
        <w:spacing w:after="0" w:line="600" w:lineRule="atLeast"/>
        <w:ind w:firstLine="640" w:firstLineChars="200"/>
        <w:rPr>
          <w:rFonts w:ascii="仿宋" w:hAnsi="仿宋" w:eastAsia="仿宋" w:cs="宋体"/>
          <w:sz w:val="32"/>
          <w:szCs w:val="32"/>
        </w:rPr>
      </w:pPr>
      <w:r>
        <w:rPr>
          <w:rFonts w:hint="eastAsia" w:ascii="仿宋" w:hAnsi="仿宋" w:eastAsia="仿宋" w:cs="仿宋"/>
          <w:sz w:val="32"/>
          <w:szCs w:val="32"/>
        </w:rPr>
        <w:t>6、职责履行到位，得15分。</w:t>
      </w:r>
      <w:r>
        <w:rPr>
          <w:rFonts w:hint="eastAsia" w:ascii="仿宋" w:hAnsi="仿宋" w:eastAsia="仿宋" w:cs="宋体"/>
          <w:sz w:val="32"/>
          <w:szCs w:val="32"/>
        </w:rPr>
        <w:t>项目实际完成率一般，得4分；项目质量达标率得4分；重点工作办结率得4分；部门绩效自评项目占比率3分。</w:t>
      </w:r>
    </w:p>
    <w:p w14:paraId="75D30F9D">
      <w:pPr>
        <w:spacing w:after="0" w:line="600" w:lineRule="atLeast"/>
        <w:ind w:firstLine="640" w:firstLineChars="200"/>
        <w:rPr>
          <w:rFonts w:ascii="仿宋" w:hAnsi="仿宋" w:eastAsia="仿宋" w:cs="宋体"/>
          <w:sz w:val="32"/>
          <w:szCs w:val="32"/>
        </w:rPr>
      </w:pPr>
      <w:r>
        <w:rPr>
          <w:rFonts w:hint="eastAsia" w:ascii="仿宋" w:hAnsi="仿宋" w:eastAsia="仿宋" w:cs="宋体"/>
          <w:sz w:val="32"/>
          <w:szCs w:val="32"/>
        </w:rPr>
        <w:t>7、监督发现得2分，问题违规率为0.</w:t>
      </w:r>
    </w:p>
    <w:p w14:paraId="5D9CDD99">
      <w:pPr>
        <w:spacing w:after="0" w:line="600" w:lineRule="atLeast"/>
        <w:ind w:firstLine="640" w:firstLineChars="200"/>
        <w:rPr>
          <w:rFonts w:ascii="仿宋" w:hAnsi="仿宋" w:eastAsia="仿宋" w:cs="宋体"/>
          <w:sz w:val="32"/>
          <w:szCs w:val="32"/>
        </w:rPr>
      </w:pPr>
      <w:r>
        <w:rPr>
          <w:rFonts w:hint="eastAsia" w:ascii="仿宋" w:hAnsi="仿宋" w:eastAsia="仿宋" w:cs="宋体"/>
          <w:sz w:val="32"/>
          <w:szCs w:val="32"/>
        </w:rPr>
        <w:t>8、工作成效比较好，得5分，部门预算绩效管理考核评价优秀。</w:t>
      </w:r>
    </w:p>
    <w:p w14:paraId="473CCC24">
      <w:pPr>
        <w:spacing w:after="0" w:line="600" w:lineRule="atLeast"/>
        <w:ind w:firstLine="640" w:firstLineChars="200"/>
        <w:rPr>
          <w:rFonts w:ascii="仿宋" w:hAnsi="仿宋" w:eastAsia="仿宋" w:cs="宋体"/>
          <w:sz w:val="32"/>
          <w:szCs w:val="32"/>
        </w:rPr>
      </w:pPr>
      <w:r>
        <w:rPr>
          <w:rFonts w:hint="eastAsia" w:ascii="仿宋" w:hAnsi="仿宋" w:eastAsia="仿宋" w:cs="宋体"/>
          <w:sz w:val="32"/>
          <w:szCs w:val="32"/>
        </w:rPr>
        <w:t>9、评价结果应用比较好，得2分。</w:t>
      </w:r>
    </w:p>
    <w:p w14:paraId="3A4AC0B4">
      <w:pPr>
        <w:spacing w:after="0" w:line="600" w:lineRule="atLeast"/>
        <w:ind w:firstLine="640" w:firstLineChars="200"/>
        <w:rPr>
          <w:rFonts w:ascii="仿宋" w:hAnsi="仿宋" w:eastAsia="仿宋" w:cs="宋体"/>
          <w:sz w:val="32"/>
          <w:szCs w:val="32"/>
        </w:rPr>
      </w:pPr>
      <w:r>
        <w:rPr>
          <w:rFonts w:hint="eastAsia" w:ascii="仿宋" w:hAnsi="仿宋" w:eastAsia="仿宋" w:cs="宋体"/>
          <w:sz w:val="32"/>
          <w:szCs w:val="32"/>
        </w:rPr>
        <w:t>10、结果应用创新符合要求得1分。</w:t>
      </w:r>
    </w:p>
    <w:p w14:paraId="38369C51">
      <w:pPr>
        <w:spacing w:after="0" w:line="600" w:lineRule="atLeast"/>
        <w:ind w:firstLine="640" w:firstLineChars="200"/>
        <w:rPr>
          <w:rFonts w:ascii="仿宋" w:hAnsi="仿宋" w:eastAsia="仿宋" w:cs="仿宋"/>
          <w:sz w:val="32"/>
          <w:szCs w:val="32"/>
        </w:rPr>
      </w:pPr>
      <w:r>
        <w:rPr>
          <w:rFonts w:hint="eastAsia" w:ascii="仿宋" w:hAnsi="仿宋" w:eastAsia="仿宋" w:cs="宋体"/>
          <w:sz w:val="32"/>
          <w:szCs w:val="32"/>
        </w:rPr>
        <w:t>11、社会效益较好，得5分，社会公众满意度为优秀。</w:t>
      </w:r>
    </w:p>
    <w:p w14:paraId="0A93C10E">
      <w:pPr>
        <w:pStyle w:val="5"/>
        <w:bidi w:val="0"/>
        <w:rPr>
          <w:rFonts w:hint="eastAsia"/>
        </w:rPr>
      </w:pPr>
      <w:r>
        <w:rPr>
          <w:rFonts w:hint="eastAsia"/>
        </w:rPr>
        <w:t>三、部门整体支出绩效评价分析</w:t>
      </w:r>
    </w:p>
    <w:p w14:paraId="391EA21A">
      <w:pPr>
        <w:spacing w:after="0" w:line="600" w:lineRule="atLeast"/>
        <w:ind w:firstLine="640" w:firstLineChars="200"/>
        <w:rPr>
          <w:rFonts w:hint="eastAsia" w:ascii="仿宋" w:hAnsi="仿宋" w:eastAsia="仿宋" w:cs="仿宋"/>
          <w:sz w:val="32"/>
          <w:szCs w:val="32"/>
        </w:rPr>
      </w:pPr>
      <w:r>
        <w:rPr>
          <w:rFonts w:hint="eastAsia" w:ascii="仿宋" w:hAnsi="仿宋" w:eastAsia="仿宋" w:cs="仿宋"/>
          <w:sz w:val="32"/>
          <w:szCs w:val="32"/>
        </w:rPr>
        <w:t>（一）投入情况分析</w:t>
      </w:r>
    </w:p>
    <w:p w14:paraId="7F29C5FD">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目标：统筹推进建立覆盖全县城乡的多层次医疗保障体系；贯彻实施城乡居民医保、城镇职工医疗、大病互助、医疗救助等医疗政策标准，贯彻实施医疗保险市级统筹办法；资金支出约</w:t>
      </w:r>
      <w:r>
        <w:rPr>
          <w:rFonts w:hint="eastAsia" w:ascii="仿宋" w:hAnsi="仿宋" w:eastAsia="仿宋" w:cs="仿宋"/>
          <w:sz w:val="32"/>
          <w:szCs w:val="32"/>
          <w:lang w:val="en-US" w:eastAsia="zh-CN"/>
        </w:rPr>
        <w:t>35322</w:t>
      </w:r>
      <w:r>
        <w:rPr>
          <w:rFonts w:hint="eastAsia" w:ascii="仿宋" w:hAnsi="仿宋" w:eastAsia="仿宋" w:cs="仿宋"/>
          <w:sz w:val="32"/>
          <w:szCs w:val="32"/>
        </w:rPr>
        <w:t xml:space="preserve">万元，确保医疗保险、医疗救助等按时足额补偿。基金运行安全有序，加强日常监管分析，确保基金安全。 </w:t>
      </w:r>
    </w:p>
    <w:p w14:paraId="6CDA81E6">
      <w:pPr>
        <w:spacing w:after="0" w:line="600" w:lineRule="atLeast"/>
        <w:rPr>
          <w:rFonts w:ascii="仿宋" w:hAnsi="仿宋" w:eastAsia="仿宋" w:cs="仿宋"/>
          <w:sz w:val="32"/>
          <w:szCs w:val="32"/>
        </w:rPr>
      </w:pPr>
      <w:r>
        <w:rPr>
          <w:rFonts w:hint="eastAsia" w:ascii="仿宋" w:hAnsi="仿宋" w:eastAsia="仿宋" w:cs="仿宋"/>
          <w:sz w:val="32"/>
          <w:szCs w:val="32"/>
        </w:rPr>
        <w:t>以强化管理、优化服务为手段，以保障广大参保人员的医疗待遇，维护社会稳定为基础，促进我县各项事业的全面、协调、加快发展、加强基金监管，促进医疗保险健康持续发展。</w:t>
      </w:r>
    </w:p>
    <w:p w14:paraId="791EEB56">
      <w:pPr>
        <w:spacing w:after="0" w:line="600" w:lineRule="atLeast"/>
        <w:ind w:firstLine="640" w:firstLineChars="200"/>
        <w:rPr>
          <w:rFonts w:hint="eastAsia" w:ascii="仿宋" w:hAnsi="仿宋" w:eastAsia="仿宋" w:cs="仿宋"/>
          <w:sz w:val="32"/>
          <w:szCs w:val="32"/>
        </w:rPr>
      </w:pPr>
      <w:r>
        <w:rPr>
          <w:rFonts w:hint="eastAsia" w:ascii="仿宋" w:hAnsi="仿宋" w:eastAsia="仿宋" w:cs="仿宋"/>
          <w:sz w:val="32"/>
          <w:szCs w:val="32"/>
        </w:rPr>
        <w:t>（二）执行管理情况分析</w:t>
      </w:r>
    </w:p>
    <w:p w14:paraId="241CC332">
      <w:pPr>
        <w:spacing w:after="0" w:line="600" w:lineRule="atLeast"/>
        <w:ind w:firstLine="640" w:firstLineChars="200"/>
        <w:rPr>
          <w:rFonts w:ascii="仿宋" w:hAnsi="仿宋" w:eastAsia="仿宋" w:cs="仿宋"/>
          <w:sz w:val="32"/>
          <w:szCs w:val="32"/>
        </w:rPr>
      </w:pPr>
      <w:r>
        <w:rPr>
          <w:rFonts w:ascii="仿宋" w:hAnsi="仿宋" w:eastAsia="仿宋" w:cs="仿宋"/>
          <w:sz w:val="32"/>
          <w:szCs w:val="32"/>
        </w:rPr>
        <w:t>本部门总</w:t>
      </w:r>
      <w:r>
        <w:rPr>
          <w:rFonts w:hint="eastAsia" w:ascii="仿宋" w:hAnsi="仿宋" w:eastAsia="仿宋" w:cs="仿宋"/>
          <w:sz w:val="32"/>
          <w:szCs w:val="32"/>
          <w:lang w:val="en-US" w:eastAsia="zh-CN"/>
        </w:rPr>
        <w:t>4</w:t>
      </w:r>
      <w:r>
        <w:rPr>
          <w:rFonts w:hint="eastAsia" w:ascii="仿宋" w:hAnsi="仿宋" w:eastAsia="仿宋" w:cs="仿宋"/>
          <w:sz w:val="32"/>
          <w:szCs w:val="32"/>
        </w:rPr>
        <w:t>个项目，都已顺利完成，完成情况如下：</w:t>
      </w:r>
    </w:p>
    <w:p w14:paraId="285B55F9">
      <w:pPr>
        <w:spacing w:after="0" w:line="600" w:lineRule="atLeas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rPr>
        <w:t>、城乡医疗救助资金，支出</w:t>
      </w:r>
      <w:r>
        <w:rPr>
          <w:rFonts w:hint="eastAsia" w:ascii="仿宋" w:hAnsi="仿宋" w:eastAsia="仿宋" w:cs="仿宋"/>
          <w:sz w:val="32"/>
          <w:szCs w:val="32"/>
          <w:lang w:val="en-US" w:eastAsia="zh-CN"/>
        </w:rPr>
        <w:t>1008.31</w:t>
      </w:r>
      <w:r>
        <w:rPr>
          <w:rFonts w:hint="eastAsia" w:ascii="仿宋" w:hAnsi="仿宋" w:eastAsia="仿宋" w:cs="仿宋"/>
          <w:sz w:val="32"/>
          <w:szCs w:val="32"/>
        </w:rPr>
        <w:t>万元，</w:t>
      </w:r>
    </w:p>
    <w:p w14:paraId="34CD6F21">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、特殊人群体检和离休老干部医疗费，支出</w:t>
      </w:r>
      <w:r>
        <w:rPr>
          <w:rFonts w:hint="eastAsia" w:ascii="仿宋" w:hAnsi="仿宋" w:eastAsia="仿宋" w:cs="仿宋"/>
          <w:sz w:val="32"/>
          <w:szCs w:val="32"/>
          <w:lang w:val="en-US" w:eastAsia="zh-CN"/>
        </w:rPr>
        <w:t>106.82</w:t>
      </w:r>
      <w:r>
        <w:rPr>
          <w:rFonts w:hint="eastAsia" w:ascii="仿宋" w:hAnsi="仿宋" w:eastAsia="仿宋" w:cs="仿宋"/>
          <w:sz w:val="32"/>
          <w:szCs w:val="32"/>
        </w:rPr>
        <w:t>万元</w:t>
      </w:r>
    </w:p>
    <w:p w14:paraId="21D27678">
      <w:pPr>
        <w:spacing w:after="0" w:line="600" w:lineRule="atLeas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、特殊病种专家评审费，支出</w:t>
      </w:r>
      <w:r>
        <w:rPr>
          <w:rFonts w:hint="eastAsia" w:ascii="仿宋" w:hAnsi="仿宋" w:eastAsia="仿宋" w:cs="仿宋"/>
          <w:sz w:val="32"/>
          <w:szCs w:val="32"/>
          <w:lang w:val="en-US" w:eastAsia="zh-CN"/>
        </w:rPr>
        <w:t>2.21</w:t>
      </w:r>
      <w:r>
        <w:rPr>
          <w:rFonts w:hint="eastAsia" w:ascii="仿宋" w:hAnsi="仿宋" w:eastAsia="仿宋" w:cs="仿宋"/>
          <w:sz w:val="32"/>
          <w:szCs w:val="32"/>
        </w:rPr>
        <w:t>万元。</w:t>
      </w:r>
    </w:p>
    <w:p w14:paraId="69C37FEE">
      <w:pPr>
        <w:pStyle w:val="2"/>
        <w:rPr>
          <w:rFonts w:hint="default" w:eastAsia="仿宋"/>
          <w:lang w:val="en-US" w:eastAsia="zh-CN"/>
        </w:rPr>
      </w:pPr>
      <w:r>
        <w:rPr>
          <w:rFonts w:hint="eastAsia" w:ascii="仿宋" w:hAnsi="仿宋" w:eastAsia="仿宋" w:cs="仿宋"/>
          <w:sz w:val="32"/>
          <w:szCs w:val="32"/>
          <w:lang w:val="en-US" w:eastAsia="zh-CN"/>
        </w:rPr>
        <w:t>4、城乡居民医保筹资工作，支出15万元。</w:t>
      </w:r>
    </w:p>
    <w:p w14:paraId="76B6D316">
      <w:pPr>
        <w:spacing w:after="0" w:line="600" w:lineRule="atLeast"/>
        <w:ind w:firstLine="640" w:firstLineChars="200"/>
        <w:rPr>
          <w:rFonts w:hint="eastAsia" w:ascii="仿宋" w:hAnsi="仿宋" w:eastAsia="仿宋" w:cs="仿宋"/>
          <w:sz w:val="32"/>
          <w:szCs w:val="32"/>
        </w:rPr>
      </w:pPr>
      <w:r>
        <w:rPr>
          <w:rFonts w:hint="eastAsia" w:ascii="仿宋" w:hAnsi="仿宋" w:eastAsia="仿宋" w:cs="仿宋"/>
          <w:sz w:val="32"/>
          <w:szCs w:val="32"/>
        </w:rPr>
        <w:t>（三）支出绩效情况分析</w:t>
      </w:r>
    </w:p>
    <w:p w14:paraId="44F0D812">
      <w:pPr>
        <w:pStyle w:val="2"/>
        <w:spacing w:line="600" w:lineRule="atLeast"/>
        <w:ind w:left="440" w:firstLine="640" w:firstLineChars="200"/>
        <w:rPr>
          <w:rFonts w:hint="eastAsia" w:ascii="仿宋" w:hAnsi="仿宋" w:eastAsia="仿宋"/>
          <w:sz w:val="32"/>
          <w:szCs w:val="32"/>
        </w:rPr>
      </w:pPr>
      <w:r>
        <w:rPr>
          <w:rFonts w:hint="eastAsia" w:ascii="仿宋" w:hAnsi="仿宋" w:eastAsia="仿宋"/>
          <w:sz w:val="32"/>
          <w:szCs w:val="32"/>
        </w:rPr>
        <w:t>我单位支出绩效情况良好，基本支出保障了机关的正常运行党务工作的高质量开展，单位职工的待遇得到有效保障。项目支出提升了医疗保障水平：</w:t>
      </w:r>
    </w:p>
    <w:p w14:paraId="7567AF2D">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、城乡医疗救助资金，有效解决了困难群众因病返贫、因病致贫的情况</w:t>
      </w:r>
    </w:p>
    <w:p w14:paraId="3A6FECE6">
      <w:pPr>
        <w:spacing w:after="0" w:line="600" w:lineRule="atLeas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、特殊人群体检和离休老干部医疗费，有效保障了特殊人群的健康体检工作，解决了离休老干部医疗费支出困难。</w:t>
      </w:r>
    </w:p>
    <w:p w14:paraId="25B2A626">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、特殊病种专家评审费，解决了特殊病种评审工作经费。</w:t>
      </w:r>
    </w:p>
    <w:p w14:paraId="10794D8C">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bookmarkStart w:id="0" w:name="_GoBack"/>
      <w:bookmarkEnd w:id="0"/>
      <w:r>
        <w:rPr>
          <w:rFonts w:hint="eastAsia" w:ascii="仿宋" w:hAnsi="仿宋" w:eastAsia="仿宋" w:cs="仿宋"/>
          <w:sz w:val="32"/>
          <w:szCs w:val="32"/>
        </w:rPr>
        <w:t>、</w:t>
      </w:r>
      <w:r>
        <w:rPr>
          <w:rFonts w:hint="eastAsia" w:ascii="仿宋" w:hAnsi="仿宋" w:eastAsia="仿宋" w:cs="仿宋"/>
          <w:sz w:val="32"/>
          <w:szCs w:val="32"/>
          <w:lang w:val="en-US" w:eastAsia="zh-CN"/>
        </w:rPr>
        <w:t>城乡居民医保筹资工作经费</w:t>
      </w:r>
      <w:r>
        <w:rPr>
          <w:rFonts w:hint="eastAsia" w:ascii="仿宋" w:hAnsi="仿宋" w:eastAsia="仿宋" w:cs="仿宋"/>
          <w:sz w:val="32"/>
          <w:szCs w:val="32"/>
        </w:rPr>
        <w:t>，</w:t>
      </w:r>
      <w:r>
        <w:rPr>
          <w:rFonts w:hint="eastAsia" w:ascii="仿宋" w:hAnsi="仿宋" w:eastAsia="仿宋" w:cs="仿宋"/>
          <w:sz w:val="32"/>
          <w:szCs w:val="32"/>
          <w:lang w:val="en-US" w:eastAsia="zh-CN"/>
        </w:rPr>
        <w:t>保障了城乡居民参保筹资工作的运转</w:t>
      </w:r>
      <w:r>
        <w:rPr>
          <w:rFonts w:hint="eastAsia" w:ascii="仿宋" w:hAnsi="仿宋" w:eastAsia="仿宋" w:cs="仿宋"/>
          <w:sz w:val="32"/>
          <w:szCs w:val="32"/>
        </w:rPr>
        <w:t>。</w:t>
      </w:r>
    </w:p>
    <w:p w14:paraId="0ED743CE">
      <w:pPr>
        <w:pStyle w:val="5"/>
        <w:bidi w:val="0"/>
        <w:rPr>
          <w:rFonts w:hint="eastAsia"/>
        </w:rPr>
      </w:pPr>
      <w:r>
        <w:rPr>
          <w:rFonts w:hint="eastAsia"/>
        </w:rPr>
        <w:t>四、存在的问题</w:t>
      </w:r>
    </w:p>
    <w:p w14:paraId="2B66EC08">
      <w:pPr>
        <w:ind w:firstLine="640" w:firstLineChars="200"/>
        <w:rPr>
          <w:rFonts w:hint="eastAsia"/>
        </w:rPr>
      </w:pPr>
      <w:r>
        <w:rPr>
          <w:rFonts w:hint="eastAsia" w:ascii="仿宋" w:hAnsi="仿宋" w:eastAsia="仿宋" w:cs="黑体"/>
          <w:bCs/>
          <w:sz w:val="32"/>
          <w:szCs w:val="32"/>
        </w:rPr>
        <w:t>1、预算编制</w:t>
      </w:r>
      <w:r>
        <w:rPr>
          <w:rFonts w:hint="eastAsia" w:ascii="仿宋" w:hAnsi="仿宋" w:eastAsia="仿宋" w:cs="黑体"/>
          <w:bCs/>
          <w:sz w:val="32"/>
          <w:szCs w:val="32"/>
          <w:lang w:val="en-US" w:eastAsia="zh-CN"/>
        </w:rPr>
        <w:t>精细化</w:t>
      </w:r>
      <w:r>
        <w:rPr>
          <w:rFonts w:hint="eastAsia" w:ascii="仿宋" w:hAnsi="仿宋" w:eastAsia="仿宋" w:cs="黑体"/>
          <w:bCs/>
          <w:sz w:val="32"/>
          <w:szCs w:val="32"/>
        </w:rPr>
        <w:t>有待加强。</w:t>
      </w:r>
    </w:p>
    <w:p w14:paraId="4F3DD646">
      <w:pPr>
        <w:pStyle w:val="5"/>
        <w:bidi w:val="0"/>
        <w:rPr>
          <w:rFonts w:hint="eastAsia"/>
        </w:rPr>
      </w:pPr>
      <w:r>
        <w:rPr>
          <w:rFonts w:hint="eastAsia"/>
        </w:rPr>
        <w:t>五、整改措施或建议</w:t>
      </w:r>
    </w:p>
    <w:p w14:paraId="06446D52">
      <w:pPr>
        <w:spacing w:after="0" w:line="600" w:lineRule="atLeast"/>
        <w:ind w:firstLine="640" w:firstLineChars="200"/>
        <w:rPr>
          <w:rFonts w:ascii="仿宋" w:hAnsi="仿宋" w:eastAsia="仿宋" w:cs="黑体"/>
          <w:bCs/>
          <w:sz w:val="32"/>
          <w:szCs w:val="32"/>
        </w:rPr>
      </w:pPr>
      <w:r>
        <w:rPr>
          <w:rFonts w:hint="eastAsia" w:ascii="仿宋" w:hAnsi="仿宋" w:eastAsia="仿宋" w:cs="黑体"/>
          <w:bCs/>
          <w:sz w:val="32"/>
          <w:szCs w:val="32"/>
        </w:rPr>
        <w:t>1、提高预算编制工作，认真做好预算的编制。进一步加强预算编制目标管理创新，严格按照预算编制的相关制度和要求进行预算编制；全面编制预算项目，尽量压缩变动性的、有控制空间的费用项目，进一步提高预算的科学性、严谨性和可控性。</w:t>
      </w:r>
    </w:p>
    <w:p w14:paraId="2F582066">
      <w:pPr>
        <w:spacing w:after="0" w:line="600" w:lineRule="atLeast"/>
        <w:ind w:firstLine="640" w:firstLineChars="200"/>
        <w:rPr>
          <w:rFonts w:ascii="仿宋" w:hAnsi="仿宋" w:eastAsia="仿宋" w:cs="黑体"/>
          <w:bCs/>
          <w:sz w:val="32"/>
          <w:szCs w:val="32"/>
        </w:rPr>
      </w:pPr>
      <w:r>
        <w:rPr>
          <w:rFonts w:hint="eastAsia" w:ascii="仿宋" w:hAnsi="仿宋" w:eastAsia="仿宋" w:cs="黑体"/>
          <w:bCs/>
          <w:sz w:val="32"/>
          <w:szCs w:val="32"/>
        </w:rPr>
        <w:t>2、对相关人员加强培训，特别是针对《预算法》、《行政事业单位会计制度》等学习培训，规范部门预算收支核算，切实提高部门预算收支管理水平。</w:t>
      </w:r>
    </w:p>
    <w:p w14:paraId="7C5F4224">
      <w:pPr>
        <w:pStyle w:val="5"/>
        <w:bidi w:val="0"/>
        <w:rPr>
          <w:rFonts w:hint="eastAsia"/>
        </w:rPr>
        <w:sectPr>
          <w:footerReference r:id="rId4" w:type="default"/>
          <w:pgSz w:w="11906" w:h="16838"/>
          <w:pgMar w:top="1440" w:right="1800" w:bottom="1440" w:left="1800" w:header="708" w:footer="709" w:gutter="0"/>
          <w:pgNumType w:fmt="decimal"/>
          <w:cols w:space="0" w:num="1"/>
          <w:docGrid w:linePitch="360" w:charSpace="0"/>
        </w:sectPr>
      </w:pPr>
      <w:r>
        <w:rPr>
          <w:rFonts w:hint="eastAsia"/>
        </w:rPr>
        <w:t>六、其他需要说明的问题</w:t>
      </w:r>
    </w:p>
    <w:p w14:paraId="6483BBC4">
      <w:pPr>
        <w:spacing w:line="400" w:lineRule="exact"/>
        <w:rPr>
          <w:rFonts w:ascii="黑体" w:hAnsi="仿宋_GB2312" w:eastAsia="黑体" w:cs="仿宋_GB2312"/>
          <w:sz w:val="32"/>
          <w:szCs w:val="32"/>
        </w:rPr>
      </w:pPr>
      <w:r>
        <w:rPr>
          <w:rFonts w:hint="eastAsia" w:ascii="黑体" w:hAnsi="仿宋_GB2312" w:eastAsia="黑体" w:cs="仿宋_GB2312"/>
          <w:sz w:val="28"/>
          <w:szCs w:val="28"/>
        </w:rPr>
        <w:t>附件</w:t>
      </w:r>
      <w:r>
        <w:rPr>
          <w:rFonts w:ascii="黑体" w:hAnsi="仿宋_GB2312" w:eastAsia="黑体" w:cs="仿宋_GB2312"/>
          <w:sz w:val="28"/>
          <w:szCs w:val="28"/>
        </w:rPr>
        <w:t>2</w:t>
      </w:r>
      <w:r>
        <w:rPr>
          <w:rFonts w:hint="eastAsia" w:ascii="黑体" w:hAnsi="仿宋_GB2312" w:eastAsia="黑体" w:cs="仿宋_GB2312"/>
          <w:sz w:val="32"/>
          <w:szCs w:val="32"/>
        </w:rPr>
        <w:t>：</w:t>
      </w:r>
    </w:p>
    <w:p w14:paraId="5919B161">
      <w:pPr>
        <w:spacing w:after="0" w:line="700" w:lineRule="atLeas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color w:val="000000"/>
          <w:sz w:val="44"/>
          <w:szCs w:val="44"/>
        </w:rPr>
        <w:t>部门整体支出绩效评价指标体系评分表</w:t>
      </w:r>
    </w:p>
    <w:tbl>
      <w:tblPr>
        <w:tblStyle w:val="9"/>
        <w:tblW w:w="1414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3"/>
        <w:gridCol w:w="803"/>
        <w:gridCol w:w="1182"/>
        <w:gridCol w:w="6911"/>
        <w:gridCol w:w="3423"/>
        <w:gridCol w:w="1090"/>
      </w:tblGrid>
      <w:tr w14:paraId="646FF0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atLeast"/>
          <w:tblHeader/>
          <w:jc w:val="center"/>
        </w:trPr>
        <w:tc>
          <w:tcPr>
            <w:tcW w:w="733" w:type="dxa"/>
            <w:vMerge w:val="restart"/>
            <w:tcBorders>
              <w:top w:val="single" w:color="000000" w:sz="4" w:space="0"/>
              <w:left w:val="single" w:color="000000" w:sz="4" w:space="0"/>
              <w:bottom w:val="single" w:color="000000" w:sz="4" w:space="0"/>
              <w:right w:val="single" w:color="000000" w:sz="4" w:space="0"/>
            </w:tcBorders>
            <w:vAlign w:val="center"/>
          </w:tcPr>
          <w:p w14:paraId="4E3D3679">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r>
              <w:rPr>
                <w:rFonts w:hint="eastAsia" w:ascii="宋体" w:hAnsi="宋体" w:eastAsia="宋体" w:cs="宋体"/>
                <w:b/>
                <w:bCs/>
              </w:rPr>
              <w:t>一级指标</w:t>
            </w:r>
          </w:p>
        </w:tc>
        <w:tc>
          <w:tcPr>
            <w:tcW w:w="803" w:type="dxa"/>
            <w:vMerge w:val="restart"/>
            <w:tcBorders>
              <w:top w:val="single" w:color="000000" w:sz="4" w:space="0"/>
              <w:left w:val="single" w:color="000000" w:sz="4" w:space="0"/>
              <w:bottom w:val="single" w:color="000000" w:sz="4" w:space="0"/>
              <w:right w:val="single" w:color="000000" w:sz="4" w:space="0"/>
            </w:tcBorders>
            <w:vAlign w:val="center"/>
          </w:tcPr>
          <w:p w14:paraId="52FB42FD">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r>
              <w:rPr>
                <w:rFonts w:hint="eastAsia" w:ascii="宋体" w:hAnsi="宋体" w:eastAsia="宋体" w:cs="宋体"/>
                <w:b/>
                <w:bCs/>
              </w:rPr>
              <w:t>二级指标</w:t>
            </w:r>
          </w:p>
        </w:tc>
        <w:tc>
          <w:tcPr>
            <w:tcW w:w="8093" w:type="dxa"/>
            <w:gridSpan w:val="2"/>
            <w:tcBorders>
              <w:top w:val="single" w:color="000000" w:sz="4" w:space="0"/>
              <w:left w:val="single" w:color="000000" w:sz="4" w:space="0"/>
              <w:bottom w:val="single" w:color="000000" w:sz="4" w:space="0"/>
              <w:right w:val="single" w:color="auto" w:sz="4" w:space="0"/>
            </w:tcBorders>
            <w:vAlign w:val="center"/>
          </w:tcPr>
          <w:p w14:paraId="3D57E506">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r>
              <w:rPr>
                <w:rFonts w:hint="eastAsia" w:ascii="宋体" w:hAnsi="宋体" w:eastAsia="宋体" w:cs="宋体"/>
                <w:b/>
                <w:bCs/>
              </w:rPr>
              <w:t>三级指标</w:t>
            </w:r>
          </w:p>
        </w:tc>
        <w:tc>
          <w:tcPr>
            <w:tcW w:w="3423" w:type="dxa"/>
            <w:vMerge w:val="restart"/>
            <w:tcBorders>
              <w:top w:val="single" w:color="000000" w:sz="4" w:space="0"/>
              <w:left w:val="single" w:color="auto" w:sz="4" w:space="0"/>
              <w:bottom w:val="single" w:color="000000" w:sz="4" w:space="0"/>
              <w:right w:val="single" w:color="auto" w:sz="4" w:space="0"/>
            </w:tcBorders>
            <w:vAlign w:val="center"/>
          </w:tcPr>
          <w:p w14:paraId="330D2486">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r>
              <w:rPr>
                <w:rFonts w:hint="eastAsia" w:ascii="宋体" w:hAnsi="宋体" w:eastAsia="宋体" w:cs="宋体"/>
                <w:b/>
                <w:bCs/>
              </w:rPr>
              <w:t>评分标准</w:t>
            </w:r>
          </w:p>
        </w:tc>
        <w:tc>
          <w:tcPr>
            <w:tcW w:w="1090" w:type="dxa"/>
            <w:vMerge w:val="restart"/>
            <w:tcBorders>
              <w:top w:val="single" w:color="000000" w:sz="4" w:space="0"/>
              <w:left w:val="single" w:color="auto" w:sz="4" w:space="0"/>
              <w:bottom w:val="single" w:color="000000" w:sz="4" w:space="0"/>
              <w:right w:val="single" w:color="auto" w:sz="4" w:space="0"/>
            </w:tcBorders>
            <w:vAlign w:val="center"/>
          </w:tcPr>
          <w:p w14:paraId="0E23931A">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r>
              <w:rPr>
                <w:rFonts w:hint="eastAsia" w:ascii="宋体" w:hAnsi="宋体" w:eastAsia="宋体" w:cs="宋体"/>
                <w:b/>
                <w:bCs/>
              </w:rPr>
              <w:t>得分</w:t>
            </w:r>
          </w:p>
        </w:tc>
      </w:tr>
      <w:tr w14:paraId="1D3CB3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tblHeader/>
          <w:jc w:val="center"/>
        </w:trPr>
        <w:tc>
          <w:tcPr>
            <w:tcW w:w="733" w:type="dxa"/>
            <w:vMerge w:val="continue"/>
            <w:tcBorders>
              <w:top w:val="single" w:color="000000" w:sz="4" w:space="0"/>
              <w:left w:val="single" w:color="000000" w:sz="4" w:space="0"/>
              <w:bottom w:val="single" w:color="000000" w:sz="4" w:space="0"/>
              <w:right w:val="single" w:color="000000" w:sz="4" w:space="0"/>
            </w:tcBorders>
            <w:vAlign w:val="center"/>
          </w:tcPr>
          <w:p w14:paraId="5CB57E47">
            <w:pPr>
              <w:keepNext w:val="0"/>
              <w:keepLines w:val="0"/>
              <w:widowControl/>
              <w:suppressLineNumbers w:val="0"/>
              <w:spacing w:before="0" w:beforeAutospacing="0" w:after="0" w:afterAutospacing="0"/>
              <w:ind w:left="0" w:right="0"/>
              <w:rPr>
                <w:rFonts w:hint="default"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1C3FF14B">
            <w:pPr>
              <w:keepNext w:val="0"/>
              <w:keepLines w:val="0"/>
              <w:widowControl/>
              <w:suppressLineNumbers w:val="0"/>
              <w:spacing w:before="0" w:beforeAutospacing="0" w:after="0" w:afterAutospacing="0"/>
              <w:ind w:left="0" w:right="0"/>
              <w:rPr>
                <w:rFonts w:hint="default"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7D015000">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r>
              <w:rPr>
                <w:rFonts w:hint="eastAsia" w:ascii="宋体" w:hAnsi="宋体" w:eastAsia="宋体" w:cs="宋体"/>
                <w:b/>
                <w:bCs/>
              </w:rPr>
              <w:t>指标名称</w:t>
            </w:r>
          </w:p>
        </w:tc>
        <w:tc>
          <w:tcPr>
            <w:tcW w:w="6911" w:type="dxa"/>
            <w:tcBorders>
              <w:top w:val="single" w:color="000000" w:sz="4" w:space="0"/>
              <w:left w:val="single" w:color="auto" w:sz="4" w:space="0"/>
              <w:bottom w:val="single" w:color="000000" w:sz="4" w:space="0"/>
              <w:right w:val="single" w:color="auto" w:sz="4" w:space="0"/>
            </w:tcBorders>
            <w:vAlign w:val="center"/>
          </w:tcPr>
          <w:p w14:paraId="1889D344">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r>
              <w:rPr>
                <w:rFonts w:hint="eastAsia" w:ascii="宋体" w:hAnsi="宋体" w:eastAsia="宋体" w:cs="宋体"/>
                <w:b/>
                <w:bCs/>
              </w:rPr>
              <w:t>指标解释说明</w:t>
            </w:r>
          </w:p>
        </w:tc>
        <w:tc>
          <w:tcPr>
            <w:tcW w:w="3423" w:type="dxa"/>
            <w:vMerge w:val="continue"/>
            <w:tcBorders>
              <w:top w:val="single" w:color="000000" w:sz="4" w:space="0"/>
              <w:left w:val="single" w:color="auto" w:sz="4" w:space="0"/>
              <w:bottom w:val="single" w:color="000000" w:sz="4" w:space="0"/>
              <w:right w:val="single" w:color="auto" w:sz="4" w:space="0"/>
            </w:tcBorders>
            <w:vAlign w:val="center"/>
          </w:tcPr>
          <w:p w14:paraId="3FD07A64">
            <w:pPr>
              <w:keepNext w:val="0"/>
              <w:keepLines w:val="0"/>
              <w:widowControl/>
              <w:suppressLineNumbers w:val="0"/>
              <w:spacing w:before="0" w:beforeAutospacing="0" w:after="0" w:afterAutospacing="0"/>
              <w:ind w:left="0" w:right="0"/>
              <w:rPr>
                <w:rFonts w:hint="default" w:ascii="宋体" w:hAnsi="宋体" w:eastAsia="宋体" w:cs="宋体"/>
              </w:rPr>
            </w:pPr>
          </w:p>
        </w:tc>
        <w:tc>
          <w:tcPr>
            <w:tcW w:w="1090" w:type="dxa"/>
            <w:vMerge w:val="continue"/>
            <w:tcBorders>
              <w:top w:val="single" w:color="000000" w:sz="4" w:space="0"/>
              <w:left w:val="single" w:color="auto" w:sz="4" w:space="0"/>
              <w:bottom w:val="single" w:color="000000" w:sz="4" w:space="0"/>
              <w:right w:val="single" w:color="auto" w:sz="4" w:space="0"/>
            </w:tcBorders>
            <w:vAlign w:val="center"/>
          </w:tcPr>
          <w:p w14:paraId="2CEB3094">
            <w:pPr>
              <w:keepNext w:val="0"/>
              <w:keepLines w:val="0"/>
              <w:widowControl/>
              <w:suppressLineNumbers w:val="0"/>
              <w:spacing w:before="0" w:beforeAutospacing="0" w:after="0" w:afterAutospacing="0"/>
              <w:ind w:left="0" w:right="0"/>
              <w:rPr>
                <w:rFonts w:hint="default" w:ascii="宋体" w:hAnsi="宋体" w:eastAsia="宋体" w:cs="宋体"/>
              </w:rPr>
            </w:pPr>
          </w:p>
        </w:tc>
      </w:tr>
      <w:tr w14:paraId="52612B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0" w:hRule="atLeast"/>
          <w:jc w:val="center"/>
        </w:trPr>
        <w:tc>
          <w:tcPr>
            <w:tcW w:w="733" w:type="dxa"/>
            <w:vMerge w:val="restart"/>
            <w:tcBorders>
              <w:top w:val="single" w:color="000000" w:sz="4" w:space="0"/>
              <w:left w:val="single" w:color="000000" w:sz="4" w:space="0"/>
              <w:right w:val="single" w:color="000000" w:sz="4" w:space="0"/>
            </w:tcBorders>
          </w:tcPr>
          <w:p w14:paraId="5A236307">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2C30D7D7">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6AD058F3">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43B70344">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073C751F">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28498D58">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53039498">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504CBE8C">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6B16DF16">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414EC668">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03C39B18">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投入（15分）</w:t>
            </w:r>
          </w:p>
          <w:p w14:paraId="4C19D8A1">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7A84DF17">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2886259D">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026453E8">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4F8725D0">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029E06EC">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651DB2A2">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78B3EE1F">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1535E4B3">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27F42626">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2E9125FE">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157C407D">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7B596585">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09D9E9BE">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2F4BD367">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4A17F669">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68AA1CA7">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233B5B91">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7B7B661B">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069FF040">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投入（15分）</w:t>
            </w:r>
          </w:p>
        </w:tc>
        <w:tc>
          <w:tcPr>
            <w:tcW w:w="803" w:type="dxa"/>
            <w:vMerge w:val="restart"/>
            <w:tcBorders>
              <w:top w:val="single" w:color="000000" w:sz="4" w:space="0"/>
              <w:left w:val="single" w:color="000000" w:sz="4" w:space="0"/>
              <w:right w:val="single" w:color="000000" w:sz="4" w:space="0"/>
            </w:tcBorders>
          </w:tcPr>
          <w:p w14:paraId="3AC79553">
            <w:pPr>
              <w:keepNext w:val="0"/>
              <w:keepLines w:val="0"/>
              <w:widowControl/>
              <w:suppressLineNumbers w:val="0"/>
              <w:spacing w:before="0" w:beforeAutospacing="0" w:after="0" w:afterAutospacing="0" w:line="240" w:lineRule="exact"/>
              <w:ind w:left="0" w:right="0"/>
              <w:rPr>
                <w:rFonts w:hint="default" w:ascii="宋体" w:hAnsi="宋体" w:eastAsia="宋体" w:cs="宋体"/>
              </w:rPr>
            </w:pPr>
          </w:p>
          <w:p w14:paraId="78F6D9FC">
            <w:pPr>
              <w:keepNext w:val="0"/>
              <w:keepLines w:val="0"/>
              <w:widowControl/>
              <w:suppressLineNumbers w:val="0"/>
              <w:spacing w:before="0" w:beforeAutospacing="0" w:after="0" w:afterAutospacing="0" w:line="240" w:lineRule="exact"/>
              <w:ind w:left="0" w:right="0"/>
              <w:rPr>
                <w:rFonts w:hint="default" w:ascii="宋体" w:hAnsi="宋体" w:eastAsia="宋体" w:cs="宋体"/>
              </w:rPr>
            </w:pPr>
          </w:p>
          <w:p w14:paraId="43C90135">
            <w:pPr>
              <w:keepNext w:val="0"/>
              <w:keepLines w:val="0"/>
              <w:widowControl/>
              <w:suppressLineNumbers w:val="0"/>
              <w:spacing w:before="0" w:beforeAutospacing="0" w:after="0" w:afterAutospacing="0" w:line="240" w:lineRule="exact"/>
              <w:ind w:left="0" w:right="0"/>
              <w:rPr>
                <w:rFonts w:hint="default" w:ascii="宋体" w:hAnsi="宋体" w:eastAsia="宋体" w:cs="宋体"/>
              </w:rPr>
            </w:pPr>
          </w:p>
          <w:p w14:paraId="0D77D71C">
            <w:pPr>
              <w:keepNext w:val="0"/>
              <w:keepLines w:val="0"/>
              <w:widowControl/>
              <w:suppressLineNumbers w:val="0"/>
              <w:spacing w:before="0" w:beforeAutospacing="0" w:after="0" w:afterAutospacing="0" w:line="240" w:lineRule="exact"/>
              <w:ind w:left="0" w:right="0"/>
              <w:rPr>
                <w:rFonts w:hint="default" w:ascii="宋体" w:hAnsi="宋体" w:eastAsia="宋体" w:cs="宋体"/>
              </w:rPr>
            </w:pPr>
          </w:p>
          <w:p w14:paraId="17BCF5C8">
            <w:pPr>
              <w:keepNext w:val="0"/>
              <w:keepLines w:val="0"/>
              <w:widowControl/>
              <w:suppressLineNumbers w:val="0"/>
              <w:spacing w:before="0" w:beforeAutospacing="0" w:after="0" w:afterAutospacing="0" w:line="240" w:lineRule="exact"/>
              <w:ind w:left="0" w:right="0"/>
              <w:rPr>
                <w:rFonts w:hint="default" w:ascii="宋体" w:hAnsi="宋体" w:eastAsia="宋体" w:cs="宋体"/>
              </w:rPr>
            </w:pPr>
          </w:p>
          <w:p w14:paraId="019A22F0">
            <w:pPr>
              <w:keepNext w:val="0"/>
              <w:keepLines w:val="0"/>
              <w:widowControl/>
              <w:suppressLineNumbers w:val="0"/>
              <w:spacing w:before="0" w:beforeAutospacing="0" w:after="0" w:afterAutospacing="0" w:line="240" w:lineRule="exact"/>
              <w:ind w:left="0" w:right="0"/>
              <w:rPr>
                <w:rFonts w:hint="default" w:ascii="宋体" w:hAnsi="宋体" w:eastAsia="宋体" w:cs="宋体"/>
              </w:rPr>
            </w:pPr>
          </w:p>
          <w:p w14:paraId="5D6FE97A">
            <w:pPr>
              <w:keepNext w:val="0"/>
              <w:keepLines w:val="0"/>
              <w:widowControl/>
              <w:suppressLineNumbers w:val="0"/>
              <w:spacing w:before="0" w:beforeAutospacing="0" w:after="0" w:afterAutospacing="0" w:line="240" w:lineRule="exact"/>
              <w:ind w:left="0" w:right="0"/>
              <w:rPr>
                <w:rFonts w:hint="default" w:ascii="宋体" w:hAnsi="宋体" w:eastAsia="宋体" w:cs="宋体"/>
              </w:rPr>
            </w:pPr>
          </w:p>
          <w:p w14:paraId="0375A0D1">
            <w:pPr>
              <w:keepNext w:val="0"/>
              <w:keepLines w:val="0"/>
              <w:widowControl/>
              <w:suppressLineNumbers w:val="0"/>
              <w:spacing w:before="0" w:beforeAutospacing="0" w:after="0" w:afterAutospacing="0" w:line="240" w:lineRule="exact"/>
              <w:ind w:left="0" w:right="0"/>
              <w:rPr>
                <w:rFonts w:hint="default" w:ascii="宋体" w:hAnsi="宋体" w:eastAsia="宋体" w:cs="宋体"/>
              </w:rPr>
            </w:pPr>
          </w:p>
          <w:p w14:paraId="617360F0">
            <w:pPr>
              <w:keepNext w:val="0"/>
              <w:keepLines w:val="0"/>
              <w:widowControl/>
              <w:suppressLineNumbers w:val="0"/>
              <w:spacing w:before="0" w:beforeAutospacing="0" w:after="0" w:afterAutospacing="0" w:line="240" w:lineRule="exact"/>
              <w:ind w:left="0" w:right="0"/>
              <w:rPr>
                <w:rFonts w:hint="default" w:ascii="宋体" w:hAnsi="宋体" w:eastAsia="宋体" w:cs="宋体"/>
              </w:rPr>
            </w:pPr>
          </w:p>
          <w:p w14:paraId="7D16F888">
            <w:pPr>
              <w:keepNext w:val="0"/>
              <w:keepLines w:val="0"/>
              <w:widowControl/>
              <w:suppressLineNumbers w:val="0"/>
              <w:spacing w:before="0" w:beforeAutospacing="0" w:after="0" w:afterAutospacing="0" w:line="240" w:lineRule="exact"/>
              <w:ind w:left="0" w:right="0"/>
              <w:rPr>
                <w:rFonts w:hint="default" w:ascii="宋体" w:hAnsi="宋体" w:eastAsia="宋体" w:cs="宋体"/>
              </w:rPr>
            </w:pPr>
          </w:p>
          <w:p w14:paraId="239704CE">
            <w:pPr>
              <w:keepNext w:val="0"/>
              <w:keepLines w:val="0"/>
              <w:widowControl/>
              <w:suppressLineNumbers w:val="0"/>
              <w:spacing w:before="0" w:beforeAutospacing="0" w:after="0" w:afterAutospacing="0" w:line="240" w:lineRule="exact"/>
              <w:ind w:left="0" w:right="0"/>
              <w:rPr>
                <w:rFonts w:hint="default" w:ascii="宋体" w:hAnsi="宋体" w:eastAsia="宋体" w:cs="宋体"/>
              </w:rPr>
            </w:pPr>
          </w:p>
          <w:p w14:paraId="6D52B0B9">
            <w:pPr>
              <w:keepNext w:val="0"/>
              <w:keepLines w:val="0"/>
              <w:widowControl/>
              <w:suppressLineNumbers w:val="0"/>
              <w:spacing w:before="0" w:beforeAutospacing="0" w:after="0" w:afterAutospacing="0" w:line="240" w:lineRule="exact"/>
              <w:ind w:left="0" w:right="0"/>
              <w:rPr>
                <w:rFonts w:hint="default" w:ascii="宋体" w:hAnsi="宋体" w:eastAsia="宋体" w:cs="宋体"/>
              </w:rPr>
            </w:pPr>
          </w:p>
          <w:p w14:paraId="32D8EB19">
            <w:pPr>
              <w:keepNext w:val="0"/>
              <w:keepLines w:val="0"/>
              <w:widowControl/>
              <w:suppressLineNumbers w:val="0"/>
              <w:spacing w:before="0" w:beforeAutospacing="0" w:after="0" w:afterAutospacing="0" w:line="240" w:lineRule="exact"/>
              <w:ind w:left="0" w:right="0"/>
              <w:rPr>
                <w:rFonts w:hint="default" w:ascii="宋体" w:hAnsi="宋体" w:eastAsia="宋体" w:cs="宋体"/>
              </w:rPr>
            </w:pPr>
          </w:p>
          <w:p w14:paraId="038A576C">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目标设定</w:t>
            </w:r>
          </w:p>
          <w:p w14:paraId="27724C3D">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（5分）</w:t>
            </w:r>
          </w:p>
        </w:tc>
        <w:tc>
          <w:tcPr>
            <w:tcW w:w="1182" w:type="dxa"/>
            <w:tcBorders>
              <w:top w:val="single" w:color="000000" w:sz="4" w:space="0"/>
              <w:left w:val="single" w:color="000000" w:sz="4" w:space="0"/>
              <w:bottom w:val="single" w:color="auto" w:sz="4" w:space="0"/>
              <w:right w:val="single" w:color="auto" w:sz="4" w:space="0"/>
            </w:tcBorders>
          </w:tcPr>
          <w:p w14:paraId="14ACDF90">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职责明确（1分）</w:t>
            </w:r>
          </w:p>
        </w:tc>
        <w:tc>
          <w:tcPr>
            <w:tcW w:w="6911" w:type="dxa"/>
            <w:tcBorders>
              <w:top w:val="single" w:color="000000" w:sz="4" w:space="0"/>
              <w:left w:val="single" w:color="auto" w:sz="4" w:space="0"/>
              <w:bottom w:val="single" w:color="auto" w:sz="4" w:space="0"/>
              <w:right w:val="single" w:color="auto" w:sz="4" w:space="0"/>
            </w:tcBorders>
          </w:tcPr>
          <w:p w14:paraId="19671038">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部门的职责设定是否符合“三定”方案中所赋予的职责和年度承担的重点工作，用以反映和评价部门工作的目的性与计划性。</w:t>
            </w:r>
          </w:p>
        </w:tc>
        <w:tc>
          <w:tcPr>
            <w:tcW w:w="3423" w:type="dxa"/>
            <w:tcBorders>
              <w:top w:val="single" w:color="000000" w:sz="4" w:space="0"/>
              <w:left w:val="single" w:color="auto" w:sz="4" w:space="0"/>
              <w:bottom w:val="single" w:color="auto" w:sz="4" w:space="0"/>
              <w:right w:val="single" w:color="auto" w:sz="4" w:space="0"/>
            </w:tcBorders>
          </w:tcPr>
          <w:p w14:paraId="0331CCB1">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符合（1分）；</w:t>
            </w:r>
          </w:p>
          <w:p w14:paraId="121C9742">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不符合（0分）。</w:t>
            </w:r>
          </w:p>
        </w:tc>
        <w:tc>
          <w:tcPr>
            <w:tcW w:w="1090" w:type="dxa"/>
            <w:tcBorders>
              <w:top w:val="single" w:color="000000" w:sz="4" w:space="0"/>
              <w:left w:val="single" w:color="auto" w:sz="4" w:space="0"/>
              <w:bottom w:val="single" w:color="auto" w:sz="4" w:space="0"/>
              <w:right w:val="single" w:color="000000" w:sz="4" w:space="0"/>
            </w:tcBorders>
          </w:tcPr>
          <w:p w14:paraId="2EC31B85">
            <w:pPr>
              <w:keepNext w:val="0"/>
              <w:keepLines w:val="0"/>
              <w:widowControl/>
              <w:suppressLineNumbers w:val="0"/>
              <w:spacing w:before="0" w:beforeAutospacing="0" w:after="0" w:afterAutospacing="0" w:line="68" w:lineRule="atLeast"/>
              <w:ind w:left="0" w:right="0"/>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1</w:t>
            </w:r>
          </w:p>
        </w:tc>
      </w:tr>
      <w:tr w14:paraId="064976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4" w:hRule="atLeast"/>
          <w:jc w:val="center"/>
        </w:trPr>
        <w:tc>
          <w:tcPr>
            <w:tcW w:w="733" w:type="dxa"/>
            <w:vMerge w:val="continue"/>
            <w:tcBorders>
              <w:left w:val="single" w:color="000000" w:sz="4" w:space="0"/>
              <w:right w:val="single" w:color="000000" w:sz="4" w:space="0"/>
            </w:tcBorders>
            <w:vAlign w:val="center"/>
          </w:tcPr>
          <w:p w14:paraId="3EEDD102">
            <w:pPr>
              <w:keepNext w:val="0"/>
              <w:keepLines w:val="0"/>
              <w:widowControl/>
              <w:suppressLineNumbers w:val="0"/>
              <w:spacing w:before="0" w:beforeAutospacing="0" w:after="0" w:afterAutospacing="0"/>
              <w:ind w:left="0" w:right="0"/>
              <w:rPr>
                <w:rFonts w:hint="default" w:ascii="宋体" w:hAnsi="宋体" w:eastAsia="宋体" w:cs="宋体"/>
              </w:rPr>
            </w:pPr>
          </w:p>
        </w:tc>
        <w:tc>
          <w:tcPr>
            <w:tcW w:w="803" w:type="dxa"/>
            <w:vMerge w:val="continue"/>
            <w:tcBorders>
              <w:left w:val="single" w:color="000000" w:sz="4" w:space="0"/>
              <w:right w:val="single" w:color="000000" w:sz="4" w:space="0"/>
            </w:tcBorders>
            <w:vAlign w:val="center"/>
          </w:tcPr>
          <w:p w14:paraId="548D6145">
            <w:pPr>
              <w:keepNext w:val="0"/>
              <w:keepLines w:val="0"/>
              <w:widowControl/>
              <w:suppressLineNumbers w:val="0"/>
              <w:spacing w:before="0" w:beforeAutospacing="0" w:after="0" w:afterAutospacing="0"/>
              <w:ind w:left="0" w:right="0"/>
              <w:rPr>
                <w:rFonts w:hint="default"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5188A36C">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活动合规性（1分）</w:t>
            </w:r>
          </w:p>
        </w:tc>
        <w:tc>
          <w:tcPr>
            <w:tcW w:w="6911" w:type="dxa"/>
            <w:tcBorders>
              <w:top w:val="single" w:color="000000" w:sz="4" w:space="0"/>
              <w:left w:val="single" w:color="auto" w:sz="4" w:space="0"/>
              <w:bottom w:val="single" w:color="auto" w:sz="4" w:space="0"/>
              <w:right w:val="single" w:color="auto" w:sz="4" w:space="0"/>
            </w:tcBorders>
            <w:vAlign w:val="center"/>
          </w:tcPr>
          <w:p w14:paraId="4A32139E">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部门的活动是否在职责范围之内并符合部门中长期规划，用以反映和评价部门活动目标与部门履职、年度工作任务的相符性情况。</w:t>
            </w:r>
          </w:p>
          <w:p w14:paraId="2DC52158">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评价要点：</w:t>
            </w:r>
          </w:p>
          <w:p w14:paraId="77ADDF22">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1.部门活动的设定在部门所确定的职责范围之内；</w:t>
            </w:r>
          </w:p>
          <w:p w14:paraId="65E2B3FA">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2.部门活动符合市委、市政府的发展规划及本部门的年度工作安排与发展规划。</w:t>
            </w:r>
          </w:p>
        </w:tc>
        <w:tc>
          <w:tcPr>
            <w:tcW w:w="3423" w:type="dxa"/>
            <w:tcBorders>
              <w:top w:val="single" w:color="000000" w:sz="4" w:space="0"/>
              <w:left w:val="single" w:color="auto" w:sz="4" w:space="0"/>
              <w:bottom w:val="single" w:color="auto" w:sz="4" w:space="0"/>
              <w:right w:val="single" w:color="auto" w:sz="4" w:space="0"/>
            </w:tcBorders>
            <w:vAlign w:val="center"/>
          </w:tcPr>
          <w:p w14:paraId="4E2D8F9F">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全部符合（1分）；</w:t>
            </w:r>
          </w:p>
          <w:p w14:paraId="3AB0BA02">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其中一项不符合（0分）。</w:t>
            </w:r>
          </w:p>
        </w:tc>
        <w:tc>
          <w:tcPr>
            <w:tcW w:w="1090" w:type="dxa"/>
            <w:tcBorders>
              <w:top w:val="single" w:color="000000" w:sz="4" w:space="0"/>
              <w:left w:val="single" w:color="auto" w:sz="4" w:space="0"/>
              <w:bottom w:val="single" w:color="auto" w:sz="4" w:space="0"/>
              <w:right w:val="single" w:color="000000" w:sz="4" w:space="0"/>
            </w:tcBorders>
            <w:vAlign w:val="center"/>
          </w:tcPr>
          <w:p w14:paraId="472A50F2">
            <w:pPr>
              <w:keepNext w:val="0"/>
              <w:keepLines w:val="0"/>
              <w:widowControl/>
              <w:suppressLineNumbers w:val="0"/>
              <w:spacing w:before="0" w:beforeAutospacing="0" w:after="0" w:afterAutospacing="0" w:line="68" w:lineRule="atLeast"/>
              <w:ind w:left="0" w:right="0"/>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1</w:t>
            </w:r>
          </w:p>
        </w:tc>
      </w:tr>
      <w:tr w14:paraId="572BBE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2" w:hRule="atLeast"/>
          <w:jc w:val="center"/>
        </w:trPr>
        <w:tc>
          <w:tcPr>
            <w:tcW w:w="733" w:type="dxa"/>
            <w:vMerge w:val="continue"/>
            <w:tcBorders>
              <w:left w:val="single" w:color="000000" w:sz="4" w:space="0"/>
              <w:right w:val="single" w:color="000000" w:sz="4" w:space="0"/>
            </w:tcBorders>
            <w:vAlign w:val="center"/>
          </w:tcPr>
          <w:p w14:paraId="0B8217FE">
            <w:pPr>
              <w:keepNext w:val="0"/>
              <w:keepLines w:val="0"/>
              <w:widowControl/>
              <w:suppressLineNumbers w:val="0"/>
              <w:spacing w:before="0" w:beforeAutospacing="0" w:after="0" w:afterAutospacing="0"/>
              <w:ind w:left="0" w:right="0"/>
              <w:rPr>
                <w:rFonts w:hint="default" w:ascii="宋体" w:hAnsi="宋体" w:eastAsia="宋体" w:cs="宋体"/>
              </w:rPr>
            </w:pPr>
          </w:p>
        </w:tc>
        <w:tc>
          <w:tcPr>
            <w:tcW w:w="803" w:type="dxa"/>
            <w:vMerge w:val="continue"/>
            <w:tcBorders>
              <w:left w:val="single" w:color="000000" w:sz="4" w:space="0"/>
              <w:right w:val="single" w:color="000000" w:sz="4" w:space="0"/>
            </w:tcBorders>
            <w:vAlign w:val="center"/>
          </w:tcPr>
          <w:p w14:paraId="47AAA343">
            <w:pPr>
              <w:keepNext w:val="0"/>
              <w:keepLines w:val="0"/>
              <w:widowControl/>
              <w:suppressLineNumbers w:val="0"/>
              <w:spacing w:before="0" w:beforeAutospacing="0" w:after="0" w:afterAutospacing="0"/>
              <w:ind w:left="0" w:right="0"/>
              <w:rPr>
                <w:rFonts w:hint="default"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2A2B5EDB">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活动合理性（1分）</w:t>
            </w:r>
          </w:p>
        </w:tc>
        <w:tc>
          <w:tcPr>
            <w:tcW w:w="6911" w:type="dxa"/>
            <w:tcBorders>
              <w:top w:val="single" w:color="000000" w:sz="4" w:space="0"/>
              <w:left w:val="single" w:color="auto" w:sz="4" w:space="0"/>
              <w:bottom w:val="single" w:color="auto" w:sz="4" w:space="0"/>
              <w:right w:val="single" w:color="auto" w:sz="4" w:space="0"/>
            </w:tcBorders>
            <w:vAlign w:val="center"/>
          </w:tcPr>
          <w:p w14:paraId="5D0EBE40">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部门所设立的活动是否明确合理、活动的关键性指标设置是否可衡量，用以反映和评价部门活动目标设定的合理性。</w:t>
            </w:r>
          </w:p>
          <w:p w14:paraId="32A98104">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评价要点：</w:t>
            </w:r>
          </w:p>
          <w:p w14:paraId="05E5EE4A">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1.活动目标的设定是可量化的，可通过清晰、可衡量的关键指标值予以体现；</w:t>
            </w:r>
          </w:p>
          <w:p w14:paraId="48348F7A">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2.在活动目标设定时，将关键指标明细分解为具体的达成目标与工作任务。</w:t>
            </w:r>
          </w:p>
        </w:tc>
        <w:tc>
          <w:tcPr>
            <w:tcW w:w="3423" w:type="dxa"/>
            <w:tcBorders>
              <w:top w:val="single" w:color="000000" w:sz="4" w:space="0"/>
              <w:left w:val="single" w:color="auto" w:sz="4" w:space="0"/>
              <w:bottom w:val="single" w:color="auto" w:sz="4" w:space="0"/>
              <w:right w:val="single" w:color="auto" w:sz="4" w:space="0"/>
            </w:tcBorders>
            <w:vAlign w:val="center"/>
          </w:tcPr>
          <w:p w14:paraId="09E64BD5">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全部符合（1分）；</w:t>
            </w:r>
          </w:p>
          <w:p w14:paraId="257BD8B6">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其中一项不符合（0分）。</w:t>
            </w:r>
          </w:p>
        </w:tc>
        <w:tc>
          <w:tcPr>
            <w:tcW w:w="1090" w:type="dxa"/>
            <w:tcBorders>
              <w:top w:val="single" w:color="000000" w:sz="4" w:space="0"/>
              <w:left w:val="single" w:color="auto" w:sz="4" w:space="0"/>
              <w:bottom w:val="single" w:color="auto" w:sz="4" w:space="0"/>
              <w:right w:val="single" w:color="000000" w:sz="4" w:space="0"/>
            </w:tcBorders>
            <w:vAlign w:val="center"/>
          </w:tcPr>
          <w:p w14:paraId="2FE612C5">
            <w:pPr>
              <w:keepNext w:val="0"/>
              <w:keepLines w:val="0"/>
              <w:widowControl/>
              <w:suppressLineNumbers w:val="0"/>
              <w:spacing w:before="0" w:beforeAutospacing="0" w:after="0" w:afterAutospacing="0" w:line="68" w:lineRule="atLeast"/>
              <w:ind w:left="0" w:right="0"/>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1</w:t>
            </w:r>
          </w:p>
        </w:tc>
      </w:tr>
      <w:tr w14:paraId="15C91D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4" w:hRule="atLeast"/>
          <w:jc w:val="center"/>
        </w:trPr>
        <w:tc>
          <w:tcPr>
            <w:tcW w:w="733" w:type="dxa"/>
            <w:vMerge w:val="continue"/>
            <w:tcBorders>
              <w:left w:val="single" w:color="000000" w:sz="4" w:space="0"/>
              <w:right w:val="single" w:color="000000" w:sz="4" w:space="0"/>
            </w:tcBorders>
            <w:vAlign w:val="center"/>
          </w:tcPr>
          <w:p w14:paraId="44EB00D9">
            <w:pPr>
              <w:keepNext w:val="0"/>
              <w:keepLines w:val="0"/>
              <w:widowControl/>
              <w:suppressLineNumbers w:val="0"/>
              <w:spacing w:before="0" w:beforeAutospacing="0" w:after="0" w:afterAutospacing="0"/>
              <w:ind w:left="0" w:right="0"/>
              <w:rPr>
                <w:rFonts w:hint="default" w:ascii="宋体" w:hAnsi="宋体" w:eastAsia="宋体" w:cs="宋体"/>
              </w:rPr>
            </w:pPr>
          </w:p>
        </w:tc>
        <w:tc>
          <w:tcPr>
            <w:tcW w:w="803" w:type="dxa"/>
            <w:vMerge w:val="continue"/>
            <w:tcBorders>
              <w:left w:val="single" w:color="000000" w:sz="4" w:space="0"/>
              <w:right w:val="single" w:color="000000" w:sz="4" w:space="0"/>
            </w:tcBorders>
            <w:vAlign w:val="center"/>
          </w:tcPr>
          <w:p w14:paraId="36BCD379">
            <w:pPr>
              <w:keepNext w:val="0"/>
              <w:keepLines w:val="0"/>
              <w:widowControl/>
              <w:suppressLineNumbers w:val="0"/>
              <w:spacing w:before="0" w:beforeAutospacing="0" w:after="0" w:afterAutospacing="0"/>
              <w:ind w:left="0" w:right="0"/>
              <w:rPr>
                <w:rFonts w:hint="default"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5954CC1D">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目标覆盖率（1分）</w:t>
            </w:r>
          </w:p>
        </w:tc>
        <w:tc>
          <w:tcPr>
            <w:tcW w:w="6911" w:type="dxa"/>
            <w:tcBorders>
              <w:top w:val="single" w:color="000000" w:sz="4" w:space="0"/>
              <w:left w:val="single" w:color="auto" w:sz="4" w:space="0"/>
              <w:bottom w:val="single" w:color="auto" w:sz="4" w:space="0"/>
              <w:right w:val="single" w:color="auto" w:sz="4" w:space="0"/>
            </w:tcBorders>
            <w:vAlign w:val="center"/>
          </w:tcPr>
          <w:p w14:paraId="2161BDFD">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部门年度申报绩效目标项目资金额与部门项目预算资金总额的比率，用以反映部门落实财政部门绩效目标申报要求的资金覆盖情况。</w:t>
            </w:r>
          </w:p>
          <w:p w14:paraId="0E4D75A1">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覆盖率=实际申报绩效目标项目资金总额/部门项目预算资金总额×100%</w:t>
            </w:r>
          </w:p>
        </w:tc>
        <w:tc>
          <w:tcPr>
            <w:tcW w:w="3423" w:type="dxa"/>
            <w:tcBorders>
              <w:top w:val="single" w:color="000000" w:sz="4" w:space="0"/>
              <w:left w:val="single" w:color="auto" w:sz="4" w:space="0"/>
              <w:bottom w:val="single" w:color="auto" w:sz="4" w:space="0"/>
              <w:right w:val="single" w:color="auto" w:sz="4" w:space="0"/>
            </w:tcBorders>
            <w:vAlign w:val="center"/>
          </w:tcPr>
          <w:p w14:paraId="14A3009E">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达到目标值得1分，未达到目标值采用完成比率法计分：得分=覆盖率/目标值×1，超过目标值不加分。</w:t>
            </w:r>
          </w:p>
        </w:tc>
        <w:tc>
          <w:tcPr>
            <w:tcW w:w="1090" w:type="dxa"/>
            <w:tcBorders>
              <w:top w:val="single" w:color="000000" w:sz="4" w:space="0"/>
              <w:left w:val="single" w:color="auto" w:sz="4" w:space="0"/>
              <w:bottom w:val="single" w:color="auto" w:sz="4" w:space="0"/>
              <w:right w:val="single" w:color="000000" w:sz="4" w:space="0"/>
            </w:tcBorders>
            <w:vAlign w:val="center"/>
          </w:tcPr>
          <w:p w14:paraId="5D349423">
            <w:pPr>
              <w:keepNext w:val="0"/>
              <w:keepLines w:val="0"/>
              <w:widowControl/>
              <w:suppressLineNumbers w:val="0"/>
              <w:spacing w:before="0" w:beforeAutospacing="0" w:after="0" w:afterAutospacing="0" w:line="68" w:lineRule="atLeast"/>
              <w:ind w:left="0" w:right="0"/>
              <w:rPr>
                <w:rFonts w:hint="eastAsia" w:ascii="宋体" w:hAnsi="宋体" w:eastAsia="宋体" w:cs="宋体"/>
                <w:lang w:val="en-US" w:eastAsia="zh-CN"/>
              </w:rPr>
            </w:pPr>
            <w:r>
              <w:rPr>
                <w:rFonts w:hint="eastAsia" w:ascii="宋体" w:hAnsi="宋体" w:eastAsia="宋体" w:cs="宋体"/>
                <w:lang w:val="en-US" w:eastAsia="zh-CN"/>
              </w:rPr>
              <w:t>1</w:t>
            </w:r>
          </w:p>
        </w:tc>
      </w:tr>
      <w:tr w14:paraId="120D8A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2" w:hRule="atLeast"/>
          <w:jc w:val="center"/>
        </w:trPr>
        <w:tc>
          <w:tcPr>
            <w:tcW w:w="733" w:type="dxa"/>
            <w:vMerge w:val="continue"/>
            <w:tcBorders>
              <w:left w:val="single" w:color="000000" w:sz="4" w:space="0"/>
              <w:right w:val="single" w:color="000000" w:sz="4" w:space="0"/>
            </w:tcBorders>
            <w:vAlign w:val="center"/>
          </w:tcPr>
          <w:p w14:paraId="0E66615A">
            <w:pPr>
              <w:keepNext w:val="0"/>
              <w:keepLines w:val="0"/>
              <w:widowControl/>
              <w:suppressLineNumbers w:val="0"/>
              <w:spacing w:before="0" w:beforeAutospacing="0" w:after="0" w:afterAutospacing="0"/>
              <w:ind w:left="0" w:right="0"/>
              <w:rPr>
                <w:rFonts w:hint="default"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4CE3DCB9">
            <w:pPr>
              <w:keepNext w:val="0"/>
              <w:keepLines w:val="0"/>
              <w:widowControl/>
              <w:suppressLineNumbers w:val="0"/>
              <w:spacing w:before="0" w:beforeAutospacing="0" w:after="0" w:afterAutospacing="0"/>
              <w:ind w:left="0" w:right="0"/>
              <w:rPr>
                <w:rFonts w:hint="default"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6C4B6E03">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目标管理创新（1分）</w:t>
            </w:r>
          </w:p>
        </w:tc>
        <w:tc>
          <w:tcPr>
            <w:tcW w:w="6911" w:type="dxa"/>
            <w:tcBorders>
              <w:top w:val="single" w:color="000000" w:sz="4" w:space="0"/>
              <w:left w:val="single" w:color="auto" w:sz="4" w:space="0"/>
              <w:bottom w:val="single" w:color="auto" w:sz="4" w:space="0"/>
              <w:right w:val="single" w:color="auto" w:sz="4" w:space="0"/>
            </w:tcBorders>
            <w:vAlign w:val="center"/>
          </w:tcPr>
          <w:p w14:paraId="7C17D042">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部门编报整体绩效目标和申报项目绩效目标的数量超过规定的要求。用以反映和考核部门绩效目标管理创新工作情况。</w:t>
            </w:r>
          </w:p>
          <w:p w14:paraId="10AFA0D1">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项目绩效目标创新=部门绩效目标编报数量-按财政部门要求的绩效目标填报数量</w:t>
            </w:r>
          </w:p>
        </w:tc>
        <w:tc>
          <w:tcPr>
            <w:tcW w:w="3423" w:type="dxa"/>
            <w:tcBorders>
              <w:top w:val="single" w:color="000000" w:sz="4" w:space="0"/>
              <w:left w:val="single" w:color="auto" w:sz="4" w:space="0"/>
              <w:bottom w:val="single" w:color="auto" w:sz="4" w:space="0"/>
              <w:right w:val="single" w:color="auto" w:sz="4" w:space="0"/>
            </w:tcBorders>
            <w:vAlign w:val="center"/>
          </w:tcPr>
          <w:p w14:paraId="5C6DF0C6">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每超过1项得0.1分，满分1分。</w:t>
            </w:r>
          </w:p>
        </w:tc>
        <w:tc>
          <w:tcPr>
            <w:tcW w:w="1090" w:type="dxa"/>
            <w:tcBorders>
              <w:top w:val="single" w:color="000000" w:sz="4" w:space="0"/>
              <w:left w:val="single" w:color="auto" w:sz="4" w:space="0"/>
              <w:bottom w:val="single" w:color="auto" w:sz="4" w:space="0"/>
              <w:right w:val="single" w:color="000000" w:sz="4" w:space="0"/>
            </w:tcBorders>
            <w:vAlign w:val="center"/>
          </w:tcPr>
          <w:p w14:paraId="4993FCF5">
            <w:pPr>
              <w:keepNext w:val="0"/>
              <w:keepLines w:val="0"/>
              <w:widowControl/>
              <w:suppressLineNumbers w:val="0"/>
              <w:spacing w:before="0" w:beforeAutospacing="0" w:after="0" w:afterAutospacing="0" w:line="68" w:lineRule="atLeast"/>
              <w:ind w:left="0" w:right="0"/>
              <w:rPr>
                <w:rFonts w:hint="eastAsia" w:ascii="宋体" w:hAnsi="宋体" w:eastAsia="宋体" w:cs="宋体"/>
                <w:lang w:val="en-US" w:eastAsia="zh-CN"/>
              </w:rPr>
            </w:pPr>
            <w:r>
              <w:rPr>
                <w:rFonts w:hint="eastAsia" w:ascii="宋体" w:hAnsi="宋体" w:eastAsia="宋体" w:cs="宋体"/>
                <w:lang w:val="en-US" w:eastAsia="zh-CN"/>
              </w:rPr>
              <w:t>0</w:t>
            </w:r>
          </w:p>
        </w:tc>
      </w:tr>
      <w:tr w14:paraId="1719D0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95" w:hRule="atLeast"/>
          <w:jc w:val="center"/>
        </w:trPr>
        <w:tc>
          <w:tcPr>
            <w:tcW w:w="733" w:type="dxa"/>
            <w:vMerge w:val="continue"/>
            <w:tcBorders>
              <w:left w:val="single" w:color="000000" w:sz="4" w:space="0"/>
              <w:right w:val="single" w:color="000000" w:sz="4" w:space="0"/>
            </w:tcBorders>
            <w:vAlign w:val="center"/>
          </w:tcPr>
          <w:p w14:paraId="69C276EE">
            <w:pPr>
              <w:keepNext w:val="0"/>
              <w:keepLines w:val="0"/>
              <w:widowControl/>
              <w:suppressLineNumbers w:val="0"/>
              <w:spacing w:before="0" w:beforeAutospacing="0" w:after="0" w:afterAutospacing="0"/>
              <w:ind w:left="0" w:right="0"/>
              <w:rPr>
                <w:rFonts w:hint="default" w:ascii="宋体" w:hAnsi="宋体" w:eastAsia="宋体" w:cs="宋体"/>
              </w:rPr>
            </w:pPr>
          </w:p>
        </w:tc>
        <w:tc>
          <w:tcPr>
            <w:tcW w:w="803" w:type="dxa"/>
            <w:vMerge w:val="restart"/>
            <w:tcBorders>
              <w:top w:val="single" w:color="000000" w:sz="4" w:space="0"/>
              <w:left w:val="single" w:color="000000" w:sz="4" w:space="0"/>
              <w:right w:val="single" w:color="000000" w:sz="4" w:space="0"/>
            </w:tcBorders>
            <w:vAlign w:val="center"/>
          </w:tcPr>
          <w:p w14:paraId="39FDE1FE">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预算配置(10分)</w:t>
            </w:r>
          </w:p>
        </w:tc>
        <w:tc>
          <w:tcPr>
            <w:tcW w:w="1182" w:type="dxa"/>
            <w:tcBorders>
              <w:top w:val="single" w:color="auto" w:sz="4" w:space="0"/>
              <w:left w:val="single" w:color="000000" w:sz="4" w:space="0"/>
              <w:bottom w:val="single" w:color="000000" w:sz="4" w:space="0"/>
              <w:right w:val="single" w:color="auto" w:sz="4" w:space="0"/>
            </w:tcBorders>
            <w:vAlign w:val="center"/>
          </w:tcPr>
          <w:p w14:paraId="13DDC496">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财政供养人员控制率（3分）</w:t>
            </w:r>
          </w:p>
        </w:tc>
        <w:tc>
          <w:tcPr>
            <w:tcW w:w="6911" w:type="dxa"/>
            <w:tcBorders>
              <w:top w:val="single" w:color="auto" w:sz="4" w:space="0"/>
              <w:left w:val="single" w:color="auto" w:sz="4" w:space="0"/>
              <w:bottom w:val="single" w:color="000000" w:sz="4" w:space="0"/>
              <w:right w:val="single" w:color="auto" w:sz="4" w:space="0"/>
            </w:tcBorders>
            <w:vAlign w:val="center"/>
          </w:tcPr>
          <w:p w14:paraId="3B573BA1">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部门本年度实际在职人员数与编制数的比率，用以反映和评价部门对人员成本的控制程度。</w:t>
            </w:r>
          </w:p>
          <w:p w14:paraId="7AEC9E2D">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在职人员控制率=（在职人员数/编制数）×100%。</w:t>
            </w:r>
          </w:p>
          <w:p w14:paraId="4846BE4A">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在职人员数：部门实际在职人数，以财政部确定的部门决算编制口径为准，由编制部门和人劳部门批复同意的临聘人员除外。</w:t>
            </w:r>
          </w:p>
          <w:p w14:paraId="3F411B12">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编制数：机构编制部门核定批复的部门人员编制数。</w:t>
            </w:r>
          </w:p>
        </w:tc>
        <w:tc>
          <w:tcPr>
            <w:tcW w:w="3423" w:type="dxa"/>
            <w:tcBorders>
              <w:top w:val="single" w:color="auto" w:sz="4" w:space="0"/>
              <w:left w:val="single" w:color="auto" w:sz="4" w:space="0"/>
              <w:bottom w:val="single" w:color="000000" w:sz="4" w:space="0"/>
              <w:right w:val="single" w:color="auto" w:sz="4" w:space="0"/>
            </w:tcBorders>
            <w:vAlign w:val="center"/>
          </w:tcPr>
          <w:p w14:paraId="5B00DE72">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目标值≤100%；达到目标值得3分，每超出1人扣0.1分，扣完为止。</w:t>
            </w:r>
          </w:p>
        </w:tc>
        <w:tc>
          <w:tcPr>
            <w:tcW w:w="1090" w:type="dxa"/>
            <w:tcBorders>
              <w:top w:val="single" w:color="auto" w:sz="4" w:space="0"/>
              <w:left w:val="single" w:color="auto" w:sz="4" w:space="0"/>
              <w:bottom w:val="single" w:color="000000" w:sz="4" w:space="0"/>
              <w:right w:val="single" w:color="000000" w:sz="4" w:space="0"/>
            </w:tcBorders>
            <w:vAlign w:val="center"/>
          </w:tcPr>
          <w:p w14:paraId="7F8FA885">
            <w:pPr>
              <w:keepNext w:val="0"/>
              <w:keepLines w:val="0"/>
              <w:widowControl/>
              <w:suppressLineNumbers w:val="0"/>
              <w:spacing w:before="0" w:beforeAutospacing="0" w:after="0" w:afterAutospacing="0" w:line="68" w:lineRule="atLeast"/>
              <w:ind w:left="0" w:right="0"/>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3</w:t>
            </w:r>
          </w:p>
        </w:tc>
      </w:tr>
      <w:tr w14:paraId="0FADB4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75" w:hRule="atLeast"/>
          <w:jc w:val="center"/>
        </w:trPr>
        <w:tc>
          <w:tcPr>
            <w:tcW w:w="733" w:type="dxa"/>
            <w:vMerge w:val="continue"/>
            <w:tcBorders>
              <w:left w:val="single" w:color="000000" w:sz="4" w:space="0"/>
              <w:right w:val="single" w:color="000000" w:sz="4" w:space="0"/>
            </w:tcBorders>
            <w:vAlign w:val="center"/>
          </w:tcPr>
          <w:p w14:paraId="7168B935">
            <w:pPr>
              <w:keepNext w:val="0"/>
              <w:keepLines w:val="0"/>
              <w:widowControl/>
              <w:suppressLineNumbers w:val="0"/>
              <w:spacing w:before="0" w:beforeAutospacing="0" w:after="0" w:afterAutospacing="0"/>
              <w:ind w:left="0" w:right="0"/>
              <w:rPr>
                <w:rFonts w:hint="default" w:ascii="宋体" w:hAnsi="宋体" w:eastAsia="宋体" w:cs="宋体"/>
              </w:rPr>
            </w:pPr>
          </w:p>
        </w:tc>
        <w:tc>
          <w:tcPr>
            <w:tcW w:w="803" w:type="dxa"/>
            <w:vMerge w:val="continue"/>
            <w:tcBorders>
              <w:left w:val="single" w:color="000000" w:sz="4" w:space="0"/>
              <w:right w:val="single" w:color="000000" w:sz="4" w:space="0"/>
            </w:tcBorders>
            <w:vAlign w:val="center"/>
          </w:tcPr>
          <w:p w14:paraId="14049C9E">
            <w:pPr>
              <w:keepNext w:val="0"/>
              <w:keepLines w:val="0"/>
              <w:widowControl/>
              <w:suppressLineNumbers w:val="0"/>
              <w:spacing w:before="0" w:beforeAutospacing="0" w:after="0" w:afterAutospacing="0"/>
              <w:ind w:left="0" w:right="0"/>
              <w:rPr>
                <w:rFonts w:hint="default"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14:paraId="7E10ACC7">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“三公经费”变动率（4分）</w:t>
            </w:r>
          </w:p>
        </w:tc>
        <w:tc>
          <w:tcPr>
            <w:tcW w:w="6911" w:type="dxa"/>
            <w:tcBorders>
              <w:top w:val="single" w:color="auto" w:sz="4" w:space="0"/>
              <w:left w:val="single" w:color="auto" w:sz="4" w:space="0"/>
              <w:bottom w:val="single" w:color="000000" w:sz="4" w:space="0"/>
              <w:right w:val="single" w:color="auto" w:sz="4" w:space="0"/>
            </w:tcBorders>
            <w:vAlign w:val="center"/>
          </w:tcPr>
          <w:p w14:paraId="1538D05E">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部门本年度“三公经费”预算数与上年度“三公经费”预算数的变动比率，用以反映和考核部门对控制重点行政成本的努力程度。</w:t>
            </w:r>
          </w:p>
          <w:p w14:paraId="6B11F8B1">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“三公经费”变动率=〔（本年度“三公经费”总额-上年度“三公经费”总额）/上年度“三公经费”总额〕×100%</w:t>
            </w:r>
          </w:p>
          <w:p w14:paraId="085865D7">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“三公经费”：年度预算安排的因公出国（境）费、公务车辆购置及运行费和公务招待费。</w:t>
            </w:r>
          </w:p>
        </w:tc>
        <w:tc>
          <w:tcPr>
            <w:tcW w:w="3423" w:type="dxa"/>
            <w:tcBorders>
              <w:top w:val="single" w:color="auto" w:sz="4" w:space="0"/>
              <w:left w:val="single" w:color="auto" w:sz="4" w:space="0"/>
              <w:bottom w:val="single" w:color="000000" w:sz="4" w:space="0"/>
              <w:right w:val="single" w:color="auto" w:sz="4" w:space="0"/>
            </w:tcBorders>
            <w:vAlign w:val="center"/>
          </w:tcPr>
          <w:p w14:paraId="7113441E">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目标值≤0；达到目标值得4分，未达到目标值的采用比率扣分法：扣分值=“三公经费”变动率×4×10，变动率达10%以上的扣4分。</w:t>
            </w:r>
          </w:p>
        </w:tc>
        <w:tc>
          <w:tcPr>
            <w:tcW w:w="1090" w:type="dxa"/>
            <w:tcBorders>
              <w:top w:val="single" w:color="auto" w:sz="4" w:space="0"/>
              <w:left w:val="single" w:color="auto" w:sz="4" w:space="0"/>
              <w:bottom w:val="single" w:color="000000" w:sz="4" w:space="0"/>
              <w:right w:val="single" w:color="000000" w:sz="4" w:space="0"/>
            </w:tcBorders>
            <w:vAlign w:val="center"/>
          </w:tcPr>
          <w:p w14:paraId="2856FBE3">
            <w:pPr>
              <w:keepNext w:val="0"/>
              <w:keepLines w:val="0"/>
              <w:widowControl/>
              <w:suppressLineNumbers w:val="0"/>
              <w:spacing w:before="0" w:beforeAutospacing="0" w:after="0" w:afterAutospacing="0" w:line="68" w:lineRule="atLeast"/>
              <w:ind w:left="0" w:right="0"/>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4</w:t>
            </w:r>
          </w:p>
        </w:tc>
      </w:tr>
      <w:tr w14:paraId="4EAF20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07" w:hRule="atLeast"/>
          <w:jc w:val="center"/>
        </w:trPr>
        <w:tc>
          <w:tcPr>
            <w:tcW w:w="733" w:type="dxa"/>
            <w:vMerge w:val="continue"/>
            <w:tcBorders>
              <w:left w:val="single" w:color="000000" w:sz="4" w:space="0"/>
              <w:bottom w:val="single" w:color="000000" w:sz="4" w:space="0"/>
              <w:right w:val="single" w:color="000000" w:sz="4" w:space="0"/>
            </w:tcBorders>
            <w:vAlign w:val="center"/>
          </w:tcPr>
          <w:p w14:paraId="1591C6B8">
            <w:pPr>
              <w:keepNext w:val="0"/>
              <w:keepLines w:val="0"/>
              <w:widowControl/>
              <w:suppressLineNumbers w:val="0"/>
              <w:spacing w:before="0" w:beforeAutospacing="0" w:after="0" w:afterAutospacing="0"/>
              <w:ind w:left="0" w:right="0"/>
              <w:rPr>
                <w:rFonts w:hint="default"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02498702">
            <w:pPr>
              <w:keepNext w:val="0"/>
              <w:keepLines w:val="0"/>
              <w:widowControl/>
              <w:suppressLineNumbers w:val="0"/>
              <w:spacing w:before="0" w:beforeAutospacing="0" w:after="0" w:afterAutospacing="0"/>
              <w:ind w:left="0" w:right="0"/>
              <w:rPr>
                <w:rFonts w:hint="default"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14:paraId="631CD3AB">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重点支出安排率（3分）</w:t>
            </w:r>
          </w:p>
        </w:tc>
        <w:tc>
          <w:tcPr>
            <w:tcW w:w="6911" w:type="dxa"/>
            <w:tcBorders>
              <w:top w:val="single" w:color="auto" w:sz="4" w:space="0"/>
              <w:left w:val="single" w:color="auto" w:sz="4" w:space="0"/>
              <w:bottom w:val="single" w:color="000000" w:sz="4" w:space="0"/>
              <w:right w:val="single" w:color="auto" w:sz="4" w:space="0"/>
            </w:tcBorders>
            <w:vAlign w:val="center"/>
          </w:tcPr>
          <w:p w14:paraId="735330E7">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部门（单位）本年度预算安排的重点项目支出与部门项目总支出的比率，用以反映和考核部门（单位）对履行主要职责或完成重点任务的保障程度。重点支出安排率=（重点项目支出/项目总支出）×100%。</w:t>
            </w:r>
          </w:p>
          <w:p w14:paraId="134AB097">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重点项目支出：部门（单位）年度预算安排的，与本部门履职和发展密切相关、具有明显社会和经济影响、党委政府关心或社会比较关注的项目支出总额。具体由被评价部门提出后经对口部门预算管理处审核确定。</w:t>
            </w:r>
          </w:p>
          <w:p w14:paraId="1F3BFC0C">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项目总支出：部门（单位）年度预算安排的项目支出总额。</w:t>
            </w:r>
          </w:p>
        </w:tc>
        <w:tc>
          <w:tcPr>
            <w:tcW w:w="3423" w:type="dxa"/>
            <w:tcBorders>
              <w:top w:val="single" w:color="auto" w:sz="4" w:space="0"/>
              <w:left w:val="single" w:color="auto" w:sz="4" w:space="0"/>
              <w:bottom w:val="single" w:color="000000" w:sz="4" w:space="0"/>
              <w:right w:val="single" w:color="auto" w:sz="4" w:space="0"/>
            </w:tcBorders>
            <w:vAlign w:val="center"/>
          </w:tcPr>
          <w:p w14:paraId="497325F3">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目标值≥70%；以3分为上限，采用完成比率法计分：得分=重点支出安排率/70%×100%×3，超出目标值不加分。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14:paraId="0EFD5D6B">
            <w:pPr>
              <w:keepNext w:val="0"/>
              <w:keepLines w:val="0"/>
              <w:widowControl/>
              <w:suppressLineNumbers w:val="0"/>
              <w:spacing w:before="0" w:beforeAutospacing="0" w:after="0" w:afterAutospacing="0" w:line="68" w:lineRule="atLeast"/>
              <w:ind w:left="0" w:right="0"/>
              <w:rPr>
                <w:rFonts w:hint="eastAsia" w:ascii="宋体" w:hAnsi="宋体" w:eastAsia="宋体" w:cs="宋体"/>
                <w:lang w:val="en-US" w:eastAsia="zh-CN"/>
              </w:rPr>
            </w:pPr>
            <w:r>
              <w:rPr>
                <w:rFonts w:hint="eastAsia" w:ascii="宋体" w:hAnsi="宋体" w:eastAsia="宋体" w:cs="宋体"/>
                <w:lang w:val="en-US" w:eastAsia="zh-CN"/>
              </w:rPr>
              <w:t>3</w:t>
            </w:r>
          </w:p>
        </w:tc>
      </w:tr>
      <w:tr w14:paraId="6256CE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96" w:hRule="atLeast"/>
          <w:jc w:val="center"/>
        </w:trPr>
        <w:tc>
          <w:tcPr>
            <w:tcW w:w="733" w:type="dxa"/>
            <w:vMerge w:val="restart"/>
            <w:tcBorders>
              <w:top w:val="single" w:color="000000" w:sz="4" w:space="0"/>
              <w:left w:val="single" w:color="000000" w:sz="4" w:space="0"/>
              <w:right w:val="single" w:color="000000" w:sz="4" w:space="0"/>
            </w:tcBorders>
            <w:vAlign w:val="center"/>
          </w:tcPr>
          <w:p w14:paraId="6D700019">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45D7AA88">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697B70F7">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5978CECA">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4A1AF02C">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075CF0C0">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1EB335BF">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1B261509">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466E4421">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4EF297A9">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40F176EC">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1B17B78B">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4DB2E95B">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007932FD">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474468EE">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3D281FD4">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27B0CBD4">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r>
              <w:rPr>
                <w:rFonts w:hint="eastAsia" w:ascii="宋体" w:hAnsi="宋体" w:eastAsia="宋体" w:cs="宋体"/>
              </w:rPr>
              <w:t>过程(55分)</w:t>
            </w:r>
          </w:p>
          <w:p w14:paraId="7B411691">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31A1F6EF">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512E2A05">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5D0ADCFC">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3EF0CE90">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1F09E7FC">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1ABF3424">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3D0FCC58">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17A7823B">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3D56193D">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24EC81CC">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639D6CB7">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294D0CD0">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68150B4C">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226F4339">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0EBB0947">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06D5B606">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5A684FCE">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38074370">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6196A135">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012EB0FE">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3ADFB416">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49D29D8B">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0BD80835">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70DC871D">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r>
              <w:rPr>
                <w:rFonts w:hint="eastAsia" w:ascii="宋体" w:hAnsi="宋体" w:eastAsia="宋体" w:cs="宋体"/>
              </w:rPr>
              <w:t>过程(55分)</w:t>
            </w:r>
          </w:p>
          <w:p w14:paraId="520B5236">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78CED638">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5952BD19">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63FF3D60">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3008242A">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6C0F7223">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4AF1D519">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2A8B43E9">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286AEC47">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573C972A">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4070FF53">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69F68D2C">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284DB0F8">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7D5039D1">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2C4E5414">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58116CFB">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76CDBD01">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2CD31749">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349A12C1">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28AE988D">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4CE9FA7C">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2C64160D">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215FDAEE">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5887BCD6">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3080B972">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38DBE234">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r>
              <w:rPr>
                <w:rFonts w:hint="eastAsia" w:ascii="宋体" w:hAnsi="宋体" w:eastAsia="宋体" w:cs="宋体"/>
              </w:rPr>
              <w:t>过程(55分)</w:t>
            </w:r>
          </w:p>
          <w:p w14:paraId="72CE3B48">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277E8904">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3A5F858C">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716E7FBA">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6486CCCE">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0443EB60">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61B6D589">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4B95C61A">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p>
          <w:p w14:paraId="300DDF7F">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68B06DAB">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4CF1CD34">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639EBDE1">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5C46C258">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7560F531">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268AFE46">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32A3D927">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r>
              <w:rPr>
                <w:rFonts w:hint="eastAsia" w:ascii="宋体" w:hAnsi="宋体" w:eastAsia="宋体" w:cs="宋体"/>
              </w:rPr>
              <w:t>过程(55分)</w:t>
            </w:r>
          </w:p>
          <w:p w14:paraId="1484A402">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tc>
        <w:tc>
          <w:tcPr>
            <w:tcW w:w="803" w:type="dxa"/>
            <w:vMerge w:val="restart"/>
            <w:tcBorders>
              <w:top w:val="single" w:color="000000" w:sz="4" w:space="0"/>
              <w:left w:val="single" w:color="000000" w:sz="4" w:space="0"/>
              <w:bottom w:val="single" w:color="000000" w:sz="4" w:space="0"/>
              <w:right w:val="single" w:color="000000" w:sz="4" w:space="0"/>
            </w:tcBorders>
            <w:vAlign w:val="center"/>
          </w:tcPr>
          <w:p w14:paraId="75F5644F">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预算执行(27分)</w:t>
            </w:r>
          </w:p>
        </w:tc>
        <w:tc>
          <w:tcPr>
            <w:tcW w:w="1182" w:type="dxa"/>
            <w:tcBorders>
              <w:top w:val="single" w:color="000000" w:sz="4" w:space="0"/>
              <w:left w:val="single" w:color="000000" w:sz="4" w:space="0"/>
              <w:bottom w:val="single" w:color="000000" w:sz="4" w:space="0"/>
              <w:right w:val="single" w:color="auto" w:sz="4" w:space="0"/>
            </w:tcBorders>
            <w:vAlign w:val="center"/>
          </w:tcPr>
          <w:p w14:paraId="7885B316">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预算完成率（3分）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29B87747">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通过对部门本年度预算完成数与预算数的比较，反映和评价部门预算的完成程度。</w:t>
            </w:r>
          </w:p>
          <w:p w14:paraId="54D8A16E">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预算完成率=（预算完成数/预算数）×100%。</w:t>
            </w:r>
          </w:p>
        </w:tc>
        <w:tc>
          <w:tcPr>
            <w:tcW w:w="3423" w:type="dxa"/>
            <w:tcBorders>
              <w:top w:val="single" w:color="000000" w:sz="4" w:space="0"/>
              <w:left w:val="single" w:color="auto" w:sz="4" w:space="0"/>
              <w:bottom w:val="single" w:color="000000" w:sz="4" w:space="0"/>
              <w:right w:val="single" w:color="auto" w:sz="4" w:space="0"/>
            </w:tcBorders>
            <w:vAlign w:val="center"/>
          </w:tcPr>
          <w:p w14:paraId="141DAF43">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目标值≥100%；</w:t>
            </w:r>
          </w:p>
          <w:p w14:paraId="5521F98C">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达到目标值的得3分；</w:t>
            </w:r>
          </w:p>
          <w:p w14:paraId="1CAA6081">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100%＞结果≥90%，得3分；</w:t>
            </w:r>
          </w:p>
          <w:p w14:paraId="7F43767E">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90%＞结果≥80%，得1分；</w:t>
            </w:r>
          </w:p>
          <w:p w14:paraId="09E3156A">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结果＜80%得0分。</w:t>
            </w:r>
          </w:p>
        </w:tc>
        <w:tc>
          <w:tcPr>
            <w:tcW w:w="1090" w:type="dxa"/>
            <w:tcBorders>
              <w:top w:val="single" w:color="000000" w:sz="4" w:space="0"/>
              <w:left w:val="single" w:color="auto" w:sz="4" w:space="0"/>
              <w:bottom w:val="single" w:color="000000" w:sz="4" w:space="0"/>
              <w:right w:val="single" w:color="000000" w:sz="4" w:space="0"/>
            </w:tcBorders>
            <w:vAlign w:val="center"/>
          </w:tcPr>
          <w:p w14:paraId="0581FD7E">
            <w:pPr>
              <w:keepNext w:val="0"/>
              <w:keepLines w:val="0"/>
              <w:widowControl/>
              <w:suppressLineNumbers w:val="0"/>
              <w:spacing w:before="0" w:beforeAutospacing="0" w:after="0" w:afterAutospacing="0" w:line="68" w:lineRule="atLeast"/>
              <w:ind w:left="0" w:right="0"/>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3</w:t>
            </w:r>
          </w:p>
        </w:tc>
      </w:tr>
      <w:tr w14:paraId="4A3BAE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5" w:hRule="atLeast"/>
          <w:jc w:val="center"/>
        </w:trPr>
        <w:tc>
          <w:tcPr>
            <w:tcW w:w="733" w:type="dxa"/>
            <w:vMerge w:val="continue"/>
            <w:tcBorders>
              <w:left w:val="single" w:color="000000" w:sz="4" w:space="0"/>
              <w:right w:val="single" w:color="000000" w:sz="4" w:space="0"/>
            </w:tcBorders>
            <w:vAlign w:val="center"/>
          </w:tcPr>
          <w:p w14:paraId="79D9D893">
            <w:pPr>
              <w:keepNext w:val="0"/>
              <w:keepLines w:val="0"/>
              <w:widowControl/>
              <w:suppressLineNumbers w:val="0"/>
              <w:spacing w:before="0" w:beforeAutospacing="0" w:after="0" w:afterAutospacing="0"/>
              <w:ind w:left="0" w:right="0"/>
              <w:rPr>
                <w:rFonts w:hint="default"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08CDB5D5">
            <w:pPr>
              <w:keepNext w:val="0"/>
              <w:keepLines w:val="0"/>
              <w:widowControl/>
              <w:suppressLineNumbers w:val="0"/>
              <w:spacing w:before="0" w:beforeAutospacing="0" w:after="0" w:afterAutospacing="0"/>
              <w:ind w:left="0" w:right="0"/>
              <w:rPr>
                <w:rFonts w:hint="default"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4D6DE59C">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预算调整率（3分）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0BC8BDB1">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部门本年度预算调整数与预算数的比率，用以反映和评价部门预算的调整程度。</w:t>
            </w:r>
          </w:p>
          <w:p w14:paraId="29C79EE5">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预算调整率=（预算调整数/预算数）×100%。</w:t>
            </w:r>
          </w:p>
        </w:tc>
        <w:tc>
          <w:tcPr>
            <w:tcW w:w="3423" w:type="dxa"/>
            <w:tcBorders>
              <w:top w:val="single" w:color="000000" w:sz="4" w:space="0"/>
              <w:left w:val="single" w:color="auto" w:sz="4" w:space="0"/>
              <w:bottom w:val="single" w:color="000000" w:sz="4" w:space="0"/>
              <w:right w:val="single" w:color="auto" w:sz="4" w:space="0"/>
            </w:tcBorders>
            <w:vAlign w:val="center"/>
          </w:tcPr>
          <w:p w14:paraId="3971A4E4">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目标值为10%；达到目标值得3分，未达到目标值的每增加0.1个百分点扣0.1分，扣完为止。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14:paraId="1DF16E06">
            <w:pPr>
              <w:keepNext w:val="0"/>
              <w:keepLines w:val="0"/>
              <w:widowControl/>
              <w:suppressLineNumbers w:val="0"/>
              <w:spacing w:before="0" w:beforeAutospacing="0" w:after="0" w:afterAutospacing="0" w:line="68" w:lineRule="atLeast"/>
              <w:ind w:left="0" w:right="0"/>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3</w:t>
            </w:r>
          </w:p>
        </w:tc>
      </w:tr>
      <w:tr w14:paraId="5C7909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0" w:hRule="atLeast"/>
          <w:jc w:val="center"/>
        </w:trPr>
        <w:tc>
          <w:tcPr>
            <w:tcW w:w="733" w:type="dxa"/>
            <w:vMerge w:val="continue"/>
            <w:tcBorders>
              <w:left w:val="single" w:color="000000" w:sz="4" w:space="0"/>
              <w:right w:val="single" w:color="000000" w:sz="4" w:space="0"/>
            </w:tcBorders>
            <w:vAlign w:val="center"/>
          </w:tcPr>
          <w:p w14:paraId="2FF177CB">
            <w:pPr>
              <w:keepNext w:val="0"/>
              <w:keepLines w:val="0"/>
              <w:widowControl/>
              <w:suppressLineNumbers w:val="0"/>
              <w:spacing w:before="0" w:beforeAutospacing="0" w:after="0" w:afterAutospacing="0"/>
              <w:ind w:left="0" w:right="0"/>
              <w:rPr>
                <w:rFonts w:hint="default"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58723268">
            <w:pPr>
              <w:keepNext w:val="0"/>
              <w:keepLines w:val="0"/>
              <w:widowControl/>
              <w:suppressLineNumbers w:val="0"/>
              <w:spacing w:before="0" w:beforeAutospacing="0" w:after="0" w:afterAutospacing="0"/>
              <w:ind w:left="0" w:right="0"/>
              <w:rPr>
                <w:rFonts w:hint="default"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7A87F6C4">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color w:val="000000"/>
              </w:rPr>
              <w:t>支付进度率</w:t>
            </w:r>
            <w:r>
              <w:rPr>
                <w:rFonts w:hint="eastAsia" w:ascii="宋体" w:hAnsi="宋体" w:eastAsia="宋体" w:cs="宋体"/>
              </w:rPr>
              <w:t>（6分）</w:t>
            </w:r>
          </w:p>
        </w:tc>
        <w:tc>
          <w:tcPr>
            <w:tcW w:w="6911" w:type="dxa"/>
            <w:tcBorders>
              <w:top w:val="single" w:color="000000" w:sz="4" w:space="0"/>
              <w:left w:val="single" w:color="auto" w:sz="4" w:space="0"/>
              <w:bottom w:val="single" w:color="000000" w:sz="4" w:space="0"/>
              <w:right w:val="single" w:color="auto" w:sz="4" w:space="0"/>
            </w:tcBorders>
            <w:vAlign w:val="center"/>
          </w:tcPr>
          <w:p w14:paraId="701156C1">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部门年度支付数与年度预算（调整）数的比率，用以反映和评价部门预算执行的及时和均衡程度。</w:t>
            </w:r>
          </w:p>
          <w:p w14:paraId="74AFA0CA">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半年支付进度=部门上半年实际支出÷（上年结余结转+本年部门预算安排+上半年执行中追加追减）×100%</w:t>
            </w:r>
          </w:p>
          <w:p w14:paraId="2BFC864B">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全年支付进度=部门全年实际支出÷（上年结余结转+本年部门预算安排+全年执行中追加追减）×100%</w:t>
            </w:r>
          </w:p>
        </w:tc>
        <w:tc>
          <w:tcPr>
            <w:tcW w:w="3423" w:type="dxa"/>
            <w:tcBorders>
              <w:top w:val="single" w:color="000000" w:sz="4" w:space="0"/>
              <w:left w:val="single" w:color="auto" w:sz="4" w:space="0"/>
              <w:bottom w:val="single" w:color="000000" w:sz="4" w:space="0"/>
              <w:right w:val="single" w:color="auto" w:sz="4" w:space="0"/>
            </w:tcBorders>
            <w:vAlign w:val="center"/>
          </w:tcPr>
          <w:p w14:paraId="04C32748">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半年进度：结果≥50%，得2分；50%＞结果≥40%，得1分；结果＜40%，得0分。</w:t>
            </w:r>
          </w:p>
          <w:p w14:paraId="695963C1">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全年进度：结果≥100%，得4分；100%＞结果≥95%，得3分；95%＞结果≥90%，得2分；90%＞结果≥85%，得2分；结果＜85%，得0分。</w:t>
            </w:r>
          </w:p>
        </w:tc>
        <w:tc>
          <w:tcPr>
            <w:tcW w:w="1090" w:type="dxa"/>
            <w:tcBorders>
              <w:top w:val="single" w:color="000000" w:sz="4" w:space="0"/>
              <w:left w:val="single" w:color="auto" w:sz="4" w:space="0"/>
              <w:bottom w:val="single" w:color="000000" w:sz="4" w:space="0"/>
              <w:right w:val="single" w:color="000000" w:sz="4" w:space="0"/>
            </w:tcBorders>
            <w:vAlign w:val="center"/>
          </w:tcPr>
          <w:p w14:paraId="402D5547">
            <w:pPr>
              <w:keepNext w:val="0"/>
              <w:keepLines w:val="0"/>
              <w:widowControl/>
              <w:suppressLineNumbers w:val="0"/>
              <w:spacing w:before="0" w:beforeAutospacing="0" w:after="0" w:afterAutospacing="0" w:line="240" w:lineRule="exact"/>
              <w:ind w:left="0" w:right="0"/>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1</w:t>
            </w:r>
          </w:p>
          <w:p w14:paraId="0FE32D47">
            <w:pPr>
              <w:pStyle w:val="2"/>
              <w:keepNext w:val="0"/>
              <w:keepLines w:val="0"/>
              <w:widowControl/>
              <w:suppressLineNumbers w:val="0"/>
              <w:ind w:right="0"/>
              <w:rPr>
                <w:rFonts w:hint="eastAsia" w:ascii="宋体" w:hAnsi="宋体" w:eastAsia="宋体" w:cs="宋体"/>
                <w:lang w:val="en-US" w:eastAsia="zh-CN"/>
              </w:rPr>
            </w:pPr>
          </w:p>
          <w:p w14:paraId="4236C91D">
            <w:pPr>
              <w:pStyle w:val="2"/>
              <w:keepNext w:val="0"/>
              <w:keepLines w:val="0"/>
              <w:widowControl/>
              <w:suppressLineNumbers w:val="0"/>
              <w:ind w:right="0"/>
              <w:rPr>
                <w:rFonts w:hint="eastAsia" w:ascii="宋体" w:hAnsi="宋体" w:eastAsia="宋体" w:cs="宋体"/>
                <w:lang w:val="en-US" w:eastAsia="zh-CN"/>
              </w:rPr>
            </w:pPr>
          </w:p>
          <w:p w14:paraId="6AE6382E">
            <w:pPr>
              <w:pStyle w:val="2"/>
              <w:keepNext w:val="0"/>
              <w:keepLines w:val="0"/>
              <w:widowControl/>
              <w:suppressLineNumbers w:val="0"/>
              <w:ind w:right="0"/>
              <w:rPr>
                <w:rFonts w:hint="eastAsia" w:ascii="宋体" w:hAnsi="宋体" w:eastAsia="宋体" w:cs="宋体"/>
                <w:lang w:val="en-US" w:eastAsia="zh-CN"/>
              </w:rPr>
            </w:pPr>
          </w:p>
          <w:p w14:paraId="247510E4">
            <w:pPr>
              <w:keepNext w:val="0"/>
              <w:keepLines w:val="0"/>
              <w:widowControl/>
              <w:suppressLineNumbers w:val="0"/>
              <w:spacing w:before="0" w:beforeAutospacing="0" w:after="0" w:afterAutospacing="0" w:line="240" w:lineRule="exact"/>
              <w:ind w:left="0" w:right="0" w:firstLine="220" w:firstLineChars="100"/>
              <w:rPr>
                <w:rFonts w:hint="default" w:ascii="宋体" w:hAnsi="宋体" w:eastAsia="宋体" w:cs="宋体"/>
                <w:lang w:val="en-US" w:eastAsia="zh-CN"/>
              </w:rPr>
            </w:pPr>
            <w:r>
              <w:rPr>
                <w:rFonts w:hint="eastAsia" w:ascii="宋体" w:hAnsi="宋体" w:eastAsia="宋体" w:cs="宋体"/>
                <w:lang w:val="en-US" w:eastAsia="zh-CN"/>
              </w:rPr>
              <w:t>3</w:t>
            </w:r>
          </w:p>
        </w:tc>
      </w:tr>
      <w:tr w14:paraId="58ED73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8" w:hRule="atLeast"/>
          <w:jc w:val="center"/>
        </w:trPr>
        <w:tc>
          <w:tcPr>
            <w:tcW w:w="733" w:type="dxa"/>
            <w:vMerge w:val="continue"/>
            <w:tcBorders>
              <w:left w:val="single" w:color="000000" w:sz="4" w:space="0"/>
              <w:right w:val="single" w:color="000000" w:sz="4" w:space="0"/>
            </w:tcBorders>
            <w:vAlign w:val="center"/>
          </w:tcPr>
          <w:p w14:paraId="4E98BB82">
            <w:pPr>
              <w:keepNext w:val="0"/>
              <w:keepLines w:val="0"/>
              <w:widowControl/>
              <w:suppressLineNumbers w:val="0"/>
              <w:spacing w:before="0" w:beforeAutospacing="0" w:after="0" w:afterAutospacing="0"/>
              <w:ind w:left="0" w:right="0"/>
              <w:rPr>
                <w:rFonts w:hint="default"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7E69D8C3">
            <w:pPr>
              <w:keepNext w:val="0"/>
              <w:keepLines w:val="0"/>
              <w:widowControl/>
              <w:suppressLineNumbers w:val="0"/>
              <w:spacing w:before="0" w:beforeAutospacing="0" w:after="0" w:afterAutospacing="0"/>
              <w:ind w:left="0" w:right="0"/>
              <w:rPr>
                <w:rFonts w:hint="default"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2394D7AD">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结转结余率（3分）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63ADC458">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通过对部门本年度结转结余总额与支出预算数的比较，反映和评价部门对本年度结转结余资金的实际控制程度。</w:t>
            </w:r>
          </w:p>
          <w:p w14:paraId="6B8800D5">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结转结余率=（结转结余总额/支出预算数）×100%。</w:t>
            </w:r>
          </w:p>
        </w:tc>
        <w:tc>
          <w:tcPr>
            <w:tcW w:w="3423" w:type="dxa"/>
            <w:tcBorders>
              <w:top w:val="single" w:color="000000" w:sz="4" w:space="0"/>
              <w:left w:val="single" w:color="auto" w:sz="4" w:space="0"/>
              <w:bottom w:val="single" w:color="000000" w:sz="4" w:space="0"/>
              <w:right w:val="single" w:color="auto" w:sz="4" w:space="0"/>
            </w:tcBorders>
            <w:vAlign w:val="center"/>
          </w:tcPr>
          <w:p w14:paraId="378D9966">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目标值为0；达到目标值得3分，未达到目标值的每增加0.1个百分点扣0.1分，扣完为止。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14:paraId="2F196CE5">
            <w:pPr>
              <w:keepNext w:val="0"/>
              <w:keepLines w:val="0"/>
              <w:widowControl/>
              <w:suppressLineNumbers w:val="0"/>
              <w:spacing w:before="0" w:beforeAutospacing="0" w:after="0" w:afterAutospacing="0" w:line="240" w:lineRule="exact"/>
              <w:ind w:left="0" w:right="0"/>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3</w:t>
            </w:r>
          </w:p>
        </w:tc>
      </w:tr>
      <w:tr w14:paraId="7262B6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7" w:hRule="atLeast"/>
          <w:jc w:val="center"/>
        </w:trPr>
        <w:tc>
          <w:tcPr>
            <w:tcW w:w="733" w:type="dxa"/>
            <w:vMerge w:val="continue"/>
            <w:tcBorders>
              <w:left w:val="single" w:color="000000" w:sz="4" w:space="0"/>
              <w:right w:val="single" w:color="000000" w:sz="4" w:space="0"/>
            </w:tcBorders>
            <w:vAlign w:val="center"/>
          </w:tcPr>
          <w:p w14:paraId="1C285318">
            <w:pPr>
              <w:keepNext w:val="0"/>
              <w:keepLines w:val="0"/>
              <w:widowControl/>
              <w:suppressLineNumbers w:val="0"/>
              <w:spacing w:before="0" w:beforeAutospacing="0" w:after="0" w:afterAutospacing="0"/>
              <w:ind w:left="0" w:right="0"/>
              <w:rPr>
                <w:rFonts w:hint="default"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3D35390D">
            <w:pPr>
              <w:keepNext w:val="0"/>
              <w:keepLines w:val="0"/>
              <w:widowControl/>
              <w:suppressLineNumbers w:val="0"/>
              <w:spacing w:before="0" w:beforeAutospacing="0" w:after="0" w:afterAutospacing="0"/>
              <w:ind w:left="0" w:right="0"/>
              <w:rPr>
                <w:rFonts w:hint="default"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5480E45A">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结转结余变动率(3分）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4BC6DDAC">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部门本年度结转结余资金总额与上年度结转结余资金总额的变动比率，用以反映和考核部门对控制结转结余资金的努力程度。</w:t>
            </w:r>
          </w:p>
          <w:p w14:paraId="7B5197AD">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结转结余变动率=〔（本年度累计结转结余资金总额-上年度累计结转结余资金总额）/上年度累计结转结余资金总额〕×100%。</w:t>
            </w:r>
          </w:p>
        </w:tc>
        <w:tc>
          <w:tcPr>
            <w:tcW w:w="3423" w:type="dxa"/>
            <w:tcBorders>
              <w:top w:val="single" w:color="000000" w:sz="4" w:space="0"/>
              <w:left w:val="single" w:color="auto" w:sz="4" w:space="0"/>
              <w:bottom w:val="single" w:color="000000" w:sz="4" w:space="0"/>
              <w:right w:val="single" w:color="auto" w:sz="4" w:space="0"/>
            </w:tcBorders>
            <w:vAlign w:val="center"/>
          </w:tcPr>
          <w:p w14:paraId="4F718E2A">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目标值为≤0%；达到目标值得3分，未达到目标值的采用比率扣分法：扣分值=结转结余变动率×2×10，变动率达10%以上的扣2分。</w:t>
            </w:r>
          </w:p>
        </w:tc>
        <w:tc>
          <w:tcPr>
            <w:tcW w:w="1090" w:type="dxa"/>
            <w:tcBorders>
              <w:top w:val="single" w:color="000000" w:sz="4" w:space="0"/>
              <w:left w:val="single" w:color="auto" w:sz="4" w:space="0"/>
              <w:bottom w:val="single" w:color="000000" w:sz="4" w:space="0"/>
              <w:right w:val="single" w:color="000000" w:sz="4" w:space="0"/>
            </w:tcBorders>
            <w:vAlign w:val="center"/>
          </w:tcPr>
          <w:p w14:paraId="307F6896">
            <w:pPr>
              <w:keepNext w:val="0"/>
              <w:keepLines w:val="0"/>
              <w:widowControl/>
              <w:suppressLineNumbers w:val="0"/>
              <w:spacing w:before="0" w:beforeAutospacing="0" w:after="0" w:afterAutospacing="0" w:line="240" w:lineRule="exact"/>
              <w:ind w:left="0" w:right="0"/>
              <w:rPr>
                <w:rFonts w:hint="eastAsia" w:ascii="宋体" w:hAnsi="宋体" w:eastAsia="宋体" w:cs="宋体"/>
                <w:lang w:val="en-US" w:eastAsia="zh-CN"/>
              </w:rPr>
            </w:pPr>
            <w:r>
              <w:rPr>
                <w:rFonts w:hint="eastAsia" w:ascii="宋体" w:hAnsi="宋体" w:eastAsia="宋体" w:cs="宋体"/>
                <w:lang w:val="en-US" w:eastAsia="zh-CN"/>
              </w:rPr>
              <w:t>3</w:t>
            </w:r>
          </w:p>
        </w:tc>
      </w:tr>
      <w:tr w14:paraId="4757F9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05" w:hRule="atLeast"/>
          <w:jc w:val="center"/>
        </w:trPr>
        <w:tc>
          <w:tcPr>
            <w:tcW w:w="733" w:type="dxa"/>
            <w:vMerge w:val="continue"/>
            <w:tcBorders>
              <w:left w:val="single" w:color="000000" w:sz="4" w:space="0"/>
              <w:right w:val="single" w:color="000000" w:sz="4" w:space="0"/>
            </w:tcBorders>
            <w:vAlign w:val="center"/>
          </w:tcPr>
          <w:p w14:paraId="5F5C302E">
            <w:pPr>
              <w:keepNext w:val="0"/>
              <w:keepLines w:val="0"/>
              <w:widowControl/>
              <w:suppressLineNumbers w:val="0"/>
              <w:spacing w:before="0" w:beforeAutospacing="0" w:after="0" w:afterAutospacing="0"/>
              <w:ind w:left="0" w:right="0"/>
              <w:rPr>
                <w:rFonts w:hint="default"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6A10E095">
            <w:pPr>
              <w:keepNext w:val="0"/>
              <w:keepLines w:val="0"/>
              <w:widowControl/>
              <w:suppressLineNumbers w:val="0"/>
              <w:spacing w:before="0" w:beforeAutospacing="0" w:after="0" w:afterAutospacing="0"/>
              <w:ind w:left="0" w:right="0"/>
              <w:rPr>
                <w:rFonts w:hint="default"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6AA5072E">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公用经费控制率（3分）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37D78C71">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通过对部门本年度实际支出的公用经费总额与预算安排的公用经费总额的比率，反映和评价部门对机构运转成本的实际控制程度。</w:t>
            </w:r>
          </w:p>
          <w:p w14:paraId="79481C9A">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公用经费控制率=（实际支出公用经费总额/预算安排公用经费总额）×100%。</w:t>
            </w:r>
          </w:p>
        </w:tc>
        <w:tc>
          <w:tcPr>
            <w:tcW w:w="3423" w:type="dxa"/>
            <w:tcBorders>
              <w:top w:val="single" w:color="000000" w:sz="4" w:space="0"/>
              <w:left w:val="single" w:color="auto" w:sz="4" w:space="0"/>
              <w:bottom w:val="single" w:color="000000" w:sz="4" w:space="0"/>
              <w:right w:val="single" w:color="auto" w:sz="4" w:space="0"/>
            </w:tcBorders>
            <w:vAlign w:val="center"/>
          </w:tcPr>
          <w:p w14:paraId="1BFFA4D9">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目标值为≤100%；达到目标值得3分，未达到目标值的每增加0.1个百分点扣0.1分，扣完为止。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14:paraId="0A58DD2D">
            <w:pPr>
              <w:keepNext w:val="0"/>
              <w:keepLines w:val="0"/>
              <w:widowControl/>
              <w:suppressLineNumbers w:val="0"/>
              <w:spacing w:before="0" w:beforeAutospacing="0" w:after="0" w:afterAutospacing="0" w:line="240" w:lineRule="exact"/>
              <w:ind w:left="0" w:right="0"/>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3</w:t>
            </w:r>
          </w:p>
        </w:tc>
      </w:tr>
      <w:tr w14:paraId="03BA9E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3" w:hRule="atLeast"/>
          <w:jc w:val="center"/>
        </w:trPr>
        <w:tc>
          <w:tcPr>
            <w:tcW w:w="733" w:type="dxa"/>
            <w:vMerge w:val="continue"/>
            <w:tcBorders>
              <w:left w:val="single" w:color="000000" w:sz="4" w:space="0"/>
              <w:right w:val="single" w:color="000000" w:sz="4" w:space="0"/>
            </w:tcBorders>
            <w:vAlign w:val="center"/>
          </w:tcPr>
          <w:p w14:paraId="6E839245">
            <w:pPr>
              <w:keepNext w:val="0"/>
              <w:keepLines w:val="0"/>
              <w:widowControl/>
              <w:suppressLineNumbers w:val="0"/>
              <w:spacing w:before="0" w:beforeAutospacing="0" w:after="0" w:afterAutospacing="0"/>
              <w:ind w:left="0" w:right="0"/>
              <w:rPr>
                <w:rFonts w:hint="default"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517EDBFB">
            <w:pPr>
              <w:keepNext w:val="0"/>
              <w:keepLines w:val="0"/>
              <w:widowControl/>
              <w:suppressLineNumbers w:val="0"/>
              <w:spacing w:before="0" w:beforeAutospacing="0" w:after="0" w:afterAutospacing="0"/>
              <w:ind w:left="0" w:right="0"/>
              <w:rPr>
                <w:rFonts w:hint="default"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714F5793">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“三公经费”控制率（3分）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787E3ACE">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部门（单位）本年度“三公经费”实际支出数与预算安排数的比率，用以反映和考核部门（单位）对“三公经费”的实际控制程度。</w:t>
            </w:r>
          </w:p>
          <w:p w14:paraId="2BDFB082">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“三公经费”控制率=（“三公经费”实际支出/“三公经费”预算安排数）×100%</w:t>
            </w:r>
          </w:p>
        </w:tc>
        <w:tc>
          <w:tcPr>
            <w:tcW w:w="3423" w:type="dxa"/>
            <w:tcBorders>
              <w:top w:val="single" w:color="000000" w:sz="4" w:space="0"/>
              <w:left w:val="single" w:color="auto" w:sz="4" w:space="0"/>
              <w:bottom w:val="single" w:color="000000" w:sz="4" w:space="0"/>
              <w:right w:val="single" w:color="auto" w:sz="4" w:space="0"/>
            </w:tcBorders>
            <w:vAlign w:val="center"/>
          </w:tcPr>
          <w:p w14:paraId="3D860198">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目标值为≤100%；达到目标值得3分，未达到目标值的每增加0.1个百分点扣0.1分，扣完为止。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14:paraId="412DD070">
            <w:pPr>
              <w:keepNext w:val="0"/>
              <w:keepLines w:val="0"/>
              <w:widowControl/>
              <w:suppressLineNumbers w:val="0"/>
              <w:spacing w:before="0" w:beforeAutospacing="0" w:after="0" w:afterAutospacing="0" w:line="240" w:lineRule="exact"/>
              <w:ind w:left="0" w:right="0"/>
              <w:rPr>
                <w:rFonts w:hint="eastAsia" w:ascii="宋体" w:hAnsi="宋体" w:eastAsia="宋体" w:cs="宋体"/>
                <w:lang w:val="en-US" w:eastAsia="zh-CN"/>
              </w:rPr>
            </w:pPr>
            <w:r>
              <w:rPr>
                <w:rFonts w:hint="eastAsia" w:ascii="宋体" w:hAnsi="宋体" w:eastAsia="宋体" w:cs="宋体"/>
                <w:lang w:val="en-US" w:eastAsia="zh-CN"/>
              </w:rPr>
              <w:t>3</w:t>
            </w:r>
          </w:p>
        </w:tc>
      </w:tr>
      <w:tr w14:paraId="30DC8C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61" w:hRule="atLeast"/>
          <w:jc w:val="center"/>
        </w:trPr>
        <w:tc>
          <w:tcPr>
            <w:tcW w:w="733" w:type="dxa"/>
            <w:vMerge w:val="continue"/>
            <w:tcBorders>
              <w:left w:val="single" w:color="000000" w:sz="4" w:space="0"/>
              <w:right w:val="single" w:color="000000" w:sz="4" w:space="0"/>
            </w:tcBorders>
            <w:vAlign w:val="center"/>
          </w:tcPr>
          <w:p w14:paraId="657E7866">
            <w:pPr>
              <w:keepNext w:val="0"/>
              <w:keepLines w:val="0"/>
              <w:widowControl/>
              <w:suppressLineNumbers w:val="0"/>
              <w:spacing w:before="0" w:beforeAutospacing="0" w:after="0" w:afterAutospacing="0"/>
              <w:ind w:left="0" w:right="0"/>
              <w:rPr>
                <w:rFonts w:hint="default"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4EE0A97B">
            <w:pPr>
              <w:keepNext w:val="0"/>
              <w:keepLines w:val="0"/>
              <w:widowControl/>
              <w:suppressLineNumbers w:val="0"/>
              <w:spacing w:before="0" w:beforeAutospacing="0" w:after="0" w:afterAutospacing="0"/>
              <w:ind w:left="0" w:right="0"/>
              <w:rPr>
                <w:rFonts w:hint="default"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655F2FE0">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政府采购执行率（3分）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0E50D49D">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通过对部门本年度实际政府采购预算项目个数与政府采购预算项目个数的比较，反映和评价部门政府采购预算执行情况。</w:t>
            </w:r>
          </w:p>
          <w:p w14:paraId="76FAEA41">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政府采购执行率=（实际政府采购预算项目个数/政府采购预算项目个数）×100%。</w:t>
            </w:r>
          </w:p>
          <w:p w14:paraId="2E66DBF1">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政府采购项目中非预算内安排的项目除外。</w:t>
            </w:r>
          </w:p>
        </w:tc>
        <w:tc>
          <w:tcPr>
            <w:tcW w:w="3423" w:type="dxa"/>
            <w:tcBorders>
              <w:top w:val="single" w:color="000000" w:sz="4" w:space="0"/>
              <w:left w:val="single" w:color="auto" w:sz="4" w:space="0"/>
              <w:bottom w:val="single" w:color="000000" w:sz="4" w:space="0"/>
              <w:right w:val="single" w:color="auto" w:sz="4" w:space="0"/>
            </w:tcBorders>
            <w:vAlign w:val="center"/>
          </w:tcPr>
          <w:p w14:paraId="297E0E4A">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目标值为100%；以3分为上限，采用完成比率法计分：得分=政府采购执行率×3。</w:t>
            </w:r>
          </w:p>
        </w:tc>
        <w:tc>
          <w:tcPr>
            <w:tcW w:w="1090" w:type="dxa"/>
            <w:tcBorders>
              <w:top w:val="single" w:color="000000" w:sz="4" w:space="0"/>
              <w:left w:val="single" w:color="auto" w:sz="4" w:space="0"/>
              <w:bottom w:val="single" w:color="000000" w:sz="4" w:space="0"/>
              <w:right w:val="single" w:color="000000" w:sz="4" w:space="0"/>
            </w:tcBorders>
            <w:vAlign w:val="center"/>
          </w:tcPr>
          <w:p w14:paraId="6BDED19D">
            <w:pPr>
              <w:keepNext w:val="0"/>
              <w:keepLines w:val="0"/>
              <w:widowControl/>
              <w:suppressLineNumbers w:val="0"/>
              <w:spacing w:before="0" w:beforeAutospacing="0" w:after="0" w:afterAutospacing="0" w:line="240" w:lineRule="exact"/>
              <w:ind w:left="0" w:right="0"/>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3</w:t>
            </w:r>
          </w:p>
        </w:tc>
      </w:tr>
      <w:tr w14:paraId="47AC8D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4" w:hRule="atLeast"/>
          <w:jc w:val="center"/>
        </w:trPr>
        <w:tc>
          <w:tcPr>
            <w:tcW w:w="733" w:type="dxa"/>
            <w:vMerge w:val="continue"/>
            <w:tcBorders>
              <w:left w:val="single" w:color="000000" w:sz="4" w:space="0"/>
              <w:right w:val="single" w:color="000000" w:sz="4" w:space="0"/>
            </w:tcBorders>
            <w:vAlign w:val="center"/>
          </w:tcPr>
          <w:p w14:paraId="5295D557">
            <w:pPr>
              <w:keepNext w:val="0"/>
              <w:keepLines w:val="0"/>
              <w:widowControl/>
              <w:suppressLineNumbers w:val="0"/>
              <w:spacing w:before="0" w:beforeAutospacing="0" w:after="0" w:afterAutospacing="0"/>
              <w:ind w:left="0" w:right="0"/>
              <w:rPr>
                <w:rFonts w:hint="default" w:ascii="宋体" w:hAnsi="宋体" w:eastAsia="宋体" w:cs="宋体"/>
              </w:rPr>
            </w:pPr>
          </w:p>
        </w:tc>
        <w:tc>
          <w:tcPr>
            <w:tcW w:w="803" w:type="dxa"/>
            <w:vMerge w:val="restart"/>
            <w:tcBorders>
              <w:top w:val="single" w:color="000000" w:sz="4" w:space="0"/>
              <w:left w:val="single" w:color="000000" w:sz="4" w:space="0"/>
              <w:right w:val="single" w:color="000000" w:sz="4" w:space="0"/>
            </w:tcBorders>
            <w:vAlign w:val="center"/>
          </w:tcPr>
          <w:p w14:paraId="1E972783">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rPr>
            </w:pPr>
            <w:r>
              <w:rPr>
                <w:rFonts w:hint="eastAsia" w:ascii="宋体" w:hAnsi="宋体" w:eastAsia="宋体" w:cs="宋体"/>
              </w:rPr>
              <w:t>预算管理</w:t>
            </w:r>
          </w:p>
          <w:p w14:paraId="215E5037">
            <w:pPr>
              <w:keepNext w:val="0"/>
              <w:keepLines w:val="0"/>
              <w:widowControl/>
              <w:suppressLineNumbers w:val="0"/>
              <w:spacing w:before="0" w:beforeAutospacing="0" w:after="0" w:afterAutospacing="0" w:line="68" w:lineRule="atLeast"/>
              <w:ind w:left="0" w:right="0"/>
              <w:jc w:val="center"/>
              <w:rPr>
                <w:rFonts w:hint="default" w:ascii="宋体" w:hAnsi="宋体" w:eastAsia="宋体" w:cs="宋体"/>
              </w:rPr>
            </w:pPr>
            <w:r>
              <w:rPr>
                <w:rFonts w:hint="eastAsia" w:ascii="宋体" w:hAnsi="宋体" w:eastAsia="宋体" w:cs="宋体"/>
              </w:rPr>
              <w:t>（18分）</w:t>
            </w:r>
          </w:p>
        </w:tc>
        <w:tc>
          <w:tcPr>
            <w:tcW w:w="1182" w:type="dxa"/>
            <w:tcBorders>
              <w:top w:val="single" w:color="000000" w:sz="4" w:space="0"/>
              <w:left w:val="single" w:color="000000" w:sz="4" w:space="0"/>
              <w:bottom w:val="single" w:color="000000" w:sz="4" w:space="0"/>
              <w:right w:val="single" w:color="auto" w:sz="4" w:space="0"/>
            </w:tcBorders>
            <w:vAlign w:val="center"/>
          </w:tcPr>
          <w:p w14:paraId="611A6C56">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管理制度健全性</w:t>
            </w:r>
          </w:p>
          <w:p w14:paraId="546B28AE">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（2分）</w:t>
            </w:r>
          </w:p>
        </w:tc>
        <w:tc>
          <w:tcPr>
            <w:tcW w:w="6911" w:type="dxa"/>
            <w:tcBorders>
              <w:top w:val="single" w:color="000000" w:sz="4" w:space="0"/>
              <w:left w:val="single" w:color="auto" w:sz="4" w:space="0"/>
              <w:bottom w:val="single" w:color="000000" w:sz="4" w:space="0"/>
              <w:right w:val="single" w:color="auto" w:sz="4" w:space="0"/>
            </w:tcBorders>
            <w:vAlign w:val="center"/>
          </w:tcPr>
          <w:p w14:paraId="1206317E">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部门为加强预算管理，规范财务行为而制定的管理制度是否健全完整，用以反映和考核部门预算管理制度对完成主要职责或促进事业发展的保障情况。</w:t>
            </w:r>
          </w:p>
          <w:p w14:paraId="573E4500">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评价要点：</w:t>
            </w:r>
          </w:p>
          <w:p w14:paraId="43F68DEB">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1．是否已制定或具有预算资金管理办法、内部财务管理制度、会计核算制度等管理制度；</w:t>
            </w:r>
          </w:p>
          <w:p w14:paraId="2630E4CA">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2.相关管理制度是否合法、合规、完整；</w:t>
            </w:r>
          </w:p>
          <w:p w14:paraId="316EB2D3">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3.相关管理制度是否得到有效执行。</w:t>
            </w:r>
          </w:p>
        </w:tc>
        <w:tc>
          <w:tcPr>
            <w:tcW w:w="3423" w:type="dxa"/>
            <w:tcBorders>
              <w:top w:val="single" w:color="000000" w:sz="4" w:space="0"/>
              <w:left w:val="single" w:color="auto" w:sz="4" w:space="0"/>
              <w:bottom w:val="single" w:color="000000" w:sz="4" w:space="0"/>
              <w:right w:val="single" w:color="auto" w:sz="4" w:space="0"/>
            </w:tcBorders>
            <w:vAlign w:val="center"/>
          </w:tcPr>
          <w:p w14:paraId="4524CFEC">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全部符合（2分）；</w:t>
            </w:r>
          </w:p>
          <w:p w14:paraId="5D8D11E3">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符合其中两项（1分）</w:t>
            </w:r>
          </w:p>
          <w:p w14:paraId="0B23575D">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0C540DA8">
            <w:pPr>
              <w:keepNext w:val="0"/>
              <w:keepLines w:val="0"/>
              <w:widowControl/>
              <w:suppressLineNumbers w:val="0"/>
              <w:spacing w:before="0" w:beforeAutospacing="0" w:after="0" w:afterAutospacing="0" w:line="240" w:lineRule="exact"/>
              <w:ind w:left="0" w:right="0"/>
              <w:rPr>
                <w:rFonts w:hint="eastAsia" w:ascii="宋体" w:hAnsi="宋体" w:eastAsia="宋体" w:cs="宋体"/>
                <w:lang w:val="en-US" w:eastAsia="zh-CN"/>
              </w:rPr>
            </w:pPr>
            <w:r>
              <w:rPr>
                <w:rFonts w:hint="eastAsia" w:ascii="宋体" w:hAnsi="宋体" w:eastAsia="宋体" w:cs="宋体"/>
                <w:lang w:val="en-US" w:eastAsia="zh-CN"/>
              </w:rPr>
              <w:t>2</w:t>
            </w:r>
          </w:p>
        </w:tc>
      </w:tr>
      <w:tr w14:paraId="301D67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65" w:hRule="atLeast"/>
          <w:jc w:val="center"/>
        </w:trPr>
        <w:tc>
          <w:tcPr>
            <w:tcW w:w="733" w:type="dxa"/>
            <w:vMerge w:val="continue"/>
            <w:tcBorders>
              <w:left w:val="single" w:color="000000" w:sz="4" w:space="0"/>
              <w:right w:val="single" w:color="000000" w:sz="4" w:space="0"/>
            </w:tcBorders>
            <w:vAlign w:val="center"/>
          </w:tcPr>
          <w:p w14:paraId="035E6742">
            <w:pPr>
              <w:keepNext w:val="0"/>
              <w:keepLines w:val="0"/>
              <w:widowControl/>
              <w:suppressLineNumbers w:val="0"/>
              <w:spacing w:before="0" w:beforeAutospacing="0" w:after="0" w:afterAutospacing="0"/>
              <w:ind w:left="0" w:right="0"/>
              <w:rPr>
                <w:rFonts w:hint="default" w:ascii="宋体" w:hAnsi="宋体" w:eastAsia="宋体" w:cs="宋体"/>
              </w:rPr>
            </w:pPr>
          </w:p>
        </w:tc>
        <w:tc>
          <w:tcPr>
            <w:tcW w:w="803" w:type="dxa"/>
            <w:vMerge w:val="continue"/>
            <w:tcBorders>
              <w:left w:val="single" w:color="000000" w:sz="4" w:space="0"/>
              <w:right w:val="single" w:color="000000" w:sz="4" w:space="0"/>
            </w:tcBorders>
            <w:vAlign w:val="center"/>
          </w:tcPr>
          <w:p w14:paraId="1B2DC2E6">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316620A6">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资金使用合规性</w:t>
            </w:r>
          </w:p>
          <w:p w14:paraId="29DD939F">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（9分）</w:t>
            </w:r>
          </w:p>
        </w:tc>
        <w:tc>
          <w:tcPr>
            <w:tcW w:w="6911" w:type="dxa"/>
            <w:tcBorders>
              <w:top w:val="single" w:color="000000" w:sz="4" w:space="0"/>
              <w:left w:val="single" w:color="auto" w:sz="4" w:space="0"/>
              <w:bottom w:val="single" w:color="000000" w:sz="4" w:space="0"/>
              <w:right w:val="single" w:color="auto" w:sz="4" w:space="0"/>
            </w:tcBorders>
            <w:vAlign w:val="center"/>
          </w:tcPr>
          <w:p w14:paraId="66A0117F">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部门使用预算资金是否符合相关的预算财务管理制度的规定，反映和评价部门预算资金的规范运行情况。</w:t>
            </w:r>
          </w:p>
          <w:p w14:paraId="2109BD8B">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评价要点：</w:t>
            </w:r>
          </w:p>
          <w:p w14:paraId="24DD7F21">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1.符合国家财经法规和财务管理制度规定以及有关部门资金管理办法的规定；</w:t>
            </w:r>
          </w:p>
          <w:p w14:paraId="710869D8">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2.资金的拨付有完整的审批过程和手续；</w:t>
            </w:r>
          </w:p>
          <w:p w14:paraId="3150E60E">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3.项目的重大开支经过评估论证；</w:t>
            </w:r>
          </w:p>
          <w:p w14:paraId="3AB097C8">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4.符合部门预算批复的用途；</w:t>
            </w:r>
          </w:p>
          <w:p w14:paraId="5CE2ADB3">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5.不存在截留情况；6.不存在挤占情况；</w:t>
            </w:r>
          </w:p>
          <w:p w14:paraId="14A8581D">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7.不存在挪用情况；8.不存在虚列支出情况。</w:t>
            </w:r>
          </w:p>
        </w:tc>
        <w:tc>
          <w:tcPr>
            <w:tcW w:w="3423" w:type="dxa"/>
            <w:tcBorders>
              <w:top w:val="single" w:color="000000" w:sz="4" w:space="0"/>
              <w:left w:val="single" w:color="auto" w:sz="4" w:space="0"/>
              <w:bottom w:val="single" w:color="000000" w:sz="4" w:space="0"/>
              <w:right w:val="single" w:color="auto" w:sz="4" w:space="0"/>
            </w:tcBorders>
            <w:vAlign w:val="center"/>
          </w:tcPr>
          <w:p w14:paraId="133AAB86">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全部符合（9分）；</w:t>
            </w:r>
          </w:p>
          <w:p w14:paraId="4225410A">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符合其中七项（8分）；</w:t>
            </w:r>
          </w:p>
          <w:p w14:paraId="21AFC889">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符合其中六项（5分）；</w:t>
            </w:r>
          </w:p>
          <w:p w14:paraId="3F7BF8A9">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符合其中五项（3分）；</w:t>
            </w:r>
          </w:p>
          <w:p w14:paraId="4B8FFA3E">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符合其中四项及以下（0分）。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74A0381A">
            <w:pPr>
              <w:keepNext w:val="0"/>
              <w:keepLines w:val="0"/>
              <w:widowControl/>
              <w:suppressLineNumbers w:val="0"/>
              <w:spacing w:before="0" w:beforeAutospacing="0" w:after="0" w:afterAutospacing="0" w:line="68" w:lineRule="atLeast"/>
              <w:ind w:left="0" w:right="0"/>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9</w:t>
            </w:r>
          </w:p>
        </w:tc>
      </w:tr>
      <w:tr w14:paraId="39B1C9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63" w:hRule="atLeast"/>
          <w:jc w:val="center"/>
        </w:trPr>
        <w:tc>
          <w:tcPr>
            <w:tcW w:w="733" w:type="dxa"/>
            <w:vMerge w:val="continue"/>
            <w:tcBorders>
              <w:left w:val="single" w:color="000000" w:sz="4" w:space="0"/>
              <w:right w:val="single" w:color="000000" w:sz="4" w:space="0"/>
            </w:tcBorders>
            <w:vAlign w:val="center"/>
          </w:tcPr>
          <w:p w14:paraId="7BCF9DF9">
            <w:pPr>
              <w:keepNext w:val="0"/>
              <w:keepLines w:val="0"/>
              <w:widowControl/>
              <w:suppressLineNumbers w:val="0"/>
              <w:spacing w:before="0" w:beforeAutospacing="0" w:after="0" w:afterAutospacing="0"/>
              <w:ind w:left="0" w:right="0"/>
              <w:rPr>
                <w:rFonts w:hint="default" w:ascii="宋体" w:hAnsi="宋体" w:eastAsia="宋体" w:cs="宋体"/>
              </w:rPr>
            </w:pPr>
          </w:p>
        </w:tc>
        <w:tc>
          <w:tcPr>
            <w:tcW w:w="803" w:type="dxa"/>
            <w:vMerge w:val="continue"/>
            <w:tcBorders>
              <w:left w:val="single" w:color="000000" w:sz="4" w:space="0"/>
              <w:right w:val="single" w:color="000000" w:sz="4" w:space="0"/>
            </w:tcBorders>
            <w:vAlign w:val="center"/>
          </w:tcPr>
          <w:p w14:paraId="2CD798A7">
            <w:pPr>
              <w:keepNext w:val="0"/>
              <w:keepLines w:val="0"/>
              <w:widowControl/>
              <w:suppressLineNumbers w:val="0"/>
              <w:spacing w:before="0" w:beforeAutospacing="0" w:after="0" w:afterAutospacing="0"/>
              <w:ind w:left="0" w:right="0"/>
              <w:rPr>
                <w:rFonts w:hint="default"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1A1A9492">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预决算信息公开性（3分）</w:t>
            </w:r>
          </w:p>
        </w:tc>
        <w:tc>
          <w:tcPr>
            <w:tcW w:w="6911" w:type="dxa"/>
            <w:tcBorders>
              <w:top w:val="single" w:color="000000" w:sz="4" w:space="0"/>
              <w:left w:val="single" w:color="auto" w:sz="4" w:space="0"/>
              <w:bottom w:val="single" w:color="000000" w:sz="4" w:space="0"/>
              <w:right w:val="single" w:color="auto" w:sz="4" w:space="0"/>
            </w:tcBorders>
            <w:vAlign w:val="center"/>
          </w:tcPr>
          <w:p w14:paraId="06C576B1">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部门是否按照政府信息公开有关规定公开相关预决算信息，用以反映和评价部门预决算管理的公开透明情况。</w:t>
            </w:r>
          </w:p>
          <w:p w14:paraId="0FD60E60">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预决算信息是指与部门预算、执行、决算、监督、绩效等管理相关的信息。</w:t>
            </w:r>
          </w:p>
          <w:p w14:paraId="4ABB5A73">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评价要点：</w:t>
            </w:r>
          </w:p>
          <w:p w14:paraId="4076BA38">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1.公开预决算信息；</w:t>
            </w:r>
          </w:p>
          <w:p w14:paraId="54966DC3">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2.按规定内容公开预决算信息；</w:t>
            </w:r>
          </w:p>
          <w:p w14:paraId="61F7A58F">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3.按规定时限公开预决算信息。</w:t>
            </w:r>
          </w:p>
        </w:tc>
        <w:tc>
          <w:tcPr>
            <w:tcW w:w="3423" w:type="dxa"/>
            <w:tcBorders>
              <w:top w:val="single" w:color="000000" w:sz="4" w:space="0"/>
              <w:left w:val="single" w:color="auto" w:sz="4" w:space="0"/>
              <w:bottom w:val="single" w:color="000000" w:sz="4" w:space="0"/>
              <w:right w:val="single" w:color="auto" w:sz="4" w:space="0"/>
            </w:tcBorders>
            <w:vAlign w:val="center"/>
          </w:tcPr>
          <w:p w14:paraId="5E809F18">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全部符合（3分）；</w:t>
            </w:r>
          </w:p>
          <w:p w14:paraId="2D422DA6">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符合其中两项（2分）</w:t>
            </w:r>
          </w:p>
          <w:p w14:paraId="4AB7940E">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673FA1C9">
            <w:pPr>
              <w:keepNext w:val="0"/>
              <w:keepLines w:val="0"/>
              <w:widowControl/>
              <w:suppressLineNumbers w:val="0"/>
              <w:spacing w:before="0" w:beforeAutospacing="0" w:after="0" w:afterAutospacing="0" w:line="68" w:lineRule="atLeast"/>
              <w:ind w:left="0" w:right="0"/>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3</w:t>
            </w:r>
          </w:p>
        </w:tc>
      </w:tr>
      <w:tr w14:paraId="7AD4C1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74" w:hRule="atLeast"/>
          <w:jc w:val="center"/>
        </w:trPr>
        <w:tc>
          <w:tcPr>
            <w:tcW w:w="733" w:type="dxa"/>
            <w:vMerge w:val="continue"/>
            <w:tcBorders>
              <w:left w:val="single" w:color="000000" w:sz="4" w:space="0"/>
              <w:right w:val="single" w:color="000000" w:sz="4" w:space="0"/>
            </w:tcBorders>
            <w:vAlign w:val="center"/>
          </w:tcPr>
          <w:p w14:paraId="3736D14D">
            <w:pPr>
              <w:keepNext w:val="0"/>
              <w:keepLines w:val="0"/>
              <w:widowControl/>
              <w:suppressLineNumbers w:val="0"/>
              <w:spacing w:before="0" w:beforeAutospacing="0" w:after="0" w:afterAutospacing="0"/>
              <w:ind w:left="0" w:right="0"/>
              <w:rPr>
                <w:rFonts w:hint="default"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6F1DE57D">
            <w:pPr>
              <w:keepNext w:val="0"/>
              <w:keepLines w:val="0"/>
              <w:widowControl/>
              <w:suppressLineNumbers w:val="0"/>
              <w:spacing w:before="0" w:beforeAutospacing="0" w:after="0" w:afterAutospacing="0"/>
              <w:ind w:left="0" w:right="0"/>
              <w:rPr>
                <w:rFonts w:hint="default"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4381CDB7">
            <w:pPr>
              <w:keepNext w:val="0"/>
              <w:keepLines w:val="0"/>
              <w:widowControl/>
              <w:suppressLineNumbers w:val="0"/>
              <w:spacing w:before="0" w:beforeAutospacing="0" w:after="0" w:afterAutospacing="0" w:line="68" w:lineRule="atLeast"/>
              <w:ind w:left="0" w:right="0"/>
              <w:rPr>
                <w:rFonts w:hint="default" w:ascii="宋体" w:hAnsi="宋体" w:eastAsia="宋体" w:cs="宋体"/>
                <w:color w:val="000000"/>
              </w:rPr>
            </w:pPr>
            <w:r>
              <w:rPr>
                <w:rFonts w:hint="eastAsia" w:ascii="宋体" w:hAnsi="宋体" w:eastAsia="宋体" w:cs="宋体"/>
                <w:color w:val="000000"/>
              </w:rPr>
              <w:t>基础信息完善性</w:t>
            </w:r>
          </w:p>
          <w:p w14:paraId="1EB6799D">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（4分）</w:t>
            </w:r>
          </w:p>
        </w:tc>
        <w:tc>
          <w:tcPr>
            <w:tcW w:w="6911" w:type="dxa"/>
            <w:tcBorders>
              <w:top w:val="single" w:color="000000" w:sz="4" w:space="0"/>
              <w:left w:val="single" w:color="auto" w:sz="4" w:space="0"/>
              <w:bottom w:val="single" w:color="000000" w:sz="4" w:space="0"/>
              <w:right w:val="single" w:color="auto" w:sz="4" w:space="0"/>
            </w:tcBorders>
            <w:vAlign w:val="center"/>
          </w:tcPr>
          <w:p w14:paraId="427602A7">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部门基础信息是否完善，用以反映和评价基础信息对预算管理工作的支撑情况。</w:t>
            </w:r>
          </w:p>
          <w:p w14:paraId="7F87DBFA">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评价要点：</w:t>
            </w:r>
          </w:p>
          <w:p w14:paraId="0285E282">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1.基本财务管理制度健全；</w:t>
            </w:r>
          </w:p>
          <w:p w14:paraId="4648B07E">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2.基础数据信息和会计信息资料真实；</w:t>
            </w:r>
          </w:p>
          <w:p w14:paraId="62F9CF26">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3.基础数据信息和会计信息资料完整；</w:t>
            </w:r>
          </w:p>
          <w:p w14:paraId="0F37A93D">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4.基础数据信息和会计信息资料准确。</w:t>
            </w:r>
          </w:p>
        </w:tc>
        <w:tc>
          <w:tcPr>
            <w:tcW w:w="3423" w:type="dxa"/>
            <w:tcBorders>
              <w:top w:val="single" w:color="000000" w:sz="4" w:space="0"/>
              <w:left w:val="single" w:color="auto" w:sz="4" w:space="0"/>
              <w:bottom w:val="single" w:color="000000" w:sz="4" w:space="0"/>
              <w:right w:val="single" w:color="auto" w:sz="4" w:space="0"/>
            </w:tcBorders>
            <w:vAlign w:val="center"/>
          </w:tcPr>
          <w:p w14:paraId="360117E9">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符合全部四项（4分）；</w:t>
            </w:r>
          </w:p>
          <w:p w14:paraId="60C2A74B">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符合其中三项（2分）；</w:t>
            </w:r>
          </w:p>
          <w:p w14:paraId="02900D23">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符合其中两项（1分）；</w:t>
            </w:r>
          </w:p>
          <w:p w14:paraId="0A204D47">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3D021242">
            <w:pPr>
              <w:keepNext w:val="0"/>
              <w:keepLines w:val="0"/>
              <w:widowControl/>
              <w:suppressLineNumbers w:val="0"/>
              <w:spacing w:before="0" w:beforeAutospacing="0" w:after="0" w:afterAutospacing="0" w:line="68" w:lineRule="atLeast"/>
              <w:ind w:left="0" w:right="0"/>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4</w:t>
            </w:r>
          </w:p>
        </w:tc>
      </w:tr>
      <w:tr w14:paraId="15B3F8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5" w:hRule="atLeast"/>
          <w:jc w:val="center"/>
        </w:trPr>
        <w:tc>
          <w:tcPr>
            <w:tcW w:w="733" w:type="dxa"/>
            <w:vMerge w:val="continue"/>
            <w:tcBorders>
              <w:left w:val="single" w:color="000000" w:sz="4" w:space="0"/>
              <w:right w:val="single" w:color="000000" w:sz="4" w:space="0"/>
            </w:tcBorders>
            <w:vAlign w:val="center"/>
          </w:tcPr>
          <w:p w14:paraId="204EE5D9">
            <w:pPr>
              <w:keepNext w:val="0"/>
              <w:keepLines w:val="0"/>
              <w:widowControl/>
              <w:suppressLineNumbers w:val="0"/>
              <w:spacing w:before="0" w:beforeAutospacing="0" w:after="0" w:afterAutospacing="0"/>
              <w:ind w:left="0" w:right="0"/>
              <w:rPr>
                <w:rFonts w:hint="default" w:ascii="宋体" w:hAnsi="宋体" w:eastAsia="宋体" w:cs="宋体"/>
              </w:rPr>
            </w:pPr>
          </w:p>
        </w:tc>
        <w:tc>
          <w:tcPr>
            <w:tcW w:w="803" w:type="dxa"/>
            <w:vMerge w:val="restart"/>
            <w:tcBorders>
              <w:left w:val="single" w:color="000000" w:sz="4" w:space="0"/>
              <w:right w:val="single" w:color="000000" w:sz="4" w:space="0"/>
            </w:tcBorders>
            <w:vAlign w:val="center"/>
          </w:tcPr>
          <w:p w14:paraId="06F34BDD">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资产管理（8分）</w:t>
            </w:r>
          </w:p>
        </w:tc>
        <w:tc>
          <w:tcPr>
            <w:tcW w:w="1182" w:type="dxa"/>
            <w:tcBorders>
              <w:top w:val="single" w:color="000000" w:sz="4" w:space="0"/>
              <w:left w:val="single" w:color="000000" w:sz="4" w:space="0"/>
              <w:bottom w:val="single" w:color="000000" w:sz="4" w:space="0"/>
              <w:right w:val="single" w:color="auto" w:sz="4" w:space="0"/>
            </w:tcBorders>
            <w:vAlign w:val="center"/>
          </w:tcPr>
          <w:p w14:paraId="573AA7F5">
            <w:pPr>
              <w:keepNext w:val="0"/>
              <w:keepLines w:val="0"/>
              <w:widowControl/>
              <w:suppressLineNumbers w:val="0"/>
              <w:spacing w:before="0" w:beforeAutospacing="0" w:after="0" w:afterAutospacing="0" w:line="68" w:lineRule="atLeast"/>
              <w:ind w:left="0" w:right="0"/>
              <w:rPr>
                <w:rFonts w:hint="default" w:ascii="宋体" w:hAnsi="宋体" w:eastAsia="宋体" w:cs="宋体"/>
                <w:color w:val="000000"/>
              </w:rPr>
            </w:pPr>
            <w:r>
              <w:rPr>
                <w:rFonts w:hint="eastAsia" w:ascii="宋体" w:hAnsi="宋体" w:eastAsia="宋体" w:cs="宋体"/>
                <w:color w:val="000000"/>
              </w:rPr>
              <w:t>管理制度健全性</w:t>
            </w:r>
          </w:p>
          <w:p w14:paraId="3C928F29">
            <w:pPr>
              <w:keepNext w:val="0"/>
              <w:keepLines w:val="0"/>
              <w:widowControl/>
              <w:suppressLineNumbers w:val="0"/>
              <w:spacing w:before="0" w:beforeAutospacing="0" w:after="0" w:afterAutospacing="0" w:line="68" w:lineRule="atLeast"/>
              <w:ind w:left="0" w:right="0"/>
              <w:rPr>
                <w:rFonts w:hint="default" w:ascii="宋体" w:hAnsi="宋体" w:eastAsia="宋体" w:cs="宋体"/>
                <w:color w:val="000000"/>
              </w:rPr>
            </w:pPr>
            <w:r>
              <w:rPr>
                <w:rFonts w:hint="eastAsia" w:ascii="宋体" w:hAnsi="宋体" w:eastAsia="宋体" w:cs="宋体"/>
                <w:color w:val="000000"/>
              </w:rPr>
              <w:t>（2分）</w:t>
            </w:r>
          </w:p>
        </w:tc>
        <w:tc>
          <w:tcPr>
            <w:tcW w:w="6911" w:type="dxa"/>
            <w:tcBorders>
              <w:top w:val="single" w:color="000000" w:sz="4" w:space="0"/>
              <w:left w:val="single" w:color="auto" w:sz="4" w:space="0"/>
              <w:bottom w:val="single" w:color="000000" w:sz="4" w:space="0"/>
              <w:right w:val="single" w:color="auto" w:sz="4" w:space="0"/>
            </w:tcBorders>
            <w:vAlign w:val="center"/>
          </w:tcPr>
          <w:p w14:paraId="21ED0283">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部门为加强资产管理、规范资产管理行为而制定的管理制度是否健全完整，用以反映和考核部门资产管理制度对完成主要职责或促进社会发展的保障情况。</w:t>
            </w:r>
          </w:p>
          <w:p w14:paraId="4D0610BC">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评价要点：</w:t>
            </w:r>
          </w:p>
          <w:p w14:paraId="610E75DB">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1.是否已制定或具有资产管理制度；</w:t>
            </w:r>
          </w:p>
          <w:p w14:paraId="1633108F">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2.相关资金管理制度是否合法、合规、完整；</w:t>
            </w:r>
          </w:p>
          <w:p w14:paraId="64BBBA03">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3.相关资产管理制度是否得到有效执行。</w:t>
            </w:r>
          </w:p>
        </w:tc>
        <w:tc>
          <w:tcPr>
            <w:tcW w:w="3423" w:type="dxa"/>
            <w:tcBorders>
              <w:top w:val="single" w:color="000000" w:sz="4" w:space="0"/>
              <w:left w:val="single" w:color="auto" w:sz="4" w:space="0"/>
              <w:bottom w:val="single" w:color="000000" w:sz="4" w:space="0"/>
              <w:right w:val="single" w:color="auto" w:sz="4" w:space="0"/>
            </w:tcBorders>
            <w:vAlign w:val="center"/>
          </w:tcPr>
          <w:p w14:paraId="05183E23">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全部符合（2分）；</w:t>
            </w:r>
          </w:p>
          <w:p w14:paraId="6984040B">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符合其中两项（1分）</w:t>
            </w:r>
          </w:p>
          <w:p w14:paraId="17218368">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23E19F5A">
            <w:pPr>
              <w:keepNext w:val="0"/>
              <w:keepLines w:val="0"/>
              <w:widowControl/>
              <w:suppressLineNumbers w:val="0"/>
              <w:spacing w:before="0" w:beforeAutospacing="0" w:after="0" w:afterAutospacing="0" w:line="68" w:lineRule="atLeast"/>
              <w:ind w:left="0" w:right="0"/>
              <w:rPr>
                <w:rFonts w:hint="eastAsia" w:ascii="宋体" w:hAnsi="宋体" w:eastAsia="宋体" w:cs="宋体"/>
                <w:lang w:val="en-US" w:eastAsia="zh-CN"/>
              </w:rPr>
            </w:pPr>
            <w:r>
              <w:rPr>
                <w:rFonts w:hint="eastAsia" w:ascii="宋体" w:hAnsi="宋体" w:eastAsia="宋体" w:cs="宋体"/>
                <w:lang w:val="en-US" w:eastAsia="zh-CN"/>
              </w:rPr>
              <w:t>2</w:t>
            </w:r>
          </w:p>
        </w:tc>
      </w:tr>
      <w:tr w14:paraId="0CD944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86" w:hRule="atLeast"/>
          <w:jc w:val="center"/>
        </w:trPr>
        <w:tc>
          <w:tcPr>
            <w:tcW w:w="733" w:type="dxa"/>
            <w:vMerge w:val="continue"/>
            <w:tcBorders>
              <w:left w:val="single" w:color="000000" w:sz="4" w:space="0"/>
              <w:right w:val="single" w:color="000000" w:sz="4" w:space="0"/>
            </w:tcBorders>
            <w:vAlign w:val="center"/>
          </w:tcPr>
          <w:p w14:paraId="5E898711">
            <w:pPr>
              <w:keepNext w:val="0"/>
              <w:keepLines w:val="0"/>
              <w:widowControl/>
              <w:suppressLineNumbers w:val="0"/>
              <w:spacing w:before="0" w:beforeAutospacing="0" w:after="0" w:afterAutospacing="0"/>
              <w:ind w:left="0" w:right="0"/>
              <w:rPr>
                <w:rFonts w:hint="default" w:ascii="宋体" w:hAnsi="宋体" w:eastAsia="宋体" w:cs="宋体"/>
              </w:rPr>
            </w:pPr>
          </w:p>
        </w:tc>
        <w:tc>
          <w:tcPr>
            <w:tcW w:w="803" w:type="dxa"/>
            <w:vMerge w:val="continue"/>
            <w:tcBorders>
              <w:left w:val="single" w:color="000000" w:sz="4" w:space="0"/>
              <w:right w:val="single" w:color="000000" w:sz="4" w:space="0"/>
            </w:tcBorders>
            <w:vAlign w:val="center"/>
          </w:tcPr>
          <w:p w14:paraId="119855F4">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14:paraId="4BD35FA2">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资产管理完全性</w:t>
            </w:r>
          </w:p>
          <w:p w14:paraId="3D64E55A">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（3分）</w:t>
            </w:r>
          </w:p>
        </w:tc>
        <w:tc>
          <w:tcPr>
            <w:tcW w:w="6911" w:type="dxa"/>
            <w:tcBorders>
              <w:top w:val="single" w:color="auto" w:sz="4" w:space="0"/>
              <w:left w:val="single" w:color="auto" w:sz="4" w:space="0"/>
              <w:bottom w:val="single" w:color="000000" w:sz="4" w:space="0"/>
              <w:right w:val="single" w:color="auto" w:sz="4" w:space="0"/>
            </w:tcBorders>
            <w:vAlign w:val="center"/>
          </w:tcPr>
          <w:p w14:paraId="1634552D">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部门的资产是否保存完整、使用合规、收入及时足额上缴，用以反映和评价部门资产运行情况。</w:t>
            </w:r>
          </w:p>
          <w:p w14:paraId="727A8A85">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评价要点：</w:t>
            </w:r>
          </w:p>
          <w:p w14:paraId="312B4897">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1.资产保存完整；</w:t>
            </w:r>
          </w:p>
          <w:p w14:paraId="2DD97174">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2.资产账务管理是否合规，帐实相符；</w:t>
            </w:r>
          </w:p>
          <w:p w14:paraId="53216FED">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3.资产有偿使用及处置收入及时足额上缴。</w:t>
            </w:r>
          </w:p>
        </w:tc>
        <w:tc>
          <w:tcPr>
            <w:tcW w:w="3423" w:type="dxa"/>
            <w:tcBorders>
              <w:top w:val="single" w:color="auto" w:sz="4" w:space="0"/>
              <w:left w:val="single" w:color="auto" w:sz="4" w:space="0"/>
              <w:bottom w:val="single" w:color="000000" w:sz="4" w:space="0"/>
              <w:right w:val="single" w:color="auto" w:sz="4" w:space="0"/>
            </w:tcBorders>
            <w:vAlign w:val="center"/>
          </w:tcPr>
          <w:p w14:paraId="594FF8CD">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符合全部三项（3分）；</w:t>
            </w:r>
          </w:p>
          <w:p w14:paraId="227DB241">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符合其中两项（2分）；</w:t>
            </w:r>
          </w:p>
          <w:p w14:paraId="4386F164">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符合其中一项（1分）；</w:t>
            </w:r>
          </w:p>
          <w:p w14:paraId="5700A2CF">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符合零项（0分）。</w:t>
            </w:r>
          </w:p>
        </w:tc>
        <w:tc>
          <w:tcPr>
            <w:tcW w:w="1090" w:type="dxa"/>
            <w:tcBorders>
              <w:top w:val="single" w:color="auto" w:sz="4" w:space="0"/>
              <w:left w:val="single" w:color="auto" w:sz="4" w:space="0"/>
              <w:bottom w:val="single" w:color="000000" w:sz="4" w:space="0"/>
              <w:right w:val="single" w:color="000000" w:sz="4" w:space="0"/>
            </w:tcBorders>
            <w:vAlign w:val="center"/>
          </w:tcPr>
          <w:p w14:paraId="7EA6DB8A">
            <w:pPr>
              <w:keepNext w:val="0"/>
              <w:keepLines w:val="0"/>
              <w:widowControl/>
              <w:suppressLineNumbers w:val="0"/>
              <w:spacing w:before="0" w:beforeAutospacing="0" w:after="0" w:afterAutospacing="0" w:line="68" w:lineRule="atLeast"/>
              <w:ind w:left="0" w:right="0"/>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3</w:t>
            </w:r>
          </w:p>
        </w:tc>
      </w:tr>
      <w:tr w14:paraId="5C65B2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9" w:hRule="atLeast"/>
          <w:jc w:val="center"/>
        </w:trPr>
        <w:tc>
          <w:tcPr>
            <w:tcW w:w="733" w:type="dxa"/>
            <w:vMerge w:val="continue"/>
            <w:tcBorders>
              <w:left w:val="single" w:color="000000" w:sz="4" w:space="0"/>
              <w:right w:val="single" w:color="000000" w:sz="4" w:space="0"/>
            </w:tcBorders>
            <w:vAlign w:val="center"/>
          </w:tcPr>
          <w:p w14:paraId="5292D8B7">
            <w:pPr>
              <w:keepNext w:val="0"/>
              <w:keepLines w:val="0"/>
              <w:widowControl/>
              <w:suppressLineNumbers w:val="0"/>
              <w:spacing w:before="0" w:beforeAutospacing="0" w:after="0" w:afterAutospacing="0"/>
              <w:ind w:left="0" w:right="0"/>
              <w:rPr>
                <w:rFonts w:hint="default"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18DCC75F">
            <w:pPr>
              <w:keepNext w:val="0"/>
              <w:keepLines w:val="0"/>
              <w:widowControl/>
              <w:suppressLineNumbers w:val="0"/>
              <w:spacing w:before="0" w:beforeAutospacing="0" w:after="0" w:afterAutospacing="0"/>
              <w:ind w:left="0" w:right="0"/>
              <w:rPr>
                <w:rFonts w:hint="default"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14:paraId="315A1E74">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固定资产利用率</w:t>
            </w:r>
          </w:p>
          <w:p w14:paraId="3F244BB7">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（3分）</w:t>
            </w:r>
          </w:p>
        </w:tc>
        <w:tc>
          <w:tcPr>
            <w:tcW w:w="6911" w:type="dxa"/>
            <w:tcBorders>
              <w:top w:val="single" w:color="auto" w:sz="4" w:space="0"/>
              <w:left w:val="single" w:color="auto" w:sz="4" w:space="0"/>
              <w:bottom w:val="single" w:color="000000" w:sz="4" w:space="0"/>
              <w:right w:val="single" w:color="auto" w:sz="4" w:space="0"/>
            </w:tcBorders>
            <w:vAlign w:val="center"/>
          </w:tcPr>
          <w:p w14:paraId="5A7EC37D">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部门实际在用固定资产总额与所有固定资产总额的比率，用以反映和评价部门固定资产使用效率。</w:t>
            </w:r>
          </w:p>
          <w:p w14:paraId="0F5B643C">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固定资产利用率=（实际在用固定资产总额/所有固定资产总额）×100%。</w:t>
            </w:r>
          </w:p>
        </w:tc>
        <w:tc>
          <w:tcPr>
            <w:tcW w:w="3423" w:type="dxa"/>
            <w:tcBorders>
              <w:top w:val="single" w:color="auto" w:sz="4" w:space="0"/>
              <w:left w:val="single" w:color="auto" w:sz="4" w:space="0"/>
              <w:bottom w:val="single" w:color="000000" w:sz="4" w:space="0"/>
              <w:right w:val="single" w:color="auto" w:sz="4" w:space="0"/>
            </w:tcBorders>
            <w:vAlign w:val="center"/>
          </w:tcPr>
          <w:p w14:paraId="3C2B3124">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目标值为80%；以3分为上限，采用完成比率法计分：得分=固定资产利用率/80%×100%×3，超出目标值不加分。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14:paraId="58FA7EAA">
            <w:pPr>
              <w:keepNext w:val="0"/>
              <w:keepLines w:val="0"/>
              <w:widowControl/>
              <w:suppressLineNumbers w:val="0"/>
              <w:spacing w:before="0" w:beforeAutospacing="0" w:after="0" w:afterAutospacing="0" w:line="68" w:lineRule="atLeast"/>
              <w:ind w:left="0" w:right="0"/>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3</w:t>
            </w:r>
          </w:p>
        </w:tc>
      </w:tr>
      <w:tr w14:paraId="4FE5EC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06" w:hRule="atLeast"/>
          <w:jc w:val="center"/>
        </w:trPr>
        <w:tc>
          <w:tcPr>
            <w:tcW w:w="733" w:type="dxa"/>
            <w:vMerge w:val="continue"/>
            <w:tcBorders>
              <w:left w:val="single" w:color="000000" w:sz="4" w:space="0"/>
              <w:bottom w:val="single" w:color="000000" w:sz="4" w:space="0"/>
              <w:right w:val="single" w:color="000000" w:sz="4" w:space="0"/>
            </w:tcBorders>
            <w:vAlign w:val="center"/>
          </w:tcPr>
          <w:p w14:paraId="11EC2CCA">
            <w:pPr>
              <w:keepNext w:val="0"/>
              <w:keepLines w:val="0"/>
              <w:widowControl/>
              <w:suppressLineNumbers w:val="0"/>
              <w:spacing w:before="0" w:beforeAutospacing="0" w:after="0" w:afterAutospacing="0"/>
              <w:ind w:left="0" w:right="0"/>
              <w:rPr>
                <w:rFonts w:hint="default" w:ascii="宋体" w:hAnsi="宋体" w:eastAsia="宋体" w:cs="宋体"/>
              </w:rPr>
            </w:pPr>
          </w:p>
        </w:tc>
        <w:tc>
          <w:tcPr>
            <w:tcW w:w="803" w:type="dxa"/>
            <w:tcBorders>
              <w:left w:val="single" w:color="000000" w:sz="4" w:space="0"/>
              <w:bottom w:val="single" w:color="000000" w:sz="4" w:space="0"/>
              <w:right w:val="single" w:color="000000" w:sz="4" w:space="0"/>
            </w:tcBorders>
            <w:vAlign w:val="center"/>
          </w:tcPr>
          <w:p w14:paraId="4823BC81">
            <w:pPr>
              <w:keepNext w:val="0"/>
              <w:keepLines w:val="0"/>
              <w:widowControl/>
              <w:suppressLineNumbers w:val="0"/>
              <w:spacing w:before="0" w:beforeAutospacing="0" w:after="0" w:afterAutospacing="0"/>
              <w:ind w:left="0" w:right="0"/>
              <w:rPr>
                <w:rFonts w:hint="default" w:ascii="宋体" w:hAnsi="宋体" w:eastAsia="宋体" w:cs="宋体"/>
              </w:rPr>
            </w:pPr>
            <w:r>
              <w:rPr>
                <w:rFonts w:hint="eastAsia" w:ascii="宋体" w:hAnsi="宋体" w:eastAsia="宋体" w:cs="宋体"/>
              </w:rPr>
              <w:t>预算绩效监控管理（2分）</w:t>
            </w:r>
          </w:p>
        </w:tc>
        <w:tc>
          <w:tcPr>
            <w:tcW w:w="1182" w:type="dxa"/>
            <w:tcBorders>
              <w:top w:val="single" w:color="auto" w:sz="4" w:space="0"/>
              <w:left w:val="single" w:color="000000" w:sz="4" w:space="0"/>
              <w:bottom w:val="single" w:color="000000" w:sz="4" w:space="0"/>
              <w:right w:val="single" w:color="auto" w:sz="4" w:space="0"/>
            </w:tcBorders>
            <w:vAlign w:val="center"/>
          </w:tcPr>
          <w:p w14:paraId="0F2E6730">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监控率（2分）</w:t>
            </w:r>
          </w:p>
        </w:tc>
        <w:tc>
          <w:tcPr>
            <w:tcW w:w="6911" w:type="dxa"/>
            <w:tcBorders>
              <w:top w:val="single" w:color="auto" w:sz="4" w:space="0"/>
              <w:left w:val="single" w:color="auto" w:sz="4" w:space="0"/>
              <w:bottom w:val="single" w:color="000000" w:sz="4" w:space="0"/>
              <w:right w:val="single" w:color="auto" w:sz="4" w:space="0"/>
            </w:tcBorders>
            <w:vAlign w:val="center"/>
          </w:tcPr>
          <w:p w14:paraId="6F6188F2">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部门（单位）纳入绩效监控的项目数量占实际申报绩效目标项目数量的比重，用以反映和考核部门（单位）在项目运行中实施绩效管理的水平和程度。</w:t>
            </w:r>
          </w:p>
          <w:p w14:paraId="4FED3D1F">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监控率=实施绩效监控项目数/实际申报绩效目标项目数×100%</w:t>
            </w:r>
          </w:p>
        </w:tc>
        <w:tc>
          <w:tcPr>
            <w:tcW w:w="3423" w:type="dxa"/>
            <w:tcBorders>
              <w:top w:val="single" w:color="auto" w:sz="4" w:space="0"/>
              <w:left w:val="single" w:color="auto" w:sz="4" w:space="0"/>
              <w:bottom w:val="single" w:color="000000" w:sz="4" w:space="0"/>
              <w:right w:val="single" w:color="auto" w:sz="4" w:space="0"/>
            </w:tcBorders>
            <w:vAlign w:val="center"/>
          </w:tcPr>
          <w:p w14:paraId="00127CA8">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目标值为90%；以2分为上限，采用完成比率法计分：得分=监控率×2，超出目标值不加分。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14:paraId="457A320C">
            <w:pPr>
              <w:keepNext w:val="0"/>
              <w:keepLines w:val="0"/>
              <w:widowControl/>
              <w:suppressLineNumbers w:val="0"/>
              <w:spacing w:before="0" w:beforeAutospacing="0" w:after="0" w:afterAutospacing="0" w:line="68" w:lineRule="atLeast"/>
              <w:ind w:left="0" w:right="0"/>
              <w:rPr>
                <w:rFonts w:hint="eastAsia" w:ascii="宋体" w:hAnsi="宋体" w:eastAsia="宋体" w:cs="宋体"/>
                <w:lang w:val="en-US" w:eastAsia="zh-CN"/>
              </w:rPr>
            </w:pPr>
            <w:r>
              <w:rPr>
                <w:rFonts w:hint="eastAsia" w:ascii="宋体" w:hAnsi="宋体" w:eastAsia="宋体" w:cs="宋体"/>
                <w:lang w:val="en-US" w:eastAsia="zh-CN"/>
              </w:rPr>
              <w:t>2</w:t>
            </w:r>
          </w:p>
        </w:tc>
      </w:tr>
      <w:tr w14:paraId="62925F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 w:hRule="atLeast"/>
          <w:jc w:val="center"/>
        </w:trPr>
        <w:tc>
          <w:tcPr>
            <w:tcW w:w="733" w:type="dxa"/>
            <w:vMerge w:val="restart"/>
            <w:tcBorders>
              <w:top w:val="single" w:color="000000" w:sz="4" w:space="0"/>
              <w:left w:val="single" w:color="000000" w:sz="4" w:space="0"/>
              <w:right w:val="single" w:color="000000" w:sz="4" w:space="0"/>
            </w:tcBorders>
            <w:vAlign w:val="center"/>
          </w:tcPr>
          <w:p w14:paraId="1200E402">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11FCF0B0">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12FE9819">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585F66EB">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7C956D4A">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6FCF2866">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08C6D580">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产出(15分)</w:t>
            </w:r>
          </w:p>
          <w:p w14:paraId="0DACC8E9">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3544B022">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64B67426">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62B4AB0B">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5D36A472">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17A22A8F">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37664825">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1BDD3CC7">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4A43AF3B">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5A81A91A">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产出(15分)</w:t>
            </w:r>
          </w:p>
        </w:tc>
        <w:tc>
          <w:tcPr>
            <w:tcW w:w="803" w:type="dxa"/>
            <w:vMerge w:val="restart"/>
            <w:tcBorders>
              <w:top w:val="single" w:color="000000" w:sz="4" w:space="0"/>
              <w:left w:val="single" w:color="000000" w:sz="4" w:space="0"/>
              <w:right w:val="single" w:color="000000" w:sz="4" w:space="0"/>
            </w:tcBorders>
            <w:vAlign w:val="center"/>
          </w:tcPr>
          <w:p w14:paraId="15A2E9FE">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职责履行（15分）</w:t>
            </w:r>
          </w:p>
        </w:tc>
        <w:tc>
          <w:tcPr>
            <w:tcW w:w="1182" w:type="dxa"/>
            <w:tcBorders>
              <w:top w:val="single" w:color="000000" w:sz="4" w:space="0"/>
              <w:left w:val="single" w:color="000000" w:sz="4" w:space="0"/>
              <w:bottom w:val="single" w:color="auto" w:sz="4" w:space="0"/>
              <w:right w:val="single" w:color="auto" w:sz="4" w:space="0"/>
            </w:tcBorders>
            <w:vAlign w:val="center"/>
          </w:tcPr>
          <w:p w14:paraId="2033C483">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项目实际完成率（4分）</w:t>
            </w:r>
          </w:p>
        </w:tc>
        <w:tc>
          <w:tcPr>
            <w:tcW w:w="6911" w:type="dxa"/>
            <w:tcBorders>
              <w:top w:val="single" w:color="000000" w:sz="4" w:space="0"/>
              <w:left w:val="single" w:color="auto" w:sz="4" w:space="0"/>
              <w:bottom w:val="single" w:color="auto" w:sz="4" w:space="0"/>
              <w:right w:val="single" w:color="auto" w:sz="4" w:space="0"/>
            </w:tcBorders>
            <w:vAlign w:val="center"/>
          </w:tcPr>
          <w:p w14:paraId="5D8AA36D">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部门履行职责而实际完成的项目数与计划完成的项目数的比率，用以反映和评价部门履职任务目标的实现程度。</w:t>
            </w:r>
          </w:p>
          <w:p w14:paraId="322787AD">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项目实际完成率=（实际完成项目数/计划完成项目数）×100%。</w:t>
            </w:r>
          </w:p>
        </w:tc>
        <w:tc>
          <w:tcPr>
            <w:tcW w:w="3423" w:type="dxa"/>
            <w:tcBorders>
              <w:top w:val="single" w:color="000000" w:sz="4" w:space="0"/>
              <w:left w:val="single" w:color="auto" w:sz="4" w:space="0"/>
              <w:bottom w:val="single" w:color="auto" w:sz="4" w:space="0"/>
              <w:right w:val="single" w:color="auto" w:sz="4" w:space="0"/>
            </w:tcBorders>
            <w:vAlign w:val="center"/>
          </w:tcPr>
          <w:p w14:paraId="0B2F80B2">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目标值为100%；</w:t>
            </w:r>
          </w:p>
          <w:p w14:paraId="7B01F7B1">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达到目标值得4分；</w:t>
            </w:r>
          </w:p>
          <w:p w14:paraId="0C23A466">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100%＞结果≥95%，得3分；</w:t>
            </w:r>
          </w:p>
          <w:p w14:paraId="0B6C7040">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95%＞结果≥90%，得2分；</w:t>
            </w:r>
          </w:p>
          <w:p w14:paraId="063C6D64">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90%＞结果≥85%，得1分；</w:t>
            </w:r>
          </w:p>
          <w:p w14:paraId="5DB4A34A">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结果＜85%得0分。</w:t>
            </w:r>
          </w:p>
        </w:tc>
        <w:tc>
          <w:tcPr>
            <w:tcW w:w="1090" w:type="dxa"/>
            <w:tcBorders>
              <w:top w:val="single" w:color="000000" w:sz="4" w:space="0"/>
              <w:left w:val="single" w:color="auto" w:sz="4" w:space="0"/>
              <w:bottom w:val="single" w:color="auto" w:sz="4" w:space="0"/>
              <w:right w:val="single" w:color="000000" w:sz="4" w:space="0"/>
            </w:tcBorders>
            <w:vAlign w:val="center"/>
          </w:tcPr>
          <w:p w14:paraId="2E7A3524">
            <w:pPr>
              <w:keepNext w:val="0"/>
              <w:keepLines w:val="0"/>
              <w:widowControl/>
              <w:suppressLineNumbers w:val="0"/>
              <w:spacing w:before="0" w:beforeAutospacing="0" w:after="0" w:afterAutospacing="0" w:line="68" w:lineRule="atLeast"/>
              <w:ind w:left="0" w:right="0"/>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4</w:t>
            </w:r>
          </w:p>
        </w:tc>
      </w:tr>
      <w:tr w14:paraId="281544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19" w:hRule="atLeast"/>
          <w:jc w:val="center"/>
        </w:trPr>
        <w:tc>
          <w:tcPr>
            <w:tcW w:w="733" w:type="dxa"/>
            <w:vMerge w:val="continue"/>
            <w:tcBorders>
              <w:left w:val="single" w:color="000000" w:sz="4" w:space="0"/>
              <w:right w:val="single" w:color="000000" w:sz="4" w:space="0"/>
            </w:tcBorders>
            <w:vAlign w:val="center"/>
          </w:tcPr>
          <w:p w14:paraId="5155928D">
            <w:pPr>
              <w:keepNext w:val="0"/>
              <w:keepLines w:val="0"/>
              <w:widowControl/>
              <w:suppressLineNumbers w:val="0"/>
              <w:spacing w:before="0" w:beforeAutospacing="0" w:after="0" w:afterAutospacing="0"/>
              <w:ind w:left="0" w:right="0"/>
              <w:rPr>
                <w:rFonts w:hint="default" w:ascii="宋体" w:hAnsi="宋体" w:eastAsia="宋体" w:cs="宋体"/>
              </w:rPr>
            </w:pPr>
          </w:p>
        </w:tc>
        <w:tc>
          <w:tcPr>
            <w:tcW w:w="803" w:type="dxa"/>
            <w:vMerge w:val="continue"/>
            <w:tcBorders>
              <w:left w:val="single" w:color="000000" w:sz="4" w:space="0"/>
              <w:right w:val="single" w:color="000000" w:sz="4" w:space="0"/>
            </w:tcBorders>
            <w:vAlign w:val="center"/>
          </w:tcPr>
          <w:p w14:paraId="6389F56D">
            <w:pPr>
              <w:keepNext w:val="0"/>
              <w:keepLines w:val="0"/>
              <w:widowControl/>
              <w:suppressLineNumbers w:val="0"/>
              <w:spacing w:before="0" w:beforeAutospacing="0" w:after="0" w:afterAutospacing="0"/>
              <w:ind w:left="0" w:right="0"/>
              <w:rPr>
                <w:rFonts w:hint="default"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26890F63">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项目质量达标率（4分）</w:t>
            </w:r>
          </w:p>
        </w:tc>
        <w:tc>
          <w:tcPr>
            <w:tcW w:w="6911" w:type="dxa"/>
            <w:tcBorders>
              <w:top w:val="single" w:color="000000" w:sz="4" w:space="0"/>
              <w:left w:val="single" w:color="auto" w:sz="4" w:space="0"/>
              <w:bottom w:val="single" w:color="auto" w:sz="4" w:space="0"/>
              <w:right w:val="single" w:color="auto" w:sz="4" w:space="0"/>
            </w:tcBorders>
            <w:vAlign w:val="center"/>
          </w:tcPr>
          <w:p w14:paraId="07CB5525">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部门已完成项目中质量达标项目个数占已完成项目个数的比率,用以反映和评价部门履职质量目标的实现程度。</w:t>
            </w:r>
          </w:p>
          <w:p w14:paraId="47808240">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项目质量达标率=（已完成项目中质量达标项目个数/已完成项目个数）×100%。</w:t>
            </w:r>
          </w:p>
          <w:p w14:paraId="6F85E0AA">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项目质量达标是指项目决算验收合格。</w:t>
            </w:r>
          </w:p>
        </w:tc>
        <w:tc>
          <w:tcPr>
            <w:tcW w:w="3423" w:type="dxa"/>
            <w:tcBorders>
              <w:top w:val="single" w:color="000000" w:sz="4" w:space="0"/>
              <w:left w:val="single" w:color="auto" w:sz="4" w:space="0"/>
              <w:bottom w:val="single" w:color="auto" w:sz="4" w:space="0"/>
              <w:right w:val="single" w:color="auto" w:sz="4" w:space="0"/>
            </w:tcBorders>
            <w:vAlign w:val="center"/>
          </w:tcPr>
          <w:p w14:paraId="647E469C">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目标值100%；以4分为上限，采用完成比率法计分：得分=项目质量达标率×4，≤95%的扣4分。</w:t>
            </w:r>
          </w:p>
        </w:tc>
        <w:tc>
          <w:tcPr>
            <w:tcW w:w="1090" w:type="dxa"/>
            <w:tcBorders>
              <w:top w:val="single" w:color="000000" w:sz="4" w:space="0"/>
              <w:left w:val="single" w:color="auto" w:sz="4" w:space="0"/>
              <w:bottom w:val="single" w:color="auto" w:sz="4" w:space="0"/>
              <w:right w:val="single" w:color="000000" w:sz="4" w:space="0"/>
            </w:tcBorders>
            <w:vAlign w:val="center"/>
          </w:tcPr>
          <w:p w14:paraId="7FE9325E">
            <w:pPr>
              <w:keepNext w:val="0"/>
              <w:keepLines w:val="0"/>
              <w:widowControl/>
              <w:suppressLineNumbers w:val="0"/>
              <w:spacing w:before="0" w:beforeAutospacing="0" w:after="0" w:afterAutospacing="0" w:line="68" w:lineRule="atLeast"/>
              <w:ind w:left="0" w:right="0"/>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4</w:t>
            </w:r>
          </w:p>
        </w:tc>
      </w:tr>
      <w:tr w14:paraId="42A6A8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41" w:hRule="atLeast"/>
          <w:jc w:val="center"/>
        </w:trPr>
        <w:tc>
          <w:tcPr>
            <w:tcW w:w="733" w:type="dxa"/>
            <w:vMerge w:val="continue"/>
            <w:tcBorders>
              <w:left w:val="single" w:color="000000" w:sz="4" w:space="0"/>
              <w:right w:val="single" w:color="000000" w:sz="4" w:space="0"/>
            </w:tcBorders>
            <w:vAlign w:val="center"/>
          </w:tcPr>
          <w:p w14:paraId="36FC84AC">
            <w:pPr>
              <w:keepNext w:val="0"/>
              <w:keepLines w:val="0"/>
              <w:widowControl/>
              <w:suppressLineNumbers w:val="0"/>
              <w:spacing w:before="0" w:beforeAutospacing="0" w:after="0" w:afterAutospacing="0"/>
              <w:ind w:left="0" w:right="0"/>
              <w:rPr>
                <w:rFonts w:hint="default" w:ascii="宋体" w:hAnsi="宋体" w:eastAsia="宋体" w:cs="宋体"/>
              </w:rPr>
            </w:pPr>
          </w:p>
        </w:tc>
        <w:tc>
          <w:tcPr>
            <w:tcW w:w="803" w:type="dxa"/>
            <w:vMerge w:val="continue"/>
            <w:tcBorders>
              <w:left w:val="single" w:color="000000" w:sz="4" w:space="0"/>
              <w:right w:val="single" w:color="000000" w:sz="4" w:space="0"/>
            </w:tcBorders>
            <w:vAlign w:val="center"/>
          </w:tcPr>
          <w:p w14:paraId="2BADAACA">
            <w:pPr>
              <w:keepNext w:val="0"/>
              <w:keepLines w:val="0"/>
              <w:widowControl/>
              <w:suppressLineNumbers w:val="0"/>
              <w:spacing w:before="0" w:beforeAutospacing="0" w:after="0" w:afterAutospacing="0"/>
              <w:ind w:left="0" w:right="0"/>
              <w:rPr>
                <w:rFonts w:hint="default"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602266B8">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重点工作办结率（4分）</w:t>
            </w:r>
          </w:p>
        </w:tc>
        <w:tc>
          <w:tcPr>
            <w:tcW w:w="6911" w:type="dxa"/>
            <w:tcBorders>
              <w:top w:val="single" w:color="000000" w:sz="4" w:space="0"/>
              <w:left w:val="single" w:color="auto" w:sz="4" w:space="0"/>
              <w:bottom w:val="single" w:color="auto" w:sz="4" w:space="0"/>
              <w:right w:val="single" w:color="auto" w:sz="4" w:space="0"/>
            </w:tcBorders>
            <w:vAlign w:val="center"/>
          </w:tcPr>
          <w:p w14:paraId="5455DBBA">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部门年度重点工作实际完成数与交办或下达数的比率，用以反映部门对重点工作的办理落实程度。</w:t>
            </w:r>
          </w:p>
          <w:p w14:paraId="23D3F94D">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重点工作办结率=（重点工作实际完成数/交办或下达数）×100%。</w:t>
            </w:r>
          </w:p>
          <w:p w14:paraId="31D39BF1">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重点工作是指党委、政府、人大、相关部门交办或下达的工作任务。</w:t>
            </w:r>
          </w:p>
        </w:tc>
        <w:tc>
          <w:tcPr>
            <w:tcW w:w="3423" w:type="dxa"/>
            <w:tcBorders>
              <w:top w:val="single" w:color="000000" w:sz="4" w:space="0"/>
              <w:left w:val="single" w:color="auto" w:sz="4" w:space="0"/>
              <w:bottom w:val="single" w:color="auto" w:sz="4" w:space="0"/>
              <w:right w:val="single" w:color="auto" w:sz="4" w:space="0"/>
            </w:tcBorders>
            <w:vAlign w:val="center"/>
          </w:tcPr>
          <w:p w14:paraId="2878FDAF">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目标值100%；以4分为上限，采用完成比率法计分：得分=重点工作办结率×4，≤90%的扣4分。</w:t>
            </w:r>
          </w:p>
        </w:tc>
        <w:tc>
          <w:tcPr>
            <w:tcW w:w="1090" w:type="dxa"/>
            <w:tcBorders>
              <w:top w:val="single" w:color="000000" w:sz="4" w:space="0"/>
              <w:left w:val="single" w:color="auto" w:sz="4" w:space="0"/>
              <w:bottom w:val="single" w:color="auto" w:sz="4" w:space="0"/>
              <w:right w:val="single" w:color="000000" w:sz="4" w:space="0"/>
            </w:tcBorders>
            <w:vAlign w:val="center"/>
          </w:tcPr>
          <w:p w14:paraId="344CED3C">
            <w:pPr>
              <w:keepNext w:val="0"/>
              <w:keepLines w:val="0"/>
              <w:widowControl/>
              <w:suppressLineNumbers w:val="0"/>
              <w:spacing w:before="0" w:beforeAutospacing="0" w:after="0" w:afterAutospacing="0" w:line="68" w:lineRule="atLeast"/>
              <w:ind w:left="0" w:right="0"/>
              <w:rPr>
                <w:rFonts w:hint="default"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4</w:t>
            </w:r>
          </w:p>
        </w:tc>
      </w:tr>
      <w:tr w14:paraId="15DEBB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39" w:hRule="atLeast"/>
          <w:jc w:val="center"/>
        </w:trPr>
        <w:tc>
          <w:tcPr>
            <w:tcW w:w="733" w:type="dxa"/>
            <w:vMerge w:val="continue"/>
            <w:tcBorders>
              <w:left w:val="single" w:color="000000" w:sz="4" w:space="0"/>
              <w:bottom w:val="single" w:color="000000" w:sz="4" w:space="0"/>
              <w:right w:val="single" w:color="000000" w:sz="4" w:space="0"/>
            </w:tcBorders>
            <w:vAlign w:val="center"/>
          </w:tcPr>
          <w:p w14:paraId="70C020E3">
            <w:pPr>
              <w:keepNext w:val="0"/>
              <w:keepLines w:val="0"/>
              <w:widowControl/>
              <w:suppressLineNumbers w:val="0"/>
              <w:spacing w:before="0" w:beforeAutospacing="0" w:after="0" w:afterAutospacing="0"/>
              <w:ind w:left="0" w:right="0"/>
              <w:rPr>
                <w:rFonts w:hint="default"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644E7021">
            <w:pPr>
              <w:keepNext w:val="0"/>
              <w:keepLines w:val="0"/>
              <w:widowControl/>
              <w:suppressLineNumbers w:val="0"/>
              <w:spacing w:before="0" w:beforeAutospacing="0" w:after="0" w:afterAutospacing="0"/>
              <w:ind w:left="0" w:right="0"/>
              <w:rPr>
                <w:rFonts w:hint="default"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44F63EC8">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部门绩效自评项目占比率（3分）</w:t>
            </w:r>
          </w:p>
        </w:tc>
        <w:tc>
          <w:tcPr>
            <w:tcW w:w="6911" w:type="dxa"/>
            <w:tcBorders>
              <w:top w:val="single" w:color="000000" w:sz="4" w:space="0"/>
              <w:left w:val="single" w:color="auto" w:sz="4" w:space="0"/>
              <w:bottom w:val="single" w:color="auto" w:sz="4" w:space="0"/>
              <w:right w:val="single" w:color="auto" w:sz="4" w:space="0"/>
            </w:tcBorders>
            <w:vAlign w:val="center"/>
          </w:tcPr>
          <w:p w14:paraId="337066AA">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部门自评项目在所有项目中所占的份额，反映和评价部门对项目自评的重视程度。</w:t>
            </w:r>
          </w:p>
          <w:p w14:paraId="4D096849">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占比率=(自评项目资金量/项目支出资金量)×100%。</w:t>
            </w:r>
          </w:p>
          <w:p w14:paraId="0E589C4A">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部门支出项目绩效自评范围：本年度列入本级财政预算安排的项目。</w:t>
            </w:r>
          </w:p>
        </w:tc>
        <w:tc>
          <w:tcPr>
            <w:tcW w:w="3423" w:type="dxa"/>
            <w:tcBorders>
              <w:top w:val="single" w:color="000000" w:sz="4" w:space="0"/>
              <w:left w:val="single" w:color="auto" w:sz="4" w:space="0"/>
              <w:bottom w:val="single" w:color="auto" w:sz="4" w:space="0"/>
              <w:right w:val="single" w:color="auto" w:sz="4" w:space="0"/>
            </w:tcBorders>
            <w:vAlign w:val="center"/>
          </w:tcPr>
          <w:p w14:paraId="309963EA">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达到目标值得3分，未达到目标值采用完成比率法计分：得分=占比率/目标值×3，超过目标值不加分。</w:t>
            </w:r>
          </w:p>
        </w:tc>
        <w:tc>
          <w:tcPr>
            <w:tcW w:w="1090" w:type="dxa"/>
            <w:tcBorders>
              <w:top w:val="single" w:color="000000" w:sz="4" w:space="0"/>
              <w:left w:val="single" w:color="auto" w:sz="4" w:space="0"/>
              <w:bottom w:val="single" w:color="auto" w:sz="4" w:space="0"/>
              <w:right w:val="single" w:color="000000" w:sz="4" w:space="0"/>
            </w:tcBorders>
            <w:vAlign w:val="center"/>
          </w:tcPr>
          <w:p w14:paraId="5FDF421F">
            <w:pPr>
              <w:keepNext w:val="0"/>
              <w:keepLines w:val="0"/>
              <w:widowControl/>
              <w:suppressLineNumbers w:val="0"/>
              <w:spacing w:before="0" w:beforeAutospacing="0" w:after="0" w:afterAutospacing="0" w:line="68" w:lineRule="atLeast"/>
              <w:ind w:left="0" w:right="0"/>
              <w:rPr>
                <w:rFonts w:hint="default" w:ascii="宋体" w:hAnsi="宋体" w:eastAsia="宋体" w:cs="宋体"/>
                <w:lang w:val="en-US" w:eastAsia="zh-CN"/>
              </w:rPr>
            </w:pPr>
            <w:r>
              <w:rPr>
                <w:rFonts w:hint="eastAsia" w:ascii="宋体" w:hAnsi="宋体" w:eastAsia="宋体" w:cs="宋体"/>
                <w:lang w:val="en-US" w:eastAsia="zh-CN"/>
              </w:rPr>
              <w:t>3</w:t>
            </w:r>
          </w:p>
        </w:tc>
      </w:tr>
      <w:tr w14:paraId="2C8400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38" w:hRule="atLeast"/>
          <w:jc w:val="center"/>
        </w:trPr>
        <w:tc>
          <w:tcPr>
            <w:tcW w:w="733" w:type="dxa"/>
            <w:vMerge w:val="restart"/>
            <w:tcBorders>
              <w:top w:val="single" w:color="000000" w:sz="4" w:space="0"/>
              <w:left w:val="single" w:color="000000" w:sz="4" w:space="0"/>
              <w:right w:val="single" w:color="000000" w:sz="4" w:space="0"/>
            </w:tcBorders>
            <w:vAlign w:val="center"/>
          </w:tcPr>
          <w:p w14:paraId="71C46620">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079F486C">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4BFF0B5E">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3D54533D">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7F2FFCA7">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6EB9FEB9">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4D335C72">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77C390C6">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效果（15）</w:t>
            </w:r>
          </w:p>
          <w:p w14:paraId="71D98289">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29146444">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584AD2CB">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7E0E826F">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4CE00652">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024C26F3">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7EDFF4DE">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5D715439">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3F5C86EC">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339A180F">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0A78EF4F">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5895DF1D">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0FE243C9">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70D4C977">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734E2D57">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6073740A">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p w14:paraId="46EA7CFF">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效果（15）</w:t>
            </w:r>
          </w:p>
          <w:p w14:paraId="360C6CAA">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7A1B525B">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监督发现问题</w:t>
            </w:r>
          </w:p>
          <w:p w14:paraId="7580725C">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（2分）</w:t>
            </w:r>
          </w:p>
        </w:tc>
        <w:tc>
          <w:tcPr>
            <w:tcW w:w="1182" w:type="dxa"/>
            <w:tcBorders>
              <w:top w:val="single" w:color="000000" w:sz="4" w:space="0"/>
              <w:left w:val="single" w:color="000000" w:sz="4" w:space="0"/>
              <w:bottom w:val="single" w:color="000000" w:sz="4" w:space="0"/>
              <w:right w:val="single" w:color="auto" w:sz="4" w:space="0"/>
            </w:tcBorders>
            <w:vAlign w:val="center"/>
          </w:tcPr>
          <w:p w14:paraId="07D35E9C">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违规率（2分）</w:t>
            </w:r>
          </w:p>
        </w:tc>
        <w:tc>
          <w:tcPr>
            <w:tcW w:w="6911" w:type="dxa"/>
            <w:tcBorders>
              <w:top w:val="single" w:color="000000" w:sz="4" w:space="0"/>
              <w:left w:val="single" w:color="auto" w:sz="4" w:space="0"/>
              <w:bottom w:val="single" w:color="000000" w:sz="4" w:space="0"/>
              <w:right w:val="single" w:color="auto" w:sz="4" w:space="0"/>
            </w:tcBorders>
            <w:vAlign w:val="center"/>
          </w:tcPr>
          <w:p w14:paraId="7EC25D25">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部门存在违规问题的资金数量占部门预算支出资金总额的比重，用以反映和考核部门预算资金管理使用的合法、合规情况。</w:t>
            </w:r>
          </w:p>
          <w:p w14:paraId="4BB49E0B">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违规率=存在违规问题的资金额/部门预算支出资金总额×100%</w:t>
            </w:r>
          </w:p>
        </w:tc>
        <w:tc>
          <w:tcPr>
            <w:tcW w:w="3423" w:type="dxa"/>
            <w:tcBorders>
              <w:top w:val="single" w:color="000000" w:sz="4" w:space="0"/>
              <w:left w:val="single" w:color="auto" w:sz="4" w:space="0"/>
              <w:bottom w:val="single" w:color="000000" w:sz="4" w:space="0"/>
              <w:right w:val="single" w:color="auto" w:sz="4" w:space="0"/>
            </w:tcBorders>
            <w:vAlign w:val="center"/>
          </w:tcPr>
          <w:p w14:paraId="4F0277BD">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目标值0，达到目标值得2分，未达到目标值的每增加0.1个百分点扣0.1分</w:t>
            </w:r>
          </w:p>
        </w:tc>
        <w:tc>
          <w:tcPr>
            <w:tcW w:w="1090" w:type="dxa"/>
            <w:tcBorders>
              <w:top w:val="single" w:color="000000" w:sz="4" w:space="0"/>
              <w:left w:val="single" w:color="auto" w:sz="4" w:space="0"/>
              <w:bottom w:val="single" w:color="000000" w:sz="4" w:space="0"/>
              <w:right w:val="single" w:color="000000" w:sz="4" w:space="0"/>
            </w:tcBorders>
            <w:vAlign w:val="center"/>
          </w:tcPr>
          <w:p w14:paraId="03042EA7">
            <w:pPr>
              <w:keepNext w:val="0"/>
              <w:keepLines w:val="0"/>
              <w:widowControl/>
              <w:suppressLineNumbers w:val="0"/>
              <w:spacing w:before="0" w:beforeAutospacing="0" w:after="0" w:afterAutospacing="0" w:line="68" w:lineRule="atLeast"/>
              <w:ind w:left="0" w:right="0"/>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2</w:t>
            </w:r>
          </w:p>
        </w:tc>
      </w:tr>
      <w:tr w14:paraId="41DA60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15" w:hRule="atLeast"/>
          <w:jc w:val="center"/>
        </w:trPr>
        <w:tc>
          <w:tcPr>
            <w:tcW w:w="733" w:type="dxa"/>
            <w:vMerge w:val="continue"/>
            <w:tcBorders>
              <w:left w:val="single" w:color="000000" w:sz="4" w:space="0"/>
              <w:right w:val="single" w:color="000000" w:sz="4" w:space="0"/>
            </w:tcBorders>
            <w:vAlign w:val="center"/>
          </w:tcPr>
          <w:p w14:paraId="6448520B">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60507BDA">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工作成效（5）</w:t>
            </w:r>
          </w:p>
        </w:tc>
        <w:tc>
          <w:tcPr>
            <w:tcW w:w="1182" w:type="dxa"/>
            <w:tcBorders>
              <w:top w:val="single" w:color="000000" w:sz="4" w:space="0"/>
              <w:left w:val="single" w:color="000000" w:sz="4" w:space="0"/>
              <w:bottom w:val="single" w:color="000000" w:sz="4" w:space="0"/>
              <w:right w:val="single" w:color="auto" w:sz="4" w:space="0"/>
            </w:tcBorders>
            <w:vAlign w:val="center"/>
          </w:tcPr>
          <w:p w14:paraId="0F233522">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bCs/>
                <w:color w:val="000000"/>
              </w:rPr>
              <w:t>部门预算绩效管理考核评价</w:t>
            </w:r>
            <w:r>
              <w:rPr>
                <w:rFonts w:hint="eastAsia" w:ascii="宋体" w:hAnsi="宋体" w:eastAsia="宋体" w:cs="宋体"/>
                <w:bCs/>
              </w:rPr>
              <w:t>（5）</w:t>
            </w:r>
          </w:p>
        </w:tc>
        <w:tc>
          <w:tcPr>
            <w:tcW w:w="6911" w:type="dxa"/>
            <w:tcBorders>
              <w:top w:val="single" w:color="000000" w:sz="4" w:space="0"/>
              <w:left w:val="single" w:color="auto" w:sz="4" w:space="0"/>
              <w:bottom w:val="single" w:color="000000" w:sz="4" w:space="0"/>
              <w:right w:val="single" w:color="auto" w:sz="4" w:space="0"/>
            </w:tcBorders>
            <w:vAlign w:val="center"/>
          </w:tcPr>
          <w:p w14:paraId="199E2724">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color w:val="000000"/>
              </w:rPr>
              <w:t>财政部门对部门开展预算绩效管理工作的评价结果，用以反映部门对预算绩效管理工作的重视程度和取得的成效。</w:t>
            </w:r>
          </w:p>
          <w:p w14:paraId="39A91A5D">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color w:val="000000"/>
              </w:rPr>
              <w:t>1.财政部门对部门绩效管理工作开展情况进行核查评价，包括绩效目标管理、绩效执行监控、绩效自评和评价结果应用等情况，按百分制。</w:t>
            </w:r>
          </w:p>
          <w:p w14:paraId="2E833D08">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color w:val="000000"/>
              </w:rPr>
              <w:t>2.以部门为单位进行综合计算，得出各部门绩效管理工作评价结果。</w:t>
            </w:r>
          </w:p>
        </w:tc>
        <w:tc>
          <w:tcPr>
            <w:tcW w:w="3423" w:type="dxa"/>
            <w:tcBorders>
              <w:top w:val="single" w:color="000000" w:sz="4" w:space="0"/>
              <w:left w:val="single" w:color="auto" w:sz="4" w:space="0"/>
              <w:bottom w:val="single" w:color="000000" w:sz="4" w:space="0"/>
              <w:right w:val="single" w:color="auto" w:sz="4" w:space="0"/>
            </w:tcBorders>
            <w:vAlign w:val="center"/>
          </w:tcPr>
          <w:p w14:paraId="44B1399D">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color w:val="000000"/>
              </w:rPr>
              <w:t>综合得分=（部门绩效管理工作评价结果/100）*5分</w:t>
            </w:r>
          </w:p>
          <w:p w14:paraId="06F12C6F">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 </w:t>
            </w:r>
          </w:p>
        </w:tc>
        <w:tc>
          <w:tcPr>
            <w:tcW w:w="1090" w:type="dxa"/>
            <w:tcBorders>
              <w:top w:val="single" w:color="000000" w:sz="4" w:space="0"/>
              <w:left w:val="single" w:color="auto" w:sz="4" w:space="0"/>
              <w:bottom w:val="single" w:color="000000" w:sz="4" w:space="0"/>
              <w:right w:val="single" w:color="000000" w:sz="4" w:space="0"/>
            </w:tcBorders>
            <w:vAlign w:val="center"/>
          </w:tcPr>
          <w:p w14:paraId="7CA0E8AF">
            <w:pPr>
              <w:keepNext w:val="0"/>
              <w:keepLines w:val="0"/>
              <w:widowControl/>
              <w:suppressLineNumbers w:val="0"/>
              <w:spacing w:before="0" w:beforeAutospacing="0" w:after="0" w:afterAutospacing="0" w:line="68" w:lineRule="atLeast"/>
              <w:ind w:left="0" w:right="0"/>
              <w:rPr>
                <w:rFonts w:hint="eastAsia" w:ascii="宋体" w:hAnsi="宋体" w:eastAsia="宋体" w:cs="宋体"/>
                <w:lang w:val="en-US" w:eastAsia="zh-CN"/>
              </w:rPr>
            </w:pPr>
            <w:r>
              <w:rPr>
                <w:rFonts w:hint="eastAsia" w:ascii="宋体" w:hAnsi="宋体" w:eastAsia="宋体" w:cs="宋体"/>
                <w:lang w:val="en-US" w:eastAsia="zh-CN"/>
              </w:rPr>
              <w:t>5</w:t>
            </w:r>
          </w:p>
        </w:tc>
      </w:tr>
      <w:tr w14:paraId="54CA4C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67" w:hRule="atLeast"/>
          <w:jc w:val="center"/>
        </w:trPr>
        <w:tc>
          <w:tcPr>
            <w:tcW w:w="733" w:type="dxa"/>
            <w:vMerge w:val="continue"/>
            <w:tcBorders>
              <w:left w:val="single" w:color="000000" w:sz="4" w:space="0"/>
              <w:right w:val="single" w:color="000000" w:sz="4" w:space="0"/>
            </w:tcBorders>
            <w:vAlign w:val="center"/>
          </w:tcPr>
          <w:p w14:paraId="5861DFB8">
            <w:pPr>
              <w:keepNext w:val="0"/>
              <w:keepLines w:val="0"/>
              <w:widowControl/>
              <w:suppressLineNumbers w:val="0"/>
              <w:spacing w:before="0" w:beforeAutospacing="0" w:after="0" w:afterAutospacing="0"/>
              <w:ind w:left="0" w:right="0"/>
              <w:rPr>
                <w:rFonts w:hint="default"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26716F76">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评价结果应用</w:t>
            </w:r>
          </w:p>
          <w:p w14:paraId="3F515953">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（2分）</w:t>
            </w:r>
          </w:p>
        </w:tc>
        <w:tc>
          <w:tcPr>
            <w:tcW w:w="1182" w:type="dxa"/>
            <w:tcBorders>
              <w:top w:val="single" w:color="000000" w:sz="4" w:space="0"/>
              <w:left w:val="single" w:color="000000" w:sz="4" w:space="0"/>
              <w:bottom w:val="single" w:color="000000" w:sz="4" w:space="0"/>
              <w:right w:val="single" w:color="auto" w:sz="4" w:space="0"/>
            </w:tcBorders>
            <w:vAlign w:val="center"/>
          </w:tcPr>
          <w:p w14:paraId="167E88C3">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应用率（2分）</w:t>
            </w:r>
          </w:p>
        </w:tc>
        <w:tc>
          <w:tcPr>
            <w:tcW w:w="6911" w:type="dxa"/>
            <w:tcBorders>
              <w:top w:val="single" w:color="000000" w:sz="4" w:space="0"/>
              <w:left w:val="single" w:color="auto" w:sz="4" w:space="0"/>
              <w:bottom w:val="single" w:color="000000" w:sz="4" w:space="0"/>
              <w:right w:val="single" w:color="auto" w:sz="4" w:space="0"/>
            </w:tcBorders>
            <w:vAlign w:val="center"/>
          </w:tcPr>
          <w:p w14:paraId="1A794A4C">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部门应用绩效评价结果的项目数占绩效评价项目数的比重，用以反映和考核部门绩效评价结果的利用水平和程度。</w:t>
            </w:r>
          </w:p>
          <w:p w14:paraId="03DEB67C">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应用率=应用绩效评价结果的项目数量/部门实施绩效评价项目数量×100%。</w:t>
            </w:r>
          </w:p>
          <w:p w14:paraId="7E36E91F">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应用绩效评价结果包括向财政部门报告绩效评价结果、向被评价单位反馈绩效评价结果、内部公开绩效评价结果和落实整改措施等方面，其中，落实整改措施包括调整预算结构、改革预算管理、整改发现问题、健全制度措施和实施绩效问责。</w:t>
            </w:r>
          </w:p>
        </w:tc>
        <w:tc>
          <w:tcPr>
            <w:tcW w:w="3423" w:type="dxa"/>
            <w:tcBorders>
              <w:top w:val="single" w:color="000000" w:sz="4" w:space="0"/>
              <w:left w:val="single" w:color="auto" w:sz="4" w:space="0"/>
              <w:bottom w:val="single" w:color="000000" w:sz="4" w:space="0"/>
              <w:right w:val="single" w:color="auto" w:sz="4" w:space="0"/>
            </w:tcBorders>
            <w:vAlign w:val="center"/>
          </w:tcPr>
          <w:p w14:paraId="3EE60A4D">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目标值为100%；以2分为上限，采用完成比率法计分：得分=应用率×2，超出目标值不加分。</w:t>
            </w:r>
          </w:p>
        </w:tc>
        <w:tc>
          <w:tcPr>
            <w:tcW w:w="1090" w:type="dxa"/>
            <w:tcBorders>
              <w:top w:val="single" w:color="000000" w:sz="4" w:space="0"/>
              <w:left w:val="single" w:color="auto" w:sz="4" w:space="0"/>
              <w:bottom w:val="single" w:color="000000" w:sz="4" w:space="0"/>
              <w:right w:val="single" w:color="000000" w:sz="4" w:space="0"/>
            </w:tcBorders>
            <w:vAlign w:val="center"/>
          </w:tcPr>
          <w:p w14:paraId="6A3593AD">
            <w:pPr>
              <w:keepNext w:val="0"/>
              <w:keepLines w:val="0"/>
              <w:widowControl/>
              <w:suppressLineNumbers w:val="0"/>
              <w:spacing w:before="0" w:beforeAutospacing="0" w:after="0" w:afterAutospacing="0" w:line="68" w:lineRule="atLeast"/>
              <w:ind w:left="0" w:right="0"/>
              <w:rPr>
                <w:rFonts w:hint="eastAsia" w:ascii="宋体" w:hAnsi="宋体" w:eastAsia="宋体" w:cs="宋体"/>
                <w:lang w:val="en-US" w:eastAsia="zh-CN"/>
              </w:rPr>
            </w:pPr>
            <w:r>
              <w:rPr>
                <w:rFonts w:hint="eastAsia" w:ascii="宋体" w:hAnsi="宋体" w:eastAsia="宋体" w:cs="宋体"/>
                <w:lang w:val="en-US" w:eastAsia="zh-CN"/>
              </w:rPr>
              <w:t>2</w:t>
            </w:r>
          </w:p>
        </w:tc>
      </w:tr>
      <w:tr w14:paraId="6432DD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79" w:hRule="atLeast"/>
          <w:jc w:val="center"/>
        </w:trPr>
        <w:tc>
          <w:tcPr>
            <w:tcW w:w="733" w:type="dxa"/>
            <w:vMerge w:val="continue"/>
            <w:tcBorders>
              <w:left w:val="single" w:color="000000" w:sz="4" w:space="0"/>
              <w:right w:val="single" w:color="000000" w:sz="4" w:space="0"/>
            </w:tcBorders>
            <w:vAlign w:val="center"/>
          </w:tcPr>
          <w:p w14:paraId="743B2471">
            <w:pPr>
              <w:keepNext w:val="0"/>
              <w:keepLines w:val="0"/>
              <w:widowControl/>
              <w:suppressLineNumbers w:val="0"/>
              <w:spacing w:before="0" w:beforeAutospacing="0" w:after="0" w:afterAutospacing="0"/>
              <w:ind w:left="0" w:right="0"/>
              <w:rPr>
                <w:rFonts w:hint="default"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3C130FEF">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结果应用创新（1分）</w:t>
            </w:r>
          </w:p>
        </w:tc>
        <w:tc>
          <w:tcPr>
            <w:tcW w:w="1182" w:type="dxa"/>
            <w:tcBorders>
              <w:top w:val="single" w:color="000000" w:sz="4" w:space="0"/>
              <w:left w:val="single" w:color="000000" w:sz="4" w:space="0"/>
              <w:bottom w:val="single" w:color="000000" w:sz="4" w:space="0"/>
              <w:right w:val="single" w:color="auto" w:sz="4" w:space="0"/>
            </w:tcBorders>
            <w:vAlign w:val="center"/>
          </w:tcPr>
          <w:p w14:paraId="1B14125C">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结果应用创新（1分）</w:t>
            </w:r>
          </w:p>
        </w:tc>
        <w:tc>
          <w:tcPr>
            <w:tcW w:w="6911" w:type="dxa"/>
            <w:tcBorders>
              <w:top w:val="single" w:color="000000" w:sz="4" w:space="0"/>
              <w:left w:val="single" w:color="auto" w:sz="4" w:space="0"/>
              <w:bottom w:val="single" w:color="000000" w:sz="4" w:space="0"/>
              <w:right w:val="single" w:color="auto" w:sz="4" w:space="0"/>
            </w:tcBorders>
            <w:vAlign w:val="center"/>
          </w:tcPr>
          <w:p w14:paraId="123CD004">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部门将绩效结果主动对外公开、预算绩效管理工作开展情况向同级政府、人大等部门报告，用以反映和考核部门在结果应用方面的创新情况。</w:t>
            </w:r>
          </w:p>
          <w:p w14:paraId="6A18EEFA">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评价要点：</w:t>
            </w:r>
          </w:p>
          <w:p w14:paraId="09834793">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1.部门是否按要求对社会公开绩效评价结果。</w:t>
            </w:r>
          </w:p>
          <w:p w14:paraId="6E6FB2E5">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2.部门是否将预算绩效管理工作开展情况向同级政府、人大等部门报告。</w:t>
            </w:r>
          </w:p>
        </w:tc>
        <w:tc>
          <w:tcPr>
            <w:tcW w:w="3423" w:type="dxa"/>
            <w:tcBorders>
              <w:top w:val="single" w:color="000000" w:sz="4" w:space="0"/>
              <w:left w:val="single" w:color="auto" w:sz="4" w:space="0"/>
              <w:bottom w:val="single" w:color="000000" w:sz="4" w:space="0"/>
              <w:right w:val="single" w:color="auto" w:sz="4" w:space="0"/>
            </w:tcBorders>
            <w:vAlign w:val="center"/>
          </w:tcPr>
          <w:p w14:paraId="5B8DDD19">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全部符合（1分）；</w:t>
            </w:r>
          </w:p>
          <w:p w14:paraId="4A3BAA5E">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符合其中两项（0.5分）</w:t>
            </w:r>
          </w:p>
          <w:p w14:paraId="49342ADB">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52546B20">
            <w:pPr>
              <w:keepNext w:val="0"/>
              <w:keepLines w:val="0"/>
              <w:widowControl/>
              <w:suppressLineNumbers w:val="0"/>
              <w:spacing w:before="0" w:beforeAutospacing="0" w:after="0" w:afterAutospacing="0" w:line="68" w:lineRule="atLeast"/>
              <w:ind w:left="0" w:right="0"/>
              <w:rPr>
                <w:rFonts w:hint="eastAsia" w:ascii="宋体" w:hAnsi="宋体" w:eastAsia="宋体" w:cs="宋体"/>
                <w:lang w:val="en-US" w:eastAsia="zh-CN"/>
              </w:rPr>
            </w:pPr>
            <w:r>
              <w:rPr>
                <w:rFonts w:hint="eastAsia" w:ascii="宋体" w:hAnsi="宋体" w:eastAsia="宋体" w:cs="宋体"/>
                <w:lang w:val="en-US" w:eastAsia="zh-CN"/>
              </w:rPr>
              <w:t>4</w:t>
            </w:r>
          </w:p>
        </w:tc>
      </w:tr>
      <w:tr w14:paraId="3A3711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78" w:hRule="atLeast"/>
          <w:jc w:val="center"/>
        </w:trPr>
        <w:tc>
          <w:tcPr>
            <w:tcW w:w="733" w:type="dxa"/>
            <w:vMerge w:val="continue"/>
            <w:tcBorders>
              <w:left w:val="single" w:color="000000" w:sz="4" w:space="0"/>
              <w:right w:val="single" w:color="000000" w:sz="4" w:space="0"/>
            </w:tcBorders>
            <w:vAlign w:val="center"/>
          </w:tcPr>
          <w:p w14:paraId="6EF5F09A">
            <w:pPr>
              <w:keepNext w:val="0"/>
              <w:keepLines w:val="0"/>
              <w:widowControl/>
              <w:suppressLineNumbers w:val="0"/>
              <w:spacing w:before="0" w:beforeAutospacing="0" w:after="0" w:afterAutospacing="0"/>
              <w:ind w:left="0" w:right="0"/>
              <w:rPr>
                <w:rFonts w:hint="default"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1C01BDF9">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社会效益（5分）</w:t>
            </w:r>
          </w:p>
        </w:tc>
        <w:tc>
          <w:tcPr>
            <w:tcW w:w="1182" w:type="dxa"/>
            <w:tcBorders>
              <w:top w:val="single" w:color="000000" w:sz="4" w:space="0"/>
              <w:left w:val="single" w:color="000000" w:sz="4" w:space="0"/>
              <w:bottom w:val="single" w:color="000000" w:sz="4" w:space="0"/>
              <w:right w:val="single" w:color="auto" w:sz="4" w:space="0"/>
            </w:tcBorders>
            <w:vAlign w:val="center"/>
          </w:tcPr>
          <w:p w14:paraId="598CF7C0">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社会公众满意度（5分）</w:t>
            </w:r>
          </w:p>
        </w:tc>
        <w:tc>
          <w:tcPr>
            <w:tcW w:w="6911" w:type="dxa"/>
            <w:tcBorders>
              <w:top w:val="single" w:color="000000" w:sz="4" w:space="0"/>
              <w:left w:val="single" w:color="auto" w:sz="4" w:space="0"/>
              <w:bottom w:val="single" w:color="000000" w:sz="4" w:space="0"/>
              <w:right w:val="single" w:color="auto" w:sz="4" w:space="0"/>
            </w:tcBorders>
            <w:vAlign w:val="center"/>
          </w:tcPr>
          <w:p w14:paraId="153299B7">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通过问卷调查了解社会公众对部门履职效果、解决民众关心的热点问题、厉行节约等方面的满意程度，反映和评价部门支出所带来的社会效益。</w:t>
            </w:r>
          </w:p>
        </w:tc>
        <w:tc>
          <w:tcPr>
            <w:tcW w:w="3423" w:type="dxa"/>
            <w:tcBorders>
              <w:top w:val="single" w:color="000000" w:sz="4" w:space="0"/>
              <w:left w:val="single" w:color="auto" w:sz="4" w:space="0"/>
              <w:bottom w:val="single" w:color="000000" w:sz="4" w:space="0"/>
              <w:right w:val="single" w:color="auto" w:sz="4" w:space="0"/>
            </w:tcBorders>
            <w:vAlign w:val="center"/>
          </w:tcPr>
          <w:p w14:paraId="216F68A5">
            <w:pPr>
              <w:keepNext w:val="0"/>
              <w:keepLines w:val="0"/>
              <w:widowControl/>
              <w:suppressLineNumbers w:val="0"/>
              <w:spacing w:before="0" w:beforeAutospacing="0" w:after="0" w:afterAutospacing="0" w:line="240" w:lineRule="exact"/>
              <w:ind w:left="0" w:right="0"/>
              <w:rPr>
                <w:rFonts w:hint="default" w:ascii="宋体" w:hAnsi="宋体" w:eastAsia="宋体" w:cs="宋体"/>
              </w:rPr>
            </w:pPr>
            <w:r>
              <w:rPr>
                <w:rFonts w:hint="eastAsia" w:ascii="宋体" w:hAnsi="宋体" w:eastAsia="宋体" w:cs="宋体"/>
              </w:rPr>
              <w:t>按照满意度调查的优秀、良好、合格、不合格给予该项指标打分：</w:t>
            </w:r>
          </w:p>
          <w:p w14:paraId="0E6806C7">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优秀（5分）；良好（3分）；合格（1分）；不合格（0分）。</w:t>
            </w:r>
          </w:p>
        </w:tc>
        <w:tc>
          <w:tcPr>
            <w:tcW w:w="1090" w:type="dxa"/>
            <w:tcBorders>
              <w:top w:val="single" w:color="000000" w:sz="4" w:space="0"/>
              <w:left w:val="single" w:color="auto" w:sz="4" w:space="0"/>
              <w:bottom w:val="single" w:color="000000" w:sz="4" w:space="0"/>
              <w:right w:val="single" w:color="000000" w:sz="4" w:space="0"/>
            </w:tcBorders>
            <w:vAlign w:val="center"/>
          </w:tcPr>
          <w:p w14:paraId="1AA5D866">
            <w:pPr>
              <w:keepNext w:val="0"/>
              <w:keepLines w:val="0"/>
              <w:widowControl/>
              <w:suppressLineNumbers w:val="0"/>
              <w:spacing w:before="0" w:beforeAutospacing="0" w:after="0" w:afterAutospacing="0" w:line="68" w:lineRule="atLeast"/>
              <w:ind w:left="0" w:right="0"/>
              <w:rPr>
                <w:rFonts w:hint="eastAsia" w:ascii="宋体" w:hAnsi="宋体" w:eastAsia="宋体" w:cs="宋体"/>
                <w:lang w:val="en-US" w:eastAsia="zh-CN"/>
              </w:rPr>
            </w:pPr>
            <w:r>
              <w:rPr>
                <w:rFonts w:hint="eastAsia" w:ascii="宋体" w:hAnsi="宋体" w:eastAsia="宋体" w:cs="宋体"/>
                <w:lang w:val="en-US" w:eastAsia="zh-CN"/>
              </w:rPr>
              <w:t>5</w:t>
            </w:r>
          </w:p>
        </w:tc>
      </w:tr>
      <w:tr w14:paraId="1731C1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733" w:type="dxa"/>
            <w:tcBorders>
              <w:left w:val="single" w:color="000000" w:sz="4" w:space="0"/>
              <w:right w:val="single" w:color="000000" w:sz="4" w:space="0"/>
            </w:tcBorders>
            <w:vAlign w:val="center"/>
          </w:tcPr>
          <w:p w14:paraId="1FE50B24">
            <w:pPr>
              <w:keepNext w:val="0"/>
              <w:keepLines w:val="0"/>
              <w:widowControl/>
              <w:suppressLineNumbers w:val="0"/>
              <w:spacing w:before="0" w:beforeAutospacing="0" w:after="0" w:afterAutospacing="0"/>
              <w:ind w:left="0" w:right="0"/>
              <w:rPr>
                <w:rFonts w:hint="default" w:ascii="宋体" w:hAnsi="宋体" w:eastAsia="宋体" w:cs="宋体"/>
              </w:rPr>
            </w:pPr>
            <w:r>
              <w:rPr>
                <w:rFonts w:hint="eastAsia" w:ascii="宋体" w:hAnsi="宋体" w:eastAsia="宋体" w:cs="宋体"/>
              </w:rPr>
              <w:t>小计</w:t>
            </w:r>
          </w:p>
        </w:tc>
        <w:tc>
          <w:tcPr>
            <w:tcW w:w="803" w:type="dxa"/>
            <w:tcBorders>
              <w:top w:val="single" w:color="auto" w:sz="4" w:space="0"/>
              <w:left w:val="single" w:color="000000" w:sz="4" w:space="0"/>
              <w:bottom w:val="single" w:color="auto" w:sz="4" w:space="0"/>
              <w:right w:val="single" w:color="000000" w:sz="4" w:space="0"/>
            </w:tcBorders>
            <w:vAlign w:val="center"/>
          </w:tcPr>
          <w:p w14:paraId="544CE012">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100</w:t>
            </w:r>
          </w:p>
        </w:tc>
        <w:tc>
          <w:tcPr>
            <w:tcW w:w="1182" w:type="dxa"/>
            <w:tcBorders>
              <w:top w:val="single" w:color="000000" w:sz="4" w:space="0"/>
              <w:left w:val="single" w:color="000000" w:sz="4" w:space="0"/>
              <w:bottom w:val="single" w:color="000000" w:sz="4" w:space="0"/>
              <w:right w:val="single" w:color="auto" w:sz="4" w:space="0"/>
            </w:tcBorders>
            <w:vAlign w:val="center"/>
          </w:tcPr>
          <w:p w14:paraId="3E19F1C8">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tc>
        <w:tc>
          <w:tcPr>
            <w:tcW w:w="6911" w:type="dxa"/>
            <w:tcBorders>
              <w:top w:val="single" w:color="000000" w:sz="4" w:space="0"/>
              <w:left w:val="single" w:color="auto" w:sz="4" w:space="0"/>
              <w:bottom w:val="single" w:color="000000" w:sz="4" w:space="0"/>
              <w:right w:val="single" w:color="auto" w:sz="4" w:space="0"/>
            </w:tcBorders>
            <w:vAlign w:val="center"/>
          </w:tcPr>
          <w:p w14:paraId="78C4E5DE">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tc>
        <w:tc>
          <w:tcPr>
            <w:tcW w:w="3423" w:type="dxa"/>
            <w:tcBorders>
              <w:top w:val="single" w:color="000000" w:sz="4" w:space="0"/>
              <w:left w:val="single" w:color="auto" w:sz="4" w:space="0"/>
              <w:bottom w:val="single" w:color="000000" w:sz="4" w:space="0"/>
              <w:right w:val="single" w:color="auto" w:sz="4" w:space="0"/>
            </w:tcBorders>
            <w:vAlign w:val="center"/>
          </w:tcPr>
          <w:p w14:paraId="2C8A414B">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tc>
        <w:tc>
          <w:tcPr>
            <w:tcW w:w="1090" w:type="dxa"/>
            <w:tcBorders>
              <w:top w:val="single" w:color="000000" w:sz="4" w:space="0"/>
              <w:left w:val="single" w:color="auto" w:sz="4" w:space="0"/>
              <w:bottom w:val="single" w:color="000000" w:sz="4" w:space="0"/>
              <w:right w:val="single" w:color="000000" w:sz="4" w:space="0"/>
            </w:tcBorders>
            <w:vAlign w:val="center"/>
          </w:tcPr>
          <w:p w14:paraId="6486528F">
            <w:pPr>
              <w:keepNext w:val="0"/>
              <w:keepLines w:val="0"/>
              <w:widowControl/>
              <w:suppressLineNumbers w:val="0"/>
              <w:spacing w:before="0" w:beforeAutospacing="0" w:after="0" w:afterAutospacing="0" w:line="68" w:lineRule="atLeast"/>
              <w:ind w:left="0" w:right="0"/>
              <w:rPr>
                <w:rFonts w:hint="default" w:ascii="宋体" w:hAnsi="宋体" w:eastAsia="宋体" w:cs="宋体"/>
                <w:lang w:val="en-US" w:eastAsia="zh-CN"/>
              </w:rPr>
            </w:pPr>
            <w:r>
              <w:rPr>
                <w:rFonts w:hint="eastAsia" w:ascii="宋体" w:hAnsi="宋体" w:eastAsia="宋体" w:cs="宋体"/>
                <w:lang w:val="en-US" w:eastAsia="zh-CN"/>
              </w:rPr>
              <w:t>97</w:t>
            </w:r>
          </w:p>
        </w:tc>
      </w:tr>
      <w:tr w14:paraId="729153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8" w:hRule="atLeast"/>
          <w:jc w:val="center"/>
        </w:trPr>
        <w:tc>
          <w:tcPr>
            <w:tcW w:w="733" w:type="dxa"/>
            <w:tcBorders>
              <w:left w:val="single" w:color="000000" w:sz="4" w:space="0"/>
              <w:bottom w:val="single" w:color="000000" w:sz="4" w:space="0"/>
              <w:right w:val="single" w:color="000000" w:sz="4" w:space="0"/>
            </w:tcBorders>
            <w:vAlign w:val="center"/>
          </w:tcPr>
          <w:p w14:paraId="09A41E2F">
            <w:pPr>
              <w:keepNext w:val="0"/>
              <w:keepLines w:val="0"/>
              <w:widowControl/>
              <w:suppressLineNumbers w:val="0"/>
              <w:spacing w:before="0" w:beforeAutospacing="0" w:after="0" w:afterAutospacing="0"/>
              <w:ind w:left="0" w:right="0"/>
              <w:rPr>
                <w:rFonts w:hint="default" w:ascii="宋体" w:hAnsi="宋体" w:eastAsia="宋体" w:cs="宋体"/>
              </w:rPr>
            </w:pPr>
            <w:r>
              <w:rPr>
                <w:rFonts w:hint="eastAsia" w:ascii="宋体" w:hAnsi="宋体" w:eastAsia="宋体" w:cs="宋体"/>
              </w:rPr>
              <w:t>评价结果</w:t>
            </w:r>
          </w:p>
        </w:tc>
        <w:tc>
          <w:tcPr>
            <w:tcW w:w="803" w:type="dxa"/>
            <w:tcBorders>
              <w:top w:val="single" w:color="auto" w:sz="4" w:space="0"/>
              <w:left w:val="single" w:color="000000" w:sz="4" w:space="0"/>
              <w:bottom w:val="single" w:color="auto" w:sz="4" w:space="0"/>
              <w:right w:val="single" w:color="000000" w:sz="4" w:space="0"/>
            </w:tcBorders>
            <w:vAlign w:val="center"/>
          </w:tcPr>
          <w:p w14:paraId="50886723">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381C1375">
            <w:pPr>
              <w:keepNext w:val="0"/>
              <w:keepLines w:val="0"/>
              <w:widowControl/>
              <w:suppressLineNumbers w:val="0"/>
              <w:spacing w:before="0" w:beforeAutospacing="0" w:after="0" w:afterAutospacing="0" w:line="68" w:lineRule="atLeast"/>
              <w:ind w:left="0" w:right="0"/>
              <w:rPr>
                <w:rFonts w:hint="default" w:ascii="宋体" w:hAnsi="宋体" w:eastAsia="宋体" w:cs="宋体"/>
              </w:rPr>
            </w:pPr>
          </w:p>
        </w:tc>
        <w:tc>
          <w:tcPr>
            <w:tcW w:w="10334" w:type="dxa"/>
            <w:gridSpan w:val="2"/>
            <w:tcBorders>
              <w:top w:val="single" w:color="000000" w:sz="4" w:space="0"/>
              <w:left w:val="single" w:color="auto" w:sz="4" w:space="0"/>
              <w:bottom w:val="single" w:color="000000" w:sz="4" w:space="0"/>
              <w:right w:val="single" w:color="auto" w:sz="4" w:space="0"/>
            </w:tcBorders>
            <w:vAlign w:val="center"/>
          </w:tcPr>
          <w:p w14:paraId="157A797F">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 xml:space="preserve">□优秀  90分≤得分≤100分； </w:t>
            </w:r>
            <w:r>
              <w:rPr>
                <w:rFonts w:hint="eastAsia" w:ascii="宋体" w:hAnsi="宋体" w:eastAsia="宋体" w:cs="宋体"/>
              </w:rPr>
              <w:sym w:font="Wingdings 2" w:char="0052"/>
            </w:r>
            <w:r>
              <w:rPr>
                <w:rFonts w:hint="eastAsia" w:ascii="宋体" w:hAnsi="宋体" w:eastAsia="宋体" w:cs="宋体"/>
              </w:rPr>
              <w:t>良好  80分≤得分≤89分；</w:t>
            </w:r>
          </w:p>
          <w:p w14:paraId="602C4C0B">
            <w:pPr>
              <w:keepNext w:val="0"/>
              <w:keepLines w:val="0"/>
              <w:widowControl/>
              <w:suppressLineNumbers w:val="0"/>
              <w:spacing w:before="0" w:beforeAutospacing="0" w:after="0" w:afterAutospacing="0" w:line="68" w:lineRule="atLeast"/>
              <w:ind w:left="0" w:right="0"/>
              <w:rPr>
                <w:rFonts w:hint="default" w:ascii="宋体" w:hAnsi="宋体" w:eastAsia="宋体" w:cs="宋体"/>
              </w:rPr>
            </w:pPr>
            <w:r>
              <w:rPr>
                <w:rFonts w:hint="eastAsia" w:ascii="宋体" w:hAnsi="宋体" w:eastAsia="宋体" w:cs="宋体"/>
              </w:rPr>
              <w:t xml:space="preserve">  □中  60分≤得分≤79分；  □较差  0≤得分≤59分</w:t>
            </w:r>
          </w:p>
        </w:tc>
        <w:tc>
          <w:tcPr>
            <w:tcW w:w="1090" w:type="dxa"/>
            <w:tcBorders>
              <w:top w:val="single" w:color="000000" w:sz="4" w:space="0"/>
              <w:left w:val="single" w:color="auto" w:sz="4" w:space="0"/>
              <w:bottom w:val="single" w:color="000000" w:sz="4" w:space="0"/>
              <w:right w:val="single" w:color="000000" w:sz="4" w:space="0"/>
            </w:tcBorders>
            <w:vAlign w:val="center"/>
          </w:tcPr>
          <w:p w14:paraId="21599D41">
            <w:pPr>
              <w:keepNext w:val="0"/>
              <w:keepLines w:val="0"/>
              <w:widowControl/>
              <w:suppressLineNumbers w:val="0"/>
              <w:spacing w:before="0" w:beforeAutospacing="0" w:after="0" w:afterAutospacing="0" w:line="68" w:lineRule="atLeast"/>
              <w:ind w:left="0" w:right="0"/>
              <w:rPr>
                <w:rFonts w:hint="eastAsia" w:ascii="宋体" w:hAnsi="宋体" w:eastAsia="宋体" w:cs="宋体"/>
                <w:lang w:val="en-US" w:eastAsia="zh-CN"/>
              </w:rPr>
            </w:pPr>
            <w:r>
              <w:rPr>
                <w:rFonts w:hint="eastAsia" w:ascii="宋体" w:hAnsi="宋体" w:eastAsia="宋体" w:cs="宋体"/>
                <w:lang w:val="en-US" w:eastAsia="zh-CN"/>
              </w:rPr>
              <w:t>优秀</w:t>
            </w:r>
          </w:p>
        </w:tc>
      </w:tr>
    </w:tbl>
    <w:p w14:paraId="1BCCE576">
      <w:pPr>
        <w:spacing w:line="432" w:lineRule="auto"/>
      </w:pPr>
    </w:p>
    <w:p w14:paraId="0B2631CE">
      <w:pPr>
        <w:rPr>
          <w:rFonts w:ascii="黑体" w:hAnsi="黑体" w:eastAsia="黑体"/>
          <w:sz w:val="32"/>
          <w:szCs w:val="32"/>
        </w:rPr>
      </w:pPr>
      <w:r>
        <w:rPr>
          <w:rFonts w:hint="eastAsia" w:ascii="黑体" w:hAnsi="黑体" w:eastAsia="黑体"/>
          <w:sz w:val="32"/>
          <w:szCs w:val="32"/>
        </w:rPr>
        <w:br w:type="page"/>
      </w:r>
      <w:r>
        <w:rPr>
          <w:rFonts w:hint="eastAsia" w:ascii="黑体" w:hAnsi="黑体" w:eastAsia="黑体"/>
          <w:sz w:val="28"/>
          <w:szCs w:val="28"/>
        </w:rPr>
        <w:t>附件3</w:t>
      </w:r>
    </w:p>
    <w:p w14:paraId="70762244">
      <w:pPr>
        <w:spacing w:after="0" w:line="700" w:lineRule="exact"/>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rPr>
        <w:t>中方县政府网站及政务新媒体信息发布审查表</w:t>
      </w:r>
    </w:p>
    <w:p w14:paraId="367F6873">
      <w:pPr>
        <w:spacing w:after="0" w:line="400" w:lineRule="exact"/>
        <w:jc w:val="center"/>
        <w:rPr>
          <w:rFonts w:ascii="方正小标宋简体" w:hAnsi="Times New Roman" w:eastAsia="方正小标宋简体"/>
          <w:sz w:val="44"/>
          <w:szCs w:val="44"/>
        </w:rPr>
      </w:pPr>
    </w:p>
    <w:p w14:paraId="731DAA12">
      <w:pPr>
        <w:rPr>
          <w:rFonts w:ascii="宋体" w:hAnsi="宋体" w:eastAsia="宋体" w:cs="宋体"/>
          <w:sz w:val="24"/>
          <w:szCs w:val="24"/>
        </w:rPr>
      </w:pPr>
      <w:r>
        <w:rPr>
          <w:rFonts w:hint="eastAsia" w:ascii="宋体" w:hAnsi="宋体" w:eastAsia="宋体" w:cs="宋体"/>
          <w:sz w:val="24"/>
          <w:szCs w:val="24"/>
        </w:rPr>
        <w:t>单位：                                                                                        年      月       日</w:t>
      </w:r>
    </w:p>
    <w:tbl>
      <w:tblPr>
        <w:tblStyle w:val="9"/>
        <w:tblW w:w="1473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383"/>
        <w:gridCol w:w="3507"/>
        <w:gridCol w:w="2781"/>
        <w:gridCol w:w="3277"/>
        <w:gridCol w:w="2081"/>
      </w:tblGrid>
      <w:tr w14:paraId="238AEE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tcW w:w="709" w:type="dxa"/>
            <w:vAlign w:val="bottom"/>
          </w:tcPr>
          <w:p w14:paraId="5815753A">
            <w:pPr>
              <w:keepNext w:val="0"/>
              <w:keepLines w:val="0"/>
              <w:widowControl/>
              <w:suppressLineNumbers w:val="0"/>
              <w:spacing w:before="0" w:beforeAutospacing="0" w:after="0" w:afterAutospacing="0"/>
              <w:ind w:left="0" w:right="0"/>
              <w:jc w:val="center"/>
              <w:rPr>
                <w:rFonts w:hint="default" w:ascii="宋体" w:hAnsi="宋体" w:eastAsia="宋体" w:cs="宋体"/>
                <w:b/>
                <w:bCs/>
                <w:sz w:val="24"/>
                <w:szCs w:val="24"/>
              </w:rPr>
            </w:pPr>
            <w:r>
              <w:rPr>
                <w:rFonts w:hint="eastAsia" w:ascii="宋体" w:hAnsi="宋体" w:eastAsia="宋体" w:cs="宋体"/>
                <w:b/>
                <w:bCs/>
                <w:sz w:val="24"/>
                <w:szCs w:val="24"/>
              </w:rPr>
              <w:t>序号</w:t>
            </w:r>
          </w:p>
        </w:tc>
        <w:tc>
          <w:tcPr>
            <w:tcW w:w="2383" w:type="dxa"/>
            <w:vAlign w:val="bottom"/>
          </w:tcPr>
          <w:p w14:paraId="768C0894">
            <w:pPr>
              <w:keepNext w:val="0"/>
              <w:keepLines w:val="0"/>
              <w:widowControl/>
              <w:suppressLineNumbers w:val="0"/>
              <w:spacing w:before="0" w:beforeAutospacing="0" w:after="0" w:afterAutospacing="0"/>
              <w:ind w:left="0" w:right="0"/>
              <w:jc w:val="center"/>
              <w:rPr>
                <w:rFonts w:hint="default" w:ascii="宋体" w:hAnsi="宋体" w:eastAsia="宋体" w:cs="宋体"/>
                <w:b/>
                <w:bCs/>
                <w:sz w:val="24"/>
                <w:szCs w:val="24"/>
              </w:rPr>
            </w:pPr>
            <w:r>
              <w:rPr>
                <w:rFonts w:hint="eastAsia" w:ascii="宋体" w:hAnsi="宋体" w:eastAsia="宋体" w:cs="宋体"/>
                <w:b/>
                <w:bCs/>
                <w:sz w:val="24"/>
                <w:szCs w:val="24"/>
              </w:rPr>
              <w:t>信息名称</w:t>
            </w:r>
          </w:p>
        </w:tc>
        <w:tc>
          <w:tcPr>
            <w:tcW w:w="3507" w:type="dxa"/>
            <w:vAlign w:val="bottom"/>
          </w:tcPr>
          <w:p w14:paraId="26BFE3BE">
            <w:pPr>
              <w:keepNext w:val="0"/>
              <w:keepLines w:val="0"/>
              <w:widowControl/>
              <w:suppressLineNumbers w:val="0"/>
              <w:spacing w:before="0" w:beforeAutospacing="0" w:after="0" w:afterAutospacing="0"/>
              <w:ind w:left="0" w:right="0"/>
              <w:jc w:val="center"/>
              <w:rPr>
                <w:rFonts w:hint="default" w:ascii="宋体" w:hAnsi="宋体" w:eastAsia="宋体" w:cs="宋体"/>
                <w:b/>
                <w:bCs/>
                <w:sz w:val="24"/>
                <w:szCs w:val="24"/>
              </w:rPr>
            </w:pPr>
            <w:r>
              <w:rPr>
                <w:rFonts w:hint="eastAsia" w:ascii="宋体" w:hAnsi="宋体" w:eastAsia="宋体" w:cs="宋体"/>
                <w:b/>
                <w:bCs/>
                <w:sz w:val="24"/>
                <w:szCs w:val="24"/>
              </w:rPr>
              <w:t>信息来源</w:t>
            </w:r>
          </w:p>
        </w:tc>
        <w:tc>
          <w:tcPr>
            <w:tcW w:w="2781" w:type="dxa"/>
            <w:vAlign w:val="bottom"/>
          </w:tcPr>
          <w:p w14:paraId="5FF2A9C4">
            <w:pPr>
              <w:keepNext w:val="0"/>
              <w:keepLines w:val="0"/>
              <w:widowControl/>
              <w:suppressLineNumbers w:val="0"/>
              <w:spacing w:before="0" w:beforeAutospacing="0" w:after="0" w:afterAutospacing="0"/>
              <w:ind w:left="0" w:right="0"/>
              <w:jc w:val="center"/>
              <w:rPr>
                <w:rFonts w:hint="default" w:ascii="宋体" w:hAnsi="宋体" w:eastAsia="宋体" w:cs="宋体"/>
                <w:b/>
                <w:bCs/>
                <w:sz w:val="24"/>
                <w:szCs w:val="24"/>
              </w:rPr>
            </w:pPr>
            <w:r>
              <w:rPr>
                <w:rFonts w:hint="eastAsia" w:ascii="宋体" w:hAnsi="宋体" w:eastAsia="宋体" w:cs="宋体"/>
                <w:b/>
                <w:bCs/>
                <w:sz w:val="24"/>
                <w:szCs w:val="24"/>
              </w:rPr>
              <w:t>发布形式</w:t>
            </w:r>
          </w:p>
        </w:tc>
        <w:tc>
          <w:tcPr>
            <w:tcW w:w="3277" w:type="dxa"/>
            <w:vAlign w:val="bottom"/>
          </w:tcPr>
          <w:p w14:paraId="4C0FC76A">
            <w:pPr>
              <w:keepNext w:val="0"/>
              <w:keepLines w:val="0"/>
              <w:widowControl/>
              <w:suppressLineNumbers w:val="0"/>
              <w:spacing w:before="0" w:beforeAutospacing="0" w:after="0" w:afterAutospacing="0"/>
              <w:ind w:left="0" w:right="0"/>
              <w:jc w:val="center"/>
              <w:rPr>
                <w:rFonts w:hint="default" w:ascii="宋体" w:hAnsi="宋体" w:eastAsia="宋体" w:cs="宋体"/>
                <w:b/>
                <w:bCs/>
                <w:sz w:val="24"/>
                <w:szCs w:val="24"/>
              </w:rPr>
            </w:pPr>
            <w:r>
              <w:rPr>
                <w:rFonts w:hint="eastAsia" w:ascii="宋体" w:hAnsi="宋体" w:eastAsia="宋体" w:cs="宋体"/>
                <w:b/>
                <w:bCs/>
                <w:sz w:val="24"/>
                <w:szCs w:val="24"/>
              </w:rPr>
              <w:t>保密机构或保密员</w:t>
            </w:r>
            <w:r>
              <w:rPr>
                <w:rFonts w:hint="eastAsia" w:ascii="宋体" w:hAnsi="宋体" w:eastAsia="宋体" w:cs="宋体"/>
                <w:b/>
                <w:bCs/>
                <w:sz w:val="24"/>
                <w:szCs w:val="24"/>
                <w:u w:val="single"/>
              </w:rPr>
              <w:t>复审</w:t>
            </w:r>
          </w:p>
        </w:tc>
        <w:tc>
          <w:tcPr>
            <w:tcW w:w="2081" w:type="dxa"/>
            <w:vAlign w:val="bottom"/>
          </w:tcPr>
          <w:p w14:paraId="4A35812F">
            <w:pPr>
              <w:keepNext w:val="0"/>
              <w:keepLines w:val="0"/>
              <w:widowControl/>
              <w:suppressLineNumbers w:val="0"/>
              <w:spacing w:before="0" w:beforeAutospacing="0" w:after="0" w:afterAutospacing="0"/>
              <w:ind w:left="0" w:right="0"/>
              <w:jc w:val="center"/>
              <w:rPr>
                <w:rFonts w:hint="default" w:ascii="宋体" w:hAnsi="宋体" w:eastAsia="宋体" w:cs="宋体"/>
                <w:b/>
                <w:bCs/>
                <w:sz w:val="24"/>
                <w:szCs w:val="24"/>
              </w:rPr>
            </w:pPr>
            <w:r>
              <w:rPr>
                <w:rFonts w:hint="eastAsia" w:ascii="宋体" w:hAnsi="宋体" w:eastAsia="宋体" w:cs="宋体"/>
                <w:b/>
                <w:bCs/>
                <w:sz w:val="24"/>
                <w:szCs w:val="24"/>
              </w:rPr>
              <w:t>主管领导</w:t>
            </w:r>
            <w:r>
              <w:rPr>
                <w:rFonts w:hint="eastAsia" w:ascii="宋体" w:hAnsi="宋体" w:eastAsia="宋体" w:cs="宋体"/>
                <w:b/>
                <w:bCs/>
                <w:sz w:val="24"/>
                <w:szCs w:val="24"/>
                <w:u w:val="single"/>
              </w:rPr>
              <w:t>终审</w:t>
            </w:r>
          </w:p>
        </w:tc>
      </w:tr>
      <w:tr w14:paraId="0A79D4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14:paraId="3992E6E2">
            <w:pPr>
              <w:keepNext w:val="0"/>
              <w:keepLines w:val="0"/>
              <w:widowControl/>
              <w:suppressLineNumbers w:val="0"/>
              <w:spacing w:before="0" w:beforeAutospacing="0" w:after="0" w:afterAutospacing="0" w:line="500" w:lineRule="exact"/>
              <w:ind w:left="0" w:right="0"/>
              <w:jc w:val="center"/>
              <w:rPr>
                <w:rFonts w:hint="default" w:ascii="宋体" w:hAnsi="宋体" w:eastAsia="宋体" w:cs="宋体"/>
              </w:rPr>
            </w:pPr>
          </w:p>
        </w:tc>
        <w:tc>
          <w:tcPr>
            <w:tcW w:w="2383" w:type="dxa"/>
            <w:vAlign w:val="center"/>
          </w:tcPr>
          <w:p w14:paraId="1F40691C">
            <w:pPr>
              <w:keepNext w:val="0"/>
              <w:keepLines w:val="0"/>
              <w:widowControl/>
              <w:suppressLineNumbers w:val="0"/>
              <w:spacing w:before="0" w:beforeAutospacing="0" w:after="0" w:afterAutospacing="0" w:line="500" w:lineRule="exact"/>
              <w:ind w:left="0" w:right="0"/>
              <w:jc w:val="center"/>
              <w:rPr>
                <w:rFonts w:hint="default" w:ascii="宋体" w:hAnsi="宋体" w:eastAsia="宋体" w:cs="宋体"/>
              </w:rPr>
            </w:pPr>
          </w:p>
        </w:tc>
        <w:tc>
          <w:tcPr>
            <w:tcW w:w="3507" w:type="dxa"/>
            <w:vAlign w:val="center"/>
          </w:tcPr>
          <w:p w14:paraId="44C91567">
            <w:pPr>
              <w:keepNext w:val="0"/>
              <w:keepLines w:val="0"/>
              <w:widowControl/>
              <w:suppressLineNumbers w:val="0"/>
              <w:spacing w:before="0" w:beforeAutospacing="0" w:after="0" w:afterAutospacing="0" w:line="500" w:lineRule="exact"/>
              <w:ind w:left="0" w:right="0"/>
              <w:rPr>
                <w:rFonts w:hint="default" w:ascii="宋体" w:hAnsi="宋体" w:eastAsia="宋体" w:cs="宋体"/>
              </w:rPr>
            </w:pPr>
            <w:r>
              <w:rPr>
                <w:rFonts w:hint="eastAsia" w:ascii="宋体" w:hAnsi="宋体" w:eastAsia="宋体" w:cs="宋体"/>
              </w:rPr>
              <w:t>本机关、单位制发  □</w:t>
            </w:r>
          </w:p>
          <w:p w14:paraId="4483DF1C">
            <w:pPr>
              <w:keepNext w:val="0"/>
              <w:keepLines w:val="0"/>
              <w:widowControl/>
              <w:suppressLineNumbers w:val="0"/>
              <w:spacing w:before="0" w:beforeAutospacing="0" w:after="0" w:afterAutospacing="0" w:line="500" w:lineRule="exact"/>
              <w:ind w:left="0" w:right="0"/>
              <w:rPr>
                <w:rFonts w:hint="default" w:ascii="宋体" w:hAnsi="宋体" w:eastAsia="宋体" w:cs="宋体"/>
              </w:rPr>
            </w:pPr>
            <w:r>
              <w:rPr>
                <w:rFonts w:hint="eastAsia" w:ascii="宋体" w:hAnsi="宋体" w:eastAsia="宋体" w:cs="宋体"/>
              </w:rPr>
              <w:t>转载（注明转载来源）：</w:t>
            </w:r>
          </w:p>
          <w:p w14:paraId="0338EC4E">
            <w:pPr>
              <w:keepNext w:val="0"/>
              <w:keepLines w:val="0"/>
              <w:widowControl/>
              <w:suppressLineNumbers w:val="0"/>
              <w:spacing w:before="0" w:beforeAutospacing="0" w:after="0" w:afterAutospacing="0" w:line="500" w:lineRule="exact"/>
              <w:ind w:left="0" w:right="0"/>
              <w:rPr>
                <w:rFonts w:hint="default" w:ascii="宋体" w:hAnsi="宋体" w:eastAsia="宋体" w:cs="宋体"/>
                <w:u w:val="single"/>
              </w:rPr>
            </w:pPr>
            <w:r>
              <w:rPr>
                <w:rFonts w:hint="eastAsia" w:ascii="宋体" w:hAnsi="宋体" w:eastAsia="宋体" w:cs="宋体"/>
                <w:u w:val="single"/>
              </w:rPr>
              <w:t xml:space="preserve">                           </w:t>
            </w:r>
          </w:p>
        </w:tc>
        <w:tc>
          <w:tcPr>
            <w:tcW w:w="2781" w:type="dxa"/>
            <w:vAlign w:val="center"/>
          </w:tcPr>
          <w:p w14:paraId="6FA8416F">
            <w:pPr>
              <w:keepNext w:val="0"/>
              <w:keepLines w:val="0"/>
              <w:widowControl/>
              <w:suppressLineNumbers w:val="0"/>
              <w:spacing w:before="0" w:beforeAutospacing="0" w:after="0" w:afterAutospacing="0" w:line="500" w:lineRule="exact"/>
              <w:ind w:left="0" w:right="0"/>
              <w:rPr>
                <w:rFonts w:hint="default" w:ascii="宋体" w:hAnsi="宋体" w:eastAsia="宋体" w:cs="宋体"/>
              </w:rPr>
            </w:pPr>
            <w:r>
              <w:rPr>
                <w:rFonts w:hint="eastAsia" w:ascii="宋体" w:hAnsi="宋体" w:eastAsia="宋体" w:cs="宋体"/>
              </w:rPr>
              <w:t>政府网站主动公开  □</w:t>
            </w:r>
          </w:p>
          <w:p w14:paraId="5D6E0E5A">
            <w:pPr>
              <w:keepNext w:val="0"/>
              <w:keepLines w:val="0"/>
              <w:widowControl/>
              <w:suppressLineNumbers w:val="0"/>
              <w:spacing w:before="0" w:beforeAutospacing="0" w:after="0" w:afterAutospacing="0" w:line="500" w:lineRule="exact"/>
              <w:ind w:left="0" w:right="0"/>
              <w:rPr>
                <w:rFonts w:hint="default" w:ascii="宋体" w:hAnsi="宋体" w:eastAsia="宋体" w:cs="宋体"/>
              </w:rPr>
            </w:pPr>
            <w:r>
              <w:rPr>
                <w:rFonts w:hint="eastAsia" w:ascii="宋体" w:hAnsi="宋体" w:eastAsia="宋体" w:cs="宋体"/>
              </w:rPr>
              <w:t xml:space="preserve">依申请公开        </w:t>
            </w:r>
            <w:r>
              <w:rPr>
                <w:rFonts w:hint="eastAsia" w:ascii="宋体" w:hAnsi="宋体" w:eastAsia="宋体" w:cs="宋体"/>
              </w:rPr>
              <w:sym w:font="Wingdings 2" w:char="0052"/>
            </w:r>
          </w:p>
          <w:p w14:paraId="438154A7">
            <w:pPr>
              <w:keepNext w:val="0"/>
              <w:keepLines w:val="0"/>
              <w:widowControl/>
              <w:suppressLineNumbers w:val="0"/>
              <w:spacing w:before="0" w:beforeAutospacing="0" w:after="0" w:afterAutospacing="0" w:line="500" w:lineRule="exact"/>
              <w:ind w:left="0" w:right="0"/>
              <w:rPr>
                <w:rFonts w:hint="default" w:ascii="宋体" w:hAnsi="宋体" w:eastAsia="宋体" w:cs="宋体"/>
              </w:rPr>
            </w:pPr>
            <w:r>
              <w:rPr>
                <w:rFonts w:hint="eastAsia" w:ascii="宋体" w:hAnsi="宋体" w:eastAsia="宋体" w:cs="宋体"/>
              </w:rPr>
              <w:t>其他</w:t>
            </w:r>
            <w:r>
              <w:rPr>
                <w:rFonts w:hint="eastAsia" w:ascii="宋体" w:hAnsi="宋体" w:eastAsia="宋体" w:cs="宋体"/>
                <w:u w:val="single"/>
              </w:rPr>
              <w:t xml:space="preserve">                </w:t>
            </w:r>
          </w:p>
        </w:tc>
        <w:tc>
          <w:tcPr>
            <w:tcW w:w="3277" w:type="dxa"/>
            <w:vAlign w:val="center"/>
          </w:tcPr>
          <w:p w14:paraId="5E7BB0BB">
            <w:pPr>
              <w:keepNext w:val="0"/>
              <w:keepLines w:val="0"/>
              <w:widowControl/>
              <w:suppressLineNumbers w:val="0"/>
              <w:spacing w:before="0" w:beforeAutospacing="0" w:after="0" w:afterAutospacing="0" w:line="500" w:lineRule="exact"/>
              <w:ind w:left="0" w:right="0"/>
              <w:rPr>
                <w:rFonts w:hint="default" w:ascii="宋体" w:hAnsi="宋体" w:eastAsia="宋体" w:cs="宋体"/>
              </w:rPr>
            </w:pPr>
            <w:r>
              <w:rPr>
                <w:rFonts w:hint="eastAsia" w:ascii="宋体" w:hAnsi="宋体" w:eastAsia="宋体" w:cs="宋体"/>
              </w:rPr>
              <w:t>非涉密，同意公开□</w:t>
            </w:r>
          </w:p>
          <w:p w14:paraId="4CA6B9DA">
            <w:pPr>
              <w:keepNext w:val="0"/>
              <w:keepLines w:val="0"/>
              <w:widowControl/>
              <w:suppressLineNumbers w:val="0"/>
              <w:spacing w:before="0" w:beforeAutospacing="0" w:after="0" w:afterAutospacing="0" w:line="500" w:lineRule="exact"/>
              <w:ind w:left="0" w:right="0"/>
              <w:rPr>
                <w:rFonts w:hint="default" w:ascii="宋体" w:hAnsi="宋体" w:eastAsia="宋体" w:cs="宋体"/>
              </w:rPr>
            </w:pPr>
            <w:r>
              <w:rPr>
                <w:rFonts w:hint="eastAsia" w:ascii="宋体" w:hAnsi="宋体" w:eastAsia="宋体" w:cs="宋体"/>
              </w:rPr>
              <w:t>不同意，</w:t>
            </w:r>
            <w:r>
              <w:rPr>
                <w:rFonts w:hint="eastAsia" w:ascii="宋体" w:hAnsi="宋体" w:eastAsia="宋体" w:cs="宋体"/>
                <w:u w:val="single"/>
              </w:rPr>
              <w:t xml:space="preserve">        </w:t>
            </w:r>
            <w:r>
              <w:rPr>
                <w:rFonts w:hint="eastAsia" w:ascii="宋体" w:hAnsi="宋体" w:eastAsia="宋体" w:cs="宋体"/>
              </w:rPr>
              <w:t>□</w:t>
            </w:r>
          </w:p>
        </w:tc>
        <w:tc>
          <w:tcPr>
            <w:tcW w:w="2081" w:type="dxa"/>
            <w:vAlign w:val="center"/>
          </w:tcPr>
          <w:p w14:paraId="3A75B36F">
            <w:pPr>
              <w:keepNext w:val="0"/>
              <w:keepLines w:val="0"/>
              <w:widowControl/>
              <w:suppressLineNumbers w:val="0"/>
              <w:spacing w:before="0" w:beforeAutospacing="0" w:after="0" w:afterAutospacing="0" w:line="500" w:lineRule="exact"/>
              <w:ind w:left="0" w:right="0"/>
              <w:jc w:val="center"/>
              <w:rPr>
                <w:rFonts w:hint="default" w:ascii="宋体" w:hAnsi="宋体" w:eastAsia="宋体" w:cs="宋体"/>
              </w:rPr>
            </w:pPr>
          </w:p>
        </w:tc>
      </w:tr>
      <w:tr w14:paraId="32DF45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14:paraId="4B6A6E84">
            <w:pPr>
              <w:keepNext w:val="0"/>
              <w:keepLines w:val="0"/>
              <w:widowControl/>
              <w:suppressLineNumbers w:val="0"/>
              <w:spacing w:before="0" w:beforeAutospacing="0" w:after="0" w:afterAutospacing="0" w:line="500" w:lineRule="exact"/>
              <w:ind w:left="0" w:right="0"/>
              <w:jc w:val="center"/>
              <w:rPr>
                <w:rFonts w:hint="default" w:ascii="宋体" w:hAnsi="宋体" w:eastAsia="宋体" w:cs="宋体"/>
              </w:rPr>
            </w:pPr>
          </w:p>
        </w:tc>
        <w:tc>
          <w:tcPr>
            <w:tcW w:w="2383" w:type="dxa"/>
            <w:vAlign w:val="center"/>
          </w:tcPr>
          <w:p w14:paraId="7D9720C2">
            <w:pPr>
              <w:keepNext w:val="0"/>
              <w:keepLines w:val="0"/>
              <w:widowControl/>
              <w:suppressLineNumbers w:val="0"/>
              <w:spacing w:before="0" w:beforeAutospacing="0" w:after="0" w:afterAutospacing="0" w:line="500" w:lineRule="exact"/>
              <w:ind w:left="0" w:right="0"/>
              <w:jc w:val="center"/>
              <w:rPr>
                <w:rFonts w:hint="default" w:ascii="宋体" w:hAnsi="宋体" w:eastAsia="宋体" w:cs="宋体"/>
              </w:rPr>
            </w:pPr>
          </w:p>
        </w:tc>
        <w:tc>
          <w:tcPr>
            <w:tcW w:w="3507" w:type="dxa"/>
            <w:vAlign w:val="center"/>
          </w:tcPr>
          <w:p w14:paraId="5490D84B">
            <w:pPr>
              <w:keepNext w:val="0"/>
              <w:keepLines w:val="0"/>
              <w:widowControl/>
              <w:suppressLineNumbers w:val="0"/>
              <w:spacing w:before="0" w:beforeAutospacing="0" w:after="0" w:afterAutospacing="0" w:line="500" w:lineRule="exact"/>
              <w:ind w:left="0" w:right="0"/>
              <w:rPr>
                <w:rFonts w:hint="default" w:ascii="宋体" w:hAnsi="宋体" w:eastAsia="宋体" w:cs="宋体"/>
              </w:rPr>
            </w:pPr>
            <w:r>
              <w:rPr>
                <w:rFonts w:hint="eastAsia" w:ascii="宋体" w:hAnsi="宋体" w:eastAsia="宋体" w:cs="宋体"/>
              </w:rPr>
              <w:t>本机关、单位制发  □</w:t>
            </w:r>
          </w:p>
          <w:p w14:paraId="7DBBF960">
            <w:pPr>
              <w:keepNext w:val="0"/>
              <w:keepLines w:val="0"/>
              <w:widowControl/>
              <w:suppressLineNumbers w:val="0"/>
              <w:spacing w:before="0" w:beforeAutospacing="0" w:after="0" w:afterAutospacing="0" w:line="500" w:lineRule="exact"/>
              <w:ind w:left="0" w:right="0"/>
              <w:rPr>
                <w:rFonts w:hint="default" w:ascii="宋体" w:hAnsi="宋体" w:eastAsia="宋体" w:cs="宋体"/>
              </w:rPr>
            </w:pPr>
            <w:r>
              <w:rPr>
                <w:rFonts w:hint="eastAsia" w:ascii="宋体" w:hAnsi="宋体" w:eastAsia="宋体" w:cs="宋体"/>
              </w:rPr>
              <w:t>转载（注明转载来源）：</w:t>
            </w:r>
          </w:p>
          <w:p w14:paraId="1923DF47">
            <w:pPr>
              <w:keepNext w:val="0"/>
              <w:keepLines w:val="0"/>
              <w:widowControl/>
              <w:suppressLineNumbers w:val="0"/>
              <w:spacing w:before="0" w:beforeAutospacing="0" w:after="0" w:afterAutospacing="0" w:line="500" w:lineRule="exact"/>
              <w:ind w:left="0" w:right="0"/>
              <w:rPr>
                <w:rFonts w:hint="default" w:ascii="宋体" w:hAnsi="宋体" w:eastAsia="宋体" w:cs="宋体"/>
              </w:rPr>
            </w:pPr>
            <w:r>
              <w:rPr>
                <w:rFonts w:hint="eastAsia" w:ascii="宋体" w:hAnsi="宋体" w:eastAsia="宋体" w:cs="宋体"/>
                <w:u w:val="single"/>
              </w:rPr>
              <w:t xml:space="preserve">                            </w:t>
            </w:r>
          </w:p>
        </w:tc>
        <w:tc>
          <w:tcPr>
            <w:tcW w:w="2781" w:type="dxa"/>
            <w:vAlign w:val="center"/>
          </w:tcPr>
          <w:p w14:paraId="2F6B8D06">
            <w:pPr>
              <w:keepNext w:val="0"/>
              <w:keepLines w:val="0"/>
              <w:widowControl/>
              <w:suppressLineNumbers w:val="0"/>
              <w:spacing w:before="0" w:beforeAutospacing="0" w:after="0" w:afterAutospacing="0" w:line="500" w:lineRule="exact"/>
              <w:ind w:left="0" w:right="0"/>
              <w:rPr>
                <w:rFonts w:hint="default" w:ascii="宋体" w:hAnsi="宋体" w:eastAsia="宋体" w:cs="宋体"/>
              </w:rPr>
            </w:pPr>
            <w:r>
              <w:rPr>
                <w:rFonts w:hint="eastAsia" w:ascii="宋体" w:hAnsi="宋体" w:eastAsia="宋体" w:cs="宋体"/>
              </w:rPr>
              <w:t>政府网站主动公开  □</w:t>
            </w:r>
          </w:p>
          <w:p w14:paraId="0F3C25DC">
            <w:pPr>
              <w:keepNext w:val="0"/>
              <w:keepLines w:val="0"/>
              <w:widowControl/>
              <w:suppressLineNumbers w:val="0"/>
              <w:spacing w:before="0" w:beforeAutospacing="0" w:after="0" w:afterAutospacing="0" w:line="500" w:lineRule="exact"/>
              <w:ind w:left="0" w:right="0"/>
              <w:rPr>
                <w:rFonts w:hint="default" w:ascii="宋体" w:hAnsi="宋体" w:eastAsia="宋体" w:cs="宋体"/>
              </w:rPr>
            </w:pPr>
            <w:r>
              <w:rPr>
                <w:rFonts w:hint="eastAsia" w:ascii="宋体" w:hAnsi="宋体" w:eastAsia="宋体" w:cs="宋体"/>
              </w:rPr>
              <w:t>依申请公开        □</w:t>
            </w:r>
          </w:p>
          <w:p w14:paraId="7CD7EFBB">
            <w:pPr>
              <w:keepNext w:val="0"/>
              <w:keepLines w:val="0"/>
              <w:widowControl/>
              <w:suppressLineNumbers w:val="0"/>
              <w:spacing w:before="0" w:beforeAutospacing="0" w:after="0" w:afterAutospacing="0" w:line="500" w:lineRule="exact"/>
              <w:ind w:left="0" w:right="0"/>
              <w:rPr>
                <w:rFonts w:hint="default" w:ascii="宋体" w:hAnsi="宋体" w:eastAsia="宋体" w:cs="宋体"/>
              </w:rPr>
            </w:pPr>
            <w:r>
              <w:rPr>
                <w:rFonts w:hint="eastAsia" w:ascii="宋体" w:hAnsi="宋体" w:eastAsia="宋体" w:cs="宋体"/>
              </w:rPr>
              <w:t>其他</w:t>
            </w:r>
            <w:r>
              <w:rPr>
                <w:rFonts w:hint="eastAsia" w:ascii="宋体" w:hAnsi="宋体" w:eastAsia="宋体" w:cs="宋体"/>
                <w:u w:val="single"/>
              </w:rPr>
              <w:t xml:space="preserve">                </w:t>
            </w:r>
          </w:p>
        </w:tc>
        <w:tc>
          <w:tcPr>
            <w:tcW w:w="3277" w:type="dxa"/>
            <w:vAlign w:val="center"/>
          </w:tcPr>
          <w:p w14:paraId="41CBAF20">
            <w:pPr>
              <w:keepNext w:val="0"/>
              <w:keepLines w:val="0"/>
              <w:widowControl/>
              <w:suppressLineNumbers w:val="0"/>
              <w:spacing w:before="0" w:beforeAutospacing="0" w:after="0" w:afterAutospacing="0" w:line="500" w:lineRule="exact"/>
              <w:ind w:left="0" w:right="0"/>
              <w:rPr>
                <w:rFonts w:hint="default" w:ascii="宋体" w:hAnsi="宋体" w:eastAsia="宋体" w:cs="宋体"/>
              </w:rPr>
            </w:pPr>
            <w:r>
              <w:rPr>
                <w:rFonts w:hint="eastAsia" w:ascii="宋体" w:hAnsi="宋体" w:eastAsia="宋体" w:cs="宋体"/>
              </w:rPr>
              <w:t>非涉密，同意公开□</w:t>
            </w:r>
          </w:p>
          <w:p w14:paraId="06572D2C">
            <w:pPr>
              <w:keepNext w:val="0"/>
              <w:keepLines w:val="0"/>
              <w:widowControl/>
              <w:suppressLineNumbers w:val="0"/>
              <w:spacing w:before="0" w:beforeAutospacing="0" w:after="0" w:afterAutospacing="0" w:line="500" w:lineRule="exact"/>
              <w:ind w:left="0" w:right="0"/>
              <w:rPr>
                <w:rFonts w:hint="default" w:ascii="宋体" w:hAnsi="宋体" w:eastAsia="宋体" w:cs="宋体"/>
              </w:rPr>
            </w:pPr>
            <w:r>
              <w:rPr>
                <w:rFonts w:hint="eastAsia" w:ascii="宋体" w:hAnsi="宋体" w:eastAsia="宋体" w:cs="宋体"/>
              </w:rPr>
              <w:t>不同意，</w:t>
            </w:r>
            <w:r>
              <w:rPr>
                <w:rFonts w:hint="eastAsia" w:ascii="宋体" w:hAnsi="宋体" w:eastAsia="宋体" w:cs="宋体"/>
                <w:u w:val="single"/>
              </w:rPr>
              <w:t xml:space="preserve">        </w:t>
            </w:r>
            <w:r>
              <w:rPr>
                <w:rFonts w:hint="eastAsia" w:ascii="宋体" w:hAnsi="宋体" w:eastAsia="宋体" w:cs="宋体"/>
              </w:rPr>
              <w:t>□</w:t>
            </w:r>
          </w:p>
        </w:tc>
        <w:tc>
          <w:tcPr>
            <w:tcW w:w="2081" w:type="dxa"/>
            <w:vAlign w:val="center"/>
          </w:tcPr>
          <w:p w14:paraId="67197E45">
            <w:pPr>
              <w:keepNext w:val="0"/>
              <w:keepLines w:val="0"/>
              <w:widowControl/>
              <w:suppressLineNumbers w:val="0"/>
              <w:spacing w:before="0" w:beforeAutospacing="0" w:after="0" w:afterAutospacing="0" w:line="500" w:lineRule="exact"/>
              <w:ind w:left="0" w:right="0"/>
              <w:jc w:val="center"/>
              <w:rPr>
                <w:rFonts w:hint="default" w:ascii="宋体" w:hAnsi="宋体" w:eastAsia="宋体" w:cs="宋体"/>
              </w:rPr>
            </w:pPr>
          </w:p>
        </w:tc>
      </w:tr>
      <w:tr w14:paraId="4B0E51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9380" w:type="dxa"/>
            <w:gridSpan w:val="4"/>
            <w:vAlign w:val="center"/>
          </w:tcPr>
          <w:p w14:paraId="4328728B">
            <w:pPr>
              <w:keepNext w:val="0"/>
              <w:keepLines w:val="0"/>
              <w:widowControl/>
              <w:suppressLineNumbers w:val="0"/>
              <w:spacing w:before="0" w:beforeAutospacing="0" w:after="0" w:afterAutospacing="0" w:line="500" w:lineRule="exact"/>
              <w:ind w:left="0" w:right="0"/>
              <w:rPr>
                <w:rFonts w:hint="default" w:ascii="宋体" w:hAnsi="宋体" w:eastAsia="宋体" w:cs="宋体"/>
              </w:rPr>
            </w:pPr>
            <w:r>
              <w:rPr>
                <w:rFonts w:hint="eastAsia" w:ascii="宋体" w:hAnsi="宋体" w:eastAsia="宋体" w:cs="宋体"/>
              </w:rPr>
              <w:t>承办人</w:t>
            </w:r>
            <w:r>
              <w:rPr>
                <w:rFonts w:hint="eastAsia" w:ascii="宋体" w:hAnsi="宋体" w:eastAsia="宋体" w:cs="宋体"/>
                <w:u w:val="single"/>
              </w:rPr>
              <w:t>初审</w:t>
            </w:r>
            <w:r>
              <w:rPr>
                <w:rFonts w:hint="eastAsia" w:ascii="宋体" w:hAnsi="宋体" w:eastAsia="宋体" w:cs="宋体"/>
              </w:rPr>
              <w:t>（签字）</w:t>
            </w:r>
          </w:p>
        </w:tc>
        <w:tc>
          <w:tcPr>
            <w:tcW w:w="3277" w:type="dxa"/>
            <w:vAlign w:val="center"/>
          </w:tcPr>
          <w:p w14:paraId="408EE727">
            <w:pPr>
              <w:keepNext w:val="0"/>
              <w:keepLines w:val="0"/>
              <w:widowControl/>
              <w:suppressLineNumbers w:val="0"/>
              <w:spacing w:before="0" w:beforeAutospacing="0" w:after="0" w:afterAutospacing="0" w:line="500" w:lineRule="exact"/>
              <w:ind w:left="0" w:right="0"/>
              <w:rPr>
                <w:rFonts w:hint="default" w:ascii="宋体" w:hAnsi="宋体" w:eastAsia="宋体" w:cs="宋体"/>
              </w:rPr>
            </w:pPr>
            <w:r>
              <w:rPr>
                <w:rFonts w:hint="eastAsia" w:ascii="宋体" w:hAnsi="宋体" w:eastAsia="宋体" w:cs="宋体"/>
              </w:rPr>
              <w:t>（签字）</w:t>
            </w:r>
          </w:p>
        </w:tc>
        <w:tc>
          <w:tcPr>
            <w:tcW w:w="2081" w:type="dxa"/>
            <w:vAlign w:val="center"/>
          </w:tcPr>
          <w:p w14:paraId="3F921261">
            <w:pPr>
              <w:keepNext w:val="0"/>
              <w:keepLines w:val="0"/>
              <w:widowControl/>
              <w:suppressLineNumbers w:val="0"/>
              <w:spacing w:before="0" w:beforeAutospacing="0" w:after="0" w:afterAutospacing="0" w:line="500" w:lineRule="exact"/>
              <w:ind w:left="0" w:right="0"/>
              <w:rPr>
                <w:rFonts w:hint="default" w:ascii="宋体" w:hAnsi="宋体" w:eastAsia="宋体" w:cs="宋体"/>
              </w:rPr>
            </w:pPr>
            <w:r>
              <w:rPr>
                <w:rFonts w:hint="eastAsia" w:ascii="宋体" w:hAnsi="宋体" w:eastAsia="宋体" w:cs="宋体"/>
              </w:rPr>
              <w:t>（签字）</w:t>
            </w:r>
          </w:p>
        </w:tc>
      </w:tr>
    </w:tbl>
    <w:p w14:paraId="636DEB10">
      <w:pPr>
        <w:spacing w:after="0" w:line="400" w:lineRule="exact"/>
        <w:ind w:firstLine="440" w:firstLineChars="200"/>
        <w:rPr>
          <w:rFonts w:ascii="宋体" w:hAnsi="宋体" w:eastAsia="宋体" w:cs="宋体"/>
        </w:rPr>
      </w:pPr>
    </w:p>
    <w:p w14:paraId="62CDAF84">
      <w:pPr>
        <w:spacing w:after="0" w:line="400" w:lineRule="exact"/>
        <w:ind w:firstLine="440" w:firstLineChars="200"/>
        <w:rPr>
          <w:rFonts w:ascii="宋体" w:hAnsi="宋体" w:eastAsia="宋体" w:cs="宋体"/>
        </w:rPr>
      </w:pPr>
      <w:r>
        <w:rPr>
          <w:rFonts w:hint="eastAsia" w:ascii="宋体" w:hAnsi="宋体" w:eastAsia="宋体" w:cs="宋体"/>
        </w:rPr>
        <w:t>注：1.机关、单位政府网站及政务新媒体发布信息前要认真填写本表；</w:t>
      </w:r>
    </w:p>
    <w:p w14:paraId="7281B8F5">
      <w:pPr>
        <w:spacing w:after="0" w:line="400" w:lineRule="exact"/>
        <w:ind w:firstLine="880" w:firstLineChars="400"/>
        <w:rPr>
          <w:rFonts w:ascii="宋体" w:hAnsi="宋体" w:eastAsia="宋体" w:cs="宋体"/>
        </w:rPr>
      </w:pPr>
      <w:r>
        <w:rPr>
          <w:rFonts w:hint="eastAsia" w:ascii="宋体" w:hAnsi="宋体" w:eastAsia="宋体" w:cs="宋体"/>
        </w:rPr>
        <w:t>2.严格落实信息发布保密审查制度和“三审制”，请在相应的“□”打“√”或填写意见；</w:t>
      </w:r>
    </w:p>
    <w:p w14:paraId="464C3028">
      <w:pPr>
        <w:spacing w:after="0" w:line="400" w:lineRule="exact"/>
        <w:ind w:firstLine="880" w:firstLineChars="400"/>
        <w:rPr>
          <w:rFonts w:ascii="宋体" w:hAnsi="宋体" w:eastAsia="宋体" w:cs="宋体"/>
        </w:rPr>
      </w:pPr>
      <w:r>
        <w:rPr>
          <w:rFonts w:hint="eastAsia" w:ascii="宋体" w:hAnsi="宋体" w:eastAsia="宋体" w:cs="宋体"/>
        </w:rPr>
        <w:t>3.信息发布要严把文字、保密、政治关，不能确定信息是否可以公开时，要组织保密审查并报上级部门确认；</w:t>
      </w:r>
    </w:p>
    <w:p w14:paraId="36806578">
      <w:pPr>
        <w:spacing w:after="0" w:line="400" w:lineRule="exact"/>
        <w:ind w:firstLine="880" w:firstLineChars="400"/>
        <w:rPr>
          <w:rFonts w:hint="eastAsia" w:ascii="宋体" w:hAnsi="宋体" w:eastAsia="宋体" w:cs="宋体"/>
        </w:rPr>
      </w:pPr>
      <w:r>
        <w:rPr>
          <w:rFonts w:hint="eastAsia" w:ascii="宋体" w:hAnsi="宋体" w:eastAsia="宋体" w:cs="宋体"/>
        </w:rPr>
        <w:t>4.本表由本机关、单位负责组织填写和保管</w:t>
      </w:r>
    </w:p>
    <w:p w14:paraId="4E409C7C">
      <w:pPr>
        <w:rPr>
          <w:rFonts w:hint="eastAsia" w:ascii="宋体" w:hAnsi="宋体" w:eastAsia="宋体" w:cs="宋体"/>
        </w:rPr>
      </w:pPr>
      <w:r>
        <w:rPr>
          <w:rFonts w:hint="eastAsia" w:ascii="宋体" w:hAnsi="宋体" w:eastAsia="宋体" w:cs="宋体"/>
        </w:rPr>
        <w:br w:type="page"/>
      </w:r>
    </w:p>
    <w:p w14:paraId="20D06792">
      <w:pPr>
        <w:spacing w:after="0" w:line="400" w:lineRule="exact"/>
        <w:rPr>
          <w:rFonts w:hint="eastAsia" w:ascii="宋体" w:hAnsi="宋体" w:eastAsia="宋体" w:cs="宋体"/>
        </w:rPr>
        <w:sectPr>
          <w:pgSz w:w="16838" w:h="11906" w:orient="landscape"/>
          <w:pgMar w:top="1587" w:right="1587" w:bottom="1587" w:left="1587" w:header="708" w:footer="709" w:gutter="0"/>
          <w:pgNumType w:fmt="decimal"/>
          <w:cols w:space="0" w:num="1"/>
          <w:docGrid w:linePitch="360" w:charSpace="0"/>
        </w:sectPr>
      </w:pPr>
    </w:p>
    <w:p w14:paraId="6406E8B9">
      <w:pPr>
        <w:pStyle w:val="2"/>
        <w:rPr>
          <w:rFonts w:hint="eastAsia" w:ascii="仿宋" w:hAnsi="仿宋" w:eastAsia="仿宋" w:cs="仿宋"/>
          <w:sz w:val="32"/>
          <w:szCs w:val="32"/>
          <w:lang w:val="en-US" w:eastAsia="zh-CN"/>
        </w:rPr>
      </w:pPr>
    </w:p>
    <w:p w14:paraId="23A3D3B4">
      <w:pPr>
        <w:pStyle w:val="2"/>
        <w:rPr>
          <w:rFonts w:hint="eastAsia" w:ascii="仿宋" w:hAnsi="仿宋" w:eastAsia="仿宋" w:cs="仿宋"/>
          <w:sz w:val="32"/>
          <w:szCs w:val="32"/>
          <w:lang w:val="en-US" w:eastAsia="zh-CN"/>
        </w:rPr>
      </w:pPr>
    </w:p>
    <w:p w14:paraId="5382E32D">
      <w:pPr>
        <w:pStyle w:val="2"/>
        <w:rPr>
          <w:rFonts w:hint="eastAsia" w:ascii="仿宋" w:hAnsi="仿宋" w:eastAsia="仿宋" w:cs="仿宋"/>
          <w:sz w:val="32"/>
          <w:szCs w:val="32"/>
          <w:lang w:val="en-US" w:eastAsia="zh-CN"/>
        </w:rPr>
      </w:pPr>
    </w:p>
    <w:p w14:paraId="578950D5">
      <w:pPr>
        <w:pStyle w:val="2"/>
        <w:rPr>
          <w:rFonts w:hint="eastAsia" w:ascii="仿宋" w:hAnsi="仿宋" w:eastAsia="仿宋" w:cs="仿宋"/>
          <w:sz w:val="32"/>
          <w:szCs w:val="32"/>
          <w:lang w:val="en-US" w:eastAsia="zh-CN"/>
        </w:rPr>
      </w:pPr>
    </w:p>
    <w:p w14:paraId="654092F5">
      <w:pPr>
        <w:pStyle w:val="2"/>
        <w:rPr>
          <w:rFonts w:hint="eastAsia" w:ascii="仿宋" w:hAnsi="仿宋" w:eastAsia="仿宋" w:cs="仿宋"/>
          <w:sz w:val="32"/>
          <w:szCs w:val="32"/>
          <w:lang w:val="en-US" w:eastAsia="zh-CN"/>
        </w:rPr>
      </w:pPr>
    </w:p>
    <w:p w14:paraId="2667EA5D">
      <w:pPr>
        <w:pStyle w:val="2"/>
        <w:rPr>
          <w:rFonts w:hint="eastAsia" w:ascii="仿宋" w:hAnsi="仿宋" w:eastAsia="仿宋" w:cs="仿宋"/>
          <w:sz w:val="32"/>
          <w:szCs w:val="32"/>
          <w:lang w:val="en-US" w:eastAsia="zh-CN"/>
        </w:rPr>
      </w:pPr>
    </w:p>
    <w:p w14:paraId="07A2CA15">
      <w:pPr>
        <w:pStyle w:val="2"/>
        <w:rPr>
          <w:rFonts w:hint="eastAsia" w:ascii="仿宋" w:hAnsi="仿宋" w:eastAsia="仿宋" w:cs="仿宋"/>
          <w:sz w:val="32"/>
          <w:szCs w:val="32"/>
          <w:lang w:val="en-US" w:eastAsia="zh-CN"/>
        </w:rPr>
      </w:pPr>
    </w:p>
    <w:p w14:paraId="72998272">
      <w:pPr>
        <w:pStyle w:val="2"/>
        <w:rPr>
          <w:rFonts w:hint="eastAsia" w:ascii="仿宋" w:hAnsi="仿宋" w:eastAsia="仿宋" w:cs="仿宋"/>
          <w:sz w:val="32"/>
          <w:szCs w:val="32"/>
          <w:lang w:val="en-US" w:eastAsia="zh-CN"/>
        </w:rPr>
      </w:pPr>
    </w:p>
    <w:p w14:paraId="03F0B0C6">
      <w:pPr>
        <w:pStyle w:val="2"/>
        <w:rPr>
          <w:rFonts w:hint="eastAsia" w:ascii="仿宋" w:hAnsi="仿宋" w:eastAsia="仿宋" w:cs="仿宋"/>
          <w:sz w:val="32"/>
          <w:szCs w:val="32"/>
          <w:lang w:val="en-US" w:eastAsia="zh-CN"/>
        </w:rPr>
      </w:pPr>
    </w:p>
    <w:p w14:paraId="67C4988B">
      <w:pPr>
        <w:pStyle w:val="2"/>
        <w:rPr>
          <w:rFonts w:hint="eastAsia" w:ascii="仿宋" w:hAnsi="仿宋" w:eastAsia="仿宋" w:cs="仿宋"/>
          <w:sz w:val="32"/>
          <w:szCs w:val="32"/>
          <w:lang w:val="en-US" w:eastAsia="zh-CN"/>
        </w:rPr>
      </w:pPr>
    </w:p>
    <w:p w14:paraId="1C5E8C77">
      <w:pPr>
        <w:pStyle w:val="2"/>
        <w:rPr>
          <w:rFonts w:hint="eastAsia" w:ascii="仿宋" w:hAnsi="仿宋" w:eastAsia="仿宋" w:cs="仿宋"/>
          <w:sz w:val="32"/>
          <w:szCs w:val="32"/>
          <w:lang w:val="en-US" w:eastAsia="zh-CN"/>
        </w:rPr>
      </w:pPr>
    </w:p>
    <w:p w14:paraId="547036CF">
      <w:pPr>
        <w:pStyle w:val="2"/>
        <w:rPr>
          <w:rFonts w:hint="eastAsia" w:ascii="仿宋" w:hAnsi="仿宋" w:eastAsia="仿宋" w:cs="仿宋"/>
          <w:sz w:val="32"/>
          <w:szCs w:val="32"/>
          <w:lang w:val="en-US" w:eastAsia="zh-CN"/>
        </w:rPr>
      </w:pPr>
    </w:p>
    <w:p w14:paraId="2FFA5627">
      <w:pPr>
        <w:pStyle w:val="2"/>
        <w:rPr>
          <w:rFonts w:hint="eastAsia" w:ascii="仿宋" w:hAnsi="仿宋" w:eastAsia="仿宋" w:cs="仿宋"/>
          <w:sz w:val="32"/>
          <w:szCs w:val="32"/>
          <w:lang w:val="en-US" w:eastAsia="zh-CN"/>
        </w:rPr>
      </w:pPr>
    </w:p>
    <w:p w14:paraId="46C9B51A">
      <w:pPr>
        <w:pStyle w:val="2"/>
        <w:rPr>
          <w:rFonts w:hint="eastAsia" w:ascii="仿宋" w:hAnsi="仿宋" w:eastAsia="仿宋" w:cs="仿宋"/>
          <w:sz w:val="32"/>
          <w:szCs w:val="32"/>
          <w:lang w:val="en-US" w:eastAsia="zh-CN"/>
        </w:rPr>
      </w:pPr>
    </w:p>
    <w:p w14:paraId="6A9BFCA3">
      <w:pPr>
        <w:pStyle w:val="2"/>
        <w:rPr>
          <w:rFonts w:hint="eastAsia" w:ascii="仿宋" w:hAnsi="仿宋" w:eastAsia="仿宋" w:cs="仿宋"/>
          <w:sz w:val="32"/>
          <w:szCs w:val="32"/>
          <w:lang w:val="en-US" w:eastAsia="zh-CN"/>
        </w:rPr>
      </w:pPr>
    </w:p>
    <w:p w14:paraId="71A43028">
      <w:pPr>
        <w:pStyle w:val="2"/>
        <w:rPr>
          <w:rFonts w:hint="eastAsia" w:ascii="仿宋" w:hAnsi="仿宋" w:eastAsia="仿宋" w:cs="仿宋"/>
          <w:sz w:val="32"/>
          <w:szCs w:val="32"/>
          <w:lang w:val="en-US" w:eastAsia="zh-CN"/>
        </w:rPr>
      </w:pPr>
    </w:p>
    <w:p w14:paraId="31AAEF12">
      <w:pPr>
        <w:pStyle w:val="2"/>
        <w:rPr>
          <w:rFonts w:hint="eastAsia" w:ascii="仿宋" w:hAnsi="仿宋" w:eastAsia="仿宋" w:cs="仿宋"/>
          <w:sz w:val="32"/>
          <w:szCs w:val="32"/>
          <w:lang w:val="en-US" w:eastAsia="zh-CN"/>
        </w:rPr>
      </w:pPr>
    </w:p>
    <w:p w14:paraId="0AB1FE16">
      <w:pPr>
        <w:pStyle w:val="2"/>
        <w:rPr>
          <w:rFonts w:hint="eastAsia" w:ascii="仿宋" w:hAnsi="仿宋" w:eastAsia="仿宋" w:cs="仿宋"/>
          <w:sz w:val="32"/>
          <w:szCs w:val="32"/>
          <w:lang w:val="en-US" w:eastAsia="zh-CN"/>
        </w:rPr>
      </w:pPr>
    </w:p>
    <w:p w14:paraId="1AD09AE3">
      <w:pPr>
        <w:pStyle w:val="2"/>
        <w:rPr>
          <w:rFonts w:hint="eastAsia" w:ascii="仿宋" w:hAnsi="仿宋" w:eastAsia="仿宋" w:cs="仿宋"/>
          <w:sz w:val="32"/>
          <w:szCs w:val="32"/>
          <w:lang w:val="en-US" w:eastAsia="zh-CN"/>
        </w:rPr>
      </w:pPr>
    </w:p>
    <w:p w14:paraId="62974058">
      <w:pPr>
        <w:pStyle w:val="2"/>
        <w:rPr>
          <w:rFonts w:hint="eastAsia" w:ascii="仿宋" w:hAnsi="仿宋" w:eastAsia="仿宋" w:cs="仿宋"/>
          <w:sz w:val="32"/>
          <w:szCs w:val="32"/>
          <w:lang w:val="en-US" w:eastAsia="zh-CN"/>
        </w:rPr>
      </w:pPr>
    </w:p>
    <w:p w14:paraId="508B60F4">
      <w:pPr>
        <w:pStyle w:val="2"/>
        <w:rPr>
          <w:rFonts w:hint="eastAsia" w:ascii="仿宋" w:hAnsi="仿宋" w:eastAsia="仿宋" w:cs="仿宋"/>
          <w:sz w:val="32"/>
          <w:szCs w:val="32"/>
          <w:lang w:val="en-US" w:eastAsia="zh-CN"/>
        </w:rPr>
      </w:pPr>
    </w:p>
    <w:p w14:paraId="4EEC508D">
      <w:pPr>
        <w:pStyle w:val="2"/>
        <w:rPr>
          <w:rFonts w:hint="eastAsia" w:ascii="仿宋" w:hAnsi="仿宋" w:eastAsia="仿宋" w:cs="仿宋"/>
          <w:sz w:val="32"/>
          <w:szCs w:val="32"/>
          <w:lang w:val="en-US" w:eastAsia="zh-CN"/>
        </w:rPr>
      </w:pPr>
    </w:p>
    <w:p w14:paraId="63845576">
      <w:pPr>
        <w:pStyle w:val="2"/>
        <w:rPr>
          <w:rFonts w:hint="eastAsia" w:ascii="仿宋" w:hAnsi="仿宋" w:eastAsia="仿宋" w:cs="仿宋"/>
          <w:sz w:val="32"/>
          <w:szCs w:val="32"/>
          <w:lang w:val="en-US" w:eastAsia="zh-CN"/>
        </w:rPr>
      </w:pPr>
    </w:p>
    <w:p w14:paraId="2CB13BD7">
      <w:pPr>
        <w:pStyle w:val="2"/>
        <w:rPr>
          <w:rFonts w:hint="eastAsia" w:ascii="仿宋" w:hAnsi="仿宋" w:eastAsia="仿宋" w:cs="仿宋"/>
          <w:sz w:val="32"/>
          <w:szCs w:val="32"/>
          <w:lang w:val="en-US" w:eastAsia="zh-CN"/>
        </w:rPr>
      </w:pPr>
    </w:p>
    <w:p w14:paraId="03738E5D">
      <w:pPr>
        <w:pStyle w:val="2"/>
        <w:rPr>
          <w:rFonts w:hint="eastAsia" w:ascii="仿宋" w:hAnsi="仿宋" w:eastAsia="仿宋" w:cs="仿宋"/>
          <w:sz w:val="32"/>
          <w:szCs w:val="32"/>
          <w:lang w:val="en-US" w:eastAsia="zh-CN"/>
        </w:rPr>
      </w:pPr>
    </w:p>
    <w:p w14:paraId="39656551">
      <w:pPr>
        <w:pStyle w:val="2"/>
        <w:rPr>
          <w:rFonts w:hint="eastAsia" w:ascii="仿宋" w:hAnsi="仿宋" w:eastAsia="仿宋" w:cs="仿宋"/>
          <w:sz w:val="32"/>
          <w:szCs w:val="32"/>
          <w:lang w:val="en-US" w:eastAsia="zh-CN"/>
        </w:rPr>
      </w:pPr>
    </w:p>
    <w:p w14:paraId="734B6C94">
      <w:pPr>
        <w:pStyle w:val="2"/>
        <w:rPr>
          <w:rFonts w:hint="eastAsia" w:ascii="仿宋" w:hAnsi="仿宋" w:eastAsia="仿宋" w:cs="仿宋"/>
          <w:sz w:val="32"/>
          <w:szCs w:val="32"/>
          <w:lang w:val="en-US" w:eastAsia="zh-CN"/>
        </w:rPr>
      </w:pPr>
    </w:p>
    <w:p w14:paraId="069E67A5">
      <w:pPr>
        <w:pStyle w:val="2"/>
        <w:rPr>
          <w:rFonts w:hint="eastAsia" w:ascii="仿宋" w:hAnsi="仿宋" w:eastAsia="仿宋" w:cs="仿宋"/>
          <w:sz w:val="32"/>
          <w:szCs w:val="32"/>
          <w:lang w:val="en-US" w:eastAsia="zh-CN"/>
        </w:rPr>
      </w:pPr>
    </w:p>
    <w:p w14:paraId="1F4AA6FE">
      <w:pPr>
        <w:pStyle w:val="2"/>
        <w:rPr>
          <w:rFonts w:hint="eastAsia" w:ascii="仿宋" w:hAnsi="仿宋" w:eastAsia="仿宋" w:cs="仿宋"/>
          <w:sz w:val="32"/>
          <w:szCs w:val="32"/>
          <w:lang w:val="en-US" w:eastAsia="zh-CN"/>
        </w:rPr>
      </w:pPr>
    </w:p>
    <w:p w14:paraId="4BCFF9D8">
      <w:pPr>
        <w:pStyle w:val="2"/>
        <w:rPr>
          <w:rFonts w:hint="eastAsia" w:ascii="仿宋" w:hAnsi="仿宋" w:eastAsia="仿宋" w:cs="仿宋"/>
          <w:sz w:val="32"/>
          <w:szCs w:val="32"/>
          <w:lang w:val="en-US" w:eastAsia="zh-CN"/>
        </w:rPr>
      </w:pPr>
    </w:p>
    <w:p w14:paraId="5451F2DF">
      <w:pPr>
        <w:pStyle w:val="2"/>
        <w:rPr>
          <w:rFonts w:hint="eastAsia" w:ascii="仿宋" w:hAnsi="仿宋" w:eastAsia="仿宋" w:cs="仿宋"/>
          <w:sz w:val="32"/>
          <w:szCs w:val="32"/>
          <w:lang w:val="en-US" w:eastAsia="zh-CN"/>
        </w:rPr>
      </w:pPr>
    </w:p>
    <w:p w14:paraId="2FED9FCA">
      <w:pPr>
        <w:pStyle w:val="2"/>
        <w:rPr>
          <w:rFonts w:hint="eastAsia" w:ascii="仿宋" w:hAnsi="仿宋" w:eastAsia="仿宋" w:cs="仿宋"/>
          <w:sz w:val="32"/>
          <w:szCs w:val="32"/>
          <w:lang w:val="en-US" w:eastAsia="zh-CN"/>
        </w:rPr>
      </w:pPr>
    </w:p>
    <w:p w14:paraId="103863D2">
      <w:pPr>
        <w:keepNext w:val="0"/>
        <w:keepLines w:val="0"/>
        <w:pageBreakBefore w:val="0"/>
        <w:widowControl/>
        <w:kinsoku/>
        <w:wordWrap/>
        <w:overflowPunct/>
        <w:topLinePunct w:val="0"/>
        <w:autoSpaceDE/>
        <w:autoSpaceDN/>
        <w:bidi w:val="0"/>
        <w:adjustRightInd w:val="0"/>
        <w:snapToGrid w:val="0"/>
        <w:spacing w:after="0" w:line="560" w:lineRule="exact"/>
        <w:ind w:right="-328" w:rightChars="-149"/>
        <w:jc w:val="both"/>
        <w:textAlignment w:val="auto"/>
        <w:rPr>
          <w:rFonts w:hint="eastAsia" w:ascii="宋体" w:hAnsi="宋体" w:eastAsia="宋体" w:cs="宋体"/>
        </w:rPr>
      </w:pPr>
      <w:r>
        <w:rPr>
          <w:rFonts w:hint="eastAsia" w:ascii="仿宋" w:hAnsi="仿宋" w:eastAsia="仿宋" w:cs="仿宋"/>
          <w:sz w:val="32"/>
        </w:rPr>
        <mc:AlternateContent>
          <mc:Choice Requires="wpg">
            <w:drawing>
              <wp:anchor distT="0" distB="0" distL="114300" distR="114300" simplePos="0" relativeHeight="251659264" behindDoc="0" locked="0" layoutInCell="1" allowOverlap="1">
                <wp:simplePos x="0" y="0"/>
                <wp:positionH relativeFrom="column">
                  <wp:posOffset>-26035</wp:posOffset>
                </wp:positionH>
                <wp:positionV relativeFrom="paragraph">
                  <wp:posOffset>19050</wp:posOffset>
                </wp:positionV>
                <wp:extent cx="5363845" cy="360680"/>
                <wp:effectExtent l="0" t="4445" r="8255" b="15875"/>
                <wp:wrapNone/>
                <wp:docPr id="3" name="组合 3"/>
                <wp:cNvGraphicFramePr/>
                <a:graphic xmlns:a="http://schemas.openxmlformats.org/drawingml/2006/main">
                  <a:graphicData uri="http://schemas.microsoft.com/office/word/2010/wordprocessingGroup">
                    <wpg:wgp>
                      <wpg:cNvGrpSpPr/>
                      <wpg:grpSpPr>
                        <a:xfrm>
                          <a:off x="0" y="0"/>
                          <a:ext cx="5363845" cy="360680"/>
                          <a:chOff x="5629" y="15195"/>
                          <a:chExt cx="8660" cy="568"/>
                        </a:xfrm>
                        <a:effectLst/>
                      </wpg:grpSpPr>
                      <wps:wsp>
                        <wps:cNvPr id="4" name="直线 3"/>
                        <wps:cNvCnPr/>
                        <wps:spPr>
                          <a:xfrm>
                            <a:off x="5629" y="15763"/>
                            <a:ext cx="8640" cy="1"/>
                          </a:xfrm>
                          <a:prstGeom prst="line">
                            <a:avLst/>
                          </a:prstGeom>
                          <a:ln w="9525" cap="flat" cmpd="sng">
                            <a:solidFill>
                              <a:srgbClr val="000000"/>
                            </a:solidFill>
                            <a:prstDash val="solid"/>
                            <a:headEnd type="none" w="med" len="med"/>
                            <a:tailEnd type="none" w="med" len="med"/>
                          </a:ln>
                          <a:effectLst/>
                        </wps:spPr>
                        <wps:bodyPr upright="1"/>
                      </wps:wsp>
                      <wps:wsp>
                        <wps:cNvPr id="5" name="直线 4"/>
                        <wps:cNvCnPr/>
                        <wps:spPr>
                          <a:xfrm>
                            <a:off x="5649" y="15195"/>
                            <a:ext cx="8640" cy="1"/>
                          </a:xfrm>
                          <a:prstGeom prst="line">
                            <a:avLst/>
                          </a:prstGeom>
                          <a:ln w="9525" cap="flat" cmpd="sng">
                            <a:solidFill>
                              <a:srgbClr val="000000"/>
                            </a:solidFill>
                            <a:prstDash val="solid"/>
                            <a:headEnd type="none" w="med" len="med"/>
                            <a:tailEnd type="none" w="med" len="med"/>
                          </a:ln>
                          <a:effectLst/>
                        </wps:spPr>
                        <wps:bodyPr upright="1"/>
                      </wps:wsp>
                    </wpg:wgp>
                  </a:graphicData>
                </a:graphic>
              </wp:anchor>
            </w:drawing>
          </mc:Choice>
          <mc:Fallback>
            <w:pict>
              <v:group id="_x0000_s1026" o:spid="_x0000_s1026" o:spt="203" style="position:absolute;left:0pt;margin-left:-2.05pt;margin-top:1.5pt;height:28.4pt;width:422.35pt;z-index:251659264;mso-width-relative:page;mso-height-relative:page;" coordorigin="5629,15195" coordsize="8660,568" o:gfxdata="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NTLwhdgAAAAHAQAADwAA&#10;AAAAAAABACAAAAAiAAAAZHJzL2Rvd25yZXYueG1sUEsBAhQAFAAAAAgAh07iQOd2rTWIAgAAOgcA&#10;AA4AAAAAAAAAAQAgAAAAJwEAAGRycy9lMm9Eb2MueG1sUEsFBgAAAAAGAAYAWQEAACEGAAAAAA==&#10;">
                <o:lock v:ext="edit" aspectratio="f"/>
                <v:line id="直线 3" o:spid="_x0000_s1026" o:spt="20" style="position:absolute;left:5629;top:15763;height:1;width:8640;" filled="f" stroked="t" coordsize="21600,21600" o:gfxdata="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t3LBy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4" o:spid="_x0000_s1026" o:spt="20" style="position:absolute;left:5649;top:15195;height:1;width:8640;" filled="f" stroked="t" coordsize="21600,21600" o:gfxdata="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Q7iYe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w:pict>
          </mc:Fallback>
        </mc:AlternateContent>
      </w:r>
      <w:r>
        <w:rPr>
          <w:rFonts w:hint="eastAsia" w:ascii="仿宋" w:hAnsi="仿宋" w:eastAsia="仿宋" w:cs="仿宋"/>
          <w:sz w:val="32"/>
          <w:szCs w:val="32"/>
        </w:rPr>
        <w:t xml:space="preserve">中方县财政局办公室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 202</w:t>
      </w:r>
      <w:r>
        <w:rPr>
          <w:rFonts w:hint="eastAsia" w:ascii="仿宋" w:hAnsi="仿宋" w:eastAsia="仿宋" w:cs="仿宋"/>
          <w:sz w:val="32"/>
          <w:szCs w:val="32"/>
          <w:lang w:val="en-US" w:eastAsia="zh-CN"/>
        </w:rPr>
        <w:t>4</w:t>
      </w:r>
      <w:r>
        <w:rPr>
          <w:rFonts w:hint="eastAsia" w:ascii="仿宋" w:hAnsi="仿宋" w:eastAsia="仿宋" w:cs="仿宋"/>
          <w:sz w:val="32"/>
          <w:szCs w:val="32"/>
        </w:rPr>
        <w:t>年</w:t>
      </w:r>
      <w:r>
        <w:rPr>
          <w:rFonts w:hint="eastAsia" w:ascii="仿宋" w:hAnsi="仿宋" w:eastAsia="仿宋" w:cs="仿宋"/>
          <w:sz w:val="32"/>
          <w:szCs w:val="32"/>
          <w:lang w:val="en-US" w:eastAsia="zh-CN"/>
        </w:rPr>
        <w:t>7</w:t>
      </w:r>
      <w:r>
        <w:rPr>
          <w:rFonts w:hint="eastAsia" w:ascii="仿宋" w:hAnsi="仿宋" w:eastAsia="仿宋" w:cs="仿宋"/>
          <w:sz w:val="32"/>
          <w:szCs w:val="32"/>
        </w:rPr>
        <w:t>月</w:t>
      </w:r>
      <w:r>
        <w:rPr>
          <w:rFonts w:hint="eastAsia" w:ascii="仿宋" w:hAnsi="仿宋" w:eastAsia="仿宋" w:cs="仿宋"/>
          <w:sz w:val="32"/>
          <w:szCs w:val="32"/>
          <w:lang w:val="en-US" w:eastAsia="zh-CN"/>
        </w:rPr>
        <w:t>30</w:t>
      </w:r>
      <w:r>
        <w:rPr>
          <w:rFonts w:hint="eastAsia" w:ascii="仿宋" w:hAnsi="仿宋" w:eastAsia="仿宋" w:cs="仿宋"/>
          <w:sz w:val="32"/>
          <w:szCs w:val="32"/>
        </w:rPr>
        <w:t>日印发</w:t>
      </w:r>
    </w:p>
    <w:sectPr>
      <w:footerReference r:id="rId5"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81EB61D-A0B4-4B2E-9775-3976E405EE7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_GBK">
    <w:panose1 w:val="02000000000000000000"/>
    <w:charset w:val="86"/>
    <w:family w:val="auto"/>
    <w:pitch w:val="default"/>
    <w:sig w:usb0="A00002BF" w:usb1="38CF7CFA" w:usb2="00082016" w:usb3="00000000" w:csb0="00040001" w:csb1="00000000"/>
    <w:embedRegular r:id="rId2" w:fontKey="{A614C45F-9EFD-4C48-AC75-DA5AE598B330}"/>
  </w:font>
  <w:font w:name="楷体">
    <w:panose1 w:val="02010609060101010101"/>
    <w:charset w:val="86"/>
    <w:family w:val="auto"/>
    <w:pitch w:val="default"/>
    <w:sig w:usb0="800002BF" w:usb1="38CF7CFA" w:usb2="00000016" w:usb3="00000000" w:csb0="00040001" w:csb1="00000000"/>
    <w:embedRegular r:id="rId3" w:fontKey="{84F4B3D1-409B-486B-9953-E8F6554C0DB7}"/>
  </w:font>
  <w:font w:name="仿宋">
    <w:panose1 w:val="02010609060101010101"/>
    <w:charset w:val="86"/>
    <w:family w:val="auto"/>
    <w:pitch w:val="default"/>
    <w:sig w:usb0="800002BF" w:usb1="38CF7CFA" w:usb2="00000016" w:usb3="00000000" w:csb0="00040001" w:csb1="00000000"/>
    <w:embedRegular r:id="rId4" w:fontKey="{9391D989-02A9-4EF2-A6A4-50061CD4DF49}"/>
  </w:font>
  <w:font w:name="仿宋_GB2312">
    <w:panose1 w:val="02010609030101010101"/>
    <w:charset w:val="86"/>
    <w:family w:val="modern"/>
    <w:pitch w:val="default"/>
    <w:sig w:usb0="00000001" w:usb1="080E0000" w:usb2="00000000" w:usb3="00000000" w:csb0="00040000" w:csb1="00000000"/>
    <w:embedRegular r:id="rId5" w:fontKey="{4B4D6926-7613-4D30-84A6-B33560E0CD1B}"/>
  </w:font>
  <w:font w:name="方正小标宋简体">
    <w:panose1 w:val="03000509000000000000"/>
    <w:charset w:val="86"/>
    <w:family w:val="script"/>
    <w:pitch w:val="default"/>
    <w:sig w:usb0="00000001" w:usb1="080E0000" w:usb2="00000000" w:usb3="00000000" w:csb0="00040000" w:csb1="00000000"/>
    <w:embedRegular r:id="rId6" w:fontKey="{F98F64BF-EFCD-49A0-A4C3-DA6EBEA9A5D7}"/>
  </w:font>
  <w:font w:name="Wingdings 2">
    <w:panose1 w:val="05020102010507070707"/>
    <w:charset w:val="02"/>
    <w:family w:val="roman"/>
    <w:pitch w:val="default"/>
    <w:sig w:usb0="00000000" w:usb1="00000000" w:usb2="00000000" w:usb3="00000000" w:csb0="80000000" w:csb1="00000000"/>
    <w:embedRegular r:id="rId7" w:fontKey="{8251C2D2-7162-4D3A-9431-C824BCF1514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F4E4B1">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F581516">
                          <w:pPr>
                            <w:pStyle w:val="6"/>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2</w:t>
                          </w:r>
                          <w:r>
                            <w:rPr>
                              <w:sz w:val="24"/>
                              <w:szCs w:val="24"/>
                            </w:rPr>
                            <w:fldChar w:fldCharType="end"/>
                          </w:r>
                          <w:r>
                            <w:rPr>
                              <w:sz w:val="24"/>
                              <w:szCs w:val="24"/>
                            </w:rPr>
                            <w:t xml:space="preserve"> —</w:t>
                          </w:r>
                        </w:p>
                      </w:txbxContent>
                    </wps:txbx>
                    <wps:bodyPr wrap="none" lIns="0" tIns="0" rIns="0" bIns="0" upright="0">
                      <a:spAutoFit/>
                    </wps:bodyPr>
                  </wps:wsp>
                </a:graphicData>
              </a:graphic>
            </wp:anchor>
          </w:drawing>
        </mc:Choice>
        <mc:Fallback>
          <w:pict>
            <v:shape id="文本框 3"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ihY+ckBAACZ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mUOG5x4OefP86/Hs8P38mb&#10;LE8foMasu4B5aXjvh5w6+QGdmfWgos1f5EMwjuKeLuLKIRGRH62Wq1WFIYGx+YI47Ol5iJA+SG9J&#10;NhoacXpFVH78BGlMnVNyNedvtTHo57VxfzkQM3tY7n3sMVtp2A1T4zvfnpBPj4NvqMM9p8R8dKhr&#10;3pHZiLOxm41DiHrflSXK9SC8OyRsovSWK4ywU2GcWGE3bVdeiT/vJevpj9r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mKFj5yQEAAJkDAAAOAAAAAAAAAAEAIAAAAB4BAABkcnMvZTJvRG9j&#10;LnhtbFBLBQYAAAAABgAGAFkBAABZBQAAAAA=&#10;">
              <v:fill on="f" focussize="0,0"/>
              <v:stroke on="f"/>
              <v:imagedata o:title=""/>
              <o:lock v:ext="edit" aspectratio="f"/>
              <v:textbox inset="0mm,0mm,0mm,0mm" style="mso-fit-shape-to-text:t;">
                <w:txbxContent>
                  <w:p w14:paraId="2F581516">
                    <w:pPr>
                      <w:pStyle w:val="6"/>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2</w:t>
                    </w:r>
                    <w:r>
                      <w:rPr>
                        <w:sz w:val="24"/>
                        <w:szCs w:val="24"/>
                      </w:rPr>
                      <w:fldChar w:fldCharType="end"/>
                    </w:r>
                    <w:r>
                      <w:rPr>
                        <w:sz w:val="24"/>
                        <w:szCs w:val="24"/>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2D7D36">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00377F6">
                          <w:pPr>
                            <w:pStyle w:val="6"/>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r>
                            <w:rPr>
                              <w:sz w:val="24"/>
                              <w:szCs w:val="24"/>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100377F6">
                    <w:pPr>
                      <w:pStyle w:val="6"/>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r>
                      <w:rPr>
                        <w:sz w:val="24"/>
                        <w:szCs w:val="24"/>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22DF20"/>
    <w:multiLevelType w:val="singleLevel"/>
    <w:tmpl w:val="9222DF20"/>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1"/>
  <w:bordersDoNotSurroundFooter w:val="1"/>
  <w:documentProtection w:enforcement="0"/>
  <w:defaultTabStop w:val="720"/>
  <w:displayHorizontalDrawingGridEvery w:val="0"/>
  <w:displayVerticalDrawingGridEvery w:val="2"/>
  <w:characterSpacingControl w:val="doNotCompress"/>
  <w:footnotePr>
    <w:footnote w:id="0"/>
    <w:footnote w:id="1"/>
  </w:footnotePr>
  <w:compat>
    <w:balanceSingleByteDoubleByteWidth/>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RmODI1MzU1YWIzZmQwN2NlNjRkMzhmNzU1MWYwYTgifQ=="/>
  </w:docVars>
  <w:rsids>
    <w:rsidRoot w:val="00D31D50"/>
    <w:rsid w:val="000B540C"/>
    <w:rsid w:val="00135CB9"/>
    <w:rsid w:val="001F1A2E"/>
    <w:rsid w:val="00323B43"/>
    <w:rsid w:val="0036742F"/>
    <w:rsid w:val="0038315F"/>
    <w:rsid w:val="003D37D8"/>
    <w:rsid w:val="00415CE5"/>
    <w:rsid w:val="00426133"/>
    <w:rsid w:val="004358AB"/>
    <w:rsid w:val="004C6566"/>
    <w:rsid w:val="00542C4C"/>
    <w:rsid w:val="006B50E7"/>
    <w:rsid w:val="00782012"/>
    <w:rsid w:val="00807C6D"/>
    <w:rsid w:val="008B7726"/>
    <w:rsid w:val="00A90A9C"/>
    <w:rsid w:val="00AA2BB6"/>
    <w:rsid w:val="00AF7382"/>
    <w:rsid w:val="00C04908"/>
    <w:rsid w:val="00CF5F8D"/>
    <w:rsid w:val="00D31D50"/>
    <w:rsid w:val="00EA7D7A"/>
    <w:rsid w:val="00EB4495"/>
    <w:rsid w:val="00FA17E4"/>
    <w:rsid w:val="010D6B75"/>
    <w:rsid w:val="01972837"/>
    <w:rsid w:val="033A1D2B"/>
    <w:rsid w:val="03550139"/>
    <w:rsid w:val="07AA7E8F"/>
    <w:rsid w:val="09E813E1"/>
    <w:rsid w:val="0C41718C"/>
    <w:rsid w:val="0FA431D3"/>
    <w:rsid w:val="10BB784F"/>
    <w:rsid w:val="12855F2D"/>
    <w:rsid w:val="14C66CAD"/>
    <w:rsid w:val="182A5CC3"/>
    <w:rsid w:val="1C4F7811"/>
    <w:rsid w:val="1E926D9A"/>
    <w:rsid w:val="1EE10A22"/>
    <w:rsid w:val="1FA85DBF"/>
    <w:rsid w:val="1FF57DF9"/>
    <w:rsid w:val="27AF54E0"/>
    <w:rsid w:val="283F0101"/>
    <w:rsid w:val="29932CBF"/>
    <w:rsid w:val="2F1A6C8E"/>
    <w:rsid w:val="2FB93755"/>
    <w:rsid w:val="32332E03"/>
    <w:rsid w:val="350C5A51"/>
    <w:rsid w:val="352E3900"/>
    <w:rsid w:val="369E374A"/>
    <w:rsid w:val="3881339B"/>
    <w:rsid w:val="3A9F783C"/>
    <w:rsid w:val="3E192803"/>
    <w:rsid w:val="3F2533F6"/>
    <w:rsid w:val="3FFC25C9"/>
    <w:rsid w:val="40FE4130"/>
    <w:rsid w:val="417D7802"/>
    <w:rsid w:val="42BB7663"/>
    <w:rsid w:val="43B802BF"/>
    <w:rsid w:val="44BD403D"/>
    <w:rsid w:val="482E79F6"/>
    <w:rsid w:val="48D923E5"/>
    <w:rsid w:val="496E6508"/>
    <w:rsid w:val="4A4D7699"/>
    <w:rsid w:val="4C847914"/>
    <w:rsid w:val="4CE01FA6"/>
    <w:rsid w:val="4DF06083"/>
    <w:rsid w:val="4E6B1A2A"/>
    <w:rsid w:val="4E834801"/>
    <w:rsid w:val="4F563FBD"/>
    <w:rsid w:val="526B70BF"/>
    <w:rsid w:val="54CA72E7"/>
    <w:rsid w:val="574E07C7"/>
    <w:rsid w:val="58AE663A"/>
    <w:rsid w:val="5AFD3965"/>
    <w:rsid w:val="5ED74E21"/>
    <w:rsid w:val="5F153A8D"/>
    <w:rsid w:val="64E47885"/>
    <w:rsid w:val="6BA204F9"/>
    <w:rsid w:val="6BEC7865"/>
    <w:rsid w:val="6D1920F6"/>
    <w:rsid w:val="6D2A0A99"/>
    <w:rsid w:val="70AC6CA6"/>
    <w:rsid w:val="73E019C6"/>
    <w:rsid w:val="768B79D3"/>
    <w:rsid w:val="768F0540"/>
    <w:rsid w:val="79A429DF"/>
    <w:rsid w:val="7A252900"/>
    <w:rsid w:val="7B6273C9"/>
    <w:rsid w:val="7C8C7339"/>
    <w:rsid w:val="7DB810CB"/>
    <w:rsid w:val="7ECE3F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4">
    <w:name w:val="heading 1"/>
    <w:basedOn w:val="1"/>
    <w:next w:val="1"/>
    <w:autoRedefine/>
    <w:qFormat/>
    <w:uiPriority w:val="9"/>
    <w:pPr>
      <w:keepNext/>
      <w:keepLines/>
      <w:spacing w:beforeLines="0" w:beforeAutospacing="0" w:afterLines="0" w:afterAutospacing="0" w:line="700" w:lineRule="exact"/>
      <w:ind w:firstLine="0" w:firstLineChars="0"/>
      <w:jc w:val="center"/>
      <w:outlineLvl w:val="0"/>
    </w:pPr>
    <w:rPr>
      <w:rFonts w:ascii="Calibri" w:hAnsi="Calibri" w:eastAsia="方正小标宋_GBK" w:cs="Times New Roman"/>
      <w:kern w:val="44"/>
      <w:sz w:val="44"/>
      <w:szCs w:val="21"/>
    </w:rPr>
  </w:style>
  <w:style w:type="paragraph" w:styleId="5">
    <w:name w:val="heading 3"/>
    <w:basedOn w:val="1"/>
    <w:next w:val="1"/>
    <w:autoRedefine/>
    <w:unhideWhenUsed/>
    <w:qFormat/>
    <w:uiPriority w:val="9"/>
    <w:pPr>
      <w:spacing w:before="50" w:beforeLines="50" w:beforeAutospacing="0" w:after="50" w:afterLines="50" w:afterAutospacing="0" w:line="600" w:lineRule="exact"/>
      <w:ind w:firstLine="863" w:firstLineChars="200"/>
      <w:jc w:val="left"/>
      <w:outlineLvl w:val="2"/>
    </w:pPr>
    <w:rPr>
      <w:rFonts w:hint="eastAsia" w:ascii="宋体" w:hAnsi="宋体" w:eastAsia="黑体" w:cs="宋体"/>
      <w:bCs/>
      <w:snapToGrid w:val="0"/>
      <w:color w:val="000000"/>
      <w:kern w:val="2"/>
      <w:sz w:val="32"/>
      <w:szCs w:val="27"/>
      <w:lang w:bidi="ar"/>
    </w:rPr>
  </w:style>
  <w:style w:type="character" w:default="1" w:styleId="10">
    <w:name w:val="Default Paragraph Font"/>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First Indent 2"/>
    <w:basedOn w:val="3"/>
    <w:qFormat/>
    <w:uiPriority w:val="0"/>
    <w:pPr>
      <w:autoSpaceDE w:val="0"/>
      <w:autoSpaceDN w:val="0"/>
      <w:adjustRightInd w:val="0"/>
      <w:spacing w:after="0"/>
      <w:ind w:firstLine="420"/>
      <w:jc w:val="left"/>
    </w:pPr>
    <w:rPr>
      <w:rFonts w:ascii="Calibri" w:hAnsi="Calibri"/>
    </w:rPr>
  </w:style>
  <w:style w:type="paragraph" w:styleId="3">
    <w:name w:val="Body Text Indent"/>
    <w:basedOn w:val="1"/>
    <w:unhideWhenUsed/>
    <w:qFormat/>
    <w:uiPriority w:val="0"/>
    <w:pPr>
      <w:spacing w:before="0" w:beforeAutospacing="0" w:after="120" w:afterAutospacing="0" w:line="240" w:lineRule="auto"/>
      <w:ind w:left="420" w:leftChars="200" w:firstLine="0" w:firstLineChars="0"/>
    </w:pPr>
    <w:rPr>
      <w:sz w:val="21"/>
    </w:rPr>
  </w:style>
  <w:style w:type="paragraph" w:styleId="6">
    <w:name w:val="footer"/>
    <w:basedOn w:val="1"/>
    <w:link w:val="14"/>
    <w:semiHidden/>
    <w:unhideWhenUsed/>
    <w:qFormat/>
    <w:uiPriority w:val="99"/>
    <w:pPr>
      <w:tabs>
        <w:tab w:val="center" w:pos="4153"/>
        <w:tab w:val="right" w:pos="8306"/>
      </w:tabs>
    </w:pPr>
    <w:rPr>
      <w:sz w:val="18"/>
      <w:szCs w:val="18"/>
    </w:rPr>
  </w:style>
  <w:style w:type="paragraph" w:styleId="7">
    <w:name w:val="header"/>
    <w:basedOn w:val="1"/>
    <w:link w:val="13"/>
    <w:semiHidden/>
    <w:unhideWhenUsed/>
    <w:qFormat/>
    <w:uiPriority w:val="99"/>
    <w:pPr>
      <w:pBdr>
        <w:bottom w:val="single" w:color="auto" w:sz="6" w:space="1"/>
      </w:pBdr>
      <w:tabs>
        <w:tab w:val="center" w:pos="4153"/>
        <w:tab w:val="right" w:pos="8306"/>
      </w:tabs>
      <w:jc w:val="center"/>
    </w:pPr>
    <w:rPr>
      <w:sz w:val="18"/>
      <w:szCs w:val="18"/>
    </w:rPr>
  </w:style>
  <w:style w:type="paragraph" w:styleId="8">
    <w:name w:val="Normal (Web)"/>
    <w:basedOn w:val="1"/>
    <w:semiHidden/>
    <w:unhideWhenUsed/>
    <w:qFormat/>
    <w:uiPriority w:val="99"/>
    <w:pPr>
      <w:adjustRightInd/>
      <w:snapToGrid/>
      <w:spacing w:before="100" w:beforeAutospacing="1" w:after="100" w:afterAutospacing="1"/>
    </w:pPr>
    <w:rPr>
      <w:rFonts w:ascii="宋体" w:hAnsi="宋体" w:eastAsia="宋体" w:cs="宋体"/>
      <w:sz w:val="24"/>
      <w:szCs w:val="24"/>
    </w:rPr>
  </w:style>
  <w:style w:type="character" w:styleId="11">
    <w:name w:val="page number"/>
    <w:basedOn w:val="10"/>
    <w:qFormat/>
    <w:uiPriority w:val="0"/>
  </w:style>
  <w:style w:type="character" w:styleId="12">
    <w:name w:val="Hyperlink"/>
    <w:basedOn w:val="10"/>
    <w:semiHidden/>
    <w:unhideWhenUsed/>
    <w:qFormat/>
    <w:uiPriority w:val="99"/>
    <w:rPr>
      <w:color w:val="333333"/>
      <w:u w:val="none"/>
    </w:rPr>
  </w:style>
  <w:style w:type="character" w:customStyle="1" w:styleId="13">
    <w:name w:val="页眉 Char"/>
    <w:basedOn w:val="10"/>
    <w:link w:val="7"/>
    <w:semiHidden/>
    <w:qFormat/>
    <w:uiPriority w:val="99"/>
    <w:rPr>
      <w:rFonts w:ascii="Tahoma" w:hAnsi="Tahoma"/>
      <w:sz w:val="18"/>
      <w:szCs w:val="18"/>
    </w:rPr>
  </w:style>
  <w:style w:type="character" w:customStyle="1" w:styleId="14">
    <w:name w:val="页脚 Char"/>
    <w:basedOn w:val="10"/>
    <w:link w:val="6"/>
    <w:semiHidden/>
    <w:qFormat/>
    <w:uiPriority w:val="99"/>
    <w:rPr>
      <w:rFonts w:ascii="Tahoma" w:hAnsi="Tahoma"/>
      <w:sz w:val="18"/>
      <w:szCs w:val="18"/>
    </w:rPr>
  </w:style>
  <w:style w:type="character" w:customStyle="1" w:styleId="15">
    <w:name w:val="NormalCharacter"/>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30</Pages>
  <Words>14845</Words>
  <Characters>15906</Characters>
  <Lines>66</Lines>
  <Paragraphs>18</Paragraphs>
  <TotalTime>16</TotalTime>
  <ScaleCrop>false</ScaleCrop>
  <LinksUpToDate>false</LinksUpToDate>
  <CharactersWithSpaces>16186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荣</cp:lastModifiedBy>
  <cp:lastPrinted>2024-07-30T09:19:00Z</cp:lastPrinted>
  <dcterms:modified xsi:type="dcterms:W3CDTF">2024-08-26T08:26:58Z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2CBA32FBA98147B9AAE74D052916EC2A_13</vt:lpwstr>
  </property>
</Properties>
</file>