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28"/>
          <w:szCs w:val="28"/>
        </w:rPr>
      </w:pPr>
      <w:r>
        <w:rPr>
          <w:rFonts w:hint="eastAsia" w:ascii="黑体" w:hAnsi="黑体" w:eastAsia="黑体" w:cs="黑体"/>
          <w:sz w:val="28"/>
          <w:szCs w:val="28"/>
        </w:rPr>
        <w:t>附件1：</w:t>
      </w:r>
    </w:p>
    <w:p>
      <w:pPr>
        <w:pStyle w:val="4"/>
        <w:bidi w:val="0"/>
      </w:pPr>
      <w:r>
        <w:rPr>
          <w:rFonts w:hint="eastAsia"/>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9"/>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健康中方行动、爱国卫生运动（含病媒生物防治）</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中方县卫生健康局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19.75</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rPr>
            </w:pPr>
            <w:r>
              <w:rPr>
                <w:rFonts w:hint="eastAsia" w:ascii="宋体" w:hAnsi="宋体" w:eastAsia="宋体" w:cs="宋体"/>
                <w:sz w:val="18"/>
                <w:szCs w:val="18"/>
                <w:lang w:val="en-US" w:eastAsia="zh-CN"/>
              </w:rPr>
              <w:t>17.82</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rPr>
            </w:pPr>
            <w:r>
              <w:rPr>
                <w:rFonts w:hint="eastAsia" w:ascii="宋体" w:hAnsi="宋体" w:eastAsia="宋体" w:cs="宋体"/>
                <w:sz w:val="18"/>
                <w:szCs w:val="18"/>
                <w:lang w:val="en-US" w:eastAsia="zh-CN"/>
              </w:rPr>
              <w:t>17.82</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指标1：药剂投放</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2次</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2次</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指标2：开展健康中方的宣传督导</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达标</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达标</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开展爱国卫生的宣传督导</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达标</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达标</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指标1：“四害”密度达国家标准</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达标</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rPr>
              <w:t>达标</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指标1：完成时间1年</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sz w:val="18"/>
                <w:szCs w:val="18"/>
              </w:rPr>
              <w:t>完成时间1年</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sz w:val="18"/>
                <w:szCs w:val="18"/>
              </w:rPr>
              <w:t>完成时间1年</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default"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val="en-US" w:eastAsia="zh-CN"/>
              </w:rPr>
              <w:t>17.82万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17.82万</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17.82</w:t>
            </w:r>
            <w:bookmarkStart w:id="0" w:name="_GoBack"/>
            <w:bookmarkEnd w:id="0"/>
            <w:r>
              <w:rPr>
                <w:rFonts w:hint="eastAsia" w:ascii="宋体" w:hAnsi="宋体" w:eastAsia="宋体" w:cs="宋体"/>
                <w:sz w:val="18"/>
                <w:szCs w:val="18"/>
                <w:lang w:val="en-US" w:eastAsia="zh-CN"/>
              </w:rPr>
              <w:t>万</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经济效益指标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指标1：推动我县卫生创建工作的深入开展</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指标2：推动健康中方行动的深入开展</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指标1：提高城乡居民生活环境</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851" w:type="dxa"/>
            <w:tcBorders>
              <w:top w:val="nil"/>
              <w:left w:val="nil"/>
              <w:bottom w:val="single" w:color="auto" w:sz="4" w:space="0"/>
              <w:right w:val="single" w:color="auto" w:sz="4" w:space="0"/>
            </w:tcBorders>
            <w:vAlign w:val="center"/>
          </w:tcPr>
          <w:p>
            <w:pPr>
              <w:spacing w:line="240" w:lineRule="exact"/>
              <w:jc w:val="both"/>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指标2：居民健康素养水平达国家平均水平以上，</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指标1：提高城乡居民生活环境、提升居民身体健康水平</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color w:val="000000"/>
                <w:sz w:val="18"/>
                <w:szCs w:val="18"/>
                <w:lang w:val="en-US" w:eastAsia="zh-CN"/>
              </w:rPr>
              <w:t>长期性</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28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人民群众对健康的需求得到更好满足，人人享有高质量的健康服务和高水平的健康保障，居民主要健康影响因素得到有效控制，因重大慢性病导致的过早死亡率明显下降，人均预期寿命得到较大提高，健康公平基本实现</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lang w:val="en-US" w:eastAsia="zh-CN" w:bidi="ar-SA"/>
              </w:rPr>
            </w:pPr>
            <w:r>
              <w:rPr>
                <w:rFonts w:hint="eastAsia" w:ascii="宋体" w:hAnsi="宋体" w:eastAsia="宋体" w:cs="宋体"/>
                <w:color w:val="000000"/>
                <w:sz w:val="18"/>
                <w:szCs w:val="18"/>
              </w:rPr>
              <w:t>指标1：城镇居民满意度达90%</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90%</w:t>
            </w: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lang w:val="en-US" w:eastAsia="zh-CN" w:bidi="ar-SA"/>
              </w:rPr>
            </w:pPr>
            <w:r>
              <w:rPr>
                <w:rFonts w:hint="eastAsia" w:ascii="宋体" w:hAnsi="宋体" w:eastAsia="宋体" w:cs="宋体"/>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bidi="ar-SA"/>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39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健康促进政策体系基本建立，居民健康素养水平大幅提升，重大慢性病发病率上升趋势得到明显遏制，重点传染病、地方病、职业病、严重精神障碍得到有效防控，重点人群健康状况显著改善。体系基本建立，居民健康素养水平大幅提升，重大慢性病发病率上升趋势得到明显遏制，重点传染病、地方病、职业病、严重精神障碍得到有效防控，重点人群健康状况显著改善。</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w:t>
            </w:r>
          </w:p>
        </w:tc>
        <w:tc>
          <w:tcPr>
            <w:tcW w:w="85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851"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p>
    <w:p>
      <w:pPr>
        <w:spacing w:after="0"/>
        <w:rPr>
          <w:rFonts w:hint="eastAsia"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pPr>
        <w:pStyle w:val="4"/>
        <w:bidi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中方县部门（单位）</w:t>
      </w:r>
      <w:r>
        <w:rPr>
          <w:rFonts w:hint="eastAsia" w:ascii="方正小标宋简体" w:hAnsi="方正小标宋简体" w:eastAsia="方正小标宋简体" w:cs="方正小标宋简体"/>
          <w:sz w:val="44"/>
          <w:szCs w:val="44"/>
          <w:lang w:eastAsia="zh-CN"/>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年度健康中方行动、爱国卫生运动（含病媒生物防治）项目支出绩效自评报告</w:t>
      </w:r>
    </w:p>
    <w:p>
      <w:pPr>
        <w:spacing w:after="0"/>
        <w:jc w:val="center"/>
        <w:rPr>
          <w:rFonts w:hint="eastAsia" w:ascii="楷体" w:hAnsi="楷体" w:eastAsia="楷体" w:cs="楷体"/>
          <w:sz w:val="32"/>
          <w:szCs w:val="32"/>
        </w:rPr>
      </w:pPr>
    </w:p>
    <w:p>
      <w:pPr>
        <w:jc w:val="center"/>
        <w:rPr>
          <w:rFonts w:ascii="仿宋_GB2312"/>
          <w:szCs w:val="30"/>
        </w:rPr>
      </w:pP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rPr>
        <w:t>（一）项目概况。</w:t>
      </w:r>
      <w:r>
        <w:rPr>
          <w:rFonts w:hint="eastAsia" w:ascii="仿宋" w:hAnsi="仿宋" w:eastAsia="仿宋"/>
          <w:color w:val="000000"/>
          <w:spacing w:val="-4"/>
          <w:sz w:val="32"/>
          <w:szCs w:val="32"/>
        </w:rPr>
        <w:t>方县建城区广场及草坪绿地、绿化带、大街小巷市政道路、下水道、留泥井、垃圾站、公共厕所、农贸市场、公园、大中型水体、城郊结合部、城中村、物业小区、安置区、五小行业、闲置空地和建筑工地等鼠、蚊、蝇、蟑类消杀综合防治；中方县桐木镇申报创建怀化市卫生镇，集镇所在地鼠、蚊、蝇、蟑类消杀综合防治。项目总价：9.</w:t>
      </w:r>
      <w:r>
        <w:rPr>
          <w:rFonts w:hint="eastAsia" w:ascii="仿宋" w:hAnsi="仿宋" w:eastAsia="仿宋"/>
          <w:color w:val="000000"/>
          <w:spacing w:val="-4"/>
          <w:sz w:val="32"/>
          <w:szCs w:val="32"/>
          <w:lang w:val="en-US" w:eastAsia="zh-CN"/>
        </w:rPr>
        <w:t>75</w:t>
      </w:r>
      <w:r>
        <w:rPr>
          <w:rFonts w:hint="eastAsia" w:ascii="仿宋" w:hAnsi="仿宋" w:eastAsia="仿宋"/>
          <w:color w:val="000000"/>
          <w:spacing w:val="-4"/>
          <w:sz w:val="32"/>
          <w:szCs w:val="32"/>
        </w:rPr>
        <w:t>万元，此价格包括了全部药品的采购价、运输费、管理费、保险费、药物投放工作人工费、税收、利润、各项政策性收费以及服务所需的特殊专用工具及用品清单，全县病媒生物防制工作培训、宣传、咨询等费用</w:t>
      </w:r>
      <w:r>
        <w:rPr>
          <w:rFonts w:hint="eastAsia" w:ascii="仿宋" w:hAnsi="仿宋" w:eastAsia="仿宋"/>
          <w:color w:val="000000"/>
          <w:spacing w:val="-4"/>
          <w:sz w:val="32"/>
          <w:szCs w:val="32"/>
          <w:lang w:val="en-US" w:eastAsia="zh-CN"/>
        </w:rPr>
        <w:t>；</w:t>
      </w:r>
      <w:r>
        <w:rPr>
          <w:rFonts w:hint="eastAsia" w:ascii="仿宋" w:hAnsi="仿宋" w:eastAsia="仿宋" w:cs="仿宋"/>
          <w:sz w:val="32"/>
          <w:szCs w:val="32"/>
        </w:rPr>
        <w:t>全面实施健康知识普及行动。全面实施全民健身行动。全面实施健康环境促进行动。</w:t>
      </w:r>
      <w:r>
        <w:rPr>
          <w:rFonts w:hint="eastAsia" w:ascii="仿宋" w:hAnsi="仿宋" w:eastAsia="仿宋"/>
          <w:color w:val="000000"/>
          <w:spacing w:val="-4"/>
          <w:sz w:val="32"/>
          <w:szCs w:val="32"/>
        </w:rPr>
        <w:t>项目总价：</w:t>
      </w:r>
      <w:r>
        <w:rPr>
          <w:rFonts w:hint="eastAsia" w:ascii="仿宋" w:hAnsi="仿宋" w:eastAsia="仿宋"/>
          <w:color w:val="000000"/>
          <w:spacing w:val="-4"/>
          <w:sz w:val="32"/>
          <w:szCs w:val="32"/>
          <w:lang w:val="en-US" w:eastAsia="zh-CN"/>
        </w:rPr>
        <w:t>5</w:t>
      </w:r>
      <w:r>
        <w:rPr>
          <w:rFonts w:hint="eastAsia" w:ascii="仿宋" w:hAnsi="仿宋" w:eastAsia="仿宋"/>
          <w:color w:val="000000"/>
          <w:spacing w:val="-4"/>
          <w:sz w:val="32"/>
          <w:szCs w:val="32"/>
        </w:rPr>
        <w:t>万元，此价格包括了</w:t>
      </w:r>
      <w:r>
        <w:rPr>
          <w:rFonts w:hint="eastAsia" w:ascii="仿宋" w:hAnsi="仿宋" w:eastAsia="仿宋" w:cs="仿宋"/>
          <w:sz w:val="32"/>
          <w:szCs w:val="32"/>
        </w:rPr>
        <w:t>健康知识</w:t>
      </w:r>
      <w:r>
        <w:rPr>
          <w:rFonts w:hint="eastAsia" w:ascii="仿宋" w:hAnsi="仿宋" w:eastAsia="仿宋"/>
          <w:color w:val="000000"/>
          <w:spacing w:val="-4"/>
          <w:sz w:val="32"/>
          <w:szCs w:val="32"/>
        </w:rPr>
        <w:t>培训、宣传、咨询等费用</w:t>
      </w:r>
      <w:r>
        <w:rPr>
          <w:rFonts w:hint="eastAsia" w:ascii="仿宋" w:hAnsi="仿宋" w:eastAsia="仿宋"/>
          <w:color w:val="000000"/>
          <w:spacing w:val="-4"/>
          <w:sz w:val="32"/>
          <w:szCs w:val="32"/>
          <w:lang w:val="en-US" w:eastAsia="zh-CN"/>
        </w:rPr>
        <w:t>；全面推动我县卫生创建工作的深入开展。</w:t>
      </w:r>
      <w:r>
        <w:rPr>
          <w:rFonts w:hint="eastAsia" w:ascii="仿宋" w:hAnsi="仿宋" w:eastAsia="仿宋"/>
          <w:color w:val="000000"/>
          <w:spacing w:val="-4"/>
          <w:sz w:val="32"/>
          <w:szCs w:val="32"/>
        </w:rPr>
        <w:t>项目总价：</w:t>
      </w:r>
      <w:r>
        <w:rPr>
          <w:rFonts w:hint="eastAsia" w:ascii="仿宋" w:hAnsi="仿宋" w:eastAsia="仿宋"/>
          <w:color w:val="000000"/>
          <w:spacing w:val="-4"/>
          <w:sz w:val="32"/>
          <w:szCs w:val="32"/>
          <w:lang w:val="en-US" w:eastAsia="zh-CN"/>
        </w:rPr>
        <w:t>5</w:t>
      </w:r>
      <w:r>
        <w:rPr>
          <w:rFonts w:hint="eastAsia" w:ascii="仿宋" w:hAnsi="仿宋" w:eastAsia="仿宋"/>
          <w:color w:val="000000"/>
          <w:spacing w:val="-4"/>
          <w:sz w:val="32"/>
          <w:szCs w:val="32"/>
        </w:rPr>
        <w:t>万元，此价格包括了</w:t>
      </w:r>
      <w:r>
        <w:rPr>
          <w:rFonts w:hint="eastAsia" w:ascii="仿宋" w:hAnsi="仿宋" w:eastAsia="仿宋" w:cs="仿宋"/>
          <w:sz w:val="32"/>
          <w:szCs w:val="32"/>
          <w:lang w:val="en-US" w:eastAsia="zh-CN"/>
        </w:rPr>
        <w:t>爱卫</w:t>
      </w:r>
      <w:r>
        <w:rPr>
          <w:rFonts w:hint="eastAsia" w:ascii="仿宋" w:hAnsi="仿宋" w:eastAsia="仿宋" w:cs="仿宋"/>
          <w:sz w:val="32"/>
          <w:szCs w:val="32"/>
        </w:rPr>
        <w:t>知识</w:t>
      </w:r>
      <w:r>
        <w:rPr>
          <w:rFonts w:hint="eastAsia" w:ascii="仿宋" w:hAnsi="仿宋" w:eastAsia="仿宋"/>
          <w:color w:val="000000"/>
          <w:spacing w:val="-4"/>
          <w:sz w:val="32"/>
          <w:szCs w:val="32"/>
        </w:rPr>
        <w:t>培训、宣传、咨询等费用</w:t>
      </w:r>
      <w:r>
        <w:rPr>
          <w:rFonts w:hint="eastAsia" w:ascii="仿宋" w:hAnsi="仿宋" w:eastAsia="仿宋"/>
          <w:color w:val="000000"/>
          <w:spacing w:val="-4"/>
          <w:sz w:val="32"/>
          <w:szCs w:val="32"/>
          <w:lang w:eastAsia="zh-CN"/>
        </w:rPr>
        <w:t>。</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（二）项目绩效目标。</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1.总体目标。巩固病媒生物防制成果，有效改善城区居民的生产、生活环境，保障人民群众身体健康，巩固我县创建国家卫生县城的工作成果。</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2.阶段性目标。202</w:t>
      </w:r>
      <w:r>
        <w:rPr>
          <w:rFonts w:hint="eastAsia" w:ascii="仿宋" w:hAnsi="仿宋" w:eastAsia="仿宋"/>
          <w:color w:val="000000"/>
          <w:spacing w:val="-4"/>
          <w:sz w:val="32"/>
          <w:szCs w:val="32"/>
          <w:lang w:val="en-US" w:eastAsia="zh-CN"/>
        </w:rPr>
        <w:t>3</w:t>
      </w:r>
      <w:r>
        <w:rPr>
          <w:rFonts w:hint="eastAsia" w:ascii="仿宋" w:hAnsi="仿宋" w:eastAsia="仿宋"/>
          <w:color w:val="000000"/>
          <w:spacing w:val="-4"/>
          <w:sz w:val="32"/>
          <w:szCs w:val="32"/>
        </w:rPr>
        <w:t>年我县病媒生物防制密度达到C级标准。</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（一）绩效评价目的、对象和范围。</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1.绩效评价目的。查找县城区病媒生物防制工作所存在的问题与防制死角，狠抓各项工作措施的落实，进一步巩固病媒生物防制成果，有效改善城区居民的生产、生活环境，保障人民群众身体健康，巩固我县创建国家卫生县城的工作成果。</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2.绩效评价对象。中方县建城区广场及草坪绿地、绿化带、大街小巷市政道路、下水道、留泥井、垃圾站、公共厕所、农贸市场、公园、大中型水体、城郊结合部、城中村、物业小区、安置区、五小行业、闲置空地和建筑工地等鼠、蚊、蝇、蟑类消杀综合防治；中方县桐木镇申报创建怀化市卫生乡镇，集镇所在地鼠、蚊、蝇、蟑类消杀综合防治。</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3.绩效评价范围和内容。中方县建城区除“四害”密度达到国家规定的标准。</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1.评价原则。绩效评价过程公平、公正，绩效评价结果客观、真实，绩效评价结果与项目资金考核挂钩。</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2.评价指标体系、标准。根据《国家卫生县城标准》规定，按照《病媒生物密度控制水平鼠类国家标准》(GB2770-2011)、《病媒生物密度控制水平蚊虫国家标准》(GB2771-2011)、《病媒生物密度控制水平蝇类国家标准》(GB27772-2011)、《病媒生物密度控制水平蜚蠊国家标准》(GB2773-2011)和《病媒生物综合管理技术规范城镇》标准要求。贯彻落实《病媒生物预防控制管理规定》，建立政府组织与全社会参与相结合的病媒生物防控机制，机关、企事业单位和社区定期开展病媒生物预防控制活动，针对区域内危害严重的病媒生物种类和公共外环境，组织集中统一控制行动。建成区鼠、蚊、蝇、蟑螂的密度达到国家病媒生物密度控制水平标准C级要求。掌握病媒生物孳生地基本情况，制定分类处理措施，湖泊、河流、小型积水、垃圾、厕所等各类孳生环境得到有效治理。开展重要病媒生物监测调查，收集病媒生物侵害信息并及时进行处置。重点行业和单位防蚊蝇和防鼠设施合格率≥95%。</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3.评价方法。包括现场评价、实地调查、群众问卷调查、资料审核、日常工作评价等。</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1.中方县城区公共区域病媒生物防制工作按时具体实施，全面完成《中方县城区病媒生物防制服务项目采购清单》工作任务。</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2.按实按时完成责任范围内病媒生物防制杀灭任务，每次/每批用药前单位人员监督签字，每次施工规范制作了施工作业单，施工作业单经被服务单位、门店签字，同时记录被服务单位或门店名称，签字人员手机号码。协助疾控部门做好病媒生物防制密度监测工作。</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3.每月对中标公司投放药物进行督查，发现投药不规范，不及时责令限期整改，对整改不到位按照合同扣除相应的经费。</w:t>
      </w:r>
    </w:p>
    <w:p>
      <w:pPr>
        <w:pStyle w:val="2"/>
      </w:pPr>
    </w:p>
    <w:p>
      <w:pPr>
        <w:numPr>
          <w:ilvl w:val="0"/>
          <w:numId w:val="1"/>
        </w:numPr>
        <w:spacing w:after="0"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经对照评分表自查，除“四害”巩固服务项目绩效评价得分99分，等级为优秀。</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（一）项目决策情况。</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按照省、市要求和我县创卫、爱卫工作计划，卫生健康局通过制定城区病媒生物防制工作方案，于年末向财政提出资金预算安排计划，所需经费纳入202</w:t>
      </w:r>
      <w:r>
        <w:rPr>
          <w:rFonts w:hint="eastAsia" w:ascii="仿宋" w:hAnsi="仿宋" w:eastAsia="仿宋"/>
          <w:color w:val="000000"/>
          <w:spacing w:val="-4"/>
          <w:sz w:val="32"/>
          <w:szCs w:val="32"/>
          <w:lang w:val="en-US" w:eastAsia="zh-CN"/>
        </w:rPr>
        <w:t>3</w:t>
      </w:r>
      <w:r>
        <w:rPr>
          <w:rFonts w:hint="eastAsia" w:ascii="仿宋" w:hAnsi="仿宋" w:eastAsia="仿宋"/>
          <w:color w:val="000000"/>
          <w:spacing w:val="-4"/>
          <w:sz w:val="32"/>
          <w:szCs w:val="32"/>
        </w:rPr>
        <w:t>年本级财政预算。</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（二）项目过程情况。</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202</w:t>
      </w:r>
      <w:r>
        <w:rPr>
          <w:rFonts w:hint="eastAsia" w:ascii="仿宋" w:hAnsi="仿宋" w:eastAsia="仿宋"/>
          <w:color w:val="000000"/>
          <w:spacing w:val="-4"/>
          <w:sz w:val="32"/>
          <w:szCs w:val="32"/>
          <w:lang w:val="en-US" w:eastAsia="zh-CN"/>
        </w:rPr>
        <w:t>3</w:t>
      </w:r>
      <w:r>
        <w:rPr>
          <w:rFonts w:hint="eastAsia" w:ascii="仿宋" w:hAnsi="仿宋" w:eastAsia="仿宋"/>
          <w:color w:val="000000"/>
          <w:spacing w:val="-4"/>
          <w:sz w:val="32"/>
          <w:szCs w:val="32"/>
        </w:rPr>
        <w:t>年3月，县卫生健康局党委会议审议通过《中方县中城区除“四害”服务项目》采购计划。城区除“四害”社会化服务采购项目采购公告，4月，县卫生健康局与除“四害”公司签订《中方县202</w:t>
      </w:r>
      <w:r>
        <w:rPr>
          <w:rFonts w:hint="eastAsia" w:ascii="仿宋" w:hAnsi="仿宋" w:eastAsia="仿宋"/>
          <w:color w:val="000000"/>
          <w:spacing w:val="-4"/>
          <w:sz w:val="32"/>
          <w:szCs w:val="32"/>
          <w:lang w:val="en-US" w:eastAsia="zh-CN"/>
        </w:rPr>
        <w:t>3</w:t>
      </w:r>
      <w:r>
        <w:rPr>
          <w:rFonts w:hint="eastAsia" w:ascii="仿宋" w:hAnsi="仿宋" w:eastAsia="仿宋"/>
          <w:color w:val="000000"/>
          <w:spacing w:val="-4"/>
          <w:sz w:val="32"/>
          <w:szCs w:val="32"/>
        </w:rPr>
        <w:t>年城区除“四害”服务合同》。</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（三）项目产出情况。</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对中方县城区公共区域媒生物密度控制（鼠类蚊类蝇类蜚蠊类）的现场考核情况，考核组认为该公司承担的病媒生物密度控制服务鼠、蚊、蝇、蜚蠊4项指标在《国家病媒生物密度控制水平C级标准》要求范围内。</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（四）项目效益情况。</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我县城区的病媒生物防制工作通过开展政府购买服务的方式，城区四害密度大幅降低，全部达到了国家标准，大大改善了居民的生产生活环境，提高了居民健康水平，促进了全县爱卫、创卫工作的开展，圆满完成了工作计划和工作任务，达到了预期效果。</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（一）加强领导、完善制度，充分发挥基层网络的作用。</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县政府下发了《中方县除“四害”工作管理暂行办法》、进一步完善了除“四害”工作管理制度，重新完善了农贸市场、单位食堂、各种餐饮业四害防护设施要求，使之更适于基层单位的运行。重新调整了除四害领导小组，进一步充实三级除四害网络机构，充分发挥乡（镇）、村（居）委会网底的作用，掀起群众性的除四害高潮，提高了除四害工作效果。到目前我县已成立除“四害”工作小组近170个，专（兼）职工作人员达300余人。形成了横向到边、纵向到底的除“四害”工作组织网络，为除“四害”工作的开展奠定了组织保障。</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（二）广泛宣传、发动群众，提高市民的除四害意识。</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利用各种媒体，开展形式多样的宣传活动，为进一步增强广大群众对四害孳生泛滥所带来危害的认识，掌握正确的防治方法，自觉投入到控制与杀灭“四害”工作中，县爱卫办在各街道和有关部门积极配合下，有计划地组织开展了</w:t>
      </w:r>
      <w:r>
        <w:rPr>
          <w:rFonts w:hint="eastAsia" w:ascii="仿宋" w:hAnsi="仿宋" w:eastAsia="仿宋"/>
          <w:color w:val="000000"/>
          <w:spacing w:val="-4"/>
          <w:sz w:val="32"/>
          <w:szCs w:val="32"/>
          <w:lang w:val="en-US" w:eastAsia="zh-CN"/>
        </w:rPr>
        <w:t>爱国卫生及健康中方的</w:t>
      </w:r>
      <w:r>
        <w:rPr>
          <w:rFonts w:hint="eastAsia" w:ascii="仿宋" w:hAnsi="仿宋" w:eastAsia="仿宋"/>
          <w:color w:val="000000"/>
          <w:spacing w:val="-4"/>
          <w:sz w:val="32"/>
          <w:szCs w:val="32"/>
        </w:rPr>
        <w:t>宣传、咨询活动；开设了热线咨询电话，负责解答群众疑问、指导如何正确使用防治措施，深入现场解决有关问题，并在县电视台定期滚动播放相关信息，形成了一股强大的舆论宣传氛围。</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7" w:firstLineChars="200"/>
        <w:textAlignment w:val="auto"/>
        <w:rPr>
          <w:rFonts w:hint="eastAsia" w:ascii="仿宋" w:hAnsi="仿宋" w:eastAsia="仿宋"/>
          <w:b/>
          <w:bCs/>
          <w:color w:val="000000"/>
          <w:spacing w:val="-4"/>
          <w:sz w:val="32"/>
          <w:szCs w:val="32"/>
        </w:rPr>
      </w:pPr>
      <w:r>
        <w:rPr>
          <w:rFonts w:hint="eastAsia" w:ascii="仿宋" w:hAnsi="仿宋" w:eastAsia="仿宋"/>
          <w:b/>
          <w:bCs/>
          <w:color w:val="000000"/>
          <w:spacing w:val="-4"/>
          <w:sz w:val="32"/>
          <w:szCs w:val="32"/>
        </w:rPr>
        <w:t>（三）加强培训、提高水平，发挥主力军的作</w:t>
      </w:r>
      <w:r>
        <w:rPr>
          <w:rFonts w:hint="eastAsia" w:ascii="仿宋" w:hAnsi="仿宋" w:eastAsia="仿宋"/>
          <w:b/>
          <w:bCs/>
          <w:color w:val="000000"/>
          <w:spacing w:val="-4"/>
          <w:sz w:val="32"/>
          <w:szCs w:val="32"/>
          <w:lang w:val="en-US" w:eastAsia="zh-CN"/>
        </w:rPr>
        <w:t>用</w:t>
      </w:r>
      <w:r>
        <w:rPr>
          <w:rFonts w:hint="eastAsia" w:ascii="仿宋" w:hAnsi="仿宋" w:eastAsia="仿宋"/>
          <w:b/>
          <w:bCs/>
          <w:color w:val="000000"/>
          <w:spacing w:val="-4"/>
          <w:sz w:val="32"/>
          <w:szCs w:val="32"/>
        </w:rPr>
        <w:t>。</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24" w:firstLineChars="200"/>
        <w:textAlignment w:val="auto"/>
        <w:rPr>
          <w:rFonts w:hint="eastAsia"/>
        </w:rPr>
      </w:pPr>
      <w:r>
        <w:rPr>
          <w:rFonts w:hint="eastAsia" w:ascii="仿宋" w:hAnsi="仿宋" w:eastAsia="仿宋"/>
          <w:color w:val="000000"/>
          <w:spacing w:val="-4"/>
          <w:sz w:val="32"/>
          <w:szCs w:val="32"/>
        </w:rPr>
        <w:t>我县将防治鼠、蚊、蝇、蟑等主要卫生虫害的各项措施融入到各有关职能部门的日常工作中，加强督查，深入浅出地讲解防治“四害”的科学知识与技能技巧，并贯穿于各自的日常工作中。3月2</w:t>
      </w:r>
      <w:r>
        <w:rPr>
          <w:rFonts w:hint="eastAsia" w:ascii="仿宋" w:hAnsi="仿宋" w:eastAsia="仿宋"/>
          <w:color w:val="000000"/>
          <w:spacing w:val="-4"/>
          <w:sz w:val="32"/>
          <w:szCs w:val="32"/>
          <w:lang w:val="en-US" w:eastAsia="zh-CN"/>
        </w:rPr>
        <w:t>9</w:t>
      </w:r>
      <w:r>
        <w:rPr>
          <w:rFonts w:hint="eastAsia" w:ascii="仿宋" w:hAnsi="仿宋" w:eastAsia="仿宋"/>
          <w:color w:val="000000"/>
          <w:spacing w:val="-4"/>
          <w:sz w:val="32"/>
          <w:szCs w:val="32"/>
        </w:rPr>
        <w:t>日，病媒生物防制专干培训会议顺利召开，县直机关单位、各社区及创卫办全体干部有近130余人参加了会议，发放《病媒生物防制培训手册》</w:t>
      </w:r>
      <w:r>
        <w:rPr>
          <w:rFonts w:hint="eastAsia" w:ascii="仿宋" w:hAnsi="仿宋" w:eastAsia="仿宋"/>
          <w:color w:val="000000"/>
          <w:spacing w:val="-4"/>
          <w:sz w:val="32"/>
          <w:szCs w:val="32"/>
          <w:lang w:eastAsia="zh-CN"/>
        </w:rPr>
        <w:t>、《</w:t>
      </w:r>
      <w:r>
        <w:rPr>
          <w:rFonts w:hint="eastAsia" w:ascii="仿宋" w:hAnsi="仿宋" w:eastAsia="仿宋"/>
          <w:color w:val="000000"/>
          <w:spacing w:val="-4"/>
          <w:sz w:val="32"/>
          <w:szCs w:val="32"/>
          <w:lang w:val="en-US" w:eastAsia="zh-CN"/>
        </w:rPr>
        <w:t>爱国卫生运动宣传手册</w:t>
      </w:r>
      <w:r>
        <w:rPr>
          <w:rFonts w:hint="eastAsia" w:ascii="仿宋" w:hAnsi="仿宋" w:eastAsia="仿宋"/>
          <w:color w:val="000000"/>
          <w:spacing w:val="-4"/>
          <w:sz w:val="32"/>
          <w:szCs w:val="32"/>
          <w:lang w:eastAsia="zh-CN"/>
        </w:rPr>
        <w:t>》、《</w:t>
      </w:r>
      <w:r>
        <w:rPr>
          <w:rFonts w:hint="eastAsia" w:ascii="仿宋" w:hAnsi="仿宋" w:eastAsia="仿宋"/>
          <w:color w:val="000000"/>
          <w:spacing w:val="-4"/>
          <w:sz w:val="32"/>
          <w:szCs w:val="32"/>
          <w:lang w:val="en-US" w:eastAsia="zh-CN"/>
        </w:rPr>
        <w:t>健康知道宣传手册</w:t>
      </w:r>
      <w:r>
        <w:rPr>
          <w:rFonts w:hint="eastAsia" w:ascii="仿宋" w:hAnsi="仿宋" w:eastAsia="仿宋"/>
          <w:color w:val="000000"/>
          <w:spacing w:val="-4"/>
          <w:sz w:val="32"/>
          <w:szCs w:val="32"/>
          <w:lang w:eastAsia="zh-CN"/>
        </w:rPr>
        <w:t>》</w:t>
      </w:r>
      <w:r>
        <w:rPr>
          <w:rFonts w:hint="eastAsia" w:ascii="仿宋" w:hAnsi="仿宋" w:eastAsia="仿宋"/>
          <w:color w:val="000000"/>
          <w:spacing w:val="-4"/>
          <w:sz w:val="32"/>
          <w:szCs w:val="32"/>
        </w:rPr>
        <w:t>130份。通过培训，训练出一支专职工作网络队伍，充分发挥了主力军的作用。</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24" w:firstLineChars="200"/>
        <w:textAlignment w:val="auto"/>
        <w:rPr>
          <w:rFonts w:hint="eastAsia" w:ascii="仿宋" w:hAnsi="仿宋" w:eastAsia="仿宋"/>
          <w:color w:val="000000"/>
          <w:spacing w:val="-4"/>
          <w:sz w:val="32"/>
          <w:szCs w:val="32"/>
        </w:rPr>
      </w:pPr>
      <w:r>
        <w:rPr>
          <w:rFonts w:hint="eastAsia" w:ascii="仿宋" w:hAnsi="仿宋" w:eastAsia="仿宋"/>
          <w:color w:val="000000"/>
          <w:spacing w:val="-4"/>
          <w:sz w:val="32"/>
          <w:szCs w:val="32"/>
        </w:rPr>
        <w:t>（一）进一步加强城乡结合部、背街小巷、居民小区等重点部位病媒生物防制力度。在开展消杀服务时，加强与辖区街道、社区联系，推进中心城区防制效果。</w:t>
      </w:r>
    </w:p>
    <w:p>
      <w:pPr>
        <w:pStyle w:val="2"/>
        <w:rPr>
          <w:rFonts w:hint="eastAsia"/>
        </w:rPr>
      </w:pPr>
      <w:r>
        <w:rPr>
          <w:rFonts w:hint="eastAsia" w:ascii="仿宋" w:hAnsi="仿宋" w:eastAsia="仿宋"/>
          <w:color w:val="000000"/>
          <w:spacing w:val="-4"/>
          <w:sz w:val="32"/>
          <w:szCs w:val="32"/>
        </w:rPr>
        <w:t>（二）加强防制人员业务培训，规范操作流程，完善消杀服务记录。</w:t>
      </w:r>
    </w:p>
    <w:p>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2"/>
        <w:rPr>
          <w:rFonts w:hint="eastAsia" w:ascii="仿宋" w:hAnsi="仿宋" w:eastAsia="仿宋"/>
          <w:color w:val="000000"/>
          <w:spacing w:val="-4"/>
          <w:sz w:val="32"/>
          <w:szCs w:val="32"/>
        </w:rPr>
      </w:pPr>
      <w:r>
        <w:rPr>
          <w:rFonts w:hint="eastAsia" w:ascii="黑体" w:hAnsi="黑体" w:eastAsia="黑体" w:cs="黑体"/>
          <w:sz w:val="32"/>
          <w:szCs w:val="32"/>
          <w:lang w:val="en-US" w:eastAsia="zh-CN"/>
        </w:rPr>
        <w:t xml:space="preserve">. </w:t>
      </w:r>
      <w:r>
        <w:rPr>
          <w:rFonts w:hint="eastAsia" w:ascii="仿宋" w:hAnsi="仿宋" w:eastAsia="仿宋"/>
          <w:color w:val="000000"/>
          <w:spacing w:val="-4"/>
          <w:sz w:val="32"/>
          <w:szCs w:val="32"/>
        </w:rPr>
        <w:t>开展农贸市场四害消杀时，指导市场管理方和经营户完善“三防”设施。在重点部位安装毒饵站时，根据鼠类防制的要求，加强重点部位毒饵站的分布设置。</w:t>
      </w:r>
    </w:p>
    <w:p>
      <w:pPr>
        <w:pStyle w:val="6"/>
        <w:rPr>
          <w:rFonts w:hint="eastAsia" w:ascii="仿宋" w:hAnsi="仿宋" w:eastAsia="仿宋"/>
          <w:color w:val="000000"/>
          <w:spacing w:val="-4"/>
          <w:sz w:val="32"/>
          <w:szCs w:val="32"/>
        </w:rPr>
        <w:sectPr>
          <w:footerReference r:id="rId4" w:type="default"/>
          <w:pgSz w:w="11906" w:h="16838"/>
          <w:pgMar w:top="1587" w:right="1587" w:bottom="1587" w:left="1587" w:header="708" w:footer="709" w:gutter="0"/>
          <w:cols w:space="0" w:num="1"/>
          <w:docGrid w:linePitch="360" w:charSpace="0"/>
        </w:sectPr>
      </w:pPr>
    </w:p>
    <w:p>
      <w:pPr>
        <w:pStyle w:val="2"/>
        <w:rPr>
          <w:rFonts w:hint="eastAsia" w:ascii="黑体" w:hAnsi="黑体" w:eastAsia="黑体" w:cs="黑体"/>
          <w:sz w:val="32"/>
          <w:szCs w:val="32"/>
          <w:lang w:val="en-US" w:eastAsia="zh-CN"/>
        </w:rPr>
      </w:pP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项目支出绩效评价指标体系框架（参考）</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　</w:t>
            </w:r>
          </w:p>
          <w:p>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pPr>
              <w:spacing w:after="0" w:line="0" w:lineRule="atLeast"/>
              <w:jc w:val="center"/>
              <w:rPr>
                <w:rFonts w:ascii="宋体" w:hAnsi="宋体" w:eastAsia="宋体" w:cs="宋体"/>
                <w:color w:val="000000"/>
              </w:rPr>
            </w:pPr>
          </w:p>
        </w:tc>
        <w:tc>
          <w:tcPr>
            <w:tcW w:w="1411" w:type="dxa"/>
            <w:shd w:val="clear" w:color="auto" w:fill="FFFFFF"/>
            <w:vAlign w:val="center"/>
          </w:tcPr>
          <w:p>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pPr>
        <w:rPr>
          <w:rFonts w:ascii="仿宋" w:hAnsi="仿宋" w:eastAsia="仿宋" w:cs="仿宋"/>
          <w:sz w:val="32"/>
          <w:szCs w:val="32"/>
        </w:rPr>
      </w:pPr>
      <w:r>
        <w:rPr>
          <w:rFonts w:hint="eastAsia" w:ascii="仿宋" w:hAnsi="仿宋" w:eastAsia="仿宋" w:cs="仿宋"/>
          <w:sz w:val="32"/>
          <w:szCs w:val="32"/>
        </w:rPr>
        <w:br w:type="page"/>
      </w:r>
    </w:p>
    <w:p>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9"/>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jc w:val="center"/>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r>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rPr>
                <w:rFonts w:ascii="宋体" w:hAnsi="宋体" w:eastAsia="宋体" w:cs="宋体"/>
                <w:color w:val="000000"/>
              </w:rPr>
            </w:pPr>
          </w:p>
        </w:tc>
      </w:tr>
    </w:tbl>
    <w:p>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p>
      <w:pPr>
        <w:rPr>
          <w:rFonts w:ascii="宋体" w:hAnsi="宋体" w:eastAsia="宋体" w:cs="宋体"/>
          <w:color w:val="000000"/>
          <w:sz w:val="24"/>
          <w:szCs w:val="24"/>
        </w:rPr>
      </w:pPr>
      <w:r>
        <w:rPr>
          <w:rFonts w:hint="eastAsia" w:ascii="宋体" w:hAnsi="宋体" w:eastAsia="宋体" w:cs="宋体"/>
          <w:color w:val="000000"/>
          <w:sz w:val="24"/>
          <w:szCs w:val="24"/>
        </w:rPr>
        <w:br w:type="page"/>
      </w:r>
    </w:p>
    <w:p>
      <w:pPr>
        <w:spacing w:after="0"/>
        <w:rPr>
          <w:rFonts w:ascii="黑体" w:hAnsi="黑体" w:eastAsia="黑体"/>
          <w:sz w:val="28"/>
          <w:szCs w:val="28"/>
        </w:rPr>
      </w:pPr>
      <w:r>
        <w:rPr>
          <w:rFonts w:hint="eastAsia" w:ascii="黑体" w:hAnsi="黑体" w:eastAsia="黑体"/>
          <w:sz w:val="28"/>
          <w:szCs w:val="28"/>
        </w:rPr>
        <w:t>附件5</w:t>
      </w:r>
    </w:p>
    <w:p>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pPr>
        <w:spacing w:after="0" w:line="400" w:lineRule="exact"/>
        <w:jc w:val="center"/>
        <w:rPr>
          <w:rFonts w:ascii="方正小标宋简体" w:hAnsi="Times New Roman" w:eastAsia="方正小标宋简体"/>
          <w:sz w:val="44"/>
          <w:szCs w:val="44"/>
        </w:rPr>
      </w:pPr>
    </w:p>
    <w:p>
      <w:pPr>
        <w:rPr>
          <w:rFonts w:ascii="宋体" w:hAnsi="宋体" w:eastAsia="宋体" w:cs="宋体"/>
          <w:sz w:val="24"/>
          <w:szCs w:val="24"/>
        </w:rPr>
      </w:pPr>
      <w:r>
        <w:rPr>
          <w:rFonts w:hint="eastAsia" w:ascii="宋体" w:hAnsi="宋体" w:eastAsia="宋体" w:cs="宋体"/>
          <w:sz w:val="24"/>
          <w:szCs w:val="24"/>
        </w:rPr>
        <w:t>单位：                                                                                        年      月       日</w:t>
      </w:r>
    </w:p>
    <w:tbl>
      <w:tblPr>
        <w:tblStyle w:val="9"/>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center"/>
          </w:tcPr>
          <w:p>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rPr>
                <w:rFonts w:ascii="宋体" w:hAnsi="宋体" w:eastAsia="宋体" w:cs="宋体"/>
              </w:rPr>
            </w:pPr>
          </w:p>
        </w:tc>
        <w:tc>
          <w:tcPr>
            <w:tcW w:w="2383" w:type="dxa"/>
            <w:vAlign w:val="center"/>
          </w:tcPr>
          <w:p>
            <w:pPr>
              <w:spacing w:after="0" w:line="500" w:lineRule="exact"/>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u w:val="single"/>
              </w:rPr>
            </w:pP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0" w:line="500" w:lineRule="exact"/>
              <w:rPr>
                <w:rFonts w:ascii="宋体" w:hAnsi="宋体" w:eastAsia="宋体" w:cs="宋体"/>
              </w:rPr>
            </w:pPr>
          </w:p>
        </w:tc>
        <w:tc>
          <w:tcPr>
            <w:tcW w:w="2383" w:type="dxa"/>
            <w:vAlign w:val="center"/>
          </w:tcPr>
          <w:p>
            <w:pPr>
              <w:spacing w:after="0" w:line="500" w:lineRule="exact"/>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rPr>
            </w:pP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依申请公开        □</w:t>
            </w:r>
          </w:p>
          <w:p>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pPr>
              <w:spacing w:after="0" w:line="500" w:lineRule="exact"/>
              <w:rPr>
                <w:rFonts w:ascii="宋体" w:hAnsi="宋体" w:eastAsia="宋体" w:cs="宋体"/>
              </w:rPr>
            </w:pPr>
            <w:r>
              <w:rPr>
                <w:rFonts w:hint="eastAsia" w:ascii="宋体" w:hAnsi="宋体" w:eastAsia="宋体" w:cs="宋体"/>
              </w:rPr>
              <w:t>（签字）</w:t>
            </w:r>
          </w:p>
        </w:tc>
      </w:tr>
    </w:tbl>
    <w:p>
      <w:pPr>
        <w:spacing w:after="0" w:line="400" w:lineRule="exact"/>
        <w:ind w:firstLine="440" w:firstLineChars="200"/>
        <w:rPr>
          <w:rFonts w:ascii="宋体" w:hAnsi="宋体" w:eastAsia="宋体" w:cs="宋体"/>
        </w:rPr>
      </w:pPr>
    </w:p>
    <w:p>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pPr>
        <w:rPr>
          <w:rFonts w:hint="eastAsia" w:ascii="宋体" w:hAnsi="宋体" w:eastAsia="宋体" w:cs="宋体"/>
        </w:rPr>
      </w:pPr>
      <w:r>
        <w:rPr>
          <w:rFonts w:hint="eastAsia" w:ascii="宋体" w:hAnsi="宋体" w:eastAsia="宋体" w:cs="宋体"/>
        </w:rPr>
        <w:br w:type="page"/>
      </w:r>
    </w:p>
    <w:p>
      <w:pPr>
        <w:pStyle w:val="2"/>
        <w:sectPr>
          <w:footerReference r:id="rId5" w:type="default"/>
          <w:pgSz w:w="16838" w:h="11906" w:orient="landscape"/>
          <w:pgMar w:top="1800" w:right="1440" w:bottom="1800" w:left="1440" w:header="851" w:footer="992" w:gutter="0"/>
          <w:pgNumType w:fmt="decimal"/>
          <w:cols w:space="425" w:num="1"/>
          <w:docGrid w:type="lines" w:linePitch="312" w:charSpace="0"/>
        </w:sect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right="-328" w:rightChars="-149"/>
        <w:jc w:val="both"/>
        <w:textAlignment w:val="auto"/>
      </w:pPr>
      <w:r>
        <w:rPr>
          <w:rFonts w:hint="eastAsia" w:ascii="仿宋" w:hAnsi="仿宋" w:eastAsia="仿宋" w:cs="仿宋"/>
          <w:sz w:val="32"/>
        </w:rPr>
        <mc:AlternateContent>
          <mc:Choice Requires="wpg">
            <w:drawing>
              <wp:anchor distT="0" distB="0" distL="114300" distR="114300" simplePos="0" relativeHeight="251659264" behindDoc="0" locked="0" layoutInCell="1" allowOverlap="1">
                <wp:simplePos x="0" y="0"/>
                <wp:positionH relativeFrom="column">
                  <wp:posOffset>-26035</wp:posOffset>
                </wp:positionH>
                <wp:positionV relativeFrom="paragraph">
                  <wp:posOffset>19050</wp:posOffset>
                </wp:positionV>
                <wp:extent cx="5363845" cy="360680"/>
                <wp:effectExtent l="0" t="4445" r="8255" b="15875"/>
                <wp:wrapNone/>
                <wp:docPr id="3" name="组合 3"/>
                <wp:cNvGraphicFramePr/>
                <a:graphic xmlns:a="http://schemas.openxmlformats.org/drawingml/2006/main">
                  <a:graphicData uri="http://schemas.microsoft.com/office/word/2010/wordprocessingGroup">
                    <wpg:wgp>
                      <wpg:cNvGrpSpPr/>
                      <wpg:grpSpPr>
                        <a:xfrm>
                          <a:off x="0" y="0"/>
                          <a:ext cx="5363845" cy="360680"/>
                          <a:chOff x="5629" y="15195"/>
                          <a:chExt cx="8660" cy="568"/>
                        </a:xfrm>
                        <a:effectLst/>
                      </wpg:grpSpPr>
                      <wps:wsp>
                        <wps:cNvPr id="4" name="直线 3"/>
                        <wps:cNvCnPr/>
                        <wps:spPr>
                          <a:xfrm>
                            <a:off x="5629" y="15763"/>
                            <a:ext cx="8640" cy="1"/>
                          </a:xfrm>
                          <a:prstGeom prst="line">
                            <a:avLst/>
                          </a:prstGeom>
                          <a:ln w="9525" cap="flat" cmpd="sng">
                            <a:solidFill>
                              <a:srgbClr val="000000"/>
                            </a:solidFill>
                            <a:prstDash val="solid"/>
                            <a:headEnd type="none" w="med" len="med"/>
                            <a:tailEnd type="none" w="med" len="med"/>
                          </a:ln>
                          <a:effectLst/>
                        </wps:spPr>
                        <wps:bodyPr upright="1"/>
                      </wps:wsp>
                      <wps:wsp>
                        <wps:cNvPr id="5" name="直线 4"/>
                        <wps:cNvCnPr/>
                        <wps:spPr>
                          <a:xfrm>
                            <a:off x="5649" y="15195"/>
                            <a:ext cx="8640" cy="1"/>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2.05pt;margin-top:1.5pt;height:28.4pt;width:422.35pt;z-index:251659264;mso-width-relative:page;mso-height-relative:page;" coordorigin="5629,15195" coordsize="8660,568" o:gfxdata="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NTLwhdgAAAAHAQAADwAA&#10;AAAAAAABACAAAAAiAAAAZHJzL2Rvd25yZXYueG1sUEsBAhQAFAAAAAgAh07iQOd2rTWIAgAAOgcA&#10;AA4AAAAAAAAAAQAgAAAAJwEAAGRycy9lMm9Eb2MueG1sUEsFBgAAAAAGAAYAWQEAACEGAAAAAA==&#10;">
                <o:lock v:ext="edit" aspectratio="f"/>
                <v:line id="直线 3" o:spid="_x0000_s1026" o:spt="20" style="position:absolute;left:5629;top:15763;height:1;width:864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4" o:spid="_x0000_s1026" o:spt="20" style="position:absolute;left:5649;top:15195;height:1;width:864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rFonts w:hint="eastAsia" w:ascii="仿宋" w:hAnsi="仿宋" w:eastAsia="仿宋" w:cs="仿宋"/>
          <w:sz w:val="32"/>
          <w:szCs w:val="32"/>
        </w:rPr>
        <w:t xml:space="preserve">中方县财政局办公室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日印发</w:t>
      </w:r>
    </w:p>
    <w:sectPr>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D0F5F0-4F77-4505-8E5F-1E02E7C05A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embedRegular r:id="rId2" w:fontKey="{1067DAAD-6DC3-4EA0-B50E-303735768753}"/>
  </w:font>
  <w:font w:name="楷体">
    <w:panose1 w:val="02010609060101010101"/>
    <w:charset w:val="86"/>
    <w:family w:val="auto"/>
    <w:pitch w:val="default"/>
    <w:sig w:usb0="800002BF" w:usb1="38CF7CFA" w:usb2="00000016" w:usb3="00000000" w:csb0="00040001" w:csb1="00000000"/>
    <w:embedRegular r:id="rId3" w:fontKey="{6061A7A7-714E-422B-A2EF-DD2AA686F7CC}"/>
  </w:font>
  <w:font w:name="仿宋_GB2312">
    <w:panose1 w:val="02010609030101010101"/>
    <w:charset w:val="86"/>
    <w:family w:val="modern"/>
    <w:pitch w:val="default"/>
    <w:sig w:usb0="00000001" w:usb1="080E0000" w:usb2="00000000" w:usb3="00000000" w:csb0="00040000" w:csb1="00000000"/>
    <w:embedRegular r:id="rId4" w:fontKey="{B431C79F-27A4-4113-A5AF-6DB88DB8CE1A}"/>
  </w:font>
  <w:font w:name="仿宋">
    <w:panose1 w:val="02010609060101010101"/>
    <w:charset w:val="86"/>
    <w:family w:val="auto"/>
    <w:pitch w:val="default"/>
    <w:sig w:usb0="800002BF" w:usb1="38CF7CFA" w:usb2="00000016" w:usb3="00000000" w:csb0="00040001" w:csb1="00000000"/>
    <w:embedRegular r:id="rId5" w:fontKey="{82D1590D-389D-4F61-B536-7951E7AFAFFA}"/>
  </w:font>
  <w:font w:name="Wingdings 2">
    <w:panose1 w:val="05020102010507070707"/>
    <w:charset w:val="02"/>
    <w:family w:val="roman"/>
    <w:pitch w:val="default"/>
    <w:sig w:usb0="00000000" w:usb1="00000000" w:usb2="00000000" w:usb3="00000000" w:csb0="80000000" w:csb1="00000000"/>
    <w:embedRegular r:id="rId6" w:fontKey="{0E39BF3B-45BB-4109-9593-E44AC76D21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74wJO4QEAAMEDAAAOAAAA&#10;AAAAAAEAIAAAAB4BAABkcnMvZTJvRG9jLnhtbFBLBQYAAAAABgAGAFkBAABx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205F07"/>
    <w:multiLevelType w:val="singleLevel"/>
    <w:tmpl w:val="5F205F0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noPunctuationKerning w:val="1"/>
  <w:characterSpacingControl w:val="doNotCompress"/>
  <w:hdrShapeDefaults>
    <o:shapelayout v:ext="edit">
      <o:idmap v:ext="edit" data="3"/>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zNWQ2NTdkZTBmYTM1NzVlMjIyZWIzYTdkOGQ3YzY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2EE3660"/>
    <w:rsid w:val="03E2409E"/>
    <w:rsid w:val="0A825E36"/>
    <w:rsid w:val="0F3D5D2B"/>
    <w:rsid w:val="10DF0599"/>
    <w:rsid w:val="12E71B09"/>
    <w:rsid w:val="13DA09E1"/>
    <w:rsid w:val="1C6D5AFA"/>
    <w:rsid w:val="1EDC5E47"/>
    <w:rsid w:val="25DC5E46"/>
    <w:rsid w:val="26C422AA"/>
    <w:rsid w:val="289C17B3"/>
    <w:rsid w:val="2CE5674F"/>
    <w:rsid w:val="2EEE2BF6"/>
    <w:rsid w:val="2F793A1F"/>
    <w:rsid w:val="310316CF"/>
    <w:rsid w:val="310B19E4"/>
    <w:rsid w:val="34CD18B6"/>
    <w:rsid w:val="35EE42C3"/>
    <w:rsid w:val="3A134870"/>
    <w:rsid w:val="3E41054F"/>
    <w:rsid w:val="414C4C6E"/>
    <w:rsid w:val="44507CD3"/>
    <w:rsid w:val="492234F0"/>
    <w:rsid w:val="510161A8"/>
    <w:rsid w:val="51713C0E"/>
    <w:rsid w:val="54AA5EED"/>
    <w:rsid w:val="55397EB4"/>
    <w:rsid w:val="55BA1450"/>
    <w:rsid w:val="5ADF7076"/>
    <w:rsid w:val="5D494145"/>
    <w:rsid w:val="5E2F5EE7"/>
    <w:rsid w:val="5EBB2DEA"/>
    <w:rsid w:val="60077599"/>
    <w:rsid w:val="61524309"/>
    <w:rsid w:val="61D57E6A"/>
    <w:rsid w:val="6386514C"/>
    <w:rsid w:val="638F5A2C"/>
    <w:rsid w:val="6B427B3E"/>
    <w:rsid w:val="6FF62842"/>
    <w:rsid w:val="772D6C83"/>
    <w:rsid w:val="779B3CFE"/>
    <w:rsid w:val="78F662D3"/>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autoSpaceDE w:val="0"/>
      <w:autoSpaceDN w:val="0"/>
      <w:adjustRightInd w:val="0"/>
      <w:spacing w:after="0"/>
      <w:ind w:firstLine="420"/>
      <w:jc w:val="left"/>
    </w:pPr>
    <w:rPr>
      <w:rFonts w:ascii="Calibri" w:hAnsi="Calibri"/>
    </w:rPr>
  </w:style>
  <w:style w:type="paragraph" w:styleId="3">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6">
    <w:name w:val="Body Text"/>
    <w:basedOn w:val="1"/>
    <w:autoRedefine/>
    <w:qFormat/>
    <w:uiPriority w:val="0"/>
    <w:pPr>
      <w:spacing w:after="120"/>
    </w:pPr>
  </w:style>
  <w:style w:type="paragraph" w:styleId="7">
    <w:name w:val="footer"/>
    <w:basedOn w:val="1"/>
    <w:link w:val="13"/>
    <w:autoRedefine/>
    <w:semiHidden/>
    <w:unhideWhenUsed/>
    <w:qFormat/>
    <w:uiPriority w:val="99"/>
    <w:pPr>
      <w:tabs>
        <w:tab w:val="center" w:pos="4153"/>
        <w:tab w:val="right" w:pos="8306"/>
      </w:tabs>
    </w:pPr>
    <w:rPr>
      <w:sz w:val="18"/>
      <w:szCs w:val="18"/>
    </w:rPr>
  </w:style>
  <w:style w:type="paragraph" w:styleId="8">
    <w:name w:val="header"/>
    <w:basedOn w:val="1"/>
    <w:link w:val="12"/>
    <w:autoRedefine/>
    <w:semiHidden/>
    <w:unhideWhenUsed/>
    <w:qFormat/>
    <w:uiPriority w:val="99"/>
    <w:pPr>
      <w:pBdr>
        <w:bottom w:val="single" w:color="auto" w:sz="6" w:space="1"/>
      </w:pBdr>
      <w:tabs>
        <w:tab w:val="center" w:pos="4153"/>
        <w:tab w:val="right" w:pos="8306"/>
      </w:tabs>
      <w:jc w:val="center"/>
    </w:pPr>
    <w:rPr>
      <w:sz w:val="18"/>
      <w:szCs w:val="18"/>
    </w:rPr>
  </w:style>
  <w:style w:type="character" w:styleId="11">
    <w:name w:val="Hyperlink"/>
    <w:basedOn w:val="10"/>
    <w:autoRedefine/>
    <w:semiHidden/>
    <w:unhideWhenUsed/>
    <w:qFormat/>
    <w:uiPriority w:val="99"/>
    <w:rPr>
      <w:color w:val="333333"/>
      <w:u w:val="none"/>
    </w:rPr>
  </w:style>
  <w:style w:type="character" w:customStyle="1" w:styleId="12">
    <w:name w:val="页眉 Char"/>
    <w:basedOn w:val="10"/>
    <w:link w:val="8"/>
    <w:autoRedefine/>
    <w:semiHidden/>
    <w:qFormat/>
    <w:uiPriority w:val="99"/>
    <w:rPr>
      <w:rFonts w:ascii="Tahoma" w:hAnsi="Tahoma"/>
      <w:sz w:val="18"/>
      <w:szCs w:val="18"/>
    </w:rPr>
  </w:style>
  <w:style w:type="character" w:customStyle="1" w:styleId="13">
    <w:name w:val="页脚 Char"/>
    <w:basedOn w:val="10"/>
    <w:link w:val="7"/>
    <w:autoRedefine/>
    <w:semiHidden/>
    <w:qFormat/>
    <w:uiPriority w:val="99"/>
    <w:rPr>
      <w:rFonts w:ascii="Tahoma" w:hAnsi="Tahoma"/>
      <w:sz w:val="18"/>
      <w:szCs w:val="18"/>
    </w:rPr>
  </w:style>
  <w:style w:type="character" w:customStyle="1" w:styleId="14">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5138</Words>
  <Characters>5237</Characters>
  <Lines>46</Lines>
  <Paragraphs>12</Paragraphs>
  <TotalTime>102</TotalTime>
  <ScaleCrop>false</ScaleCrop>
  <LinksUpToDate>false</LinksUpToDate>
  <CharactersWithSpaces>5450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2024-07-30T08:59:00Z</cp:lastPrinted>
  <dcterms:modified xsi:type="dcterms:W3CDTF">2024-08-12T02:01:09Z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A9CAE7379D224156B3D3D1CDDD119BE7_13</vt:lpwstr>
  </property>
</Properties>
</file>