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0AFAC0">
      <w:pPr>
        <w:keepNext w:val="0"/>
        <w:keepLines w:val="0"/>
        <w:pageBreakBefore w:val="0"/>
        <w:widowControl/>
        <w:kinsoku/>
        <w:wordWrap/>
        <w:overflowPunct/>
        <w:topLinePunct w:val="0"/>
        <w:autoSpaceDE/>
        <w:autoSpaceDN/>
        <w:bidi w:val="0"/>
        <w:adjustRightInd w:val="0"/>
        <w:snapToGrid w:val="0"/>
        <w:spacing w:after="0" w:line="700" w:lineRule="atLeast"/>
        <w:jc w:val="center"/>
        <w:textAlignment w:val="auto"/>
        <w:rPr>
          <w:rFonts w:hint="eastAsia" w:asciiTheme="majorEastAsia" w:hAnsiTheme="majorEastAsia" w:eastAsiaTheme="majorEastAsia" w:cstheme="majorEastAsia"/>
          <w:b/>
          <w:bCs w:val="0"/>
          <w:sz w:val="44"/>
          <w:szCs w:val="44"/>
        </w:rPr>
      </w:pPr>
    </w:p>
    <w:p w14:paraId="65CDC84D">
      <w:pPr>
        <w:keepNext w:val="0"/>
        <w:keepLines w:val="0"/>
        <w:pageBreakBefore w:val="0"/>
        <w:widowControl/>
        <w:kinsoku/>
        <w:wordWrap/>
        <w:overflowPunct/>
        <w:topLinePunct w:val="0"/>
        <w:autoSpaceDE/>
        <w:autoSpaceDN/>
        <w:bidi w:val="0"/>
        <w:adjustRightInd w:val="0"/>
        <w:snapToGrid w:val="0"/>
        <w:spacing w:after="0" w:line="700" w:lineRule="atLeast"/>
        <w:jc w:val="center"/>
        <w:textAlignment w:val="auto"/>
        <w:rPr>
          <w:rFonts w:hint="eastAsia" w:asciiTheme="majorEastAsia" w:hAnsiTheme="majorEastAsia" w:eastAsiaTheme="majorEastAsia" w:cstheme="majorEastAsia"/>
          <w:b/>
          <w:bCs w:val="0"/>
          <w:sz w:val="44"/>
          <w:szCs w:val="44"/>
        </w:rPr>
      </w:pPr>
      <w:r>
        <w:rPr>
          <w:rFonts w:hint="eastAsia" w:asciiTheme="majorEastAsia" w:hAnsiTheme="majorEastAsia" w:eastAsiaTheme="majorEastAsia" w:cstheme="majorEastAsia"/>
          <w:b/>
          <w:bCs w:val="0"/>
          <w:sz w:val="44"/>
          <w:szCs w:val="44"/>
        </w:rPr>
        <w:t>中方县</w:t>
      </w:r>
      <w:r>
        <w:rPr>
          <w:rFonts w:hint="eastAsia" w:asciiTheme="majorEastAsia" w:hAnsiTheme="majorEastAsia" w:eastAsiaTheme="majorEastAsia" w:cstheme="majorEastAsia"/>
          <w:b/>
          <w:bCs w:val="0"/>
          <w:sz w:val="44"/>
          <w:szCs w:val="44"/>
          <w:lang w:eastAsia="zh-CN"/>
        </w:rPr>
        <w:t>工伤保险服务中心</w:t>
      </w:r>
      <w:r>
        <w:rPr>
          <w:rFonts w:hint="eastAsia" w:asciiTheme="majorEastAsia" w:hAnsiTheme="majorEastAsia" w:eastAsiaTheme="majorEastAsia" w:cstheme="majorEastAsia"/>
          <w:b/>
          <w:bCs w:val="0"/>
          <w:sz w:val="44"/>
          <w:szCs w:val="44"/>
        </w:rPr>
        <w:t>202</w:t>
      </w:r>
      <w:r>
        <w:rPr>
          <w:rFonts w:hint="eastAsia" w:asciiTheme="majorEastAsia" w:hAnsiTheme="majorEastAsia" w:eastAsiaTheme="majorEastAsia" w:cstheme="majorEastAsia"/>
          <w:b/>
          <w:bCs w:val="0"/>
          <w:sz w:val="44"/>
          <w:szCs w:val="44"/>
          <w:lang w:val="en-US" w:eastAsia="zh-CN"/>
        </w:rPr>
        <w:t>3</w:t>
      </w:r>
      <w:r>
        <w:rPr>
          <w:rFonts w:hint="eastAsia" w:asciiTheme="majorEastAsia" w:hAnsiTheme="majorEastAsia" w:eastAsiaTheme="majorEastAsia" w:cstheme="majorEastAsia"/>
          <w:b/>
          <w:bCs w:val="0"/>
          <w:sz w:val="44"/>
          <w:szCs w:val="44"/>
        </w:rPr>
        <w:t>年度部门整体支出绩效自评报告</w:t>
      </w:r>
    </w:p>
    <w:p w14:paraId="472FFC82">
      <w:pPr>
        <w:spacing w:after="0" w:line="520" w:lineRule="exact"/>
        <w:ind w:firstLine="600" w:firstLineChars="200"/>
        <w:outlineLvl w:val="0"/>
        <w:rPr>
          <w:rFonts w:ascii="宋体" w:hAnsi="宋体" w:eastAsia="宋体" w:cs="仿宋"/>
          <w:bCs/>
          <w:color w:val="000000"/>
          <w:sz w:val="30"/>
          <w:szCs w:val="30"/>
        </w:rPr>
      </w:pPr>
    </w:p>
    <w:p w14:paraId="6223B3E9">
      <w:pPr>
        <w:keepNext w:val="0"/>
        <w:keepLines w:val="0"/>
        <w:pageBreakBefore w:val="0"/>
        <w:kinsoku/>
        <w:wordWrap/>
        <w:topLinePunct w:val="0"/>
        <w:autoSpaceDE/>
        <w:autoSpaceDN/>
        <w:bidi w:val="0"/>
        <w:spacing w:after="0" w:afterAutospacing="0" w:line="560" w:lineRule="exact"/>
        <w:ind w:firstLine="643" w:firstLineChars="200"/>
        <w:rPr>
          <w:rFonts w:ascii="宋体" w:hAnsi="宋体" w:eastAsia="宋体" w:cs="黑体"/>
          <w:b/>
          <w:bCs w:val="0"/>
          <w:sz w:val="32"/>
          <w:szCs w:val="32"/>
        </w:rPr>
      </w:pPr>
      <w:r>
        <w:rPr>
          <w:rFonts w:hint="eastAsia" w:ascii="宋体" w:hAnsi="宋体" w:eastAsia="宋体" w:cs="黑体"/>
          <w:b/>
          <w:bCs w:val="0"/>
          <w:sz w:val="32"/>
          <w:szCs w:val="32"/>
        </w:rPr>
        <w:t>一、部门基本情况</w:t>
      </w:r>
    </w:p>
    <w:p w14:paraId="00B9CE85">
      <w:pPr>
        <w:keepNext w:val="0"/>
        <w:keepLines w:val="0"/>
        <w:pageBreakBefore w:val="0"/>
        <w:shd w:val="clear" w:color="auto" w:fill="FFFFFF"/>
        <w:kinsoku/>
        <w:wordWrap/>
        <w:topLinePunct w:val="0"/>
        <w:autoSpaceDE/>
        <w:autoSpaceDN/>
        <w:bidi w:val="0"/>
        <w:spacing w:after="0" w:afterAutospacing="0" w:line="560" w:lineRule="exact"/>
        <w:ind w:firstLine="643" w:firstLineChars="200"/>
        <w:rPr>
          <w:rFonts w:ascii="宋体" w:hAnsi="宋体" w:eastAsia="宋体" w:cs="仿宋_GB2312"/>
          <w:b/>
          <w:color w:val="333333"/>
          <w:sz w:val="32"/>
          <w:szCs w:val="32"/>
          <w:shd w:val="clear" w:color="auto" w:fill="FFFFFF"/>
        </w:rPr>
      </w:pPr>
      <w:r>
        <w:rPr>
          <w:rFonts w:hint="eastAsia" w:ascii="宋体" w:hAnsi="宋体" w:eastAsia="宋体" w:cs="仿宋"/>
          <w:b/>
          <w:sz w:val="32"/>
          <w:szCs w:val="32"/>
        </w:rPr>
        <w:t>（一）部门职能与机构设置</w:t>
      </w:r>
    </w:p>
    <w:p w14:paraId="24E320D0">
      <w:pPr>
        <w:keepNext w:val="0"/>
        <w:keepLines w:val="0"/>
        <w:pageBreakBefore w:val="0"/>
        <w:kinsoku/>
        <w:wordWrap/>
        <w:topLinePunct w:val="0"/>
        <w:autoSpaceDE/>
        <w:autoSpaceDN/>
        <w:bidi w:val="0"/>
        <w:snapToGrid w:val="0"/>
        <w:spacing w:afterAutospacing="0" w:line="560" w:lineRule="exact"/>
        <w:ind w:firstLine="643" w:firstLineChars="200"/>
        <w:rPr>
          <w:rFonts w:ascii="仿宋_GB2312" w:eastAsia="仿宋_GB2312" w:cs="宋体" w:hAnsiTheme="minorEastAsia"/>
          <w:sz w:val="32"/>
          <w:szCs w:val="32"/>
        </w:rPr>
      </w:pPr>
      <w:r>
        <w:rPr>
          <w:rFonts w:hint="eastAsia" w:ascii="仿宋" w:hAnsi="仿宋" w:eastAsia="仿宋"/>
          <w:b/>
          <w:sz w:val="32"/>
          <w:szCs w:val="32"/>
        </w:rPr>
        <w:t>部门职能：</w:t>
      </w:r>
      <w:r>
        <w:rPr>
          <w:rFonts w:hint="eastAsia" w:ascii="仿宋_GB2312" w:eastAsia="仿宋_GB2312" w:cs="宋体" w:hAnsiTheme="minorEastAsia"/>
          <w:color w:val="000000" w:themeColor="text1"/>
          <w:sz w:val="32"/>
          <w:szCs w:val="32"/>
          <w14:textFill>
            <w14:solidFill>
              <w14:schemeClr w14:val="tx1"/>
            </w14:solidFill>
          </w14:textFill>
        </w:rPr>
        <w:t>中方县工伤保险服务中心贯彻落实党中央关于</w:t>
      </w:r>
      <w:r>
        <w:rPr>
          <w:rFonts w:hint="eastAsia" w:ascii="仿宋_GB2312" w:eastAsia="仿宋_GB2312" w:hAnsiTheme="minorEastAsia"/>
          <w:color w:val="000000" w:themeColor="text1"/>
          <w:sz w:val="32"/>
          <w:szCs w:val="32"/>
          <w:shd w:val="clear" w:color="auto" w:fill="FFFFFF"/>
          <w14:textFill>
            <w14:solidFill>
              <w14:schemeClr w14:val="tx1"/>
            </w14:solidFill>
          </w14:textFill>
        </w:rPr>
        <w:t>人力资源和社会保障工作的方针政策和决策部署，全面落实县委关于人力资源和社会保障工作的部署要求，在履行职责过程中坚持和加强党对人力资源和社会保障工作的集中统一领导。</w:t>
      </w:r>
      <w:r>
        <w:rPr>
          <w:rFonts w:hint="eastAsia" w:ascii="仿宋_GB2312" w:eastAsia="仿宋_GB2312" w:cs="宋体" w:hAnsiTheme="minorEastAsia"/>
          <w:color w:val="000000" w:themeColor="text1"/>
          <w:sz w:val="32"/>
          <w:szCs w:val="32"/>
          <w14:textFill>
            <w14:solidFill>
              <w14:schemeClr w14:val="tx1"/>
            </w14:solidFill>
          </w14:textFill>
        </w:rPr>
        <w:t>主要职责是:</w:t>
      </w:r>
    </w:p>
    <w:p w14:paraId="1F9E243D">
      <w:pPr>
        <w:keepNext w:val="0"/>
        <w:keepLines w:val="0"/>
        <w:pageBreakBefore w:val="0"/>
        <w:kinsoku/>
        <w:wordWrap/>
        <w:topLinePunct w:val="0"/>
        <w:autoSpaceDE/>
        <w:autoSpaceDN/>
        <w:bidi w:val="0"/>
        <w:snapToGrid w:val="0"/>
        <w:spacing w:afterAutospacing="0" w:line="560" w:lineRule="exact"/>
        <w:ind w:firstLine="640" w:firstLineChars="200"/>
        <w:rPr>
          <w:rFonts w:ascii="仿宋_GB2312" w:eastAsia="仿宋_GB2312" w:hAnsiTheme="minorEastAsia"/>
          <w:color w:val="3D3D3D"/>
          <w:sz w:val="32"/>
          <w:szCs w:val="32"/>
          <w:shd w:val="clear" w:color="auto" w:fill="FFFFFF"/>
        </w:rPr>
      </w:pPr>
      <w:r>
        <w:rPr>
          <w:rFonts w:hint="eastAsia" w:ascii="仿宋_GB2312" w:eastAsia="仿宋_GB2312" w:cs="宋体" w:hAnsiTheme="minorEastAsia"/>
          <w:sz w:val="32"/>
          <w:szCs w:val="32"/>
        </w:rPr>
        <w:t>（一）贯彻执行党中央、国务院、省委、省政府有关人力资源和社会保险保障工作的方针政策和法律</w:t>
      </w:r>
      <w:r>
        <w:rPr>
          <w:rFonts w:hint="eastAsia" w:ascii="仿宋_GB2312" w:eastAsia="仿宋_GB2312" w:cs="宋体" w:hAnsiTheme="minorEastAsia"/>
          <w:color w:val="000000" w:themeColor="text1"/>
          <w:sz w:val="32"/>
          <w:szCs w:val="32"/>
          <w14:textFill>
            <w14:solidFill>
              <w14:schemeClr w14:val="tx1"/>
            </w14:solidFill>
          </w14:textFill>
        </w:rPr>
        <w:t>法规，为</w:t>
      </w:r>
      <w:r>
        <w:rPr>
          <w:rFonts w:hint="eastAsia" w:ascii="仿宋_GB2312" w:eastAsia="仿宋_GB2312" w:hAnsiTheme="minorEastAsia"/>
          <w:color w:val="000000" w:themeColor="text1"/>
          <w:sz w:val="32"/>
          <w:szCs w:val="32"/>
          <w:shd w:val="clear" w:color="auto" w:fill="FFFFFF"/>
          <w14:textFill>
            <w14:solidFill>
              <w14:schemeClr w14:val="tx1"/>
            </w14:solidFill>
          </w14:textFill>
        </w:rPr>
        <w:t>统筹推进建立覆盖城乡的多层次社会保障体系提供服务保障。</w:t>
      </w:r>
    </w:p>
    <w:p w14:paraId="1C0AEA17">
      <w:pPr>
        <w:keepNext w:val="0"/>
        <w:keepLines w:val="0"/>
        <w:pageBreakBefore w:val="0"/>
        <w:kinsoku/>
        <w:wordWrap/>
        <w:topLinePunct w:val="0"/>
        <w:autoSpaceDE/>
        <w:autoSpaceDN/>
        <w:bidi w:val="0"/>
        <w:snapToGrid w:val="0"/>
        <w:spacing w:afterAutospacing="0" w:line="560" w:lineRule="exact"/>
        <w:ind w:firstLine="640" w:firstLineChars="200"/>
        <w:rPr>
          <w:rFonts w:ascii="仿宋_GB2312" w:eastAsia="仿宋_GB2312" w:cs="宋体" w:hAnsiTheme="minorEastAsia"/>
          <w:sz w:val="32"/>
          <w:szCs w:val="32"/>
        </w:rPr>
      </w:pPr>
      <w:r>
        <w:rPr>
          <w:rFonts w:hint="eastAsia" w:ascii="仿宋_GB2312" w:eastAsia="仿宋_GB2312" w:cs="宋体" w:hAnsiTheme="minorEastAsia"/>
          <w:sz w:val="32"/>
          <w:szCs w:val="32"/>
        </w:rPr>
        <w:t>（二）承担</w:t>
      </w:r>
      <w:r>
        <w:rPr>
          <w:rFonts w:hint="eastAsia" w:ascii="仿宋_GB2312" w:eastAsia="仿宋_GB2312" w:hAnsiTheme="minorEastAsia"/>
          <w:color w:val="222222"/>
          <w:sz w:val="32"/>
          <w:szCs w:val="32"/>
          <w:shd w:val="clear" w:color="auto" w:fill="FFFFFF"/>
        </w:rPr>
        <w:t>全县参保用人单位工伤保险事务</w:t>
      </w:r>
      <w:r>
        <w:rPr>
          <w:rFonts w:hint="eastAsia" w:ascii="仿宋_GB2312" w:eastAsia="仿宋_GB2312" w:cs="宋体" w:hAnsiTheme="minorEastAsia"/>
          <w:sz w:val="32"/>
          <w:szCs w:val="32"/>
        </w:rPr>
        <w:t>相关服务工作。</w:t>
      </w:r>
    </w:p>
    <w:p w14:paraId="3F46614C">
      <w:pPr>
        <w:keepNext w:val="0"/>
        <w:keepLines w:val="0"/>
        <w:pageBreakBefore w:val="0"/>
        <w:kinsoku/>
        <w:wordWrap/>
        <w:topLinePunct w:val="0"/>
        <w:autoSpaceDE/>
        <w:autoSpaceDN/>
        <w:bidi w:val="0"/>
        <w:snapToGrid w:val="0"/>
        <w:spacing w:afterAutospacing="0" w:line="560" w:lineRule="exact"/>
        <w:ind w:firstLine="640" w:firstLineChars="200"/>
        <w:rPr>
          <w:rFonts w:ascii="仿宋_GB2312" w:eastAsia="仿宋_GB2312" w:cs="宋体" w:hAnsiTheme="minorEastAsia"/>
          <w:sz w:val="32"/>
          <w:szCs w:val="32"/>
        </w:rPr>
      </w:pPr>
      <w:r>
        <w:rPr>
          <w:rFonts w:hint="eastAsia" w:ascii="仿宋_GB2312" w:eastAsia="仿宋_GB2312" w:cs="宋体" w:hAnsiTheme="minorEastAsia"/>
          <w:sz w:val="32"/>
          <w:szCs w:val="32"/>
        </w:rPr>
        <w:t>（三）承担全县</w:t>
      </w:r>
      <w:r>
        <w:rPr>
          <w:rFonts w:hint="eastAsia" w:ascii="仿宋_GB2312" w:eastAsia="仿宋_GB2312" w:hAnsiTheme="minorEastAsia"/>
          <w:color w:val="222222"/>
          <w:sz w:val="32"/>
          <w:szCs w:val="32"/>
          <w:shd w:val="clear" w:color="auto" w:fill="FFFFFF"/>
        </w:rPr>
        <w:t>工伤保险的相关政策、法规进行宣传、讲解，并</w:t>
      </w:r>
      <w:r>
        <w:rPr>
          <w:rFonts w:hint="eastAsia" w:ascii="仿宋_GB2312" w:eastAsia="仿宋_GB2312" w:cs="宋体" w:hAnsiTheme="minorEastAsia"/>
          <w:sz w:val="32"/>
          <w:szCs w:val="32"/>
        </w:rPr>
        <w:t>对相关工作提供政策支持和服务保障。</w:t>
      </w:r>
    </w:p>
    <w:p w14:paraId="49BE8906">
      <w:pPr>
        <w:keepNext w:val="0"/>
        <w:keepLines w:val="0"/>
        <w:pageBreakBefore w:val="0"/>
        <w:kinsoku/>
        <w:wordWrap/>
        <w:topLinePunct w:val="0"/>
        <w:autoSpaceDE/>
        <w:autoSpaceDN/>
        <w:bidi w:val="0"/>
        <w:snapToGrid w:val="0"/>
        <w:spacing w:afterAutospacing="0" w:line="560" w:lineRule="exact"/>
        <w:ind w:firstLine="640" w:firstLineChars="200"/>
        <w:rPr>
          <w:rFonts w:ascii="仿宋_GB2312" w:eastAsia="仿宋_GB2312" w:cs="宋体" w:hAnsiTheme="minorEastAsia"/>
          <w:sz w:val="32"/>
          <w:szCs w:val="32"/>
        </w:rPr>
      </w:pPr>
      <w:r>
        <w:rPr>
          <w:rFonts w:hint="eastAsia" w:ascii="仿宋_GB2312" w:eastAsia="仿宋_GB2312" w:cs="宋体" w:hAnsiTheme="minorEastAsia"/>
          <w:sz w:val="32"/>
          <w:szCs w:val="32"/>
        </w:rPr>
        <w:t>(四）核查用人单位的工资总额和职工人数，办理工伤保险登记，并负责保存用人单位缴费和职工享受工伤保险待遇情况的记录。</w:t>
      </w:r>
    </w:p>
    <w:p w14:paraId="191CBAF5">
      <w:pPr>
        <w:keepNext w:val="0"/>
        <w:keepLines w:val="0"/>
        <w:pageBreakBefore w:val="0"/>
        <w:kinsoku/>
        <w:wordWrap/>
        <w:topLinePunct w:val="0"/>
        <w:autoSpaceDE/>
        <w:autoSpaceDN/>
        <w:bidi w:val="0"/>
        <w:snapToGrid w:val="0"/>
        <w:spacing w:afterAutospacing="0" w:line="560" w:lineRule="exact"/>
        <w:ind w:firstLine="640" w:firstLineChars="200"/>
        <w:rPr>
          <w:rFonts w:ascii="仿宋_GB2312" w:eastAsia="仿宋_GB2312" w:cs="宋体" w:hAnsiTheme="minorEastAsia"/>
          <w:sz w:val="32"/>
          <w:szCs w:val="32"/>
        </w:rPr>
      </w:pPr>
      <w:r>
        <w:rPr>
          <w:rFonts w:hint="eastAsia" w:ascii="仿宋_GB2312" w:eastAsia="仿宋_GB2312" w:cs="宋体" w:hAnsiTheme="minorEastAsia"/>
          <w:sz w:val="32"/>
          <w:szCs w:val="32"/>
        </w:rPr>
        <w:t>(五）进行工伤保险调查、统计。</w:t>
      </w:r>
    </w:p>
    <w:p w14:paraId="09BB1999">
      <w:pPr>
        <w:keepNext w:val="0"/>
        <w:keepLines w:val="0"/>
        <w:pageBreakBefore w:val="0"/>
        <w:kinsoku/>
        <w:wordWrap/>
        <w:topLinePunct w:val="0"/>
        <w:autoSpaceDE/>
        <w:autoSpaceDN/>
        <w:bidi w:val="0"/>
        <w:snapToGrid w:val="0"/>
        <w:spacing w:afterAutospacing="0" w:line="560" w:lineRule="exact"/>
        <w:ind w:firstLine="640" w:firstLineChars="200"/>
        <w:rPr>
          <w:rFonts w:ascii="仿宋_GB2312" w:eastAsia="仿宋_GB2312" w:cs="宋体" w:hAnsiTheme="minorEastAsia"/>
          <w:sz w:val="32"/>
          <w:szCs w:val="32"/>
        </w:rPr>
      </w:pPr>
      <w:r>
        <w:rPr>
          <w:rFonts w:hint="eastAsia" w:ascii="仿宋_GB2312" w:eastAsia="仿宋_GB2312" w:cs="宋体" w:hAnsiTheme="minorEastAsia"/>
          <w:sz w:val="32"/>
          <w:szCs w:val="32"/>
        </w:rPr>
        <w:t>(六）按照规定管理工伤保险基金的支出。</w:t>
      </w:r>
    </w:p>
    <w:p w14:paraId="5601E064">
      <w:pPr>
        <w:keepNext w:val="0"/>
        <w:keepLines w:val="0"/>
        <w:pageBreakBefore w:val="0"/>
        <w:kinsoku/>
        <w:wordWrap/>
        <w:topLinePunct w:val="0"/>
        <w:autoSpaceDE/>
        <w:autoSpaceDN/>
        <w:bidi w:val="0"/>
        <w:snapToGrid w:val="0"/>
        <w:spacing w:afterAutospacing="0" w:line="560" w:lineRule="exact"/>
        <w:ind w:firstLine="640" w:firstLineChars="200"/>
        <w:rPr>
          <w:rFonts w:ascii="仿宋_GB2312" w:eastAsia="仿宋_GB2312" w:cs="宋体" w:hAnsiTheme="minorEastAsia"/>
          <w:sz w:val="32"/>
          <w:szCs w:val="32"/>
        </w:rPr>
      </w:pPr>
      <w:r>
        <w:rPr>
          <w:rFonts w:hint="eastAsia" w:ascii="仿宋_GB2312" w:eastAsia="仿宋_GB2312" w:cs="宋体" w:hAnsiTheme="minorEastAsia"/>
          <w:sz w:val="32"/>
          <w:szCs w:val="32"/>
        </w:rPr>
        <w:t>(七）按照规定核定工伤保险待遇。</w:t>
      </w:r>
    </w:p>
    <w:p w14:paraId="5C733CBC">
      <w:pPr>
        <w:keepNext w:val="0"/>
        <w:keepLines w:val="0"/>
        <w:pageBreakBefore w:val="0"/>
        <w:kinsoku/>
        <w:wordWrap/>
        <w:topLinePunct w:val="0"/>
        <w:autoSpaceDE/>
        <w:autoSpaceDN/>
        <w:bidi w:val="0"/>
        <w:snapToGrid w:val="0"/>
        <w:spacing w:afterAutospacing="0" w:line="560" w:lineRule="exact"/>
        <w:ind w:firstLine="640" w:firstLineChars="200"/>
        <w:rPr>
          <w:rFonts w:ascii="仿宋_GB2312" w:eastAsia="仿宋_GB2312" w:cs="宋体" w:hAnsiTheme="minorEastAsia"/>
          <w:sz w:val="32"/>
          <w:szCs w:val="32"/>
        </w:rPr>
      </w:pPr>
      <w:r>
        <w:rPr>
          <w:rFonts w:hint="eastAsia" w:ascii="仿宋_GB2312" w:eastAsia="仿宋_GB2312" w:cs="宋体" w:hAnsiTheme="minorEastAsia"/>
          <w:sz w:val="32"/>
          <w:szCs w:val="32"/>
        </w:rPr>
        <w:t>(八）为职工和亲属提供工伤保险政策咨询服务。</w:t>
      </w:r>
    </w:p>
    <w:p w14:paraId="2F0826D9">
      <w:pPr>
        <w:keepNext w:val="0"/>
        <w:keepLines w:val="0"/>
        <w:pageBreakBefore w:val="0"/>
        <w:kinsoku/>
        <w:wordWrap/>
        <w:topLinePunct w:val="0"/>
        <w:autoSpaceDE/>
        <w:autoSpaceDN/>
        <w:bidi w:val="0"/>
        <w:snapToGrid w:val="0"/>
        <w:spacing w:afterAutospacing="0" w:line="560" w:lineRule="exact"/>
        <w:ind w:firstLine="640" w:firstLineChars="200"/>
        <w:rPr>
          <w:rFonts w:ascii="仿宋_GB2312" w:eastAsia="仿宋_GB2312" w:cs="宋体" w:hAnsiTheme="minorEastAsia"/>
          <w:sz w:val="32"/>
          <w:szCs w:val="32"/>
        </w:rPr>
      </w:pPr>
      <w:r>
        <w:rPr>
          <w:rFonts w:hint="eastAsia" w:ascii="仿宋_GB2312" w:eastAsia="仿宋_GB2312" w:cs="宋体" w:hAnsiTheme="minorEastAsia"/>
          <w:sz w:val="32"/>
          <w:szCs w:val="32"/>
        </w:rPr>
        <w:t>(九）负责工伤保险信息系统管理及信息档案管理。</w:t>
      </w:r>
    </w:p>
    <w:p w14:paraId="4660B5DB">
      <w:pPr>
        <w:keepNext w:val="0"/>
        <w:keepLines w:val="0"/>
        <w:pageBreakBefore w:val="0"/>
        <w:kinsoku/>
        <w:wordWrap/>
        <w:topLinePunct w:val="0"/>
        <w:autoSpaceDE/>
        <w:autoSpaceDN/>
        <w:bidi w:val="0"/>
        <w:snapToGrid w:val="0"/>
        <w:spacing w:afterAutospacing="0" w:line="560" w:lineRule="exact"/>
        <w:ind w:firstLine="640" w:firstLineChars="200"/>
        <w:rPr>
          <w:rFonts w:ascii="仿宋_GB2312" w:eastAsia="仿宋_GB2312" w:cs="宋体" w:hAnsiTheme="minorEastAsia"/>
          <w:sz w:val="32"/>
          <w:szCs w:val="32"/>
        </w:rPr>
      </w:pPr>
      <w:r>
        <w:rPr>
          <w:rFonts w:hint="eastAsia" w:ascii="仿宋_GB2312" w:eastAsia="仿宋_GB2312" w:cs="宋体" w:hAnsiTheme="minorEastAsia"/>
          <w:sz w:val="32"/>
          <w:szCs w:val="32"/>
        </w:rPr>
        <w:t>(十）负责老工伤人员的资格认定，审核老工伤人员工伤保险待遇，为职工和亲属提供工伤保险政策咨询服务。</w:t>
      </w:r>
    </w:p>
    <w:p w14:paraId="613176BA">
      <w:pPr>
        <w:keepNext w:val="0"/>
        <w:keepLines w:val="0"/>
        <w:pageBreakBefore w:val="0"/>
        <w:kinsoku/>
        <w:wordWrap/>
        <w:topLinePunct w:val="0"/>
        <w:autoSpaceDE/>
        <w:autoSpaceDN/>
        <w:bidi w:val="0"/>
        <w:snapToGrid w:val="0"/>
        <w:spacing w:afterAutospacing="0" w:line="560" w:lineRule="exact"/>
        <w:ind w:firstLine="640" w:firstLineChars="200"/>
        <w:rPr>
          <w:rFonts w:ascii="仿宋_GB2312" w:eastAsia="仿宋_GB2312" w:cs="宋体" w:hAnsiTheme="minorEastAsia"/>
          <w:sz w:val="32"/>
          <w:szCs w:val="32"/>
        </w:rPr>
      </w:pPr>
      <w:r>
        <w:rPr>
          <w:rFonts w:hint="eastAsia" w:ascii="仿宋_GB2312" w:eastAsia="仿宋_GB2312" w:cs="宋体" w:hAnsiTheme="minorEastAsia"/>
          <w:sz w:val="32"/>
          <w:szCs w:val="32"/>
        </w:rPr>
        <w:t>(十一）完成上级交办的其他任务。</w:t>
      </w:r>
    </w:p>
    <w:p w14:paraId="1FDF9613">
      <w:pPr>
        <w:keepNext w:val="0"/>
        <w:keepLines w:val="0"/>
        <w:pageBreakBefore w:val="0"/>
        <w:kinsoku/>
        <w:wordWrap/>
        <w:topLinePunct w:val="0"/>
        <w:autoSpaceDE/>
        <w:autoSpaceDN/>
        <w:bidi w:val="0"/>
        <w:snapToGrid w:val="0"/>
        <w:spacing w:afterAutospacing="0" w:line="560" w:lineRule="exact"/>
        <w:ind w:firstLine="640" w:firstLineChars="200"/>
        <w:rPr>
          <w:rFonts w:hint="eastAsia" w:ascii="仿宋_GB2312" w:eastAsia="仿宋_GB2312" w:cs="宋体" w:hAnsiTheme="minorEastAsia"/>
          <w:sz w:val="32"/>
          <w:szCs w:val="32"/>
        </w:rPr>
      </w:pPr>
      <w:r>
        <w:rPr>
          <w:rFonts w:hint="eastAsia" w:ascii="仿宋_GB2312" w:eastAsia="仿宋_GB2312" w:cs="宋体" w:hAnsiTheme="minorEastAsia"/>
          <w:sz w:val="32"/>
          <w:szCs w:val="32"/>
        </w:rPr>
        <w:t>关于职责调整</w:t>
      </w:r>
      <w:r>
        <w:rPr>
          <w:rFonts w:hint="eastAsia" w:ascii="仿宋_GB2312" w:eastAsia="仿宋_GB2312" w:cs="宋体" w:hAnsiTheme="minorEastAsia"/>
          <w:sz w:val="32"/>
          <w:szCs w:val="32"/>
          <w:lang w:eastAsia="zh-CN"/>
        </w:rPr>
        <w:t>：</w:t>
      </w:r>
      <w:r>
        <w:rPr>
          <w:rFonts w:hint="eastAsia" w:ascii="仿宋_GB2312" w:eastAsia="仿宋_GB2312" w:cs="宋体" w:hAnsiTheme="minorEastAsia"/>
          <w:sz w:val="32"/>
          <w:szCs w:val="32"/>
        </w:rPr>
        <w:t>将工伤保险基金征缴工作整体划入国家税务局。</w:t>
      </w:r>
    </w:p>
    <w:p w14:paraId="1990475C">
      <w:pPr>
        <w:keepNext w:val="0"/>
        <w:keepLines w:val="0"/>
        <w:pageBreakBefore w:val="0"/>
        <w:kinsoku/>
        <w:wordWrap/>
        <w:topLinePunct w:val="0"/>
        <w:autoSpaceDE/>
        <w:autoSpaceDN/>
        <w:bidi w:val="0"/>
        <w:snapToGrid w:val="0"/>
        <w:spacing w:afterAutospacing="0" w:line="560" w:lineRule="exact"/>
        <w:ind w:firstLine="643" w:firstLineChars="200"/>
        <w:rPr>
          <w:rFonts w:ascii="仿宋_GB2312" w:eastAsia="仿宋_GB2312" w:cs="宋体" w:hAnsiTheme="minorEastAsia"/>
          <w:sz w:val="32"/>
          <w:szCs w:val="32"/>
        </w:rPr>
      </w:pPr>
      <w:r>
        <w:rPr>
          <w:rFonts w:hint="eastAsia" w:ascii="仿宋" w:hAnsi="仿宋" w:eastAsia="仿宋"/>
          <w:b/>
          <w:sz w:val="32"/>
          <w:szCs w:val="32"/>
        </w:rPr>
        <w:t>机构设置：</w:t>
      </w:r>
      <w:r>
        <w:rPr>
          <w:rFonts w:hint="eastAsia" w:ascii="仿宋_GB2312" w:eastAsia="仿宋_GB2312" w:cs="宋体" w:hAnsiTheme="minorEastAsia"/>
          <w:sz w:val="32"/>
          <w:szCs w:val="32"/>
        </w:rPr>
        <w:t>(一）办公室。负责单位的综合、后勤、安全、考勤等工作，负责单位的机构编制、法人资质、干部人事、工资晋级和档案管理等工作。</w:t>
      </w:r>
    </w:p>
    <w:p w14:paraId="5C51E7D3">
      <w:pPr>
        <w:keepNext w:val="0"/>
        <w:keepLines w:val="0"/>
        <w:pageBreakBefore w:val="0"/>
        <w:kinsoku/>
        <w:wordWrap/>
        <w:topLinePunct w:val="0"/>
        <w:autoSpaceDE/>
        <w:autoSpaceDN/>
        <w:bidi w:val="0"/>
        <w:snapToGrid w:val="0"/>
        <w:spacing w:afterAutospacing="0" w:line="560" w:lineRule="exact"/>
        <w:ind w:firstLine="640" w:firstLineChars="200"/>
        <w:rPr>
          <w:rFonts w:ascii="仿宋_GB2312" w:eastAsia="仿宋_GB2312" w:cs="宋体" w:hAnsiTheme="minorEastAsia"/>
          <w:sz w:val="32"/>
          <w:szCs w:val="32"/>
        </w:rPr>
      </w:pPr>
      <w:r>
        <w:rPr>
          <w:rFonts w:hint="eastAsia" w:ascii="仿宋_GB2312" w:eastAsia="仿宋_GB2312" w:cs="宋体" w:hAnsiTheme="minorEastAsia"/>
          <w:sz w:val="32"/>
          <w:szCs w:val="32"/>
        </w:rPr>
        <w:t>(二）财务室。负责工伤保险基金的预决算及有关的收支管理等工作。</w:t>
      </w:r>
    </w:p>
    <w:p w14:paraId="3EE27420">
      <w:pPr>
        <w:keepNext w:val="0"/>
        <w:keepLines w:val="0"/>
        <w:pageBreakBefore w:val="0"/>
        <w:kinsoku/>
        <w:wordWrap/>
        <w:topLinePunct w:val="0"/>
        <w:autoSpaceDE/>
        <w:autoSpaceDN/>
        <w:bidi w:val="0"/>
        <w:snapToGrid w:val="0"/>
        <w:spacing w:afterAutospacing="0" w:line="560" w:lineRule="exact"/>
        <w:ind w:firstLine="640" w:firstLineChars="200"/>
        <w:rPr>
          <w:rFonts w:ascii="仿宋_GB2312" w:eastAsia="仿宋_GB2312" w:cs="宋体" w:hAnsiTheme="minorEastAsia"/>
          <w:sz w:val="32"/>
          <w:szCs w:val="32"/>
        </w:rPr>
      </w:pPr>
      <w:r>
        <w:rPr>
          <w:rFonts w:hint="eastAsia" w:ascii="仿宋_GB2312" w:eastAsia="仿宋_GB2312" w:cs="宋体" w:hAnsiTheme="minorEastAsia"/>
          <w:sz w:val="32"/>
          <w:szCs w:val="32"/>
        </w:rPr>
        <w:t>(三）审核计发室。负责审核工伤保险待遇，为职工和亲属提供工伤保险政策咨询服务。</w:t>
      </w:r>
    </w:p>
    <w:p w14:paraId="61CDC097">
      <w:pPr>
        <w:keepNext w:val="0"/>
        <w:keepLines w:val="0"/>
        <w:pageBreakBefore w:val="0"/>
        <w:kinsoku/>
        <w:wordWrap/>
        <w:topLinePunct w:val="0"/>
        <w:autoSpaceDE/>
        <w:autoSpaceDN/>
        <w:bidi w:val="0"/>
        <w:snapToGrid w:val="0"/>
        <w:spacing w:afterAutospacing="0" w:line="560" w:lineRule="exact"/>
        <w:ind w:firstLine="640" w:firstLineChars="200"/>
        <w:rPr>
          <w:rFonts w:ascii="仿宋_GB2312" w:eastAsia="仿宋_GB2312" w:cs="宋体" w:hAnsiTheme="minorEastAsia"/>
          <w:sz w:val="32"/>
          <w:szCs w:val="32"/>
        </w:rPr>
      </w:pPr>
      <w:r>
        <w:rPr>
          <w:rFonts w:hint="eastAsia" w:ascii="仿宋_GB2312" w:eastAsia="仿宋_GB2312" w:cs="宋体" w:hAnsiTheme="minorEastAsia"/>
          <w:sz w:val="32"/>
          <w:szCs w:val="32"/>
        </w:rPr>
        <w:t>(四）参保登记室。负责工伤保险的征缴、管理，办理工伤保险登记。</w:t>
      </w:r>
    </w:p>
    <w:p w14:paraId="1E2A101F">
      <w:pPr>
        <w:keepNext w:val="0"/>
        <w:keepLines w:val="0"/>
        <w:pageBreakBefore w:val="0"/>
        <w:kinsoku/>
        <w:wordWrap/>
        <w:topLinePunct w:val="0"/>
        <w:autoSpaceDE/>
        <w:autoSpaceDN/>
        <w:bidi w:val="0"/>
        <w:snapToGrid w:val="0"/>
        <w:spacing w:afterAutospacing="0" w:line="560" w:lineRule="exact"/>
        <w:ind w:firstLine="640" w:firstLineChars="200"/>
        <w:rPr>
          <w:rFonts w:hint="eastAsia" w:ascii="仿宋_GB2312" w:eastAsia="仿宋_GB2312" w:cs="宋体" w:hAnsiTheme="minorEastAsia"/>
          <w:sz w:val="32"/>
          <w:szCs w:val="32"/>
        </w:rPr>
      </w:pPr>
      <w:r>
        <w:rPr>
          <w:rFonts w:hint="eastAsia" w:ascii="仿宋_GB2312" w:eastAsia="仿宋_GB2312" w:cs="宋体" w:hAnsiTheme="minorEastAsia"/>
          <w:sz w:val="32"/>
          <w:szCs w:val="32"/>
        </w:rPr>
        <w:t xml:space="preserve">(五）老工伤人员服务室。负责审核老工伤人员工伤保险待遇，为职工和亲属提供工伤保险政策咨询服务。 </w:t>
      </w:r>
    </w:p>
    <w:p w14:paraId="32ED1CEA">
      <w:pPr>
        <w:keepNext w:val="0"/>
        <w:keepLines w:val="0"/>
        <w:pageBreakBefore w:val="0"/>
        <w:kinsoku/>
        <w:wordWrap/>
        <w:topLinePunct w:val="0"/>
        <w:autoSpaceDE/>
        <w:autoSpaceDN/>
        <w:bidi w:val="0"/>
        <w:spacing w:afterAutospacing="0" w:line="560" w:lineRule="exact"/>
        <w:ind w:firstLine="640" w:firstLineChars="200"/>
        <w:rPr>
          <w:sz w:val="32"/>
          <w:szCs w:val="32"/>
        </w:rPr>
      </w:pPr>
    </w:p>
    <w:p w14:paraId="65F24863">
      <w:pPr>
        <w:keepNext w:val="0"/>
        <w:keepLines w:val="0"/>
        <w:pageBreakBefore w:val="0"/>
        <w:kinsoku/>
        <w:wordWrap/>
        <w:topLinePunct w:val="0"/>
        <w:autoSpaceDE/>
        <w:autoSpaceDN/>
        <w:bidi w:val="0"/>
        <w:spacing w:afterAutospacing="0" w:line="560" w:lineRule="exact"/>
        <w:ind w:firstLine="640" w:firstLineChars="200"/>
        <w:rPr>
          <w:sz w:val="32"/>
          <w:szCs w:val="32"/>
        </w:rPr>
      </w:pPr>
    </w:p>
    <w:p w14:paraId="63127A9F">
      <w:pPr>
        <w:keepNext w:val="0"/>
        <w:keepLines w:val="0"/>
        <w:pageBreakBefore w:val="0"/>
        <w:kinsoku/>
        <w:wordWrap/>
        <w:topLinePunct w:val="0"/>
        <w:autoSpaceDE/>
        <w:autoSpaceDN/>
        <w:bidi w:val="0"/>
        <w:spacing w:after="0" w:afterAutospacing="0" w:line="560" w:lineRule="exact"/>
        <w:ind w:firstLine="643" w:firstLineChars="200"/>
        <w:rPr>
          <w:rFonts w:ascii="宋体" w:hAnsi="宋体" w:eastAsia="宋体" w:cs="仿宋"/>
          <w:b/>
          <w:sz w:val="32"/>
          <w:szCs w:val="32"/>
        </w:rPr>
      </w:pPr>
      <w:r>
        <w:rPr>
          <w:rFonts w:hint="eastAsia" w:ascii="宋体" w:hAnsi="宋体" w:eastAsia="宋体" w:cs="仿宋"/>
          <w:b/>
          <w:sz w:val="32"/>
          <w:szCs w:val="32"/>
        </w:rPr>
        <w:t>（二）人员情况</w:t>
      </w:r>
    </w:p>
    <w:p w14:paraId="667743D7">
      <w:pPr>
        <w:keepNext w:val="0"/>
        <w:keepLines w:val="0"/>
        <w:pageBreakBefore w:val="0"/>
        <w:kinsoku/>
        <w:wordWrap/>
        <w:topLinePunct w:val="0"/>
        <w:autoSpaceDE/>
        <w:autoSpaceDN/>
        <w:bidi w:val="0"/>
        <w:snapToGrid w:val="0"/>
        <w:spacing w:afterAutospacing="0" w:line="560" w:lineRule="exact"/>
        <w:ind w:firstLine="640" w:firstLineChars="200"/>
        <w:rPr>
          <w:rFonts w:hint="eastAsia" w:ascii="仿宋_GB2312" w:eastAsia="仿宋_GB2312" w:cs="宋体" w:hAnsiTheme="minorEastAsia"/>
          <w:sz w:val="32"/>
          <w:szCs w:val="32"/>
        </w:rPr>
      </w:pPr>
      <w:r>
        <w:rPr>
          <w:rFonts w:hint="eastAsia" w:ascii="仿宋_GB2312" w:eastAsia="仿宋_GB2312" w:cs="宋体" w:hAnsiTheme="minorEastAsia"/>
          <w:sz w:val="32"/>
          <w:szCs w:val="32"/>
        </w:rPr>
        <w:t>我中心经县编委核定全额公益一类事业编制9个。单位实有在职人员1</w:t>
      </w:r>
      <w:r>
        <w:rPr>
          <w:rFonts w:hint="eastAsia" w:ascii="仿宋_GB2312" w:eastAsia="仿宋_GB2312" w:cs="宋体" w:hAnsiTheme="minorEastAsia"/>
          <w:sz w:val="32"/>
          <w:szCs w:val="32"/>
          <w:lang w:val="en-US" w:eastAsia="zh-CN"/>
        </w:rPr>
        <w:t>3</w:t>
      </w:r>
      <w:r>
        <w:rPr>
          <w:rFonts w:hint="eastAsia" w:ascii="仿宋_GB2312" w:eastAsia="仿宋_GB2312" w:cs="宋体" w:hAnsiTheme="minorEastAsia"/>
          <w:sz w:val="32"/>
          <w:szCs w:val="32"/>
        </w:rPr>
        <w:t>人，其中：行政及参公在职</w:t>
      </w:r>
      <w:r>
        <w:rPr>
          <w:rFonts w:hint="eastAsia" w:ascii="仿宋_GB2312" w:eastAsia="仿宋_GB2312" w:cs="宋体" w:hAnsiTheme="minorEastAsia"/>
          <w:sz w:val="32"/>
          <w:szCs w:val="32"/>
          <w:lang w:val="en-US" w:eastAsia="zh-CN"/>
        </w:rPr>
        <w:t>6</w:t>
      </w:r>
      <w:r>
        <w:rPr>
          <w:rFonts w:hint="eastAsia" w:ascii="仿宋_GB2312" w:eastAsia="仿宋_GB2312" w:cs="宋体" w:hAnsiTheme="minorEastAsia"/>
          <w:sz w:val="32"/>
          <w:szCs w:val="32"/>
        </w:rPr>
        <w:t>人，事业在职人数</w:t>
      </w:r>
      <w:r>
        <w:rPr>
          <w:rFonts w:hint="eastAsia" w:ascii="仿宋_GB2312" w:eastAsia="仿宋_GB2312" w:cs="宋体" w:hAnsiTheme="minorEastAsia"/>
          <w:sz w:val="32"/>
          <w:szCs w:val="32"/>
          <w:lang w:val="en-US" w:eastAsia="zh-CN"/>
        </w:rPr>
        <w:t>5</w:t>
      </w:r>
      <w:r>
        <w:rPr>
          <w:rFonts w:hint="eastAsia" w:ascii="仿宋_GB2312" w:eastAsia="仿宋_GB2312" w:cs="宋体" w:hAnsiTheme="minorEastAsia"/>
          <w:sz w:val="32"/>
          <w:szCs w:val="32"/>
        </w:rPr>
        <w:t>人（工勤），在职公益性岗位人数</w:t>
      </w:r>
      <w:r>
        <w:rPr>
          <w:rFonts w:hint="eastAsia" w:ascii="仿宋_GB2312" w:eastAsia="仿宋_GB2312" w:cs="宋体" w:hAnsiTheme="minorEastAsia"/>
          <w:sz w:val="32"/>
          <w:szCs w:val="32"/>
          <w:lang w:val="en-US" w:eastAsia="zh-CN"/>
        </w:rPr>
        <w:t>2</w:t>
      </w:r>
      <w:r>
        <w:rPr>
          <w:rFonts w:hint="eastAsia" w:ascii="仿宋_GB2312" w:eastAsia="仿宋_GB2312" w:cs="宋体" w:hAnsiTheme="minorEastAsia"/>
          <w:sz w:val="32"/>
          <w:szCs w:val="32"/>
        </w:rPr>
        <w:t>人。退休人员1人。</w:t>
      </w:r>
    </w:p>
    <w:p w14:paraId="59C67108">
      <w:pPr>
        <w:keepNext w:val="0"/>
        <w:keepLines w:val="0"/>
        <w:pageBreakBefore w:val="0"/>
        <w:kinsoku/>
        <w:wordWrap/>
        <w:topLinePunct w:val="0"/>
        <w:autoSpaceDE/>
        <w:autoSpaceDN/>
        <w:bidi w:val="0"/>
        <w:spacing w:after="0" w:afterAutospacing="0" w:line="560" w:lineRule="exact"/>
        <w:ind w:firstLine="643" w:firstLineChars="200"/>
        <w:rPr>
          <w:rFonts w:ascii="宋体" w:hAnsi="宋体" w:eastAsia="宋体" w:cs="仿宋"/>
          <w:b/>
          <w:sz w:val="32"/>
          <w:szCs w:val="32"/>
        </w:rPr>
      </w:pPr>
      <w:r>
        <w:rPr>
          <w:rFonts w:hint="eastAsia" w:ascii="宋体" w:hAnsi="宋体" w:eastAsia="宋体" w:cs="仿宋"/>
          <w:b/>
          <w:sz w:val="32"/>
          <w:szCs w:val="32"/>
        </w:rPr>
        <w:t>（三）部门年度总体工作任务和重点工作任务</w:t>
      </w:r>
    </w:p>
    <w:p w14:paraId="52852F5B">
      <w:pPr>
        <w:pStyle w:val="5"/>
        <w:keepNext w:val="0"/>
        <w:keepLines w:val="0"/>
        <w:pageBreakBefore w:val="0"/>
        <w:shd w:val="clear" w:color="auto" w:fill="FFFFFF"/>
        <w:kinsoku/>
        <w:wordWrap/>
        <w:topLinePunct w:val="0"/>
        <w:autoSpaceDE/>
        <w:autoSpaceDN/>
        <w:bidi w:val="0"/>
        <w:spacing w:before="0" w:beforeAutospacing="0" w:after="0" w:afterAutospacing="0" w:line="560" w:lineRule="exact"/>
        <w:ind w:firstLine="643" w:firstLineChars="200"/>
        <w:rPr>
          <w:rFonts w:ascii="仿宋" w:hAnsi="仿宋" w:eastAsia="仿宋"/>
          <w:color w:val="000000"/>
          <w:sz w:val="32"/>
          <w:szCs w:val="32"/>
        </w:rPr>
      </w:pPr>
      <w:r>
        <w:rPr>
          <w:rFonts w:hint="eastAsia" w:ascii="宋体" w:hAnsi="宋体" w:eastAsia="宋体" w:cs="仿宋"/>
          <w:b/>
          <w:sz w:val="32"/>
          <w:szCs w:val="32"/>
        </w:rPr>
        <w:t>总体工作任务</w:t>
      </w:r>
      <w:r>
        <w:rPr>
          <w:rFonts w:hint="eastAsia" w:cs="仿宋"/>
          <w:b/>
          <w:sz w:val="32"/>
          <w:szCs w:val="32"/>
          <w:lang w:eastAsia="zh-CN"/>
        </w:rPr>
        <w:t>：</w:t>
      </w:r>
      <w:r>
        <w:rPr>
          <w:rFonts w:ascii="仿宋" w:hAnsi="仿宋" w:eastAsia="仿宋"/>
          <w:color w:val="000000"/>
          <w:sz w:val="32"/>
          <w:szCs w:val="32"/>
        </w:rPr>
        <w:t>全年力争达到</w:t>
      </w:r>
      <w:r>
        <w:rPr>
          <w:rFonts w:hint="eastAsia" w:ascii="仿宋" w:hAnsi="仿宋" w:eastAsia="仿宋"/>
          <w:color w:val="000000"/>
          <w:sz w:val="32"/>
          <w:szCs w:val="32"/>
        </w:rPr>
        <w:t>7</w:t>
      </w:r>
      <w:r>
        <w:rPr>
          <w:rFonts w:ascii="仿宋" w:hAnsi="仿宋" w:eastAsia="仿宋"/>
          <w:color w:val="000000"/>
          <w:sz w:val="32"/>
          <w:szCs w:val="32"/>
        </w:rPr>
        <w:t>项工作目标：</w:t>
      </w:r>
    </w:p>
    <w:p w14:paraId="5EA96F25">
      <w:pPr>
        <w:pStyle w:val="5"/>
        <w:keepNext w:val="0"/>
        <w:keepLines w:val="0"/>
        <w:pageBreakBefore w:val="0"/>
        <w:shd w:val="clear" w:color="auto" w:fill="FFFFFF"/>
        <w:kinsoku/>
        <w:wordWrap/>
        <w:topLinePunct w:val="0"/>
        <w:autoSpaceDE/>
        <w:autoSpaceDN/>
        <w:bidi w:val="0"/>
        <w:spacing w:before="0" w:beforeAutospacing="0" w:after="0" w:afterAutospacing="0"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lang w:eastAsia="zh-CN"/>
        </w:rPr>
        <w:t>（一）</w:t>
      </w:r>
      <w:r>
        <w:rPr>
          <w:rFonts w:hint="eastAsia" w:ascii="仿宋" w:hAnsi="仿宋" w:eastAsia="仿宋"/>
          <w:color w:val="000000"/>
          <w:sz w:val="32"/>
          <w:szCs w:val="32"/>
        </w:rPr>
        <w:t>积极响应国家省市号召，安全生产、扫黑除恶等社会综合治理工作，为全县参保机关企事业单位提供风清气正、和谐稳定的社会保障部门优良环境；</w:t>
      </w:r>
    </w:p>
    <w:p w14:paraId="26C14B02">
      <w:pPr>
        <w:pStyle w:val="5"/>
        <w:keepNext w:val="0"/>
        <w:keepLines w:val="0"/>
        <w:pageBreakBefore w:val="0"/>
        <w:shd w:val="clear" w:color="auto" w:fill="FFFFFF"/>
        <w:kinsoku/>
        <w:wordWrap/>
        <w:topLinePunct w:val="0"/>
        <w:autoSpaceDE/>
        <w:autoSpaceDN/>
        <w:bidi w:val="0"/>
        <w:spacing w:before="0" w:beforeAutospacing="0" w:after="0" w:afterAutospacing="0"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lang w:eastAsia="zh-CN"/>
        </w:rPr>
        <w:t>（二）</w:t>
      </w:r>
      <w:r>
        <w:rPr>
          <w:rFonts w:hint="eastAsia" w:ascii="仿宋" w:hAnsi="仿宋" w:eastAsia="仿宋"/>
          <w:color w:val="000000"/>
          <w:sz w:val="32"/>
          <w:szCs w:val="32"/>
        </w:rPr>
        <w:t>完成全年市级下达的基金征缴任务；继续</w:t>
      </w:r>
      <w:r>
        <w:rPr>
          <w:rFonts w:ascii="仿宋" w:hAnsi="仿宋" w:eastAsia="仿宋"/>
          <w:color w:val="000000"/>
          <w:sz w:val="32"/>
          <w:szCs w:val="32"/>
        </w:rPr>
        <w:t>加大建筑施工、装饰、物业等行业务工人员参加工伤保险力度，建筑施工项目参保率达</w:t>
      </w:r>
      <w:r>
        <w:rPr>
          <w:rFonts w:hint="eastAsia" w:ascii="仿宋" w:hAnsi="仿宋" w:eastAsia="仿宋"/>
          <w:color w:val="000000"/>
          <w:sz w:val="32"/>
          <w:szCs w:val="32"/>
        </w:rPr>
        <w:t>100</w:t>
      </w:r>
      <w:r>
        <w:rPr>
          <w:rFonts w:ascii="仿宋" w:hAnsi="仿宋" w:eastAsia="仿宋"/>
          <w:color w:val="000000"/>
          <w:sz w:val="32"/>
          <w:szCs w:val="32"/>
        </w:rPr>
        <w:t>%；</w:t>
      </w:r>
    </w:p>
    <w:p w14:paraId="0AE1BB08">
      <w:pPr>
        <w:pStyle w:val="5"/>
        <w:keepNext w:val="0"/>
        <w:keepLines w:val="0"/>
        <w:pageBreakBefore w:val="0"/>
        <w:shd w:val="clear" w:color="auto" w:fill="FFFFFF"/>
        <w:kinsoku/>
        <w:wordWrap/>
        <w:topLinePunct w:val="0"/>
        <w:autoSpaceDE/>
        <w:autoSpaceDN/>
        <w:bidi w:val="0"/>
        <w:spacing w:before="0" w:beforeAutospacing="0" w:after="0" w:afterAutospacing="0"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lang w:eastAsia="zh-CN"/>
        </w:rPr>
        <w:t>（三）</w:t>
      </w:r>
      <w:r>
        <w:rPr>
          <w:rFonts w:hint="eastAsia" w:ascii="仿宋" w:hAnsi="仿宋" w:eastAsia="仿宋"/>
          <w:color w:val="000000"/>
          <w:sz w:val="32"/>
          <w:szCs w:val="32"/>
        </w:rPr>
        <w:t>强化审核计发工作，确保政策合格率100%；</w:t>
      </w:r>
    </w:p>
    <w:p w14:paraId="1C614945">
      <w:pPr>
        <w:pStyle w:val="5"/>
        <w:keepNext w:val="0"/>
        <w:keepLines w:val="0"/>
        <w:pageBreakBefore w:val="0"/>
        <w:shd w:val="clear" w:color="auto" w:fill="FFFFFF"/>
        <w:kinsoku/>
        <w:wordWrap/>
        <w:topLinePunct w:val="0"/>
        <w:autoSpaceDE/>
        <w:autoSpaceDN/>
        <w:bidi w:val="0"/>
        <w:spacing w:before="0" w:beforeAutospacing="0" w:after="0" w:afterAutospacing="0"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lang w:eastAsia="zh-CN"/>
        </w:rPr>
        <w:t>（四）</w:t>
      </w:r>
      <w:r>
        <w:rPr>
          <w:rFonts w:hint="eastAsia" w:ascii="仿宋" w:hAnsi="仿宋" w:eastAsia="仿宋"/>
          <w:color w:val="000000"/>
          <w:sz w:val="32"/>
          <w:szCs w:val="32"/>
        </w:rPr>
        <w:t>加强以财务收支为核心的内控管理，确保基金安全运行；</w:t>
      </w:r>
    </w:p>
    <w:p w14:paraId="6F2B5525">
      <w:pPr>
        <w:pStyle w:val="5"/>
        <w:keepNext w:val="0"/>
        <w:keepLines w:val="0"/>
        <w:pageBreakBefore w:val="0"/>
        <w:shd w:val="clear" w:color="auto" w:fill="FFFFFF"/>
        <w:kinsoku/>
        <w:wordWrap/>
        <w:topLinePunct w:val="0"/>
        <w:autoSpaceDE/>
        <w:autoSpaceDN/>
        <w:bidi w:val="0"/>
        <w:spacing w:before="0" w:beforeAutospacing="0" w:after="0" w:afterAutospacing="0"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lang w:eastAsia="zh-CN"/>
        </w:rPr>
        <w:t>（五）</w:t>
      </w:r>
      <w:r>
        <w:rPr>
          <w:rFonts w:ascii="仿宋" w:hAnsi="仿宋" w:eastAsia="仿宋"/>
          <w:color w:val="000000"/>
          <w:sz w:val="32"/>
          <w:szCs w:val="32"/>
        </w:rPr>
        <w:t>全面落实老工伤待遇</w:t>
      </w:r>
      <w:r>
        <w:rPr>
          <w:rFonts w:hint="eastAsia" w:ascii="仿宋" w:hAnsi="仿宋" w:eastAsia="仿宋"/>
          <w:color w:val="000000"/>
          <w:sz w:val="32"/>
          <w:szCs w:val="32"/>
        </w:rPr>
        <w:t>，完成各项工作任务</w:t>
      </w:r>
      <w:r>
        <w:rPr>
          <w:rFonts w:ascii="仿宋" w:hAnsi="仿宋" w:eastAsia="仿宋"/>
          <w:color w:val="000000"/>
          <w:sz w:val="32"/>
          <w:szCs w:val="32"/>
        </w:rPr>
        <w:t>；</w:t>
      </w:r>
    </w:p>
    <w:p w14:paraId="010862EB">
      <w:pPr>
        <w:pStyle w:val="5"/>
        <w:keepNext w:val="0"/>
        <w:keepLines w:val="0"/>
        <w:pageBreakBefore w:val="0"/>
        <w:shd w:val="clear" w:color="auto" w:fill="FFFFFF"/>
        <w:kinsoku/>
        <w:wordWrap/>
        <w:topLinePunct w:val="0"/>
        <w:autoSpaceDE/>
        <w:autoSpaceDN/>
        <w:bidi w:val="0"/>
        <w:spacing w:before="0" w:beforeAutospacing="0" w:after="0" w:afterAutospacing="0"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lang w:eastAsia="zh-CN"/>
        </w:rPr>
        <w:t>（六）</w:t>
      </w:r>
      <w:r>
        <w:rPr>
          <w:rFonts w:hint="eastAsia" w:ascii="仿宋" w:hAnsi="仿宋" w:eastAsia="仿宋"/>
          <w:color w:val="000000"/>
          <w:sz w:val="32"/>
          <w:szCs w:val="32"/>
        </w:rPr>
        <w:t>做好工伤保险</w:t>
      </w:r>
      <w:r>
        <w:rPr>
          <w:rFonts w:hint="eastAsia" w:ascii="仿宋" w:hAnsi="仿宋" w:eastAsia="仿宋"/>
          <w:color w:val="000000"/>
          <w:sz w:val="32"/>
          <w:szCs w:val="32"/>
          <w:lang w:eastAsia="zh-CN"/>
        </w:rPr>
        <w:t>参保登记、人员异动</w:t>
      </w:r>
      <w:r>
        <w:rPr>
          <w:rFonts w:hint="eastAsia" w:ascii="仿宋" w:hAnsi="仿宋" w:eastAsia="仿宋"/>
          <w:color w:val="000000"/>
          <w:sz w:val="32"/>
          <w:szCs w:val="32"/>
        </w:rPr>
        <w:t>等</w:t>
      </w:r>
      <w:r>
        <w:rPr>
          <w:rFonts w:ascii="仿宋" w:hAnsi="仿宋" w:eastAsia="仿宋"/>
          <w:color w:val="000000"/>
          <w:sz w:val="32"/>
          <w:szCs w:val="32"/>
        </w:rPr>
        <w:t>业务</w:t>
      </w:r>
      <w:r>
        <w:rPr>
          <w:rFonts w:hint="eastAsia" w:ascii="仿宋" w:hAnsi="仿宋" w:eastAsia="仿宋"/>
          <w:color w:val="000000"/>
          <w:sz w:val="32"/>
          <w:szCs w:val="32"/>
        </w:rPr>
        <w:t>工作与税务部门的对接工作；</w:t>
      </w:r>
    </w:p>
    <w:p w14:paraId="0309B85B">
      <w:pPr>
        <w:keepNext w:val="0"/>
        <w:keepLines w:val="0"/>
        <w:pageBreakBefore w:val="0"/>
        <w:kinsoku/>
        <w:wordWrap/>
        <w:topLinePunct w:val="0"/>
        <w:autoSpaceDE/>
        <w:autoSpaceDN/>
        <w:bidi w:val="0"/>
        <w:spacing w:afterAutospacing="0"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lang w:eastAsia="zh-CN"/>
        </w:rPr>
        <w:t>（七）</w:t>
      </w:r>
      <w:r>
        <w:rPr>
          <w:rFonts w:hint="eastAsia" w:ascii="仿宋" w:hAnsi="仿宋" w:eastAsia="仿宋"/>
          <w:color w:val="000000"/>
          <w:sz w:val="32"/>
          <w:szCs w:val="32"/>
        </w:rPr>
        <w:t>加强业务档案的日常管理工作。</w:t>
      </w:r>
    </w:p>
    <w:p w14:paraId="2E88EAF1">
      <w:pPr>
        <w:keepNext w:val="0"/>
        <w:keepLines w:val="0"/>
        <w:pageBreakBefore w:val="0"/>
        <w:kinsoku/>
        <w:wordWrap/>
        <w:topLinePunct w:val="0"/>
        <w:autoSpaceDE/>
        <w:autoSpaceDN/>
        <w:bidi w:val="0"/>
        <w:spacing w:after="0" w:afterAutospacing="0" w:line="560" w:lineRule="exact"/>
        <w:ind w:firstLine="643" w:firstLineChars="200"/>
        <w:rPr>
          <w:rFonts w:hint="eastAsia" w:ascii="宋体" w:hAnsi="宋体" w:eastAsia="宋体" w:cs="仿宋"/>
          <w:b/>
          <w:sz w:val="32"/>
          <w:szCs w:val="32"/>
          <w:lang w:eastAsia="zh-CN"/>
        </w:rPr>
      </w:pPr>
      <w:r>
        <w:rPr>
          <w:rFonts w:hint="eastAsia" w:ascii="宋体" w:hAnsi="宋体" w:eastAsia="宋体" w:cs="仿宋"/>
          <w:b/>
          <w:sz w:val="32"/>
          <w:szCs w:val="32"/>
        </w:rPr>
        <w:t>重点工作任务</w:t>
      </w:r>
      <w:r>
        <w:rPr>
          <w:rFonts w:hint="eastAsia" w:ascii="宋体" w:hAnsi="宋体" w:eastAsia="宋体" w:cs="仿宋"/>
          <w:b/>
          <w:sz w:val="32"/>
          <w:szCs w:val="32"/>
          <w:lang w:eastAsia="zh-CN"/>
        </w:rPr>
        <w:t>；</w:t>
      </w:r>
    </w:p>
    <w:p w14:paraId="68501E62">
      <w:pPr>
        <w:pStyle w:val="5"/>
        <w:keepNext w:val="0"/>
        <w:keepLines w:val="0"/>
        <w:pageBreakBefore w:val="0"/>
        <w:kinsoku/>
        <w:wordWrap/>
        <w:topLinePunct w:val="0"/>
        <w:autoSpaceDE/>
        <w:autoSpaceDN/>
        <w:bidi w:val="0"/>
        <w:snapToGrid w:val="0"/>
        <w:spacing w:before="0" w:beforeAutospacing="0" w:afterAutospacing="0" w:line="560" w:lineRule="exact"/>
        <w:ind w:firstLine="640" w:firstLineChars="200"/>
        <w:contextualSpacing/>
        <w:jc w:val="both"/>
        <w:rPr>
          <w:rFonts w:ascii="仿宋" w:hAnsi="仿宋" w:eastAsia="仿宋"/>
          <w:sz w:val="32"/>
          <w:szCs w:val="32"/>
        </w:rPr>
      </w:pPr>
      <w:r>
        <w:rPr>
          <w:rFonts w:hint="eastAsia" w:ascii="仿宋" w:hAnsi="仿宋" w:eastAsia="仿宋"/>
          <w:sz w:val="32"/>
          <w:szCs w:val="32"/>
          <w:lang w:eastAsia="zh-CN"/>
        </w:rPr>
        <w:t>（一）</w:t>
      </w:r>
      <w:r>
        <w:rPr>
          <w:rFonts w:hint="eastAsia" w:ascii="仿宋" w:hAnsi="仿宋" w:eastAsia="仿宋"/>
          <w:sz w:val="32"/>
          <w:szCs w:val="32"/>
        </w:rPr>
        <w:t>继续贯彻落实国家、省市县各级指示精神，认真做好继续阶段性地减免中小微企事业单位的工伤保险费。</w:t>
      </w:r>
    </w:p>
    <w:p w14:paraId="4F0E44EE">
      <w:pPr>
        <w:pStyle w:val="5"/>
        <w:keepNext w:val="0"/>
        <w:keepLines w:val="0"/>
        <w:pageBreakBefore w:val="0"/>
        <w:kinsoku/>
        <w:wordWrap/>
        <w:topLinePunct w:val="0"/>
        <w:autoSpaceDE/>
        <w:autoSpaceDN/>
        <w:bidi w:val="0"/>
        <w:snapToGrid w:val="0"/>
        <w:spacing w:before="0" w:beforeAutospacing="0" w:afterAutospacing="0" w:line="560" w:lineRule="exact"/>
        <w:ind w:firstLine="640" w:firstLineChars="200"/>
        <w:contextualSpacing/>
        <w:jc w:val="both"/>
        <w:rPr>
          <w:rFonts w:ascii="仿宋" w:hAnsi="仿宋" w:eastAsia="仿宋"/>
          <w:sz w:val="32"/>
          <w:szCs w:val="32"/>
        </w:rPr>
      </w:pPr>
      <w:r>
        <w:rPr>
          <w:rFonts w:hint="eastAsia" w:ascii="仿宋" w:hAnsi="仿宋" w:eastAsia="仿宋"/>
          <w:sz w:val="32"/>
          <w:szCs w:val="32"/>
          <w:lang w:eastAsia="zh-CN"/>
        </w:rPr>
        <w:t>（二）</w:t>
      </w:r>
      <w:r>
        <w:rPr>
          <w:rFonts w:hint="eastAsia" w:ascii="仿宋" w:hAnsi="仿宋" w:eastAsia="仿宋"/>
          <w:sz w:val="32"/>
          <w:szCs w:val="32"/>
        </w:rPr>
        <w:t>积极配合社会经办机构的省级统筹工作，按要求积极制定和完善本级工伤保险业务工作流程。</w:t>
      </w:r>
    </w:p>
    <w:p w14:paraId="58E5964F">
      <w:pPr>
        <w:pStyle w:val="5"/>
        <w:keepNext w:val="0"/>
        <w:keepLines w:val="0"/>
        <w:pageBreakBefore w:val="0"/>
        <w:kinsoku/>
        <w:wordWrap/>
        <w:topLinePunct w:val="0"/>
        <w:autoSpaceDE/>
        <w:autoSpaceDN/>
        <w:bidi w:val="0"/>
        <w:snapToGrid w:val="0"/>
        <w:spacing w:before="0" w:beforeAutospacing="0" w:afterAutospacing="0" w:line="560" w:lineRule="exact"/>
        <w:ind w:firstLine="640" w:firstLineChars="200"/>
        <w:contextualSpacing/>
        <w:jc w:val="both"/>
        <w:rPr>
          <w:rFonts w:ascii="仿宋" w:hAnsi="仿宋" w:eastAsia="仿宋"/>
          <w:sz w:val="32"/>
          <w:szCs w:val="32"/>
        </w:rPr>
      </w:pPr>
      <w:r>
        <w:rPr>
          <w:rFonts w:hint="eastAsia" w:ascii="仿宋" w:hAnsi="仿宋" w:eastAsia="仿宋"/>
          <w:sz w:val="32"/>
          <w:szCs w:val="32"/>
          <w:lang w:eastAsia="zh-CN"/>
        </w:rPr>
        <w:t>（三）</w:t>
      </w:r>
      <w:r>
        <w:rPr>
          <w:rFonts w:hint="eastAsia" w:ascii="仿宋" w:hAnsi="仿宋" w:eastAsia="仿宋"/>
          <w:sz w:val="32"/>
          <w:szCs w:val="32"/>
        </w:rPr>
        <w:t>严格规范业务经办规程，充实编制人员及业务经办队伍力量，落实“一岗双审”内控制度，确保基金安全运行。</w:t>
      </w:r>
    </w:p>
    <w:p w14:paraId="33DEBDF3">
      <w:pPr>
        <w:pStyle w:val="5"/>
        <w:keepNext w:val="0"/>
        <w:keepLines w:val="0"/>
        <w:pageBreakBefore w:val="0"/>
        <w:kinsoku/>
        <w:wordWrap/>
        <w:topLinePunct w:val="0"/>
        <w:autoSpaceDE/>
        <w:autoSpaceDN/>
        <w:bidi w:val="0"/>
        <w:snapToGrid w:val="0"/>
        <w:spacing w:before="0" w:beforeAutospacing="0" w:afterAutospacing="0" w:line="560" w:lineRule="exact"/>
        <w:ind w:firstLine="640" w:firstLineChars="200"/>
        <w:contextualSpacing/>
        <w:jc w:val="both"/>
        <w:rPr>
          <w:rFonts w:ascii="仿宋" w:hAnsi="仿宋" w:eastAsia="仿宋"/>
          <w:sz w:val="32"/>
          <w:szCs w:val="32"/>
        </w:rPr>
      </w:pPr>
      <w:r>
        <w:rPr>
          <w:rFonts w:hint="eastAsia" w:ascii="仿宋" w:hAnsi="仿宋" w:eastAsia="仿宋"/>
          <w:sz w:val="32"/>
          <w:szCs w:val="32"/>
          <w:lang w:eastAsia="zh-CN"/>
        </w:rPr>
        <w:t>（四）</w:t>
      </w:r>
      <w:r>
        <w:rPr>
          <w:rFonts w:hint="eastAsia" w:ascii="仿宋" w:hAnsi="仿宋" w:eastAsia="仿宋"/>
          <w:sz w:val="32"/>
          <w:szCs w:val="32"/>
        </w:rPr>
        <w:t>加大工伤预防宣传和参保单位的稽核工作力度，做到应缴尽缴。积极会同相关部门做好工伤预防工作，探索建立科学合理的工伤事故预防机制，从源头上努力消除工伤事故隐患。</w:t>
      </w:r>
    </w:p>
    <w:p w14:paraId="4EC6D703">
      <w:pPr>
        <w:pStyle w:val="5"/>
        <w:keepNext w:val="0"/>
        <w:keepLines w:val="0"/>
        <w:pageBreakBefore w:val="0"/>
        <w:kinsoku/>
        <w:wordWrap/>
        <w:topLinePunct w:val="0"/>
        <w:autoSpaceDE/>
        <w:autoSpaceDN/>
        <w:bidi w:val="0"/>
        <w:snapToGrid w:val="0"/>
        <w:spacing w:before="0" w:beforeAutospacing="0" w:afterAutospacing="0" w:line="560" w:lineRule="exact"/>
        <w:ind w:firstLine="640" w:firstLineChars="200"/>
        <w:contextualSpacing/>
        <w:jc w:val="both"/>
        <w:rPr>
          <w:rFonts w:ascii="仿宋" w:hAnsi="仿宋" w:eastAsia="仿宋"/>
          <w:sz w:val="32"/>
          <w:szCs w:val="32"/>
        </w:rPr>
      </w:pPr>
      <w:r>
        <w:rPr>
          <w:rFonts w:hint="eastAsia" w:ascii="仿宋" w:hAnsi="仿宋" w:eastAsia="仿宋"/>
          <w:sz w:val="32"/>
          <w:szCs w:val="32"/>
          <w:lang w:eastAsia="zh-CN"/>
        </w:rPr>
        <w:t>（五）</w:t>
      </w:r>
      <w:r>
        <w:rPr>
          <w:rFonts w:hint="eastAsia" w:ascii="仿宋" w:hAnsi="仿宋" w:eastAsia="仿宋"/>
          <w:sz w:val="32"/>
          <w:szCs w:val="32"/>
        </w:rPr>
        <w:t>继续推进生产性事故快速认定和劳动能力快速鉴定工作，畅通工伤待遇结付的绿色通道。</w:t>
      </w:r>
    </w:p>
    <w:p w14:paraId="4FFE14A9">
      <w:pPr>
        <w:pStyle w:val="5"/>
        <w:keepNext w:val="0"/>
        <w:keepLines w:val="0"/>
        <w:pageBreakBefore w:val="0"/>
        <w:kinsoku/>
        <w:wordWrap/>
        <w:topLinePunct w:val="0"/>
        <w:autoSpaceDE/>
        <w:autoSpaceDN/>
        <w:bidi w:val="0"/>
        <w:snapToGrid w:val="0"/>
        <w:spacing w:before="0" w:beforeAutospacing="0" w:afterAutospacing="0" w:line="560" w:lineRule="exact"/>
        <w:ind w:firstLine="640" w:firstLineChars="200"/>
        <w:contextualSpacing/>
        <w:jc w:val="both"/>
        <w:rPr>
          <w:rFonts w:hint="eastAsia" w:ascii="仿宋" w:hAnsi="仿宋" w:eastAsia="仿宋"/>
          <w:sz w:val="32"/>
          <w:szCs w:val="32"/>
          <w:lang w:val="en-US" w:eastAsia="zh-CN"/>
        </w:rPr>
      </w:pPr>
      <w:r>
        <w:rPr>
          <w:rFonts w:hint="eastAsia" w:ascii="仿宋" w:hAnsi="仿宋" w:eastAsia="仿宋"/>
          <w:sz w:val="32"/>
          <w:szCs w:val="32"/>
          <w:lang w:eastAsia="zh-CN"/>
        </w:rPr>
        <w:t>（六）</w:t>
      </w:r>
      <w:r>
        <w:rPr>
          <w:rFonts w:hint="eastAsia" w:ascii="仿宋" w:hAnsi="仿宋" w:eastAsia="仿宋"/>
          <w:sz w:val="32"/>
          <w:szCs w:val="32"/>
        </w:rPr>
        <w:t>坚持疑难案件集体讨论制度，加强与法院、法制办、劳动监察仲裁部门沟通配合，及时快速落实工伤待遇。尽量减少行政复议和行政诉讼案件，不断提高工伤认定质量</w:t>
      </w:r>
      <w:r>
        <w:rPr>
          <w:rFonts w:hint="eastAsia" w:ascii="仿宋" w:hAnsi="仿宋" w:eastAsia="仿宋"/>
          <w:sz w:val="32"/>
          <w:szCs w:val="32"/>
          <w:lang w:eastAsia="zh-CN"/>
        </w:rPr>
        <w:t>。</w:t>
      </w:r>
    </w:p>
    <w:p w14:paraId="240D40A6">
      <w:pPr>
        <w:keepNext w:val="0"/>
        <w:keepLines w:val="0"/>
        <w:pageBreakBefore w:val="0"/>
        <w:kinsoku/>
        <w:wordWrap/>
        <w:topLinePunct w:val="0"/>
        <w:autoSpaceDE/>
        <w:autoSpaceDN/>
        <w:bidi w:val="0"/>
        <w:spacing w:after="0" w:afterAutospacing="0" w:line="560" w:lineRule="exact"/>
        <w:ind w:firstLine="643" w:firstLineChars="200"/>
        <w:rPr>
          <w:rFonts w:ascii="宋体" w:hAnsi="宋体" w:eastAsia="宋体" w:cs="仿宋"/>
          <w:b/>
          <w:sz w:val="32"/>
          <w:szCs w:val="32"/>
        </w:rPr>
      </w:pPr>
      <w:r>
        <w:rPr>
          <w:rFonts w:hint="eastAsia" w:ascii="宋体" w:hAnsi="宋体" w:eastAsia="宋体" w:cs="仿宋"/>
          <w:b/>
          <w:sz w:val="32"/>
          <w:szCs w:val="32"/>
        </w:rPr>
        <w:t>（四）部门年度整体收支情况</w:t>
      </w:r>
    </w:p>
    <w:p w14:paraId="5D0EBA5F">
      <w:pPr>
        <w:keepNext w:val="0"/>
        <w:keepLines w:val="0"/>
        <w:pageBreakBefore w:val="0"/>
        <w:widowControl/>
        <w:numPr>
          <w:ilvl w:val="0"/>
          <w:numId w:val="0"/>
        </w:numPr>
        <w:kinsoku/>
        <w:wordWrap/>
        <w:overflowPunct/>
        <w:topLinePunct w:val="0"/>
        <w:autoSpaceDE/>
        <w:autoSpaceDN/>
        <w:bidi w:val="0"/>
        <w:adjustRightInd w:val="0"/>
        <w:snapToGrid w:val="0"/>
        <w:spacing w:after="0" w:afterAutospacing="0"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rPr>
        <w:t>202</w:t>
      </w:r>
      <w:r>
        <w:rPr>
          <w:rFonts w:hint="eastAsia" w:ascii="仿宋" w:hAnsi="仿宋" w:eastAsia="仿宋" w:cs="仿宋"/>
          <w:sz w:val="32"/>
          <w:szCs w:val="32"/>
          <w:lang w:val="en-US" w:eastAsia="zh-CN"/>
        </w:rPr>
        <w:t>3</w:t>
      </w:r>
      <w:r>
        <w:rPr>
          <w:rFonts w:hint="eastAsia" w:ascii="仿宋" w:hAnsi="仿宋" w:eastAsia="仿宋" w:cs="仿宋"/>
          <w:sz w:val="32"/>
          <w:szCs w:val="32"/>
        </w:rPr>
        <w:t>年度财政</w:t>
      </w:r>
      <w:r>
        <w:rPr>
          <w:rFonts w:hint="eastAsia" w:ascii="仿宋" w:hAnsi="仿宋" w:eastAsia="仿宋" w:cs="仿宋"/>
          <w:sz w:val="32"/>
          <w:szCs w:val="32"/>
          <w:lang w:eastAsia="zh-CN"/>
        </w:rPr>
        <w:t>预算收入</w:t>
      </w:r>
      <w:r>
        <w:rPr>
          <w:rFonts w:hint="eastAsia" w:ascii="仿宋" w:hAnsi="仿宋" w:eastAsia="仿宋" w:cs="仿宋"/>
          <w:sz w:val="32"/>
          <w:szCs w:val="32"/>
        </w:rPr>
        <w:t>为</w:t>
      </w:r>
      <w:r>
        <w:rPr>
          <w:rFonts w:hint="eastAsia" w:ascii="仿宋" w:hAnsi="仿宋" w:eastAsia="仿宋" w:cs="仿宋"/>
          <w:sz w:val="32"/>
          <w:szCs w:val="32"/>
          <w:lang w:val="en-US" w:eastAsia="zh-CN"/>
        </w:rPr>
        <w:t>82.59</w:t>
      </w:r>
      <w:r>
        <w:rPr>
          <w:rFonts w:hint="eastAsia" w:ascii="仿宋" w:hAnsi="仿宋" w:eastAsia="仿宋" w:cs="仿宋"/>
          <w:sz w:val="32"/>
          <w:szCs w:val="32"/>
        </w:rPr>
        <w:t>万元，</w:t>
      </w:r>
      <w:r>
        <w:rPr>
          <w:rFonts w:hint="eastAsia" w:ascii="仿宋" w:hAnsi="仿宋" w:eastAsia="仿宋" w:cs="仿宋"/>
          <w:sz w:val="32"/>
          <w:szCs w:val="32"/>
          <w:lang w:eastAsia="zh-CN"/>
        </w:rPr>
        <w:t>决算支出</w:t>
      </w:r>
      <w:r>
        <w:rPr>
          <w:rFonts w:hint="eastAsia" w:ascii="仿宋" w:hAnsi="仿宋" w:eastAsia="仿宋" w:cs="仿宋"/>
          <w:sz w:val="32"/>
          <w:szCs w:val="32"/>
        </w:rPr>
        <w:t>为</w:t>
      </w:r>
      <w:r>
        <w:rPr>
          <w:rFonts w:hint="eastAsia" w:ascii="仿宋" w:hAnsi="仿宋" w:eastAsia="仿宋" w:cs="仿宋"/>
          <w:sz w:val="32"/>
          <w:szCs w:val="32"/>
          <w:lang w:val="en-US" w:eastAsia="zh-CN"/>
        </w:rPr>
        <w:t>108.50</w:t>
      </w:r>
      <w:bookmarkStart w:id="1" w:name="_GoBack"/>
      <w:bookmarkEnd w:id="1"/>
      <w:r>
        <w:rPr>
          <w:rFonts w:hint="eastAsia" w:ascii="仿宋" w:hAnsi="仿宋" w:eastAsia="仿宋" w:cs="仿宋"/>
          <w:sz w:val="32"/>
          <w:szCs w:val="32"/>
        </w:rPr>
        <w:t>万元</w:t>
      </w:r>
      <w:r>
        <w:rPr>
          <w:rFonts w:hint="eastAsia" w:ascii="仿宋" w:hAnsi="仿宋" w:eastAsia="仿宋" w:cs="仿宋"/>
          <w:sz w:val="32"/>
          <w:szCs w:val="32"/>
          <w:lang w:eastAsia="zh-CN"/>
        </w:rPr>
        <w:t>，专项资金为</w:t>
      </w:r>
      <w:r>
        <w:rPr>
          <w:rFonts w:hint="eastAsia" w:ascii="仿宋" w:hAnsi="仿宋" w:eastAsia="仿宋" w:cs="仿宋"/>
          <w:sz w:val="32"/>
          <w:szCs w:val="32"/>
          <w:lang w:val="en-US" w:eastAsia="zh-CN"/>
        </w:rPr>
        <w:t>4.95</w:t>
      </w:r>
      <w:r>
        <w:rPr>
          <w:rFonts w:hint="eastAsia" w:ascii="仿宋" w:hAnsi="仿宋" w:eastAsia="仿宋" w:cs="仿宋"/>
          <w:sz w:val="32"/>
          <w:szCs w:val="32"/>
        </w:rPr>
        <w:t>万元</w:t>
      </w:r>
      <w:r>
        <w:rPr>
          <w:rFonts w:hint="eastAsia" w:ascii="仿宋" w:hAnsi="仿宋" w:eastAsia="仿宋" w:cs="仿宋"/>
          <w:sz w:val="32"/>
          <w:szCs w:val="32"/>
          <w:lang w:val="en-US" w:eastAsia="zh-CN"/>
        </w:rPr>
        <w:t>，无“三公”经费支出。</w:t>
      </w:r>
    </w:p>
    <w:p w14:paraId="316126F3">
      <w:pPr>
        <w:keepNext w:val="0"/>
        <w:keepLines w:val="0"/>
        <w:pageBreakBefore w:val="0"/>
        <w:widowControl/>
        <w:numPr>
          <w:ilvl w:val="0"/>
          <w:numId w:val="0"/>
        </w:numPr>
        <w:kinsoku/>
        <w:wordWrap/>
        <w:overflowPunct/>
        <w:topLinePunct w:val="0"/>
        <w:autoSpaceDE/>
        <w:autoSpaceDN/>
        <w:bidi w:val="0"/>
        <w:adjustRightInd w:val="0"/>
        <w:snapToGrid w:val="0"/>
        <w:spacing w:after="0" w:afterAutospacing="0" w:line="560" w:lineRule="exact"/>
        <w:ind w:firstLine="643" w:firstLineChars="200"/>
        <w:textAlignment w:val="auto"/>
        <w:rPr>
          <w:rFonts w:hint="eastAsia" w:ascii="仿宋" w:hAnsi="仿宋" w:eastAsia="仿宋" w:cs="仿宋"/>
          <w:b/>
          <w:bCs/>
          <w:sz w:val="32"/>
          <w:szCs w:val="32"/>
        </w:rPr>
      </w:pPr>
      <w:r>
        <w:rPr>
          <w:rFonts w:hint="eastAsia" w:ascii="宋体" w:hAnsi="宋体" w:eastAsia="宋体"/>
          <w:b/>
          <w:bCs/>
          <w:color w:val="000000"/>
          <w:sz w:val="32"/>
          <w:szCs w:val="32"/>
          <w:lang w:eastAsia="zh-CN"/>
        </w:rPr>
        <w:tab/>
      </w:r>
      <w:r>
        <w:rPr>
          <w:rFonts w:hint="eastAsia" w:ascii="仿宋" w:hAnsi="仿宋" w:eastAsia="仿宋" w:cs="仿宋"/>
          <w:b/>
          <w:bCs/>
          <w:sz w:val="32"/>
          <w:szCs w:val="32"/>
          <w:lang w:val="en-US" w:eastAsia="zh-CN"/>
        </w:rPr>
        <w:t>（1）</w:t>
      </w:r>
      <w:r>
        <w:rPr>
          <w:rFonts w:hint="eastAsia" w:ascii="仿宋" w:hAnsi="仿宋" w:eastAsia="仿宋" w:cs="仿宋"/>
          <w:b/>
          <w:bCs/>
          <w:sz w:val="32"/>
          <w:szCs w:val="32"/>
        </w:rPr>
        <w:t>基本支出</w:t>
      </w:r>
    </w:p>
    <w:p w14:paraId="190E00A9">
      <w:pPr>
        <w:pStyle w:val="2"/>
        <w:keepNext w:val="0"/>
        <w:keepLines w:val="0"/>
        <w:pageBreakBefore w:val="0"/>
        <w:tabs>
          <w:tab w:val="left" w:pos="3864"/>
          <w:tab w:val="left" w:pos="6248"/>
          <w:tab w:val="left" w:pos="7386"/>
        </w:tabs>
        <w:kinsoku/>
        <w:wordWrap/>
        <w:overflowPunct w:val="0"/>
        <w:topLinePunct w:val="0"/>
        <w:autoSpaceDE/>
        <w:autoSpaceDN/>
        <w:bidi w:val="0"/>
        <w:spacing w:before="1" w:afterAutospacing="0" w:line="560" w:lineRule="exact"/>
        <w:ind w:right="420" w:firstLine="640" w:firstLineChars="200"/>
        <w:rPr>
          <w:rFonts w:hint="eastAsia"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3</w:t>
      </w:r>
      <w:r>
        <w:rPr>
          <w:rFonts w:hint="eastAsia" w:ascii="仿宋" w:hAnsi="仿宋" w:eastAsia="仿宋" w:cs="仿宋"/>
          <w:sz w:val="32"/>
          <w:szCs w:val="32"/>
        </w:rPr>
        <w:t>年度财政拨款基本支出</w:t>
      </w:r>
      <w:r>
        <w:rPr>
          <w:rFonts w:hint="eastAsia" w:ascii="仿宋" w:hAnsi="仿宋" w:eastAsia="仿宋" w:cs="仿宋"/>
          <w:sz w:val="32"/>
          <w:szCs w:val="32"/>
          <w:lang w:val="en-US" w:eastAsia="zh-CN"/>
        </w:rPr>
        <w:t>108.50</w:t>
      </w:r>
      <w:r>
        <w:rPr>
          <w:rFonts w:hint="eastAsia" w:ascii="仿宋" w:hAnsi="仿宋" w:eastAsia="仿宋" w:cs="仿宋"/>
          <w:sz w:val="32"/>
          <w:szCs w:val="32"/>
        </w:rPr>
        <w:t>万元，其中：人员经费</w:t>
      </w:r>
      <w:r>
        <w:rPr>
          <w:rFonts w:hint="eastAsia" w:ascii="仿宋" w:hAnsi="仿宋" w:eastAsia="仿宋" w:cs="仿宋"/>
          <w:sz w:val="32"/>
          <w:szCs w:val="32"/>
          <w:lang w:val="en-US" w:eastAsia="zh-CN"/>
        </w:rPr>
        <w:t>85.76</w:t>
      </w:r>
      <w:r>
        <w:rPr>
          <w:rFonts w:hint="eastAsia" w:ascii="仿宋" w:hAnsi="仿宋" w:eastAsia="仿宋" w:cs="仿宋"/>
          <w:sz w:val="32"/>
          <w:szCs w:val="32"/>
        </w:rPr>
        <w:t>万元，占基本支出的</w:t>
      </w:r>
      <w:r>
        <w:rPr>
          <w:rFonts w:hint="eastAsia" w:ascii="仿宋" w:hAnsi="仿宋" w:eastAsia="仿宋" w:cs="仿宋"/>
          <w:sz w:val="32"/>
          <w:szCs w:val="32"/>
          <w:lang w:val="en-US" w:eastAsia="zh-CN"/>
        </w:rPr>
        <w:t>79.04</w:t>
      </w:r>
      <w:r>
        <w:rPr>
          <w:rFonts w:hint="eastAsia" w:ascii="仿宋" w:hAnsi="仿宋" w:eastAsia="仿宋" w:cs="仿宋"/>
          <w:sz w:val="32"/>
          <w:szCs w:val="32"/>
        </w:rPr>
        <w:t>%</w:t>
      </w:r>
      <w:r>
        <w:rPr>
          <w:rFonts w:hint="eastAsia" w:ascii="仿宋" w:hAnsi="仿宋" w:eastAsia="仿宋" w:cs="仿宋"/>
          <w:sz w:val="32"/>
          <w:szCs w:val="32"/>
          <w:lang w:eastAsia="zh-CN"/>
        </w:rPr>
        <w:t>，</w:t>
      </w:r>
      <w:r>
        <w:rPr>
          <w:rFonts w:hint="eastAsia" w:ascii="仿宋" w:hAnsi="仿宋" w:eastAsia="仿宋" w:cs="仿宋"/>
          <w:sz w:val="32"/>
          <w:szCs w:val="32"/>
        </w:rPr>
        <w:t>主要包括：基本工资、津贴补贴、奖金、伙食补助费、机关事业单位基本养老保险缴费、职业年金缴费、职工基本医疗保险缴费、其他社会保障缴费、住房公积金、退休费、抚恤金、生活补助、救济费、奖励金、其他对个人和家庭的补助；公用经费</w:t>
      </w:r>
      <w:r>
        <w:rPr>
          <w:rFonts w:hint="eastAsia" w:ascii="仿宋" w:hAnsi="仿宋" w:eastAsia="仿宋" w:cs="仿宋"/>
          <w:sz w:val="32"/>
          <w:szCs w:val="32"/>
          <w:lang w:val="en-US" w:eastAsia="zh-CN"/>
        </w:rPr>
        <w:t>22.74</w:t>
      </w:r>
      <w:r>
        <w:rPr>
          <w:rFonts w:hint="eastAsia" w:ascii="仿宋" w:hAnsi="仿宋" w:eastAsia="仿宋" w:cs="仿宋"/>
          <w:sz w:val="32"/>
          <w:szCs w:val="32"/>
        </w:rPr>
        <w:t>万元，占基本支出的</w:t>
      </w:r>
      <w:r>
        <w:rPr>
          <w:rFonts w:hint="eastAsia" w:ascii="仿宋" w:hAnsi="仿宋" w:eastAsia="仿宋" w:cs="仿宋"/>
          <w:sz w:val="32"/>
          <w:szCs w:val="32"/>
          <w:lang w:val="en-US" w:eastAsia="zh-CN"/>
        </w:rPr>
        <w:t>20.96</w:t>
      </w:r>
      <w:r>
        <w:rPr>
          <w:rFonts w:hint="eastAsia" w:ascii="仿宋" w:hAnsi="仿宋" w:eastAsia="仿宋" w:cs="仿宋"/>
          <w:sz w:val="32"/>
          <w:szCs w:val="32"/>
        </w:rPr>
        <w:t>%，主要包括：办公费、印刷费、咨询费、水费、电费、邮电费、物业管理费、差旅费、维修（护）费、会议费、培训费、公务接待费、劳务费、委托业务费、工会经费、福利费、公务用车运行维护费、其他商品和服务支出。</w:t>
      </w:r>
    </w:p>
    <w:p w14:paraId="6B575AD3">
      <w:pPr>
        <w:pStyle w:val="2"/>
        <w:keepNext w:val="0"/>
        <w:keepLines w:val="0"/>
        <w:pageBreakBefore w:val="0"/>
        <w:tabs>
          <w:tab w:val="left" w:pos="3864"/>
          <w:tab w:val="left" w:pos="6248"/>
          <w:tab w:val="left" w:pos="7386"/>
        </w:tabs>
        <w:kinsoku/>
        <w:wordWrap/>
        <w:overflowPunct w:val="0"/>
        <w:topLinePunct w:val="0"/>
        <w:autoSpaceDE/>
        <w:autoSpaceDN/>
        <w:bidi w:val="0"/>
        <w:spacing w:before="1" w:afterAutospacing="0" w:line="560" w:lineRule="exact"/>
        <w:ind w:right="420" w:firstLine="643" w:firstLineChars="200"/>
        <w:rPr>
          <w:rFonts w:ascii="宋体" w:hAnsi="宋体" w:eastAsia="宋体" w:cs="仿宋"/>
          <w:sz w:val="32"/>
          <w:szCs w:val="32"/>
        </w:rPr>
      </w:pPr>
      <w:r>
        <w:rPr>
          <w:rFonts w:hint="eastAsia" w:ascii="宋体" w:hAnsi="宋体" w:eastAsia="宋体" w:cs="仿宋"/>
          <w:b/>
          <w:sz w:val="32"/>
          <w:szCs w:val="32"/>
        </w:rPr>
        <w:t>（五）部门年度整体工作目标任务完成情况</w:t>
      </w:r>
    </w:p>
    <w:p w14:paraId="0FCB90E8">
      <w:pPr>
        <w:keepNext w:val="0"/>
        <w:keepLines w:val="0"/>
        <w:pageBreakBefore w:val="0"/>
        <w:kinsoku/>
        <w:wordWrap/>
        <w:topLinePunct w:val="0"/>
        <w:autoSpaceDE/>
        <w:autoSpaceDN/>
        <w:bidi w:val="0"/>
        <w:spacing w:afterAutospacing="0" w:line="560" w:lineRule="exact"/>
        <w:ind w:firstLine="640" w:firstLineChars="200"/>
        <w:rPr>
          <w:rFonts w:hint="default"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一）年初市局下达我县目标任务是：工伤保险参保任务人数26562人、建筑施工项目参保率达90%以上。截止12月底，我县工伤保险参保单位1061家，参保总人数27291人，完成全年任务数的102.74%；全年新开工工程建筑项目24家，参保24家，参保率达100%。征缴工伤保险基金1052.23万元，全年工伤认定154起（其中工亡认定1起），工伤待遇支付1207.62万元，圆满完成工伤保险基金省级统筹相关工作，工伤保险基金征缴每月收入和滚存结余全部上解到怀化市财政局。全年共收到省下发的疑点数据68条，67条无违规现象，其中1条涉及重复发放1个月的供养亲属抚恤金1397.23元，已全部追回整改到位。</w:t>
      </w:r>
    </w:p>
    <w:p w14:paraId="5BD0C7BA">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topLinePunct w:val="0"/>
        <w:autoSpaceDE/>
        <w:autoSpaceDN/>
        <w:bidi w:val="0"/>
        <w:spacing w:before="0" w:beforeAutospacing="0" w:after="0" w:afterAutospacing="0" w:line="560" w:lineRule="exact"/>
        <w:ind w:left="0" w:right="0" w:firstLine="640" w:firstLineChars="200"/>
        <w:jc w:val="both"/>
        <w:rPr>
          <w:rFonts w:ascii="仿宋_GB2312" w:hAnsi="仿宋" w:eastAsia="仿宋_GB2312"/>
          <w:sz w:val="32"/>
          <w:szCs w:val="32"/>
        </w:rPr>
      </w:pPr>
      <w:r>
        <w:rPr>
          <w:rFonts w:hint="eastAsia" w:ascii="仿宋" w:hAnsi="仿宋" w:eastAsia="仿宋" w:cs="仿宋"/>
          <w:kern w:val="2"/>
          <w:sz w:val="32"/>
          <w:szCs w:val="32"/>
          <w:lang w:val="en-US" w:eastAsia="zh-CN" w:bidi="ar-SA"/>
        </w:rPr>
        <w:t>（二）工作亮点及成效：一是贯彻落实省市县真抓实干各项任务目标，扎实开展“温暖社保”进企业、进车间、下基层等活动，加大工伤保险的扩面力度和政策知晓率。我中心按照省市关于2023-2025“温暖社保”专项行动要求，于10月22日在县域中心地带金大地广场举办了全县人社系统“2023年温暖社保”行动启动仪式。我工保中心坚持每月不少于1次进企业给职工送政策送服务，坚持对业务经办人员每周进行金保二期操作系统等业务学习和培训制度，保证时间不少于1小时，努力提升工作人员的专业技能和服务水平。截止11月底，我中心开展“温暖社保”进企业共计10余次，培训对象近1000人次。二是加强协议医疗机构的监管，规范协议医疗机构工伤医疗服务行为。为保障全县广大工伤参保职工切身利益，为其提供更加优质的医疗救治服务，确保工伤保险基金安全，因我中方县的协议医疗机构基本与怀化市协议医疗机构一致。所以在市级人社部门的统一安排下，指派了2人共计参与了2次全市协议医疗机构的检查行动，将工伤协议医疗机构监管过程中的工作方法和管理要求规范化、制度化，让工伤职工享受到更专业、更优质、更高效的工伤保险医疗和康复服务。</w:t>
      </w:r>
    </w:p>
    <w:p w14:paraId="24FD72E8">
      <w:pPr>
        <w:keepNext w:val="0"/>
        <w:keepLines w:val="0"/>
        <w:pageBreakBefore w:val="0"/>
        <w:kinsoku/>
        <w:wordWrap/>
        <w:topLinePunct w:val="0"/>
        <w:autoSpaceDE/>
        <w:autoSpaceDN/>
        <w:bidi w:val="0"/>
        <w:spacing w:after="0" w:afterAutospacing="0" w:line="560" w:lineRule="exact"/>
        <w:ind w:firstLine="643" w:firstLineChars="200"/>
        <w:rPr>
          <w:rFonts w:ascii="宋体" w:hAnsi="宋体" w:cs="Arial"/>
          <w:b/>
          <w:color w:val="333333"/>
          <w:sz w:val="32"/>
          <w:szCs w:val="32"/>
        </w:rPr>
      </w:pPr>
      <w:r>
        <w:rPr>
          <w:rFonts w:hint="eastAsia" w:ascii="宋体" w:hAnsi="宋体" w:eastAsia="宋体" w:cs="黑体"/>
          <w:b/>
          <w:bCs/>
          <w:sz w:val="32"/>
          <w:szCs w:val="32"/>
        </w:rPr>
        <w:t>二、部门整体评价工作开展</w:t>
      </w:r>
    </w:p>
    <w:p w14:paraId="5ADFBA9E">
      <w:pPr>
        <w:pStyle w:val="9"/>
        <w:keepNext w:val="0"/>
        <w:keepLines w:val="0"/>
        <w:pageBreakBefore w:val="0"/>
        <w:kinsoku/>
        <w:wordWrap/>
        <w:topLinePunct w:val="0"/>
        <w:autoSpaceDE/>
        <w:autoSpaceDN/>
        <w:bidi w:val="0"/>
        <w:spacing w:afterAutospacing="0" w:line="560" w:lineRule="exact"/>
        <w:ind w:firstLine="640" w:firstLineChars="200"/>
        <w:jc w:val="left"/>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（一）绩效评价实施过程情况</w:t>
      </w:r>
    </w:p>
    <w:p w14:paraId="210F0F7C">
      <w:pPr>
        <w:pStyle w:val="9"/>
        <w:keepNext w:val="0"/>
        <w:keepLines w:val="0"/>
        <w:pageBreakBefore w:val="0"/>
        <w:kinsoku/>
        <w:wordWrap/>
        <w:topLinePunct w:val="0"/>
        <w:autoSpaceDE/>
        <w:autoSpaceDN/>
        <w:bidi w:val="0"/>
        <w:spacing w:afterAutospacing="0" w:line="560" w:lineRule="exact"/>
        <w:ind w:firstLine="640" w:firstLineChars="200"/>
        <w:jc w:val="left"/>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1.根据国家有关法律、法规、规章、政策以及本县经济和社会发展战略，编制本县中长期财政计划；参与制定本县重大经济决策，研究提出运用财政、税收政策对经济进行调控和综合平衡的建议；观察执行国家有关财政分配政策。</w:t>
      </w:r>
    </w:p>
    <w:p w14:paraId="791D33F5">
      <w:pPr>
        <w:pStyle w:val="9"/>
        <w:keepNext w:val="0"/>
        <w:keepLines w:val="0"/>
        <w:pageBreakBefore w:val="0"/>
        <w:kinsoku/>
        <w:wordWrap/>
        <w:topLinePunct w:val="0"/>
        <w:autoSpaceDE/>
        <w:autoSpaceDN/>
        <w:bidi w:val="0"/>
        <w:spacing w:afterAutospacing="0" w:line="560" w:lineRule="exact"/>
        <w:ind w:firstLine="640" w:firstLineChars="200"/>
        <w:jc w:val="left"/>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2、编制本县年度预决算草案并组织执行。</w:t>
      </w:r>
    </w:p>
    <w:p w14:paraId="5B749A01">
      <w:pPr>
        <w:pStyle w:val="9"/>
        <w:keepNext w:val="0"/>
        <w:keepLines w:val="0"/>
        <w:pageBreakBefore w:val="0"/>
        <w:kinsoku/>
        <w:wordWrap/>
        <w:topLinePunct w:val="0"/>
        <w:autoSpaceDE/>
        <w:autoSpaceDN/>
        <w:bidi w:val="0"/>
        <w:spacing w:afterAutospacing="0" w:line="560" w:lineRule="exact"/>
        <w:ind w:firstLine="640" w:firstLineChars="200"/>
        <w:jc w:val="left"/>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3、监督财税方针政策，法律法规的执行情况；监察反映本县财政收支管理中的重大问题；研究提出加强本县财政管理的建议。</w:t>
      </w:r>
    </w:p>
    <w:p w14:paraId="1A40139C">
      <w:pPr>
        <w:keepNext w:val="0"/>
        <w:keepLines w:val="0"/>
        <w:pageBreakBefore w:val="0"/>
        <w:kinsoku/>
        <w:wordWrap/>
        <w:topLinePunct w:val="0"/>
        <w:autoSpaceDE/>
        <w:autoSpaceDN/>
        <w:bidi w:val="0"/>
        <w:spacing w:after="0" w:afterAutospacing="0" w:line="560" w:lineRule="exact"/>
        <w:ind w:firstLine="640" w:firstLineChars="20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（二）绩效评价整体结果概况</w:t>
      </w:r>
    </w:p>
    <w:p w14:paraId="5CEA5EE8">
      <w:pPr>
        <w:keepNext w:val="0"/>
        <w:keepLines w:val="0"/>
        <w:pageBreakBefore w:val="0"/>
        <w:kinsoku/>
        <w:wordWrap/>
        <w:topLinePunct w:val="0"/>
        <w:autoSpaceDE/>
        <w:autoSpaceDN/>
        <w:bidi w:val="0"/>
        <w:spacing w:after="0" w:afterAutospacing="0" w:line="560" w:lineRule="exact"/>
        <w:ind w:firstLine="640" w:firstLineChars="20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我局从预算配置、预算执行、预算管理、履职效益等方面对2023年部门整体支出绩效开展评价，自评得分94分。</w:t>
      </w:r>
    </w:p>
    <w:p w14:paraId="62DD7BD3">
      <w:pPr>
        <w:keepNext w:val="0"/>
        <w:keepLines w:val="0"/>
        <w:pageBreakBefore w:val="0"/>
        <w:kinsoku/>
        <w:wordWrap/>
        <w:topLinePunct w:val="0"/>
        <w:autoSpaceDE/>
        <w:autoSpaceDN/>
        <w:bidi w:val="0"/>
        <w:spacing w:after="0" w:afterAutospacing="0" w:line="560" w:lineRule="exact"/>
        <w:ind w:firstLine="640" w:firstLineChars="20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三、部门整体支出绩效评价分析</w:t>
      </w:r>
    </w:p>
    <w:p w14:paraId="29C948E1">
      <w:pPr>
        <w:keepNext w:val="0"/>
        <w:keepLines w:val="0"/>
        <w:pageBreakBefore w:val="0"/>
        <w:widowControl/>
        <w:numPr>
          <w:ilvl w:val="0"/>
          <w:numId w:val="0"/>
        </w:numPr>
        <w:kinsoku/>
        <w:wordWrap/>
        <w:overflowPunct/>
        <w:topLinePunct w:val="0"/>
        <w:autoSpaceDE/>
        <w:autoSpaceDN/>
        <w:bidi w:val="0"/>
        <w:adjustRightInd w:val="0"/>
        <w:snapToGrid w:val="0"/>
        <w:spacing w:after="0" w:afterAutospacing="0" w:line="560" w:lineRule="exact"/>
        <w:ind w:firstLine="643" w:firstLineChars="200"/>
        <w:textAlignment w:val="auto"/>
        <w:rPr>
          <w:rFonts w:hint="eastAsia" w:ascii="黑体" w:hAnsi="黑体" w:eastAsia="黑体" w:cs="黑体"/>
          <w:i w:val="0"/>
          <w:iCs w:val="0"/>
          <w:caps w:val="0"/>
          <w:color w:val="333333"/>
          <w:spacing w:val="0"/>
          <w:sz w:val="32"/>
          <w:szCs w:val="32"/>
          <w:shd w:val="clear" w:fill="FFFFFF"/>
          <w:lang w:val="en-US" w:eastAsia="zh-CN"/>
        </w:rPr>
      </w:pPr>
      <w:r>
        <w:rPr>
          <w:rFonts w:hint="eastAsia" w:ascii="宋体" w:hAnsi="宋体" w:eastAsia="宋体"/>
          <w:b/>
          <w:bCs/>
          <w:color w:val="000000"/>
          <w:sz w:val="32"/>
          <w:szCs w:val="32"/>
        </w:rPr>
        <w:t>（一）</w:t>
      </w:r>
      <w:r>
        <w:rPr>
          <w:rFonts w:hint="eastAsia" w:ascii="黑体" w:hAnsi="黑体" w:eastAsia="黑体" w:cs="黑体"/>
          <w:i w:val="0"/>
          <w:iCs w:val="0"/>
          <w:caps w:val="0"/>
          <w:color w:val="333333"/>
          <w:spacing w:val="0"/>
          <w:sz w:val="32"/>
          <w:szCs w:val="32"/>
          <w:shd w:val="clear" w:fill="FFFFFF"/>
          <w:lang w:val="en-US" w:eastAsia="zh-CN"/>
        </w:rPr>
        <w:t>预算编制方面</w:t>
      </w:r>
    </w:p>
    <w:p w14:paraId="20A85453">
      <w:pPr>
        <w:keepNext w:val="0"/>
        <w:keepLines w:val="0"/>
        <w:pageBreakBefore w:val="0"/>
        <w:widowControl/>
        <w:kinsoku/>
        <w:wordWrap/>
        <w:overflowPunct/>
        <w:topLinePunct w:val="0"/>
        <w:autoSpaceDE/>
        <w:autoSpaceDN/>
        <w:bidi w:val="0"/>
        <w:adjustRightInd w:val="0"/>
        <w:snapToGrid w:val="0"/>
        <w:spacing w:after="0" w:afterAutospacing="0" w:line="560" w:lineRule="exact"/>
        <w:ind w:firstLine="640" w:firstLineChars="200"/>
        <w:textAlignment w:val="auto"/>
        <w:rPr>
          <w:rFonts w:ascii="宋体" w:hAnsi="宋体" w:eastAsia="宋体"/>
          <w:bCs/>
          <w:color w:val="000000"/>
          <w:sz w:val="32"/>
          <w:szCs w:val="32"/>
        </w:rPr>
      </w:pPr>
      <w:r>
        <w:rPr>
          <w:rFonts w:hint="eastAsia" w:ascii="仿宋" w:hAnsi="仿宋" w:eastAsia="仿宋" w:cs="仿宋"/>
          <w:sz w:val="32"/>
          <w:szCs w:val="32"/>
          <w:lang w:eastAsia="zh-CN"/>
        </w:rPr>
        <w:t>中方县工伤保险服务中心</w:t>
      </w:r>
      <w:r>
        <w:rPr>
          <w:rFonts w:hint="eastAsia" w:ascii="仿宋" w:hAnsi="仿宋" w:eastAsia="仿宋" w:cs="仿宋"/>
          <w:sz w:val="32"/>
          <w:szCs w:val="32"/>
        </w:rPr>
        <w:t>严格按程序召开由各部门参加的预算工作会，全面细致的要求各个部门提供年度所需公用经费和项目支出明细。由</w:t>
      </w:r>
      <w:r>
        <w:rPr>
          <w:rFonts w:hint="eastAsia" w:ascii="仿宋" w:hAnsi="仿宋" w:eastAsia="仿宋" w:cs="仿宋"/>
          <w:sz w:val="32"/>
          <w:szCs w:val="32"/>
          <w:lang w:eastAsia="zh-CN"/>
        </w:rPr>
        <w:t>全中心研究</w:t>
      </w:r>
      <w:r>
        <w:rPr>
          <w:rFonts w:hint="eastAsia" w:ascii="仿宋" w:hAnsi="仿宋" w:eastAsia="仿宋" w:cs="仿宋"/>
          <w:sz w:val="32"/>
          <w:szCs w:val="32"/>
        </w:rPr>
        <w:t>讨论，</w:t>
      </w:r>
      <w:r>
        <w:rPr>
          <w:rFonts w:hint="eastAsia" w:ascii="仿宋" w:hAnsi="仿宋" w:eastAsia="仿宋" w:cs="仿宋"/>
          <w:sz w:val="32"/>
          <w:szCs w:val="32"/>
          <w:lang w:eastAsia="zh-CN"/>
        </w:rPr>
        <w:t>财务室</w:t>
      </w:r>
      <w:r>
        <w:rPr>
          <w:rFonts w:hint="eastAsia" w:ascii="仿宋" w:hAnsi="仿宋" w:eastAsia="仿宋" w:cs="仿宋"/>
          <w:sz w:val="32"/>
          <w:szCs w:val="32"/>
        </w:rPr>
        <w:t>编制，最后通过</w:t>
      </w:r>
      <w:r>
        <w:rPr>
          <w:rFonts w:hint="eastAsia" w:ascii="仿宋" w:hAnsi="仿宋" w:eastAsia="仿宋" w:cs="仿宋"/>
          <w:sz w:val="32"/>
          <w:szCs w:val="32"/>
          <w:lang w:eastAsia="zh-CN"/>
        </w:rPr>
        <w:t>政府网站公开</w:t>
      </w:r>
      <w:r>
        <w:rPr>
          <w:rFonts w:hint="eastAsia" w:ascii="仿宋" w:hAnsi="仿宋" w:eastAsia="仿宋" w:cs="仿宋"/>
          <w:sz w:val="32"/>
          <w:szCs w:val="32"/>
        </w:rPr>
        <w:t>明细。</w:t>
      </w:r>
    </w:p>
    <w:p w14:paraId="1BC3ABB4">
      <w:pPr>
        <w:keepNext w:val="0"/>
        <w:keepLines w:val="0"/>
        <w:pageBreakBefore w:val="0"/>
        <w:kinsoku/>
        <w:wordWrap/>
        <w:topLinePunct w:val="0"/>
        <w:autoSpaceDE/>
        <w:autoSpaceDN/>
        <w:bidi w:val="0"/>
        <w:spacing w:after="0" w:afterAutospacing="0" w:line="560" w:lineRule="exact"/>
        <w:ind w:firstLine="643" w:firstLineChars="200"/>
        <w:rPr>
          <w:rFonts w:ascii="宋体" w:hAnsi="宋体" w:eastAsia="宋体"/>
          <w:b/>
          <w:bCs/>
          <w:color w:val="000000"/>
          <w:sz w:val="32"/>
          <w:szCs w:val="32"/>
        </w:rPr>
      </w:pPr>
      <w:r>
        <w:rPr>
          <w:rFonts w:hint="eastAsia" w:ascii="宋体" w:hAnsi="宋体" w:eastAsia="宋体"/>
          <w:b/>
          <w:bCs/>
          <w:color w:val="000000"/>
          <w:sz w:val="32"/>
          <w:szCs w:val="32"/>
        </w:rPr>
        <w:t>（二）预算执行方面</w:t>
      </w:r>
    </w:p>
    <w:p w14:paraId="613EC533">
      <w:pPr>
        <w:keepNext w:val="0"/>
        <w:keepLines w:val="0"/>
        <w:pageBreakBefore w:val="0"/>
        <w:kinsoku/>
        <w:wordWrap/>
        <w:topLinePunct w:val="0"/>
        <w:autoSpaceDE/>
        <w:autoSpaceDN/>
        <w:bidi w:val="0"/>
        <w:spacing w:after="0" w:afterAutospacing="0" w:line="560" w:lineRule="exact"/>
        <w:ind w:firstLine="640" w:firstLineChars="200"/>
        <w:rPr>
          <w:rFonts w:hint="eastAsia" w:ascii="仿宋" w:hAnsi="仿宋" w:eastAsia="仿宋" w:cs="仿宋"/>
          <w:sz w:val="32"/>
          <w:szCs w:val="32"/>
          <w:lang w:val="en-US" w:eastAsia="zh-CN"/>
        </w:rPr>
      </w:pPr>
      <w:r>
        <w:rPr>
          <w:rFonts w:hint="eastAsia" w:ascii="宋体" w:hAnsi="宋体" w:eastAsia="宋体"/>
          <w:bCs/>
          <w:color w:val="000000"/>
          <w:sz w:val="32"/>
          <w:szCs w:val="32"/>
        </w:rPr>
        <w:t>预算完成率：</w:t>
      </w:r>
      <w:r>
        <w:rPr>
          <w:rFonts w:hint="eastAsia" w:ascii="仿宋" w:hAnsi="仿宋" w:eastAsia="仿宋" w:cs="仿宋"/>
          <w:sz w:val="32"/>
          <w:szCs w:val="32"/>
        </w:rPr>
        <w:t>202</w:t>
      </w:r>
      <w:r>
        <w:rPr>
          <w:rFonts w:hint="eastAsia" w:ascii="仿宋" w:hAnsi="仿宋" w:eastAsia="仿宋" w:cs="仿宋"/>
          <w:sz w:val="32"/>
          <w:szCs w:val="32"/>
          <w:lang w:val="en-US" w:eastAsia="zh-CN"/>
        </w:rPr>
        <w:t>3</w:t>
      </w:r>
      <w:r>
        <w:rPr>
          <w:rFonts w:hint="eastAsia" w:ascii="仿宋" w:hAnsi="仿宋" w:eastAsia="仿宋" w:cs="仿宋"/>
          <w:sz w:val="32"/>
          <w:szCs w:val="32"/>
        </w:rPr>
        <w:t>年度财政拨款支出年初预算数为</w:t>
      </w:r>
      <w:r>
        <w:rPr>
          <w:rFonts w:hint="eastAsia" w:ascii="仿宋" w:hAnsi="仿宋" w:eastAsia="仿宋" w:cs="仿宋"/>
          <w:sz w:val="32"/>
          <w:szCs w:val="32"/>
          <w:lang w:val="en-US" w:eastAsia="zh-CN"/>
        </w:rPr>
        <w:t>82.59</w:t>
      </w:r>
    </w:p>
    <w:p w14:paraId="7C1BAD18">
      <w:pPr>
        <w:keepNext w:val="0"/>
        <w:keepLines w:val="0"/>
        <w:pageBreakBefore w:val="0"/>
        <w:kinsoku/>
        <w:wordWrap/>
        <w:topLinePunct w:val="0"/>
        <w:autoSpaceDE/>
        <w:autoSpaceDN/>
        <w:bidi w:val="0"/>
        <w:spacing w:after="0" w:afterAutospacing="0" w:line="560" w:lineRule="exact"/>
        <w:ind w:firstLine="640" w:firstLineChars="200"/>
        <w:rPr>
          <w:rFonts w:hint="eastAsia" w:ascii="宋体" w:hAnsi="宋体" w:eastAsia="仿宋"/>
          <w:bCs/>
          <w:color w:val="000000"/>
          <w:sz w:val="32"/>
          <w:szCs w:val="32"/>
          <w:lang w:eastAsia="zh-CN"/>
        </w:rPr>
      </w:pPr>
      <w:r>
        <w:rPr>
          <w:rFonts w:hint="eastAsia" w:ascii="仿宋" w:hAnsi="仿宋" w:eastAsia="仿宋" w:cs="仿宋"/>
          <w:sz w:val="32"/>
          <w:szCs w:val="32"/>
        </w:rPr>
        <w:t>万元，支出决算数为</w:t>
      </w:r>
      <w:r>
        <w:rPr>
          <w:rFonts w:hint="eastAsia" w:ascii="仿宋" w:hAnsi="仿宋" w:eastAsia="仿宋" w:cs="仿宋"/>
          <w:sz w:val="32"/>
          <w:szCs w:val="32"/>
          <w:lang w:val="en-US" w:eastAsia="zh-CN"/>
        </w:rPr>
        <w:t>113.46</w:t>
      </w:r>
      <w:r>
        <w:rPr>
          <w:rFonts w:hint="eastAsia" w:ascii="仿宋" w:hAnsi="仿宋" w:eastAsia="仿宋" w:cs="仿宋"/>
          <w:sz w:val="32"/>
          <w:szCs w:val="32"/>
        </w:rPr>
        <w:t>万元，</w:t>
      </w:r>
      <w:bookmarkStart w:id="0" w:name="START_PAY_FINAL_ACCOUNTS_AMT_NC"/>
      <w:bookmarkEnd w:id="0"/>
      <w:r>
        <w:rPr>
          <w:rFonts w:hint="eastAsia" w:ascii="仿宋" w:hAnsi="仿宋" w:eastAsia="仿宋" w:cs="仿宋"/>
          <w:sz w:val="32"/>
          <w:szCs w:val="32"/>
        </w:rPr>
        <w:t>完成年初预算的</w:t>
      </w:r>
      <w:r>
        <w:rPr>
          <w:rFonts w:hint="eastAsia" w:ascii="仿宋" w:hAnsi="仿宋" w:eastAsia="仿宋" w:cs="仿宋"/>
          <w:sz w:val="32"/>
          <w:szCs w:val="32"/>
          <w:lang w:val="en-US" w:eastAsia="zh-CN"/>
        </w:rPr>
        <w:t>137.38</w:t>
      </w:r>
      <w:r>
        <w:rPr>
          <w:rFonts w:hint="eastAsia" w:ascii="仿宋" w:hAnsi="仿宋" w:eastAsia="仿宋" w:cs="仿宋"/>
          <w:sz w:val="32"/>
          <w:szCs w:val="32"/>
        </w:rPr>
        <w:t>%</w:t>
      </w:r>
      <w:r>
        <w:rPr>
          <w:rFonts w:hint="eastAsia" w:ascii="仿宋" w:hAnsi="仿宋" w:eastAsia="仿宋" w:cs="仿宋"/>
          <w:sz w:val="32"/>
          <w:szCs w:val="32"/>
          <w:lang w:eastAsia="zh-CN"/>
        </w:rPr>
        <w:t>。</w:t>
      </w:r>
    </w:p>
    <w:p w14:paraId="136A19EF">
      <w:pPr>
        <w:keepNext w:val="0"/>
        <w:keepLines w:val="0"/>
        <w:pageBreakBefore w:val="0"/>
        <w:widowControl/>
        <w:numPr>
          <w:ilvl w:val="0"/>
          <w:numId w:val="1"/>
        </w:numPr>
        <w:kinsoku/>
        <w:wordWrap/>
        <w:overflowPunct/>
        <w:topLinePunct w:val="0"/>
        <w:autoSpaceDE/>
        <w:autoSpaceDN/>
        <w:bidi w:val="0"/>
        <w:adjustRightInd w:val="0"/>
        <w:snapToGrid w:val="0"/>
        <w:spacing w:after="0" w:afterAutospacing="0" w:line="560" w:lineRule="exact"/>
        <w:ind w:firstLine="640" w:firstLineChars="200"/>
        <w:textAlignment w:val="auto"/>
        <w:rPr>
          <w:rFonts w:hint="eastAsia" w:ascii="黑体" w:hAnsi="黑体" w:eastAsia="黑体" w:cs="黑体"/>
          <w:i w:val="0"/>
          <w:iCs w:val="0"/>
          <w:caps w:val="0"/>
          <w:color w:val="333333"/>
          <w:spacing w:val="0"/>
          <w:sz w:val="32"/>
          <w:szCs w:val="32"/>
          <w:shd w:val="clear" w:fill="FFFFFF"/>
          <w:lang w:val="en-US" w:eastAsia="zh-CN"/>
        </w:rPr>
      </w:pPr>
      <w:r>
        <w:rPr>
          <w:rFonts w:hint="eastAsia" w:ascii="黑体" w:hAnsi="黑体" w:eastAsia="黑体" w:cs="黑体"/>
          <w:i w:val="0"/>
          <w:iCs w:val="0"/>
          <w:caps w:val="0"/>
          <w:color w:val="333333"/>
          <w:spacing w:val="0"/>
          <w:sz w:val="32"/>
          <w:szCs w:val="32"/>
          <w:shd w:val="clear" w:fill="FFFFFF"/>
          <w:lang w:val="en-US" w:eastAsia="zh-CN"/>
        </w:rPr>
        <w:t>基本支出控制方面</w:t>
      </w:r>
    </w:p>
    <w:p w14:paraId="6AF4289D">
      <w:pPr>
        <w:keepNext w:val="0"/>
        <w:keepLines w:val="0"/>
        <w:pageBreakBefore w:val="0"/>
        <w:widowControl/>
        <w:numPr>
          <w:ilvl w:val="0"/>
          <w:numId w:val="0"/>
        </w:numPr>
        <w:kinsoku/>
        <w:wordWrap/>
        <w:overflowPunct/>
        <w:topLinePunct w:val="0"/>
        <w:autoSpaceDE/>
        <w:autoSpaceDN/>
        <w:bidi w:val="0"/>
        <w:adjustRightInd w:val="0"/>
        <w:snapToGrid w:val="0"/>
        <w:spacing w:after="0" w:afterAutospacing="0"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为加强财务管理，充分发挥大兴勤俭节约之风，提高财政资金使用效益，</w:t>
      </w:r>
      <w:r>
        <w:rPr>
          <w:rFonts w:hint="eastAsia" w:ascii="仿宋" w:hAnsi="仿宋" w:eastAsia="仿宋" w:cs="仿宋"/>
          <w:sz w:val="32"/>
          <w:szCs w:val="32"/>
          <w:lang w:eastAsia="zh-CN"/>
        </w:rPr>
        <w:t>中方县工伤保险服务中心</w:t>
      </w:r>
      <w:r>
        <w:rPr>
          <w:rFonts w:hint="eastAsia" w:ascii="仿宋" w:hAnsi="仿宋" w:eastAsia="仿宋" w:cs="仿宋"/>
          <w:sz w:val="32"/>
          <w:szCs w:val="32"/>
        </w:rPr>
        <w:t>对资产管理、财务报销程序及权限、政府采购管理、建设项目管理等方面做出了明确规定，形成了比较完善系统的内部管理控制体系，并基本得到有效执行。各项资金全部由</w:t>
      </w:r>
      <w:r>
        <w:rPr>
          <w:rFonts w:hint="eastAsia" w:ascii="仿宋" w:hAnsi="仿宋" w:eastAsia="仿宋" w:cs="仿宋"/>
          <w:sz w:val="32"/>
          <w:szCs w:val="32"/>
          <w:lang w:eastAsia="zh-CN"/>
        </w:rPr>
        <w:t>县</w:t>
      </w:r>
      <w:r>
        <w:rPr>
          <w:rFonts w:hint="eastAsia" w:ascii="仿宋" w:hAnsi="仿宋" w:eastAsia="仿宋" w:cs="仿宋"/>
          <w:sz w:val="32"/>
          <w:szCs w:val="32"/>
        </w:rPr>
        <w:t>财政支付局集中支付,严格执行公务卡消费报账制度。基本做到了支出分项归类,核算清晰完整，账务处理及时规范。</w:t>
      </w:r>
    </w:p>
    <w:p w14:paraId="7F5927C9">
      <w:pPr>
        <w:keepNext w:val="0"/>
        <w:keepLines w:val="0"/>
        <w:pageBreakBefore w:val="0"/>
        <w:kinsoku/>
        <w:wordWrap/>
        <w:topLinePunct w:val="0"/>
        <w:autoSpaceDE/>
        <w:autoSpaceDN/>
        <w:bidi w:val="0"/>
        <w:spacing w:after="0" w:afterAutospacing="0" w:line="560" w:lineRule="exact"/>
        <w:ind w:firstLine="643" w:firstLineChars="200"/>
        <w:rPr>
          <w:rFonts w:ascii="宋体" w:hAnsi="宋体" w:eastAsia="宋体" w:cs="黑体"/>
          <w:b/>
          <w:bCs/>
          <w:sz w:val="32"/>
          <w:szCs w:val="32"/>
        </w:rPr>
      </w:pPr>
      <w:r>
        <w:rPr>
          <w:rFonts w:hint="eastAsia" w:ascii="宋体" w:hAnsi="宋体" w:eastAsia="宋体" w:cs="黑体"/>
          <w:b/>
          <w:bCs/>
          <w:sz w:val="32"/>
          <w:szCs w:val="32"/>
        </w:rPr>
        <w:t>四、存在的问题</w:t>
      </w:r>
    </w:p>
    <w:p w14:paraId="559EB479">
      <w:pPr>
        <w:keepNext w:val="0"/>
        <w:keepLines w:val="0"/>
        <w:pageBreakBefore w:val="0"/>
        <w:widowControl/>
        <w:numPr>
          <w:ilvl w:val="0"/>
          <w:numId w:val="0"/>
        </w:numPr>
        <w:kinsoku/>
        <w:wordWrap/>
        <w:overflowPunct/>
        <w:topLinePunct w:val="0"/>
        <w:autoSpaceDE/>
        <w:autoSpaceDN/>
        <w:bidi w:val="0"/>
        <w:adjustRightInd w:val="0"/>
        <w:snapToGrid w:val="0"/>
        <w:spacing w:after="0" w:afterAutospacing="0" w:line="560" w:lineRule="exact"/>
        <w:ind w:firstLine="600" w:firstLineChars="200"/>
        <w:textAlignment w:val="auto"/>
        <w:rPr>
          <w:rFonts w:hint="eastAsia" w:ascii="仿宋" w:hAnsi="仿宋" w:eastAsia="仿宋" w:cs="仿宋"/>
          <w:sz w:val="32"/>
          <w:szCs w:val="32"/>
          <w:lang w:eastAsia="zh-CN"/>
        </w:rPr>
      </w:pPr>
      <w:r>
        <w:rPr>
          <w:rFonts w:hint="eastAsia" w:ascii="仿宋" w:hAnsi="仿宋" w:eastAsia="仿宋" w:cs="仿宋"/>
          <w:b w:val="0"/>
          <w:bCs/>
          <w:color w:val="000000"/>
          <w:kern w:val="0"/>
          <w:sz w:val="30"/>
          <w:szCs w:val="30"/>
          <w:lang w:val="en-US" w:eastAsia="zh-CN"/>
        </w:rPr>
        <w:t>(一)</w:t>
      </w:r>
      <w:r>
        <w:rPr>
          <w:rFonts w:hint="eastAsia" w:ascii="仿宋" w:hAnsi="仿宋" w:eastAsia="仿宋" w:cs="仿宋"/>
          <w:sz w:val="32"/>
          <w:szCs w:val="32"/>
          <w:lang w:eastAsia="zh-CN"/>
        </w:rPr>
        <w:t>工作</w:t>
      </w:r>
      <w:r>
        <w:rPr>
          <w:rFonts w:hint="eastAsia" w:ascii="仿宋" w:hAnsi="仿宋" w:eastAsia="仿宋" w:cs="仿宋"/>
          <w:sz w:val="32"/>
          <w:szCs w:val="32"/>
        </w:rPr>
        <w:t>人员</w:t>
      </w:r>
      <w:r>
        <w:rPr>
          <w:rFonts w:hint="eastAsia" w:ascii="仿宋" w:hAnsi="仿宋" w:eastAsia="仿宋" w:cs="仿宋"/>
          <w:sz w:val="32"/>
          <w:szCs w:val="32"/>
          <w:lang w:eastAsia="zh-CN"/>
        </w:rPr>
        <w:t>经办力量</w:t>
      </w:r>
      <w:r>
        <w:rPr>
          <w:rFonts w:hint="eastAsia" w:ascii="仿宋" w:hAnsi="仿宋" w:eastAsia="仿宋" w:cs="仿宋"/>
          <w:sz w:val="32"/>
          <w:szCs w:val="32"/>
        </w:rPr>
        <w:t>不足</w:t>
      </w:r>
      <w:r>
        <w:rPr>
          <w:rFonts w:hint="eastAsia" w:ascii="仿宋" w:hAnsi="仿宋" w:eastAsia="仿宋" w:cs="仿宋"/>
          <w:sz w:val="32"/>
          <w:szCs w:val="32"/>
          <w:lang w:eastAsia="zh-CN"/>
        </w:rPr>
        <w:t>。因金保二期业务操作系统“一事双岗三审”，使得我中心编制内人员力量不足。比如</w:t>
      </w:r>
      <w:r>
        <w:rPr>
          <w:rFonts w:hint="eastAsia" w:ascii="仿宋" w:hAnsi="仿宋" w:eastAsia="仿宋" w:cs="仿宋"/>
          <w:sz w:val="32"/>
          <w:szCs w:val="32"/>
        </w:rPr>
        <w:t>财务室</w:t>
      </w:r>
      <w:r>
        <w:rPr>
          <w:rFonts w:hint="eastAsia" w:ascii="仿宋" w:hAnsi="仿宋" w:eastAsia="仿宋" w:cs="仿宋"/>
          <w:sz w:val="32"/>
          <w:szCs w:val="32"/>
          <w:lang w:eastAsia="zh-CN"/>
        </w:rPr>
        <w:t>原</w:t>
      </w:r>
      <w:r>
        <w:rPr>
          <w:rFonts w:hint="eastAsia" w:ascii="仿宋" w:hAnsi="仿宋" w:eastAsia="仿宋" w:cs="仿宋"/>
          <w:sz w:val="32"/>
          <w:szCs w:val="32"/>
        </w:rPr>
        <w:t>会计</w:t>
      </w:r>
      <w:r>
        <w:rPr>
          <w:rFonts w:hint="eastAsia" w:ascii="仿宋" w:hAnsi="仿宋" w:eastAsia="仿宋" w:cs="仿宋"/>
          <w:sz w:val="32"/>
          <w:szCs w:val="32"/>
          <w:lang w:eastAsia="zh-CN"/>
        </w:rPr>
        <w:t>人员到龄</w:t>
      </w:r>
      <w:r>
        <w:rPr>
          <w:rFonts w:hint="eastAsia" w:ascii="仿宋" w:hAnsi="仿宋" w:eastAsia="仿宋" w:cs="仿宋"/>
          <w:sz w:val="32"/>
          <w:szCs w:val="32"/>
        </w:rPr>
        <w:t>退休，</w:t>
      </w:r>
      <w:r>
        <w:rPr>
          <w:rFonts w:hint="eastAsia" w:ascii="仿宋" w:hAnsi="仿宋" w:eastAsia="仿宋" w:cs="仿宋"/>
          <w:sz w:val="32"/>
          <w:szCs w:val="32"/>
          <w:lang w:eastAsia="zh-CN"/>
        </w:rPr>
        <w:t>缺乏会计专业人员，只能使用编制外的临聘人员，与社保</w:t>
      </w:r>
      <w:r>
        <w:rPr>
          <w:rFonts w:hint="eastAsia" w:ascii="仿宋" w:hAnsi="仿宋" w:eastAsia="仿宋" w:cs="仿宋"/>
          <w:sz w:val="32"/>
          <w:szCs w:val="32"/>
        </w:rPr>
        <w:t>基金</w:t>
      </w:r>
      <w:r>
        <w:rPr>
          <w:rFonts w:hint="eastAsia" w:ascii="仿宋" w:hAnsi="仿宋" w:eastAsia="仿宋" w:cs="仿宋"/>
          <w:sz w:val="32"/>
          <w:szCs w:val="32"/>
          <w:lang w:eastAsia="zh-CN"/>
        </w:rPr>
        <w:t>安全监督管理</w:t>
      </w:r>
      <w:r>
        <w:rPr>
          <w:rFonts w:hint="eastAsia" w:ascii="仿宋" w:hAnsi="仿宋" w:eastAsia="仿宋" w:cs="仿宋"/>
          <w:sz w:val="32"/>
          <w:szCs w:val="32"/>
        </w:rPr>
        <w:t>要求不符</w:t>
      </w:r>
      <w:r>
        <w:rPr>
          <w:rFonts w:hint="eastAsia" w:ascii="仿宋" w:hAnsi="仿宋" w:eastAsia="仿宋" w:cs="仿宋"/>
          <w:sz w:val="32"/>
          <w:szCs w:val="32"/>
          <w:lang w:eastAsia="zh-CN"/>
        </w:rPr>
        <w:t>。</w:t>
      </w:r>
    </w:p>
    <w:p w14:paraId="2AF019A0">
      <w:pPr>
        <w:keepNext w:val="0"/>
        <w:keepLines w:val="0"/>
        <w:pageBreakBefore w:val="0"/>
        <w:widowControl/>
        <w:numPr>
          <w:ilvl w:val="0"/>
          <w:numId w:val="0"/>
        </w:numPr>
        <w:kinsoku/>
        <w:wordWrap/>
        <w:overflowPunct/>
        <w:topLinePunct w:val="0"/>
        <w:autoSpaceDE/>
        <w:autoSpaceDN/>
        <w:bidi w:val="0"/>
        <w:adjustRightInd w:val="0"/>
        <w:snapToGrid w:val="0"/>
        <w:spacing w:after="0" w:afterAutospacing="0" w:line="560" w:lineRule="exact"/>
        <w:ind w:firstLine="600" w:firstLineChars="200"/>
        <w:textAlignment w:val="auto"/>
        <w:rPr>
          <w:rFonts w:hint="eastAsia" w:ascii="仿宋" w:hAnsi="仿宋" w:eastAsia="仿宋" w:cs="仿宋"/>
          <w:sz w:val="32"/>
          <w:szCs w:val="32"/>
        </w:rPr>
      </w:pPr>
      <w:r>
        <w:rPr>
          <w:rFonts w:hint="eastAsia" w:ascii="仿宋" w:hAnsi="仿宋" w:eastAsia="仿宋" w:cs="仿宋"/>
          <w:b w:val="0"/>
          <w:bCs/>
          <w:color w:val="000000"/>
          <w:kern w:val="0"/>
          <w:sz w:val="30"/>
          <w:szCs w:val="30"/>
          <w:lang w:val="en-US" w:eastAsia="zh-CN"/>
        </w:rPr>
        <w:t>(二)</w:t>
      </w:r>
      <w:r>
        <w:rPr>
          <w:rFonts w:hint="eastAsia" w:ascii="仿宋" w:hAnsi="仿宋" w:eastAsia="仿宋" w:cs="仿宋"/>
          <w:sz w:val="32"/>
          <w:szCs w:val="32"/>
        </w:rPr>
        <w:t>没有设置专门的稽核岗位和人员队伍，都是一人多岗多职，属兼职人员，且人员结构老化，加上内部稽核人员业务水平参差不齐，缺乏系统培训。</w:t>
      </w:r>
    </w:p>
    <w:p w14:paraId="1770D6B3">
      <w:pPr>
        <w:keepNext w:val="0"/>
        <w:keepLines w:val="0"/>
        <w:pageBreakBefore w:val="0"/>
        <w:widowControl/>
        <w:numPr>
          <w:ilvl w:val="0"/>
          <w:numId w:val="0"/>
        </w:numPr>
        <w:kinsoku/>
        <w:wordWrap/>
        <w:overflowPunct/>
        <w:topLinePunct w:val="0"/>
        <w:autoSpaceDE/>
        <w:autoSpaceDN/>
        <w:bidi w:val="0"/>
        <w:adjustRightInd w:val="0"/>
        <w:snapToGrid w:val="0"/>
        <w:spacing w:after="0" w:afterAutospacing="0" w:line="560" w:lineRule="exact"/>
        <w:ind w:firstLine="600" w:firstLineChars="200"/>
        <w:textAlignment w:val="auto"/>
        <w:rPr>
          <w:rFonts w:hint="eastAsia" w:ascii="仿宋" w:hAnsi="仿宋" w:eastAsia="仿宋" w:cs="仿宋"/>
          <w:sz w:val="32"/>
          <w:szCs w:val="32"/>
        </w:rPr>
      </w:pPr>
      <w:r>
        <w:rPr>
          <w:rFonts w:hint="eastAsia" w:ascii="仿宋" w:hAnsi="仿宋" w:eastAsia="仿宋" w:cs="仿宋"/>
          <w:b w:val="0"/>
          <w:bCs/>
          <w:color w:val="000000"/>
          <w:kern w:val="0"/>
          <w:sz w:val="30"/>
          <w:szCs w:val="30"/>
          <w:lang w:val="en-US" w:eastAsia="zh-CN"/>
        </w:rPr>
        <w:t>（三）</w:t>
      </w:r>
      <w:r>
        <w:rPr>
          <w:rFonts w:hint="eastAsia" w:ascii="仿宋" w:hAnsi="仿宋" w:eastAsia="仿宋" w:cs="仿宋"/>
          <w:sz w:val="32"/>
          <w:szCs w:val="32"/>
          <w:lang w:val="en-US" w:eastAsia="zh-CN"/>
        </w:rPr>
        <w:t>工伤预防项目的具体实施，在政策操作方面存在一定的执行困难。国家人社部、省人社厅虽然都出台了相应的实施办法，但在实施的过程中，缺乏可操作性。比如：企业申请，行政审批、招股标、委托第三方、专家评审，这些只实用于大型的工伤预防宣传和培训，如是小规模的宣传形式如何操作，没有明确，可操作性不强。</w:t>
      </w:r>
    </w:p>
    <w:p w14:paraId="1BC10CFE">
      <w:pPr>
        <w:pStyle w:val="5"/>
        <w:keepNext w:val="0"/>
        <w:keepLines w:val="0"/>
        <w:pageBreakBefore w:val="0"/>
        <w:kinsoku/>
        <w:wordWrap/>
        <w:topLinePunct w:val="0"/>
        <w:autoSpaceDE/>
        <w:autoSpaceDN/>
        <w:bidi w:val="0"/>
        <w:spacing w:before="0" w:beforeAutospacing="0" w:after="0" w:afterAutospacing="0" w:line="560" w:lineRule="exact"/>
        <w:ind w:firstLine="643" w:firstLineChars="200"/>
        <w:rPr>
          <w:rFonts w:cs="黑体"/>
          <w:b/>
          <w:bCs/>
          <w:sz w:val="32"/>
          <w:szCs w:val="32"/>
        </w:rPr>
      </w:pPr>
      <w:r>
        <w:rPr>
          <w:rFonts w:hint="eastAsia" w:cs="黑体"/>
          <w:b/>
          <w:bCs/>
          <w:sz w:val="32"/>
          <w:szCs w:val="32"/>
        </w:rPr>
        <w:t>五、整改措施或建议</w:t>
      </w:r>
    </w:p>
    <w:p w14:paraId="1DEB3B9D">
      <w:pPr>
        <w:keepNext w:val="0"/>
        <w:keepLines w:val="0"/>
        <w:pageBreakBefore w:val="0"/>
        <w:widowControl/>
        <w:shd w:val="clear" w:color="auto" w:fill="FFFFFF"/>
        <w:kinsoku/>
        <w:wordWrap/>
        <w:topLinePunct w:val="0"/>
        <w:autoSpaceDE/>
        <w:autoSpaceDN/>
        <w:bidi w:val="0"/>
        <w:spacing w:afterAutospacing="0" w:line="560" w:lineRule="exact"/>
        <w:ind w:firstLine="600" w:firstLineChars="200"/>
        <w:jc w:val="left"/>
        <w:rPr>
          <w:rFonts w:hint="eastAsia" w:ascii="仿宋" w:hAnsi="仿宋" w:eastAsia="仿宋" w:cs="仿宋"/>
          <w:b w:val="0"/>
          <w:bCs/>
          <w:color w:val="000000"/>
          <w:kern w:val="0"/>
          <w:sz w:val="30"/>
          <w:szCs w:val="30"/>
          <w:lang w:val="en-US" w:eastAsia="zh-CN"/>
        </w:rPr>
      </w:pPr>
      <w:r>
        <w:rPr>
          <w:rFonts w:hint="eastAsia" w:ascii="仿宋" w:hAnsi="仿宋" w:eastAsia="仿宋" w:cs="仿宋"/>
          <w:b w:val="0"/>
          <w:bCs/>
          <w:color w:val="000000"/>
          <w:kern w:val="0"/>
          <w:sz w:val="30"/>
          <w:szCs w:val="30"/>
          <w:lang w:val="en-US" w:eastAsia="zh-CN"/>
        </w:rPr>
        <w:t>(一)配齐配强人员力量。我工保中心系社保基金民生保障窗口单位，任务重、责任大，工作成效一定程度上影响着政府形象。建议县领导对我中心给予工作关心和支持，配齐配强我中心机构编制人员力量，特别是急需配备1名具有正式编制且有会计专业的技术人员，切实保障社保基金管理绝对安全。</w:t>
      </w:r>
    </w:p>
    <w:p w14:paraId="5AFF510D">
      <w:pPr>
        <w:keepNext w:val="0"/>
        <w:keepLines w:val="0"/>
        <w:pageBreakBefore w:val="0"/>
        <w:widowControl/>
        <w:shd w:val="clear" w:color="auto" w:fill="FFFFFF"/>
        <w:kinsoku/>
        <w:wordWrap/>
        <w:topLinePunct w:val="0"/>
        <w:autoSpaceDE/>
        <w:autoSpaceDN/>
        <w:bidi w:val="0"/>
        <w:spacing w:afterAutospacing="0" w:line="560" w:lineRule="exact"/>
        <w:ind w:firstLine="600" w:firstLineChars="200"/>
        <w:jc w:val="left"/>
        <w:rPr>
          <w:rFonts w:hint="eastAsia" w:ascii="仿宋" w:hAnsi="仿宋" w:eastAsia="仿宋"/>
          <w:sz w:val="32"/>
          <w:szCs w:val="32"/>
        </w:rPr>
      </w:pPr>
      <w:r>
        <w:rPr>
          <w:rFonts w:hint="eastAsia" w:ascii="仿宋" w:hAnsi="仿宋" w:eastAsia="仿宋" w:cs="仿宋"/>
          <w:b w:val="0"/>
          <w:bCs/>
          <w:color w:val="000000"/>
          <w:kern w:val="0"/>
          <w:sz w:val="30"/>
          <w:szCs w:val="30"/>
          <w:lang w:val="en-US" w:eastAsia="zh-CN"/>
        </w:rPr>
        <w:t>(二)</w:t>
      </w:r>
      <w:r>
        <w:rPr>
          <w:rFonts w:hint="eastAsia" w:ascii="仿宋" w:hAnsi="仿宋" w:eastAsia="仿宋"/>
          <w:sz w:val="32"/>
          <w:szCs w:val="32"/>
        </w:rPr>
        <w:t>加强我单位队伍建设</w:t>
      </w:r>
      <w:r>
        <w:rPr>
          <w:rFonts w:hint="eastAsia" w:ascii="仿宋" w:hAnsi="仿宋" w:eastAsia="仿宋"/>
          <w:sz w:val="32"/>
          <w:szCs w:val="32"/>
          <w:lang w:eastAsia="zh-CN"/>
        </w:rPr>
        <w:t>，</w:t>
      </w:r>
      <w:r>
        <w:rPr>
          <w:rFonts w:hint="eastAsia" w:ascii="仿宋" w:hAnsi="仿宋" w:eastAsia="仿宋"/>
          <w:sz w:val="32"/>
          <w:szCs w:val="32"/>
        </w:rPr>
        <w:t>配齐配强业务经办工作人员</w:t>
      </w:r>
      <w:r>
        <w:rPr>
          <w:rFonts w:hint="eastAsia" w:ascii="仿宋" w:hAnsi="仿宋" w:eastAsia="仿宋"/>
          <w:sz w:val="32"/>
          <w:szCs w:val="32"/>
          <w:lang w:eastAsia="zh-CN"/>
        </w:rPr>
        <w:t>。建议</w:t>
      </w:r>
      <w:r>
        <w:rPr>
          <w:rFonts w:hint="eastAsia" w:ascii="仿宋" w:hAnsi="仿宋" w:eastAsia="仿宋"/>
          <w:sz w:val="32"/>
          <w:szCs w:val="32"/>
        </w:rPr>
        <w:t>将空余编制通过公开招考，招聘高素质大学生等年经人才，以充实和增强我中心业务经办队伍力量，解决队伍年龄结构老化的问题，落实“一事双岗双审”</w:t>
      </w:r>
      <w:r>
        <w:rPr>
          <w:rFonts w:hint="eastAsia" w:ascii="仿宋" w:hAnsi="仿宋" w:eastAsia="仿宋"/>
          <w:sz w:val="32"/>
          <w:szCs w:val="32"/>
          <w:lang w:eastAsia="zh-CN"/>
        </w:rPr>
        <w:t>社保基金安全监督管理</w:t>
      </w:r>
      <w:r>
        <w:rPr>
          <w:rFonts w:hint="eastAsia" w:ascii="仿宋" w:hAnsi="仿宋" w:eastAsia="仿宋"/>
          <w:sz w:val="32"/>
          <w:szCs w:val="32"/>
        </w:rPr>
        <w:t>要求。</w:t>
      </w:r>
    </w:p>
    <w:p w14:paraId="1EBCC577">
      <w:pPr>
        <w:keepNext w:val="0"/>
        <w:keepLines w:val="0"/>
        <w:pageBreakBefore w:val="0"/>
        <w:widowControl/>
        <w:shd w:val="clear" w:color="auto" w:fill="FFFFFF"/>
        <w:kinsoku/>
        <w:wordWrap/>
        <w:topLinePunct w:val="0"/>
        <w:autoSpaceDE/>
        <w:autoSpaceDN/>
        <w:bidi w:val="0"/>
        <w:spacing w:afterAutospacing="0" w:line="560" w:lineRule="exact"/>
        <w:ind w:firstLine="600" w:firstLineChars="200"/>
        <w:jc w:val="left"/>
        <w:rPr>
          <w:rFonts w:hint="eastAsia" w:ascii="仿宋" w:hAnsi="仿宋" w:eastAsia="仿宋"/>
          <w:sz w:val="32"/>
          <w:szCs w:val="32"/>
          <w:lang w:val="en-US" w:eastAsia="zh-CN"/>
        </w:rPr>
      </w:pPr>
      <w:r>
        <w:rPr>
          <w:rFonts w:hint="eastAsia" w:ascii="仿宋" w:hAnsi="仿宋" w:eastAsia="仿宋" w:cs="仿宋"/>
          <w:b w:val="0"/>
          <w:bCs/>
          <w:color w:val="000000"/>
          <w:kern w:val="0"/>
          <w:sz w:val="30"/>
          <w:szCs w:val="30"/>
          <w:lang w:val="en-US" w:eastAsia="zh-CN"/>
        </w:rPr>
        <w:t>（三）</w:t>
      </w:r>
      <w:r>
        <w:rPr>
          <w:rFonts w:hint="eastAsia" w:ascii="仿宋" w:hAnsi="仿宋" w:eastAsia="仿宋"/>
          <w:sz w:val="32"/>
          <w:szCs w:val="32"/>
          <w:lang w:val="en-US" w:eastAsia="zh-CN"/>
        </w:rPr>
        <w:t>工伤预防项目的组织实施，因政策不明朗不清楚，缺乏具体的可操作性，工伤预防宣传费就不能也不敢使用，人社、财政、卫健、应急管理等部门无法联席工作，与工伤预防项目签订服务协议。面对这种窘境，我们需要市级人社部门积极向省厅反映，在政策操作方面给予指导帮助。</w:t>
      </w:r>
    </w:p>
    <w:p w14:paraId="0395643E">
      <w:pPr>
        <w:keepNext w:val="0"/>
        <w:keepLines w:val="0"/>
        <w:pageBreakBefore w:val="0"/>
        <w:kinsoku/>
        <w:wordWrap/>
        <w:topLinePunct w:val="0"/>
        <w:autoSpaceDE/>
        <w:autoSpaceDN/>
        <w:bidi w:val="0"/>
        <w:spacing w:after="0" w:afterAutospacing="0" w:line="560" w:lineRule="exact"/>
        <w:ind w:firstLine="602" w:firstLineChars="200"/>
        <w:rPr>
          <w:rFonts w:ascii="宋体" w:hAnsi="宋体" w:eastAsia="宋体" w:cs="黑体"/>
          <w:b/>
          <w:bCs/>
          <w:sz w:val="30"/>
          <w:szCs w:val="30"/>
        </w:rPr>
      </w:pPr>
      <w:r>
        <w:rPr>
          <w:rFonts w:hint="eastAsia" w:ascii="宋体" w:hAnsi="宋体" w:eastAsia="宋体" w:cs="黑体"/>
          <w:b/>
          <w:bCs/>
          <w:sz w:val="30"/>
          <w:szCs w:val="30"/>
        </w:rPr>
        <w:t>六、其他需要说明的问题</w:t>
      </w:r>
    </w:p>
    <w:p w14:paraId="004DE2BF">
      <w:pPr>
        <w:spacing w:after="0" w:line="560" w:lineRule="exact"/>
        <w:ind w:firstLine="600" w:firstLineChars="200"/>
        <w:rPr>
          <w:rFonts w:ascii="宋体" w:hAnsi="宋体" w:eastAsia="宋体" w:cs="黑体"/>
          <w:bCs/>
          <w:sz w:val="30"/>
          <w:szCs w:val="30"/>
        </w:rPr>
        <w:sectPr>
          <w:footerReference r:id="rId4" w:type="default"/>
          <w:pgSz w:w="11906" w:h="16838"/>
          <w:pgMar w:top="1587" w:right="1587" w:bottom="1587" w:left="1587" w:header="708" w:footer="709" w:gutter="0"/>
          <w:cols w:space="0" w:num="1"/>
          <w:docGrid w:linePitch="360" w:charSpace="0"/>
        </w:sectPr>
      </w:pPr>
      <w:r>
        <w:rPr>
          <w:rFonts w:hint="eastAsia" w:ascii="宋体" w:hAnsi="宋体" w:eastAsia="宋体" w:cs="黑体"/>
          <w:bCs/>
          <w:sz w:val="30"/>
          <w:szCs w:val="30"/>
        </w:rPr>
        <w:t>无</w:t>
      </w:r>
    </w:p>
    <w:p w14:paraId="39C3E105">
      <w:pPr>
        <w:spacing w:line="400" w:lineRule="exact"/>
        <w:rPr>
          <w:rFonts w:ascii="黑体" w:hAnsi="仿宋_GB2312" w:eastAsia="黑体" w:cs="仿宋_GB2312"/>
          <w:sz w:val="32"/>
          <w:szCs w:val="32"/>
        </w:rPr>
      </w:pPr>
      <w:r>
        <w:rPr>
          <w:rFonts w:hint="eastAsia" w:ascii="黑体" w:hAnsi="仿宋_GB2312" w:eastAsia="黑体" w:cs="仿宋_GB2312"/>
          <w:sz w:val="28"/>
          <w:szCs w:val="28"/>
        </w:rPr>
        <w:t>附件</w:t>
      </w:r>
      <w:r>
        <w:rPr>
          <w:rFonts w:ascii="黑体" w:hAnsi="仿宋_GB2312" w:eastAsia="黑体" w:cs="仿宋_GB2312"/>
          <w:sz w:val="28"/>
          <w:szCs w:val="28"/>
        </w:rPr>
        <w:t>2</w:t>
      </w:r>
      <w:r>
        <w:rPr>
          <w:rFonts w:hint="eastAsia" w:ascii="黑体" w:hAnsi="仿宋_GB2312" w:eastAsia="黑体" w:cs="仿宋_GB2312"/>
          <w:sz w:val="32"/>
          <w:szCs w:val="32"/>
        </w:rPr>
        <w:t>：</w:t>
      </w:r>
    </w:p>
    <w:p w14:paraId="4BC6B0BA">
      <w:pPr>
        <w:spacing w:after="0" w:line="700" w:lineRule="atLeast"/>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color w:val="000000"/>
          <w:sz w:val="44"/>
          <w:szCs w:val="44"/>
        </w:rPr>
        <w:t>部门整体支出绩效评价指标体系评分表</w:t>
      </w:r>
    </w:p>
    <w:tbl>
      <w:tblPr>
        <w:tblStyle w:val="7"/>
        <w:tblW w:w="1414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33"/>
        <w:gridCol w:w="803"/>
        <w:gridCol w:w="1182"/>
        <w:gridCol w:w="6911"/>
        <w:gridCol w:w="3423"/>
        <w:gridCol w:w="1090"/>
      </w:tblGrid>
      <w:tr w14:paraId="34D574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5" w:hRule="atLeast"/>
          <w:tblHeader/>
          <w:jc w:val="center"/>
        </w:trPr>
        <w:tc>
          <w:tcPr>
            <w:tcW w:w="733" w:type="dxa"/>
            <w:vMerge w:val="restart"/>
            <w:tcBorders>
              <w:top w:val="single" w:color="000000" w:sz="4" w:space="0"/>
              <w:left w:val="single" w:color="000000" w:sz="4" w:space="0"/>
              <w:bottom w:val="single" w:color="000000" w:sz="4" w:space="0"/>
              <w:right w:val="single" w:color="000000" w:sz="4" w:space="0"/>
            </w:tcBorders>
            <w:vAlign w:val="center"/>
          </w:tcPr>
          <w:p w14:paraId="1522AC5A">
            <w:pPr>
              <w:spacing w:after="0" w:line="68" w:lineRule="atLeast"/>
              <w:jc w:val="center"/>
              <w:rPr>
                <w:rFonts w:ascii="宋体" w:hAnsi="宋体" w:eastAsia="宋体" w:cs="宋体"/>
              </w:rPr>
            </w:pPr>
            <w:r>
              <w:rPr>
                <w:rFonts w:hint="eastAsia" w:ascii="宋体" w:hAnsi="宋体" w:eastAsia="宋体" w:cs="宋体"/>
                <w:b/>
                <w:bCs/>
              </w:rPr>
              <w:t>一级指标</w:t>
            </w:r>
          </w:p>
        </w:tc>
        <w:tc>
          <w:tcPr>
            <w:tcW w:w="803" w:type="dxa"/>
            <w:vMerge w:val="restart"/>
            <w:tcBorders>
              <w:top w:val="single" w:color="000000" w:sz="4" w:space="0"/>
              <w:left w:val="single" w:color="000000" w:sz="4" w:space="0"/>
              <w:bottom w:val="single" w:color="000000" w:sz="4" w:space="0"/>
              <w:right w:val="single" w:color="000000" w:sz="4" w:space="0"/>
            </w:tcBorders>
            <w:vAlign w:val="center"/>
          </w:tcPr>
          <w:p w14:paraId="0EB5CF3E">
            <w:pPr>
              <w:spacing w:after="0" w:line="68" w:lineRule="atLeast"/>
              <w:jc w:val="center"/>
              <w:rPr>
                <w:rFonts w:ascii="宋体" w:hAnsi="宋体" w:eastAsia="宋体" w:cs="宋体"/>
              </w:rPr>
            </w:pPr>
            <w:r>
              <w:rPr>
                <w:rFonts w:hint="eastAsia" w:ascii="宋体" w:hAnsi="宋体" w:eastAsia="宋体" w:cs="宋体"/>
                <w:b/>
                <w:bCs/>
              </w:rPr>
              <w:t>二级指标</w:t>
            </w:r>
          </w:p>
        </w:tc>
        <w:tc>
          <w:tcPr>
            <w:tcW w:w="8093" w:type="dxa"/>
            <w:gridSpan w:val="2"/>
            <w:tcBorders>
              <w:top w:val="single" w:color="000000" w:sz="4" w:space="0"/>
              <w:left w:val="single" w:color="000000" w:sz="4" w:space="0"/>
              <w:bottom w:val="single" w:color="000000" w:sz="4" w:space="0"/>
              <w:right w:val="single" w:color="auto" w:sz="4" w:space="0"/>
            </w:tcBorders>
            <w:vAlign w:val="center"/>
          </w:tcPr>
          <w:p w14:paraId="749F4C64">
            <w:pPr>
              <w:spacing w:after="0" w:line="68" w:lineRule="atLeast"/>
              <w:jc w:val="center"/>
              <w:rPr>
                <w:rFonts w:ascii="宋体" w:hAnsi="宋体" w:eastAsia="宋体" w:cs="宋体"/>
              </w:rPr>
            </w:pPr>
            <w:r>
              <w:rPr>
                <w:rFonts w:hint="eastAsia" w:ascii="宋体" w:hAnsi="宋体" w:eastAsia="宋体" w:cs="宋体"/>
                <w:b/>
                <w:bCs/>
              </w:rPr>
              <w:t>三级指标</w:t>
            </w:r>
          </w:p>
        </w:tc>
        <w:tc>
          <w:tcPr>
            <w:tcW w:w="3423" w:type="dxa"/>
            <w:vMerge w:val="restart"/>
            <w:tcBorders>
              <w:top w:val="single" w:color="000000" w:sz="4" w:space="0"/>
              <w:left w:val="single" w:color="auto" w:sz="4" w:space="0"/>
              <w:bottom w:val="single" w:color="000000" w:sz="4" w:space="0"/>
              <w:right w:val="single" w:color="auto" w:sz="4" w:space="0"/>
            </w:tcBorders>
            <w:vAlign w:val="center"/>
          </w:tcPr>
          <w:p w14:paraId="628FD8CD">
            <w:pPr>
              <w:spacing w:after="0" w:line="68" w:lineRule="atLeast"/>
              <w:jc w:val="center"/>
              <w:rPr>
                <w:rFonts w:ascii="宋体" w:hAnsi="宋体" w:eastAsia="宋体" w:cs="宋体"/>
              </w:rPr>
            </w:pPr>
            <w:r>
              <w:rPr>
                <w:rFonts w:hint="eastAsia" w:ascii="宋体" w:hAnsi="宋体" w:eastAsia="宋体" w:cs="宋体"/>
                <w:b/>
                <w:bCs/>
              </w:rPr>
              <w:t>评分标准</w:t>
            </w:r>
          </w:p>
        </w:tc>
        <w:tc>
          <w:tcPr>
            <w:tcW w:w="1090" w:type="dxa"/>
            <w:vMerge w:val="restart"/>
            <w:tcBorders>
              <w:top w:val="single" w:color="000000" w:sz="4" w:space="0"/>
              <w:left w:val="single" w:color="auto" w:sz="4" w:space="0"/>
              <w:bottom w:val="single" w:color="000000" w:sz="4" w:space="0"/>
              <w:right w:val="single" w:color="auto" w:sz="4" w:space="0"/>
            </w:tcBorders>
            <w:vAlign w:val="center"/>
          </w:tcPr>
          <w:p w14:paraId="500113B2">
            <w:pPr>
              <w:spacing w:after="0" w:line="68" w:lineRule="atLeast"/>
              <w:jc w:val="center"/>
              <w:rPr>
                <w:rFonts w:ascii="宋体" w:hAnsi="宋体" w:eastAsia="宋体" w:cs="宋体"/>
              </w:rPr>
            </w:pPr>
            <w:r>
              <w:rPr>
                <w:rFonts w:hint="eastAsia" w:ascii="宋体" w:hAnsi="宋体" w:eastAsia="宋体" w:cs="宋体"/>
                <w:b/>
                <w:bCs/>
              </w:rPr>
              <w:t>得分</w:t>
            </w:r>
          </w:p>
        </w:tc>
      </w:tr>
      <w:tr w14:paraId="7F76C0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5" w:hRule="atLeast"/>
          <w:tblHeader/>
          <w:jc w:val="center"/>
        </w:trPr>
        <w:tc>
          <w:tcPr>
            <w:tcW w:w="733" w:type="dxa"/>
            <w:vMerge w:val="continue"/>
            <w:tcBorders>
              <w:top w:val="single" w:color="000000" w:sz="4" w:space="0"/>
              <w:left w:val="single" w:color="000000" w:sz="4" w:space="0"/>
              <w:bottom w:val="single" w:color="000000" w:sz="4" w:space="0"/>
              <w:right w:val="single" w:color="000000" w:sz="4" w:space="0"/>
            </w:tcBorders>
            <w:vAlign w:val="center"/>
          </w:tcPr>
          <w:p w14:paraId="7676344C">
            <w:pPr>
              <w:spacing w:after="0"/>
              <w:rPr>
                <w:rFonts w:ascii="宋体" w:hAnsi="宋体" w:eastAsia="宋体" w:cs="宋体"/>
              </w:rPr>
            </w:pPr>
          </w:p>
        </w:tc>
        <w:tc>
          <w:tcPr>
            <w:tcW w:w="803" w:type="dxa"/>
            <w:vMerge w:val="continue"/>
            <w:tcBorders>
              <w:top w:val="single" w:color="000000" w:sz="4" w:space="0"/>
              <w:left w:val="single" w:color="000000" w:sz="4" w:space="0"/>
              <w:bottom w:val="single" w:color="000000" w:sz="4" w:space="0"/>
              <w:right w:val="single" w:color="000000" w:sz="4" w:space="0"/>
            </w:tcBorders>
            <w:vAlign w:val="center"/>
          </w:tcPr>
          <w:p w14:paraId="5B8D9D8B">
            <w:pPr>
              <w:spacing w:after="0"/>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25CE8AE3">
            <w:pPr>
              <w:spacing w:after="0" w:line="68" w:lineRule="atLeast"/>
              <w:jc w:val="center"/>
              <w:rPr>
                <w:rFonts w:ascii="宋体" w:hAnsi="宋体" w:eastAsia="宋体" w:cs="宋体"/>
              </w:rPr>
            </w:pPr>
            <w:r>
              <w:rPr>
                <w:rFonts w:hint="eastAsia" w:ascii="宋体" w:hAnsi="宋体" w:eastAsia="宋体" w:cs="宋体"/>
                <w:b/>
                <w:bCs/>
              </w:rPr>
              <w:t>指标名称</w:t>
            </w:r>
          </w:p>
        </w:tc>
        <w:tc>
          <w:tcPr>
            <w:tcW w:w="6911" w:type="dxa"/>
            <w:tcBorders>
              <w:top w:val="single" w:color="000000" w:sz="4" w:space="0"/>
              <w:left w:val="single" w:color="auto" w:sz="4" w:space="0"/>
              <w:bottom w:val="single" w:color="000000" w:sz="4" w:space="0"/>
              <w:right w:val="single" w:color="auto" w:sz="4" w:space="0"/>
            </w:tcBorders>
            <w:vAlign w:val="center"/>
          </w:tcPr>
          <w:p w14:paraId="713916F9">
            <w:pPr>
              <w:spacing w:after="0" w:line="68" w:lineRule="atLeast"/>
              <w:jc w:val="center"/>
              <w:rPr>
                <w:rFonts w:ascii="宋体" w:hAnsi="宋体" w:eastAsia="宋体" w:cs="宋体"/>
              </w:rPr>
            </w:pPr>
            <w:r>
              <w:rPr>
                <w:rFonts w:hint="eastAsia" w:ascii="宋体" w:hAnsi="宋体" w:eastAsia="宋体" w:cs="宋体"/>
                <w:b/>
                <w:bCs/>
              </w:rPr>
              <w:t>指标解释说明</w:t>
            </w:r>
          </w:p>
        </w:tc>
        <w:tc>
          <w:tcPr>
            <w:tcW w:w="3423" w:type="dxa"/>
            <w:vMerge w:val="continue"/>
            <w:tcBorders>
              <w:top w:val="single" w:color="000000" w:sz="4" w:space="0"/>
              <w:left w:val="single" w:color="auto" w:sz="4" w:space="0"/>
              <w:bottom w:val="single" w:color="000000" w:sz="4" w:space="0"/>
              <w:right w:val="single" w:color="auto" w:sz="4" w:space="0"/>
            </w:tcBorders>
            <w:vAlign w:val="center"/>
          </w:tcPr>
          <w:p w14:paraId="650E2660">
            <w:pPr>
              <w:spacing w:after="0"/>
              <w:rPr>
                <w:rFonts w:ascii="宋体" w:hAnsi="宋体" w:eastAsia="宋体" w:cs="宋体"/>
              </w:rPr>
            </w:pPr>
          </w:p>
        </w:tc>
        <w:tc>
          <w:tcPr>
            <w:tcW w:w="1090" w:type="dxa"/>
            <w:vMerge w:val="continue"/>
            <w:tcBorders>
              <w:top w:val="single" w:color="000000" w:sz="4" w:space="0"/>
              <w:left w:val="single" w:color="auto" w:sz="4" w:space="0"/>
              <w:bottom w:val="single" w:color="000000" w:sz="4" w:space="0"/>
              <w:right w:val="single" w:color="auto" w:sz="4" w:space="0"/>
            </w:tcBorders>
            <w:vAlign w:val="center"/>
          </w:tcPr>
          <w:p w14:paraId="6F3D4CA2">
            <w:pPr>
              <w:spacing w:after="0"/>
              <w:rPr>
                <w:rFonts w:ascii="宋体" w:hAnsi="宋体" w:eastAsia="宋体" w:cs="宋体"/>
              </w:rPr>
            </w:pPr>
          </w:p>
        </w:tc>
      </w:tr>
      <w:tr w14:paraId="29FB61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70" w:hRule="atLeast"/>
          <w:jc w:val="center"/>
        </w:trPr>
        <w:tc>
          <w:tcPr>
            <w:tcW w:w="733" w:type="dxa"/>
            <w:vMerge w:val="restart"/>
            <w:tcBorders>
              <w:top w:val="single" w:color="000000" w:sz="4" w:space="0"/>
              <w:left w:val="single" w:color="000000" w:sz="4" w:space="0"/>
              <w:right w:val="single" w:color="000000" w:sz="4" w:space="0"/>
            </w:tcBorders>
          </w:tcPr>
          <w:p w14:paraId="02A6C3B1">
            <w:pPr>
              <w:spacing w:after="0" w:line="68" w:lineRule="atLeast"/>
              <w:rPr>
                <w:rFonts w:ascii="宋体" w:hAnsi="宋体" w:eastAsia="宋体" w:cs="宋体"/>
              </w:rPr>
            </w:pPr>
          </w:p>
          <w:p w14:paraId="112F56C9">
            <w:pPr>
              <w:spacing w:after="0" w:line="68" w:lineRule="atLeast"/>
              <w:rPr>
                <w:rFonts w:ascii="宋体" w:hAnsi="宋体" w:eastAsia="宋体" w:cs="宋体"/>
              </w:rPr>
            </w:pPr>
          </w:p>
          <w:p w14:paraId="318FE01F">
            <w:pPr>
              <w:spacing w:after="0" w:line="68" w:lineRule="atLeast"/>
              <w:rPr>
                <w:rFonts w:ascii="宋体" w:hAnsi="宋体" w:eastAsia="宋体" w:cs="宋体"/>
              </w:rPr>
            </w:pPr>
          </w:p>
          <w:p w14:paraId="4C3862CA">
            <w:pPr>
              <w:spacing w:after="0" w:line="68" w:lineRule="atLeast"/>
              <w:rPr>
                <w:rFonts w:ascii="宋体" w:hAnsi="宋体" w:eastAsia="宋体" w:cs="宋体"/>
              </w:rPr>
            </w:pPr>
          </w:p>
          <w:p w14:paraId="5D68DACC">
            <w:pPr>
              <w:spacing w:after="0" w:line="68" w:lineRule="atLeast"/>
              <w:rPr>
                <w:rFonts w:ascii="宋体" w:hAnsi="宋体" w:eastAsia="宋体" w:cs="宋体"/>
              </w:rPr>
            </w:pPr>
          </w:p>
          <w:p w14:paraId="3161ECAF">
            <w:pPr>
              <w:spacing w:after="0" w:line="68" w:lineRule="atLeast"/>
              <w:rPr>
                <w:rFonts w:ascii="宋体" w:hAnsi="宋体" w:eastAsia="宋体" w:cs="宋体"/>
              </w:rPr>
            </w:pPr>
          </w:p>
          <w:p w14:paraId="66575276">
            <w:pPr>
              <w:spacing w:after="0" w:line="68" w:lineRule="atLeast"/>
              <w:rPr>
                <w:rFonts w:ascii="宋体" w:hAnsi="宋体" w:eastAsia="宋体" w:cs="宋体"/>
              </w:rPr>
            </w:pPr>
          </w:p>
          <w:p w14:paraId="5990B4D4">
            <w:pPr>
              <w:spacing w:after="0" w:line="68" w:lineRule="atLeast"/>
              <w:rPr>
                <w:rFonts w:ascii="宋体" w:hAnsi="宋体" w:eastAsia="宋体" w:cs="宋体"/>
              </w:rPr>
            </w:pPr>
          </w:p>
          <w:p w14:paraId="4A7A4298">
            <w:pPr>
              <w:spacing w:after="0" w:line="68" w:lineRule="atLeast"/>
              <w:rPr>
                <w:rFonts w:ascii="宋体" w:hAnsi="宋体" w:eastAsia="宋体" w:cs="宋体"/>
              </w:rPr>
            </w:pPr>
          </w:p>
          <w:p w14:paraId="2166CEAC">
            <w:pPr>
              <w:spacing w:after="0" w:line="68" w:lineRule="atLeast"/>
              <w:rPr>
                <w:rFonts w:ascii="宋体" w:hAnsi="宋体" w:eastAsia="宋体" w:cs="宋体"/>
              </w:rPr>
            </w:pPr>
          </w:p>
          <w:p w14:paraId="2831179F">
            <w:pPr>
              <w:spacing w:after="0" w:line="68" w:lineRule="atLeast"/>
              <w:rPr>
                <w:rFonts w:ascii="宋体" w:hAnsi="宋体" w:eastAsia="宋体" w:cs="宋体"/>
              </w:rPr>
            </w:pPr>
            <w:r>
              <w:rPr>
                <w:rFonts w:hint="eastAsia" w:ascii="宋体" w:hAnsi="宋体" w:eastAsia="宋体" w:cs="宋体"/>
              </w:rPr>
              <w:t>投入（15分）</w:t>
            </w:r>
          </w:p>
          <w:p w14:paraId="1655AE70">
            <w:pPr>
              <w:spacing w:after="0" w:line="68" w:lineRule="atLeast"/>
              <w:rPr>
                <w:rFonts w:ascii="宋体" w:hAnsi="宋体" w:eastAsia="宋体" w:cs="宋体"/>
              </w:rPr>
            </w:pPr>
          </w:p>
          <w:p w14:paraId="1A31AD41">
            <w:pPr>
              <w:spacing w:after="0" w:line="68" w:lineRule="atLeast"/>
              <w:rPr>
                <w:rFonts w:ascii="宋体" w:hAnsi="宋体" w:eastAsia="宋体" w:cs="宋体"/>
              </w:rPr>
            </w:pPr>
          </w:p>
          <w:p w14:paraId="738E0523">
            <w:pPr>
              <w:spacing w:after="0" w:line="68" w:lineRule="atLeast"/>
              <w:rPr>
                <w:rFonts w:ascii="宋体" w:hAnsi="宋体" w:eastAsia="宋体" w:cs="宋体"/>
              </w:rPr>
            </w:pPr>
          </w:p>
          <w:p w14:paraId="78E2D73C">
            <w:pPr>
              <w:spacing w:after="0" w:line="68" w:lineRule="atLeast"/>
              <w:rPr>
                <w:rFonts w:ascii="宋体" w:hAnsi="宋体" w:eastAsia="宋体" w:cs="宋体"/>
              </w:rPr>
            </w:pPr>
          </w:p>
          <w:p w14:paraId="0DAAB02C">
            <w:pPr>
              <w:spacing w:after="0" w:line="68" w:lineRule="atLeast"/>
              <w:rPr>
                <w:rFonts w:ascii="宋体" w:hAnsi="宋体" w:eastAsia="宋体" w:cs="宋体"/>
              </w:rPr>
            </w:pPr>
          </w:p>
          <w:p w14:paraId="0B0184CB">
            <w:pPr>
              <w:spacing w:after="0" w:line="68" w:lineRule="atLeast"/>
              <w:rPr>
                <w:rFonts w:ascii="宋体" w:hAnsi="宋体" w:eastAsia="宋体" w:cs="宋体"/>
              </w:rPr>
            </w:pPr>
          </w:p>
          <w:p w14:paraId="482F7676">
            <w:pPr>
              <w:spacing w:after="0" w:line="68" w:lineRule="atLeast"/>
              <w:rPr>
                <w:rFonts w:ascii="宋体" w:hAnsi="宋体" w:eastAsia="宋体" w:cs="宋体"/>
              </w:rPr>
            </w:pPr>
          </w:p>
          <w:p w14:paraId="1310890A">
            <w:pPr>
              <w:spacing w:after="0" w:line="68" w:lineRule="atLeast"/>
              <w:rPr>
                <w:rFonts w:ascii="宋体" w:hAnsi="宋体" w:eastAsia="宋体" w:cs="宋体"/>
              </w:rPr>
            </w:pPr>
          </w:p>
          <w:p w14:paraId="5F3982F1">
            <w:pPr>
              <w:spacing w:after="0" w:line="68" w:lineRule="atLeast"/>
              <w:rPr>
                <w:rFonts w:ascii="宋体" w:hAnsi="宋体" w:eastAsia="宋体" w:cs="宋体"/>
              </w:rPr>
            </w:pPr>
          </w:p>
          <w:p w14:paraId="6AE62162">
            <w:pPr>
              <w:spacing w:after="0" w:line="68" w:lineRule="atLeast"/>
              <w:rPr>
                <w:rFonts w:ascii="宋体" w:hAnsi="宋体" w:eastAsia="宋体" w:cs="宋体"/>
              </w:rPr>
            </w:pPr>
          </w:p>
          <w:p w14:paraId="270E2A23">
            <w:pPr>
              <w:spacing w:after="0" w:line="68" w:lineRule="atLeast"/>
              <w:rPr>
                <w:rFonts w:ascii="宋体" w:hAnsi="宋体" w:eastAsia="宋体" w:cs="宋体"/>
              </w:rPr>
            </w:pPr>
          </w:p>
          <w:p w14:paraId="695E61CC">
            <w:pPr>
              <w:spacing w:after="0" w:line="68" w:lineRule="atLeast"/>
              <w:rPr>
                <w:rFonts w:ascii="宋体" w:hAnsi="宋体" w:eastAsia="宋体" w:cs="宋体"/>
              </w:rPr>
            </w:pPr>
          </w:p>
          <w:p w14:paraId="64105F28">
            <w:pPr>
              <w:spacing w:after="0" w:line="68" w:lineRule="atLeast"/>
              <w:rPr>
                <w:rFonts w:ascii="宋体" w:hAnsi="宋体" w:eastAsia="宋体" w:cs="宋体"/>
              </w:rPr>
            </w:pPr>
          </w:p>
          <w:p w14:paraId="341FFAD1">
            <w:pPr>
              <w:spacing w:after="0" w:line="68" w:lineRule="atLeast"/>
              <w:rPr>
                <w:rFonts w:ascii="宋体" w:hAnsi="宋体" w:eastAsia="宋体" w:cs="宋体"/>
              </w:rPr>
            </w:pPr>
          </w:p>
          <w:p w14:paraId="303CC35D">
            <w:pPr>
              <w:spacing w:after="0" w:line="68" w:lineRule="atLeast"/>
              <w:rPr>
                <w:rFonts w:ascii="宋体" w:hAnsi="宋体" w:eastAsia="宋体" w:cs="宋体"/>
              </w:rPr>
            </w:pPr>
          </w:p>
          <w:p w14:paraId="2F5A782F">
            <w:pPr>
              <w:spacing w:after="0" w:line="68" w:lineRule="atLeast"/>
              <w:rPr>
                <w:rFonts w:ascii="宋体" w:hAnsi="宋体" w:eastAsia="宋体" w:cs="宋体"/>
              </w:rPr>
            </w:pPr>
          </w:p>
          <w:p w14:paraId="5AFEC540">
            <w:pPr>
              <w:spacing w:after="0" w:line="68" w:lineRule="atLeast"/>
              <w:rPr>
                <w:rFonts w:ascii="宋体" w:hAnsi="宋体" w:eastAsia="宋体" w:cs="宋体"/>
              </w:rPr>
            </w:pPr>
          </w:p>
          <w:p w14:paraId="4AE148CE">
            <w:pPr>
              <w:spacing w:after="0" w:line="68" w:lineRule="atLeast"/>
              <w:rPr>
                <w:rFonts w:ascii="宋体" w:hAnsi="宋体" w:eastAsia="宋体" w:cs="宋体"/>
              </w:rPr>
            </w:pPr>
          </w:p>
          <w:p w14:paraId="7A0569A2">
            <w:pPr>
              <w:spacing w:after="0" w:line="68" w:lineRule="atLeast"/>
              <w:rPr>
                <w:rFonts w:ascii="宋体" w:hAnsi="宋体" w:eastAsia="宋体" w:cs="宋体"/>
              </w:rPr>
            </w:pPr>
          </w:p>
          <w:p w14:paraId="186B4640">
            <w:pPr>
              <w:spacing w:after="0" w:line="68" w:lineRule="atLeast"/>
              <w:rPr>
                <w:rFonts w:ascii="宋体" w:hAnsi="宋体" w:eastAsia="宋体" w:cs="宋体"/>
              </w:rPr>
            </w:pPr>
            <w:r>
              <w:rPr>
                <w:rFonts w:hint="eastAsia" w:ascii="宋体" w:hAnsi="宋体" w:eastAsia="宋体" w:cs="宋体"/>
              </w:rPr>
              <w:t>投入（15分）</w:t>
            </w:r>
          </w:p>
        </w:tc>
        <w:tc>
          <w:tcPr>
            <w:tcW w:w="803" w:type="dxa"/>
            <w:vMerge w:val="restart"/>
            <w:tcBorders>
              <w:top w:val="single" w:color="000000" w:sz="4" w:space="0"/>
              <w:left w:val="single" w:color="000000" w:sz="4" w:space="0"/>
              <w:right w:val="single" w:color="000000" w:sz="4" w:space="0"/>
            </w:tcBorders>
          </w:tcPr>
          <w:p w14:paraId="57EE172B">
            <w:pPr>
              <w:spacing w:after="0" w:line="240" w:lineRule="exact"/>
              <w:rPr>
                <w:rFonts w:ascii="宋体" w:hAnsi="宋体" w:eastAsia="宋体" w:cs="宋体"/>
              </w:rPr>
            </w:pPr>
          </w:p>
          <w:p w14:paraId="254C0263">
            <w:pPr>
              <w:spacing w:after="0" w:line="240" w:lineRule="exact"/>
              <w:rPr>
                <w:rFonts w:ascii="宋体" w:hAnsi="宋体" w:eastAsia="宋体" w:cs="宋体"/>
              </w:rPr>
            </w:pPr>
          </w:p>
          <w:p w14:paraId="56873404">
            <w:pPr>
              <w:spacing w:after="0" w:line="240" w:lineRule="exact"/>
              <w:rPr>
                <w:rFonts w:ascii="宋体" w:hAnsi="宋体" w:eastAsia="宋体" w:cs="宋体"/>
              </w:rPr>
            </w:pPr>
          </w:p>
          <w:p w14:paraId="581B18A9">
            <w:pPr>
              <w:spacing w:after="0" w:line="240" w:lineRule="exact"/>
              <w:rPr>
                <w:rFonts w:ascii="宋体" w:hAnsi="宋体" w:eastAsia="宋体" w:cs="宋体"/>
              </w:rPr>
            </w:pPr>
          </w:p>
          <w:p w14:paraId="5AF67F4E">
            <w:pPr>
              <w:spacing w:after="0" w:line="240" w:lineRule="exact"/>
              <w:rPr>
                <w:rFonts w:ascii="宋体" w:hAnsi="宋体" w:eastAsia="宋体" w:cs="宋体"/>
              </w:rPr>
            </w:pPr>
          </w:p>
          <w:p w14:paraId="17C0D7E3">
            <w:pPr>
              <w:spacing w:after="0" w:line="240" w:lineRule="exact"/>
              <w:rPr>
                <w:rFonts w:ascii="宋体" w:hAnsi="宋体" w:eastAsia="宋体" w:cs="宋体"/>
              </w:rPr>
            </w:pPr>
          </w:p>
          <w:p w14:paraId="39576A0E">
            <w:pPr>
              <w:spacing w:after="0" w:line="240" w:lineRule="exact"/>
              <w:rPr>
                <w:rFonts w:ascii="宋体" w:hAnsi="宋体" w:eastAsia="宋体" w:cs="宋体"/>
              </w:rPr>
            </w:pPr>
          </w:p>
          <w:p w14:paraId="652076F8">
            <w:pPr>
              <w:spacing w:after="0" w:line="240" w:lineRule="exact"/>
              <w:rPr>
                <w:rFonts w:ascii="宋体" w:hAnsi="宋体" w:eastAsia="宋体" w:cs="宋体"/>
              </w:rPr>
            </w:pPr>
          </w:p>
          <w:p w14:paraId="7AAC611A">
            <w:pPr>
              <w:spacing w:after="0" w:line="240" w:lineRule="exact"/>
              <w:rPr>
                <w:rFonts w:ascii="宋体" w:hAnsi="宋体" w:eastAsia="宋体" w:cs="宋体"/>
              </w:rPr>
            </w:pPr>
          </w:p>
          <w:p w14:paraId="55CA5EB4">
            <w:pPr>
              <w:spacing w:after="0" w:line="240" w:lineRule="exact"/>
              <w:rPr>
                <w:rFonts w:ascii="宋体" w:hAnsi="宋体" w:eastAsia="宋体" w:cs="宋体"/>
              </w:rPr>
            </w:pPr>
          </w:p>
          <w:p w14:paraId="11064091">
            <w:pPr>
              <w:spacing w:after="0" w:line="240" w:lineRule="exact"/>
              <w:rPr>
                <w:rFonts w:ascii="宋体" w:hAnsi="宋体" w:eastAsia="宋体" w:cs="宋体"/>
              </w:rPr>
            </w:pPr>
          </w:p>
          <w:p w14:paraId="75C66629">
            <w:pPr>
              <w:spacing w:after="0" w:line="240" w:lineRule="exact"/>
              <w:rPr>
                <w:rFonts w:ascii="宋体" w:hAnsi="宋体" w:eastAsia="宋体" w:cs="宋体"/>
              </w:rPr>
            </w:pPr>
          </w:p>
          <w:p w14:paraId="1C78284E">
            <w:pPr>
              <w:spacing w:after="0" w:line="240" w:lineRule="exact"/>
              <w:rPr>
                <w:rFonts w:ascii="宋体" w:hAnsi="宋体" w:eastAsia="宋体" w:cs="宋体"/>
              </w:rPr>
            </w:pPr>
          </w:p>
          <w:p w14:paraId="6A7694A5">
            <w:pPr>
              <w:spacing w:after="0" w:line="240" w:lineRule="exact"/>
              <w:rPr>
                <w:rFonts w:ascii="宋体" w:hAnsi="宋体" w:eastAsia="宋体" w:cs="宋体"/>
              </w:rPr>
            </w:pPr>
            <w:r>
              <w:rPr>
                <w:rFonts w:hint="eastAsia" w:ascii="宋体" w:hAnsi="宋体" w:eastAsia="宋体" w:cs="宋体"/>
              </w:rPr>
              <w:t>目标设定</w:t>
            </w:r>
          </w:p>
          <w:p w14:paraId="4C51161B">
            <w:pPr>
              <w:spacing w:after="0" w:line="68" w:lineRule="atLeast"/>
              <w:rPr>
                <w:rFonts w:ascii="宋体" w:hAnsi="宋体" w:eastAsia="宋体" w:cs="宋体"/>
              </w:rPr>
            </w:pPr>
            <w:r>
              <w:rPr>
                <w:rFonts w:hint="eastAsia" w:ascii="宋体" w:hAnsi="宋体" w:eastAsia="宋体" w:cs="宋体"/>
              </w:rPr>
              <w:t>（5分）</w:t>
            </w:r>
          </w:p>
        </w:tc>
        <w:tc>
          <w:tcPr>
            <w:tcW w:w="1182" w:type="dxa"/>
            <w:tcBorders>
              <w:top w:val="single" w:color="000000" w:sz="4" w:space="0"/>
              <w:left w:val="single" w:color="000000" w:sz="4" w:space="0"/>
              <w:bottom w:val="single" w:color="auto" w:sz="4" w:space="0"/>
              <w:right w:val="single" w:color="auto" w:sz="4" w:space="0"/>
            </w:tcBorders>
          </w:tcPr>
          <w:p w14:paraId="4FE45D10">
            <w:pPr>
              <w:spacing w:after="0" w:line="68" w:lineRule="atLeast"/>
              <w:rPr>
                <w:rFonts w:ascii="宋体" w:hAnsi="宋体" w:eastAsia="宋体" w:cs="宋体"/>
              </w:rPr>
            </w:pPr>
            <w:r>
              <w:rPr>
                <w:rFonts w:hint="eastAsia" w:ascii="宋体" w:hAnsi="宋体" w:eastAsia="宋体" w:cs="宋体"/>
              </w:rPr>
              <w:t>职责明确（1分）</w:t>
            </w:r>
          </w:p>
        </w:tc>
        <w:tc>
          <w:tcPr>
            <w:tcW w:w="6911" w:type="dxa"/>
            <w:tcBorders>
              <w:top w:val="single" w:color="000000" w:sz="4" w:space="0"/>
              <w:left w:val="single" w:color="auto" w:sz="4" w:space="0"/>
              <w:bottom w:val="single" w:color="auto" w:sz="4" w:space="0"/>
              <w:right w:val="single" w:color="auto" w:sz="4" w:space="0"/>
            </w:tcBorders>
          </w:tcPr>
          <w:p w14:paraId="508DC226">
            <w:pPr>
              <w:spacing w:after="0" w:line="68" w:lineRule="atLeast"/>
              <w:rPr>
                <w:rFonts w:ascii="宋体" w:hAnsi="宋体" w:eastAsia="宋体" w:cs="宋体"/>
              </w:rPr>
            </w:pPr>
            <w:r>
              <w:rPr>
                <w:rFonts w:hint="eastAsia" w:ascii="宋体" w:hAnsi="宋体" w:eastAsia="宋体" w:cs="宋体"/>
              </w:rPr>
              <w:t>部门的职责设定是否符合“三定”方案中所赋予的职责和年度承担的重点工作，用以反映和评价部门工作的目的性与计划性。</w:t>
            </w:r>
          </w:p>
        </w:tc>
        <w:tc>
          <w:tcPr>
            <w:tcW w:w="3423" w:type="dxa"/>
            <w:tcBorders>
              <w:top w:val="single" w:color="000000" w:sz="4" w:space="0"/>
              <w:left w:val="single" w:color="auto" w:sz="4" w:space="0"/>
              <w:bottom w:val="single" w:color="auto" w:sz="4" w:space="0"/>
              <w:right w:val="single" w:color="auto" w:sz="4" w:space="0"/>
            </w:tcBorders>
          </w:tcPr>
          <w:p w14:paraId="2B67E057">
            <w:pPr>
              <w:spacing w:after="0" w:line="240" w:lineRule="exact"/>
              <w:rPr>
                <w:rFonts w:ascii="宋体" w:hAnsi="宋体" w:eastAsia="宋体" w:cs="宋体"/>
              </w:rPr>
            </w:pPr>
            <w:r>
              <w:rPr>
                <w:rFonts w:hint="eastAsia" w:ascii="宋体" w:hAnsi="宋体" w:eastAsia="宋体" w:cs="宋体"/>
              </w:rPr>
              <w:t>符合（1分）；</w:t>
            </w:r>
          </w:p>
          <w:p w14:paraId="22F547BE">
            <w:pPr>
              <w:spacing w:after="0" w:line="68" w:lineRule="atLeast"/>
              <w:rPr>
                <w:rFonts w:ascii="宋体" w:hAnsi="宋体" w:eastAsia="宋体" w:cs="宋体"/>
              </w:rPr>
            </w:pPr>
            <w:r>
              <w:rPr>
                <w:rFonts w:hint="eastAsia" w:ascii="宋体" w:hAnsi="宋体" w:eastAsia="宋体" w:cs="宋体"/>
              </w:rPr>
              <w:t>不符合（0分）。</w:t>
            </w:r>
          </w:p>
        </w:tc>
        <w:tc>
          <w:tcPr>
            <w:tcW w:w="1090" w:type="dxa"/>
            <w:tcBorders>
              <w:top w:val="single" w:color="000000" w:sz="4" w:space="0"/>
              <w:left w:val="single" w:color="auto" w:sz="4" w:space="0"/>
              <w:bottom w:val="single" w:color="auto" w:sz="4" w:space="0"/>
              <w:right w:val="single" w:color="000000" w:sz="4" w:space="0"/>
            </w:tcBorders>
          </w:tcPr>
          <w:p w14:paraId="5B5E0431">
            <w:pPr>
              <w:spacing w:after="0" w:line="68" w:lineRule="atLeast"/>
              <w:rPr>
                <w:rFonts w:hint="eastAsia"/>
              </w:rPr>
            </w:pPr>
            <w:r>
              <w:rPr>
                <w:rFonts w:hint="eastAsia"/>
              </w:rPr>
              <w:t> </w:t>
            </w:r>
          </w:p>
          <w:p w14:paraId="43B0E8BA">
            <w:pPr>
              <w:bidi w:val="0"/>
              <w:jc w:val="center"/>
              <w:rPr>
                <w:rFonts w:hint="default" w:ascii="Tahoma" w:hAnsi="Tahoma" w:eastAsia="微软雅黑" w:cstheme="minorBidi"/>
                <w:sz w:val="22"/>
                <w:szCs w:val="22"/>
                <w:lang w:val="en-US" w:eastAsia="zh-CN" w:bidi="ar-SA"/>
              </w:rPr>
            </w:pPr>
            <w:r>
              <w:rPr>
                <w:rFonts w:hint="eastAsia" w:cstheme="minorBidi"/>
                <w:sz w:val="22"/>
                <w:szCs w:val="22"/>
                <w:lang w:val="en-US" w:eastAsia="zh-CN" w:bidi="ar-SA"/>
              </w:rPr>
              <w:t>1</w:t>
            </w:r>
          </w:p>
        </w:tc>
      </w:tr>
      <w:tr w14:paraId="312CF9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44" w:hRule="atLeast"/>
          <w:jc w:val="center"/>
        </w:trPr>
        <w:tc>
          <w:tcPr>
            <w:tcW w:w="733" w:type="dxa"/>
            <w:vMerge w:val="continue"/>
            <w:tcBorders>
              <w:left w:val="single" w:color="000000" w:sz="4" w:space="0"/>
              <w:right w:val="single" w:color="000000" w:sz="4" w:space="0"/>
            </w:tcBorders>
            <w:vAlign w:val="center"/>
          </w:tcPr>
          <w:p w14:paraId="60018B24">
            <w:pPr>
              <w:spacing w:after="0"/>
              <w:rPr>
                <w:rFonts w:ascii="宋体" w:hAnsi="宋体" w:eastAsia="宋体" w:cs="宋体"/>
              </w:rPr>
            </w:pPr>
          </w:p>
        </w:tc>
        <w:tc>
          <w:tcPr>
            <w:tcW w:w="803" w:type="dxa"/>
            <w:vMerge w:val="continue"/>
            <w:tcBorders>
              <w:left w:val="single" w:color="000000" w:sz="4" w:space="0"/>
              <w:right w:val="single" w:color="000000" w:sz="4" w:space="0"/>
            </w:tcBorders>
            <w:vAlign w:val="center"/>
          </w:tcPr>
          <w:p w14:paraId="0687E0A9">
            <w:pPr>
              <w:spacing w:after="0"/>
              <w:rPr>
                <w:rFonts w:ascii="宋体" w:hAnsi="宋体" w:eastAsia="宋体" w:cs="宋体"/>
              </w:rPr>
            </w:pPr>
          </w:p>
        </w:tc>
        <w:tc>
          <w:tcPr>
            <w:tcW w:w="1182" w:type="dxa"/>
            <w:tcBorders>
              <w:top w:val="single" w:color="000000" w:sz="4" w:space="0"/>
              <w:left w:val="single" w:color="000000" w:sz="4" w:space="0"/>
              <w:bottom w:val="single" w:color="auto" w:sz="4" w:space="0"/>
              <w:right w:val="single" w:color="auto" w:sz="4" w:space="0"/>
            </w:tcBorders>
            <w:vAlign w:val="center"/>
          </w:tcPr>
          <w:p w14:paraId="1566D4BF">
            <w:pPr>
              <w:spacing w:after="0" w:line="68" w:lineRule="atLeast"/>
              <w:rPr>
                <w:rFonts w:ascii="宋体" w:hAnsi="宋体" w:eastAsia="宋体" w:cs="宋体"/>
              </w:rPr>
            </w:pPr>
            <w:r>
              <w:rPr>
                <w:rFonts w:hint="eastAsia" w:ascii="宋体" w:hAnsi="宋体" w:eastAsia="宋体" w:cs="宋体"/>
              </w:rPr>
              <w:t>活动合规性（1分）</w:t>
            </w:r>
          </w:p>
        </w:tc>
        <w:tc>
          <w:tcPr>
            <w:tcW w:w="6911" w:type="dxa"/>
            <w:tcBorders>
              <w:top w:val="single" w:color="000000" w:sz="4" w:space="0"/>
              <w:left w:val="single" w:color="auto" w:sz="4" w:space="0"/>
              <w:bottom w:val="single" w:color="auto" w:sz="4" w:space="0"/>
              <w:right w:val="single" w:color="auto" w:sz="4" w:space="0"/>
            </w:tcBorders>
            <w:vAlign w:val="center"/>
          </w:tcPr>
          <w:p w14:paraId="568AD9F4">
            <w:pPr>
              <w:spacing w:after="0" w:line="240" w:lineRule="exact"/>
              <w:rPr>
                <w:rFonts w:ascii="宋体" w:hAnsi="宋体" w:eastAsia="宋体" w:cs="宋体"/>
              </w:rPr>
            </w:pPr>
            <w:r>
              <w:rPr>
                <w:rFonts w:hint="eastAsia" w:ascii="宋体" w:hAnsi="宋体" w:eastAsia="宋体" w:cs="宋体"/>
              </w:rPr>
              <w:t>部门的活动是否在职责范围之内并符合部门中长期规划，用以反映和评价部门活动目标与部门履职、年度工作任务的相符性情况。</w:t>
            </w:r>
          </w:p>
          <w:p w14:paraId="5A3F6C42">
            <w:pPr>
              <w:spacing w:after="0" w:line="240" w:lineRule="exact"/>
              <w:rPr>
                <w:rFonts w:ascii="宋体" w:hAnsi="宋体" w:eastAsia="宋体" w:cs="宋体"/>
              </w:rPr>
            </w:pPr>
            <w:r>
              <w:rPr>
                <w:rFonts w:hint="eastAsia" w:ascii="宋体" w:hAnsi="宋体" w:eastAsia="宋体" w:cs="宋体"/>
              </w:rPr>
              <w:t>评价要点：</w:t>
            </w:r>
          </w:p>
          <w:p w14:paraId="741DDA2A">
            <w:pPr>
              <w:spacing w:after="0" w:line="240" w:lineRule="exact"/>
              <w:rPr>
                <w:rFonts w:ascii="宋体" w:hAnsi="宋体" w:eastAsia="宋体" w:cs="宋体"/>
              </w:rPr>
            </w:pPr>
            <w:r>
              <w:rPr>
                <w:rFonts w:hint="eastAsia" w:ascii="宋体" w:hAnsi="宋体" w:eastAsia="宋体" w:cs="宋体"/>
              </w:rPr>
              <w:t>1.部门活动的设定在部门所确定的职责范围之内；</w:t>
            </w:r>
          </w:p>
          <w:p w14:paraId="437763F4">
            <w:pPr>
              <w:spacing w:after="0" w:line="68" w:lineRule="atLeast"/>
              <w:rPr>
                <w:rFonts w:ascii="宋体" w:hAnsi="宋体" w:eastAsia="宋体" w:cs="宋体"/>
              </w:rPr>
            </w:pPr>
            <w:r>
              <w:rPr>
                <w:rFonts w:hint="eastAsia" w:ascii="宋体" w:hAnsi="宋体" w:eastAsia="宋体" w:cs="宋体"/>
              </w:rPr>
              <w:t>2.部门活动符合市委、市政府的发展规划及本部门的年度工作安排与发展规划。</w:t>
            </w:r>
          </w:p>
        </w:tc>
        <w:tc>
          <w:tcPr>
            <w:tcW w:w="3423" w:type="dxa"/>
            <w:tcBorders>
              <w:top w:val="single" w:color="000000" w:sz="4" w:space="0"/>
              <w:left w:val="single" w:color="auto" w:sz="4" w:space="0"/>
              <w:bottom w:val="single" w:color="auto" w:sz="4" w:space="0"/>
              <w:right w:val="single" w:color="auto" w:sz="4" w:space="0"/>
            </w:tcBorders>
            <w:vAlign w:val="center"/>
          </w:tcPr>
          <w:p w14:paraId="3159BFD2">
            <w:pPr>
              <w:spacing w:after="0" w:line="240" w:lineRule="exact"/>
              <w:rPr>
                <w:rFonts w:ascii="宋体" w:hAnsi="宋体" w:eastAsia="宋体" w:cs="宋体"/>
              </w:rPr>
            </w:pPr>
            <w:r>
              <w:rPr>
                <w:rFonts w:hint="eastAsia" w:ascii="宋体" w:hAnsi="宋体" w:eastAsia="宋体" w:cs="宋体"/>
              </w:rPr>
              <w:t>全部符合（1分）；</w:t>
            </w:r>
          </w:p>
          <w:p w14:paraId="542258C3">
            <w:pPr>
              <w:spacing w:after="0" w:line="68" w:lineRule="atLeast"/>
              <w:rPr>
                <w:rFonts w:ascii="宋体" w:hAnsi="宋体" w:eastAsia="宋体" w:cs="宋体"/>
              </w:rPr>
            </w:pPr>
            <w:r>
              <w:rPr>
                <w:rFonts w:hint="eastAsia" w:ascii="宋体" w:hAnsi="宋体" w:eastAsia="宋体" w:cs="宋体"/>
              </w:rPr>
              <w:t>其中一项不符合（0分）。</w:t>
            </w:r>
          </w:p>
        </w:tc>
        <w:tc>
          <w:tcPr>
            <w:tcW w:w="1090" w:type="dxa"/>
            <w:tcBorders>
              <w:top w:val="single" w:color="000000" w:sz="4" w:space="0"/>
              <w:left w:val="single" w:color="auto" w:sz="4" w:space="0"/>
              <w:bottom w:val="single" w:color="auto" w:sz="4" w:space="0"/>
              <w:right w:val="single" w:color="000000" w:sz="4" w:space="0"/>
            </w:tcBorders>
            <w:vAlign w:val="center"/>
          </w:tcPr>
          <w:p w14:paraId="2D577094">
            <w:pPr>
              <w:spacing w:after="0" w:line="68" w:lineRule="atLeast"/>
              <w:rPr>
                <w:rFonts w:hint="eastAsia" w:ascii="宋体" w:hAnsi="宋体" w:eastAsia="宋体" w:cs="宋体"/>
                <w:lang w:val="en-US" w:eastAsia="zh-CN"/>
              </w:rPr>
            </w:pPr>
            <w:r>
              <w:rPr>
                <w:rFonts w:hint="eastAsia" w:ascii="宋体" w:hAnsi="宋体" w:eastAsia="宋体" w:cs="宋体"/>
              </w:rPr>
              <w:t> </w:t>
            </w:r>
            <w:r>
              <w:rPr>
                <w:rFonts w:hint="eastAsia" w:ascii="宋体" w:hAnsi="宋体" w:eastAsia="宋体" w:cs="宋体"/>
                <w:lang w:val="en-US" w:eastAsia="zh-CN"/>
              </w:rPr>
              <w:t>1</w:t>
            </w:r>
          </w:p>
        </w:tc>
      </w:tr>
      <w:tr w14:paraId="192EC7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32" w:hRule="atLeast"/>
          <w:jc w:val="center"/>
        </w:trPr>
        <w:tc>
          <w:tcPr>
            <w:tcW w:w="733" w:type="dxa"/>
            <w:vMerge w:val="continue"/>
            <w:tcBorders>
              <w:left w:val="single" w:color="000000" w:sz="4" w:space="0"/>
              <w:right w:val="single" w:color="000000" w:sz="4" w:space="0"/>
            </w:tcBorders>
            <w:vAlign w:val="center"/>
          </w:tcPr>
          <w:p w14:paraId="72400E3B">
            <w:pPr>
              <w:spacing w:after="0"/>
              <w:rPr>
                <w:rFonts w:ascii="宋体" w:hAnsi="宋体" w:eastAsia="宋体" w:cs="宋体"/>
              </w:rPr>
            </w:pPr>
          </w:p>
        </w:tc>
        <w:tc>
          <w:tcPr>
            <w:tcW w:w="803" w:type="dxa"/>
            <w:vMerge w:val="continue"/>
            <w:tcBorders>
              <w:left w:val="single" w:color="000000" w:sz="4" w:space="0"/>
              <w:right w:val="single" w:color="000000" w:sz="4" w:space="0"/>
            </w:tcBorders>
            <w:vAlign w:val="center"/>
          </w:tcPr>
          <w:p w14:paraId="249B6A9B">
            <w:pPr>
              <w:spacing w:after="0"/>
              <w:rPr>
                <w:rFonts w:ascii="宋体" w:hAnsi="宋体" w:eastAsia="宋体" w:cs="宋体"/>
              </w:rPr>
            </w:pPr>
          </w:p>
        </w:tc>
        <w:tc>
          <w:tcPr>
            <w:tcW w:w="1182" w:type="dxa"/>
            <w:tcBorders>
              <w:top w:val="single" w:color="000000" w:sz="4" w:space="0"/>
              <w:left w:val="single" w:color="000000" w:sz="4" w:space="0"/>
              <w:bottom w:val="single" w:color="auto" w:sz="4" w:space="0"/>
              <w:right w:val="single" w:color="auto" w:sz="4" w:space="0"/>
            </w:tcBorders>
            <w:vAlign w:val="center"/>
          </w:tcPr>
          <w:p w14:paraId="3445567C">
            <w:pPr>
              <w:spacing w:after="0" w:line="68" w:lineRule="atLeast"/>
              <w:rPr>
                <w:rFonts w:ascii="宋体" w:hAnsi="宋体" w:eastAsia="宋体" w:cs="宋体"/>
              </w:rPr>
            </w:pPr>
            <w:r>
              <w:rPr>
                <w:rFonts w:hint="eastAsia" w:ascii="宋体" w:hAnsi="宋体" w:eastAsia="宋体" w:cs="宋体"/>
              </w:rPr>
              <w:t>活动合理性（1分）</w:t>
            </w:r>
          </w:p>
        </w:tc>
        <w:tc>
          <w:tcPr>
            <w:tcW w:w="6911" w:type="dxa"/>
            <w:tcBorders>
              <w:top w:val="single" w:color="000000" w:sz="4" w:space="0"/>
              <w:left w:val="single" w:color="auto" w:sz="4" w:space="0"/>
              <w:bottom w:val="single" w:color="auto" w:sz="4" w:space="0"/>
              <w:right w:val="single" w:color="auto" w:sz="4" w:space="0"/>
            </w:tcBorders>
            <w:vAlign w:val="center"/>
          </w:tcPr>
          <w:p w14:paraId="0493158E">
            <w:pPr>
              <w:spacing w:after="0" w:line="240" w:lineRule="exact"/>
              <w:rPr>
                <w:rFonts w:ascii="宋体" w:hAnsi="宋体" w:eastAsia="宋体" w:cs="宋体"/>
              </w:rPr>
            </w:pPr>
            <w:r>
              <w:rPr>
                <w:rFonts w:hint="eastAsia" w:ascii="宋体" w:hAnsi="宋体" w:eastAsia="宋体" w:cs="宋体"/>
              </w:rPr>
              <w:t>部门所设立的活动是否明确合理、活动的关键性指标设置是否可衡量，用以反映和评价部门活动目标设定的合理性。</w:t>
            </w:r>
          </w:p>
          <w:p w14:paraId="60F9CA29">
            <w:pPr>
              <w:spacing w:after="0" w:line="240" w:lineRule="exact"/>
              <w:rPr>
                <w:rFonts w:ascii="宋体" w:hAnsi="宋体" w:eastAsia="宋体" w:cs="宋体"/>
              </w:rPr>
            </w:pPr>
            <w:r>
              <w:rPr>
                <w:rFonts w:hint="eastAsia" w:ascii="宋体" w:hAnsi="宋体" w:eastAsia="宋体" w:cs="宋体"/>
              </w:rPr>
              <w:t>评价要点：</w:t>
            </w:r>
          </w:p>
          <w:p w14:paraId="6F601247">
            <w:pPr>
              <w:spacing w:after="0" w:line="240" w:lineRule="exact"/>
              <w:rPr>
                <w:rFonts w:ascii="宋体" w:hAnsi="宋体" w:eastAsia="宋体" w:cs="宋体"/>
              </w:rPr>
            </w:pPr>
            <w:r>
              <w:rPr>
                <w:rFonts w:hint="eastAsia" w:ascii="宋体" w:hAnsi="宋体" w:eastAsia="宋体" w:cs="宋体"/>
              </w:rPr>
              <w:t>1.活动目标的设定是可量化的，可通过清晰、可衡量的关键指标值予以体现；</w:t>
            </w:r>
          </w:p>
          <w:p w14:paraId="6A9798E9">
            <w:pPr>
              <w:spacing w:after="0" w:line="68" w:lineRule="atLeast"/>
              <w:rPr>
                <w:rFonts w:ascii="宋体" w:hAnsi="宋体" w:eastAsia="宋体" w:cs="宋体"/>
              </w:rPr>
            </w:pPr>
            <w:r>
              <w:rPr>
                <w:rFonts w:hint="eastAsia" w:ascii="宋体" w:hAnsi="宋体" w:eastAsia="宋体" w:cs="宋体"/>
              </w:rPr>
              <w:t>2.在活动目标设定时，将关键指标明细分解为具体的达成目标与工作任务。</w:t>
            </w:r>
          </w:p>
        </w:tc>
        <w:tc>
          <w:tcPr>
            <w:tcW w:w="3423" w:type="dxa"/>
            <w:tcBorders>
              <w:top w:val="single" w:color="000000" w:sz="4" w:space="0"/>
              <w:left w:val="single" w:color="auto" w:sz="4" w:space="0"/>
              <w:bottom w:val="single" w:color="auto" w:sz="4" w:space="0"/>
              <w:right w:val="single" w:color="auto" w:sz="4" w:space="0"/>
            </w:tcBorders>
            <w:vAlign w:val="center"/>
          </w:tcPr>
          <w:p w14:paraId="2FF808B7">
            <w:pPr>
              <w:spacing w:after="0" w:line="240" w:lineRule="exact"/>
              <w:rPr>
                <w:rFonts w:ascii="宋体" w:hAnsi="宋体" w:eastAsia="宋体" w:cs="宋体"/>
              </w:rPr>
            </w:pPr>
            <w:r>
              <w:rPr>
                <w:rFonts w:hint="eastAsia" w:ascii="宋体" w:hAnsi="宋体" w:eastAsia="宋体" w:cs="宋体"/>
              </w:rPr>
              <w:t>全部符合（1分）；</w:t>
            </w:r>
          </w:p>
          <w:p w14:paraId="3AC52619">
            <w:pPr>
              <w:spacing w:after="0" w:line="68" w:lineRule="atLeast"/>
              <w:rPr>
                <w:rFonts w:ascii="宋体" w:hAnsi="宋体" w:eastAsia="宋体" w:cs="宋体"/>
              </w:rPr>
            </w:pPr>
            <w:r>
              <w:rPr>
                <w:rFonts w:hint="eastAsia" w:ascii="宋体" w:hAnsi="宋体" w:eastAsia="宋体" w:cs="宋体"/>
              </w:rPr>
              <w:t>其中一项不符合（0分）。</w:t>
            </w:r>
          </w:p>
        </w:tc>
        <w:tc>
          <w:tcPr>
            <w:tcW w:w="1090" w:type="dxa"/>
            <w:tcBorders>
              <w:top w:val="single" w:color="000000" w:sz="4" w:space="0"/>
              <w:left w:val="single" w:color="auto" w:sz="4" w:space="0"/>
              <w:bottom w:val="single" w:color="auto" w:sz="4" w:space="0"/>
              <w:right w:val="single" w:color="000000" w:sz="4" w:space="0"/>
            </w:tcBorders>
            <w:vAlign w:val="center"/>
          </w:tcPr>
          <w:p w14:paraId="2CD7EFD7">
            <w:pPr>
              <w:spacing w:after="0" w:line="68" w:lineRule="atLeast"/>
              <w:rPr>
                <w:rFonts w:hint="eastAsia" w:ascii="宋体" w:hAnsi="宋体" w:eastAsia="宋体" w:cs="宋体"/>
                <w:lang w:val="en-US" w:eastAsia="zh-CN"/>
              </w:rPr>
            </w:pPr>
            <w:r>
              <w:rPr>
                <w:rFonts w:hint="eastAsia" w:ascii="宋体" w:hAnsi="宋体" w:eastAsia="宋体" w:cs="宋体"/>
              </w:rPr>
              <w:t> </w:t>
            </w:r>
            <w:r>
              <w:rPr>
                <w:rFonts w:hint="eastAsia" w:ascii="宋体" w:hAnsi="宋体" w:eastAsia="宋体" w:cs="宋体"/>
                <w:lang w:val="en-US" w:eastAsia="zh-CN"/>
              </w:rPr>
              <w:t>1</w:t>
            </w:r>
          </w:p>
        </w:tc>
      </w:tr>
      <w:tr w14:paraId="088778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34" w:hRule="atLeast"/>
          <w:jc w:val="center"/>
        </w:trPr>
        <w:tc>
          <w:tcPr>
            <w:tcW w:w="733" w:type="dxa"/>
            <w:vMerge w:val="continue"/>
            <w:tcBorders>
              <w:left w:val="single" w:color="000000" w:sz="4" w:space="0"/>
              <w:right w:val="single" w:color="000000" w:sz="4" w:space="0"/>
            </w:tcBorders>
            <w:vAlign w:val="center"/>
          </w:tcPr>
          <w:p w14:paraId="36CEAA69">
            <w:pPr>
              <w:spacing w:after="0"/>
              <w:rPr>
                <w:rFonts w:ascii="宋体" w:hAnsi="宋体" w:eastAsia="宋体" w:cs="宋体"/>
              </w:rPr>
            </w:pPr>
          </w:p>
        </w:tc>
        <w:tc>
          <w:tcPr>
            <w:tcW w:w="803" w:type="dxa"/>
            <w:vMerge w:val="continue"/>
            <w:tcBorders>
              <w:left w:val="single" w:color="000000" w:sz="4" w:space="0"/>
              <w:right w:val="single" w:color="000000" w:sz="4" w:space="0"/>
            </w:tcBorders>
            <w:vAlign w:val="center"/>
          </w:tcPr>
          <w:p w14:paraId="705AFE6A">
            <w:pPr>
              <w:spacing w:after="0"/>
              <w:rPr>
                <w:rFonts w:ascii="宋体" w:hAnsi="宋体" w:eastAsia="宋体" w:cs="宋体"/>
              </w:rPr>
            </w:pPr>
          </w:p>
        </w:tc>
        <w:tc>
          <w:tcPr>
            <w:tcW w:w="1182" w:type="dxa"/>
            <w:tcBorders>
              <w:top w:val="single" w:color="000000" w:sz="4" w:space="0"/>
              <w:left w:val="single" w:color="000000" w:sz="4" w:space="0"/>
              <w:bottom w:val="single" w:color="auto" w:sz="4" w:space="0"/>
              <w:right w:val="single" w:color="auto" w:sz="4" w:space="0"/>
            </w:tcBorders>
            <w:vAlign w:val="center"/>
          </w:tcPr>
          <w:p w14:paraId="743CD401">
            <w:pPr>
              <w:spacing w:after="0" w:line="68" w:lineRule="atLeast"/>
              <w:rPr>
                <w:rFonts w:ascii="宋体" w:hAnsi="宋体" w:eastAsia="宋体" w:cs="宋体"/>
              </w:rPr>
            </w:pPr>
            <w:r>
              <w:rPr>
                <w:rFonts w:hint="eastAsia" w:ascii="宋体" w:hAnsi="宋体" w:eastAsia="宋体" w:cs="宋体"/>
              </w:rPr>
              <w:t>目标覆盖率（1分）</w:t>
            </w:r>
          </w:p>
        </w:tc>
        <w:tc>
          <w:tcPr>
            <w:tcW w:w="6911" w:type="dxa"/>
            <w:tcBorders>
              <w:top w:val="single" w:color="000000" w:sz="4" w:space="0"/>
              <w:left w:val="single" w:color="auto" w:sz="4" w:space="0"/>
              <w:bottom w:val="single" w:color="auto" w:sz="4" w:space="0"/>
              <w:right w:val="single" w:color="auto" w:sz="4" w:space="0"/>
            </w:tcBorders>
            <w:vAlign w:val="center"/>
          </w:tcPr>
          <w:p w14:paraId="7BF773BE">
            <w:pPr>
              <w:spacing w:after="0" w:line="240" w:lineRule="exact"/>
              <w:rPr>
                <w:rFonts w:ascii="宋体" w:hAnsi="宋体" w:eastAsia="宋体" w:cs="宋体"/>
              </w:rPr>
            </w:pPr>
            <w:r>
              <w:rPr>
                <w:rFonts w:hint="eastAsia" w:ascii="宋体" w:hAnsi="宋体" w:eastAsia="宋体" w:cs="宋体"/>
              </w:rPr>
              <w:t>部门年度申报绩效目标项目资金额与部门项目预算资金总额的比率，用以反映部门落实财政部门绩效目标申报要求的资金覆盖情况。</w:t>
            </w:r>
          </w:p>
          <w:p w14:paraId="7D2F937B">
            <w:pPr>
              <w:spacing w:after="0" w:line="240" w:lineRule="exact"/>
              <w:rPr>
                <w:rFonts w:ascii="宋体" w:hAnsi="宋体" w:eastAsia="宋体" w:cs="宋体"/>
              </w:rPr>
            </w:pPr>
            <w:r>
              <w:rPr>
                <w:rFonts w:hint="eastAsia" w:ascii="宋体" w:hAnsi="宋体" w:eastAsia="宋体" w:cs="宋体"/>
              </w:rPr>
              <w:t>覆盖率=实际申报绩效目标项目资金总额/部门项目预算资金总额×100%</w:t>
            </w:r>
          </w:p>
        </w:tc>
        <w:tc>
          <w:tcPr>
            <w:tcW w:w="3423" w:type="dxa"/>
            <w:tcBorders>
              <w:top w:val="single" w:color="000000" w:sz="4" w:space="0"/>
              <w:left w:val="single" w:color="auto" w:sz="4" w:space="0"/>
              <w:bottom w:val="single" w:color="auto" w:sz="4" w:space="0"/>
              <w:right w:val="single" w:color="auto" w:sz="4" w:space="0"/>
            </w:tcBorders>
            <w:vAlign w:val="center"/>
          </w:tcPr>
          <w:p w14:paraId="2200E17E">
            <w:pPr>
              <w:spacing w:after="0" w:line="240" w:lineRule="exact"/>
              <w:rPr>
                <w:rFonts w:ascii="宋体" w:hAnsi="宋体" w:eastAsia="宋体" w:cs="宋体"/>
              </w:rPr>
            </w:pPr>
            <w:r>
              <w:rPr>
                <w:rFonts w:hint="eastAsia" w:ascii="宋体" w:hAnsi="宋体" w:eastAsia="宋体" w:cs="宋体"/>
              </w:rPr>
              <w:t>达到目标值得1分，未达到目标值采用完成比率法计分：得分=覆盖率/目标值×1，超过目标值不加分。</w:t>
            </w:r>
          </w:p>
        </w:tc>
        <w:tc>
          <w:tcPr>
            <w:tcW w:w="1090" w:type="dxa"/>
            <w:tcBorders>
              <w:top w:val="single" w:color="000000" w:sz="4" w:space="0"/>
              <w:left w:val="single" w:color="auto" w:sz="4" w:space="0"/>
              <w:bottom w:val="single" w:color="auto" w:sz="4" w:space="0"/>
              <w:right w:val="single" w:color="000000" w:sz="4" w:space="0"/>
            </w:tcBorders>
            <w:vAlign w:val="center"/>
          </w:tcPr>
          <w:p w14:paraId="1814CEF5">
            <w:pPr>
              <w:spacing w:after="0" w:line="68" w:lineRule="atLeast"/>
              <w:rPr>
                <w:rFonts w:hint="eastAsia" w:ascii="宋体" w:hAnsi="宋体" w:eastAsia="宋体" w:cs="宋体"/>
                <w:lang w:val="en-US" w:eastAsia="zh-CN"/>
              </w:rPr>
            </w:pPr>
            <w:r>
              <w:rPr>
                <w:rFonts w:hint="eastAsia" w:ascii="宋体" w:hAnsi="宋体" w:eastAsia="宋体" w:cs="宋体"/>
                <w:lang w:val="en-US" w:eastAsia="zh-CN"/>
              </w:rPr>
              <w:t>1</w:t>
            </w:r>
          </w:p>
        </w:tc>
      </w:tr>
      <w:tr w14:paraId="524132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72" w:hRule="atLeast"/>
          <w:jc w:val="center"/>
        </w:trPr>
        <w:tc>
          <w:tcPr>
            <w:tcW w:w="733" w:type="dxa"/>
            <w:vMerge w:val="continue"/>
            <w:tcBorders>
              <w:left w:val="single" w:color="000000" w:sz="4" w:space="0"/>
              <w:right w:val="single" w:color="000000" w:sz="4" w:space="0"/>
            </w:tcBorders>
            <w:vAlign w:val="center"/>
          </w:tcPr>
          <w:p w14:paraId="1F61C66B">
            <w:pPr>
              <w:spacing w:after="0"/>
              <w:rPr>
                <w:rFonts w:ascii="宋体" w:hAnsi="宋体" w:eastAsia="宋体" w:cs="宋体"/>
              </w:rPr>
            </w:pPr>
          </w:p>
        </w:tc>
        <w:tc>
          <w:tcPr>
            <w:tcW w:w="803" w:type="dxa"/>
            <w:vMerge w:val="continue"/>
            <w:tcBorders>
              <w:left w:val="single" w:color="000000" w:sz="4" w:space="0"/>
              <w:bottom w:val="single" w:color="000000" w:sz="4" w:space="0"/>
              <w:right w:val="single" w:color="000000" w:sz="4" w:space="0"/>
            </w:tcBorders>
            <w:vAlign w:val="center"/>
          </w:tcPr>
          <w:p w14:paraId="28769D55">
            <w:pPr>
              <w:spacing w:after="0"/>
              <w:rPr>
                <w:rFonts w:ascii="宋体" w:hAnsi="宋体" w:eastAsia="宋体" w:cs="宋体"/>
              </w:rPr>
            </w:pPr>
          </w:p>
        </w:tc>
        <w:tc>
          <w:tcPr>
            <w:tcW w:w="1182" w:type="dxa"/>
            <w:tcBorders>
              <w:top w:val="single" w:color="000000" w:sz="4" w:space="0"/>
              <w:left w:val="single" w:color="000000" w:sz="4" w:space="0"/>
              <w:bottom w:val="single" w:color="auto" w:sz="4" w:space="0"/>
              <w:right w:val="single" w:color="auto" w:sz="4" w:space="0"/>
            </w:tcBorders>
            <w:vAlign w:val="center"/>
          </w:tcPr>
          <w:p w14:paraId="4BDC3352">
            <w:pPr>
              <w:spacing w:after="0" w:line="68" w:lineRule="atLeast"/>
              <w:rPr>
                <w:rFonts w:ascii="宋体" w:hAnsi="宋体" w:eastAsia="宋体" w:cs="宋体"/>
              </w:rPr>
            </w:pPr>
            <w:r>
              <w:rPr>
                <w:rFonts w:hint="eastAsia" w:ascii="宋体" w:hAnsi="宋体" w:eastAsia="宋体" w:cs="宋体"/>
              </w:rPr>
              <w:t>目标管理创新（1分）</w:t>
            </w:r>
          </w:p>
        </w:tc>
        <w:tc>
          <w:tcPr>
            <w:tcW w:w="6911" w:type="dxa"/>
            <w:tcBorders>
              <w:top w:val="single" w:color="000000" w:sz="4" w:space="0"/>
              <w:left w:val="single" w:color="auto" w:sz="4" w:space="0"/>
              <w:bottom w:val="single" w:color="auto" w:sz="4" w:space="0"/>
              <w:right w:val="single" w:color="auto" w:sz="4" w:space="0"/>
            </w:tcBorders>
            <w:vAlign w:val="center"/>
          </w:tcPr>
          <w:p w14:paraId="68006D9A">
            <w:pPr>
              <w:spacing w:after="0" w:line="240" w:lineRule="exact"/>
              <w:rPr>
                <w:rFonts w:ascii="宋体" w:hAnsi="宋体" w:eastAsia="宋体" w:cs="宋体"/>
              </w:rPr>
            </w:pPr>
            <w:r>
              <w:rPr>
                <w:rFonts w:hint="eastAsia" w:ascii="宋体" w:hAnsi="宋体" w:eastAsia="宋体" w:cs="宋体"/>
              </w:rPr>
              <w:t>部门编报整体绩效目标和申报项目绩效目标的数量超过规定的要求。用以反映和考核部门绩效目标管理创新工作情况。</w:t>
            </w:r>
          </w:p>
          <w:p w14:paraId="63AD67E5">
            <w:pPr>
              <w:spacing w:after="0" w:line="240" w:lineRule="exact"/>
              <w:rPr>
                <w:rFonts w:ascii="宋体" w:hAnsi="宋体" w:eastAsia="宋体" w:cs="宋体"/>
              </w:rPr>
            </w:pPr>
            <w:r>
              <w:rPr>
                <w:rFonts w:hint="eastAsia" w:ascii="宋体" w:hAnsi="宋体" w:eastAsia="宋体" w:cs="宋体"/>
              </w:rPr>
              <w:t>项目绩效目标创新=部门绩效目标编报数量-按财政部门要求的绩效目标填报数量</w:t>
            </w:r>
          </w:p>
        </w:tc>
        <w:tc>
          <w:tcPr>
            <w:tcW w:w="3423" w:type="dxa"/>
            <w:tcBorders>
              <w:top w:val="single" w:color="000000" w:sz="4" w:space="0"/>
              <w:left w:val="single" w:color="auto" w:sz="4" w:space="0"/>
              <w:bottom w:val="single" w:color="auto" w:sz="4" w:space="0"/>
              <w:right w:val="single" w:color="auto" w:sz="4" w:space="0"/>
            </w:tcBorders>
            <w:vAlign w:val="center"/>
          </w:tcPr>
          <w:p w14:paraId="742102D7">
            <w:pPr>
              <w:spacing w:after="0" w:line="240" w:lineRule="exact"/>
              <w:rPr>
                <w:rFonts w:ascii="宋体" w:hAnsi="宋体" w:eastAsia="宋体" w:cs="宋体"/>
              </w:rPr>
            </w:pPr>
            <w:r>
              <w:rPr>
                <w:rFonts w:hint="eastAsia" w:ascii="宋体" w:hAnsi="宋体" w:eastAsia="宋体" w:cs="宋体"/>
              </w:rPr>
              <w:t>每超过1项得0.1分，满分1分。</w:t>
            </w:r>
          </w:p>
        </w:tc>
        <w:tc>
          <w:tcPr>
            <w:tcW w:w="1090" w:type="dxa"/>
            <w:tcBorders>
              <w:top w:val="single" w:color="000000" w:sz="4" w:space="0"/>
              <w:left w:val="single" w:color="auto" w:sz="4" w:space="0"/>
              <w:bottom w:val="single" w:color="auto" w:sz="4" w:space="0"/>
              <w:right w:val="single" w:color="000000" w:sz="4" w:space="0"/>
            </w:tcBorders>
            <w:vAlign w:val="center"/>
          </w:tcPr>
          <w:p w14:paraId="1BB65CA1">
            <w:pPr>
              <w:spacing w:after="0" w:line="68" w:lineRule="atLeast"/>
              <w:rPr>
                <w:rFonts w:hint="eastAsia" w:ascii="宋体" w:hAnsi="宋体" w:eastAsia="宋体" w:cs="宋体"/>
                <w:lang w:val="en-US" w:eastAsia="zh-CN"/>
              </w:rPr>
            </w:pPr>
            <w:r>
              <w:rPr>
                <w:rFonts w:hint="eastAsia" w:ascii="宋体" w:hAnsi="宋体" w:eastAsia="宋体" w:cs="宋体"/>
                <w:lang w:val="en-US" w:eastAsia="zh-CN"/>
              </w:rPr>
              <w:t>0</w:t>
            </w:r>
          </w:p>
        </w:tc>
      </w:tr>
      <w:tr w14:paraId="5BDF82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95" w:hRule="atLeast"/>
          <w:jc w:val="center"/>
        </w:trPr>
        <w:tc>
          <w:tcPr>
            <w:tcW w:w="733" w:type="dxa"/>
            <w:vMerge w:val="continue"/>
            <w:tcBorders>
              <w:left w:val="single" w:color="000000" w:sz="4" w:space="0"/>
              <w:right w:val="single" w:color="000000" w:sz="4" w:space="0"/>
            </w:tcBorders>
            <w:vAlign w:val="center"/>
          </w:tcPr>
          <w:p w14:paraId="48D180B2">
            <w:pPr>
              <w:spacing w:after="0"/>
              <w:rPr>
                <w:rFonts w:ascii="宋体" w:hAnsi="宋体" w:eastAsia="宋体" w:cs="宋体"/>
              </w:rPr>
            </w:pPr>
          </w:p>
        </w:tc>
        <w:tc>
          <w:tcPr>
            <w:tcW w:w="803" w:type="dxa"/>
            <w:vMerge w:val="restart"/>
            <w:tcBorders>
              <w:top w:val="single" w:color="000000" w:sz="4" w:space="0"/>
              <w:left w:val="single" w:color="000000" w:sz="4" w:space="0"/>
              <w:right w:val="single" w:color="000000" w:sz="4" w:space="0"/>
            </w:tcBorders>
            <w:vAlign w:val="center"/>
          </w:tcPr>
          <w:p w14:paraId="591EE131">
            <w:pPr>
              <w:spacing w:after="0" w:line="68" w:lineRule="atLeast"/>
              <w:rPr>
                <w:rFonts w:ascii="宋体" w:hAnsi="宋体" w:eastAsia="宋体" w:cs="宋体"/>
              </w:rPr>
            </w:pPr>
            <w:r>
              <w:rPr>
                <w:rFonts w:hint="eastAsia" w:ascii="宋体" w:hAnsi="宋体" w:eastAsia="宋体" w:cs="宋体"/>
              </w:rPr>
              <w:t>预算配置(10分)</w:t>
            </w:r>
          </w:p>
        </w:tc>
        <w:tc>
          <w:tcPr>
            <w:tcW w:w="1182" w:type="dxa"/>
            <w:tcBorders>
              <w:top w:val="single" w:color="auto" w:sz="4" w:space="0"/>
              <w:left w:val="single" w:color="000000" w:sz="4" w:space="0"/>
              <w:bottom w:val="single" w:color="000000" w:sz="4" w:space="0"/>
              <w:right w:val="single" w:color="auto" w:sz="4" w:space="0"/>
            </w:tcBorders>
            <w:vAlign w:val="center"/>
          </w:tcPr>
          <w:p w14:paraId="7011D8D1">
            <w:pPr>
              <w:spacing w:after="0" w:line="68" w:lineRule="atLeast"/>
              <w:rPr>
                <w:rFonts w:ascii="宋体" w:hAnsi="宋体" w:eastAsia="宋体" w:cs="宋体"/>
              </w:rPr>
            </w:pPr>
            <w:r>
              <w:rPr>
                <w:rFonts w:hint="eastAsia" w:ascii="宋体" w:hAnsi="宋体" w:eastAsia="宋体" w:cs="宋体"/>
              </w:rPr>
              <w:t>财政供养人员控制率（3分）</w:t>
            </w:r>
          </w:p>
        </w:tc>
        <w:tc>
          <w:tcPr>
            <w:tcW w:w="6911" w:type="dxa"/>
            <w:tcBorders>
              <w:top w:val="single" w:color="auto" w:sz="4" w:space="0"/>
              <w:left w:val="single" w:color="auto" w:sz="4" w:space="0"/>
              <w:bottom w:val="single" w:color="000000" w:sz="4" w:space="0"/>
              <w:right w:val="single" w:color="auto" w:sz="4" w:space="0"/>
            </w:tcBorders>
            <w:vAlign w:val="center"/>
          </w:tcPr>
          <w:p w14:paraId="7601E03B">
            <w:pPr>
              <w:spacing w:after="0" w:line="240" w:lineRule="exact"/>
              <w:rPr>
                <w:rFonts w:ascii="宋体" w:hAnsi="宋体" w:eastAsia="宋体" w:cs="宋体"/>
              </w:rPr>
            </w:pPr>
            <w:r>
              <w:rPr>
                <w:rFonts w:hint="eastAsia" w:ascii="宋体" w:hAnsi="宋体" w:eastAsia="宋体" w:cs="宋体"/>
              </w:rPr>
              <w:t>部门本年度实际在职人员数与编制数的比率，用以反映和评价部门对人员成本的控制程度。</w:t>
            </w:r>
          </w:p>
          <w:p w14:paraId="7E561443">
            <w:pPr>
              <w:spacing w:after="0" w:line="240" w:lineRule="exact"/>
              <w:rPr>
                <w:rFonts w:ascii="宋体" w:hAnsi="宋体" w:eastAsia="宋体" w:cs="宋体"/>
              </w:rPr>
            </w:pPr>
            <w:r>
              <w:rPr>
                <w:rFonts w:hint="eastAsia" w:ascii="宋体" w:hAnsi="宋体" w:eastAsia="宋体" w:cs="宋体"/>
              </w:rPr>
              <w:t>在职人员控制率=（在职人员数/编制数）×100%。</w:t>
            </w:r>
          </w:p>
          <w:p w14:paraId="331CB87C">
            <w:pPr>
              <w:spacing w:after="0" w:line="240" w:lineRule="exact"/>
              <w:rPr>
                <w:rFonts w:ascii="宋体" w:hAnsi="宋体" w:eastAsia="宋体" w:cs="宋体"/>
              </w:rPr>
            </w:pPr>
            <w:r>
              <w:rPr>
                <w:rFonts w:hint="eastAsia" w:ascii="宋体" w:hAnsi="宋体" w:eastAsia="宋体" w:cs="宋体"/>
              </w:rPr>
              <w:t>在职人员数：部门实际在职人数，以财政部确定的部门决算编制口径为准，由编制部门和人劳部门批复同意的临聘人员除外。</w:t>
            </w:r>
          </w:p>
          <w:p w14:paraId="3D273ACE">
            <w:pPr>
              <w:spacing w:after="0" w:line="68" w:lineRule="atLeast"/>
              <w:rPr>
                <w:rFonts w:ascii="宋体" w:hAnsi="宋体" w:eastAsia="宋体" w:cs="宋体"/>
              </w:rPr>
            </w:pPr>
            <w:r>
              <w:rPr>
                <w:rFonts w:hint="eastAsia" w:ascii="宋体" w:hAnsi="宋体" w:eastAsia="宋体" w:cs="宋体"/>
              </w:rPr>
              <w:t>编制数：机构编制部门核定批复的部门人员编制数。</w:t>
            </w:r>
          </w:p>
        </w:tc>
        <w:tc>
          <w:tcPr>
            <w:tcW w:w="3423" w:type="dxa"/>
            <w:tcBorders>
              <w:top w:val="single" w:color="auto" w:sz="4" w:space="0"/>
              <w:left w:val="single" w:color="auto" w:sz="4" w:space="0"/>
              <w:bottom w:val="single" w:color="000000" w:sz="4" w:space="0"/>
              <w:right w:val="single" w:color="auto" w:sz="4" w:space="0"/>
            </w:tcBorders>
            <w:vAlign w:val="center"/>
          </w:tcPr>
          <w:p w14:paraId="47178AEE">
            <w:pPr>
              <w:spacing w:after="0" w:line="68" w:lineRule="atLeast"/>
              <w:rPr>
                <w:rFonts w:ascii="宋体" w:hAnsi="宋体" w:eastAsia="宋体" w:cs="宋体"/>
              </w:rPr>
            </w:pPr>
            <w:r>
              <w:rPr>
                <w:rFonts w:hint="eastAsia" w:ascii="宋体" w:hAnsi="宋体" w:eastAsia="宋体" w:cs="宋体"/>
              </w:rPr>
              <w:t>目标值≤100%；达到目标值得3分，每超出1人扣0.1分，扣完为止。</w:t>
            </w:r>
          </w:p>
        </w:tc>
        <w:tc>
          <w:tcPr>
            <w:tcW w:w="1090" w:type="dxa"/>
            <w:tcBorders>
              <w:top w:val="single" w:color="auto" w:sz="4" w:space="0"/>
              <w:left w:val="single" w:color="auto" w:sz="4" w:space="0"/>
              <w:bottom w:val="single" w:color="000000" w:sz="4" w:space="0"/>
              <w:right w:val="single" w:color="000000" w:sz="4" w:space="0"/>
            </w:tcBorders>
            <w:vAlign w:val="center"/>
          </w:tcPr>
          <w:p w14:paraId="514FD05A">
            <w:pPr>
              <w:spacing w:after="0" w:line="68" w:lineRule="atLeast"/>
              <w:rPr>
                <w:rFonts w:hint="eastAsia" w:ascii="宋体" w:hAnsi="宋体" w:eastAsia="宋体" w:cs="宋体"/>
                <w:lang w:val="en-US" w:eastAsia="zh-CN"/>
              </w:rPr>
            </w:pPr>
            <w:r>
              <w:rPr>
                <w:rFonts w:hint="eastAsia" w:ascii="宋体" w:hAnsi="宋体" w:eastAsia="宋体" w:cs="宋体"/>
              </w:rPr>
              <w:t> </w:t>
            </w:r>
            <w:r>
              <w:rPr>
                <w:rFonts w:hint="eastAsia" w:ascii="宋体" w:hAnsi="宋体" w:eastAsia="宋体" w:cs="宋体"/>
                <w:lang w:val="en-US" w:eastAsia="zh-CN"/>
              </w:rPr>
              <w:t>3</w:t>
            </w:r>
          </w:p>
        </w:tc>
      </w:tr>
      <w:tr w14:paraId="4C68F5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75" w:hRule="atLeast"/>
          <w:jc w:val="center"/>
        </w:trPr>
        <w:tc>
          <w:tcPr>
            <w:tcW w:w="733" w:type="dxa"/>
            <w:vMerge w:val="continue"/>
            <w:tcBorders>
              <w:left w:val="single" w:color="000000" w:sz="4" w:space="0"/>
              <w:right w:val="single" w:color="000000" w:sz="4" w:space="0"/>
            </w:tcBorders>
            <w:vAlign w:val="center"/>
          </w:tcPr>
          <w:p w14:paraId="40F8AA22">
            <w:pPr>
              <w:spacing w:after="0"/>
              <w:rPr>
                <w:rFonts w:ascii="宋体" w:hAnsi="宋体" w:eastAsia="宋体" w:cs="宋体"/>
              </w:rPr>
            </w:pPr>
          </w:p>
        </w:tc>
        <w:tc>
          <w:tcPr>
            <w:tcW w:w="803" w:type="dxa"/>
            <w:vMerge w:val="continue"/>
            <w:tcBorders>
              <w:left w:val="single" w:color="000000" w:sz="4" w:space="0"/>
              <w:right w:val="single" w:color="000000" w:sz="4" w:space="0"/>
            </w:tcBorders>
            <w:vAlign w:val="center"/>
          </w:tcPr>
          <w:p w14:paraId="643D5D7C">
            <w:pPr>
              <w:spacing w:after="0"/>
              <w:rPr>
                <w:rFonts w:ascii="宋体" w:hAnsi="宋体" w:eastAsia="宋体" w:cs="宋体"/>
              </w:rPr>
            </w:pPr>
          </w:p>
        </w:tc>
        <w:tc>
          <w:tcPr>
            <w:tcW w:w="1182" w:type="dxa"/>
            <w:tcBorders>
              <w:top w:val="single" w:color="auto" w:sz="4" w:space="0"/>
              <w:left w:val="single" w:color="000000" w:sz="4" w:space="0"/>
              <w:bottom w:val="single" w:color="000000" w:sz="4" w:space="0"/>
              <w:right w:val="single" w:color="auto" w:sz="4" w:space="0"/>
            </w:tcBorders>
            <w:vAlign w:val="center"/>
          </w:tcPr>
          <w:p w14:paraId="763047DE">
            <w:pPr>
              <w:spacing w:after="0" w:line="68" w:lineRule="atLeast"/>
              <w:rPr>
                <w:rFonts w:ascii="宋体" w:hAnsi="宋体" w:eastAsia="宋体" w:cs="宋体"/>
              </w:rPr>
            </w:pPr>
            <w:r>
              <w:rPr>
                <w:rFonts w:hint="eastAsia" w:ascii="宋体" w:hAnsi="宋体" w:eastAsia="宋体" w:cs="宋体"/>
              </w:rPr>
              <w:t>“三公经费”变动率（4分）</w:t>
            </w:r>
          </w:p>
        </w:tc>
        <w:tc>
          <w:tcPr>
            <w:tcW w:w="6911" w:type="dxa"/>
            <w:tcBorders>
              <w:top w:val="single" w:color="auto" w:sz="4" w:space="0"/>
              <w:left w:val="single" w:color="auto" w:sz="4" w:space="0"/>
              <w:bottom w:val="single" w:color="000000" w:sz="4" w:space="0"/>
              <w:right w:val="single" w:color="auto" w:sz="4" w:space="0"/>
            </w:tcBorders>
            <w:vAlign w:val="center"/>
          </w:tcPr>
          <w:p w14:paraId="2C742106">
            <w:pPr>
              <w:spacing w:after="0" w:line="240" w:lineRule="exact"/>
              <w:rPr>
                <w:rFonts w:ascii="宋体" w:hAnsi="宋体" w:eastAsia="宋体" w:cs="宋体"/>
              </w:rPr>
            </w:pPr>
            <w:r>
              <w:rPr>
                <w:rFonts w:hint="eastAsia" w:ascii="宋体" w:hAnsi="宋体" w:eastAsia="宋体" w:cs="宋体"/>
              </w:rPr>
              <w:t>部门本年度“三公经费”预算数与上年度“三公经费”预算数的变动比率，用以反映和考核部门对控制重点行政成本的努力程度。</w:t>
            </w:r>
          </w:p>
          <w:p w14:paraId="2B2CB7FD">
            <w:pPr>
              <w:spacing w:after="0" w:line="240" w:lineRule="exact"/>
              <w:rPr>
                <w:rFonts w:ascii="宋体" w:hAnsi="宋体" w:eastAsia="宋体" w:cs="宋体"/>
              </w:rPr>
            </w:pPr>
            <w:r>
              <w:rPr>
                <w:rFonts w:hint="eastAsia" w:ascii="宋体" w:hAnsi="宋体" w:eastAsia="宋体" w:cs="宋体"/>
              </w:rPr>
              <w:t>“三公经费”变动率=〔（本年度“三公经费”总额-上年度“三公经费”总额）/上年度“三公经费”总额〕×100%</w:t>
            </w:r>
          </w:p>
          <w:p w14:paraId="3E8E58E5">
            <w:pPr>
              <w:spacing w:after="0" w:line="240" w:lineRule="exact"/>
              <w:rPr>
                <w:rFonts w:ascii="宋体" w:hAnsi="宋体" w:eastAsia="宋体" w:cs="宋体"/>
              </w:rPr>
            </w:pPr>
            <w:r>
              <w:rPr>
                <w:rFonts w:hint="eastAsia" w:ascii="宋体" w:hAnsi="宋体" w:eastAsia="宋体" w:cs="宋体"/>
              </w:rPr>
              <w:t>“三公经费”：年度预算安排的因公出国（境）费、公务车辆购置及运行费和公务招待费。</w:t>
            </w:r>
          </w:p>
        </w:tc>
        <w:tc>
          <w:tcPr>
            <w:tcW w:w="3423" w:type="dxa"/>
            <w:tcBorders>
              <w:top w:val="single" w:color="auto" w:sz="4" w:space="0"/>
              <w:left w:val="single" w:color="auto" w:sz="4" w:space="0"/>
              <w:bottom w:val="single" w:color="000000" w:sz="4" w:space="0"/>
              <w:right w:val="single" w:color="auto" w:sz="4" w:space="0"/>
            </w:tcBorders>
            <w:vAlign w:val="center"/>
          </w:tcPr>
          <w:p w14:paraId="425C7F78">
            <w:pPr>
              <w:spacing w:after="0" w:line="240" w:lineRule="exact"/>
              <w:rPr>
                <w:rFonts w:ascii="宋体" w:hAnsi="宋体" w:eastAsia="宋体" w:cs="宋体"/>
              </w:rPr>
            </w:pPr>
            <w:r>
              <w:rPr>
                <w:rFonts w:hint="eastAsia" w:ascii="宋体" w:hAnsi="宋体" w:eastAsia="宋体" w:cs="宋体"/>
              </w:rPr>
              <w:t>目标值≤0；达到目标值得4分，未达到目标值的采用比率扣分法：扣分值=“三公经费”变动率×4×10，变动率达10%以上的扣4分。</w:t>
            </w:r>
          </w:p>
        </w:tc>
        <w:tc>
          <w:tcPr>
            <w:tcW w:w="1090" w:type="dxa"/>
            <w:tcBorders>
              <w:top w:val="single" w:color="auto" w:sz="4" w:space="0"/>
              <w:left w:val="single" w:color="auto" w:sz="4" w:space="0"/>
              <w:bottom w:val="single" w:color="000000" w:sz="4" w:space="0"/>
              <w:right w:val="single" w:color="000000" w:sz="4" w:space="0"/>
            </w:tcBorders>
            <w:vAlign w:val="center"/>
          </w:tcPr>
          <w:p w14:paraId="494B6798">
            <w:pPr>
              <w:spacing w:after="0" w:line="68" w:lineRule="atLeast"/>
              <w:rPr>
                <w:rFonts w:hint="eastAsia" w:ascii="宋体" w:hAnsi="宋体" w:eastAsia="宋体" w:cs="宋体"/>
                <w:lang w:val="en-US" w:eastAsia="zh-CN"/>
              </w:rPr>
            </w:pPr>
            <w:r>
              <w:rPr>
                <w:rFonts w:hint="eastAsia" w:ascii="宋体" w:hAnsi="宋体" w:eastAsia="宋体" w:cs="宋体"/>
              </w:rPr>
              <w:t> </w:t>
            </w:r>
            <w:r>
              <w:rPr>
                <w:rFonts w:hint="eastAsia" w:ascii="宋体" w:hAnsi="宋体" w:eastAsia="宋体" w:cs="宋体"/>
                <w:lang w:val="en-US" w:eastAsia="zh-CN"/>
              </w:rPr>
              <w:t>4</w:t>
            </w:r>
          </w:p>
        </w:tc>
      </w:tr>
      <w:tr w14:paraId="4F65A5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07" w:hRule="atLeast"/>
          <w:jc w:val="center"/>
        </w:trPr>
        <w:tc>
          <w:tcPr>
            <w:tcW w:w="733" w:type="dxa"/>
            <w:vMerge w:val="continue"/>
            <w:tcBorders>
              <w:left w:val="single" w:color="000000" w:sz="4" w:space="0"/>
              <w:bottom w:val="single" w:color="000000" w:sz="4" w:space="0"/>
              <w:right w:val="single" w:color="000000" w:sz="4" w:space="0"/>
            </w:tcBorders>
            <w:vAlign w:val="center"/>
          </w:tcPr>
          <w:p w14:paraId="333B7C70">
            <w:pPr>
              <w:spacing w:after="0"/>
              <w:rPr>
                <w:rFonts w:ascii="宋体" w:hAnsi="宋体" w:eastAsia="宋体" w:cs="宋体"/>
              </w:rPr>
            </w:pPr>
          </w:p>
        </w:tc>
        <w:tc>
          <w:tcPr>
            <w:tcW w:w="803" w:type="dxa"/>
            <w:vMerge w:val="continue"/>
            <w:tcBorders>
              <w:left w:val="single" w:color="000000" w:sz="4" w:space="0"/>
              <w:bottom w:val="single" w:color="000000" w:sz="4" w:space="0"/>
              <w:right w:val="single" w:color="000000" w:sz="4" w:space="0"/>
            </w:tcBorders>
            <w:vAlign w:val="center"/>
          </w:tcPr>
          <w:p w14:paraId="76FDE7F4">
            <w:pPr>
              <w:spacing w:after="0"/>
              <w:rPr>
                <w:rFonts w:ascii="宋体" w:hAnsi="宋体" w:eastAsia="宋体" w:cs="宋体"/>
              </w:rPr>
            </w:pPr>
          </w:p>
        </w:tc>
        <w:tc>
          <w:tcPr>
            <w:tcW w:w="1182" w:type="dxa"/>
            <w:tcBorders>
              <w:top w:val="single" w:color="auto" w:sz="4" w:space="0"/>
              <w:left w:val="single" w:color="000000" w:sz="4" w:space="0"/>
              <w:bottom w:val="single" w:color="000000" w:sz="4" w:space="0"/>
              <w:right w:val="single" w:color="auto" w:sz="4" w:space="0"/>
            </w:tcBorders>
            <w:vAlign w:val="center"/>
          </w:tcPr>
          <w:p w14:paraId="15C629B9">
            <w:pPr>
              <w:spacing w:after="0" w:line="68" w:lineRule="atLeast"/>
              <w:rPr>
                <w:rFonts w:ascii="宋体" w:hAnsi="宋体" w:eastAsia="宋体" w:cs="宋体"/>
              </w:rPr>
            </w:pPr>
            <w:r>
              <w:rPr>
                <w:rFonts w:hint="eastAsia" w:ascii="宋体" w:hAnsi="宋体" w:eastAsia="宋体" w:cs="宋体"/>
              </w:rPr>
              <w:t>重点支出安排率（3分）</w:t>
            </w:r>
          </w:p>
        </w:tc>
        <w:tc>
          <w:tcPr>
            <w:tcW w:w="6911" w:type="dxa"/>
            <w:tcBorders>
              <w:top w:val="single" w:color="auto" w:sz="4" w:space="0"/>
              <w:left w:val="single" w:color="auto" w:sz="4" w:space="0"/>
              <w:bottom w:val="single" w:color="000000" w:sz="4" w:space="0"/>
              <w:right w:val="single" w:color="auto" w:sz="4" w:space="0"/>
            </w:tcBorders>
            <w:vAlign w:val="center"/>
          </w:tcPr>
          <w:p w14:paraId="4F5F9368">
            <w:pPr>
              <w:spacing w:after="0" w:line="240" w:lineRule="exact"/>
              <w:rPr>
                <w:rFonts w:ascii="宋体" w:hAnsi="宋体" w:eastAsia="宋体" w:cs="宋体"/>
              </w:rPr>
            </w:pPr>
            <w:r>
              <w:rPr>
                <w:rFonts w:hint="eastAsia" w:ascii="宋体" w:hAnsi="宋体" w:eastAsia="宋体" w:cs="宋体"/>
              </w:rPr>
              <w:t>部门（单位）本年度预算安排的重点项目支出与部门项目总支出的比率，用以反映和考核部门（单位）对履行主要职责或完成重点任务的保障程度。重点支出安排率=（重点项目支出/项目总支出）×100%。</w:t>
            </w:r>
          </w:p>
          <w:p w14:paraId="7967338B">
            <w:pPr>
              <w:spacing w:after="0" w:line="240" w:lineRule="exact"/>
              <w:rPr>
                <w:rFonts w:ascii="宋体" w:hAnsi="宋体" w:eastAsia="宋体" w:cs="宋体"/>
              </w:rPr>
            </w:pPr>
            <w:r>
              <w:rPr>
                <w:rFonts w:hint="eastAsia" w:ascii="宋体" w:hAnsi="宋体" w:eastAsia="宋体" w:cs="宋体"/>
              </w:rPr>
              <w:t>重点项目支出：部门（单位）年度预算安排的，与本部门履职和发展密切相关、具有明显社会和经济影响、党委政府关心或社会比较关注的项目支出总额。具体由被评价部门提出后经对口部门预算管理处审核确定。</w:t>
            </w:r>
          </w:p>
          <w:p w14:paraId="1FFD7BAA">
            <w:pPr>
              <w:spacing w:after="0" w:line="240" w:lineRule="exact"/>
              <w:rPr>
                <w:rFonts w:ascii="宋体" w:hAnsi="宋体" w:eastAsia="宋体" w:cs="宋体"/>
              </w:rPr>
            </w:pPr>
            <w:r>
              <w:rPr>
                <w:rFonts w:hint="eastAsia" w:ascii="宋体" w:hAnsi="宋体" w:eastAsia="宋体" w:cs="宋体"/>
              </w:rPr>
              <w:t>项目总支出：部门（单位）年度预算安排的项目支出总额。</w:t>
            </w:r>
          </w:p>
        </w:tc>
        <w:tc>
          <w:tcPr>
            <w:tcW w:w="3423" w:type="dxa"/>
            <w:tcBorders>
              <w:top w:val="single" w:color="auto" w:sz="4" w:space="0"/>
              <w:left w:val="single" w:color="auto" w:sz="4" w:space="0"/>
              <w:bottom w:val="single" w:color="000000" w:sz="4" w:space="0"/>
              <w:right w:val="single" w:color="auto" w:sz="4" w:space="0"/>
            </w:tcBorders>
            <w:vAlign w:val="center"/>
          </w:tcPr>
          <w:p w14:paraId="5D9130A5">
            <w:pPr>
              <w:spacing w:after="0" w:line="240" w:lineRule="exact"/>
              <w:rPr>
                <w:rFonts w:ascii="宋体" w:hAnsi="宋体" w:eastAsia="宋体" w:cs="宋体"/>
              </w:rPr>
            </w:pPr>
            <w:r>
              <w:rPr>
                <w:rFonts w:hint="eastAsia" w:ascii="宋体" w:hAnsi="宋体" w:eastAsia="宋体" w:cs="宋体"/>
              </w:rPr>
              <w:t>目标值≥70%；以3分为上限，采用完成比率法计分：得分=重点支出安排率/70%×100%×3，超出目标值不加分。</w:t>
            </w:r>
          </w:p>
        </w:tc>
        <w:tc>
          <w:tcPr>
            <w:tcW w:w="1090" w:type="dxa"/>
            <w:tcBorders>
              <w:top w:val="single" w:color="auto" w:sz="4" w:space="0"/>
              <w:left w:val="single" w:color="auto" w:sz="4" w:space="0"/>
              <w:bottom w:val="single" w:color="000000" w:sz="4" w:space="0"/>
              <w:right w:val="single" w:color="000000" w:sz="4" w:space="0"/>
            </w:tcBorders>
            <w:vAlign w:val="center"/>
          </w:tcPr>
          <w:p w14:paraId="01697F0E">
            <w:pPr>
              <w:spacing w:after="0" w:line="68" w:lineRule="atLeast"/>
              <w:rPr>
                <w:rFonts w:hint="eastAsia" w:ascii="宋体" w:hAnsi="宋体" w:eastAsia="宋体" w:cs="宋体"/>
                <w:lang w:val="en-US" w:eastAsia="zh-CN"/>
              </w:rPr>
            </w:pPr>
            <w:r>
              <w:rPr>
                <w:rFonts w:hint="eastAsia" w:ascii="宋体" w:hAnsi="宋体" w:eastAsia="宋体" w:cs="宋体"/>
                <w:lang w:val="en-US" w:eastAsia="zh-CN"/>
              </w:rPr>
              <w:t>3</w:t>
            </w:r>
          </w:p>
        </w:tc>
      </w:tr>
      <w:tr w14:paraId="689E67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96" w:hRule="atLeast"/>
          <w:jc w:val="center"/>
        </w:trPr>
        <w:tc>
          <w:tcPr>
            <w:tcW w:w="733" w:type="dxa"/>
            <w:vMerge w:val="restart"/>
            <w:tcBorders>
              <w:top w:val="single" w:color="000000" w:sz="4" w:space="0"/>
              <w:left w:val="single" w:color="000000" w:sz="4" w:space="0"/>
              <w:right w:val="single" w:color="000000" w:sz="4" w:space="0"/>
            </w:tcBorders>
            <w:vAlign w:val="center"/>
          </w:tcPr>
          <w:p w14:paraId="0785CBA0">
            <w:pPr>
              <w:spacing w:after="0" w:line="68" w:lineRule="atLeast"/>
              <w:jc w:val="center"/>
              <w:rPr>
                <w:rFonts w:ascii="宋体" w:hAnsi="宋体" w:eastAsia="宋体" w:cs="宋体"/>
              </w:rPr>
            </w:pPr>
          </w:p>
          <w:p w14:paraId="05867FCE">
            <w:pPr>
              <w:spacing w:after="0" w:line="68" w:lineRule="atLeast"/>
              <w:jc w:val="center"/>
              <w:rPr>
                <w:rFonts w:ascii="宋体" w:hAnsi="宋体" w:eastAsia="宋体" w:cs="宋体"/>
              </w:rPr>
            </w:pPr>
          </w:p>
          <w:p w14:paraId="2733A09B">
            <w:pPr>
              <w:spacing w:after="0" w:line="68" w:lineRule="atLeast"/>
              <w:jc w:val="center"/>
              <w:rPr>
                <w:rFonts w:ascii="宋体" w:hAnsi="宋体" w:eastAsia="宋体" w:cs="宋体"/>
              </w:rPr>
            </w:pPr>
          </w:p>
          <w:p w14:paraId="4BDBF213">
            <w:pPr>
              <w:spacing w:after="0" w:line="68" w:lineRule="atLeast"/>
              <w:jc w:val="center"/>
              <w:rPr>
                <w:rFonts w:ascii="宋体" w:hAnsi="宋体" w:eastAsia="宋体" w:cs="宋体"/>
              </w:rPr>
            </w:pPr>
          </w:p>
          <w:p w14:paraId="64F0186A">
            <w:pPr>
              <w:spacing w:after="0" w:line="68" w:lineRule="atLeast"/>
              <w:jc w:val="center"/>
              <w:rPr>
                <w:rFonts w:ascii="宋体" w:hAnsi="宋体" w:eastAsia="宋体" w:cs="宋体"/>
              </w:rPr>
            </w:pPr>
          </w:p>
          <w:p w14:paraId="1FCDD0D2">
            <w:pPr>
              <w:spacing w:after="0" w:line="68" w:lineRule="atLeast"/>
              <w:jc w:val="center"/>
              <w:rPr>
                <w:rFonts w:ascii="宋体" w:hAnsi="宋体" w:eastAsia="宋体" w:cs="宋体"/>
              </w:rPr>
            </w:pPr>
          </w:p>
          <w:p w14:paraId="1A41C2B8">
            <w:pPr>
              <w:spacing w:after="0" w:line="68" w:lineRule="atLeast"/>
              <w:jc w:val="center"/>
              <w:rPr>
                <w:rFonts w:ascii="宋体" w:hAnsi="宋体" w:eastAsia="宋体" w:cs="宋体"/>
              </w:rPr>
            </w:pPr>
          </w:p>
          <w:p w14:paraId="51148327">
            <w:pPr>
              <w:spacing w:after="0" w:line="68" w:lineRule="atLeast"/>
              <w:jc w:val="center"/>
              <w:rPr>
                <w:rFonts w:ascii="宋体" w:hAnsi="宋体" w:eastAsia="宋体" w:cs="宋体"/>
              </w:rPr>
            </w:pPr>
          </w:p>
          <w:p w14:paraId="56E2ACB8">
            <w:pPr>
              <w:spacing w:after="0" w:line="68" w:lineRule="atLeast"/>
              <w:jc w:val="center"/>
              <w:rPr>
                <w:rFonts w:ascii="宋体" w:hAnsi="宋体" w:eastAsia="宋体" w:cs="宋体"/>
              </w:rPr>
            </w:pPr>
          </w:p>
          <w:p w14:paraId="258FD04B">
            <w:pPr>
              <w:spacing w:after="0" w:line="68" w:lineRule="atLeast"/>
              <w:jc w:val="center"/>
              <w:rPr>
                <w:rFonts w:ascii="宋体" w:hAnsi="宋体" w:eastAsia="宋体" w:cs="宋体"/>
              </w:rPr>
            </w:pPr>
          </w:p>
          <w:p w14:paraId="152AC6E1">
            <w:pPr>
              <w:spacing w:after="0" w:line="68" w:lineRule="atLeast"/>
              <w:jc w:val="center"/>
              <w:rPr>
                <w:rFonts w:ascii="宋体" w:hAnsi="宋体" w:eastAsia="宋体" w:cs="宋体"/>
              </w:rPr>
            </w:pPr>
          </w:p>
          <w:p w14:paraId="6A8FCC32">
            <w:pPr>
              <w:spacing w:after="0" w:line="68" w:lineRule="atLeast"/>
              <w:jc w:val="center"/>
              <w:rPr>
                <w:rFonts w:ascii="宋体" w:hAnsi="宋体" w:eastAsia="宋体" w:cs="宋体"/>
              </w:rPr>
            </w:pPr>
          </w:p>
          <w:p w14:paraId="771C5154">
            <w:pPr>
              <w:spacing w:after="0" w:line="68" w:lineRule="atLeast"/>
              <w:jc w:val="center"/>
              <w:rPr>
                <w:rFonts w:ascii="宋体" w:hAnsi="宋体" w:eastAsia="宋体" w:cs="宋体"/>
              </w:rPr>
            </w:pPr>
          </w:p>
          <w:p w14:paraId="21EE2A13">
            <w:pPr>
              <w:spacing w:after="0" w:line="68" w:lineRule="atLeast"/>
              <w:jc w:val="center"/>
              <w:rPr>
                <w:rFonts w:ascii="宋体" w:hAnsi="宋体" w:eastAsia="宋体" w:cs="宋体"/>
              </w:rPr>
            </w:pPr>
          </w:p>
          <w:p w14:paraId="29FE02E4">
            <w:pPr>
              <w:spacing w:after="0" w:line="68" w:lineRule="atLeast"/>
              <w:jc w:val="center"/>
              <w:rPr>
                <w:rFonts w:ascii="宋体" w:hAnsi="宋体" w:eastAsia="宋体" w:cs="宋体"/>
              </w:rPr>
            </w:pPr>
          </w:p>
          <w:p w14:paraId="0B8C1C59">
            <w:pPr>
              <w:spacing w:after="0" w:line="68" w:lineRule="atLeast"/>
              <w:jc w:val="center"/>
              <w:rPr>
                <w:rFonts w:ascii="宋体" w:hAnsi="宋体" w:eastAsia="宋体" w:cs="宋体"/>
              </w:rPr>
            </w:pPr>
          </w:p>
          <w:p w14:paraId="50C7D1DE">
            <w:pPr>
              <w:spacing w:after="0" w:line="68" w:lineRule="atLeast"/>
              <w:jc w:val="center"/>
              <w:rPr>
                <w:rFonts w:ascii="宋体" w:hAnsi="宋体" w:eastAsia="宋体" w:cs="宋体"/>
              </w:rPr>
            </w:pPr>
            <w:r>
              <w:rPr>
                <w:rFonts w:hint="eastAsia" w:ascii="宋体" w:hAnsi="宋体" w:eastAsia="宋体" w:cs="宋体"/>
              </w:rPr>
              <w:t>过程(55分)</w:t>
            </w:r>
          </w:p>
          <w:p w14:paraId="3944F18A">
            <w:pPr>
              <w:spacing w:after="0" w:line="68" w:lineRule="atLeast"/>
              <w:jc w:val="center"/>
              <w:rPr>
                <w:rFonts w:ascii="宋体" w:hAnsi="宋体" w:eastAsia="宋体" w:cs="宋体"/>
              </w:rPr>
            </w:pPr>
          </w:p>
          <w:p w14:paraId="2D4625B6">
            <w:pPr>
              <w:spacing w:after="0" w:line="68" w:lineRule="atLeast"/>
              <w:jc w:val="center"/>
              <w:rPr>
                <w:rFonts w:ascii="宋体" w:hAnsi="宋体" w:eastAsia="宋体" w:cs="宋体"/>
              </w:rPr>
            </w:pPr>
          </w:p>
          <w:p w14:paraId="284F6B9D">
            <w:pPr>
              <w:spacing w:after="0" w:line="68" w:lineRule="atLeast"/>
              <w:jc w:val="center"/>
              <w:rPr>
                <w:rFonts w:ascii="宋体" w:hAnsi="宋体" w:eastAsia="宋体" w:cs="宋体"/>
              </w:rPr>
            </w:pPr>
          </w:p>
          <w:p w14:paraId="1BC561E0">
            <w:pPr>
              <w:spacing w:after="0" w:line="68" w:lineRule="atLeast"/>
              <w:jc w:val="center"/>
              <w:rPr>
                <w:rFonts w:ascii="宋体" w:hAnsi="宋体" w:eastAsia="宋体" w:cs="宋体"/>
              </w:rPr>
            </w:pPr>
          </w:p>
          <w:p w14:paraId="2CE3143B">
            <w:pPr>
              <w:spacing w:after="0" w:line="68" w:lineRule="atLeast"/>
              <w:jc w:val="center"/>
              <w:rPr>
                <w:rFonts w:ascii="宋体" w:hAnsi="宋体" w:eastAsia="宋体" w:cs="宋体"/>
              </w:rPr>
            </w:pPr>
          </w:p>
          <w:p w14:paraId="7FEA7B3D">
            <w:pPr>
              <w:spacing w:after="0" w:line="68" w:lineRule="atLeast"/>
              <w:jc w:val="center"/>
              <w:rPr>
                <w:rFonts w:ascii="宋体" w:hAnsi="宋体" w:eastAsia="宋体" w:cs="宋体"/>
              </w:rPr>
            </w:pPr>
          </w:p>
          <w:p w14:paraId="06A6F38F">
            <w:pPr>
              <w:spacing w:after="0" w:line="68" w:lineRule="atLeast"/>
              <w:jc w:val="center"/>
              <w:rPr>
                <w:rFonts w:ascii="宋体" w:hAnsi="宋体" w:eastAsia="宋体" w:cs="宋体"/>
              </w:rPr>
            </w:pPr>
          </w:p>
          <w:p w14:paraId="7C5E23DC">
            <w:pPr>
              <w:spacing w:after="0" w:line="68" w:lineRule="atLeast"/>
              <w:jc w:val="center"/>
              <w:rPr>
                <w:rFonts w:ascii="宋体" w:hAnsi="宋体" w:eastAsia="宋体" w:cs="宋体"/>
              </w:rPr>
            </w:pPr>
          </w:p>
          <w:p w14:paraId="507B9818">
            <w:pPr>
              <w:spacing w:after="0" w:line="68" w:lineRule="atLeast"/>
              <w:jc w:val="center"/>
              <w:rPr>
                <w:rFonts w:ascii="宋体" w:hAnsi="宋体" w:eastAsia="宋体" w:cs="宋体"/>
              </w:rPr>
            </w:pPr>
          </w:p>
          <w:p w14:paraId="136018A0">
            <w:pPr>
              <w:spacing w:after="0" w:line="68" w:lineRule="atLeast"/>
              <w:jc w:val="center"/>
              <w:rPr>
                <w:rFonts w:ascii="宋体" w:hAnsi="宋体" w:eastAsia="宋体" w:cs="宋体"/>
              </w:rPr>
            </w:pPr>
          </w:p>
          <w:p w14:paraId="6F09EE9B">
            <w:pPr>
              <w:spacing w:after="0" w:line="68" w:lineRule="atLeast"/>
              <w:jc w:val="center"/>
              <w:rPr>
                <w:rFonts w:ascii="宋体" w:hAnsi="宋体" w:eastAsia="宋体" w:cs="宋体"/>
              </w:rPr>
            </w:pPr>
          </w:p>
          <w:p w14:paraId="2927B56B">
            <w:pPr>
              <w:spacing w:after="0" w:line="68" w:lineRule="atLeast"/>
              <w:jc w:val="center"/>
              <w:rPr>
                <w:rFonts w:ascii="宋体" w:hAnsi="宋体" w:eastAsia="宋体" w:cs="宋体"/>
              </w:rPr>
            </w:pPr>
          </w:p>
          <w:p w14:paraId="6EBBE076">
            <w:pPr>
              <w:spacing w:after="0" w:line="68" w:lineRule="atLeast"/>
              <w:jc w:val="center"/>
              <w:rPr>
                <w:rFonts w:ascii="宋体" w:hAnsi="宋体" w:eastAsia="宋体" w:cs="宋体"/>
              </w:rPr>
            </w:pPr>
          </w:p>
          <w:p w14:paraId="6D3526D9">
            <w:pPr>
              <w:spacing w:after="0" w:line="68" w:lineRule="atLeast"/>
              <w:jc w:val="center"/>
              <w:rPr>
                <w:rFonts w:ascii="宋体" w:hAnsi="宋体" w:eastAsia="宋体" w:cs="宋体"/>
              </w:rPr>
            </w:pPr>
          </w:p>
          <w:p w14:paraId="1EACD95C">
            <w:pPr>
              <w:spacing w:after="0" w:line="68" w:lineRule="atLeast"/>
              <w:jc w:val="center"/>
              <w:rPr>
                <w:rFonts w:ascii="宋体" w:hAnsi="宋体" w:eastAsia="宋体" w:cs="宋体"/>
              </w:rPr>
            </w:pPr>
          </w:p>
          <w:p w14:paraId="47029D8E">
            <w:pPr>
              <w:spacing w:after="0" w:line="68" w:lineRule="atLeast"/>
              <w:jc w:val="center"/>
              <w:rPr>
                <w:rFonts w:ascii="宋体" w:hAnsi="宋体" w:eastAsia="宋体" w:cs="宋体"/>
              </w:rPr>
            </w:pPr>
          </w:p>
          <w:p w14:paraId="03822CC7">
            <w:pPr>
              <w:spacing w:after="0" w:line="68" w:lineRule="atLeast"/>
              <w:jc w:val="center"/>
              <w:rPr>
                <w:rFonts w:ascii="宋体" w:hAnsi="宋体" w:eastAsia="宋体" w:cs="宋体"/>
              </w:rPr>
            </w:pPr>
          </w:p>
          <w:p w14:paraId="17555416">
            <w:pPr>
              <w:spacing w:after="0" w:line="68" w:lineRule="atLeast"/>
              <w:jc w:val="center"/>
              <w:rPr>
                <w:rFonts w:ascii="宋体" w:hAnsi="宋体" w:eastAsia="宋体" w:cs="宋体"/>
              </w:rPr>
            </w:pPr>
          </w:p>
          <w:p w14:paraId="1D4CFB4D">
            <w:pPr>
              <w:spacing w:after="0" w:line="68" w:lineRule="atLeast"/>
              <w:jc w:val="center"/>
              <w:rPr>
                <w:rFonts w:ascii="宋体" w:hAnsi="宋体" w:eastAsia="宋体" w:cs="宋体"/>
              </w:rPr>
            </w:pPr>
          </w:p>
          <w:p w14:paraId="38F1ED47">
            <w:pPr>
              <w:spacing w:after="0" w:line="68" w:lineRule="atLeast"/>
              <w:jc w:val="center"/>
              <w:rPr>
                <w:rFonts w:ascii="宋体" w:hAnsi="宋体" w:eastAsia="宋体" w:cs="宋体"/>
              </w:rPr>
            </w:pPr>
          </w:p>
          <w:p w14:paraId="562C7F2D">
            <w:pPr>
              <w:spacing w:after="0" w:line="68" w:lineRule="atLeast"/>
              <w:jc w:val="center"/>
              <w:rPr>
                <w:rFonts w:ascii="宋体" w:hAnsi="宋体" w:eastAsia="宋体" w:cs="宋体"/>
              </w:rPr>
            </w:pPr>
          </w:p>
          <w:p w14:paraId="15A61624">
            <w:pPr>
              <w:spacing w:after="0" w:line="68" w:lineRule="atLeast"/>
              <w:jc w:val="center"/>
              <w:rPr>
                <w:rFonts w:ascii="宋体" w:hAnsi="宋体" w:eastAsia="宋体" w:cs="宋体"/>
              </w:rPr>
            </w:pPr>
          </w:p>
          <w:p w14:paraId="5C35B0BB">
            <w:pPr>
              <w:spacing w:after="0" w:line="68" w:lineRule="atLeast"/>
              <w:jc w:val="center"/>
              <w:rPr>
                <w:rFonts w:ascii="宋体" w:hAnsi="宋体" w:eastAsia="宋体" w:cs="宋体"/>
              </w:rPr>
            </w:pPr>
          </w:p>
          <w:p w14:paraId="04071AF3">
            <w:pPr>
              <w:spacing w:after="0" w:line="68" w:lineRule="atLeast"/>
              <w:jc w:val="center"/>
              <w:rPr>
                <w:rFonts w:ascii="宋体" w:hAnsi="宋体" w:eastAsia="宋体" w:cs="宋体"/>
              </w:rPr>
            </w:pPr>
          </w:p>
          <w:p w14:paraId="522AB828">
            <w:pPr>
              <w:spacing w:after="0" w:line="68" w:lineRule="atLeast"/>
              <w:jc w:val="center"/>
              <w:rPr>
                <w:rFonts w:ascii="宋体" w:hAnsi="宋体" w:eastAsia="宋体" w:cs="宋体"/>
              </w:rPr>
            </w:pPr>
            <w:r>
              <w:rPr>
                <w:rFonts w:hint="eastAsia" w:ascii="宋体" w:hAnsi="宋体" w:eastAsia="宋体" w:cs="宋体"/>
              </w:rPr>
              <w:t>过程(55分)</w:t>
            </w:r>
          </w:p>
          <w:p w14:paraId="41FBCE61">
            <w:pPr>
              <w:spacing w:after="0" w:line="68" w:lineRule="atLeast"/>
              <w:jc w:val="center"/>
              <w:rPr>
                <w:rFonts w:ascii="宋体" w:hAnsi="宋体" w:eastAsia="宋体" w:cs="宋体"/>
              </w:rPr>
            </w:pPr>
          </w:p>
          <w:p w14:paraId="47ABC9FD">
            <w:pPr>
              <w:spacing w:after="0" w:line="68" w:lineRule="atLeast"/>
              <w:jc w:val="center"/>
              <w:rPr>
                <w:rFonts w:ascii="宋体" w:hAnsi="宋体" w:eastAsia="宋体" w:cs="宋体"/>
              </w:rPr>
            </w:pPr>
          </w:p>
          <w:p w14:paraId="328B90F1">
            <w:pPr>
              <w:spacing w:after="0" w:line="68" w:lineRule="atLeast"/>
              <w:jc w:val="center"/>
              <w:rPr>
                <w:rFonts w:ascii="宋体" w:hAnsi="宋体" w:eastAsia="宋体" w:cs="宋体"/>
              </w:rPr>
            </w:pPr>
          </w:p>
          <w:p w14:paraId="46D3B665">
            <w:pPr>
              <w:spacing w:after="0" w:line="68" w:lineRule="atLeast"/>
              <w:jc w:val="center"/>
              <w:rPr>
                <w:rFonts w:ascii="宋体" w:hAnsi="宋体" w:eastAsia="宋体" w:cs="宋体"/>
              </w:rPr>
            </w:pPr>
          </w:p>
          <w:p w14:paraId="1A6D653D">
            <w:pPr>
              <w:spacing w:after="0" w:line="68" w:lineRule="atLeast"/>
              <w:jc w:val="center"/>
              <w:rPr>
                <w:rFonts w:ascii="宋体" w:hAnsi="宋体" w:eastAsia="宋体" w:cs="宋体"/>
              </w:rPr>
            </w:pPr>
          </w:p>
          <w:p w14:paraId="2CED26BB">
            <w:pPr>
              <w:spacing w:after="0" w:line="68" w:lineRule="atLeast"/>
              <w:jc w:val="center"/>
              <w:rPr>
                <w:rFonts w:ascii="宋体" w:hAnsi="宋体" w:eastAsia="宋体" w:cs="宋体"/>
              </w:rPr>
            </w:pPr>
          </w:p>
          <w:p w14:paraId="00AE5503">
            <w:pPr>
              <w:spacing w:after="0" w:line="68" w:lineRule="atLeast"/>
              <w:jc w:val="center"/>
              <w:rPr>
                <w:rFonts w:ascii="宋体" w:hAnsi="宋体" w:eastAsia="宋体" w:cs="宋体"/>
              </w:rPr>
            </w:pPr>
          </w:p>
          <w:p w14:paraId="07E01EF4">
            <w:pPr>
              <w:spacing w:after="0" w:line="68" w:lineRule="atLeast"/>
              <w:jc w:val="center"/>
              <w:rPr>
                <w:rFonts w:ascii="宋体" w:hAnsi="宋体" w:eastAsia="宋体" w:cs="宋体"/>
              </w:rPr>
            </w:pPr>
          </w:p>
          <w:p w14:paraId="32A9DC3D">
            <w:pPr>
              <w:spacing w:after="0" w:line="68" w:lineRule="atLeast"/>
              <w:jc w:val="center"/>
              <w:rPr>
                <w:rFonts w:ascii="宋体" w:hAnsi="宋体" w:eastAsia="宋体" w:cs="宋体"/>
              </w:rPr>
            </w:pPr>
          </w:p>
          <w:p w14:paraId="2C1EE164">
            <w:pPr>
              <w:spacing w:after="0" w:line="68" w:lineRule="atLeast"/>
              <w:jc w:val="center"/>
              <w:rPr>
                <w:rFonts w:ascii="宋体" w:hAnsi="宋体" w:eastAsia="宋体" w:cs="宋体"/>
              </w:rPr>
            </w:pPr>
          </w:p>
          <w:p w14:paraId="23BDD575">
            <w:pPr>
              <w:spacing w:after="0" w:line="68" w:lineRule="atLeast"/>
              <w:jc w:val="center"/>
              <w:rPr>
                <w:rFonts w:ascii="宋体" w:hAnsi="宋体" w:eastAsia="宋体" w:cs="宋体"/>
              </w:rPr>
            </w:pPr>
          </w:p>
          <w:p w14:paraId="69A84393">
            <w:pPr>
              <w:spacing w:after="0" w:line="68" w:lineRule="atLeast"/>
              <w:jc w:val="center"/>
              <w:rPr>
                <w:rFonts w:ascii="宋体" w:hAnsi="宋体" w:eastAsia="宋体" w:cs="宋体"/>
              </w:rPr>
            </w:pPr>
          </w:p>
          <w:p w14:paraId="1C280612">
            <w:pPr>
              <w:spacing w:after="0" w:line="68" w:lineRule="atLeast"/>
              <w:jc w:val="center"/>
              <w:rPr>
                <w:rFonts w:ascii="宋体" w:hAnsi="宋体" w:eastAsia="宋体" w:cs="宋体"/>
              </w:rPr>
            </w:pPr>
          </w:p>
          <w:p w14:paraId="55C1D6DB">
            <w:pPr>
              <w:spacing w:after="0" w:line="68" w:lineRule="atLeast"/>
              <w:jc w:val="center"/>
              <w:rPr>
                <w:rFonts w:ascii="宋体" w:hAnsi="宋体" w:eastAsia="宋体" w:cs="宋体"/>
              </w:rPr>
            </w:pPr>
          </w:p>
          <w:p w14:paraId="6628CA1B">
            <w:pPr>
              <w:spacing w:after="0" w:line="68" w:lineRule="atLeast"/>
              <w:jc w:val="center"/>
              <w:rPr>
                <w:rFonts w:ascii="宋体" w:hAnsi="宋体" w:eastAsia="宋体" w:cs="宋体"/>
              </w:rPr>
            </w:pPr>
          </w:p>
          <w:p w14:paraId="5A42A2C9">
            <w:pPr>
              <w:spacing w:after="0" w:line="68" w:lineRule="atLeast"/>
              <w:jc w:val="center"/>
              <w:rPr>
                <w:rFonts w:ascii="宋体" w:hAnsi="宋体" w:eastAsia="宋体" w:cs="宋体"/>
              </w:rPr>
            </w:pPr>
          </w:p>
          <w:p w14:paraId="6573B23D">
            <w:pPr>
              <w:spacing w:after="0" w:line="68" w:lineRule="atLeast"/>
              <w:jc w:val="center"/>
              <w:rPr>
                <w:rFonts w:ascii="宋体" w:hAnsi="宋体" w:eastAsia="宋体" w:cs="宋体"/>
              </w:rPr>
            </w:pPr>
          </w:p>
          <w:p w14:paraId="6B4A4093">
            <w:pPr>
              <w:spacing w:after="0" w:line="68" w:lineRule="atLeast"/>
              <w:jc w:val="center"/>
              <w:rPr>
                <w:rFonts w:ascii="宋体" w:hAnsi="宋体" w:eastAsia="宋体" w:cs="宋体"/>
              </w:rPr>
            </w:pPr>
          </w:p>
          <w:p w14:paraId="1ED0D7B6">
            <w:pPr>
              <w:spacing w:after="0" w:line="68" w:lineRule="atLeast"/>
              <w:jc w:val="center"/>
              <w:rPr>
                <w:rFonts w:ascii="宋体" w:hAnsi="宋体" w:eastAsia="宋体" w:cs="宋体"/>
              </w:rPr>
            </w:pPr>
          </w:p>
          <w:p w14:paraId="3E73B1D1">
            <w:pPr>
              <w:spacing w:after="0" w:line="68" w:lineRule="atLeast"/>
              <w:jc w:val="center"/>
              <w:rPr>
                <w:rFonts w:ascii="宋体" w:hAnsi="宋体" w:eastAsia="宋体" w:cs="宋体"/>
              </w:rPr>
            </w:pPr>
          </w:p>
          <w:p w14:paraId="5F67D330">
            <w:pPr>
              <w:spacing w:after="0" w:line="68" w:lineRule="atLeast"/>
              <w:jc w:val="center"/>
              <w:rPr>
                <w:rFonts w:ascii="宋体" w:hAnsi="宋体" w:eastAsia="宋体" w:cs="宋体"/>
              </w:rPr>
            </w:pPr>
          </w:p>
          <w:p w14:paraId="4B342D02">
            <w:pPr>
              <w:spacing w:after="0" w:line="68" w:lineRule="atLeast"/>
              <w:jc w:val="center"/>
              <w:rPr>
                <w:rFonts w:ascii="宋体" w:hAnsi="宋体" w:eastAsia="宋体" w:cs="宋体"/>
              </w:rPr>
            </w:pPr>
          </w:p>
          <w:p w14:paraId="200443C0">
            <w:pPr>
              <w:spacing w:after="0" w:line="68" w:lineRule="atLeast"/>
              <w:jc w:val="center"/>
              <w:rPr>
                <w:rFonts w:ascii="宋体" w:hAnsi="宋体" w:eastAsia="宋体" w:cs="宋体"/>
              </w:rPr>
            </w:pPr>
          </w:p>
          <w:p w14:paraId="400DB81C">
            <w:pPr>
              <w:spacing w:after="0" w:line="68" w:lineRule="atLeast"/>
              <w:jc w:val="center"/>
              <w:rPr>
                <w:rFonts w:ascii="宋体" w:hAnsi="宋体" w:eastAsia="宋体" w:cs="宋体"/>
              </w:rPr>
            </w:pPr>
          </w:p>
          <w:p w14:paraId="269CB6B0">
            <w:pPr>
              <w:spacing w:after="0" w:line="68" w:lineRule="atLeast"/>
              <w:jc w:val="center"/>
              <w:rPr>
                <w:rFonts w:ascii="宋体" w:hAnsi="宋体" w:eastAsia="宋体" w:cs="宋体"/>
              </w:rPr>
            </w:pPr>
          </w:p>
          <w:p w14:paraId="1F4AB182">
            <w:pPr>
              <w:spacing w:after="0" w:line="68" w:lineRule="atLeast"/>
              <w:jc w:val="center"/>
              <w:rPr>
                <w:rFonts w:ascii="宋体" w:hAnsi="宋体" w:eastAsia="宋体" w:cs="宋体"/>
              </w:rPr>
            </w:pPr>
            <w:r>
              <w:rPr>
                <w:rFonts w:hint="eastAsia" w:ascii="宋体" w:hAnsi="宋体" w:eastAsia="宋体" w:cs="宋体"/>
              </w:rPr>
              <w:t>过程(55分)</w:t>
            </w:r>
          </w:p>
          <w:p w14:paraId="7CA1340E">
            <w:pPr>
              <w:spacing w:after="0" w:line="68" w:lineRule="atLeast"/>
              <w:jc w:val="center"/>
              <w:rPr>
                <w:rFonts w:ascii="宋体" w:hAnsi="宋体" w:eastAsia="宋体" w:cs="宋体"/>
              </w:rPr>
            </w:pPr>
          </w:p>
          <w:p w14:paraId="51C969AF">
            <w:pPr>
              <w:spacing w:after="0" w:line="68" w:lineRule="atLeast"/>
              <w:jc w:val="center"/>
              <w:rPr>
                <w:rFonts w:ascii="宋体" w:hAnsi="宋体" w:eastAsia="宋体" w:cs="宋体"/>
              </w:rPr>
            </w:pPr>
          </w:p>
          <w:p w14:paraId="50DA8D4A">
            <w:pPr>
              <w:spacing w:after="0" w:line="68" w:lineRule="atLeast"/>
              <w:jc w:val="center"/>
              <w:rPr>
                <w:rFonts w:ascii="宋体" w:hAnsi="宋体" w:eastAsia="宋体" w:cs="宋体"/>
              </w:rPr>
            </w:pPr>
          </w:p>
          <w:p w14:paraId="351E8845">
            <w:pPr>
              <w:spacing w:after="0" w:line="68" w:lineRule="atLeast"/>
              <w:jc w:val="center"/>
              <w:rPr>
                <w:rFonts w:ascii="宋体" w:hAnsi="宋体" w:eastAsia="宋体" w:cs="宋体"/>
              </w:rPr>
            </w:pPr>
          </w:p>
          <w:p w14:paraId="58E2A805">
            <w:pPr>
              <w:spacing w:after="0" w:line="68" w:lineRule="atLeast"/>
              <w:jc w:val="center"/>
              <w:rPr>
                <w:rFonts w:ascii="宋体" w:hAnsi="宋体" w:eastAsia="宋体" w:cs="宋体"/>
              </w:rPr>
            </w:pPr>
          </w:p>
          <w:p w14:paraId="7398A6EF">
            <w:pPr>
              <w:spacing w:after="0" w:line="68" w:lineRule="atLeast"/>
              <w:jc w:val="center"/>
              <w:rPr>
                <w:rFonts w:ascii="宋体" w:hAnsi="宋体" w:eastAsia="宋体" w:cs="宋体"/>
              </w:rPr>
            </w:pPr>
          </w:p>
          <w:p w14:paraId="1E737A1F">
            <w:pPr>
              <w:spacing w:after="0" w:line="68" w:lineRule="atLeast"/>
              <w:jc w:val="center"/>
              <w:rPr>
                <w:rFonts w:ascii="宋体" w:hAnsi="宋体" w:eastAsia="宋体" w:cs="宋体"/>
              </w:rPr>
            </w:pPr>
          </w:p>
          <w:p w14:paraId="1848A542">
            <w:pPr>
              <w:spacing w:after="0" w:line="68" w:lineRule="atLeast"/>
              <w:jc w:val="center"/>
              <w:rPr>
                <w:rFonts w:ascii="宋体" w:hAnsi="宋体" w:eastAsia="宋体" w:cs="宋体"/>
              </w:rPr>
            </w:pPr>
          </w:p>
          <w:p w14:paraId="4826D4CF">
            <w:pPr>
              <w:spacing w:after="0" w:line="68" w:lineRule="atLeast"/>
              <w:rPr>
                <w:rFonts w:ascii="宋体" w:hAnsi="宋体" w:eastAsia="宋体" w:cs="宋体"/>
              </w:rPr>
            </w:pPr>
          </w:p>
          <w:p w14:paraId="051F9F83">
            <w:pPr>
              <w:spacing w:after="0" w:line="68" w:lineRule="atLeast"/>
              <w:rPr>
                <w:rFonts w:ascii="宋体" w:hAnsi="宋体" w:eastAsia="宋体" w:cs="宋体"/>
              </w:rPr>
            </w:pPr>
          </w:p>
          <w:p w14:paraId="10E25F17">
            <w:pPr>
              <w:spacing w:after="0" w:line="68" w:lineRule="atLeast"/>
              <w:rPr>
                <w:rFonts w:ascii="宋体" w:hAnsi="宋体" w:eastAsia="宋体" w:cs="宋体"/>
              </w:rPr>
            </w:pPr>
          </w:p>
          <w:p w14:paraId="03384005">
            <w:pPr>
              <w:spacing w:after="0" w:line="68" w:lineRule="atLeast"/>
              <w:rPr>
                <w:rFonts w:ascii="宋体" w:hAnsi="宋体" w:eastAsia="宋体" w:cs="宋体"/>
              </w:rPr>
            </w:pPr>
          </w:p>
          <w:p w14:paraId="6A176F15">
            <w:pPr>
              <w:spacing w:after="0" w:line="68" w:lineRule="atLeast"/>
              <w:rPr>
                <w:rFonts w:ascii="宋体" w:hAnsi="宋体" w:eastAsia="宋体" w:cs="宋体"/>
              </w:rPr>
            </w:pPr>
          </w:p>
          <w:p w14:paraId="64DD1481">
            <w:pPr>
              <w:spacing w:after="0" w:line="68" w:lineRule="atLeast"/>
              <w:rPr>
                <w:rFonts w:ascii="宋体" w:hAnsi="宋体" w:eastAsia="宋体" w:cs="宋体"/>
              </w:rPr>
            </w:pPr>
          </w:p>
          <w:p w14:paraId="3EDB9C82">
            <w:pPr>
              <w:spacing w:after="0" w:line="68" w:lineRule="atLeast"/>
              <w:rPr>
                <w:rFonts w:ascii="宋体" w:hAnsi="宋体" w:eastAsia="宋体" w:cs="宋体"/>
              </w:rPr>
            </w:pPr>
          </w:p>
          <w:p w14:paraId="25110DBD">
            <w:pPr>
              <w:spacing w:after="0" w:line="68" w:lineRule="atLeast"/>
              <w:jc w:val="center"/>
              <w:rPr>
                <w:rFonts w:ascii="宋体" w:hAnsi="宋体" w:eastAsia="宋体" w:cs="宋体"/>
              </w:rPr>
            </w:pPr>
            <w:r>
              <w:rPr>
                <w:rFonts w:hint="eastAsia" w:ascii="宋体" w:hAnsi="宋体" w:eastAsia="宋体" w:cs="宋体"/>
              </w:rPr>
              <w:t>过程(55分)</w:t>
            </w:r>
          </w:p>
          <w:p w14:paraId="674F02BA">
            <w:pPr>
              <w:spacing w:after="0" w:line="68" w:lineRule="atLeast"/>
              <w:rPr>
                <w:rFonts w:ascii="宋体" w:hAnsi="宋体" w:eastAsia="宋体" w:cs="宋体"/>
              </w:rPr>
            </w:pPr>
          </w:p>
        </w:tc>
        <w:tc>
          <w:tcPr>
            <w:tcW w:w="803" w:type="dxa"/>
            <w:vMerge w:val="restart"/>
            <w:tcBorders>
              <w:top w:val="single" w:color="000000" w:sz="4" w:space="0"/>
              <w:left w:val="single" w:color="000000" w:sz="4" w:space="0"/>
              <w:bottom w:val="single" w:color="000000" w:sz="4" w:space="0"/>
              <w:right w:val="single" w:color="000000" w:sz="4" w:space="0"/>
            </w:tcBorders>
            <w:vAlign w:val="center"/>
          </w:tcPr>
          <w:p w14:paraId="643D35E6">
            <w:pPr>
              <w:spacing w:after="0" w:line="68" w:lineRule="atLeast"/>
              <w:rPr>
                <w:rFonts w:ascii="宋体" w:hAnsi="宋体" w:eastAsia="宋体" w:cs="宋体"/>
              </w:rPr>
            </w:pPr>
            <w:r>
              <w:rPr>
                <w:rFonts w:hint="eastAsia" w:ascii="宋体" w:hAnsi="宋体" w:eastAsia="宋体" w:cs="宋体"/>
              </w:rPr>
              <w:t>预算执行(27分)</w:t>
            </w:r>
          </w:p>
        </w:tc>
        <w:tc>
          <w:tcPr>
            <w:tcW w:w="1182" w:type="dxa"/>
            <w:tcBorders>
              <w:top w:val="single" w:color="000000" w:sz="4" w:space="0"/>
              <w:left w:val="single" w:color="000000" w:sz="4" w:space="0"/>
              <w:bottom w:val="single" w:color="000000" w:sz="4" w:space="0"/>
              <w:right w:val="single" w:color="auto" w:sz="4" w:space="0"/>
            </w:tcBorders>
            <w:vAlign w:val="center"/>
          </w:tcPr>
          <w:p w14:paraId="547C9E9C">
            <w:pPr>
              <w:spacing w:after="0" w:line="68" w:lineRule="atLeast"/>
              <w:rPr>
                <w:rFonts w:ascii="宋体" w:hAnsi="宋体" w:eastAsia="宋体" w:cs="宋体"/>
              </w:rPr>
            </w:pPr>
            <w:r>
              <w:rPr>
                <w:rFonts w:hint="eastAsia" w:ascii="宋体" w:hAnsi="宋体" w:eastAsia="宋体" w:cs="宋体"/>
              </w:rPr>
              <w:t>预算完成率（3分）</w:t>
            </w:r>
          </w:p>
        </w:tc>
        <w:tc>
          <w:tcPr>
            <w:tcW w:w="6911" w:type="dxa"/>
            <w:tcBorders>
              <w:top w:val="single" w:color="000000" w:sz="4" w:space="0"/>
              <w:left w:val="single" w:color="auto" w:sz="4" w:space="0"/>
              <w:bottom w:val="single" w:color="000000" w:sz="4" w:space="0"/>
              <w:right w:val="single" w:color="auto" w:sz="4" w:space="0"/>
            </w:tcBorders>
            <w:vAlign w:val="center"/>
          </w:tcPr>
          <w:p w14:paraId="1A7C4031">
            <w:pPr>
              <w:spacing w:after="0" w:line="240" w:lineRule="exact"/>
              <w:rPr>
                <w:rFonts w:ascii="宋体" w:hAnsi="宋体" w:eastAsia="宋体" w:cs="宋体"/>
              </w:rPr>
            </w:pPr>
            <w:r>
              <w:rPr>
                <w:rFonts w:hint="eastAsia" w:ascii="宋体" w:hAnsi="宋体" w:eastAsia="宋体" w:cs="宋体"/>
              </w:rPr>
              <w:t>通过对部门本年度预算完成数与预算数的比较，反映和评价部门预算的完成程度。</w:t>
            </w:r>
          </w:p>
          <w:p w14:paraId="7C97E087">
            <w:pPr>
              <w:spacing w:after="0" w:line="68" w:lineRule="atLeast"/>
              <w:rPr>
                <w:rFonts w:ascii="宋体" w:hAnsi="宋体" w:eastAsia="宋体" w:cs="宋体"/>
              </w:rPr>
            </w:pPr>
            <w:r>
              <w:rPr>
                <w:rFonts w:hint="eastAsia" w:ascii="宋体" w:hAnsi="宋体" w:eastAsia="宋体" w:cs="宋体"/>
              </w:rPr>
              <w:t>预算完成率=（预算完成数/预算数）×100%。</w:t>
            </w:r>
          </w:p>
        </w:tc>
        <w:tc>
          <w:tcPr>
            <w:tcW w:w="3423" w:type="dxa"/>
            <w:tcBorders>
              <w:top w:val="single" w:color="000000" w:sz="4" w:space="0"/>
              <w:left w:val="single" w:color="auto" w:sz="4" w:space="0"/>
              <w:bottom w:val="single" w:color="000000" w:sz="4" w:space="0"/>
              <w:right w:val="single" w:color="auto" w:sz="4" w:space="0"/>
            </w:tcBorders>
            <w:vAlign w:val="center"/>
          </w:tcPr>
          <w:p w14:paraId="1CE6F66A">
            <w:pPr>
              <w:spacing w:after="0" w:line="68" w:lineRule="atLeast"/>
              <w:rPr>
                <w:rFonts w:ascii="宋体" w:hAnsi="宋体" w:eastAsia="宋体" w:cs="宋体"/>
              </w:rPr>
            </w:pPr>
            <w:r>
              <w:rPr>
                <w:rFonts w:hint="eastAsia" w:ascii="宋体" w:hAnsi="宋体" w:eastAsia="宋体" w:cs="宋体"/>
              </w:rPr>
              <w:t>目标值≥100%；</w:t>
            </w:r>
          </w:p>
          <w:p w14:paraId="45ADD4DF">
            <w:pPr>
              <w:spacing w:after="0" w:line="68" w:lineRule="atLeast"/>
              <w:rPr>
                <w:rFonts w:ascii="宋体" w:hAnsi="宋体" w:eastAsia="宋体" w:cs="宋体"/>
              </w:rPr>
            </w:pPr>
            <w:r>
              <w:rPr>
                <w:rFonts w:hint="eastAsia" w:ascii="宋体" w:hAnsi="宋体" w:eastAsia="宋体" w:cs="宋体"/>
              </w:rPr>
              <w:t>达到目标值的得3分；</w:t>
            </w:r>
          </w:p>
          <w:p w14:paraId="0C825664">
            <w:pPr>
              <w:spacing w:after="0" w:line="68" w:lineRule="atLeast"/>
              <w:rPr>
                <w:rFonts w:ascii="宋体" w:hAnsi="宋体" w:eastAsia="宋体" w:cs="宋体"/>
              </w:rPr>
            </w:pPr>
            <w:r>
              <w:rPr>
                <w:rFonts w:hint="eastAsia" w:ascii="宋体" w:hAnsi="宋体" w:eastAsia="宋体" w:cs="宋体"/>
              </w:rPr>
              <w:t>100%＞结果≥90%，得3分；</w:t>
            </w:r>
          </w:p>
          <w:p w14:paraId="09DB1DFE">
            <w:pPr>
              <w:spacing w:after="0" w:line="68" w:lineRule="atLeast"/>
              <w:rPr>
                <w:rFonts w:ascii="宋体" w:hAnsi="宋体" w:eastAsia="宋体" w:cs="宋体"/>
              </w:rPr>
            </w:pPr>
            <w:r>
              <w:rPr>
                <w:rFonts w:hint="eastAsia" w:ascii="宋体" w:hAnsi="宋体" w:eastAsia="宋体" w:cs="宋体"/>
              </w:rPr>
              <w:t>90%＞结果≥80%，得1分；</w:t>
            </w:r>
          </w:p>
          <w:p w14:paraId="3F5E6185">
            <w:pPr>
              <w:spacing w:after="0" w:line="68" w:lineRule="atLeast"/>
              <w:rPr>
                <w:rFonts w:ascii="宋体" w:hAnsi="宋体" w:eastAsia="宋体" w:cs="宋体"/>
              </w:rPr>
            </w:pPr>
            <w:r>
              <w:rPr>
                <w:rFonts w:hint="eastAsia" w:ascii="宋体" w:hAnsi="宋体" w:eastAsia="宋体" w:cs="宋体"/>
              </w:rPr>
              <w:t>结果＜80%得0分。</w:t>
            </w:r>
          </w:p>
        </w:tc>
        <w:tc>
          <w:tcPr>
            <w:tcW w:w="1090" w:type="dxa"/>
            <w:tcBorders>
              <w:top w:val="single" w:color="000000" w:sz="4" w:space="0"/>
              <w:left w:val="single" w:color="auto" w:sz="4" w:space="0"/>
              <w:bottom w:val="single" w:color="000000" w:sz="4" w:space="0"/>
              <w:right w:val="single" w:color="000000" w:sz="4" w:space="0"/>
            </w:tcBorders>
            <w:vAlign w:val="center"/>
          </w:tcPr>
          <w:p w14:paraId="507C934A">
            <w:pPr>
              <w:spacing w:after="0" w:line="68" w:lineRule="atLeast"/>
              <w:rPr>
                <w:rFonts w:hint="eastAsia" w:ascii="宋体" w:hAnsi="宋体" w:eastAsia="宋体" w:cs="宋体"/>
                <w:lang w:val="en-US" w:eastAsia="zh-CN"/>
              </w:rPr>
            </w:pPr>
            <w:r>
              <w:rPr>
                <w:rFonts w:hint="eastAsia" w:ascii="宋体" w:hAnsi="宋体" w:eastAsia="宋体" w:cs="宋体"/>
              </w:rPr>
              <w:t> </w:t>
            </w:r>
            <w:r>
              <w:rPr>
                <w:rFonts w:hint="eastAsia" w:ascii="宋体" w:hAnsi="宋体" w:eastAsia="宋体" w:cs="宋体"/>
                <w:lang w:val="en-US" w:eastAsia="zh-CN"/>
              </w:rPr>
              <w:t>2</w:t>
            </w:r>
          </w:p>
        </w:tc>
      </w:tr>
      <w:tr w14:paraId="6C4A47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85" w:hRule="atLeast"/>
          <w:jc w:val="center"/>
        </w:trPr>
        <w:tc>
          <w:tcPr>
            <w:tcW w:w="733" w:type="dxa"/>
            <w:vMerge w:val="continue"/>
            <w:tcBorders>
              <w:left w:val="single" w:color="000000" w:sz="4" w:space="0"/>
              <w:right w:val="single" w:color="000000" w:sz="4" w:space="0"/>
            </w:tcBorders>
            <w:vAlign w:val="center"/>
          </w:tcPr>
          <w:p w14:paraId="024F985D">
            <w:pPr>
              <w:spacing w:after="0"/>
              <w:rPr>
                <w:rFonts w:ascii="宋体" w:hAnsi="宋体" w:eastAsia="宋体" w:cs="宋体"/>
              </w:rPr>
            </w:pPr>
          </w:p>
        </w:tc>
        <w:tc>
          <w:tcPr>
            <w:tcW w:w="803" w:type="dxa"/>
            <w:vMerge w:val="continue"/>
            <w:tcBorders>
              <w:top w:val="single" w:color="000000" w:sz="4" w:space="0"/>
              <w:left w:val="single" w:color="000000" w:sz="4" w:space="0"/>
              <w:bottom w:val="single" w:color="000000" w:sz="4" w:space="0"/>
              <w:right w:val="single" w:color="000000" w:sz="4" w:space="0"/>
            </w:tcBorders>
            <w:vAlign w:val="center"/>
          </w:tcPr>
          <w:p w14:paraId="712AB55B">
            <w:pPr>
              <w:spacing w:after="0"/>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13F39B80">
            <w:pPr>
              <w:spacing w:after="0" w:line="68" w:lineRule="atLeast"/>
              <w:rPr>
                <w:rFonts w:ascii="宋体" w:hAnsi="宋体" w:eastAsia="宋体" w:cs="宋体"/>
              </w:rPr>
            </w:pPr>
            <w:r>
              <w:rPr>
                <w:rFonts w:hint="eastAsia" w:ascii="宋体" w:hAnsi="宋体" w:eastAsia="宋体" w:cs="宋体"/>
              </w:rPr>
              <w:t>预算调整率（3分）</w:t>
            </w:r>
          </w:p>
        </w:tc>
        <w:tc>
          <w:tcPr>
            <w:tcW w:w="6911" w:type="dxa"/>
            <w:tcBorders>
              <w:top w:val="single" w:color="000000" w:sz="4" w:space="0"/>
              <w:left w:val="single" w:color="auto" w:sz="4" w:space="0"/>
              <w:bottom w:val="single" w:color="000000" w:sz="4" w:space="0"/>
              <w:right w:val="single" w:color="auto" w:sz="4" w:space="0"/>
            </w:tcBorders>
            <w:vAlign w:val="center"/>
          </w:tcPr>
          <w:p w14:paraId="46D29EE4">
            <w:pPr>
              <w:spacing w:after="0" w:line="240" w:lineRule="exact"/>
              <w:rPr>
                <w:rFonts w:ascii="宋体" w:hAnsi="宋体" w:eastAsia="宋体" w:cs="宋体"/>
              </w:rPr>
            </w:pPr>
            <w:r>
              <w:rPr>
                <w:rFonts w:hint="eastAsia" w:ascii="宋体" w:hAnsi="宋体" w:eastAsia="宋体" w:cs="宋体"/>
              </w:rPr>
              <w:t>部门本年度预算调整数与预算数的比率，用以反映和评价部门预算的调整程度。</w:t>
            </w:r>
          </w:p>
          <w:p w14:paraId="1216AB7C">
            <w:pPr>
              <w:spacing w:after="0" w:line="68" w:lineRule="atLeast"/>
              <w:rPr>
                <w:rFonts w:ascii="宋体" w:hAnsi="宋体" w:eastAsia="宋体" w:cs="宋体"/>
              </w:rPr>
            </w:pPr>
            <w:r>
              <w:rPr>
                <w:rFonts w:hint="eastAsia" w:ascii="宋体" w:hAnsi="宋体" w:eastAsia="宋体" w:cs="宋体"/>
              </w:rPr>
              <w:t>预算调整率=（预算调整数/预算数）×100%。</w:t>
            </w:r>
          </w:p>
        </w:tc>
        <w:tc>
          <w:tcPr>
            <w:tcW w:w="3423" w:type="dxa"/>
            <w:tcBorders>
              <w:top w:val="single" w:color="000000" w:sz="4" w:space="0"/>
              <w:left w:val="single" w:color="auto" w:sz="4" w:space="0"/>
              <w:bottom w:val="single" w:color="000000" w:sz="4" w:space="0"/>
              <w:right w:val="single" w:color="auto" w:sz="4" w:space="0"/>
            </w:tcBorders>
            <w:vAlign w:val="center"/>
          </w:tcPr>
          <w:p w14:paraId="74824EC5">
            <w:pPr>
              <w:spacing w:after="0" w:line="68" w:lineRule="atLeast"/>
              <w:rPr>
                <w:rFonts w:ascii="宋体" w:hAnsi="宋体" w:eastAsia="宋体" w:cs="宋体"/>
              </w:rPr>
            </w:pPr>
            <w:r>
              <w:rPr>
                <w:rFonts w:hint="eastAsia" w:ascii="宋体" w:hAnsi="宋体" w:eastAsia="宋体" w:cs="宋体"/>
              </w:rPr>
              <w:t>目标值为10%；达到目标值得3分，未达到目标值的每增加0.1个百分点扣0.1分，扣完为止。</w:t>
            </w:r>
          </w:p>
        </w:tc>
        <w:tc>
          <w:tcPr>
            <w:tcW w:w="1090" w:type="dxa"/>
            <w:tcBorders>
              <w:top w:val="single" w:color="000000" w:sz="4" w:space="0"/>
              <w:left w:val="single" w:color="auto" w:sz="4" w:space="0"/>
              <w:bottom w:val="single" w:color="000000" w:sz="4" w:space="0"/>
              <w:right w:val="single" w:color="000000" w:sz="4" w:space="0"/>
            </w:tcBorders>
            <w:vAlign w:val="center"/>
          </w:tcPr>
          <w:p w14:paraId="1D3098D9">
            <w:pPr>
              <w:spacing w:after="0" w:line="68" w:lineRule="atLeast"/>
              <w:rPr>
                <w:rFonts w:hint="eastAsia" w:ascii="宋体" w:hAnsi="宋体" w:eastAsia="宋体" w:cs="宋体"/>
                <w:lang w:val="en-US" w:eastAsia="zh-CN"/>
              </w:rPr>
            </w:pPr>
            <w:r>
              <w:rPr>
                <w:rFonts w:hint="eastAsia" w:ascii="宋体" w:hAnsi="宋体" w:eastAsia="宋体" w:cs="宋体"/>
              </w:rPr>
              <w:t> </w:t>
            </w:r>
            <w:r>
              <w:rPr>
                <w:rFonts w:hint="eastAsia" w:ascii="宋体" w:hAnsi="宋体" w:eastAsia="宋体" w:cs="宋体"/>
                <w:lang w:val="en-US" w:eastAsia="zh-CN"/>
              </w:rPr>
              <w:t>2</w:t>
            </w:r>
          </w:p>
        </w:tc>
      </w:tr>
      <w:tr w14:paraId="2FB63E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90" w:hRule="atLeast"/>
          <w:jc w:val="center"/>
        </w:trPr>
        <w:tc>
          <w:tcPr>
            <w:tcW w:w="733" w:type="dxa"/>
            <w:vMerge w:val="continue"/>
            <w:tcBorders>
              <w:left w:val="single" w:color="000000" w:sz="4" w:space="0"/>
              <w:right w:val="single" w:color="000000" w:sz="4" w:space="0"/>
            </w:tcBorders>
            <w:vAlign w:val="center"/>
          </w:tcPr>
          <w:p w14:paraId="6E3CE8B2">
            <w:pPr>
              <w:spacing w:after="0"/>
              <w:rPr>
                <w:rFonts w:ascii="宋体" w:hAnsi="宋体" w:eastAsia="宋体" w:cs="宋体"/>
              </w:rPr>
            </w:pPr>
          </w:p>
        </w:tc>
        <w:tc>
          <w:tcPr>
            <w:tcW w:w="803" w:type="dxa"/>
            <w:vMerge w:val="continue"/>
            <w:tcBorders>
              <w:top w:val="single" w:color="000000" w:sz="4" w:space="0"/>
              <w:left w:val="single" w:color="000000" w:sz="4" w:space="0"/>
              <w:bottom w:val="single" w:color="000000" w:sz="4" w:space="0"/>
              <w:right w:val="single" w:color="000000" w:sz="4" w:space="0"/>
            </w:tcBorders>
            <w:vAlign w:val="center"/>
          </w:tcPr>
          <w:p w14:paraId="30B67407">
            <w:pPr>
              <w:spacing w:after="0"/>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282F3EC1">
            <w:pPr>
              <w:spacing w:after="0" w:line="240" w:lineRule="exact"/>
              <w:rPr>
                <w:rFonts w:ascii="宋体" w:hAnsi="宋体" w:eastAsia="宋体" w:cs="宋体"/>
              </w:rPr>
            </w:pPr>
            <w:r>
              <w:rPr>
                <w:rFonts w:hint="eastAsia" w:ascii="宋体" w:hAnsi="宋体" w:eastAsia="宋体" w:cs="宋体"/>
                <w:color w:val="000000"/>
              </w:rPr>
              <w:t>支付进度率</w:t>
            </w:r>
            <w:r>
              <w:rPr>
                <w:rFonts w:hint="eastAsia" w:ascii="宋体" w:hAnsi="宋体" w:eastAsia="宋体" w:cs="宋体"/>
              </w:rPr>
              <w:t>（6分）</w:t>
            </w:r>
          </w:p>
        </w:tc>
        <w:tc>
          <w:tcPr>
            <w:tcW w:w="6911" w:type="dxa"/>
            <w:tcBorders>
              <w:top w:val="single" w:color="000000" w:sz="4" w:space="0"/>
              <w:left w:val="single" w:color="auto" w:sz="4" w:space="0"/>
              <w:bottom w:val="single" w:color="000000" w:sz="4" w:space="0"/>
              <w:right w:val="single" w:color="auto" w:sz="4" w:space="0"/>
            </w:tcBorders>
            <w:vAlign w:val="center"/>
          </w:tcPr>
          <w:p w14:paraId="4BA3B6DB">
            <w:pPr>
              <w:spacing w:after="0" w:line="240" w:lineRule="exact"/>
              <w:rPr>
                <w:rFonts w:ascii="宋体" w:hAnsi="宋体" w:eastAsia="宋体" w:cs="宋体"/>
              </w:rPr>
            </w:pPr>
            <w:r>
              <w:rPr>
                <w:rFonts w:hint="eastAsia" w:ascii="宋体" w:hAnsi="宋体" w:eastAsia="宋体" w:cs="宋体"/>
              </w:rPr>
              <w:t>部门年度支付数与年度预算（调整）数的比率，用以反映和评价部门预算执行的及时和均衡程度。</w:t>
            </w:r>
          </w:p>
          <w:p w14:paraId="485EB298">
            <w:pPr>
              <w:spacing w:after="0" w:line="240" w:lineRule="exact"/>
              <w:rPr>
                <w:rFonts w:ascii="宋体" w:hAnsi="宋体" w:eastAsia="宋体" w:cs="宋体"/>
              </w:rPr>
            </w:pPr>
            <w:r>
              <w:rPr>
                <w:rFonts w:hint="eastAsia" w:ascii="宋体" w:hAnsi="宋体" w:eastAsia="宋体" w:cs="宋体"/>
              </w:rPr>
              <w:t>半年支付进度=部门上半年实际支出÷（上年结余结转+本年部门预算安排+上半年执行中追加追减）×100%</w:t>
            </w:r>
          </w:p>
          <w:p w14:paraId="1735C048">
            <w:pPr>
              <w:spacing w:after="0" w:line="240" w:lineRule="exact"/>
              <w:rPr>
                <w:rFonts w:ascii="宋体" w:hAnsi="宋体" w:eastAsia="宋体" w:cs="宋体"/>
              </w:rPr>
            </w:pPr>
            <w:r>
              <w:rPr>
                <w:rFonts w:hint="eastAsia" w:ascii="宋体" w:hAnsi="宋体" w:eastAsia="宋体" w:cs="宋体"/>
              </w:rPr>
              <w:t>全年支付进度=部门全年实际支出÷（上年结余结转+本年部门预算安排+全年执行中追加追减）×100%</w:t>
            </w:r>
          </w:p>
        </w:tc>
        <w:tc>
          <w:tcPr>
            <w:tcW w:w="3423" w:type="dxa"/>
            <w:tcBorders>
              <w:top w:val="single" w:color="000000" w:sz="4" w:space="0"/>
              <w:left w:val="single" w:color="auto" w:sz="4" w:space="0"/>
              <w:bottom w:val="single" w:color="000000" w:sz="4" w:space="0"/>
              <w:right w:val="single" w:color="auto" w:sz="4" w:space="0"/>
            </w:tcBorders>
            <w:vAlign w:val="center"/>
          </w:tcPr>
          <w:p w14:paraId="127303E8">
            <w:pPr>
              <w:spacing w:after="0" w:line="240" w:lineRule="exact"/>
              <w:rPr>
                <w:rFonts w:ascii="宋体" w:hAnsi="宋体" w:eastAsia="宋体" w:cs="宋体"/>
              </w:rPr>
            </w:pPr>
            <w:r>
              <w:rPr>
                <w:rFonts w:hint="eastAsia" w:ascii="宋体" w:hAnsi="宋体" w:eastAsia="宋体" w:cs="宋体"/>
              </w:rPr>
              <w:t>半年进度：结果≥50%，得2分；50%＞结果≥40%，得1分；结果＜40%，得0分。</w:t>
            </w:r>
          </w:p>
          <w:p w14:paraId="145C9EFC">
            <w:pPr>
              <w:spacing w:after="0" w:line="240" w:lineRule="exact"/>
              <w:rPr>
                <w:rFonts w:ascii="宋体" w:hAnsi="宋体" w:eastAsia="宋体" w:cs="宋体"/>
              </w:rPr>
            </w:pPr>
            <w:r>
              <w:rPr>
                <w:rFonts w:hint="eastAsia" w:ascii="宋体" w:hAnsi="宋体" w:eastAsia="宋体" w:cs="宋体"/>
              </w:rPr>
              <w:t>全年进度：结果≥100%，得4分；100%＞结果≥95%，得3分；95%＞结果≥90%，得2分；90%＞结果≥85%，得2分；结果＜85%，得0分。</w:t>
            </w:r>
          </w:p>
        </w:tc>
        <w:tc>
          <w:tcPr>
            <w:tcW w:w="1090" w:type="dxa"/>
            <w:tcBorders>
              <w:top w:val="single" w:color="000000" w:sz="4" w:space="0"/>
              <w:left w:val="single" w:color="auto" w:sz="4" w:space="0"/>
              <w:bottom w:val="single" w:color="000000" w:sz="4" w:space="0"/>
              <w:right w:val="single" w:color="000000" w:sz="4" w:space="0"/>
            </w:tcBorders>
            <w:vAlign w:val="center"/>
          </w:tcPr>
          <w:p w14:paraId="770002A3">
            <w:pPr>
              <w:spacing w:after="0" w:line="240" w:lineRule="exact"/>
              <w:rPr>
                <w:rFonts w:hint="eastAsia" w:ascii="宋体" w:hAnsi="宋体" w:eastAsia="宋体" w:cs="宋体"/>
                <w:lang w:val="en-US" w:eastAsia="zh-CN"/>
              </w:rPr>
            </w:pPr>
            <w:r>
              <w:rPr>
                <w:rFonts w:hint="eastAsia" w:ascii="宋体" w:hAnsi="宋体" w:eastAsia="宋体" w:cs="宋体"/>
              </w:rPr>
              <w:t> </w:t>
            </w:r>
            <w:r>
              <w:rPr>
                <w:rFonts w:hint="eastAsia" w:ascii="宋体" w:hAnsi="宋体" w:eastAsia="宋体" w:cs="宋体"/>
                <w:lang w:val="en-US" w:eastAsia="zh-CN"/>
              </w:rPr>
              <w:t>6</w:t>
            </w:r>
          </w:p>
        </w:tc>
      </w:tr>
      <w:tr w14:paraId="36E814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78" w:hRule="atLeast"/>
          <w:jc w:val="center"/>
        </w:trPr>
        <w:tc>
          <w:tcPr>
            <w:tcW w:w="733" w:type="dxa"/>
            <w:vMerge w:val="continue"/>
            <w:tcBorders>
              <w:left w:val="single" w:color="000000" w:sz="4" w:space="0"/>
              <w:right w:val="single" w:color="000000" w:sz="4" w:space="0"/>
            </w:tcBorders>
            <w:vAlign w:val="center"/>
          </w:tcPr>
          <w:p w14:paraId="7763EB87">
            <w:pPr>
              <w:spacing w:after="0"/>
              <w:rPr>
                <w:rFonts w:ascii="宋体" w:hAnsi="宋体" w:eastAsia="宋体" w:cs="宋体"/>
              </w:rPr>
            </w:pPr>
          </w:p>
        </w:tc>
        <w:tc>
          <w:tcPr>
            <w:tcW w:w="803" w:type="dxa"/>
            <w:vMerge w:val="continue"/>
            <w:tcBorders>
              <w:top w:val="single" w:color="000000" w:sz="4" w:space="0"/>
              <w:left w:val="single" w:color="000000" w:sz="4" w:space="0"/>
              <w:bottom w:val="single" w:color="000000" w:sz="4" w:space="0"/>
              <w:right w:val="single" w:color="000000" w:sz="4" w:space="0"/>
            </w:tcBorders>
            <w:vAlign w:val="center"/>
          </w:tcPr>
          <w:p w14:paraId="5CAE2C14">
            <w:pPr>
              <w:spacing w:after="0"/>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012C619C">
            <w:pPr>
              <w:spacing w:after="0" w:line="240" w:lineRule="exact"/>
              <w:rPr>
                <w:rFonts w:ascii="宋体" w:hAnsi="宋体" w:eastAsia="宋体" w:cs="宋体"/>
              </w:rPr>
            </w:pPr>
            <w:r>
              <w:rPr>
                <w:rFonts w:hint="eastAsia" w:ascii="宋体" w:hAnsi="宋体" w:eastAsia="宋体" w:cs="宋体"/>
              </w:rPr>
              <w:t>结转结余率（3分）</w:t>
            </w:r>
          </w:p>
        </w:tc>
        <w:tc>
          <w:tcPr>
            <w:tcW w:w="6911" w:type="dxa"/>
            <w:tcBorders>
              <w:top w:val="single" w:color="000000" w:sz="4" w:space="0"/>
              <w:left w:val="single" w:color="auto" w:sz="4" w:space="0"/>
              <w:bottom w:val="single" w:color="000000" w:sz="4" w:space="0"/>
              <w:right w:val="single" w:color="auto" w:sz="4" w:space="0"/>
            </w:tcBorders>
            <w:vAlign w:val="center"/>
          </w:tcPr>
          <w:p w14:paraId="74702A57">
            <w:pPr>
              <w:spacing w:after="0" w:line="240" w:lineRule="exact"/>
              <w:rPr>
                <w:rFonts w:ascii="宋体" w:hAnsi="宋体" w:eastAsia="宋体" w:cs="宋体"/>
              </w:rPr>
            </w:pPr>
            <w:r>
              <w:rPr>
                <w:rFonts w:hint="eastAsia" w:ascii="宋体" w:hAnsi="宋体" w:eastAsia="宋体" w:cs="宋体"/>
              </w:rPr>
              <w:t>通过对部门本年度结转结余总额与支出预算数的比较，反映和评价部门对本年度结转结余资金的实际控制程度。</w:t>
            </w:r>
          </w:p>
          <w:p w14:paraId="39DD0017">
            <w:pPr>
              <w:spacing w:after="0" w:line="240" w:lineRule="exact"/>
              <w:rPr>
                <w:rFonts w:ascii="宋体" w:hAnsi="宋体" w:eastAsia="宋体" w:cs="宋体"/>
              </w:rPr>
            </w:pPr>
            <w:r>
              <w:rPr>
                <w:rFonts w:hint="eastAsia" w:ascii="宋体" w:hAnsi="宋体" w:eastAsia="宋体" w:cs="宋体"/>
              </w:rPr>
              <w:t>结转结余率=（结转结余总额/支出预算数）×100%。</w:t>
            </w:r>
          </w:p>
        </w:tc>
        <w:tc>
          <w:tcPr>
            <w:tcW w:w="3423" w:type="dxa"/>
            <w:tcBorders>
              <w:top w:val="single" w:color="000000" w:sz="4" w:space="0"/>
              <w:left w:val="single" w:color="auto" w:sz="4" w:space="0"/>
              <w:bottom w:val="single" w:color="000000" w:sz="4" w:space="0"/>
              <w:right w:val="single" w:color="auto" w:sz="4" w:space="0"/>
            </w:tcBorders>
            <w:vAlign w:val="center"/>
          </w:tcPr>
          <w:p w14:paraId="2267C266">
            <w:pPr>
              <w:spacing w:after="0" w:line="240" w:lineRule="exact"/>
              <w:rPr>
                <w:rFonts w:ascii="宋体" w:hAnsi="宋体" w:eastAsia="宋体" w:cs="宋体"/>
              </w:rPr>
            </w:pPr>
            <w:r>
              <w:rPr>
                <w:rFonts w:hint="eastAsia" w:ascii="宋体" w:hAnsi="宋体" w:eastAsia="宋体" w:cs="宋体"/>
              </w:rPr>
              <w:t>目标值为0；达到目标值得3分，未达到目标值的每增加0.1个百分点扣0.1分，扣完为止。</w:t>
            </w:r>
          </w:p>
        </w:tc>
        <w:tc>
          <w:tcPr>
            <w:tcW w:w="1090" w:type="dxa"/>
            <w:tcBorders>
              <w:top w:val="single" w:color="000000" w:sz="4" w:space="0"/>
              <w:left w:val="single" w:color="auto" w:sz="4" w:space="0"/>
              <w:bottom w:val="single" w:color="000000" w:sz="4" w:space="0"/>
              <w:right w:val="single" w:color="000000" w:sz="4" w:space="0"/>
            </w:tcBorders>
            <w:vAlign w:val="center"/>
          </w:tcPr>
          <w:p w14:paraId="2DEDFDBA">
            <w:pPr>
              <w:spacing w:after="0" w:line="240" w:lineRule="exact"/>
              <w:rPr>
                <w:rFonts w:hint="eastAsia" w:ascii="宋体" w:hAnsi="宋体" w:eastAsia="宋体" w:cs="宋体"/>
                <w:lang w:val="en-US" w:eastAsia="zh-CN"/>
              </w:rPr>
            </w:pPr>
            <w:r>
              <w:rPr>
                <w:rFonts w:hint="eastAsia" w:ascii="宋体" w:hAnsi="宋体" w:eastAsia="宋体" w:cs="宋体"/>
              </w:rPr>
              <w:t> </w:t>
            </w:r>
            <w:r>
              <w:rPr>
                <w:rFonts w:hint="eastAsia" w:ascii="宋体" w:hAnsi="宋体" w:eastAsia="宋体" w:cs="宋体"/>
                <w:lang w:val="en-US" w:eastAsia="zh-CN"/>
              </w:rPr>
              <w:t>3</w:t>
            </w:r>
          </w:p>
        </w:tc>
      </w:tr>
      <w:tr w14:paraId="3882AF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07" w:hRule="atLeast"/>
          <w:jc w:val="center"/>
        </w:trPr>
        <w:tc>
          <w:tcPr>
            <w:tcW w:w="733" w:type="dxa"/>
            <w:vMerge w:val="continue"/>
            <w:tcBorders>
              <w:left w:val="single" w:color="000000" w:sz="4" w:space="0"/>
              <w:right w:val="single" w:color="000000" w:sz="4" w:space="0"/>
            </w:tcBorders>
            <w:vAlign w:val="center"/>
          </w:tcPr>
          <w:p w14:paraId="35A95AEC">
            <w:pPr>
              <w:spacing w:after="0"/>
              <w:rPr>
                <w:rFonts w:ascii="宋体" w:hAnsi="宋体" w:eastAsia="宋体" w:cs="宋体"/>
              </w:rPr>
            </w:pPr>
          </w:p>
        </w:tc>
        <w:tc>
          <w:tcPr>
            <w:tcW w:w="803" w:type="dxa"/>
            <w:vMerge w:val="continue"/>
            <w:tcBorders>
              <w:top w:val="single" w:color="000000" w:sz="4" w:space="0"/>
              <w:left w:val="single" w:color="000000" w:sz="4" w:space="0"/>
              <w:bottom w:val="single" w:color="000000" w:sz="4" w:space="0"/>
              <w:right w:val="single" w:color="000000" w:sz="4" w:space="0"/>
            </w:tcBorders>
            <w:vAlign w:val="center"/>
          </w:tcPr>
          <w:p w14:paraId="69D586C6">
            <w:pPr>
              <w:spacing w:after="0"/>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5A4A1057">
            <w:pPr>
              <w:spacing w:after="0" w:line="240" w:lineRule="exact"/>
              <w:rPr>
                <w:rFonts w:ascii="宋体" w:hAnsi="宋体" w:eastAsia="宋体" w:cs="宋体"/>
              </w:rPr>
            </w:pPr>
            <w:r>
              <w:rPr>
                <w:rFonts w:hint="eastAsia" w:ascii="宋体" w:hAnsi="宋体" w:eastAsia="宋体" w:cs="宋体"/>
              </w:rPr>
              <w:t>结转结余变动率(3分）</w:t>
            </w:r>
          </w:p>
        </w:tc>
        <w:tc>
          <w:tcPr>
            <w:tcW w:w="6911" w:type="dxa"/>
            <w:tcBorders>
              <w:top w:val="single" w:color="000000" w:sz="4" w:space="0"/>
              <w:left w:val="single" w:color="auto" w:sz="4" w:space="0"/>
              <w:bottom w:val="single" w:color="000000" w:sz="4" w:space="0"/>
              <w:right w:val="single" w:color="auto" w:sz="4" w:space="0"/>
            </w:tcBorders>
            <w:vAlign w:val="center"/>
          </w:tcPr>
          <w:p w14:paraId="3385C9CC">
            <w:pPr>
              <w:spacing w:after="0" w:line="240" w:lineRule="exact"/>
              <w:rPr>
                <w:rFonts w:ascii="宋体" w:hAnsi="宋体" w:eastAsia="宋体" w:cs="宋体"/>
              </w:rPr>
            </w:pPr>
            <w:r>
              <w:rPr>
                <w:rFonts w:hint="eastAsia" w:ascii="宋体" w:hAnsi="宋体" w:eastAsia="宋体" w:cs="宋体"/>
              </w:rPr>
              <w:t>部门本年度结转结余资金总额与上年度结转结余资金总额的变动比率，用以反映和考核部门对控制结转结余资金的努力程度。</w:t>
            </w:r>
          </w:p>
          <w:p w14:paraId="494E1D0C">
            <w:pPr>
              <w:spacing w:after="0" w:line="240" w:lineRule="exact"/>
              <w:rPr>
                <w:rFonts w:ascii="宋体" w:hAnsi="宋体" w:eastAsia="宋体" w:cs="宋体"/>
              </w:rPr>
            </w:pPr>
            <w:r>
              <w:rPr>
                <w:rFonts w:hint="eastAsia" w:ascii="宋体" w:hAnsi="宋体" w:eastAsia="宋体" w:cs="宋体"/>
              </w:rPr>
              <w:t>结转结余变动率=〔（本年度累计结转结余资金总额-上年度累计结转结余资金总额）/上年度累计结转结余资金总额〕×100%。</w:t>
            </w:r>
          </w:p>
        </w:tc>
        <w:tc>
          <w:tcPr>
            <w:tcW w:w="3423" w:type="dxa"/>
            <w:tcBorders>
              <w:top w:val="single" w:color="000000" w:sz="4" w:space="0"/>
              <w:left w:val="single" w:color="auto" w:sz="4" w:space="0"/>
              <w:bottom w:val="single" w:color="000000" w:sz="4" w:space="0"/>
              <w:right w:val="single" w:color="auto" w:sz="4" w:space="0"/>
            </w:tcBorders>
            <w:vAlign w:val="center"/>
          </w:tcPr>
          <w:p w14:paraId="4EA9E994">
            <w:pPr>
              <w:spacing w:after="0" w:line="240" w:lineRule="exact"/>
              <w:rPr>
                <w:rFonts w:ascii="宋体" w:hAnsi="宋体" w:eastAsia="宋体" w:cs="宋体"/>
              </w:rPr>
            </w:pPr>
            <w:r>
              <w:rPr>
                <w:rFonts w:hint="eastAsia" w:ascii="宋体" w:hAnsi="宋体" w:eastAsia="宋体" w:cs="宋体"/>
              </w:rPr>
              <w:t>目标值为≤0%；达到目标值得3分，未达到目标值的采用比率扣分法：扣分值=结转结余变动率×2×10，变动率达10%以上的扣2分。</w:t>
            </w:r>
          </w:p>
        </w:tc>
        <w:tc>
          <w:tcPr>
            <w:tcW w:w="1090" w:type="dxa"/>
            <w:tcBorders>
              <w:top w:val="single" w:color="000000" w:sz="4" w:space="0"/>
              <w:left w:val="single" w:color="auto" w:sz="4" w:space="0"/>
              <w:bottom w:val="single" w:color="000000" w:sz="4" w:space="0"/>
              <w:right w:val="single" w:color="000000" w:sz="4" w:space="0"/>
            </w:tcBorders>
            <w:vAlign w:val="center"/>
          </w:tcPr>
          <w:p w14:paraId="2CDFD645">
            <w:pPr>
              <w:spacing w:after="0" w:line="240" w:lineRule="exact"/>
              <w:rPr>
                <w:rFonts w:hint="eastAsia" w:ascii="宋体" w:hAnsi="宋体" w:eastAsia="宋体" w:cs="宋体"/>
                <w:lang w:val="en-US" w:eastAsia="zh-CN"/>
              </w:rPr>
            </w:pPr>
            <w:r>
              <w:rPr>
                <w:rFonts w:hint="eastAsia" w:ascii="宋体" w:hAnsi="宋体" w:eastAsia="宋体" w:cs="宋体"/>
                <w:lang w:val="en-US" w:eastAsia="zh-CN"/>
              </w:rPr>
              <w:t>3</w:t>
            </w:r>
          </w:p>
        </w:tc>
      </w:tr>
      <w:tr w14:paraId="17A8D8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05" w:hRule="atLeast"/>
          <w:jc w:val="center"/>
        </w:trPr>
        <w:tc>
          <w:tcPr>
            <w:tcW w:w="733" w:type="dxa"/>
            <w:vMerge w:val="continue"/>
            <w:tcBorders>
              <w:left w:val="single" w:color="000000" w:sz="4" w:space="0"/>
              <w:right w:val="single" w:color="000000" w:sz="4" w:space="0"/>
            </w:tcBorders>
            <w:vAlign w:val="center"/>
          </w:tcPr>
          <w:p w14:paraId="53E7BE87">
            <w:pPr>
              <w:spacing w:after="0"/>
              <w:rPr>
                <w:rFonts w:ascii="宋体" w:hAnsi="宋体" w:eastAsia="宋体" w:cs="宋体"/>
              </w:rPr>
            </w:pPr>
          </w:p>
        </w:tc>
        <w:tc>
          <w:tcPr>
            <w:tcW w:w="803" w:type="dxa"/>
            <w:vMerge w:val="continue"/>
            <w:tcBorders>
              <w:top w:val="single" w:color="000000" w:sz="4" w:space="0"/>
              <w:left w:val="single" w:color="000000" w:sz="4" w:space="0"/>
              <w:bottom w:val="single" w:color="000000" w:sz="4" w:space="0"/>
              <w:right w:val="single" w:color="000000" w:sz="4" w:space="0"/>
            </w:tcBorders>
            <w:vAlign w:val="center"/>
          </w:tcPr>
          <w:p w14:paraId="25F62CB1">
            <w:pPr>
              <w:spacing w:after="0"/>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50960B43">
            <w:pPr>
              <w:spacing w:after="0" w:line="240" w:lineRule="exact"/>
              <w:rPr>
                <w:rFonts w:ascii="宋体" w:hAnsi="宋体" w:eastAsia="宋体" w:cs="宋体"/>
              </w:rPr>
            </w:pPr>
            <w:r>
              <w:rPr>
                <w:rFonts w:hint="eastAsia" w:ascii="宋体" w:hAnsi="宋体" w:eastAsia="宋体" w:cs="宋体"/>
              </w:rPr>
              <w:t>公用经费控制率（3分）</w:t>
            </w:r>
          </w:p>
        </w:tc>
        <w:tc>
          <w:tcPr>
            <w:tcW w:w="6911" w:type="dxa"/>
            <w:tcBorders>
              <w:top w:val="single" w:color="000000" w:sz="4" w:space="0"/>
              <w:left w:val="single" w:color="auto" w:sz="4" w:space="0"/>
              <w:bottom w:val="single" w:color="000000" w:sz="4" w:space="0"/>
              <w:right w:val="single" w:color="auto" w:sz="4" w:space="0"/>
            </w:tcBorders>
            <w:vAlign w:val="center"/>
          </w:tcPr>
          <w:p w14:paraId="6565B058">
            <w:pPr>
              <w:spacing w:after="0" w:line="240" w:lineRule="exact"/>
              <w:rPr>
                <w:rFonts w:ascii="宋体" w:hAnsi="宋体" w:eastAsia="宋体" w:cs="宋体"/>
              </w:rPr>
            </w:pPr>
            <w:r>
              <w:rPr>
                <w:rFonts w:hint="eastAsia" w:ascii="宋体" w:hAnsi="宋体" w:eastAsia="宋体" w:cs="宋体"/>
              </w:rPr>
              <w:t>通过对部门本年度实际支出的公用经费总额与预算安排的公用经费总额的比率，反映和评价部门对机构运转成本的实际控制程度。</w:t>
            </w:r>
          </w:p>
          <w:p w14:paraId="3D83259D">
            <w:pPr>
              <w:spacing w:after="0" w:line="240" w:lineRule="exact"/>
              <w:rPr>
                <w:rFonts w:ascii="宋体" w:hAnsi="宋体" w:eastAsia="宋体" w:cs="宋体"/>
              </w:rPr>
            </w:pPr>
            <w:r>
              <w:rPr>
                <w:rFonts w:hint="eastAsia" w:ascii="宋体" w:hAnsi="宋体" w:eastAsia="宋体" w:cs="宋体"/>
              </w:rPr>
              <w:t>公用经费控制率=（实际支出公用经费总额/预算安排公用经费总额）×100%。</w:t>
            </w:r>
          </w:p>
        </w:tc>
        <w:tc>
          <w:tcPr>
            <w:tcW w:w="3423" w:type="dxa"/>
            <w:tcBorders>
              <w:top w:val="single" w:color="000000" w:sz="4" w:space="0"/>
              <w:left w:val="single" w:color="auto" w:sz="4" w:space="0"/>
              <w:bottom w:val="single" w:color="000000" w:sz="4" w:space="0"/>
              <w:right w:val="single" w:color="auto" w:sz="4" w:space="0"/>
            </w:tcBorders>
            <w:vAlign w:val="center"/>
          </w:tcPr>
          <w:p w14:paraId="5E025F11">
            <w:pPr>
              <w:spacing w:after="0" w:line="240" w:lineRule="exact"/>
              <w:rPr>
                <w:rFonts w:ascii="宋体" w:hAnsi="宋体" w:eastAsia="宋体" w:cs="宋体"/>
              </w:rPr>
            </w:pPr>
            <w:r>
              <w:rPr>
                <w:rFonts w:hint="eastAsia" w:ascii="宋体" w:hAnsi="宋体" w:eastAsia="宋体" w:cs="宋体"/>
              </w:rPr>
              <w:t>目标值为≤100%；达到目标值得3分，未达到目标值的每增加0.1个百分点扣0.1分，扣完为止。</w:t>
            </w:r>
          </w:p>
        </w:tc>
        <w:tc>
          <w:tcPr>
            <w:tcW w:w="1090" w:type="dxa"/>
            <w:tcBorders>
              <w:top w:val="single" w:color="000000" w:sz="4" w:space="0"/>
              <w:left w:val="single" w:color="auto" w:sz="4" w:space="0"/>
              <w:bottom w:val="single" w:color="000000" w:sz="4" w:space="0"/>
              <w:right w:val="single" w:color="000000" w:sz="4" w:space="0"/>
            </w:tcBorders>
            <w:vAlign w:val="center"/>
          </w:tcPr>
          <w:p w14:paraId="7BB523C2">
            <w:pPr>
              <w:spacing w:after="0" w:line="240" w:lineRule="exact"/>
              <w:rPr>
                <w:rFonts w:hint="eastAsia" w:ascii="宋体" w:hAnsi="宋体" w:eastAsia="宋体" w:cs="宋体"/>
                <w:lang w:val="en-US" w:eastAsia="zh-CN"/>
              </w:rPr>
            </w:pPr>
            <w:r>
              <w:rPr>
                <w:rFonts w:hint="eastAsia" w:ascii="宋体" w:hAnsi="宋体" w:eastAsia="宋体" w:cs="宋体"/>
              </w:rPr>
              <w:t> </w:t>
            </w:r>
            <w:r>
              <w:rPr>
                <w:rFonts w:hint="eastAsia" w:ascii="宋体" w:hAnsi="宋体" w:eastAsia="宋体" w:cs="宋体"/>
                <w:lang w:val="en-US" w:eastAsia="zh-CN"/>
              </w:rPr>
              <w:t>3</w:t>
            </w:r>
          </w:p>
        </w:tc>
      </w:tr>
      <w:tr w14:paraId="3891DD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23" w:hRule="atLeast"/>
          <w:jc w:val="center"/>
        </w:trPr>
        <w:tc>
          <w:tcPr>
            <w:tcW w:w="733" w:type="dxa"/>
            <w:vMerge w:val="continue"/>
            <w:tcBorders>
              <w:left w:val="single" w:color="000000" w:sz="4" w:space="0"/>
              <w:right w:val="single" w:color="000000" w:sz="4" w:space="0"/>
            </w:tcBorders>
            <w:vAlign w:val="center"/>
          </w:tcPr>
          <w:p w14:paraId="7C83793D">
            <w:pPr>
              <w:spacing w:after="0"/>
              <w:rPr>
                <w:rFonts w:ascii="宋体" w:hAnsi="宋体" w:eastAsia="宋体" w:cs="宋体"/>
              </w:rPr>
            </w:pPr>
          </w:p>
        </w:tc>
        <w:tc>
          <w:tcPr>
            <w:tcW w:w="803" w:type="dxa"/>
            <w:vMerge w:val="continue"/>
            <w:tcBorders>
              <w:top w:val="single" w:color="000000" w:sz="4" w:space="0"/>
              <w:left w:val="single" w:color="000000" w:sz="4" w:space="0"/>
              <w:bottom w:val="single" w:color="000000" w:sz="4" w:space="0"/>
              <w:right w:val="single" w:color="000000" w:sz="4" w:space="0"/>
            </w:tcBorders>
            <w:vAlign w:val="center"/>
          </w:tcPr>
          <w:p w14:paraId="599B6A4E">
            <w:pPr>
              <w:spacing w:after="0"/>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5001B75F">
            <w:pPr>
              <w:spacing w:after="0" w:line="240" w:lineRule="exact"/>
              <w:rPr>
                <w:rFonts w:ascii="宋体" w:hAnsi="宋体" w:eastAsia="宋体" w:cs="宋体"/>
              </w:rPr>
            </w:pPr>
            <w:r>
              <w:rPr>
                <w:rFonts w:hint="eastAsia" w:ascii="宋体" w:hAnsi="宋体" w:eastAsia="宋体" w:cs="宋体"/>
              </w:rPr>
              <w:t>“三公经费”控制率（3分）</w:t>
            </w:r>
          </w:p>
        </w:tc>
        <w:tc>
          <w:tcPr>
            <w:tcW w:w="6911" w:type="dxa"/>
            <w:tcBorders>
              <w:top w:val="single" w:color="000000" w:sz="4" w:space="0"/>
              <w:left w:val="single" w:color="auto" w:sz="4" w:space="0"/>
              <w:bottom w:val="single" w:color="000000" w:sz="4" w:space="0"/>
              <w:right w:val="single" w:color="auto" w:sz="4" w:space="0"/>
            </w:tcBorders>
            <w:vAlign w:val="center"/>
          </w:tcPr>
          <w:p w14:paraId="6E5DCC98">
            <w:pPr>
              <w:spacing w:after="0" w:line="240" w:lineRule="exact"/>
              <w:rPr>
                <w:rFonts w:ascii="宋体" w:hAnsi="宋体" w:eastAsia="宋体" w:cs="宋体"/>
              </w:rPr>
            </w:pPr>
            <w:r>
              <w:rPr>
                <w:rFonts w:hint="eastAsia" w:ascii="宋体" w:hAnsi="宋体" w:eastAsia="宋体" w:cs="宋体"/>
              </w:rPr>
              <w:t>部门（单位）本年度“三公经费”实际支出数与预算安排数的比率，用以反映和考核部门（单位）对“三公经费”的实际控制程度。</w:t>
            </w:r>
          </w:p>
          <w:p w14:paraId="4524D4F5">
            <w:pPr>
              <w:spacing w:after="0" w:line="240" w:lineRule="exact"/>
              <w:rPr>
                <w:rFonts w:ascii="宋体" w:hAnsi="宋体" w:eastAsia="宋体" w:cs="宋体"/>
              </w:rPr>
            </w:pPr>
            <w:r>
              <w:rPr>
                <w:rFonts w:hint="eastAsia" w:ascii="宋体" w:hAnsi="宋体" w:eastAsia="宋体" w:cs="宋体"/>
              </w:rPr>
              <w:t>“三公经费”控制率=（“三公经费”实际支出/“三公经费”预算安排数）×100%</w:t>
            </w:r>
          </w:p>
        </w:tc>
        <w:tc>
          <w:tcPr>
            <w:tcW w:w="3423" w:type="dxa"/>
            <w:tcBorders>
              <w:top w:val="single" w:color="000000" w:sz="4" w:space="0"/>
              <w:left w:val="single" w:color="auto" w:sz="4" w:space="0"/>
              <w:bottom w:val="single" w:color="000000" w:sz="4" w:space="0"/>
              <w:right w:val="single" w:color="auto" w:sz="4" w:space="0"/>
            </w:tcBorders>
            <w:vAlign w:val="center"/>
          </w:tcPr>
          <w:p w14:paraId="6824D55E">
            <w:pPr>
              <w:spacing w:after="0" w:line="240" w:lineRule="exact"/>
              <w:rPr>
                <w:rFonts w:ascii="宋体" w:hAnsi="宋体" w:eastAsia="宋体" w:cs="宋体"/>
              </w:rPr>
            </w:pPr>
            <w:r>
              <w:rPr>
                <w:rFonts w:hint="eastAsia" w:ascii="宋体" w:hAnsi="宋体" w:eastAsia="宋体" w:cs="宋体"/>
              </w:rPr>
              <w:t>目标值为≤100%；达到目标值得3分，未达到目标值的每增加0.1个百分点扣0.1分，扣完为止。</w:t>
            </w:r>
          </w:p>
        </w:tc>
        <w:tc>
          <w:tcPr>
            <w:tcW w:w="1090" w:type="dxa"/>
            <w:tcBorders>
              <w:top w:val="single" w:color="000000" w:sz="4" w:space="0"/>
              <w:left w:val="single" w:color="auto" w:sz="4" w:space="0"/>
              <w:bottom w:val="single" w:color="000000" w:sz="4" w:space="0"/>
              <w:right w:val="single" w:color="000000" w:sz="4" w:space="0"/>
            </w:tcBorders>
            <w:vAlign w:val="center"/>
          </w:tcPr>
          <w:p w14:paraId="594AF675">
            <w:pPr>
              <w:spacing w:after="0" w:line="240" w:lineRule="exact"/>
              <w:rPr>
                <w:rFonts w:hint="eastAsia" w:ascii="宋体" w:hAnsi="宋体" w:eastAsia="宋体" w:cs="宋体"/>
                <w:lang w:val="en-US" w:eastAsia="zh-CN"/>
              </w:rPr>
            </w:pPr>
            <w:r>
              <w:rPr>
                <w:rFonts w:hint="eastAsia" w:ascii="宋体" w:hAnsi="宋体" w:eastAsia="宋体" w:cs="宋体"/>
                <w:lang w:val="en-US" w:eastAsia="zh-CN"/>
              </w:rPr>
              <w:t>3</w:t>
            </w:r>
          </w:p>
        </w:tc>
      </w:tr>
      <w:tr w14:paraId="60524A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61" w:hRule="atLeast"/>
          <w:jc w:val="center"/>
        </w:trPr>
        <w:tc>
          <w:tcPr>
            <w:tcW w:w="733" w:type="dxa"/>
            <w:vMerge w:val="continue"/>
            <w:tcBorders>
              <w:left w:val="single" w:color="000000" w:sz="4" w:space="0"/>
              <w:right w:val="single" w:color="000000" w:sz="4" w:space="0"/>
            </w:tcBorders>
            <w:vAlign w:val="center"/>
          </w:tcPr>
          <w:p w14:paraId="591C6764">
            <w:pPr>
              <w:spacing w:after="0"/>
              <w:rPr>
                <w:rFonts w:ascii="宋体" w:hAnsi="宋体" w:eastAsia="宋体" w:cs="宋体"/>
              </w:rPr>
            </w:pPr>
          </w:p>
        </w:tc>
        <w:tc>
          <w:tcPr>
            <w:tcW w:w="803" w:type="dxa"/>
            <w:vMerge w:val="continue"/>
            <w:tcBorders>
              <w:top w:val="single" w:color="000000" w:sz="4" w:space="0"/>
              <w:left w:val="single" w:color="000000" w:sz="4" w:space="0"/>
              <w:bottom w:val="single" w:color="000000" w:sz="4" w:space="0"/>
              <w:right w:val="single" w:color="000000" w:sz="4" w:space="0"/>
            </w:tcBorders>
            <w:vAlign w:val="center"/>
          </w:tcPr>
          <w:p w14:paraId="529A922B">
            <w:pPr>
              <w:spacing w:after="0"/>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35B5BBA8">
            <w:pPr>
              <w:spacing w:after="0" w:line="240" w:lineRule="exact"/>
              <w:rPr>
                <w:rFonts w:ascii="宋体" w:hAnsi="宋体" w:eastAsia="宋体" w:cs="宋体"/>
              </w:rPr>
            </w:pPr>
            <w:r>
              <w:rPr>
                <w:rFonts w:hint="eastAsia" w:ascii="宋体" w:hAnsi="宋体" w:eastAsia="宋体" w:cs="宋体"/>
              </w:rPr>
              <w:t>政府采购执行率（3分）</w:t>
            </w:r>
          </w:p>
        </w:tc>
        <w:tc>
          <w:tcPr>
            <w:tcW w:w="6911" w:type="dxa"/>
            <w:tcBorders>
              <w:top w:val="single" w:color="000000" w:sz="4" w:space="0"/>
              <w:left w:val="single" w:color="auto" w:sz="4" w:space="0"/>
              <w:bottom w:val="single" w:color="000000" w:sz="4" w:space="0"/>
              <w:right w:val="single" w:color="auto" w:sz="4" w:space="0"/>
            </w:tcBorders>
            <w:vAlign w:val="center"/>
          </w:tcPr>
          <w:p w14:paraId="5AA43FBC">
            <w:pPr>
              <w:spacing w:after="0" w:line="240" w:lineRule="exact"/>
              <w:rPr>
                <w:rFonts w:ascii="宋体" w:hAnsi="宋体" w:eastAsia="宋体" w:cs="宋体"/>
              </w:rPr>
            </w:pPr>
            <w:r>
              <w:rPr>
                <w:rFonts w:hint="eastAsia" w:ascii="宋体" w:hAnsi="宋体" w:eastAsia="宋体" w:cs="宋体"/>
              </w:rPr>
              <w:t>通过对部门本年度实际政府采购预算项目个数与政府采购预算项目个数的比较，反映和评价部门政府采购预算执行情况。</w:t>
            </w:r>
          </w:p>
          <w:p w14:paraId="326B6CD3">
            <w:pPr>
              <w:spacing w:after="0" w:line="240" w:lineRule="exact"/>
              <w:rPr>
                <w:rFonts w:ascii="宋体" w:hAnsi="宋体" w:eastAsia="宋体" w:cs="宋体"/>
              </w:rPr>
            </w:pPr>
            <w:r>
              <w:rPr>
                <w:rFonts w:hint="eastAsia" w:ascii="宋体" w:hAnsi="宋体" w:eastAsia="宋体" w:cs="宋体"/>
              </w:rPr>
              <w:t>政府采购执行率=（实际政府采购预算项目个数/政府采购预算项目个数）×100%。</w:t>
            </w:r>
          </w:p>
          <w:p w14:paraId="6B71C655">
            <w:pPr>
              <w:spacing w:after="0" w:line="240" w:lineRule="exact"/>
              <w:rPr>
                <w:rFonts w:ascii="宋体" w:hAnsi="宋体" w:eastAsia="宋体" w:cs="宋体"/>
              </w:rPr>
            </w:pPr>
            <w:r>
              <w:rPr>
                <w:rFonts w:hint="eastAsia" w:ascii="宋体" w:hAnsi="宋体" w:eastAsia="宋体" w:cs="宋体"/>
              </w:rPr>
              <w:t>政府采购项目中非预算内安排的项目除外。</w:t>
            </w:r>
          </w:p>
        </w:tc>
        <w:tc>
          <w:tcPr>
            <w:tcW w:w="3423" w:type="dxa"/>
            <w:tcBorders>
              <w:top w:val="single" w:color="000000" w:sz="4" w:space="0"/>
              <w:left w:val="single" w:color="auto" w:sz="4" w:space="0"/>
              <w:bottom w:val="single" w:color="000000" w:sz="4" w:space="0"/>
              <w:right w:val="single" w:color="auto" w:sz="4" w:space="0"/>
            </w:tcBorders>
            <w:vAlign w:val="center"/>
          </w:tcPr>
          <w:p w14:paraId="609D2156">
            <w:pPr>
              <w:spacing w:after="0" w:line="240" w:lineRule="exact"/>
              <w:rPr>
                <w:rFonts w:ascii="宋体" w:hAnsi="宋体" w:eastAsia="宋体" w:cs="宋体"/>
              </w:rPr>
            </w:pPr>
            <w:r>
              <w:rPr>
                <w:rFonts w:hint="eastAsia" w:ascii="宋体" w:hAnsi="宋体" w:eastAsia="宋体" w:cs="宋体"/>
              </w:rPr>
              <w:t>目标值为100%；以3分为上限，采用完成比率法计分：得分=政府采购执行率×3。</w:t>
            </w:r>
          </w:p>
        </w:tc>
        <w:tc>
          <w:tcPr>
            <w:tcW w:w="1090" w:type="dxa"/>
            <w:tcBorders>
              <w:top w:val="single" w:color="000000" w:sz="4" w:space="0"/>
              <w:left w:val="single" w:color="auto" w:sz="4" w:space="0"/>
              <w:bottom w:val="single" w:color="000000" w:sz="4" w:space="0"/>
              <w:right w:val="single" w:color="000000" w:sz="4" w:space="0"/>
            </w:tcBorders>
            <w:vAlign w:val="center"/>
          </w:tcPr>
          <w:p w14:paraId="685F623E">
            <w:pPr>
              <w:spacing w:after="0" w:line="240" w:lineRule="exact"/>
              <w:rPr>
                <w:rFonts w:hint="eastAsia" w:ascii="宋体" w:hAnsi="宋体" w:eastAsia="宋体" w:cs="宋体"/>
                <w:lang w:val="en-US" w:eastAsia="zh-CN"/>
              </w:rPr>
            </w:pPr>
            <w:r>
              <w:rPr>
                <w:rFonts w:hint="eastAsia" w:ascii="宋体" w:hAnsi="宋体" w:eastAsia="宋体" w:cs="宋体"/>
              </w:rPr>
              <w:t> </w:t>
            </w:r>
            <w:r>
              <w:rPr>
                <w:rFonts w:hint="eastAsia" w:ascii="宋体" w:hAnsi="宋体" w:eastAsia="宋体" w:cs="宋体"/>
                <w:lang w:val="en-US" w:eastAsia="zh-CN"/>
              </w:rPr>
              <w:t>2</w:t>
            </w:r>
          </w:p>
        </w:tc>
      </w:tr>
      <w:tr w14:paraId="559116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74" w:hRule="atLeast"/>
          <w:jc w:val="center"/>
        </w:trPr>
        <w:tc>
          <w:tcPr>
            <w:tcW w:w="733" w:type="dxa"/>
            <w:vMerge w:val="continue"/>
            <w:tcBorders>
              <w:left w:val="single" w:color="000000" w:sz="4" w:space="0"/>
              <w:right w:val="single" w:color="000000" w:sz="4" w:space="0"/>
            </w:tcBorders>
            <w:vAlign w:val="center"/>
          </w:tcPr>
          <w:p w14:paraId="0D887A90">
            <w:pPr>
              <w:spacing w:after="0"/>
              <w:rPr>
                <w:rFonts w:ascii="宋体" w:hAnsi="宋体" w:eastAsia="宋体" w:cs="宋体"/>
              </w:rPr>
            </w:pPr>
          </w:p>
        </w:tc>
        <w:tc>
          <w:tcPr>
            <w:tcW w:w="803" w:type="dxa"/>
            <w:vMerge w:val="restart"/>
            <w:tcBorders>
              <w:top w:val="single" w:color="000000" w:sz="4" w:space="0"/>
              <w:left w:val="single" w:color="000000" w:sz="4" w:space="0"/>
              <w:right w:val="single" w:color="000000" w:sz="4" w:space="0"/>
            </w:tcBorders>
            <w:vAlign w:val="center"/>
          </w:tcPr>
          <w:p w14:paraId="4FD38700">
            <w:pPr>
              <w:spacing w:after="0" w:line="240" w:lineRule="exact"/>
              <w:jc w:val="center"/>
              <w:rPr>
                <w:rFonts w:ascii="宋体" w:hAnsi="宋体" w:eastAsia="宋体" w:cs="宋体"/>
              </w:rPr>
            </w:pPr>
            <w:r>
              <w:rPr>
                <w:rFonts w:hint="eastAsia" w:ascii="宋体" w:hAnsi="宋体" w:eastAsia="宋体" w:cs="宋体"/>
              </w:rPr>
              <w:t>预算管理</w:t>
            </w:r>
          </w:p>
          <w:p w14:paraId="233BC9F1">
            <w:pPr>
              <w:spacing w:after="0" w:line="68" w:lineRule="atLeast"/>
              <w:jc w:val="center"/>
              <w:rPr>
                <w:rFonts w:ascii="宋体" w:hAnsi="宋体" w:eastAsia="宋体" w:cs="宋体"/>
              </w:rPr>
            </w:pPr>
            <w:r>
              <w:rPr>
                <w:rFonts w:hint="eastAsia" w:ascii="宋体" w:hAnsi="宋体" w:eastAsia="宋体" w:cs="宋体"/>
              </w:rPr>
              <w:t>（18分）</w:t>
            </w:r>
          </w:p>
        </w:tc>
        <w:tc>
          <w:tcPr>
            <w:tcW w:w="1182" w:type="dxa"/>
            <w:tcBorders>
              <w:top w:val="single" w:color="000000" w:sz="4" w:space="0"/>
              <w:left w:val="single" w:color="000000" w:sz="4" w:space="0"/>
              <w:bottom w:val="single" w:color="000000" w:sz="4" w:space="0"/>
              <w:right w:val="single" w:color="auto" w:sz="4" w:space="0"/>
            </w:tcBorders>
            <w:vAlign w:val="center"/>
          </w:tcPr>
          <w:p w14:paraId="44F14325">
            <w:pPr>
              <w:spacing w:after="0" w:line="240" w:lineRule="exact"/>
              <w:rPr>
                <w:rFonts w:ascii="宋体" w:hAnsi="宋体" w:eastAsia="宋体" w:cs="宋体"/>
              </w:rPr>
            </w:pPr>
            <w:r>
              <w:rPr>
                <w:rFonts w:hint="eastAsia" w:ascii="宋体" w:hAnsi="宋体" w:eastAsia="宋体" w:cs="宋体"/>
              </w:rPr>
              <w:t>管理制度健全性</w:t>
            </w:r>
          </w:p>
          <w:p w14:paraId="508653CB">
            <w:pPr>
              <w:spacing w:after="0" w:line="240" w:lineRule="exact"/>
              <w:rPr>
                <w:rFonts w:ascii="宋体" w:hAnsi="宋体" w:eastAsia="宋体" w:cs="宋体"/>
              </w:rPr>
            </w:pPr>
            <w:r>
              <w:rPr>
                <w:rFonts w:hint="eastAsia" w:ascii="宋体" w:hAnsi="宋体" w:eastAsia="宋体" w:cs="宋体"/>
              </w:rPr>
              <w:t>（2分）</w:t>
            </w:r>
          </w:p>
        </w:tc>
        <w:tc>
          <w:tcPr>
            <w:tcW w:w="6911" w:type="dxa"/>
            <w:tcBorders>
              <w:top w:val="single" w:color="000000" w:sz="4" w:space="0"/>
              <w:left w:val="single" w:color="auto" w:sz="4" w:space="0"/>
              <w:bottom w:val="single" w:color="000000" w:sz="4" w:space="0"/>
              <w:right w:val="single" w:color="auto" w:sz="4" w:space="0"/>
            </w:tcBorders>
            <w:vAlign w:val="center"/>
          </w:tcPr>
          <w:p w14:paraId="7D374F15">
            <w:pPr>
              <w:spacing w:after="0" w:line="240" w:lineRule="exact"/>
              <w:rPr>
                <w:rFonts w:ascii="宋体" w:hAnsi="宋体" w:eastAsia="宋体" w:cs="宋体"/>
              </w:rPr>
            </w:pPr>
            <w:r>
              <w:rPr>
                <w:rFonts w:hint="eastAsia" w:ascii="宋体" w:hAnsi="宋体" w:eastAsia="宋体" w:cs="宋体"/>
              </w:rPr>
              <w:t>部门为加强预算管理，规范财务行为而制定的管理制度是否健全完整，用以反映和考核部门预算管理制度对完成主要职责或促进事业发展的保障情况。</w:t>
            </w:r>
          </w:p>
          <w:p w14:paraId="661EA030">
            <w:pPr>
              <w:spacing w:after="0" w:line="240" w:lineRule="exact"/>
              <w:rPr>
                <w:rFonts w:ascii="宋体" w:hAnsi="宋体" w:eastAsia="宋体" w:cs="宋体"/>
              </w:rPr>
            </w:pPr>
            <w:r>
              <w:rPr>
                <w:rFonts w:hint="eastAsia" w:ascii="宋体" w:hAnsi="宋体" w:eastAsia="宋体" w:cs="宋体"/>
              </w:rPr>
              <w:t>评价要点：</w:t>
            </w:r>
          </w:p>
          <w:p w14:paraId="403CC428">
            <w:pPr>
              <w:spacing w:after="0" w:line="240" w:lineRule="exact"/>
              <w:rPr>
                <w:rFonts w:ascii="宋体" w:hAnsi="宋体" w:eastAsia="宋体" w:cs="宋体"/>
              </w:rPr>
            </w:pPr>
            <w:r>
              <w:rPr>
                <w:rFonts w:hint="eastAsia" w:ascii="宋体" w:hAnsi="宋体" w:eastAsia="宋体" w:cs="宋体"/>
              </w:rPr>
              <w:t>1．是否已制定或具有预算资金管理办法、内部财务管理制度、会计核算制度等管理制度；</w:t>
            </w:r>
          </w:p>
          <w:p w14:paraId="40177879">
            <w:pPr>
              <w:spacing w:after="0" w:line="240" w:lineRule="exact"/>
              <w:rPr>
                <w:rFonts w:ascii="宋体" w:hAnsi="宋体" w:eastAsia="宋体" w:cs="宋体"/>
              </w:rPr>
            </w:pPr>
            <w:r>
              <w:rPr>
                <w:rFonts w:hint="eastAsia" w:ascii="宋体" w:hAnsi="宋体" w:eastAsia="宋体" w:cs="宋体"/>
              </w:rPr>
              <w:t>2.相关管理制度是否合法、合规、完整；</w:t>
            </w:r>
          </w:p>
          <w:p w14:paraId="0E8A97D5">
            <w:pPr>
              <w:spacing w:after="0" w:line="240" w:lineRule="exact"/>
              <w:rPr>
                <w:rFonts w:ascii="宋体" w:hAnsi="宋体" w:eastAsia="宋体" w:cs="宋体"/>
              </w:rPr>
            </w:pPr>
            <w:r>
              <w:rPr>
                <w:rFonts w:hint="eastAsia" w:ascii="宋体" w:hAnsi="宋体" w:eastAsia="宋体" w:cs="宋体"/>
              </w:rPr>
              <w:t>3.相关管理制度是否得到有效执行。</w:t>
            </w:r>
          </w:p>
        </w:tc>
        <w:tc>
          <w:tcPr>
            <w:tcW w:w="3423" w:type="dxa"/>
            <w:tcBorders>
              <w:top w:val="single" w:color="000000" w:sz="4" w:space="0"/>
              <w:left w:val="single" w:color="auto" w:sz="4" w:space="0"/>
              <w:bottom w:val="single" w:color="000000" w:sz="4" w:space="0"/>
              <w:right w:val="single" w:color="auto" w:sz="4" w:space="0"/>
            </w:tcBorders>
            <w:vAlign w:val="center"/>
          </w:tcPr>
          <w:p w14:paraId="7159D808">
            <w:pPr>
              <w:spacing w:after="0" w:line="240" w:lineRule="exact"/>
              <w:rPr>
                <w:rFonts w:ascii="宋体" w:hAnsi="宋体" w:eastAsia="宋体" w:cs="宋体"/>
              </w:rPr>
            </w:pPr>
            <w:r>
              <w:rPr>
                <w:rFonts w:hint="eastAsia" w:ascii="宋体" w:hAnsi="宋体" w:eastAsia="宋体" w:cs="宋体"/>
              </w:rPr>
              <w:t>全部符合（2分）；</w:t>
            </w:r>
          </w:p>
          <w:p w14:paraId="167352C4">
            <w:pPr>
              <w:spacing w:after="0" w:line="240" w:lineRule="exact"/>
              <w:rPr>
                <w:rFonts w:ascii="宋体" w:hAnsi="宋体" w:eastAsia="宋体" w:cs="宋体"/>
              </w:rPr>
            </w:pPr>
            <w:r>
              <w:rPr>
                <w:rFonts w:hint="eastAsia" w:ascii="宋体" w:hAnsi="宋体" w:eastAsia="宋体" w:cs="宋体"/>
              </w:rPr>
              <w:t>符合其中两项（1分）</w:t>
            </w:r>
          </w:p>
          <w:p w14:paraId="35E37D0C">
            <w:pPr>
              <w:spacing w:after="0" w:line="240" w:lineRule="exact"/>
              <w:rPr>
                <w:rFonts w:ascii="宋体" w:hAnsi="宋体" w:eastAsia="宋体" w:cs="宋体"/>
              </w:rPr>
            </w:pPr>
            <w:r>
              <w:rPr>
                <w:rFonts w:hint="eastAsia" w:ascii="宋体" w:hAnsi="宋体" w:eastAsia="宋体" w:cs="宋体"/>
              </w:rPr>
              <w:t>符合其中一项及以下（0分）。</w:t>
            </w:r>
          </w:p>
        </w:tc>
        <w:tc>
          <w:tcPr>
            <w:tcW w:w="1090" w:type="dxa"/>
            <w:tcBorders>
              <w:top w:val="single" w:color="000000" w:sz="4" w:space="0"/>
              <w:left w:val="single" w:color="auto" w:sz="4" w:space="0"/>
              <w:bottom w:val="single" w:color="000000" w:sz="4" w:space="0"/>
              <w:right w:val="single" w:color="000000" w:sz="4" w:space="0"/>
            </w:tcBorders>
            <w:vAlign w:val="center"/>
          </w:tcPr>
          <w:p w14:paraId="27107186">
            <w:pPr>
              <w:spacing w:after="0" w:line="240" w:lineRule="exact"/>
              <w:rPr>
                <w:rFonts w:hint="eastAsia" w:ascii="宋体" w:hAnsi="宋体" w:eastAsia="宋体" w:cs="宋体"/>
                <w:lang w:val="en-US" w:eastAsia="zh-CN"/>
              </w:rPr>
            </w:pPr>
            <w:r>
              <w:rPr>
                <w:rFonts w:hint="eastAsia" w:ascii="宋体" w:hAnsi="宋体" w:eastAsia="宋体" w:cs="宋体"/>
                <w:lang w:val="en-US" w:eastAsia="zh-CN"/>
              </w:rPr>
              <w:t>2</w:t>
            </w:r>
          </w:p>
        </w:tc>
      </w:tr>
      <w:tr w14:paraId="5D0544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65" w:hRule="atLeast"/>
          <w:jc w:val="center"/>
        </w:trPr>
        <w:tc>
          <w:tcPr>
            <w:tcW w:w="733" w:type="dxa"/>
            <w:vMerge w:val="continue"/>
            <w:tcBorders>
              <w:left w:val="single" w:color="000000" w:sz="4" w:space="0"/>
              <w:right w:val="single" w:color="000000" w:sz="4" w:space="0"/>
            </w:tcBorders>
            <w:vAlign w:val="center"/>
          </w:tcPr>
          <w:p w14:paraId="3F92F1D8">
            <w:pPr>
              <w:spacing w:after="0"/>
              <w:rPr>
                <w:rFonts w:ascii="宋体" w:hAnsi="宋体" w:eastAsia="宋体" w:cs="宋体"/>
              </w:rPr>
            </w:pPr>
          </w:p>
        </w:tc>
        <w:tc>
          <w:tcPr>
            <w:tcW w:w="803" w:type="dxa"/>
            <w:vMerge w:val="continue"/>
            <w:tcBorders>
              <w:left w:val="single" w:color="000000" w:sz="4" w:space="0"/>
              <w:right w:val="single" w:color="000000" w:sz="4" w:space="0"/>
            </w:tcBorders>
            <w:vAlign w:val="center"/>
          </w:tcPr>
          <w:p w14:paraId="5F843442">
            <w:pPr>
              <w:spacing w:after="0" w:line="68" w:lineRule="atLeast"/>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1D5B6AFB">
            <w:pPr>
              <w:spacing w:after="0" w:line="68" w:lineRule="atLeast"/>
              <w:rPr>
                <w:rFonts w:ascii="宋体" w:hAnsi="宋体" w:eastAsia="宋体" w:cs="宋体"/>
              </w:rPr>
            </w:pPr>
            <w:r>
              <w:rPr>
                <w:rFonts w:hint="eastAsia" w:ascii="宋体" w:hAnsi="宋体" w:eastAsia="宋体" w:cs="宋体"/>
              </w:rPr>
              <w:t>资金使用合规性</w:t>
            </w:r>
          </w:p>
          <w:p w14:paraId="02097C62">
            <w:pPr>
              <w:spacing w:after="0" w:line="68" w:lineRule="atLeast"/>
              <w:rPr>
                <w:rFonts w:ascii="宋体" w:hAnsi="宋体" w:eastAsia="宋体" w:cs="宋体"/>
              </w:rPr>
            </w:pPr>
            <w:r>
              <w:rPr>
                <w:rFonts w:hint="eastAsia" w:ascii="宋体" w:hAnsi="宋体" w:eastAsia="宋体" w:cs="宋体"/>
              </w:rPr>
              <w:t>（9分）</w:t>
            </w:r>
          </w:p>
        </w:tc>
        <w:tc>
          <w:tcPr>
            <w:tcW w:w="6911" w:type="dxa"/>
            <w:tcBorders>
              <w:top w:val="single" w:color="000000" w:sz="4" w:space="0"/>
              <w:left w:val="single" w:color="auto" w:sz="4" w:space="0"/>
              <w:bottom w:val="single" w:color="000000" w:sz="4" w:space="0"/>
              <w:right w:val="single" w:color="auto" w:sz="4" w:space="0"/>
            </w:tcBorders>
            <w:vAlign w:val="center"/>
          </w:tcPr>
          <w:p w14:paraId="5DA2CF0F">
            <w:pPr>
              <w:spacing w:after="0" w:line="240" w:lineRule="exact"/>
              <w:rPr>
                <w:rFonts w:ascii="宋体" w:hAnsi="宋体" w:eastAsia="宋体" w:cs="宋体"/>
              </w:rPr>
            </w:pPr>
            <w:r>
              <w:rPr>
                <w:rFonts w:hint="eastAsia" w:ascii="宋体" w:hAnsi="宋体" w:eastAsia="宋体" w:cs="宋体"/>
              </w:rPr>
              <w:t>部门使用预算资金是否符合相关的预算财务管理制度的规定，反映和评价部门预算资金的规范运行情况。</w:t>
            </w:r>
          </w:p>
          <w:p w14:paraId="0DDD00C4">
            <w:pPr>
              <w:spacing w:after="0" w:line="240" w:lineRule="exact"/>
              <w:rPr>
                <w:rFonts w:ascii="宋体" w:hAnsi="宋体" w:eastAsia="宋体" w:cs="宋体"/>
              </w:rPr>
            </w:pPr>
            <w:r>
              <w:rPr>
                <w:rFonts w:hint="eastAsia" w:ascii="宋体" w:hAnsi="宋体" w:eastAsia="宋体" w:cs="宋体"/>
              </w:rPr>
              <w:t>评价要点：</w:t>
            </w:r>
          </w:p>
          <w:p w14:paraId="6CE366F9">
            <w:pPr>
              <w:spacing w:after="0" w:line="240" w:lineRule="exact"/>
              <w:rPr>
                <w:rFonts w:ascii="宋体" w:hAnsi="宋体" w:eastAsia="宋体" w:cs="宋体"/>
              </w:rPr>
            </w:pPr>
            <w:r>
              <w:rPr>
                <w:rFonts w:hint="eastAsia" w:ascii="宋体" w:hAnsi="宋体" w:eastAsia="宋体" w:cs="宋体"/>
              </w:rPr>
              <w:t>1.符合国家财经法规和财务管理制度规定以及有关部门资金管理办法的规定；</w:t>
            </w:r>
          </w:p>
          <w:p w14:paraId="1A918FD1">
            <w:pPr>
              <w:spacing w:after="0" w:line="240" w:lineRule="exact"/>
              <w:rPr>
                <w:rFonts w:ascii="宋体" w:hAnsi="宋体" w:eastAsia="宋体" w:cs="宋体"/>
              </w:rPr>
            </w:pPr>
            <w:r>
              <w:rPr>
                <w:rFonts w:hint="eastAsia" w:ascii="宋体" w:hAnsi="宋体" w:eastAsia="宋体" w:cs="宋体"/>
              </w:rPr>
              <w:t>2.资金的拨付有完整的审批过程和手续；</w:t>
            </w:r>
          </w:p>
          <w:p w14:paraId="3107780B">
            <w:pPr>
              <w:spacing w:after="0" w:line="240" w:lineRule="exact"/>
              <w:rPr>
                <w:rFonts w:ascii="宋体" w:hAnsi="宋体" w:eastAsia="宋体" w:cs="宋体"/>
              </w:rPr>
            </w:pPr>
            <w:r>
              <w:rPr>
                <w:rFonts w:hint="eastAsia" w:ascii="宋体" w:hAnsi="宋体" w:eastAsia="宋体" w:cs="宋体"/>
              </w:rPr>
              <w:t>3.项目的重大开支经过评估论证；</w:t>
            </w:r>
          </w:p>
          <w:p w14:paraId="4EE2AD76">
            <w:pPr>
              <w:spacing w:after="0" w:line="240" w:lineRule="exact"/>
              <w:rPr>
                <w:rFonts w:ascii="宋体" w:hAnsi="宋体" w:eastAsia="宋体" w:cs="宋体"/>
              </w:rPr>
            </w:pPr>
            <w:r>
              <w:rPr>
                <w:rFonts w:hint="eastAsia" w:ascii="宋体" w:hAnsi="宋体" w:eastAsia="宋体" w:cs="宋体"/>
              </w:rPr>
              <w:t>4.符合部门预算批复的用途；</w:t>
            </w:r>
          </w:p>
          <w:p w14:paraId="762A32D0">
            <w:pPr>
              <w:spacing w:after="0" w:line="240" w:lineRule="exact"/>
              <w:rPr>
                <w:rFonts w:ascii="宋体" w:hAnsi="宋体" w:eastAsia="宋体" w:cs="宋体"/>
              </w:rPr>
            </w:pPr>
            <w:r>
              <w:rPr>
                <w:rFonts w:hint="eastAsia" w:ascii="宋体" w:hAnsi="宋体" w:eastAsia="宋体" w:cs="宋体"/>
              </w:rPr>
              <w:t>5.不存在截留情况；6.不存在挤占情况；</w:t>
            </w:r>
          </w:p>
          <w:p w14:paraId="6A49F59A">
            <w:pPr>
              <w:spacing w:after="0" w:line="240" w:lineRule="exact"/>
              <w:rPr>
                <w:rFonts w:ascii="宋体" w:hAnsi="宋体" w:eastAsia="宋体" w:cs="宋体"/>
              </w:rPr>
            </w:pPr>
            <w:r>
              <w:rPr>
                <w:rFonts w:hint="eastAsia" w:ascii="宋体" w:hAnsi="宋体" w:eastAsia="宋体" w:cs="宋体"/>
              </w:rPr>
              <w:t>7.不存在挪用情况；8.不存在虚列支出情况。</w:t>
            </w:r>
          </w:p>
        </w:tc>
        <w:tc>
          <w:tcPr>
            <w:tcW w:w="3423" w:type="dxa"/>
            <w:tcBorders>
              <w:top w:val="single" w:color="000000" w:sz="4" w:space="0"/>
              <w:left w:val="single" w:color="auto" w:sz="4" w:space="0"/>
              <w:bottom w:val="single" w:color="000000" w:sz="4" w:space="0"/>
              <w:right w:val="single" w:color="auto" w:sz="4" w:space="0"/>
            </w:tcBorders>
            <w:vAlign w:val="center"/>
          </w:tcPr>
          <w:p w14:paraId="57D80561">
            <w:pPr>
              <w:spacing w:after="0" w:line="240" w:lineRule="exact"/>
              <w:rPr>
                <w:rFonts w:ascii="宋体" w:hAnsi="宋体" w:eastAsia="宋体" w:cs="宋体"/>
              </w:rPr>
            </w:pPr>
            <w:r>
              <w:rPr>
                <w:rFonts w:hint="eastAsia" w:ascii="宋体" w:hAnsi="宋体" w:eastAsia="宋体" w:cs="宋体"/>
              </w:rPr>
              <w:t>全部符合（9分）；</w:t>
            </w:r>
          </w:p>
          <w:p w14:paraId="57339A0B">
            <w:pPr>
              <w:spacing w:after="0" w:line="240" w:lineRule="exact"/>
              <w:rPr>
                <w:rFonts w:ascii="宋体" w:hAnsi="宋体" w:eastAsia="宋体" w:cs="宋体"/>
              </w:rPr>
            </w:pPr>
            <w:r>
              <w:rPr>
                <w:rFonts w:hint="eastAsia" w:ascii="宋体" w:hAnsi="宋体" w:eastAsia="宋体" w:cs="宋体"/>
              </w:rPr>
              <w:t>符合其中七项（8分）；</w:t>
            </w:r>
          </w:p>
          <w:p w14:paraId="6D893F4C">
            <w:pPr>
              <w:spacing w:after="0" w:line="240" w:lineRule="exact"/>
              <w:rPr>
                <w:rFonts w:ascii="宋体" w:hAnsi="宋体" w:eastAsia="宋体" w:cs="宋体"/>
              </w:rPr>
            </w:pPr>
            <w:r>
              <w:rPr>
                <w:rFonts w:hint="eastAsia" w:ascii="宋体" w:hAnsi="宋体" w:eastAsia="宋体" w:cs="宋体"/>
              </w:rPr>
              <w:t>符合其中六项（5分）；</w:t>
            </w:r>
          </w:p>
          <w:p w14:paraId="61045E4C">
            <w:pPr>
              <w:spacing w:after="0" w:line="240" w:lineRule="exact"/>
              <w:rPr>
                <w:rFonts w:ascii="宋体" w:hAnsi="宋体" w:eastAsia="宋体" w:cs="宋体"/>
              </w:rPr>
            </w:pPr>
            <w:r>
              <w:rPr>
                <w:rFonts w:hint="eastAsia" w:ascii="宋体" w:hAnsi="宋体" w:eastAsia="宋体" w:cs="宋体"/>
              </w:rPr>
              <w:t>符合其中五项（3分）；</w:t>
            </w:r>
          </w:p>
          <w:p w14:paraId="0AAA3521">
            <w:pPr>
              <w:spacing w:after="0" w:line="68" w:lineRule="atLeast"/>
              <w:rPr>
                <w:rFonts w:ascii="宋体" w:hAnsi="宋体" w:eastAsia="宋体" w:cs="宋体"/>
              </w:rPr>
            </w:pPr>
            <w:r>
              <w:rPr>
                <w:rFonts w:hint="eastAsia" w:ascii="宋体" w:hAnsi="宋体" w:eastAsia="宋体" w:cs="宋体"/>
              </w:rPr>
              <w:t>符合其中四项及以下（0分）。</w:t>
            </w:r>
          </w:p>
        </w:tc>
        <w:tc>
          <w:tcPr>
            <w:tcW w:w="1090" w:type="dxa"/>
            <w:tcBorders>
              <w:top w:val="single" w:color="000000" w:sz="4" w:space="0"/>
              <w:left w:val="single" w:color="auto" w:sz="4" w:space="0"/>
              <w:bottom w:val="single" w:color="000000" w:sz="4" w:space="0"/>
              <w:right w:val="single" w:color="000000" w:sz="4" w:space="0"/>
            </w:tcBorders>
            <w:vAlign w:val="center"/>
          </w:tcPr>
          <w:p w14:paraId="170029F8">
            <w:pPr>
              <w:spacing w:after="0" w:line="68" w:lineRule="atLeast"/>
              <w:rPr>
                <w:rFonts w:hint="eastAsia" w:ascii="宋体" w:hAnsi="宋体" w:eastAsia="宋体" w:cs="宋体"/>
                <w:lang w:val="en-US" w:eastAsia="zh-CN"/>
              </w:rPr>
            </w:pPr>
            <w:r>
              <w:rPr>
                <w:rFonts w:hint="eastAsia" w:ascii="宋体" w:hAnsi="宋体" w:eastAsia="宋体" w:cs="宋体"/>
              </w:rPr>
              <w:t> </w:t>
            </w:r>
            <w:r>
              <w:rPr>
                <w:rFonts w:hint="eastAsia" w:ascii="宋体" w:hAnsi="宋体" w:eastAsia="宋体" w:cs="宋体"/>
                <w:lang w:val="en-US" w:eastAsia="zh-CN"/>
              </w:rPr>
              <w:t>9</w:t>
            </w:r>
          </w:p>
        </w:tc>
      </w:tr>
      <w:tr w14:paraId="08318E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63" w:hRule="atLeast"/>
          <w:jc w:val="center"/>
        </w:trPr>
        <w:tc>
          <w:tcPr>
            <w:tcW w:w="733" w:type="dxa"/>
            <w:vMerge w:val="continue"/>
            <w:tcBorders>
              <w:left w:val="single" w:color="000000" w:sz="4" w:space="0"/>
              <w:right w:val="single" w:color="000000" w:sz="4" w:space="0"/>
            </w:tcBorders>
            <w:vAlign w:val="center"/>
          </w:tcPr>
          <w:p w14:paraId="688E4D64">
            <w:pPr>
              <w:spacing w:after="0"/>
              <w:rPr>
                <w:rFonts w:ascii="宋体" w:hAnsi="宋体" w:eastAsia="宋体" w:cs="宋体"/>
              </w:rPr>
            </w:pPr>
          </w:p>
        </w:tc>
        <w:tc>
          <w:tcPr>
            <w:tcW w:w="803" w:type="dxa"/>
            <w:vMerge w:val="continue"/>
            <w:tcBorders>
              <w:left w:val="single" w:color="000000" w:sz="4" w:space="0"/>
              <w:right w:val="single" w:color="000000" w:sz="4" w:space="0"/>
            </w:tcBorders>
            <w:vAlign w:val="center"/>
          </w:tcPr>
          <w:p w14:paraId="59F2A22D">
            <w:pPr>
              <w:spacing w:after="0"/>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2D8E3D44">
            <w:pPr>
              <w:spacing w:after="0" w:line="68" w:lineRule="atLeast"/>
              <w:rPr>
                <w:rFonts w:ascii="宋体" w:hAnsi="宋体" w:eastAsia="宋体" w:cs="宋体"/>
              </w:rPr>
            </w:pPr>
            <w:r>
              <w:rPr>
                <w:rFonts w:hint="eastAsia" w:ascii="宋体" w:hAnsi="宋体" w:eastAsia="宋体" w:cs="宋体"/>
              </w:rPr>
              <w:t>预决算信息公开性（3分）</w:t>
            </w:r>
          </w:p>
        </w:tc>
        <w:tc>
          <w:tcPr>
            <w:tcW w:w="6911" w:type="dxa"/>
            <w:tcBorders>
              <w:top w:val="single" w:color="000000" w:sz="4" w:space="0"/>
              <w:left w:val="single" w:color="auto" w:sz="4" w:space="0"/>
              <w:bottom w:val="single" w:color="000000" w:sz="4" w:space="0"/>
              <w:right w:val="single" w:color="auto" w:sz="4" w:space="0"/>
            </w:tcBorders>
            <w:vAlign w:val="center"/>
          </w:tcPr>
          <w:p w14:paraId="64F05DE7">
            <w:pPr>
              <w:spacing w:after="0" w:line="240" w:lineRule="exact"/>
              <w:rPr>
                <w:rFonts w:ascii="宋体" w:hAnsi="宋体" w:eastAsia="宋体" w:cs="宋体"/>
              </w:rPr>
            </w:pPr>
            <w:r>
              <w:rPr>
                <w:rFonts w:hint="eastAsia" w:ascii="宋体" w:hAnsi="宋体" w:eastAsia="宋体" w:cs="宋体"/>
              </w:rPr>
              <w:t>部门是否按照政府信息公开有关规定公开相关预决算信息，用以反映和评价部门预决算管理的公开透明情况。</w:t>
            </w:r>
          </w:p>
          <w:p w14:paraId="0FD1FB91">
            <w:pPr>
              <w:spacing w:after="0" w:line="240" w:lineRule="exact"/>
              <w:rPr>
                <w:rFonts w:ascii="宋体" w:hAnsi="宋体" w:eastAsia="宋体" w:cs="宋体"/>
              </w:rPr>
            </w:pPr>
            <w:r>
              <w:rPr>
                <w:rFonts w:hint="eastAsia" w:ascii="宋体" w:hAnsi="宋体" w:eastAsia="宋体" w:cs="宋体"/>
              </w:rPr>
              <w:t>预决算信息是指与部门预算、执行、决算、监督、绩效等管理相关的信息。</w:t>
            </w:r>
          </w:p>
          <w:p w14:paraId="3C5BB96B">
            <w:pPr>
              <w:spacing w:after="0" w:line="240" w:lineRule="exact"/>
              <w:rPr>
                <w:rFonts w:ascii="宋体" w:hAnsi="宋体" w:eastAsia="宋体" w:cs="宋体"/>
              </w:rPr>
            </w:pPr>
            <w:r>
              <w:rPr>
                <w:rFonts w:hint="eastAsia" w:ascii="宋体" w:hAnsi="宋体" w:eastAsia="宋体" w:cs="宋体"/>
              </w:rPr>
              <w:t>评价要点：</w:t>
            </w:r>
          </w:p>
          <w:p w14:paraId="03A0AC8E">
            <w:pPr>
              <w:spacing w:after="0" w:line="240" w:lineRule="exact"/>
              <w:rPr>
                <w:rFonts w:ascii="宋体" w:hAnsi="宋体" w:eastAsia="宋体" w:cs="宋体"/>
              </w:rPr>
            </w:pPr>
            <w:r>
              <w:rPr>
                <w:rFonts w:hint="eastAsia" w:ascii="宋体" w:hAnsi="宋体" w:eastAsia="宋体" w:cs="宋体"/>
              </w:rPr>
              <w:t>1.公开预决算信息；</w:t>
            </w:r>
          </w:p>
          <w:p w14:paraId="2CE00391">
            <w:pPr>
              <w:spacing w:after="0" w:line="240" w:lineRule="exact"/>
              <w:rPr>
                <w:rFonts w:ascii="宋体" w:hAnsi="宋体" w:eastAsia="宋体" w:cs="宋体"/>
              </w:rPr>
            </w:pPr>
            <w:r>
              <w:rPr>
                <w:rFonts w:hint="eastAsia" w:ascii="宋体" w:hAnsi="宋体" w:eastAsia="宋体" w:cs="宋体"/>
              </w:rPr>
              <w:t>2.按规定内容公开预决算信息；</w:t>
            </w:r>
          </w:p>
          <w:p w14:paraId="630AF676">
            <w:pPr>
              <w:spacing w:after="0" w:line="68" w:lineRule="atLeast"/>
              <w:rPr>
                <w:rFonts w:ascii="宋体" w:hAnsi="宋体" w:eastAsia="宋体" w:cs="宋体"/>
              </w:rPr>
            </w:pPr>
            <w:r>
              <w:rPr>
                <w:rFonts w:hint="eastAsia" w:ascii="宋体" w:hAnsi="宋体" w:eastAsia="宋体" w:cs="宋体"/>
              </w:rPr>
              <w:t>3.按规定时限公开预决算信息。</w:t>
            </w:r>
          </w:p>
        </w:tc>
        <w:tc>
          <w:tcPr>
            <w:tcW w:w="3423" w:type="dxa"/>
            <w:tcBorders>
              <w:top w:val="single" w:color="000000" w:sz="4" w:space="0"/>
              <w:left w:val="single" w:color="auto" w:sz="4" w:space="0"/>
              <w:bottom w:val="single" w:color="000000" w:sz="4" w:space="0"/>
              <w:right w:val="single" w:color="auto" w:sz="4" w:space="0"/>
            </w:tcBorders>
            <w:vAlign w:val="center"/>
          </w:tcPr>
          <w:p w14:paraId="54E6D3BE">
            <w:pPr>
              <w:spacing w:after="0" w:line="240" w:lineRule="exact"/>
              <w:rPr>
                <w:rFonts w:ascii="宋体" w:hAnsi="宋体" w:eastAsia="宋体" w:cs="宋体"/>
              </w:rPr>
            </w:pPr>
            <w:r>
              <w:rPr>
                <w:rFonts w:hint="eastAsia" w:ascii="宋体" w:hAnsi="宋体" w:eastAsia="宋体" w:cs="宋体"/>
              </w:rPr>
              <w:t>全部符合（3分）；</w:t>
            </w:r>
          </w:p>
          <w:p w14:paraId="7578B4D8">
            <w:pPr>
              <w:spacing w:after="0" w:line="240" w:lineRule="exact"/>
              <w:rPr>
                <w:rFonts w:ascii="宋体" w:hAnsi="宋体" w:eastAsia="宋体" w:cs="宋体"/>
              </w:rPr>
            </w:pPr>
            <w:r>
              <w:rPr>
                <w:rFonts w:hint="eastAsia" w:ascii="宋体" w:hAnsi="宋体" w:eastAsia="宋体" w:cs="宋体"/>
              </w:rPr>
              <w:t>符合其中两项（2分）</w:t>
            </w:r>
          </w:p>
          <w:p w14:paraId="51B2288D">
            <w:pPr>
              <w:spacing w:after="0" w:line="68" w:lineRule="atLeast"/>
              <w:rPr>
                <w:rFonts w:ascii="宋体" w:hAnsi="宋体" w:eastAsia="宋体" w:cs="宋体"/>
              </w:rPr>
            </w:pPr>
            <w:r>
              <w:rPr>
                <w:rFonts w:hint="eastAsia" w:ascii="宋体" w:hAnsi="宋体" w:eastAsia="宋体" w:cs="宋体"/>
              </w:rPr>
              <w:t>符合其中一项及以下（0分）。</w:t>
            </w:r>
          </w:p>
        </w:tc>
        <w:tc>
          <w:tcPr>
            <w:tcW w:w="1090" w:type="dxa"/>
            <w:tcBorders>
              <w:top w:val="single" w:color="000000" w:sz="4" w:space="0"/>
              <w:left w:val="single" w:color="auto" w:sz="4" w:space="0"/>
              <w:bottom w:val="single" w:color="000000" w:sz="4" w:space="0"/>
              <w:right w:val="single" w:color="000000" w:sz="4" w:space="0"/>
            </w:tcBorders>
            <w:vAlign w:val="center"/>
          </w:tcPr>
          <w:p w14:paraId="704CDBDA">
            <w:pPr>
              <w:spacing w:after="0" w:line="68" w:lineRule="atLeast"/>
              <w:rPr>
                <w:rFonts w:hint="eastAsia" w:ascii="宋体" w:hAnsi="宋体" w:eastAsia="宋体" w:cs="宋体"/>
                <w:lang w:val="en-US" w:eastAsia="zh-CN"/>
              </w:rPr>
            </w:pPr>
            <w:r>
              <w:rPr>
                <w:rFonts w:hint="eastAsia" w:ascii="宋体" w:hAnsi="宋体" w:eastAsia="宋体" w:cs="宋体"/>
              </w:rPr>
              <w:t> </w:t>
            </w:r>
            <w:r>
              <w:rPr>
                <w:rFonts w:hint="eastAsia" w:ascii="宋体" w:hAnsi="宋体" w:eastAsia="宋体" w:cs="宋体"/>
                <w:lang w:val="en-US" w:eastAsia="zh-CN"/>
              </w:rPr>
              <w:t>3</w:t>
            </w:r>
          </w:p>
        </w:tc>
      </w:tr>
      <w:tr w14:paraId="4D3C81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74" w:hRule="atLeast"/>
          <w:jc w:val="center"/>
        </w:trPr>
        <w:tc>
          <w:tcPr>
            <w:tcW w:w="733" w:type="dxa"/>
            <w:vMerge w:val="continue"/>
            <w:tcBorders>
              <w:left w:val="single" w:color="000000" w:sz="4" w:space="0"/>
              <w:right w:val="single" w:color="000000" w:sz="4" w:space="0"/>
            </w:tcBorders>
            <w:vAlign w:val="center"/>
          </w:tcPr>
          <w:p w14:paraId="7C932A31">
            <w:pPr>
              <w:spacing w:after="0"/>
              <w:rPr>
                <w:rFonts w:ascii="宋体" w:hAnsi="宋体" w:eastAsia="宋体" w:cs="宋体"/>
              </w:rPr>
            </w:pPr>
          </w:p>
        </w:tc>
        <w:tc>
          <w:tcPr>
            <w:tcW w:w="803" w:type="dxa"/>
            <w:vMerge w:val="continue"/>
            <w:tcBorders>
              <w:left w:val="single" w:color="000000" w:sz="4" w:space="0"/>
              <w:bottom w:val="single" w:color="000000" w:sz="4" w:space="0"/>
              <w:right w:val="single" w:color="000000" w:sz="4" w:space="0"/>
            </w:tcBorders>
            <w:vAlign w:val="center"/>
          </w:tcPr>
          <w:p w14:paraId="120242A4">
            <w:pPr>
              <w:spacing w:after="0"/>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09734559">
            <w:pPr>
              <w:spacing w:after="0" w:line="68" w:lineRule="atLeast"/>
              <w:rPr>
                <w:rFonts w:ascii="宋体" w:hAnsi="宋体" w:eastAsia="宋体" w:cs="宋体"/>
                <w:color w:val="000000"/>
              </w:rPr>
            </w:pPr>
            <w:r>
              <w:rPr>
                <w:rFonts w:hint="eastAsia" w:ascii="宋体" w:hAnsi="宋体" w:eastAsia="宋体" w:cs="宋体"/>
                <w:color w:val="000000"/>
              </w:rPr>
              <w:t>基础信息完善性</w:t>
            </w:r>
          </w:p>
          <w:p w14:paraId="3FB498B6">
            <w:pPr>
              <w:spacing w:after="0" w:line="68" w:lineRule="atLeast"/>
              <w:rPr>
                <w:rFonts w:ascii="宋体" w:hAnsi="宋体" w:eastAsia="宋体" w:cs="宋体"/>
              </w:rPr>
            </w:pPr>
            <w:r>
              <w:rPr>
                <w:rFonts w:hint="eastAsia" w:ascii="宋体" w:hAnsi="宋体" w:eastAsia="宋体" w:cs="宋体"/>
              </w:rPr>
              <w:t>（4分）</w:t>
            </w:r>
          </w:p>
        </w:tc>
        <w:tc>
          <w:tcPr>
            <w:tcW w:w="6911" w:type="dxa"/>
            <w:tcBorders>
              <w:top w:val="single" w:color="000000" w:sz="4" w:space="0"/>
              <w:left w:val="single" w:color="auto" w:sz="4" w:space="0"/>
              <w:bottom w:val="single" w:color="000000" w:sz="4" w:space="0"/>
              <w:right w:val="single" w:color="auto" w:sz="4" w:space="0"/>
            </w:tcBorders>
            <w:vAlign w:val="center"/>
          </w:tcPr>
          <w:p w14:paraId="28ECC318">
            <w:pPr>
              <w:spacing w:after="0" w:line="240" w:lineRule="exact"/>
              <w:rPr>
                <w:rFonts w:ascii="宋体" w:hAnsi="宋体" w:eastAsia="宋体" w:cs="宋体"/>
              </w:rPr>
            </w:pPr>
            <w:r>
              <w:rPr>
                <w:rFonts w:hint="eastAsia" w:ascii="宋体" w:hAnsi="宋体" w:eastAsia="宋体" w:cs="宋体"/>
              </w:rPr>
              <w:t>部门基础信息是否完善，用以反映和评价基础信息对预算管理工作的支撑情况。</w:t>
            </w:r>
          </w:p>
          <w:p w14:paraId="2AB2BC3B">
            <w:pPr>
              <w:spacing w:after="0" w:line="240" w:lineRule="exact"/>
              <w:rPr>
                <w:rFonts w:ascii="宋体" w:hAnsi="宋体" w:eastAsia="宋体" w:cs="宋体"/>
              </w:rPr>
            </w:pPr>
            <w:r>
              <w:rPr>
                <w:rFonts w:hint="eastAsia" w:ascii="宋体" w:hAnsi="宋体" w:eastAsia="宋体" w:cs="宋体"/>
              </w:rPr>
              <w:t>评价要点：</w:t>
            </w:r>
          </w:p>
          <w:p w14:paraId="3C50C2D6">
            <w:pPr>
              <w:spacing w:after="0" w:line="240" w:lineRule="exact"/>
              <w:rPr>
                <w:rFonts w:ascii="宋体" w:hAnsi="宋体" w:eastAsia="宋体" w:cs="宋体"/>
              </w:rPr>
            </w:pPr>
            <w:r>
              <w:rPr>
                <w:rFonts w:hint="eastAsia" w:ascii="宋体" w:hAnsi="宋体" w:eastAsia="宋体" w:cs="宋体"/>
              </w:rPr>
              <w:t>1.基本财务管理制度健全；</w:t>
            </w:r>
          </w:p>
          <w:p w14:paraId="6D87AA16">
            <w:pPr>
              <w:spacing w:after="0" w:line="240" w:lineRule="exact"/>
              <w:rPr>
                <w:rFonts w:ascii="宋体" w:hAnsi="宋体" w:eastAsia="宋体" w:cs="宋体"/>
              </w:rPr>
            </w:pPr>
            <w:r>
              <w:rPr>
                <w:rFonts w:hint="eastAsia" w:ascii="宋体" w:hAnsi="宋体" w:eastAsia="宋体" w:cs="宋体"/>
              </w:rPr>
              <w:t>2.基础数据信息和会计信息资料真实；</w:t>
            </w:r>
          </w:p>
          <w:p w14:paraId="6D3C0BB7">
            <w:pPr>
              <w:spacing w:after="0" w:line="240" w:lineRule="exact"/>
              <w:rPr>
                <w:rFonts w:ascii="宋体" w:hAnsi="宋体" w:eastAsia="宋体" w:cs="宋体"/>
              </w:rPr>
            </w:pPr>
            <w:r>
              <w:rPr>
                <w:rFonts w:hint="eastAsia" w:ascii="宋体" w:hAnsi="宋体" w:eastAsia="宋体" w:cs="宋体"/>
              </w:rPr>
              <w:t>3.基础数据信息和会计信息资料完整；</w:t>
            </w:r>
          </w:p>
          <w:p w14:paraId="549111AC">
            <w:pPr>
              <w:spacing w:after="0" w:line="68" w:lineRule="atLeast"/>
              <w:rPr>
                <w:rFonts w:ascii="宋体" w:hAnsi="宋体" w:eastAsia="宋体" w:cs="宋体"/>
              </w:rPr>
            </w:pPr>
            <w:r>
              <w:rPr>
                <w:rFonts w:hint="eastAsia" w:ascii="宋体" w:hAnsi="宋体" w:eastAsia="宋体" w:cs="宋体"/>
              </w:rPr>
              <w:t>4.基础数据信息和会计信息资料准确。</w:t>
            </w:r>
          </w:p>
        </w:tc>
        <w:tc>
          <w:tcPr>
            <w:tcW w:w="3423" w:type="dxa"/>
            <w:tcBorders>
              <w:top w:val="single" w:color="000000" w:sz="4" w:space="0"/>
              <w:left w:val="single" w:color="auto" w:sz="4" w:space="0"/>
              <w:bottom w:val="single" w:color="000000" w:sz="4" w:space="0"/>
              <w:right w:val="single" w:color="auto" w:sz="4" w:space="0"/>
            </w:tcBorders>
            <w:vAlign w:val="center"/>
          </w:tcPr>
          <w:p w14:paraId="5B834B71">
            <w:pPr>
              <w:spacing w:after="0" w:line="240" w:lineRule="exact"/>
              <w:rPr>
                <w:rFonts w:ascii="宋体" w:hAnsi="宋体" w:eastAsia="宋体" w:cs="宋体"/>
              </w:rPr>
            </w:pPr>
            <w:r>
              <w:rPr>
                <w:rFonts w:hint="eastAsia" w:ascii="宋体" w:hAnsi="宋体" w:eastAsia="宋体" w:cs="宋体"/>
              </w:rPr>
              <w:t>符合全部四项（4分）；</w:t>
            </w:r>
          </w:p>
          <w:p w14:paraId="10E2FA90">
            <w:pPr>
              <w:spacing w:after="0" w:line="240" w:lineRule="exact"/>
              <w:rPr>
                <w:rFonts w:ascii="宋体" w:hAnsi="宋体" w:eastAsia="宋体" w:cs="宋体"/>
              </w:rPr>
            </w:pPr>
            <w:r>
              <w:rPr>
                <w:rFonts w:hint="eastAsia" w:ascii="宋体" w:hAnsi="宋体" w:eastAsia="宋体" w:cs="宋体"/>
              </w:rPr>
              <w:t>符合其中三项（2分）；</w:t>
            </w:r>
          </w:p>
          <w:p w14:paraId="60456803">
            <w:pPr>
              <w:spacing w:after="0" w:line="240" w:lineRule="exact"/>
              <w:rPr>
                <w:rFonts w:ascii="宋体" w:hAnsi="宋体" w:eastAsia="宋体" w:cs="宋体"/>
              </w:rPr>
            </w:pPr>
            <w:r>
              <w:rPr>
                <w:rFonts w:hint="eastAsia" w:ascii="宋体" w:hAnsi="宋体" w:eastAsia="宋体" w:cs="宋体"/>
              </w:rPr>
              <w:t>符合其中两项（1分）；</w:t>
            </w:r>
          </w:p>
          <w:p w14:paraId="245D249A">
            <w:pPr>
              <w:spacing w:after="0" w:line="68" w:lineRule="atLeast"/>
              <w:rPr>
                <w:rFonts w:ascii="宋体" w:hAnsi="宋体" w:eastAsia="宋体" w:cs="宋体"/>
              </w:rPr>
            </w:pPr>
            <w:r>
              <w:rPr>
                <w:rFonts w:hint="eastAsia" w:ascii="宋体" w:hAnsi="宋体" w:eastAsia="宋体" w:cs="宋体"/>
              </w:rPr>
              <w:t>符合其中一项及以下（0分）。</w:t>
            </w:r>
          </w:p>
        </w:tc>
        <w:tc>
          <w:tcPr>
            <w:tcW w:w="1090" w:type="dxa"/>
            <w:tcBorders>
              <w:top w:val="single" w:color="000000" w:sz="4" w:space="0"/>
              <w:left w:val="single" w:color="auto" w:sz="4" w:space="0"/>
              <w:bottom w:val="single" w:color="000000" w:sz="4" w:space="0"/>
              <w:right w:val="single" w:color="000000" w:sz="4" w:space="0"/>
            </w:tcBorders>
            <w:vAlign w:val="center"/>
          </w:tcPr>
          <w:p w14:paraId="36A83350">
            <w:pPr>
              <w:spacing w:after="0" w:line="68" w:lineRule="atLeast"/>
              <w:rPr>
                <w:rFonts w:hint="eastAsia" w:ascii="宋体" w:hAnsi="宋体" w:eastAsia="宋体" w:cs="宋体"/>
                <w:lang w:val="en-US" w:eastAsia="zh-CN"/>
              </w:rPr>
            </w:pPr>
            <w:r>
              <w:rPr>
                <w:rFonts w:hint="eastAsia" w:ascii="宋体" w:hAnsi="宋体" w:eastAsia="宋体" w:cs="宋体"/>
              </w:rPr>
              <w:t> </w:t>
            </w:r>
            <w:r>
              <w:rPr>
                <w:rFonts w:hint="eastAsia" w:ascii="宋体" w:hAnsi="宋体" w:eastAsia="宋体" w:cs="宋体"/>
                <w:lang w:val="en-US" w:eastAsia="zh-CN"/>
              </w:rPr>
              <w:t>4</w:t>
            </w:r>
          </w:p>
        </w:tc>
      </w:tr>
      <w:tr w14:paraId="1D82AB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15" w:hRule="atLeast"/>
          <w:jc w:val="center"/>
        </w:trPr>
        <w:tc>
          <w:tcPr>
            <w:tcW w:w="733" w:type="dxa"/>
            <w:vMerge w:val="continue"/>
            <w:tcBorders>
              <w:left w:val="single" w:color="000000" w:sz="4" w:space="0"/>
              <w:right w:val="single" w:color="000000" w:sz="4" w:space="0"/>
            </w:tcBorders>
            <w:vAlign w:val="center"/>
          </w:tcPr>
          <w:p w14:paraId="6C330C59">
            <w:pPr>
              <w:spacing w:after="0"/>
              <w:rPr>
                <w:rFonts w:ascii="宋体" w:hAnsi="宋体" w:eastAsia="宋体" w:cs="宋体"/>
              </w:rPr>
            </w:pPr>
          </w:p>
        </w:tc>
        <w:tc>
          <w:tcPr>
            <w:tcW w:w="803" w:type="dxa"/>
            <w:vMerge w:val="restart"/>
            <w:tcBorders>
              <w:left w:val="single" w:color="000000" w:sz="4" w:space="0"/>
              <w:right w:val="single" w:color="000000" w:sz="4" w:space="0"/>
            </w:tcBorders>
            <w:vAlign w:val="center"/>
          </w:tcPr>
          <w:p w14:paraId="1E3D7EDE">
            <w:pPr>
              <w:spacing w:after="0" w:line="68" w:lineRule="atLeast"/>
              <w:rPr>
                <w:rFonts w:ascii="宋体" w:hAnsi="宋体" w:eastAsia="宋体" w:cs="宋体"/>
              </w:rPr>
            </w:pPr>
            <w:r>
              <w:rPr>
                <w:rFonts w:hint="eastAsia" w:ascii="宋体" w:hAnsi="宋体" w:eastAsia="宋体" w:cs="宋体"/>
              </w:rPr>
              <w:t>资产管理（8分）</w:t>
            </w:r>
          </w:p>
        </w:tc>
        <w:tc>
          <w:tcPr>
            <w:tcW w:w="1182" w:type="dxa"/>
            <w:tcBorders>
              <w:top w:val="single" w:color="000000" w:sz="4" w:space="0"/>
              <w:left w:val="single" w:color="000000" w:sz="4" w:space="0"/>
              <w:bottom w:val="single" w:color="000000" w:sz="4" w:space="0"/>
              <w:right w:val="single" w:color="auto" w:sz="4" w:space="0"/>
            </w:tcBorders>
            <w:vAlign w:val="center"/>
          </w:tcPr>
          <w:p w14:paraId="4C1133CA">
            <w:pPr>
              <w:spacing w:after="0" w:line="68" w:lineRule="atLeast"/>
              <w:rPr>
                <w:rFonts w:ascii="宋体" w:hAnsi="宋体" w:eastAsia="宋体" w:cs="宋体"/>
                <w:color w:val="000000"/>
              </w:rPr>
            </w:pPr>
            <w:r>
              <w:rPr>
                <w:rFonts w:hint="eastAsia" w:ascii="宋体" w:hAnsi="宋体" w:eastAsia="宋体" w:cs="宋体"/>
                <w:color w:val="000000"/>
              </w:rPr>
              <w:t>管理制度健全性</w:t>
            </w:r>
          </w:p>
          <w:p w14:paraId="30253803">
            <w:pPr>
              <w:spacing w:after="0" w:line="68" w:lineRule="atLeast"/>
              <w:rPr>
                <w:rFonts w:ascii="宋体" w:hAnsi="宋体" w:eastAsia="宋体" w:cs="宋体"/>
                <w:color w:val="000000"/>
              </w:rPr>
            </w:pPr>
            <w:r>
              <w:rPr>
                <w:rFonts w:hint="eastAsia" w:ascii="宋体" w:hAnsi="宋体" w:eastAsia="宋体" w:cs="宋体"/>
                <w:color w:val="000000"/>
              </w:rPr>
              <w:t>（2分）</w:t>
            </w:r>
          </w:p>
        </w:tc>
        <w:tc>
          <w:tcPr>
            <w:tcW w:w="6911" w:type="dxa"/>
            <w:tcBorders>
              <w:top w:val="single" w:color="000000" w:sz="4" w:space="0"/>
              <w:left w:val="single" w:color="auto" w:sz="4" w:space="0"/>
              <w:bottom w:val="single" w:color="000000" w:sz="4" w:space="0"/>
              <w:right w:val="single" w:color="auto" w:sz="4" w:space="0"/>
            </w:tcBorders>
            <w:vAlign w:val="center"/>
          </w:tcPr>
          <w:p w14:paraId="13175D32">
            <w:pPr>
              <w:spacing w:after="0" w:line="240" w:lineRule="exact"/>
              <w:rPr>
                <w:rFonts w:ascii="宋体" w:hAnsi="宋体" w:eastAsia="宋体" w:cs="宋体"/>
              </w:rPr>
            </w:pPr>
            <w:r>
              <w:rPr>
                <w:rFonts w:hint="eastAsia" w:ascii="宋体" w:hAnsi="宋体" w:eastAsia="宋体" w:cs="宋体"/>
              </w:rPr>
              <w:t>部门为加强资产管理、规范资产管理行为而制定的管理制度是否健全完整，用以反映和考核部门资产管理制度对完成主要职责或促进社会发展的保障情况。</w:t>
            </w:r>
          </w:p>
          <w:p w14:paraId="117BEC8E">
            <w:pPr>
              <w:spacing w:after="0" w:line="240" w:lineRule="exact"/>
              <w:rPr>
                <w:rFonts w:ascii="宋体" w:hAnsi="宋体" w:eastAsia="宋体" w:cs="宋体"/>
              </w:rPr>
            </w:pPr>
            <w:r>
              <w:rPr>
                <w:rFonts w:hint="eastAsia" w:ascii="宋体" w:hAnsi="宋体" w:eastAsia="宋体" w:cs="宋体"/>
              </w:rPr>
              <w:t>评价要点：</w:t>
            </w:r>
          </w:p>
          <w:p w14:paraId="367DD1EE">
            <w:pPr>
              <w:spacing w:after="0" w:line="240" w:lineRule="exact"/>
              <w:rPr>
                <w:rFonts w:ascii="宋体" w:hAnsi="宋体" w:eastAsia="宋体" w:cs="宋体"/>
              </w:rPr>
            </w:pPr>
            <w:r>
              <w:rPr>
                <w:rFonts w:hint="eastAsia" w:ascii="宋体" w:hAnsi="宋体" w:eastAsia="宋体" w:cs="宋体"/>
              </w:rPr>
              <w:t>1.是否已制定或具有资产管理制度；</w:t>
            </w:r>
          </w:p>
          <w:p w14:paraId="065A0BE9">
            <w:pPr>
              <w:spacing w:after="0" w:line="240" w:lineRule="exact"/>
              <w:rPr>
                <w:rFonts w:ascii="宋体" w:hAnsi="宋体" w:eastAsia="宋体" w:cs="宋体"/>
              </w:rPr>
            </w:pPr>
            <w:r>
              <w:rPr>
                <w:rFonts w:hint="eastAsia" w:ascii="宋体" w:hAnsi="宋体" w:eastAsia="宋体" w:cs="宋体"/>
              </w:rPr>
              <w:t>2.相关资金管理制度是否合法、合规、完整；</w:t>
            </w:r>
          </w:p>
          <w:p w14:paraId="3768C2B4">
            <w:pPr>
              <w:spacing w:after="0" w:line="240" w:lineRule="exact"/>
              <w:rPr>
                <w:rFonts w:ascii="宋体" w:hAnsi="宋体" w:eastAsia="宋体" w:cs="宋体"/>
              </w:rPr>
            </w:pPr>
            <w:r>
              <w:rPr>
                <w:rFonts w:hint="eastAsia" w:ascii="宋体" w:hAnsi="宋体" w:eastAsia="宋体" w:cs="宋体"/>
              </w:rPr>
              <w:t>3.相关资产管理制度是否得到有效执行。</w:t>
            </w:r>
          </w:p>
        </w:tc>
        <w:tc>
          <w:tcPr>
            <w:tcW w:w="3423" w:type="dxa"/>
            <w:tcBorders>
              <w:top w:val="single" w:color="000000" w:sz="4" w:space="0"/>
              <w:left w:val="single" w:color="auto" w:sz="4" w:space="0"/>
              <w:bottom w:val="single" w:color="000000" w:sz="4" w:space="0"/>
              <w:right w:val="single" w:color="auto" w:sz="4" w:space="0"/>
            </w:tcBorders>
            <w:vAlign w:val="center"/>
          </w:tcPr>
          <w:p w14:paraId="67DA4099">
            <w:pPr>
              <w:spacing w:after="0" w:line="240" w:lineRule="exact"/>
              <w:rPr>
                <w:rFonts w:ascii="宋体" w:hAnsi="宋体" w:eastAsia="宋体" w:cs="宋体"/>
              </w:rPr>
            </w:pPr>
            <w:r>
              <w:rPr>
                <w:rFonts w:hint="eastAsia" w:ascii="宋体" w:hAnsi="宋体" w:eastAsia="宋体" w:cs="宋体"/>
              </w:rPr>
              <w:t>全部符合（2分）；</w:t>
            </w:r>
          </w:p>
          <w:p w14:paraId="39557A30">
            <w:pPr>
              <w:spacing w:after="0" w:line="240" w:lineRule="exact"/>
              <w:rPr>
                <w:rFonts w:ascii="宋体" w:hAnsi="宋体" w:eastAsia="宋体" w:cs="宋体"/>
              </w:rPr>
            </w:pPr>
            <w:r>
              <w:rPr>
                <w:rFonts w:hint="eastAsia" w:ascii="宋体" w:hAnsi="宋体" w:eastAsia="宋体" w:cs="宋体"/>
              </w:rPr>
              <w:t>符合其中两项（1分）</w:t>
            </w:r>
          </w:p>
          <w:p w14:paraId="5198E3E1">
            <w:pPr>
              <w:spacing w:after="0" w:line="240" w:lineRule="exact"/>
              <w:rPr>
                <w:rFonts w:ascii="宋体" w:hAnsi="宋体" w:eastAsia="宋体" w:cs="宋体"/>
              </w:rPr>
            </w:pPr>
            <w:r>
              <w:rPr>
                <w:rFonts w:hint="eastAsia" w:ascii="宋体" w:hAnsi="宋体" w:eastAsia="宋体" w:cs="宋体"/>
              </w:rPr>
              <w:t>符合其中一项及以下（0分）。</w:t>
            </w:r>
          </w:p>
        </w:tc>
        <w:tc>
          <w:tcPr>
            <w:tcW w:w="1090" w:type="dxa"/>
            <w:tcBorders>
              <w:top w:val="single" w:color="000000" w:sz="4" w:space="0"/>
              <w:left w:val="single" w:color="auto" w:sz="4" w:space="0"/>
              <w:bottom w:val="single" w:color="000000" w:sz="4" w:space="0"/>
              <w:right w:val="single" w:color="000000" w:sz="4" w:space="0"/>
            </w:tcBorders>
            <w:vAlign w:val="center"/>
          </w:tcPr>
          <w:p w14:paraId="5DD8F0A7">
            <w:pPr>
              <w:spacing w:after="0" w:line="68" w:lineRule="atLeast"/>
              <w:rPr>
                <w:rFonts w:hint="eastAsia" w:ascii="宋体" w:hAnsi="宋体" w:eastAsia="宋体" w:cs="宋体"/>
                <w:lang w:val="en-US" w:eastAsia="zh-CN"/>
              </w:rPr>
            </w:pPr>
            <w:r>
              <w:rPr>
                <w:rFonts w:hint="eastAsia" w:ascii="宋体" w:hAnsi="宋体" w:eastAsia="宋体" w:cs="宋体"/>
                <w:lang w:val="en-US" w:eastAsia="zh-CN"/>
              </w:rPr>
              <w:t>2</w:t>
            </w:r>
          </w:p>
        </w:tc>
      </w:tr>
      <w:tr w14:paraId="52D6CA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86" w:hRule="atLeast"/>
          <w:jc w:val="center"/>
        </w:trPr>
        <w:tc>
          <w:tcPr>
            <w:tcW w:w="733" w:type="dxa"/>
            <w:vMerge w:val="continue"/>
            <w:tcBorders>
              <w:left w:val="single" w:color="000000" w:sz="4" w:space="0"/>
              <w:right w:val="single" w:color="000000" w:sz="4" w:space="0"/>
            </w:tcBorders>
            <w:vAlign w:val="center"/>
          </w:tcPr>
          <w:p w14:paraId="49DCB5D3">
            <w:pPr>
              <w:spacing w:after="0"/>
              <w:rPr>
                <w:rFonts w:ascii="宋体" w:hAnsi="宋体" w:eastAsia="宋体" w:cs="宋体"/>
              </w:rPr>
            </w:pPr>
          </w:p>
        </w:tc>
        <w:tc>
          <w:tcPr>
            <w:tcW w:w="803" w:type="dxa"/>
            <w:vMerge w:val="continue"/>
            <w:tcBorders>
              <w:left w:val="single" w:color="000000" w:sz="4" w:space="0"/>
              <w:right w:val="single" w:color="000000" w:sz="4" w:space="0"/>
            </w:tcBorders>
            <w:vAlign w:val="center"/>
          </w:tcPr>
          <w:p w14:paraId="03F8459E">
            <w:pPr>
              <w:spacing w:after="0" w:line="68" w:lineRule="atLeast"/>
              <w:rPr>
                <w:rFonts w:ascii="宋体" w:hAnsi="宋体" w:eastAsia="宋体" w:cs="宋体"/>
              </w:rPr>
            </w:pPr>
          </w:p>
        </w:tc>
        <w:tc>
          <w:tcPr>
            <w:tcW w:w="1182" w:type="dxa"/>
            <w:tcBorders>
              <w:top w:val="single" w:color="auto" w:sz="4" w:space="0"/>
              <w:left w:val="single" w:color="000000" w:sz="4" w:space="0"/>
              <w:bottom w:val="single" w:color="000000" w:sz="4" w:space="0"/>
              <w:right w:val="single" w:color="auto" w:sz="4" w:space="0"/>
            </w:tcBorders>
            <w:vAlign w:val="center"/>
          </w:tcPr>
          <w:p w14:paraId="09E6D008">
            <w:pPr>
              <w:spacing w:after="0" w:line="68" w:lineRule="atLeast"/>
              <w:rPr>
                <w:rFonts w:ascii="宋体" w:hAnsi="宋体" w:eastAsia="宋体" w:cs="宋体"/>
              </w:rPr>
            </w:pPr>
            <w:r>
              <w:rPr>
                <w:rFonts w:hint="eastAsia" w:ascii="宋体" w:hAnsi="宋体" w:eastAsia="宋体" w:cs="宋体"/>
              </w:rPr>
              <w:t>资产管理完全性</w:t>
            </w:r>
          </w:p>
          <w:p w14:paraId="4539DBB3">
            <w:pPr>
              <w:spacing w:after="0" w:line="68" w:lineRule="atLeast"/>
              <w:rPr>
                <w:rFonts w:ascii="宋体" w:hAnsi="宋体" w:eastAsia="宋体" w:cs="宋体"/>
              </w:rPr>
            </w:pPr>
            <w:r>
              <w:rPr>
                <w:rFonts w:hint="eastAsia" w:ascii="宋体" w:hAnsi="宋体" w:eastAsia="宋体" w:cs="宋体"/>
              </w:rPr>
              <w:t>（3分）</w:t>
            </w:r>
          </w:p>
        </w:tc>
        <w:tc>
          <w:tcPr>
            <w:tcW w:w="6911" w:type="dxa"/>
            <w:tcBorders>
              <w:top w:val="single" w:color="auto" w:sz="4" w:space="0"/>
              <w:left w:val="single" w:color="auto" w:sz="4" w:space="0"/>
              <w:bottom w:val="single" w:color="000000" w:sz="4" w:space="0"/>
              <w:right w:val="single" w:color="auto" w:sz="4" w:space="0"/>
            </w:tcBorders>
            <w:vAlign w:val="center"/>
          </w:tcPr>
          <w:p w14:paraId="4D2DC3A5">
            <w:pPr>
              <w:spacing w:after="0" w:line="240" w:lineRule="exact"/>
              <w:rPr>
                <w:rFonts w:ascii="宋体" w:hAnsi="宋体" w:eastAsia="宋体" w:cs="宋体"/>
              </w:rPr>
            </w:pPr>
            <w:r>
              <w:rPr>
                <w:rFonts w:hint="eastAsia" w:ascii="宋体" w:hAnsi="宋体" w:eastAsia="宋体" w:cs="宋体"/>
              </w:rPr>
              <w:t>部门的资产是否保存完整、使用合规、收入及时足额上缴，用以反映和评价部门资产运行情况。</w:t>
            </w:r>
          </w:p>
          <w:p w14:paraId="289E8A71">
            <w:pPr>
              <w:spacing w:after="0" w:line="240" w:lineRule="exact"/>
              <w:rPr>
                <w:rFonts w:ascii="宋体" w:hAnsi="宋体" w:eastAsia="宋体" w:cs="宋体"/>
              </w:rPr>
            </w:pPr>
            <w:r>
              <w:rPr>
                <w:rFonts w:hint="eastAsia" w:ascii="宋体" w:hAnsi="宋体" w:eastAsia="宋体" w:cs="宋体"/>
              </w:rPr>
              <w:t>评价要点：</w:t>
            </w:r>
          </w:p>
          <w:p w14:paraId="5A0A2CB3">
            <w:pPr>
              <w:spacing w:after="0" w:line="240" w:lineRule="exact"/>
              <w:rPr>
                <w:rFonts w:ascii="宋体" w:hAnsi="宋体" w:eastAsia="宋体" w:cs="宋体"/>
              </w:rPr>
            </w:pPr>
            <w:r>
              <w:rPr>
                <w:rFonts w:hint="eastAsia" w:ascii="宋体" w:hAnsi="宋体" w:eastAsia="宋体" w:cs="宋体"/>
              </w:rPr>
              <w:t>1.资产保存完整；</w:t>
            </w:r>
          </w:p>
          <w:p w14:paraId="0285EFA8">
            <w:pPr>
              <w:spacing w:after="0" w:line="240" w:lineRule="exact"/>
              <w:rPr>
                <w:rFonts w:ascii="宋体" w:hAnsi="宋体" w:eastAsia="宋体" w:cs="宋体"/>
              </w:rPr>
            </w:pPr>
            <w:r>
              <w:rPr>
                <w:rFonts w:hint="eastAsia" w:ascii="宋体" w:hAnsi="宋体" w:eastAsia="宋体" w:cs="宋体"/>
              </w:rPr>
              <w:t>2.资产账务管理是否合规，帐实相符；</w:t>
            </w:r>
          </w:p>
          <w:p w14:paraId="3AA231C9">
            <w:pPr>
              <w:spacing w:after="0" w:line="68" w:lineRule="atLeast"/>
              <w:rPr>
                <w:rFonts w:ascii="宋体" w:hAnsi="宋体" w:eastAsia="宋体" w:cs="宋体"/>
              </w:rPr>
            </w:pPr>
            <w:r>
              <w:rPr>
                <w:rFonts w:hint="eastAsia" w:ascii="宋体" w:hAnsi="宋体" w:eastAsia="宋体" w:cs="宋体"/>
              </w:rPr>
              <w:t>3.资产有偿使用及处置收入及时足额上缴。</w:t>
            </w:r>
          </w:p>
        </w:tc>
        <w:tc>
          <w:tcPr>
            <w:tcW w:w="3423" w:type="dxa"/>
            <w:tcBorders>
              <w:top w:val="single" w:color="auto" w:sz="4" w:space="0"/>
              <w:left w:val="single" w:color="auto" w:sz="4" w:space="0"/>
              <w:bottom w:val="single" w:color="000000" w:sz="4" w:space="0"/>
              <w:right w:val="single" w:color="auto" w:sz="4" w:space="0"/>
            </w:tcBorders>
            <w:vAlign w:val="center"/>
          </w:tcPr>
          <w:p w14:paraId="289EEDCE">
            <w:pPr>
              <w:spacing w:after="0" w:line="240" w:lineRule="exact"/>
              <w:rPr>
                <w:rFonts w:ascii="宋体" w:hAnsi="宋体" w:eastAsia="宋体" w:cs="宋体"/>
              </w:rPr>
            </w:pPr>
            <w:r>
              <w:rPr>
                <w:rFonts w:hint="eastAsia" w:ascii="宋体" w:hAnsi="宋体" w:eastAsia="宋体" w:cs="宋体"/>
              </w:rPr>
              <w:t>符合全部三项（3分）；</w:t>
            </w:r>
          </w:p>
          <w:p w14:paraId="14481C9D">
            <w:pPr>
              <w:spacing w:after="0" w:line="240" w:lineRule="exact"/>
              <w:rPr>
                <w:rFonts w:ascii="宋体" w:hAnsi="宋体" w:eastAsia="宋体" w:cs="宋体"/>
              </w:rPr>
            </w:pPr>
            <w:r>
              <w:rPr>
                <w:rFonts w:hint="eastAsia" w:ascii="宋体" w:hAnsi="宋体" w:eastAsia="宋体" w:cs="宋体"/>
              </w:rPr>
              <w:t>符合其中两项（2分）；</w:t>
            </w:r>
          </w:p>
          <w:p w14:paraId="16D2B344">
            <w:pPr>
              <w:spacing w:after="0" w:line="240" w:lineRule="exact"/>
              <w:rPr>
                <w:rFonts w:ascii="宋体" w:hAnsi="宋体" w:eastAsia="宋体" w:cs="宋体"/>
              </w:rPr>
            </w:pPr>
            <w:r>
              <w:rPr>
                <w:rFonts w:hint="eastAsia" w:ascii="宋体" w:hAnsi="宋体" w:eastAsia="宋体" w:cs="宋体"/>
              </w:rPr>
              <w:t>符合其中一项（1分）；</w:t>
            </w:r>
          </w:p>
          <w:p w14:paraId="14251339">
            <w:pPr>
              <w:spacing w:after="0" w:line="68" w:lineRule="atLeast"/>
              <w:rPr>
                <w:rFonts w:ascii="宋体" w:hAnsi="宋体" w:eastAsia="宋体" w:cs="宋体"/>
              </w:rPr>
            </w:pPr>
            <w:r>
              <w:rPr>
                <w:rFonts w:hint="eastAsia" w:ascii="宋体" w:hAnsi="宋体" w:eastAsia="宋体" w:cs="宋体"/>
              </w:rPr>
              <w:t>符合零项（0分）。</w:t>
            </w:r>
          </w:p>
        </w:tc>
        <w:tc>
          <w:tcPr>
            <w:tcW w:w="1090" w:type="dxa"/>
            <w:tcBorders>
              <w:top w:val="single" w:color="auto" w:sz="4" w:space="0"/>
              <w:left w:val="single" w:color="auto" w:sz="4" w:space="0"/>
              <w:bottom w:val="single" w:color="000000" w:sz="4" w:space="0"/>
              <w:right w:val="single" w:color="000000" w:sz="4" w:space="0"/>
            </w:tcBorders>
            <w:vAlign w:val="center"/>
          </w:tcPr>
          <w:p w14:paraId="65443754">
            <w:pPr>
              <w:spacing w:after="0" w:line="68" w:lineRule="atLeast"/>
              <w:rPr>
                <w:rFonts w:hint="eastAsia" w:ascii="宋体" w:hAnsi="宋体" w:eastAsia="宋体" w:cs="宋体"/>
                <w:lang w:val="en-US" w:eastAsia="zh-CN"/>
              </w:rPr>
            </w:pPr>
            <w:r>
              <w:rPr>
                <w:rFonts w:hint="eastAsia" w:ascii="宋体" w:hAnsi="宋体" w:eastAsia="宋体" w:cs="宋体"/>
              </w:rPr>
              <w:t> </w:t>
            </w:r>
            <w:r>
              <w:rPr>
                <w:rFonts w:hint="eastAsia" w:ascii="宋体" w:hAnsi="宋体" w:eastAsia="宋体" w:cs="宋体"/>
                <w:lang w:val="en-US" w:eastAsia="zh-CN"/>
              </w:rPr>
              <w:t>3</w:t>
            </w:r>
          </w:p>
        </w:tc>
      </w:tr>
      <w:tr w14:paraId="0D27F9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39" w:hRule="atLeast"/>
          <w:jc w:val="center"/>
        </w:trPr>
        <w:tc>
          <w:tcPr>
            <w:tcW w:w="733" w:type="dxa"/>
            <w:vMerge w:val="continue"/>
            <w:tcBorders>
              <w:left w:val="single" w:color="000000" w:sz="4" w:space="0"/>
              <w:right w:val="single" w:color="000000" w:sz="4" w:space="0"/>
            </w:tcBorders>
            <w:vAlign w:val="center"/>
          </w:tcPr>
          <w:p w14:paraId="2299E12C">
            <w:pPr>
              <w:spacing w:after="0"/>
              <w:rPr>
                <w:rFonts w:ascii="宋体" w:hAnsi="宋体" w:eastAsia="宋体" w:cs="宋体"/>
              </w:rPr>
            </w:pPr>
          </w:p>
        </w:tc>
        <w:tc>
          <w:tcPr>
            <w:tcW w:w="803" w:type="dxa"/>
            <w:vMerge w:val="continue"/>
            <w:tcBorders>
              <w:left w:val="single" w:color="000000" w:sz="4" w:space="0"/>
              <w:bottom w:val="single" w:color="000000" w:sz="4" w:space="0"/>
              <w:right w:val="single" w:color="000000" w:sz="4" w:space="0"/>
            </w:tcBorders>
            <w:vAlign w:val="center"/>
          </w:tcPr>
          <w:p w14:paraId="05B523E8">
            <w:pPr>
              <w:spacing w:after="0"/>
              <w:rPr>
                <w:rFonts w:ascii="宋体" w:hAnsi="宋体" w:eastAsia="宋体" w:cs="宋体"/>
              </w:rPr>
            </w:pPr>
          </w:p>
        </w:tc>
        <w:tc>
          <w:tcPr>
            <w:tcW w:w="1182" w:type="dxa"/>
            <w:tcBorders>
              <w:top w:val="single" w:color="auto" w:sz="4" w:space="0"/>
              <w:left w:val="single" w:color="000000" w:sz="4" w:space="0"/>
              <w:bottom w:val="single" w:color="000000" w:sz="4" w:space="0"/>
              <w:right w:val="single" w:color="auto" w:sz="4" w:space="0"/>
            </w:tcBorders>
            <w:vAlign w:val="center"/>
          </w:tcPr>
          <w:p w14:paraId="51CDD582">
            <w:pPr>
              <w:spacing w:after="0" w:line="68" w:lineRule="atLeast"/>
              <w:rPr>
                <w:rFonts w:ascii="宋体" w:hAnsi="宋体" w:eastAsia="宋体" w:cs="宋体"/>
              </w:rPr>
            </w:pPr>
            <w:r>
              <w:rPr>
                <w:rFonts w:hint="eastAsia" w:ascii="宋体" w:hAnsi="宋体" w:eastAsia="宋体" w:cs="宋体"/>
              </w:rPr>
              <w:t>固定资产利用率</w:t>
            </w:r>
          </w:p>
          <w:p w14:paraId="6E21B76E">
            <w:pPr>
              <w:spacing w:after="0" w:line="68" w:lineRule="atLeast"/>
              <w:rPr>
                <w:rFonts w:ascii="宋体" w:hAnsi="宋体" w:eastAsia="宋体" w:cs="宋体"/>
              </w:rPr>
            </w:pPr>
            <w:r>
              <w:rPr>
                <w:rFonts w:hint="eastAsia" w:ascii="宋体" w:hAnsi="宋体" w:eastAsia="宋体" w:cs="宋体"/>
              </w:rPr>
              <w:t>（3分）</w:t>
            </w:r>
          </w:p>
        </w:tc>
        <w:tc>
          <w:tcPr>
            <w:tcW w:w="6911" w:type="dxa"/>
            <w:tcBorders>
              <w:top w:val="single" w:color="auto" w:sz="4" w:space="0"/>
              <w:left w:val="single" w:color="auto" w:sz="4" w:space="0"/>
              <w:bottom w:val="single" w:color="000000" w:sz="4" w:space="0"/>
              <w:right w:val="single" w:color="auto" w:sz="4" w:space="0"/>
            </w:tcBorders>
            <w:vAlign w:val="center"/>
          </w:tcPr>
          <w:p w14:paraId="4653F36C">
            <w:pPr>
              <w:spacing w:after="0" w:line="240" w:lineRule="exact"/>
              <w:rPr>
                <w:rFonts w:ascii="宋体" w:hAnsi="宋体" w:eastAsia="宋体" w:cs="宋体"/>
              </w:rPr>
            </w:pPr>
            <w:r>
              <w:rPr>
                <w:rFonts w:hint="eastAsia" w:ascii="宋体" w:hAnsi="宋体" w:eastAsia="宋体" w:cs="宋体"/>
              </w:rPr>
              <w:t>部门实际在用固定资产总额与所有固定资产总额的比率，用以反映和评价部门固定资产使用效率。</w:t>
            </w:r>
          </w:p>
          <w:p w14:paraId="3227658D">
            <w:pPr>
              <w:spacing w:after="0" w:line="68" w:lineRule="atLeast"/>
              <w:rPr>
                <w:rFonts w:ascii="宋体" w:hAnsi="宋体" w:eastAsia="宋体" w:cs="宋体"/>
              </w:rPr>
            </w:pPr>
            <w:r>
              <w:rPr>
                <w:rFonts w:hint="eastAsia" w:ascii="宋体" w:hAnsi="宋体" w:eastAsia="宋体" w:cs="宋体"/>
              </w:rPr>
              <w:t>固定资产利用率=（实际在用固定资产总额/所有固定资产总额）×100%。</w:t>
            </w:r>
          </w:p>
        </w:tc>
        <w:tc>
          <w:tcPr>
            <w:tcW w:w="3423" w:type="dxa"/>
            <w:tcBorders>
              <w:top w:val="single" w:color="auto" w:sz="4" w:space="0"/>
              <w:left w:val="single" w:color="auto" w:sz="4" w:space="0"/>
              <w:bottom w:val="single" w:color="000000" w:sz="4" w:space="0"/>
              <w:right w:val="single" w:color="auto" w:sz="4" w:space="0"/>
            </w:tcBorders>
            <w:vAlign w:val="center"/>
          </w:tcPr>
          <w:p w14:paraId="2AC6DD42">
            <w:pPr>
              <w:spacing w:after="0" w:line="68" w:lineRule="atLeast"/>
              <w:rPr>
                <w:rFonts w:ascii="宋体" w:hAnsi="宋体" w:eastAsia="宋体" w:cs="宋体"/>
              </w:rPr>
            </w:pPr>
            <w:r>
              <w:rPr>
                <w:rFonts w:hint="eastAsia" w:ascii="宋体" w:hAnsi="宋体" w:eastAsia="宋体" w:cs="宋体"/>
              </w:rPr>
              <w:t>目标值为80%；以3分为上限，采用完成比率法计分：得分=固定资产利用率/80%×100%×3，超出目标值不加分。</w:t>
            </w:r>
          </w:p>
        </w:tc>
        <w:tc>
          <w:tcPr>
            <w:tcW w:w="1090" w:type="dxa"/>
            <w:tcBorders>
              <w:top w:val="single" w:color="auto" w:sz="4" w:space="0"/>
              <w:left w:val="single" w:color="auto" w:sz="4" w:space="0"/>
              <w:bottom w:val="single" w:color="000000" w:sz="4" w:space="0"/>
              <w:right w:val="single" w:color="000000" w:sz="4" w:space="0"/>
            </w:tcBorders>
            <w:vAlign w:val="center"/>
          </w:tcPr>
          <w:p w14:paraId="1C09640E">
            <w:pPr>
              <w:spacing w:after="0" w:line="68" w:lineRule="atLeast"/>
              <w:rPr>
                <w:rFonts w:hint="eastAsia" w:ascii="宋体" w:hAnsi="宋体" w:eastAsia="宋体" w:cs="宋体"/>
                <w:lang w:val="en-US" w:eastAsia="zh-CN"/>
              </w:rPr>
            </w:pPr>
            <w:r>
              <w:rPr>
                <w:rFonts w:hint="eastAsia" w:ascii="宋体" w:hAnsi="宋体" w:eastAsia="宋体" w:cs="宋体"/>
              </w:rPr>
              <w:t> </w:t>
            </w:r>
            <w:r>
              <w:rPr>
                <w:rFonts w:hint="eastAsia" w:ascii="宋体" w:hAnsi="宋体" w:eastAsia="宋体" w:cs="宋体"/>
                <w:lang w:val="en-US" w:eastAsia="zh-CN"/>
              </w:rPr>
              <w:t>3</w:t>
            </w:r>
          </w:p>
        </w:tc>
      </w:tr>
      <w:tr w14:paraId="6AB4A2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06" w:hRule="atLeast"/>
          <w:jc w:val="center"/>
        </w:trPr>
        <w:tc>
          <w:tcPr>
            <w:tcW w:w="733" w:type="dxa"/>
            <w:vMerge w:val="continue"/>
            <w:tcBorders>
              <w:left w:val="single" w:color="000000" w:sz="4" w:space="0"/>
              <w:bottom w:val="single" w:color="000000" w:sz="4" w:space="0"/>
              <w:right w:val="single" w:color="000000" w:sz="4" w:space="0"/>
            </w:tcBorders>
            <w:vAlign w:val="center"/>
          </w:tcPr>
          <w:p w14:paraId="10C9F91F">
            <w:pPr>
              <w:spacing w:after="0"/>
              <w:rPr>
                <w:rFonts w:ascii="宋体" w:hAnsi="宋体" w:eastAsia="宋体" w:cs="宋体"/>
              </w:rPr>
            </w:pPr>
          </w:p>
        </w:tc>
        <w:tc>
          <w:tcPr>
            <w:tcW w:w="803" w:type="dxa"/>
            <w:tcBorders>
              <w:left w:val="single" w:color="000000" w:sz="4" w:space="0"/>
              <w:bottom w:val="single" w:color="000000" w:sz="4" w:space="0"/>
              <w:right w:val="single" w:color="000000" w:sz="4" w:space="0"/>
            </w:tcBorders>
            <w:vAlign w:val="center"/>
          </w:tcPr>
          <w:p w14:paraId="17B05C8C">
            <w:pPr>
              <w:spacing w:after="0"/>
              <w:rPr>
                <w:rFonts w:ascii="宋体" w:hAnsi="宋体" w:eastAsia="宋体" w:cs="宋体"/>
              </w:rPr>
            </w:pPr>
            <w:r>
              <w:rPr>
                <w:rFonts w:hint="eastAsia" w:ascii="宋体" w:hAnsi="宋体" w:eastAsia="宋体" w:cs="宋体"/>
              </w:rPr>
              <w:t>预算绩效监控管理（2分）</w:t>
            </w:r>
          </w:p>
        </w:tc>
        <w:tc>
          <w:tcPr>
            <w:tcW w:w="1182" w:type="dxa"/>
            <w:tcBorders>
              <w:top w:val="single" w:color="auto" w:sz="4" w:space="0"/>
              <w:left w:val="single" w:color="000000" w:sz="4" w:space="0"/>
              <w:bottom w:val="single" w:color="000000" w:sz="4" w:space="0"/>
              <w:right w:val="single" w:color="auto" w:sz="4" w:space="0"/>
            </w:tcBorders>
            <w:vAlign w:val="center"/>
          </w:tcPr>
          <w:p w14:paraId="6DA02ACA">
            <w:pPr>
              <w:spacing w:after="0" w:line="68" w:lineRule="atLeast"/>
              <w:rPr>
                <w:rFonts w:ascii="宋体" w:hAnsi="宋体" w:eastAsia="宋体" w:cs="宋体"/>
              </w:rPr>
            </w:pPr>
            <w:r>
              <w:rPr>
                <w:rFonts w:hint="eastAsia" w:ascii="宋体" w:hAnsi="宋体" w:eastAsia="宋体" w:cs="宋体"/>
              </w:rPr>
              <w:t>监控率（2分）</w:t>
            </w:r>
          </w:p>
        </w:tc>
        <w:tc>
          <w:tcPr>
            <w:tcW w:w="6911" w:type="dxa"/>
            <w:tcBorders>
              <w:top w:val="single" w:color="auto" w:sz="4" w:space="0"/>
              <w:left w:val="single" w:color="auto" w:sz="4" w:space="0"/>
              <w:bottom w:val="single" w:color="000000" w:sz="4" w:space="0"/>
              <w:right w:val="single" w:color="auto" w:sz="4" w:space="0"/>
            </w:tcBorders>
            <w:vAlign w:val="center"/>
          </w:tcPr>
          <w:p w14:paraId="3CC27195">
            <w:pPr>
              <w:spacing w:after="0" w:line="240" w:lineRule="exact"/>
              <w:rPr>
                <w:rFonts w:ascii="宋体" w:hAnsi="宋体" w:eastAsia="宋体" w:cs="宋体"/>
              </w:rPr>
            </w:pPr>
            <w:r>
              <w:rPr>
                <w:rFonts w:hint="eastAsia" w:ascii="宋体" w:hAnsi="宋体" w:eastAsia="宋体" w:cs="宋体"/>
              </w:rPr>
              <w:t>部门（单位）纳入绩效监控的项目数量占实际申报绩效目标项目数量的比重，用以反映和考核部门（单位）在项目运行中实施绩效管理的水平和程度。</w:t>
            </w:r>
          </w:p>
          <w:p w14:paraId="73B1F718">
            <w:pPr>
              <w:spacing w:after="0" w:line="240" w:lineRule="exact"/>
              <w:rPr>
                <w:rFonts w:ascii="宋体" w:hAnsi="宋体" w:eastAsia="宋体" w:cs="宋体"/>
              </w:rPr>
            </w:pPr>
            <w:r>
              <w:rPr>
                <w:rFonts w:hint="eastAsia" w:ascii="宋体" w:hAnsi="宋体" w:eastAsia="宋体" w:cs="宋体"/>
              </w:rPr>
              <w:t>监控率=实施绩效监控项目数/实际申报绩效目标项目数×100%</w:t>
            </w:r>
          </w:p>
        </w:tc>
        <w:tc>
          <w:tcPr>
            <w:tcW w:w="3423" w:type="dxa"/>
            <w:tcBorders>
              <w:top w:val="single" w:color="auto" w:sz="4" w:space="0"/>
              <w:left w:val="single" w:color="auto" w:sz="4" w:space="0"/>
              <w:bottom w:val="single" w:color="000000" w:sz="4" w:space="0"/>
              <w:right w:val="single" w:color="auto" w:sz="4" w:space="0"/>
            </w:tcBorders>
            <w:vAlign w:val="center"/>
          </w:tcPr>
          <w:p w14:paraId="6D38FE43">
            <w:pPr>
              <w:spacing w:after="0" w:line="68" w:lineRule="atLeast"/>
              <w:rPr>
                <w:rFonts w:ascii="宋体" w:hAnsi="宋体" w:eastAsia="宋体" w:cs="宋体"/>
              </w:rPr>
            </w:pPr>
            <w:r>
              <w:rPr>
                <w:rFonts w:hint="eastAsia" w:ascii="宋体" w:hAnsi="宋体" w:eastAsia="宋体" w:cs="宋体"/>
              </w:rPr>
              <w:t>目标值为90%；以2分为上限，采用完成比率法计分：得分=监控率×2，超出目标值不加分。</w:t>
            </w:r>
          </w:p>
        </w:tc>
        <w:tc>
          <w:tcPr>
            <w:tcW w:w="1090" w:type="dxa"/>
            <w:tcBorders>
              <w:top w:val="single" w:color="auto" w:sz="4" w:space="0"/>
              <w:left w:val="single" w:color="auto" w:sz="4" w:space="0"/>
              <w:bottom w:val="single" w:color="000000" w:sz="4" w:space="0"/>
              <w:right w:val="single" w:color="000000" w:sz="4" w:space="0"/>
            </w:tcBorders>
            <w:vAlign w:val="center"/>
          </w:tcPr>
          <w:p w14:paraId="008455FF">
            <w:pPr>
              <w:spacing w:after="0" w:line="68" w:lineRule="atLeast"/>
              <w:rPr>
                <w:rFonts w:hint="eastAsia" w:ascii="宋体" w:hAnsi="宋体" w:eastAsia="宋体" w:cs="宋体"/>
                <w:lang w:val="en-US" w:eastAsia="zh-CN"/>
              </w:rPr>
            </w:pPr>
            <w:r>
              <w:rPr>
                <w:rFonts w:hint="eastAsia" w:ascii="宋体" w:hAnsi="宋体" w:eastAsia="宋体" w:cs="宋体"/>
                <w:lang w:val="en-US" w:eastAsia="zh-CN"/>
              </w:rPr>
              <w:t>2</w:t>
            </w:r>
          </w:p>
        </w:tc>
      </w:tr>
      <w:tr w14:paraId="5FC8A6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 w:hRule="atLeast"/>
          <w:jc w:val="center"/>
        </w:trPr>
        <w:tc>
          <w:tcPr>
            <w:tcW w:w="733" w:type="dxa"/>
            <w:vMerge w:val="restart"/>
            <w:tcBorders>
              <w:top w:val="single" w:color="000000" w:sz="4" w:space="0"/>
              <w:left w:val="single" w:color="000000" w:sz="4" w:space="0"/>
              <w:right w:val="single" w:color="000000" w:sz="4" w:space="0"/>
            </w:tcBorders>
            <w:vAlign w:val="center"/>
          </w:tcPr>
          <w:p w14:paraId="7D2BFE1C">
            <w:pPr>
              <w:spacing w:after="0" w:line="68" w:lineRule="atLeast"/>
              <w:rPr>
                <w:rFonts w:ascii="宋体" w:hAnsi="宋体" w:eastAsia="宋体" w:cs="宋体"/>
              </w:rPr>
            </w:pPr>
          </w:p>
          <w:p w14:paraId="58487658">
            <w:pPr>
              <w:spacing w:after="0" w:line="68" w:lineRule="atLeast"/>
              <w:rPr>
                <w:rFonts w:ascii="宋体" w:hAnsi="宋体" w:eastAsia="宋体" w:cs="宋体"/>
              </w:rPr>
            </w:pPr>
          </w:p>
          <w:p w14:paraId="593FF4CC">
            <w:pPr>
              <w:spacing w:after="0" w:line="68" w:lineRule="atLeast"/>
              <w:rPr>
                <w:rFonts w:ascii="宋体" w:hAnsi="宋体" w:eastAsia="宋体" w:cs="宋体"/>
              </w:rPr>
            </w:pPr>
          </w:p>
          <w:p w14:paraId="74AA695D">
            <w:pPr>
              <w:spacing w:after="0" w:line="68" w:lineRule="atLeast"/>
              <w:rPr>
                <w:rFonts w:ascii="宋体" w:hAnsi="宋体" w:eastAsia="宋体" w:cs="宋体"/>
              </w:rPr>
            </w:pPr>
          </w:p>
          <w:p w14:paraId="419A0620">
            <w:pPr>
              <w:spacing w:after="0" w:line="68" w:lineRule="atLeast"/>
              <w:rPr>
                <w:rFonts w:ascii="宋体" w:hAnsi="宋体" w:eastAsia="宋体" w:cs="宋体"/>
              </w:rPr>
            </w:pPr>
          </w:p>
          <w:p w14:paraId="141BA6B0">
            <w:pPr>
              <w:spacing w:after="0" w:line="68" w:lineRule="atLeast"/>
              <w:rPr>
                <w:rFonts w:ascii="宋体" w:hAnsi="宋体" w:eastAsia="宋体" w:cs="宋体"/>
              </w:rPr>
            </w:pPr>
          </w:p>
          <w:p w14:paraId="0AA0D1C6">
            <w:pPr>
              <w:spacing w:after="0" w:line="68" w:lineRule="atLeast"/>
              <w:rPr>
                <w:rFonts w:ascii="宋体" w:hAnsi="宋体" w:eastAsia="宋体" w:cs="宋体"/>
              </w:rPr>
            </w:pPr>
            <w:r>
              <w:rPr>
                <w:rFonts w:hint="eastAsia" w:ascii="宋体" w:hAnsi="宋体" w:eastAsia="宋体" w:cs="宋体"/>
              </w:rPr>
              <w:t>产出(15分)</w:t>
            </w:r>
          </w:p>
          <w:p w14:paraId="3BA1994A">
            <w:pPr>
              <w:spacing w:after="0" w:line="68" w:lineRule="atLeast"/>
              <w:rPr>
                <w:rFonts w:ascii="宋体" w:hAnsi="宋体" w:eastAsia="宋体" w:cs="宋体"/>
              </w:rPr>
            </w:pPr>
          </w:p>
          <w:p w14:paraId="3D055622">
            <w:pPr>
              <w:spacing w:after="0" w:line="68" w:lineRule="atLeast"/>
              <w:rPr>
                <w:rFonts w:ascii="宋体" w:hAnsi="宋体" w:eastAsia="宋体" w:cs="宋体"/>
              </w:rPr>
            </w:pPr>
          </w:p>
          <w:p w14:paraId="3AF1C901">
            <w:pPr>
              <w:spacing w:after="0" w:line="68" w:lineRule="atLeast"/>
              <w:rPr>
                <w:rFonts w:ascii="宋体" w:hAnsi="宋体" w:eastAsia="宋体" w:cs="宋体"/>
              </w:rPr>
            </w:pPr>
          </w:p>
          <w:p w14:paraId="3E64775B">
            <w:pPr>
              <w:spacing w:after="0" w:line="68" w:lineRule="atLeast"/>
              <w:rPr>
                <w:rFonts w:ascii="宋体" w:hAnsi="宋体" w:eastAsia="宋体" w:cs="宋体"/>
              </w:rPr>
            </w:pPr>
          </w:p>
          <w:p w14:paraId="1C52FB94">
            <w:pPr>
              <w:spacing w:after="0" w:line="68" w:lineRule="atLeast"/>
              <w:rPr>
                <w:rFonts w:ascii="宋体" w:hAnsi="宋体" w:eastAsia="宋体" w:cs="宋体"/>
              </w:rPr>
            </w:pPr>
          </w:p>
          <w:p w14:paraId="0226A809">
            <w:pPr>
              <w:spacing w:after="0" w:line="68" w:lineRule="atLeast"/>
              <w:rPr>
                <w:rFonts w:ascii="宋体" w:hAnsi="宋体" w:eastAsia="宋体" w:cs="宋体"/>
              </w:rPr>
            </w:pPr>
          </w:p>
          <w:p w14:paraId="26A747FA">
            <w:pPr>
              <w:spacing w:after="0" w:line="68" w:lineRule="atLeast"/>
              <w:rPr>
                <w:rFonts w:ascii="宋体" w:hAnsi="宋体" w:eastAsia="宋体" w:cs="宋体"/>
              </w:rPr>
            </w:pPr>
          </w:p>
          <w:p w14:paraId="483722DF">
            <w:pPr>
              <w:spacing w:after="0" w:line="68" w:lineRule="atLeast"/>
              <w:rPr>
                <w:rFonts w:ascii="宋体" w:hAnsi="宋体" w:eastAsia="宋体" w:cs="宋体"/>
              </w:rPr>
            </w:pPr>
          </w:p>
          <w:p w14:paraId="041E9A10">
            <w:pPr>
              <w:spacing w:after="0" w:line="68" w:lineRule="atLeast"/>
              <w:rPr>
                <w:rFonts w:ascii="宋体" w:hAnsi="宋体" w:eastAsia="宋体" w:cs="宋体"/>
              </w:rPr>
            </w:pPr>
          </w:p>
          <w:p w14:paraId="4AB929FD">
            <w:pPr>
              <w:spacing w:after="0" w:line="68" w:lineRule="atLeast"/>
              <w:rPr>
                <w:rFonts w:ascii="宋体" w:hAnsi="宋体" w:eastAsia="宋体" w:cs="宋体"/>
              </w:rPr>
            </w:pPr>
            <w:r>
              <w:rPr>
                <w:rFonts w:hint="eastAsia" w:ascii="宋体" w:hAnsi="宋体" w:eastAsia="宋体" w:cs="宋体"/>
              </w:rPr>
              <w:t>产出(15分)</w:t>
            </w:r>
          </w:p>
        </w:tc>
        <w:tc>
          <w:tcPr>
            <w:tcW w:w="803" w:type="dxa"/>
            <w:vMerge w:val="restart"/>
            <w:tcBorders>
              <w:top w:val="single" w:color="000000" w:sz="4" w:space="0"/>
              <w:left w:val="single" w:color="000000" w:sz="4" w:space="0"/>
              <w:right w:val="single" w:color="000000" w:sz="4" w:space="0"/>
            </w:tcBorders>
            <w:vAlign w:val="center"/>
          </w:tcPr>
          <w:p w14:paraId="5676B44C">
            <w:pPr>
              <w:spacing w:after="0" w:line="68" w:lineRule="atLeast"/>
              <w:rPr>
                <w:rFonts w:ascii="宋体" w:hAnsi="宋体" w:eastAsia="宋体" w:cs="宋体"/>
              </w:rPr>
            </w:pPr>
            <w:r>
              <w:rPr>
                <w:rFonts w:hint="eastAsia" w:ascii="宋体" w:hAnsi="宋体" w:eastAsia="宋体" w:cs="宋体"/>
              </w:rPr>
              <w:t>职责履行（15分）</w:t>
            </w:r>
          </w:p>
        </w:tc>
        <w:tc>
          <w:tcPr>
            <w:tcW w:w="1182" w:type="dxa"/>
            <w:tcBorders>
              <w:top w:val="single" w:color="000000" w:sz="4" w:space="0"/>
              <w:left w:val="single" w:color="000000" w:sz="4" w:space="0"/>
              <w:bottom w:val="single" w:color="auto" w:sz="4" w:space="0"/>
              <w:right w:val="single" w:color="auto" w:sz="4" w:space="0"/>
            </w:tcBorders>
            <w:vAlign w:val="center"/>
          </w:tcPr>
          <w:p w14:paraId="34C8C288">
            <w:pPr>
              <w:spacing w:after="0" w:line="68" w:lineRule="atLeast"/>
              <w:rPr>
                <w:rFonts w:ascii="宋体" w:hAnsi="宋体" w:eastAsia="宋体" w:cs="宋体"/>
              </w:rPr>
            </w:pPr>
            <w:r>
              <w:rPr>
                <w:rFonts w:hint="eastAsia" w:ascii="宋体" w:hAnsi="宋体" w:eastAsia="宋体" w:cs="宋体"/>
              </w:rPr>
              <w:t>项目实际完成率（4分）</w:t>
            </w:r>
          </w:p>
        </w:tc>
        <w:tc>
          <w:tcPr>
            <w:tcW w:w="6911" w:type="dxa"/>
            <w:tcBorders>
              <w:top w:val="single" w:color="000000" w:sz="4" w:space="0"/>
              <w:left w:val="single" w:color="auto" w:sz="4" w:space="0"/>
              <w:bottom w:val="single" w:color="auto" w:sz="4" w:space="0"/>
              <w:right w:val="single" w:color="auto" w:sz="4" w:space="0"/>
            </w:tcBorders>
            <w:vAlign w:val="center"/>
          </w:tcPr>
          <w:p w14:paraId="3DA11B55">
            <w:pPr>
              <w:spacing w:after="0" w:line="240" w:lineRule="exact"/>
              <w:rPr>
                <w:rFonts w:ascii="宋体" w:hAnsi="宋体" w:eastAsia="宋体" w:cs="宋体"/>
              </w:rPr>
            </w:pPr>
            <w:r>
              <w:rPr>
                <w:rFonts w:hint="eastAsia" w:ascii="宋体" w:hAnsi="宋体" w:eastAsia="宋体" w:cs="宋体"/>
              </w:rPr>
              <w:t>部门履行职责而实际完成的项目数与计划完成的项目数的比率，用以反映和评价部门履职任务目标的实现程度。</w:t>
            </w:r>
          </w:p>
          <w:p w14:paraId="5AC2F7DF">
            <w:pPr>
              <w:spacing w:after="0" w:line="68" w:lineRule="atLeast"/>
              <w:rPr>
                <w:rFonts w:ascii="宋体" w:hAnsi="宋体" w:eastAsia="宋体" w:cs="宋体"/>
              </w:rPr>
            </w:pPr>
            <w:r>
              <w:rPr>
                <w:rFonts w:hint="eastAsia" w:ascii="宋体" w:hAnsi="宋体" w:eastAsia="宋体" w:cs="宋体"/>
              </w:rPr>
              <w:t>项目实际完成率=（实际完成项目数/计划完成项目数）×100%。</w:t>
            </w:r>
          </w:p>
        </w:tc>
        <w:tc>
          <w:tcPr>
            <w:tcW w:w="3423" w:type="dxa"/>
            <w:tcBorders>
              <w:top w:val="single" w:color="000000" w:sz="4" w:space="0"/>
              <w:left w:val="single" w:color="auto" w:sz="4" w:space="0"/>
              <w:bottom w:val="single" w:color="auto" w:sz="4" w:space="0"/>
              <w:right w:val="single" w:color="auto" w:sz="4" w:space="0"/>
            </w:tcBorders>
            <w:vAlign w:val="center"/>
          </w:tcPr>
          <w:p w14:paraId="392BD05A">
            <w:pPr>
              <w:spacing w:after="0" w:line="68" w:lineRule="atLeast"/>
              <w:rPr>
                <w:rFonts w:ascii="宋体" w:hAnsi="宋体" w:eastAsia="宋体" w:cs="宋体"/>
              </w:rPr>
            </w:pPr>
            <w:r>
              <w:rPr>
                <w:rFonts w:hint="eastAsia" w:ascii="宋体" w:hAnsi="宋体" w:eastAsia="宋体" w:cs="宋体"/>
              </w:rPr>
              <w:t>目标值为100%；</w:t>
            </w:r>
          </w:p>
          <w:p w14:paraId="5CDF99F1">
            <w:pPr>
              <w:spacing w:after="0" w:line="68" w:lineRule="atLeast"/>
              <w:rPr>
                <w:rFonts w:ascii="宋体" w:hAnsi="宋体" w:eastAsia="宋体" w:cs="宋体"/>
              </w:rPr>
            </w:pPr>
            <w:r>
              <w:rPr>
                <w:rFonts w:hint="eastAsia" w:ascii="宋体" w:hAnsi="宋体" w:eastAsia="宋体" w:cs="宋体"/>
              </w:rPr>
              <w:t>达到目标值得4分；</w:t>
            </w:r>
          </w:p>
          <w:p w14:paraId="007B6FC9">
            <w:pPr>
              <w:spacing w:after="0" w:line="68" w:lineRule="atLeast"/>
              <w:rPr>
                <w:rFonts w:ascii="宋体" w:hAnsi="宋体" w:eastAsia="宋体" w:cs="宋体"/>
              </w:rPr>
            </w:pPr>
            <w:r>
              <w:rPr>
                <w:rFonts w:hint="eastAsia" w:ascii="宋体" w:hAnsi="宋体" w:eastAsia="宋体" w:cs="宋体"/>
              </w:rPr>
              <w:t>100%＞结果≥95%，得3分；</w:t>
            </w:r>
          </w:p>
          <w:p w14:paraId="77A4758C">
            <w:pPr>
              <w:spacing w:after="0" w:line="68" w:lineRule="atLeast"/>
              <w:rPr>
                <w:rFonts w:ascii="宋体" w:hAnsi="宋体" w:eastAsia="宋体" w:cs="宋体"/>
              </w:rPr>
            </w:pPr>
            <w:r>
              <w:rPr>
                <w:rFonts w:hint="eastAsia" w:ascii="宋体" w:hAnsi="宋体" w:eastAsia="宋体" w:cs="宋体"/>
              </w:rPr>
              <w:t>95%＞结果≥90%，得2分；</w:t>
            </w:r>
          </w:p>
          <w:p w14:paraId="0F25373E">
            <w:pPr>
              <w:spacing w:after="0" w:line="68" w:lineRule="atLeast"/>
              <w:rPr>
                <w:rFonts w:ascii="宋体" w:hAnsi="宋体" w:eastAsia="宋体" w:cs="宋体"/>
              </w:rPr>
            </w:pPr>
            <w:r>
              <w:rPr>
                <w:rFonts w:hint="eastAsia" w:ascii="宋体" w:hAnsi="宋体" w:eastAsia="宋体" w:cs="宋体"/>
              </w:rPr>
              <w:t>90%＞结果≥85%，得1分；</w:t>
            </w:r>
          </w:p>
          <w:p w14:paraId="2D860232">
            <w:pPr>
              <w:spacing w:after="0" w:line="68" w:lineRule="atLeast"/>
              <w:rPr>
                <w:rFonts w:ascii="宋体" w:hAnsi="宋体" w:eastAsia="宋体" w:cs="宋体"/>
              </w:rPr>
            </w:pPr>
            <w:r>
              <w:rPr>
                <w:rFonts w:hint="eastAsia" w:ascii="宋体" w:hAnsi="宋体" w:eastAsia="宋体" w:cs="宋体"/>
              </w:rPr>
              <w:t>结果＜85%得0分。</w:t>
            </w:r>
          </w:p>
        </w:tc>
        <w:tc>
          <w:tcPr>
            <w:tcW w:w="1090" w:type="dxa"/>
            <w:tcBorders>
              <w:top w:val="single" w:color="000000" w:sz="4" w:space="0"/>
              <w:left w:val="single" w:color="auto" w:sz="4" w:space="0"/>
              <w:bottom w:val="single" w:color="auto" w:sz="4" w:space="0"/>
              <w:right w:val="single" w:color="000000" w:sz="4" w:space="0"/>
            </w:tcBorders>
            <w:vAlign w:val="center"/>
          </w:tcPr>
          <w:p w14:paraId="6917A83D">
            <w:pPr>
              <w:spacing w:after="0" w:line="68" w:lineRule="atLeast"/>
              <w:rPr>
                <w:rFonts w:hint="eastAsia" w:ascii="宋体" w:hAnsi="宋体" w:eastAsia="宋体" w:cs="宋体"/>
                <w:lang w:val="en-US" w:eastAsia="zh-CN"/>
              </w:rPr>
            </w:pPr>
            <w:r>
              <w:rPr>
                <w:rFonts w:hint="eastAsia" w:ascii="宋体" w:hAnsi="宋体" w:eastAsia="宋体" w:cs="宋体"/>
              </w:rPr>
              <w:t> </w:t>
            </w:r>
            <w:r>
              <w:rPr>
                <w:rFonts w:hint="eastAsia" w:ascii="宋体" w:hAnsi="宋体" w:eastAsia="宋体" w:cs="宋体"/>
                <w:lang w:val="en-US" w:eastAsia="zh-CN"/>
              </w:rPr>
              <w:t>4</w:t>
            </w:r>
          </w:p>
        </w:tc>
      </w:tr>
      <w:tr w14:paraId="119C0B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19" w:hRule="atLeast"/>
          <w:jc w:val="center"/>
        </w:trPr>
        <w:tc>
          <w:tcPr>
            <w:tcW w:w="733" w:type="dxa"/>
            <w:vMerge w:val="continue"/>
            <w:tcBorders>
              <w:left w:val="single" w:color="000000" w:sz="4" w:space="0"/>
              <w:right w:val="single" w:color="000000" w:sz="4" w:space="0"/>
            </w:tcBorders>
            <w:vAlign w:val="center"/>
          </w:tcPr>
          <w:p w14:paraId="4DEC2CF7">
            <w:pPr>
              <w:spacing w:after="0"/>
              <w:rPr>
                <w:rFonts w:ascii="宋体" w:hAnsi="宋体" w:eastAsia="宋体" w:cs="宋体"/>
              </w:rPr>
            </w:pPr>
          </w:p>
        </w:tc>
        <w:tc>
          <w:tcPr>
            <w:tcW w:w="803" w:type="dxa"/>
            <w:vMerge w:val="continue"/>
            <w:tcBorders>
              <w:left w:val="single" w:color="000000" w:sz="4" w:space="0"/>
              <w:right w:val="single" w:color="000000" w:sz="4" w:space="0"/>
            </w:tcBorders>
            <w:vAlign w:val="center"/>
          </w:tcPr>
          <w:p w14:paraId="18557337">
            <w:pPr>
              <w:spacing w:after="0"/>
              <w:rPr>
                <w:rFonts w:ascii="宋体" w:hAnsi="宋体" w:eastAsia="宋体" w:cs="宋体"/>
              </w:rPr>
            </w:pPr>
          </w:p>
        </w:tc>
        <w:tc>
          <w:tcPr>
            <w:tcW w:w="1182" w:type="dxa"/>
            <w:tcBorders>
              <w:top w:val="single" w:color="000000" w:sz="4" w:space="0"/>
              <w:left w:val="single" w:color="000000" w:sz="4" w:space="0"/>
              <w:bottom w:val="single" w:color="auto" w:sz="4" w:space="0"/>
              <w:right w:val="single" w:color="auto" w:sz="4" w:space="0"/>
            </w:tcBorders>
            <w:vAlign w:val="center"/>
          </w:tcPr>
          <w:p w14:paraId="054D821C">
            <w:pPr>
              <w:spacing w:after="0" w:line="68" w:lineRule="atLeast"/>
              <w:rPr>
                <w:rFonts w:ascii="宋体" w:hAnsi="宋体" w:eastAsia="宋体" w:cs="宋体"/>
              </w:rPr>
            </w:pPr>
            <w:r>
              <w:rPr>
                <w:rFonts w:hint="eastAsia" w:ascii="宋体" w:hAnsi="宋体" w:eastAsia="宋体" w:cs="宋体"/>
              </w:rPr>
              <w:t>项目质量达标率（4分）</w:t>
            </w:r>
          </w:p>
        </w:tc>
        <w:tc>
          <w:tcPr>
            <w:tcW w:w="6911" w:type="dxa"/>
            <w:tcBorders>
              <w:top w:val="single" w:color="000000" w:sz="4" w:space="0"/>
              <w:left w:val="single" w:color="auto" w:sz="4" w:space="0"/>
              <w:bottom w:val="single" w:color="auto" w:sz="4" w:space="0"/>
              <w:right w:val="single" w:color="auto" w:sz="4" w:space="0"/>
            </w:tcBorders>
            <w:vAlign w:val="center"/>
          </w:tcPr>
          <w:p w14:paraId="227F3E98">
            <w:pPr>
              <w:spacing w:after="0" w:line="240" w:lineRule="exact"/>
              <w:rPr>
                <w:rFonts w:ascii="宋体" w:hAnsi="宋体" w:eastAsia="宋体" w:cs="宋体"/>
              </w:rPr>
            </w:pPr>
            <w:r>
              <w:rPr>
                <w:rFonts w:hint="eastAsia" w:ascii="宋体" w:hAnsi="宋体" w:eastAsia="宋体" w:cs="宋体"/>
              </w:rPr>
              <w:t>部门已完成项目中质量达标项目个数占已完成项目个数的比率,用以反映和评价部门履职质量目标的实现程度。</w:t>
            </w:r>
          </w:p>
          <w:p w14:paraId="457D1CAB">
            <w:pPr>
              <w:spacing w:after="0" w:line="240" w:lineRule="exact"/>
              <w:rPr>
                <w:rFonts w:ascii="宋体" w:hAnsi="宋体" w:eastAsia="宋体" w:cs="宋体"/>
              </w:rPr>
            </w:pPr>
            <w:r>
              <w:rPr>
                <w:rFonts w:hint="eastAsia" w:ascii="宋体" w:hAnsi="宋体" w:eastAsia="宋体" w:cs="宋体"/>
              </w:rPr>
              <w:t>项目质量达标率=（已完成项目中质量达标项目个数/已完成项目个数）×100%。</w:t>
            </w:r>
          </w:p>
          <w:p w14:paraId="18898685">
            <w:pPr>
              <w:spacing w:after="0" w:line="68" w:lineRule="atLeast"/>
              <w:rPr>
                <w:rFonts w:ascii="宋体" w:hAnsi="宋体" w:eastAsia="宋体" w:cs="宋体"/>
              </w:rPr>
            </w:pPr>
            <w:r>
              <w:rPr>
                <w:rFonts w:hint="eastAsia" w:ascii="宋体" w:hAnsi="宋体" w:eastAsia="宋体" w:cs="宋体"/>
              </w:rPr>
              <w:t>项目质量达标是指项目决算验收合格。</w:t>
            </w:r>
          </w:p>
        </w:tc>
        <w:tc>
          <w:tcPr>
            <w:tcW w:w="3423" w:type="dxa"/>
            <w:tcBorders>
              <w:top w:val="single" w:color="000000" w:sz="4" w:space="0"/>
              <w:left w:val="single" w:color="auto" w:sz="4" w:space="0"/>
              <w:bottom w:val="single" w:color="auto" w:sz="4" w:space="0"/>
              <w:right w:val="single" w:color="auto" w:sz="4" w:space="0"/>
            </w:tcBorders>
            <w:vAlign w:val="center"/>
          </w:tcPr>
          <w:p w14:paraId="7C7A7293">
            <w:pPr>
              <w:spacing w:after="0" w:line="68" w:lineRule="atLeast"/>
              <w:rPr>
                <w:rFonts w:ascii="宋体" w:hAnsi="宋体" w:eastAsia="宋体" w:cs="宋体"/>
              </w:rPr>
            </w:pPr>
            <w:r>
              <w:rPr>
                <w:rFonts w:hint="eastAsia" w:ascii="宋体" w:hAnsi="宋体" w:eastAsia="宋体" w:cs="宋体"/>
              </w:rPr>
              <w:t>目标值100%；以4分为上限，采用完成比率法计分：得分=项目质量达标率×4，≤95%的扣4分。</w:t>
            </w:r>
          </w:p>
        </w:tc>
        <w:tc>
          <w:tcPr>
            <w:tcW w:w="1090" w:type="dxa"/>
            <w:tcBorders>
              <w:top w:val="single" w:color="000000" w:sz="4" w:space="0"/>
              <w:left w:val="single" w:color="auto" w:sz="4" w:space="0"/>
              <w:bottom w:val="single" w:color="auto" w:sz="4" w:space="0"/>
              <w:right w:val="single" w:color="000000" w:sz="4" w:space="0"/>
            </w:tcBorders>
            <w:vAlign w:val="center"/>
          </w:tcPr>
          <w:p w14:paraId="2CD8196A">
            <w:pPr>
              <w:spacing w:after="0" w:line="68" w:lineRule="atLeast"/>
              <w:rPr>
                <w:rFonts w:hint="eastAsia" w:ascii="宋体" w:hAnsi="宋体" w:eastAsia="宋体" w:cs="宋体"/>
                <w:lang w:val="en-US" w:eastAsia="zh-CN"/>
              </w:rPr>
            </w:pPr>
            <w:r>
              <w:rPr>
                <w:rFonts w:hint="eastAsia" w:ascii="宋体" w:hAnsi="宋体" w:eastAsia="宋体" w:cs="宋体"/>
              </w:rPr>
              <w:t> </w:t>
            </w:r>
            <w:r>
              <w:rPr>
                <w:rFonts w:hint="eastAsia" w:ascii="宋体" w:hAnsi="宋体" w:eastAsia="宋体" w:cs="宋体"/>
                <w:lang w:val="en-US" w:eastAsia="zh-CN"/>
              </w:rPr>
              <w:t>2</w:t>
            </w:r>
          </w:p>
        </w:tc>
      </w:tr>
      <w:tr w14:paraId="035B79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41" w:hRule="atLeast"/>
          <w:jc w:val="center"/>
        </w:trPr>
        <w:tc>
          <w:tcPr>
            <w:tcW w:w="733" w:type="dxa"/>
            <w:vMerge w:val="continue"/>
            <w:tcBorders>
              <w:left w:val="single" w:color="000000" w:sz="4" w:space="0"/>
              <w:right w:val="single" w:color="000000" w:sz="4" w:space="0"/>
            </w:tcBorders>
            <w:vAlign w:val="center"/>
          </w:tcPr>
          <w:p w14:paraId="1903A614">
            <w:pPr>
              <w:spacing w:after="0"/>
              <w:rPr>
                <w:rFonts w:ascii="宋体" w:hAnsi="宋体" w:eastAsia="宋体" w:cs="宋体"/>
              </w:rPr>
            </w:pPr>
          </w:p>
        </w:tc>
        <w:tc>
          <w:tcPr>
            <w:tcW w:w="803" w:type="dxa"/>
            <w:vMerge w:val="continue"/>
            <w:tcBorders>
              <w:left w:val="single" w:color="000000" w:sz="4" w:space="0"/>
              <w:right w:val="single" w:color="000000" w:sz="4" w:space="0"/>
            </w:tcBorders>
            <w:vAlign w:val="center"/>
          </w:tcPr>
          <w:p w14:paraId="5FFF7DA5">
            <w:pPr>
              <w:spacing w:after="0"/>
              <w:rPr>
                <w:rFonts w:ascii="宋体" w:hAnsi="宋体" w:eastAsia="宋体" w:cs="宋体"/>
              </w:rPr>
            </w:pPr>
          </w:p>
        </w:tc>
        <w:tc>
          <w:tcPr>
            <w:tcW w:w="1182" w:type="dxa"/>
            <w:tcBorders>
              <w:top w:val="single" w:color="000000" w:sz="4" w:space="0"/>
              <w:left w:val="single" w:color="000000" w:sz="4" w:space="0"/>
              <w:bottom w:val="single" w:color="auto" w:sz="4" w:space="0"/>
              <w:right w:val="single" w:color="auto" w:sz="4" w:space="0"/>
            </w:tcBorders>
            <w:vAlign w:val="center"/>
          </w:tcPr>
          <w:p w14:paraId="4E3AEBD8">
            <w:pPr>
              <w:spacing w:after="0" w:line="68" w:lineRule="atLeast"/>
              <w:rPr>
                <w:rFonts w:ascii="宋体" w:hAnsi="宋体" w:eastAsia="宋体" w:cs="宋体"/>
              </w:rPr>
            </w:pPr>
            <w:r>
              <w:rPr>
                <w:rFonts w:hint="eastAsia" w:ascii="宋体" w:hAnsi="宋体" w:eastAsia="宋体" w:cs="宋体"/>
              </w:rPr>
              <w:t>重点工作办结率（4分）</w:t>
            </w:r>
          </w:p>
        </w:tc>
        <w:tc>
          <w:tcPr>
            <w:tcW w:w="6911" w:type="dxa"/>
            <w:tcBorders>
              <w:top w:val="single" w:color="000000" w:sz="4" w:space="0"/>
              <w:left w:val="single" w:color="auto" w:sz="4" w:space="0"/>
              <w:bottom w:val="single" w:color="auto" w:sz="4" w:space="0"/>
              <w:right w:val="single" w:color="auto" w:sz="4" w:space="0"/>
            </w:tcBorders>
            <w:vAlign w:val="center"/>
          </w:tcPr>
          <w:p w14:paraId="78A67788">
            <w:pPr>
              <w:spacing w:after="0" w:line="68" w:lineRule="atLeast"/>
              <w:rPr>
                <w:rFonts w:ascii="宋体" w:hAnsi="宋体" w:eastAsia="宋体" w:cs="宋体"/>
              </w:rPr>
            </w:pPr>
            <w:r>
              <w:rPr>
                <w:rFonts w:hint="eastAsia" w:ascii="宋体" w:hAnsi="宋体" w:eastAsia="宋体" w:cs="宋体"/>
              </w:rPr>
              <w:t>部门年度重点工作实际完成数与交办或下达数的比率，用以反映部门对重点工作的办理落实程度。</w:t>
            </w:r>
          </w:p>
          <w:p w14:paraId="580F16AF">
            <w:pPr>
              <w:spacing w:after="0" w:line="68" w:lineRule="atLeast"/>
              <w:rPr>
                <w:rFonts w:ascii="宋体" w:hAnsi="宋体" w:eastAsia="宋体" w:cs="宋体"/>
              </w:rPr>
            </w:pPr>
            <w:r>
              <w:rPr>
                <w:rFonts w:hint="eastAsia" w:ascii="宋体" w:hAnsi="宋体" w:eastAsia="宋体" w:cs="宋体"/>
              </w:rPr>
              <w:t>重点工作办结率=（重点工作实际完成数/交办或下达数）×100%。</w:t>
            </w:r>
          </w:p>
          <w:p w14:paraId="54D5514A">
            <w:pPr>
              <w:spacing w:after="0" w:line="68" w:lineRule="atLeast"/>
              <w:rPr>
                <w:rFonts w:ascii="宋体" w:hAnsi="宋体" w:eastAsia="宋体" w:cs="宋体"/>
              </w:rPr>
            </w:pPr>
            <w:r>
              <w:rPr>
                <w:rFonts w:hint="eastAsia" w:ascii="宋体" w:hAnsi="宋体" w:eastAsia="宋体" w:cs="宋体"/>
              </w:rPr>
              <w:t>重点工作是指党委、政府、人大、相关部门交办或下达的工作任务。</w:t>
            </w:r>
          </w:p>
        </w:tc>
        <w:tc>
          <w:tcPr>
            <w:tcW w:w="3423" w:type="dxa"/>
            <w:tcBorders>
              <w:top w:val="single" w:color="000000" w:sz="4" w:space="0"/>
              <w:left w:val="single" w:color="auto" w:sz="4" w:space="0"/>
              <w:bottom w:val="single" w:color="auto" w:sz="4" w:space="0"/>
              <w:right w:val="single" w:color="auto" w:sz="4" w:space="0"/>
            </w:tcBorders>
            <w:vAlign w:val="center"/>
          </w:tcPr>
          <w:p w14:paraId="0A6166E4">
            <w:pPr>
              <w:spacing w:after="0" w:line="68" w:lineRule="atLeast"/>
              <w:rPr>
                <w:rFonts w:ascii="宋体" w:hAnsi="宋体" w:eastAsia="宋体" w:cs="宋体"/>
              </w:rPr>
            </w:pPr>
            <w:r>
              <w:rPr>
                <w:rFonts w:hint="eastAsia" w:ascii="宋体" w:hAnsi="宋体" w:eastAsia="宋体" w:cs="宋体"/>
              </w:rPr>
              <w:t>目标值100%；以4分为上限，采用完成比率法计分：得分=重点工作办结率×4，≤90%的扣4分。</w:t>
            </w:r>
          </w:p>
        </w:tc>
        <w:tc>
          <w:tcPr>
            <w:tcW w:w="1090" w:type="dxa"/>
            <w:tcBorders>
              <w:top w:val="single" w:color="000000" w:sz="4" w:space="0"/>
              <w:left w:val="single" w:color="auto" w:sz="4" w:space="0"/>
              <w:bottom w:val="single" w:color="auto" w:sz="4" w:space="0"/>
              <w:right w:val="single" w:color="000000" w:sz="4" w:space="0"/>
            </w:tcBorders>
            <w:vAlign w:val="center"/>
          </w:tcPr>
          <w:p w14:paraId="2A5BBCA1">
            <w:pPr>
              <w:spacing w:after="0" w:line="68" w:lineRule="atLeast"/>
              <w:rPr>
                <w:rFonts w:hint="eastAsia" w:ascii="宋体" w:hAnsi="宋体" w:eastAsia="宋体" w:cs="宋体"/>
                <w:lang w:val="en-US" w:eastAsia="zh-CN"/>
              </w:rPr>
            </w:pPr>
            <w:r>
              <w:rPr>
                <w:rFonts w:hint="eastAsia" w:ascii="宋体" w:hAnsi="宋体" w:eastAsia="宋体" w:cs="宋体"/>
              </w:rPr>
              <w:t> </w:t>
            </w:r>
            <w:r>
              <w:rPr>
                <w:rFonts w:hint="eastAsia" w:ascii="宋体" w:hAnsi="宋体" w:eastAsia="宋体" w:cs="宋体"/>
                <w:lang w:val="en-US" w:eastAsia="zh-CN"/>
              </w:rPr>
              <w:t>4</w:t>
            </w:r>
          </w:p>
        </w:tc>
      </w:tr>
      <w:tr w14:paraId="47E871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39" w:hRule="atLeast"/>
          <w:jc w:val="center"/>
        </w:trPr>
        <w:tc>
          <w:tcPr>
            <w:tcW w:w="733" w:type="dxa"/>
            <w:vMerge w:val="continue"/>
            <w:tcBorders>
              <w:left w:val="single" w:color="000000" w:sz="4" w:space="0"/>
              <w:bottom w:val="single" w:color="000000" w:sz="4" w:space="0"/>
              <w:right w:val="single" w:color="000000" w:sz="4" w:space="0"/>
            </w:tcBorders>
            <w:vAlign w:val="center"/>
          </w:tcPr>
          <w:p w14:paraId="63EF6235">
            <w:pPr>
              <w:spacing w:after="0"/>
              <w:rPr>
                <w:rFonts w:ascii="宋体" w:hAnsi="宋体" w:eastAsia="宋体" w:cs="宋体"/>
              </w:rPr>
            </w:pPr>
          </w:p>
        </w:tc>
        <w:tc>
          <w:tcPr>
            <w:tcW w:w="803" w:type="dxa"/>
            <w:vMerge w:val="continue"/>
            <w:tcBorders>
              <w:left w:val="single" w:color="000000" w:sz="4" w:space="0"/>
              <w:bottom w:val="single" w:color="000000" w:sz="4" w:space="0"/>
              <w:right w:val="single" w:color="000000" w:sz="4" w:space="0"/>
            </w:tcBorders>
            <w:vAlign w:val="center"/>
          </w:tcPr>
          <w:p w14:paraId="580C0A92">
            <w:pPr>
              <w:spacing w:after="0"/>
              <w:rPr>
                <w:rFonts w:ascii="宋体" w:hAnsi="宋体" w:eastAsia="宋体" w:cs="宋体"/>
              </w:rPr>
            </w:pPr>
          </w:p>
        </w:tc>
        <w:tc>
          <w:tcPr>
            <w:tcW w:w="1182" w:type="dxa"/>
            <w:tcBorders>
              <w:top w:val="single" w:color="000000" w:sz="4" w:space="0"/>
              <w:left w:val="single" w:color="000000" w:sz="4" w:space="0"/>
              <w:bottom w:val="single" w:color="auto" w:sz="4" w:space="0"/>
              <w:right w:val="single" w:color="auto" w:sz="4" w:space="0"/>
            </w:tcBorders>
            <w:vAlign w:val="center"/>
          </w:tcPr>
          <w:p w14:paraId="671CB4B7">
            <w:pPr>
              <w:spacing w:after="0" w:line="68" w:lineRule="atLeast"/>
              <w:rPr>
                <w:rFonts w:ascii="宋体" w:hAnsi="宋体" w:eastAsia="宋体" w:cs="宋体"/>
              </w:rPr>
            </w:pPr>
            <w:r>
              <w:rPr>
                <w:rFonts w:hint="eastAsia" w:ascii="宋体" w:hAnsi="宋体" w:eastAsia="宋体" w:cs="宋体"/>
              </w:rPr>
              <w:t>部门绩效自评项目占比率（3分）</w:t>
            </w:r>
          </w:p>
        </w:tc>
        <w:tc>
          <w:tcPr>
            <w:tcW w:w="6911" w:type="dxa"/>
            <w:tcBorders>
              <w:top w:val="single" w:color="000000" w:sz="4" w:space="0"/>
              <w:left w:val="single" w:color="auto" w:sz="4" w:space="0"/>
              <w:bottom w:val="single" w:color="auto" w:sz="4" w:space="0"/>
              <w:right w:val="single" w:color="auto" w:sz="4" w:space="0"/>
            </w:tcBorders>
            <w:vAlign w:val="center"/>
          </w:tcPr>
          <w:p w14:paraId="3D4C975B">
            <w:pPr>
              <w:spacing w:after="0" w:line="240" w:lineRule="exact"/>
              <w:rPr>
                <w:rFonts w:ascii="宋体" w:hAnsi="宋体" w:eastAsia="宋体" w:cs="宋体"/>
              </w:rPr>
            </w:pPr>
            <w:r>
              <w:rPr>
                <w:rFonts w:hint="eastAsia" w:ascii="宋体" w:hAnsi="宋体" w:eastAsia="宋体" w:cs="宋体"/>
              </w:rPr>
              <w:t>部门自评项目在所有项目中所占的份额，反映和评价部门对项目自评的重视程度。</w:t>
            </w:r>
          </w:p>
          <w:p w14:paraId="51F7FFDC">
            <w:pPr>
              <w:spacing w:after="0" w:line="240" w:lineRule="exact"/>
              <w:rPr>
                <w:rFonts w:ascii="宋体" w:hAnsi="宋体" w:eastAsia="宋体" w:cs="宋体"/>
              </w:rPr>
            </w:pPr>
            <w:r>
              <w:rPr>
                <w:rFonts w:hint="eastAsia" w:ascii="宋体" w:hAnsi="宋体" w:eastAsia="宋体" w:cs="宋体"/>
              </w:rPr>
              <w:t>占比率=(自评项目资金量/项目支出资金量)×100%。</w:t>
            </w:r>
          </w:p>
          <w:p w14:paraId="463969BA">
            <w:pPr>
              <w:spacing w:after="0" w:line="68" w:lineRule="atLeast"/>
              <w:rPr>
                <w:rFonts w:ascii="宋体" w:hAnsi="宋体" w:eastAsia="宋体" w:cs="宋体"/>
              </w:rPr>
            </w:pPr>
            <w:r>
              <w:rPr>
                <w:rFonts w:hint="eastAsia" w:ascii="宋体" w:hAnsi="宋体" w:eastAsia="宋体" w:cs="宋体"/>
              </w:rPr>
              <w:t>部门支出项目绩效自评范围：本年度列入本级财政预算安排的项目。</w:t>
            </w:r>
          </w:p>
        </w:tc>
        <w:tc>
          <w:tcPr>
            <w:tcW w:w="3423" w:type="dxa"/>
            <w:tcBorders>
              <w:top w:val="single" w:color="000000" w:sz="4" w:space="0"/>
              <w:left w:val="single" w:color="auto" w:sz="4" w:space="0"/>
              <w:bottom w:val="single" w:color="auto" w:sz="4" w:space="0"/>
              <w:right w:val="single" w:color="auto" w:sz="4" w:space="0"/>
            </w:tcBorders>
            <w:vAlign w:val="center"/>
          </w:tcPr>
          <w:p w14:paraId="10342990">
            <w:pPr>
              <w:spacing w:after="0" w:line="68" w:lineRule="atLeast"/>
              <w:rPr>
                <w:rFonts w:ascii="宋体" w:hAnsi="宋体" w:eastAsia="宋体" w:cs="宋体"/>
              </w:rPr>
            </w:pPr>
            <w:r>
              <w:rPr>
                <w:rFonts w:hint="eastAsia" w:ascii="宋体" w:hAnsi="宋体" w:eastAsia="宋体" w:cs="宋体"/>
              </w:rPr>
              <w:t>达到目标值得3分，未达到目标值采用完成比率法计分：得分=占比率/目标值×3，超过目标值不加分。</w:t>
            </w:r>
          </w:p>
        </w:tc>
        <w:tc>
          <w:tcPr>
            <w:tcW w:w="1090" w:type="dxa"/>
            <w:tcBorders>
              <w:top w:val="single" w:color="000000" w:sz="4" w:space="0"/>
              <w:left w:val="single" w:color="auto" w:sz="4" w:space="0"/>
              <w:bottom w:val="single" w:color="auto" w:sz="4" w:space="0"/>
              <w:right w:val="single" w:color="000000" w:sz="4" w:space="0"/>
            </w:tcBorders>
            <w:vAlign w:val="center"/>
          </w:tcPr>
          <w:p w14:paraId="4361D3C1">
            <w:pPr>
              <w:spacing w:after="0" w:line="68" w:lineRule="atLeast"/>
              <w:rPr>
                <w:rFonts w:hint="eastAsia" w:ascii="宋体" w:hAnsi="宋体" w:eastAsia="宋体" w:cs="宋体"/>
                <w:lang w:val="en-US" w:eastAsia="zh-CN"/>
              </w:rPr>
            </w:pPr>
            <w:r>
              <w:rPr>
                <w:rFonts w:hint="eastAsia" w:ascii="宋体" w:hAnsi="宋体" w:eastAsia="宋体" w:cs="宋体"/>
                <w:lang w:val="en-US" w:eastAsia="zh-CN"/>
              </w:rPr>
              <w:t>3</w:t>
            </w:r>
          </w:p>
        </w:tc>
      </w:tr>
      <w:tr w14:paraId="1300BB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638" w:hRule="atLeast"/>
          <w:jc w:val="center"/>
        </w:trPr>
        <w:tc>
          <w:tcPr>
            <w:tcW w:w="733" w:type="dxa"/>
            <w:vMerge w:val="restart"/>
            <w:tcBorders>
              <w:top w:val="single" w:color="000000" w:sz="4" w:space="0"/>
              <w:left w:val="single" w:color="000000" w:sz="4" w:space="0"/>
              <w:right w:val="single" w:color="000000" w:sz="4" w:space="0"/>
            </w:tcBorders>
            <w:vAlign w:val="center"/>
          </w:tcPr>
          <w:p w14:paraId="4AB01F19">
            <w:pPr>
              <w:spacing w:after="0" w:line="68" w:lineRule="atLeast"/>
              <w:rPr>
                <w:rFonts w:ascii="宋体" w:hAnsi="宋体" w:eastAsia="宋体" w:cs="宋体"/>
              </w:rPr>
            </w:pPr>
          </w:p>
          <w:p w14:paraId="10BCF75B">
            <w:pPr>
              <w:spacing w:after="0" w:line="68" w:lineRule="atLeast"/>
              <w:rPr>
                <w:rFonts w:ascii="宋体" w:hAnsi="宋体" w:eastAsia="宋体" w:cs="宋体"/>
              </w:rPr>
            </w:pPr>
          </w:p>
          <w:p w14:paraId="02DC84D5">
            <w:pPr>
              <w:spacing w:after="0" w:line="68" w:lineRule="atLeast"/>
              <w:rPr>
                <w:rFonts w:ascii="宋体" w:hAnsi="宋体" w:eastAsia="宋体" w:cs="宋体"/>
              </w:rPr>
            </w:pPr>
          </w:p>
          <w:p w14:paraId="30C10EC5">
            <w:pPr>
              <w:spacing w:after="0" w:line="68" w:lineRule="atLeast"/>
              <w:rPr>
                <w:rFonts w:ascii="宋体" w:hAnsi="宋体" w:eastAsia="宋体" w:cs="宋体"/>
              </w:rPr>
            </w:pPr>
          </w:p>
          <w:p w14:paraId="0E13856B">
            <w:pPr>
              <w:spacing w:after="0" w:line="68" w:lineRule="atLeast"/>
              <w:rPr>
                <w:rFonts w:ascii="宋体" w:hAnsi="宋体" w:eastAsia="宋体" w:cs="宋体"/>
              </w:rPr>
            </w:pPr>
          </w:p>
          <w:p w14:paraId="0440FD28">
            <w:pPr>
              <w:spacing w:after="0" w:line="68" w:lineRule="atLeast"/>
              <w:rPr>
                <w:rFonts w:ascii="宋体" w:hAnsi="宋体" w:eastAsia="宋体" w:cs="宋体"/>
              </w:rPr>
            </w:pPr>
          </w:p>
          <w:p w14:paraId="06C6699B">
            <w:pPr>
              <w:spacing w:after="0" w:line="68" w:lineRule="atLeast"/>
              <w:rPr>
                <w:rFonts w:ascii="宋体" w:hAnsi="宋体" w:eastAsia="宋体" w:cs="宋体"/>
              </w:rPr>
            </w:pPr>
          </w:p>
          <w:p w14:paraId="73AD3642">
            <w:pPr>
              <w:spacing w:after="0" w:line="68" w:lineRule="atLeast"/>
              <w:rPr>
                <w:rFonts w:ascii="宋体" w:hAnsi="宋体" w:eastAsia="宋体" w:cs="宋体"/>
              </w:rPr>
            </w:pPr>
            <w:r>
              <w:rPr>
                <w:rFonts w:hint="eastAsia" w:ascii="宋体" w:hAnsi="宋体" w:eastAsia="宋体" w:cs="宋体"/>
              </w:rPr>
              <w:t>效果（15）</w:t>
            </w:r>
          </w:p>
          <w:p w14:paraId="64B3A591">
            <w:pPr>
              <w:spacing w:after="0" w:line="68" w:lineRule="atLeast"/>
              <w:rPr>
                <w:rFonts w:ascii="宋体" w:hAnsi="宋体" w:eastAsia="宋体" w:cs="宋体"/>
              </w:rPr>
            </w:pPr>
          </w:p>
          <w:p w14:paraId="000C8489">
            <w:pPr>
              <w:spacing w:after="0" w:line="68" w:lineRule="atLeast"/>
              <w:rPr>
                <w:rFonts w:ascii="宋体" w:hAnsi="宋体" w:eastAsia="宋体" w:cs="宋体"/>
              </w:rPr>
            </w:pPr>
          </w:p>
          <w:p w14:paraId="4F373919">
            <w:pPr>
              <w:spacing w:after="0" w:line="68" w:lineRule="atLeast"/>
              <w:rPr>
                <w:rFonts w:ascii="宋体" w:hAnsi="宋体" w:eastAsia="宋体" w:cs="宋体"/>
              </w:rPr>
            </w:pPr>
          </w:p>
          <w:p w14:paraId="3FBA72B1">
            <w:pPr>
              <w:spacing w:after="0" w:line="68" w:lineRule="atLeast"/>
              <w:rPr>
                <w:rFonts w:ascii="宋体" w:hAnsi="宋体" w:eastAsia="宋体" w:cs="宋体"/>
              </w:rPr>
            </w:pPr>
          </w:p>
          <w:p w14:paraId="61DB0D26">
            <w:pPr>
              <w:spacing w:after="0" w:line="68" w:lineRule="atLeast"/>
              <w:rPr>
                <w:rFonts w:ascii="宋体" w:hAnsi="宋体" w:eastAsia="宋体" w:cs="宋体"/>
              </w:rPr>
            </w:pPr>
          </w:p>
          <w:p w14:paraId="61A92A39">
            <w:pPr>
              <w:spacing w:after="0" w:line="68" w:lineRule="atLeast"/>
              <w:rPr>
                <w:rFonts w:ascii="宋体" w:hAnsi="宋体" w:eastAsia="宋体" w:cs="宋体"/>
              </w:rPr>
            </w:pPr>
          </w:p>
          <w:p w14:paraId="4781E1AC">
            <w:pPr>
              <w:spacing w:after="0" w:line="68" w:lineRule="atLeast"/>
              <w:rPr>
                <w:rFonts w:ascii="宋体" w:hAnsi="宋体" w:eastAsia="宋体" w:cs="宋体"/>
              </w:rPr>
            </w:pPr>
          </w:p>
          <w:p w14:paraId="2A051633">
            <w:pPr>
              <w:spacing w:after="0" w:line="68" w:lineRule="atLeast"/>
              <w:rPr>
                <w:rFonts w:ascii="宋体" w:hAnsi="宋体" w:eastAsia="宋体" w:cs="宋体"/>
              </w:rPr>
            </w:pPr>
          </w:p>
          <w:p w14:paraId="611C3B95">
            <w:pPr>
              <w:spacing w:after="0" w:line="68" w:lineRule="atLeast"/>
              <w:rPr>
                <w:rFonts w:ascii="宋体" w:hAnsi="宋体" w:eastAsia="宋体" w:cs="宋体"/>
              </w:rPr>
            </w:pPr>
          </w:p>
          <w:p w14:paraId="0CBC147D">
            <w:pPr>
              <w:spacing w:after="0" w:line="68" w:lineRule="atLeast"/>
              <w:rPr>
                <w:rFonts w:ascii="宋体" w:hAnsi="宋体" w:eastAsia="宋体" w:cs="宋体"/>
              </w:rPr>
            </w:pPr>
          </w:p>
          <w:p w14:paraId="4D2BF5EB">
            <w:pPr>
              <w:spacing w:after="0" w:line="68" w:lineRule="atLeast"/>
              <w:rPr>
                <w:rFonts w:ascii="宋体" w:hAnsi="宋体" w:eastAsia="宋体" w:cs="宋体"/>
              </w:rPr>
            </w:pPr>
          </w:p>
          <w:p w14:paraId="784DE043">
            <w:pPr>
              <w:spacing w:after="0" w:line="68" w:lineRule="atLeast"/>
              <w:rPr>
                <w:rFonts w:ascii="宋体" w:hAnsi="宋体" w:eastAsia="宋体" w:cs="宋体"/>
              </w:rPr>
            </w:pPr>
          </w:p>
          <w:p w14:paraId="53CE0A3D">
            <w:pPr>
              <w:spacing w:after="0" w:line="68" w:lineRule="atLeast"/>
              <w:rPr>
                <w:rFonts w:ascii="宋体" w:hAnsi="宋体" w:eastAsia="宋体" w:cs="宋体"/>
              </w:rPr>
            </w:pPr>
          </w:p>
          <w:p w14:paraId="33551D90">
            <w:pPr>
              <w:spacing w:after="0" w:line="68" w:lineRule="atLeast"/>
              <w:rPr>
                <w:rFonts w:ascii="宋体" w:hAnsi="宋体" w:eastAsia="宋体" w:cs="宋体"/>
              </w:rPr>
            </w:pPr>
          </w:p>
          <w:p w14:paraId="057EE60A">
            <w:pPr>
              <w:spacing w:after="0" w:line="68" w:lineRule="atLeast"/>
              <w:rPr>
                <w:rFonts w:ascii="宋体" w:hAnsi="宋体" w:eastAsia="宋体" w:cs="宋体"/>
              </w:rPr>
            </w:pPr>
          </w:p>
          <w:p w14:paraId="2997DD2F">
            <w:pPr>
              <w:spacing w:after="0" w:line="68" w:lineRule="atLeast"/>
              <w:rPr>
                <w:rFonts w:ascii="宋体" w:hAnsi="宋体" w:eastAsia="宋体" w:cs="宋体"/>
              </w:rPr>
            </w:pPr>
          </w:p>
          <w:p w14:paraId="73E28DA6">
            <w:pPr>
              <w:spacing w:after="0" w:line="68" w:lineRule="atLeast"/>
              <w:rPr>
                <w:rFonts w:ascii="宋体" w:hAnsi="宋体" w:eastAsia="宋体" w:cs="宋体"/>
              </w:rPr>
            </w:pPr>
            <w:r>
              <w:rPr>
                <w:rFonts w:hint="eastAsia" w:ascii="宋体" w:hAnsi="宋体" w:eastAsia="宋体" w:cs="宋体"/>
              </w:rPr>
              <w:t>效果（15）</w:t>
            </w:r>
          </w:p>
          <w:p w14:paraId="38555542">
            <w:pPr>
              <w:spacing w:after="0" w:line="68" w:lineRule="atLeast"/>
              <w:rPr>
                <w:rFonts w:ascii="宋体" w:hAnsi="宋体" w:eastAsia="宋体" w:cs="宋体"/>
              </w:rPr>
            </w:pPr>
          </w:p>
        </w:tc>
        <w:tc>
          <w:tcPr>
            <w:tcW w:w="803" w:type="dxa"/>
            <w:tcBorders>
              <w:top w:val="single" w:color="auto" w:sz="4" w:space="0"/>
              <w:left w:val="single" w:color="000000" w:sz="4" w:space="0"/>
              <w:bottom w:val="single" w:color="auto" w:sz="4" w:space="0"/>
              <w:right w:val="single" w:color="000000" w:sz="4" w:space="0"/>
            </w:tcBorders>
            <w:vAlign w:val="center"/>
          </w:tcPr>
          <w:p w14:paraId="17DF365C">
            <w:pPr>
              <w:spacing w:after="0" w:line="68" w:lineRule="atLeast"/>
              <w:rPr>
                <w:rFonts w:ascii="宋体" w:hAnsi="宋体" w:eastAsia="宋体" w:cs="宋体"/>
              </w:rPr>
            </w:pPr>
            <w:r>
              <w:rPr>
                <w:rFonts w:hint="eastAsia" w:ascii="宋体" w:hAnsi="宋体" w:eastAsia="宋体" w:cs="宋体"/>
              </w:rPr>
              <w:t>监督发现问题</w:t>
            </w:r>
          </w:p>
          <w:p w14:paraId="3DAC764F">
            <w:pPr>
              <w:spacing w:after="0" w:line="68" w:lineRule="atLeast"/>
              <w:rPr>
                <w:rFonts w:ascii="宋体" w:hAnsi="宋体" w:eastAsia="宋体" w:cs="宋体"/>
              </w:rPr>
            </w:pPr>
            <w:r>
              <w:rPr>
                <w:rFonts w:hint="eastAsia" w:ascii="宋体" w:hAnsi="宋体" w:eastAsia="宋体" w:cs="宋体"/>
              </w:rPr>
              <w:t>（2分）</w:t>
            </w:r>
          </w:p>
        </w:tc>
        <w:tc>
          <w:tcPr>
            <w:tcW w:w="1182" w:type="dxa"/>
            <w:tcBorders>
              <w:top w:val="single" w:color="000000" w:sz="4" w:space="0"/>
              <w:left w:val="single" w:color="000000" w:sz="4" w:space="0"/>
              <w:bottom w:val="single" w:color="000000" w:sz="4" w:space="0"/>
              <w:right w:val="single" w:color="auto" w:sz="4" w:space="0"/>
            </w:tcBorders>
            <w:vAlign w:val="center"/>
          </w:tcPr>
          <w:p w14:paraId="3761A4B4">
            <w:pPr>
              <w:spacing w:after="0" w:line="68" w:lineRule="atLeast"/>
              <w:rPr>
                <w:rFonts w:ascii="宋体" w:hAnsi="宋体" w:eastAsia="宋体" w:cs="宋体"/>
              </w:rPr>
            </w:pPr>
            <w:r>
              <w:rPr>
                <w:rFonts w:hint="eastAsia" w:ascii="宋体" w:hAnsi="宋体" w:eastAsia="宋体" w:cs="宋体"/>
              </w:rPr>
              <w:t>违规率（2分）</w:t>
            </w:r>
          </w:p>
        </w:tc>
        <w:tc>
          <w:tcPr>
            <w:tcW w:w="6911" w:type="dxa"/>
            <w:tcBorders>
              <w:top w:val="single" w:color="000000" w:sz="4" w:space="0"/>
              <w:left w:val="single" w:color="auto" w:sz="4" w:space="0"/>
              <w:bottom w:val="single" w:color="000000" w:sz="4" w:space="0"/>
              <w:right w:val="single" w:color="auto" w:sz="4" w:space="0"/>
            </w:tcBorders>
            <w:vAlign w:val="center"/>
          </w:tcPr>
          <w:p w14:paraId="16D9D4C0">
            <w:pPr>
              <w:spacing w:after="0" w:line="68" w:lineRule="atLeast"/>
              <w:rPr>
                <w:rFonts w:ascii="宋体" w:hAnsi="宋体" w:eastAsia="宋体" w:cs="宋体"/>
              </w:rPr>
            </w:pPr>
            <w:r>
              <w:rPr>
                <w:rFonts w:hint="eastAsia" w:ascii="宋体" w:hAnsi="宋体" w:eastAsia="宋体" w:cs="宋体"/>
              </w:rPr>
              <w:t>部门存在违规问题的资金数量占部门预算支出资金总额的比重，用以反映和考核部门预算资金管理使用的合法、合规情况。</w:t>
            </w:r>
          </w:p>
          <w:p w14:paraId="2F09A959">
            <w:pPr>
              <w:spacing w:after="0" w:line="68" w:lineRule="atLeast"/>
              <w:rPr>
                <w:rFonts w:ascii="宋体" w:hAnsi="宋体" w:eastAsia="宋体" w:cs="宋体"/>
              </w:rPr>
            </w:pPr>
            <w:r>
              <w:rPr>
                <w:rFonts w:hint="eastAsia" w:ascii="宋体" w:hAnsi="宋体" w:eastAsia="宋体" w:cs="宋体"/>
              </w:rPr>
              <w:t>违规率=存在违规问题的资金额/部门预算支出资金总额×100%</w:t>
            </w:r>
          </w:p>
        </w:tc>
        <w:tc>
          <w:tcPr>
            <w:tcW w:w="3423" w:type="dxa"/>
            <w:tcBorders>
              <w:top w:val="single" w:color="000000" w:sz="4" w:space="0"/>
              <w:left w:val="single" w:color="auto" w:sz="4" w:space="0"/>
              <w:bottom w:val="single" w:color="000000" w:sz="4" w:space="0"/>
              <w:right w:val="single" w:color="auto" w:sz="4" w:space="0"/>
            </w:tcBorders>
            <w:vAlign w:val="center"/>
          </w:tcPr>
          <w:p w14:paraId="57AF0E43">
            <w:pPr>
              <w:spacing w:after="0" w:line="240" w:lineRule="exact"/>
              <w:rPr>
                <w:rFonts w:ascii="宋体" w:hAnsi="宋体" w:eastAsia="宋体" w:cs="宋体"/>
              </w:rPr>
            </w:pPr>
            <w:r>
              <w:rPr>
                <w:rFonts w:hint="eastAsia" w:ascii="宋体" w:hAnsi="宋体" w:eastAsia="宋体" w:cs="宋体"/>
              </w:rPr>
              <w:t>目标值0，达到目标值得2分，未达到目标值的每增加0.1个百分点扣0.1分</w:t>
            </w:r>
          </w:p>
        </w:tc>
        <w:tc>
          <w:tcPr>
            <w:tcW w:w="1090" w:type="dxa"/>
            <w:tcBorders>
              <w:top w:val="single" w:color="000000" w:sz="4" w:space="0"/>
              <w:left w:val="single" w:color="auto" w:sz="4" w:space="0"/>
              <w:bottom w:val="single" w:color="000000" w:sz="4" w:space="0"/>
              <w:right w:val="single" w:color="000000" w:sz="4" w:space="0"/>
            </w:tcBorders>
            <w:vAlign w:val="center"/>
          </w:tcPr>
          <w:p w14:paraId="4545CAA0">
            <w:pPr>
              <w:spacing w:after="0" w:line="68" w:lineRule="atLeast"/>
              <w:rPr>
                <w:rFonts w:hint="eastAsia" w:ascii="宋体" w:hAnsi="宋体" w:eastAsia="宋体" w:cs="宋体"/>
                <w:lang w:val="en-US" w:eastAsia="zh-CN"/>
              </w:rPr>
            </w:pPr>
            <w:r>
              <w:rPr>
                <w:rFonts w:hint="eastAsia" w:ascii="宋体" w:hAnsi="宋体" w:eastAsia="宋体" w:cs="宋体"/>
              </w:rPr>
              <w:t> </w:t>
            </w:r>
            <w:r>
              <w:rPr>
                <w:rFonts w:hint="eastAsia" w:ascii="宋体" w:hAnsi="宋体" w:eastAsia="宋体" w:cs="宋体"/>
                <w:lang w:val="en-US" w:eastAsia="zh-CN"/>
              </w:rPr>
              <w:t>2</w:t>
            </w:r>
          </w:p>
        </w:tc>
      </w:tr>
      <w:tr w14:paraId="567E8A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15" w:hRule="atLeast"/>
          <w:jc w:val="center"/>
        </w:trPr>
        <w:tc>
          <w:tcPr>
            <w:tcW w:w="733" w:type="dxa"/>
            <w:vMerge w:val="continue"/>
            <w:tcBorders>
              <w:left w:val="single" w:color="000000" w:sz="4" w:space="0"/>
              <w:right w:val="single" w:color="000000" w:sz="4" w:space="0"/>
            </w:tcBorders>
            <w:vAlign w:val="center"/>
          </w:tcPr>
          <w:p w14:paraId="53DBC869">
            <w:pPr>
              <w:spacing w:after="0" w:line="68" w:lineRule="atLeast"/>
              <w:rPr>
                <w:rFonts w:ascii="宋体" w:hAnsi="宋体" w:eastAsia="宋体" w:cs="宋体"/>
              </w:rPr>
            </w:pPr>
          </w:p>
        </w:tc>
        <w:tc>
          <w:tcPr>
            <w:tcW w:w="803" w:type="dxa"/>
            <w:tcBorders>
              <w:top w:val="single" w:color="auto" w:sz="4" w:space="0"/>
              <w:left w:val="single" w:color="000000" w:sz="4" w:space="0"/>
              <w:bottom w:val="single" w:color="auto" w:sz="4" w:space="0"/>
              <w:right w:val="single" w:color="000000" w:sz="4" w:space="0"/>
            </w:tcBorders>
            <w:vAlign w:val="center"/>
          </w:tcPr>
          <w:p w14:paraId="2EB07608">
            <w:pPr>
              <w:spacing w:after="0" w:line="68" w:lineRule="atLeast"/>
              <w:rPr>
                <w:rFonts w:ascii="宋体" w:hAnsi="宋体" w:eastAsia="宋体" w:cs="宋体"/>
              </w:rPr>
            </w:pPr>
            <w:r>
              <w:rPr>
                <w:rFonts w:hint="eastAsia" w:ascii="宋体" w:hAnsi="宋体" w:eastAsia="宋体" w:cs="宋体"/>
              </w:rPr>
              <w:t>工作成效（5）</w:t>
            </w:r>
          </w:p>
        </w:tc>
        <w:tc>
          <w:tcPr>
            <w:tcW w:w="1182" w:type="dxa"/>
            <w:tcBorders>
              <w:top w:val="single" w:color="000000" w:sz="4" w:space="0"/>
              <w:left w:val="single" w:color="000000" w:sz="4" w:space="0"/>
              <w:bottom w:val="single" w:color="000000" w:sz="4" w:space="0"/>
              <w:right w:val="single" w:color="auto" w:sz="4" w:space="0"/>
            </w:tcBorders>
            <w:vAlign w:val="center"/>
          </w:tcPr>
          <w:p w14:paraId="6A02CB61">
            <w:pPr>
              <w:spacing w:after="0" w:line="68" w:lineRule="atLeast"/>
              <w:rPr>
                <w:rFonts w:ascii="宋体" w:hAnsi="宋体" w:eastAsia="宋体" w:cs="宋体"/>
              </w:rPr>
            </w:pPr>
            <w:r>
              <w:rPr>
                <w:rFonts w:hint="eastAsia" w:ascii="宋体" w:hAnsi="宋体" w:eastAsia="宋体" w:cs="宋体"/>
                <w:bCs/>
                <w:color w:val="000000"/>
              </w:rPr>
              <w:t>部门预算绩效管理考核评价</w:t>
            </w:r>
            <w:r>
              <w:rPr>
                <w:rFonts w:hint="eastAsia" w:ascii="宋体" w:hAnsi="宋体" w:eastAsia="宋体" w:cs="宋体"/>
                <w:bCs/>
              </w:rPr>
              <w:t>（5）</w:t>
            </w:r>
          </w:p>
        </w:tc>
        <w:tc>
          <w:tcPr>
            <w:tcW w:w="6911" w:type="dxa"/>
            <w:tcBorders>
              <w:top w:val="single" w:color="000000" w:sz="4" w:space="0"/>
              <w:left w:val="single" w:color="auto" w:sz="4" w:space="0"/>
              <w:bottom w:val="single" w:color="000000" w:sz="4" w:space="0"/>
              <w:right w:val="single" w:color="auto" w:sz="4" w:space="0"/>
            </w:tcBorders>
            <w:vAlign w:val="center"/>
          </w:tcPr>
          <w:p w14:paraId="2E088EEA">
            <w:pPr>
              <w:spacing w:after="0" w:line="240" w:lineRule="exact"/>
              <w:rPr>
                <w:rFonts w:ascii="宋体" w:hAnsi="宋体" w:eastAsia="宋体" w:cs="宋体"/>
              </w:rPr>
            </w:pPr>
            <w:r>
              <w:rPr>
                <w:rFonts w:hint="eastAsia" w:ascii="宋体" w:hAnsi="宋体" w:eastAsia="宋体" w:cs="宋体"/>
                <w:color w:val="000000"/>
              </w:rPr>
              <w:t>财政部门对部门开展预算绩效管理工作的评价结果，用以反映部门对预算绩效管理工作的重视程度和取得的成效。</w:t>
            </w:r>
          </w:p>
          <w:p w14:paraId="12383F22">
            <w:pPr>
              <w:spacing w:after="0" w:line="240" w:lineRule="exact"/>
              <w:rPr>
                <w:rFonts w:ascii="宋体" w:hAnsi="宋体" w:eastAsia="宋体" w:cs="宋体"/>
              </w:rPr>
            </w:pPr>
            <w:r>
              <w:rPr>
                <w:rFonts w:hint="eastAsia" w:ascii="宋体" w:hAnsi="宋体" w:eastAsia="宋体" w:cs="宋体"/>
                <w:color w:val="000000"/>
              </w:rPr>
              <w:t>1.财政部门对部门绩效管理工作开展情况进行核查评价，包括绩效目标管理、绩效执行监控、绩效自评和评价结果应用等情况，按百分制。</w:t>
            </w:r>
          </w:p>
          <w:p w14:paraId="6B003B98">
            <w:pPr>
              <w:spacing w:after="0" w:line="68" w:lineRule="atLeast"/>
              <w:rPr>
                <w:rFonts w:ascii="宋体" w:hAnsi="宋体" w:eastAsia="宋体" w:cs="宋体"/>
              </w:rPr>
            </w:pPr>
            <w:r>
              <w:rPr>
                <w:rFonts w:hint="eastAsia" w:ascii="宋体" w:hAnsi="宋体" w:eastAsia="宋体" w:cs="宋体"/>
                <w:color w:val="000000"/>
              </w:rPr>
              <w:t>2.以部门为单位进行综合计算，得出各部门绩效管理工作评价结果。</w:t>
            </w:r>
          </w:p>
        </w:tc>
        <w:tc>
          <w:tcPr>
            <w:tcW w:w="3423" w:type="dxa"/>
            <w:tcBorders>
              <w:top w:val="single" w:color="000000" w:sz="4" w:space="0"/>
              <w:left w:val="single" w:color="auto" w:sz="4" w:space="0"/>
              <w:bottom w:val="single" w:color="000000" w:sz="4" w:space="0"/>
              <w:right w:val="single" w:color="auto" w:sz="4" w:space="0"/>
            </w:tcBorders>
            <w:vAlign w:val="center"/>
          </w:tcPr>
          <w:p w14:paraId="4628964F">
            <w:pPr>
              <w:spacing w:after="0" w:line="240" w:lineRule="exact"/>
              <w:rPr>
                <w:rFonts w:ascii="宋体" w:hAnsi="宋体" w:eastAsia="宋体" w:cs="宋体"/>
              </w:rPr>
            </w:pPr>
            <w:r>
              <w:rPr>
                <w:rFonts w:hint="eastAsia" w:ascii="宋体" w:hAnsi="宋体" w:eastAsia="宋体" w:cs="宋体"/>
                <w:color w:val="000000"/>
              </w:rPr>
              <w:t>综合得分=（部门绩效管理工作评价结果/100）*5分</w:t>
            </w:r>
          </w:p>
          <w:p w14:paraId="120D1303">
            <w:pPr>
              <w:spacing w:after="0" w:line="68" w:lineRule="atLeast"/>
              <w:rPr>
                <w:rFonts w:ascii="宋体" w:hAnsi="宋体" w:eastAsia="宋体" w:cs="宋体"/>
              </w:rPr>
            </w:pPr>
            <w:r>
              <w:rPr>
                <w:rFonts w:hint="eastAsia" w:ascii="宋体" w:hAnsi="宋体" w:eastAsia="宋体" w:cs="宋体"/>
              </w:rPr>
              <w:t> </w:t>
            </w:r>
          </w:p>
        </w:tc>
        <w:tc>
          <w:tcPr>
            <w:tcW w:w="1090" w:type="dxa"/>
            <w:tcBorders>
              <w:top w:val="single" w:color="000000" w:sz="4" w:space="0"/>
              <w:left w:val="single" w:color="auto" w:sz="4" w:space="0"/>
              <w:bottom w:val="single" w:color="000000" w:sz="4" w:space="0"/>
              <w:right w:val="single" w:color="000000" w:sz="4" w:space="0"/>
            </w:tcBorders>
            <w:vAlign w:val="center"/>
          </w:tcPr>
          <w:p w14:paraId="30FBD3A5">
            <w:pPr>
              <w:spacing w:after="0" w:line="68" w:lineRule="atLeast"/>
              <w:rPr>
                <w:rFonts w:hint="eastAsia" w:ascii="宋体" w:hAnsi="宋体" w:eastAsia="宋体" w:cs="宋体"/>
                <w:lang w:val="en-US" w:eastAsia="zh-CN"/>
              </w:rPr>
            </w:pPr>
            <w:r>
              <w:rPr>
                <w:rFonts w:hint="eastAsia" w:ascii="宋体" w:hAnsi="宋体" w:eastAsia="宋体" w:cs="宋体"/>
                <w:lang w:val="en-US" w:eastAsia="zh-CN"/>
              </w:rPr>
              <w:t>5</w:t>
            </w:r>
          </w:p>
        </w:tc>
      </w:tr>
      <w:tr w14:paraId="54DAE5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67" w:hRule="atLeast"/>
          <w:jc w:val="center"/>
        </w:trPr>
        <w:tc>
          <w:tcPr>
            <w:tcW w:w="733" w:type="dxa"/>
            <w:vMerge w:val="continue"/>
            <w:tcBorders>
              <w:left w:val="single" w:color="000000" w:sz="4" w:space="0"/>
              <w:right w:val="single" w:color="000000" w:sz="4" w:space="0"/>
            </w:tcBorders>
            <w:vAlign w:val="center"/>
          </w:tcPr>
          <w:p w14:paraId="3C86C057">
            <w:pPr>
              <w:spacing w:after="0"/>
              <w:rPr>
                <w:rFonts w:ascii="宋体" w:hAnsi="宋体" w:eastAsia="宋体" w:cs="宋体"/>
              </w:rPr>
            </w:pPr>
          </w:p>
        </w:tc>
        <w:tc>
          <w:tcPr>
            <w:tcW w:w="803" w:type="dxa"/>
            <w:tcBorders>
              <w:top w:val="single" w:color="auto" w:sz="4" w:space="0"/>
              <w:left w:val="single" w:color="000000" w:sz="4" w:space="0"/>
              <w:bottom w:val="single" w:color="auto" w:sz="4" w:space="0"/>
              <w:right w:val="single" w:color="000000" w:sz="4" w:space="0"/>
            </w:tcBorders>
            <w:vAlign w:val="center"/>
          </w:tcPr>
          <w:p w14:paraId="072878BE">
            <w:pPr>
              <w:spacing w:after="0" w:line="68" w:lineRule="atLeast"/>
              <w:rPr>
                <w:rFonts w:ascii="宋体" w:hAnsi="宋体" w:eastAsia="宋体" w:cs="宋体"/>
              </w:rPr>
            </w:pPr>
            <w:r>
              <w:rPr>
                <w:rFonts w:hint="eastAsia" w:ascii="宋体" w:hAnsi="宋体" w:eastAsia="宋体" w:cs="宋体"/>
              </w:rPr>
              <w:t>评价结果应用</w:t>
            </w:r>
          </w:p>
          <w:p w14:paraId="0718ECFD">
            <w:pPr>
              <w:spacing w:after="0" w:line="68" w:lineRule="atLeast"/>
              <w:rPr>
                <w:rFonts w:ascii="宋体" w:hAnsi="宋体" w:eastAsia="宋体" w:cs="宋体"/>
              </w:rPr>
            </w:pPr>
            <w:r>
              <w:rPr>
                <w:rFonts w:hint="eastAsia" w:ascii="宋体" w:hAnsi="宋体" w:eastAsia="宋体" w:cs="宋体"/>
              </w:rPr>
              <w:t>（2分）</w:t>
            </w:r>
          </w:p>
        </w:tc>
        <w:tc>
          <w:tcPr>
            <w:tcW w:w="1182" w:type="dxa"/>
            <w:tcBorders>
              <w:top w:val="single" w:color="000000" w:sz="4" w:space="0"/>
              <w:left w:val="single" w:color="000000" w:sz="4" w:space="0"/>
              <w:bottom w:val="single" w:color="000000" w:sz="4" w:space="0"/>
              <w:right w:val="single" w:color="auto" w:sz="4" w:space="0"/>
            </w:tcBorders>
            <w:vAlign w:val="center"/>
          </w:tcPr>
          <w:p w14:paraId="68069249">
            <w:pPr>
              <w:spacing w:after="0" w:line="68" w:lineRule="atLeast"/>
              <w:rPr>
                <w:rFonts w:ascii="宋体" w:hAnsi="宋体" w:eastAsia="宋体" w:cs="宋体"/>
              </w:rPr>
            </w:pPr>
            <w:r>
              <w:rPr>
                <w:rFonts w:hint="eastAsia" w:ascii="宋体" w:hAnsi="宋体" w:eastAsia="宋体" w:cs="宋体"/>
              </w:rPr>
              <w:t>应用率（2分）</w:t>
            </w:r>
          </w:p>
        </w:tc>
        <w:tc>
          <w:tcPr>
            <w:tcW w:w="6911" w:type="dxa"/>
            <w:tcBorders>
              <w:top w:val="single" w:color="000000" w:sz="4" w:space="0"/>
              <w:left w:val="single" w:color="auto" w:sz="4" w:space="0"/>
              <w:bottom w:val="single" w:color="000000" w:sz="4" w:space="0"/>
              <w:right w:val="single" w:color="auto" w:sz="4" w:space="0"/>
            </w:tcBorders>
            <w:vAlign w:val="center"/>
          </w:tcPr>
          <w:p w14:paraId="650BAFF4">
            <w:pPr>
              <w:spacing w:after="0" w:line="68" w:lineRule="atLeast"/>
              <w:rPr>
                <w:rFonts w:ascii="宋体" w:hAnsi="宋体" w:eastAsia="宋体" w:cs="宋体"/>
              </w:rPr>
            </w:pPr>
            <w:r>
              <w:rPr>
                <w:rFonts w:hint="eastAsia" w:ascii="宋体" w:hAnsi="宋体" w:eastAsia="宋体" w:cs="宋体"/>
              </w:rPr>
              <w:t>部门应用绩效评价结果的项目数占绩效评价项目数的比重，用以反映和考核部门绩效评价结果的利用水平和程度。</w:t>
            </w:r>
          </w:p>
          <w:p w14:paraId="22D86372">
            <w:pPr>
              <w:spacing w:after="0" w:line="68" w:lineRule="atLeast"/>
              <w:rPr>
                <w:rFonts w:ascii="宋体" w:hAnsi="宋体" w:eastAsia="宋体" w:cs="宋体"/>
              </w:rPr>
            </w:pPr>
            <w:r>
              <w:rPr>
                <w:rFonts w:hint="eastAsia" w:ascii="宋体" w:hAnsi="宋体" w:eastAsia="宋体" w:cs="宋体"/>
              </w:rPr>
              <w:t>应用率=应用绩效评价结果的项目数量/部门实施绩效评价项目数量×100%。</w:t>
            </w:r>
          </w:p>
          <w:p w14:paraId="37B3E5FB">
            <w:pPr>
              <w:spacing w:after="0" w:line="68" w:lineRule="atLeast"/>
              <w:rPr>
                <w:rFonts w:ascii="宋体" w:hAnsi="宋体" w:eastAsia="宋体" w:cs="宋体"/>
              </w:rPr>
            </w:pPr>
            <w:r>
              <w:rPr>
                <w:rFonts w:hint="eastAsia" w:ascii="宋体" w:hAnsi="宋体" w:eastAsia="宋体" w:cs="宋体"/>
              </w:rPr>
              <w:t>应用绩效评价结果包括向财政部门报告绩效评价结果、向被评价单位反馈绩效评价结果、内部公开绩效评价结果和落实整改措施等方面，其中，落实整改措施包括调整预算结构、改革预算管理、整改发现问题、健全制度措施和实施绩效问责。</w:t>
            </w:r>
          </w:p>
        </w:tc>
        <w:tc>
          <w:tcPr>
            <w:tcW w:w="3423" w:type="dxa"/>
            <w:tcBorders>
              <w:top w:val="single" w:color="000000" w:sz="4" w:space="0"/>
              <w:left w:val="single" w:color="auto" w:sz="4" w:space="0"/>
              <w:bottom w:val="single" w:color="000000" w:sz="4" w:space="0"/>
              <w:right w:val="single" w:color="auto" w:sz="4" w:space="0"/>
            </w:tcBorders>
            <w:vAlign w:val="center"/>
          </w:tcPr>
          <w:p w14:paraId="40E0E023">
            <w:pPr>
              <w:spacing w:after="0" w:line="240" w:lineRule="exact"/>
              <w:rPr>
                <w:rFonts w:ascii="宋体" w:hAnsi="宋体" w:eastAsia="宋体" w:cs="宋体"/>
              </w:rPr>
            </w:pPr>
            <w:r>
              <w:rPr>
                <w:rFonts w:hint="eastAsia" w:ascii="宋体" w:hAnsi="宋体" w:eastAsia="宋体" w:cs="宋体"/>
              </w:rPr>
              <w:t>目标值为100%；以2分为上限，采用完成比率法计分：得分=应用率×2，超出目标值不加分。</w:t>
            </w:r>
          </w:p>
        </w:tc>
        <w:tc>
          <w:tcPr>
            <w:tcW w:w="1090" w:type="dxa"/>
            <w:tcBorders>
              <w:top w:val="single" w:color="000000" w:sz="4" w:space="0"/>
              <w:left w:val="single" w:color="auto" w:sz="4" w:space="0"/>
              <w:bottom w:val="single" w:color="000000" w:sz="4" w:space="0"/>
              <w:right w:val="single" w:color="000000" w:sz="4" w:space="0"/>
            </w:tcBorders>
            <w:vAlign w:val="center"/>
          </w:tcPr>
          <w:p w14:paraId="2FE5E1FE">
            <w:pPr>
              <w:spacing w:after="0" w:line="68" w:lineRule="atLeast"/>
              <w:rPr>
                <w:rFonts w:hint="eastAsia" w:ascii="宋体" w:hAnsi="宋体" w:eastAsia="宋体" w:cs="宋体"/>
                <w:lang w:val="en-US" w:eastAsia="zh-CN"/>
              </w:rPr>
            </w:pPr>
            <w:r>
              <w:rPr>
                <w:rFonts w:hint="eastAsia" w:ascii="宋体" w:hAnsi="宋体" w:eastAsia="宋体" w:cs="宋体"/>
                <w:lang w:val="en-US" w:eastAsia="zh-CN"/>
              </w:rPr>
              <w:t>2</w:t>
            </w:r>
          </w:p>
        </w:tc>
      </w:tr>
      <w:tr w14:paraId="57DEF7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79" w:hRule="atLeast"/>
          <w:jc w:val="center"/>
        </w:trPr>
        <w:tc>
          <w:tcPr>
            <w:tcW w:w="733" w:type="dxa"/>
            <w:vMerge w:val="continue"/>
            <w:tcBorders>
              <w:left w:val="single" w:color="000000" w:sz="4" w:space="0"/>
              <w:right w:val="single" w:color="000000" w:sz="4" w:space="0"/>
            </w:tcBorders>
            <w:vAlign w:val="center"/>
          </w:tcPr>
          <w:p w14:paraId="31CCD127">
            <w:pPr>
              <w:spacing w:after="0"/>
              <w:rPr>
                <w:rFonts w:ascii="宋体" w:hAnsi="宋体" w:eastAsia="宋体" w:cs="宋体"/>
              </w:rPr>
            </w:pPr>
          </w:p>
        </w:tc>
        <w:tc>
          <w:tcPr>
            <w:tcW w:w="803" w:type="dxa"/>
            <w:tcBorders>
              <w:top w:val="single" w:color="auto" w:sz="4" w:space="0"/>
              <w:left w:val="single" w:color="000000" w:sz="4" w:space="0"/>
              <w:bottom w:val="single" w:color="auto" w:sz="4" w:space="0"/>
              <w:right w:val="single" w:color="000000" w:sz="4" w:space="0"/>
            </w:tcBorders>
            <w:vAlign w:val="center"/>
          </w:tcPr>
          <w:p w14:paraId="0358F423">
            <w:pPr>
              <w:spacing w:after="0" w:line="68" w:lineRule="atLeast"/>
              <w:rPr>
                <w:rFonts w:ascii="宋体" w:hAnsi="宋体" w:eastAsia="宋体" w:cs="宋体"/>
              </w:rPr>
            </w:pPr>
            <w:r>
              <w:rPr>
                <w:rFonts w:hint="eastAsia" w:ascii="宋体" w:hAnsi="宋体" w:eastAsia="宋体" w:cs="宋体"/>
              </w:rPr>
              <w:t>结果应用创新（1分）</w:t>
            </w:r>
          </w:p>
        </w:tc>
        <w:tc>
          <w:tcPr>
            <w:tcW w:w="1182" w:type="dxa"/>
            <w:tcBorders>
              <w:top w:val="single" w:color="000000" w:sz="4" w:space="0"/>
              <w:left w:val="single" w:color="000000" w:sz="4" w:space="0"/>
              <w:bottom w:val="single" w:color="000000" w:sz="4" w:space="0"/>
              <w:right w:val="single" w:color="auto" w:sz="4" w:space="0"/>
            </w:tcBorders>
            <w:vAlign w:val="center"/>
          </w:tcPr>
          <w:p w14:paraId="4EE64243">
            <w:pPr>
              <w:spacing w:after="0" w:line="68" w:lineRule="atLeast"/>
              <w:rPr>
                <w:rFonts w:ascii="宋体" w:hAnsi="宋体" w:eastAsia="宋体" w:cs="宋体"/>
              </w:rPr>
            </w:pPr>
            <w:r>
              <w:rPr>
                <w:rFonts w:hint="eastAsia" w:ascii="宋体" w:hAnsi="宋体" w:eastAsia="宋体" w:cs="宋体"/>
              </w:rPr>
              <w:t>结果应用创新（1分）</w:t>
            </w:r>
          </w:p>
        </w:tc>
        <w:tc>
          <w:tcPr>
            <w:tcW w:w="6911" w:type="dxa"/>
            <w:tcBorders>
              <w:top w:val="single" w:color="000000" w:sz="4" w:space="0"/>
              <w:left w:val="single" w:color="auto" w:sz="4" w:space="0"/>
              <w:bottom w:val="single" w:color="000000" w:sz="4" w:space="0"/>
              <w:right w:val="single" w:color="auto" w:sz="4" w:space="0"/>
            </w:tcBorders>
            <w:vAlign w:val="center"/>
          </w:tcPr>
          <w:p w14:paraId="42271311">
            <w:pPr>
              <w:spacing w:after="0" w:line="68" w:lineRule="atLeast"/>
              <w:rPr>
                <w:rFonts w:ascii="宋体" w:hAnsi="宋体" w:eastAsia="宋体" w:cs="宋体"/>
              </w:rPr>
            </w:pPr>
            <w:r>
              <w:rPr>
                <w:rFonts w:hint="eastAsia" w:ascii="宋体" w:hAnsi="宋体" w:eastAsia="宋体" w:cs="宋体"/>
              </w:rPr>
              <w:t>部门将绩效结果主动对外公开、预算绩效管理工作开展情况向同级政府、人大等部门报告，用以反映和考核部门在结果应用方面的创新情况。</w:t>
            </w:r>
          </w:p>
          <w:p w14:paraId="6751E5F8">
            <w:pPr>
              <w:spacing w:after="0" w:line="68" w:lineRule="atLeast"/>
              <w:rPr>
                <w:rFonts w:ascii="宋体" w:hAnsi="宋体" w:eastAsia="宋体" w:cs="宋体"/>
              </w:rPr>
            </w:pPr>
            <w:r>
              <w:rPr>
                <w:rFonts w:hint="eastAsia" w:ascii="宋体" w:hAnsi="宋体" w:eastAsia="宋体" w:cs="宋体"/>
              </w:rPr>
              <w:t>评价要点：</w:t>
            </w:r>
          </w:p>
          <w:p w14:paraId="72EFA535">
            <w:pPr>
              <w:spacing w:after="0" w:line="68" w:lineRule="atLeast"/>
              <w:rPr>
                <w:rFonts w:ascii="宋体" w:hAnsi="宋体" w:eastAsia="宋体" w:cs="宋体"/>
              </w:rPr>
            </w:pPr>
            <w:r>
              <w:rPr>
                <w:rFonts w:hint="eastAsia" w:ascii="宋体" w:hAnsi="宋体" w:eastAsia="宋体" w:cs="宋体"/>
              </w:rPr>
              <w:t>1.部门是否按要求对社会公开绩效评价结果。</w:t>
            </w:r>
          </w:p>
          <w:p w14:paraId="4B9E2797">
            <w:pPr>
              <w:spacing w:after="0" w:line="68" w:lineRule="atLeast"/>
              <w:rPr>
                <w:rFonts w:ascii="宋体" w:hAnsi="宋体" w:eastAsia="宋体" w:cs="宋体"/>
              </w:rPr>
            </w:pPr>
            <w:r>
              <w:rPr>
                <w:rFonts w:hint="eastAsia" w:ascii="宋体" w:hAnsi="宋体" w:eastAsia="宋体" w:cs="宋体"/>
              </w:rPr>
              <w:t>2.部门是否将预算绩效管理工作开展情况向同级政府、人大等部门报告。</w:t>
            </w:r>
          </w:p>
        </w:tc>
        <w:tc>
          <w:tcPr>
            <w:tcW w:w="3423" w:type="dxa"/>
            <w:tcBorders>
              <w:top w:val="single" w:color="000000" w:sz="4" w:space="0"/>
              <w:left w:val="single" w:color="auto" w:sz="4" w:space="0"/>
              <w:bottom w:val="single" w:color="000000" w:sz="4" w:space="0"/>
              <w:right w:val="single" w:color="auto" w:sz="4" w:space="0"/>
            </w:tcBorders>
            <w:vAlign w:val="center"/>
          </w:tcPr>
          <w:p w14:paraId="22CFDAEB">
            <w:pPr>
              <w:spacing w:after="0" w:line="240" w:lineRule="exact"/>
              <w:rPr>
                <w:rFonts w:ascii="宋体" w:hAnsi="宋体" w:eastAsia="宋体" w:cs="宋体"/>
              </w:rPr>
            </w:pPr>
            <w:r>
              <w:rPr>
                <w:rFonts w:hint="eastAsia" w:ascii="宋体" w:hAnsi="宋体" w:eastAsia="宋体" w:cs="宋体"/>
              </w:rPr>
              <w:t>全部符合（1分）；</w:t>
            </w:r>
          </w:p>
          <w:p w14:paraId="029569F0">
            <w:pPr>
              <w:spacing w:after="0" w:line="240" w:lineRule="exact"/>
              <w:rPr>
                <w:rFonts w:ascii="宋体" w:hAnsi="宋体" w:eastAsia="宋体" w:cs="宋体"/>
              </w:rPr>
            </w:pPr>
            <w:r>
              <w:rPr>
                <w:rFonts w:hint="eastAsia" w:ascii="宋体" w:hAnsi="宋体" w:eastAsia="宋体" w:cs="宋体"/>
              </w:rPr>
              <w:t>符合其中两项（0.5分）</w:t>
            </w:r>
          </w:p>
          <w:p w14:paraId="728109F0">
            <w:pPr>
              <w:spacing w:after="0" w:line="240" w:lineRule="exact"/>
              <w:rPr>
                <w:rFonts w:ascii="宋体" w:hAnsi="宋体" w:eastAsia="宋体" w:cs="宋体"/>
              </w:rPr>
            </w:pPr>
            <w:r>
              <w:rPr>
                <w:rFonts w:hint="eastAsia" w:ascii="宋体" w:hAnsi="宋体" w:eastAsia="宋体" w:cs="宋体"/>
              </w:rPr>
              <w:t>符合其中一项及以下（0分）。</w:t>
            </w:r>
          </w:p>
        </w:tc>
        <w:tc>
          <w:tcPr>
            <w:tcW w:w="1090" w:type="dxa"/>
            <w:tcBorders>
              <w:top w:val="single" w:color="000000" w:sz="4" w:space="0"/>
              <w:left w:val="single" w:color="auto" w:sz="4" w:space="0"/>
              <w:bottom w:val="single" w:color="000000" w:sz="4" w:space="0"/>
              <w:right w:val="single" w:color="000000" w:sz="4" w:space="0"/>
            </w:tcBorders>
            <w:vAlign w:val="center"/>
          </w:tcPr>
          <w:p w14:paraId="644561C3">
            <w:pPr>
              <w:spacing w:after="0" w:line="68" w:lineRule="atLeast"/>
              <w:rPr>
                <w:rFonts w:hint="eastAsia" w:ascii="宋体" w:hAnsi="宋体" w:eastAsia="宋体" w:cs="宋体"/>
                <w:lang w:val="en-US" w:eastAsia="zh-CN"/>
              </w:rPr>
            </w:pPr>
            <w:r>
              <w:rPr>
                <w:rFonts w:hint="eastAsia" w:ascii="宋体" w:hAnsi="宋体" w:eastAsia="宋体" w:cs="宋体"/>
                <w:lang w:val="en-US" w:eastAsia="zh-CN"/>
              </w:rPr>
              <w:t>1</w:t>
            </w:r>
          </w:p>
        </w:tc>
      </w:tr>
      <w:tr w14:paraId="382B89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78" w:hRule="atLeast"/>
          <w:jc w:val="center"/>
        </w:trPr>
        <w:tc>
          <w:tcPr>
            <w:tcW w:w="733" w:type="dxa"/>
            <w:vMerge w:val="continue"/>
            <w:tcBorders>
              <w:left w:val="single" w:color="000000" w:sz="4" w:space="0"/>
              <w:right w:val="single" w:color="000000" w:sz="4" w:space="0"/>
            </w:tcBorders>
            <w:vAlign w:val="center"/>
          </w:tcPr>
          <w:p w14:paraId="7C8F33BF">
            <w:pPr>
              <w:spacing w:after="0"/>
              <w:rPr>
                <w:rFonts w:ascii="宋体" w:hAnsi="宋体" w:eastAsia="宋体" w:cs="宋体"/>
              </w:rPr>
            </w:pPr>
          </w:p>
        </w:tc>
        <w:tc>
          <w:tcPr>
            <w:tcW w:w="803" w:type="dxa"/>
            <w:tcBorders>
              <w:top w:val="single" w:color="auto" w:sz="4" w:space="0"/>
              <w:left w:val="single" w:color="000000" w:sz="4" w:space="0"/>
              <w:bottom w:val="single" w:color="auto" w:sz="4" w:space="0"/>
              <w:right w:val="single" w:color="000000" w:sz="4" w:space="0"/>
            </w:tcBorders>
            <w:vAlign w:val="center"/>
          </w:tcPr>
          <w:p w14:paraId="3843849A">
            <w:pPr>
              <w:spacing w:after="0" w:line="68" w:lineRule="atLeast"/>
              <w:rPr>
                <w:rFonts w:ascii="宋体" w:hAnsi="宋体" w:eastAsia="宋体" w:cs="宋体"/>
              </w:rPr>
            </w:pPr>
            <w:r>
              <w:rPr>
                <w:rFonts w:hint="eastAsia" w:ascii="宋体" w:hAnsi="宋体" w:eastAsia="宋体" w:cs="宋体"/>
              </w:rPr>
              <w:t>社会效益（5分）</w:t>
            </w:r>
          </w:p>
        </w:tc>
        <w:tc>
          <w:tcPr>
            <w:tcW w:w="1182" w:type="dxa"/>
            <w:tcBorders>
              <w:top w:val="single" w:color="000000" w:sz="4" w:space="0"/>
              <w:left w:val="single" w:color="000000" w:sz="4" w:space="0"/>
              <w:bottom w:val="single" w:color="000000" w:sz="4" w:space="0"/>
              <w:right w:val="single" w:color="auto" w:sz="4" w:space="0"/>
            </w:tcBorders>
            <w:vAlign w:val="center"/>
          </w:tcPr>
          <w:p w14:paraId="723CFC9E">
            <w:pPr>
              <w:spacing w:after="0" w:line="68" w:lineRule="atLeast"/>
              <w:rPr>
                <w:rFonts w:ascii="宋体" w:hAnsi="宋体" w:eastAsia="宋体" w:cs="宋体"/>
              </w:rPr>
            </w:pPr>
            <w:r>
              <w:rPr>
                <w:rFonts w:hint="eastAsia" w:ascii="宋体" w:hAnsi="宋体" w:eastAsia="宋体" w:cs="宋体"/>
              </w:rPr>
              <w:t>社会公众满意度（5分）</w:t>
            </w:r>
          </w:p>
        </w:tc>
        <w:tc>
          <w:tcPr>
            <w:tcW w:w="6911" w:type="dxa"/>
            <w:tcBorders>
              <w:top w:val="single" w:color="000000" w:sz="4" w:space="0"/>
              <w:left w:val="single" w:color="auto" w:sz="4" w:space="0"/>
              <w:bottom w:val="single" w:color="000000" w:sz="4" w:space="0"/>
              <w:right w:val="single" w:color="auto" w:sz="4" w:space="0"/>
            </w:tcBorders>
            <w:vAlign w:val="center"/>
          </w:tcPr>
          <w:p w14:paraId="04B201D4">
            <w:pPr>
              <w:spacing w:after="0" w:line="68" w:lineRule="atLeast"/>
              <w:rPr>
                <w:rFonts w:ascii="宋体" w:hAnsi="宋体" w:eastAsia="宋体" w:cs="宋体"/>
              </w:rPr>
            </w:pPr>
            <w:r>
              <w:rPr>
                <w:rFonts w:hint="eastAsia" w:ascii="宋体" w:hAnsi="宋体" w:eastAsia="宋体" w:cs="宋体"/>
              </w:rPr>
              <w:t>通过问卷调查了解社会公众对部门履职效果、解决民众关心的热点问题、厉行节约等方面的满意程度，反映和评价部门支出所带来的社会效益。</w:t>
            </w:r>
          </w:p>
        </w:tc>
        <w:tc>
          <w:tcPr>
            <w:tcW w:w="3423" w:type="dxa"/>
            <w:tcBorders>
              <w:top w:val="single" w:color="000000" w:sz="4" w:space="0"/>
              <w:left w:val="single" w:color="auto" w:sz="4" w:space="0"/>
              <w:bottom w:val="single" w:color="000000" w:sz="4" w:space="0"/>
              <w:right w:val="single" w:color="auto" w:sz="4" w:space="0"/>
            </w:tcBorders>
            <w:vAlign w:val="center"/>
          </w:tcPr>
          <w:p w14:paraId="579059F0">
            <w:pPr>
              <w:spacing w:after="0" w:line="240" w:lineRule="exact"/>
              <w:rPr>
                <w:rFonts w:ascii="宋体" w:hAnsi="宋体" w:eastAsia="宋体" w:cs="宋体"/>
              </w:rPr>
            </w:pPr>
            <w:r>
              <w:rPr>
                <w:rFonts w:hint="eastAsia" w:ascii="宋体" w:hAnsi="宋体" w:eastAsia="宋体" w:cs="宋体"/>
              </w:rPr>
              <w:t>按照满意度调查的优秀、良好、合格、不合格给予该项指标打分：</w:t>
            </w:r>
          </w:p>
          <w:p w14:paraId="0CFAB30B">
            <w:pPr>
              <w:spacing w:after="0" w:line="68" w:lineRule="atLeast"/>
              <w:rPr>
                <w:rFonts w:ascii="宋体" w:hAnsi="宋体" w:eastAsia="宋体" w:cs="宋体"/>
              </w:rPr>
            </w:pPr>
            <w:r>
              <w:rPr>
                <w:rFonts w:hint="eastAsia" w:ascii="宋体" w:hAnsi="宋体" w:eastAsia="宋体" w:cs="宋体"/>
              </w:rPr>
              <w:t>优秀（5分）；良好（3分）；合格（1分）；不合格（0分）。</w:t>
            </w:r>
          </w:p>
        </w:tc>
        <w:tc>
          <w:tcPr>
            <w:tcW w:w="1090" w:type="dxa"/>
            <w:tcBorders>
              <w:top w:val="single" w:color="000000" w:sz="4" w:space="0"/>
              <w:left w:val="single" w:color="auto" w:sz="4" w:space="0"/>
              <w:bottom w:val="single" w:color="000000" w:sz="4" w:space="0"/>
              <w:right w:val="single" w:color="000000" w:sz="4" w:space="0"/>
            </w:tcBorders>
            <w:vAlign w:val="center"/>
          </w:tcPr>
          <w:p w14:paraId="5CC3E844">
            <w:pPr>
              <w:spacing w:after="0" w:line="68" w:lineRule="atLeast"/>
              <w:rPr>
                <w:rFonts w:hint="eastAsia" w:ascii="宋体" w:hAnsi="宋体" w:eastAsia="宋体" w:cs="宋体"/>
                <w:lang w:val="en-US" w:eastAsia="zh-CN"/>
              </w:rPr>
            </w:pPr>
            <w:r>
              <w:rPr>
                <w:rFonts w:hint="eastAsia" w:ascii="宋体" w:hAnsi="宋体" w:eastAsia="宋体" w:cs="宋体"/>
                <w:lang w:val="en-US" w:eastAsia="zh-CN"/>
              </w:rPr>
              <w:t>5</w:t>
            </w:r>
          </w:p>
        </w:tc>
      </w:tr>
      <w:tr w14:paraId="1EAE7C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0" w:hRule="atLeast"/>
          <w:jc w:val="center"/>
        </w:trPr>
        <w:tc>
          <w:tcPr>
            <w:tcW w:w="733" w:type="dxa"/>
            <w:tcBorders>
              <w:left w:val="single" w:color="000000" w:sz="4" w:space="0"/>
              <w:right w:val="single" w:color="000000" w:sz="4" w:space="0"/>
            </w:tcBorders>
            <w:vAlign w:val="center"/>
          </w:tcPr>
          <w:p w14:paraId="6F2CC37D">
            <w:pPr>
              <w:spacing w:after="0"/>
              <w:rPr>
                <w:rFonts w:ascii="宋体" w:hAnsi="宋体" w:eastAsia="宋体" w:cs="宋体"/>
              </w:rPr>
            </w:pPr>
            <w:r>
              <w:rPr>
                <w:rFonts w:hint="eastAsia" w:ascii="宋体" w:hAnsi="宋体" w:eastAsia="宋体" w:cs="宋体"/>
              </w:rPr>
              <w:t>小计</w:t>
            </w:r>
          </w:p>
        </w:tc>
        <w:tc>
          <w:tcPr>
            <w:tcW w:w="803" w:type="dxa"/>
            <w:tcBorders>
              <w:top w:val="single" w:color="auto" w:sz="4" w:space="0"/>
              <w:left w:val="single" w:color="000000" w:sz="4" w:space="0"/>
              <w:bottom w:val="single" w:color="auto" w:sz="4" w:space="0"/>
              <w:right w:val="single" w:color="000000" w:sz="4" w:space="0"/>
            </w:tcBorders>
            <w:vAlign w:val="center"/>
          </w:tcPr>
          <w:p w14:paraId="0DE6648E">
            <w:pPr>
              <w:spacing w:after="0" w:line="68" w:lineRule="atLeast"/>
              <w:rPr>
                <w:rFonts w:ascii="宋体" w:hAnsi="宋体" w:eastAsia="宋体" w:cs="宋体"/>
              </w:rPr>
            </w:pPr>
            <w:r>
              <w:rPr>
                <w:rFonts w:hint="eastAsia" w:ascii="宋体" w:hAnsi="宋体" w:eastAsia="宋体" w:cs="宋体"/>
              </w:rPr>
              <w:t>100</w:t>
            </w:r>
          </w:p>
        </w:tc>
        <w:tc>
          <w:tcPr>
            <w:tcW w:w="1182" w:type="dxa"/>
            <w:tcBorders>
              <w:top w:val="single" w:color="000000" w:sz="4" w:space="0"/>
              <w:left w:val="single" w:color="000000" w:sz="4" w:space="0"/>
              <w:bottom w:val="single" w:color="000000" w:sz="4" w:space="0"/>
              <w:right w:val="single" w:color="auto" w:sz="4" w:space="0"/>
            </w:tcBorders>
            <w:vAlign w:val="center"/>
          </w:tcPr>
          <w:p w14:paraId="3E945A89">
            <w:pPr>
              <w:spacing w:after="0" w:line="68" w:lineRule="atLeast"/>
              <w:rPr>
                <w:rFonts w:ascii="宋体" w:hAnsi="宋体" w:eastAsia="宋体" w:cs="宋体"/>
              </w:rPr>
            </w:pPr>
          </w:p>
        </w:tc>
        <w:tc>
          <w:tcPr>
            <w:tcW w:w="6911" w:type="dxa"/>
            <w:tcBorders>
              <w:top w:val="single" w:color="000000" w:sz="4" w:space="0"/>
              <w:left w:val="single" w:color="auto" w:sz="4" w:space="0"/>
              <w:bottom w:val="single" w:color="000000" w:sz="4" w:space="0"/>
              <w:right w:val="single" w:color="auto" w:sz="4" w:space="0"/>
            </w:tcBorders>
            <w:vAlign w:val="center"/>
          </w:tcPr>
          <w:p w14:paraId="79633579">
            <w:pPr>
              <w:spacing w:after="0" w:line="68" w:lineRule="atLeast"/>
              <w:rPr>
                <w:rFonts w:ascii="宋体" w:hAnsi="宋体" w:eastAsia="宋体" w:cs="宋体"/>
              </w:rPr>
            </w:pPr>
          </w:p>
        </w:tc>
        <w:tc>
          <w:tcPr>
            <w:tcW w:w="3423" w:type="dxa"/>
            <w:tcBorders>
              <w:top w:val="single" w:color="000000" w:sz="4" w:space="0"/>
              <w:left w:val="single" w:color="auto" w:sz="4" w:space="0"/>
              <w:bottom w:val="single" w:color="000000" w:sz="4" w:space="0"/>
              <w:right w:val="single" w:color="auto" w:sz="4" w:space="0"/>
            </w:tcBorders>
            <w:vAlign w:val="center"/>
          </w:tcPr>
          <w:p w14:paraId="4D8F452E">
            <w:pPr>
              <w:spacing w:after="0" w:line="68" w:lineRule="atLeast"/>
              <w:rPr>
                <w:rFonts w:ascii="宋体" w:hAnsi="宋体" w:eastAsia="宋体" w:cs="宋体"/>
              </w:rPr>
            </w:pPr>
          </w:p>
        </w:tc>
        <w:tc>
          <w:tcPr>
            <w:tcW w:w="1090" w:type="dxa"/>
            <w:tcBorders>
              <w:top w:val="single" w:color="000000" w:sz="4" w:space="0"/>
              <w:left w:val="single" w:color="auto" w:sz="4" w:space="0"/>
              <w:bottom w:val="single" w:color="000000" w:sz="4" w:space="0"/>
              <w:right w:val="single" w:color="000000" w:sz="4" w:space="0"/>
            </w:tcBorders>
            <w:vAlign w:val="center"/>
          </w:tcPr>
          <w:p w14:paraId="582AB979">
            <w:pPr>
              <w:spacing w:after="0" w:line="68" w:lineRule="atLeast"/>
              <w:rPr>
                <w:rFonts w:hint="default" w:ascii="宋体" w:hAnsi="宋体" w:eastAsia="宋体" w:cs="宋体"/>
                <w:lang w:val="en-US" w:eastAsia="zh-CN"/>
              </w:rPr>
            </w:pPr>
            <w:r>
              <w:rPr>
                <w:rFonts w:hint="eastAsia" w:ascii="宋体" w:hAnsi="宋体" w:eastAsia="宋体" w:cs="宋体"/>
                <w:lang w:val="en-US" w:eastAsia="zh-CN"/>
              </w:rPr>
              <w:t>94</w:t>
            </w:r>
          </w:p>
        </w:tc>
      </w:tr>
      <w:tr w14:paraId="0CBC69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28" w:hRule="atLeast"/>
          <w:jc w:val="center"/>
        </w:trPr>
        <w:tc>
          <w:tcPr>
            <w:tcW w:w="733" w:type="dxa"/>
            <w:tcBorders>
              <w:left w:val="single" w:color="000000" w:sz="4" w:space="0"/>
              <w:bottom w:val="single" w:color="000000" w:sz="4" w:space="0"/>
              <w:right w:val="single" w:color="000000" w:sz="4" w:space="0"/>
            </w:tcBorders>
            <w:vAlign w:val="center"/>
          </w:tcPr>
          <w:p w14:paraId="059B3457">
            <w:pPr>
              <w:spacing w:after="0"/>
              <w:rPr>
                <w:rFonts w:ascii="宋体" w:hAnsi="宋体" w:eastAsia="宋体" w:cs="宋体"/>
              </w:rPr>
            </w:pPr>
            <w:r>
              <w:rPr>
                <w:rFonts w:hint="eastAsia" w:ascii="宋体" w:hAnsi="宋体" w:eastAsia="宋体" w:cs="宋体"/>
              </w:rPr>
              <w:t>评价结果</w:t>
            </w:r>
          </w:p>
        </w:tc>
        <w:tc>
          <w:tcPr>
            <w:tcW w:w="803" w:type="dxa"/>
            <w:tcBorders>
              <w:top w:val="single" w:color="auto" w:sz="4" w:space="0"/>
              <w:left w:val="single" w:color="000000" w:sz="4" w:space="0"/>
              <w:bottom w:val="single" w:color="auto" w:sz="4" w:space="0"/>
              <w:right w:val="single" w:color="000000" w:sz="4" w:space="0"/>
            </w:tcBorders>
            <w:vAlign w:val="center"/>
          </w:tcPr>
          <w:p w14:paraId="3A28FB71">
            <w:pPr>
              <w:spacing w:after="0" w:line="68" w:lineRule="atLeast"/>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4FFA65B3">
            <w:pPr>
              <w:spacing w:after="0" w:line="68" w:lineRule="atLeast"/>
              <w:rPr>
                <w:rFonts w:ascii="宋体" w:hAnsi="宋体" w:eastAsia="宋体" w:cs="宋体"/>
              </w:rPr>
            </w:pPr>
          </w:p>
        </w:tc>
        <w:tc>
          <w:tcPr>
            <w:tcW w:w="10334" w:type="dxa"/>
            <w:gridSpan w:val="2"/>
            <w:tcBorders>
              <w:top w:val="single" w:color="000000" w:sz="4" w:space="0"/>
              <w:left w:val="single" w:color="auto" w:sz="4" w:space="0"/>
              <w:bottom w:val="single" w:color="000000" w:sz="4" w:space="0"/>
              <w:right w:val="single" w:color="auto" w:sz="4" w:space="0"/>
            </w:tcBorders>
            <w:vAlign w:val="center"/>
          </w:tcPr>
          <w:p w14:paraId="212B135B">
            <w:pPr>
              <w:spacing w:after="0" w:line="68" w:lineRule="atLeast"/>
              <w:rPr>
                <w:rFonts w:ascii="宋体" w:hAnsi="宋体" w:eastAsia="宋体" w:cs="宋体"/>
              </w:rPr>
            </w:pPr>
            <w:r>
              <w:rPr>
                <w:rFonts w:hint="eastAsia" w:ascii="宋体" w:hAnsi="宋体" w:eastAsia="宋体" w:cs="宋体"/>
                <w:lang w:eastAsia="zh-CN"/>
              </w:rPr>
              <w:t>☑</w:t>
            </w:r>
            <w:r>
              <w:rPr>
                <w:rFonts w:hint="eastAsia" w:ascii="宋体" w:hAnsi="宋体" w:eastAsia="宋体" w:cs="宋体"/>
              </w:rPr>
              <w:t xml:space="preserve">优秀  90分≤得分≤100分； </w:t>
            </w:r>
            <w:r>
              <w:rPr>
                <w:rFonts w:hint="eastAsia" w:ascii="宋体" w:hAnsi="宋体" w:eastAsia="宋体" w:cs="宋体"/>
              </w:rPr>
              <w:sym w:font="Wingdings 2" w:char="00A3"/>
            </w:r>
            <w:r>
              <w:rPr>
                <w:rFonts w:hint="eastAsia" w:ascii="宋体" w:hAnsi="宋体" w:eastAsia="宋体" w:cs="宋体"/>
              </w:rPr>
              <w:t>良好  80分≤得分≤89分；</w:t>
            </w:r>
          </w:p>
          <w:p w14:paraId="5DCF5CD7">
            <w:pPr>
              <w:spacing w:after="0" w:line="68" w:lineRule="atLeast"/>
              <w:rPr>
                <w:rFonts w:ascii="宋体" w:hAnsi="宋体" w:eastAsia="宋体" w:cs="宋体"/>
              </w:rPr>
            </w:pPr>
            <w:r>
              <w:rPr>
                <w:rFonts w:hint="eastAsia" w:ascii="宋体" w:hAnsi="宋体" w:eastAsia="宋体" w:cs="宋体"/>
              </w:rPr>
              <w:t xml:space="preserve">  □中  60分≤得分≤79分；  □较差  0≤得分≤59分</w:t>
            </w:r>
          </w:p>
        </w:tc>
        <w:tc>
          <w:tcPr>
            <w:tcW w:w="1090" w:type="dxa"/>
            <w:tcBorders>
              <w:top w:val="single" w:color="000000" w:sz="4" w:space="0"/>
              <w:left w:val="single" w:color="auto" w:sz="4" w:space="0"/>
              <w:bottom w:val="single" w:color="000000" w:sz="4" w:space="0"/>
              <w:right w:val="single" w:color="000000" w:sz="4" w:space="0"/>
            </w:tcBorders>
            <w:vAlign w:val="center"/>
          </w:tcPr>
          <w:p w14:paraId="74652F69">
            <w:pPr>
              <w:spacing w:after="0" w:line="68" w:lineRule="atLeast"/>
              <w:rPr>
                <w:rFonts w:ascii="宋体" w:hAnsi="宋体" w:eastAsia="宋体" w:cs="宋体"/>
              </w:rPr>
            </w:pPr>
          </w:p>
        </w:tc>
      </w:tr>
    </w:tbl>
    <w:p w14:paraId="2AAB1228">
      <w:pPr>
        <w:spacing w:line="432" w:lineRule="auto"/>
      </w:pPr>
    </w:p>
    <w:p w14:paraId="06FBE103">
      <w:pPr>
        <w:rPr>
          <w:rFonts w:ascii="黑体" w:hAnsi="黑体" w:eastAsia="黑体"/>
          <w:sz w:val="32"/>
          <w:szCs w:val="32"/>
        </w:rPr>
      </w:pPr>
      <w:r>
        <w:rPr>
          <w:rFonts w:hint="eastAsia" w:ascii="黑体" w:hAnsi="黑体" w:eastAsia="黑体"/>
          <w:sz w:val="32"/>
          <w:szCs w:val="32"/>
        </w:rPr>
        <w:br w:type="page"/>
      </w:r>
      <w:r>
        <w:rPr>
          <w:rFonts w:hint="eastAsia" w:ascii="黑体" w:hAnsi="黑体" w:eastAsia="黑体"/>
          <w:sz w:val="28"/>
          <w:szCs w:val="28"/>
        </w:rPr>
        <w:t>附件3</w:t>
      </w:r>
    </w:p>
    <w:p w14:paraId="0E6AD7D6">
      <w:pPr>
        <w:spacing w:after="0" w:line="700" w:lineRule="exact"/>
        <w:jc w:val="center"/>
        <w:rPr>
          <w:rFonts w:ascii="方正小标宋简体" w:hAnsi="Times New Roman" w:eastAsia="方正小标宋简体"/>
          <w:sz w:val="44"/>
          <w:szCs w:val="44"/>
        </w:rPr>
      </w:pPr>
      <w:r>
        <w:rPr>
          <w:rFonts w:hint="eastAsia" w:ascii="方正小标宋简体" w:hAnsi="Times New Roman" w:eastAsia="方正小标宋简体"/>
          <w:sz w:val="44"/>
          <w:szCs w:val="44"/>
        </w:rPr>
        <w:t>中方县政府网站及政务新媒体信息发布审查表</w:t>
      </w:r>
    </w:p>
    <w:p w14:paraId="6FB0A5F2">
      <w:pPr>
        <w:spacing w:after="0" w:line="400" w:lineRule="exact"/>
        <w:jc w:val="center"/>
        <w:rPr>
          <w:rFonts w:ascii="方正小标宋简体" w:hAnsi="Times New Roman" w:eastAsia="方正小标宋简体"/>
          <w:sz w:val="44"/>
          <w:szCs w:val="44"/>
        </w:rPr>
      </w:pPr>
    </w:p>
    <w:p w14:paraId="1E73CF3D">
      <w:pPr>
        <w:jc w:val="left"/>
        <w:rPr>
          <w:rFonts w:ascii="宋体" w:hAnsi="宋体" w:eastAsia="宋体" w:cs="宋体"/>
          <w:sz w:val="24"/>
          <w:szCs w:val="24"/>
        </w:rPr>
      </w:pPr>
      <w:r>
        <w:rPr>
          <w:rFonts w:hint="eastAsia" w:ascii="宋体" w:hAnsi="宋体" w:eastAsia="宋体" w:cs="宋体"/>
          <w:sz w:val="24"/>
          <w:szCs w:val="24"/>
        </w:rPr>
        <w:t xml:space="preserve">单位：  </w:t>
      </w:r>
      <w:r>
        <w:rPr>
          <w:rFonts w:hint="eastAsia" w:ascii="宋体" w:hAnsi="宋体" w:eastAsia="宋体" w:cs="宋体"/>
          <w:sz w:val="24"/>
          <w:szCs w:val="24"/>
          <w:lang w:eastAsia="zh-CN"/>
        </w:rPr>
        <w:t>中方县工伤保险服务中心</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2024</w:t>
      </w:r>
      <w:r>
        <w:rPr>
          <w:rFonts w:hint="eastAsia" w:ascii="宋体" w:hAnsi="宋体" w:eastAsia="宋体" w:cs="宋体"/>
          <w:sz w:val="24"/>
          <w:szCs w:val="24"/>
        </w:rPr>
        <w:t xml:space="preserve">年 </w:t>
      </w:r>
      <w:r>
        <w:rPr>
          <w:rFonts w:hint="eastAsia" w:ascii="宋体" w:hAnsi="宋体" w:eastAsia="宋体" w:cs="宋体"/>
          <w:sz w:val="24"/>
          <w:szCs w:val="24"/>
          <w:lang w:val="en-US" w:eastAsia="zh-CN"/>
        </w:rPr>
        <w:t>8</w:t>
      </w:r>
      <w:r>
        <w:rPr>
          <w:rFonts w:hint="eastAsia" w:ascii="宋体" w:hAnsi="宋体" w:eastAsia="宋体" w:cs="宋体"/>
          <w:sz w:val="24"/>
          <w:szCs w:val="24"/>
        </w:rPr>
        <w:t xml:space="preserve">月 </w:t>
      </w:r>
      <w:r>
        <w:rPr>
          <w:rFonts w:hint="eastAsia" w:ascii="宋体" w:hAnsi="宋体" w:eastAsia="宋体" w:cs="宋体"/>
          <w:sz w:val="24"/>
          <w:szCs w:val="24"/>
          <w:lang w:val="en-US" w:eastAsia="zh-CN"/>
        </w:rPr>
        <w:t>12</w:t>
      </w:r>
      <w:r>
        <w:rPr>
          <w:rFonts w:hint="eastAsia" w:ascii="宋体" w:hAnsi="宋体" w:eastAsia="宋体" w:cs="宋体"/>
          <w:sz w:val="24"/>
          <w:szCs w:val="24"/>
        </w:rPr>
        <w:t xml:space="preserve"> 日</w:t>
      </w:r>
    </w:p>
    <w:tbl>
      <w:tblPr>
        <w:tblStyle w:val="7"/>
        <w:tblW w:w="4998"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666"/>
        <w:gridCol w:w="2243"/>
        <w:gridCol w:w="3301"/>
        <w:gridCol w:w="2623"/>
        <w:gridCol w:w="3084"/>
        <w:gridCol w:w="1957"/>
      </w:tblGrid>
      <w:tr w14:paraId="2E4005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2" w:hRule="atLeast"/>
          <w:jc w:val="center"/>
        </w:trPr>
        <w:tc>
          <w:tcPr>
            <w:tcW w:w="240" w:type="pct"/>
            <w:vAlign w:val="bottom"/>
          </w:tcPr>
          <w:p w14:paraId="6FE552B3">
            <w:pPr>
              <w:spacing w:after="0"/>
              <w:jc w:val="center"/>
              <w:rPr>
                <w:rFonts w:ascii="宋体" w:hAnsi="宋体" w:eastAsia="宋体" w:cs="宋体"/>
                <w:b/>
                <w:bCs/>
                <w:sz w:val="24"/>
                <w:szCs w:val="24"/>
              </w:rPr>
            </w:pPr>
            <w:r>
              <w:rPr>
                <w:rFonts w:hint="eastAsia" w:ascii="宋体" w:hAnsi="宋体" w:eastAsia="宋体" w:cs="宋体"/>
                <w:b/>
                <w:bCs/>
                <w:sz w:val="24"/>
                <w:szCs w:val="24"/>
              </w:rPr>
              <w:t>序号</w:t>
            </w:r>
          </w:p>
        </w:tc>
        <w:tc>
          <w:tcPr>
            <w:tcW w:w="808" w:type="pct"/>
            <w:vAlign w:val="bottom"/>
          </w:tcPr>
          <w:p w14:paraId="18265951">
            <w:pPr>
              <w:spacing w:after="0"/>
              <w:jc w:val="center"/>
              <w:rPr>
                <w:rFonts w:ascii="宋体" w:hAnsi="宋体" w:eastAsia="宋体" w:cs="宋体"/>
                <w:b/>
                <w:bCs/>
                <w:sz w:val="24"/>
                <w:szCs w:val="24"/>
              </w:rPr>
            </w:pPr>
            <w:r>
              <w:rPr>
                <w:rFonts w:hint="eastAsia" w:ascii="宋体" w:hAnsi="宋体" w:eastAsia="宋体" w:cs="宋体"/>
                <w:b/>
                <w:bCs/>
                <w:sz w:val="24"/>
                <w:szCs w:val="24"/>
              </w:rPr>
              <w:t>信息名称</w:t>
            </w:r>
          </w:p>
        </w:tc>
        <w:tc>
          <w:tcPr>
            <w:tcW w:w="1189" w:type="pct"/>
            <w:vAlign w:val="bottom"/>
          </w:tcPr>
          <w:p w14:paraId="16FCAD40">
            <w:pPr>
              <w:spacing w:after="0"/>
              <w:jc w:val="center"/>
              <w:rPr>
                <w:rFonts w:ascii="宋体" w:hAnsi="宋体" w:eastAsia="宋体" w:cs="宋体"/>
                <w:b/>
                <w:bCs/>
                <w:sz w:val="24"/>
                <w:szCs w:val="24"/>
              </w:rPr>
            </w:pPr>
            <w:r>
              <w:rPr>
                <w:rFonts w:hint="eastAsia" w:ascii="宋体" w:hAnsi="宋体" w:eastAsia="宋体" w:cs="宋体"/>
                <w:b/>
                <w:bCs/>
                <w:sz w:val="24"/>
                <w:szCs w:val="24"/>
              </w:rPr>
              <w:t>信息来源</w:t>
            </w:r>
          </w:p>
        </w:tc>
        <w:tc>
          <w:tcPr>
            <w:tcW w:w="943" w:type="pct"/>
            <w:vAlign w:val="bottom"/>
          </w:tcPr>
          <w:p w14:paraId="0429C89E">
            <w:pPr>
              <w:spacing w:after="0"/>
              <w:jc w:val="center"/>
              <w:rPr>
                <w:rFonts w:ascii="宋体" w:hAnsi="宋体" w:eastAsia="宋体" w:cs="宋体"/>
                <w:b/>
                <w:bCs/>
                <w:sz w:val="24"/>
                <w:szCs w:val="24"/>
              </w:rPr>
            </w:pPr>
            <w:r>
              <w:rPr>
                <w:rFonts w:hint="eastAsia" w:ascii="宋体" w:hAnsi="宋体" w:eastAsia="宋体" w:cs="宋体"/>
                <w:b/>
                <w:bCs/>
                <w:sz w:val="24"/>
                <w:szCs w:val="24"/>
              </w:rPr>
              <w:t>发布形式</w:t>
            </w:r>
          </w:p>
        </w:tc>
        <w:tc>
          <w:tcPr>
            <w:tcW w:w="1111" w:type="pct"/>
            <w:vAlign w:val="bottom"/>
          </w:tcPr>
          <w:p w14:paraId="12D208C8">
            <w:pPr>
              <w:spacing w:after="0"/>
              <w:jc w:val="center"/>
              <w:rPr>
                <w:rFonts w:ascii="宋体" w:hAnsi="宋体" w:eastAsia="宋体" w:cs="宋体"/>
                <w:b/>
                <w:bCs/>
                <w:sz w:val="24"/>
                <w:szCs w:val="24"/>
              </w:rPr>
            </w:pPr>
            <w:r>
              <w:rPr>
                <w:rFonts w:hint="eastAsia" w:ascii="宋体" w:hAnsi="宋体" w:eastAsia="宋体" w:cs="宋体"/>
                <w:b/>
                <w:bCs/>
                <w:sz w:val="24"/>
                <w:szCs w:val="24"/>
              </w:rPr>
              <w:t>保密机构或保密员</w:t>
            </w:r>
            <w:r>
              <w:rPr>
                <w:rFonts w:hint="eastAsia" w:ascii="宋体" w:hAnsi="宋体" w:eastAsia="宋体" w:cs="宋体"/>
                <w:b/>
                <w:bCs/>
                <w:sz w:val="24"/>
                <w:szCs w:val="24"/>
                <w:u w:val="single"/>
              </w:rPr>
              <w:t>复审</w:t>
            </w:r>
          </w:p>
        </w:tc>
        <w:tc>
          <w:tcPr>
            <w:tcW w:w="705" w:type="pct"/>
            <w:vAlign w:val="bottom"/>
          </w:tcPr>
          <w:p w14:paraId="461828C2">
            <w:pPr>
              <w:spacing w:after="0"/>
              <w:jc w:val="center"/>
              <w:rPr>
                <w:rFonts w:ascii="宋体" w:hAnsi="宋体" w:eastAsia="宋体" w:cs="宋体"/>
                <w:b/>
                <w:bCs/>
                <w:sz w:val="24"/>
                <w:szCs w:val="24"/>
              </w:rPr>
            </w:pPr>
            <w:r>
              <w:rPr>
                <w:rFonts w:hint="eastAsia" w:ascii="宋体" w:hAnsi="宋体" w:eastAsia="宋体" w:cs="宋体"/>
                <w:b/>
                <w:bCs/>
                <w:sz w:val="24"/>
                <w:szCs w:val="24"/>
              </w:rPr>
              <w:t>主管领导</w:t>
            </w:r>
            <w:r>
              <w:rPr>
                <w:rFonts w:hint="eastAsia" w:ascii="宋体" w:hAnsi="宋体" w:eastAsia="宋体" w:cs="宋体"/>
                <w:b/>
                <w:bCs/>
                <w:sz w:val="24"/>
                <w:szCs w:val="24"/>
                <w:u w:val="single"/>
              </w:rPr>
              <w:t>终审</w:t>
            </w:r>
          </w:p>
        </w:tc>
      </w:tr>
      <w:tr w14:paraId="477924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40" w:type="pct"/>
            <w:vAlign w:val="center"/>
          </w:tcPr>
          <w:p w14:paraId="0CE3F095">
            <w:pPr>
              <w:spacing w:after="0" w:line="240" w:lineRule="auto"/>
              <w:jc w:val="center"/>
              <w:rPr>
                <w:rFonts w:ascii="宋体" w:hAnsi="宋体" w:eastAsia="宋体" w:cs="宋体"/>
              </w:rPr>
            </w:pPr>
          </w:p>
        </w:tc>
        <w:tc>
          <w:tcPr>
            <w:tcW w:w="808" w:type="pct"/>
            <w:vAlign w:val="top"/>
          </w:tcPr>
          <w:p w14:paraId="444E97C6">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heme="majorEastAsia" w:hAnsiTheme="majorEastAsia" w:eastAsiaTheme="majorEastAsia" w:cstheme="majorEastAsia"/>
                <w:b w:val="0"/>
                <w:bCs/>
                <w:sz w:val="21"/>
                <w:szCs w:val="21"/>
                <w:lang w:val="en-US" w:eastAsia="zh-CN"/>
              </w:rPr>
            </w:pPr>
            <w:r>
              <w:rPr>
                <w:rFonts w:hint="eastAsia" w:asciiTheme="majorEastAsia" w:hAnsiTheme="majorEastAsia" w:eastAsiaTheme="majorEastAsia" w:cstheme="majorEastAsia"/>
                <w:b w:val="0"/>
                <w:bCs/>
                <w:sz w:val="21"/>
                <w:szCs w:val="21"/>
                <w:lang w:val="en-US" w:eastAsia="zh-CN"/>
              </w:rPr>
              <w:t xml:space="preserve"> </w:t>
            </w:r>
          </w:p>
          <w:p w14:paraId="60FCD73E">
            <w:pPr>
              <w:keepNext w:val="0"/>
              <w:keepLines w:val="0"/>
              <w:pageBreakBefore w:val="0"/>
              <w:widowControl/>
              <w:kinsoku/>
              <w:wordWrap/>
              <w:overflowPunct/>
              <w:topLinePunct w:val="0"/>
              <w:autoSpaceDE/>
              <w:autoSpaceDN/>
              <w:bidi w:val="0"/>
              <w:adjustRightInd w:val="0"/>
              <w:snapToGrid w:val="0"/>
              <w:spacing w:after="0" w:line="240" w:lineRule="auto"/>
              <w:jc w:val="both"/>
              <w:textAlignment w:val="auto"/>
              <w:rPr>
                <w:rFonts w:hint="eastAsia" w:asciiTheme="majorEastAsia" w:hAnsiTheme="majorEastAsia" w:eastAsiaTheme="majorEastAsia" w:cstheme="majorEastAsia"/>
                <w:b w:val="0"/>
                <w:bCs/>
                <w:sz w:val="44"/>
                <w:szCs w:val="44"/>
              </w:rPr>
            </w:pPr>
            <w:r>
              <w:rPr>
                <w:rFonts w:hint="eastAsia" w:asciiTheme="majorEastAsia" w:hAnsiTheme="majorEastAsia" w:eastAsiaTheme="majorEastAsia" w:cstheme="majorEastAsia"/>
                <w:b w:val="0"/>
                <w:bCs/>
                <w:sz w:val="21"/>
                <w:szCs w:val="21"/>
              </w:rPr>
              <w:t>中方县</w:t>
            </w:r>
            <w:r>
              <w:rPr>
                <w:rFonts w:hint="eastAsia" w:asciiTheme="majorEastAsia" w:hAnsiTheme="majorEastAsia" w:eastAsiaTheme="majorEastAsia" w:cstheme="majorEastAsia"/>
                <w:b w:val="0"/>
                <w:bCs/>
                <w:sz w:val="21"/>
                <w:szCs w:val="21"/>
                <w:lang w:eastAsia="zh-CN"/>
              </w:rPr>
              <w:t>工伤保险服务中心</w:t>
            </w:r>
            <w:r>
              <w:rPr>
                <w:rFonts w:hint="eastAsia" w:asciiTheme="majorEastAsia" w:hAnsiTheme="majorEastAsia" w:eastAsiaTheme="majorEastAsia" w:cstheme="majorEastAsia"/>
                <w:b w:val="0"/>
                <w:bCs/>
                <w:sz w:val="21"/>
                <w:szCs w:val="21"/>
              </w:rPr>
              <w:t>202</w:t>
            </w:r>
            <w:r>
              <w:rPr>
                <w:rFonts w:hint="eastAsia" w:asciiTheme="majorEastAsia" w:hAnsiTheme="majorEastAsia" w:eastAsiaTheme="majorEastAsia" w:cstheme="majorEastAsia"/>
                <w:b w:val="0"/>
                <w:bCs/>
                <w:sz w:val="21"/>
                <w:szCs w:val="21"/>
                <w:lang w:val="en-US" w:eastAsia="zh-CN"/>
              </w:rPr>
              <w:t>2</w:t>
            </w:r>
            <w:r>
              <w:rPr>
                <w:rFonts w:hint="eastAsia" w:asciiTheme="majorEastAsia" w:hAnsiTheme="majorEastAsia" w:eastAsiaTheme="majorEastAsia" w:cstheme="majorEastAsia"/>
                <w:b w:val="0"/>
                <w:bCs/>
                <w:sz w:val="21"/>
                <w:szCs w:val="21"/>
              </w:rPr>
              <w:t>年度部门整体支出绩效自评报告</w:t>
            </w:r>
          </w:p>
          <w:p w14:paraId="320C0A2A">
            <w:pPr>
              <w:keepNext w:val="0"/>
              <w:keepLines w:val="0"/>
              <w:pageBreakBefore w:val="0"/>
              <w:widowControl/>
              <w:kinsoku/>
              <w:wordWrap/>
              <w:overflowPunct/>
              <w:topLinePunct w:val="0"/>
              <w:autoSpaceDE/>
              <w:autoSpaceDN/>
              <w:bidi w:val="0"/>
              <w:adjustRightInd w:val="0"/>
              <w:snapToGrid w:val="0"/>
              <w:spacing w:after="0" w:line="240" w:lineRule="auto"/>
              <w:jc w:val="both"/>
              <w:textAlignment w:val="auto"/>
              <w:rPr>
                <w:rFonts w:hint="default" w:ascii="宋体" w:hAnsi="宋体" w:eastAsia="宋体" w:cs="宋体"/>
                <w:b w:val="0"/>
                <w:bCs/>
                <w:lang w:val="en-US" w:eastAsia="zh-CN"/>
              </w:rPr>
            </w:pPr>
          </w:p>
        </w:tc>
        <w:tc>
          <w:tcPr>
            <w:tcW w:w="1189" w:type="pct"/>
            <w:vAlign w:val="center"/>
          </w:tcPr>
          <w:p w14:paraId="7B2FDF5A">
            <w:pPr>
              <w:spacing w:after="0" w:line="240" w:lineRule="auto"/>
              <w:rPr>
                <w:rFonts w:hint="eastAsia" w:ascii="宋体" w:hAnsi="宋体" w:eastAsia="宋体" w:cs="宋体"/>
                <w:lang w:eastAsia="zh-CN"/>
              </w:rPr>
            </w:pPr>
            <w:r>
              <w:rPr>
                <w:rFonts w:hint="eastAsia" w:ascii="宋体" w:hAnsi="宋体" w:eastAsia="宋体" w:cs="宋体"/>
              </w:rPr>
              <w:t xml:space="preserve">本机关、单位制发  </w:t>
            </w:r>
            <w:r>
              <w:rPr>
                <w:rFonts w:hint="eastAsia" w:ascii="宋体" w:hAnsi="宋体" w:eastAsia="宋体" w:cs="宋体"/>
                <w:lang w:eastAsia="zh-CN"/>
              </w:rPr>
              <w:t>☑</w:t>
            </w:r>
          </w:p>
          <w:p w14:paraId="5C1E8B0C">
            <w:pPr>
              <w:spacing w:after="0" w:line="240" w:lineRule="auto"/>
              <w:rPr>
                <w:rFonts w:ascii="宋体" w:hAnsi="宋体" w:eastAsia="宋体" w:cs="宋体"/>
              </w:rPr>
            </w:pPr>
            <w:r>
              <w:rPr>
                <w:rFonts w:hint="eastAsia" w:ascii="宋体" w:hAnsi="宋体" w:eastAsia="宋体" w:cs="宋体"/>
              </w:rPr>
              <w:t>转载（注明转载来源）：</w:t>
            </w:r>
          </w:p>
          <w:p w14:paraId="5D7ABD50">
            <w:pPr>
              <w:spacing w:after="0" w:line="240" w:lineRule="auto"/>
              <w:rPr>
                <w:rFonts w:ascii="宋体" w:hAnsi="宋体" w:eastAsia="宋体" w:cs="宋体"/>
                <w:u w:val="single"/>
              </w:rPr>
            </w:pPr>
            <w:r>
              <w:rPr>
                <w:rFonts w:hint="eastAsia" w:ascii="宋体" w:hAnsi="宋体" w:eastAsia="宋体" w:cs="宋体"/>
                <w:u w:val="single"/>
              </w:rPr>
              <w:t xml:space="preserve">                           </w:t>
            </w:r>
          </w:p>
        </w:tc>
        <w:tc>
          <w:tcPr>
            <w:tcW w:w="943" w:type="pct"/>
            <w:vAlign w:val="center"/>
          </w:tcPr>
          <w:p w14:paraId="1124A835">
            <w:pPr>
              <w:spacing w:after="0" w:line="240" w:lineRule="auto"/>
              <w:rPr>
                <w:rFonts w:ascii="宋体" w:hAnsi="宋体" w:eastAsia="宋体" w:cs="宋体"/>
              </w:rPr>
            </w:pPr>
            <w:r>
              <w:rPr>
                <w:rFonts w:hint="eastAsia" w:ascii="宋体" w:hAnsi="宋体" w:eastAsia="宋体" w:cs="宋体"/>
              </w:rPr>
              <w:t>政府网站主动公开  □</w:t>
            </w:r>
          </w:p>
          <w:p w14:paraId="6576B875">
            <w:pPr>
              <w:spacing w:after="0" w:line="240" w:lineRule="auto"/>
              <w:rPr>
                <w:rFonts w:hint="eastAsia" w:ascii="宋体" w:hAnsi="宋体" w:eastAsia="宋体" w:cs="宋体"/>
                <w:lang w:eastAsia="zh-CN"/>
              </w:rPr>
            </w:pPr>
            <w:r>
              <w:rPr>
                <w:rFonts w:hint="eastAsia" w:ascii="宋体" w:hAnsi="宋体" w:eastAsia="宋体" w:cs="宋体"/>
              </w:rPr>
              <w:t xml:space="preserve">依申请公开        </w:t>
            </w:r>
            <w:r>
              <w:rPr>
                <w:rFonts w:hint="eastAsia" w:ascii="宋体" w:hAnsi="宋体" w:eastAsia="宋体" w:cs="宋体"/>
                <w:lang w:eastAsia="zh-CN"/>
              </w:rPr>
              <w:t>☑</w:t>
            </w:r>
          </w:p>
          <w:p w14:paraId="277B69B7">
            <w:pPr>
              <w:spacing w:after="0" w:line="240" w:lineRule="auto"/>
              <w:rPr>
                <w:rFonts w:ascii="宋体" w:hAnsi="宋体" w:eastAsia="宋体" w:cs="宋体"/>
              </w:rPr>
            </w:pPr>
            <w:r>
              <w:rPr>
                <w:rFonts w:hint="eastAsia" w:ascii="宋体" w:hAnsi="宋体" w:eastAsia="宋体" w:cs="宋体"/>
              </w:rPr>
              <w:t>其他</w:t>
            </w:r>
            <w:r>
              <w:rPr>
                <w:rFonts w:hint="eastAsia" w:ascii="宋体" w:hAnsi="宋体" w:eastAsia="宋体" w:cs="宋体"/>
                <w:u w:val="single"/>
              </w:rPr>
              <w:t xml:space="preserve">                </w:t>
            </w:r>
          </w:p>
        </w:tc>
        <w:tc>
          <w:tcPr>
            <w:tcW w:w="1111" w:type="pct"/>
            <w:vAlign w:val="center"/>
          </w:tcPr>
          <w:p w14:paraId="39A91601">
            <w:pPr>
              <w:spacing w:after="0" w:line="240" w:lineRule="auto"/>
              <w:rPr>
                <w:rFonts w:hint="eastAsia" w:ascii="宋体" w:hAnsi="宋体" w:eastAsia="宋体" w:cs="宋体"/>
                <w:lang w:eastAsia="zh-CN"/>
              </w:rPr>
            </w:pPr>
            <w:r>
              <w:rPr>
                <w:rFonts w:hint="eastAsia" w:ascii="宋体" w:hAnsi="宋体" w:eastAsia="宋体" w:cs="宋体"/>
              </w:rPr>
              <w:t>非涉密，同意公开</w:t>
            </w:r>
            <w:r>
              <w:rPr>
                <w:rFonts w:hint="eastAsia" w:ascii="宋体" w:hAnsi="宋体" w:eastAsia="宋体" w:cs="宋体"/>
                <w:lang w:eastAsia="zh-CN"/>
              </w:rPr>
              <w:t>☑</w:t>
            </w:r>
          </w:p>
          <w:p w14:paraId="54184A88">
            <w:pPr>
              <w:spacing w:after="0" w:line="240" w:lineRule="auto"/>
              <w:rPr>
                <w:rFonts w:hint="eastAsia" w:ascii="宋体" w:hAnsi="宋体" w:eastAsia="宋体" w:cs="宋体"/>
                <w:lang w:eastAsia="zh-CN"/>
              </w:rPr>
            </w:pPr>
            <w:r>
              <w:rPr>
                <w:rFonts w:hint="eastAsia" w:ascii="宋体" w:hAnsi="宋体" w:eastAsia="宋体" w:cs="宋体"/>
              </w:rPr>
              <w:t>不同意，</w:t>
            </w:r>
            <w:r>
              <w:rPr>
                <w:rFonts w:hint="eastAsia" w:ascii="宋体" w:hAnsi="宋体" w:eastAsia="宋体" w:cs="宋体"/>
                <w:u w:val="single"/>
              </w:rPr>
              <w:t xml:space="preserve">        </w:t>
            </w:r>
            <w:r>
              <w:rPr>
                <w:rFonts w:hint="eastAsia" w:ascii="宋体" w:hAnsi="宋体" w:eastAsia="宋体" w:cs="宋体"/>
                <w:lang w:eastAsia="zh-CN"/>
              </w:rPr>
              <w:t>□</w:t>
            </w:r>
          </w:p>
        </w:tc>
        <w:tc>
          <w:tcPr>
            <w:tcW w:w="705" w:type="pct"/>
            <w:vAlign w:val="center"/>
          </w:tcPr>
          <w:p w14:paraId="347F9489">
            <w:pPr>
              <w:spacing w:after="0" w:line="240" w:lineRule="auto"/>
              <w:jc w:val="center"/>
              <w:rPr>
                <w:rFonts w:ascii="宋体" w:hAnsi="宋体" w:eastAsia="宋体" w:cs="宋体"/>
              </w:rPr>
            </w:pPr>
          </w:p>
        </w:tc>
      </w:tr>
      <w:tr w14:paraId="758E93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40" w:type="pct"/>
            <w:vAlign w:val="center"/>
          </w:tcPr>
          <w:p w14:paraId="128DE586">
            <w:pPr>
              <w:spacing w:after="0" w:line="500" w:lineRule="exact"/>
              <w:jc w:val="center"/>
              <w:rPr>
                <w:rFonts w:ascii="宋体" w:hAnsi="宋体" w:eastAsia="宋体" w:cs="宋体"/>
              </w:rPr>
            </w:pPr>
          </w:p>
        </w:tc>
        <w:tc>
          <w:tcPr>
            <w:tcW w:w="808" w:type="pct"/>
            <w:vAlign w:val="center"/>
          </w:tcPr>
          <w:p w14:paraId="26D7A7EC">
            <w:pPr>
              <w:spacing w:after="0" w:line="500" w:lineRule="exact"/>
              <w:jc w:val="center"/>
              <w:rPr>
                <w:rFonts w:ascii="宋体" w:hAnsi="宋体" w:eastAsia="宋体" w:cs="宋体"/>
              </w:rPr>
            </w:pPr>
          </w:p>
        </w:tc>
        <w:tc>
          <w:tcPr>
            <w:tcW w:w="1189" w:type="pct"/>
            <w:vAlign w:val="center"/>
          </w:tcPr>
          <w:p w14:paraId="7B66B9E6">
            <w:pPr>
              <w:spacing w:after="0" w:line="500" w:lineRule="exact"/>
              <w:rPr>
                <w:rFonts w:ascii="宋体" w:hAnsi="宋体" w:eastAsia="宋体" w:cs="宋体"/>
              </w:rPr>
            </w:pPr>
            <w:r>
              <w:rPr>
                <w:rFonts w:hint="eastAsia" w:ascii="宋体" w:hAnsi="宋体" w:eastAsia="宋体" w:cs="宋体"/>
              </w:rPr>
              <w:t>本机关、单位制发  □</w:t>
            </w:r>
          </w:p>
          <w:p w14:paraId="1C4B52EB">
            <w:pPr>
              <w:spacing w:after="0" w:line="500" w:lineRule="exact"/>
              <w:rPr>
                <w:rFonts w:ascii="宋体" w:hAnsi="宋体" w:eastAsia="宋体" w:cs="宋体"/>
              </w:rPr>
            </w:pPr>
            <w:r>
              <w:rPr>
                <w:rFonts w:hint="eastAsia" w:ascii="宋体" w:hAnsi="宋体" w:eastAsia="宋体" w:cs="宋体"/>
              </w:rPr>
              <w:t>转载（注明转载来源）：</w:t>
            </w:r>
          </w:p>
          <w:p w14:paraId="303112D9">
            <w:pPr>
              <w:spacing w:after="0" w:line="500" w:lineRule="exact"/>
              <w:rPr>
                <w:rFonts w:ascii="宋体" w:hAnsi="宋体" w:eastAsia="宋体" w:cs="宋体"/>
              </w:rPr>
            </w:pPr>
            <w:r>
              <w:rPr>
                <w:rFonts w:hint="eastAsia" w:ascii="宋体" w:hAnsi="宋体" w:eastAsia="宋体" w:cs="宋体"/>
                <w:u w:val="single"/>
              </w:rPr>
              <w:t xml:space="preserve">                            </w:t>
            </w:r>
          </w:p>
        </w:tc>
        <w:tc>
          <w:tcPr>
            <w:tcW w:w="943" w:type="pct"/>
            <w:vAlign w:val="center"/>
          </w:tcPr>
          <w:p w14:paraId="0F6DF83A">
            <w:pPr>
              <w:spacing w:after="0" w:line="500" w:lineRule="exact"/>
              <w:rPr>
                <w:rFonts w:ascii="宋体" w:hAnsi="宋体" w:eastAsia="宋体" w:cs="宋体"/>
              </w:rPr>
            </w:pPr>
            <w:r>
              <w:rPr>
                <w:rFonts w:hint="eastAsia" w:ascii="宋体" w:hAnsi="宋体" w:eastAsia="宋体" w:cs="宋体"/>
              </w:rPr>
              <w:t>政府网站主动公开  □</w:t>
            </w:r>
          </w:p>
          <w:p w14:paraId="3BBC3416">
            <w:pPr>
              <w:spacing w:after="0" w:line="500" w:lineRule="exact"/>
              <w:rPr>
                <w:rFonts w:ascii="宋体" w:hAnsi="宋体" w:eastAsia="宋体" w:cs="宋体"/>
              </w:rPr>
            </w:pPr>
            <w:r>
              <w:rPr>
                <w:rFonts w:hint="eastAsia" w:ascii="宋体" w:hAnsi="宋体" w:eastAsia="宋体" w:cs="宋体"/>
              </w:rPr>
              <w:t>依申请公开        □</w:t>
            </w:r>
          </w:p>
          <w:p w14:paraId="5B6E7B4D">
            <w:pPr>
              <w:spacing w:after="0" w:line="500" w:lineRule="exact"/>
              <w:rPr>
                <w:rFonts w:ascii="宋体" w:hAnsi="宋体" w:eastAsia="宋体" w:cs="宋体"/>
              </w:rPr>
            </w:pPr>
            <w:r>
              <w:rPr>
                <w:rFonts w:hint="eastAsia" w:ascii="宋体" w:hAnsi="宋体" w:eastAsia="宋体" w:cs="宋体"/>
              </w:rPr>
              <w:t>其他</w:t>
            </w:r>
            <w:r>
              <w:rPr>
                <w:rFonts w:hint="eastAsia" w:ascii="宋体" w:hAnsi="宋体" w:eastAsia="宋体" w:cs="宋体"/>
                <w:u w:val="single"/>
              </w:rPr>
              <w:t xml:space="preserve">                </w:t>
            </w:r>
          </w:p>
        </w:tc>
        <w:tc>
          <w:tcPr>
            <w:tcW w:w="1111" w:type="pct"/>
            <w:vAlign w:val="center"/>
          </w:tcPr>
          <w:p w14:paraId="3FE31EFC">
            <w:pPr>
              <w:spacing w:after="0" w:line="500" w:lineRule="exact"/>
              <w:rPr>
                <w:rFonts w:ascii="宋体" w:hAnsi="宋体" w:eastAsia="宋体" w:cs="宋体"/>
              </w:rPr>
            </w:pPr>
            <w:r>
              <w:rPr>
                <w:rFonts w:hint="eastAsia" w:ascii="宋体" w:hAnsi="宋体" w:eastAsia="宋体" w:cs="宋体"/>
              </w:rPr>
              <w:t>非涉密，同意公开□</w:t>
            </w:r>
          </w:p>
          <w:p w14:paraId="22C94BDC">
            <w:pPr>
              <w:spacing w:after="0" w:line="500" w:lineRule="exact"/>
              <w:rPr>
                <w:rFonts w:ascii="宋体" w:hAnsi="宋体" w:eastAsia="宋体" w:cs="宋体"/>
              </w:rPr>
            </w:pPr>
            <w:r>
              <w:rPr>
                <w:rFonts w:hint="eastAsia" w:ascii="宋体" w:hAnsi="宋体" w:eastAsia="宋体" w:cs="宋体"/>
              </w:rPr>
              <w:t>不同意，</w:t>
            </w:r>
            <w:r>
              <w:rPr>
                <w:rFonts w:hint="eastAsia" w:ascii="宋体" w:hAnsi="宋体" w:eastAsia="宋体" w:cs="宋体"/>
                <w:u w:val="single"/>
              </w:rPr>
              <w:t xml:space="preserve">        </w:t>
            </w:r>
            <w:r>
              <w:rPr>
                <w:rFonts w:hint="eastAsia" w:ascii="宋体" w:hAnsi="宋体" w:eastAsia="宋体" w:cs="宋体"/>
              </w:rPr>
              <w:t>□</w:t>
            </w:r>
          </w:p>
        </w:tc>
        <w:tc>
          <w:tcPr>
            <w:tcW w:w="705" w:type="pct"/>
            <w:vAlign w:val="center"/>
          </w:tcPr>
          <w:p w14:paraId="37EB8283">
            <w:pPr>
              <w:spacing w:after="0" w:line="500" w:lineRule="exact"/>
              <w:jc w:val="center"/>
              <w:rPr>
                <w:rFonts w:ascii="宋体" w:hAnsi="宋体" w:eastAsia="宋体" w:cs="宋体"/>
              </w:rPr>
            </w:pPr>
          </w:p>
        </w:tc>
      </w:tr>
      <w:tr w14:paraId="212837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7" w:hRule="atLeast"/>
          <w:jc w:val="center"/>
        </w:trPr>
        <w:tc>
          <w:tcPr>
            <w:tcW w:w="3182" w:type="pct"/>
            <w:gridSpan w:val="4"/>
            <w:vAlign w:val="center"/>
          </w:tcPr>
          <w:p w14:paraId="154954FF">
            <w:pPr>
              <w:spacing w:after="0" w:line="500" w:lineRule="exact"/>
              <w:rPr>
                <w:rFonts w:ascii="宋体" w:hAnsi="宋体" w:eastAsia="宋体" w:cs="宋体"/>
              </w:rPr>
            </w:pPr>
            <w:r>
              <w:rPr>
                <w:rFonts w:hint="eastAsia" w:ascii="宋体" w:hAnsi="宋体" w:eastAsia="宋体" w:cs="宋体"/>
              </w:rPr>
              <w:t>承办人</w:t>
            </w:r>
            <w:r>
              <w:rPr>
                <w:rFonts w:hint="eastAsia" w:ascii="宋体" w:hAnsi="宋体" w:eastAsia="宋体" w:cs="宋体"/>
                <w:u w:val="single"/>
              </w:rPr>
              <w:t>初审</w:t>
            </w:r>
            <w:r>
              <w:rPr>
                <w:rFonts w:hint="eastAsia" w:ascii="宋体" w:hAnsi="宋体" w:eastAsia="宋体" w:cs="宋体"/>
              </w:rPr>
              <w:t>（签字）</w:t>
            </w:r>
          </w:p>
        </w:tc>
        <w:tc>
          <w:tcPr>
            <w:tcW w:w="1111" w:type="pct"/>
            <w:vAlign w:val="center"/>
          </w:tcPr>
          <w:p w14:paraId="7615C255">
            <w:pPr>
              <w:spacing w:after="0" w:line="500" w:lineRule="exact"/>
              <w:rPr>
                <w:rFonts w:ascii="宋体" w:hAnsi="宋体" w:eastAsia="宋体" w:cs="宋体"/>
              </w:rPr>
            </w:pPr>
            <w:r>
              <w:rPr>
                <w:rFonts w:hint="eastAsia" w:ascii="宋体" w:hAnsi="宋体" w:eastAsia="宋体" w:cs="宋体"/>
              </w:rPr>
              <w:t>（签字）</w:t>
            </w:r>
          </w:p>
        </w:tc>
        <w:tc>
          <w:tcPr>
            <w:tcW w:w="705" w:type="pct"/>
            <w:vAlign w:val="center"/>
          </w:tcPr>
          <w:p w14:paraId="5C094B99">
            <w:pPr>
              <w:spacing w:after="0" w:line="500" w:lineRule="exact"/>
              <w:rPr>
                <w:rFonts w:ascii="宋体" w:hAnsi="宋体" w:eastAsia="宋体" w:cs="宋体"/>
              </w:rPr>
            </w:pPr>
            <w:r>
              <w:rPr>
                <w:rFonts w:hint="eastAsia" w:ascii="宋体" w:hAnsi="宋体" w:eastAsia="宋体" w:cs="宋体"/>
              </w:rPr>
              <w:t>（签字）</w:t>
            </w:r>
          </w:p>
        </w:tc>
      </w:tr>
    </w:tbl>
    <w:p w14:paraId="0793BFD8">
      <w:pPr>
        <w:spacing w:after="0" w:line="400" w:lineRule="exact"/>
        <w:ind w:firstLine="440" w:firstLineChars="200"/>
        <w:rPr>
          <w:rFonts w:ascii="宋体" w:hAnsi="宋体" w:eastAsia="宋体" w:cs="宋体"/>
        </w:rPr>
      </w:pPr>
    </w:p>
    <w:p w14:paraId="24998517">
      <w:pPr>
        <w:spacing w:after="0" w:line="400" w:lineRule="exact"/>
        <w:ind w:firstLine="440" w:firstLineChars="200"/>
        <w:rPr>
          <w:rFonts w:ascii="宋体" w:hAnsi="宋体" w:eastAsia="宋体" w:cs="宋体"/>
        </w:rPr>
      </w:pPr>
      <w:r>
        <w:rPr>
          <w:rFonts w:hint="eastAsia" w:ascii="宋体" w:hAnsi="宋体" w:eastAsia="宋体" w:cs="宋体"/>
        </w:rPr>
        <w:t>注：1.机关、单位政府网站及政务新媒体发布信息前要认真填写本表；</w:t>
      </w:r>
    </w:p>
    <w:p w14:paraId="46E6222A">
      <w:pPr>
        <w:spacing w:after="0" w:line="400" w:lineRule="exact"/>
        <w:ind w:firstLine="880" w:firstLineChars="400"/>
        <w:rPr>
          <w:rFonts w:ascii="宋体" w:hAnsi="宋体" w:eastAsia="宋体" w:cs="宋体"/>
        </w:rPr>
      </w:pPr>
      <w:r>
        <w:rPr>
          <w:rFonts w:hint="eastAsia" w:ascii="宋体" w:hAnsi="宋体" w:eastAsia="宋体" w:cs="宋体"/>
        </w:rPr>
        <w:t>2.严格落实信息发布保密审查制度和“三审制”，请在相应的“□”打“√”或填写意见；</w:t>
      </w:r>
    </w:p>
    <w:p w14:paraId="46523033">
      <w:pPr>
        <w:spacing w:after="0" w:line="400" w:lineRule="exact"/>
        <w:ind w:firstLine="880" w:firstLineChars="400"/>
        <w:rPr>
          <w:rFonts w:ascii="宋体" w:hAnsi="宋体" w:eastAsia="宋体" w:cs="宋体"/>
        </w:rPr>
      </w:pPr>
      <w:r>
        <w:rPr>
          <w:rFonts w:hint="eastAsia" w:ascii="宋体" w:hAnsi="宋体" w:eastAsia="宋体" w:cs="宋体"/>
        </w:rPr>
        <w:t>3.信息发布要严把文字、保密、政治关，不能确定信息是否可以公开时，要组织保密审查并报上级部门确认；</w:t>
      </w:r>
    </w:p>
    <w:p w14:paraId="3BE5A210">
      <w:pPr>
        <w:spacing w:after="0" w:line="400" w:lineRule="exact"/>
        <w:ind w:firstLine="880" w:firstLineChars="400"/>
        <w:rPr>
          <w:rFonts w:ascii="宋体" w:hAnsi="宋体" w:eastAsia="宋体" w:cs="宋体"/>
        </w:rPr>
      </w:pPr>
      <w:r>
        <w:rPr>
          <w:rFonts w:hint="eastAsia" w:ascii="宋体" w:hAnsi="宋体" w:eastAsia="宋体" w:cs="宋体"/>
        </w:rPr>
        <w:t>4.本表由本机关、单位负责组织填写和保管</w:t>
      </w:r>
    </w:p>
    <w:p w14:paraId="3A77581D"/>
    <w:sectPr>
      <w:pgSz w:w="16838" w:h="11906" w:orient="landscape"/>
      <w:pgMar w:top="1587" w:right="1587" w:bottom="1587" w:left="1587" w:header="708" w:footer="709" w:gutter="0"/>
      <w:cols w:space="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黑体"/>
    <w:panose1 w:val="03000509000000000000"/>
    <w:charset w:val="86"/>
    <w:family w:val="script"/>
    <w:pitch w:val="default"/>
    <w:sig w:usb0="00000000" w:usb1="00000000" w:usb2="00000000" w:usb3="00000000" w:csb0="00040000" w:csb1="00000000"/>
  </w:font>
  <w:font w:name="Wingdings 2">
    <w:altName w:val="Wingdings"/>
    <w:panose1 w:val="05020102010507070707"/>
    <w:charset w:val="02"/>
    <w:family w:val="roman"/>
    <w:pitch w:val="default"/>
    <w:sig w:usb0="00000000" w:usb1="00000000" w:usb2="00000000" w:usb3="00000000" w:csb0="80000000" w:csb1="00000000"/>
  </w:font>
  <w:font w:name="Kingsoft Symbol">
    <w:altName w:val="Symbol"/>
    <w:panose1 w:val="00000000000000000000"/>
    <w:charset w:val="00"/>
    <w:family w:val="auto"/>
    <w:pitch w:val="default"/>
    <w:sig w:usb0="00000000" w:usb1="00000000" w:usb2="00000000" w:usb3="00000000" w:csb0="00000000" w:csb1="00000000"/>
  </w:font>
  <w:font w:name="Symbol">
    <w:panose1 w:val="050501020107060205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DABE48">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5C773FE">
                          <w:pPr>
                            <w:pStyle w:val="4"/>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6</w:t>
                          </w:r>
                          <w:r>
                            <w:rPr>
                              <w:sz w:val="21"/>
                              <w:szCs w:val="21"/>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naByc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M&#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p2gcnIAQAAmQMAAA4AAAAAAAAAAQAgAAAAHgEAAGRycy9lMm9Eb2Mu&#10;eG1sUEsFBgAAAAAGAAYAWQEAAFgFAAAAAA==&#10;">
              <v:fill on="f" focussize="0,0"/>
              <v:stroke on="f"/>
              <v:imagedata o:title=""/>
              <o:lock v:ext="edit" aspectratio="f"/>
              <v:textbox inset="0mm,0mm,0mm,0mm" style="mso-fit-shape-to-text:t;">
                <w:txbxContent>
                  <w:p w14:paraId="55C773FE">
                    <w:pPr>
                      <w:pStyle w:val="4"/>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6</w:t>
                    </w:r>
                    <w:r>
                      <w:rPr>
                        <w:sz w:val="21"/>
                        <w:szCs w:val="21"/>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535769"/>
    <w:multiLevelType w:val="singleLevel"/>
    <w:tmpl w:val="57535769"/>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NiNGU4NTZlODliZjNhOTI2NTBhMjNiMGIwNTYyODMifQ=="/>
  </w:docVars>
  <w:rsids>
    <w:rsidRoot w:val="086B62B1"/>
    <w:rsid w:val="01B85F94"/>
    <w:rsid w:val="028D7421"/>
    <w:rsid w:val="03DA1E4A"/>
    <w:rsid w:val="07832BA1"/>
    <w:rsid w:val="08452E6B"/>
    <w:rsid w:val="086B62B1"/>
    <w:rsid w:val="092B618E"/>
    <w:rsid w:val="0A4E393A"/>
    <w:rsid w:val="0C9870EE"/>
    <w:rsid w:val="16021A7C"/>
    <w:rsid w:val="16691AFB"/>
    <w:rsid w:val="1BB036A2"/>
    <w:rsid w:val="1D02646E"/>
    <w:rsid w:val="1D0E6F59"/>
    <w:rsid w:val="1D8E3BF5"/>
    <w:rsid w:val="1F104D4D"/>
    <w:rsid w:val="1F334A54"/>
    <w:rsid w:val="24A65CC9"/>
    <w:rsid w:val="27B32A8B"/>
    <w:rsid w:val="30185CCC"/>
    <w:rsid w:val="30D140CD"/>
    <w:rsid w:val="3183186B"/>
    <w:rsid w:val="32036508"/>
    <w:rsid w:val="335D7E9A"/>
    <w:rsid w:val="348F22D5"/>
    <w:rsid w:val="36504699"/>
    <w:rsid w:val="368F5D18"/>
    <w:rsid w:val="377759CE"/>
    <w:rsid w:val="37B510F9"/>
    <w:rsid w:val="3814146F"/>
    <w:rsid w:val="3B447603"/>
    <w:rsid w:val="3BFC2946"/>
    <w:rsid w:val="3CA64660"/>
    <w:rsid w:val="3EC157C8"/>
    <w:rsid w:val="42FE5614"/>
    <w:rsid w:val="4427252A"/>
    <w:rsid w:val="46A311DC"/>
    <w:rsid w:val="46FD37ED"/>
    <w:rsid w:val="4A8F4985"/>
    <w:rsid w:val="4A9326C8"/>
    <w:rsid w:val="4B285E6D"/>
    <w:rsid w:val="4F430910"/>
    <w:rsid w:val="4F4F1B87"/>
    <w:rsid w:val="510734C7"/>
    <w:rsid w:val="514C537E"/>
    <w:rsid w:val="54252C14"/>
    <w:rsid w:val="57C00874"/>
    <w:rsid w:val="58FB7DB8"/>
    <w:rsid w:val="5A955FE8"/>
    <w:rsid w:val="5C237623"/>
    <w:rsid w:val="5EBD6526"/>
    <w:rsid w:val="5F013C4C"/>
    <w:rsid w:val="61926DDD"/>
    <w:rsid w:val="62C76F5B"/>
    <w:rsid w:val="64F63463"/>
    <w:rsid w:val="6BF95CAB"/>
    <w:rsid w:val="6DAA1953"/>
    <w:rsid w:val="6F700A7B"/>
    <w:rsid w:val="70F60E79"/>
    <w:rsid w:val="712068AA"/>
    <w:rsid w:val="721361A9"/>
    <w:rsid w:val="725524AA"/>
    <w:rsid w:val="72B666A4"/>
    <w:rsid w:val="74D349B8"/>
    <w:rsid w:val="75452FF5"/>
    <w:rsid w:val="773C186D"/>
    <w:rsid w:val="7BFC781D"/>
    <w:rsid w:val="7F7678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pPr>
      <w:widowControl w:val="0"/>
      <w:jc w:val="both"/>
    </w:pPr>
    <w:rPr>
      <w:rFonts w:ascii="Calibri" w:hAnsi="Calibri" w:eastAsia="宋体"/>
      <w:kern w:val="2"/>
      <w:sz w:val="32"/>
      <w:szCs w:val="32"/>
      <w:lang w:val="en-US" w:eastAsia="zh-CN" w:bidi="ar-SA"/>
    </w:rPr>
  </w:style>
  <w:style w:type="paragraph" w:styleId="3">
    <w:name w:val="Body Text Indent"/>
    <w:basedOn w:val="1"/>
    <w:unhideWhenUsed/>
    <w:qFormat/>
    <w:uiPriority w:val="0"/>
    <w:pPr>
      <w:spacing w:before="0" w:beforeAutospacing="0" w:after="120" w:afterAutospacing="0" w:line="240" w:lineRule="auto"/>
      <w:ind w:left="420" w:leftChars="200" w:firstLine="0" w:firstLineChars="0"/>
    </w:pPr>
    <w:rPr>
      <w:sz w:val="21"/>
    </w:rPr>
  </w:style>
  <w:style w:type="paragraph" w:styleId="4">
    <w:name w:val="footer"/>
    <w:basedOn w:val="1"/>
    <w:semiHidden/>
    <w:unhideWhenUsed/>
    <w:qFormat/>
    <w:uiPriority w:val="99"/>
    <w:pPr>
      <w:tabs>
        <w:tab w:val="center" w:pos="4153"/>
        <w:tab w:val="right" w:pos="8306"/>
      </w:tabs>
    </w:pPr>
    <w:rPr>
      <w:sz w:val="18"/>
      <w:szCs w:val="18"/>
    </w:rPr>
  </w:style>
  <w:style w:type="paragraph" w:styleId="5">
    <w:name w:val="Normal (Web)"/>
    <w:basedOn w:val="1"/>
    <w:unhideWhenUsed/>
    <w:qFormat/>
    <w:uiPriority w:val="99"/>
    <w:pPr>
      <w:adjustRightInd/>
      <w:snapToGrid/>
      <w:spacing w:before="100" w:beforeAutospacing="1" w:after="100" w:afterAutospacing="1"/>
    </w:pPr>
    <w:rPr>
      <w:rFonts w:ascii="宋体" w:hAnsi="宋体" w:eastAsia="宋体" w:cs="宋体"/>
      <w:sz w:val="24"/>
      <w:szCs w:val="24"/>
    </w:rPr>
  </w:style>
  <w:style w:type="paragraph" w:styleId="6">
    <w:name w:val="Body Text First Indent 2"/>
    <w:basedOn w:val="3"/>
    <w:qFormat/>
    <w:uiPriority w:val="0"/>
    <w:pPr>
      <w:autoSpaceDE w:val="0"/>
      <w:autoSpaceDN w:val="0"/>
      <w:adjustRightInd w:val="0"/>
      <w:spacing w:after="0"/>
      <w:ind w:firstLine="420"/>
      <w:jc w:val="left"/>
    </w:pPr>
    <w:rPr>
      <w:rFonts w:ascii="Calibri" w:hAnsi="Calibri"/>
    </w:rPr>
  </w:style>
  <w:style w:type="paragraph" w:styleId="9">
    <w:name w:val="No Spacing"/>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9789</Words>
  <Characters>10207</Characters>
  <Lines>0</Lines>
  <Paragraphs>0</Paragraphs>
  <TotalTime>13</TotalTime>
  <ScaleCrop>false</ScaleCrop>
  <LinksUpToDate>false</LinksUpToDate>
  <CharactersWithSpaces>10442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2022-10-10T01:06:00Z</dcterms:created>
  <dc:creator>人弃我取-袁轶晖</dc:creator>
  <cp:lastModifiedBy>Administrator</cp:lastModifiedBy>
  <dcterms:modified xsi:type="dcterms:W3CDTF">2024-09-19T02:40:08Z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98A2EF390B944845AC79637A61E6050C</vt:lpwstr>
  </property>
</Properties>
</file>