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0" w:lineRule="atLeast"/>
        <w:rPr>
          <w:rFonts w:ascii="黑体" w:hAnsi="黑体" w:eastAsia="黑体" w:cs="黑体"/>
          <w:color w:val="000000"/>
          <w:sz w:val="28"/>
          <w:szCs w:val="28"/>
        </w:rPr>
      </w:pPr>
      <w:r>
        <w:rPr>
          <w:rFonts w:hint="eastAsia" w:ascii="黑体" w:hAnsi="黑体" w:eastAsia="黑体" w:cs="黑体"/>
          <w:color w:val="000000"/>
          <w:sz w:val="28"/>
          <w:szCs w:val="28"/>
        </w:rPr>
        <w:t>附件</w:t>
      </w:r>
      <w:r>
        <w:rPr>
          <w:rFonts w:hint="eastAsia" w:ascii="黑体" w:hAnsi="黑体" w:eastAsia="黑体" w:cs="黑体"/>
          <w:color w:val="000000"/>
          <w:sz w:val="28"/>
          <w:szCs w:val="28"/>
          <w:lang w:val="en-US" w:eastAsia="zh-CN"/>
        </w:rPr>
        <w:t>1</w:t>
      </w:r>
      <w:r>
        <w:rPr>
          <w:rFonts w:hint="eastAsia" w:ascii="黑体" w:hAnsi="黑体" w:eastAsia="黑体" w:cs="黑体"/>
          <w:color w:val="000000"/>
          <w:sz w:val="28"/>
          <w:szCs w:val="28"/>
        </w:rPr>
        <w:t>：</w:t>
      </w:r>
    </w:p>
    <w:p>
      <w:pPr>
        <w:keepNext w:val="0"/>
        <w:keepLines w:val="0"/>
        <w:pageBreakBefore w:val="0"/>
        <w:kinsoku/>
        <w:wordWrap/>
        <w:overflowPunct/>
        <w:topLinePunct w:val="0"/>
        <w:autoSpaceDE/>
        <w:autoSpaceDN/>
        <w:bidi w:val="0"/>
        <w:spacing w:line="620" w:lineRule="exact"/>
        <w:ind w:firstLine="2650" w:firstLineChars="600"/>
        <w:jc w:val="both"/>
        <w:textAlignment w:val="auto"/>
        <w:rPr>
          <w:rFonts w:hint="eastAsia" w:asciiTheme="minorEastAsia" w:hAnsiTheme="minorEastAsia" w:eastAsiaTheme="minorEastAsia" w:cstheme="minorEastAsia"/>
          <w:b/>
          <w:bCs/>
          <w:sz w:val="44"/>
          <w:szCs w:val="44"/>
        </w:rPr>
      </w:pPr>
      <w:r>
        <w:rPr>
          <w:rFonts w:hint="eastAsia" w:asciiTheme="minorEastAsia" w:hAnsiTheme="minorEastAsia" w:eastAsiaTheme="minorEastAsia" w:cstheme="minorEastAsia"/>
          <w:b/>
          <w:bCs/>
          <w:sz w:val="44"/>
          <w:szCs w:val="44"/>
        </w:rPr>
        <w:t>项目支出绩效自评表</w:t>
      </w:r>
    </w:p>
    <w:p>
      <w:pPr>
        <w:spacing w:after="0"/>
        <w:jc w:val="center"/>
        <w:rPr>
          <w:rFonts w:ascii="黑体" w:hAnsi="黑体" w:eastAsia="黑体" w:cs="黑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2023</w:t>
      </w:r>
      <w:r>
        <w:rPr>
          <w:rFonts w:hint="eastAsia" w:ascii="宋体" w:hAnsi="宋体" w:eastAsia="宋体" w:cs="宋体"/>
          <w:sz w:val="24"/>
          <w:szCs w:val="24"/>
        </w:rPr>
        <w:t>年度）</w:t>
      </w:r>
    </w:p>
    <w:tbl>
      <w:tblPr>
        <w:tblStyle w:val="9"/>
        <w:tblW w:w="9080" w:type="dxa"/>
        <w:jc w:val="center"/>
        <w:tblLayout w:type="fixed"/>
        <w:tblCellMar>
          <w:top w:w="0" w:type="dxa"/>
          <w:left w:w="108" w:type="dxa"/>
          <w:bottom w:w="0" w:type="dxa"/>
          <w:right w:w="108" w:type="dxa"/>
        </w:tblCellMar>
      </w:tblPr>
      <w:tblGrid>
        <w:gridCol w:w="588"/>
        <w:gridCol w:w="980"/>
        <w:gridCol w:w="1195"/>
        <w:gridCol w:w="647"/>
        <w:gridCol w:w="1134"/>
        <w:gridCol w:w="284"/>
        <w:gridCol w:w="850"/>
        <w:gridCol w:w="851"/>
        <w:gridCol w:w="283"/>
        <w:gridCol w:w="284"/>
        <w:gridCol w:w="425"/>
        <w:gridCol w:w="142"/>
        <w:gridCol w:w="709"/>
        <w:gridCol w:w="708"/>
      </w:tblGrid>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lang w:eastAsia="zh-CN"/>
              </w:rPr>
              <w:t>增收节支：2022年度协税护税奖励和职业年金返还等</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中方县人力资源和社会保障局</w:t>
            </w:r>
          </w:p>
        </w:tc>
        <w:tc>
          <w:tcPr>
            <w:tcW w:w="1134"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5"/>
                <w:szCs w:val="15"/>
              </w:rPr>
            </w:pPr>
            <w:r>
              <w:rPr>
                <w:rFonts w:hint="eastAsia" w:ascii="宋体" w:hAnsi="宋体" w:eastAsia="宋体" w:cs="宋体"/>
                <w:sz w:val="15"/>
                <w:szCs w:val="15"/>
              </w:rPr>
              <w:t>中方县人力资源和社会保障局</w:t>
            </w: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rPr>
              <w:t>项目资金</w:t>
            </w:r>
          </w:p>
          <w:p>
            <w:pPr>
              <w:spacing w:line="240" w:lineRule="exact"/>
              <w:jc w:val="center"/>
              <w:rPr>
                <w:rFonts w:ascii="宋体" w:hAnsi="宋体" w:eastAsia="宋体" w:cs="宋体"/>
                <w:sz w:val="18"/>
                <w:szCs w:val="18"/>
              </w:rPr>
            </w:pPr>
            <w:r>
              <w:rPr>
                <w:rFonts w:hint="eastAsia" w:ascii="宋体" w:hAnsi="宋体" w:eastAsia="宋体" w:cs="宋体"/>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34"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年初预算数</w:t>
            </w:r>
          </w:p>
        </w:tc>
        <w:tc>
          <w:tcPr>
            <w:tcW w:w="1134"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全年预算数</w:t>
            </w:r>
          </w:p>
        </w:tc>
        <w:tc>
          <w:tcPr>
            <w:tcW w:w="1134"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全年执行数</w:t>
            </w:r>
          </w:p>
        </w:tc>
        <w:tc>
          <w:tcPr>
            <w:tcW w:w="709"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执行率</w:t>
            </w:r>
          </w:p>
        </w:tc>
        <w:tc>
          <w:tcPr>
            <w:tcW w:w="708"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sz w:val="18"/>
                <w:szCs w:val="18"/>
              </w:rPr>
            </w:pPr>
            <w:r>
              <w:rPr>
                <w:rFonts w:hint="eastAsia" w:ascii="宋体" w:hAnsi="宋体" w:eastAsia="宋体" w:cs="宋体"/>
                <w:sz w:val="18"/>
                <w:szCs w:val="18"/>
              </w:rPr>
              <w:t>年度资金总额</w:t>
            </w:r>
          </w:p>
        </w:tc>
        <w:tc>
          <w:tcPr>
            <w:tcW w:w="1134"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 w:eastAsia="zh-CN"/>
              </w:rPr>
            </w:pPr>
            <w:r>
              <w:rPr>
                <w:rFonts w:hint="default" w:ascii="宋体" w:hAnsi="宋体" w:eastAsia="宋体" w:cs="宋体"/>
                <w:sz w:val="18"/>
                <w:szCs w:val="18"/>
                <w:lang w:val="en" w:eastAsia="zh-CN"/>
              </w:rPr>
              <w:t>0</w:t>
            </w:r>
          </w:p>
        </w:tc>
        <w:tc>
          <w:tcPr>
            <w:tcW w:w="1134"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11.65</w:t>
            </w:r>
          </w:p>
        </w:tc>
        <w:tc>
          <w:tcPr>
            <w:tcW w:w="1134"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11.65</w:t>
            </w:r>
          </w:p>
        </w:tc>
        <w:tc>
          <w:tcPr>
            <w:tcW w:w="709"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708"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其中：当年财政拨款</w:t>
            </w:r>
          </w:p>
        </w:tc>
        <w:tc>
          <w:tcPr>
            <w:tcW w:w="1134"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 w:eastAsia="zh-CN"/>
              </w:rPr>
            </w:pPr>
            <w:r>
              <w:rPr>
                <w:rFonts w:hint="default" w:ascii="宋体" w:hAnsi="宋体" w:eastAsia="宋体" w:cs="宋体"/>
                <w:sz w:val="18"/>
                <w:szCs w:val="18"/>
                <w:lang w:val="en" w:eastAsia="zh-CN"/>
              </w:rPr>
              <w:t>0</w:t>
            </w:r>
          </w:p>
        </w:tc>
        <w:tc>
          <w:tcPr>
            <w:tcW w:w="1134"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11.65</w:t>
            </w:r>
          </w:p>
        </w:tc>
        <w:tc>
          <w:tcPr>
            <w:tcW w:w="1134"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11.65</w:t>
            </w:r>
          </w:p>
        </w:tc>
        <w:tc>
          <w:tcPr>
            <w:tcW w:w="709"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708"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0</w:t>
            </w:r>
            <w:bookmarkStart w:id="0" w:name="_GoBack"/>
            <w:bookmarkEnd w:id="0"/>
          </w:p>
        </w:tc>
        <w:tc>
          <w:tcPr>
            <w:tcW w:w="1134"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0</w:t>
            </w:r>
          </w:p>
        </w:tc>
        <w:tc>
          <w:tcPr>
            <w:tcW w:w="1134"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0</w:t>
            </w:r>
          </w:p>
        </w:tc>
        <w:tc>
          <w:tcPr>
            <w:tcW w:w="709"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708"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 xml:space="preserve">  其他资金</w:t>
            </w:r>
          </w:p>
        </w:tc>
        <w:tc>
          <w:tcPr>
            <w:tcW w:w="1134" w:type="dxa"/>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0</w:t>
            </w:r>
          </w:p>
        </w:tc>
        <w:tc>
          <w:tcPr>
            <w:tcW w:w="1134"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0</w:t>
            </w:r>
          </w:p>
        </w:tc>
        <w:tc>
          <w:tcPr>
            <w:tcW w:w="1134"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0</w:t>
            </w:r>
          </w:p>
        </w:tc>
        <w:tc>
          <w:tcPr>
            <w:tcW w:w="709"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708"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实际完成情况</w:t>
            </w:r>
          </w:p>
        </w:tc>
      </w:tr>
      <w:tr>
        <w:tblPrEx>
          <w:tblCellMar>
            <w:top w:w="0" w:type="dxa"/>
            <w:left w:w="108" w:type="dxa"/>
            <w:bottom w:w="0" w:type="dxa"/>
            <w:right w:w="108" w:type="dxa"/>
          </w:tblCellMar>
        </w:tblPrEx>
        <w:trPr>
          <w:trHeight w:val="48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rPr>
              <w:t>确保干部职工车船税全年缴纳，增加财政收入</w:t>
            </w:r>
            <w:r>
              <w:rPr>
                <w:rFonts w:hint="eastAsia" w:ascii="宋体" w:hAnsi="宋体" w:eastAsia="宋体" w:cs="宋体"/>
                <w:sz w:val="18"/>
                <w:szCs w:val="18"/>
                <w:lang w:eastAsia="zh-CN"/>
              </w:rPr>
              <w:t>，退休人员职业年金返还，绩效奖励</w:t>
            </w:r>
          </w:p>
        </w:tc>
        <w:tc>
          <w:tcPr>
            <w:tcW w:w="3402" w:type="dxa"/>
            <w:gridSpan w:val="7"/>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rPr>
              <w:t>确保干部职工车船税全年缴纳，增加财政收入</w:t>
            </w:r>
            <w:r>
              <w:rPr>
                <w:rFonts w:hint="eastAsia" w:ascii="宋体" w:hAnsi="宋体" w:eastAsia="宋体" w:cs="宋体"/>
                <w:sz w:val="18"/>
                <w:szCs w:val="18"/>
                <w:lang w:eastAsia="zh-CN"/>
              </w:rPr>
              <w:t>，退休人员职业年金返还，绩效奖励</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rPr>
              <w:t>绩</w:t>
            </w:r>
          </w:p>
          <w:p>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rPr>
              <w:t>效</w:t>
            </w:r>
          </w:p>
          <w:p>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rPr>
              <w:t>指</w:t>
            </w:r>
          </w:p>
          <w:p>
            <w:pPr>
              <w:spacing w:line="240" w:lineRule="exact"/>
              <w:jc w:val="center"/>
              <w:rPr>
                <w:rFonts w:ascii="宋体" w:hAnsi="宋体" w:eastAsia="宋体" w:cs="宋体"/>
                <w:sz w:val="18"/>
                <w:szCs w:val="18"/>
              </w:rPr>
            </w:pPr>
            <w:r>
              <w:rPr>
                <w:rFonts w:hint="eastAsia" w:ascii="宋体" w:hAnsi="宋体" w:eastAsia="宋体" w:cs="宋体"/>
                <w:sz w:val="18"/>
                <w:szCs w:val="18"/>
              </w:rPr>
              <w:t>标</w:t>
            </w:r>
          </w:p>
        </w:tc>
        <w:tc>
          <w:tcPr>
            <w:tcW w:w="98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一级指标</w:t>
            </w:r>
          </w:p>
        </w:tc>
        <w:tc>
          <w:tcPr>
            <w:tcW w:w="119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二级指标</w:t>
            </w: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三级指标</w:t>
            </w:r>
          </w:p>
        </w:tc>
        <w:tc>
          <w:tcPr>
            <w:tcW w:w="850" w:type="dxa"/>
            <w:tcBorders>
              <w:top w:val="nil"/>
              <w:left w:val="nil"/>
              <w:bottom w:val="single" w:color="auto" w:sz="4" w:space="0"/>
              <w:right w:val="single" w:color="auto" w:sz="4" w:space="0"/>
            </w:tcBorders>
            <w:vAlign w:val="center"/>
          </w:tcPr>
          <w:p>
            <w:pPr>
              <w:spacing w:after="0" w:line="240" w:lineRule="exact"/>
              <w:jc w:val="center"/>
              <w:rPr>
                <w:rFonts w:ascii="宋体" w:hAnsi="宋体" w:eastAsia="宋体" w:cs="宋体"/>
                <w:sz w:val="18"/>
                <w:szCs w:val="18"/>
              </w:rPr>
            </w:pPr>
            <w:r>
              <w:rPr>
                <w:rFonts w:hint="eastAsia" w:ascii="宋体" w:hAnsi="宋体" w:eastAsia="宋体" w:cs="宋体"/>
                <w:sz w:val="18"/>
                <w:szCs w:val="18"/>
              </w:rPr>
              <w:t>年度</w:t>
            </w:r>
          </w:p>
          <w:p>
            <w:pPr>
              <w:spacing w:after="0" w:line="240" w:lineRule="exact"/>
              <w:jc w:val="center"/>
              <w:rPr>
                <w:rFonts w:ascii="宋体" w:hAnsi="宋体" w:eastAsia="宋体" w:cs="宋体"/>
                <w:sz w:val="18"/>
                <w:szCs w:val="18"/>
              </w:rPr>
            </w:pPr>
            <w:r>
              <w:rPr>
                <w:rFonts w:hint="eastAsia" w:ascii="宋体" w:hAnsi="宋体" w:eastAsia="宋体" w:cs="宋体"/>
                <w:sz w:val="18"/>
                <w:szCs w:val="18"/>
              </w:rPr>
              <w:t>指标值</w:t>
            </w:r>
          </w:p>
        </w:tc>
        <w:tc>
          <w:tcPr>
            <w:tcW w:w="851" w:type="dxa"/>
            <w:tcBorders>
              <w:top w:val="nil"/>
              <w:left w:val="nil"/>
              <w:bottom w:val="single" w:color="auto" w:sz="4" w:space="0"/>
              <w:right w:val="single" w:color="auto" w:sz="4" w:space="0"/>
            </w:tcBorders>
            <w:vAlign w:val="center"/>
          </w:tcPr>
          <w:p>
            <w:pPr>
              <w:spacing w:after="0" w:line="240" w:lineRule="exact"/>
              <w:jc w:val="center"/>
              <w:rPr>
                <w:rFonts w:ascii="宋体" w:hAnsi="宋体" w:eastAsia="宋体" w:cs="宋体"/>
                <w:sz w:val="18"/>
                <w:szCs w:val="18"/>
              </w:rPr>
            </w:pPr>
            <w:r>
              <w:rPr>
                <w:rFonts w:hint="eastAsia" w:ascii="宋体" w:hAnsi="宋体" w:eastAsia="宋体" w:cs="宋体"/>
                <w:sz w:val="18"/>
                <w:szCs w:val="18"/>
              </w:rPr>
              <w:t>实际</w:t>
            </w:r>
          </w:p>
          <w:p>
            <w:pPr>
              <w:spacing w:after="0" w:line="240" w:lineRule="exact"/>
              <w:jc w:val="center"/>
              <w:rPr>
                <w:rFonts w:ascii="宋体" w:hAnsi="宋体" w:eastAsia="宋体" w:cs="宋体"/>
                <w:sz w:val="18"/>
                <w:szCs w:val="18"/>
              </w:rPr>
            </w:pPr>
            <w:r>
              <w:rPr>
                <w:rFonts w:hint="eastAsia" w:ascii="宋体" w:hAnsi="宋体" w:eastAsia="宋体" w:cs="宋体"/>
                <w:sz w:val="18"/>
                <w:szCs w:val="18"/>
              </w:rPr>
              <w:t>完成值</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分值</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得分</w:t>
            </w: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偏差原因分析及改进措施</w:t>
            </w:r>
          </w:p>
        </w:tc>
      </w:tr>
      <w:tr>
        <w:tblPrEx>
          <w:tblCellMar>
            <w:top w:w="0" w:type="dxa"/>
            <w:left w:w="108" w:type="dxa"/>
            <w:bottom w:w="0" w:type="dxa"/>
            <w:right w:w="108" w:type="dxa"/>
          </w:tblCellMar>
        </w:tblPrEx>
        <w:trPr>
          <w:trHeight w:val="518"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产出指标</w:t>
            </w:r>
          </w:p>
        </w:tc>
        <w:tc>
          <w:tcPr>
            <w:tcW w:w="1195"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数量指标</w:t>
            </w: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指标1：</w:t>
            </w:r>
            <w:r>
              <w:rPr>
                <w:rFonts w:hint="eastAsia" w:ascii="宋体" w:hAnsi="宋体" w:eastAsia="宋体" w:cs="宋体"/>
                <w:color w:val="000000"/>
                <w:sz w:val="18"/>
                <w:szCs w:val="18"/>
                <w:lang w:eastAsia="zh-CN"/>
              </w:rPr>
              <w:t>增收节支：2022年度协税护税奖励</w:t>
            </w:r>
          </w:p>
        </w:tc>
        <w:tc>
          <w:tcPr>
            <w:tcW w:w="850"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bidi="ar-SA"/>
              </w:rPr>
            </w:pPr>
            <w:r>
              <w:rPr>
                <w:rFonts w:hint="eastAsia" w:ascii="宋体" w:hAnsi="宋体" w:eastAsia="宋体" w:cs="宋体"/>
                <w:sz w:val="18"/>
                <w:szCs w:val="18"/>
                <w:lang w:val="en-US" w:eastAsia="zh-CN"/>
              </w:rPr>
              <w:t>0.36</w:t>
            </w:r>
          </w:p>
        </w:tc>
        <w:tc>
          <w:tcPr>
            <w:tcW w:w="851"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bidi="ar-SA"/>
              </w:rPr>
            </w:pPr>
            <w:r>
              <w:rPr>
                <w:rFonts w:hint="eastAsia" w:ascii="宋体" w:hAnsi="宋体" w:eastAsia="宋体" w:cs="宋体"/>
                <w:sz w:val="18"/>
                <w:szCs w:val="18"/>
                <w:lang w:val="en-US" w:eastAsia="zh-CN"/>
              </w:rPr>
              <w:t>0.36</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4</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4</w:t>
            </w: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hint="eastAsia" w:ascii="宋体" w:hAnsi="宋体" w:eastAsia="宋体" w:cs="宋体"/>
                <w:color w:val="000000"/>
                <w:sz w:val="16"/>
                <w:szCs w:val="16"/>
                <w:lang w:eastAsia="zh-CN"/>
              </w:rPr>
            </w:pPr>
            <w:r>
              <w:rPr>
                <w:rFonts w:hint="eastAsia" w:ascii="宋体" w:hAnsi="宋体" w:eastAsia="宋体" w:cs="宋体"/>
                <w:color w:val="000000"/>
                <w:sz w:val="16"/>
                <w:szCs w:val="16"/>
              </w:rPr>
              <w:t>指标2：</w:t>
            </w:r>
            <w:r>
              <w:rPr>
                <w:rFonts w:hint="eastAsia" w:ascii="宋体" w:hAnsi="宋体" w:eastAsia="宋体" w:cs="宋体"/>
                <w:color w:val="000000"/>
                <w:sz w:val="16"/>
                <w:szCs w:val="16"/>
                <w:lang w:eastAsia="zh-CN"/>
              </w:rPr>
              <w:t>职业年金返还等</w:t>
            </w:r>
          </w:p>
        </w:tc>
        <w:tc>
          <w:tcPr>
            <w:tcW w:w="850"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9.29</w:t>
            </w:r>
          </w:p>
        </w:tc>
        <w:tc>
          <w:tcPr>
            <w:tcW w:w="851"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bidi="ar-SA"/>
              </w:rPr>
            </w:pPr>
            <w:r>
              <w:rPr>
                <w:rFonts w:hint="eastAsia" w:ascii="宋体" w:hAnsi="宋体" w:eastAsia="宋体" w:cs="宋体"/>
                <w:sz w:val="18"/>
                <w:szCs w:val="18"/>
                <w:lang w:val="en-US" w:eastAsia="zh-CN" w:bidi="ar-SA"/>
              </w:rPr>
              <w:t>9.29</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3</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3</w:t>
            </w: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w:t>
            </w:r>
            <w:r>
              <w:rPr>
                <w:rFonts w:hint="eastAsia" w:ascii="宋体" w:hAnsi="宋体" w:eastAsia="宋体" w:cs="宋体"/>
                <w:color w:val="000000"/>
                <w:sz w:val="18"/>
                <w:szCs w:val="18"/>
                <w:lang w:val="en-US" w:eastAsia="zh-CN"/>
              </w:rPr>
              <w:t>3</w:t>
            </w:r>
            <w:r>
              <w:rPr>
                <w:rFonts w:hint="eastAsia" w:ascii="宋体" w:hAnsi="宋体" w:eastAsia="宋体" w:cs="宋体"/>
                <w:color w:val="000000"/>
                <w:sz w:val="18"/>
                <w:szCs w:val="18"/>
              </w:rPr>
              <w:t>：</w:t>
            </w:r>
            <w:r>
              <w:rPr>
                <w:rFonts w:hint="eastAsia" w:ascii="宋体" w:hAnsi="宋体" w:eastAsia="宋体" w:cs="宋体"/>
                <w:color w:val="000000"/>
                <w:sz w:val="18"/>
                <w:szCs w:val="18"/>
                <w:lang w:eastAsia="zh-CN"/>
              </w:rPr>
              <w:t>绩效评估优秀单位奖励</w:t>
            </w:r>
          </w:p>
        </w:tc>
        <w:tc>
          <w:tcPr>
            <w:tcW w:w="850" w:type="dxa"/>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2</w:t>
            </w:r>
          </w:p>
        </w:tc>
        <w:tc>
          <w:tcPr>
            <w:tcW w:w="851"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bidi="ar-SA"/>
              </w:rPr>
            </w:pPr>
            <w:r>
              <w:rPr>
                <w:rFonts w:hint="eastAsia" w:ascii="宋体" w:hAnsi="宋体" w:eastAsia="宋体" w:cs="宋体"/>
                <w:sz w:val="18"/>
                <w:szCs w:val="18"/>
                <w:lang w:val="en-US" w:eastAsia="zh-CN" w:bidi="ar-SA"/>
              </w:rPr>
              <w:t>2</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3</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3</w:t>
            </w: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质量指标</w:t>
            </w: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指标1：经费使用合规率</w:t>
            </w:r>
          </w:p>
        </w:tc>
        <w:tc>
          <w:tcPr>
            <w:tcW w:w="850"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bidi="ar-SA"/>
              </w:rPr>
            </w:pPr>
            <w:r>
              <w:rPr>
                <w:rFonts w:hint="eastAsia" w:ascii="宋体" w:hAnsi="宋体" w:eastAsia="宋体" w:cs="宋体"/>
                <w:sz w:val="18"/>
                <w:szCs w:val="18"/>
                <w:lang w:val="en-US" w:eastAsia="zh-CN"/>
              </w:rPr>
              <w:t>100%</w:t>
            </w:r>
          </w:p>
        </w:tc>
        <w:tc>
          <w:tcPr>
            <w:tcW w:w="851"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bidi="ar-SA"/>
              </w:rPr>
            </w:pPr>
            <w:r>
              <w:rPr>
                <w:rFonts w:hint="eastAsia" w:ascii="宋体" w:hAnsi="宋体" w:eastAsia="宋体" w:cs="宋体"/>
                <w:sz w:val="18"/>
                <w:szCs w:val="18"/>
                <w:lang w:val="en-US" w:eastAsia="zh-CN"/>
              </w:rPr>
              <w:t>94%</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7</w:t>
            </w: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指标2：</w:t>
            </w:r>
          </w:p>
        </w:tc>
        <w:tc>
          <w:tcPr>
            <w:tcW w:w="8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851"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lang w:val="en-US" w:eastAsia="zh-CN" w:bidi="ar-SA"/>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w:t>
            </w:r>
          </w:p>
        </w:tc>
        <w:tc>
          <w:tcPr>
            <w:tcW w:w="8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851"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lang w:val="en-US" w:eastAsia="zh-CN" w:bidi="ar-SA"/>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时效指标</w:t>
            </w: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指标1：完成及时率</w:t>
            </w:r>
          </w:p>
        </w:tc>
        <w:tc>
          <w:tcPr>
            <w:tcW w:w="850"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851"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bidi="ar-SA"/>
              </w:rPr>
            </w:pPr>
            <w:r>
              <w:rPr>
                <w:rFonts w:hint="eastAsia" w:ascii="宋体" w:hAnsi="宋体" w:eastAsia="宋体" w:cs="宋体"/>
                <w:sz w:val="18"/>
                <w:szCs w:val="18"/>
                <w:lang w:val="en-US" w:eastAsia="zh-CN"/>
              </w:rPr>
              <w:t>98%</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9</w:t>
            </w: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指标2：</w:t>
            </w:r>
          </w:p>
        </w:tc>
        <w:tc>
          <w:tcPr>
            <w:tcW w:w="8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851"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lang w:val="en-US" w:eastAsia="zh-CN" w:bidi="ar-SA"/>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w:t>
            </w:r>
          </w:p>
        </w:tc>
        <w:tc>
          <w:tcPr>
            <w:tcW w:w="8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851"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lang w:val="en-US" w:eastAsia="zh-CN" w:bidi="ar-SA"/>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445"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成本指标</w:t>
            </w: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指标1：</w:t>
            </w:r>
            <w:r>
              <w:rPr>
                <w:rFonts w:hint="eastAsia" w:ascii="宋体" w:hAnsi="宋体" w:eastAsia="宋体" w:cs="宋体"/>
                <w:color w:val="000000"/>
                <w:sz w:val="18"/>
                <w:szCs w:val="18"/>
                <w:lang w:eastAsia="zh-CN"/>
              </w:rPr>
              <w:t>增收节支</w:t>
            </w:r>
            <w:r>
              <w:rPr>
                <w:rFonts w:hint="eastAsia" w:ascii="宋体" w:hAnsi="宋体" w:eastAsia="宋体" w:cs="宋体"/>
                <w:color w:val="000000"/>
                <w:sz w:val="18"/>
                <w:szCs w:val="18"/>
              </w:rPr>
              <w:t>工作经费</w:t>
            </w:r>
          </w:p>
        </w:tc>
        <w:tc>
          <w:tcPr>
            <w:tcW w:w="850"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bidi="ar-SA"/>
              </w:rPr>
            </w:pPr>
            <w:r>
              <w:rPr>
                <w:rFonts w:hint="eastAsia" w:ascii="宋体" w:hAnsi="宋体" w:eastAsia="宋体" w:cs="宋体"/>
                <w:sz w:val="18"/>
                <w:szCs w:val="18"/>
                <w:lang w:val="en-US" w:eastAsia="zh-CN" w:bidi="ar-SA"/>
              </w:rPr>
              <w:t>11.65</w:t>
            </w:r>
          </w:p>
        </w:tc>
        <w:tc>
          <w:tcPr>
            <w:tcW w:w="851"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bidi="ar-SA"/>
              </w:rPr>
            </w:pPr>
            <w:r>
              <w:rPr>
                <w:rFonts w:hint="eastAsia" w:ascii="宋体" w:hAnsi="宋体" w:eastAsia="宋体" w:cs="宋体"/>
                <w:sz w:val="18"/>
                <w:szCs w:val="18"/>
                <w:lang w:val="en-US" w:eastAsia="zh-CN" w:bidi="ar-SA"/>
              </w:rPr>
              <w:t>11.65</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bidi="ar-SA"/>
              </w:rPr>
              <w:t>10</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bidi="ar-SA"/>
              </w:rPr>
              <w:t>10</w:t>
            </w: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指标2：社会成本节约率</w:t>
            </w:r>
          </w:p>
        </w:tc>
        <w:tc>
          <w:tcPr>
            <w:tcW w:w="850" w:type="dxa"/>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0</w:t>
            </w:r>
          </w:p>
        </w:tc>
        <w:tc>
          <w:tcPr>
            <w:tcW w:w="851" w:type="dxa"/>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0</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5"/>
                <w:szCs w:val="15"/>
                <w:lang w:eastAsia="zh-CN"/>
              </w:rPr>
              <w:t>指标</w:t>
            </w:r>
            <w:r>
              <w:rPr>
                <w:rFonts w:hint="eastAsia" w:ascii="宋体" w:hAnsi="宋体" w:eastAsia="宋体" w:cs="宋体"/>
                <w:color w:val="000000"/>
                <w:sz w:val="15"/>
                <w:szCs w:val="15"/>
                <w:lang w:val="en-US" w:eastAsia="zh-CN"/>
              </w:rPr>
              <w:t>3：</w:t>
            </w:r>
            <w:r>
              <w:rPr>
                <w:rFonts w:hint="eastAsia" w:ascii="宋体" w:hAnsi="宋体" w:eastAsia="宋体" w:cs="宋体"/>
                <w:color w:val="000000"/>
                <w:sz w:val="15"/>
                <w:szCs w:val="15"/>
              </w:rPr>
              <w:t>生态环境成本节约率</w:t>
            </w:r>
          </w:p>
        </w:tc>
        <w:tc>
          <w:tcPr>
            <w:tcW w:w="850" w:type="dxa"/>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0</w:t>
            </w:r>
          </w:p>
        </w:tc>
        <w:tc>
          <w:tcPr>
            <w:tcW w:w="851" w:type="dxa"/>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0</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效益指标</w:t>
            </w:r>
          </w:p>
        </w:tc>
        <w:tc>
          <w:tcPr>
            <w:tcW w:w="1195"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经济效益</w:t>
            </w:r>
          </w:p>
          <w:p>
            <w:pPr>
              <w:spacing w:line="240" w:lineRule="exact"/>
              <w:jc w:val="center"/>
              <w:rPr>
                <w:rFonts w:ascii="宋体" w:hAnsi="宋体" w:eastAsia="宋体" w:cs="宋体"/>
                <w:sz w:val="18"/>
                <w:szCs w:val="18"/>
              </w:rPr>
            </w:pPr>
            <w:r>
              <w:rPr>
                <w:rFonts w:hint="eastAsia" w:ascii="宋体" w:hAnsi="宋体" w:eastAsia="宋体" w:cs="宋体"/>
                <w:sz w:val="18"/>
                <w:szCs w:val="18"/>
              </w:rPr>
              <w:t>指标</w:t>
            </w: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rPr>
              <w:t>指标1：</w:t>
            </w:r>
            <w:r>
              <w:rPr>
                <w:rFonts w:hint="eastAsia" w:ascii="宋体" w:hAnsi="宋体" w:eastAsia="宋体" w:cs="宋体"/>
                <w:color w:val="000000"/>
                <w:sz w:val="18"/>
                <w:szCs w:val="18"/>
                <w:lang w:eastAsia="zh-CN"/>
              </w:rPr>
              <w:t>增收节支</w:t>
            </w:r>
          </w:p>
        </w:tc>
        <w:tc>
          <w:tcPr>
            <w:tcW w:w="8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5"/>
                <w:szCs w:val="15"/>
              </w:rPr>
              <w:t>效果明显</w:t>
            </w:r>
          </w:p>
        </w:tc>
        <w:tc>
          <w:tcPr>
            <w:tcW w:w="851"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5"/>
                <w:szCs w:val="15"/>
              </w:rPr>
              <w:t>效果明显</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指标2：</w:t>
            </w:r>
          </w:p>
        </w:tc>
        <w:tc>
          <w:tcPr>
            <w:tcW w:w="8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851"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w:t>
            </w:r>
          </w:p>
        </w:tc>
        <w:tc>
          <w:tcPr>
            <w:tcW w:w="8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851"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社会效益</w:t>
            </w:r>
          </w:p>
          <w:p>
            <w:pPr>
              <w:spacing w:line="240" w:lineRule="exact"/>
              <w:jc w:val="center"/>
              <w:rPr>
                <w:rFonts w:ascii="宋体" w:hAnsi="宋体" w:eastAsia="宋体" w:cs="宋体"/>
                <w:sz w:val="18"/>
                <w:szCs w:val="18"/>
              </w:rPr>
            </w:pPr>
            <w:r>
              <w:rPr>
                <w:rFonts w:hint="eastAsia" w:ascii="宋体" w:hAnsi="宋体" w:eastAsia="宋体" w:cs="宋体"/>
                <w:sz w:val="18"/>
                <w:szCs w:val="18"/>
              </w:rPr>
              <w:t>指标</w:t>
            </w: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rPr>
              <w:t>指标1：</w:t>
            </w:r>
            <w:r>
              <w:rPr>
                <w:rFonts w:hint="eastAsia" w:ascii="宋体" w:hAnsi="宋体" w:eastAsia="宋体" w:cs="宋体"/>
                <w:color w:val="000000"/>
                <w:sz w:val="18"/>
                <w:szCs w:val="18"/>
                <w:lang w:eastAsia="zh-CN"/>
              </w:rPr>
              <w:t>社会保障</w:t>
            </w:r>
          </w:p>
        </w:tc>
        <w:tc>
          <w:tcPr>
            <w:tcW w:w="8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5"/>
                <w:szCs w:val="15"/>
              </w:rPr>
              <w:t>效果明显</w:t>
            </w:r>
          </w:p>
        </w:tc>
        <w:tc>
          <w:tcPr>
            <w:tcW w:w="851" w:type="dxa"/>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5"/>
                <w:szCs w:val="15"/>
                <w:lang w:eastAsia="zh-CN"/>
              </w:rPr>
            </w:pPr>
            <w:r>
              <w:rPr>
                <w:rFonts w:hint="eastAsia" w:ascii="宋体" w:hAnsi="宋体" w:eastAsia="宋体" w:cs="宋体"/>
                <w:sz w:val="15"/>
                <w:szCs w:val="15"/>
                <w:lang w:eastAsia="zh-CN"/>
              </w:rPr>
              <w:t>效果一般</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指标2：</w:t>
            </w:r>
          </w:p>
        </w:tc>
        <w:tc>
          <w:tcPr>
            <w:tcW w:w="8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851"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w:t>
            </w:r>
          </w:p>
        </w:tc>
        <w:tc>
          <w:tcPr>
            <w:tcW w:w="8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851"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生态效益</w:t>
            </w:r>
          </w:p>
          <w:p>
            <w:pPr>
              <w:spacing w:line="240" w:lineRule="exact"/>
              <w:jc w:val="center"/>
              <w:rPr>
                <w:rFonts w:ascii="宋体" w:hAnsi="宋体" w:eastAsia="宋体" w:cs="宋体"/>
                <w:sz w:val="18"/>
                <w:szCs w:val="18"/>
              </w:rPr>
            </w:pPr>
            <w:r>
              <w:rPr>
                <w:rFonts w:hint="eastAsia" w:ascii="宋体" w:hAnsi="宋体" w:eastAsia="宋体" w:cs="宋体"/>
                <w:sz w:val="18"/>
                <w:szCs w:val="18"/>
              </w:rPr>
              <w:t>指标</w:t>
            </w: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指标1：生态效益情况</w:t>
            </w:r>
          </w:p>
        </w:tc>
        <w:tc>
          <w:tcPr>
            <w:tcW w:w="8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5"/>
                <w:szCs w:val="15"/>
              </w:rPr>
            </w:pPr>
            <w:r>
              <w:rPr>
                <w:rFonts w:hint="eastAsia" w:ascii="宋体" w:hAnsi="宋体" w:eastAsia="宋体" w:cs="宋体"/>
                <w:sz w:val="15"/>
                <w:szCs w:val="15"/>
              </w:rPr>
              <w:t>效果明显</w:t>
            </w:r>
          </w:p>
        </w:tc>
        <w:tc>
          <w:tcPr>
            <w:tcW w:w="851"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5"/>
                <w:szCs w:val="15"/>
              </w:rPr>
            </w:pPr>
            <w:r>
              <w:rPr>
                <w:rFonts w:hint="eastAsia" w:ascii="宋体" w:hAnsi="宋体" w:eastAsia="宋体" w:cs="宋体"/>
                <w:sz w:val="15"/>
                <w:szCs w:val="15"/>
              </w:rPr>
              <w:t>效果明显</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指标2：</w:t>
            </w:r>
          </w:p>
        </w:tc>
        <w:tc>
          <w:tcPr>
            <w:tcW w:w="8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851"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w:t>
            </w:r>
          </w:p>
        </w:tc>
        <w:tc>
          <w:tcPr>
            <w:tcW w:w="8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851"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可持续影响指标</w:t>
            </w: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rPr>
              <w:t>指标1：</w:t>
            </w:r>
            <w:r>
              <w:rPr>
                <w:rFonts w:hint="eastAsia" w:ascii="宋体" w:hAnsi="宋体" w:eastAsia="宋体" w:cs="宋体"/>
                <w:color w:val="000000"/>
                <w:sz w:val="18"/>
                <w:szCs w:val="18"/>
                <w:lang w:eastAsia="zh-CN"/>
              </w:rPr>
              <w:t>政策执行效率</w:t>
            </w:r>
          </w:p>
        </w:tc>
        <w:tc>
          <w:tcPr>
            <w:tcW w:w="8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可持续</w:t>
            </w:r>
          </w:p>
        </w:tc>
        <w:tc>
          <w:tcPr>
            <w:tcW w:w="851"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可持续</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指标2：</w:t>
            </w:r>
          </w:p>
        </w:tc>
        <w:tc>
          <w:tcPr>
            <w:tcW w:w="8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851"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w:t>
            </w:r>
          </w:p>
        </w:tc>
        <w:tc>
          <w:tcPr>
            <w:tcW w:w="8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851"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restart"/>
            <w:tcBorders>
              <w:top w:val="nil"/>
              <w:left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满意度</w:t>
            </w:r>
          </w:p>
          <w:p>
            <w:pPr>
              <w:spacing w:line="240" w:lineRule="exact"/>
              <w:jc w:val="center"/>
              <w:rPr>
                <w:rFonts w:ascii="宋体" w:hAnsi="宋体" w:eastAsia="宋体" w:cs="宋体"/>
                <w:sz w:val="18"/>
                <w:szCs w:val="18"/>
              </w:rPr>
            </w:pPr>
            <w:r>
              <w:rPr>
                <w:rFonts w:hint="eastAsia" w:ascii="宋体" w:hAnsi="宋体" w:eastAsia="宋体" w:cs="宋体"/>
                <w:sz w:val="18"/>
                <w:szCs w:val="18"/>
              </w:rPr>
              <w:t>指标</w:t>
            </w:r>
          </w:p>
        </w:tc>
        <w:tc>
          <w:tcPr>
            <w:tcW w:w="1195"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服务对象满意度指标</w:t>
            </w: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指标1：群众满意度</w:t>
            </w:r>
          </w:p>
        </w:tc>
        <w:tc>
          <w:tcPr>
            <w:tcW w:w="850"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bidi="ar-SA"/>
              </w:rPr>
            </w:pPr>
            <w:r>
              <w:rPr>
                <w:rFonts w:hint="eastAsia" w:ascii="宋体" w:hAnsi="宋体" w:eastAsia="宋体" w:cs="宋体"/>
                <w:sz w:val="18"/>
                <w:szCs w:val="18"/>
                <w:lang w:val="en-US" w:eastAsia="zh-CN"/>
              </w:rPr>
              <w:t>100%</w:t>
            </w:r>
          </w:p>
        </w:tc>
        <w:tc>
          <w:tcPr>
            <w:tcW w:w="851"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95%</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9</w:t>
            </w: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指标2：</w:t>
            </w:r>
          </w:p>
        </w:tc>
        <w:tc>
          <w:tcPr>
            <w:tcW w:w="8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851"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w:t>
            </w:r>
          </w:p>
        </w:tc>
        <w:tc>
          <w:tcPr>
            <w:tcW w:w="8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851"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总分</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90</w:t>
            </w: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bl>
    <w:p>
      <w:pPr>
        <w:spacing w:after="0"/>
        <w:rPr>
          <w:rFonts w:hint="eastAsia" w:ascii="黑体" w:hAnsi="黑体" w:eastAsia="黑体"/>
          <w:sz w:val="28"/>
          <w:szCs w:val="28"/>
        </w:rPr>
      </w:pPr>
    </w:p>
    <w:p>
      <w:pPr>
        <w:spacing w:after="0"/>
        <w:rPr>
          <w:rFonts w:hint="eastAsia" w:ascii="黑体" w:hAnsi="黑体" w:eastAsia="黑体"/>
          <w:sz w:val="28"/>
          <w:szCs w:val="28"/>
        </w:rPr>
      </w:pPr>
      <w:r>
        <w:rPr>
          <w:rFonts w:hint="eastAsia" w:ascii="黑体" w:hAnsi="黑体" w:eastAsia="黑体"/>
          <w:sz w:val="28"/>
          <w:szCs w:val="28"/>
        </w:rPr>
        <w:t>附件</w:t>
      </w:r>
      <w:r>
        <w:rPr>
          <w:rFonts w:ascii="黑体" w:hAnsi="黑体" w:eastAsia="黑体"/>
          <w:sz w:val="28"/>
          <w:szCs w:val="28"/>
        </w:rPr>
        <w:t>2</w:t>
      </w:r>
      <w:r>
        <w:rPr>
          <w:rFonts w:hint="eastAsia" w:ascii="黑体" w:hAnsi="黑体" w:eastAsia="黑体"/>
          <w:sz w:val="28"/>
          <w:szCs w:val="28"/>
        </w:rPr>
        <w:t>：</w:t>
      </w:r>
    </w:p>
    <w:p>
      <w:pPr>
        <w:spacing w:after="0"/>
        <w:jc w:val="center"/>
        <w:rPr>
          <w:rFonts w:hint="eastAsia" w:asciiTheme="minorEastAsia" w:hAnsiTheme="minorEastAsia" w:eastAsiaTheme="minorEastAsia" w:cstheme="minorEastAsia"/>
          <w:b/>
          <w:bCs w:val="0"/>
          <w:sz w:val="32"/>
          <w:szCs w:val="32"/>
        </w:rPr>
      </w:pPr>
      <w:r>
        <w:rPr>
          <w:rFonts w:hint="eastAsia" w:asciiTheme="minorEastAsia" w:hAnsiTheme="minorEastAsia" w:eastAsiaTheme="minorEastAsia" w:cstheme="minorEastAsia"/>
          <w:b/>
          <w:bCs w:val="0"/>
          <w:sz w:val="44"/>
          <w:szCs w:val="44"/>
        </w:rPr>
        <w:t>中方县</w:t>
      </w:r>
      <w:r>
        <w:rPr>
          <w:rFonts w:hint="eastAsia" w:asciiTheme="minorEastAsia" w:hAnsiTheme="minorEastAsia" w:eastAsiaTheme="minorEastAsia" w:cstheme="minorEastAsia"/>
          <w:b/>
          <w:bCs w:val="0"/>
          <w:sz w:val="44"/>
          <w:szCs w:val="44"/>
          <w:lang w:eastAsia="zh-CN"/>
        </w:rPr>
        <w:t>人社局202</w:t>
      </w:r>
      <w:r>
        <w:rPr>
          <w:rFonts w:hint="eastAsia" w:asciiTheme="minorEastAsia" w:hAnsiTheme="minorEastAsia" w:eastAsiaTheme="minorEastAsia" w:cstheme="minorEastAsia"/>
          <w:b/>
          <w:bCs w:val="0"/>
          <w:sz w:val="44"/>
          <w:szCs w:val="44"/>
          <w:lang w:val="en-US" w:eastAsia="zh-CN"/>
        </w:rPr>
        <w:t>3</w:t>
      </w:r>
      <w:r>
        <w:rPr>
          <w:rFonts w:hint="eastAsia" w:asciiTheme="minorEastAsia" w:hAnsiTheme="minorEastAsia" w:eastAsiaTheme="minorEastAsia" w:cstheme="minorEastAsia"/>
          <w:b/>
          <w:bCs w:val="0"/>
          <w:sz w:val="44"/>
          <w:szCs w:val="44"/>
        </w:rPr>
        <w:t>年度</w:t>
      </w:r>
      <w:r>
        <w:rPr>
          <w:rFonts w:hint="eastAsia" w:asciiTheme="minorEastAsia" w:hAnsiTheme="minorEastAsia" w:eastAsiaTheme="minorEastAsia" w:cstheme="minorEastAsia"/>
          <w:b/>
          <w:bCs w:val="0"/>
          <w:sz w:val="44"/>
          <w:szCs w:val="44"/>
          <w:lang w:eastAsia="zh-CN"/>
        </w:rPr>
        <w:t>增收节支：2022年度协税护税奖励和职业年金返还等项</w:t>
      </w:r>
      <w:r>
        <w:rPr>
          <w:rFonts w:hint="eastAsia" w:asciiTheme="minorEastAsia" w:hAnsiTheme="minorEastAsia" w:eastAsiaTheme="minorEastAsia" w:cstheme="minorEastAsia"/>
          <w:b/>
          <w:bCs w:val="0"/>
          <w:sz w:val="44"/>
          <w:szCs w:val="44"/>
        </w:rPr>
        <w:t>目支出绩效自评报告</w:t>
      </w:r>
    </w:p>
    <w:p>
      <w:pPr>
        <w:numPr>
          <w:ilvl w:val="0"/>
          <w:numId w:val="1"/>
        </w:numPr>
        <w:spacing w:after="0"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基本情况</w:t>
      </w:r>
    </w:p>
    <w:p>
      <w:pPr>
        <w:keepNext w:val="0"/>
        <w:keepLines w:val="0"/>
        <w:pageBreakBefore w:val="0"/>
        <w:numPr>
          <w:ilvl w:val="0"/>
          <w:numId w:val="0"/>
        </w:numPr>
        <w:kinsoku/>
        <w:wordWrap/>
        <w:overflowPunct/>
        <w:topLinePunct w:val="0"/>
        <w:autoSpaceDE/>
        <w:autoSpaceDN/>
        <w:bidi w:val="0"/>
        <w:spacing w:after="0" w:line="540" w:lineRule="exact"/>
        <w:ind w:firstLine="640" w:firstLineChars="200"/>
        <w:jc w:val="both"/>
        <w:textAlignment w:val="auto"/>
        <w:rPr>
          <w:rFonts w:hint="eastAsia" w:ascii="Times New Roman" w:hAnsi="Times New Roman" w:eastAsia="仿宋"/>
          <w:sz w:val="32"/>
          <w:szCs w:val="32"/>
          <w:lang w:val="en-US" w:eastAsia="zh-CN"/>
        </w:rPr>
      </w:pPr>
      <w:r>
        <w:rPr>
          <w:rFonts w:hint="eastAsia" w:ascii="仿宋" w:hAnsi="仿宋" w:eastAsia="仿宋" w:cs="仿宋"/>
          <w:sz w:val="32"/>
          <w:szCs w:val="32"/>
        </w:rPr>
        <w:t>（一）项目概况。包括项目背景、主要内容及实施情况、资金投入和使用情况等。</w:t>
      </w:r>
      <w:r>
        <w:rPr>
          <w:rFonts w:hint="eastAsia" w:ascii="Times New Roman" w:hAnsi="Times New Roman" w:eastAsia="仿宋"/>
          <w:sz w:val="32"/>
          <w:szCs w:val="32"/>
          <w:lang w:val="en-US" w:eastAsia="zh-CN"/>
        </w:rPr>
        <w:t xml:space="preserve">                                      </w:t>
      </w:r>
    </w:p>
    <w:p>
      <w:pPr>
        <w:pStyle w:val="14"/>
        <w:keepNext w:val="0"/>
        <w:keepLines w:val="0"/>
        <w:pageBreakBefore w:val="0"/>
        <w:kinsoku/>
        <w:wordWrap/>
        <w:overflowPunct/>
        <w:topLinePunct w:val="0"/>
        <w:autoSpaceDE/>
        <w:autoSpaceDN/>
        <w:bidi w:val="0"/>
        <w:spacing w:line="540" w:lineRule="exact"/>
        <w:ind w:firstLine="640" w:firstLineChars="200"/>
        <w:jc w:val="both"/>
        <w:textAlignment w:val="auto"/>
        <w:rPr>
          <w:rFonts w:hint="eastAsia" w:ascii="Times New Roman" w:hAnsi="Times New Roman" w:eastAsia="仿宋"/>
          <w:sz w:val="32"/>
          <w:szCs w:val="32"/>
          <w:lang w:val="en-US" w:eastAsia="zh-CN"/>
        </w:rPr>
      </w:pPr>
      <w:r>
        <w:rPr>
          <w:rFonts w:hint="eastAsia" w:ascii="Times New Roman" w:hAnsi="Times New Roman" w:eastAsia="仿宋"/>
          <w:sz w:val="32"/>
          <w:szCs w:val="32"/>
          <w:lang w:val="en-US" w:eastAsia="zh-CN"/>
        </w:rPr>
        <w:t>1、项目名称：协税护税奖励（车船税），主要用于协税护税奖励（车船税）兑现；奖励绩效主要用于绩效考核奖励；职业年金返还主要用于退休职工年金返还。</w:t>
      </w:r>
    </w:p>
    <w:p>
      <w:pPr>
        <w:pStyle w:val="14"/>
        <w:keepNext w:val="0"/>
        <w:keepLines w:val="0"/>
        <w:pageBreakBefore w:val="0"/>
        <w:kinsoku/>
        <w:wordWrap/>
        <w:overflowPunct/>
        <w:topLinePunct w:val="0"/>
        <w:autoSpaceDE/>
        <w:autoSpaceDN/>
        <w:bidi w:val="0"/>
        <w:spacing w:line="540" w:lineRule="exact"/>
        <w:ind w:firstLine="640" w:firstLineChars="200"/>
        <w:jc w:val="both"/>
        <w:textAlignment w:val="auto"/>
        <w:rPr>
          <w:rFonts w:hint="eastAsia" w:ascii="Times New Roman" w:hAnsi="Times New Roman" w:eastAsia="仿宋"/>
          <w:sz w:val="32"/>
          <w:szCs w:val="32"/>
          <w:lang w:val="en-US" w:eastAsia="zh-CN"/>
        </w:rPr>
      </w:pPr>
      <w:r>
        <w:rPr>
          <w:rFonts w:hint="eastAsia" w:ascii="Times New Roman" w:hAnsi="Times New Roman" w:eastAsia="仿宋"/>
          <w:sz w:val="32"/>
          <w:szCs w:val="32"/>
          <w:lang w:val="en-US" w:eastAsia="zh-CN"/>
        </w:rPr>
        <w:t>2、项目资金使用及管理情况</w:t>
      </w:r>
    </w:p>
    <w:p>
      <w:pPr>
        <w:pStyle w:val="14"/>
        <w:keepNext w:val="0"/>
        <w:keepLines w:val="0"/>
        <w:pageBreakBefore w:val="0"/>
        <w:kinsoku/>
        <w:wordWrap/>
        <w:overflowPunct/>
        <w:topLinePunct w:val="0"/>
        <w:autoSpaceDE/>
        <w:autoSpaceDN/>
        <w:bidi w:val="0"/>
        <w:spacing w:line="540" w:lineRule="exact"/>
        <w:ind w:firstLine="640" w:firstLineChars="200"/>
        <w:jc w:val="both"/>
        <w:textAlignment w:val="auto"/>
        <w:rPr>
          <w:rFonts w:hint="eastAsia" w:ascii="Times New Roman" w:hAnsi="Times New Roman" w:eastAsia="仿宋"/>
          <w:sz w:val="32"/>
          <w:szCs w:val="32"/>
          <w:lang w:val="en-US" w:eastAsia="zh-CN"/>
        </w:rPr>
      </w:pPr>
      <w:r>
        <w:rPr>
          <w:rFonts w:hint="eastAsia" w:ascii="Times New Roman" w:hAnsi="Times New Roman" w:eastAsia="仿宋"/>
          <w:sz w:val="32"/>
          <w:szCs w:val="32"/>
          <w:lang w:val="en-US" w:eastAsia="zh-CN"/>
        </w:rPr>
        <w:t>（1）、经费来源及金额：列入县财政追加预算，共11.65万元。</w:t>
      </w:r>
    </w:p>
    <w:p>
      <w:pPr>
        <w:pStyle w:val="14"/>
        <w:keepNext w:val="0"/>
        <w:keepLines w:val="0"/>
        <w:pageBreakBefore w:val="0"/>
        <w:kinsoku/>
        <w:wordWrap/>
        <w:overflowPunct/>
        <w:topLinePunct w:val="0"/>
        <w:autoSpaceDE/>
        <w:autoSpaceDN/>
        <w:bidi w:val="0"/>
        <w:spacing w:line="540" w:lineRule="exact"/>
        <w:ind w:firstLine="640" w:firstLineChars="200"/>
        <w:jc w:val="both"/>
        <w:textAlignment w:val="auto"/>
        <w:rPr>
          <w:rFonts w:ascii="Times New Roman" w:hAnsi="Times New Roman" w:eastAsia="仿宋"/>
          <w:sz w:val="32"/>
          <w:szCs w:val="32"/>
        </w:rPr>
      </w:pPr>
      <w:r>
        <w:rPr>
          <w:rFonts w:hint="eastAsia" w:ascii="Times New Roman" w:hAnsi="Times New Roman" w:eastAsia="仿宋"/>
          <w:sz w:val="32"/>
          <w:szCs w:val="32"/>
          <w:lang w:val="en-US" w:eastAsia="zh-CN"/>
        </w:rPr>
        <w:t>（2）、经费使用情况：财政拨入的该专项收入全部足额支付。</w:t>
      </w:r>
    </w:p>
    <w:p>
      <w:pPr>
        <w:keepNext w:val="0"/>
        <w:keepLines w:val="0"/>
        <w:pageBreakBefore w:val="0"/>
        <w:numPr>
          <w:ilvl w:val="0"/>
          <w:numId w:val="0"/>
        </w:numPr>
        <w:kinsoku/>
        <w:wordWrap/>
        <w:overflowPunct/>
        <w:topLinePunct w:val="0"/>
        <w:autoSpaceDE/>
        <w:autoSpaceDN/>
        <w:bidi w:val="0"/>
        <w:spacing w:after="0" w:line="560" w:lineRule="exact"/>
        <w:ind w:firstLine="640" w:firstLineChars="200"/>
        <w:jc w:val="both"/>
        <w:textAlignment w:val="auto"/>
        <w:rPr>
          <w:rFonts w:hint="eastAsia" w:ascii="Times New Roman" w:hAnsi="Times New Roman" w:eastAsia="仿宋" w:cs="Times New Roman"/>
          <w:kern w:val="2"/>
          <w:sz w:val="32"/>
          <w:szCs w:val="32"/>
          <w:lang w:val="en-US" w:eastAsia="zh-CN" w:bidi="ar-SA"/>
        </w:rPr>
      </w:pPr>
      <w:r>
        <w:rPr>
          <w:rFonts w:hint="eastAsia" w:ascii="Times New Roman" w:hAnsi="Times New Roman" w:eastAsia="仿宋" w:cs="Times New Roman"/>
          <w:kern w:val="2"/>
          <w:sz w:val="32"/>
          <w:szCs w:val="32"/>
          <w:lang w:val="en-US" w:eastAsia="zh-CN" w:bidi="ar-SA"/>
        </w:rPr>
        <w:t>（二）项目绩效目标。包括总体目标和阶段性目标。</w:t>
      </w:r>
    </w:p>
    <w:p>
      <w:pPr>
        <w:keepNext w:val="0"/>
        <w:keepLines w:val="0"/>
        <w:pageBreakBefore w:val="0"/>
        <w:kinsoku/>
        <w:wordWrap/>
        <w:overflowPunct/>
        <w:topLinePunct w:val="0"/>
        <w:autoSpaceDE/>
        <w:autoSpaceDN/>
        <w:bidi w:val="0"/>
        <w:spacing w:after="0" w:line="560" w:lineRule="exact"/>
        <w:ind w:firstLine="640" w:firstLineChars="200"/>
        <w:jc w:val="both"/>
        <w:textAlignment w:val="auto"/>
        <w:rPr>
          <w:rFonts w:ascii="仿宋" w:hAnsi="仿宋" w:eastAsia="仿宋" w:cs="仿宋"/>
          <w:sz w:val="32"/>
          <w:szCs w:val="32"/>
        </w:rPr>
      </w:pPr>
      <w:r>
        <w:rPr>
          <w:rFonts w:hint="eastAsia" w:ascii="Times New Roman" w:hAnsi="Times New Roman" w:eastAsia="仿宋" w:cs="Times New Roman"/>
          <w:kern w:val="2"/>
          <w:sz w:val="32"/>
          <w:szCs w:val="32"/>
          <w:lang w:val="en-US" w:eastAsia="zh-CN" w:bidi="ar-SA"/>
        </w:rPr>
        <w:t xml:space="preserve"> 本项目的总体目标是：确保干部职工车船税全年缴纳，增加财政收入；保障退休人员的职业年金及时到位；绩效评估优秀单位奖励及时到位。</w:t>
      </w:r>
    </w:p>
    <w:p>
      <w:pPr>
        <w:spacing w:after="0"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二、绩效评价工作开展情况</w:t>
      </w:r>
    </w:p>
    <w:p>
      <w:pPr>
        <w:keepNext w:val="0"/>
        <w:keepLines w:val="0"/>
        <w:pageBreakBefore w:val="0"/>
        <w:numPr>
          <w:ilvl w:val="0"/>
          <w:numId w:val="0"/>
        </w:numPr>
        <w:kinsoku/>
        <w:wordWrap/>
        <w:overflowPunct/>
        <w:topLinePunct w:val="0"/>
        <w:autoSpaceDE/>
        <w:autoSpaceDN/>
        <w:bidi w:val="0"/>
        <w:spacing w:after="0" w:line="560" w:lineRule="exact"/>
        <w:ind w:leftChars="200"/>
        <w:jc w:val="both"/>
        <w:textAlignment w:val="auto"/>
        <w:rPr>
          <w:rFonts w:hint="eastAsia" w:ascii="Times New Roman" w:hAnsi="Times New Roman" w:eastAsia="仿宋" w:cs="Times New Roman"/>
          <w:kern w:val="2"/>
          <w:sz w:val="32"/>
          <w:szCs w:val="32"/>
          <w:lang w:val="en-US" w:eastAsia="zh-CN" w:bidi="ar-SA"/>
        </w:rPr>
      </w:pPr>
      <w:r>
        <w:rPr>
          <w:rFonts w:hint="eastAsia" w:ascii="Times New Roman" w:hAnsi="Times New Roman" w:eastAsia="仿宋" w:cs="Times New Roman"/>
          <w:kern w:val="2"/>
          <w:sz w:val="32"/>
          <w:szCs w:val="32"/>
          <w:lang w:val="en-US" w:eastAsia="zh-CN" w:bidi="ar-SA"/>
        </w:rPr>
        <w:t>（一）绩效评价目的、对象和范围。</w:t>
      </w:r>
    </w:p>
    <w:p>
      <w:pPr>
        <w:keepNext w:val="0"/>
        <w:keepLines w:val="0"/>
        <w:pageBreakBefore w:val="0"/>
        <w:numPr>
          <w:ilvl w:val="0"/>
          <w:numId w:val="0"/>
        </w:numPr>
        <w:kinsoku/>
        <w:wordWrap/>
        <w:overflowPunct/>
        <w:topLinePunct w:val="0"/>
        <w:autoSpaceDE/>
        <w:autoSpaceDN/>
        <w:bidi w:val="0"/>
        <w:spacing w:after="0" w:line="560" w:lineRule="exact"/>
        <w:ind w:left="0" w:leftChars="0" w:firstLine="640" w:firstLineChars="200"/>
        <w:jc w:val="both"/>
        <w:textAlignment w:val="auto"/>
        <w:rPr>
          <w:rFonts w:hint="eastAsia" w:ascii="Times New Roman" w:hAnsi="Times New Roman" w:eastAsia="仿宋" w:cs="Times New Roman"/>
          <w:kern w:val="2"/>
          <w:sz w:val="32"/>
          <w:szCs w:val="32"/>
          <w:lang w:val="en-US" w:eastAsia="zh-CN" w:bidi="ar-SA"/>
        </w:rPr>
      </w:pPr>
      <w:r>
        <w:rPr>
          <w:rFonts w:hint="eastAsia" w:ascii="Times New Roman" w:hAnsi="Times New Roman" w:eastAsia="仿宋" w:cs="Times New Roman"/>
          <w:kern w:val="2"/>
          <w:sz w:val="32"/>
          <w:szCs w:val="32"/>
          <w:lang w:val="en-US" w:eastAsia="zh-CN" w:bidi="ar-SA"/>
        </w:rPr>
        <w:t>绩效评价的目的是为了更清晰的界定工作的内容是否达到了预定的标准。对象和范围是：项目立项依据的充分性和立项程序的规范性，财政资金的投入及利用率和合理性，绩效目标的达成情况。</w:t>
      </w:r>
    </w:p>
    <w:p>
      <w:pPr>
        <w:keepNext w:val="0"/>
        <w:keepLines w:val="0"/>
        <w:pageBreakBefore w:val="0"/>
        <w:numPr>
          <w:ilvl w:val="0"/>
          <w:numId w:val="0"/>
        </w:numPr>
        <w:kinsoku/>
        <w:wordWrap/>
        <w:overflowPunct/>
        <w:topLinePunct w:val="0"/>
        <w:autoSpaceDE/>
        <w:autoSpaceDN/>
        <w:bidi w:val="0"/>
        <w:spacing w:after="0" w:line="560" w:lineRule="exact"/>
        <w:ind w:left="0" w:leftChars="0" w:firstLine="640" w:firstLineChars="200"/>
        <w:jc w:val="both"/>
        <w:textAlignment w:val="auto"/>
        <w:rPr>
          <w:rFonts w:hint="eastAsia" w:ascii="Times New Roman" w:hAnsi="Times New Roman" w:eastAsia="仿宋" w:cs="Times New Roman"/>
          <w:kern w:val="2"/>
          <w:sz w:val="32"/>
          <w:szCs w:val="32"/>
          <w:lang w:val="en-US" w:eastAsia="zh-CN" w:bidi="ar-SA"/>
        </w:rPr>
      </w:pPr>
      <w:r>
        <w:rPr>
          <w:rFonts w:hint="eastAsia" w:ascii="Times New Roman" w:hAnsi="Times New Roman" w:eastAsia="仿宋" w:cs="Times New Roman"/>
          <w:kern w:val="2"/>
          <w:sz w:val="32"/>
          <w:szCs w:val="32"/>
          <w:lang w:val="en-US" w:eastAsia="zh-CN" w:bidi="ar-SA"/>
        </w:rPr>
        <w:t>（二）绩效评价原则、评价指标体系（附表说明）、评价方法、评价标准等。</w:t>
      </w:r>
    </w:p>
    <w:p>
      <w:pPr>
        <w:pStyle w:val="14"/>
        <w:keepNext w:val="0"/>
        <w:keepLines w:val="0"/>
        <w:pageBreakBefore w:val="0"/>
        <w:kinsoku/>
        <w:wordWrap/>
        <w:overflowPunct/>
        <w:topLinePunct w:val="0"/>
        <w:autoSpaceDE/>
        <w:autoSpaceDN/>
        <w:bidi w:val="0"/>
        <w:spacing w:line="560" w:lineRule="exact"/>
        <w:ind w:firstLine="640" w:firstLineChars="200"/>
        <w:jc w:val="both"/>
        <w:textAlignment w:val="auto"/>
        <w:rPr>
          <w:rFonts w:hint="eastAsia" w:ascii="Times New Roman" w:hAnsi="Times New Roman" w:eastAsia="仿宋" w:cs="Times New Roman"/>
          <w:kern w:val="2"/>
          <w:sz w:val="32"/>
          <w:szCs w:val="32"/>
          <w:lang w:val="en-US" w:eastAsia="zh-CN" w:bidi="ar-SA"/>
        </w:rPr>
      </w:pPr>
      <w:r>
        <w:rPr>
          <w:rFonts w:hint="eastAsia" w:ascii="Times New Roman" w:hAnsi="Times New Roman" w:eastAsia="仿宋" w:cs="Times New Roman"/>
          <w:kern w:val="2"/>
          <w:sz w:val="32"/>
          <w:szCs w:val="32"/>
          <w:lang w:val="en-US" w:eastAsia="zh-CN" w:bidi="ar-SA"/>
        </w:rPr>
        <w:t>本项目的绩效评价原则和评价指标紧密联系，相互融通。本年度该项目绩效指标分别有一级指标、二级指标、三级指标以及指标值及单位。详见附表。</w:t>
      </w:r>
    </w:p>
    <w:p>
      <w:pPr>
        <w:keepNext w:val="0"/>
        <w:keepLines w:val="0"/>
        <w:pageBreakBefore w:val="0"/>
        <w:numPr>
          <w:ilvl w:val="0"/>
          <w:numId w:val="0"/>
        </w:numPr>
        <w:kinsoku/>
        <w:wordWrap/>
        <w:overflowPunct/>
        <w:topLinePunct w:val="0"/>
        <w:autoSpaceDE/>
        <w:autoSpaceDN/>
        <w:bidi w:val="0"/>
        <w:spacing w:after="0" w:line="560" w:lineRule="exact"/>
        <w:ind w:left="0" w:leftChars="0" w:firstLine="640" w:firstLineChars="200"/>
        <w:jc w:val="both"/>
        <w:textAlignment w:val="auto"/>
        <w:rPr>
          <w:rFonts w:hint="eastAsia" w:ascii="Times New Roman" w:hAnsi="Times New Roman" w:eastAsia="仿宋" w:cs="Times New Roman"/>
          <w:kern w:val="2"/>
          <w:sz w:val="32"/>
          <w:szCs w:val="32"/>
          <w:lang w:val="en-US" w:eastAsia="zh-CN" w:bidi="ar-SA"/>
        </w:rPr>
      </w:pPr>
      <w:r>
        <w:rPr>
          <w:rFonts w:hint="eastAsia" w:ascii="Times New Roman" w:hAnsi="Times New Roman" w:eastAsia="仿宋" w:cs="Times New Roman"/>
          <w:kern w:val="2"/>
          <w:sz w:val="32"/>
          <w:szCs w:val="32"/>
          <w:lang w:val="en-US" w:eastAsia="zh-CN" w:bidi="ar-SA"/>
        </w:rPr>
        <w:t>（三）绩效评价工作过程。</w:t>
      </w:r>
    </w:p>
    <w:p>
      <w:pPr>
        <w:pStyle w:val="14"/>
        <w:keepNext w:val="0"/>
        <w:keepLines w:val="0"/>
        <w:pageBreakBefore w:val="0"/>
        <w:kinsoku/>
        <w:wordWrap/>
        <w:overflowPunct/>
        <w:topLinePunct w:val="0"/>
        <w:autoSpaceDE/>
        <w:autoSpaceDN/>
        <w:bidi w:val="0"/>
        <w:spacing w:line="560" w:lineRule="exact"/>
        <w:ind w:firstLine="640" w:firstLineChars="200"/>
        <w:jc w:val="both"/>
        <w:textAlignment w:val="auto"/>
        <w:rPr>
          <w:rFonts w:hint="eastAsia" w:ascii="Times New Roman" w:hAnsi="Times New Roman" w:eastAsia="仿宋" w:cs="Times New Roman"/>
          <w:kern w:val="2"/>
          <w:sz w:val="32"/>
          <w:szCs w:val="32"/>
          <w:lang w:val="en-US" w:eastAsia="zh-CN" w:bidi="ar-SA"/>
        </w:rPr>
      </w:pPr>
      <w:r>
        <w:rPr>
          <w:rFonts w:hint="eastAsia" w:ascii="Times New Roman" w:hAnsi="Times New Roman" w:eastAsia="仿宋" w:cs="Times New Roman"/>
          <w:kern w:val="2"/>
          <w:sz w:val="32"/>
          <w:szCs w:val="32"/>
          <w:lang w:val="en-US" w:eastAsia="zh-CN" w:bidi="ar-SA"/>
        </w:rPr>
        <w:t>我局坚持把项目管理作为工作的重中之重，财务人员负责对专项资金严格监督把关，确保专项工作正常运转。</w:t>
      </w:r>
    </w:p>
    <w:p>
      <w:pPr>
        <w:numPr>
          <w:ilvl w:val="0"/>
          <w:numId w:val="2"/>
        </w:numPr>
        <w:spacing w:after="0" w:line="600" w:lineRule="exact"/>
        <w:ind w:left="0" w:leftChars="0" w:firstLine="640" w:firstLineChars="200"/>
        <w:rPr>
          <w:rFonts w:hint="eastAsia" w:ascii="黑体" w:hAnsi="黑体" w:eastAsia="黑体" w:cs="黑体"/>
          <w:b w:val="0"/>
          <w:bCs w:val="0"/>
          <w:sz w:val="32"/>
          <w:szCs w:val="32"/>
        </w:rPr>
      </w:pPr>
      <w:r>
        <w:rPr>
          <w:rFonts w:hint="eastAsia" w:ascii="黑体" w:hAnsi="黑体" w:eastAsia="黑体" w:cs="黑体"/>
          <w:b w:val="0"/>
          <w:bCs w:val="0"/>
          <w:sz w:val="32"/>
          <w:szCs w:val="32"/>
        </w:rPr>
        <w:t>综合评价情况及评价结论（附相关评分表）</w:t>
      </w:r>
    </w:p>
    <w:p>
      <w:pPr>
        <w:pStyle w:val="14"/>
        <w:keepNext w:val="0"/>
        <w:keepLines w:val="0"/>
        <w:pageBreakBefore w:val="0"/>
        <w:kinsoku/>
        <w:wordWrap/>
        <w:overflowPunct/>
        <w:topLinePunct w:val="0"/>
        <w:autoSpaceDE/>
        <w:autoSpaceDN/>
        <w:bidi w:val="0"/>
        <w:spacing w:line="540" w:lineRule="exact"/>
        <w:ind w:firstLine="640" w:firstLineChars="200"/>
        <w:jc w:val="both"/>
        <w:textAlignment w:val="auto"/>
        <w:rPr>
          <w:rFonts w:hint="eastAsia" w:ascii="Times New Roman" w:hAnsi="Times New Roman" w:eastAsia="仿宋" w:cs="Times New Roman"/>
          <w:sz w:val="32"/>
          <w:szCs w:val="32"/>
          <w:lang w:val="en-US" w:eastAsia="zh-CN"/>
        </w:rPr>
      </w:pPr>
      <w:r>
        <w:rPr>
          <w:rFonts w:hint="eastAsia" w:ascii="Times New Roman" w:hAnsi="Times New Roman" w:eastAsia="仿宋" w:cs="Times New Roman"/>
          <w:sz w:val="32"/>
          <w:szCs w:val="32"/>
          <w:lang w:val="en-US" w:eastAsia="zh-CN"/>
        </w:rPr>
        <w:t>绩效评价等级一般划分为四档：90分（含）—100分为优，80分（含）—90分为良，60分（含）—80分为中，60分以下为差。</w:t>
      </w:r>
    </w:p>
    <w:p>
      <w:pPr>
        <w:pStyle w:val="14"/>
        <w:keepNext w:val="0"/>
        <w:keepLines w:val="0"/>
        <w:pageBreakBefore w:val="0"/>
        <w:kinsoku/>
        <w:wordWrap/>
        <w:overflowPunct/>
        <w:topLinePunct w:val="0"/>
        <w:autoSpaceDE/>
        <w:autoSpaceDN/>
        <w:bidi w:val="0"/>
        <w:spacing w:line="540" w:lineRule="exact"/>
        <w:ind w:firstLine="640" w:firstLineChars="200"/>
        <w:jc w:val="both"/>
        <w:textAlignment w:val="auto"/>
        <w:rPr>
          <w:rFonts w:hint="eastAsia" w:ascii="Times New Roman" w:hAnsi="Times New Roman" w:eastAsia="仿宋" w:cs="Times New Roman"/>
          <w:sz w:val="32"/>
          <w:szCs w:val="32"/>
          <w:lang w:val="en-US" w:eastAsia="zh-CN"/>
        </w:rPr>
      </w:pPr>
      <w:r>
        <w:rPr>
          <w:rFonts w:hint="eastAsia" w:ascii="Times New Roman" w:hAnsi="Times New Roman" w:eastAsia="仿宋" w:cs="Times New Roman"/>
          <w:sz w:val="32"/>
          <w:szCs w:val="32"/>
          <w:lang w:val="en-US" w:eastAsia="zh-CN"/>
        </w:rPr>
        <w:t>根据绩效评价的相关标准，该项目的绩效评价等级为优秀。</w:t>
      </w:r>
    </w:p>
    <w:p>
      <w:pPr>
        <w:spacing w:after="0"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四、绩效评价指标分析</w:t>
      </w:r>
    </w:p>
    <w:p>
      <w:pPr>
        <w:spacing w:after="0" w:line="600" w:lineRule="exact"/>
        <w:ind w:firstLine="640" w:firstLineChars="200"/>
        <w:outlineLvl w:val="0"/>
        <w:rPr>
          <w:rFonts w:hint="eastAsia" w:ascii="Times New Roman" w:hAnsi="Times New Roman" w:eastAsia="仿宋" w:cs="Times New Roman"/>
          <w:kern w:val="2"/>
          <w:sz w:val="32"/>
          <w:szCs w:val="32"/>
          <w:lang w:val="en-US" w:eastAsia="zh-CN" w:bidi="ar-SA"/>
        </w:rPr>
      </w:pPr>
      <w:r>
        <w:rPr>
          <w:rFonts w:hint="eastAsia" w:ascii="Times New Roman" w:hAnsi="Times New Roman" w:eastAsia="仿宋" w:cs="Times New Roman"/>
          <w:kern w:val="2"/>
          <w:sz w:val="32"/>
          <w:szCs w:val="32"/>
          <w:lang w:val="en-US" w:eastAsia="zh-CN" w:bidi="ar-SA"/>
        </w:rPr>
        <w:t>（一）项目决策情况。</w:t>
      </w:r>
    </w:p>
    <w:p>
      <w:pPr>
        <w:spacing w:after="0" w:line="600" w:lineRule="exact"/>
        <w:ind w:firstLine="640" w:firstLineChars="200"/>
        <w:outlineLvl w:val="0"/>
        <w:rPr>
          <w:rFonts w:hint="eastAsia" w:ascii="Times New Roman" w:hAnsi="Times New Roman" w:eastAsia="仿宋" w:cs="Times New Roman"/>
          <w:kern w:val="2"/>
          <w:sz w:val="32"/>
          <w:szCs w:val="32"/>
          <w:lang w:val="en-US" w:eastAsia="zh-CN" w:bidi="ar-SA"/>
        </w:rPr>
      </w:pPr>
      <w:r>
        <w:rPr>
          <w:rFonts w:hint="eastAsia" w:ascii="Times New Roman" w:hAnsi="Times New Roman" w:eastAsia="仿宋" w:cs="Times New Roman"/>
          <w:kern w:val="2"/>
          <w:sz w:val="32"/>
          <w:szCs w:val="32"/>
          <w:lang w:val="en-US" w:eastAsia="zh-CN" w:bidi="ar-SA"/>
        </w:rPr>
        <w:t>项目立项依据及主要内容：根据财政局增收节支相关文件。资金的分配严格按照相关文件的精神进行分配。</w:t>
      </w:r>
    </w:p>
    <w:p>
      <w:pPr>
        <w:numPr>
          <w:ilvl w:val="0"/>
          <w:numId w:val="3"/>
        </w:numPr>
        <w:spacing w:after="0" w:line="600" w:lineRule="exact"/>
        <w:ind w:firstLine="640" w:firstLineChars="200"/>
        <w:outlineLvl w:val="0"/>
        <w:rPr>
          <w:rFonts w:hint="eastAsia" w:ascii="Times New Roman" w:hAnsi="Times New Roman" w:eastAsia="仿宋" w:cs="Times New Roman"/>
          <w:kern w:val="2"/>
          <w:sz w:val="32"/>
          <w:szCs w:val="32"/>
          <w:lang w:val="en-US" w:eastAsia="zh-CN" w:bidi="ar-SA"/>
        </w:rPr>
      </w:pPr>
      <w:r>
        <w:rPr>
          <w:rFonts w:hint="eastAsia" w:ascii="Times New Roman" w:hAnsi="Times New Roman" w:eastAsia="仿宋" w:cs="Times New Roman"/>
          <w:kern w:val="2"/>
          <w:sz w:val="32"/>
          <w:szCs w:val="32"/>
          <w:lang w:val="en-US" w:eastAsia="zh-CN" w:bidi="ar-SA"/>
        </w:rPr>
        <w:t>项目过程情况。</w:t>
      </w:r>
    </w:p>
    <w:p>
      <w:pPr>
        <w:pStyle w:val="3"/>
        <w:keepNext w:val="0"/>
        <w:keepLines w:val="0"/>
        <w:pageBreakBefore w:val="0"/>
        <w:numPr>
          <w:ilvl w:val="0"/>
          <w:numId w:val="4"/>
        </w:numPr>
        <w:kinsoku/>
        <w:wordWrap/>
        <w:overflowPunct/>
        <w:topLinePunct w:val="0"/>
        <w:autoSpaceDE/>
        <w:autoSpaceDN/>
        <w:bidi w:val="0"/>
        <w:adjustRightInd/>
        <w:spacing w:after="0" w:line="560" w:lineRule="exact"/>
        <w:ind w:firstLine="640" w:firstLineChars="200"/>
        <w:jc w:val="both"/>
        <w:textAlignment w:val="auto"/>
        <w:rPr>
          <w:rFonts w:hint="eastAsia" w:ascii="Times New Roman" w:hAnsi="Times New Roman" w:eastAsia="仿宋" w:cs="Times New Roman"/>
          <w:kern w:val="2"/>
          <w:sz w:val="32"/>
          <w:szCs w:val="32"/>
          <w:lang w:val="en-US" w:eastAsia="zh-CN" w:bidi="ar-SA"/>
        </w:rPr>
      </w:pPr>
      <w:r>
        <w:rPr>
          <w:rFonts w:hint="eastAsia" w:ascii="Times New Roman" w:hAnsi="Times New Roman" w:eastAsia="仿宋" w:cs="Times New Roman"/>
          <w:kern w:val="2"/>
          <w:sz w:val="32"/>
          <w:szCs w:val="32"/>
          <w:lang w:val="en-US" w:eastAsia="zh-CN" w:bidi="ar-SA"/>
        </w:rPr>
        <w:t>项目目标设定依据充分、明确、合理，项目建设符合县委、县政府相关规定，严格执行各项审批程序。</w:t>
      </w:r>
    </w:p>
    <w:p>
      <w:pPr>
        <w:numPr>
          <w:ilvl w:val="0"/>
          <w:numId w:val="3"/>
        </w:numPr>
        <w:spacing w:after="0" w:line="600" w:lineRule="exact"/>
        <w:ind w:left="0" w:leftChars="0" w:firstLine="640" w:firstLineChars="200"/>
        <w:outlineLvl w:val="0"/>
        <w:rPr>
          <w:rFonts w:hint="eastAsia" w:ascii="Times New Roman" w:hAnsi="Times New Roman" w:eastAsia="仿宋" w:cs="Times New Roman"/>
          <w:kern w:val="2"/>
          <w:sz w:val="32"/>
          <w:szCs w:val="32"/>
          <w:lang w:val="en-US" w:eastAsia="zh-CN" w:bidi="ar-SA"/>
        </w:rPr>
      </w:pPr>
      <w:r>
        <w:rPr>
          <w:rFonts w:hint="eastAsia" w:ascii="Times New Roman" w:hAnsi="Times New Roman" w:eastAsia="仿宋" w:cs="Times New Roman"/>
          <w:kern w:val="2"/>
          <w:sz w:val="32"/>
          <w:szCs w:val="32"/>
          <w:lang w:val="en-US" w:eastAsia="zh-CN" w:bidi="ar-SA"/>
        </w:rPr>
        <w:t>项目产出情况。</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仿宋" w:cs="Times New Roman"/>
          <w:kern w:val="2"/>
          <w:sz w:val="32"/>
          <w:szCs w:val="32"/>
          <w:lang w:val="en-US" w:eastAsia="zh-CN" w:bidi="ar-SA"/>
        </w:rPr>
      </w:pPr>
      <w:r>
        <w:rPr>
          <w:rFonts w:hint="eastAsia" w:ascii="Times New Roman" w:hAnsi="Times New Roman" w:eastAsia="仿宋" w:cs="Times New Roman"/>
          <w:kern w:val="2"/>
          <w:sz w:val="32"/>
          <w:szCs w:val="32"/>
          <w:lang w:val="en-US" w:eastAsia="zh-CN" w:bidi="ar-SA"/>
        </w:rPr>
        <w:t>车船税的返还鼓舞了干部职工缴纳车船税的积极性，增加了财政收入。</w:t>
      </w:r>
    </w:p>
    <w:p>
      <w:pPr>
        <w:numPr>
          <w:ilvl w:val="0"/>
          <w:numId w:val="3"/>
        </w:numPr>
        <w:spacing w:after="0" w:line="600" w:lineRule="exact"/>
        <w:ind w:left="0" w:leftChars="0" w:firstLine="640" w:firstLineChars="200"/>
        <w:outlineLvl w:val="0"/>
        <w:rPr>
          <w:rFonts w:hint="eastAsia" w:ascii="Times New Roman" w:hAnsi="Times New Roman" w:eastAsia="仿宋" w:cs="Times New Roman"/>
          <w:kern w:val="2"/>
          <w:sz w:val="32"/>
          <w:szCs w:val="32"/>
          <w:lang w:val="en-US" w:eastAsia="zh-CN" w:bidi="ar-SA"/>
        </w:rPr>
      </w:pPr>
      <w:r>
        <w:rPr>
          <w:rFonts w:hint="eastAsia" w:ascii="Times New Roman" w:hAnsi="Times New Roman" w:eastAsia="仿宋" w:cs="Times New Roman"/>
          <w:kern w:val="2"/>
          <w:sz w:val="32"/>
          <w:szCs w:val="32"/>
          <w:lang w:val="en-US" w:eastAsia="zh-CN" w:bidi="ar-SA"/>
        </w:rPr>
        <w:t>项目效益情况。</w:t>
      </w:r>
    </w:p>
    <w:p>
      <w:pPr>
        <w:numPr>
          <w:ilvl w:val="0"/>
          <w:numId w:val="0"/>
        </w:numPr>
        <w:spacing w:after="0" w:line="600" w:lineRule="exact"/>
        <w:ind w:leftChars="200"/>
        <w:outlineLvl w:val="0"/>
        <w:rPr>
          <w:rFonts w:hint="default" w:ascii="仿宋" w:hAnsi="仿宋" w:eastAsia="仿宋" w:cs="仿宋"/>
          <w:sz w:val="32"/>
          <w:szCs w:val="32"/>
          <w:lang w:val="en-US" w:eastAsia="zh-CN"/>
        </w:rPr>
      </w:pPr>
      <w:r>
        <w:rPr>
          <w:rFonts w:hint="eastAsia" w:ascii="Times New Roman" w:hAnsi="Times New Roman" w:eastAsia="仿宋" w:cs="Times New Roman"/>
          <w:kern w:val="2"/>
          <w:sz w:val="32"/>
          <w:szCs w:val="32"/>
          <w:lang w:val="en-US" w:eastAsia="zh-CN" w:bidi="ar-SA"/>
        </w:rPr>
        <w:t xml:space="preserve">   通过资金监管有效提高了资金的使用效益和安全性。</w:t>
      </w:r>
    </w:p>
    <w:p>
      <w:pPr>
        <w:numPr>
          <w:ilvl w:val="0"/>
          <w:numId w:val="5"/>
        </w:numPr>
        <w:spacing w:after="0"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主要经验及做法、存在的问题及原因分析</w:t>
      </w:r>
    </w:p>
    <w:p>
      <w:pPr>
        <w:numPr>
          <w:ilvl w:val="0"/>
          <w:numId w:val="0"/>
        </w:numPr>
        <w:spacing w:after="0" w:line="600" w:lineRule="exact"/>
        <w:ind w:firstLine="640" w:firstLineChars="200"/>
        <w:rPr>
          <w:rFonts w:hint="eastAsia" w:ascii="Times New Roman" w:hAnsi="Times New Roman" w:eastAsia="仿宋" w:cs="Times New Roman"/>
          <w:kern w:val="2"/>
          <w:sz w:val="32"/>
          <w:szCs w:val="32"/>
          <w:lang w:val="en" w:eastAsia="zh-CN" w:bidi="ar-SA"/>
        </w:rPr>
      </w:pPr>
      <w:r>
        <w:rPr>
          <w:rFonts w:hint="eastAsia" w:ascii="Times New Roman" w:hAnsi="Times New Roman" w:eastAsia="仿宋" w:cs="Times New Roman"/>
          <w:kern w:val="2"/>
          <w:sz w:val="32"/>
          <w:szCs w:val="32"/>
          <w:lang w:val="en" w:eastAsia="zh-CN" w:bidi="ar-SA"/>
        </w:rPr>
        <w:t>主要经验及做法：严格按照上级相关要求和相关规定，细化工作流程，提高资金使用效率。一是组织领导到位，成立以单位主要领导为组长的绩效管理组织，确保项目得到重视和支持；二是规范管理流程，在项目实施过程中，规范管理到事前有计划、事中有监督、事后有问效。</w:t>
      </w:r>
    </w:p>
    <w:p>
      <w:pPr>
        <w:numPr>
          <w:ilvl w:val="0"/>
          <w:numId w:val="0"/>
        </w:numPr>
        <w:spacing w:after="0" w:line="600" w:lineRule="exact"/>
        <w:ind w:firstLine="640" w:firstLineChars="200"/>
        <w:rPr>
          <w:rFonts w:hint="default" w:ascii="Times New Roman" w:hAnsi="Times New Roman" w:eastAsia="仿宋" w:cs="Times New Roman"/>
          <w:kern w:val="2"/>
          <w:sz w:val="32"/>
          <w:szCs w:val="32"/>
          <w:lang w:val="en" w:eastAsia="zh-CN" w:bidi="ar-SA"/>
        </w:rPr>
      </w:pPr>
      <w:r>
        <w:rPr>
          <w:rFonts w:hint="eastAsia" w:ascii="Times New Roman" w:hAnsi="Times New Roman" w:eastAsia="仿宋" w:cs="Times New Roman"/>
          <w:kern w:val="2"/>
          <w:sz w:val="32"/>
          <w:szCs w:val="32"/>
          <w:lang w:val="en" w:eastAsia="zh-CN" w:bidi="ar-SA"/>
        </w:rPr>
        <w:t>存在的问题及原因分析：</w:t>
      </w:r>
      <w:r>
        <w:rPr>
          <w:rFonts w:hint="eastAsia" w:ascii="仿宋" w:hAnsi="仿宋" w:eastAsia="仿宋" w:cs="仿宋"/>
          <w:color w:val="000000" w:themeColor="text1"/>
          <w:sz w:val="32"/>
          <w:szCs w:val="32"/>
          <w:lang w:val="en-US" w:eastAsia="zh-CN" w:bidi="ar-SA"/>
          <w14:textFill>
            <w14:solidFill>
              <w14:schemeClr w14:val="tx1"/>
            </w14:solidFill>
          </w14:textFill>
        </w:rPr>
        <w:t>财政项目绩效管理水平有待进一步提高，主要原因是专业素养和绩效意识不够。</w:t>
      </w:r>
    </w:p>
    <w:p>
      <w:pPr>
        <w:numPr>
          <w:ilvl w:val="0"/>
          <w:numId w:val="5"/>
        </w:numPr>
        <w:spacing w:after="0" w:line="600" w:lineRule="exact"/>
        <w:ind w:left="0" w:leftChars="0" w:firstLine="640" w:firstLineChars="200"/>
        <w:rPr>
          <w:rFonts w:hint="default" w:ascii="黑体" w:hAnsi="黑体" w:eastAsia="黑体" w:cs="黑体"/>
          <w:sz w:val="32"/>
          <w:szCs w:val="32"/>
          <w:lang w:val="en-US" w:eastAsia="zh-CN"/>
        </w:rPr>
      </w:pPr>
      <w:r>
        <w:rPr>
          <w:rFonts w:hint="eastAsia" w:ascii="黑体" w:hAnsi="黑体" w:eastAsia="黑体" w:cs="黑体"/>
          <w:sz w:val="32"/>
          <w:szCs w:val="32"/>
        </w:rPr>
        <w:t>有关建议</w:t>
      </w:r>
    </w:p>
    <w:p>
      <w:pPr>
        <w:pStyle w:val="8"/>
        <w:pageBreakBefore w:val="0"/>
        <w:kinsoku/>
        <w:wordWrap/>
        <w:overflowPunct/>
        <w:topLinePunct w:val="0"/>
        <w:autoSpaceDE/>
        <w:autoSpaceDN/>
        <w:bidi w:val="0"/>
        <w:spacing w:before="0" w:after="0" w:line="560" w:lineRule="exact"/>
        <w:ind w:left="0" w:leftChars="0" w:firstLine="640" w:firstLineChars="200"/>
        <w:jc w:val="both"/>
        <w:textAlignment w:val="auto"/>
        <w:rPr>
          <w:rFonts w:hint="default" w:ascii="Times New Roman" w:hAnsi="Times New Roman" w:eastAsia="仿宋" w:cs="Times New Roman"/>
          <w:kern w:val="2"/>
          <w:sz w:val="32"/>
          <w:szCs w:val="32"/>
          <w:lang w:val="en-US" w:eastAsia="zh-CN" w:bidi="ar-SA"/>
        </w:rPr>
      </w:pPr>
      <w:r>
        <w:rPr>
          <w:rFonts w:hint="eastAsia" w:ascii="Times New Roman" w:hAnsi="Times New Roman" w:eastAsia="仿宋" w:cs="Times New Roman"/>
          <w:kern w:val="2"/>
          <w:sz w:val="32"/>
          <w:szCs w:val="32"/>
          <w:lang w:val="en-US" w:eastAsia="zh-CN" w:bidi="ar-SA"/>
        </w:rPr>
        <w:t>加强财政项目支出绩效管理知识学习，提升财政项目绩效管理水平。</w:t>
      </w:r>
    </w:p>
    <w:p>
      <w:pPr>
        <w:numPr>
          <w:ilvl w:val="0"/>
          <w:numId w:val="5"/>
        </w:numPr>
        <w:spacing w:after="0" w:line="600" w:lineRule="exact"/>
        <w:ind w:left="0" w:leftChars="0"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rPr>
        <w:t>其他需要说明的问</w:t>
      </w:r>
      <w:r>
        <w:rPr>
          <w:rFonts w:hint="eastAsia" w:ascii="黑体" w:hAnsi="黑体" w:eastAsia="黑体" w:cs="黑体"/>
          <w:sz w:val="32"/>
          <w:szCs w:val="32"/>
          <w:lang w:eastAsia="zh-CN"/>
        </w:rPr>
        <w:t>题</w:t>
      </w:r>
    </w:p>
    <w:p>
      <w:pPr>
        <w:numPr>
          <w:ilvl w:val="0"/>
          <w:numId w:val="0"/>
        </w:numPr>
        <w:adjustRightInd w:val="0"/>
        <w:snapToGrid w:val="0"/>
        <w:spacing w:after="0" w:line="600" w:lineRule="exact"/>
        <w:ind w:firstLine="1280" w:firstLineChars="400"/>
        <w:rPr>
          <w:rFonts w:hint="eastAsia" w:ascii="Times New Roman" w:hAnsi="Times New Roman" w:eastAsia="仿宋" w:cs="Times New Roman"/>
          <w:kern w:val="2"/>
          <w:sz w:val="32"/>
          <w:szCs w:val="32"/>
          <w:lang w:val="en-US" w:eastAsia="zh-CN" w:bidi="ar-SA"/>
        </w:rPr>
        <w:sectPr>
          <w:footerReference r:id="rId3" w:type="default"/>
          <w:pgSz w:w="11906" w:h="16838"/>
          <w:pgMar w:top="1474" w:right="1587" w:bottom="1417" w:left="1587" w:header="708" w:footer="709" w:gutter="0"/>
          <w:cols w:space="0" w:num="1"/>
          <w:docGrid w:linePitch="360" w:charSpace="0"/>
        </w:sectPr>
      </w:pPr>
      <w:r>
        <w:rPr>
          <w:rFonts w:hint="eastAsia" w:ascii="Times New Roman" w:hAnsi="Times New Roman" w:eastAsia="仿宋" w:cs="Times New Roman"/>
          <w:kern w:val="2"/>
          <w:sz w:val="32"/>
          <w:szCs w:val="32"/>
          <w:lang w:val="en-US" w:eastAsia="zh-CN" w:bidi="ar-SA"/>
        </w:rPr>
        <w:t>无</w:t>
      </w:r>
    </w:p>
    <w:p>
      <w:pPr>
        <w:spacing w:after="0" w:line="400" w:lineRule="exact"/>
        <w:ind w:firstLine="960" w:firstLineChars="400"/>
        <w:rPr>
          <w:rFonts w:ascii="宋体" w:hAnsi="宋体" w:eastAsia="宋体" w:cs="宋体"/>
          <w:color w:val="000000"/>
          <w:sz w:val="24"/>
          <w:szCs w:val="24"/>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Tahoma">
    <w:altName w:val="DejaVu Sans"/>
    <w:panose1 w:val="020B0604030504040204"/>
    <w:charset w:val="00"/>
    <w:family w:val="swiss"/>
    <w:pitch w:val="default"/>
    <w:sig w:usb0="00000000" w:usb1="00000000" w:usb2="00000029" w:usb3="00000000" w:csb0="200101FF" w:csb1="20280000"/>
  </w:font>
  <w:font w:name="微软雅黑">
    <w:altName w:val="方正黑体_GBK"/>
    <w:panose1 w:val="020B0503020204020204"/>
    <w:charset w:val="86"/>
    <w:family w:val="swiss"/>
    <w:pitch w:val="default"/>
    <w:sig w:usb0="00000000" w:usb1="00000000" w:usb2="00000016" w:usb3="00000000" w:csb0="0004001F" w:csb1="00000000"/>
  </w:font>
  <w:font w:name="方正小标宋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6"/>
                          </w:pPr>
                          <w:r>
                            <w:fldChar w:fldCharType="begin"/>
                          </w:r>
                          <w:r>
                            <w:instrText xml:space="preserve"> PAGE  \* MERGEFORMAT </w:instrText>
                          </w:r>
                          <w:r>
                            <w:fldChar w:fldCharType="separate"/>
                          </w:r>
                          <w:r>
                            <w:t>1</w:t>
                          </w:r>
                          <w:r>
                            <w:fldChar w:fldCharType="end"/>
                          </w:r>
                        </w:p>
                      </w:txbxContent>
                    </wps:txbx>
                    <wps:bodyPr vert="horz" wrap="none" lIns="0" tIns="0" rIns="0" bIns="0" anchor="t" anchorCtr="false" upright="false">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G3+Jy3KAQAAfgMAAA4AAABkcnMv&#10;ZTJvRG9jLnhtbK1TTa7TMBDeI3EHy3uatBKoipo+AU8PISFAenAA17EbS7bHGrtNygHgBqzYsOdc&#10;PQdjp+njZ4fYOPPnz983M9ncjM6yo8JowLd8uag5U15CZ/y+5R8/3D1ZcxaT8J2w4FXLTyrym+3j&#10;R5shNGoFPdhOISMQH5shtLxPKTRVFWWvnIgLCMpTUgM6kcjFfdWhGAjd2WpV18+qAbALCFLFSNHb&#10;Kcm3BV9rJdM7raNKzLacuKVyYjl3+ay2G9HsUYTeyAsN8Q8snDCeHr1C3Yok2AHNX1DOSIQIOi0k&#10;uAq0NlIVDaRmWf+h5r4XQRUt1JwYrm2K/w9Wvj2+R2Y6mh1nXjga0fnrl/O3H+fvn9myXj3NHRpC&#10;bKjwPlBpGl/A2PKEBzWnIsWz9lGjy19SxaiE2n26tliNiUkKLter9bqmlKTc7NAT1cP1gDG9UuBY&#10;NlqONMPSWnF8E9NUOpfk1zzcGWvLHK3/LUCYOVJl+hPHbKVxN1407aA7kSRaX3qnB/zE2UCr0HJP&#10;u8qZfe2p03lrZgNnYzcbwku6SP3gbDJfJvK0sJEADgHNvifsyc/kYnh+SMS4CMl0Jg4XljTk0orL&#10;QuYt+tUvVQ+/zfYn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FgAAAGRycy9QSwECFAAUAAAACACHTuJAzql5uc8AAAAFAQAADwAAAAAAAAAB&#10;ACAAAAA4AAAAZHJzL2Rvd25yZXYueG1sUEsBAhQAFAAAAAgAh07iQG3+Jy3KAQAAfgMAAA4AAAAA&#10;AAAAAQAgAAAANAEAAGRycy9lMm9Eb2MueG1sUEsFBgAAAAAGAAYAWQEAAHAFAAAAAA==&#10;">
              <v:fill on="f" focussize="0,0"/>
              <v:stroke on="f"/>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1BC958"/>
    <w:multiLevelType w:val="singleLevel"/>
    <w:tmpl w:val="811BC958"/>
    <w:lvl w:ilvl="0" w:tentative="0">
      <w:start w:val="2"/>
      <w:numFmt w:val="chineseCounting"/>
      <w:suff w:val="nothing"/>
      <w:lvlText w:val="（%1）"/>
      <w:lvlJc w:val="left"/>
      <w:rPr>
        <w:rFonts w:hint="eastAsia"/>
      </w:rPr>
    </w:lvl>
  </w:abstractNum>
  <w:abstractNum w:abstractNumId="1">
    <w:nsid w:val="90AE9664"/>
    <w:multiLevelType w:val="singleLevel"/>
    <w:tmpl w:val="90AE9664"/>
    <w:lvl w:ilvl="0" w:tentative="0">
      <w:start w:val="1"/>
      <w:numFmt w:val="decimal"/>
      <w:suff w:val="nothing"/>
      <w:lvlText w:val="%1、"/>
      <w:lvlJc w:val="left"/>
    </w:lvl>
  </w:abstractNum>
  <w:abstractNum w:abstractNumId="2">
    <w:nsid w:val="BD2E1432"/>
    <w:multiLevelType w:val="singleLevel"/>
    <w:tmpl w:val="BD2E1432"/>
    <w:lvl w:ilvl="0" w:tentative="0">
      <w:start w:val="1"/>
      <w:numFmt w:val="chineseCounting"/>
      <w:suff w:val="nothing"/>
      <w:lvlText w:val="%1、"/>
      <w:lvlJc w:val="left"/>
      <w:rPr>
        <w:rFonts w:hint="eastAsia"/>
      </w:rPr>
    </w:lvl>
  </w:abstractNum>
  <w:abstractNum w:abstractNumId="3">
    <w:nsid w:val="56734EC9"/>
    <w:multiLevelType w:val="singleLevel"/>
    <w:tmpl w:val="56734EC9"/>
    <w:lvl w:ilvl="0" w:tentative="0">
      <w:start w:val="5"/>
      <w:numFmt w:val="chineseCounting"/>
      <w:suff w:val="nothing"/>
      <w:lvlText w:val="%1、"/>
      <w:lvlJc w:val="left"/>
      <w:rPr>
        <w:rFonts w:hint="eastAsia"/>
      </w:rPr>
    </w:lvl>
  </w:abstractNum>
  <w:abstractNum w:abstractNumId="4">
    <w:nsid w:val="62A17211"/>
    <w:multiLevelType w:val="singleLevel"/>
    <w:tmpl w:val="62A17211"/>
    <w:lvl w:ilvl="0" w:tentative="0">
      <w:start w:val="1"/>
      <w:numFmt w:val="chineseCounting"/>
      <w:suff w:val="nothing"/>
      <w:lvlText w:val="%1、"/>
      <w:lvlJc w:val="left"/>
      <w:rPr>
        <w:rFonts w:hint="eastAsia"/>
      </w:r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720"/>
  <w:noPunctuationKerning w:val="true"/>
  <w:characterSpacingControl w:val="doNotCompress"/>
  <w:hdrShapeDefaults>
    <o:shapelayout v:ext="edit">
      <o:idmap v:ext="edit" data="3,4"/>
    </o:shapelayout>
  </w:hdrShapeDefaults>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1NTgzOThiOGI5NTJhMzU3MWM3M2IyOTA1MWE5YzAifQ=="/>
  </w:docVars>
  <w:rsids>
    <w:rsidRoot w:val="00D31D50"/>
    <w:rsid w:val="00091BC8"/>
    <w:rsid w:val="001500F1"/>
    <w:rsid w:val="00163425"/>
    <w:rsid w:val="001A6DB8"/>
    <w:rsid w:val="00323B43"/>
    <w:rsid w:val="00360D9A"/>
    <w:rsid w:val="003D37D8"/>
    <w:rsid w:val="00426133"/>
    <w:rsid w:val="004358AB"/>
    <w:rsid w:val="005C7BA2"/>
    <w:rsid w:val="005D58DE"/>
    <w:rsid w:val="008B7726"/>
    <w:rsid w:val="00AF0306"/>
    <w:rsid w:val="00BB7A29"/>
    <w:rsid w:val="00C55800"/>
    <w:rsid w:val="00C635E3"/>
    <w:rsid w:val="00D31D50"/>
    <w:rsid w:val="00E85223"/>
    <w:rsid w:val="0154748D"/>
    <w:rsid w:val="029E10A9"/>
    <w:rsid w:val="02B567E2"/>
    <w:rsid w:val="02EE3660"/>
    <w:rsid w:val="03E2409E"/>
    <w:rsid w:val="054C4881"/>
    <w:rsid w:val="063F196E"/>
    <w:rsid w:val="06A30DFA"/>
    <w:rsid w:val="080942FD"/>
    <w:rsid w:val="082E4C11"/>
    <w:rsid w:val="086C7AD9"/>
    <w:rsid w:val="08F74729"/>
    <w:rsid w:val="0BCE2965"/>
    <w:rsid w:val="0C412CE6"/>
    <w:rsid w:val="0CFC6222"/>
    <w:rsid w:val="0D2B61B4"/>
    <w:rsid w:val="0D50720E"/>
    <w:rsid w:val="0E320E7D"/>
    <w:rsid w:val="0E96765D"/>
    <w:rsid w:val="10255289"/>
    <w:rsid w:val="10BD0EA7"/>
    <w:rsid w:val="10DF0599"/>
    <w:rsid w:val="113E3FDC"/>
    <w:rsid w:val="113F4179"/>
    <w:rsid w:val="12E71B09"/>
    <w:rsid w:val="12F9465F"/>
    <w:rsid w:val="131D471B"/>
    <w:rsid w:val="13DA09E1"/>
    <w:rsid w:val="15761756"/>
    <w:rsid w:val="16C136E5"/>
    <w:rsid w:val="17D82A95"/>
    <w:rsid w:val="187423C0"/>
    <w:rsid w:val="19627D59"/>
    <w:rsid w:val="19BA37A9"/>
    <w:rsid w:val="1A6F1974"/>
    <w:rsid w:val="1B240CC8"/>
    <w:rsid w:val="1B75684C"/>
    <w:rsid w:val="1EDC5E47"/>
    <w:rsid w:val="2023248F"/>
    <w:rsid w:val="22917B92"/>
    <w:rsid w:val="22CC7961"/>
    <w:rsid w:val="23076924"/>
    <w:rsid w:val="259143F8"/>
    <w:rsid w:val="25D1439F"/>
    <w:rsid w:val="25DC5E46"/>
    <w:rsid w:val="25FE1E53"/>
    <w:rsid w:val="268D3380"/>
    <w:rsid w:val="26C422AA"/>
    <w:rsid w:val="27CA0723"/>
    <w:rsid w:val="285645EF"/>
    <w:rsid w:val="28CF50AC"/>
    <w:rsid w:val="28D7348C"/>
    <w:rsid w:val="2A69119D"/>
    <w:rsid w:val="2ACF06B4"/>
    <w:rsid w:val="2C444501"/>
    <w:rsid w:val="2C511478"/>
    <w:rsid w:val="2CC31E70"/>
    <w:rsid w:val="2CE5674F"/>
    <w:rsid w:val="2E0622F6"/>
    <w:rsid w:val="2EAE1C39"/>
    <w:rsid w:val="2EEE2BF6"/>
    <w:rsid w:val="2F793A1F"/>
    <w:rsid w:val="2FDA13A6"/>
    <w:rsid w:val="306A22A0"/>
    <w:rsid w:val="309A1DD5"/>
    <w:rsid w:val="30D36956"/>
    <w:rsid w:val="30D836AE"/>
    <w:rsid w:val="310316CF"/>
    <w:rsid w:val="310B19E4"/>
    <w:rsid w:val="31126BC0"/>
    <w:rsid w:val="32FB7126"/>
    <w:rsid w:val="335C1E97"/>
    <w:rsid w:val="34B414DD"/>
    <w:rsid w:val="34B42399"/>
    <w:rsid w:val="34CD18B6"/>
    <w:rsid w:val="359974E5"/>
    <w:rsid w:val="35B04BF9"/>
    <w:rsid w:val="37F81262"/>
    <w:rsid w:val="381A12B7"/>
    <w:rsid w:val="3A134870"/>
    <w:rsid w:val="3D4429D8"/>
    <w:rsid w:val="3FF7388A"/>
    <w:rsid w:val="40F47726"/>
    <w:rsid w:val="414C4C6E"/>
    <w:rsid w:val="414F2E44"/>
    <w:rsid w:val="422146A3"/>
    <w:rsid w:val="43830078"/>
    <w:rsid w:val="44507CD3"/>
    <w:rsid w:val="44B6657D"/>
    <w:rsid w:val="44DB0522"/>
    <w:rsid w:val="45C00FA2"/>
    <w:rsid w:val="4681606A"/>
    <w:rsid w:val="48812E9A"/>
    <w:rsid w:val="48CD3D92"/>
    <w:rsid w:val="4B5652A6"/>
    <w:rsid w:val="4C8A20ED"/>
    <w:rsid w:val="4CA74D1F"/>
    <w:rsid w:val="4CD134AD"/>
    <w:rsid w:val="4D7A191D"/>
    <w:rsid w:val="4F3972CA"/>
    <w:rsid w:val="4F75079A"/>
    <w:rsid w:val="4F857B04"/>
    <w:rsid w:val="4F907F99"/>
    <w:rsid w:val="501328A1"/>
    <w:rsid w:val="510161A8"/>
    <w:rsid w:val="51713C0E"/>
    <w:rsid w:val="53295A9D"/>
    <w:rsid w:val="54D7613E"/>
    <w:rsid w:val="54DE03B3"/>
    <w:rsid w:val="55397EB4"/>
    <w:rsid w:val="5699538C"/>
    <w:rsid w:val="570A2E75"/>
    <w:rsid w:val="57D60DF1"/>
    <w:rsid w:val="59045930"/>
    <w:rsid w:val="594C608F"/>
    <w:rsid w:val="5950697A"/>
    <w:rsid w:val="5A7203F6"/>
    <w:rsid w:val="5ADF7076"/>
    <w:rsid w:val="5BFF068A"/>
    <w:rsid w:val="5BFFC612"/>
    <w:rsid w:val="5C6B28BC"/>
    <w:rsid w:val="5D494145"/>
    <w:rsid w:val="5DEAA2EF"/>
    <w:rsid w:val="5EBB2DEA"/>
    <w:rsid w:val="5EC56FAB"/>
    <w:rsid w:val="5EFB7C84"/>
    <w:rsid w:val="5F104FEE"/>
    <w:rsid w:val="5FFFA150"/>
    <w:rsid w:val="60077599"/>
    <w:rsid w:val="60AD1391"/>
    <w:rsid w:val="61524309"/>
    <w:rsid w:val="61D57E6A"/>
    <w:rsid w:val="624A1CBA"/>
    <w:rsid w:val="62F12229"/>
    <w:rsid w:val="6386514C"/>
    <w:rsid w:val="638F5A2C"/>
    <w:rsid w:val="64080C67"/>
    <w:rsid w:val="643F36F4"/>
    <w:rsid w:val="64AE3FC0"/>
    <w:rsid w:val="657D4D9C"/>
    <w:rsid w:val="65ED47EE"/>
    <w:rsid w:val="6A415FB4"/>
    <w:rsid w:val="6AD01849"/>
    <w:rsid w:val="6B427B3E"/>
    <w:rsid w:val="6BFE844D"/>
    <w:rsid w:val="6CA5CCD0"/>
    <w:rsid w:val="6EF584BB"/>
    <w:rsid w:val="6F17379B"/>
    <w:rsid w:val="6FF62842"/>
    <w:rsid w:val="6FFDFA5A"/>
    <w:rsid w:val="70D31529"/>
    <w:rsid w:val="74AA43CF"/>
    <w:rsid w:val="755E6CA6"/>
    <w:rsid w:val="75B25848"/>
    <w:rsid w:val="76BF45E2"/>
    <w:rsid w:val="77304CC6"/>
    <w:rsid w:val="77F662FC"/>
    <w:rsid w:val="78AA7075"/>
    <w:rsid w:val="78F662D3"/>
    <w:rsid w:val="795B767E"/>
    <w:rsid w:val="7A122D59"/>
    <w:rsid w:val="7ABFD047"/>
    <w:rsid w:val="7B5F11B5"/>
    <w:rsid w:val="7B6969A9"/>
    <w:rsid w:val="7BE01D46"/>
    <w:rsid w:val="7C0B0590"/>
    <w:rsid w:val="7D2C4DB9"/>
    <w:rsid w:val="7D7267D0"/>
    <w:rsid w:val="7FEB3066"/>
    <w:rsid w:val="9C6FC8B2"/>
    <w:rsid w:val="A3B956AE"/>
    <w:rsid w:val="ADBBD36C"/>
    <w:rsid w:val="BAFFF6EE"/>
    <w:rsid w:val="BDD7D4A4"/>
    <w:rsid w:val="BF515D06"/>
    <w:rsid w:val="D7FF9D48"/>
    <w:rsid w:val="DEDB8C5B"/>
    <w:rsid w:val="DFBDDBCA"/>
    <w:rsid w:val="DFFB3E2A"/>
    <w:rsid w:val="E9D61CCC"/>
    <w:rsid w:val="EA6F25DF"/>
    <w:rsid w:val="ED7DF676"/>
    <w:rsid w:val="EDFF1F4B"/>
    <w:rsid w:val="EEFD2619"/>
    <w:rsid w:val="EFF42A13"/>
    <w:rsid w:val="F574C46F"/>
    <w:rsid w:val="F5BF9E5D"/>
    <w:rsid w:val="F6D5AADE"/>
    <w:rsid w:val="F7F6FDD6"/>
    <w:rsid w:val="FC6E9221"/>
    <w:rsid w:val="FC9E923C"/>
    <w:rsid w:val="FF7FC080"/>
    <w:rsid w:val="FFFD4A3B"/>
    <w:rsid w:val="FFFF28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paragraph" w:styleId="2">
    <w:name w:val="heading 1"/>
    <w:basedOn w:val="1"/>
    <w:next w:val="1"/>
    <w:qFormat/>
    <w:uiPriority w:val="9"/>
    <w:pPr>
      <w:keepNext/>
      <w:keepLines/>
      <w:spacing w:beforeLines="0" w:beforeAutospacing="0" w:afterLines="0" w:afterAutospacing="0" w:line="700" w:lineRule="exact"/>
      <w:ind w:firstLine="0" w:firstLineChars="0"/>
      <w:jc w:val="center"/>
      <w:outlineLvl w:val="0"/>
    </w:pPr>
    <w:rPr>
      <w:rFonts w:ascii="Calibri" w:hAnsi="Calibri" w:eastAsia="方正小标宋_GBK" w:cs="Times New Roman"/>
      <w:kern w:val="44"/>
      <w:sz w:val="44"/>
      <w:szCs w:val="21"/>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4"/>
    <w:qFormat/>
    <w:uiPriority w:val="0"/>
    <w:pPr>
      <w:jc w:val="center"/>
    </w:pPr>
    <w:rPr>
      <w:rFonts w:eastAsia="黑体"/>
      <w:sz w:val="44"/>
      <w:szCs w:val="44"/>
    </w:rPr>
  </w:style>
  <w:style w:type="paragraph" w:customStyle="1" w:styleId="4">
    <w:name w:val="正文首行缩进1"/>
    <w:basedOn w:val="1"/>
    <w:qFormat/>
    <w:uiPriority w:val="0"/>
    <w:pPr>
      <w:ind w:firstLine="100" w:firstLineChars="100"/>
    </w:pPr>
  </w:style>
  <w:style w:type="paragraph" w:styleId="5">
    <w:name w:val="Body Text Indent"/>
    <w:basedOn w:val="1"/>
    <w:unhideWhenUsed/>
    <w:qFormat/>
    <w:uiPriority w:val="0"/>
    <w:pPr>
      <w:spacing w:before="0" w:beforeAutospacing="0" w:after="120" w:afterAutospacing="0" w:line="240" w:lineRule="auto"/>
      <w:ind w:left="420" w:leftChars="200" w:firstLine="0" w:firstLineChars="0"/>
    </w:pPr>
    <w:rPr>
      <w:sz w:val="21"/>
    </w:rPr>
  </w:style>
  <w:style w:type="paragraph" w:styleId="6">
    <w:name w:val="footer"/>
    <w:basedOn w:val="1"/>
    <w:link w:val="13"/>
    <w:semiHidden/>
    <w:unhideWhenUsed/>
    <w:qFormat/>
    <w:uiPriority w:val="99"/>
    <w:pPr>
      <w:tabs>
        <w:tab w:val="center" w:pos="4153"/>
        <w:tab w:val="right" w:pos="8306"/>
      </w:tabs>
    </w:pPr>
    <w:rPr>
      <w:sz w:val="18"/>
      <w:szCs w:val="18"/>
    </w:rPr>
  </w:style>
  <w:style w:type="paragraph" w:styleId="7">
    <w:name w:val="header"/>
    <w:basedOn w:val="1"/>
    <w:link w:val="12"/>
    <w:semiHidden/>
    <w:unhideWhenUsed/>
    <w:qFormat/>
    <w:uiPriority w:val="99"/>
    <w:pPr>
      <w:pBdr>
        <w:bottom w:val="single" w:color="auto" w:sz="6" w:space="1"/>
      </w:pBdr>
      <w:tabs>
        <w:tab w:val="center" w:pos="4153"/>
        <w:tab w:val="right" w:pos="8306"/>
      </w:tabs>
      <w:jc w:val="center"/>
    </w:pPr>
    <w:rPr>
      <w:sz w:val="18"/>
      <w:szCs w:val="18"/>
    </w:rPr>
  </w:style>
  <w:style w:type="paragraph" w:styleId="8">
    <w:name w:val="Body Text First Indent 2"/>
    <w:basedOn w:val="5"/>
    <w:qFormat/>
    <w:uiPriority w:val="0"/>
    <w:pPr>
      <w:autoSpaceDE w:val="0"/>
      <w:autoSpaceDN w:val="0"/>
      <w:adjustRightInd w:val="0"/>
      <w:spacing w:after="0"/>
      <w:ind w:firstLine="420"/>
      <w:jc w:val="left"/>
    </w:pPr>
    <w:rPr>
      <w:rFonts w:ascii="Calibri" w:hAnsi="Calibri"/>
    </w:rPr>
  </w:style>
  <w:style w:type="character" w:styleId="11">
    <w:name w:val="Hyperlink"/>
    <w:basedOn w:val="10"/>
    <w:semiHidden/>
    <w:unhideWhenUsed/>
    <w:qFormat/>
    <w:uiPriority w:val="99"/>
    <w:rPr>
      <w:color w:val="333333"/>
      <w:u w:val="none"/>
    </w:rPr>
  </w:style>
  <w:style w:type="character" w:customStyle="1" w:styleId="12">
    <w:name w:val="页眉 Char"/>
    <w:basedOn w:val="10"/>
    <w:link w:val="7"/>
    <w:semiHidden/>
    <w:qFormat/>
    <w:uiPriority w:val="99"/>
    <w:rPr>
      <w:rFonts w:ascii="Tahoma" w:hAnsi="Tahoma"/>
      <w:sz w:val="18"/>
      <w:szCs w:val="18"/>
    </w:rPr>
  </w:style>
  <w:style w:type="character" w:customStyle="1" w:styleId="13">
    <w:name w:val="页脚 Char"/>
    <w:basedOn w:val="10"/>
    <w:link w:val="6"/>
    <w:semiHidden/>
    <w:qFormat/>
    <w:uiPriority w:val="99"/>
    <w:rPr>
      <w:rFonts w:ascii="Tahoma" w:hAnsi="Tahoma"/>
      <w:sz w:val="18"/>
      <w:szCs w:val="18"/>
    </w:rPr>
  </w:style>
  <w:style w:type="paragraph" w:styleId="14">
    <w:name w:val="No Spacing"/>
    <w:qFormat/>
    <w:uiPriority w:val="0"/>
    <w:pPr>
      <w:widowControl w:val="0"/>
      <w:jc w:val="both"/>
    </w:pPr>
    <w:rPr>
      <w:rFonts w:ascii="Calibri" w:hAnsi="Calibri" w:eastAsia="宋体" w:cs="Times New Roman"/>
      <w:kern w:val="2"/>
      <w:sz w:val="21"/>
      <w:szCs w:val="22"/>
      <w:lang w:val="en-US" w:eastAsia="zh-CN" w:bidi="ar-SA"/>
    </w:rPr>
  </w:style>
  <w:style w:type="paragraph" w:customStyle="1" w:styleId="15">
    <w:name w:val="样式 文字 + 首行缩进:  2 字符3"/>
    <w:basedOn w:val="1"/>
    <w:qFormat/>
    <w:uiPriority w:val="0"/>
    <w:pPr>
      <w:spacing w:line="360" w:lineRule="auto"/>
      <w:jc w:val="left"/>
    </w:pPr>
    <w:rPr>
      <w:rFonts w:ascii="Times New Roman" w:hAnsi="Times New Roman" w:eastAsia="宋体" w:cs="Times New Roman"/>
      <w:sz w:val="28"/>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4224</Words>
  <Characters>4360</Characters>
  <Lines>46</Lines>
  <Paragraphs>12</Paragraphs>
  <TotalTime>0</TotalTime>
  <ScaleCrop>false</ScaleCrop>
  <LinksUpToDate>false</LinksUpToDate>
  <CharactersWithSpaces>4392</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2008-09-15T17:20:00Z</dcterms:created>
  <dc:creator>Administrator</dc:creator>
  <cp:lastModifiedBy>thtf</cp:lastModifiedBy>
  <cp:lastPrinted>2023-07-08T07:44:00Z</cp:lastPrinted>
  <dcterms:modified xsi:type="dcterms:W3CDTF">2024-08-22T09:24:38Z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C79C4A0B90864A0D9A6DE30AAD3B9044_13</vt:lpwstr>
  </property>
</Properties>
</file>