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spacing w:line="510" w:lineRule="exact"/>
        <w:jc w:val="center"/>
        <w:rPr>
          <w:rFonts w:hint="eastAsia" w:ascii="Times New Roman" w:hAnsi="Times New Roman" w:eastAsia="黑体"/>
          <w:sz w:val="44"/>
          <w:szCs w:val="44"/>
        </w:rPr>
      </w:pPr>
    </w:p>
    <w:p>
      <w:pPr>
        <w:pStyle w:val="16"/>
        <w:spacing w:line="510" w:lineRule="exact"/>
        <w:jc w:val="center"/>
        <w:rPr>
          <w:rFonts w:hint="eastAsia" w:ascii="Times New Roman" w:hAnsi="Times New Roman" w:eastAsia="黑体"/>
          <w:color w:val="auto"/>
          <w:sz w:val="44"/>
          <w:szCs w:val="44"/>
        </w:rPr>
      </w:pPr>
      <w:r>
        <w:rPr>
          <w:rFonts w:hint="eastAsia" w:ascii="Times New Roman" w:hAnsi="Times New Roman" w:eastAsia="黑体"/>
          <w:color w:val="auto"/>
          <w:sz w:val="44"/>
          <w:szCs w:val="44"/>
        </w:rPr>
        <w:t>中方县民政局202</w:t>
      </w:r>
      <w:r>
        <w:rPr>
          <w:rFonts w:hint="eastAsia" w:ascii="Times New Roman" w:hAnsi="Times New Roman" w:eastAsia="黑体"/>
          <w:color w:val="auto"/>
          <w:sz w:val="44"/>
          <w:szCs w:val="44"/>
          <w:lang w:val="en-US" w:eastAsia="zh-CN"/>
        </w:rPr>
        <w:t>3</w:t>
      </w:r>
      <w:r>
        <w:rPr>
          <w:rFonts w:hint="eastAsia" w:ascii="Times New Roman" w:hAnsi="Times New Roman" w:eastAsia="黑体"/>
          <w:color w:val="auto"/>
          <w:sz w:val="44"/>
          <w:szCs w:val="44"/>
        </w:rPr>
        <w:t>年度儿童福利支出</w:t>
      </w:r>
      <w:r>
        <w:rPr>
          <w:rFonts w:ascii="Times New Roman" w:hAnsi="Times New Roman" w:eastAsia="黑体"/>
          <w:color w:val="auto"/>
          <w:sz w:val="44"/>
          <w:szCs w:val="44"/>
        </w:rPr>
        <w:t>绩效</w:t>
      </w:r>
      <w:r>
        <w:rPr>
          <w:rFonts w:hint="eastAsia" w:ascii="Times New Roman" w:hAnsi="Times New Roman" w:eastAsia="黑体"/>
          <w:color w:val="auto"/>
          <w:sz w:val="44"/>
          <w:szCs w:val="44"/>
        </w:rPr>
        <w:t>自评报告</w:t>
      </w:r>
    </w:p>
    <w:p>
      <w:pPr>
        <w:spacing w:line="560" w:lineRule="exact"/>
        <w:ind w:firstLine="640" w:firstLineChars="200"/>
        <w:rPr>
          <w:rFonts w:hint="eastAsia" w:ascii="仿宋" w:hAnsi="仿宋" w:eastAsia="仿宋" w:cs="仿宋"/>
          <w:color w:val="auto"/>
          <w:sz w:val="32"/>
          <w:szCs w:val="32"/>
        </w:rPr>
      </w:pPr>
    </w:p>
    <w:p>
      <w:pPr>
        <w:spacing w:line="560" w:lineRule="exact"/>
        <w:ind w:firstLine="640" w:firstLineChars="200"/>
        <w:rPr>
          <w:rFonts w:ascii="仿宋_GB2312" w:eastAsia="仿宋_GB2312"/>
          <w:color w:val="auto"/>
          <w:sz w:val="32"/>
          <w:szCs w:val="32"/>
        </w:rPr>
      </w:pPr>
      <w:r>
        <w:rPr>
          <w:rFonts w:hint="eastAsia" w:ascii="仿宋" w:hAnsi="仿宋" w:eastAsia="仿宋" w:cs="仿宋"/>
          <w:color w:val="auto"/>
          <w:sz w:val="32"/>
          <w:szCs w:val="32"/>
        </w:rPr>
        <w:t>为了进一步规范财政资金管理，强化部门责任意识，切实提高财政资金使用效益。根据中方县财政局下发《关于开展2023年度财政项目支出绩效自评工作的通知》(中财绩﹝202</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﹞17</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号）有关要求，对中方县民政局</w:t>
      </w:r>
      <w:r>
        <w:rPr>
          <w:rFonts w:hint="eastAsia" w:eastAsia="仿宋_GB2312"/>
          <w:color w:val="auto"/>
          <w:sz w:val="32"/>
          <w:szCs w:val="32"/>
        </w:rPr>
        <w:t>2023</w:t>
      </w:r>
      <w:r>
        <w:rPr>
          <w:rFonts w:hint="eastAsia" w:ascii="仿宋" w:hAnsi="仿宋" w:eastAsia="仿宋" w:cs="仿宋"/>
          <w:color w:val="auto"/>
          <w:sz w:val="32"/>
          <w:szCs w:val="32"/>
        </w:rPr>
        <w:t>年度儿童福利支出项目专项资金开展绩效评价自评。</w:t>
      </w:r>
    </w:p>
    <w:p>
      <w:pPr>
        <w:pStyle w:val="16"/>
        <w:spacing w:line="510" w:lineRule="exact"/>
        <w:ind w:firstLine="643" w:firstLineChars="200"/>
        <w:rPr>
          <w:rFonts w:ascii="Times New Roman" w:hAnsi="Times New Roman" w:eastAsia="楷体"/>
          <w:b/>
          <w:color w:val="auto"/>
          <w:sz w:val="32"/>
          <w:szCs w:val="32"/>
        </w:rPr>
      </w:pPr>
      <w:r>
        <w:rPr>
          <w:rFonts w:ascii="Times New Roman" w:hAnsi="Times New Roman" w:eastAsia="楷体"/>
          <w:b/>
          <w:color w:val="auto"/>
          <w:sz w:val="32"/>
          <w:szCs w:val="32"/>
        </w:rPr>
        <w:t>一、基本情况</w:t>
      </w:r>
    </w:p>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（一）项目概况</w:t>
      </w:r>
    </w:p>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民政工作是社会治理和社会服务的重要组成部分，是民生之政、为民之政，在全面建成小康社会的各个领域都发挥着独特的积极作用。民政工作关系民生、连着民心，是社会建设的兜底性、基础性工作，各级党委和政府要坚持以人民为中心，加强对民政工作的领导，增强基层民政服务能力，推动民政事业持续健康发展。儿童福利支出用于发放孤儿生活费和事实无人抚养儿童生活费、孤儿助学工程。</w:t>
      </w:r>
    </w:p>
    <w:p>
      <w:pPr>
        <w:pStyle w:val="16"/>
        <w:numPr>
          <w:ilvl w:val="0"/>
          <w:numId w:val="1"/>
        </w:numPr>
        <w:spacing w:line="510" w:lineRule="exact"/>
        <w:ind w:firstLine="640" w:firstLineChars="200"/>
        <w:rPr>
          <w:rFonts w:hint="eastAsia" w:ascii="Times New Roman" w:hAnsi="Times New Roman" w:eastAsia="仿宋"/>
          <w:color w:val="auto"/>
          <w:sz w:val="32"/>
          <w:szCs w:val="32"/>
        </w:rPr>
      </w:pPr>
      <w:r>
        <w:rPr>
          <w:rFonts w:hint="eastAsia" w:ascii="Times New Roman" w:hAnsi="Times New Roman" w:eastAsia="仿宋"/>
          <w:color w:val="auto"/>
          <w:sz w:val="32"/>
          <w:szCs w:val="32"/>
        </w:rPr>
        <w:t>绩效目标</w:t>
      </w:r>
    </w:p>
    <w:p>
      <w:pPr>
        <w:spacing w:line="580" w:lineRule="exact"/>
        <w:ind w:firstLine="640" w:firstLineChars="200"/>
        <w:rPr>
          <w:rFonts w:hint="eastAsia" w:ascii="仿宋_GB2312" w:hAnsi="仿宋" w:eastAsia="仿宋_GB2312"/>
          <w:color w:val="auto"/>
          <w:sz w:val="32"/>
          <w:szCs w:val="32"/>
        </w:rPr>
      </w:pPr>
      <w:r>
        <w:rPr>
          <w:rFonts w:hint="eastAsia" w:ascii="仿宋_GB2312" w:hAnsi="仿宋" w:eastAsia="仿宋_GB2312"/>
          <w:color w:val="auto"/>
          <w:sz w:val="32"/>
          <w:szCs w:val="32"/>
        </w:rPr>
        <w:t>总体目标：</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为保证儿童福利项目相关工作高效高质地完成，中方县民政局设置了相关总体目标：为全县孤儿发放孤儿生活费，为全县事实无人抚养儿童发放生活费。</w:t>
      </w:r>
    </w:p>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阶段性目标</w:t>
      </w:r>
    </w:p>
    <w:p>
      <w:pPr>
        <w:spacing w:line="560" w:lineRule="exact"/>
        <w:ind w:firstLine="640" w:firstLineChars="200"/>
        <w:rPr>
          <w:rFonts w:ascii="Times New Roman" w:hAnsi="Times New Roman" w:eastAsia="仿宋"/>
          <w:color w:val="auto"/>
          <w:sz w:val="32"/>
          <w:szCs w:val="32"/>
        </w:rPr>
      </w:pPr>
      <w:r>
        <w:rPr>
          <w:rFonts w:hint="eastAsia" w:ascii="仿宋" w:hAnsi="仿宋" w:eastAsia="仿宋" w:cs="仿宋"/>
          <w:color w:val="auto"/>
          <w:sz w:val="32"/>
          <w:szCs w:val="32"/>
        </w:rPr>
        <w:t>根据儿童福利项目资金绩效目标实施开展工作。</w:t>
      </w:r>
    </w:p>
    <w:p>
      <w:pPr>
        <w:pStyle w:val="16"/>
        <w:spacing w:line="510" w:lineRule="exact"/>
        <w:ind w:firstLine="643" w:firstLineChars="200"/>
        <w:rPr>
          <w:rFonts w:ascii="Times New Roman" w:hAnsi="Times New Roman" w:eastAsia="楷体"/>
          <w:b/>
          <w:color w:val="auto"/>
          <w:sz w:val="32"/>
          <w:szCs w:val="32"/>
        </w:rPr>
      </w:pPr>
      <w:r>
        <w:rPr>
          <w:rFonts w:ascii="Times New Roman" w:hAnsi="Times New Roman" w:eastAsia="楷体"/>
          <w:b/>
          <w:color w:val="auto"/>
          <w:sz w:val="32"/>
          <w:szCs w:val="32"/>
        </w:rPr>
        <w:t>二、绩效评价工作开展情况</w:t>
      </w:r>
    </w:p>
    <w:p>
      <w:pPr>
        <w:pStyle w:val="16"/>
        <w:spacing w:line="51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202</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年7月30日，中方县财政局下发《关于开展202</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年度财政项目支出绩效自评工作的通知》(中财绩﹝202</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﹞17</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号），提出项目单位自我评价、绩效评价等工作要求，中方县民政局开展了自评工作。采取检查财务会计资料、问卷调查、实地走访等工作程序进行评价。</w:t>
      </w:r>
    </w:p>
    <w:p>
      <w:pPr>
        <w:pStyle w:val="16"/>
        <w:spacing w:line="510" w:lineRule="exact"/>
        <w:ind w:firstLine="640" w:firstLineChars="200"/>
        <w:rPr>
          <w:rFonts w:ascii="Times New Roman" w:hAnsi="Times New Roman" w:eastAsia="仿宋"/>
          <w:color w:val="auto"/>
          <w:sz w:val="32"/>
          <w:szCs w:val="32"/>
        </w:rPr>
      </w:pPr>
      <w:r>
        <w:rPr>
          <w:rFonts w:ascii="Times New Roman" w:hAnsi="Times New Roman" w:eastAsia="仿宋"/>
          <w:color w:val="auto"/>
          <w:sz w:val="32"/>
          <w:szCs w:val="32"/>
        </w:rPr>
        <w:t>（一）绩效评价目的、对象和范围</w:t>
      </w:r>
      <w:r>
        <w:rPr>
          <w:rFonts w:hint="eastAsia" w:ascii="Times New Roman" w:hAnsi="Times New Roman" w:eastAsia="仿宋"/>
          <w:color w:val="auto"/>
          <w:sz w:val="32"/>
          <w:szCs w:val="32"/>
        </w:rPr>
        <w:t>。此次项目评价对象为2023年儿童福利项目。此次绩效评价范围项目资金使用范围。此次评价目的是通过深入检查评价、揭示矛盾问题，促进部门进一步加强制度建设，规范活动管理，提高资金使用绩效。</w:t>
      </w:r>
    </w:p>
    <w:p>
      <w:pPr>
        <w:pStyle w:val="16"/>
        <w:spacing w:line="510" w:lineRule="exact"/>
        <w:ind w:firstLine="640" w:firstLineChars="200"/>
        <w:rPr>
          <w:rFonts w:hint="eastAsia" w:ascii="Times New Roman" w:hAnsi="Times New Roman" w:eastAsia="仿宋"/>
          <w:color w:val="auto"/>
          <w:sz w:val="32"/>
          <w:szCs w:val="32"/>
        </w:rPr>
      </w:pPr>
      <w:r>
        <w:rPr>
          <w:rFonts w:hint="eastAsia" w:ascii="Times New Roman" w:hAnsi="Times New Roman" w:eastAsia="仿宋"/>
          <w:color w:val="auto"/>
          <w:sz w:val="32"/>
          <w:szCs w:val="32"/>
        </w:rPr>
        <w:t>（二）绩效评价原则、评价指标体系（附表说明）、评价方法、评价标准等。此次绩效评价，设立预算执行率和绩效指标，其中绩效指标又分为产出指标、效益指标、满意度指标，分别有一级指标、二级指标、三级指标，项目绩效自评满分为100分。其中预算执行率10分，绩效指标90分，绩效指标中产出指标设置(50分)，主要评价儿童福利支出的数量、质量、时效和成本；绩效指标效益指标（30分），主要评价儿童福利支出对经济、社会、生态、可持续影响；绩效指标中满意度指标（10分）主要评价儿童福利支出的有效性、社会知晓度和群众满意率。</w:t>
      </w:r>
    </w:p>
    <w:p>
      <w:pPr>
        <w:pStyle w:val="16"/>
        <w:spacing w:line="510" w:lineRule="exact"/>
        <w:ind w:firstLine="640" w:firstLineChars="200"/>
        <w:rPr>
          <w:rFonts w:hint="eastAsia" w:ascii="Times New Roman" w:hAnsi="Times New Roman" w:eastAsia="仿宋"/>
          <w:color w:val="auto"/>
          <w:sz w:val="32"/>
          <w:szCs w:val="32"/>
        </w:rPr>
      </w:pPr>
      <w:r>
        <w:rPr>
          <w:rFonts w:hint="eastAsia" w:ascii="Times New Roman" w:hAnsi="Times New Roman" w:eastAsia="仿宋"/>
          <w:color w:val="auto"/>
          <w:sz w:val="32"/>
          <w:szCs w:val="32"/>
        </w:rPr>
        <w:t>（三）绩效评价工作过程。借鉴以往年度做法，此次评价继续采取部门自评，财务评价相结合。</w:t>
      </w:r>
      <w:r>
        <w:rPr>
          <w:rFonts w:hint="eastAsia" w:ascii="仿宋" w:hAnsi="仿宋" w:eastAsia="仿宋" w:cs="仿宋"/>
          <w:color w:val="auto"/>
          <w:sz w:val="32"/>
          <w:szCs w:val="32"/>
        </w:rPr>
        <w:t>采取检查财务会计资料、问卷调查、实地走访等工作程序进行评价。在绩效评价过程中</w:t>
      </w:r>
      <w:r>
        <w:rPr>
          <w:rFonts w:hint="eastAsia" w:ascii="Times New Roman" w:hAnsi="Times New Roman" w:eastAsia="仿宋"/>
          <w:color w:val="auto"/>
          <w:sz w:val="32"/>
          <w:szCs w:val="32"/>
        </w:rPr>
        <w:t>坚守绩效评价五大原则，平等对待每个项目，对于结果也是“三公”公平、公正、公开。</w:t>
      </w:r>
    </w:p>
    <w:p>
      <w:pPr>
        <w:pStyle w:val="16"/>
        <w:spacing w:line="510" w:lineRule="exact"/>
        <w:ind w:firstLine="643" w:firstLineChars="200"/>
        <w:rPr>
          <w:rFonts w:ascii="Times New Roman" w:hAnsi="Times New Roman" w:eastAsia="楷体"/>
          <w:b/>
          <w:color w:val="auto"/>
          <w:sz w:val="32"/>
          <w:szCs w:val="32"/>
        </w:rPr>
      </w:pPr>
      <w:r>
        <w:rPr>
          <w:rFonts w:ascii="Times New Roman" w:hAnsi="Times New Roman" w:eastAsia="楷体"/>
          <w:b/>
          <w:color w:val="auto"/>
          <w:sz w:val="32"/>
          <w:szCs w:val="32"/>
        </w:rPr>
        <w:t>三、综合评价情况及评价结论（附相关评分表）</w:t>
      </w:r>
    </w:p>
    <w:p>
      <w:pPr>
        <w:pStyle w:val="16"/>
        <w:spacing w:line="510" w:lineRule="exact"/>
        <w:ind w:firstLine="640" w:firstLineChars="200"/>
        <w:rPr>
          <w:rFonts w:ascii="Times New Roman" w:hAnsi="Times New Roman" w:eastAsia="仿宋"/>
          <w:color w:val="auto"/>
          <w:sz w:val="32"/>
          <w:szCs w:val="32"/>
        </w:rPr>
      </w:pPr>
      <w:r>
        <w:rPr>
          <w:rFonts w:ascii="Times New Roman" w:hAnsi="Times New Roman" w:eastAsia="仿宋"/>
          <w:color w:val="auto"/>
          <w:sz w:val="32"/>
          <w:szCs w:val="32"/>
        </w:rPr>
        <w:t>绩效评价等级一般划分为四档：90分（含）—100分为优，80分（含）—90分为良，60分（含）—80分为中，60分以下为差。</w:t>
      </w:r>
      <w:r>
        <w:rPr>
          <w:rFonts w:hint="eastAsia" w:ascii="Times New Roman" w:hAnsi="Times New Roman" w:eastAsia="仿宋"/>
          <w:color w:val="auto"/>
          <w:sz w:val="32"/>
          <w:szCs w:val="32"/>
        </w:rPr>
        <w:t>经自评，儿童福利支出绩效自评等级为优秀。</w:t>
      </w:r>
    </w:p>
    <w:p>
      <w:pPr>
        <w:pStyle w:val="16"/>
        <w:spacing w:line="510" w:lineRule="exact"/>
        <w:ind w:firstLine="643" w:firstLineChars="200"/>
        <w:rPr>
          <w:rFonts w:ascii="Times New Roman" w:hAnsi="Times New Roman" w:eastAsia="楷体"/>
          <w:b/>
          <w:color w:val="auto"/>
          <w:sz w:val="32"/>
          <w:szCs w:val="32"/>
        </w:rPr>
      </w:pPr>
      <w:r>
        <w:rPr>
          <w:rFonts w:ascii="Times New Roman" w:hAnsi="Times New Roman" w:eastAsia="楷体"/>
          <w:b/>
          <w:color w:val="auto"/>
          <w:sz w:val="32"/>
          <w:szCs w:val="32"/>
        </w:rPr>
        <w:t>四、绩效评价指标分析</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为规范和加强民政专项资金管理，提高资金使用效益，根据国家有关法律法规和《湖南省人民政府办公厅关于整合规范省级财政专项资金的意见》（湘政办〔</w:t>
      </w:r>
      <w:r>
        <w:rPr>
          <w:rFonts w:ascii="仿宋" w:hAnsi="仿宋" w:eastAsia="仿宋" w:cs="仿宋"/>
          <w:color w:val="auto"/>
          <w:sz w:val="32"/>
          <w:szCs w:val="32"/>
        </w:rPr>
        <w:t>2012</w:t>
      </w:r>
      <w:r>
        <w:rPr>
          <w:rFonts w:hint="eastAsia" w:ascii="仿宋" w:hAnsi="仿宋" w:eastAsia="仿宋" w:cs="仿宋"/>
          <w:color w:val="auto"/>
          <w:sz w:val="32"/>
          <w:szCs w:val="32"/>
        </w:rPr>
        <w:t>〕</w:t>
      </w:r>
      <w:r>
        <w:rPr>
          <w:rFonts w:ascii="仿宋" w:hAnsi="仿宋" w:eastAsia="仿宋" w:cs="仿宋"/>
          <w:color w:val="auto"/>
          <w:sz w:val="32"/>
          <w:szCs w:val="32"/>
        </w:rPr>
        <w:t>58</w:t>
      </w:r>
      <w:r>
        <w:rPr>
          <w:rFonts w:hint="eastAsia" w:ascii="仿宋" w:hAnsi="仿宋" w:eastAsia="仿宋" w:cs="仿宋"/>
          <w:color w:val="auto"/>
          <w:sz w:val="32"/>
          <w:szCs w:val="32"/>
        </w:rPr>
        <w:t>号）、《湖南省人民政府关于深化预算管理制度改革的实施意见》（湘政发〔</w:t>
      </w:r>
      <w:r>
        <w:rPr>
          <w:rFonts w:ascii="仿宋" w:hAnsi="仿宋" w:eastAsia="仿宋" w:cs="仿宋"/>
          <w:color w:val="auto"/>
          <w:sz w:val="32"/>
          <w:szCs w:val="32"/>
        </w:rPr>
        <w:t>2015</w:t>
      </w:r>
      <w:r>
        <w:rPr>
          <w:rFonts w:hint="eastAsia" w:ascii="仿宋" w:hAnsi="仿宋" w:eastAsia="仿宋" w:cs="仿宋"/>
          <w:color w:val="auto"/>
          <w:sz w:val="32"/>
          <w:szCs w:val="32"/>
        </w:rPr>
        <w:t>〕</w:t>
      </w:r>
      <w:r>
        <w:rPr>
          <w:rFonts w:ascii="仿宋" w:hAnsi="仿宋" w:eastAsia="仿宋" w:cs="仿宋"/>
          <w:color w:val="auto"/>
          <w:sz w:val="32"/>
          <w:szCs w:val="32"/>
        </w:rPr>
        <w:t>8</w:t>
      </w:r>
      <w:r>
        <w:rPr>
          <w:rFonts w:hint="eastAsia" w:ascii="仿宋" w:hAnsi="仿宋" w:eastAsia="仿宋" w:cs="仿宋"/>
          <w:color w:val="auto"/>
          <w:sz w:val="32"/>
          <w:szCs w:val="32"/>
        </w:rPr>
        <w:t>号）文件精神要求，根据各民政专项资金管理办法，资金直接下达到民政局补助资金专户，实行专款专用，专账管理。并由县财政局社保股实行对口管理，县民政局设置对口业务股室，建立健全财务管理制度，健全民政专项资金发放台账，做好与金融机构的定期对账工作，确保项目专项资金安全使用。</w:t>
      </w:r>
    </w:p>
    <w:p>
      <w:pPr>
        <w:pStyle w:val="16"/>
        <w:spacing w:line="510" w:lineRule="exact"/>
        <w:ind w:firstLine="640" w:firstLineChars="200"/>
        <w:rPr>
          <w:rFonts w:hint="eastAsia" w:ascii="Times New Roman" w:hAnsi="Times New Roman" w:eastAsia="仿宋"/>
          <w:color w:val="auto"/>
          <w:sz w:val="32"/>
          <w:szCs w:val="32"/>
        </w:rPr>
      </w:pPr>
      <w:r>
        <w:rPr>
          <w:rFonts w:ascii="Times New Roman" w:hAnsi="Times New Roman" w:eastAsia="仿宋"/>
          <w:color w:val="auto"/>
          <w:sz w:val="32"/>
          <w:szCs w:val="32"/>
        </w:rPr>
        <w:t>（一）项目决策情况。</w:t>
      </w:r>
      <w:r>
        <w:rPr>
          <w:rFonts w:hint="eastAsia" w:ascii="Times New Roman" w:hAnsi="Times New Roman" w:eastAsia="仿宋"/>
          <w:color w:val="auto"/>
          <w:sz w:val="32"/>
          <w:szCs w:val="32"/>
        </w:rPr>
        <w:t>年初预算是已经将儿童福利支出项目绩效目标细化分解为具体的绩效指标，并通过清晰可衡量的指标值予以体现。</w:t>
      </w:r>
    </w:p>
    <w:p>
      <w:pPr>
        <w:pStyle w:val="16"/>
        <w:spacing w:line="510" w:lineRule="exact"/>
        <w:ind w:firstLine="640" w:firstLineChars="200"/>
        <w:rPr>
          <w:rFonts w:ascii="Times New Roman" w:hAnsi="Times New Roman" w:eastAsia="仿宋"/>
          <w:color w:val="auto"/>
          <w:sz w:val="32"/>
          <w:szCs w:val="32"/>
        </w:rPr>
      </w:pPr>
      <w:r>
        <w:rPr>
          <w:rFonts w:ascii="Times New Roman" w:hAnsi="Times New Roman" w:eastAsia="仿宋"/>
          <w:color w:val="auto"/>
          <w:sz w:val="32"/>
          <w:szCs w:val="32"/>
        </w:rPr>
        <w:t>（二）项目过程情况。</w:t>
      </w:r>
      <w:r>
        <w:rPr>
          <w:rFonts w:hint="eastAsia" w:ascii="Times New Roman" w:hAnsi="Times New Roman" w:eastAsia="仿宋"/>
          <w:color w:val="auto"/>
          <w:sz w:val="32"/>
          <w:szCs w:val="32"/>
        </w:rPr>
        <w:t>项目资金使用符合相关的财务管理制度规定，资金规范运行，具有合法、合规、完整的财务和业务管理制度。2023年儿童福利资金预算</w:t>
      </w:r>
      <w:r>
        <w:rPr>
          <w:rFonts w:hint="eastAsia" w:ascii="仿宋" w:hAnsi="仿宋" w:eastAsia="仿宋" w:cs="仿宋"/>
          <w:color w:val="auto"/>
          <w:sz w:val="32"/>
          <w:szCs w:val="32"/>
        </w:rPr>
        <w:t>162.34</w:t>
      </w:r>
      <w:r>
        <w:rPr>
          <w:rFonts w:hint="eastAsia" w:ascii="Times New Roman" w:hAnsi="Times New Roman" w:eastAsia="仿宋"/>
          <w:color w:val="auto"/>
          <w:sz w:val="32"/>
          <w:szCs w:val="32"/>
        </w:rPr>
        <w:t>万元，实际到位资金</w:t>
      </w:r>
      <w:r>
        <w:rPr>
          <w:rFonts w:hint="eastAsia" w:ascii="仿宋" w:hAnsi="仿宋" w:eastAsia="仿宋" w:cs="仿宋"/>
          <w:color w:val="auto"/>
          <w:sz w:val="32"/>
          <w:szCs w:val="32"/>
        </w:rPr>
        <w:t>162.34</w:t>
      </w:r>
      <w:r>
        <w:rPr>
          <w:rFonts w:hint="eastAsia" w:ascii="Times New Roman" w:hAnsi="Times New Roman" w:eastAsia="仿宋"/>
          <w:color w:val="auto"/>
          <w:sz w:val="32"/>
          <w:szCs w:val="32"/>
        </w:rPr>
        <w:t>万元，资金到位率100% ；2023年儿童福利项目实际支出</w:t>
      </w:r>
      <w:r>
        <w:rPr>
          <w:rFonts w:hint="eastAsia" w:ascii="仿宋" w:hAnsi="仿宋" w:eastAsia="仿宋" w:cs="仿宋"/>
          <w:color w:val="auto"/>
          <w:sz w:val="32"/>
          <w:szCs w:val="32"/>
        </w:rPr>
        <w:t>162.34</w:t>
      </w:r>
      <w:r>
        <w:rPr>
          <w:rFonts w:hint="eastAsia" w:ascii="Times New Roman" w:hAnsi="Times New Roman" w:eastAsia="仿宋"/>
          <w:color w:val="auto"/>
          <w:sz w:val="32"/>
          <w:szCs w:val="32"/>
        </w:rPr>
        <w:t>万元，预算执行率100%。</w:t>
      </w:r>
    </w:p>
    <w:p>
      <w:pPr>
        <w:pStyle w:val="16"/>
        <w:spacing w:line="510" w:lineRule="exact"/>
        <w:ind w:firstLine="640" w:firstLineChars="200"/>
        <w:rPr>
          <w:rFonts w:ascii="Times New Roman" w:hAnsi="Times New Roman" w:eastAsia="仿宋"/>
          <w:color w:val="auto"/>
          <w:sz w:val="32"/>
          <w:szCs w:val="32"/>
        </w:rPr>
      </w:pPr>
      <w:r>
        <w:rPr>
          <w:rFonts w:ascii="Times New Roman" w:hAnsi="Times New Roman" w:eastAsia="仿宋"/>
          <w:color w:val="auto"/>
          <w:sz w:val="32"/>
          <w:szCs w:val="32"/>
        </w:rPr>
        <w:t>（三）项目产出情况。</w:t>
      </w:r>
      <w:r>
        <w:rPr>
          <w:rFonts w:hint="eastAsia" w:ascii="Times New Roman" w:hAnsi="Times New Roman" w:eastAsia="仿宋"/>
          <w:color w:val="auto"/>
          <w:sz w:val="32"/>
          <w:szCs w:val="32"/>
        </w:rPr>
        <w:t>项目实际完成率100%；项目质量达标率100%；项目完成及时性100%；成本节约率0%。</w:t>
      </w:r>
    </w:p>
    <w:p>
      <w:pPr>
        <w:widowControl/>
        <w:shd w:val="clear" w:color="auto" w:fill="FFFFFF"/>
        <w:spacing w:line="560" w:lineRule="exact"/>
        <w:ind w:firstLine="640" w:firstLineChars="200"/>
        <w:jc w:val="left"/>
        <w:rPr>
          <w:rFonts w:hint="eastAsia" w:ascii="Times New Roman" w:hAnsi="Times New Roman" w:eastAsia="仿宋"/>
          <w:color w:val="auto"/>
          <w:sz w:val="32"/>
          <w:szCs w:val="32"/>
        </w:rPr>
      </w:pPr>
      <w:r>
        <w:rPr>
          <w:rFonts w:ascii="Times New Roman" w:hAnsi="Times New Roman" w:eastAsia="仿宋"/>
          <w:color w:val="auto"/>
          <w:sz w:val="32"/>
          <w:szCs w:val="32"/>
        </w:rPr>
        <w:t>（四）项目效益情况。</w:t>
      </w:r>
      <w:r>
        <w:rPr>
          <w:rFonts w:hint="eastAsia" w:ascii="仿宋" w:hAnsi="仿宋" w:eastAsia="仿宋" w:cs="仿宋"/>
          <w:color w:val="auto"/>
          <w:kern w:val="0"/>
          <w:sz w:val="32"/>
          <w:szCs w:val="32"/>
        </w:rPr>
        <w:t>通过对该项资金群众满意度的调查了解，对该项资金使用的满意度比较高。</w:t>
      </w:r>
      <w:r>
        <w:rPr>
          <w:rFonts w:hint="eastAsia" w:ascii="Times New Roman" w:hAnsi="Times New Roman" w:eastAsia="仿宋"/>
          <w:color w:val="auto"/>
          <w:sz w:val="32"/>
          <w:szCs w:val="32"/>
        </w:rPr>
        <w:t>项目实施效果的满意度100%。</w:t>
      </w:r>
    </w:p>
    <w:p>
      <w:pPr>
        <w:pStyle w:val="2"/>
      </w:pPr>
      <w:bookmarkStart w:id="0" w:name="_GoBack"/>
      <w:bookmarkEnd w:id="0"/>
    </w:p>
    <w:p>
      <w:pPr>
        <w:pStyle w:val="16"/>
        <w:spacing w:line="510" w:lineRule="exact"/>
        <w:ind w:firstLine="643" w:firstLineChars="200"/>
        <w:rPr>
          <w:rFonts w:ascii="Times New Roman" w:hAnsi="Times New Roman" w:eastAsia="楷体"/>
          <w:b/>
          <w:color w:val="auto"/>
          <w:sz w:val="32"/>
          <w:szCs w:val="32"/>
        </w:rPr>
      </w:pPr>
      <w:r>
        <w:rPr>
          <w:rFonts w:ascii="Times New Roman" w:hAnsi="Times New Roman" w:eastAsia="楷体"/>
          <w:b/>
          <w:color w:val="auto"/>
          <w:sz w:val="32"/>
          <w:szCs w:val="32"/>
        </w:rPr>
        <w:t>五、主要经验及做法、存在的问题及原因分析</w:t>
      </w:r>
    </w:p>
    <w:p>
      <w:pPr>
        <w:widowControl/>
        <w:shd w:val="clear" w:color="auto" w:fill="FFFFFF"/>
        <w:spacing w:line="560" w:lineRule="exact"/>
        <w:ind w:firstLine="640" w:firstLineChars="200"/>
        <w:jc w:val="left"/>
        <w:rPr>
          <w:rFonts w:hint="eastAsia" w:ascii="Times New Roman" w:hAnsi="Times New Roman" w:eastAsia="仿宋"/>
          <w:color w:val="auto"/>
          <w:sz w:val="32"/>
          <w:szCs w:val="32"/>
        </w:rPr>
      </w:pPr>
      <w:r>
        <w:rPr>
          <w:rFonts w:hint="eastAsia" w:ascii="Times New Roman" w:hAnsi="Times New Roman" w:eastAsia="仿宋"/>
          <w:color w:val="auto"/>
          <w:sz w:val="32"/>
          <w:szCs w:val="32"/>
        </w:rPr>
        <w:t>主要经验和做法：在实施一般行政管理事务工作过程中，我们严格规范财务和稽查考核制度，建立了一套完善的申报审批管理工作制度。一是严格审批程序，严格把关每一步程序，确保资金专款专用。二是规范资金运行。每一笔的资金都是提出用款申请，财政核拨，通过专账管理，确保资金及时足额到位。</w:t>
      </w:r>
    </w:p>
    <w:p>
      <w:pPr>
        <w:widowControl/>
        <w:shd w:val="clear" w:color="auto" w:fill="FFFFFF"/>
        <w:spacing w:line="560" w:lineRule="exact"/>
        <w:ind w:firstLine="640" w:firstLineChars="200"/>
        <w:jc w:val="left"/>
        <w:rPr>
          <w:rFonts w:hint="eastAsia" w:ascii="Times New Roman" w:hAnsi="Times New Roman" w:eastAsia="仿宋"/>
          <w:color w:val="auto"/>
          <w:sz w:val="32"/>
          <w:szCs w:val="32"/>
        </w:rPr>
      </w:pPr>
      <w:r>
        <w:rPr>
          <w:rFonts w:hint="eastAsia" w:ascii="Times New Roman" w:hAnsi="Times New Roman" w:eastAsia="仿宋"/>
          <w:color w:val="auto"/>
          <w:sz w:val="32"/>
          <w:szCs w:val="32"/>
        </w:rPr>
        <w:t>存在的主要问题：缺乏主动性，由于预算绩效管理的专业性、复杂性等特性，业务水平还不能满足绩效管理工作要求，专业素质有待提高；规范高效的预算绩效管理模式还处于起步阶段，预算绩效管理基础工作有待进一步加强。</w:t>
      </w:r>
    </w:p>
    <w:p>
      <w:pPr>
        <w:pStyle w:val="16"/>
        <w:spacing w:line="510" w:lineRule="exact"/>
        <w:ind w:firstLine="643" w:firstLineChars="200"/>
        <w:rPr>
          <w:rFonts w:ascii="Times New Roman" w:hAnsi="Times New Roman" w:eastAsia="楷体"/>
          <w:b/>
          <w:color w:val="auto"/>
          <w:sz w:val="32"/>
          <w:szCs w:val="32"/>
        </w:rPr>
      </w:pPr>
      <w:r>
        <w:rPr>
          <w:rFonts w:ascii="Times New Roman" w:hAnsi="Times New Roman" w:eastAsia="楷体"/>
          <w:b/>
          <w:color w:val="auto"/>
          <w:sz w:val="32"/>
          <w:szCs w:val="32"/>
        </w:rPr>
        <w:t>六、有关建议</w:t>
      </w:r>
    </w:p>
    <w:p>
      <w:pPr>
        <w:widowControl/>
        <w:shd w:val="clear" w:color="auto" w:fill="FFFFFF"/>
        <w:spacing w:line="560" w:lineRule="exact"/>
        <w:ind w:firstLine="640" w:firstLineChars="200"/>
        <w:jc w:val="left"/>
        <w:rPr>
          <w:rFonts w:hint="eastAsia" w:ascii="Times New Roman" w:hAnsi="Times New Roman" w:eastAsia="仿宋"/>
          <w:color w:val="auto"/>
          <w:sz w:val="32"/>
          <w:szCs w:val="32"/>
        </w:rPr>
      </w:pPr>
      <w:r>
        <w:rPr>
          <w:rFonts w:hint="eastAsia" w:ascii="Times New Roman" w:hAnsi="Times New Roman" w:eastAsia="仿宋"/>
          <w:color w:val="auto"/>
          <w:sz w:val="32"/>
          <w:szCs w:val="32"/>
        </w:rPr>
        <w:t>重点讲绩效管理工作作为一项日常性的重要工作来抓；彻底改变“重安排，轻监督；重争取，轻管理；重使用，轻绩效”的思想，扭转“只要资金使用合法合规就行，忽视财政资金的使用绩效”的工作方式；完善绩效评价指标体系，科学设定评价指标；丰富绩效评价方法等。</w:t>
      </w:r>
    </w:p>
    <w:p>
      <w:pPr>
        <w:pStyle w:val="16"/>
        <w:spacing w:line="510" w:lineRule="exact"/>
        <w:ind w:firstLine="643" w:firstLineChars="200"/>
        <w:rPr>
          <w:rFonts w:ascii="Times New Roman" w:hAnsi="Times New Roman" w:eastAsia="楷体"/>
          <w:b/>
          <w:color w:val="auto"/>
          <w:sz w:val="32"/>
          <w:szCs w:val="32"/>
        </w:rPr>
      </w:pPr>
      <w:r>
        <w:rPr>
          <w:rFonts w:ascii="Times New Roman" w:hAnsi="Times New Roman" w:eastAsia="楷体"/>
          <w:b/>
          <w:color w:val="auto"/>
          <w:sz w:val="32"/>
          <w:szCs w:val="32"/>
        </w:rPr>
        <w:t>七、其他需要说明的问题</w:t>
      </w:r>
    </w:p>
    <w:p>
      <w:pPr>
        <w:widowControl/>
        <w:shd w:val="clear" w:color="auto" w:fill="FFFFFF"/>
        <w:spacing w:line="560" w:lineRule="exact"/>
        <w:ind w:firstLine="640" w:firstLineChars="200"/>
        <w:jc w:val="left"/>
        <w:rPr>
          <w:rFonts w:ascii="Times New Roman" w:hAnsi="Times New Roman" w:eastAsia="仿宋"/>
          <w:color w:val="auto"/>
          <w:sz w:val="32"/>
          <w:szCs w:val="32"/>
        </w:rPr>
      </w:pPr>
      <w:r>
        <w:rPr>
          <w:rFonts w:hint="eastAsia" w:ascii="Times New Roman" w:hAnsi="Times New Roman" w:eastAsia="仿宋"/>
          <w:color w:val="auto"/>
          <w:sz w:val="32"/>
          <w:szCs w:val="32"/>
        </w:rPr>
        <w:t>建议县财政加大民生资金的投入力度。</w:t>
      </w:r>
    </w:p>
    <w:p>
      <w:pPr>
        <w:widowControl/>
        <w:spacing w:line="510" w:lineRule="exact"/>
        <w:ind w:firstLine="1600" w:firstLineChars="500"/>
        <w:jc w:val="left"/>
        <w:rPr>
          <w:rFonts w:ascii="Times New Roman" w:hAnsi="Times New Roman" w:eastAsia="仿宋_GB2312"/>
          <w:bCs/>
          <w:color w:val="auto"/>
          <w:kern w:val="0"/>
          <w:sz w:val="32"/>
          <w:szCs w:val="32"/>
        </w:rPr>
      </w:pPr>
    </w:p>
    <w:p>
      <w:pPr>
        <w:pStyle w:val="2"/>
        <w:ind w:firstLine="640"/>
        <w:jc w:val="center"/>
        <w:rPr>
          <w:rFonts w:hint="eastAsia" w:ascii="仿宋" w:hAnsi="仿宋" w:eastAsia="仿宋" w:cs="仿宋"/>
          <w:color w:val="auto"/>
          <w:szCs w:val="32"/>
        </w:rPr>
      </w:pPr>
      <w:r>
        <w:rPr>
          <w:rFonts w:hint="eastAsia" w:ascii="仿宋" w:hAnsi="仿宋" w:eastAsia="仿宋" w:cs="仿宋"/>
          <w:color w:val="auto"/>
          <w:szCs w:val="32"/>
        </w:rPr>
        <w:t xml:space="preserve">                             中方县民政局</w:t>
      </w:r>
    </w:p>
    <w:p>
      <w:pPr>
        <w:pStyle w:val="2"/>
        <w:ind w:firstLine="640"/>
        <w:jc w:val="right"/>
        <w:rPr>
          <w:rFonts w:ascii="仿宋" w:hAnsi="仿宋" w:eastAsia="仿宋" w:cs="仿宋"/>
          <w:color w:val="auto"/>
          <w:szCs w:val="32"/>
        </w:rPr>
      </w:pPr>
      <w:r>
        <w:rPr>
          <w:rFonts w:hint="eastAsia" w:ascii="仿宋" w:hAnsi="仿宋" w:eastAsia="仿宋" w:cs="仿宋"/>
          <w:color w:val="auto"/>
          <w:szCs w:val="32"/>
        </w:rPr>
        <w:t>202</w:t>
      </w:r>
      <w:r>
        <w:rPr>
          <w:rFonts w:hint="eastAsia" w:ascii="仿宋" w:hAnsi="仿宋" w:eastAsia="仿宋" w:cs="仿宋"/>
          <w:color w:val="auto"/>
          <w:szCs w:val="32"/>
          <w:lang w:val="en-US" w:eastAsia="zh-CN"/>
        </w:rPr>
        <w:t>4</w:t>
      </w:r>
      <w:r>
        <w:rPr>
          <w:rFonts w:hint="eastAsia" w:ascii="仿宋" w:hAnsi="仿宋" w:eastAsia="仿宋" w:cs="仿宋"/>
          <w:color w:val="auto"/>
          <w:szCs w:val="32"/>
        </w:rPr>
        <w:t>年8月12日</w:t>
      </w:r>
    </w:p>
    <w:p>
      <w:pPr>
        <w:spacing w:line="400" w:lineRule="exact"/>
        <w:rPr>
          <w:rFonts w:ascii="Times New Roman" w:hAnsi="Times New Roman" w:eastAsia="仿宋_GB2312"/>
          <w:bCs/>
          <w:color w:val="auto"/>
          <w:sz w:val="32"/>
          <w:szCs w:val="32"/>
        </w:rPr>
      </w:pPr>
    </w:p>
    <w:p>
      <w:pPr>
        <w:spacing w:line="400" w:lineRule="exact"/>
        <w:rPr>
          <w:rFonts w:ascii="Times New Roman" w:hAnsi="Times New Roman" w:eastAsia="仿宋_GB2312"/>
          <w:bCs/>
          <w:color w:val="auto"/>
          <w:sz w:val="32"/>
          <w:szCs w:val="32"/>
        </w:rPr>
      </w:pPr>
    </w:p>
    <w:p>
      <w:pPr>
        <w:spacing w:line="400" w:lineRule="exact"/>
        <w:rPr>
          <w:rFonts w:ascii="Times New Roman" w:hAnsi="Times New Roman" w:eastAsia="仿宋_GB2312"/>
          <w:bCs/>
          <w:color w:val="auto"/>
          <w:sz w:val="32"/>
          <w:szCs w:val="32"/>
        </w:rPr>
      </w:pPr>
    </w:p>
    <w:p>
      <w:pPr>
        <w:spacing w:line="400" w:lineRule="exact"/>
        <w:rPr>
          <w:rFonts w:ascii="Times New Roman" w:hAnsi="Times New Roman" w:eastAsia="仿宋_GB2312"/>
          <w:bCs/>
          <w:color w:val="auto"/>
          <w:sz w:val="32"/>
          <w:szCs w:val="32"/>
        </w:rPr>
      </w:pPr>
    </w:p>
    <w:p>
      <w:pPr>
        <w:spacing w:line="400" w:lineRule="exact"/>
        <w:rPr>
          <w:rFonts w:ascii="Times New Roman" w:hAnsi="Times New Roman" w:eastAsia="仿宋_GB2312"/>
          <w:bCs/>
          <w:color w:val="auto"/>
          <w:sz w:val="32"/>
          <w:szCs w:val="32"/>
        </w:rPr>
      </w:pPr>
    </w:p>
    <w:p>
      <w:pPr>
        <w:spacing w:line="400" w:lineRule="exact"/>
        <w:rPr>
          <w:rFonts w:ascii="Times New Roman" w:hAnsi="Times New Roman" w:eastAsia="仿宋_GB2312"/>
          <w:bCs/>
          <w:color w:val="auto"/>
          <w:sz w:val="32"/>
          <w:szCs w:val="32"/>
        </w:rPr>
      </w:pPr>
    </w:p>
    <w:tbl>
      <w:tblPr>
        <w:tblStyle w:val="12"/>
        <w:tblW w:w="8840" w:type="dxa"/>
        <w:jc w:val="center"/>
        <w:tblLayout w:type="fixed"/>
        <w:tblCellMar>
          <w:top w:w="0" w:type="dxa"/>
          <w:left w:w="108" w:type="dxa"/>
          <w:bottom w:w="0" w:type="dxa"/>
          <w:right w:w="108" w:type="dxa"/>
        </w:tblCellMar>
      </w:tblPr>
      <w:tblGrid>
        <w:gridCol w:w="572"/>
        <w:gridCol w:w="954"/>
        <w:gridCol w:w="1082"/>
        <w:gridCol w:w="711"/>
        <w:gridCol w:w="1104"/>
        <w:gridCol w:w="505"/>
        <w:gridCol w:w="750"/>
        <w:gridCol w:w="798"/>
        <w:gridCol w:w="155"/>
        <w:gridCol w:w="350"/>
        <w:gridCol w:w="340"/>
        <w:gridCol w:w="225"/>
        <w:gridCol w:w="603"/>
        <w:gridCol w:w="691"/>
      </w:tblGrid>
      <w:tr>
        <w:tblPrEx>
          <w:tblCellMar>
            <w:top w:w="0" w:type="dxa"/>
            <w:left w:w="108" w:type="dxa"/>
            <w:bottom w:w="0" w:type="dxa"/>
            <w:right w:w="108" w:type="dxa"/>
          </w:tblCellMar>
        </w:tblPrEx>
        <w:trPr>
          <w:trHeight w:val="439" w:hRule="exact"/>
          <w:jc w:val="center"/>
        </w:trPr>
        <w:tc>
          <w:tcPr>
            <w:tcW w:w="8840" w:type="dxa"/>
            <w:gridSpan w:val="14"/>
            <w:tcBorders>
              <w:top w:val="nil"/>
              <w:left w:val="nil"/>
              <w:bottom w:val="nil"/>
              <w:right w:val="nil"/>
            </w:tcBorders>
            <w:noWrap w:val="0"/>
            <w:vAlign w:val="center"/>
          </w:tcPr>
          <w:p>
            <w:pPr>
              <w:widowControl/>
              <w:spacing w:line="320" w:lineRule="exact"/>
              <w:jc w:val="center"/>
              <w:rPr>
                <w:rFonts w:ascii="Times New Roman" w:hAnsi="Times New Roman"/>
                <w:b/>
                <w:bCs/>
                <w:kern w:val="0"/>
                <w:sz w:val="32"/>
                <w:szCs w:val="32"/>
              </w:rPr>
            </w:pPr>
            <w:r>
              <w:rPr>
                <w:rFonts w:hint="eastAsia" w:ascii="Times New Roman" w:hAnsi="Times New Roman"/>
                <w:b/>
                <w:bCs/>
                <w:kern w:val="0"/>
                <w:sz w:val="32"/>
                <w:szCs w:val="32"/>
              </w:rPr>
              <w:t>儿童福利</w:t>
            </w:r>
            <w:r>
              <w:rPr>
                <w:rFonts w:ascii="Times New Roman" w:hAnsi="Times New Roman"/>
                <w:b/>
                <w:bCs/>
                <w:kern w:val="0"/>
                <w:sz w:val="32"/>
                <w:szCs w:val="32"/>
              </w:rPr>
              <w:t>项目支出绩效自评表</w:t>
            </w:r>
          </w:p>
        </w:tc>
      </w:tr>
      <w:tr>
        <w:tblPrEx>
          <w:tblCellMar>
            <w:top w:w="0" w:type="dxa"/>
            <w:left w:w="108" w:type="dxa"/>
            <w:bottom w:w="0" w:type="dxa"/>
            <w:right w:w="108" w:type="dxa"/>
          </w:tblCellMar>
        </w:tblPrEx>
        <w:trPr>
          <w:trHeight w:val="407" w:hRule="atLeast"/>
          <w:jc w:val="center"/>
        </w:trPr>
        <w:tc>
          <w:tcPr>
            <w:tcW w:w="8840" w:type="dxa"/>
            <w:gridSpan w:val="14"/>
            <w:tcBorders>
              <w:top w:val="nil"/>
              <w:left w:val="nil"/>
              <w:bottom w:val="nil"/>
              <w:right w:val="nil"/>
            </w:tcBorders>
            <w:noWrap w:val="0"/>
            <w:vAlign w:val="top"/>
          </w:tcPr>
          <w:p>
            <w:pPr>
              <w:widowControl/>
              <w:jc w:val="center"/>
              <w:rPr>
                <w:rFonts w:ascii="Times New Roman" w:hAnsi="Times New Roman"/>
                <w:kern w:val="0"/>
                <w:sz w:val="22"/>
                <w:szCs w:val="22"/>
              </w:rPr>
            </w:pPr>
            <w:r>
              <w:rPr>
                <w:rFonts w:ascii="Times New Roman" w:hAnsi="Times New Roman"/>
                <w:kern w:val="0"/>
                <w:sz w:val="22"/>
                <w:szCs w:val="22"/>
              </w:rPr>
              <w:t>（</w:t>
            </w:r>
            <w:r>
              <w:rPr>
                <w:rFonts w:hint="eastAsia" w:ascii="Times New Roman" w:hAnsi="Times New Roman"/>
                <w:kern w:val="0"/>
                <w:sz w:val="22"/>
                <w:szCs w:val="22"/>
              </w:rPr>
              <w:t>202</w:t>
            </w:r>
            <w:r>
              <w:rPr>
                <w:rFonts w:hint="eastAsia" w:ascii="Times New Roman" w:hAnsi="Times New Roman"/>
                <w:kern w:val="0"/>
                <w:sz w:val="22"/>
                <w:szCs w:val="22"/>
                <w:lang w:val="en-US" w:eastAsia="zh-CN"/>
              </w:rPr>
              <w:t>3</w:t>
            </w:r>
            <w:r>
              <w:rPr>
                <w:rFonts w:ascii="Times New Roman" w:hAnsi="Times New Roman"/>
                <w:kern w:val="0"/>
                <w:sz w:val="22"/>
                <w:szCs w:val="22"/>
              </w:rPr>
              <w:t>年度）</w:t>
            </w:r>
          </w:p>
        </w:tc>
      </w:tr>
      <w:tr>
        <w:tblPrEx>
          <w:tblCellMar>
            <w:top w:w="0" w:type="dxa"/>
            <w:left w:w="108" w:type="dxa"/>
            <w:bottom w:w="0" w:type="dxa"/>
            <w:right w:w="108" w:type="dxa"/>
          </w:tblCellMar>
        </w:tblPrEx>
        <w:trPr>
          <w:trHeight w:val="377" w:hRule="exact"/>
          <w:jc w:val="center"/>
        </w:trPr>
        <w:tc>
          <w:tcPr>
            <w:tcW w:w="1526"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项目名称</w:t>
            </w:r>
          </w:p>
        </w:tc>
        <w:tc>
          <w:tcPr>
            <w:tcW w:w="7314"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儿童福利支出</w:t>
            </w:r>
          </w:p>
        </w:tc>
      </w:tr>
      <w:tr>
        <w:tblPrEx>
          <w:tblCellMar>
            <w:top w:w="0" w:type="dxa"/>
            <w:left w:w="108" w:type="dxa"/>
            <w:bottom w:w="0" w:type="dxa"/>
            <w:right w:w="108" w:type="dxa"/>
          </w:tblCellMar>
        </w:tblPrEx>
        <w:trPr>
          <w:trHeight w:val="214" w:hRule="exact"/>
          <w:jc w:val="center"/>
        </w:trPr>
        <w:tc>
          <w:tcPr>
            <w:tcW w:w="1526"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主管部门</w:t>
            </w:r>
          </w:p>
        </w:tc>
        <w:tc>
          <w:tcPr>
            <w:tcW w:w="4152"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9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实施单位</w:t>
            </w:r>
          </w:p>
        </w:tc>
        <w:tc>
          <w:tcPr>
            <w:tcW w:w="2209"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549" w:hRule="exact"/>
          <w:jc w:val="center"/>
        </w:trPr>
        <w:tc>
          <w:tcPr>
            <w:tcW w:w="1526"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项目资金</w:t>
            </w:r>
            <w:r>
              <w:rPr>
                <w:rFonts w:ascii="Times New Roman" w:hAnsi="Times New Roman"/>
                <w:kern w:val="0"/>
                <w:sz w:val="18"/>
                <w:szCs w:val="18"/>
              </w:rPr>
              <w:br w:type="textWrapping"/>
            </w:r>
            <w:r>
              <w:rPr>
                <w:rFonts w:ascii="Times New Roman" w:hAnsi="Times New Roman"/>
                <w:kern w:val="0"/>
                <w:sz w:val="18"/>
                <w:szCs w:val="18"/>
              </w:rPr>
              <w:t>（万元）</w:t>
            </w:r>
          </w:p>
        </w:tc>
        <w:tc>
          <w:tcPr>
            <w:tcW w:w="17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04"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年初预算数</w:t>
            </w:r>
          </w:p>
        </w:tc>
        <w:tc>
          <w:tcPr>
            <w:tcW w:w="125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全年预算数</w:t>
            </w:r>
            <w:r>
              <w:rPr>
                <w:rFonts w:ascii="Times New Roman" w:hAnsi="Times New Roman"/>
                <w:color w:val="000000"/>
                <w:kern w:val="0"/>
                <w:sz w:val="20"/>
                <w:szCs w:val="20"/>
              </w:rPr>
              <w:t>（A）</w:t>
            </w:r>
          </w:p>
        </w:tc>
        <w:tc>
          <w:tcPr>
            <w:tcW w:w="9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全年执行数</w:t>
            </w:r>
            <w:r>
              <w:rPr>
                <w:rFonts w:ascii="Times New Roman" w:hAnsi="Times New Roman"/>
                <w:color w:val="000000"/>
                <w:kern w:val="0"/>
                <w:sz w:val="20"/>
                <w:szCs w:val="20"/>
              </w:rPr>
              <w:t>（B）</w:t>
            </w:r>
          </w:p>
        </w:tc>
        <w:tc>
          <w:tcPr>
            <w:tcW w:w="69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分值</w:t>
            </w:r>
          </w:p>
        </w:tc>
        <w:tc>
          <w:tcPr>
            <w:tcW w:w="82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执行率</w:t>
            </w:r>
            <w:r>
              <w:rPr>
                <w:rFonts w:ascii="Times New Roman" w:hAnsi="Times New Roman"/>
                <w:color w:val="000000"/>
                <w:kern w:val="0"/>
                <w:sz w:val="20"/>
                <w:szCs w:val="20"/>
              </w:rPr>
              <w:t>（B/A)</w:t>
            </w:r>
          </w:p>
        </w:tc>
        <w:tc>
          <w:tcPr>
            <w:tcW w:w="691"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得分</w:t>
            </w:r>
          </w:p>
        </w:tc>
      </w:tr>
      <w:tr>
        <w:tblPrEx>
          <w:tblCellMar>
            <w:top w:w="0" w:type="dxa"/>
            <w:left w:w="108" w:type="dxa"/>
            <w:bottom w:w="0" w:type="dxa"/>
            <w:right w:w="108" w:type="dxa"/>
          </w:tblCellMar>
        </w:tblPrEx>
        <w:trPr>
          <w:trHeight w:val="377" w:hRule="exact"/>
          <w:jc w:val="center"/>
        </w:trPr>
        <w:tc>
          <w:tcPr>
            <w:tcW w:w="1526"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7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Times New Roman" w:hAnsi="Times New Roman"/>
                <w:kern w:val="0"/>
                <w:sz w:val="18"/>
                <w:szCs w:val="18"/>
              </w:rPr>
            </w:pPr>
            <w:r>
              <w:rPr>
                <w:rFonts w:ascii="Times New Roman" w:hAnsi="Times New Roman"/>
                <w:kern w:val="0"/>
                <w:sz w:val="18"/>
                <w:szCs w:val="18"/>
              </w:rPr>
              <w:t>年度资金总额</w:t>
            </w:r>
          </w:p>
        </w:tc>
        <w:tc>
          <w:tcPr>
            <w:tcW w:w="110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kern w:val="0"/>
                <w:sz w:val="18"/>
                <w:szCs w:val="18"/>
              </w:rPr>
            </w:pPr>
            <w:r>
              <w:rPr>
                <w:rFonts w:hint="eastAsia" w:ascii="Times New Roman" w:hAnsi="Times New Roman"/>
                <w:kern w:val="0"/>
                <w:sz w:val="18"/>
                <w:szCs w:val="18"/>
              </w:rPr>
              <w:t>162.34</w:t>
            </w:r>
          </w:p>
        </w:tc>
        <w:tc>
          <w:tcPr>
            <w:tcW w:w="125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rPr>
              <w:t>16</w:t>
            </w:r>
            <w:r>
              <w:rPr>
                <w:rFonts w:hint="eastAsia" w:ascii="Times New Roman" w:hAnsi="Times New Roman"/>
                <w:kern w:val="0"/>
                <w:sz w:val="18"/>
                <w:szCs w:val="18"/>
                <w:lang w:val="en-US" w:eastAsia="zh-CN"/>
              </w:rPr>
              <w:t>2.34</w:t>
            </w:r>
          </w:p>
        </w:tc>
        <w:tc>
          <w:tcPr>
            <w:tcW w:w="9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rPr>
              <w:t>16</w:t>
            </w:r>
            <w:r>
              <w:rPr>
                <w:rFonts w:hint="eastAsia" w:ascii="Times New Roman" w:hAnsi="Times New Roman"/>
                <w:kern w:val="0"/>
                <w:sz w:val="18"/>
                <w:szCs w:val="18"/>
                <w:lang w:val="en-US" w:eastAsia="zh-CN"/>
              </w:rPr>
              <w:t>2</w:t>
            </w:r>
            <w:r>
              <w:rPr>
                <w:rFonts w:hint="eastAsia" w:ascii="Times New Roman" w:hAnsi="Times New Roman"/>
                <w:kern w:val="0"/>
                <w:sz w:val="18"/>
                <w:szCs w:val="18"/>
              </w:rPr>
              <w:t>.</w:t>
            </w:r>
            <w:r>
              <w:rPr>
                <w:rFonts w:hint="eastAsia" w:ascii="Times New Roman" w:hAnsi="Times New Roman"/>
                <w:kern w:val="0"/>
                <w:sz w:val="18"/>
                <w:szCs w:val="18"/>
                <w:lang w:val="en-US" w:eastAsia="zh-CN"/>
              </w:rPr>
              <w:t>34</w:t>
            </w:r>
          </w:p>
        </w:tc>
        <w:tc>
          <w:tcPr>
            <w:tcW w:w="69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10</w:t>
            </w:r>
          </w:p>
        </w:tc>
        <w:tc>
          <w:tcPr>
            <w:tcW w:w="82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100%</w:t>
            </w:r>
          </w:p>
        </w:tc>
        <w:tc>
          <w:tcPr>
            <w:tcW w:w="691"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10</w:t>
            </w:r>
          </w:p>
        </w:tc>
      </w:tr>
      <w:tr>
        <w:tblPrEx>
          <w:tblCellMar>
            <w:top w:w="0" w:type="dxa"/>
            <w:left w:w="108" w:type="dxa"/>
            <w:bottom w:w="0" w:type="dxa"/>
            <w:right w:w="108" w:type="dxa"/>
          </w:tblCellMar>
        </w:tblPrEx>
        <w:trPr>
          <w:trHeight w:val="377" w:hRule="exact"/>
          <w:jc w:val="center"/>
        </w:trPr>
        <w:tc>
          <w:tcPr>
            <w:tcW w:w="1526"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7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其中：当年财政拨款</w:t>
            </w:r>
          </w:p>
        </w:tc>
        <w:tc>
          <w:tcPr>
            <w:tcW w:w="110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rPr>
              <w:t>16</w:t>
            </w:r>
            <w:r>
              <w:rPr>
                <w:rFonts w:hint="eastAsia" w:ascii="Times New Roman" w:hAnsi="Times New Roman"/>
                <w:kern w:val="0"/>
                <w:sz w:val="18"/>
                <w:szCs w:val="18"/>
                <w:lang w:val="en-US" w:eastAsia="zh-CN"/>
              </w:rPr>
              <w:t>2</w:t>
            </w:r>
            <w:r>
              <w:rPr>
                <w:rFonts w:hint="eastAsia" w:ascii="Times New Roman" w:hAnsi="Times New Roman"/>
                <w:kern w:val="0"/>
                <w:sz w:val="18"/>
                <w:szCs w:val="18"/>
              </w:rPr>
              <w:t>.</w:t>
            </w:r>
            <w:r>
              <w:rPr>
                <w:rFonts w:hint="eastAsia" w:ascii="Times New Roman" w:hAnsi="Times New Roman"/>
                <w:kern w:val="0"/>
                <w:sz w:val="18"/>
                <w:szCs w:val="18"/>
                <w:lang w:val="en-US" w:eastAsia="zh-CN"/>
              </w:rPr>
              <w:t>34</w:t>
            </w:r>
          </w:p>
        </w:tc>
        <w:tc>
          <w:tcPr>
            <w:tcW w:w="125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kern w:val="0"/>
                <w:sz w:val="18"/>
                <w:szCs w:val="18"/>
              </w:rPr>
            </w:pPr>
            <w:r>
              <w:rPr>
                <w:rFonts w:hint="eastAsia" w:ascii="Times New Roman" w:hAnsi="Times New Roman"/>
                <w:kern w:val="0"/>
                <w:sz w:val="18"/>
                <w:szCs w:val="18"/>
              </w:rPr>
              <w:t>16</w:t>
            </w:r>
            <w:r>
              <w:rPr>
                <w:rFonts w:hint="eastAsia" w:ascii="Times New Roman" w:hAnsi="Times New Roman"/>
                <w:kern w:val="0"/>
                <w:sz w:val="18"/>
                <w:szCs w:val="18"/>
                <w:lang w:val="en-US" w:eastAsia="zh-CN"/>
              </w:rPr>
              <w:t>2.34</w:t>
            </w:r>
          </w:p>
        </w:tc>
        <w:tc>
          <w:tcPr>
            <w:tcW w:w="9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rPr>
              <w:t>16</w:t>
            </w:r>
            <w:r>
              <w:rPr>
                <w:rFonts w:hint="eastAsia" w:ascii="Times New Roman" w:hAnsi="Times New Roman"/>
                <w:kern w:val="0"/>
                <w:sz w:val="18"/>
                <w:szCs w:val="18"/>
                <w:lang w:val="en-US" w:eastAsia="zh-CN"/>
              </w:rPr>
              <w:t>2</w:t>
            </w:r>
            <w:r>
              <w:rPr>
                <w:rFonts w:hint="eastAsia" w:ascii="Times New Roman" w:hAnsi="Times New Roman"/>
                <w:kern w:val="0"/>
                <w:sz w:val="18"/>
                <w:szCs w:val="18"/>
              </w:rPr>
              <w:t>.</w:t>
            </w:r>
            <w:r>
              <w:rPr>
                <w:rFonts w:hint="eastAsia" w:ascii="Times New Roman" w:hAnsi="Times New Roman"/>
                <w:kern w:val="0"/>
                <w:sz w:val="18"/>
                <w:szCs w:val="18"/>
                <w:lang w:val="en-US" w:eastAsia="zh-CN"/>
              </w:rPr>
              <w:t>34</w:t>
            </w:r>
          </w:p>
        </w:tc>
        <w:tc>
          <w:tcPr>
            <w:tcW w:w="69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c>
          <w:tcPr>
            <w:tcW w:w="82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691"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r>
      <w:tr>
        <w:tblPrEx>
          <w:tblCellMar>
            <w:top w:w="0" w:type="dxa"/>
            <w:left w:w="108" w:type="dxa"/>
            <w:bottom w:w="0" w:type="dxa"/>
            <w:right w:w="108" w:type="dxa"/>
          </w:tblCellMar>
        </w:tblPrEx>
        <w:trPr>
          <w:trHeight w:val="377" w:hRule="exact"/>
          <w:jc w:val="center"/>
        </w:trPr>
        <w:tc>
          <w:tcPr>
            <w:tcW w:w="1526"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7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 xml:space="preserve">      上年结转资金</w:t>
            </w:r>
          </w:p>
        </w:tc>
        <w:tc>
          <w:tcPr>
            <w:tcW w:w="110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kern w:val="0"/>
                <w:sz w:val="18"/>
                <w:szCs w:val="18"/>
              </w:rPr>
            </w:pPr>
          </w:p>
        </w:tc>
        <w:tc>
          <w:tcPr>
            <w:tcW w:w="125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9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69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c>
          <w:tcPr>
            <w:tcW w:w="82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691"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r>
      <w:tr>
        <w:tblPrEx>
          <w:tblCellMar>
            <w:top w:w="0" w:type="dxa"/>
            <w:left w:w="108" w:type="dxa"/>
            <w:bottom w:w="0" w:type="dxa"/>
            <w:right w:w="108" w:type="dxa"/>
          </w:tblCellMar>
        </w:tblPrEx>
        <w:trPr>
          <w:trHeight w:val="377" w:hRule="exact"/>
          <w:jc w:val="center"/>
        </w:trPr>
        <w:tc>
          <w:tcPr>
            <w:tcW w:w="1526"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7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 xml:space="preserve">  其他资金</w:t>
            </w:r>
          </w:p>
        </w:tc>
        <w:tc>
          <w:tcPr>
            <w:tcW w:w="1104"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25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9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69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c>
          <w:tcPr>
            <w:tcW w:w="82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691"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r>
      <w:tr>
        <w:tblPrEx>
          <w:tblCellMar>
            <w:top w:w="0" w:type="dxa"/>
            <w:left w:w="108" w:type="dxa"/>
            <w:bottom w:w="0" w:type="dxa"/>
            <w:right w:w="108" w:type="dxa"/>
          </w:tblCellMar>
        </w:tblPrEx>
        <w:trPr>
          <w:trHeight w:val="377" w:hRule="exact"/>
          <w:jc w:val="center"/>
        </w:trPr>
        <w:tc>
          <w:tcPr>
            <w:tcW w:w="57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年度总体目标</w:t>
            </w:r>
          </w:p>
        </w:tc>
        <w:tc>
          <w:tcPr>
            <w:tcW w:w="5106"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预期目标</w:t>
            </w:r>
          </w:p>
        </w:tc>
        <w:tc>
          <w:tcPr>
            <w:tcW w:w="3162"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实际完成情况</w:t>
            </w:r>
          </w:p>
        </w:tc>
      </w:tr>
      <w:tr>
        <w:tblPrEx>
          <w:tblCellMar>
            <w:top w:w="0" w:type="dxa"/>
            <w:left w:w="108" w:type="dxa"/>
            <w:bottom w:w="0" w:type="dxa"/>
            <w:right w:w="108" w:type="dxa"/>
          </w:tblCellMar>
        </w:tblPrEx>
        <w:trPr>
          <w:trHeight w:val="717" w:hRule="exact"/>
          <w:jc w:val="center"/>
        </w:trPr>
        <w:tc>
          <w:tcPr>
            <w:tcW w:w="57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5106"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促进全县儿童事业的发展。</w:t>
            </w:r>
          </w:p>
        </w:tc>
        <w:tc>
          <w:tcPr>
            <w:tcW w:w="3162"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促进了全县儿童事业的发展。</w:t>
            </w:r>
          </w:p>
        </w:tc>
      </w:tr>
      <w:tr>
        <w:tblPrEx>
          <w:tblCellMar>
            <w:top w:w="0" w:type="dxa"/>
            <w:left w:w="108" w:type="dxa"/>
            <w:bottom w:w="0" w:type="dxa"/>
            <w:right w:w="108" w:type="dxa"/>
          </w:tblCellMar>
        </w:tblPrEx>
        <w:trPr>
          <w:trHeight w:val="670" w:hRule="exact"/>
          <w:jc w:val="center"/>
        </w:trPr>
        <w:tc>
          <w:tcPr>
            <w:tcW w:w="572" w:type="dxa"/>
            <w:vMerge w:val="restart"/>
            <w:tcBorders>
              <w:top w:val="nil"/>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绩</w:t>
            </w:r>
            <w:r>
              <w:rPr>
                <w:rFonts w:ascii="Times New Roman" w:hAnsi="Times New Roman"/>
                <w:kern w:val="0"/>
                <w:sz w:val="18"/>
                <w:szCs w:val="18"/>
              </w:rPr>
              <w:br w:type="textWrapping"/>
            </w:r>
            <w:r>
              <w:rPr>
                <w:rFonts w:ascii="Times New Roman" w:hAnsi="Times New Roman"/>
                <w:kern w:val="0"/>
                <w:sz w:val="18"/>
                <w:szCs w:val="18"/>
              </w:rPr>
              <w:t>效</w:t>
            </w:r>
            <w:r>
              <w:rPr>
                <w:rFonts w:ascii="Times New Roman" w:hAnsi="Times New Roman"/>
                <w:kern w:val="0"/>
                <w:sz w:val="18"/>
                <w:szCs w:val="18"/>
              </w:rPr>
              <w:br w:type="textWrapping"/>
            </w:r>
            <w:r>
              <w:rPr>
                <w:rFonts w:ascii="Times New Roman" w:hAnsi="Times New Roman"/>
                <w:kern w:val="0"/>
                <w:sz w:val="18"/>
                <w:szCs w:val="18"/>
              </w:rPr>
              <w:t>指</w:t>
            </w:r>
            <w:r>
              <w:rPr>
                <w:rFonts w:ascii="Times New Roman" w:hAnsi="Times New Roman"/>
                <w:kern w:val="0"/>
                <w:sz w:val="18"/>
                <w:szCs w:val="18"/>
              </w:rPr>
              <w:br w:type="textWrapping"/>
            </w:r>
            <w:r>
              <w:rPr>
                <w:rFonts w:ascii="Times New Roman" w:hAnsi="Times New Roman"/>
                <w:kern w:val="0"/>
                <w:sz w:val="18"/>
                <w:szCs w:val="18"/>
              </w:rPr>
              <w:t>标</w:t>
            </w:r>
          </w:p>
        </w:tc>
        <w:tc>
          <w:tcPr>
            <w:tcW w:w="954"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一级指标</w:t>
            </w:r>
          </w:p>
        </w:tc>
        <w:tc>
          <w:tcPr>
            <w:tcW w:w="1082"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二级指标</w:t>
            </w:r>
          </w:p>
        </w:tc>
        <w:tc>
          <w:tcPr>
            <w:tcW w:w="2320"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三级指标</w:t>
            </w:r>
          </w:p>
        </w:tc>
        <w:tc>
          <w:tcPr>
            <w:tcW w:w="750"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年度</w:t>
            </w:r>
          </w:p>
          <w:p>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指标值</w:t>
            </w:r>
          </w:p>
        </w:tc>
        <w:tc>
          <w:tcPr>
            <w:tcW w:w="798"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实际</w:t>
            </w:r>
          </w:p>
          <w:p>
            <w:pPr>
              <w:widowControl/>
              <w:spacing w:line="240" w:lineRule="exact"/>
              <w:jc w:val="center"/>
              <w:rPr>
                <w:rFonts w:ascii="Times New Roman" w:hAnsi="Times New Roman"/>
                <w:kern w:val="0"/>
                <w:sz w:val="18"/>
                <w:szCs w:val="18"/>
              </w:rPr>
            </w:pPr>
            <w:r>
              <w:rPr>
                <w:rFonts w:ascii="Times New Roman" w:hAnsi="Times New Roman"/>
                <w:kern w:val="0"/>
                <w:sz w:val="18"/>
                <w:szCs w:val="18"/>
              </w:rPr>
              <w:t>完成值</w:t>
            </w:r>
          </w:p>
        </w:tc>
        <w:tc>
          <w:tcPr>
            <w:tcW w:w="50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分值</w:t>
            </w:r>
          </w:p>
        </w:tc>
        <w:tc>
          <w:tcPr>
            <w:tcW w:w="56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得分</w:t>
            </w:r>
          </w:p>
        </w:tc>
        <w:tc>
          <w:tcPr>
            <w:tcW w:w="12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偏差原因分析及改进措施</w:t>
            </w:r>
          </w:p>
        </w:tc>
      </w:tr>
      <w:tr>
        <w:tblPrEx>
          <w:tblCellMar>
            <w:top w:w="0" w:type="dxa"/>
            <w:left w:w="108" w:type="dxa"/>
            <w:bottom w:w="0" w:type="dxa"/>
            <w:right w:w="108" w:type="dxa"/>
          </w:tblCellMar>
        </w:tblPrEx>
        <w:trPr>
          <w:trHeight w:val="490" w:hRule="exact"/>
          <w:jc w:val="center"/>
        </w:trPr>
        <w:tc>
          <w:tcPr>
            <w:tcW w:w="572"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954"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产出指标</w:t>
            </w:r>
            <w:r>
              <w:rPr>
                <w:rFonts w:ascii="Times New Roman" w:hAnsi="Times New Roman"/>
                <w:kern w:val="0"/>
                <w:sz w:val="20"/>
                <w:szCs w:val="20"/>
              </w:rPr>
              <w:t>(50分)</w:t>
            </w:r>
          </w:p>
        </w:tc>
        <w:tc>
          <w:tcPr>
            <w:tcW w:w="1082" w:type="dxa"/>
            <w:vMerge w:val="restart"/>
            <w:tcBorders>
              <w:top w:val="nil"/>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数量指标</w:t>
            </w:r>
          </w:p>
        </w:tc>
        <w:tc>
          <w:tcPr>
            <w:tcW w:w="2320"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Times New Roman" w:hAnsi="Times New Roman"/>
                <w:color w:val="000000"/>
                <w:kern w:val="0"/>
                <w:sz w:val="18"/>
                <w:szCs w:val="18"/>
              </w:rPr>
            </w:pPr>
            <w:r>
              <w:rPr>
                <w:rFonts w:hint="eastAsia" w:ascii="Times New Roman" w:hAnsi="Times New Roman"/>
                <w:color w:val="000000"/>
                <w:kern w:val="0"/>
                <w:sz w:val="18"/>
                <w:szCs w:val="18"/>
              </w:rPr>
              <w:t>孤儿人数</w:t>
            </w:r>
          </w:p>
        </w:tc>
        <w:tc>
          <w:tcPr>
            <w:tcW w:w="75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kern w:val="0"/>
                <w:sz w:val="18"/>
                <w:szCs w:val="18"/>
              </w:rPr>
            </w:pPr>
            <w:r>
              <w:rPr>
                <w:rFonts w:hint="eastAsia" w:ascii="宋体" w:hAnsi="宋体" w:eastAsia="宋体" w:cs="宋体"/>
                <w:sz w:val="18"/>
                <w:szCs w:val="18"/>
                <w:lang w:val="en-US" w:eastAsia="zh-CN"/>
              </w:rPr>
              <w:t>882</w:t>
            </w:r>
            <w:r>
              <w:rPr>
                <w:rFonts w:hint="eastAsia" w:ascii="Times New Roman" w:hAnsi="Times New Roman"/>
                <w:kern w:val="0"/>
                <w:sz w:val="18"/>
                <w:szCs w:val="18"/>
              </w:rPr>
              <w:t>人次</w:t>
            </w:r>
          </w:p>
        </w:tc>
        <w:tc>
          <w:tcPr>
            <w:tcW w:w="79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kern w:val="0"/>
                <w:sz w:val="18"/>
                <w:szCs w:val="18"/>
              </w:rPr>
            </w:pPr>
            <w:r>
              <w:rPr>
                <w:rFonts w:hint="eastAsia" w:ascii="Times New Roman" w:hAnsi="Times New Roman"/>
                <w:kern w:val="0"/>
                <w:sz w:val="18"/>
                <w:szCs w:val="18"/>
                <w:lang w:val="en-US" w:eastAsia="zh-CN"/>
              </w:rPr>
              <w:t>882</w:t>
            </w:r>
            <w:r>
              <w:rPr>
                <w:rFonts w:hint="eastAsia" w:ascii="Times New Roman" w:hAnsi="Times New Roman"/>
                <w:kern w:val="0"/>
                <w:sz w:val="18"/>
                <w:szCs w:val="18"/>
              </w:rPr>
              <w:t>人次</w:t>
            </w:r>
          </w:p>
        </w:tc>
        <w:tc>
          <w:tcPr>
            <w:tcW w:w="505" w:type="dxa"/>
            <w:gridSpan w:val="2"/>
            <w:vMerge w:val="restart"/>
            <w:tcBorders>
              <w:top w:val="nil"/>
              <w:left w:val="nil"/>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10</w:t>
            </w:r>
          </w:p>
        </w:tc>
        <w:tc>
          <w:tcPr>
            <w:tcW w:w="565" w:type="dxa"/>
            <w:gridSpan w:val="2"/>
            <w:vMerge w:val="restart"/>
            <w:tcBorders>
              <w:top w:val="nil"/>
              <w:left w:val="nil"/>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10</w:t>
            </w:r>
          </w:p>
        </w:tc>
        <w:tc>
          <w:tcPr>
            <w:tcW w:w="12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563" w:hRule="exact"/>
          <w:jc w:val="center"/>
        </w:trPr>
        <w:tc>
          <w:tcPr>
            <w:tcW w:w="572"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954"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82"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2320"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Times New Roman" w:hAnsi="Times New Roman"/>
                <w:color w:val="000000"/>
                <w:kern w:val="0"/>
                <w:sz w:val="18"/>
                <w:szCs w:val="18"/>
              </w:rPr>
            </w:pPr>
            <w:r>
              <w:rPr>
                <w:rFonts w:hint="eastAsia" w:ascii="Times New Roman" w:hAnsi="Times New Roman"/>
                <w:color w:val="000000"/>
                <w:kern w:val="0"/>
                <w:sz w:val="18"/>
                <w:szCs w:val="18"/>
              </w:rPr>
              <w:t>事实无人抚养儿童人数</w:t>
            </w:r>
          </w:p>
          <w:p>
            <w:pPr>
              <w:widowControl/>
              <w:spacing w:line="240" w:lineRule="exact"/>
              <w:jc w:val="left"/>
              <w:rPr>
                <w:rFonts w:hint="eastAsia" w:ascii="Times New Roman" w:hAnsi="Times New Roman"/>
                <w:color w:val="000000"/>
                <w:kern w:val="0"/>
                <w:sz w:val="18"/>
                <w:szCs w:val="18"/>
              </w:rPr>
            </w:pPr>
          </w:p>
        </w:tc>
        <w:tc>
          <w:tcPr>
            <w:tcW w:w="75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kern w:val="0"/>
                <w:sz w:val="18"/>
                <w:szCs w:val="18"/>
              </w:rPr>
            </w:pPr>
            <w:r>
              <w:rPr>
                <w:rFonts w:hint="eastAsia" w:asciiTheme="minorEastAsia" w:hAnsiTheme="minorEastAsia" w:eastAsiaTheme="minorEastAsia" w:cstheme="minorEastAsia"/>
                <w:sz w:val="18"/>
                <w:szCs w:val="18"/>
                <w:lang w:val="en-US" w:eastAsia="zh-CN"/>
              </w:rPr>
              <w:t>806</w:t>
            </w:r>
            <w:r>
              <w:rPr>
                <w:rFonts w:hint="eastAsia" w:ascii="Times New Roman" w:hAnsi="Times New Roman"/>
                <w:kern w:val="0"/>
                <w:sz w:val="18"/>
                <w:szCs w:val="18"/>
              </w:rPr>
              <w:t>人次</w:t>
            </w:r>
          </w:p>
          <w:p>
            <w:pPr>
              <w:widowControl/>
              <w:spacing w:line="240" w:lineRule="exact"/>
              <w:jc w:val="center"/>
              <w:rPr>
                <w:rFonts w:ascii="Times New Roman" w:hAnsi="Times New Roman"/>
                <w:kern w:val="0"/>
                <w:sz w:val="18"/>
                <w:szCs w:val="18"/>
              </w:rPr>
            </w:pPr>
          </w:p>
        </w:tc>
        <w:tc>
          <w:tcPr>
            <w:tcW w:w="79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kern w:val="0"/>
                <w:sz w:val="18"/>
                <w:szCs w:val="18"/>
              </w:rPr>
            </w:pPr>
            <w:r>
              <w:rPr>
                <w:rFonts w:hint="eastAsia" w:asciiTheme="minorEastAsia" w:hAnsiTheme="minorEastAsia" w:eastAsiaTheme="minorEastAsia" w:cstheme="minorEastAsia"/>
                <w:sz w:val="18"/>
                <w:szCs w:val="18"/>
                <w:lang w:val="en-US" w:eastAsia="zh-CN"/>
              </w:rPr>
              <w:t>806</w:t>
            </w:r>
            <w:r>
              <w:rPr>
                <w:rFonts w:hint="eastAsia" w:ascii="Times New Roman" w:hAnsi="Times New Roman"/>
                <w:kern w:val="0"/>
                <w:sz w:val="18"/>
                <w:szCs w:val="18"/>
              </w:rPr>
              <w:t>人次</w:t>
            </w:r>
          </w:p>
          <w:p>
            <w:pPr>
              <w:widowControl/>
              <w:spacing w:line="240" w:lineRule="exact"/>
              <w:jc w:val="center"/>
              <w:rPr>
                <w:rFonts w:ascii="Times New Roman" w:hAnsi="Times New Roman"/>
                <w:kern w:val="0"/>
                <w:sz w:val="18"/>
                <w:szCs w:val="18"/>
              </w:rPr>
            </w:pPr>
          </w:p>
        </w:tc>
        <w:tc>
          <w:tcPr>
            <w:tcW w:w="505" w:type="dxa"/>
            <w:gridSpan w:val="2"/>
            <w:vMerge w:val="continue"/>
            <w:tcBorders>
              <w:left w:val="nil"/>
              <w:right w:val="single" w:color="auto" w:sz="4" w:space="0"/>
            </w:tcBorders>
            <w:noWrap w:val="0"/>
            <w:vAlign w:val="center"/>
          </w:tcPr>
          <w:p>
            <w:pPr>
              <w:widowControl/>
              <w:spacing w:line="240" w:lineRule="exact"/>
              <w:jc w:val="center"/>
              <w:rPr>
                <w:rFonts w:hint="eastAsia" w:ascii="Times New Roman" w:hAnsi="Times New Roman"/>
                <w:kern w:val="0"/>
                <w:sz w:val="18"/>
                <w:szCs w:val="18"/>
              </w:rPr>
            </w:pPr>
          </w:p>
        </w:tc>
        <w:tc>
          <w:tcPr>
            <w:tcW w:w="565" w:type="dxa"/>
            <w:gridSpan w:val="2"/>
            <w:vMerge w:val="continue"/>
            <w:tcBorders>
              <w:left w:val="nil"/>
              <w:right w:val="single" w:color="auto" w:sz="4" w:space="0"/>
            </w:tcBorders>
            <w:noWrap w:val="0"/>
            <w:vAlign w:val="center"/>
          </w:tcPr>
          <w:p>
            <w:pPr>
              <w:widowControl/>
              <w:spacing w:line="240" w:lineRule="exact"/>
              <w:jc w:val="center"/>
              <w:rPr>
                <w:rFonts w:hint="eastAsia" w:ascii="Times New Roman" w:hAnsi="Times New Roman"/>
                <w:kern w:val="0"/>
                <w:sz w:val="18"/>
                <w:szCs w:val="18"/>
              </w:rPr>
            </w:pPr>
          </w:p>
        </w:tc>
        <w:tc>
          <w:tcPr>
            <w:tcW w:w="12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377" w:hRule="exact"/>
          <w:jc w:val="center"/>
        </w:trPr>
        <w:tc>
          <w:tcPr>
            <w:tcW w:w="572"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954"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8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质量指标</w:t>
            </w:r>
          </w:p>
        </w:tc>
        <w:tc>
          <w:tcPr>
            <w:tcW w:w="2320"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Times New Roman" w:hAnsi="Times New Roman"/>
                <w:color w:val="000000"/>
                <w:kern w:val="0"/>
                <w:sz w:val="18"/>
                <w:szCs w:val="18"/>
              </w:rPr>
            </w:pPr>
            <w:r>
              <w:rPr>
                <w:rFonts w:hint="eastAsia" w:ascii="Times New Roman" w:hAnsi="Times New Roman"/>
                <w:color w:val="000000"/>
                <w:kern w:val="0"/>
                <w:sz w:val="18"/>
                <w:szCs w:val="18"/>
              </w:rPr>
              <w:t>任务完成率</w:t>
            </w:r>
          </w:p>
        </w:tc>
        <w:tc>
          <w:tcPr>
            <w:tcW w:w="750"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100%</w:t>
            </w:r>
          </w:p>
        </w:tc>
        <w:tc>
          <w:tcPr>
            <w:tcW w:w="798"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100%</w:t>
            </w:r>
          </w:p>
        </w:tc>
        <w:tc>
          <w:tcPr>
            <w:tcW w:w="50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20</w:t>
            </w:r>
          </w:p>
        </w:tc>
        <w:tc>
          <w:tcPr>
            <w:tcW w:w="56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19</w:t>
            </w:r>
          </w:p>
        </w:tc>
        <w:tc>
          <w:tcPr>
            <w:tcW w:w="12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377" w:hRule="exact"/>
          <w:jc w:val="center"/>
        </w:trPr>
        <w:tc>
          <w:tcPr>
            <w:tcW w:w="572"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954"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8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时效指标</w:t>
            </w:r>
          </w:p>
        </w:tc>
        <w:tc>
          <w:tcPr>
            <w:tcW w:w="2320"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Times New Roman" w:hAnsi="Times New Roman"/>
                <w:color w:val="000000"/>
                <w:kern w:val="0"/>
                <w:sz w:val="18"/>
                <w:szCs w:val="18"/>
              </w:rPr>
            </w:pPr>
            <w:r>
              <w:rPr>
                <w:rFonts w:hint="eastAsia" w:ascii="Times New Roman" w:hAnsi="Times New Roman"/>
                <w:color w:val="000000"/>
                <w:kern w:val="0"/>
                <w:sz w:val="18"/>
                <w:szCs w:val="18"/>
              </w:rPr>
              <w:t>按照预定进度完成率</w:t>
            </w:r>
          </w:p>
        </w:tc>
        <w:tc>
          <w:tcPr>
            <w:tcW w:w="750"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100%</w:t>
            </w:r>
          </w:p>
        </w:tc>
        <w:tc>
          <w:tcPr>
            <w:tcW w:w="798"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100%</w:t>
            </w:r>
          </w:p>
        </w:tc>
        <w:tc>
          <w:tcPr>
            <w:tcW w:w="50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10</w:t>
            </w:r>
          </w:p>
        </w:tc>
        <w:tc>
          <w:tcPr>
            <w:tcW w:w="56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10</w:t>
            </w:r>
          </w:p>
        </w:tc>
        <w:tc>
          <w:tcPr>
            <w:tcW w:w="12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743" w:hRule="exact"/>
          <w:jc w:val="center"/>
        </w:trPr>
        <w:tc>
          <w:tcPr>
            <w:tcW w:w="572"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954"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8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成本指标</w:t>
            </w:r>
            <w:r>
              <w:rPr>
                <w:rFonts w:hint="eastAsia" w:ascii="Times New Roman" w:hAnsi="Times New Roman"/>
                <w:kern w:val="0"/>
                <w:sz w:val="18"/>
                <w:szCs w:val="18"/>
              </w:rPr>
              <w:t xml:space="preserve">（万元）         </w:t>
            </w:r>
          </w:p>
        </w:tc>
        <w:tc>
          <w:tcPr>
            <w:tcW w:w="2320"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color w:val="000000"/>
                <w:kern w:val="0"/>
                <w:sz w:val="18"/>
                <w:szCs w:val="18"/>
              </w:rPr>
            </w:pPr>
            <w:r>
              <w:rPr>
                <w:rFonts w:hint="eastAsia" w:ascii="Times New Roman" w:hAnsi="Times New Roman"/>
                <w:color w:val="000000"/>
                <w:kern w:val="0"/>
                <w:sz w:val="18"/>
                <w:szCs w:val="18"/>
              </w:rPr>
              <w:t>孤儿生活费和事实无人抚养儿童生活费</w:t>
            </w:r>
          </w:p>
        </w:tc>
        <w:tc>
          <w:tcPr>
            <w:tcW w:w="75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kern w:val="0"/>
                <w:sz w:val="18"/>
                <w:szCs w:val="18"/>
              </w:rPr>
            </w:pPr>
            <w:r>
              <w:rPr>
                <w:rFonts w:hint="eastAsia" w:ascii="Times New Roman" w:hAnsi="Times New Roman"/>
                <w:kern w:val="0"/>
                <w:sz w:val="18"/>
                <w:szCs w:val="18"/>
              </w:rPr>
              <w:t>16</w:t>
            </w:r>
            <w:r>
              <w:rPr>
                <w:rFonts w:hint="eastAsia" w:ascii="Times New Roman" w:hAnsi="Times New Roman"/>
                <w:kern w:val="0"/>
                <w:sz w:val="18"/>
                <w:szCs w:val="18"/>
                <w:lang w:val="en-US" w:eastAsia="zh-CN"/>
              </w:rPr>
              <w:t>2.34</w:t>
            </w:r>
            <w:r>
              <w:rPr>
                <w:rFonts w:hint="eastAsia" w:ascii="Times New Roman" w:hAnsi="Times New Roman"/>
                <w:kern w:val="0"/>
                <w:sz w:val="18"/>
                <w:szCs w:val="18"/>
              </w:rPr>
              <w:t>万元</w:t>
            </w:r>
          </w:p>
        </w:tc>
        <w:tc>
          <w:tcPr>
            <w:tcW w:w="798"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16</w:t>
            </w:r>
            <w:r>
              <w:rPr>
                <w:rFonts w:hint="eastAsia" w:ascii="Times New Roman" w:hAnsi="Times New Roman"/>
                <w:kern w:val="0"/>
                <w:sz w:val="18"/>
                <w:szCs w:val="18"/>
                <w:lang w:val="en-US" w:eastAsia="zh-CN"/>
              </w:rPr>
              <w:t>2.34</w:t>
            </w:r>
            <w:r>
              <w:rPr>
                <w:rFonts w:hint="eastAsia" w:ascii="Times New Roman" w:hAnsi="Times New Roman"/>
                <w:kern w:val="0"/>
                <w:sz w:val="18"/>
                <w:szCs w:val="18"/>
              </w:rPr>
              <w:t>万元</w:t>
            </w:r>
          </w:p>
        </w:tc>
        <w:tc>
          <w:tcPr>
            <w:tcW w:w="50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kern w:val="0"/>
                <w:sz w:val="18"/>
                <w:szCs w:val="18"/>
              </w:rPr>
            </w:pPr>
          </w:p>
        </w:tc>
        <w:tc>
          <w:tcPr>
            <w:tcW w:w="56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kern w:val="0"/>
                <w:sz w:val="18"/>
                <w:szCs w:val="18"/>
              </w:rPr>
            </w:pPr>
          </w:p>
        </w:tc>
        <w:tc>
          <w:tcPr>
            <w:tcW w:w="12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440" w:hRule="exact"/>
          <w:jc w:val="center"/>
        </w:trPr>
        <w:tc>
          <w:tcPr>
            <w:tcW w:w="572"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954"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效益指标</w:t>
            </w:r>
            <w:r>
              <w:rPr>
                <w:rFonts w:ascii="Times New Roman" w:hAnsi="Times New Roman"/>
                <w:kern w:val="0"/>
                <w:sz w:val="20"/>
                <w:szCs w:val="20"/>
              </w:rPr>
              <w:t>(30分)</w:t>
            </w:r>
          </w:p>
        </w:tc>
        <w:tc>
          <w:tcPr>
            <w:tcW w:w="108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经济效益</w:t>
            </w:r>
          </w:p>
          <w:p>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p>
        </w:tc>
        <w:tc>
          <w:tcPr>
            <w:tcW w:w="2320" w:type="dxa"/>
            <w:gridSpan w:val="3"/>
            <w:vMerge w:val="restart"/>
            <w:tcBorders>
              <w:top w:val="single" w:color="auto" w:sz="4" w:space="0"/>
              <w:left w:val="nil"/>
              <w:right w:val="single" w:color="auto" w:sz="4" w:space="0"/>
            </w:tcBorders>
            <w:noWrap w:val="0"/>
            <w:vAlign w:val="center"/>
          </w:tcPr>
          <w:p>
            <w:pPr>
              <w:widowControl/>
              <w:spacing w:line="240" w:lineRule="exact"/>
              <w:jc w:val="left"/>
              <w:rPr>
                <w:rFonts w:hint="eastAsia" w:ascii="Times New Roman" w:hAnsi="Times New Roman"/>
                <w:color w:val="000000"/>
                <w:kern w:val="0"/>
                <w:sz w:val="18"/>
                <w:szCs w:val="18"/>
              </w:rPr>
            </w:pPr>
            <w:r>
              <w:rPr>
                <w:rFonts w:hint="eastAsia" w:ascii="Times New Roman" w:hAnsi="Times New Roman"/>
                <w:color w:val="000000"/>
                <w:kern w:val="0"/>
                <w:sz w:val="18"/>
                <w:szCs w:val="18"/>
              </w:rPr>
              <w:t>保障孤儿、事实无人抚养儿童基本生活</w:t>
            </w:r>
          </w:p>
          <w:p>
            <w:pPr>
              <w:widowControl/>
              <w:spacing w:line="240" w:lineRule="exact"/>
              <w:jc w:val="left"/>
              <w:rPr>
                <w:rFonts w:hint="eastAsia" w:ascii="Times New Roman" w:hAnsi="Times New Roman"/>
                <w:color w:val="000000"/>
                <w:kern w:val="0"/>
                <w:sz w:val="18"/>
                <w:szCs w:val="18"/>
              </w:rPr>
            </w:pPr>
          </w:p>
        </w:tc>
        <w:tc>
          <w:tcPr>
            <w:tcW w:w="750" w:type="dxa"/>
            <w:vMerge w:val="restart"/>
            <w:tcBorders>
              <w:top w:val="nil"/>
              <w:left w:val="nil"/>
              <w:right w:val="single" w:color="auto" w:sz="4" w:space="0"/>
            </w:tcBorders>
            <w:noWrap w:val="0"/>
            <w:vAlign w:val="center"/>
          </w:tcPr>
          <w:p>
            <w:pPr>
              <w:widowControl/>
              <w:spacing w:line="240" w:lineRule="exact"/>
              <w:jc w:val="center"/>
              <w:rPr>
                <w:rFonts w:hint="eastAsia" w:ascii="Times New Roman" w:hAnsi="Times New Roman"/>
                <w:kern w:val="0"/>
                <w:sz w:val="18"/>
                <w:szCs w:val="18"/>
              </w:rPr>
            </w:pPr>
            <w:r>
              <w:rPr>
                <w:rFonts w:hint="eastAsia" w:ascii="Times New Roman" w:hAnsi="Times New Roman"/>
                <w:kern w:val="0"/>
                <w:sz w:val="18"/>
                <w:szCs w:val="18"/>
              </w:rPr>
              <w:t>100%</w:t>
            </w:r>
          </w:p>
          <w:p>
            <w:pPr>
              <w:widowControl/>
              <w:spacing w:line="240" w:lineRule="exact"/>
              <w:jc w:val="center"/>
              <w:rPr>
                <w:rFonts w:hint="eastAsia" w:ascii="Times New Roman" w:hAnsi="Times New Roman"/>
                <w:kern w:val="0"/>
                <w:sz w:val="18"/>
                <w:szCs w:val="18"/>
              </w:rPr>
            </w:pPr>
          </w:p>
        </w:tc>
        <w:tc>
          <w:tcPr>
            <w:tcW w:w="798" w:type="dxa"/>
            <w:vMerge w:val="restart"/>
            <w:tcBorders>
              <w:top w:val="nil"/>
              <w:left w:val="nil"/>
              <w:right w:val="single" w:color="auto" w:sz="4" w:space="0"/>
            </w:tcBorders>
            <w:noWrap w:val="0"/>
            <w:vAlign w:val="center"/>
          </w:tcPr>
          <w:p>
            <w:pPr>
              <w:widowControl/>
              <w:spacing w:line="240" w:lineRule="exact"/>
              <w:jc w:val="center"/>
              <w:rPr>
                <w:rFonts w:hint="eastAsia" w:ascii="Times New Roman" w:hAnsi="Times New Roman"/>
                <w:kern w:val="0"/>
                <w:sz w:val="18"/>
                <w:szCs w:val="18"/>
              </w:rPr>
            </w:pPr>
            <w:r>
              <w:rPr>
                <w:rFonts w:hint="eastAsia" w:ascii="Times New Roman" w:hAnsi="Times New Roman"/>
                <w:kern w:val="0"/>
                <w:sz w:val="18"/>
                <w:szCs w:val="18"/>
              </w:rPr>
              <w:t>100%</w:t>
            </w:r>
          </w:p>
          <w:p>
            <w:pPr>
              <w:widowControl/>
              <w:spacing w:line="240" w:lineRule="exact"/>
              <w:jc w:val="center"/>
              <w:rPr>
                <w:rFonts w:hint="eastAsia" w:ascii="Times New Roman" w:hAnsi="Times New Roman"/>
                <w:kern w:val="0"/>
                <w:sz w:val="18"/>
                <w:szCs w:val="18"/>
              </w:rPr>
            </w:pPr>
          </w:p>
        </w:tc>
        <w:tc>
          <w:tcPr>
            <w:tcW w:w="505" w:type="dxa"/>
            <w:gridSpan w:val="2"/>
            <w:vMerge w:val="restart"/>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10</w:t>
            </w:r>
          </w:p>
        </w:tc>
        <w:tc>
          <w:tcPr>
            <w:tcW w:w="565" w:type="dxa"/>
            <w:gridSpan w:val="2"/>
            <w:vMerge w:val="restart"/>
            <w:tcBorders>
              <w:top w:val="single" w:color="auto" w:sz="4" w:space="0"/>
              <w:left w:val="nil"/>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10</w:t>
            </w:r>
          </w:p>
        </w:tc>
        <w:tc>
          <w:tcPr>
            <w:tcW w:w="12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455" w:hRule="exact"/>
          <w:jc w:val="center"/>
        </w:trPr>
        <w:tc>
          <w:tcPr>
            <w:tcW w:w="572"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954"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8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2320" w:type="dxa"/>
            <w:gridSpan w:val="3"/>
            <w:vMerge w:val="continue"/>
            <w:tcBorders>
              <w:left w:val="nil"/>
              <w:right w:val="single" w:color="auto" w:sz="4" w:space="0"/>
            </w:tcBorders>
            <w:noWrap w:val="0"/>
            <w:vAlign w:val="center"/>
          </w:tcPr>
          <w:p>
            <w:pPr>
              <w:widowControl/>
              <w:spacing w:line="240" w:lineRule="exact"/>
              <w:jc w:val="left"/>
              <w:rPr>
                <w:rFonts w:ascii="Times New Roman" w:hAnsi="Times New Roman"/>
                <w:color w:val="000000"/>
                <w:kern w:val="0"/>
                <w:sz w:val="18"/>
                <w:szCs w:val="18"/>
              </w:rPr>
            </w:pPr>
          </w:p>
        </w:tc>
        <w:tc>
          <w:tcPr>
            <w:tcW w:w="750" w:type="dxa"/>
            <w:vMerge w:val="continue"/>
            <w:tcBorders>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798" w:type="dxa"/>
            <w:vMerge w:val="continue"/>
            <w:tcBorders>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505" w:type="dxa"/>
            <w:gridSpan w:val="2"/>
            <w:vMerge w:val="continue"/>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565" w:type="dxa"/>
            <w:gridSpan w:val="2"/>
            <w:vMerge w:val="continue"/>
            <w:tcBorders>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294" w:type="dxa"/>
            <w:gridSpan w:val="2"/>
            <w:tcBorders>
              <w:top w:val="single" w:color="auto" w:sz="4" w:space="0"/>
              <w:left w:val="nil"/>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377" w:hRule="exact"/>
          <w:jc w:val="center"/>
        </w:trPr>
        <w:tc>
          <w:tcPr>
            <w:tcW w:w="572"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954"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8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社会效益</w:t>
            </w:r>
          </w:p>
          <w:p>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p>
        </w:tc>
        <w:tc>
          <w:tcPr>
            <w:tcW w:w="2320" w:type="dxa"/>
            <w:gridSpan w:val="3"/>
            <w:vMerge w:val="restart"/>
            <w:tcBorders>
              <w:top w:val="single" w:color="auto" w:sz="4" w:space="0"/>
              <w:left w:val="nil"/>
              <w:right w:val="single" w:color="auto" w:sz="4" w:space="0"/>
            </w:tcBorders>
            <w:noWrap w:val="0"/>
            <w:vAlign w:val="center"/>
          </w:tcPr>
          <w:p>
            <w:pPr>
              <w:widowControl/>
              <w:spacing w:line="240" w:lineRule="exact"/>
              <w:jc w:val="left"/>
              <w:rPr>
                <w:rFonts w:hint="eastAsia" w:ascii="Times New Roman" w:hAnsi="Times New Roman"/>
                <w:color w:val="000000"/>
                <w:kern w:val="0"/>
                <w:sz w:val="18"/>
                <w:szCs w:val="18"/>
              </w:rPr>
            </w:pPr>
            <w:r>
              <w:rPr>
                <w:rFonts w:hint="eastAsia" w:ascii="Times New Roman" w:hAnsi="Times New Roman"/>
                <w:color w:val="000000"/>
                <w:kern w:val="0"/>
                <w:sz w:val="18"/>
                <w:szCs w:val="18"/>
              </w:rPr>
              <w:t>保障孤儿、事实无人抚养儿童基本生活</w:t>
            </w:r>
          </w:p>
          <w:p>
            <w:pPr>
              <w:widowControl/>
              <w:spacing w:line="240" w:lineRule="exact"/>
              <w:jc w:val="left"/>
              <w:rPr>
                <w:rFonts w:ascii="Times New Roman" w:hAnsi="Times New Roman"/>
                <w:color w:val="000000"/>
                <w:kern w:val="0"/>
                <w:sz w:val="18"/>
                <w:szCs w:val="18"/>
              </w:rPr>
            </w:pPr>
          </w:p>
        </w:tc>
        <w:tc>
          <w:tcPr>
            <w:tcW w:w="750" w:type="dxa"/>
            <w:vMerge w:val="restart"/>
            <w:tcBorders>
              <w:top w:val="single" w:color="auto" w:sz="4" w:space="0"/>
              <w:left w:val="nil"/>
              <w:right w:val="single" w:color="auto" w:sz="4" w:space="0"/>
            </w:tcBorders>
            <w:noWrap w:val="0"/>
            <w:vAlign w:val="center"/>
          </w:tcPr>
          <w:p>
            <w:pPr>
              <w:widowControl/>
              <w:spacing w:line="240" w:lineRule="exact"/>
              <w:jc w:val="center"/>
              <w:rPr>
                <w:rFonts w:hint="eastAsia" w:ascii="Times New Roman" w:hAnsi="Times New Roman"/>
                <w:kern w:val="0"/>
                <w:sz w:val="18"/>
                <w:szCs w:val="18"/>
              </w:rPr>
            </w:pPr>
            <w:r>
              <w:rPr>
                <w:rFonts w:hint="eastAsia" w:ascii="Times New Roman" w:hAnsi="Times New Roman"/>
                <w:kern w:val="0"/>
                <w:sz w:val="18"/>
                <w:szCs w:val="18"/>
              </w:rPr>
              <w:t>长期</w:t>
            </w:r>
          </w:p>
          <w:p>
            <w:pPr>
              <w:widowControl/>
              <w:spacing w:line="240" w:lineRule="exact"/>
              <w:jc w:val="center"/>
              <w:rPr>
                <w:rFonts w:hint="eastAsia" w:ascii="Times New Roman" w:hAnsi="Times New Roman"/>
                <w:kern w:val="0"/>
                <w:sz w:val="18"/>
                <w:szCs w:val="18"/>
              </w:rPr>
            </w:pPr>
          </w:p>
        </w:tc>
        <w:tc>
          <w:tcPr>
            <w:tcW w:w="798" w:type="dxa"/>
            <w:vMerge w:val="restart"/>
            <w:tcBorders>
              <w:top w:val="single" w:color="auto" w:sz="4" w:space="0"/>
              <w:left w:val="nil"/>
              <w:right w:val="single" w:color="auto" w:sz="4" w:space="0"/>
            </w:tcBorders>
            <w:noWrap w:val="0"/>
            <w:vAlign w:val="center"/>
          </w:tcPr>
          <w:p>
            <w:pPr>
              <w:widowControl/>
              <w:spacing w:line="240" w:lineRule="exact"/>
              <w:jc w:val="center"/>
              <w:rPr>
                <w:rFonts w:hint="eastAsia" w:ascii="Times New Roman" w:hAnsi="Times New Roman"/>
                <w:kern w:val="0"/>
                <w:sz w:val="18"/>
                <w:szCs w:val="18"/>
              </w:rPr>
            </w:pPr>
            <w:r>
              <w:rPr>
                <w:rFonts w:hint="eastAsia" w:ascii="Times New Roman" w:hAnsi="Times New Roman"/>
                <w:kern w:val="0"/>
                <w:sz w:val="18"/>
                <w:szCs w:val="18"/>
              </w:rPr>
              <w:t>长期</w:t>
            </w:r>
          </w:p>
          <w:p>
            <w:pPr>
              <w:widowControl/>
              <w:spacing w:line="240" w:lineRule="exact"/>
              <w:jc w:val="center"/>
              <w:rPr>
                <w:rFonts w:hint="eastAsia" w:ascii="Times New Roman" w:hAnsi="Times New Roman"/>
                <w:kern w:val="0"/>
                <w:sz w:val="18"/>
                <w:szCs w:val="18"/>
              </w:rPr>
            </w:pPr>
          </w:p>
        </w:tc>
        <w:tc>
          <w:tcPr>
            <w:tcW w:w="505" w:type="dxa"/>
            <w:gridSpan w:val="2"/>
            <w:vMerge w:val="restart"/>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10</w:t>
            </w:r>
          </w:p>
        </w:tc>
        <w:tc>
          <w:tcPr>
            <w:tcW w:w="565" w:type="dxa"/>
            <w:gridSpan w:val="2"/>
            <w:vMerge w:val="restart"/>
            <w:tcBorders>
              <w:top w:val="nil"/>
              <w:left w:val="nil"/>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10</w:t>
            </w:r>
          </w:p>
        </w:tc>
        <w:tc>
          <w:tcPr>
            <w:tcW w:w="12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491" w:hRule="exact"/>
          <w:jc w:val="center"/>
        </w:trPr>
        <w:tc>
          <w:tcPr>
            <w:tcW w:w="572"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954"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8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2320" w:type="dxa"/>
            <w:gridSpan w:val="3"/>
            <w:vMerge w:val="continue"/>
            <w:tcBorders>
              <w:left w:val="nil"/>
              <w:bottom w:val="single" w:color="auto" w:sz="4" w:space="0"/>
              <w:right w:val="single" w:color="auto" w:sz="4" w:space="0"/>
            </w:tcBorders>
            <w:noWrap w:val="0"/>
            <w:vAlign w:val="center"/>
          </w:tcPr>
          <w:p>
            <w:pPr>
              <w:widowControl/>
              <w:spacing w:line="240" w:lineRule="exact"/>
              <w:jc w:val="left"/>
              <w:rPr>
                <w:rFonts w:ascii="Times New Roman" w:hAnsi="Times New Roman"/>
                <w:color w:val="000000"/>
                <w:kern w:val="0"/>
                <w:sz w:val="18"/>
                <w:szCs w:val="18"/>
              </w:rPr>
            </w:pPr>
          </w:p>
        </w:tc>
        <w:tc>
          <w:tcPr>
            <w:tcW w:w="750" w:type="dxa"/>
            <w:vMerge w:val="continue"/>
            <w:tcBorders>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kern w:val="0"/>
                <w:sz w:val="18"/>
                <w:szCs w:val="18"/>
              </w:rPr>
            </w:pPr>
          </w:p>
        </w:tc>
        <w:tc>
          <w:tcPr>
            <w:tcW w:w="798" w:type="dxa"/>
            <w:vMerge w:val="continue"/>
            <w:tcBorders>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kern w:val="0"/>
                <w:sz w:val="18"/>
                <w:szCs w:val="18"/>
              </w:rPr>
            </w:pPr>
          </w:p>
        </w:tc>
        <w:tc>
          <w:tcPr>
            <w:tcW w:w="505" w:type="dxa"/>
            <w:gridSpan w:val="2"/>
            <w:vMerge w:val="continue"/>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565" w:type="dxa"/>
            <w:gridSpan w:val="2"/>
            <w:vMerge w:val="continue"/>
            <w:tcBorders>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2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377" w:hRule="exact"/>
          <w:jc w:val="center"/>
        </w:trPr>
        <w:tc>
          <w:tcPr>
            <w:tcW w:w="572"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954"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8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生态效益</w:t>
            </w:r>
          </w:p>
          <w:p>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p>
        </w:tc>
        <w:tc>
          <w:tcPr>
            <w:tcW w:w="2320" w:type="dxa"/>
            <w:gridSpan w:val="3"/>
            <w:vMerge w:val="restart"/>
            <w:tcBorders>
              <w:top w:val="single" w:color="auto" w:sz="4" w:space="0"/>
              <w:left w:val="nil"/>
              <w:right w:val="single" w:color="auto" w:sz="4" w:space="0"/>
            </w:tcBorders>
            <w:noWrap w:val="0"/>
            <w:vAlign w:val="center"/>
          </w:tcPr>
          <w:p>
            <w:pPr>
              <w:widowControl/>
              <w:spacing w:line="240" w:lineRule="exact"/>
              <w:jc w:val="left"/>
              <w:rPr>
                <w:rFonts w:ascii="Times New Roman" w:hAnsi="Times New Roman"/>
                <w:color w:val="000000"/>
                <w:kern w:val="0"/>
                <w:sz w:val="18"/>
                <w:szCs w:val="18"/>
              </w:rPr>
            </w:pPr>
            <w:r>
              <w:rPr>
                <w:rFonts w:hint="eastAsia" w:ascii="Times New Roman" w:hAnsi="Times New Roman"/>
                <w:color w:val="000000"/>
                <w:kern w:val="0"/>
                <w:sz w:val="18"/>
                <w:szCs w:val="18"/>
              </w:rPr>
              <w:t>构建孤儿、事实无人抚养儿童基本生活保障机制</w:t>
            </w:r>
          </w:p>
        </w:tc>
        <w:tc>
          <w:tcPr>
            <w:tcW w:w="750" w:type="dxa"/>
            <w:vMerge w:val="restart"/>
            <w:tcBorders>
              <w:top w:val="nil"/>
              <w:left w:val="nil"/>
              <w:right w:val="single" w:color="auto" w:sz="4" w:space="0"/>
            </w:tcBorders>
            <w:noWrap w:val="0"/>
            <w:vAlign w:val="center"/>
          </w:tcPr>
          <w:p>
            <w:pPr>
              <w:widowControl/>
              <w:spacing w:line="240" w:lineRule="exact"/>
              <w:jc w:val="center"/>
              <w:rPr>
                <w:rFonts w:hint="eastAsia" w:ascii="Times New Roman" w:hAnsi="Times New Roman"/>
                <w:kern w:val="0"/>
                <w:sz w:val="18"/>
                <w:szCs w:val="18"/>
              </w:rPr>
            </w:pPr>
            <w:r>
              <w:rPr>
                <w:rFonts w:hint="eastAsia" w:ascii="Times New Roman" w:hAnsi="Times New Roman"/>
                <w:kern w:val="0"/>
                <w:sz w:val="18"/>
                <w:szCs w:val="18"/>
              </w:rPr>
              <w:t>长期</w:t>
            </w:r>
          </w:p>
        </w:tc>
        <w:tc>
          <w:tcPr>
            <w:tcW w:w="798" w:type="dxa"/>
            <w:vMerge w:val="restart"/>
            <w:tcBorders>
              <w:top w:val="nil"/>
              <w:left w:val="nil"/>
              <w:right w:val="single" w:color="auto" w:sz="4" w:space="0"/>
            </w:tcBorders>
            <w:noWrap w:val="0"/>
            <w:vAlign w:val="center"/>
          </w:tcPr>
          <w:p>
            <w:pPr>
              <w:widowControl/>
              <w:spacing w:line="240" w:lineRule="exact"/>
              <w:jc w:val="center"/>
              <w:rPr>
                <w:rFonts w:hint="eastAsia" w:ascii="Times New Roman" w:hAnsi="Times New Roman"/>
                <w:kern w:val="0"/>
                <w:sz w:val="18"/>
                <w:szCs w:val="18"/>
              </w:rPr>
            </w:pPr>
            <w:r>
              <w:rPr>
                <w:rFonts w:hint="eastAsia" w:ascii="Times New Roman" w:hAnsi="Times New Roman"/>
                <w:kern w:val="0"/>
                <w:sz w:val="18"/>
                <w:szCs w:val="18"/>
              </w:rPr>
              <w:t>长期</w:t>
            </w:r>
          </w:p>
        </w:tc>
        <w:tc>
          <w:tcPr>
            <w:tcW w:w="505" w:type="dxa"/>
            <w:gridSpan w:val="2"/>
            <w:vMerge w:val="restart"/>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kern w:val="0"/>
                <w:sz w:val="18"/>
                <w:szCs w:val="18"/>
              </w:rPr>
            </w:pPr>
            <w:r>
              <w:rPr>
                <w:rFonts w:hint="eastAsia" w:ascii="Times New Roman" w:hAnsi="Times New Roman"/>
                <w:kern w:val="0"/>
                <w:sz w:val="18"/>
                <w:szCs w:val="18"/>
              </w:rPr>
              <w:t>5</w:t>
            </w:r>
          </w:p>
        </w:tc>
        <w:tc>
          <w:tcPr>
            <w:tcW w:w="565" w:type="dxa"/>
            <w:gridSpan w:val="2"/>
            <w:vMerge w:val="restart"/>
            <w:tcBorders>
              <w:top w:val="nil"/>
              <w:left w:val="nil"/>
              <w:right w:val="single" w:color="auto" w:sz="4" w:space="0"/>
            </w:tcBorders>
            <w:noWrap w:val="0"/>
            <w:vAlign w:val="center"/>
          </w:tcPr>
          <w:p>
            <w:pPr>
              <w:widowControl/>
              <w:spacing w:line="240" w:lineRule="exact"/>
              <w:jc w:val="center"/>
              <w:rPr>
                <w:rFonts w:hint="eastAsia" w:ascii="Times New Roman" w:hAnsi="Times New Roman"/>
                <w:kern w:val="0"/>
                <w:sz w:val="18"/>
                <w:szCs w:val="18"/>
              </w:rPr>
            </w:pPr>
            <w:r>
              <w:rPr>
                <w:rFonts w:hint="eastAsia" w:ascii="Times New Roman" w:hAnsi="Times New Roman"/>
                <w:kern w:val="0"/>
                <w:sz w:val="18"/>
                <w:szCs w:val="18"/>
              </w:rPr>
              <w:t>5</w:t>
            </w:r>
          </w:p>
        </w:tc>
        <w:tc>
          <w:tcPr>
            <w:tcW w:w="12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566" w:hRule="exact"/>
          <w:jc w:val="center"/>
        </w:trPr>
        <w:tc>
          <w:tcPr>
            <w:tcW w:w="572"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954"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8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2320" w:type="dxa"/>
            <w:gridSpan w:val="3"/>
            <w:vMerge w:val="continue"/>
            <w:tcBorders>
              <w:left w:val="nil"/>
              <w:bottom w:val="single" w:color="auto" w:sz="4" w:space="0"/>
              <w:right w:val="single" w:color="auto" w:sz="4" w:space="0"/>
            </w:tcBorders>
            <w:noWrap w:val="0"/>
            <w:vAlign w:val="center"/>
          </w:tcPr>
          <w:p>
            <w:pPr>
              <w:widowControl/>
              <w:spacing w:line="240" w:lineRule="exact"/>
              <w:jc w:val="left"/>
              <w:rPr>
                <w:rFonts w:ascii="Times New Roman" w:hAnsi="Times New Roman"/>
                <w:color w:val="000000"/>
                <w:kern w:val="0"/>
                <w:sz w:val="18"/>
                <w:szCs w:val="18"/>
              </w:rPr>
            </w:pPr>
          </w:p>
        </w:tc>
        <w:tc>
          <w:tcPr>
            <w:tcW w:w="750" w:type="dxa"/>
            <w:vMerge w:val="continue"/>
            <w:tcBorders>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kern w:val="0"/>
                <w:sz w:val="18"/>
                <w:szCs w:val="18"/>
              </w:rPr>
            </w:pPr>
          </w:p>
        </w:tc>
        <w:tc>
          <w:tcPr>
            <w:tcW w:w="798" w:type="dxa"/>
            <w:vMerge w:val="continue"/>
            <w:tcBorders>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kern w:val="0"/>
                <w:sz w:val="18"/>
                <w:szCs w:val="18"/>
              </w:rPr>
            </w:pPr>
          </w:p>
        </w:tc>
        <w:tc>
          <w:tcPr>
            <w:tcW w:w="505" w:type="dxa"/>
            <w:gridSpan w:val="2"/>
            <w:vMerge w:val="continue"/>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565" w:type="dxa"/>
            <w:gridSpan w:val="2"/>
            <w:vMerge w:val="continue"/>
            <w:tcBorders>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2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512" w:hRule="exact"/>
          <w:jc w:val="center"/>
        </w:trPr>
        <w:tc>
          <w:tcPr>
            <w:tcW w:w="572"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954"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8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可持续影响指标</w:t>
            </w:r>
          </w:p>
        </w:tc>
        <w:tc>
          <w:tcPr>
            <w:tcW w:w="2320"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Times New Roman" w:hAnsi="Times New Roman"/>
                <w:color w:val="000000"/>
                <w:kern w:val="0"/>
                <w:sz w:val="18"/>
                <w:szCs w:val="18"/>
              </w:rPr>
            </w:pPr>
            <w:r>
              <w:rPr>
                <w:rFonts w:hint="eastAsia" w:ascii="Times New Roman" w:hAnsi="Times New Roman"/>
                <w:color w:val="000000"/>
                <w:kern w:val="0"/>
                <w:sz w:val="18"/>
                <w:szCs w:val="18"/>
              </w:rPr>
              <w:t>促进社会和谐稳定</w:t>
            </w:r>
          </w:p>
        </w:tc>
        <w:tc>
          <w:tcPr>
            <w:tcW w:w="750"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长期</w:t>
            </w:r>
          </w:p>
        </w:tc>
        <w:tc>
          <w:tcPr>
            <w:tcW w:w="798"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长期</w:t>
            </w:r>
          </w:p>
        </w:tc>
        <w:tc>
          <w:tcPr>
            <w:tcW w:w="505" w:type="dxa"/>
            <w:gridSpan w:val="2"/>
            <w:tcBorders>
              <w:top w:val="single" w:color="auto" w:sz="4" w:space="0"/>
              <w:left w:val="nil"/>
              <w:right w:val="single" w:color="auto" w:sz="4" w:space="0"/>
            </w:tcBorders>
            <w:noWrap w:val="0"/>
            <w:vAlign w:val="center"/>
          </w:tcPr>
          <w:p>
            <w:pPr>
              <w:widowControl/>
              <w:spacing w:line="240" w:lineRule="exact"/>
              <w:jc w:val="center"/>
              <w:rPr>
                <w:rFonts w:hint="eastAsia" w:ascii="Times New Roman" w:hAnsi="Times New Roman"/>
                <w:kern w:val="0"/>
                <w:sz w:val="18"/>
                <w:szCs w:val="18"/>
              </w:rPr>
            </w:pPr>
            <w:r>
              <w:rPr>
                <w:rFonts w:hint="eastAsia" w:ascii="Times New Roman" w:hAnsi="Times New Roman"/>
                <w:kern w:val="0"/>
                <w:sz w:val="18"/>
                <w:szCs w:val="18"/>
              </w:rPr>
              <w:t>5</w:t>
            </w:r>
          </w:p>
        </w:tc>
        <w:tc>
          <w:tcPr>
            <w:tcW w:w="565" w:type="dxa"/>
            <w:gridSpan w:val="2"/>
            <w:tcBorders>
              <w:top w:val="nil"/>
              <w:left w:val="nil"/>
              <w:right w:val="single" w:color="auto" w:sz="4" w:space="0"/>
            </w:tcBorders>
            <w:noWrap w:val="0"/>
            <w:vAlign w:val="center"/>
          </w:tcPr>
          <w:p>
            <w:pPr>
              <w:widowControl/>
              <w:spacing w:line="240" w:lineRule="exact"/>
              <w:jc w:val="center"/>
              <w:rPr>
                <w:rFonts w:hint="eastAsia" w:ascii="Times New Roman" w:hAnsi="Times New Roman"/>
                <w:kern w:val="0"/>
                <w:sz w:val="18"/>
                <w:szCs w:val="18"/>
              </w:rPr>
            </w:pPr>
            <w:r>
              <w:rPr>
                <w:rFonts w:hint="eastAsia" w:ascii="Times New Roman" w:hAnsi="Times New Roman"/>
                <w:kern w:val="0"/>
                <w:sz w:val="18"/>
                <w:szCs w:val="18"/>
              </w:rPr>
              <w:t>5</w:t>
            </w:r>
          </w:p>
        </w:tc>
        <w:tc>
          <w:tcPr>
            <w:tcW w:w="12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776" w:hRule="exact"/>
          <w:jc w:val="center"/>
        </w:trPr>
        <w:tc>
          <w:tcPr>
            <w:tcW w:w="572"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954" w:type="dxa"/>
            <w:tcBorders>
              <w:top w:val="single" w:color="auto" w:sz="4" w:space="0"/>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满意度</w:t>
            </w:r>
          </w:p>
          <w:p>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r>
              <w:rPr>
                <w:rFonts w:ascii="Times New Roman" w:hAnsi="Times New Roman"/>
                <w:kern w:val="0"/>
                <w:sz w:val="20"/>
                <w:szCs w:val="20"/>
              </w:rPr>
              <w:t>(10分)</w:t>
            </w:r>
          </w:p>
        </w:tc>
        <w:tc>
          <w:tcPr>
            <w:tcW w:w="108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服务对象满意度指标</w:t>
            </w:r>
          </w:p>
        </w:tc>
        <w:tc>
          <w:tcPr>
            <w:tcW w:w="2320"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Times New Roman" w:hAnsi="Times New Roman"/>
                <w:color w:val="000000"/>
                <w:kern w:val="0"/>
                <w:sz w:val="18"/>
                <w:szCs w:val="18"/>
              </w:rPr>
            </w:pPr>
            <w:r>
              <w:rPr>
                <w:rFonts w:hint="eastAsia" w:ascii="Times New Roman" w:hAnsi="Times New Roman"/>
                <w:color w:val="000000"/>
                <w:kern w:val="0"/>
                <w:sz w:val="18"/>
                <w:szCs w:val="18"/>
              </w:rPr>
              <w:t>受益对象满意度</w:t>
            </w:r>
          </w:p>
        </w:tc>
        <w:tc>
          <w:tcPr>
            <w:tcW w:w="7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100%</w:t>
            </w:r>
          </w:p>
        </w:tc>
        <w:tc>
          <w:tcPr>
            <w:tcW w:w="79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100%</w:t>
            </w:r>
          </w:p>
        </w:tc>
        <w:tc>
          <w:tcPr>
            <w:tcW w:w="50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10</w:t>
            </w:r>
          </w:p>
        </w:tc>
        <w:tc>
          <w:tcPr>
            <w:tcW w:w="56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10</w:t>
            </w:r>
          </w:p>
        </w:tc>
        <w:tc>
          <w:tcPr>
            <w:tcW w:w="12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400" w:hRule="exact"/>
          <w:jc w:val="center"/>
        </w:trPr>
        <w:tc>
          <w:tcPr>
            <w:tcW w:w="6476"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color w:val="000000"/>
                <w:kern w:val="0"/>
                <w:sz w:val="18"/>
                <w:szCs w:val="18"/>
              </w:rPr>
            </w:pPr>
            <w:r>
              <w:rPr>
                <w:rFonts w:ascii="Times New Roman" w:hAnsi="Times New Roman"/>
                <w:color w:val="000000"/>
                <w:kern w:val="0"/>
                <w:sz w:val="18"/>
                <w:szCs w:val="18"/>
              </w:rPr>
              <w:t>总分</w:t>
            </w:r>
          </w:p>
        </w:tc>
        <w:tc>
          <w:tcPr>
            <w:tcW w:w="50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color w:val="000000"/>
                <w:kern w:val="0"/>
                <w:sz w:val="18"/>
                <w:szCs w:val="18"/>
              </w:rPr>
            </w:pPr>
            <w:r>
              <w:rPr>
                <w:rFonts w:ascii="Times New Roman" w:hAnsi="Times New Roman"/>
                <w:color w:val="000000"/>
                <w:kern w:val="0"/>
                <w:sz w:val="18"/>
                <w:szCs w:val="18"/>
              </w:rPr>
              <w:t>100</w:t>
            </w:r>
          </w:p>
        </w:tc>
        <w:tc>
          <w:tcPr>
            <w:tcW w:w="56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color w:val="000000"/>
                <w:kern w:val="0"/>
                <w:sz w:val="18"/>
                <w:szCs w:val="18"/>
              </w:rPr>
            </w:pPr>
            <w:r>
              <w:rPr>
                <w:rFonts w:hint="eastAsia" w:ascii="Times New Roman" w:hAnsi="Times New Roman"/>
                <w:color w:val="000000"/>
                <w:kern w:val="0"/>
                <w:sz w:val="18"/>
                <w:szCs w:val="18"/>
              </w:rPr>
              <w:t>99</w:t>
            </w:r>
          </w:p>
        </w:tc>
        <w:tc>
          <w:tcPr>
            <w:tcW w:w="12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bl>
    <w:p>
      <w:pPr>
        <w:widowControl/>
        <w:spacing w:line="510" w:lineRule="exact"/>
        <w:jc w:val="left"/>
        <w:rPr>
          <w:rFonts w:ascii="Times New Roman" w:hAnsi="Times New Roman" w:eastAsia="仿宋_GB2312"/>
          <w:bCs/>
          <w:color w:val="000000"/>
          <w:kern w:val="0"/>
          <w:sz w:val="32"/>
          <w:szCs w:val="32"/>
        </w:rPr>
      </w:pPr>
    </w:p>
    <w:p>
      <w:pPr>
        <w:pStyle w:val="2"/>
        <w:ind w:firstLine="640"/>
        <w:rPr>
          <w:rFonts w:ascii="Times New Roman" w:hAnsi="Times New Roman"/>
          <w:bCs/>
          <w:color w:val="000000"/>
          <w:kern w:val="0"/>
          <w:szCs w:val="32"/>
        </w:rPr>
      </w:pPr>
    </w:p>
    <w:p>
      <w:pPr>
        <w:pStyle w:val="2"/>
        <w:ind w:firstLine="640"/>
        <w:rPr>
          <w:rFonts w:ascii="Times New Roman" w:hAnsi="Times New Roman"/>
          <w:bCs/>
          <w:color w:val="000000"/>
          <w:kern w:val="0"/>
          <w:szCs w:val="32"/>
        </w:rPr>
        <w:sectPr>
          <w:footerReference r:id="rId3" w:type="default"/>
          <w:pgSz w:w="11906" w:h="16838"/>
          <w:pgMar w:top="1474" w:right="1474" w:bottom="1474" w:left="1474" w:header="851" w:footer="1361" w:gutter="0"/>
          <w:cols w:space="720" w:num="1"/>
          <w:docGrid w:type="lines" w:linePitch="323" w:charSpace="0"/>
        </w:sectPr>
      </w:pPr>
    </w:p>
    <w:p>
      <w:pPr>
        <w:pStyle w:val="5"/>
        <w:spacing w:before="0" w:after="0" w:line="240" w:lineRule="auto"/>
        <w:jc w:val="center"/>
        <w:rPr>
          <w:rFonts w:hint="eastAsia" w:ascii="Times New Roman" w:hAnsi="Times New Roman" w:eastAsia="宋体"/>
          <w:bCs/>
          <w:color w:val="000000"/>
          <w:sz w:val="36"/>
          <w:szCs w:val="28"/>
        </w:rPr>
      </w:pPr>
      <w:r>
        <w:rPr>
          <w:rFonts w:ascii="Times New Roman" w:hAnsi="Times New Roman" w:eastAsia="宋体"/>
          <w:bCs/>
          <w:color w:val="000000"/>
          <w:sz w:val="36"/>
          <w:szCs w:val="28"/>
        </w:rPr>
        <w:t>中方县</w:t>
      </w:r>
      <w:r>
        <w:rPr>
          <w:rFonts w:hint="eastAsia" w:ascii="Times New Roman" w:hAnsi="Times New Roman" w:eastAsia="宋体"/>
          <w:bCs/>
          <w:color w:val="000000"/>
          <w:sz w:val="36"/>
          <w:szCs w:val="28"/>
        </w:rPr>
        <w:t>民政局202</w:t>
      </w:r>
      <w:r>
        <w:rPr>
          <w:rFonts w:hint="eastAsia" w:ascii="Times New Roman" w:hAnsi="Times New Roman" w:eastAsia="宋体"/>
          <w:bCs/>
          <w:color w:val="000000"/>
          <w:sz w:val="36"/>
          <w:szCs w:val="28"/>
          <w:lang w:val="en-US" w:eastAsia="zh-CN"/>
        </w:rPr>
        <w:t>3</w:t>
      </w:r>
      <w:r>
        <w:rPr>
          <w:rFonts w:hint="eastAsia" w:ascii="Times New Roman" w:hAnsi="Times New Roman" w:eastAsia="宋体"/>
          <w:bCs/>
          <w:color w:val="000000"/>
          <w:sz w:val="36"/>
          <w:szCs w:val="28"/>
        </w:rPr>
        <w:t>年度儿童福利</w:t>
      </w:r>
      <w:r>
        <w:rPr>
          <w:rFonts w:ascii="Times New Roman" w:hAnsi="Times New Roman" w:eastAsia="宋体"/>
          <w:bCs/>
          <w:color w:val="000000"/>
          <w:sz w:val="36"/>
          <w:szCs w:val="28"/>
        </w:rPr>
        <w:t>项目支出绩效评价</w:t>
      </w:r>
    </w:p>
    <w:p>
      <w:pPr>
        <w:pStyle w:val="5"/>
        <w:spacing w:before="0" w:after="0" w:line="240" w:lineRule="auto"/>
        <w:jc w:val="center"/>
        <w:rPr>
          <w:rFonts w:ascii="Times New Roman" w:hAnsi="Times New Roman" w:eastAsia="宋体"/>
          <w:bCs/>
          <w:color w:val="000000"/>
          <w:sz w:val="36"/>
          <w:szCs w:val="28"/>
        </w:rPr>
      </w:pPr>
      <w:r>
        <w:rPr>
          <w:rFonts w:ascii="Times New Roman" w:hAnsi="Times New Roman" w:eastAsia="宋体"/>
          <w:bCs/>
          <w:color w:val="000000"/>
          <w:sz w:val="36"/>
          <w:szCs w:val="28"/>
        </w:rPr>
        <w:t>共性指标表</w:t>
      </w:r>
    </w:p>
    <w:tbl>
      <w:tblPr>
        <w:tblStyle w:val="12"/>
        <w:tblW w:w="1339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25"/>
        <w:gridCol w:w="754"/>
        <w:gridCol w:w="1206"/>
        <w:gridCol w:w="602"/>
        <w:gridCol w:w="3017"/>
        <w:gridCol w:w="6490"/>
        <w:gridCol w:w="60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32" w:hRule="atLeast"/>
          <w:tblHeader/>
          <w:jc w:val="center"/>
        </w:trPr>
        <w:tc>
          <w:tcPr>
            <w:tcW w:w="725" w:type="dxa"/>
            <w:shd w:val="clear" w:color="auto" w:fill="FFFFFF"/>
            <w:noWrap w:val="0"/>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一级指标</w:t>
            </w:r>
          </w:p>
        </w:tc>
        <w:tc>
          <w:tcPr>
            <w:tcW w:w="754" w:type="dxa"/>
            <w:shd w:val="clear" w:color="auto" w:fill="FFFFFF"/>
            <w:noWrap w:val="0"/>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二级指标</w:t>
            </w:r>
          </w:p>
        </w:tc>
        <w:tc>
          <w:tcPr>
            <w:tcW w:w="1206" w:type="dxa"/>
            <w:shd w:val="clear" w:color="auto" w:fill="FFFFFF"/>
            <w:noWrap w:val="0"/>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三级指标</w:t>
            </w:r>
          </w:p>
        </w:tc>
        <w:tc>
          <w:tcPr>
            <w:tcW w:w="602" w:type="dxa"/>
            <w:shd w:val="clear" w:color="auto" w:fill="FFFFFF"/>
            <w:noWrap w:val="0"/>
            <w:vAlign w:val="top"/>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分</w:t>
            </w:r>
          </w:p>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值</w:t>
            </w:r>
          </w:p>
        </w:tc>
        <w:tc>
          <w:tcPr>
            <w:tcW w:w="3017" w:type="dxa"/>
            <w:shd w:val="clear" w:color="auto" w:fill="FFFFFF"/>
            <w:noWrap w:val="0"/>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指标解释</w:t>
            </w:r>
          </w:p>
        </w:tc>
        <w:tc>
          <w:tcPr>
            <w:tcW w:w="6490" w:type="dxa"/>
            <w:shd w:val="clear" w:color="auto" w:fill="FFFFFF"/>
            <w:noWrap w:val="0"/>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指标说明</w:t>
            </w:r>
          </w:p>
        </w:tc>
        <w:tc>
          <w:tcPr>
            <w:tcW w:w="601" w:type="dxa"/>
            <w:shd w:val="clear" w:color="auto" w:fill="FFFFFF"/>
            <w:noWrap w:val="0"/>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38" w:hRule="atLeast"/>
          <w:jc w:val="center"/>
        </w:trPr>
        <w:tc>
          <w:tcPr>
            <w:tcW w:w="725"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决策　</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754"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项目立项　</w:t>
            </w:r>
          </w:p>
        </w:tc>
        <w:tc>
          <w:tcPr>
            <w:tcW w:w="120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立项依据</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充分性</w:t>
            </w:r>
          </w:p>
        </w:tc>
        <w:tc>
          <w:tcPr>
            <w:tcW w:w="602"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3017"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项目立项是否符合法律法规、相关政策、发展规划以及部门职责，用以反映和考核项目立项依据情况。</w:t>
            </w:r>
          </w:p>
        </w:tc>
        <w:tc>
          <w:tcPr>
            <w:tcW w:w="6490" w:type="dxa"/>
            <w:shd w:val="clear" w:color="auto" w:fill="FFFFFF"/>
            <w:noWrap w:val="0"/>
            <w:vAlign w:val="center"/>
          </w:tcPr>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①项目立项是否符合国家法律法规、国民经济发展规划和相关政策；</w:t>
            </w:r>
            <w:r>
              <w:rPr>
                <w:rFonts w:ascii="Times New Roman" w:hAnsi="Times New Roman"/>
                <w:color w:val="000000"/>
                <w:kern w:val="0"/>
                <w:sz w:val="22"/>
                <w:szCs w:val="22"/>
              </w:rPr>
              <w:br w:type="textWrapping"/>
            </w:r>
            <w:r>
              <w:rPr>
                <w:rFonts w:ascii="Times New Roman" w:hAnsi="Times New Roman"/>
                <w:color w:val="000000"/>
                <w:kern w:val="0"/>
                <w:sz w:val="22"/>
                <w:szCs w:val="22"/>
              </w:rPr>
              <w:t>②项目立项是否符合行业发展规划和政策要求；</w:t>
            </w:r>
            <w:r>
              <w:rPr>
                <w:rFonts w:ascii="Times New Roman" w:hAnsi="Times New Roman"/>
                <w:color w:val="000000"/>
                <w:kern w:val="0"/>
                <w:sz w:val="22"/>
                <w:szCs w:val="22"/>
              </w:rPr>
              <w:br w:type="textWrapping"/>
            </w:r>
            <w:r>
              <w:rPr>
                <w:rFonts w:ascii="Times New Roman" w:hAnsi="Times New Roman"/>
                <w:color w:val="000000"/>
                <w:kern w:val="0"/>
                <w:sz w:val="22"/>
                <w:szCs w:val="22"/>
              </w:rPr>
              <w:t>③项目立项是否与部门职责范围相符，属于部门履职所需；</w:t>
            </w:r>
            <w:r>
              <w:rPr>
                <w:rFonts w:ascii="Times New Roman" w:hAnsi="Times New Roman"/>
                <w:color w:val="000000"/>
                <w:kern w:val="0"/>
                <w:sz w:val="22"/>
                <w:szCs w:val="22"/>
              </w:rPr>
              <w:br w:type="textWrapping"/>
            </w:r>
            <w:r>
              <w:rPr>
                <w:rFonts w:ascii="Times New Roman" w:hAnsi="Times New Roman"/>
                <w:color w:val="000000"/>
                <w:kern w:val="0"/>
                <w:sz w:val="22"/>
                <w:szCs w:val="22"/>
              </w:rPr>
              <w:t>④项目是否属于公共财政支持范围，是否符合中央、地方事权支出责任划分原则；</w:t>
            </w:r>
            <w:r>
              <w:rPr>
                <w:rFonts w:ascii="Times New Roman" w:hAnsi="Times New Roman"/>
                <w:color w:val="000000"/>
                <w:kern w:val="0"/>
                <w:sz w:val="22"/>
                <w:szCs w:val="22"/>
              </w:rPr>
              <w:br w:type="textWrapping"/>
            </w:r>
            <w:r>
              <w:rPr>
                <w:rFonts w:ascii="Times New Roman" w:hAnsi="Times New Roman"/>
                <w:color w:val="000000"/>
                <w:kern w:val="0"/>
                <w:sz w:val="22"/>
                <w:szCs w:val="22"/>
              </w:rPr>
              <w:t>⑤项目是否与相关部门同类项目或部门内部相关项目重复。</w:t>
            </w:r>
          </w:p>
        </w:tc>
        <w:tc>
          <w:tcPr>
            <w:tcW w:w="601"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39" w:hRule="atLeast"/>
          <w:jc w:val="center"/>
        </w:trPr>
        <w:tc>
          <w:tcPr>
            <w:tcW w:w="725"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754"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120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立项程序</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规范性</w:t>
            </w:r>
          </w:p>
        </w:tc>
        <w:tc>
          <w:tcPr>
            <w:tcW w:w="602"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3017"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项目申请、设立过程是否符合相关要求，用以反映和考核项目立项的规范情况。</w:t>
            </w:r>
          </w:p>
        </w:tc>
        <w:tc>
          <w:tcPr>
            <w:tcW w:w="6490" w:type="dxa"/>
            <w:shd w:val="clear" w:color="auto" w:fill="FFFFFF"/>
            <w:noWrap w:val="0"/>
            <w:vAlign w:val="center"/>
          </w:tcPr>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①项目是否按照规定的程序申请设立；</w:t>
            </w:r>
            <w:r>
              <w:rPr>
                <w:rFonts w:ascii="Times New Roman" w:hAnsi="Times New Roman"/>
                <w:color w:val="000000"/>
                <w:kern w:val="0"/>
                <w:sz w:val="22"/>
                <w:szCs w:val="22"/>
              </w:rPr>
              <w:br w:type="textWrapping"/>
            </w:r>
            <w:r>
              <w:rPr>
                <w:rFonts w:ascii="Times New Roman" w:hAnsi="Times New Roman"/>
                <w:color w:val="000000"/>
                <w:kern w:val="0"/>
                <w:sz w:val="22"/>
                <w:szCs w:val="22"/>
              </w:rPr>
              <w:t>②审批文件、材料是否符合相关要求；</w:t>
            </w:r>
            <w:r>
              <w:rPr>
                <w:rFonts w:ascii="Times New Roman" w:hAnsi="Times New Roman"/>
                <w:color w:val="000000"/>
                <w:kern w:val="0"/>
                <w:sz w:val="22"/>
                <w:szCs w:val="22"/>
              </w:rPr>
              <w:br w:type="textWrapping"/>
            </w:r>
            <w:r>
              <w:rPr>
                <w:rFonts w:ascii="Times New Roman" w:hAnsi="Times New Roman"/>
                <w:color w:val="000000"/>
                <w:kern w:val="0"/>
                <w:sz w:val="22"/>
                <w:szCs w:val="22"/>
              </w:rPr>
              <w:t>③事前是否已经过必要的可行性研究、专家论证、风险评估、绩效评估、集体决策。</w:t>
            </w:r>
          </w:p>
        </w:tc>
        <w:tc>
          <w:tcPr>
            <w:tcW w:w="601"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15" w:hRule="atLeast"/>
          <w:jc w:val="center"/>
        </w:trPr>
        <w:tc>
          <w:tcPr>
            <w:tcW w:w="725"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75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　</w:t>
            </w:r>
          </w:p>
        </w:tc>
        <w:tc>
          <w:tcPr>
            <w:tcW w:w="120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合理性</w:t>
            </w:r>
          </w:p>
        </w:tc>
        <w:tc>
          <w:tcPr>
            <w:tcW w:w="602"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3017"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项目所设定的绩效目标是否依据充分，是否符合客观实际，用以反映和考核项目绩效目标与项目实施的相符情况。</w:t>
            </w:r>
          </w:p>
        </w:tc>
        <w:tc>
          <w:tcPr>
            <w:tcW w:w="6490" w:type="dxa"/>
            <w:shd w:val="clear" w:color="auto" w:fill="FFFFFF"/>
            <w:noWrap w:val="0"/>
            <w:vAlign w:val="center"/>
          </w:tcPr>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（如未设定预算绩效目标，也可考核其他工作任务目标）</w:t>
            </w:r>
            <w:r>
              <w:rPr>
                <w:rFonts w:ascii="Times New Roman" w:hAnsi="Times New Roman"/>
                <w:color w:val="000000"/>
                <w:kern w:val="0"/>
                <w:sz w:val="22"/>
                <w:szCs w:val="22"/>
              </w:rPr>
              <w:br w:type="textWrapping"/>
            </w:r>
            <w:r>
              <w:rPr>
                <w:rFonts w:ascii="Times New Roman" w:hAnsi="Times New Roman"/>
                <w:color w:val="000000"/>
                <w:kern w:val="0"/>
                <w:sz w:val="22"/>
                <w:szCs w:val="22"/>
              </w:rPr>
              <w:t>①项目是否有绩效目标；</w:t>
            </w:r>
            <w:r>
              <w:rPr>
                <w:rFonts w:ascii="Times New Roman" w:hAnsi="Times New Roman"/>
                <w:color w:val="000000"/>
                <w:kern w:val="0"/>
                <w:sz w:val="22"/>
                <w:szCs w:val="22"/>
              </w:rPr>
              <w:br w:type="textWrapping"/>
            </w:r>
            <w:r>
              <w:rPr>
                <w:rFonts w:ascii="Times New Roman" w:hAnsi="Times New Roman"/>
                <w:color w:val="000000"/>
                <w:kern w:val="0"/>
                <w:sz w:val="22"/>
                <w:szCs w:val="22"/>
              </w:rPr>
              <w:t>②项目绩效目标与实际工作内容是否具有相关性；</w:t>
            </w:r>
            <w:r>
              <w:rPr>
                <w:rFonts w:ascii="Times New Roman" w:hAnsi="Times New Roman"/>
                <w:color w:val="000000"/>
                <w:kern w:val="0"/>
                <w:sz w:val="22"/>
                <w:szCs w:val="22"/>
              </w:rPr>
              <w:br w:type="textWrapping"/>
            </w:r>
            <w:r>
              <w:rPr>
                <w:rFonts w:ascii="Times New Roman" w:hAnsi="Times New Roman"/>
                <w:color w:val="000000"/>
                <w:kern w:val="0"/>
                <w:sz w:val="22"/>
                <w:szCs w:val="22"/>
              </w:rPr>
              <w:t>③项目预期产出效益和效果是否符合正常的业绩水平；</w:t>
            </w:r>
          </w:p>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④是否与预算确定的项目投资额或资金量相匹配。</w:t>
            </w:r>
          </w:p>
        </w:tc>
        <w:tc>
          <w:tcPr>
            <w:tcW w:w="601"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18" w:hRule="atLeast"/>
          <w:jc w:val="center"/>
        </w:trPr>
        <w:tc>
          <w:tcPr>
            <w:tcW w:w="725"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决策　</w:t>
            </w:r>
          </w:p>
        </w:tc>
        <w:tc>
          <w:tcPr>
            <w:tcW w:w="75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w:t>
            </w:r>
          </w:p>
        </w:tc>
        <w:tc>
          <w:tcPr>
            <w:tcW w:w="120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绩效指标</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明确性</w:t>
            </w:r>
          </w:p>
        </w:tc>
        <w:tc>
          <w:tcPr>
            <w:tcW w:w="602"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3017"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依据绩效目标设定的绩效指标是否清晰、细化、可衡量等，用以反映和考核项目绩效目标的明细化情况。</w:t>
            </w:r>
          </w:p>
        </w:tc>
        <w:tc>
          <w:tcPr>
            <w:tcW w:w="6490"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①是否将项目绩效目标细化分解为具体的绩效指标；</w:t>
            </w:r>
            <w:r>
              <w:rPr>
                <w:rFonts w:ascii="Times New Roman" w:hAnsi="Times New Roman"/>
                <w:color w:val="000000"/>
                <w:kern w:val="0"/>
                <w:sz w:val="22"/>
                <w:szCs w:val="22"/>
              </w:rPr>
              <w:br w:type="textWrapping"/>
            </w:r>
            <w:r>
              <w:rPr>
                <w:rFonts w:ascii="Times New Roman" w:hAnsi="Times New Roman"/>
                <w:color w:val="000000"/>
                <w:kern w:val="0"/>
                <w:sz w:val="22"/>
                <w:szCs w:val="22"/>
              </w:rPr>
              <w:t>②是否通过清晰、可衡量的指标值予以体现；</w:t>
            </w:r>
            <w:r>
              <w:rPr>
                <w:rFonts w:ascii="Times New Roman" w:hAnsi="Times New Roman"/>
                <w:color w:val="000000"/>
                <w:kern w:val="0"/>
                <w:sz w:val="22"/>
                <w:szCs w:val="22"/>
              </w:rPr>
              <w:br w:type="textWrapping"/>
            </w:r>
            <w:r>
              <w:rPr>
                <w:rFonts w:ascii="Times New Roman" w:hAnsi="Times New Roman"/>
                <w:color w:val="000000"/>
                <w:kern w:val="0"/>
                <w:sz w:val="22"/>
                <w:szCs w:val="22"/>
              </w:rPr>
              <w:t>③是否与项目目标任务数或计划数相对应。</w:t>
            </w:r>
          </w:p>
        </w:tc>
        <w:tc>
          <w:tcPr>
            <w:tcW w:w="601"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3" w:hRule="atLeast"/>
          <w:jc w:val="center"/>
        </w:trPr>
        <w:tc>
          <w:tcPr>
            <w:tcW w:w="725"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754"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资金投入</w:t>
            </w:r>
          </w:p>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120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预算编制</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科学性</w:t>
            </w:r>
          </w:p>
        </w:tc>
        <w:tc>
          <w:tcPr>
            <w:tcW w:w="602"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3017"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项目预算编制是否经过科学论证、有明确标准，资金额度与年度目标是否相适应，用以反映和考核项目预算编制的科学性、合理性情况。</w:t>
            </w:r>
          </w:p>
        </w:tc>
        <w:tc>
          <w:tcPr>
            <w:tcW w:w="6490"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①预算编制是否经过科学论证；</w:t>
            </w:r>
            <w:r>
              <w:rPr>
                <w:rFonts w:ascii="Times New Roman" w:hAnsi="Times New Roman"/>
                <w:color w:val="000000"/>
                <w:kern w:val="0"/>
                <w:sz w:val="22"/>
                <w:szCs w:val="22"/>
              </w:rPr>
              <w:br w:type="textWrapping"/>
            </w:r>
            <w:r>
              <w:rPr>
                <w:rFonts w:ascii="Times New Roman" w:hAnsi="Times New Roman"/>
                <w:color w:val="000000"/>
                <w:kern w:val="0"/>
                <w:sz w:val="22"/>
                <w:szCs w:val="22"/>
              </w:rPr>
              <w:t>②预算内容与项目内容是否匹配；</w:t>
            </w:r>
            <w:r>
              <w:rPr>
                <w:rFonts w:ascii="Times New Roman" w:hAnsi="Times New Roman"/>
                <w:color w:val="000000"/>
                <w:kern w:val="0"/>
                <w:sz w:val="22"/>
                <w:szCs w:val="22"/>
              </w:rPr>
              <w:br w:type="textWrapping"/>
            </w:r>
            <w:r>
              <w:rPr>
                <w:rFonts w:ascii="Times New Roman" w:hAnsi="Times New Roman"/>
                <w:color w:val="000000"/>
                <w:kern w:val="0"/>
                <w:sz w:val="22"/>
                <w:szCs w:val="22"/>
              </w:rPr>
              <w:t>③预算额度测算依据是否充分，是否按照标准编制；</w:t>
            </w:r>
            <w:r>
              <w:rPr>
                <w:rFonts w:ascii="Times New Roman" w:hAnsi="Times New Roman"/>
                <w:color w:val="000000"/>
                <w:kern w:val="0"/>
                <w:sz w:val="22"/>
                <w:szCs w:val="22"/>
              </w:rPr>
              <w:br w:type="textWrapping"/>
            </w:r>
            <w:r>
              <w:rPr>
                <w:rFonts w:ascii="Times New Roman" w:hAnsi="Times New Roman"/>
                <w:color w:val="000000"/>
                <w:kern w:val="0"/>
                <w:sz w:val="22"/>
                <w:szCs w:val="22"/>
              </w:rPr>
              <w:t>④预算确定的项目投资额或资金量是否与工作任务相匹配。</w:t>
            </w:r>
          </w:p>
        </w:tc>
        <w:tc>
          <w:tcPr>
            <w:tcW w:w="601"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9" w:hRule="atLeast"/>
          <w:jc w:val="center"/>
        </w:trPr>
        <w:tc>
          <w:tcPr>
            <w:tcW w:w="725"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754"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120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资金分配</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合理性</w:t>
            </w:r>
          </w:p>
        </w:tc>
        <w:tc>
          <w:tcPr>
            <w:tcW w:w="602"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3017"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项目预算资金分配是否有测算依据，与补助单位或地方实际是否相适应，用以反映和考核项目预算资金分配的科学性、合理性情况。</w:t>
            </w:r>
          </w:p>
        </w:tc>
        <w:tc>
          <w:tcPr>
            <w:tcW w:w="6490"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①预算资金分配依据是否充分；</w:t>
            </w:r>
            <w:r>
              <w:rPr>
                <w:rFonts w:ascii="Times New Roman" w:hAnsi="Times New Roman"/>
                <w:color w:val="000000"/>
                <w:kern w:val="0"/>
                <w:sz w:val="22"/>
                <w:szCs w:val="22"/>
              </w:rPr>
              <w:br w:type="textWrapping"/>
            </w:r>
            <w:r>
              <w:rPr>
                <w:rFonts w:ascii="Times New Roman" w:hAnsi="Times New Roman"/>
                <w:color w:val="000000"/>
                <w:kern w:val="0"/>
                <w:sz w:val="22"/>
                <w:szCs w:val="22"/>
              </w:rPr>
              <w:t>②资金分配额度是否合理，与项目单位或地方实际是否相适应。</w:t>
            </w:r>
          </w:p>
        </w:tc>
        <w:tc>
          <w:tcPr>
            <w:tcW w:w="601"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67" w:hRule="atLeast"/>
          <w:jc w:val="center"/>
        </w:trPr>
        <w:tc>
          <w:tcPr>
            <w:tcW w:w="725" w:type="dxa"/>
            <w:vMerge w:val="restart"/>
            <w:shd w:val="clear" w:color="auto" w:fill="FFFFFF"/>
            <w:noWrap w:val="0"/>
            <w:vAlign w:val="center"/>
          </w:tcPr>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过程</w:t>
            </w:r>
          </w:p>
        </w:tc>
        <w:tc>
          <w:tcPr>
            <w:tcW w:w="754"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资金管理</w:t>
            </w:r>
          </w:p>
        </w:tc>
        <w:tc>
          <w:tcPr>
            <w:tcW w:w="120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资金到位率</w:t>
            </w:r>
          </w:p>
        </w:tc>
        <w:tc>
          <w:tcPr>
            <w:tcW w:w="602"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3017"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实际到位资金与预算资金的比率，用以反映和考核资金落实情况对项目实施的总体保障程度。</w:t>
            </w:r>
          </w:p>
        </w:tc>
        <w:tc>
          <w:tcPr>
            <w:tcW w:w="6490"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资金到位率=（实际到位资金/预算资金）×100%。</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实际到位资金：一定时期（本年度或项目期）内落实到具体项目的资金。</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预算资金：一定时期（本年度或项目期）内预算安排到具体项目的资金。</w:t>
            </w:r>
          </w:p>
        </w:tc>
        <w:tc>
          <w:tcPr>
            <w:tcW w:w="601"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76" w:hRule="atLeast"/>
          <w:jc w:val="center"/>
        </w:trPr>
        <w:tc>
          <w:tcPr>
            <w:tcW w:w="725"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754"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120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预算执行率</w:t>
            </w:r>
          </w:p>
        </w:tc>
        <w:tc>
          <w:tcPr>
            <w:tcW w:w="602"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3017"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项目预算资金是否按照计划执行，用以反映或考核项目预算执行情况。</w:t>
            </w:r>
          </w:p>
        </w:tc>
        <w:tc>
          <w:tcPr>
            <w:tcW w:w="6490"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预算执行率=（实际支出资金/实际到位资金）×100%。</w:t>
            </w:r>
            <w:r>
              <w:rPr>
                <w:rFonts w:ascii="Times New Roman" w:hAnsi="Times New Roman"/>
                <w:color w:val="000000"/>
                <w:kern w:val="0"/>
                <w:sz w:val="22"/>
                <w:szCs w:val="22"/>
              </w:rPr>
              <w:br w:type="textWrapping"/>
            </w:r>
            <w:r>
              <w:rPr>
                <w:rFonts w:ascii="Times New Roman" w:hAnsi="Times New Roman"/>
                <w:color w:val="000000"/>
                <w:kern w:val="0"/>
                <w:sz w:val="22"/>
                <w:szCs w:val="22"/>
              </w:rPr>
              <w:t>实际支出资金：一定时期（本年度或项目期）内项目实际拨付的资金。</w:t>
            </w:r>
          </w:p>
        </w:tc>
        <w:tc>
          <w:tcPr>
            <w:tcW w:w="601"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9" w:hRule="atLeast"/>
          <w:jc w:val="center"/>
        </w:trPr>
        <w:tc>
          <w:tcPr>
            <w:tcW w:w="725"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过程　</w:t>
            </w:r>
          </w:p>
        </w:tc>
        <w:tc>
          <w:tcPr>
            <w:tcW w:w="75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资金管理</w:t>
            </w:r>
          </w:p>
        </w:tc>
        <w:tc>
          <w:tcPr>
            <w:tcW w:w="120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资金使用</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合规性</w:t>
            </w:r>
          </w:p>
        </w:tc>
        <w:tc>
          <w:tcPr>
            <w:tcW w:w="602"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3017"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项目资金使用是否符合相关的财务管理制度规定，用以反映和考核项目资金的规范运行情况。</w:t>
            </w:r>
          </w:p>
        </w:tc>
        <w:tc>
          <w:tcPr>
            <w:tcW w:w="6490"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①是否符合国家财经法规和财务管理制度以及有关专项资金管理办法的规定；</w:t>
            </w:r>
            <w:r>
              <w:rPr>
                <w:rFonts w:ascii="Times New Roman" w:hAnsi="Times New Roman"/>
                <w:color w:val="000000"/>
                <w:kern w:val="0"/>
                <w:sz w:val="22"/>
                <w:szCs w:val="22"/>
              </w:rPr>
              <w:br w:type="textWrapping"/>
            </w:r>
            <w:r>
              <w:rPr>
                <w:rFonts w:ascii="Times New Roman" w:hAnsi="Times New Roman"/>
                <w:color w:val="000000"/>
                <w:kern w:val="0"/>
                <w:sz w:val="22"/>
                <w:szCs w:val="22"/>
              </w:rPr>
              <w:t>②资金的拨付是否有完整的审批程序和手续；</w:t>
            </w:r>
            <w:r>
              <w:rPr>
                <w:rFonts w:ascii="Times New Roman" w:hAnsi="Times New Roman"/>
                <w:color w:val="000000"/>
                <w:kern w:val="0"/>
                <w:sz w:val="22"/>
                <w:szCs w:val="22"/>
              </w:rPr>
              <w:br w:type="textWrapping"/>
            </w:r>
            <w:r>
              <w:rPr>
                <w:rFonts w:ascii="Times New Roman" w:hAnsi="Times New Roman"/>
                <w:color w:val="000000"/>
                <w:kern w:val="0"/>
                <w:sz w:val="22"/>
                <w:szCs w:val="22"/>
              </w:rPr>
              <w:t>③是否符合项目预算批复或合同规定的用途；</w:t>
            </w:r>
            <w:r>
              <w:rPr>
                <w:rFonts w:ascii="Times New Roman" w:hAnsi="Times New Roman"/>
                <w:color w:val="000000"/>
                <w:kern w:val="0"/>
                <w:sz w:val="22"/>
                <w:szCs w:val="22"/>
              </w:rPr>
              <w:br w:type="textWrapping"/>
            </w:r>
            <w:r>
              <w:rPr>
                <w:rFonts w:ascii="Times New Roman" w:hAnsi="Times New Roman"/>
                <w:color w:val="000000"/>
                <w:kern w:val="0"/>
                <w:sz w:val="22"/>
                <w:szCs w:val="22"/>
              </w:rPr>
              <w:t>④是否存在截留、挤占、挪用、虚列支出等情况。</w:t>
            </w:r>
          </w:p>
        </w:tc>
        <w:tc>
          <w:tcPr>
            <w:tcW w:w="601"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88" w:hRule="atLeast"/>
          <w:jc w:val="center"/>
        </w:trPr>
        <w:tc>
          <w:tcPr>
            <w:tcW w:w="725"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754"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组织实施</w:t>
            </w:r>
          </w:p>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120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管理制度</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健全性</w:t>
            </w:r>
          </w:p>
        </w:tc>
        <w:tc>
          <w:tcPr>
            <w:tcW w:w="602"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3017"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项目实施单位的财务和业务管理制度是否健全，用以反映和考核财务和业务管理制度对项目顺利实施的保障情况。</w:t>
            </w:r>
          </w:p>
        </w:tc>
        <w:tc>
          <w:tcPr>
            <w:tcW w:w="6490"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①是否已制定或具有相应的财务和业务管理制度；</w:t>
            </w:r>
            <w:r>
              <w:rPr>
                <w:rFonts w:ascii="Times New Roman" w:hAnsi="Times New Roman"/>
                <w:color w:val="000000"/>
                <w:kern w:val="0"/>
                <w:sz w:val="22"/>
                <w:szCs w:val="22"/>
              </w:rPr>
              <w:br w:type="textWrapping"/>
            </w:r>
            <w:r>
              <w:rPr>
                <w:rFonts w:ascii="Times New Roman" w:hAnsi="Times New Roman"/>
                <w:color w:val="000000"/>
                <w:kern w:val="0"/>
                <w:sz w:val="22"/>
                <w:szCs w:val="22"/>
              </w:rPr>
              <w:t>②财务和业务管理制度是否合法、合规、完整。</w:t>
            </w:r>
          </w:p>
        </w:tc>
        <w:tc>
          <w:tcPr>
            <w:tcW w:w="601"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64" w:hRule="atLeast"/>
          <w:jc w:val="center"/>
        </w:trPr>
        <w:tc>
          <w:tcPr>
            <w:tcW w:w="725"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754"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120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制度执行</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有效性</w:t>
            </w:r>
          </w:p>
        </w:tc>
        <w:tc>
          <w:tcPr>
            <w:tcW w:w="602"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3017"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项目实施是否符合相关管理规定，用以反映和考核相关管理制度的有效执行情况。</w:t>
            </w:r>
          </w:p>
        </w:tc>
        <w:tc>
          <w:tcPr>
            <w:tcW w:w="6490"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①是否遵守相关法律法规和相关管理规定；</w:t>
            </w:r>
            <w:r>
              <w:rPr>
                <w:rFonts w:ascii="Times New Roman" w:hAnsi="Times New Roman"/>
                <w:color w:val="000000"/>
                <w:kern w:val="0"/>
                <w:sz w:val="22"/>
                <w:szCs w:val="22"/>
              </w:rPr>
              <w:br w:type="textWrapping"/>
            </w:r>
            <w:r>
              <w:rPr>
                <w:rFonts w:ascii="Times New Roman" w:hAnsi="Times New Roman"/>
                <w:color w:val="000000"/>
                <w:kern w:val="0"/>
                <w:sz w:val="22"/>
                <w:szCs w:val="22"/>
              </w:rPr>
              <w:t>②项目调整及支出调整手续是否完备；</w:t>
            </w:r>
            <w:r>
              <w:rPr>
                <w:rFonts w:ascii="Times New Roman" w:hAnsi="Times New Roman"/>
                <w:color w:val="000000"/>
                <w:kern w:val="0"/>
                <w:sz w:val="22"/>
                <w:szCs w:val="22"/>
              </w:rPr>
              <w:br w:type="textWrapping"/>
            </w:r>
            <w:r>
              <w:rPr>
                <w:rFonts w:ascii="Times New Roman" w:hAnsi="Times New Roman"/>
                <w:color w:val="000000"/>
                <w:kern w:val="0"/>
                <w:sz w:val="22"/>
                <w:szCs w:val="22"/>
              </w:rPr>
              <w:t>③项目合同书、验收报告、技术鉴定等资料是否齐全并及时归档；</w:t>
            </w:r>
            <w:r>
              <w:rPr>
                <w:rFonts w:ascii="Times New Roman" w:hAnsi="Times New Roman"/>
                <w:color w:val="000000"/>
                <w:kern w:val="0"/>
                <w:sz w:val="22"/>
                <w:szCs w:val="22"/>
              </w:rPr>
              <w:br w:type="textWrapping"/>
            </w:r>
            <w:r>
              <w:rPr>
                <w:rFonts w:ascii="Times New Roman" w:hAnsi="Times New Roman"/>
                <w:color w:val="000000"/>
                <w:kern w:val="0"/>
                <w:sz w:val="22"/>
                <w:szCs w:val="22"/>
              </w:rPr>
              <w:t>④项目实施的人员条件、场地设备、信息支撑等是否落实到位。</w:t>
            </w:r>
          </w:p>
        </w:tc>
        <w:tc>
          <w:tcPr>
            <w:tcW w:w="601"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91" w:hRule="atLeast"/>
          <w:jc w:val="center"/>
        </w:trPr>
        <w:tc>
          <w:tcPr>
            <w:tcW w:w="725"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w:t>
            </w:r>
          </w:p>
        </w:tc>
        <w:tc>
          <w:tcPr>
            <w:tcW w:w="75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产出数量</w:t>
            </w:r>
          </w:p>
        </w:tc>
        <w:tc>
          <w:tcPr>
            <w:tcW w:w="120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实际完成率</w:t>
            </w:r>
          </w:p>
        </w:tc>
        <w:tc>
          <w:tcPr>
            <w:tcW w:w="602"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3017"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项目实施的实际产出数与计划产出数的比率，用以反映和考核项目产出数量目标的实现程度。</w:t>
            </w:r>
          </w:p>
        </w:tc>
        <w:tc>
          <w:tcPr>
            <w:tcW w:w="6490"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实际完成率=（实际产出数/计划产出数）×100%。</w:t>
            </w:r>
            <w:r>
              <w:rPr>
                <w:rFonts w:ascii="Times New Roman" w:hAnsi="Times New Roman"/>
                <w:color w:val="000000"/>
                <w:kern w:val="0"/>
                <w:sz w:val="22"/>
                <w:szCs w:val="22"/>
              </w:rPr>
              <w:br w:type="textWrapping"/>
            </w:r>
            <w:r>
              <w:rPr>
                <w:rFonts w:ascii="Times New Roman" w:hAnsi="Times New Roman"/>
                <w:color w:val="000000"/>
                <w:kern w:val="0"/>
                <w:sz w:val="22"/>
                <w:szCs w:val="22"/>
              </w:rPr>
              <w:t>实际产出数：一定时期（本年度或项目期）内项目实际产出的产品或提供的服务数量。</w:t>
            </w:r>
            <w:r>
              <w:rPr>
                <w:rFonts w:ascii="Times New Roman" w:hAnsi="Times New Roman"/>
                <w:color w:val="000000"/>
                <w:kern w:val="0"/>
                <w:sz w:val="22"/>
                <w:szCs w:val="22"/>
              </w:rPr>
              <w:br w:type="textWrapping"/>
            </w:r>
            <w:r>
              <w:rPr>
                <w:rFonts w:ascii="Times New Roman" w:hAnsi="Times New Roman"/>
                <w:color w:val="000000"/>
                <w:kern w:val="0"/>
                <w:sz w:val="22"/>
                <w:szCs w:val="22"/>
              </w:rPr>
              <w:t>计划产出数：项目绩效目标确定的在一定时期（本年度或项目期）内计划产出的产品或提供的服务数量。</w:t>
            </w:r>
          </w:p>
        </w:tc>
        <w:tc>
          <w:tcPr>
            <w:tcW w:w="601"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20" w:hRule="atLeast"/>
          <w:jc w:val="center"/>
        </w:trPr>
        <w:tc>
          <w:tcPr>
            <w:tcW w:w="725"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w:t>
            </w:r>
          </w:p>
        </w:tc>
        <w:tc>
          <w:tcPr>
            <w:tcW w:w="75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产出质量</w:t>
            </w:r>
          </w:p>
        </w:tc>
        <w:tc>
          <w:tcPr>
            <w:tcW w:w="120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质量达标率</w:t>
            </w:r>
          </w:p>
        </w:tc>
        <w:tc>
          <w:tcPr>
            <w:tcW w:w="602"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3017"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项目完成的质量达标产出数与实际产出数的比率，用以反映和考核项目产出质量目标的实现程度。</w:t>
            </w:r>
          </w:p>
        </w:tc>
        <w:tc>
          <w:tcPr>
            <w:tcW w:w="6490"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质量达标率=（质量达标产出数/实际产出数）×100%。</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601"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36" w:hRule="atLeast"/>
          <w:jc w:val="center"/>
        </w:trPr>
        <w:tc>
          <w:tcPr>
            <w:tcW w:w="725"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754" w:type="dxa"/>
            <w:shd w:val="clear" w:color="auto" w:fill="FFFFFF"/>
            <w:noWrap w:val="0"/>
            <w:vAlign w:val="center"/>
          </w:tcPr>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产出时效</w:t>
            </w:r>
          </w:p>
        </w:tc>
        <w:tc>
          <w:tcPr>
            <w:tcW w:w="120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完成及时性</w:t>
            </w:r>
          </w:p>
        </w:tc>
        <w:tc>
          <w:tcPr>
            <w:tcW w:w="602"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3017"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项目实际完成时间与计划完成时间的比较，用以反映和考核项目产出时效目标的实现程度。</w:t>
            </w:r>
          </w:p>
        </w:tc>
        <w:tc>
          <w:tcPr>
            <w:tcW w:w="6490"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实际完成时间：项目实施单位完成该项目实际所耗用的时间。</w:t>
            </w:r>
            <w:r>
              <w:rPr>
                <w:rFonts w:ascii="Times New Roman" w:hAnsi="Times New Roman"/>
                <w:color w:val="000000"/>
                <w:kern w:val="0"/>
                <w:sz w:val="22"/>
                <w:szCs w:val="22"/>
              </w:rPr>
              <w:br w:type="textWrapping"/>
            </w:r>
            <w:r>
              <w:rPr>
                <w:rFonts w:ascii="Times New Roman" w:hAnsi="Times New Roman"/>
                <w:color w:val="000000"/>
                <w:kern w:val="0"/>
                <w:sz w:val="22"/>
                <w:szCs w:val="22"/>
              </w:rPr>
              <w:t>计划完成时间：按照项目实施计划或相关规定完成该项目所需的时间。</w:t>
            </w:r>
          </w:p>
        </w:tc>
        <w:tc>
          <w:tcPr>
            <w:tcW w:w="601"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6" w:hRule="atLeast"/>
          <w:jc w:val="center"/>
        </w:trPr>
        <w:tc>
          <w:tcPr>
            <w:tcW w:w="725"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75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产出成本</w:t>
            </w:r>
          </w:p>
        </w:tc>
        <w:tc>
          <w:tcPr>
            <w:tcW w:w="120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成本节约率</w:t>
            </w:r>
          </w:p>
        </w:tc>
        <w:tc>
          <w:tcPr>
            <w:tcW w:w="602"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3017"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完成项目计划工作目标的实际节约成本与计划成本的比率，用以反映和考核项目的成本节约程度。</w:t>
            </w:r>
          </w:p>
        </w:tc>
        <w:tc>
          <w:tcPr>
            <w:tcW w:w="6490"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br w:type="textWrapping"/>
            </w:r>
            <w:r>
              <w:rPr>
                <w:rFonts w:ascii="Times New Roman" w:hAnsi="Times New Roman"/>
                <w:color w:val="000000"/>
                <w:kern w:val="0"/>
                <w:sz w:val="22"/>
                <w:szCs w:val="22"/>
              </w:rPr>
              <w:t>成本节约率=[（计划成本-实际成本）/计划成本]×100%。</w:t>
            </w:r>
            <w:r>
              <w:rPr>
                <w:rFonts w:ascii="Times New Roman" w:hAnsi="Times New Roman"/>
                <w:color w:val="000000"/>
                <w:kern w:val="0"/>
                <w:sz w:val="22"/>
                <w:szCs w:val="22"/>
              </w:rPr>
              <w:br w:type="textWrapping"/>
            </w:r>
            <w:r>
              <w:rPr>
                <w:rFonts w:ascii="Times New Roman" w:hAnsi="Times New Roman"/>
                <w:color w:val="000000"/>
                <w:kern w:val="0"/>
                <w:sz w:val="22"/>
                <w:szCs w:val="22"/>
              </w:rPr>
              <w:t>实际成本：项目实施单位如期、保质、保量完成既定工作目标实际所耗费的支出。</w:t>
            </w:r>
            <w:r>
              <w:rPr>
                <w:rFonts w:ascii="Times New Roman" w:hAnsi="Times New Roman"/>
                <w:color w:val="000000"/>
                <w:kern w:val="0"/>
                <w:sz w:val="22"/>
                <w:szCs w:val="22"/>
              </w:rPr>
              <w:br w:type="textWrapping"/>
            </w:r>
            <w:r>
              <w:rPr>
                <w:rFonts w:ascii="Times New Roman" w:hAnsi="Times New Roman"/>
                <w:color w:val="000000"/>
                <w:kern w:val="0"/>
                <w:sz w:val="22"/>
                <w:szCs w:val="22"/>
              </w:rPr>
              <w:t>计划成本：项目实施单位为完成工作目标计划安排的支出，一般以项目预算为参考。</w:t>
            </w:r>
          </w:p>
        </w:tc>
        <w:tc>
          <w:tcPr>
            <w:tcW w:w="601"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33" w:hRule="atLeast"/>
          <w:jc w:val="center"/>
        </w:trPr>
        <w:tc>
          <w:tcPr>
            <w:tcW w:w="725"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效益　</w:t>
            </w:r>
          </w:p>
        </w:tc>
        <w:tc>
          <w:tcPr>
            <w:tcW w:w="754"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项目效益　</w:t>
            </w:r>
          </w:p>
        </w:tc>
        <w:tc>
          <w:tcPr>
            <w:tcW w:w="120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实施效益</w:t>
            </w:r>
          </w:p>
        </w:tc>
        <w:tc>
          <w:tcPr>
            <w:tcW w:w="602"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20</w:t>
            </w:r>
          </w:p>
        </w:tc>
        <w:tc>
          <w:tcPr>
            <w:tcW w:w="3017" w:type="dxa"/>
            <w:shd w:val="clear" w:color="auto" w:fill="FFFFFF"/>
            <w:noWrap w:val="0"/>
            <w:vAlign w:val="center"/>
          </w:tcPr>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项目实施所产生的效益。</w:t>
            </w:r>
          </w:p>
        </w:tc>
        <w:tc>
          <w:tcPr>
            <w:tcW w:w="6490"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项目实施所产生的社会效益、经济效益、生态效益、可持续影响等。可根据项目实际情况有选择地设置和细化。</w:t>
            </w:r>
          </w:p>
        </w:tc>
        <w:tc>
          <w:tcPr>
            <w:tcW w:w="601"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38" w:hRule="atLeast"/>
          <w:jc w:val="center"/>
        </w:trPr>
        <w:tc>
          <w:tcPr>
            <w:tcW w:w="725"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754"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120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满意度</w:t>
            </w:r>
          </w:p>
        </w:tc>
        <w:tc>
          <w:tcPr>
            <w:tcW w:w="602"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3017"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社会公众或服务对象对项目实施效果的满意程度。</w:t>
            </w:r>
          </w:p>
        </w:tc>
        <w:tc>
          <w:tcPr>
            <w:tcW w:w="6490"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社会公众或服务对象是指因该项目实施而受到影响的部门（单位）、群体或个人。一般采取社会调查的方式。</w:t>
            </w:r>
          </w:p>
        </w:tc>
        <w:tc>
          <w:tcPr>
            <w:tcW w:w="601"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1" w:hRule="atLeast"/>
          <w:jc w:val="center"/>
        </w:trPr>
        <w:tc>
          <w:tcPr>
            <w:tcW w:w="2685" w:type="dxa"/>
            <w:gridSpan w:val="3"/>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总分</w:t>
            </w:r>
          </w:p>
        </w:tc>
        <w:tc>
          <w:tcPr>
            <w:tcW w:w="602"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100</w:t>
            </w:r>
          </w:p>
        </w:tc>
        <w:tc>
          <w:tcPr>
            <w:tcW w:w="3017" w:type="dxa"/>
            <w:shd w:val="clear" w:color="auto" w:fill="FFFFFF"/>
            <w:noWrap w:val="0"/>
            <w:vAlign w:val="center"/>
          </w:tcPr>
          <w:p>
            <w:pPr>
              <w:widowControl/>
              <w:spacing w:line="0" w:lineRule="atLeast"/>
              <w:rPr>
                <w:rFonts w:ascii="Times New Roman" w:hAnsi="Times New Roman"/>
                <w:color w:val="000000"/>
                <w:kern w:val="0"/>
                <w:sz w:val="22"/>
                <w:szCs w:val="22"/>
              </w:rPr>
            </w:pPr>
          </w:p>
        </w:tc>
        <w:tc>
          <w:tcPr>
            <w:tcW w:w="6490" w:type="dxa"/>
            <w:shd w:val="clear" w:color="auto" w:fill="FFFFFF"/>
            <w:noWrap w:val="0"/>
            <w:vAlign w:val="center"/>
          </w:tcPr>
          <w:p>
            <w:pPr>
              <w:widowControl/>
              <w:spacing w:line="0" w:lineRule="atLeast"/>
              <w:rPr>
                <w:rFonts w:ascii="Times New Roman" w:hAnsi="Times New Roman"/>
                <w:color w:val="000000"/>
                <w:kern w:val="0"/>
                <w:sz w:val="22"/>
                <w:szCs w:val="22"/>
              </w:rPr>
            </w:pPr>
          </w:p>
        </w:tc>
        <w:tc>
          <w:tcPr>
            <w:tcW w:w="601"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99</w:t>
            </w:r>
          </w:p>
        </w:tc>
      </w:tr>
    </w:tbl>
    <w:p>
      <w:pPr>
        <w:spacing w:line="560" w:lineRule="exact"/>
        <w:ind w:firstLine="200" w:firstLineChars="100"/>
        <w:rPr>
          <w:rFonts w:ascii="Times New Roman" w:hAnsi="Times New Roman" w:eastAsia="仿宋_GB2312"/>
          <w:sz w:val="20"/>
          <w:szCs w:val="20"/>
        </w:rPr>
      </w:pPr>
      <w:r>
        <w:rPr>
          <w:rFonts w:hint="eastAsia" w:ascii="Times New Roman" w:hAnsi="Times New Roman" w:eastAsia="仿宋_GB2312"/>
          <w:sz w:val="20"/>
          <w:szCs w:val="20"/>
        </w:rPr>
        <w:t>注：单位可以根据专项资金的管理要求和绩效要求增设个性指标。</w:t>
      </w:r>
    </w:p>
    <w:p>
      <w:pPr>
        <w:pStyle w:val="2"/>
        <w:ind w:firstLine="640"/>
        <w:rPr>
          <w:rFonts w:ascii="Times New Roman" w:hAnsi="Times New Roman"/>
          <w:bCs/>
          <w:color w:val="000000"/>
          <w:kern w:val="0"/>
          <w:szCs w:val="32"/>
        </w:rPr>
      </w:pPr>
    </w:p>
    <w:sectPr>
      <w:pgSz w:w="16838" w:h="11906" w:orient="landscape"/>
      <w:pgMar w:top="1474" w:right="1474" w:bottom="1474" w:left="1474" w:header="851" w:footer="1361" w:gutter="0"/>
      <w:cols w:space="720" w:num="1"/>
      <w:docGrid w:type="lines" w:linePitch="33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wrap="none" lIns="0" tIns="0" rIns="0" bIns="0" upright="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0NvqTrgEAAEsD&#10;AAAOAAAAAAAAAAEAIAAAAB4BAABkcnMvZTJvRG9jLnhtbFBLBQYAAAAABgAGAFkBAAA+BQAAAAA=&#10;">
              <v:fill on="f" focussize="0,0"/>
              <v:stroke on="f"/>
              <v:imagedata o:title=""/>
              <o:lock v:ext="edit" aspectratio="f"/>
              <v:textbox inset="0mm,0mm,0mm,0mm" style="mso-fit-shape-to-text:t;">
                <w:txbxContent>
                  <w:p>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56B096"/>
    <w:multiLevelType w:val="singleLevel"/>
    <w:tmpl w:val="8756B09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65"/>
  <w:displayHorizontalDrawingGridEvery w:val="1"/>
  <w:displayVerticalDrawingGridEvery w:val="2"/>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U3ZmZhY2E2Y2QzOWNmMTliODRmODUwYjRjN2UyMWMifQ=="/>
  </w:docVars>
  <w:rsids>
    <w:rsidRoot w:val="00663096"/>
    <w:rsid w:val="00011E8D"/>
    <w:rsid w:val="00013F5B"/>
    <w:rsid w:val="00014C4B"/>
    <w:rsid w:val="00027C60"/>
    <w:rsid w:val="00032BC2"/>
    <w:rsid w:val="0003440C"/>
    <w:rsid w:val="00045DC5"/>
    <w:rsid w:val="0004648B"/>
    <w:rsid w:val="0004691E"/>
    <w:rsid w:val="0007010F"/>
    <w:rsid w:val="00076523"/>
    <w:rsid w:val="00077B07"/>
    <w:rsid w:val="00092FF5"/>
    <w:rsid w:val="00093B5C"/>
    <w:rsid w:val="00096B2A"/>
    <w:rsid w:val="00097A15"/>
    <w:rsid w:val="000A3E17"/>
    <w:rsid w:val="000C004B"/>
    <w:rsid w:val="000D560D"/>
    <w:rsid w:val="000F29E7"/>
    <w:rsid w:val="000F304D"/>
    <w:rsid w:val="000F4A99"/>
    <w:rsid w:val="000F5299"/>
    <w:rsid w:val="000F7BD1"/>
    <w:rsid w:val="001026AF"/>
    <w:rsid w:val="00104B9D"/>
    <w:rsid w:val="00105506"/>
    <w:rsid w:val="001055B2"/>
    <w:rsid w:val="00114BE9"/>
    <w:rsid w:val="0011616C"/>
    <w:rsid w:val="001238F1"/>
    <w:rsid w:val="001251B7"/>
    <w:rsid w:val="0013513B"/>
    <w:rsid w:val="001377F5"/>
    <w:rsid w:val="00144110"/>
    <w:rsid w:val="0014619D"/>
    <w:rsid w:val="00153CC8"/>
    <w:rsid w:val="00171A7E"/>
    <w:rsid w:val="001774B3"/>
    <w:rsid w:val="00180F7A"/>
    <w:rsid w:val="00181331"/>
    <w:rsid w:val="00182843"/>
    <w:rsid w:val="001873F3"/>
    <w:rsid w:val="00195F48"/>
    <w:rsid w:val="001A2C08"/>
    <w:rsid w:val="001D0159"/>
    <w:rsid w:val="001D0FD5"/>
    <w:rsid w:val="001D4238"/>
    <w:rsid w:val="001F35D8"/>
    <w:rsid w:val="00225AFC"/>
    <w:rsid w:val="00231CFD"/>
    <w:rsid w:val="00237056"/>
    <w:rsid w:val="00237842"/>
    <w:rsid w:val="002379AB"/>
    <w:rsid w:val="0025117C"/>
    <w:rsid w:val="00264C9C"/>
    <w:rsid w:val="00275169"/>
    <w:rsid w:val="00277440"/>
    <w:rsid w:val="0027748D"/>
    <w:rsid w:val="002868F5"/>
    <w:rsid w:val="00290E8C"/>
    <w:rsid w:val="00291F0A"/>
    <w:rsid w:val="002A0462"/>
    <w:rsid w:val="002C0CAA"/>
    <w:rsid w:val="002D1B25"/>
    <w:rsid w:val="002D7FB5"/>
    <w:rsid w:val="002F2252"/>
    <w:rsid w:val="002F33C5"/>
    <w:rsid w:val="00304926"/>
    <w:rsid w:val="00323569"/>
    <w:rsid w:val="00325442"/>
    <w:rsid w:val="00347CCE"/>
    <w:rsid w:val="00351850"/>
    <w:rsid w:val="0035656D"/>
    <w:rsid w:val="0039225B"/>
    <w:rsid w:val="003A04D3"/>
    <w:rsid w:val="003A0728"/>
    <w:rsid w:val="003A46CD"/>
    <w:rsid w:val="003B1C59"/>
    <w:rsid w:val="003B2E79"/>
    <w:rsid w:val="003B39D9"/>
    <w:rsid w:val="003B4B67"/>
    <w:rsid w:val="003B7E74"/>
    <w:rsid w:val="003C0B12"/>
    <w:rsid w:val="003C4827"/>
    <w:rsid w:val="003C6DA7"/>
    <w:rsid w:val="003D023B"/>
    <w:rsid w:val="003E4EAE"/>
    <w:rsid w:val="003F4B1B"/>
    <w:rsid w:val="003F64CB"/>
    <w:rsid w:val="003F7F22"/>
    <w:rsid w:val="00402852"/>
    <w:rsid w:val="0040398B"/>
    <w:rsid w:val="00405818"/>
    <w:rsid w:val="00413A9F"/>
    <w:rsid w:val="00413D4D"/>
    <w:rsid w:val="00424CD5"/>
    <w:rsid w:val="004325F0"/>
    <w:rsid w:val="00433E99"/>
    <w:rsid w:val="0043611E"/>
    <w:rsid w:val="004446BE"/>
    <w:rsid w:val="00445F3B"/>
    <w:rsid w:val="004535C6"/>
    <w:rsid w:val="00460B5E"/>
    <w:rsid w:val="004737C5"/>
    <w:rsid w:val="004746AA"/>
    <w:rsid w:val="00477859"/>
    <w:rsid w:val="00481D45"/>
    <w:rsid w:val="004A1F65"/>
    <w:rsid w:val="004A25C7"/>
    <w:rsid w:val="004A3101"/>
    <w:rsid w:val="004A4593"/>
    <w:rsid w:val="004C0A94"/>
    <w:rsid w:val="004C30CB"/>
    <w:rsid w:val="004D139D"/>
    <w:rsid w:val="004D1FE7"/>
    <w:rsid w:val="004E6F61"/>
    <w:rsid w:val="00505E15"/>
    <w:rsid w:val="00507AE8"/>
    <w:rsid w:val="00525039"/>
    <w:rsid w:val="00525C18"/>
    <w:rsid w:val="00540B1E"/>
    <w:rsid w:val="00543C06"/>
    <w:rsid w:val="00546563"/>
    <w:rsid w:val="00547CA8"/>
    <w:rsid w:val="00556097"/>
    <w:rsid w:val="005619DE"/>
    <w:rsid w:val="00576518"/>
    <w:rsid w:val="005906D8"/>
    <w:rsid w:val="0059320D"/>
    <w:rsid w:val="005A3A5F"/>
    <w:rsid w:val="005A68F5"/>
    <w:rsid w:val="005E1F68"/>
    <w:rsid w:val="005E296A"/>
    <w:rsid w:val="006059BB"/>
    <w:rsid w:val="006059F3"/>
    <w:rsid w:val="00614707"/>
    <w:rsid w:val="00614B78"/>
    <w:rsid w:val="006240BC"/>
    <w:rsid w:val="00632304"/>
    <w:rsid w:val="00632C75"/>
    <w:rsid w:val="00637088"/>
    <w:rsid w:val="006465E0"/>
    <w:rsid w:val="00657E57"/>
    <w:rsid w:val="0066068E"/>
    <w:rsid w:val="00662936"/>
    <w:rsid w:val="00663096"/>
    <w:rsid w:val="00665AE2"/>
    <w:rsid w:val="00685147"/>
    <w:rsid w:val="00691015"/>
    <w:rsid w:val="0069337D"/>
    <w:rsid w:val="00694334"/>
    <w:rsid w:val="006A059F"/>
    <w:rsid w:val="006B02A7"/>
    <w:rsid w:val="006B0A63"/>
    <w:rsid w:val="006B4109"/>
    <w:rsid w:val="006B52B1"/>
    <w:rsid w:val="006B575C"/>
    <w:rsid w:val="006C3CDE"/>
    <w:rsid w:val="006D3AF4"/>
    <w:rsid w:val="006E5166"/>
    <w:rsid w:val="006E6D0D"/>
    <w:rsid w:val="006E6D2C"/>
    <w:rsid w:val="007059A4"/>
    <w:rsid w:val="0071368F"/>
    <w:rsid w:val="00713840"/>
    <w:rsid w:val="00714395"/>
    <w:rsid w:val="00725D66"/>
    <w:rsid w:val="00730F3B"/>
    <w:rsid w:val="00740992"/>
    <w:rsid w:val="0074693A"/>
    <w:rsid w:val="00750895"/>
    <w:rsid w:val="00757099"/>
    <w:rsid w:val="007573F8"/>
    <w:rsid w:val="0077711E"/>
    <w:rsid w:val="0078171F"/>
    <w:rsid w:val="00786BD6"/>
    <w:rsid w:val="007938FD"/>
    <w:rsid w:val="007C42A7"/>
    <w:rsid w:val="007D0D6E"/>
    <w:rsid w:val="007D73DF"/>
    <w:rsid w:val="007E24E5"/>
    <w:rsid w:val="007E6804"/>
    <w:rsid w:val="007E6866"/>
    <w:rsid w:val="007F791F"/>
    <w:rsid w:val="00803F0E"/>
    <w:rsid w:val="0080771B"/>
    <w:rsid w:val="008102CF"/>
    <w:rsid w:val="00822140"/>
    <w:rsid w:val="008324DD"/>
    <w:rsid w:val="0083289D"/>
    <w:rsid w:val="0083632D"/>
    <w:rsid w:val="00837DEC"/>
    <w:rsid w:val="00842D04"/>
    <w:rsid w:val="00857CBC"/>
    <w:rsid w:val="00861BCC"/>
    <w:rsid w:val="00871265"/>
    <w:rsid w:val="00880629"/>
    <w:rsid w:val="00887813"/>
    <w:rsid w:val="00891785"/>
    <w:rsid w:val="00891B9A"/>
    <w:rsid w:val="00892D85"/>
    <w:rsid w:val="00893F51"/>
    <w:rsid w:val="008A6313"/>
    <w:rsid w:val="008B7A3C"/>
    <w:rsid w:val="008C626C"/>
    <w:rsid w:val="008E42DA"/>
    <w:rsid w:val="008F3FBE"/>
    <w:rsid w:val="00900E48"/>
    <w:rsid w:val="00901302"/>
    <w:rsid w:val="00910CA9"/>
    <w:rsid w:val="00912B0F"/>
    <w:rsid w:val="00913BB8"/>
    <w:rsid w:val="009144AE"/>
    <w:rsid w:val="009209D4"/>
    <w:rsid w:val="009273C9"/>
    <w:rsid w:val="00930831"/>
    <w:rsid w:val="009324E6"/>
    <w:rsid w:val="00935427"/>
    <w:rsid w:val="0094207F"/>
    <w:rsid w:val="00956A1C"/>
    <w:rsid w:val="009579CB"/>
    <w:rsid w:val="0096213E"/>
    <w:rsid w:val="00974383"/>
    <w:rsid w:val="00975E21"/>
    <w:rsid w:val="0097613E"/>
    <w:rsid w:val="00980062"/>
    <w:rsid w:val="009A0FD7"/>
    <w:rsid w:val="009A4FA9"/>
    <w:rsid w:val="009A643E"/>
    <w:rsid w:val="009A7E6C"/>
    <w:rsid w:val="009B6439"/>
    <w:rsid w:val="009B7B60"/>
    <w:rsid w:val="009C4E90"/>
    <w:rsid w:val="009D19AF"/>
    <w:rsid w:val="009E46ED"/>
    <w:rsid w:val="00A01900"/>
    <w:rsid w:val="00A06B2B"/>
    <w:rsid w:val="00A26964"/>
    <w:rsid w:val="00A274B7"/>
    <w:rsid w:val="00A33332"/>
    <w:rsid w:val="00A36E14"/>
    <w:rsid w:val="00A46720"/>
    <w:rsid w:val="00A63352"/>
    <w:rsid w:val="00A73D42"/>
    <w:rsid w:val="00A77010"/>
    <w:rsid w:val="00A77FA3"/>
    <w:rsid w:val="00A81679"/>
    <w:rsid w:val="00A83FA9"/>
    <w:rsid w:val="00A8457E"/>
    <w:rsid w:val="00A8466B"/>
    <w:rsid w:val="00A937CA"/>
    <w:rsid w:val="00AA1948"/>
    <w:rsid w:val="00AA62DD"/>
    <w:rsid w:val="00AC7954"/>
    <w:rsid w:val="00AD6C7A"/>
    <w:rsid w:val="00AE1856"/>
    <w:rsid w:val="00B156DF"/>
    <w:rsid w:val="00B2098F"/>
    <w:rsid w:val="00B25368"/>
    <w:rsid w:val="00B338B9"/>
    <w:rsid w:val="00B55CBC"/>
    <w:rsid w:val="00B56D12"/>
    <w:rsid w:val="00B83832"/>
    <w:rsid w:val="00B90154"/>
    <w:rsid w:val="00B91670"/>
    <w:rsid w:val="00B93B9B"/>
    <w:rsid w:val="00B96FEC"/>
    <w:rsid w:val="00BC774E"/>
    <w:rsid w:val="00BD2C4F"/>
    <w:rsid w:val="00BD3BB0"/>
    <w:rsid w:val="00BD63F9"/>
    <w:rsid w:val="00BE11F8"/>
    <w:rsid w:val="00C00360"/>
    <w:rsid w:val="00C0142A"/>
    <w:rsid w:val="00C1396E"/>
    <w:rsid w:val="00C16074"/>
    <w:rsid w:val="00C4149F"/>
    <w:rsid w:val="00C44606"/>
    <w:rsid w:val="00C47BEA"/>
    <w:rsid w:val="00C6223C"/>
    <w:rsid w:val="00C6234F"/>
    <w:rsid w:val="00C71393"/>
    <w:rsid w:val="00C81B01"/>
    <w:rsid w:val="00C82DE3"/>
    <w:rsid w:val="00C906EA"/>
    <w:rsid w:val="00C9410E"/>
    <w:rsid w:val="00CB0B09"/>
    <w:rsid w:val="00CB1C5A"/>
    <w:rsid w:val="00CB3D51"/>
    <w:rsid w:val="00CC4447"/>
    <w:rsid w:val="00CC5B7A"/>
    <w:rsid w:val="00CC61EA"/>
    <w:rsid w:val="00CE33E3"/>
    <w:rsid w:val="00CE3F90"/>
    <w:rsid w:val="00CF454B"/>
    <w:rsid w:val="00CF6F77"/>
    <w:rsid w:val="00CF76FD"/>
    <w:rsid w:val="00D01FA5"/>
    <w:rsid w:val="00D03B6F"/>
    <w:rsid w:val="00D0600E"/>
    <w:rsid w:val="00D064B9"/>
    <w:rsid w:val="00D0773A"/>
    <w:rsid w:val="00D12CA6"/>
    <w:rsid w:val="00D131E0"/>
    <w:rsid w:val="00D21D67"/>
    <w:rsid w:val="00D36A17"/>
    <w:rsid w:val="00D55FBD"/>
    <w:rsid w:val="00D601FA"/>
    <w:rsid w:val="00D612D1"/>
    <w:rsid w:val="00D74B30"/>
    <w:rsid w:val="00D76CBD"/>
    <w:rsid w:val="00D839FB"/>
    <w:rsid w:val="00D905F0"/>
    <w:rsid w:val="00D96744"/>
    <w:rsid w:val="00DA7830"/>
    <w:rsid w:val="00DB5130"/>
    <w:rsid w:val="00DB6558"/>
    <w:rsid w:val="00DC1A93"/>
    <w:rsid w:val="00DC41E7"/>
    <w:rsid w:val="00DC652D"/>
    <w:rsid w:val="00DC6B0A"/>
    <w:rsid w:val="00DE26AC"/>
    <w:rsid w:val="00DF449F"/>
    <w:rsid w:val="00DF5985"/>
    <w:rsid w:val="00DF7921"/>
    <w:rsid w:val="00E112F0"/>
    <w:rsid w:val="00E127FB"/>
    <w:rsid w:val="00E138CA"/>
    <w:rsid w:val="00E32D34"/>
    <w:rsid w:val="00E3452D"/>
    <w:rsid w:val="00E34A08"/>
    <w:rsid w:val="00E440CA"/>
    <w:rsid w:val="00E4698C"/>
    <w:rsid w:val="00E53512"/>
    <w:rsid w:val="00E62426"/>
    <w:rsid w:val="00E713DC"/>
    <w:rsid w:val="00E73B60"/>
    <w:rsid w:val="00E90922"/>
    <w:rsid w:val="00E90BA2"/>
    <w:rsid w:val="00E92D4B"/>
    <w:rsid w:val="00E93C50"/>
    <w:rsid w:val="00E9785E"/>
    <w:rsid w:val="00EA37A5"/>
    <w:rsid w:val="00EA41F7"/>
    <w:rsid w:val="00EC6E86"/>
    <w:rsid w:val="00ED0359"/>
    <w:rsid w:val="00EF1DAA"/>
    <w:rsid w:val="00F02090"/>
    <w:rsid w:val="00F1159C"/>
    <w:rsid w:val="00F2054E"/>
    <w:rsid w:val="00F215C0"/>
    <w:rsid w:val="00F25BDB"/>
    <w:rsid w:val="00F2745D"/>
    <w:rsid w:val="00F274B4"/>
    <w:rsid w:val="00F30EB5"/>
    <w:rsid w:val="00F41882"/>
    <w:rsid w:val="00F54091"/>
    <w:rsid w:val="00F551FE"/>
    <w:rsid w:val="00F6044F"/>
    <w:rsid w:val="00F6155E"/>
    <w:rsid w:val="00F732A9"/>
    <w:rsid w:val="00F767CC"/>
    <w:rsid w:val="00F8144D"/>
    <w:rsid w:val="00F84A54"/>
    <w:rsid w:val="00F90DC9"/>
    <w:rsid w:val="00FB1F3F"/>
    <w:rsid w:val="00FB4CD7"/>
    <w:rsid w:val="00FD423E"/>
    <w:rsid w:val="00FD7A7D"/>
    <w:rsid w:val="00FE0DBD"/>
    <w:rsid w:val="00FF0F04"/>
    <w:rsid w:val="015B3B47"/>
    <w:rsid w:val="01786B02"/>
    <w:rsid w:val="0235229C"/>
    <w:rsid w:val="034B72B9"/>
    <w:rsid w:val="03611645"/>
    <w:rsid w:val="037B4F47"/>
    <w:rsid w:val="04965669"/>
    <w:rsid w:val="04AF283A"/>
    <w:rsid w:val="062F7D11"/>
    <w:rsid w:val="07450193"/>
    <w:rsid w:val="08427C14"/>
    <w:rsid w:val="08C5055C"/>
    <w:rsid w:val="08FC46CB"/>
    <w:rsid w:val="08FF397E"/>
    <w:rsid w:val="0AE43F8B"/>
    <w:rsid w:val="0B1D4E2B"/>
    <w:rsid w:val="0BAE3AB7"/>
    <w:rsid w:val="0C23798D"/>
    <w:rsid w:val="0C7E1984"/>
    <w:rsid w:val="0D031CB6"/>
    <w:rsid w:val="0D043F55"/>
    <w:rsid w:val="0D3A6AC1"/>
    <w:rsid w:val="0D4C1099"/>
    <w:rsid w:val="0DE846D6"/>
    <w:rsid w:val="0DEF2787"/>
    <w:rsid w:val="0DFC4DC1"/>
    <w:rsid w:val="0FE74EF0"/>
    <w:rsid w:val="114B60D6"/>
    <w:rsid w:val="114E43F8"/>
    <w:rsid w:val="120E7306"/>
    <w:rsid w:val="121857CD"/>
    <w:rsid w:val="124203E4"/>
    <w:rsid w:val="12B85AA0"/>
    <w:rsid w:val="14FA5440"/>
    <w:rsid w:val="151A753E"/>
    <w:rsid w:val="16087D58"/>
    <w:rsid w:val="166127C6"/>
    <w:rsid w:val="16767932"/>
    <w:rsid w:val="182E4D51"/>
    <w:rsid w:val="1A1B5DE5"/>
    <w:rsid w:val="1A293A76"/>
    <w:rsid w:val="1A9F1388"/>
    <w:rsid w:val="1AAF6AEF"/>
    <w:rsid w:val="1B5C07CF"/>
    <w:rsid w:val="1BB81886"/>
    <w:rsid w:val="1D5D08D9"/>
    <w:rsid w:val="1DAB0E1C"/>
    <w:rsid w:val="1DED3227"/>
    <w:rsid w:val="1EED0491"/>
    <w:rsid w:val="1F305458"/>
    <w:rsid w:val="1F64038F"/>
    <w:rsid w:val="1FB65DB1"/>
    <w:rsid w:val="202B117F"/>
    <w:rsid w:val="20625B5D"/>
    <w:rsid w:val="20DC2991"/>
    <w:rsid w:val="22292013"/>
    <w:rsid w:val="22BD34BE"/>
    <w:rsid w:val="23877005"/>
    <w:rsid w:val="24355E8F"/>
    <w:rsid w:val="245523CA"/>
    <w:rsid w:val="24C7536B"/>
    <w:rsid w:val="253B62AA"/>
    <w:rsid w:val="25690AF2"/>
    <w:rsid w:val="25CC6248"/>
    <w:rsid w:val="26FD1886"/>
    <w:rsid w:val="29D457AB"/>
    <w:rsid w:val="2B2C710C"/>
    <w:rsid w:val="2B586C2C"/>
    <w:rsid w:val="2C270DF6"/>
    <w:rsid w:val="2D155A97"/>
    <w:rsid w:val="2DFB3422"/>
    <w:rsid w:val="2E3D7877"/>
    <w:rsid w:val="2EA92569"/>
    <w:rsid w:val="2F404823"/>
    <w:rsid w:val="2F514C3B"/>
    <w:rsid w:val="2F5B602D"/>
    <w:rsid w:val="2F9579F3"/>
    <w:rsid w:val="3003413D"/>
    <w:rsid w:val="3016422D"/>
    <w:rsid w:val="30187028"/>
    <w:rsid w:val="30630DA6"/>
    <w:rsid w:val="30923E6E"/>
    <w:rsid w:val="3109236E"/>
    <w:rsid w:val="314B14A9"/>
    <w:rsid w:val="318500C1"/>
    <w:rsid w:val="324B6ECD"/>
    <w:rsid w:val="33434A72"/>
    <w:rsid w:val="336F1AC7"/>
    <w:rsid w:val="33B65EBF"/>
    <w:rsid w:val="343A53D0"/>
    <w:rsid w:val="36077713"/>
    <w:rsid w:val="36303AF6"/>
    <w:rsid w:val="368351C5"/>
    <w:rsid w:val="37553354"/>
    <w:rsid w:val="38E8373E"/>
    <w:rsid w:val="38EA4A6F"/>
    <w:rsid w:val="3A3954B3"/>
    <w:rsid w:val="3A6A79EA"/>
    <w:rsid w:val="3AE14B0D"/>
    <w:rsid w:val="3B3C7600"/>
    <w:rsid w:val="3B9E3620"/>
    <w:rsid w:val="3BD37870"/>
    <w:rsid w:val="3D1A6318"/>
    <w:rsid w:val="3D6A6638"/>
    <w:rsid w:val="3E271F03"/>
    <w:rsid w:val="3E505A3D"/>
    <w:rsid w:val="3E830A12"/>
    <w:rsid w:val="406B3CF5"/>
    <w:rsid w:val="4073037B"/>
    <w:rsid w:val="40BE7C30"/>
    <w:rsid w:val="414B6458"/>
    <w:rsid w:val="41D36F22"/>
    <w:rsid w:val="43425B21"/>
    <w:rsid w:val="43792E6F"/>
    <w:rsid w:val="43BB402D"/>
    <w:rsid w:val="43F81578"/>
    <w:rsid w:val="444C22AB"/>
    <w:rsid w:val="447E37F8"/>
    <w:rsid w:val="461D4003"/>
    <w:rsid w:val="46316F21"/>
    <w:rsid w:val="46C526E4"/>
    <w:rsid w:val="47424F18"/>
    <w:rsid w:val="4756562F"/>
    <w:rsid w:val="49115F6C"/>
    <w:rsid w:val="4990663D"/>
    <w:rsid w:val="49CB024B"/>
    <w:rsid w:val="4A2026A9"/>
    <w:rsid w:val="4A7C2C19"/>
    <w:rsid w:val="4AAB6553"/>
    <w:rsid w:val="4D1A7C26"/>
    <w:rsid w:val="4D8574C5"/>
    <w:rsid w:val="4E0B5E9E"/>
    <w:rsid w:val="4EEB56D4"/>
    <w:rsid w:val="4F193669"/>
    <w:rsid w:val="4F5B30A6"/>
    <w:rsid w:val="4FAA612B"/>
    <w:rsid w:val="51F551FB"/>
    <w:rsid w:val="5205602A"/>
    <w:rsid w:val="52715451"/>
    <w:rsid w:val="52BA72A8"/>
    <w:rsid w:val="53FA0B54"/>
    <w:rsid w:val="548F19EA"/>
    <w:rsid w:val="54AF48E8"/>
    <w:rsid w:val="55A22ACB"/>
    <w:rsid w:val="565035BD"/>
    <w:rsid w:val="56967FCF"/>
    <w:rsid w:val="56F51E9C"/>
    <w:rsid w:val="57E6527E"/>
    <w:rsid w:val="585A0C3E"/>
    <w:rsid w:val="586052EB"/>
    <w:rsid w:val="5891108E"/>
    <w:rsid w:val="58A11F0E"/>
    <w:rsid w:val="59122F14"/>
    <w:rsid w:val="599625FA"/>
    <w:rsid w:val="599B44CC"/>
    <w:rsid w:val="5AAF2925"/>
    <w:rsid w:val="5BCF1BA7"/>
    <w:rsid w:val="5C052224"/>
    <w:rsid w:val="5C4C319F"/>
    <w:rsid w:val="5CA7310D"/>
    <w:rsid w:val="5CD1776F"/>
    <w:rsid w:val="5D1A6974"/>
    <w:rsid w:val="5DCA2EB2"/>
    <w:rsid w:val="5E9D1AF7"/>
    <w:rsid w:val="5EA94901"/>
    <w:rsid w:val="60B6016E"/>
    <w:rsid w:val="60EA7674"/>
    <w:rsid w:val="60FE6665"/>
    <w:rsid w:val="61CA7685"/>
    <w:rsid w:val="61E47A4D"/>
    <w:rsid w:val="62AC6EB4"/>
    <w:rsid w:val="63554053"/>
    <w:rsid w:val="64DC6499"/>
    <w:rsid w:val="65313062"/>
    <w:rsid w:val="65AD511D"/>
    <w:rsid w:val="666912A8"/>
    <w:rsid w:val="673E5B4F"/>
    <w:rsid w:val="681B68FA"/>
    <w:rsid w:val="682A63F6"/>
    <w:rsid w:val="686E6C4E"/>
    <w:rsid w:val="694C4495"/>
    <w:rsid w:val="69510FBB"/>
    <w:rsid w:val="69E80A58"/>
    <w:rsid w:val="6B345871"/>
    <w:rsid w:val="6B7C7E26"/>
    <w:rsid w:val="6BCB27A3"/>
    <w:rsid w:val="6BE868A0"/>
    <w:rsid w:val="6BF67597"/>
    <w:rsid w:val="6CD81C31"/>
    <w:rsid w:val="6D532BDE"/>
    <w:rsid w:val="6E6B07DB"/>
    <w:rsid w:val="6E8F2092"/>
    <w:rsid w:val="7077196A"/>
    <w:rsid w:val="735D77BD"/>
    <w:rsid w:val="751D4AD9"/>
    <w:rsid w:val="76573DB4"/>
    <w:rsid w:val="766357FE"/>
    <w:rsid w:val="76A90187"/>
    <w:rsid w:val="76F8372F"/>
    <w:rsid w:val="78C17689"/>
    <w:rsid w:val="79515831"/>
    <w:rsid w:val="7A6A0D08"/>
    <w:rsid w:val="7C0362E2"/>
    <w:rsid w:val="7C705C80"/>
    <w:rsid w:val="7CEA4534"/>
    <w:rsid w:val="7DF05E7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1"/>
    <w:basedOn w:val="1"/>
    <w:next w:val="1"/>
    <w:qFormat/>
    <w:uiPriority w:val="9"/>
    <w:pPr>
      <w:keepNext/>
      <w:keepLines/>
      <w:spacing w:beforeLines="0" w:beforeAutospacing="0" w:afterLines="0" w:afterAutospacing="0" w:line="700" w:lineRule="exact"/>
      <w:ind w:firstLine="0" w:firstLineChars="0"/>
      <w:jc w:val="center"/>
      <w:outlineLvl w:val="0"/>
    </w:pPr>
    <w:rPr>
      <w:rFonts w:ascii="Calibri" w:hAnsi="Calibri" w:eastAsia="方正小标宋_GBK" w:cs="Times New Roman"/>
      <w:kern w:val="44"/>
      <w:sz w:val="44"/>
      <w:szCs w:val="21"/>
    </w:rPr>
  </w:style>
  <w:style w:type="paragraph" w:styleId="5">
    <w:name w:val="heading 2"/>
    <w:basedOn w:val="1"/>
    <w:next w:val="1"/>
    <w:link w:val="21"/>
    <w:qFormat/>
    <w:uiPriority w:val="0"/>
    <w:pPr>
      <w:keepNext/>
      <w:keepLines/>
      <w:spacing w:before="260" w:after="260" w:line="413" w:lineRule="auto"/>
      <w:outlineLvl w:val="1"/>
    </w:pPr>
    <w:rPr>
      <w:rFonts w:ascii="Arial" w:hAnsi="Arial" w:eastAsia="黑体"/>
      <w:b/>
      <w:sz w:val="32"/>
    </w:rPr>
  </w:style>
  <w:style w:type="paragraph" w:styleId="6">
    <w:name w:val="heading 3"/>
    <w:basedOn w:val="1"/>
    <w:next w:val="1"/>
    <w:unhideWhenUsed/>
    <w:qFormat/>
    <w:uiPriority w:val="9"/>
    <w:pPr>
      <w:spacing w:before="50" w:beforeLines="50" w:beforeAutospacing="0" w:after="50" w:afterLines="50" w:afterAutospacing="0" w:line="600" w:lineRule="exact"/>
      <w:ind w:firstLine="863" w:firstLineChars="200"/>
      <w:jc w:val="left"/>
      <w:outlineLvl w:val="2"/>
    </w:pPr>
    <w:rPr>
      <w:rFonts w:hint="eastAsia" w:ascii="宋体" w:hAnsi="宋体" w:eastAsia="黑体" w:cs="宋体"/>
      <w:bCs/>
      <w:snapToGrid w:val="0"/>
      <w:color w:val="000000"/>
      <w:kern w:val="2"/>
      <w:sz w:val="32"/>
      <w:szCs w:val="27"/>
      <w:lang w:bidi="ar"/>
    </w:rPr>
  </w:style>
  <w:style w:type="character" w:default="1" w:styleId="13">
    <w:name w:val="Default Paragraph Font"/>
    <w:unhideWhenUsed/>
    <w:uiPriority w:val="1"/>
  </w:style>
  <w:style w:type="table" w:default="1" w:styleId="12">
    <w:name w:val="Normal Table"/>
    <w:unhideWhenUsed/>
    <w:uiPriority w:val="99"/>
    <w:tblPr>
      <w:tblCellMar>
        <w:top w:w="0" w:type="dxa"/>
        <w:left w:w="108" w:type="dxa"/>
        <w:bottom w:w="0" w:type="dxa"/>
        <w:right w:w="108" w:type="dxa"/>
      </w:tblCellMar>
    </w:tblPr>
  </w:style>
  <w:style w:type="paragraph" w:styleId="2">
    <w:name w:val="Body Text First Indent 2"/>
    <w:basedOn w:val="3"/>
    <w:qFormat/>
    <w:uiPriority w:val="0"/>
    <w:pPr>
      <w:ind w:firstLine="200" w:firstLineChars="200"/>
    </w:pPr>
  </w:style>
  <w:style w:type="paragraph" w:styleId="3">
    <w:name w:val="Body Text Indent"/>
    <w:basedOn w:val="1"/>
    <w:unhideWhenUsed/>
    <w:uiPriority w:val="99"/>
    <w:pPr>
      <w:ind w:left="640"/>
    </w:pPr>
    <w:rPr>
      <w:rFonts w:ascii="仿宋_GB2312" w:eastAsia="仿宋_GB2312"/>
      <w:sz w:val="32"/>
    </w:rPr>
  </w:style>
  <w:style w:type="paragraph" w:styleId="7">
    <w:name w:val="Date"/>
    <w:basedOn w:val="1"/>
    <w:next w:val="1"/>
    <w:link w:val="23"/>
    <w:unhideWhenUsed/>
    <w:uiPriority w:val="99"/>
    <w:pPr>
      <w:ind w:left="100" w:leftChars="2500"/>
    </w:pPr>
    <w:rPr>
      <w:rFonts w:ascii="Times New Roman" w:hAnsi="Times New Roman"/>
    </w:rPr>
  </w:style>
  <w:style w:type="paragraph" w:styleId="8">
    <w:name w:val="Balloon Text"/>
    <w:basedOn w:val="1"/>
    <w:link w:val="22"/>
    <w:unhideWhenUsed/>
    <w:qFormat/>
    <w:uiPriority w:val="99"/>
    <w:rPr>
      <w:rFonts w:ascii="Times New Roman" w:hAnsi="Times New Roman"/>
      <w:kern w:val="0"/>
      <w:sz w:val="18"/>
      <w:szCs w:val="18"/>
    </w:rPr>
  </w:style>
  <w:style w:type="paragraph" w:styleId="9">
    <w:name w:val="footer"/>
    <w:basedOn w:val="1"/>
    <w:link w:val="19"/>
    <w:unhideWhenUsed/>
    <w:qFormat/>
    <w:uiPriority w:val="0"/>
    <w:pPr>
      <w:tabs>
        <w:tab w:val="center" w:pos="4153"/>
        <w:tab w:val="right" w:pos="8306"/>
      </w:tabs>
      <w:snapToGrid w:val="0"/>
      <w:jc w:val="left"/>
    </w:pPr>
    <w:rPr>
      <w:kern w:val="0"/>
      <w:sz w:val="18"/>
      <w:szCs w:val="18"/>
    </w:rPr>
  </w:style>
  <w:style w:type="paragraph" w:styleId="10">
    <w:name w:val="header"/>
    <w:basedOn w:val="1"/>
    <w:link w:val="24"/>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qFormat/>
    <w:uiPriority w:val="0"/>
    <w:pPr>
      <w:widowControl/>
      <w:spacing w:before="100" w:beforeAutospacing="1" w:after="119"/>
      <w:jc w:val="left"/>
    </w:pPr>
    <w:rPr>
      <w:rFonts w:ascii="宋体" w:hAnsi="宋体" w:cs="宋体"/>
      <w:kern w:val="0"/>
      <w:sz w:val="24"/>
    </w:rPr>
  </w:style>
  <w:style w:type="character" w:styleId="14">
    <w:name w:val="page number"/>
    <w:uiPriority w:val="0"/>
  </w:style>
  <w:style w:type="paragraph" w:customStyle="1" w:styleId="15">
    <w:name w:val="p15"/>
    <w:basedOn w:val="1"/>
    <w:qFormat/>
    <w:uiPriority w:val="0"/>
    <w:pPr>
      <w:widowControl/>
      <w:jc w:val="left"/>
    </w:pPr>
    <w:rPr>
      <w:rFonts w:ascii="宋体" w:hAnsi="宋体" w:cs="宋体"/>
      <w:kern w:val="0"/>
      <w:sz w:val="24"/>
    </w:rPr>
  </w:style>
  <w:style w:type="paragraph" w:styleId="16">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7">
    <w:name w:val="列出段落1"/>
    <w:basedOn w:val="1"/>
    <w:qFormat/>
    <w:uiPriority w:val="34"/>
    <w:pPr>
      <w:ind w:firstLine="420" w:firstLineChars="200"/>
    </w:pPr>
  </w:style>
  <w:style w:type="paragraph" w:styleId="18">
    <w:name w:val="List Paragraph"/>
    <w:basedOn w:val="1"/>
    <w:qFormat/>
    <w:uiPriority w:val="99"/>
    <w:pPr>
      <w:ind w:firstLine="420" w:firstLineChars="200"/>
    </w:pPr>
    <w:rPr>
      <w:rFonts w:ascii="Calibri" w:hAnsi="Calibri" w:eastAsia="宋体" w:cs="Times New Roman"/>
      <w:szCs w:val="22"/>
    </w:rPr>
  </w:style>
  <w:style w:type="character" w:customStyle="1" w:styleId="19">
    <w:name w:val="页脚 Char"/>
    <w:link w:val="9"/>
    <w:qFormat/>
    <w:uiPriority w:val="0"/>
    <w:rPr>
      <w:sz w:val="18"/>
      <w:szCs w:val="18"/>
    </w:rPr>
  </w:style>
  <w:style w:type="character" w:customStyle="1" w:styleId="20">
    <w:name w:val="占位符文本1"/>
    <w:semiHidden/>
    <w:qFormat/>
    <w:uiPriority w:val="99"/>
    <w:rPr>
      <w:color w:val="808080"/>
    </w:rPr>
  </w:style>
  <w:style w:type="character" w:customStyle="1" w:styleId="21">
    <w:name w:val="标题 2 Char"/>
    <w:link w:val="5"/>
    <w:qFormat/>
    <w:uiPriority w:val="0"/>
    <w:rPr>
      <w:rFonts w:ascii="Arial" w:hAnsi="Arial" w:eastAsia="黑体"/>
      <w:b/>
      <w:kern w:val="2"/>
      <w:sz w:val="32"/>
      <w:szCs w:val="24"/>
    </w:rPr>
  </w:style>
  <w:style w:type="character" w:customStyle="1" w:styleId="22">
    <w:name w:val="批注框文本 Char"/>
    <w:link w:val="8"/>
    <w:semiHidden/>
    <w:qFormat/>
    <w:uiPriority w:val="99"/>
    <w:rPr>
      <w:rFonts w:ascii="Times New Roman" w:hAnsi="Times New Roman" w:eastAsia="宋体" w:cs="Times New Roman"/>
      <w:sz w:val="18"/>
      <w:szCs w:val="18"/>
    </w:rPr>
  </w:style>
  <w:style w:type="character" w:customStyle="1" w:styleId="23">
    <w:name w:val="日期 Char"/>
    <w:link w:val="7"/>
    <w:semiHidden/>
    <w:qFormat/>
    <w:uiPriority w:val="99"/>
    <w:rPr>
      <w:rFonts w:ascii="Times New Roman" w:hAnsi="Times New Roman" w:eastAsia="宋体" w:cs="Times New Roman"/>
      <w:kern w:val="2"/>
      <w:sz w:val="21"/>
      <w:szCs w:val="24"/>
    </w:rPr>
  </w:style>
  <w:style w:type="character" w:customStyle="1" w:styleId="24">
    <w:name w:val="页眉 Char"/>
    <w:link w:val="10"/>
    <w:semiHidden/>
    <w:qFormat/>
    <w:uiPriority w:val="99"/>
    <w:rPr>
      <w:sz w:val="18"/>
      <w:szCs w:val="18"/>
    </w:rPr>
  </w:style>
  <w:style w:type="character" w:customStyle="1" w:styleId="25">
    <w:name w:val="NormalCharacter"/>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9</Pages>
  <Words>840</Words>
  <Characters>4794</Characters>
  <Lines>39</Lines>
  <Paragraphs>11</Paragraphs>
  <TotalTime>13</TotalTime>
  <ScaleCrop>false</ScaleCrop>
  <LinksUpToDate>false</LinksUpToDate>
  <CharactersWithSpaces>5623</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2021-07-08T03:33:00Z</dcterms:created>
  <dc:creator>lrson1</dc:creator>
  <cp:lastModifiedBy>guess</cp:lastModifiedBy>
  <cp:lastPrinted>2021-06-21T08:34:00Z</cp:lastPrinted>
  <dcterms:modified xsi:type="dcterms:W3CDTF">2024-08-12T03:03:10Z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y fmtid="{D5CDD505-2E9C-101B-9397-08002B2CF9AE}" pid="3" name="ICV">
    <vt:lpwstr>D3128DABD8F44EFF93FA93AEF6A660D0</vt:lpwstr>
  </property>
</Properties>
</file>