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536259">
      <w:pPr>
        <w:spacing w:after="0" w:line="700" w:lineRule="atLeast"/>
        <w:jc w:val="center"/>
        <w:rPr>
          <w:rFonts w:ascii="方正小标宋简体" w:hAnsi="仿宋" w:eastAsia="方正小标宋简体"/>
          <w:bCs/>
          <w:sz w:val="44"/>
          <w:szCs w:val="44"/>
        </w:rPr>
      </w:pPr>
      <w:r>
        <w:rPr>
          <w:rFonts w:hint="eastAsia" w:ascii="方正小标宋简体" w:hAnsi="仿宋" w:eastAsia="方正小标宋简体"/>
          <w:bCs/>
          <w:sz w:val="44"/>
          <w:szCs w:val="44"/>
        </w:rPr>
        <w:t>中方县妇幼保健和计划生育技术服务中心202</w:t>
      </w:r>
      <w:r>
        <w:rPr>
          <w:rFonts w:hint="eastAsia" w:ascii="方正小标宋简体" w:hAnsi="仿宋" w:eastAsia="方正小标宋简体"/>
          <w:bCs/>
          <w:sz w:val="44"/>
          <w:szCs w:val="44"/>
          <w:lang w:val="en-US" w:eastAsia="zh-CN"/>
        </w:rPr>
        <w:t>3</w:t>
      </w:r>
      <w:r>
        <w:rPr>
          <w:rFonts w:hint="eastAsia" w:ascii="方正小标宋简体" w:hAnsi="仿宋" w:eastAsia="方正小标宋简体"/>
          <w:bCs/>
          <w:sz w:val="44"/>
          <w:szCs w:val="44"/>
        </w:rPr>
        <w:t>年度部门整体支出绩效自评报告</w:t>
      </w:r>
    </w:p>
    <w:p w14:paraId="5D4F1A2F">
      <w:pPr>
        <w:spacing w:after="0" w:line="560" w:lineRule="atLeast"/>
        <w:jc w:val="center"/>
        <w:rPr>
          <w:rFonts w:ascii="楷体" w:hAnsi="楷体" w:eastAsia="楷体" w:cs="楷体"/>
          <w:bCs/>
          <w:sz w:val="36"/>
          <w:szCs w:val="36"/>
        </w:rPr>
      </w:pPr>
    </w:p>
    <w:p w14:paraId="46038631">
      <w:pPr>
        <w:pStyle w:val="11"/>
        <w:spacing w:line="600" w:lineRule="exact"/>
        <w:ind w:firstLine="640"/>
        <w:rPr>
          <w:rFonts w:ascii="楷体" w:hAnsi="楷体" w:eastAsia="楷体" w:cs="楷体"/>
          <w:bCs/>
          <w:sz w:val="36"/>
          <w:szCs w:val="36"/>
        </w:rPr>
      </w:pPr>
      <w:r>
        <w:rPr>
          <w:rFonts w:hint="eastAsia" w:ascii="仿宋" w:hAnsi="仿宋" w:eastAsia="仿宋" w:cs="仿宋"/>
          <w:sz w:val="32"/>
          <w:szCs w:val="32"/>
          <w:shd w:val="clear" w:color="auto" w:fill="FFFFFF"/>
        </w:rPr>
        <w:t>按照中方县财政局文件中财绩【202</w:t>
      </w:r>
      <w:r>
        <w:rPr>
          <w:rFonts w:hint="eastAsia" w:ascii="仿宋" w:hAnsi="仿宋" w:eastAsia="仿宋" w:cs="仿宋"/>
          <w:sz w:val="32"/>
          <w:szCs w:val="32"/>
          <w:shd w:val="clear" w:color="auto" w:fill="FFFFFF"/>
          <w:lang w:val="en-US" w:eastAsia="zh-CN"/>
        </w:rPr>
        <w:t>4</w:t>
      </w:r>
      <w:r>
        <w:rPr>
          <w:rFonts w:hint="eastAsia" w:ascii="仿宋" w:hAnsi="仿宋" w:eastAsia="仿宋" w:cs="仿宋"/>
          <w:sz w:val="32"/>
          <w:szCs w:val="32"/>
          <w:shd w:val="clear" w:color="auto" w:fill="FFFFFF"/>
        </w:rPr>
        <w:t>】1</w:t>
      </w:r>
      <w:r>
        <w:rPr>
          <w:rFonts w:hint="eastAsia" w:ascii="仿宋" w:hAnsi="仿宋" w:eastAsia="仿宋" w:cs="仿宋"/>
          <w:sz w:val="32"/>
          <w:szCs w:val="32"/>
          <w:shd w:val="clear" w:color="auto" w:fill="FFFFFF"/>
          <w:lang w:val="en-US" w:eastAsia="zh-CN"/>
        </w:rPr>
        <w:t>74</w:t>
      </w:r>
      <w:r>
        <w:rPr>
          <w:rFonts w:hint="eastAsia" w:ascii="仿宋" w:hAnsi="仿宋" w:eastAsia="仿宋" w:cs="仿宋"/>
          <w:sz w:val="32"/>
          <w:szCs w:val="32"/>
          <w:shd w:val="clear" w:color="auto" w:fill="FFFFFF"/>
        </w:rPr>
        <w:t>号要求，我院精心组织，安排相关科室，抽调专门力量，对202</w:t>
      </w:r>
      <w:r>
        <w:rPr>
          <w:rFonts w:hint="eastAsia" w:ascii="仿宋" w:hAnsi="仿宋" w:eastAsia="仿宋" w:cs="仿宋"/>
          <w:sz w:val="32"/>
          <w:szCs w:val="32"/>
          <w:shd w:val="clear" w:color="auto" w:fill="FFFFFF"/>
          <w:lang w:val="en-US" w:eastAsia="zh-CN"/>
        </w:rPr>
        <w:t>3</w:t>
      </w:r>
      <w:r>
        <w:rPr>
          <w:rFonts w:hint="eastAsia" w:ascii="仿宋" w:hAnsi="仿宋" w:eastAsia="仿宋" w:cs="仿宋"/>
          <w:sz w:val="32"/>
          <w:szCs w:val="32"/>
          <w:shd w:val="clear" w:color="auto" w:fill="FFFFFF"/>
        </w:rPr>
        <w:t>年度使用的全部财政性资金进行整体绩效评估。现将有关情况报告如下：</w:t>
      </w:r>
    </w:p>
    <w:p w14:paraId="5A9B6509">
      <w:pPr>
        <w:spacing w:after="0" w:line="360" w:lineRule="auto"/>
        <w:ind w:firstLine="640" w:firstLineChars="200"/>
        <w:rPr>
          <w:rFonts w:ascii="黑体" w:hAnsi="黑体" w:eastAsia="黑体" w:cs="黑体"/>
          <w:bCs/>
          <w:sz w:val="32"/>
          <w:szCs w:val="32"/>
        </w:rPr>
      </w:pPr>
      <w:r>
        <w:rPr>
          <w:rFonts w:hint="eastAsia" w:ascii="黑体" w:hAnsi="黑体" w:eastAsia="黑体" w:cs="黑体"/>
          <w:bCs/>
          <w:sz w:val="32"/>
          <w:szCs w:val="32"/>
        </w:rPr>
        <w:t>一、部门基本情况</w:t>
      </w:r>
    </w:p>
    <w:p w14:paraId="0F0CCA4B">
      <w:pPr>
        <w:spacing w:after="0" w:line="360" w:lineRule="auto"/>
        <w:ind w:firstLine="640" w:firstLineChars="200"/>
        <w:rPr>
          <w:rFonts w:ascii="仿宋" w:hAnsi="仿宋" w:eastAsia="仿宋" w:cs="仿宋"/>
          <w:sz w:val="32"/>
          <w:szCs w:val="32"/>
        </w:rPr>
      </w:pPr>
      <w:r>
        <w:rPr>
          <w:rFonts w:hint="eastAsia" w:ascii="仿宋" w:hAnsi="仿宋" w:eastAsia="仿宋" w:cs="仿宋"/>
          <w:sz w:val="32"/>
          <w:szCs w:val="32"/>
        </w:rPr>
        <w:t>（一）部门职能与机构设置；</w:t>
      </w:r>
    </w:p>
    <w:p w14:paraId="1BAB6D26">
      <w:pPr>
        <w:shd w:val="clear" w:color="auto" w:fill="FFFFFF"/>
        <w:spacing w:after="150" w:line="360" w:lineRule="auto"/>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shd w:val="clear" w:color="auto" w:fill="FFFFFF"/>
        </w:rPr>
        <w:t xml:space="preserve"> 1. 部门职能职责</w:t>
      </w:r>
    </w:p>
    <w:p w14:paraId="2268DAB8">
      <w:pPr>
        <w:shd w:val="clear" w:color="auto" w:fill="FFFFFF"/>
        <w:spacing w:after="150" w:line="360" w:lineRule="auto"/>
        <w:rPr>
          <w:rFonts w:ascii="仿宋" w:hAnsi="仿宋" w:eastAsia="仿宋" w:cs="仿宋"/>
          <w:color w:val="000000"/>
          <w:sz w:val="32"/>
          <w:szCs w:val="32"/>
        </w:rPr>
      </w:pPr>
      <w:r>
        <w:rPr>
          <w:rFonts w:hint="eastAsia" w:ascii="仿宋" w:hAnsi="仿宋" w:eastAsia="仿宋" w:cs="仿宋"/>
          <w:color w:val="000000"/>
          <w:sz w:val="32"/>
          <w:szCs w:val="32"/>
          <w:shd w:val="clear" w:color="auto" w:fill="FFFFFF"/>
        </w:rPr>
        <w:t xml:space="preserve">   （1）履行公共卫生职责，掌握辖区内妇女儿童健康状况信息，为辖区内妇女儿童提供育龄妇女保健、围产保健、儿童保健、计划生育技术等妇幼保健计生技术服务，控制孕产妇及5岁以下儿童死亡率。</w:t>
      </w:r>
    </w:p>
    <w:p w14:paraId="70C99240">
      <w:pPr>
        <w:shd w:val="clear" w:color="auto" w:fill="FFFFFF"/>
        <w:spacing w:after="150" w:line="360" w:lineRule="auto"/>
        <w:rPr>
          <w:rFonts w:ascii="仿宋" w:hAnsi="仿宋" w:eastAsia="仿宋" w:cs="仿宋"/>
          <w:color w:val="000000"/>
          <w:sz w:val="32"/>
          <w:szCs w:val="32"/>
        </w:rPr>
      </w:pPr>
      <w:r>
        <w:rPr>
          <w:rFonts w:hint="eastAsia" w:ascii="仿宋" w:hAnsi="仿宋" w:eastAsia="仿宋" w:cs="仿宋"/>
          <w:color w:val="000000"/>
          <w:sz w:val="32"/>
          <w:szCs w:val="32"/>
          <w:shd w:val="clear" w:color="auto" w:fill="FFFFFF"/>
        </w:rPr>
        <w:t xml:space="preserve">   （2）受县卫生和计划生育局委托，承担辖区内妇幼保健、母婴保健技术、计划生育技术人员的培训和技术支持工作；负责对本辖区内各级医疗保健机构开展妇幼卫生计生服务质量的检查、考核与评价。</w:t>
      </w:r>
    </w:p>
    <w:p w14:paraId="29BEDFB6">
      <w:pPr>
        <w:shd w:val="clear" w:color="auto" w:fill="FFFFFF"/>
        <w:spacing w:after="150" w:line="360" w:lineRule="auto"/>
        <w:ind w:firstLine="640"/>
        <w:rPr>
          <w:rFonts w:ascii="仿宋" w:hAnsi="仿宋" w:eastAsia="仿宋" w:cs="仿宋"/>
          <w:color w:val="000000"/>
          <w:sz w:val="32"/>
          <w:szCs w:val="32"/>
        </w:rPr>
      </w:pPr>
      <w:r>
        <w:rPr>
          <w:rFonts w:hint="eastAsia" w:ascii="仿宋" w:hAnsi="仿宋" w:eastAsia="仿宋" w:cs="仿宋"/>
          <w:color w:val="000000"/>
          <w:sz w:val="32"/>
          <w:szCs w:val="32"/>
          <w:shd w:val="clear" w:color="auto" w:fill="FFFFFF"/>
        </w:rPr>
        <w:t>（3）负责对幼儿园、托儿所的卫生保健工作进行评估和监督；负责对入园、入托 儿童、托幼机构工作人员卫生保健的监督管理。</w:t>
      </w:r>
    </w:p>
    <w:p w14:paraId="1203503A">
      <w:pPr>
        <w:shd w:val="clear" w:color="auto" w:fill="FFFFFF"/>
        <w:spacing w:after="150" w:line="360" w:lineRule="auto"/>
        <w:ind w:firstLine="624"/>
        <w:rPr>
          <w:rFonts w:ascii="仿宋" w:hAnsi="仿宋" w:eastAsia="仿宋" w:cs="仿宋"/>
          <w:color w:val="000000"/>
          <w:sz w:val="32"/>
          <w:szCs w:val="32"/>
        </w:rPr>
      </w:pPr>
      <w:r>
        <w:rPr>
          <w:rFonts w:hint="eastAsia" w:ascii="仿宋" w:hAnsi="仿宋" w:eastAsia="仿宋" w:cs="仿宋"/>
          <w:color w:val="000000"/>
          <w:sz w:val="32"/>
          <w:szCs w:val="32"/>
          <w:shd w:val="clear" w:color="auto" w:fill="FFFFFF"/>
        </w:rPr>
        <w:t>（4）承担计划生育宣传教育、技术服务、优生指导、药具发放、信息咨询、随访服务、生殖保健等工作。</w:t>
      </w:r>
    </w:p>
    <w:p w14:paraId="33A13D5E">
      <w:pPr>
        <w:shd w:val="clear" w:color="auto" w:fill="FFFFFF"/>
        <w:spacing w:after="150" w:line="360" w:lineRule="auto"/>
        <w:ind w:firstLine="640"/>
        <w:rPr>
          <w:rFonts w:ascii="仿宋" w:hAnsi="仿宋" w:eastAsia="仿宋" w:cs="仿宋"/>
          <w:color w:val="000000"/>
          <w:sz w:val="32"/>
          <w:szCs w:val="32"/>
        </w:rPr>
      </w:pPr>
      <w:r>
        <w:rPr>
          <w:rFonts w:hint="eastAsia" w:ascii="仿宋" w:hAnsi="仿宋" w:eastAsia="仿宋" w:cs="仿宋"/>
          <w:color w:val="000000"/>
          <w:sz w:val="32"/>
          <w:szCs w:val="32"/>
          <w:shd w:val="clear" w:color="auto" w:fill="FFFFFF"/>
        </w:rPr>
        <w:t>（5）普及妇幼卫生科学和计划生育技术知识，配合有关部门落实各项保健措施和以避孕为主的综合节育措施。</w:t>
      </w:r>
    </w:p>
    <w:p w14:paraId="37938C4E">
      <w:pPr>
        <w:shd w:val="clear" w:color="auto" w:fill="FFFFFF"/>
        <w:spacing w:after="150" w:line="360" w:lineRule="auto"/>
        <w:ind w:firstLine="640"/>
        <w:rPr>
          <w:rFonts w:ascii="仿宋" w:hAnsi="仿宋" w:eastAsia="仿宋" w:cs="仿宋"/>
          <w:color w:val="000000"/>
          <w:sz w:val="32"/>
          <w:szCs w:val="32"/>
        </w:rPr>
      </w:pPr>
      <w:r>
        <w:rPr>
          <w:rFonts w:hint="eastAsia" w:ascii="仿宋" w:hAnsi="仿宋" w:eastAsia="仿宋" w:cs="仿宋"/>
          <w:color w:val="000000"/>
          <w:sz w:val="32"/>
          <w:szCs w:val="32"/>
          <w:shd w:val="clear" w:color="auto" w:fill="FFFFFF"/>
        </w:rPr>
        <w:t>（6）负责开展孕前优生优育健康检查和孕期出生缺陷综合防控等工作。</w:t>
      </w:r>
    </w:p>
    <w:p w14:paraId="31A02E3E">
      <w:pPr>
        <w:shd w:val="clear" w:color="auto" w:fill="FFFFFF"/>
        <w:spacing w:after="150" w:line="360" w:lineRule="auto"/>
        <w:ind w:firstLine="640"/>
        <w:rPr>
          <w:rFonts w:ascii="仿宋" w:hAnsi="仿宋" w:eastAsia="仿宋" w:cs="仿宋"/>
          <w:color w:val="000000"/>
          <w:sz w:val="32"/>
          <w:szCs w:val="32"/>
        </w:rPr>
      </w:pPr>
      <w:r>
        <w:rPr>
          <w:rFonts w:hint="eastAsia" w:ascii="仿宋" w:hAnsi="仿宋" w:eastAsia="仿宋" w:cs="仿宋"/>
          <w:color w:val="000000"/>
          <w:sz w:val="32"/>
          <w:szCs w:val="32"/>
          <w:shd w:val="clear" w:color="auto" w:fill="FFFFFF"/>
        </w:rPr>
        <w:t>（7）负责提供妇女儿童的基本医疗服务，包括妇女儿童常见病、多发病的诊治，孕产妇分娩的助产技术等服务。</w:t>
      </w:r>
    </w:p>
    <w:p w14:paraId="7182062B">
      <w:pPr>
        <w:shd w:val="clear" w:color="auto" w:fill="FFFFFF"/>
        <w:spacing w:after="150" w:line="360" w:lineRule="auto"/>
        <w:ind w:firstLine="640"/>
        <w:rPr>
          <w:rFonts w:ascii="仿宋" w:hAnsi="仿宋" w:eastAsia="仿宋" w:cs="仿宋"/>
          <w:color w:val="000000"/>
          <w:sz w:val="32"/>
          <w:szCs w:val="32"/>
        </w:rPr>
      </w:pPr>
      <w:r>
        <w:rPr>
          <w:rFonts w:hint="eastAsia" w:ascii="仿宋" w:hAnsi="仿宋" w:eastAsia="仿宋" w:cs="仿宋"/>
          <w:color w:val="000000"/>
          <w:sz w:val="32"/>
          <w:szCs w:val="32"/>
          <w:shd w:val="clear" w:color="auto" w:fill="FFFFFF"/>
        </w:rPr>
        <w:t>（8）负责全县妇幼保健计划生育技术服务的信息收集、统计、整理、分析、质量控制和汇总上报。</w:t>
      </w:r>
    </w:p>
    <w:p w14:paraId="41E0D63D">
      <w:pPr>
        <w:shd w:val="clear" w:color="auto" w:fill="FFFFFF"/>
        <w:spacing w:after="150" w:line="360" w:lineRule="auto"/>
        <w:ind w:firstLine="640"/>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（9）完成县委、县政府及县卫生和计划生育局交办的其他事项。</w:t>
      </w:r>
    </w:p>
    <w:p w14:paraId="0DB13C40">
      <w:pPr>
        <w:shd w:val="clear" w:color="auto" w:fill="FFFFFF"/>
        <w:spacing w:after="150" w:line="360" w:lineRule="auto"/>
        <w:ind w:firstLine="960" w:firstLineChars="300"/>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2、机构设置</w:t>
      </w:r>
    </w:p>
    <w:p w14:paraId="56CD9366">
      <w:pPr>
        <w:spacing w:after="0" w:line="360" w:lineRule="auto"/>
        <w:ind w:firstLine="640" w:firstLineChars="200"/>
        <w:rPr>
          <w:rFonts w:ascii="仿宋" w:hAnsi="仿宋" w:eastAsia="仿宋" w:cs="仿宋"/>
          <w:sz w:val="32"/>
          <w:szCs w:val="32"/>
        </w:rPr>
      </w:pPr>
      <w:r>
        <w:rPr>
          <w:rFonts w:hint="eastAsia" w:ascii="仿宋" w:hAnsi="仿宋" w:eastAsia="仿宋" w:cs="仿宋"/>
          <w:sz w:val="32"/>
          <w:szCs w:val="32"/>
        </w:rPr>
        <w:t>我单位于2016年3月由县妇幼保健院和县计划生育技术服务中心两个单位合并而成,简称妇计中心。现有孕产保健部、儿童保健部、妇女保健科计划生育技术服务部、其他相关部门。履行辖区公共卫生职责，掌握辖区内妇女儿童健康状况信息，为辖区内妇女儿童提供育龄妇女保健、围产保健、儿童保健、计划生育技术等妇幼保健计生技术服务等工作。</w:t>
      </w:r>
    </w:p>
    <w:p w14:paraId="50A316CD">
      <w:pPr>
        <w:numPr>
          <w:ilvl w:val="0"/>
          <w:numId w:val="1"/>
        </w:numPr>
        <w:spacing w:after="0" w:line="360" w:lineRule="auto"/>
        <w:ind w:firstLine="640" w:firstLineChars="200"/>
        <w:rPr>
          <w:rFonts w:ascii="仿宋" w:hAnsi="仿宋" w:eastAsia="仿宋" w:cs="仿宋"/>
          <w:sz w:val="32"/>
          <w:szCs w:val="32"/>
        </w:rPr>
      </w:pPr>
      <w:r>
        <w:rPr>
          <w:rFonts w:hint="eastAsia" w:ascii="仿宋" w:hAnsi="仿宋" w:eastAsia="仿宋" w:cs="仿宋"/>
          <w:sz w:val="32"/>
          <w:szCs w:val="32"/>
        </w:rPr>
        <w:t>人员情况；</w:t>
      </w:r>
    </w:p>
    <w:p w14:paraId="75AF447B">
      <w:pPr>
        <w:spacing w:after="0" w:line="360" w:lineRule="auto"/>
        <w:ind w:firstLine="640" w:firstLineChars="200"/>
        <w:rPr>
          <w:rFonts w:ascii="仿宋" w:hAnsi="仿宋" w:eastAsia="仿宋" w:cs="仿宋"/>
          <w:sz w:val="32"/>
          <w:szCs w:val="32"/>
        </w:rPr>
      </w:pPr>
      <w:r>
        <w:rPr>
          <w:rFonts w:hint="eastAsia" w:ascii="仿宋" w:hAnsi="仿宋" w:eastAsia="仿宋" w:cs="仿宋"/>
          <w:color w:val="000000"/>
          <w:sz w:val="32"/>
          <w:szCs w:val="32"/>
          <w:shd w:val="clear" w:color="auto" w:fill="FFFFFF"/>
        </w:rPr>
        <w:t>中方县妇幼保健和计划生育服务中心核定全额拨款事业编制38名，年底实际在职人数3</w:t>
      </w:r>
      <w:r>
        <w:rPr>
          <w:rFonts w:hint="eastAsia" w:ascii="仿宋" w:hAnsi="仿宋" w:eastAsia="仿宋" w:cs="仿宋"/>
          <w:color w:val="000000"/>
          <w:sz w:val="32"/>
          <w:szCs w:val="32"/>
          <w:shd w:val="clear" w:color="auto" w:fill="FFFFFF"/>
          <w:lang w:val="en-US" w:eastAsia="zh-CN"/>
        </w:rPr>
        <w:t>4</w:t>
      </w:r>
      <w:r>
        <w:rPr>
          <w:rFonts w:hint="eastAsia" w:ascii="仿宋" w:hAnsi="仿宋" w:eastAsia="仿宋" w:cs="仿宋"/>
          <w:color w:val="000000"/>
          <w:sz w:val="32"/>
          <w:szCs w:val="32"/>
          <w:shd w:val="clear" w:color="auto" w:fill="FFFFFF"/>
        </w:rPr>
        <w:t>人，领导人数：主任1名，副主任2名。</w:t>
      </w:r>
    </w:p>
    <w:p w14:paraId="707D020C">
      <w:pPr>
        <w:numPr>
          <w:ilvl w:val="0"/>
          <w:numId w:val="1"/>
        </w:numPr>
        <w:spacing w:after="0" w:line="360" w:lineRule="auto"/>
        <w:ind w:firstLine="640" w:firstLineChars="200"/>
        <w:rPr>
          <w:rFonts w:ascii="仿宋" w:hAnsi="仿宋" w:eastAsia="仿宋" w:cs="仿宋"/>
          <w:sz w:val="32"/>
          <w:szCs w:val="32"/>
        </w:rPr>
      </w:pPr>
      <w:r>
        <w:rPr>
          <w:rFonts w:hint="eastAsia" w:ascii="仿宋" w:hAnsi="仿宋" w:eastAsia="仿宋" w:cs="仿宋"/>
          <w:sz w:val="32"/>
          <w:szCs w:val="32"/>
        </w:rPr>
        <w:t>部门年度总体工作任务和重点工作任务；</w:t>
      </w:r>
    </w:p>
    <w:p w14:paraId="01E13164">
      <w:pPr>
        <w:spacing w:after="0" w:line="360" w:lineRule="auto"/>
        <w:ind w:firstLine="672" w:firstLineChars="200"/>
        <w:rPr>
          <w:rFonts w:ascii="仿宋" w:hAnsi="仿宋" w:eastAsia="仿宋" w:cs="仿宋"/>
          <w:sz w:val="32"/>
          <w:szCs w:val="32"/>
        </w:rPr>
      </w:pPr>
      <w:r>
        <w:rPr>
          <w:rFonts w:hint="eastAsia" w:ascii="仿宋" w:hAnsi="仿宋" w:eastAsia="仿宋" w:cs="仿宋"/>
          <w:color w:val="333333"/>
          <w:spacing w:val="8"/>
          <w:sz w:val="32"/>
          <w:szCs w:val="32"/>
          <w:shd w:val="clear" w:color="auto" w:fill="FFFFFF"/>
        </w:rPr>
        <w:t>我</w:t>
      </w:r>
      <w:r>
        <w:rPr>
          <w:rFonts w:hint="eastAsia" w:ascii="仿宋" w:hAnsi="仿宋" w:eastAsia="仿宋" w:cs="仿宋"/>
          <w:sz w:val="32"/>
          <w:szCs w:val="32"/>
        </w:rPr>
        <w:t>部门202</w:t>
      </w:r>
      <w:r>
        <w:rPr>
          <w:rFonts w:hint="eastAsia" w:ascii="仿宋" w:hAnsi="仿宋" w:eastAsia="仿宋" w:cs="仿宋"/>
          <w:sz w:val="32"/>
          <w:szCs w:val="32"/>
          <w:lang w:val="en-US" w:eastAsia="zh-CN"/>
        </w:rPr>
        <w:t>3</w:t>
      </w:r>
      <w:r>
        <w:rPr>
          <w:rFonts w:hint="eastAsia" w:ascii="仿宋" w:hAnsi="仿宋" w:eastAsia="仿宋" w:cs="仿宋"/>
          <w:sz w:val="32"/>
          <w:szCs w:val="32"/>
        </w:rPr>
        <w:t>年度总体工作任务</w:t>
      </w:r>
      <w:r>
        <w:rPr>
          <w:rFonts w:hint="eastAsia" w:ascii="仿宋" w:hAnsi="仿宋" w:eastAsia="仿宋" w:cs="仿宋"/>
          <w:color w:val="333333"/>
          <w:spacing w:val="8"/>
          <w:sz w:val="32"/>
          <w:szCs w:val="32"/>
          <w:shd w:val="clear" w:color="auto" w:fill="FFFFFF"/>
        </w:rPr>
        <w:t>以贯彻实施《母婴保健法》为核心，以提高出生人口素质，为儿童妇女健康服务。重点工作任务</w:t>
      </w:r>
      <w:r>
        <w:rPr>
          <w:rFonts w:hint="eastAsia" w:ascii="仿宋" w:hAnsi="仿宋" w:eastAsia="仿宋" w:cs="仿宋"/>
          <w:sz w:val="32"/>
          <w:szCs w:val="32"/>
        </w:rPr>
        <w:t>做好本辖区：</w:t>
      </w:r>
    </w:p>
    <w:p w14:paraId="5B1D6BAF">
      <w:pPr>
        <w:numPr>
          <w:ilvl w:val="0"/>
          <w:numId w:val="2"/>
        </w:numPr>
        <w:spacing w:after="0" w:line="360" w:lineRule="auto"/>
        <w:ind w:firstLine="640" w:firstLineChars="200"/>
        <w:rPr>
          <w:rFonts w:ascii="仿宋" w:hAnsi="仿宋" w:eastAsia="仿宋" w:cs="仿宋"/>
          <w:sz w:val="32"/>
          <w:szCs w:val="32"/>
        </w:rPr>
      </w:pPr>
      <w:r>
        <w:rPr>
          <w:rFonts w:hint="eastAsia" w:ascii="仿宋" w:hAnsi="仿宋" w:eastAsia="仿宋" w:cs="仿宋"/>
          <w:sz w:val="32"/>
          <w:szCs w:val="32"/>
        </w:rPr>
        <w:t>两癌筛查。</w:t>
      </w:r>
      <w:r>
        <w:rPr>
          <w:rFonts w:hint="eastAsia" w:ascii="仿宋" w:hAnsi="仿宋" w:eastAsia="仿宋" w:cs="仿宋_GB2312"/>
          <w:sz w:val="32"/>
          <w:szCs w:val="32"/>
        </w:rPr>
        <w:t>对我县农村适龄妇女及</w:t>
      </w:r>
      <w:r>
        <w:rPr>
          <w:rFonts w:ascii="仿宋" w:hAnsi="仿宋" w:eastAsia="仿宋"/>
          <w:sz w:val="32"/>
          <w:szCs w:val="32"/>
        </w:rPr>
        <w:t>城镇低保女性</w:t>
      </w:r>
      <w:r>
        <w:rPr>
          <w:rFonts w:hint="eastAsia" w:ascii="仿宋" w:hAnsi="仿宋" w:eastAsia="仿宋" w:cs="仿宋_GB2312"/>
          <w:sz w:val="32"/>
          <w:szCs w:val="32"/>
        </w:rPr>
        <w:t>实施乳腺癌和宫颈癌的免费筛查，</w:t>
      </w: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年任务数4144人。</w:t>
      </w:r>
    </w:p>
    <w:p w14:paraId="5D8E27FD">
      <w:pPr>
        <w:pStyle w:val="12"/>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2、产前筛查。为全县孕产妇做免费产前筛查</w:t>
      </w:r>
      <w:r>
        <w:rPr>
          <w:rFonts w:hint="eastAsia" w:ascii="仿宋" w:hAnsi="仿宋" w:eastAsia="仿宋" w:cs="仿宋"/>
          <w:sz w:val="32"/>
          <w:szCs w:val="32"/>
          <w:lang w:eastAsia="zh-CN"/>
        </w:rPr>
        <w:t>、新生儿做先心病筛查</w:t>
      </w:r>
      <w:r>
        <w:rPr>
          <w:rFonts w:hint="eastAsia" w:ascii="仿宋" w:hAnsi="仿宋" w:eastAsia="仿宋" w:cs="仿宋"/>
          <w:sz w:val="32"/>
          <w:szCs w:val="32"/>
        </w:rPr>
        <w:t>，建立科学规范的免费产前筛查制度</w:t>
      </w:r>
      <w:r>
        <w:rPr>
          <w:rFonts w:hint="eastAsia" w:ascii="仿宋" w:hAnsi="仿宋" w:eastAsia="仿宋" w:cs="仿宋_GB2312"/>
          <w:kern w:val="10"/>
          <w:position w:val="6"/>
          <w:sz w:val="32"/>
          <w:szCs w:val="32"/>
        </w:rPr>
        <w:t>，提高孕产妇产前筛查率，降低出生缺陷发生风险，提高出生人口素质。202</w:t>
      </w:r>
      <w:r>
        <w:rPr>
          <w:rFonts w:hint="eastAsia" w:ascii="仿宋" w:hAnsi="仿宋" w:eastAsia="仿宋" w:cs="仿宋_GB2312"/>
          <w:kern w:val="10"/>
          <w:position w:val="6"/>
          <w:sz w:val="32"/>
          <w:szCs w:val="32"/>
          <w:lang w:val="en-US" w:eastAsia="zh-CN"/>
        </w:rPr>
        <w:t>3</w:t>
      </w:r>
      <w:r>
        <w:rPr>
          <w:rFonts w:hint="eastAsia" w:ascii="仿宋" w:hAnsi="仿宋" w:eastAsia="仿宋" w:cs="仿宋_GB2312"/>
          <w:kern w:val="10"/>
          <w:position w:val="6"/>
          <w:sz w:val="32"/>
          <w:szCs w:val="32"/>
        </w:rPr>
        <w:t>年任务数</w:t>
      </w:r>
      <w:r>
        <w:rPr>
          <w:rFonts w:hint="eastAsia" w:ascii="仿宋" w:hAnsi="仿宋" w:eastAsia="仿宋" w:cs="仿宋_GB2312"/>
          <w:color w:val="000000"/>
          <w:kern w:val="10"/>
          <w:position w:val="6"/>
          <w:sz w:val="32"/>
          <w:szCs w:val="32"/>
        </w:rPr>
        <w:t>为1</w:t>
      </w:r>
      <w:r>
        <w:rPr>
          <w:rFonts w:hint="eastAsia" w:ascii="仿宋" w:hAnsi="仿宋" w:eastAsia="仿宋" w:cs="仿宋_GB2312"/>
          <w:color w:val="000000"/>
          <w:kern w:val="10"/>
          <w:position w:val="6"/>
          <w:sz w:val="32"/>
          <w:szCs w:val="32"/>
          <w:lang w:val="en-US" w:eastAsia="zh-CN"/>
        </w:rPr>
        <w:t>3</w:t>
      </w:r>
      <w:r>
        <w:rPr>
          <w:rFonts w:hint="eastAsia" w:ascii="仿宋" w:hAnsi="仿宋" w:eastAsia="仿宋" w:cs="仿宋_GB2312"/>
          <w:color w:val="000000"/>
          <w:kern w:val="10"/>
          <w:position w:val="6"/>
          <w:sz w:val="32"/>
          <w:szCs w:val="32"/>
        </w:rPr>
        <w:t>00人。</w:t>
      </w:r>
    </w:p>
    <w:p w14:paraId="26D97BBA">
      <w:pPr>
        <w:spacing w:after="0" w:line="360" w:lineRule="auto"/>
        <w:ind w:firstLine="640" w:firstLineChars="200"/>
        <w:rPr>
          <w:rFonts w:ascii="仿宋" w:hAnsi="仿宋" w:eastAsia="仿宋" w:cs="仿宋"/>
          <w:sz w:val="32"/>
          <w:szCs w:val="32"/>
        </w:rPr>
      </w:pPr>
      <w:r>
        <w:rPr>
          <w:rFonts w:hint="eastAsia" w:ascii="仿宋" w:hAnsi="仿宋" w:eastAsia="仿宋" w:cs="仿宋"/>
          <w:sz w:val="32"/>
          <w:szCs w:val="32"/>
        </w:rPr>
        <w:t>3、婚前检查。</w:t>
      </w:r>
      <w:r>
        <w:rPr>
          <w:rFonts w:hint="eastAsia" w:ascii="仿宋" w:hAnsi="仿宋" w:eastAsia="仿宋" w:cs="仿宋_GB2312"/>
          <w:sz w:val="32"/>
          <w:szCs w:val="32"/>
        </w:rPr>
        <w:t>全县新婚夫妇做婚前检查，以婚姻登记处人数为准，婚检率达到</w:t>
      </w:r>
      <w:r>
        <w:rPr>
          <w:rFonts w:hint="eastAsia" w:ascii="仿宋" w:hAnsi="仿宋" w:eastAsia="仿宋" w:cs="仿宋_GB2312"/>
          <w:sz w:val="32"/>
          <w:szCs w:val="32"/>
          <w:lang w:val="en-US" w:eastAsia="zh-CN"/>
        </w:rPr>
        <w:t>9</w:t>
      </w:r>
      <w:r>
        <w:rPr>
          <w:rFonts w:hint="eastAsia" w:ascii="仿宋" w:hAnsi="仿宋" w:eastAsia="仿宋" w:cs="仿宋_GB2312"/>
          <w:sz w:val="32"/>
          <w:szCs w:val="32"/>
        </w:rPr>
        <w:t>0%为合格。</w:t>
      </w:r>
    </w:p>
    <w:p w14:paraId="4DF7B2E2">
      <w:pPr>
        <w:spacing w:after="0" w:line="360" w:lineRule="auto"/>
        <w:ind w:firstLine="640" w:firstLineChars="200"/>
        <w:rPr>
          <w:rFonts w:ascii="仿宋" w:hAnsi="仿宋" w:eastAsia="仿宋" w:cs="仿宋"/>
          <w:sz w:val="32"/>
          <w:szCs w:val="32"/>
        </w:rPr>
      </w:pPr>
      <w:r>
        <w:rPr>
          <w:rFonts w:hint="eastAsia" w:ascii="仿宋" w:hAnsi="仿宋" w:eastAsia="仿宋" w:cs="仿宋"/>
          <w:sz w:val="32"/>
          <w:szCs w:val="32"/>
        </w:rPr>
        <w:t>4、降消。控制</w:t>
      </w:r>
      <w:r>
        <w:rPr>
          <w:rFonts w:hint="eastAsia" w:ascii="仿宋" w:hAnsi="仿宋" w:eastAsia="仿宋" w:cs="仿宋_GB2312"/>
          <w:sz w:val="32"/>
          <w:szCs w:val="32"/>
        </w:rPr>
        <w:t>孕产妇死亡率及新生儿破伤风发病率，</w:t>
      </w:r>
      <w:r>
        <w:rPr>
          <w:rFonts w:hint="eastAsia" w:ascii="仿宋" w:hAnsi="仿宋" w:eastAsia="仿宋" w:cs="仿宋"/>
          <w:sz w:val="32"/>
          <w:szCs w:val="32"/>
        </w:rPr>
        <w:t>阶段性目标</w:t>
      </w:r>
      <w:r>
        <w:rPr>
          <w:rFonts w:hint="eastAsia" w:ascii="仿宋" w:hAnsi="仿宋" w:eastAsia="仿宋" w:cs="仿宋_GB2312"/>
          <w:sz w:val="32"/>
          <w:szCs w:val="32"/>
        </w:rPr>
        <w:t>孕产妇死亡率控制在19/10万以下，新生儿破伤风发病率控制在1‰以下。</w:t>
      </w:r>
    </w:p>
    <w:p w14:paraId="1517A10A">
      <w:pPr>
        <w:spacing w:after="0" w:line="360" w:lineRule="auto"/>
        <w:ind w:firstLine="640" w:firstLineChars="200"/>
        <w:rPr>
          <w:rFonts w:ascii="仿宋" w:hAnsi="仿宋" w:eastAsia="仿宋" w:cs="仿宋"/>
          <w:sz w:val="32"/>
          <w:szCs w:val="32"/>
        </w:rPr>
      </w:pPr>
      <w:r>
        <w:rPr>
          <w:rFonts w:hint="eastAsia" w:ascii="仿宋" w:hAnsi="仿宋" w:eastAsia="仿宋" w:cs="仿宋"/>
          <w:sz w:val="32"/>
          <w:szCs w:val="32"/>
        </w:rPr>
        <w:t>5、艾滋病母婴阻断。</w:t>
      </w:r>
      <w:r>
        <w:rPr>
          <w:rFonts w:hint="eastAsia" w:ascii="仿宋" w:hAnsi="仿宋" w:eastAsia="仿宋" w:cs="仿宋_GB2312"/>
          <w:sz w:val="32"/>
          <w:szCs w:val="32"/>
        </w:rPr>
        <w:t>全面、规范落实预防母婴传播综合干预服务，减少相关疾病传播，逐步实现母婴“零传播”，不断提高妇女儿童生活质量和健康水平。</w:t>
      </w:r>
    </w:p>
    <w:p w14:paraId="38220E5C">
      <w:pPr>
        <w:pStyle w:val="12"/>
        <w:spacing w:line="360" w:lineRule="auto"/>
        <w:ind w:firstLine="640" w:firstLineChars="200"/>
        <w:rPr>
          <w:rFonts w:hint="eastAsia" w:ascii="仿宋" w:hAnsi="仿宋" w:eastAsia="仿宋" w:cs="仿宋_GB2312"/>
          <w:sz w:val="32"/>
          <w:szCs w:val="32"/>
          <w:lang w:val="en-US" w:eastAsia="zh-CN"/>
        </w:rPr>
      </w:pPr>
      <w:r>
        <w:rPr>
          <w:rFonts w:hint="eastAsia" w:ascii="仿宋" w:hAnsi="仿宋" w:eastAsia="仿宋" w:cs="仿宋"/>
          <w:sz w:val="32"/>
          <w:szCs w:val="32"/>
        </w:rPr>
        <w:t>6、基本公卫服务。</w:t>
      </w:r>
      <w:r>
        <w:rPr>
          <w:rFonts w:hint="eastAsia" w:ascii="宋体" w:hAnsi="宋体" w:eastAsia="宋体" w:cs="宋体"/>
          <w:color w:val="333333"/>
          <w:spacing w:val="8"/>
          <w:sz w:val="30"/>
          <w:szCs w:val="30"/>
          <w:shd w:val="clear" w:color="auto" w:fill="FFFFFF"/>
        </w:rPr>
        <w:t>为儿童妇女健康服务为宗旨，提高妇幼保健的服务能力</w:t>
      </w:r>
      <w:r>
        <w:rPr>
          <w:rFonts w:hint="eastAsia" w:ascii="仿宋" w:hAnsi="仿宋" w:eastAsia="仿宋" w:cs="仿宋"/>
          <w:sz w:val="32"/>
          <w:szCs w:val="32"/>
        </w:rPr>
        <w:t>。</w:t>
      </w:r>
      <w:r>
        <w:rPr>
          <w:rFonts w:hint="eastAsia" w:ascii="仿宋" w:hAnsi="仿宋" w:eastAsia="仿宋" w:cs="仿宋_GB2312"/>
          <w:sz w:val="32"/>
          <w:szCs w:val="32"/>
        </w:rPr>
        <w:t>宫颈癌早诊率达到90%以上，乳腺癌早诊率达到60%以上</w:t>
      </w:r>
      <w:r>
        <w:rPr>
          <w:rFonts w:hint="eastAsia" w:ascii="仿宋" w:hAnsi="仿宋" w:eastAsia="仿宋"/>
          <w:sz w:val="32"/>
          <w:szCs w:val="32"/>
        </w:rPr>
        <w:t>；新生儿筛查率达到95%以上；</w:t>
      </w:r>
      <w:r>
        <w:rPr>
          <w:rFonts w:hint="eastAsia" w:ascii="仿宋" w:hAnsi="仿宋" w:eastAsia="仿宋" w:cs="仿宋_GB2312"/>
          <w:sz w:val="32"/>
          <w:szCs w:val="32"/>
        </w:rPr>
        <w:t>提高基本避孕手术服务可及性，使育龄群众获得规范、适宜的避孕服务；为全县育龄夫妇做孕前优生检查，降低出生缺陷率，使计划怀孕夫妇的孕前优生健康检查得到保障，202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年任务数1400人；目标人群叶酸规范服用率达到</w:t>
      </w:r>
      <w:r>
        <w:rPr>
          <w:rFonts w:hint="eastAsia" w:ascii="仿宋" w:hAnsi="仿宋" w:eastAsia="仿宋" w:cs="仿宋_GB2312"/>
          <w:sz w:val="32"/>
          <w:szCs w:val="32"/>
          <w:lang w:val="en-US" w:eastAsia="zh-CN"/>
        </w:rPr>
        <w:t>8</w:t>
      </w:r>
      <w:r>
        <w:rPr>
          <w:rFonts w:hint="eastAsia" w:ascii="仿宋" w:hAnsi="仿宋" w:eastAsia="仿宋" w:cs="仿宋_GB2312"/>
          <w:sz w:val="32"/>
          <w:szCs w:val="32"/>
        </w:rPr>
        <w:t>0%以上；提高项目地区儿童看护人婴幼儿科学喂养知识水平和对营养包的知晓率，看护人接受咨询指导率达到80%以上。</w:t>
      </w:r>
    </w:p>
    <w:p w14:paraId="77B76143">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（四）部门年度整体收支情况。</w:t>
      </w:r>
    </w:p>
    <w:p w14:paraId="0FC193E3">
      <w:pPr>
        <w:spacing w:line="360" w:lineRule="auto"/>
        <w:ind w:firstLine="640" w:firstLineChars="200"/>
        <w:rPr>
          <w:rFonts w:ascii="仿宋" w:hAnsi="仿宋" w:eastAsia="仿宋" w:cs="仿宋"/>
          <w:bCs/>
          <w:color w:val="000000"/>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年本部门预算收入</w:t>
      </w:r>
      <w:r>
        <w:rPr>
          <w:rFonts w:hint="eastAsia" w:ascii="仿宋_GB2312" w:eastAsia="仿宋_GB2312"/>
          <w:color w:val="303133"/>
          <w:sz w:val="32"/>
          <w:szCs w:val="32"/>
        </w:rPr>
        <w:t>624.50</w:t>
      </w:r>
      <w:r>
        <w:rPr>
          <w:rFonts w:hint="eastAsia" w:ascii="仿宋" w:hAnsi="仿宋" w:eastAsia="仿宋" w:cs="仿宋"/>
          <w:sz w:val="32"/>
          <w:szCs w:val="32"/>
        </w:rPr>
        <w:t>万元，其中基本支出</w:t>
      </w:r>
      <w:r>
        <w:rPr>
          <w:rFonts w:hint="eastAsia" w:ascii="仿宋_GB2312" w:eastAsia="仿宋_GB2312"/>
          <w:color w:val="303133"/>
          <w:sz w:val="32"/>
          <w:szCs w:val="32"/>
        </w:rPr>
        <w:t>453.70</w:t>
      </w:r>
      <w:r>
        <w:rPr>
          <w:rFonts w:hint="eastAsia" w:ascii="仿宋" w:hAnsi="仿宋" w:eastAsia="仿宋" w:cs="仿宋"/>
          <w:sz w:val="32"/>
          <w:szCs w:val="32"/>
        </w:rPr>
        <w:t>万元，项目支出</w:t>
      </w:r>
      <w:r>
        <w:rPr>
          <w:rFonts w:hint="eastAsia" w:ascii="仿宋_GB2312" w:eastAsia="仿宋_GB2312"/>
          <w:color w:val="303133"/>
          <w:sz w:val="32"/>
          <w:szCs w:val="32"/>
        </w:rPr>
        <w:t>170.80</w:t>
      </w:r>
      <w:r>
        <w:rPr>
          <w:rFonts w:hint="eastAsia" w:ascii="仿宋" w:hAnsi="仿宋" w:eastAsia="仿宋" w:cs="仿宋"/>
          <w:sz w:val="32"/>
          <w:szCs w:val="32"/>
        </w:rPr>
        <w:t>万元。</w:t>
      </w:r>
      <w:r>
        <w:rPr>
          <w:rFonts w:hint="eastAsia" w:ascii="仿宋" w:hAnsi="仿宋" w:eastAsia="仿宋" w:cs="仿宋"/>
          <w:bCs/>
          <w:color w:val="000000"/>
          <w:sz w:val="32"/>
          <w:szCs w:val="32"/>
        </w:rPr>
        <w:t>202</w:t>
      </w:r>
      <w:r>
        <w:rPr>
          <w:rFonts w:hint="eastAsia" w:ascii="仿宋" w:hAnsi="仿宋" w:eastAsia="仿宋" w:cs="仿宋"/>
          <w:bCs/>
          <w:color w:val="000000"/>
          <w:sz w:val="32"/>
          <w:szCs w:val="32"/>
          <w:lang w:val="en-US" w:eastAsia="zh-CN"/>
        </w:rPr>
        <w:t>3</w:t>
      </w:r>
      <w:r>
        <w:rPr>
          <w:rFonts w:hint="eastAsia" w:ascii="仿宋" w:hAnsi="仿宋" w:eastAsia="仿宋" w:cs="仿宋"/>
          <w:bCs/>
          <w:color w:val="000000"/>
          <w:sz w:val="32"/>
          <w:szCs w:val="32"/>
        </w:rPr>
        <w:t>年决算总支出</w:t>
      </w:r>
      <w:r>
        <w:rPr>
          <w:rFonts w:hint="eastAsia" w:ascii="仿宋" w:hAnsi="仿宋" w:eastAsia="仿宋" w:cs="仿宋"/>
          <w:sz w:val="32"/>
          <w:szCs w:val="32"/>
        </w:rPr>
        <w:t>896</w:t>
      </w:r>
      <w:r>
        <w:rPr>
          <w:rFonts w:hint="eastAsia" w:ascii="仿宋" w:hAnsi="仿宋" w:eastAsia="仿宋" w:cs="仿宋"/>
          <w:sz w:val="32"/>
          <w:szCs w:val="32"/>
          <w:lang w:val="en-US" w:eastAsia="zh-CN"/>
        </w:rPr>
        <w:t>.</w:t>
      </w:r>
      <w:r>
        <w:rPr>
          <w:rFonts w:hint="eastAsia" w:ascii="仿宋" w:hAnsi="仿宋" w:eastAsia="仿宋" w:cs="仿宋"/>
          <w:sz w:val="32"/>
          <w:szCs w:val="32"/>
        </w:rPr>
        <w:t>47</w:t>
      </w:r>
      <w:r>
        <w:rPr>
          <w:rFonts w:hint="eastAsia" w:ascii="仿宋" w:hAnsi="仿宋" w:eastAsia="仿宋" w:cs="仿宋"/>
          <w:bCs/>
          <w:color w:val="000000"/>
          <w:sz w:val="32"/>
          <w:szCs w:val="32"/>
        </w:rPr>
        <w:t>万元，其中基本支出</w:t>
      </w:r>
      <w:r>
        <w:rPr>
          <w:rFonts w:hint="eastAsia" w:ascii="仿宋" w:hAnsi="仿宋" w:eastAsia="仿宋" w:cs="仿宋"/>
          <w:sz w:val="32"/>
          <w:szCs w:val="32"/>
        </w:rPr>
        <w:t>504</w:t>
      </w:r>
      <w:r>
        <w:rPr>
          <w:rFonts w:hint="eastAsia" w:ascii="仿宋" w:hAnsi="仿宋" w:eastAsia="仿宋" w:cs="仿宋"/>
          <w:sz w:val="32"/>
          <w:szCs w:val="32"/>
          <w:lang w:val="en-US" w:eastAsia="zh-CN"/>
        </w:rPr>
        <w:t>.</w:t>
      </w:r>
      <w:r>
        <w:rPr>
          <w:rFonts w:hint="eastAsia" w:ascii="仿宋" w:hAnsi="仿宋" w:eastAsia="仿宋" w:cs="仿宋"/>
          <w:sz w:val="32"/>
          <w:szCs w:val="32"/>
        </w:rPr>
        <w:t>89</w:t>
      </w:r>
      <w:r>
        <w:rPr>
          <w:rFonts w:hint="eastAsia" w:ascii="仿宋" w:hAnsi="仿宋" w:eastAsia="仿宋" w:cs="仿宋"/>
          <w:bCs/>
          <w:color w:val="000000"/>
          <w:sz w:val="32"/>
          <w:szCs w:val="32"/>
        </w:rPr>
        <w:t>万元，项目支出</w:t>
      </w:r>
      <w:r>
        <w:rPr>
          <w:rFonts w:hint="eastAsia" w:ascii="仿宋" w:hAnsi="仿宋" w:eastAsia="仿宋" w:cs="仿宋"/>
          <w:sz w:val="32"/>
          <w:szCs w:val="32"/>
        </w:rPr>
        <w:t>391</w:t>
      </w:r>
      <w:r>
        <w:rPr>
          <w:rFonts w:hint="eastAsia" w:ascii="仿宋" w:hAnsi="仿宋" w:eastAsia="仿宋" w:cs="仿宋"/>
          <w:sz w:val="32"/>
          <w:szCs w:val="32"/>
          <w:lang w:val="en-US" w:eastAsia="zh-CN"/>
        </w:rPr>
        <w:t>.</w:t>
      </w:r>
      <w:r>
        <w:rPr>
          <w:rFonts w:hint="eastAsia" w:ascii="仿宋" w:hAnsi="仿宋" w:eastAsia="仿宋" w:cs="仿宋"/>
          <w:sz w:val="32"/>
          <w:szCs w:val="32"/>
        </w:rPr>
        <w:t>58</w:t>
      </w:r>
      <w:r>
        <w:rPr>
          <w:rFonts w:hint="eastAsia" w:ascii="仿宋" w:hAnsi="仿宋" w:eastAsia="仿宋" w:cs="仿宋"/>
          <w:bCs/>
          <w:color w:val="000000"/>
          <w:sz w:val="32"/>
          <w:szCs w:val="32"/>
        </w:rPr>
        <w:t>万元。</w:t>
      </w:r>
    </w:p>
    <w:p w14:paraId="49E99FBE">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年项目支出预算</w:t>
      </w:r>
      <w:r>
        <w:rPr>
          <w:rFonts w:hint="eastAsia" w:ascii="仿宋_GB2312" w:eastAsia="仿宋_GB2312"/>
          <w:color w:val="303133"/>
          <w:sz w:val="32"/>
          <w:szCs w:val="32"/>
        </w:rPr>
        <w:t>170.80</w:t>
      </w:r>
      <w:r>
        <w:rPr>
          <w:rFonts w:hint="eastAsia" w:ascii="仿宋" w:hAnsi="仿宋" w:eastAsia="仿宋" w:cs="仿宋"/>
          <w:sz w:val="32"/>
          <w:szCs w:val="32"/>
        </w:rPr>
        <w:t>万元。项目支出预算明细：免费婚前医学检查资金:省级安排资金</w:t>
      </w:r>
      <w:r>
        <w:rPr>
          <w:rFonts w:hint="eastAsia" w:ascii="仿宋" w:hAnsi="仿宋" w:eastAsia="仿宋" w:cs="仿宋"/>
          <w:sz w:val="32"/>
          <w:szCs w:val="32"/>
          <w:lang w:val="en-US" w:eastAsia="zh-CN"/>
        </w:rPr>
        <w:t>6.5</w:t>
      </w:r>
      <w:r>
        <w:rPr>
          <w:rFonts w:hint="eastAsia" w:ascii="仿宋" w:hAnsi="仿宋" w:eastAsia="仿宋" w:cs="仿宋"/>
          <w:sz w:val="32"/>
          <w:szCs w:val="32"/>
        </w:rPr>
        <w:t>万元、县级安排资金</w:t>
      </w:r>
      <w:r>
        <w:rPr>
          <w:rFonts w:hint="eastAsia" w:ascii="仿宋" w:hAnsi="仿宋" w:eastAsia="仿宋" w:cs="仿宋"/>
          <w:sz w:val="32"/>
          <w:szCs w:val="32"/>
          <w:lang w:val="en-US" w:eastAsia="zh-CN"/>
        </w:rPr>
        <w:t>6.5</w:t>
      </w:r>
      <w:r>
        <w:rPr>
          <w:rFonts w:hint="eastAsia" w:ascii="仿宋" w:hAnsi="仿宋" w:eastAsia="仿宋" w:cs="仿宋"/>
          <w:sz w:val="32"/>
          <w:szCs w:val="32"/>
        </w:rPr>
        <w:t>万元，小计</w:t>
      </w:r>
      <w:r>
        <w:rPr>
          <w:rFonts w:hint="eastAsia" w:ascii="仿宋" w:hAnsi="仿宋" w:eastAsia="仿宋" w:cs="仿宋"/>
          <w:sz w:val="32"/>
          <w:szCs w:val="32"/>
          <w:lang w:val="en-US" w:eastAsia="zh-CN"/>
        </w:rPr>
        <w:t>13</w:t>
      </w:r>
      <w:r>
        <w:rPr>
          <w:rFonts w:hint="eastAsia" w:ascii="仿宋" w:hAnsi="仿宋" w:eastAsia="仿宋" w:cs="仿宋"/>
          <w:sz w:val="32"/>
          <w:szCs w:val="32"/>
        </w:rPr>
        <w:t>万元。农村适龄妇女两癌免费筛查资金: 省级安排资金</w:t>
      </w:r>
      <w:r>
        <w:rPr>
          <w:rFonts w:hint="eastAsia" w:ascii="仿宋" w:hAnsi="仿宋" w:eastAsia="仿宋" w:cs="仿宋"/>
          <w:sz w:val="32"/>
          <w:szCs w:val="32"/>
          <w:lang w:val="en-US" w:eastAsia="zh-CN"/>
        </w:rPr>
        <w:t>31.5</w:t>
      </w:r>
      <w:r>
        <w:rPr>
          <w:rFonts w:hint="eastAsia" w:ascii="仿宋" w:hAnsi="仿宋" w:eastAsia="仿宋" w:cs="仿宋"/>
          <w:sz w:val="32"/>
          <w:szCs w:val="32"/>
        </w:rPr>
        <w:t>万元、县级安排资金</w:t>
      </w:r>
      <w:r>
        <w:rPr>
          <w:rFonts w:hint="eastAsia" w:ascii="仿宋" w:hAnsi="仿宋" w:eastAsia="仿宋" w:cs="仿宋"/>
          <w:sz w:val="32"/>
          <w:szCs w:val="32"/>
          <w:lang w:val="en-US" w:eastAsia="zh-CN"/>
        </w:rPr>
        <w:t>31.5</w:t>
      </w:r>
      <w:r>
        <w:rPr>
          <w:rFonts w:hint="eastAsia" w:ascii="仿宋" w:hAnsi="仿宋" w:eastAsia="仿宋" w:cs="仿宋"/>
          <w:sz w:val="32"/>
          <w:szCs w:val="32"/>
        </w:rPr>
        <w:t>万元，小计</w:t>
      </w:r>
      <w:r>
        <w:rPr>
          <w:rFonts w:hint="eastAsia" w:ascii="仿宋" w:hAnsi="仿宋" w:eastAsia="仿宋" w:cs="仿宋"/>
          <w:sz w:val="32"/>
          <w:szCs w:val="32"/>
          <w:lang w:val="en-US" w:eastAsia="zh-CN"/>
        </w:rPr>
        <w:t>63</w:t>
      </w:r>
      <w:r>
        <w:rPr>
          <w:rFonts w:hint="eastAsia" w:ascii="仿宋" w:hAnsi="仿宋" w:eastAsia="仿宋" w:cs="仿宋"/>
          <w:sz w:val="32"/>
          <w:szCs w:val="32"/>
        </w:rPr>
        <w:t>万元。孕产妇免费产前筛查资金: 省级安排资金</w:t>
      </w:r>
      <w:r>
        <w:rPr>
          <w:rFonts w:hint="eastAsia" w:ascii="仿宋" w:hAnsi="仿宋" w:eastAsia="仿宋" w:cs="仿宋"/>
          <w:sz w:val="32"/>
          <w:szCs w:val="32"/>
          <w:lang w:val="en-US" w:eastAsia="zh-CN"/>
        </w:rPr>
        <w:t>20</w:t>
      </w:r>
      <w:r>
        <w:rPr>
          <w:rFonts w:hint="eastAsia" w:ascii="仿宋" w:hAnsi="仿宋" w:eastAsia="仿宋" w:cs="仿宋"/>
          <w:sz w:val="32"/>
          <w:szCs w:val="32"/>
        </w:rPr>
        <w:t>万元、县级安排资金</w:t>
      </w:r>
      <w:r>
        <w:rPr>
          <w:rFonts w:hint="eastAsia" w:ascii="仿宋" w:hAnsi="仿宋" w:eastAsia="仿宋" w:cs="仿宋"/>
          <w:sz w:val="32"/>
          <w:szCs w:val="32"/>
          <w:lang w:val="en-US" w:eastAsia="zh-CN"/>
        </w:rPr>
        <w:t>14.8</w:t>
      </w:r>
      <w:r>
        <w:rPr>
          <w:rFonts w:hint="eastAsia" w:ascii="仿宋" w:hAnsi="仿宋" w:eastAsia="仿宋" w:cs="仿宋"/>
          <w:sz w:val="32"/>
          <w:szCs w:val="32"/>
        </w:rPr>
        <w:t>万元，小计</w:t>
      </w:r>
      <w:r>
        <w:rPr>
          <w:rFonts w:hint="eastAsia" w:ascii="仿宋" w:hAnsi="仿宋" w:eastAsia="仿宋" w:cs="仿宋"/>
          <w:sz w:val="32"/>
          <w:szCs w:val="32"/>
          <w:lang w:val="en-US" w:eastAsia="zh-CN"/>
        </w:rPr>
        <w:t>34.8</w:t>
      </w:r>
      <w:r>
        <w:rPr>
          <w:rFonts w:hint="eastAsia" w:ascii="仿宋" w:hAnsi="仿宋" w:eastAsia="仿宋" w:cs="仿宋"/>
          <w:sz w:val="32"/>
          <w:szCs w:val="32"/>
        </w:rPr>
        <w:t>万元。非税专户资金</w:t>
      </w:r>
      <w:r>
        <w:rPr>
          <w:rFonts w:hint="eastAsia" w:ascii="仿宋" w:hAnsi="仿宋" w:eastAsia="仿宋" w:cs="仿宋"/>
          <w:sz w:val="32"/>
          <w:szCs w:val="32"/>
          <w:lang w:val="en-US" w:eastAsia="zh-CN"/>
        </w:rPr>
        <w:t>60</w:t>
      </w:r>
      <w:r>
        <w:rPr>
          <w:rFonts w:hint="eastAsia" w:ascii="仿宋" w:hAnsi="仿宋" w:eastAsia="仿宋" w:cs="仿宋"/>
          <w:sz w:val="32"/>
          <w:szCs w:val="32"/>
        </w:rPr>
        <w:t>万元。</w:t>
      </w:r>
    </w:p>
    <w:p w14:paraId="27C267C2">
      <w:pPr>
        <w:spacing w:line="360" w:lineRule="auto"/>
        <w:ind w:firstLine="640" w:firstLineChars="200"/>
        <w:rPr>
          <w:rFonts w:ascii="仿宋" w:hAnsi="仿宋" w:eastAsia="仿宋" w:cs="仿宋"/>
          <w:bCs/>
          <w:color w:val="000000"/>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年项目支出决算391</w:t>
      </w:r>
      <w:r>
        <w:rPr>
          <w:rFonts w:hint="eastAsia" w:ascii="仿宋" w:hAnsi="仿宋" w:eastAsia="仿宋" w:cs="仿宋"/>
          <w:sz w:val="32"/>
          <w:szCs w:val="32"/>
          <w:lang w:val="en-US" w:eastAsia="zh-CN"/>
        </w:rPr>
        <w:t>.</w:t>
      </w:r>
      <w:r>
        <w:rPr>
          <w:rFonts w:hint="eastAsia" w:ascii="仿宋" w:hAnsi="仿宋" w:eastAsia="仿宋" w:cs="仿宋"/>
          <w:sz w:val="32"/>
          <w:szCs w:val="32"/>
        </w:rPr>
        <w:t>58万元。项目支出决算明细：免费婚前医学检查资金:上年结转资金</w:t>
      </w:r>
      <w:r>
        <w:rPr>
          <w:rFonts w:hint="eastAsia" w:ascii="仿宋" w:hAnsi="仿宋" w:eastAsia="仿宋" w:cs="仿宋"/>
          <w:sz w:val="32"/>
          <w:szCs w:val="32"/>
          <w:lang w:val="en-US" w:eastAsia="zh-CN"/>
        </w:rPr>
        <w:t>2.14</w:t>
      </w:r>
      <w:r>
        <w:rPr>
          <w:rFonts w:hint="eastAsia" w:ascii="仿宋" w:hAnsi="仿宋" w:eastAsia="仿宋" w:cs="仿宋"/>
          <w:sz w:val="32"/>
          <w:szCs w:val="32"/>
        </w:rPr>
        <w:t>万元，省级安排资金</w:t>
      </w:r>
      <w:r>
        <w:rPr>
          <w:rFonts w:hint="eastAsia" w:ascii="仿宋" w:hAnsi="仿宋" w:eastAsia="仿宋" w:cs="仿宋"/>
          <w:sz w:val="32"/>
          <w:szCs w:val="32"/>
          <w:lang w:val="en-US" w:eastAsia="zh-CN"/>
        </w:rPr>
        <w:t>3.5</w:t>
      </w:r>
      <w:r>
        <w:rPr>
          <w:rFonts w:hint="eastAsia" w:ascii="仿宋" w:hAnsi="仿宋" w:eastAsia="仿宋" w:cs="仿宋"/>
          <w:sz w:val="32"/>
          <w:szCs w:val="32"/>
        </w:rPr>
        <w:t>万元、县级安排资金0万元，小计</w:t>
      </w:r>
      <w:r>
        <w:rPr>
          <w:rFonts w:hint="eastAsia" w:ascii="仿宋" w:hAnsi="仿宋" w:eastAsia="仿宋" w:cs="仿宋"/>
          <w:sz w:val="32"/>
          <w:szCs w:val="32"/>
          <w:lang w:val="en-US" w:eastAsia="zh-CN"/>
        </w:rPr>
        <w:t>5.64</w:t>
      </w:r>
      <w:r>
        <w:rPr>
          <w:rFonts w:hint="eastAsia" w:ascii="仿宋" w:hAnsi="仿宋" w:eastAsia="仿宋" w:cs="仿宋"/>
          <w:sz w:val="32"/>
          <w:szCs w:val="32"/>
        </w:rPr>
        <w:t>万元。农村适龄妇女两癌免费筛查资金: 上年结转资金</w:t>
      </w:r>
      <w:r>
        <w:rPr>
          <w:rFonts w:hint="eastAsia" w:ascii="仿宋" w:hAnsi="仿宋" w:eastAsia="仿宋" w:cs="仿宋"/>
          <w:sz w:val="32"/>
          <w:szCs w:val="32"/>
          <w:lang w:val="en-US" w:eastAsia="zh-CN"/>
        </w:rPr>
        <w:t>25.12</w:t>
      </w:r>
      <w:r>
        <w:rPr>
          <w:rFonts w:hint="eastAsia" w:ascii="仿宋" w:hAnsi="仿宋" w:eastAsia="仿宋" w:cs="仿宋"/>
          <w:sz w:val="32"/>
          <w:szCs w:val="32"/>
        </w:rPr>
        <w:t>万元，省级安排资金</w:t>
      </w:r>
      <w:r>
        <w:rPr>
          <w:rFonts w:hint="eastAsia" w:ascii="仿宋" w:hAnsi="仿宋" w:eastAsia="仿宋" w:cs="仿宋"/>
          <w:sz w:val="32"/>
          <w:szCs w:val="32"/>
          <w:lang w:val="en-US" w:eastAsia="zh-CN"/>
        </w:rPr>
        <w:t>12</w:t>
      </w:r>
      <w:r>
        <w:rPr>
          <w:rFonts w:hint="eastAsia" w:ascii="仿宋" w:hAnsi="仿宋" w:eastAsia="仿宋" w:cs="仿宋"/>
          <w:sz w:val="32"/>
          <w:szCs w:val="32"/>
        </w:rPr>
        <w:t>万元、县级安排资金0万元，小计</w:t>
      </w:r>
      <w:r>
        <w:rPr>
          <w:rFonts w:hint="eastAsia" w:ascii="仿宋" w:hAnsi="仿宋" w:eastAsia="仿宋" w:cs="仿宋"/>
          <w:sz w:val="32"/>
          <w:szCs w:val="32"/>
          <w:lang w:val="en-US" w:eastAsia="zh-CN"/>
        </w:rPr>
        <w:t>37.12</w:t>
      </w:r>
      <w:r>
        <w:rPr>
          <w:rFonts w:hint="eastAsia" w:ascii="仿宋" w:hAnsi="仿宋" w:eastAsia="仿宋" w:cs="仿宋"/>
          <w:sz w:val="32"/>
          <w:szCs w:val="32"/>
        </w:rPr>
        <w:t>万元。孕产妇免费产前筛查</w:t>
      </w:r>
      <w:r>
        <w:rPr>
          <w:rFonts w:hint="eastAsia" w:ascii="仿宋" w:hAnsi="仿宋" w:eastAsia="仿宋" w:cs="仿宋"/>
          <w:sz w:val="32"/>
          <w:szCs w:val="32"/>
          <w:lang w:eastAsia="zh-CN"/>
        </w:rPr>
        <w:t>、先心病筛查</w:t>
      </w:r>
      <w:r>
        <w:rPr>
          <w:rFonts w:hint="eastAsia" w:ascii="仿宋" w:hAnsi="仿宋" w:eastAsia="仿宋" w:cs="仿宋"/>
          <w:sz w:val="32"/>
          <w:szCs w:val="32"/>
        </w:rPr>
        <w:t>及产筛异常干预资金:上年结转资金</w:t>
      </w:r>
      <w:r>
        <w:rPr>
          <w:rFonts w:hint="eastAsia" w:ascii="仿宋" w:hAnsi="仿宋" w:eastAsia="仿宋" w:cs="仿宋"/>
          <w:sz w:val="32"/>
          <w:szCs w:val="32"/>
          <w:lang w:val="en-US" w:eastAsia="zh-CN"/>
        </w:rPr>
        <w:t>38.14</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rPr>
        <w:t>省级安排资金</w:t>
      </w:r>
      <w:r>
        <w:rPr>
          <w:rFonts w:hint="eastAsia" w:ascii="仿宋" w:hAnsi="仿宋" w:eastAsia="仿宋" w:cs="仿宋"/>
          <w:sz w:val="32"/>
          <w:szCs w:val="32"/>
          <w:lang w:val="en-US" w:eastAsia="zh-CN"/>
        </w:rPr>
        <w:t>2.3</w:t>
      </w:r>
      <w:r>
        <w:rPr>
          <w:rFonts w:hint="eastAsia" w:ascii="仿宋" w:hAnsi="仿宋" w:eastAsia="仿宋" w:cs="仿宋"/>
          <w:sz w:val="32"/>
          <w:szCs w:val="32"/>
        </w:rPr>
        <w:t>万元、县级安排资金0万元，小计</w:t>
      </w:r>
      <w:r>
        <w:rPr>
          <w:rFonts w:hint="eastAsia" w:ascii="仿宋" w:hAnsi="仿宋" w:eastAsia="仿宋" w:cs="仿宋"/>
          <w:sz w:val="32"/>
          <w:szCs w:val="32"/>
          <w:lang w:val="en-US" w:eastAsia="zh-CN"/>
        </w:rPr>
        <w:t>40.44</w:t>
      </w:r>
      <w:r>
        <w:rPr>
          <w:rFonts w:hint="eastAsia" w:ascii="仿宋" w:hAnsi="仿宋" w:eastAsia="仿宋" w:cs="仿宋"/>
          <w:sz w:val="32"/>
          <w:szCs w:val="32"/>
        </w:rPr>
        <w:t>万元。艾滋病母婴阻断资金:上年结转资金</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rPr>
        <w:t>省级安排资金</w:t>
      </w:r>
      <w:r>
        <w:rPr>
          <w:rFonts w:hint="eastAsia" w:ascii="仿宋" w:hAnsi="仿宋" w:eastAsia="仿宋" w:cs="仿宋"/>
          <w:sz w:val="32"/>
          <w:szCs w:val="32"/>
          <w:lang w:val="en-US" w:eastAsia="zh-CN"/>
        </w:rPr>
        <w:t>0.13</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rPr>
        <w:t>小计</w:t>
      </w:r>
      <w:r>
        <w:rPr>
          <w:rFonts w:hint="eastAsia" w:ascii="仿宋" w:hAnsi="仿宋" w:eastAsia="仿宋" w:cs="仿宋"/>
          <w:sz w:val="32"/>
          <w:szCs w:val="32"/>
          <w:lang w:val="en-US" w:eastAsia="zh-CN"/>
        </w:rPr>
        <w:t>0.13</w:t>
      </w:r>
      <w:r>
        <w:rPr>
          <w:rFonts w:hint="eastAsia" w:ascii="仿宋" w:hAnsi="仿宋" w:eastAsia="仿宋" w:cs="仿宋"/>
          <w:sz w:val="32"/>
          <w:szCs w:val="32"/>
        </w:rPr>
        <w:t>万元。降消资金:上年结转资金</w:t>
      </w:r>
      <w:r>
        <w:rPr>
          <w:rFonts w:hint="eastAsia" w:ascii="仿宋" w:hAnsi="仿宋" w:eastAsia="仿宋" w:cs="仿宋"/>
          <w:sz w:val="32"/>
          <w:szCs w:val="32"/>
          <w:lang w:val="en-US" w:eastAsia="zh-CN"/>
        </w:rPr>
        <w:t>1.24</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rPr>
        <w:t>省级安排资金</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rPr>
        <w:t>小计</w:t>
      </w:r>
      <w:r>
        <w:rPr>
          <w:rFonts w:hint="eastAsia" w:ascii="仿宋" w:hAnsi="仿宋" w:eastAsia="仿宋" w:cs="仿宋"/>
          <w:sz w:val="32"/>
          <w:szCs w:val="32"/>
          <w:lang w:val="en-US" w:eastAsia="zh-CN"/>
        </w:rPr>
        <w:t>1.24</w:t>
      </w:r>
      <w:r>
        <w:rPr>
          <w:rFonts w:hint="eastAsia" w:ascii="仿宋" w:hAnsi="仿宋" w:eastAsia="仿宋" w:cs="仿宋"/>
          <w:sz w:val="32"/>
          <w:szCs w:val="32"/>
        </w:rPr>
        <w:t>万元。基本公共卫生服务资金：上年结转资金</w:t>
      </w:r>
      <w:r>
        <w:rPr>
          <w:rFonts w:hint="eastAsia" w:ascii="仿宋" w:hAnsi="仿宋" w:eastAsia="仿宋" w:cs="仿宋"/>
          <w:sz w:val="32"/>
          <w:szCs w:val="32"/>
          <w:lang w:val="en-US" w:eastAsia="zh-CN"/>
        </w:rPr>
        <w:t>63.77</w:t>
      </w:r>
      <w:r>
        <w:rPr>
          <w:rFonts w:hint="eastAsia" w:ascii="仿宋" w:hAnsi="仿宋" w:eastAsia="仿宋" w:cs="仿宋"/>
          <w:sz w:val="32"/>
          <w:szCs w:val="32"/>
        </w:rPr>
        <w:t>万元，</w:t>
      </w:r>
      <w:r>
        <w:rPr>
          <w:rFonts w:hint="eastAsia" w:ascii="仿宋" w:hAnsi="仿宋" w:eastAsia="仿宋" w:cs="仿宋"/>
          <w:sz w:val="32"/>
          <w:szCs w:val="32"/>
          <w:lang w:eastAsia="zh-CN"/>
        </w:rPr>
        <w:t>中央</w:t>
      </w:r>
      <w:r>
        <w:rPr>
          <w:rFonts w:hint="eastAsia" w:ascii="仿宋" w:hAnsi="仿宋" w:eastAsia="仿宋" w:cs="仿宋"/>
          <w:sz w:val="32"/>
          <w:szCs w:val="32"/>
        </w:rPr>
        <w:t>安排资金</w:t>
      </w:r>
      <w:r>
        <w:rPr>
          <w:rFonts w:hint="eastAsia" w:ascii="仿宋" w:hAnsi="仿宋" w:eastAsia="仿宋" w:cs="仿宋"/>
          <w:sz w:val="32"/>
          <w:szCs w:val="32"/>
          <w:lang w:val="en-US" w:eastAsia="zh-CN"/>
        </w:rPr>
        <w:t>18.08</w:t>
      </w:r>
      <w:r>
        <w:rPr>
          <w:rFonts w:hint="eastAsia" w:ascii="仿宋" w:hAnsi="仿宋" w:eastAsia="仿宋" w:cs="仿宋"/>
          <w:sz w:val="32"/>
          <w:szCs w:val="32"/>
        </w:rPr>
        <w:t>万元，小计</w:t>
      </w:r>
      <w:r>
        <w:rPr>
          <w:rFonts w:hint="eastAsia" w:ascii="仿宋" w:hAnsi="仿宋" w:eastAsia="仿宋" w:cs="仿宋"/>
          <w:sz w:val="32"/>
          <w:szCs w:val="32"/>
          <w:lang w:val="en-US" w:eastAsia="zh-CN"/>
        </w:rPr>
        <w:t>81.85</w:t>
      </w:r>
      <w:r>
        <w:rPr>
          <w:rFonts w:hint="eastAsia" w:ascii="仿宋" w:hAnsi="仿宋" w:eastAsia="仿宋" w:cs="仿宋"/>
          <w:sz w:val="32"/>
          <w:szCs w:val="32"/>
        </w:rPr>
        <w:t>万元。公立医院综合改革资金：上年结转资金</w:t>
      </w:r>
      <w:r>
        <w:rPr>
          <w:rFonts w:hint="eastAsia" w:ascii="仿宋" w:hAnsi="仿宋" w:eastAsia="仿宋" w:cs="仿宋"/>
          <w:sz w:val="32"/>
          <w:szCs w:val="32"/>
          <w:lang w:val="en-US" w:eastAsia="zh-CN"/>
        </w:rPr>
        <w:t>76</w:t>
      </w:r>
      <w:r>
        <w:rPr>
          <w:rFonts w:hint="eastAsia" w:ascii="仿宋" w:hAnsi="仿宋" w:eastAsia="仿宋" w:cs="仿宋"/>
          <w:sz w:val="32"/>
          <w:szCs w:val="32"/>
        </w:rPr>
        <w:t>万元</w:t>
      </w:r>
      <w:r>
        <w:rPr>
          <w:rFonts w:hint="eastAsia" w:ascii="仿宋" w:hAnsi="仿宋" w:eastAsia="仿宋" w:cs="仿宋"/>
          <w:sz w:val="32"/>
          <w:szCs w:val="32"/>
          <w:lang w:eastAsia="zh-CN"/>
        </w:rPr>
        <w:t>，中央</w:t>
      </w:r>
      <w:r>
        <w:rPr>
          <w:rFonts w:hint="eastAsia" w:ascii="仿宋" w:hAnsi="仿宋" w:eastAsia="仿宋" w:cs="仿宋"/>
          <w:sz w:val="32"/>
          <w:szCs w:val="32"/>
        </w:rPr>
        <w:t>安排资金</w:t>
      </w:r>
      <w:r>
        <w:rPr>
          <w:rFonts w:hint="eastAsia" w:ascii="仿宋" w:hAnsi="仿宋" w:eastAsia="仿宋" w:cs="仿宋"/>
          <w:sz w:val="32"/>
          <w:szCs w:val="32"/>
          <w:lang w:val="en-US" w:eastAsia="zh-CN"/>
        </w:rPr>
        <w:t>30</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rPr>
        <w:t>小计</w:t>
      </w:r>
      <w:r>
        <w:rPr>
          <w:rFonts w:hint="eastAsia" w:ascii="仿宋" w:hAnsi="仿宋" w:eastAsia="仿宋" w:cs="仿宋"/>
          <w:sz w:val="32"/>
          <w:szCs w:val="32"/>
          <w:lang w:val="en-US" w:eastAsia="zh-CN"/>
        </w:rPr>
        <w:t>106</w:t>
      </w:r>
      <w:r>
        <w:rPr>
          <w:rFonts w:hint="eastAsia" w:ascii="仿宋" w:hAnsi="仿宋" w:eastAsia="仿宋" w:cs="仿宋"/>
          <w:sz w:val="32"/>
          <w:szCs w:val="32"/>
        </w:rPr>
        <w:t>万元。非税专户资金：上年结转资</w:t>
      </w:r>
      <w:r>
        <w:rPr>
          <w:rFonts w:hint="eastAsia" w:ascii="仿宋" w:hAnsi="仿宋" w:eastAsia="仿宋" w:cs="仿宋"/>
          <w:sz w:val="32"/>
          <w:szCs w:val="32"/>
          <w:lang w:val="en-US" w:eastAsia="zh-CN"/>
        </w:rPr>
        <w:t>47.76</w:t>
      </w:r>
      <w:r>
        <w:rPr>
          <w:rFonts w:hint="eastAsia" w:ascii="仿宋" w:hAnsi="仿宋" w:eastAsia="仿宋" w:cs="仿宋"/>
          <w:sz w:val="32"/>
          <w:szCs w:val="32"/>
        </w:rPr>
        <w:t>万元，</w:t>
      </w:r>
      <w:r>
        <w:rPr>
          <w:rFonts w:hint="eastAsia" w:ascii="仿宋" w:hAnsi="仿宋" w:eastAsia="仿宋" w:cs="仿宋"/>
          <w:sz w:val="32"/>
          <w:szCs w:val="32"/>
          <w:lang w:eastAsia="zh-CN"/>
        </w:rPr>
        <w:t>其它</w:t>
      </w:r>
      <w:r>
        <w:rPr>
          <w:rFonts w:hint="eastAsia" w:ascii="仿宋" w:hAnsi="仿宋" w:eastAsia="仿宋" w:cs="仿宋"/>
          <w:sz w:val="32"/>
          <w:szCs w:val="32"/>
        </w:rPr>
        <w:t>安排资金</w:t>
      </w:r>
      <w:r>
        <w:rPr>
          <w:rFonts w:hint="eastAsia" w:ascii="仿宋" w:hAnsi="仿宋" w:eastAsia="仿宋" w:cs="仿宋"/>
          <w:sz w:val="32"/>
          <w:szCs w:val="32"/>
          <w:lang w:val="en-US" w:eastAsia="zh-CN"/>
        </w:rPr>
        <w:t>17.29</w:t>
      </w:r>
      <w:r>
        <w:rPr>
          <w:rFonts w:hint="eastAsia" w:ascii="仿宋" w:hAnsi="仿宋" w:eastAsia="仿宋" w:cs="仿宋"/>
          <w:sz w:val="32"/>
          <w:szCs w:val="32"/>
        </w:rPr>
        <w:t>万元，小计</w:t>
      </w:r>
      <w:r>
        <w:rPr>
          <w:rFonts w:hint="eastAsia" w:ascii="仿宋" w:hAnsi="仿宋" w:eastAsia="仿宋" w:cs="仿宋"/>
          <w:sz w:val="32"/>
          <w:szCs w:val="32"/>
          <w:lang w:val="en-US" w:eastAsia="zh-CN"/>
        </w:rPr>
        <w:t>65.05</w:t>
      </w:r>
      <w:r>
        <w:rPr>
          <w:rFonts w:hint="eastAsia" w:ascii="仿宋" w:hAnsi="仿宋" w:eastAsia="仿宋" w:cs="仿宋"/>
          <w:sz w:val="32"/>
          <w:szCs w:val="32"/>
        </w:rPr>
        <w:t>万元。</w:t>
      </w:r>
      <w:r>
        <w:rPr>
          <w:rFonts w:hint="eastAsia" w:ascii="仿宋" w:hAnsi="仿宋" w:eastAsia="仿宋" w:cs="仿宋"/>
          <w:sz w:val="32"/>
          <w:szCs w:val="32"/>
          <w:lang w:eastAsia="zh-CN"/>
        </w:rPr>
        <w:t>疫情防控专项</w:t>
      </w:r>
      <w:r>
        <w:rPr>
          <w:rFonts w:hint="eastAsia" w:ascii="仿宋" w:hAnsi="仿宋" w:eastAsia="仿宋" w:cs="仿宋"/>
          <w:sz w:val="32"/>
          <w:szCs w:val="32"/>
        </w:rPr>
        <w:t>资金：上年结转资</w:t>
      </w:r>
      <w:r>
        <w:rPr>
          <w:rFonts w:hint="eastAsia" w:ascii="仿宋" w:hAnsi="仿宋" w:eastAsia="仿宋" w:cs="仿宋"/>
          <w:sz w:val="32"/>
          <w:szCs w:val="32"/>
          <w:lang w:val="en-US" w:eastAsia="zh-CN"/>
        </w:rPr>
        <w:t>54.1</w:t>
      </w:r>
      <w:r>
        <w:rPr>
          <w:rFonts w:hint="eastAsia" w:ascii="仿宋" w:hAnsi="仿宋" w:eastAsia="仿宋" w:cs="仿宋"/>
          <w:sz w:val="32"/>
          <w:szCs w:val="32"/>
        </w:rPr>
        <w:t>万元，</w:t>
      </w:r>
      <w:r>
        <w:rPr>
          <w:rFonts w:hint="eastAsia" w:ascii="仿宋" w:hAnsi="仿宋" w:eastAsia="仿宋" w:cs="仿宋"/>
          <w:sz w:val="32"/>
          <w:szCs w:val="32"/>
          <w:lang w:eastAsia="zh-CN"/>
        </w:rPr>
        <w:t>中央及省级</w:t>
      </w:r>
      <w:r>
        <w:rPr>
          <w:rFonts w:hint="eastAsia" w:ascii="仿宋" w:hAnsi="仿宋" w:eastAsia="仿宋" w:cs="仿宋"/>
          <w:sz w:val="32"/>
          <w:szCs w:val="32"/>
        </w:rPr>
        <w:t>安排资金</w:t>
      </w:r>
      <w:r>
        <w:rPr>
          <w:rFonts w:hint="eastAsia" w:ascii="仿宋" w:hAnsi="仿宋" w:eastAsia="仿宋" w:cs="仿宋"/>
          <w:sz w:val="32"/>
          <w:szCs w:val="32"/>
          <w:lang w:val="en-US" w:eastAsia="zh-CN"/>
        </w:rPr>
        <w:t>0</w:t>
      </w:r>
      <w:r>
        <w:rPr>
          <w:rFonts w:hint="eastAsia" w:ascii="仿宋" w:hAnsi="仿宋" w:eastAsia="仿宋" w:cs="仿宋"/>
          <w:sz w:val="32"/>
          <w:szCs w:val="32"/>
        </w:rPr>
        <w:t>万元，小计</w:t>
      </w:r>
      <w:r>
        <w:rPr>
          <w:rFonts w:hint="eastAsia" w:ascii="仿宋" w:hAnsi="仿宋" w:eastAsia="仿宋" w:cs="仿宋"/>
          <w:sz w:val="32"/>
          <w:szCs w:val="32"/>
          <w:lang w:val="en-US" w:eastAsia="zh-CN"/>
        </w:rPr>
        <w:t>54.1</w:t>
      </w:r>
      <w:r>
        <w:rPr>
          <w:rFonts w:hint="eastAsia" w:ascii="仿宋" w:hAnsi="仿宋" w:eastAsia="仿宋" w:cs="仿宋"/>
          <w:sz w:val="32"/>
          <w:szCs w:val="32"/>
        </w:rPr>
        <w:t>万元。资金使用管理情况，预算资金及时到位，项目管理制度建设完善，建立专项资金监督管理办法。</w:t>
      </w:r>
    </w:p>
    <w:p w14:paraId="15C4FD9E">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年“三公经费”预算2.</w:t>
      </w:r>
      <w:r>
        <w:rPr>
          <w:rFonts w:hint="eastAsia" w:ascii="仿宋" w:hAnsi="仿宋" w:eastAsia="仿宋" w:cs="仿宋"/>
          <w:sz w:val="32"/>
          <w:szCs w:val="32"/>
          <w:lang w:val="en-US" w:eastAsia="zh-CN"/>
        </w:rPr>
        <w:t>4</w:t>
      </w:r>
      <w:r>
        <w:rPr>
          <w:rFonts w:hint="eastAsia" w:ascii="仿宋" w:hAnsi="仿宋" w:eastAsia="仿宋" w:cs="仿宋"/>
          <w:sz w:val="32"/>
          <w:szCs w:val="32"/>
        </w:rPr>
        <w:t>万元，202</w:t>
      </w:r>
      <w:r>
        <w:rPr>
          <w:rFonts w:hint="eastAsia" w:ascii="仿宋" w:hAnsi="仿宋" w:eastAsia="仿宋" w:cs="仿宋"/>
          <w:sz w:val="32"/>
          <w:szCs w:val="32"/>
          <w:lang w:val="en-US" w:eastAsia="zh-CN"/>
        </w:rPr>
        <w:t>3</w:t>
      </w:r>
      <w:r>
        <w:rPr>
          <w:rFonts w:hint="eastAsia" w:ascii="仿宋" w:hAnsi="仿宋" w:eastAsia="仿宋" w:cs="仿宋"/>
          <w:sz w:val="32"/>
          <w:szCs w:val="32"/>
        </w:rPr>
        <w:t>年“三公经费”实际支出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 “三公经费”控制率</w:t>
      </w:r>
      <w:r>
        <w:rPr>
          <w:rFonts w:hint="eastAsia" w:ascii="仿宋" w:hAnsi="仿宋" w:eastAsia="仿宋" w:cs="仿宋"/>
          <w:sz w:val="32"/>
          <w:szCs w:val="32"/>
          <w:lang w:val="en-US" w:eastAsia="zh-CN"/>
        </w:rPr>
        <w:t>0</w:t>
      </w: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年实际政府采购预算项目</w:t>
      </w:r>
      <w:r>
        <w:rPr>
          <w:rFonts w:hint="eastAsia" w:ascii="仿宋" w:hAnsi="仿宋" w:eastAsia="仿宋" w:cs="仿宋"/>
          <w:sz w:val="32"/>
          <w:szCs w:val="32"/>
          <w:lang w:val="en-US" w:eastAsia="zh-CN"/>
        </w:rPr>
        <w:t>5</w:t>
      </w:r>
      <w:r>
        <w:rPr>
          <w:rFonts w:hint="eastAsia" w:ascii="仿宋" w:hAnsi="仿宋" w:eastAsia="仿宋" w:cs="仿宋"/>
          <w:sz w:val="32"/>
          <w:szCs w:val="32"/>
        </w:rPr>
        <w:t>个（</w:t>
      </w:r>
      <w:r>
        <w:rPr>
          <w:rFonts w:hint="eastAsia" w:ascii="仿宋" w:hAnsi="仿宋" w:eastAsia="仿宋" w:cs="仿宋"/>
          <w:sz w:val="32"/>
          <w:szCs w:val="32"/>
          <w:lang w:eastAsia="zh-CN"/>
        </w:rPr>
        <w:t>疫情防控专项</w:t>
      </w:r>
      <w:r>
        <w:rPr>
          <w:rFonts w:hint="eastAsia" w:ascii="仿宋" w:hAnsi="仿宋" w:eastAsia="仿宋" w:cs="仿宋"/>
          <w:sz w:val="32"/>
          <w:szCs w:val="32"/>
        </w:rPr>
        <w:t>属于非预算</w:t>
      </w:r>
      <w:r>
        <w:rPr>
          <w:rFonts w:hint="eastAsia" w:ascii="仿宋" w:hAnsi="仿宋" w:eastAsia="仿宋" w:cs="仿宋"/>
          <w:sz w:val="32"/>
          <w:szCs w:val="32"/>
          <w:lang w:eastAsia="zh-CN"/>
        </w:rPr>
        <w:t>内</w:t>
      </w:r>
      <w:r>
        <w:rPr>
          <w:rFonts w:hint="eastAsia" w:ascii="仿宋" w:hAnsi="仿宋" w:eastAsia="仿宋" w:cs="仿宋"/>
          <w:sz w:val="32"/>
          <w:szCs w:val="32"/>
        </w:rPr>
        <w:t>安排，所以未统计在内），政府采购预算项目</w:t>
      </w:r>
      <w:r>
        <w:rPr>
          <w:rFonts w:hint="eastAsia" w:ascii="仿宋" w:hAnsi="仿宋" w:eastAsia="仿宋" w:cs="仿宋"/>
          <w:sz w:val="32"/>
          <w:szCs w:val="32"/>
          <w:lang w:val="en-US" w:eastAsia="zh-CN"/>
        </w:rPr>
        <w:t>5个</w:t>
      </w:r>
      <w:r>
        <w:rPr>
          <w:rFonts w:hint="eastAsia" w:ascii="仿宋" w:hAnsi="仿宋" w:eastAsia="仿宋" w:cs="仿宋"/>
          <w:sz w:val="32"/>
          <w:szCs w:val="32"/>
        </w:rPr>
        <w:t>，政府采购执行率100%。预算管理制度建立健全并落实到位，资金使用合规性符合要求，预决算信息按规定公开。</w:t>
      </w:r>
    </w:p>
    <w:p w14:paraId="6815EE46">
      <w:pPr>
        <w:spacing w:after="0" w:line="360" w:lineRule="auto"/>
        <w:ind w:firstLine="640" w:firstLineChars="200"/>
        <w:rPr>
          <w:rFonts w:ascii="仿宋" w:hAnsi="仿宋" w:eastAsia="仿宋" w:cs="仿宋"/>
          <w:sz w:val="32"/>
          <w:szCs w:val="32"/>
        </w:rPr>
      </w:pPr>
      <w:r>
        <w:rPr>
          <w:rFonts w:hint="eastAsia" w:ascii="仿宋" w:hAnsi="仿宋" w:eastAsia="仿宋" w:cs="仿宋"/>
          <w:sz w:val="32"/>
          <w:szCs w:val="32"/>
        </w:rPr>
        <w:t>（五）部门年度整体工作目标任务完成情况。</w:t>
      </w:r>
    </w:p>
    <w:p w14:paraId="35EEA5CA">
      <w:pPr>
        <w:spacing w:line="360" w:lineRule="auto"/>
        <w:ind w:firstLine="672" w:firstLineChars="200"/>
        <w:rPr>
          <w:rFonts w:ascii="仿宋" w:hAnsi="仿宋" w:eastAsia="仿宋" w:cs="仿宋"/>
          <w:color w:val="333333"/>
          <w:spacing w:val="8"/>
          <w:sz w:val="32"/>
          <w:szCs w:val="32"/>
          <w:shd w:val="clear" w:color="auto" w:fill="FFFFFF"/>
        </w:rPr>
      </w:pPr>
      <w:r>
        <w:rPr>
          <w:rFonts w:hint="eastAsia" w:ascii="仿宋" w:hAnsi="仿宋" w:eastAsia="仿宋" w:cs="仿宋"/>
          <w:color w:val="333333"/>
          <w:spacing w:val="8"/>
          <w:sz w:val="32"/>
          <w:szCs w:val="32"/>
          <w:shd w:val="clear" w:color="auto" w:fill="FFFFFF"/>
        </w:rPr>
        <w:t>202</w:t>
      </w:r>
      <w:r>
        <w:rPr>
          <w:rFonts w:hint="eastAsia" w:ascii="仿宋" w:hAnsi="仿宋" w:eastAsia="仿宋" w:cs="仿宋"/>
          <w:color w:val="333333"/>
          <w:spacing w:val="8"/>
          <w:sz w:val="32"/>
          <w:szCs w:val="32"/>
          <w:shd w:val="clear" w:color="auto" w:fill="FFFFFF"/>
          <w:lang w:val="en-US" w:eastAsia="zh-CN"/>
        </w:rPr>
        <w:t>3</w:t>
      </w:r>
      <w:r>
        <w:rPr>
          <w:rFonts w:hint="eastAsia" w:ascii="仿宋" w:hAnsi="仿宋" w:eastAsia="仿宋" w:cs="仿宋"/>
          <w:color w:val="333333"/>
          <w:spacing w:val="8"/>
          <w:sz w:val="32"/>
          <w:szCs w:val="32"/>
          <w:shd w:val="clear" w:color="auto" w:fill="FFFFFF"/>
        </w:rPr>
        <w:t>年我部门较好的完成了妇幼工作，提高了儿童妇女健康水平，提升了出生人口素质。本部门</w:t>
      </w:r>
      <w:r>
        <w:rPr>
          <w:rFonts w:hint="eastAsia" w:ascii="仿宋" w:hAnsi="仿宋" w:eastAsia="仿宋" w:cs="仿宋"/>
          <w:sz w:val="32"/>
          <w:szCs w:val="32"/>
        </w:rPr>
        <w:t>工作目标任务完成情况如下：</w:t>
      </w:r>
    </w:p>
    <w:p w14:paraId="58062C97">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1、免费婚前医学检查。婚姻登记处为</w:t>
      </w:r>
      <w:r>
        <w:rPr>
          <w:rFonts w:hint="eastAsia" w:ascii="仿宋" w:hAnsi="仿宋" w:eastAsia="仿宋" w:cs="仿宋"/>
          <w:sz w:val="32"/>
          <w:szCs w:val="32"/>
          <w:lang w:val="en-US" w:eastAsia="zh-CN"/>
        </w:rPr>
        <w:t>2084</w:t>
      </w:r>
      <w:r>
        <w:rPr>
          <w:rFonts w:hint="eastAsia" w:ascii="仿宋" w:hAnsi="仿宋" w:eastAsia="仿宋" w:cs="仿宋"/>
          <w:sz w:val="32"/>
          <w:szCs w:val="32"/>
        </w:rPr>
        <w:t>人，实际完成</w:t>
      </w:r>
      <w:r>
        <w:rPr>
          <w:rFonts w:hint="eastAsia" w:ascii="仿宋" w:hAnsi="仿宋" w:eastAsia="仿宋" w:cs="仿宋"/>
          <w:sz w:val="32"/>
          <w:szCs w:val="32"/>
          <w:lang w:val="en-US" w:eastAsia="zh-CN"/>
        </w:rPr>
        <w:t>1882</w:t>
      </w:r>
      <w:r>
        <w:rPr>
          <w:rFonts w:hint="eastAsia" w:ascii="仿宋" w:hAnsi="仿宋" w:eastAsia="仿宋" w:cs="仿宋"/>
          <w:sz w:val="32"/>
          <w:szCs w:val="32"/>
        </w:rPr>
        <w:t>人，婚检率达到90.</w:t>
      </w:r>
      <w:r>
        <w:rPr>
          <w:rFonts w:hint="eastAsia" w:ascii="仿宋" w:hAnsi="仿宋" w:eastAsia="仿宋" w:cs="仿宋"/>
          <w:sz w:val="32"/>
          <w:szCs w:val="32"/>
          <w:lang w:val="en-US" w:eastAsia="zh-CN"/>
        </w:rPr>
        <w:t>3</w:t>
      </w:r>
      <w:r>
        <w:rPr>
          <w:rFonts w:hint="eastAsia" w:ascii="仿宋" w:hAnsi="仿宋" w:eastAsia="仿宋" w:cs="仿宋"/>
          <w:sz w:val="32"/>
          <w:szCs w:val="32"/>
        </w:rPr>
        <w:t>%，婚检率达到</w:t>
      </w:r>
      <w:r>
        <w:rPr>
          <w:rFonts w:hint="eastAsia" w:ascii="仿宋" w:hAnsi="仿宋" w:eastAsia="仿宋" w:cs="仿宋"/>
          <w:sz w:val="32"/>
          <w:szCs w:val="32"/>
          <w:lang w:val="en-US" w:eastAsia="zh-CN"/>
        </w:rPr>
        <w:t>9</w:t>
      </w:r>
      <w:r>
        <w:rPr>
          <w:rFonts w:hint="eastAsia" w:ascii="仿宋" w:hAnsi="仿宋" w:eastAsia="仿宋" w:cs="仿宋"/>
          <w:sz w:val="32"/>
          <w:szCs w:val="32"/>
        </w:rPr>
        <w:t>0%合格，完成上级筛查任务，降低出生缺陷发生情况，提高全县人口素质。服务群众较满意。</w:t>
      </w:r>
    </w:p>
    <w:p w14:paraId="2AB0D173">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2、农村适龄妇女两癌免费筛查。任务数4144人，实际完成4</w:t>
      </w:r>
      <w:r>
        <w:rPr>
          <w:rFonts w:hint="eastAsia" w:ascii="仿宋" w:hAnsi="仿宋" w:eastAsia="仿宋" w:cs="仿宋"/>
          <w:sz w:val="32"/>
          <w:szCs w:val="32"/>
          <w:lang w:val="en-US" w:eastAsia="zh-CN"/>
        </w:rPr>
        <w:t>152</w:t>
      </w:r>
      <w:r>
        <w:rPr>
          <w:rFonts w:hint="eastAsia" w:ascii="仿宋" w:hAnsi="仿宋" w:eastAsia="仿宋" w:cs="仿宋"/>
          <w:sz w:val="32"/>
          <w:szCs w:val="32"/>
        </w:rPr>
        <w:t>人，</w:t>
      </w:r>
      <w:r>
        <w:rPr>
          <w:rFonts w:hint="eastAsia" w:ascii="仿宋" w:hAnsi="仿宋" w:eastAsia="仿宋" w:cs="仿宋"/>
          <w:sz w:val="32"/>
          <w:szCs w:val="32"/>
          <w:lang w:eastAsia="zh-CN"/>
        </w:rPr>
        <w:t>两癌筛查率</w:t>
      </w:r>
      <w:r>
        <w:rPr>
          <w:rFonts w:hint="eastAsia" w:ascii="仿宋" w:hAnsi="仿宋" w:eastAsia="仿宋" w:cs="仿宋"/>
          <w:sz w:val="32"/>
          <w:szCs w:val="32"/>
          <w:lang w:val="en-US" w:eastAsia="zh-CN"/>
        </w:rPr>
        <w:t>100%，</w:t>
      </w:r>
      <w:r>
        <w:rPr>
          <w:rFonts w:hint="eastAsia" w:ascii="仿宋" w:hAnsi="仿宋" w:eastAsia="仿宋" w:cs="仿宋"/>
          <w:sz w:val="32"/>
          <w:szCs w:val="32"/>
        </w:rPr>
        <w:t>完成上级筛查任务，及时发现辖区两癌患者，提升妇女“两癌”意识，树立健康文明理念，培养良好生活方式。服务群众较满意。</w:t>
      </w:r>
    </w:p>
    <w:p w14:paraId="1D237386">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3、孕产妇免费产前筛查</w:t>
      </w:r>
      <w:r>
        <w:rPr>
          <w:rFonts w:hint="eastAsia" w:ascii="仿宋" w:hAnsi="仿宋" w:eastAsia="仿宋" w:cs="仿宋"/>
          <w:sz w:val="32"/>
          <w:szCs w:val="32"/>
          <w:lang w:eastAsia="zh-CN"/>
        </w:rPr>
        <w:t>及先心病筛查</w:t>
      </w:r>
      <w:r>
        <w:rPr>
          <w:rFonts w:hint="eastAsia" w:ascii="仿宋" w:hAnsi="仿宋" w:eastAsia="仿宋" w:cs="仿宋"/>
          <w:sz w:val="32"/>
          <w:szCs w:val="32"/>
        </w:rPr>
        <w:t>。任务数</w:t>
      </w:r>
      <w:r>
        <w:rPr>
          <w:rFonts w:hint="eastAsia" w:ascii="仿宋" w:hAnsi="仿宋" w:eastAsia="仿宋" w:cs="仿宋"/>
          <w:sz w:val="32"/>
          <w:szCs w:val="32"/>
          <w:lang w:eastAsia="zh-CN"/>
        </w:rPr>
        <w:t>均为</w:t>
      </w:r>
      <w:r>
        <w:rPr>
          <w:rFonts w:hint="eastAsia" w:ascii="仿宋" w:hAnsi="仿宋" w:eastAsia="仿宋" w:cs="仿宋"/>
          <w:sz w:val="32"/>
          <w:szCs w:val="32"/>
        </w:rPr>
        <w:t>1</w:t>
      </w:r>
      <w:r>
        <w:rPr>
          <w:rFonts w:hint="eastAsia" w:ascii="仿宋" w:hAnsi="仿宋" w:eastAsia="仿宋" w:cs="仿宋"/>
          <w:sz w:val="32"/>
          <w:szCs w:val="32"/>
          <w:lang w:val="en-US" w:eastAsia="zh-CN"/>
        </w:rPr>
        <w:t>3</w:t>
      </w:r>
      <w:r>
        <w:rPr>
          <w:rFonts w:hint="eastAsia" w:ascii="仿宋" w:hAnsi="仿宋" w:eastAsia="仿宋" w:cs="仿宋"/>
          <w:sz w:val="32"/>
          <w:szCs w:val="32"/>
        </w:rPr>
        <w:t>00人，孕产妇免费产前筛查实际完成</w:t>
      </w:r>
      <w:r>
        <w:rPr>
          <w:rFonts w:hint="eastAsia" w:ascii="仿宋" w:hAnsi="仿宋" w:eastAsia="仿宋" w:cs="仿宋"/>
          <w:sz w:val="32"/>
          <w:szCs w:val="32"/>
          <w:lang w:val="en-US" w:eastAsia="zh-CN"/>
        </w:rPr>
        <w:t>1352</w:t>
      </w:r>
      <w:r>
        <w:rPr>
          <w:rFonts w:hint="eastAsia" w:ascii="仿宋" w:hAnsi="仿宋" w:eastAsia="仿宋" w:cs="仿宋"/>
          <w:sz w:val="32"/>
          <w:szCs w:val="32"/>
        </w:rPr>
        <w:t>人，</w:t>
      </w:r>
      <w:r>
        <w:rPr>
          <w:rFonts w:hint="eastAsia" w:ascii="仿宋" w:hAnsi="仿宋" w:eastAsia="仿宋" w:cs="仿宋"/>
          <w:sz w:val="32"/>
          <w:szCs w:val="32"/>
          <w:lang w:eastAsia="zh-CN"/>
        </w:rPr>
        <w:t>先心病筛查</w:t>
      </w:r>
      <w:r>
        <w:rPr>
          <w:rFonts w:hint="eastAsia" w:ascii="仿宋" w:hAnsi="仿宋" w:eastAsia="仿宋" w:cs="仿宋"/>
          <w:sz w:val="32"/>
          <w:szCs w:val="32"/>
        </w:rPr>
        <w:t>实际完成</w:t>
      </w:r>
      <w:r>
        <w:rPr>
          <w:rFonts w:hint="eastAsia" w:ascii="仿宋" w:hAnsi="仿宋" w:eastAsia="仿宋" w:cs="仿宋"/>
          <w:sz w:val="32"/>
          <w:szCs w:val="32"/>
          <w:lang w:val="en-US" w:eastAsia="zh-CN"/>
        </w:rPr>
        <w:t>1393</w:t>
      </w:r>
      <w:r>
        <w:rPr>
          <w:rFonts w:hint="eastAsia" w:ascii="仿宋" w:hAnsi="仿宋" w:eastAsia="仿宋" w:cs="仿宋"/>
          <w:sz w:val="32"/>
          <w:szCs w:val="32"/>
        </w:rPr>
        <w:t>人</w:t>
      </w:r>
      <w:r>
        <w:rPr>
          <w:rFonts w:hint="eastAsia" w:ascii="仿宋" w:hAnsi="仿宋" w:eastAsia="仿宋" w:cs="仿宋"/>
          <w:sz w:val="32"/>
          <w:szCs w:val="32"/>
          <w:lang w:eastAsia="zh-CN"/>
        </w:rPr>
        <w:t>，</w:t>
      </w:r>
      <w:r>
        <w:rPr>
          <w:rFonts w:hint="eastAsia" w:ascii="仿宋" w:hAnsi="仿宋" w:eastAsia="仿宋" w:cs="仿宋"/>
          <w:sz w:val="32"/>
          <w:szCs w:val="32"/>
        </w:rPr>
        <w:t>完成上级筛查任务，产前筛查每人补助174元，</w:t>
      </w:r>
      <w:r>
        <w:rPr>
          <w:rFonts w:hint="eastAsia" w:ascii="仿宋" w:hAnsi="仿宋" w:eastAsia="仿宋" w:cs="仿宋"/>
          <w:sz w:val="32"/>
          <w:szCs w:val="32"/>
          <w:lang w:eastAsia="zh-CN"/>
        </w:rPr>
        <w:t>先心病筛查</w:t>
      </w:r>
      <w:r>
        <w:rPr>
          <w:rFonts w:hint="eastAsia" w:ascii="仿宋" w:hAnsi="仿宋" w:eastAsia="仿宋" w:cs="仿宋"/>
          <w:sz w:val="32"/>
          <w:szCs w:val="32"/>
        </w:rPr>
        <w:t>每人补助</w:t>
      </w:r>
      <w:r>
        <w:rPr>
          <w:rFonts w:hint="eastAsia" w:ascii="仿宋" w:hAnsi="仿宋" w:eastAsia="仿宋" w:cs="仿宋"/>
          <w:sz w:val="32"/>
          <w:szCs w:val="32"/>
          <w:lang w:val="en-US" w:eastAsia="zh-CN"/>
        </w:rPr>
        <w:t>38</w:t>
      </w:r>
      <w:r>
        <w:rPr>
          <w:rFonts w:hint="eastAsia" w:ascii="仿宋" w:hAnsi="仿宋" w:eastAsia="仿宋" w:cs="仿宋"/>
          <w:sz w:val="32"/>
          <w:szCs w:val="32"/>
        </w:rPr>
        <w:t>元</w:t>
      </w:r>
      <w:r>
        <w:rPr>
          <w:rFonts w:hint="eastAsia" w:ascii="仿宋" w:hAnsi="仿宋" w:eastAsia="仿宋" w:cs="仿宋"/>
          <w:sz w:val="32"/>
          <w:szCs w:val="32"/>
          <w:lang w:eastAsia="zh-CN"/>
        </w:rPr>
        <w:t>，</w:t>
      </w:r>
      <w:r>
        <w:rPr>
          <w:rFonts w:hint="eastAsia" w:ascii="仿宋" w:hAnsi="仿宋" w:eastAsia="仿宋" w:cs="仿宋"/>
          <w:sz w:val="32"/>
          <w:szCs w:val="32"/>
        </w:rPr>
        <w:t>产筛异常干预每人补助500元，预防缺陷儿出生，提高人口素质。</w:t>
      </w:r>
      <w:r>
        <w:rPr>
          <w:rFonts w:hint="eastAsia" w:ascii="仿宋" w:hAnsi="仿宋" w:eastAsia="仿宋" w:cs="仿宋"/>
          <w:sz w:val="32"/>
          <w:szCs w:val="32"/>
          <w:lang w:val="en-US" w:eastAsia="zh-CN"/>
        </w:rPr>
        <w:t>2023年</w:t>
      </w:r>
      <w:r>
        <w:rPr>
          <w:rFonts w:hint="eastAsia" w:ascii="仿宋" w:hAnsi="仿宋" w:eastAsia="仿宋" w:cs="仿宋"/>
          <w:sz w:val="32"/>
          <w:szCs w:val="32"/>
        </w:rPr>
        <w:t>产前筛查</w:t>
      </w:r>
      <w:r>
        <w:rPr>
          <w:rFonts w:hint="eastAsia" w:ascii="仿宋" w:hAnsi="仿宋" w:eastAsia="仿宋" w:cs="仿宋"/>
          <w:sz w:val="32"/>
          <w:szCs w:val="32"/>
          <w:lang w:eastAsia="zh-CN"/>
        </w:rPr>
        <w:t>及先心病筛查</w:t>
      </w:r>
      <w:r>
        <w:rPr>
          <w:rFonts w:hint="eastAsia" w:ascii="仿宋" w:hAnsi="仿宋" w:eastAsia="仿宋" w:cs="仿宋"/>
          <w:sz w:val="32"/>
          <w:szCs w:val="32"/>
        </w:rPr>
        <w:t>因财政资金未下达到位结转下年支付。服务群众较满意。</w:t>
      </w:r>
    </w:p>
    <w:p w14:paraId="27A45949">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4、艾滋病母婴阻断。对辖区内的孕产妇艾滋病、梅毒和乙肝免费检测、质询、干预、项目宣传、培训、督导、设备维护等，降低艾滋病、梅毒和乙肝母婴传播、降低疾病发生率。202</w:t>
      </w:r>
      <w:r>
        <w:rPr>
          <w:rFonts w:hint="eastAsia" w:ascii="仿宋" w:hAnsi="仿宋" w:eastAsia="仿宋" w:cs="仿宋"/>
          <w:sz w:val="32"/>
          <w:szCs w:val="32"/>
          <w:lang w:val="en-US" w:eastAsia="zh-CN"/>
        </w:rPr>
        <w:t>3</w:t>
      </w:r>
      <w:r>
        <w:rPr>
          <w:rFonts w:hint="eastAsia" w:ascii="仿宋" w:hAnsi="仿宋" w:eastAsia="仿宋" w:cs="仿宋"/>
          <w:sz w:val="32"/>
          <w:szCs w:val="32"/>
        </w:rPr>
        <w:t>年孕产妇艾滋病、梅毒和乙肝检测率达</w:t>
      </w:r>
      <w:r>
        <w:rPr>
          <w:rFonts w:hint="eastAsia" w:ascii="仿宋" w:hAnsi="仿宋" w:eastAsia="仿宋" w:cs="仿宋"/>
          <w:color w:val="auto"/>
          <w:sz w:val="32"/>
          <w:szCs w:val="32"/>
          <w:lang w:val="en-US" w:eastAsia="zh-CN"/>
        </w:rPr>
        <w:t>99.74</w:t>
      </w:r>
      <w:r>
        <w:rPr>
          <w:rFonts w:hint="eastAsia" w:ascii="仿宋" w:hAnsi="仿宋" w:eastAsia="仿宋" w:cs="仿宋"/>
          <w:sz w:val="32"/>
          <w:szCs w:val="32"/>
        </w:rPr>
        <w:t>%，超过95%达标。服务群众较满意。</w:t>
      </w:r>
    </w:p>
    <w:p w14:paraId="6E037197">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5、降消。全年无新生儿破伤风发生，无孕产妇死亡，孕产妇死亡率在正常范围。对基层助产机构进行培训、督导，降低孕产妇死亡和消除新生儿破伤风，保障妇女儿童生命安全。服务群众较满意。</w:t>
      </w:r>
    </w:p>
    <w:p w14:paraId="79275EC1">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6、基本公共卫生服务。包括两癌、新筛、基本避孕、孕前优生、叶酸、儿童营养改善6项，</w:t>
      </w:r>
      <w:r>
        <w:rPr>
          <w:rFonts w:hint="eastAsia" w:ascii="仿宋" w:hAnsi="仿宋" w:eastAsia="仿宋" w:cs="仿宋"/>
          <w:sz w:val="30"/>
          <w:szCs w:val="30"/>
        </w:rPr>
        <w:t>辖区活产人数</w:t>
      </w:r>
      <w:r>
        <w:rPr>
          <w:rFonts w:hint="eastAsia" w:ascii="仿宋" w:hAnsi="仿宋" w:eastAsia="仿宋" w:cs="仿宋"/>
          <w:color w:val="auto"/>
          <w:sz w:val="32"/>
          <w:szCs w:val="32"/>
          <w:lang w:val="en-US" w:eastAsia="zh-CN"/>
        </w:rPr>
        <w:t>1184</w:t>
      </w:r>
      <w:r>
        <w:rPr>
          <w:rFonts w:hint="eastAsia" w:ascii="仿宋" w:hAnsi="仿宋" w:eastAsia="仿宋" w:cs="仿宋"/>
          <w:sz w:val="30"/>
          <w:szCs w:val="30"/>
        </w:rPr>
        <w:t>人，辖区新筛</w:t>
      </w:r>
      <w:r>
        <w:rPr>
          <w:rFonts w:hint="eastAsia" w:ascii="仿宋" w:hAnsi="仿宋" w:eastAsia="仿宋" w:cs="仿宋"/>
          <w:sz w:val="30"/>
          <w:szCs w:val="30"/>
          <w:lang w:eastAsia="zh-CN"/>
        </w:rPr>
        <w:t>、听筛</w:t>
      </w:r>
      <w:r>
        <w:rPr>
          <w:rFonts w:hint="eastAsia" w:ascii="仿宋" w:hAnsi="仿宋" w:eastAsia="仿宋" w:cs="仿宋"/>
          <w:sz w:val="30"/>
          <w:szCs w:val="30"/>
        </w:rPr>
        <w:t>人数</w:t>
      </w:r>
      <w:r>
        <w:rPr>
          <w:rFonts w:hint="eastAsia" w:ascii="仿宋" w:hAnsi="仿宋" w:eastAsia="仿宋" w:cs="仿宋"/>
          <w:color w:val="auto"/>
          <w:sz w:val="32"/>
          <w:szCs w:val="32"/>
          <w:lang w:val="en-US" w:eastAsia="zh-CN"/>
        </w:rPr>
        <w:t>1181</w:t>
      </w:r>
      <w:r>
        <w:rPr>
          <w:rFonts w:hint="eastAsia" w:ascii="仿宋" w:hAnsi="仿宋" w:eastAsia="仿宋" w:cs="仿宋"/>
          <w:sz w:val="30"/>
          <w:szCs w:val="30"/>
        </w:rPr>
        <w:t>人，筛查率99.</w:t>
      </w:r>
      <w:r>
        <w:rPr>
          <w:rFonts w:hint="eastAsia" w:ascii="仿宋" w:hAnsi="仿宋" w:eastAsia="仿宋" w:cs="仿宋"/>
          <w:sz w:val="30"/>
          <w:szCs w:val="30"/>
          <w:lang w:val="en-US" w:eastAsia="zh-CN"/>
        </w:rPr>
        <w:t>75</w:t>
      </w:r>
      <w:r>
        <w:rPr>
          <w:rFonts w:hint="eastAsia" w:ascii="仿宋" w:hAnsi="仿宋" w:eastAsia="仿宋" w:cs="仿宋"/>
          <w:sz w:val="30"/>
          <w:szCs w:val="30"/>
        </w:rPr>
        <w:t>%，新筛阳性人数0人，</w:t>
      </w:r>
      <w:r>
        <w:rPr>
          <w:rFonts w:hint="eastAsia" w:ascii="仿宋" w:hAnsi="仿宋" w:eastAsia="仿宋" w:cs="仿宋"/>
          <w:sz w:val="32"/>
          <w:szCs w:val="32"/>
        </w:rPr>
        <w:t>降低我县儿童智障和听力残疾发生率。202</w:t>
      </w:r>
      <w:r>
        <w:rPr>
          <w:rFonts w:hint="eastAsia" w:ascii="仿宋" w:hAnsi="仿宋" w:eastAsia="仿宋" w:cs="仿宋"/>
          <w:sz w:val="32"/>
          <w:szCs w:val="32"/>
          <w:lang w:val="en-US" w:eastAsia="zh-CN"/>
        </w:rPr>
        <w:t>3</w:t>
      </w:r>
      <w:r>
        <w:rPr>
          <w:rFonts w:hint="eastAsia" w:ascii="仿宋" w:hAnsi="仿宋" w:eastAsia="仿宋" w:cs="仿宋"/>
          <w:sz w:val="32"/>
          <w:szCs w:val="32"/>
        </w:rPr>
        <w:t>年我院计划生育服务总人数</w:t>
      </w:r>
      <w:r>
        <w:rPr>
          <w:rFonts w:hint="eastAsia" w:ascii="仿宋" w:hAnsi="仿宋" w:eastAsia="仿宋" w:cs="仿宋"/>
          <w:sz w:val="32"/>
          <w:szCs w:val="32"/>
          <w:lang w:val="en-US" w:eastAsia="zh-CN"/>
        </w:rPr>
        <w:t>64</w:t>
      </w:r>
      <w:r>
        <w:rPr>
          <w:rFonts w:hint="eastAsia" w:ascii="仿宋" w:hAnsi="仿宋" w:eastAsia="仿宋" w:cs="仿宋"/>
          <w:sz w:val="32"/>
          <w:szCs w:val="32"/>
        </w:rPr>
        <w:t>例，落实计划生育让老百姓受益。免费孕前优生健康检查任务数1400人，实际完成14</w:t>
      </w:r>
      <w:r>
        <w:rPr>
          <w:rFonts w:hint="eastAsia" w:ascii="仿宋" w:hAnsi="仿宋" w:eastAsia="仿宋" w:cs="仿宋"/>
          <w:sz w:val="32"/>
          <w:szCs w:val="32"/>
          <w:lang w:val="en-US" w:eastAsia="zh-CN"/>
        </w:rPr>
        <w:t>16</w:t>
      </w:r>
      <w:r>
        <w:rPr>
          <w:rFonts w:hint="eastAsia" w:ascii="仿宋" w:hAnsi="仿宋" w:eastAsia="仿宋" w:cs="仿宋"/>
          <w:sz w:val="32"/>
          <w:szCs w:val="32"/>
        </w:rPr>
        <w:t>人，提高全县人口素质，扩大孕前优生覆盖率，完成检查率101%。叶酸应服用人数</w:t>
      </w:r>
      <w:r>
        <w:rPr>
          <w:rFonts w:hint="eastAsia" w:ascii="仿宋" w:hAnsi="仿宋" w:eastAsia="仿宋" w:cs="仿宋"/>
          <w:sz w:val="32"/>
          <w:szCs w:val="32"/>
          <w:lang w:val="en-US" w:eastAsia="zh-CN"/>
        </w:rPr>
        <w:t>1406</w:t>
      </w:r>
      <w:r>
        <w:rPr>
          <w:rFonts w:hint="eastAsia" w:ascii="仿宋" w:hAnsi="仿宋" w:eastAsia="仿宋" w:cs="仿宋"/>
          <w:sz w:val="32"/>
          <w:szCs w:val="32"/>
        </w:rPr>
        <w:t>人，服用人数</w:t>
      </w:r>
      <w:r>
        <w:rPr>
          <w:rFonts w:hint="eastAsia" w:ascii="仿宋" w:hAnsi="仿宋" w:eastAsia="仿宋" w:cs="仿宋"/>
          <w:sz w:val="32"/>
          <w:szCs w:val="32"/>
          <w:lang w:val="en-US" w:eastAsia="zh-CN"/>
        </w:rPr>
        <w:t>1386</w:t>
      </w:r>
      <w:r>
        <w:rPr>
          <w:rFonts w:hint="eastAsia" w:ascii="仿宋" w:hAnsi="仿宋" w:eastAsia="仿宋" w:cs="仿宋"/>
          <w:sz w:val="32"/>
          <w:szCs w:val="32"/>
        </w:rPr>
        <w:t>人，规范服用人数</w:t>
      </w:r>
      <w:r>
        <w:rPr>
          <w:rFonts w:hint="eastAsia" w:ascii="仿宋" w:hAnsi="仿宋" w:eastAsia="仿宋" w:cs="仿宋"/>
          <w:sz w:val="32"/>
          <w:szCs w:val="32"/>
          <w:lang w:val="en-US" w:eastAsia="zh-CN"/>
        </w:rPr>
        <w:t>1246</w:t>
      </w:r>
      <w:r>
        <w:rPr>
          <w:rFonts w:hint="eastAsia" w:ascii="仿宋" w:hAnsi="仿宋" w:eastAsia="仿宋" w:cs="仿宋"/>
          <w:sz w:val="32"/>
          <w:szCs w:val="32"/>
        </w:rPr>
        <w:t>人，服用率</w:t>
      </w:r>
      <w:r>
        <w:rPr>
          <w:rFonts w:hint="eastAsia" w:ascii="仿宋" w:hAnsi="仿宋" w:eastAsia="仿宋" w:cs="仿宋"/>
          <w:sz w:val="32"/>
          <w:szCs w:val="32"/>
          <w:lang w:val="en-US" w:eastAsia="zh-CN"/>
        </w:rPr>
        <w:t>98.85</w:t>
      </w:r>
      <w:r>
        <w:rPr>
          <w:rFonts w:hint="eastAsia" w:ascii="仿宋" w:hAnsi="仿宋" w:eastAsia="仿宋" w:cs="仿宋"/>
          <w:sz w:val="32"/>
          <w:szCs w:val="32"/>
        </w:rPr>
        <w:t>%，依从率</w:t>
      </w:r>
      <w:r>
        <w:rPr>
          <w:rFonts w:hint="eastAsia" w:ascii="仿宋" w:hAnsi="仿宋" w:eastAsia="仿宋" w:cs="仿宋"/>
          <w:sz w:val="32"/>
          <w:szCs w:val="32"/>
          <w:lang w:val="en-US" w:eastAsia="zh-CN"/>
        </w:rPr>
        <w:t>98.58</w:t>
      </w:r>
      <w:r>
        <w:rPr>
          <w:rFonts w:hint="eastAsia" w:ascii="仿宋" w:hAnsi="仿宋" w:eastAsia="仿宋" w:cs="仿宋"/>
          <w:sz w:val="32"/>
          <w:szCs w:val="32"/>
        </w:rPr>
        <w:t>%。服务群众较满意。</w:t>
      </w:r>
    </w:p>
    <w:p w14:paraId="693B4809">
      <w:pPr>
        <w:spacing w:line="360" w:lineRule="auto"/>
        <w:ind w:firstLine="640" w:firstLineChars="200"/>
        <w:rPr>
          <w:rFonts w:ascii="宋体" w:hAnsi="宋体" w:eastAsia="宋体"/>
          <w:sz w:val="32"/>
          <w:szCs w:val="32"/>
        </w:rPr>
      </w:pPr>
      <w:r>
        <w:rPr>
          <w:rFonts w:hint="eastAsia" w:ascii="仿宋" w:hAnsi="仿宋" w:eastAsia="仿宋" w:cs="仿宋"/>
          <w:sz w:val="32"/>
          <w:szCs w:val="32"/>
        </w:rPr>
        <w:t>7、公立医院改革。用公立医院改革资金采购了B超壹台，</w:t>
      </w:r>
      <w:r>
        <w:rPr>
          <w:rFonts w:hint="eastAsia" w:ascii="仿宋" w:hAnsi="仿宋" w:eastAsia="仿宋" w:cs="仿宋"/>
          <w:sz w:val="32"/>
          <w:szCs w:val="32"/>
          <w:lang w:eastAsia="zh-CN"/>
        </w:rPr>
        <w:t>化验室装修、</w:t>
      </w:r>
      <w:r>
        <w:rPr>
          <w:rFonts w:hint="eastAsia" w:ascii="仿宋" w:hAnsi="仿宋" w:eastAsia="仿宋" w:cs="仿宋"/>
          <w:sz w:val="32"/>
          <w:szCs w:val="32"/>
        </w:rPr>
        <w:t>新大楼强电增补，提高医疗服务质量水平</w:t>
      </w:r>
      <w:r>
        <w:rPr>
          <w:rFonts w:hint="eastAsia" w:ascii="仿宋" w:hAnsi="仿宋" w:eastAsia="仿宋" w:cs="仿宋"/>
          <w:sz w:val="32"/>
          <w:szCs w:val="32"/>
          <w:lang w:eastAsia="zh-CN"/>
        </w:rPr>
        <w:t>，</w:t>
      </w:r>
      <w:r>
        <w:rPr>
          <w:rFonts w:hint="eastAsia" w:ascii="仿宋" w:hAnsi="仿宋" w:eastAsia="仿宋" w:cs="仿宋"/>
          <w:sz w:val="32"/>
          <w:szCs w:val="32"/>
        </w:rPr>
        <w:t>服务群众较满意。</w:t>
      </w:r>
    </w:p>
    <w:p w14:paraId="16731BB3">
      <w:pPr>
        <w:spacing w:after="0"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8、非税。202</w:t>
      </w:r>
      <w:r>
        <w:rPr>
          <w:rFonts w:hint="eastAsia" w:ascii="仿宋" w:hAnsi="仿宋" w:eastAsia="仿宋" w:cs="仿宋"/>
          <w:sz w:val="32"/>
          <w:szCs w:val="32"/>
          <w:lang w:val="en-US" w:eastAsia="zh-CN"/>
        </w:rPr>
        <w:t>3</w:t>
      </w:r>
      <w:r>
        <w:rPr>
          <w:rFonts w:hint="eastAsia" w:ascii="仿宋" w:hAnsi="仿宋" w:eastAsia="仿宋" w:cs="仿宋"/>
          <w:sz w:val="32"/>
          <w:szCs w:val="32"/>
        </w:rPr>
        <w:t>年预算非税专户收入任务数</w:t>
      </w:r>
      <w:r>
        <w:rPr>
          <w:rFonts w:hint="eastAsia" w:ascii="仿宋" w:hAnsi="仿宋" w:eastAsia="仿宋" w:cs="仿宋"/>
          <w:sz w:val="32"/>
          <w:szCs w:val="32"/>
          <w:lang w:val="en-US" w:eastAsia="zh-CN"/>
        </w:rPr>
        <w:t>60</w:t>
      </w:r>
      <w:r>
        <w:rPr>
          <w:rFonts w:hint="eastAsia" w:ascii="仿宋" w:hAnsi="仿宋" w:eastAsia="仿宋" w:cs="仿宋"/>
          <w:sz w:val="32"/>
          <w:szCs w:val="32"/>
        </w:rPr>
        <w:t>万元。本部门非税专户收入主要是医疗收费收入，202</w:t>
      </w:r>
      <w:r>
        <w:rPr>
          <w:rFonts w:hint="eastAsia" w:ascii="仿宋" w:hAnsi="仿宋" w:eastAsia="仿宋" w:cs="仿宋"/>
          <w:sz w:val="32"/>
          <w:szCs w:val="32"/>
          <w:lang w:val="en-US" w:eastAsia="zh-CN"/>
        </w:rPr>
        <w:t>3</w:t>
      </w:r>
      <w:r>
        <w:rPr>
          <w:rFonts w:hint="eastAsia" w:ascii="仿宋" w:hAnsi="仿宋" w:eastAsia="仿宋" w:cs="仿宋"/>
          <w:sz w:val="32"/>
          <w:szCs w:val="32"/>
        </w:rPr>
        <w:t>年实际完成非税收入</w:t>
      </w:r>
      <w:r>
        <w:rPr>
          <w:rFonts w:hint="eastAsia" w:ascii="仿宋" w:hAnsi="仿宋" w:eastAsia="仿宋" w:cs="仿宋"/>
          <w:sz w:val="32"/>
          <w:szCs w:val="32"/>
          <w:lang w:val="en-US" w:eastAsia="zh-CN"/>
        </w:rPr>
        <w:t>27.06</w:t>
      </w:r>
      <w:r>
        <w:rPr>
          <w:rFonts w:hint="eastAsia" w:ascii="仿宋" w:hAnsi="仿宋" w:eastAsia="仿宋" w:cs="仿宋"/>
          <w:sz w:val="32"/>
          <w:szCs w:val="32"/>
        </w:rPr>
        <w:t>万元，服务群众较满意。</w:t>
      </w:r>
    </w:p>
    <w:p w14:paraId="7C3E2641">
      <w:pPr>
        <w:shd w:val="solid" w:color="FFFFFF" w:fill="auto"/>
        <w:autoSpaceDN w:val="0"/>
        <w:spacing w:line="360" w:lineRule="auto"/>
        <w:ind w:firstLine="645"/>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9、疫情防控专项。2022年10月市级下文提升新冠核酸检测能力</w:t>
      </w:r>
      <w:r>
        <w:rPr>
          <w:rFonts w:hint="eastAsia" w:ascii="仿宋" w:hAnsi="仿宋" w:eastAsia="仿宋" w:cs="仿宋"/>
          <w:kern w:val="0"/>
          <w:sz w:val="32"/>
          <w:szCs w:val="32"/>
          <w:lang w:eastAsia="zh-CN"/>
        </w:rPr>
        <w:t>（怀防控发【</w:t>
      </w:r>
      <w:r>
        <w:rPr>
          <w:rFonts w:hint="eastAsia" w:ascii="仿宋" w:hAnsi="仿宋" w:eastAsia="仿宋" w:cs="仿宋"/>
          <w:kern w:val="0"/>
          <w:sz w:val="32"/>
          <w:szCs w:val="32"/>
          <w:lang w:val="en-US" w:eastAsia="zh-CN"/>
        </w:rPr>
        <w:t>2022</w:t>
      </w:r>
      <w:r>
        <w:rPr>
          <w:rFonts w:hint="eastAsia" w:ascii="仿宋" w:hAnsi="仿宋" w:eastAsia="仿宋" w:cs="仿宋"/>
          <w:kern w:val="0"/>
          <w:sz w:val="32"/>
          <w:szCs w:val="32"/>
          <w:lang w:eastAsia="zh-CN"/>
        </w:rPr>
        <w:t>】</w:t>
      </w:r>
      <w:r>
        <w:rPr>
          <w:rFonts w:hint="eastAsia" w:ascii="仿宋" w:hAnsi="仿宋" w:eastAsia="仿宋" w:cs="仿宋"/>
          <w:kern w:val="0"/>
          <w:sz w:val="32"/>
          <w:szCs w:val="32"/>
          <w:lang w:val="en-US" w:eastAsia="zh-CN"/>
        </w:rPr>
        <w:t>120号</w:t>
      </w:r>
      <w:r>
        <w:rPr>
          <w:rFonts w:hint="eastAsia" w:ascii="仿宋" w:hAnsi="仿宋" w:eastAsia="仿宋" w:cs="仿宋"/>
          <w:kern w:val="0"/>
          <w:sz w:val="32"/>
          <w:szCs w:val="32"/>
          <w:lang w:eastAsia="zh-CN"/>
        </w:rPr>
        <w:t>）</w:t>
      </w:r>
      <w:r>
        <w:rPr>
          <w:rFonts w:hint="eastAsia" w:ascii="仿宋" w:hAnsi="仿宋" w:eastAsia="仿宋" w:cs="仿宋"/>
          <w:sz w:val="32"/>
          <w:szCs w:val="32"/>
          <w:lang w:val="en-US" w:eastAsia="zh-CN"/>
        </w:rPr>
        <w:t>，中方县</w:t>
      </w:r>
      <w:r>
        <w:rPr>
          <w:rFonts w:hint="eastAsia" w:ascii="仿宋" w:hAnsi="仿宋" w:eastAsia="仿宋" w:cs="仿宋"/>
          <w:kern w:val="0"/>
          <w:sz w:val="32"/>
          <w:szCs w:val="32"/>
          <w:lang w:val="en-US" w:eastAsia="zh-CN"/>
        </w:rPr>
        <w:t>常委会议纪要（2022第31号）会议决定马上启动县妇计中心的核酸实验室建设，我部门新建核酸实验室，</w:t>
      </w:r>
      <w:r>
        <w:rPr>
          <w:rFonts w:hint="eastAsia" w:ascii="仿宋" w:hAnsi="仿宋" w:eastAsia="仿宋" w:cs="仿宋"/>
          <w:sz w:val="32"/>
          <w:szCs w:val="32"/>
        </w:rPr>
        <w:t>提升医院核酸检测能力，方便更多群众进行核</w:t>
      </w:r>
      <w:r>
        <w:rPr>
          <w:rFonts w:hint="eastAsia" w:ascii="仿宋" w:hAnsi="仿宋" w:eastAsia="仿宋" w:cs="仿宋"/>
          <w:sz w:val="32"/>
          <w:szCs w:val="32"/>
          <w:lang w:eastAsia="zh-CN"/>
        </w:rPr>
        <w:t>酸</w:t>
      </w:r>
      <w:r>
        <w:rPr>
          <w:rFonts w:hint="eastAsia" w:ascii="仿宋" w:hAnsi="仿宋" w:eastAsia="仿宋" w:cs="仿宋"/>
          <w:sz w:val="32"/>
          <w:szCs w:val="32"/>
        </w:rPr>
        <w:t>检测</w:t>
      </w:r>
      <w:r>
        <w:rPr>
          <w:rFonts w:hint="eastAsia" w:ascii="仿宋" w:hAnsi="仿宋" w:eastAsia="仿宋" w:cs="仿宋"/>
          <w:sz w:val="32"/>
          <w:szCs w:val="32"/>
          <w:lang w:eastAsia="zh-CN"/>
        </w:rPr>
        <w:t>，有效控制新冠传染</w:t>
      </w:r>
      <w:r>
        <w:rPr>
          <w:rFonts w:hint="eastAsia" w:ascii="仿宋" w:hAnsi="仿宋" w:eastAsia="仿宋" w:cs="仿宋"/>
          <w:sz w:val="32"/>
          <w:szCs w:val="32"/>
        </w:rPr>
        <w:t>。</w:t>
      </w:r>
      <w:r>
        <w:rPr>
          <w:rFonts w:hint="eastAsia" w:ascii="仿宋" w:hAnsi="仿宋" w:eastAsia="仿宋" w:cs="仿宋_GB2312"/>
          <w:sz w:val="32"/>
          <w:szCs w:val="32"/>
        </w:rPr>
        <w:t>群众较满意。</w:t>
      </w:r>
    </w:p>
    <w:p w14:paraId="7E82E74C">
      <w:pPr>
        <w:spacing w:after="0" w:line="360" w:lineRule="auto"/>
        <w:ind w:firstLine="640" w:firstLineChars="200"/>
        <w:rPr>
          <w:rFonts w:ascii="黑体" w:hAnsi="黑体" w:eastAsia="黑体" w:cs="黑体"/>
          <w:bCs/>
          <w:sz w:val="32"/>
          <w:szCs w:val="32"/>
        </w:rPr>
      </w:pPr>
      <w:r>
        <w:rPr>
          <w:rFonts w:hint="eastAsia" w:ascii="黑体" w:hAnsi="黑体" w:eastAsia="黑体" w:cs="黑体"/>
          <w:bCs/>
          <w:sz w:val="32"/>
          <w:szCs w:val="32"/>
        </w:rPr>
        <w:t>二、部门整体评价工作开展</w:t>
      </w:r>
    </w:p>
    <w:p w14:paraId="18BD5CB2">
      <w:pPr>
        <w:spacing w:after="0" w:line="360" w:lineRule="auto"/>
        <w:ind w:firstLine="596" w:firstLineChars="200"/>
        <w:rPr>
          <w:rFonts w:ascii="仿宋" w:hAnsi="仿宋" w:eastAsia="仿宋" w:cs="仿宋"/>
          <w:bCs/>
          <w:spacing w:val="-11"/>
          <w:sz w:val="32"/>
          <w:szCs w:val="32"/>
        </w:rPr>
      </w:pPr>
      <w:r>
        <w:rPr>
          <w:rFonts w:hint="eastAsia" w:ascii="仿宋" w:hAnsi="仿宋" w:eastAsia="仿宋" w:cs="仿宋"/>
          <w:spacing w:val="-11"/>
          <w:sz w:val="32"/>
          <w:szCs w:val="32"/>
        </w:rPr>
        <w:t>（一）绩效评价实施过程情况。</w:t>
      </w:r>
    </w:p>
    <w:p w14:paraId="75DDC2BE">
      <w:pPr>
        <w:spacing w:after="0" w:line="360" w:lineRule="auto"/>
        <w:ind w:firstLine="640" w:firstLineChars="200"/>
        <w:rPr>
          <w:rFonts w:ascii="仿宋" w:hAnsi="仿宋" w:eastAsia="仿宋" w:cs="仿宋"/>
          <w:bCs/>
          <w:spacing w:val="-11"/>
          <w:sz w:val="32"/>
          <w:szCs w:val="32"/>
        </w:rPr>
      </w:pPr>
      <w:r>
        <w:rPr>
          <w:rFonts w:hint="eastAsia" w:ascii="仿宋" w:hAnsi="仿宋" w:eastAsia="仿宋" w:cs="仿宋"/>
          <w:sz w:val="32"/>
          <w:szCs w:val="32"/>
        </w:rPr>
        <w:t>绩效评价持客观原则，以绩效管理方法通过资金投入、预算管理、工作成效、社会效益等来评价。</w:t>
      </w:r>
      <w:r>
        <w:rPr>
          <w:rFonts w:hint="eastAsia" w:ascii="仿宋" w:hAnsi="仿宋" w:eastAsia="仿宋" w:cs="仿宋_GB2312"/>
          <w:sz w:val="32"/>
          <w:szCs w:val="32"/>
          <w:shd w:val="clear" w:color="auto" w:fill="FFFFFF"/>
        </w:rPr>
        <w:t>成立了领导小组和技术小组，明确了各个机构的职责，</w:t>
      </w:r>
      <w:r>
        <w:rPr>
          <w:rFonts w:hint="eastAsia" w:ascii="仿宋" w:hAnsi="仿宋" w:eastAsia="仿宋" w:cs="仿宋"/>
          <w:sz w:val="32"/>
          <w:szCs w:val="32"/>
        </w:rPr>
        <w:t>健全了内部控制制度，从以上各专项目标任务完成情况来看，各项目都取得了较好的社会效益</w:t>
      </w:r>
      <w:r>
        <w:rPr>
          <w:rFonts w:hint="eastAsia" w:ascii="仿宋" w:hAnsi="仿宋" w:eastAsia="仿宋" w:cs="宋体"/>
          <w:sz w:val="32"/>
          <w:szCs w:val="32"/>
        </w:rPr>
        <w:t>。</w:t>
      </w:r>
    </w:p>
    <w:p w14:paraId="321E07B8">
      <w:pPr>
        <w:spacing w:after="0" w:line="360" w:lineRule="auto"/>
        <w:ind w:firstLine="640" w:firstLineChars="200"/>
        <w:rPr>
          <w:rFonts w:ascii="仿宋" w:hAnsi="仿宋" w:eastAsia="仿宋" w:cs="仿宋"/>
          <w:sz w:val="32"/>
          <w:szCs w:val="32"/>
        </w:rPr>
      </w:pPr>
      <w:r>
        <w:rPr>
          <w:rFonts w:hint="eastAsia" w:ascii="仿宋" w:hAnsi="仿宋" w:eastAsia="仿宋" w:cs="仿宋"/>
          <w:sz w:val="32"/>
          <w:szCs w:val="32"/>
        </w:rPr>
        <w:t>（二）绩效评价整体结果概况</w:t>
      </w:r>
      <w:r>
        <w:rPr>
          <w:rFonts w:hint="eastAsia" w:ascii="仿宋" w:hAnsi="仿宋" w:eastAsia="仿宋" w:cs="仿宋"/>
          <w:bCs/>
          <w:sz w:val="32"/>
          <w:szCs w:val="32"/>
        </w:rPr>
        <w:t>。</w:t>
      </w:r>
    </w:p>
    <w:p w14:paraId="4D1B48FD">
      <w:pPr>
        <w:spacing w:after="0" w:line="360" w:lineRule="auto"/>
        <w:ind w:firstLine="640" w:firstLineChars="200"/>
        <w:rPr>
          <w:rFonts w:ascii="仿宋" w:hAnsi="仿宋" w:eastAsia="仿宋" w:cs="宋体"/>
          <w:sz w:val="32"/>
          <w:szCs w:val="32"/>
        </w:rPr>
      </w:pPr>
      <w:r>
        <w:rPr>
          <w:rFonts w:hint="eastAsia" w:ascii="仿宋" w:hAnsi="仿宋" w:eastAsia="仿宋" w:cs="仿宋"/>
          <w:sz w:val="32"/>
          <w:szCs w:val="32"/>
        </w:rPr>
        <w:t>自我填报《</w:t>
      </w:r>
      <w:r>
        <w:rPr>
          <w:rFonts w:hint="eastAsia" w:ascii="仿宋" w:hAnsi="仿宋" w:eastAsia="仿宋" w:cs="方正小标宋简体"/>
          <w:bCs/>
          <w:color w:val="000000"/>
          <w:sz w:val="32"/>
          <w:szCs w:val="32"/>
        </w:rPr>
        <w:t>部门整体支出绩效评价指标体系评分表</w:t>
      </w:r>
      <w:r>
        <w:rPr>
          <w:rFonts w:hint="eastAsia" w:ascii="仿宋" w:hAnsi="仿宋" w:eastAsia="仿宋" w:cs="宋体"/>
          <w:sz w:val="32"/>
          <w:szCs w:val="32"/>
        </w:rPr>
        <w:t>》，得分83分。</w:t>
      </w:r>
    </w:p>
    <w:p w14:paraId="6A6E00C0">
      <w:pPr>
        <w:spacing w:after="0" w:line="360" w:lineRule="auto"/>
        <w:ind w:firstLine="640" w:firstLineChars="200"/>
        <w:rPr>
          <w:rFonts w:ascii="仿宋" w:hAnsi="仿宋" w:eastAsia="仿宋" w:cs="仿宋"/>
          <w:sz w:val="32"/>
          <w:szCs w:val="32"/>
        </w:rPr>
      </w:pPr>
      <w:r>
        <w:rPr>
          <w:rFonts w:hint="eastAsia" w:ascii="仿宋" w:hAnsi="仿宋" w:eastAsia="仿宋" w:cs="宋体"/>
          <w:sz w:val="32"/>
          <w:szCs w:val="32"/>
        </w:rPr>
        <w:t>202</w:t>
      </w:r>
      <w:r>
        <w:rPr>
          <w:rFonts w:hint="eastAsia" w:ascii="仿宋" w:hAnsi="仿宋" w:eastAsia="仿宋" w:cs="宋体"/>
          <w:sz w:val="32"/>
          <w:szCs w:val="32"/>
          <w:lang w:val="en-US" w:eastAsia="zh-CN"/>
        </w:rPr>
        <w:t>3</w:t>
      </w:r>
      <w:r>
        <w:rPr>
          <w:rFonts w:hint="eastAsia" w:ascii="仿宋" w:hAnsi="仿宋" w:eastAsia="仿宋" w:cs="宋体"/>
          <w:sz w:val="32"/>
          <w:szCs w:val="32"/>
        </w:rPr>
        <w:t>年预算收入</w:t>
      </w:r>
      <w:r>
        <w:rPr>
          <w:rFonts w:hint="eastAsia" w:ascii="仿宋_GB2312" w:eastAsia="仿宋_GB2312"/>
          <w:color w:val="303133"/>
          <w:sz w:val="32"/>
          <w:szCs w:val="32"/>
        </w:rPr>
        <w:t>624.50</w:t>
      </w:r>
      <w:r>
        <w:rPr>
          <w:rFonts w:hint="eastAsia" w:ascii="仿宋" w:hAnsi="仿宋" w:eastAsia="仿宋" w:cs="宋体"/>
          <w:sz w:val="32"/>
          <w:szCs w:val="32"/>
        </w:rPr>
        <w:t>万元，决算支出</w:t>
      </w:r>
      <w:r>
        <w:rPr>
          <w:rFonts w:hint="eastAsia" w:ascii="仿宋" w:hAnsi="仿宋" w:eastAsia="仿宋" w:cs="仿宋"/>
          <w:sz w:val="32"/>
          <w:szCs w:val="32"/>
        </w:rPr>
        <w:t>896</w:t>
      </w:r>
      <w:r>
        <w:rPr>
          <w:rFonts w:hint="eastAsia" w:ascii="仿宋" w:hAnsi="仿宋" w:eastAsia="仿宋" w:cs="仿宋"/>
          <w:sz w:val="32"/>
          <w:szCs w:val="32"/>
          <w:lang w:val="en-US" w:eastAsia="zh-CN"/>
        </w:rPr>
        <w:t>.</w:t>
      </w:r>
      <w:r>
        <w:rPr>
          <w:rFonts w:hint="eastAsia" w:ascii="仿宋" w:hAnsi="仿宋" w:eastAsia="仿宋" w:cs="仿宋"/>
          <w:sz w:val="32"/>
          <w:szCs w:val="32"/>
        </w:rPr>
        <w:t>47</w:t>
      </w:r>
      <w:r>
        <w:rPr>
          <w:rFonts w:hint="eastAsia" w:ascii="仿宋" w:hAnsi="仿宋" w:eastAsia="仿宋" w:cs="宋体"/>
          <w:sz w:val="32"/>
          <w:szCs w:val="32"/>
        </w:rPr>
        <w:t>万元。本年度预算调整</w:t>
      </w:r>
      <w:r>
        <w:rPr>
          <w:rFonts w:hint="eastAsia" w:ascii="仿宋" w:hAnsi="仿宋" w:eastAsia="仿宋" w:cs="宋体"/>
          <w:sz w:val="32"/>
          <w:szCs w:val="32"/>
          <w:lang w:val="en-US" w:eastAsia="zh-CN"/>
        </w:rPr>
        <w:t>190.7</w:t>
      </w:r>
      <w:r>
        <w:rPr>
          <w:rFonts w:hint="eastAsia" w:ascii="仿宋" w:hAnsi="仿宋" w:eastAsia="仿宋" w:cs="宋体"/>
          <w:sz w:val="32"/>
          <w:szCs w:val="32"/>
        </w:rPr>
        <w:t>万元，因财政资金未下达导致支付进度率不高，结转结余较上年增多。</w:t>
      </w:r>
      <w:r>
        <w:rPr>
          <w:rFonts w:hint="eastAsia" w:ascii="仿宋" w:hAnsi="仿宋" w:eastAsia="仿宋" w:cs="仿宋"/>
          <w:sz w:val="32"/>
          <w:szCs w:val="32"/>
        </w:rPr>
        <w:t>各项目成本控制在总成本范围内。202</w:t>
      </w:r>
      <w:r>
        <w:rPr>
          <w:rFonts w:hint="eastAsia" w:ascii="仿宋" w:hAnsi="仿宋" w:eastAsia="仿宋" w:cs="仿宋"/>
          <w:sz w:val="32"/>
          <w:szCs w:val="32"/>
          <w:lang w:val="en-US" w:eastAsia="zh-CN"/>
        </w:rPr>
        <w:t>3</w:t>
      </w:r>
      <w:r>
        <w:rPr>
          <w:rFonts w:hint="eastAsia" w:ascii="仿宋" w:hAnsi="仿宋" w:eastAsia="仿宋" w:cs="仿宋"/>
          <w:sz w:val="32"/>
          <w:szCs w:val="32"/>
        </w:rPr>
        <w:t>年“三公经费”预算2.</w:t>
      </w:r>
      <w:r>
        <w:rPr>
          <w:rFonts w:hint="eastAsia" w:ascii="仿宋" w:hAnsi="仿宋" w:eastAsia="仿宋" w:cs="仿宋"/>
          <w:sz w:val="32"/>
          <w:szCs w:val="32"/>
          <w:lang w:val="en-US" w:eastAsia="zh-CN"/>
        </w:rPr>
        <w:t>4</w:t>
      </w:r>
      <w:r>
        <w:rPr>
          <w:rFonts w:hint="eastAsia" w:ascii="仿宋" w:hAnsi="仿宋" w:eastAsia="仿宋" w:cs="仿宋"/>
          <w:sz w:val="32"/>
          <w:szCs w:val="32"/>
        </w:rPr>
        <w:t>万元，202</w:t>
      </w:r>
      <w:r>
        <w:rPr>
          <w:rFonts w:hint="eastAsia" w:ascii="仿宋" w:hAnsi="仿宋" w:eastAsia="仿宋" w:cs="仿宋"/>
          <w:sz w:val="32"/>
          <w:szCs w:val="32"/>
          <w:lang w:val="en-US" w:eastAsia="zh-CN"/>
        </w:rPr>
        <w:t>3</w:t>
      </w:r>
      <w:r>
        <w:rPr>
          <w:rFonts w:hint="eastAsia" w:ascii="仿宋" w:hAnsi="仿宋" w:eastAsia="仿宋" w:cs="仿宋"/>
          <w:sz w:val="32"/>
          <w:szCs w:val="32"/>
        </w:rPr>
        <w:t>年“三公经费”实际支出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万元，“三公经费”控制率</w:t>
      </w:r>
      <w:r>
        <w:rPr>
          <w:rFonts w:hint="eastAsia" w:ascii="仿宋" w:hAnsi="仿宋" w:eastAsia="仿宋" w:cs="仿宋"/>
          <w:sz w:val="32"/>
          <w:szCs w:val="32"/>
          <w:lang w:val="en-US" w:eastAsia="zh-CN"/>
        </w:rPr>
        <w:t>0</w:t>
      </w:r>
      <w:r>
        <w:rPr>
          <w:rFonts w:hint="eastAsia" w:ascii="仿宋" w:hAnsi="仿宋" w:eastAsia="仿宋" w:cs="仿宋"/>
          <w:sz w:val="32"/>
          <w:szCs w:val="32"/>
        </w:rPr>
        <w:t>%。项目支出管理有完善的专项经费管理制度，并能有效地执行，从而保证了专项资金的专款专用，</w:t>
      </w:r>
      <w:r>
        <w:rPr>
          <w:rFonts w:hint="eastAsia" w:ascii="仿宋" w:hAnsi="仿宋" w:eastAsia="仿宋" w:cs="仿宋_GB2312"/>
          <w:sz w:val="32"/>
          <w:szCs w:val="32"/>
        </w:rPr>
        <w:t>新生儿破伤风发病率为零,</w:t>
      </w:r>
      <w:r>
        <w:rPr>
          <w:rFonts w:hint="eastAsia" w:ascii="仿宋" w:hAnsi="仿宋" w:eastAsia="仿宋" w:cs="仿宋"/>
          <w:sz w:val="32"/>
          <w:szCs w:val="32"/>
        </w:rPr>
        <w:t>无孕产妇死亡，其他项目绩效完成情况较好。</w:t>
      </w:r>
    </w:p>
    <w:p w14:paraId="58ADE811">
      <w:pPr>
        <w:spacing w:after="0" w:line="360" w:lineRule="auto"/>
        <w:ind w:firstLine="640" w:firstLineChars="200"/>
        <w:rPr>
          <w:rFonts w:ascii="黑体" w:hAnsi="黑体" w:eastAsia="黑体" w:cs="黑体"/>
          <w:bCs/>
          <w:sz w:val="32"/>
          <w:szCs w:val="32"/>
        </w:rPr>
      </w:pPr>
      <w:r>
        <w:rPr>
          <w:rFonts w:hint="eastAsia" w:ascii="黑体" w:hAnsi="黑体" w:eastAsia="黑体" w:cs="黑体"/>
          <w:bCs/>
          <w:sz w:val="32"/>
          <w:szCs w:val="32"/>
        </w:rPr>
        <w:t>三、部门整体支出绩效评价分析</w:t>
      </w:r>
    </w:p>
    <w:p w14:paraId="5261CCAE">
      <w:pPr>
        <w:spacing w:after="0" w:line="360" w:lineRule="auto"/>
        <w:ind w:firstLine="640" w:firstLineChars="200"/>
        <w:rPr>
          <w:rFonts w:ascii="仿宋" w:hAnsi="仿宋" w:eastAsia="仿宋" w:cs="仿宋"/>
          <w:sz w:val="32"/>
          <w:szCs w:val="32"/>
        </w:rPr>
      </w:pPr>
      <w:r>
        <w:rPr>
          <w:rFonts w:hint="eastAsia" w:ascii="仿宋" w:hAnsi="仿宋" w:eastAsia="仿宋" w:cs="仿宋"/>
          <w:sz w:val="32"/>
          <w:szCs w:val="32"/>
        </w:rPr>
        <w:t>（一）投入情况分析。</w:t>
      </w:r>
    </w:p>
    <w:p w14:paraId="14104AC1">
      <w:pPr>
        <w:pStyle w:val="4"/>
        <w:shd w:val="clear" w:color="auto" w:fill="FFFFFF"/>
        <w:spacing w:before="0" w:beforeAutospacing="0" w:after="0" w:afterAutospacing="0" w:line="525" w:lineRule="atLeast"/>
        <w:ind w:firstLine="630"/>
        <w:rPr>
          <w:rFonts w:ascii="仿宋" w:hAnsi="仿宋" w:eastAsia="仿宋" w:cs="仿宋"/>
          <w:sz w:val="32"/>
          <w:szCs w:val="32"/>
        </w:rPr>
      </w:pPr>
      <w:r>
        <w:rPr>
          <w:rFonts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年本部门年初预算收入</w:t>
      </w:r>
      <w:r>
        <w:rPr>
          <w:rFonts w:hint="eastAsia" w:ascii="仿宋_GB2312" w:eastAsia="仿宋_GB2312"/>
          <w:color w:val="303133"/>
          <w:sz w:val="32"/>
          <w:szCs w:val="32"/>
        </w:rPr>
        <w:t>624.50</w:t>
      </w:r>
      <w:r>
        <w:rPr>
          <w:rFonts w:hint="eastAsia" w:ascii="仿宋" w:hAnsi="仿宋" w:eastAsia="仿宋" w:cs="仿宋"/>
          <w:sz w:val="32"/>
          <w:szCs w:val="32"/>
        </w:rPr>
        <w:t>万元，比上年631.73万元</w:t>
      </w:r>
      <w:r>
        <w:rPr>
          <w:rFonts w:hint="eastAsia" w:ascii="仿宋" w:hAnsi="仿宋" w:eastAsia="仿宋" w:cs="仿宋"/>
          <w:sz w:val="32"/>
          <w:szCs w:val="32"/>
          <w:lang w:eastAsia="zh-CN"/>
        </w:rPr>
        <w:t>减少</w:t>
      </w:r>
      <w:r>
        <w:rPr>
          <w:rFonts w:hint="eastAsia" w:ascii="仿宋" w:hAnsi="仿宋" w:eastAsia="仿宋" w:cs="仿宋"/>
          <w:sz w:val="32"/>
          <w:szCs w:val="32"/>
        </w:rPr>
        <w:t>了</w:t>
      </w:r>
      <w:r>
        <w:rPr>
          <w:rFonts w:hint="eastAsia" w:ascii="仿宋" w:hAnsi="仿宋" w:eastAsia="仿宋" w:cs="仿宋"/>
          <w:sz w:val="32"/>
          <w:szCs w:val="32"/>
          <w:lang w:val="en-US" w:eastAsia="zh-CN"/>
        </w:rPr>
        <w:t>7.23</w:t>
      </w:r>
      <w:r>
        <w:rPr>
          <w:rFonts w:hint="eastAsia" w:ascii="仿宋" w:hAnsi="仿宋" w:eastAsia="仿宋" w:cs="仿宋"/>
          <w:sz w:val="32"/>
          <w:szCs w:val="32"/>
        </w:rPr>
        <w:t>万元，</w:t>
      </w:r>
      <w:r>
        <w:rPr>
          <w:rFonts w:hint="eastAsia" w:ascii="仿宋" w:hAnsi="仿宋" w:eastAsia="仿宋" w:cs="仿宋"/>
          <w:sz w:val="32"/>
          <w:szCs w:val="32"/>
          <w:highlight w:val="none"/>
          <w:lang w:eastAsia="zh-CN"/>
        </w:rPr>
        <w:t>减少</w:t>
      </w:r>
      <w:r>
        <w:rPr>
          <w:rFonts w:hint="eastAsia" w:ascii="仿宋" w:hAnsi="仿宋" w:eastAsia="仿宋" w:cs="仿宋"/>
          <w:sz w:val="32"/>
          <w:szCs w:val="32"/>
          <w:highlight w:val="none"/>
          <w:lang w:val="en-US" w:eastAsia="zh-CN"/>
        </w:rPr>
        <w:t>1</w:t>
      </w:r>
      <w:r>
        <w:rPr>
          <w:rFonts w:ascii="仿宋" w:hAnsi="仿宋" w:eastAsia="仿宋" w:cs="仿宋"/>
          <w:sz w:val="32"/>
          <w:szCs w:val="32"/>
          <w:highlight w:val="none"/>
        </w:rPr>
        <w:t>%,</w:t>
      </w:r>
      <w:r>
        <w:rPr>
          <w:rFonts w:hint="eastAsia" w:ascii="仿宋" w:hAnsi="仿宋" w:eastAsia="仿宋" w:cs="仿宋"/>
          <w:sz w:val="32"/>
          <w:szCs w:val="32"/>
          <w:highlight w:val="none"/>
          <w:lang w:val="zh-CN"/>
        </w:rPr>
        <w:t>增减变化的主要原因是</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退休两人，经费拨款收入减少。</w:t>
      </w:r>
      <w:r>
        <w:rPr>
          <w:rFonts w:hint="eastAsia" w:ascii="仿宋" w:hAnsi="仿宋" w:eastAsia="仿宋" w:cs="仿宋"/>
          <w:sz w:val="32"/>
          <w:szCs w:val="32"/>
        </w:rPr>
        <w:t>部门的职责设定与“三定”方案相符合，部门活动的设定在部门所确定的职责范围之内，活动目标的设定是可量化的，可通过清晰、可衡量的关键指标值予以体现。</w:t>
      </w:r>
    </w:p>
    <w:p w14:paraId="667A464C">
      <w:pPr>
        <w:numPr>
          <w:ilvl w:val="0"/>
          <w:numId w:val="3"/>
        </w:numPr>
        <w:spacing w:after="0" w:line="360" w:lineRule="auto"/>
        <w:ind w:firstLine="640" w:firstLineChars="200"/>
        <w:rPr>
          <w:rFonts w:ascii="仿宋" w:hAnsi="仿宋" w:eastAsia="仿宋" w:cs="仿宋"/>
          <w:sz w:val="32"/>
          <w:szCs w:val="32"/>
        </w:rPr>
      </w:pPr>
      <w:r>
        <w:rPr>
          <w:rFonts w:hint="eastAsia" w:ascii="仿宋" w:hAnsi="仿宋" w:eastAsia="仿宋" w:cs="仿宋"/>
          <w:sz w:val="32"/>
          <w:szCs w:val="32"/>
        </w:rPr>
        <w:t>执行管理情况分析。</w:t>
      </w:r>
    </w:p>
    <w:p w14:paraId="58176775">
      <w:pPr>
        <w:spacing w:after="0" w:line="360" w:lineRule="auto"/>
        <w:ind w:firstLine="640" w:firstLineChars="200"/>
        <w:rPr>
          <w:rFonts w:ascii="仿宋" w:hAnsi="仿宋" w:eastAsia="仿宋" w:cs="仿宋"/>
          <w:sz w:val="32"/>
          <w:szCs w:val="32"/>
        </w:rPr>
      </w:pPr>
      <w:r>
        <w:rPr>
          <w:rFonts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年本部门年初预算收入</w:t>
      </w:r>
      <w:r>
        <w:rPr>
          <w:rFonts w:hint="eastAsia" w:ascii="仿宋_GB2312" w:eastAsia="仿宋_GB2312"/>
          <w:color w:val="303133"/>
          <w:sz w:val="32"/>
          <w:szCs w:val="32"/>
        </w:rPr>
        <w:t>624.50</w:t>
      </w:r>
      <w:r>
        <w:rPr>
          <w:rFonts w:hint="eastAsia" w:ascii="仿宋" w:hAnsi="仿宋" w:eastAsia="仿宋" w:cs="仿宋"/>
          <w:sz w:val="32"/>
          <w:szCs w:val="32"/>
        </w:rPr>
        <w:t>万元，预算完成率100%</w:t>
      </w:r>
      <w:r>
        <w:rPr>
          <w:rFonts w:hint="eastAsia" w:ascii="仿宋" w:hAnsi="仿宋" w:eastAsia="仿宋" w:cs="仿宋"/>
          <w:sz w:val="32"/>
          <w:szCs w:val="32"/>
          <w:lang w:eastAsia="zh-CN"/>
        </w:rPr>
        <w:t>。</w:t>
      </w: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年我部门从中方县卫生健康局分拨基本公共卫生服务85</w:t>
      </w:r>
      <w:r>
        <w:rPr>
          <w:rFonts w:hint="eastAsia" w:ascii="仿宋" w:hAnsi="仿宋" w:eastAsia="仿宋" w:cs="仿宋"/>
          <w:sz w:val="32"/>
          <w:szCs w:val="32"/>
          <w:lang w:val="en-US" w:eastAsia="zh-CN"/>
        </w:rPr>
        <w:t>.4</w:t>
      </w:r>
      <w:r>
        <w:rPr>
          <w:rFonts w:hint="eastAsia" w:ascii="仿宋" w:hAnsi="仿宋" w:eastAsia="仿宋" w:cs="仿宋"/>
          <w:sz w:val="32"/>
          <w:szCs w:val="32"/>
        </w:rPr>
        <w:t>万元，预算追加公立医院改革资金</w:t>
      </w:r>
      <w:r>
        <w:rPr>
          <w:rFonts w:hint="eastAsia" w:ascii="仿宋" w:hAnsi="仿宋" w:eastAsia="仿宋" w:cs="仿宋"/>
          <w:sz w:val="32"/>
          <w:szCs w:val="32"/>
          <w:lang w:val="en-US" w:eastAsia="zh-CN"/>
        </w:rPr>
        <w:t>105</w:t>
      </w:r>
      <w:r>
        <w:rPr>
          <w:rFonts w:hint="eastAsia" w:ascii="仿宋" w:hAnsi="仿宋" w:eastAsia="仿宋" w:cs="仿宋"/>
          <w:sz w:val="32"/>
          <w:szCs w:val="32"/>
        </w:rPr>
        <w:t>万元</w:t>
      </w:r>
      <w:r>
        <w:rPr>
          <w:rFonts w:hint="eastAsia" w:ascii="仿宋" w:hAnsi="仿宋" w:eastAsia="仿宋" w:cs="仿宋"/>
          <w:sz w:val="32"/>
          <w:szCs w:val="32"/>
          <w:lang w:val="en-US" w:eastAsia="zh-CN"/>
        </w:rPr>
        <w:t>，</w:t>
      </w:r>
      <w:r>
        <w:rPr>
          <w:rFonts w:hint="eastAsia" w:ascii="仿宋" w:hAnsi="仿宋" w:eastAsia="仿宋" w:cs="仿宋"/>
          <w:sz w:val="32"/>
          <w:szCs w:val="32"/>
          <w:highlight w:val="none"/>
        </w:rPr>
        <w:t>预算调整率</w:t>
      </w:r>
      <w:r>
        <w:rPr>
          <w:rFonts w:hint="eastAsia" w:ascii="仿宋" w:hAnsi="仿宋" w:eastAsia="仿宋" w:cs="仿宋"/>
          <w:sz w:val="32"/>
          <w:szCs w:val="32"/>
          <w:highlight w:val="none"/>
          <w:lang w:val="en-US" w:eastAsia="zh-CN"/>
        </w:rPr>
        <w:t>30</w:t>
      </w:r>
      <w:r>
        <w:rPr>
          <w:rFonts w:hint="eastAsia" w:ascii="仿宋" w:hAnsi="仿宋" w:eastAsia="仿宋" w:cs="仿宋"/>
          <w:sz w:val="32"/>
          <w:szCs w:val="32"/>
          <w:highlight w:val="none"/>
        </w:rPr>
        <w:t>%。</w:t>
      </w:r>
      <w:r>
        <w:rPr>
          <w:rFonts w:hint="eastAsia" w:ascii="仿宋" w:hAnsi="仿宋" w:eastAsia="仿宋" w:cs="宋体"/>
          <w:sz w:val="32"/>
          <w:szCs w:val="32"/>
        </w:rPr>
        <w:t>上年结余结转297</w:t>
      </w:r>
      <w:r>
        <w:rPr>
          <w:rFonts w:hint="eastAsia" w:ascii="仿宋" w:hAnsi="仿宋" w:eastAsia="仿宋" w:cs="宋体"/>
          <w:sz w:val="32"/>
          <w:szCs w:val="32"/>
          <w:lang w:val="en-US" w:eastAsia="zh-CN"/>
        </w:rPr>
        <w:t>.31</w:t>
      </w:r>
      <w:r>
        <w:rPr>
          <w:rFonts w:hint="eastAsia" w:ascii="仿宋" w:hAnsi="仿宋" w:eastAsia="仿宋" w:cs="宋体"/>
          <w:sz w:val="32"/>
          <w:szCs w:val="32"/>
        </w:rPr>
        <w:t>万元，实际支出</w:t>
      </w:r>
      <w:r>
        <w:rPr>
          <w:rFonts w:hint="eastAsia" w:ascii="仿宋" w:hAnsi="仿宋" w:eastAsia="仿宋" w:cs="仿宋"/>
          <w:sz w:val="32"/>
          <w:szCs w:val="32"/>
          <w:lang w:val="en-US" w:eastAsia="zh-CN"/>
        </w:rPr>
        <w:t>896.47</w:t>
      </w:r>
      <w:r>
        <w:rPr>
          <w:rFonts w:hint="eastAsia" w:ascii="仿宋" w:hAnsi="仿宋" w:eastAsia="仿宋" w:cs="宋体"/>
          <w:sz w:val="32"/>
          <w:szCs w:val="32"/>
        </w:rPr>
        <w:t>万元，全年支付进度率</w:t>
      </w:r>
      <w:r>
        <w:rPr>
          <w:rFonts w:hint="eastAsia" w:ascii="仿宋" w:hAnsi="仿宋" w:eastAsia="仿宋" w:cs="宋体"/>
          <w:sz w:val="32"/>
          <w:szCs w:val="32"/>
          <w:lang w:val="en-US" w:eastAsia="zh-CN"/>
        </w:rPr>
        <w:t>72</w:t>
      </w:r>
      <w:r>
        <w:rPr>
          <w:rFonts w:hint="eastAsia" w:ascii="仿宋" w:hAnsi="仿宋" w:eastAsia="仿宋" w:cs="宋体"/>
          <w:sz w:val="32"/>
          <w:szCs w:val="32"/>
        </w:rPr>
        <w:t>%。本年结转结余</w:t>
      </w:r>
      <w:r>
        <w:rPr>
          <w:rFonts w:hint="eastAsia" w:ascii="仿宋" w:hAnsi="仿宋" w:eastAsia="仿宋" w:cs="宋体"/>
          <w:sz w:val="32"/>
          <w:szCs w:val="32"/>
          <w:lang w:val="en-US" w:eastAsia="zh-CN"/>
        </w:rPr>
        <w:t>419.22</w:t>
      </w:r>
      <w:r>
        <w:rPr>
          <w:rFonts w:hint="eastAsia" w:ascii="仿宋" w:hAnsi="仿宋" w:eastAsia="仿宋" w:cs="宋体"/>
          <w:sz w:val="32"/>
          <w:szCs w:val="32"/>
        </w:rPr>
        <w:t>万元，结转结余率</w:t>
      </w:r>
      <w:r>
        <w:rPr>
          <w:rFonts w:hint="eastAsia" w:ascii="仿宋" w:hAnsi="仿宋" w:eastAsia="仿宋" w:cs="宋体"/>
          <w:sz w:val="32"/>
          <w:szCs w:val="32"/>
          <w:lang w:val="en-US" w:eastAsia="zh-CN"/>
        </w:rPr>
        <w:t>46</w:t>
      </w:r>
      <w:r>
        <w:rPr>
          <w:rFonts w:hint="eastAsia" w:ascii="仿宋" w:hAnsi="仿宋" w:eastAsia="仿宋" w:cs="宋体"/>
          <w:sz w:val="32"/>
          <w:szCs w:val="32"/>
        </w:rPr>
        <w:t>%，结转结余变动率</w:t>
      </w:r>
      <w:r>
        <w:rPr>
          <w:rFonts w:hint="eastAsia" w:ascii="仿宋" w:hAnsi="仿宋" w:eastAsia="仿宋" w:cs="宋体"/>
          <w:sz w:val="32"/>
          <w:szCs w:val="32"/>
          <w:lang w:val="en-US" w:eastAsia="zh-CN"/>
        </w:rPr>
        <w:t>41</w:t>
      </w:r>
      <w:r>
        <w:rPr>
          <w:rFonts w:hint="eastAsia" w:ascii="仿宋" w:hAnsi="仿宋" w:eastAsia="仿宋" w:cs="宋体"/>
          <w:sz w:val="32"/>
          <w:szCs w:val="32"/>
        </w:rPr>
        <w:t>%。本年度预算安排公用经费</w:t>
      </w:r>
      <w:r>
        <w:rPr>
          <w:rFonts w:hint="eastAsia" w:ascii="仿宋" w:hAnsi="仿宋" w:eastAsia="仿宋" w:cs="宋体"/>
          <w:sz w:val="32"/>
          <w:szCs w:val="32"/>
          <w:lang w:val="en-US" w:eastAsia="zh-CN"/>
        </w:rPr>
        <w:t>40.8</w:t>
      </w:r>
      <w:r>
        <w:rPr>
          <w:rFonts w:hint="eastAsia" w:ascii="仿宋" w:hAnsi="仿宋" w:eastAsia="仿宋" w:cs="宋体"/>
          <w:sz w:val="32"/>
          <w:szCs w:val="32"/>
        </w:rPr>
        <w:t>万元，实际支出</w:t>
      </w:r>
      <w:r>
        <w:rPr>
          <w:rFonts w:hint="eastAsia" w:ascii="仿宋" w:hAnsi="仿宋" w:eastAsia="仿宋" w:cs="宋体"/>
          <w:sz w:val="32"/>
          <w:szCs w:val="32"/>
          <w:lang w:val="en-US" w:eastAsia="zh-CN"/>
        </w:rPr>
        <w:t>20.1</w:t>
      </w:r>
      <w:r>
        <w:rPr>
          <w:rFonts w:hint="eastAsia" w:ascii="仿宋" w:hAnsi="仿宋" w:eastAsia="仿宋" w:cs="宋体"/>
          <w:sz w:val="32"/>
          <w:szCs w:val="32"/>
        </w:rPr>
        <w:t>万元，公用经费控制率</w:t>
      </w:r>
      <w:r>
        <w:rPr>
          <w:rFonts w:hint="eastAsia" w:ascii="仿宋" w:hAnsi="仿宋" w:eastAsia="仿宋" w:cs="宋体"/>
          <w:sz w:val="32"/>
          <w:szCs w:val="32"/>
          <w:lang w:val="en-US" w:eastAsia="zh-CN"/>
        </w:rPr>
        <w:t>49</w:t>
      </w:r>
      <w:r>
        <w:rPr>
          <w:rFonts w:hint="eastAsia" w:ascii="仿宋" w:hAnsi="仿宋" w:eastAsia="仿宋" w:cs="宋体"/>
          <w:sz w:val="32"/>
          <w:szCs w:val="32"/>
        </w:rPr>
        <w:t>%。</w:t>
      </w:r>
      <w:r>
        <w:rPr>
          <w:rFonts w:hint="eastAsia" w:ascii="仿宋" w:hAnsi="仿宋" w:eastAsia="仿宋" w:cs="仿宋"/>
          <w:sz w:val="32"/>
          <w:szCs w:val="32"/>
        </w:rPr>
        <w:t>各项支出成本控制在总成本范围内，未超预算。本部门各项目均按进度及时完成。</w:t>
      </w:r>
    </w:p>
    <w:p w14:paraId="38568A58">
      <w:pPr>
        <w:numPr>
          <w:ilvl w:val="0"/>
          <w:numId w:val="3"/>
        </w:numPr>
        <w:spacing w:after="0" w:line="360" w:lineRule="auto"/>
        <w:ind w:firstLine="640" w:firstLineChars="200"/>
        <w:rPr>
          <w:rFonts w:ascii="仿宋" w:hAnsi="仿宋" w:eastAsia="仿宋" w:cs="仿宋"/>
          <w:sz w:val="32"/>
          <w:szCs w:val="32"/>
        </w:rPr>
      </w:pPr>
      <w:r>
        <w:rPr>
          <w:rFonts w:hint="eastAsia" w:ascii="仿宋" w:hAnsi="仿宋" w:eastAsia="仿宋" w:cs="仿宋"/>
          <w:sz w:val="32"/>
          <w:szCs w:val="32"/>
        </w:rPr>
        <w:t>支出绩效情况分析。</w:t>
      </w:r>
    </w:p>
    <w:p w14:paraId="22D7E53C">
      <w:pPr>
        <w:spacing w:after="0" w:line="360" w:lineRule="auto"/>
        <w:ind w:firstLine="640" w:firstLineChars="200"/>
        <w:rPr>
          <w:rFonts w:ascii="仿宋" w:hAnsi="仿宋" w:eastAsia="仿宋" w:cs="仿宋"/>
          <w:sz w:val="32"/>
          <w:szCs w:val="32"/>
        </w:rPr>
      </w:pPr>
      <w:r>
        <w:rPr>
          <w:rFonts w:hint="eastAsia" w:ascii="仿宋" w:hAnsi="仿宋" w:eastAsia="仿宋" w:cs="仿宋"/>
          <w:sz w:val="32"/>
          <w:szCs w:val="32"/>
        </w:rPr>
        <w:t>基本支出人员经费484</w:t>
      </w:r>
      <w:r>
        <w:rPr>
          <w:rFonts w:hint="eastAsia" w:ascii="仿宋" w:hAnsi="仿宋" w:eastAsia="仿宋" w:cs="仿宋"/>
          <w:sz w:val="32"/>
          <w:szCs w:val="32"/>
          <w:lang w:val="en-US" w:eastAsia="zh-CN"/>
        </w:rPr>
        <w:t>.</w:t>
      </w:r>
      <w:r>
        <w:rPr>
          <w:rFonts w:hint="eastAsia" w:ascii="仿宋" w:hAnsi="仿宋" w:eastAsia="仿宋" w:cs="仿宋"/>
          <w:sz w:val="32"/>
          <w:szCs w:val="32"/>
        </w:rPr>
        <w:t>79万元，主要用于人员基本工资、津贴、社保及其他缴费；公用经费</w:t>
      </w:r>
      <w:r>
        <w:rPr>
          <w:rFonts w:hint="eastAsia" w:ascii="仿宋" w:hAnsi="仿宋" w:eastAsia="仿宋" w:cs="仿宋"/>
          <w:sz w:val="32"/>
          <w:szCs w:val="32"/>
          <w:lang w:val="en-US" w:eastAsia="zh-CN"/>
        </w:rPr>
        <w:t>20.1</w:t>
      </w:r>
      <w:r>
        <w:rPr>
          <w:rFonts w:hint="eastAsia" w:ascii="仿宋" w:hAnsi="仿宋" w:eastAsia="仿宋" w:cs="仿宋"/>
          <w:sz w:val="32"/>
          <w:szCs w:val="32"/>
        </w:rPr>
        <w:t>万元，保障单位正常运转。</w:t>
      </w:r>
    </w:p>
    <w:p w14:paraId="17512353">
      <w:pPr>
        <w:spacing w:after="0" w:line="360" w:lineRule="auto"/>
        <w:ind w:firstLine="640" w:firstLineChars="200"/>
        <w:rPr>
          <w:rFonts w:ascii="仿宋" w:hAnsi="仿宋" w:eastAsia="仿宋" w:cs="仿宋"/>
          <w:sz w:val="32"/>
          <w:szCs w:val="32"/>
        </w:rPr>
      </w:pPr>
      <w:r>
        <w:rPr>
          <w:rFonts w:hint="eastAsia" w:ascii="仿宋" w:hAnsi="仿宋" w:eastAsia="仿宋" w:cs="仿宋"/>
          <w:sz w:val="32"/>
          <w:szCs w:val="32"/>
        </w:rPr>
        <w:t>项目支出391</w:t>
      </w:r>
      <w:r>
        <w:rPr>
          <w:rFonts w:hint="eastAsia" w:ascii="仿宋" w:hAnsi="仿宋" w:eastAsia="仿宋" w:cs="仿宋"/>
          <w:sz w:val="32"/>
          <w:szCs w:val="32"/>
          <w:lang w:val="en-US" w:eastAsia="zh-CN"/>
        </w:rPr>
        <w:t>.</w:t>
      </w:r>
      <w:r>
        <w:rPr>
          <w:rFonts w:hint="eastAsia" w:ascii="仿宋" w:hAnsi="仿宋" w:eastAsia="仿宋" w:cs="仿宋"/>
          <w:sz w:val="32"/>
          <w:szCs w:val="32"/>
        </w:rPr>
        <w:t>58</w:t>
      </w:r>
      <w:r>
        <w:rPr>
          <w:rFonts w:hint="eastAsia" w:ascii="仿宋" w:hAnsi="仿宋" w:eastAsia="仿宋" w:cs="仿宋"/>
          <w:sz w:val="32"/>
          <w:szCs w:val="32"/>
          <w:lang w:eastAsia="zh-CN"/>
        </w:rPr>
        <w:t>万元，</w:t>
      </w:r>
      <w:r>
        <w:rPr>
          <w:rFonts w:hint="eastAsia" w:ascii="仿宋" w:hAnsi="仿宋" w:eastAsia="仿宋" w:cs="仿宋"/>
          <w:sz w:val="32"/>
          <w:szCs w:val="32"/>
        </w:rPr>
        <w:t>产前筛查</w:t>
      </w:r>
      <w:r>
        <w:rPr>
          <w:rFonts w:hint="eastAsia" w:ascii="仿宋" w:hAnsi="仿宋" w:eastAsia="仿宋" w:cs="仿宋"/>
          <w:sz w:val="32"/>
          <w:szCs w:val="32"/>
          <w:lang w:eastAsia="zh-CN"/>
        </w:rPr>
        <w:t>、先心病</w:t>
      </w:r>
      <w:r>
        <w:rPr>
          <w:rFonts w:hint="eastAsia" w:ascii="仿宋" w:hAnsi="仿宋" w:eastAsia="仿宋" w:cs="仿宋"/>
          <w:sz w:val="32"/>
          <w:szCs w:val="32"/>
        </w:rPr>
        <w:t>及产筛异常干预、婚前检查、基本公卫减少出生缺陷率，</w:t>
      </w:r>
      <w:r>
        <w:rPr>
          <w:rFonts w:hint="eastAsia" w:ascii="仿宋" w:hAnsi="仿宋" w:eastAsia="仿宋" w:cs="仿宋"/>
          <w:color w:val="333333"/>
          <w:spacing w:val="8"/>
          <w:sz w:val="32"/>
          <w:szCs w:val="32"/>
          <w:shd w:val="clear" w:color="auto" w:fill="FFFFFF"/>
        </w:rPr>
        <w:t>提高出生人口素质；两癌筛查、降消、艾滋病母婴阻断</w:t>
      </w:r>
      <w:r>
        <w:rPr>
          <w:rFonts w:hint="eastAsia" w:ascii="仿宋" w:hAnsi="仿宋" w:eastAsia="仿宋" w:cs="仿宋"/>
          <w:color w:val="333333"/>
          <w:spacing w:val="8"/>
          <w:sz w:val="32"/>
          <w:szCs w:val="32"/>
          <w:shd w:val="clear" w:color="auto" w:fill="FFFFFF"/>
          <w:lang w:eastAsia="zh-CN"/>
        </w:rPr>
        <w:t>、基本公共卫生</w:t>
      </w:r>
      <w:r>
        <w:rPr>
          <w:rFonts w:hint="eastAsia" w:ascii="仿宋" w:hAnsi="仿宋" w:eastAsia="仿宋" w:cs="仿宋"/>
          <w:color w:val="333333"/>
          <w:spacing w:val="8"/>
          <w:sz w:val="32"/>
          <w:szCs w:val="32"/>
          <w:shd w:val="clear" w:color="auto" w:fill="FFFFFF"/>
        </w:rPr>
        <w:t>提高妇女儿童健康生活质量；公立医院改革提升医疗服务质量；非税满足群众医疗服务需求</w:t>
      </w:r>
      <w:r>
        <w:rPr>
          <w:rFonts w:hint="eastAsia" w:ascii="仿宋" w:hAnsi="仿宋" w:eastAsia="仿宋" w:cs="仿宋"/>
          <w:color w:val="333333"/>
          <w:spacing w:val="8"/>
          <w:sz w:val="32"/>
          <w:szCs w:val="32"/>
          <w:shd w:val="clear" w:color="auto" w:fill="FFFFFF"/>
          <w:lang w:eastAsia="zh-CN"/>
        </w:rPr>
        <w:t>；疫情防控专项</w:t>
      </w:r>
      <w:r>
        <w:rPr>
          <w:rFonts w:hint="eastAsia" w:ascii="仿宋" w:hAnsi="仿宋" w:eastAsia="仿宋" w:cs="仿宋"/>
          <w:sz w:val="32"/>
          <w:szCs w:val="32"/>
        </w:rPr>
        <w:t>提升医院核酸检测能力，方便更多群众进行核</w:t>
      </w:r>
      <w:r>
        <w:rPr>
          <w:rFonts w:hint="eastAsia" w:ascii="仿宋" w:hAnsi="仿宋" w:eastAsia="仿宋" w:cs="仿宋"/>
          <w:sz w:val="32"/>
          <w:szCs w:val="32"/>
          <w:lang w:eastAsia="zh-CN"/>
        </w:rPr>
        <w:t>酸</w:t>
      </w:r>
      <w:r>
        <w:rPr>
          <w:rFonts w:hint="eastAsia" w:ascii="仿宋" w:hAnsi="仿宋" w:eastAsia="仿宋" w:cs="仿宋"/>
          <w:sz w:val="32"/>
          <w:szCs w:val="32"/>
        </w:rPr>
        <w:t>检测</w:t>
      </w:r>
      <w:r>
        <w:rPr>
          <w:rFonts w:hint="eastAsia" w:ascii="仿宋" w:hAnsi="仿宋" w:eastAsia="仿宋" w:cs="仿宋"/>
          <w:sz w:val="32"/>
          <w:szCs w:val="32"/>
          <w:lang w:eastAsia="zh-CN"/>
        </w:rPr>
        <w:t>，有效控制新冠传染</w:t>
      </w:r>
      <w:r>
        <w:rPr>
          <w:rFonts w:hint="eastAsia" w:ascii="仿宋" w:hAnsi="仿宋" w:eastAsia="仿宋" w:cs="仿宋"/>
          <w:color w:val="333333"/>
          <w:spacing w:val="8"/>
          <w:sz w:val="32"/>
          <w:szCs w:val="32"/>
          <w:shd w:val="clear" w:color="auto" w:fill="FFFFFF"/>
        </w:rPr>
        <w:t>。</w:t>
      </w:r>
    </w:p>
    <w:p w14:paraId="62858CA6">
      <w:pPr>
        <w:numPr>
          <w:ilvl w:val="0"/>
          <w:numId w:val="4"/>
        </w:numPr>
        <w:spacing w:after="0" w:line="360" w:lineRule="auto"/>
        <w:ind w:firstLine="640" w:firstLineChars="200"/>
        <w:rPr>
          <w:rFonts w:hint="eastAsia" w:ascii="黑体" w:hAnsi="黑体" w:eastAsia="黑体" w:cs="黑体"/>
          <w:bCs/>
          <w:sz w:val="32"/>
          <w:szCs w:val="32"/>
        </w:rPr>
      </w:pPr>
      <w:r>
        <w:rPr>
          <w:rFonts w:hint="eastAsia" w:ascii="黑体" w:hAnsi="黑体" w:eastAsia="黑体" w:cs="黑体"/>
          <w:bCs/>
          <w:sz w:val="32"/>
          <w:szCs w:val="32"/>
        </w:rPr>
        <w:t>存在的问题</w:t>
      </w:r>
    </w:p>
    <w:p w14:paraId="1C35E876">
      <w:pPr>
        <w:spacing w:line="360" w:lineRule="auto"/>
        <w:ind w:firstLine="640" w:firstLineChars="200"/>
        <w:jc w:val="left"/>
        <w:rPr>
          <w:rFonts w:ascii="仿宋" w:hAnsi="仿宋" w:eastAsia="仿宋" w:cs="仿宋"/>
          <w:sz w:val="32"/>
          <w:szCs w:val="32"/>
          <w:shd w:val="clear" w:color="auto" w:fill="FFFFFF"/>
        </w:rPr>
      </w:pPr>
      <w:r>
        <w:rPr>
          <w:rFonts w:hint="eastAsia" w:ascii="仿宋" w:hAnsi="仿宋" w:eastAsia="仿宋" w:cs="仿宋"/>
          <w:sz w:val="32"/>
          <w:szCs w:val="32"/>
          <w:shd w:val="clear" w:color="auto" w:fill="FFFFFF"/>
        </w:rPr>
        <w:t>1、在实际工作中，因为个别乡镇宣传、摸底没有彻底到位，造成跟踪随访管理难度加大。</w:t>
      </w:r>
    </w:p>
    <w:p w14:paraId="0DB3AA31">
      <w:pPr>
        <w:spacing w:line="360" w:lineRule="auto"/>
        <w:ind w:firstLine="640" w:firstLineChars="200"/>
        <w:jc w:val="left"/>
        <w:rPr>
          <w:rFonts w:ascii="仿宋" w:hAnsi="仿宋" w:eastAsia="仿宋" w:cs="仿宋"/>
          <w:bCs/>
          <w:sz w:val="32"/>
          <w:szCs w:val="32"/>
        </w:rPr>
      </w:pPr>
      <w:r>
        <w:rPr>
          <w:rFonts w:hint="eastAsia" w:ascii="仿宋" w:hAnsi="仿宋" w:eastAsia="仿宋" w:cs="仿宋"/>
          <w:sz w:val="32"/>
          <w:szCs w:val="32"/>
          <w:shd w:val="clear" w:color="auto" w:fill="FFFFFF"/>
        </w:rPr>
        <w:t>2、</w:t>
      </w:r>
      <w:r>
        <w:rPr>
          <w:rFonts w:hint="eastAsia" w:ascii="仿宋" w:hAnsi="仿宋" w:eastAsia="仿宋" w:cs="仿宋"/>
          <w:sz w:val="32"/>
          <w:szCs w:val="32"/>
        </w:rPr>
        <w:t>由于我县外出流动人口多，以及个别乡镇宣传不到位，使得有的群众得不到信息，未能及时到我中心做相关的免费检查。</w:t>
      </w:r>
    </w:p>
    <w:p w14:paraId="666E1601">
      <w:pPr>
        <w:numPr>
          <w:ilvl w:val="0"/>
          <w:numId w:val="5"/>
        </w:numPr>
        <w:spacing w:after="0" w:line="360" w:lineRule="auto"/>
        <w:ind w:firstLine="640" w:firstLineChars="200"/>
        <w:rPr>
          <w:rFonts w:ascii="黑体" w:hAnsi="黑体" w:eastAsia="黑体" w:cs="黑体"/>
          <w:bCs/>
          <w:sz w:val="32"/>
          <w:szCs w:val="32"/>
        </w:rPr>
      </w:pPr>
      <w:r>
        <w:rPr>
          <w:rFonts w:hint="eastAsia" w:ascii="黑体" w:hAnsi="黑体" w:eastAsia="黑体" w:cs="黑体"/>
          <w:bCs/>
          <w:sz w:val="32"/>
          <w:szCs w:val="32"/>
        </w:rPr>
        <w:t>整改措施或建议</w:t>
      </w:r>
    </w:p>
    <w:p w14:paraId="49233A60">
      <w:pPr>
        <w:spacing w:after="0" w:line="360" w:lineRule="auto"/>
        <w:ind w:firstLine="640" w:firstLineChars="200"/>
        <w:rPr>
          <w:rFonts w:ascii="黑体" w:hAnsi="黑体" w:eastAsia="黑体" w:cs="黑体"/>
          <w:bCs/>
          <w:sz w:val="32"/>
          <w:szCs w:val="32"/>
        </w:rPr>
      </w:pPr>
      <w:r>
        <w:rPr>
          <w:rFonts w:hint="eastAsia" w:ascii="仿宋_GB2312" w:eastAsia="仿宋_GB2312"/>
          <w:sz w:val="32"/>
          <w:szCs w:val="32"/>
        </w:rPr>
        <w:t>加强内外部协调，在以后的工作中，与乡镇多协调，在工作中需加大宣传，扎实工作，让每一个人民群众受到实惠。</w:t>
      </w:r>
    </w:p>
    <w:p w14:paraId="412F1567">
      <w:pPr>
        <w:numPr>
          <w:ilvl w:val="0"/>
          <w:numId w:val="5"/>
        </w:numPr>
        <w:spacing w:after="0" w:line="360" w:lineRule="auto"/>
        <w:ind w:firstLine="640" w:firstLineChars="200"/>
        <w:rPr>
          <w:rFonts w:ascii="黑体" w:hAnsi="黑体" w:eastAsia="黑体" w:cs="黑体"/>
          <w:bCs/>
          <w:sz w:val="32"/>
          <w:szCs w:val="32"/>
        </w:rPr>
      </w:pPr>
      <w:r>
        <w:rPr>
          <w:rFonts w:hint="eastAsia" w:ascii="黑体" w:hAnsi="黑体" w:eastAsia="黑体" w:cs="黑体"/>
          <w:bCs/>
          <w:sz w:val="32"/>
          <w:szCs w:val="32"/>
        </w:rPr>
        <w:t>其他需要说明的问题</w:t>
      </w:r>
    </w:p>
    <w:p w14:paraId="281550DD">
      <w:pPr>
        <w:spacing w:after="0" w:line="360" w:lineRule="auto"/>
        <w:ind w:firstLine="1280" w:firstLineChars="400"/>
        <w:rPr>
          <w:rFonts w:ascii="仿宋" w:hAnsi="仿宋" w:eastAsia="仿宋" w:cs="仿宋"/>
          <w:bCs/>
          <w:sz w:val="32"/>
          <w:szCs w:val="32"/>
        </w:rPr>
      </w:pPr>
      <w:r>
        <w:rPr>
          <w:rFonts w:hint="eastAsia" w:ascii="仿宋" w:hAnsi="仿宋" w:eastAsia="仿宋" w:cs="仿宋"/>
          <w:bCs/>
          <w:sz w:val="32"/>
          <w:szCs w:val="32"/>
        </w:rPr>
        <w:t>无</w:t>
      </w:r>
    </w:p>
    <w:p w14:paraId="083B3249">
      <w:pPr>
        <w:spacing w:after="0" w:line="600" w:lineRule="atLeast"/>
        <w:ind w:firstLine="1280" w:firstLineChars="400"/>
        <w:rPr>
          <w:rFonts w:ascii="仿宋" w:hAnsi="仿宋" w:eastAsia="仿宋" w:cs="仿宋"/>
          <w:bCs/>
          <w:sz w:val="32"/>
          <w:szCs w:val="32"/>
        </w:rPr>
      </w:pPr>
    </w:p>
    <w:p w14:paraId="52477379">
      <w:pPr>
        <w:spacing w:after="0" w:line="600" w:lineRule="atLeast"/>
        <w:rPr>
          <w:rFonts w:ascii="仿宋" w:hAnsi="仿宋" w:eastAsia="仿宋" w:cs="仿宋"/>
          <w:bCs/>
          <w:sz w:val="32"/>
          <w:szCs w:val="32"/>
        </w:rPr>
      </w:pPr>
    </w:p>
    <w:p w14:paraId="2791E645">
      <w:pPr>
        <w:spacing w:line="510" w:lineRule="exact"/>
        <w:ind w:firstLine="645"/>
        <w:rPr>
          <w:rFonts w:ascii="仿宋" w:hAnsi="仿宋" w:eastAsia="仿宋" w:cs="仿宋_GB2312"/>
          <w:sz w:val="32"/>
          <w:szCs w:val="32"/>
          <w:shd w:val="clear" w:color="auto" w:fill="FFFFFF"/>
        </w:rPr>
      </w:pPr>
      <w:r>
        <w:rPr>
          <w:rFonts w:eastAsia="仿宋_GB2312"/>
          <w:sz w:val="32"/>
          <w:szCs w:val="32"/>
        </w:rPr>
        <w:t>附件：</w:t>
      </w:r>
      <w:r>
        <w:rPr>
          <w:rFonts w:hint="eastAsia" w:eastAsia="仿宋_GB2312"/>
          <w:sz w:val="32"/>
          <w:szCs w:val="32"/>
        </w:rPr>
        <w:t>1</w:t>
      </w:r>
      <w:r>
        <w:rPr>
          <w:rFonts w:eastAsia="仿宋_GB2312"/>
          <w:sz w:val="32"/>
          <w:szCs w:val="32"/>
        </w:rPr>
        <w:t>.</w:t>
      </w:r>
      <w:r>
        <w:rPr>
          <w:rFonts w:hint="eastAsia" w:eastAsia="仿宋_GB2312"/>
          <w:sz w:val="32"/>
          <w:szCs w:val="32"/>
        </w:rPr>
        <w:t>部门整体</w:t>
      </w:r>
      <w:r>
        <w:rPr>
          <w:rFonts w:eastAsia="仿宋_GB2312"/>
          <w:sz w:val="32"/>
          <w:szCs w:val="32"/>
        </w:rPr>
        <w:t>支出绩效评价指标</w:t>
      </w:r>
      <w:r>
        <w:rPr>
          <w:rFonts w:hint="eastAsia" w:eastAsia="仿宋_GB2312"/>
          <w:sz w:val="32"/>
          <w:szCs w:val="32"/>
        </w:rPr>
        <w:t>体系</w:t>
      </w:r>
      <w:r>
        <w:rPr>
          <w:rFonts w:eastAsia="仿宋_GB2312"/>
          <w:bCs/>
          <w:color w:val="000000"/>
          <w:sz w:val="32"/>
          <w:szCs w:val="32"/>
        </w:rPr>
        <w:t>评分表</w:t>
      </w:r>
    </w:p>
    <w:p w14:paraId="62013372">
      <w:pPr>
        <w:pStyle w:val="13"/>
        <w:ind w:firstLine="0"/>
        <w:rPr>
          <w:rFonts w:ascii="仿宋" w:hAnsi="仿宋" w:eastAsia="仿宋" w:cs="仿宋_GB2312"/>
          <w:sz w:val="32"/>
          <w:szCs w:val="32"/>
          <w:shd w:val="clear" w:color="auto" w:fill="FFFFFF"/>
        </w:rPr>
      </w:pPr>
    </w:p>
    <w:p w14:paraId="16C48D79">
      <w:pPr>
        <w:pStyle w:val="13"/>
        <w:rPr>
          <w:rFonts w:ascii="仿宋" w:hAnsi="仿宋" w:eastAsia="仿宋" w:cs="仿宋_GB2312"/>
          <w:sz w:val="32"/>
          <w:szCs w:val="32"/>
          <w:shd w:val="clear" w:color="auto" w:fill="FFFFFF"/>
        </w:rPr>
      </w:pPr>
    </w:p>
    <w:p w14:paraId="71B8DF2F">
      <w:pPr>
        <w:shd w:val="solid" w:color="FFFFFF" w:fill="auto"/>
        <w:autoSpaceDN w:val="0"/>
        <w:spacing w:line="360" w:lineRule="atLeast"/>
        <w:ind w:firstLine="1920" w:firstLineChars="600"/>
        <w:rPr>
          <w:rFonts w:ascii="仿宋" w:hAnsi="仿宋" w:eastAsia="仿宋" w:cs="仿宋_GB2312"/>
          <w:sz w:val="32"/>
          <w:szCs w:val="32"/>
        </w:rPr>
      </w:pPr>
      <w:r>
        <w:rPr>
          <w:rFonts w:hint="eastAsia" w:ascii="仿宋" w:hAnsi="仿宋" w:eastAsia="仿宋" w:cs="仿宋_GB2312"/>
          <w:sz w:val="32"/>
          <w:szCs w:val="32"/>
        </w:rPr>
        <w:t>中方县妇幼保健和计划生育技</w:t>
      </w:r>
      <w:r>
        <w:rPr>
          <w:rFonts w:hint="eastAsia" w:ascii="仿宋" w:hAnsi="仿宋" w:eastAsia="仿宋" w:cs="仿宋_GB2312"/>
          <w:sz w:val="36"/>
          <w:szCs w:val="32"/>
        </w:rPr>
        <w:t>术</w:t>
      </w:r>
      <w:r>
        <w:rPr>
          <w:rFonts w:hint="eastAsia" w:ascii="仿宋" w:hAnsi="仿宋" w:eastAsia="仿宋" w:cs="仿宋_GB2312"/>
          <w:sz w:val="32"/>
          <w:szCs w:val="32"/>
        </w:rPr>
        <w:t>服务中心</w:t>
      </w:r>
    </w:p>
    <w:p w14:paraId="44007BD8">
      <w:pPr>
        <w:shd w:val="solid" w:color="FFFFFF" w:fill="auto"/>
        <w:autoSpaceDN w:val="0"/>
        <w:spacing w:line="360" w:lineRule="atLeast"/>
        <w:ind w:firstLine="3520" w:firstLineChars="1100"/>
        <w:rPr>
          <w:rFonts w:ascii="仿宋" w:hAnsi="仿宋" w:eastAsia="仿宋" w:cs="仿宋_GB2312"/>
          <w:sz w:val="32"/>
          <w:szCs w:val="32"/>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4</w:t>
      </w:r>
      <w:r>
        <w:rPr>
          <w:rFonts w:hint="eastAsia" w:ascii="仿宋" w:hAnsi="仿宋" w:eastAsia="仿宋" w:cs="仿宋_GB2312"/>
          <w:sz w:val="32"/>
          <w:szCs w:val="32"/>
        </w:rPr>
        <w:t>年</w:t>
      </w:r>
      <w:r>
        <w:rPr>
          <w:rFonts w:hint="eastAsia" w:ascii="仿宋" w:hAnsi="仿宋" w:eastAsia="仿宋" w:cs="仿宋_GB2312"/>
          <w:sz w:val="32"/>
          <w:szCs w:val="32"/>
          <w:lang w:val="en-US" w:eastAsia="zh-CN"/>
        </w:rPr>
        <w:t>8</w:t>
      </w:r>
      <w:r>
        <w:rPr>
          <w:rFonts w:hint="eastAsia" w:ascii="仿宋" w:hAnsi="仿宋" w:eastAsia="仿宋" w:cs="仿宋_GB2312"/>
          <w:sz w:val="32"/>
          <w:szCs w:val="32"/>
        </w:rPr>
        <w:t>月</w:t>
      </w:r>
      <w:r>
        <w:rPr>
          <w:rFonts w:hint="eastAsia" w:ascii="仿宋" w:hAnsi="仿宋" w:eastAsia="仿宋" w:cs="仿宋_GB2312"/>
          <w:sz w:val="32"/>
          <w:szCs w:val="32"/>
          <w:lang w:val="en-US" w:eastAsia="zh-CN"/>
        </w:rPr>
        <w:t>12</w:t>
      </w:r>
      <w:r>
        <w:rPr>
          <w:rFonts w:hint="eastAsia" w:ascii="仿宋" w:hAnsi="仿宋" w:eastAsia="仿宋" w:cs="仿宋_GB2312"/>
          <w:sz w:val="32"/>
          <w:szCs w:val="32"/>
        </w:rPr>
        <w:t>日</w:t>
      </w:r>
    </w:p>
    <w:p w14:paraId="0EC1F486">
      <w:pPr>
        <w:spacing w:after="0" w:line="600" w:lineRule="atLeast"/>
        <w:ind w:firstLine="1280" w:firstLineChars="400"/>
        <w:rPr>
          <w:rFonts w:ascii="仿宋" w:hAnsi="仿宋" w:eastAsia="仿宋" w:cs="仿宋"/>
          <w:bCs/>
          <w:sz w:val="32"/>
          <w:szCs w:val="32"/>
        </w:rPr>
        <w:sectPr>
          <w:footerReference r:id="rId4" w:type="default"/>
          <w:pgSz w:w="11906" w:h="16838"/>
          <w:pgMar w:top="1587" w:right="1587" w:bottom="1587" w:left="1587" w:header="708" w:footer="709" w:gutter="0"/>
          <w:cols w:space="0" w:num="1"/>
          <w:docGrid w:linePitch="360" w:charSpace="0"/>
        </w:sectPr>
      </w:pPr>
    </w:p>
    <w:p w14:paraId="7494A2F9">
      <w:pPr>
        <w:spacing w:line="400" w:lineRule="exact"/>
        <w:rPr>
          <w:rFonts w:ascii="黑体" w:hAnsi="仿宋_GB2312" w:eastAsia="黑体" w:cs="仿宋_GB2312"/>
          <w:sz w:val="32"/>
          <w:szCs w:val="32"/>
        </w:rPr>
      </w:pPr>
      <w:r>
        <w:rPr>
          <w:rFonts w:hint="eastAsia" w:ascii="黑体" w:hAnsi="仿宋_GB2312" w:eastAsia="黑体" w:cs="仿宋_GB2312"/>
          <w:sz w:val="28"/>
          <w:szCs w:val="28"/>
        </w:rPr>
        <w:t>附件</w:t>
      </w:r>
      <w:r>
        <w:rPr>
          <w:rFonts w:ascii="黑体" w:hAnsi="仿宋_GB2312" w:eastAsia="黑体" w:cs="仿宋_GB2312"/>
          <w:sz w:val="28"/>
          <w:szCs w:val="28"/>
        </w:rPr>
        <w:t>2</w:t>
      </w:r>
      <w:r>
        <w:rPr>
          <w:rFonts w:hint="eastAsia" w:ascii="黑体" w:hAnsi="仿宋_GB2312" w:eastAsia="黑体" w:cs="仿宋_GB2312"/>
          <w:sz w:val="32"/>
          <w:szCs w:val="32"/>
        </w:rPr>
        <w:t>：</w:t>
      </w:r>
    </w:p>
    <w:p w14:paraId="1C70F133">
      <w:pPr>
        <w:spacing w:after="0" w:line="700" w:lineRule="atLeas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color w:val="000000"/>
          <w:sz w:val="44"/>
          <w:szCs w:val="44"/>
        </w:rPr>
        <w:t>部门整体支出绩效评价指标体系评分表</w:t>
      </w:r>
    </w:p>
    <w:tbl>
      <w:tblPr>
        <w:tblStyle w:val="5"/>
        <w:tblW w:w="1414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3"/>
        <w:gridCol w:w="803"/>
        <w:gridCol w:w="1182"/>
        <w:gridCol w:w="6911"/>
        <w:gridCol w:w="3423"/>
        <w:gridCol w:w="1090"/>
      </w:tblGrid>
      <w:tr w14:paraId="00B260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atLeast"/>
          <w:tblHeader/>
          <w:jc w:val="center"/>
        </w:trPr>
        <w:tc>
          <w:tcPr>
            <w:tcW w:w="733" w:type="dxa"/>
            <w:vMerge w:val="restart"/>
            <w:tcBorders>
              <w:top w:val="single" w:color="000000" w:sz="4" w:space="0"/>
              <w:left w:val="single" w:color="000000" w:sz="4" w:space="0"/>
              <w:bottom w:val="single" w:color="000000" w:sz="4" w:space="0"/>
              <w:right w:val="single" w:color="000000" w:sz="4" w:space="0"/>
            </w:tcBorders>
            <w:vAlign w:val="center"/>
          </w:tcPr>
          <w:p w14:paraId="493EE17E">
            <w:pPr>
              <w:spacing w:after="0" w:line="68" w:lineRule="atLeast"/>
              <w:jc w:val="center"/>
              <w:rPr>
                <w:rFonts w:ascii="宋体" w:hAnsi="宋体" w:eastAsia="宋体" w:cs="宋体"/>
              </w:rPr>
            </w:pPr>
            <w:r>
              <w:rPr>
                <w:rFonts w:hint="eastAsia" w:ascii="宋体" w:hAnsi="宋体" w:eastAsia="宋体" w:cs="宋体"/>
                <w:b/>
                <w:bCs/>
              </w:rPr>
              <w:t>一级指标</w:t>
            </w:r>
          </w:p>
        </w:tc>
        <w:tc>
          <w:tcPr>
            <w:tcW w:w="803" w:type="dxa"/>
            <w:vMerge w:val="restart"/>
            <w:tcBorders>
              <w:top w:val="single" w:color="000000" w:sz="4" w:space="0"/>
              <w:left w:val="single" w:color="000000" w:sz="4" w:space="0"/>
              <w:bottom w:val="single" w:color="000000" w:sz="4" w:space="0"/>
              <w:right w:val="single" w:color="000000" w:sz="4" w:space="0"/>
            </w:tcBorders>
            <w:vAlign w:val="center"/>
          </w:tcPr>
          <w:p w14:paraId="7CA9C7C9">
            <w:pPr>
              <w:spacing w:after="0" w:line="68" w:lineRule="atLeast"/>
              <w:jc w:val="center"/>
              <w:rPr>
                <w:rFonts w:ascii="宋体" w:hAnsi="宋体" w:eastAsia="宋体" w:cs="宋体"/>
              </w:rPr>
            </w:pPr>
            <w:r>
              <w:rPr>
                <w:rFonts w:hint="eastAsia" w:ascii="宋体" w:hAnsi="宋体" w:eastAsia="宋体" w:cs="宋体"/>
                <w:b/>
                <w:bCs/>
              </w:rPr>
              <w:t>二级指标</w:t>
            </w:r>
          </w:p>
        </w:tc>
        <w:tc>
          <w:tcPr>
            <w:tcW w:w="8093" w:type="dxa"/>
            <w:gridSpan w:val="2"/>
            <w:tcBorders>
              <w:top w:val="single" w:color="000000" w:sz="4" w:space="0"/>
              <w:left w:val="single" w:color="000000" w:sz="4" w:space="0"/>
              <w:bottom w:val="single" w:color="000000" w:sz="4" w:space="0"/>
              <w:right w:val="single" w:color="auto" w:sz="4" w:space="0"/>
            </w:tcBorders>
            <w:vAlign w:val="center"/>
          </w:tcPr>
          <w:p w14:paraId="1715B0A7">
            <w:pPr>
              <w:spacing w:after="0" w:line="68" w:lineRule="atLeast"/>
              <w:jc w:val="center"/>
              <w:rPr>
                <w:rFonts w:ascii="宋体" w:hAnsi="宋体" w:eastAsia="宋体" w:cs="宋体"/>
              </w:rPr>
            </w:pPr>
            <w:r>
              <w:rPr>
                <w:rFonts w:hint="eastAsia" w:ascii="宋体" w:hAnsi="宋体" w:eastAsia="宋体" w:cs="宋体"/>
                <w:b/>
                <w:bCs/>
              </w:rPr>
              <w:t>三级指标</w:t>
            </w:r>
          </w:p>
        </w:tc>
        <w:tc>
          <w:tcPr>
            <w:tcW w:w="3423" w:type="dxa"/>
            <w:vMerge w:val="restart"/>
            <w:tcBorders>
              <w:top w:val="single" w:color="000000" w:sz="4" w:space="0"/>
              <w:left w:val="single" w:color="auto" w:sz="4" w:space="0"/>
              <w:bottom w:val="single" w:color="000000" w:sz="4" w:space="0"/>
              <w:right w:val="single" w:color="auto" w:sz="4" w:space="0"/>
            </w:tcBorders>
            <w:vAlign w:val="center"/>
          </w:tcPr>
          <w:p w14:paraId="5B626DBA">
            <w:pPr>
              <w:spacing w:after="0" w:line="68" w:lineRule="atLeast"/>
              <w:jc w:val="center"/>
              <w:rPr>
                <w:rFonts w:ascii="宋体" w:hAnsi="宋体" w:eastAsia="宋体" w:cs="宋体"/>
              </w:rPr>
            </w:pPr>
            <w:r>
              <w:rPr>
                <w:rFonts w:hint="eastAsia" w:ascii="宋体" w:hAnsi="宋体" w:eastAsia="宋体" w:cs="宋体"/>
                <w:b/>
                <w:bCs/>
              </w:rPr>
              <w:t>评分标准</w:t>
            </w:r>
          </w:p>
        </w:tc>
        <w:tc>
          <w:tcPr>
            <w:tcW w:w="1090" w:type="dxa"/>
            <w:vMerge w:val="restart"/>
            <w:tcBorders>
              <w:top w:val="single" w:color="000000" w:sz="4" w:space="0"/>
              <w:left w:val="single" w:color="auto" w:sz="4" w:space="0"/>
              <w:bottom w:val="single" w:color="000000" w:sz="4" w:space="0"/>
              <w:right w:val="single" w:color="auto" w:sz="4" w:space="0"/>
            </w:tcBorders>
            <w:vAlign w:val="center"/>
          </w:tcPr>
          <w:p w14:paraId="7551B018">
            <w:pPr>
              <w:spacing w:after="0" w:line="68" w:lineRule="atLeast"/>
              <w:jc w:val="center"/>
              <w:rPr>
                <w:rFonts w:ascii="宋体" w:hAnsi="宋体" w:eastAsia="宋体" w:cs="宋体"/>
              </w:rPr>
            </w:pPr>
            <w:r>
              <w:rPr>
                <w:rFonts w:hint="eastAsia" w:ascii="宋体" w:hAnsi="宋体" w:eastAsia="宋体" w:cs="宋体"/>
                <w:b/>
                <w:bCs/>
              </w:rPr>
              <w:t>得分</w:t>
            </w:r>
          </w:p>
        </w:tc>
      </w:tr>
      <w:tr w14:paraId="171FBC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tblHeader/>
          <w:jc w:val="center"/>
        </w:trPr>
        <w:tc>
          <w:tcPr>
            <w:tcW w:w="733" w:type="dxa"/>
            <w:vMerge w:val="continue"/>
            <w:tcBorders>
              <w:top w:val="single" w:color="000000" w:sz="4" w:space="0"/>
              <w:left w:val="single" w:color="000000" w:sz="4" w:space="0"/>
              <w:bottom w:val="single" w:color="000000" w:sz="4" w:space="0"/>
              <w:right w:val="single" w:color="000000" w:sz="4" w:space="0"/>
            </w:tcBorders>
            <w:vAlign w:val="center"/>
          </w:tcPr>
          <w:p w14:paraId="3137E0F3">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21894C9E">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6EB722BA">
            <w:pPr>
              <w:spacing w:after="0" w:line="68" w:lineRule="atLeast"/>
              <w:jc w:val="center"/>
              <w:rPr>
                <w:rFonts w:ascii="宋体" w:hAnsi="宋体" w:eastAsia="宋体" w:cs="宋体"/>
              </w:rPr>
            </w:pPr>
            <w:r>
              <w:rPr>
                <w:rFonts w:hint="eastAsia" w:ascii="宋体" w:hAnsi="宋体" w:eastAsia="宋体" w:cs="宋体"/>
                <w:b/>
                <w:bCs/>
              </w:rPr>
              <w:t>指标名称</w:t>
            </w:r>
          </w:p>
        </w:tc>
        <w:tc>
          <w:tcPr>
            <w:tcW w:w="6911" w:type="dxa"/>
            <w:tcBorders>
              <w:top w:val="single" w:color="000000" w:sz="4" w:space="0"/>
              <w:left w:val="single" w:color="auto" w:sz="4" w:space="0"/>
              <w:bottom w:val="single" w:color="000000" w:sz="4" w:space="0"/>
              <w:right w:val="single" w:color="auto" w:sz="4" w:space="0"/>
            </w:tcBorders>
            <w:vAlign w:val="center"/>
          </w:tcPr>
          <w:p w14:paraId="4EAA8003">
            <w:pPr>
              <w:spacing w:after="0" w:line="68" w:lineRule="atLeast"/>
              <w:jc w:val="center"/>
              <w:rPr>
                <w:rFonts w:ascii="宋体" w:hAnsi="宋体" w:eastAsia="宋体" w:cs="宋体"/>
              </w:rPr>
            </w:pPr>
            <w:r>
              <w:rPr>
                <w:rFonts w:hint="eastAsia" w:ascii="宋体" w:hAnsi="宋体" w:eastAsia="宋体" w:cs="宋体"/>
                <w:b/>
                <w:bCs/>
              </w:rPr>
              <w:t>指标解释说明</w:t>
            </w:r>
          </w:p>
        </w:tc>
        <w:tc>
          <w:tcPr>
            <w:tcW w:w="3423" w:type="dxa"/>
            <w:vMerge w:val="continue"/>
            <w:tcBorders>
              <w:top w:val="single" w:color="000000" w:sz="4" w:space="0"/>
              <w:left w:val="single" w:color="auto" w:sz="4" w:space="0"/>
              <w:bottom w:val="single" w:color="000000" w:sz="4" w:space="0"/>
              <w:right w:val="single" w:color="auto" w:sz="4" w:space="0"/>
            </w:tcBorders>
            <w:vAlign w:val="center"/>
          </w:tcPr>
          <w:p w14:paraId="18AF4F14">
            <w:pPr>
              <w:spacing w:after="0"/>
              <w:rPr>
                <w:rFonts w:ascii="宋体" w:hAnsi="宋体" w:eastAsia="宋体" w:cs="宋体"/>
              </w:rPr>
            </w:pPr>
          </w:p>
        </w:tc>
        <w:tc>
          <w:tcPr>
            <w:tcW w:w="1090" w:type="dxa"/>
            <w:vMerge w:val="continue"/>
            <w:tcBorders>
              <w:top w:val="single" w:color="000000" w:sz="4" w:space="0"/>
              <w:left w:val="single" w:color="auto" w:sz="4" w:space="0"/>
              <w:bottom w:val="single" w:color="000000" w:sz="4" w:space="0"/>
              <w:right w:val="single" w:color="auto" w:sz="4" w:space="0"/>
            </w:tcBorders>
            <w:vAlign w:val="center"/>
          </w:tcPr>
          <w:p w14:paraId="1FCA70EB">
            <w:pPr>
              <w:spacing w:after="0"/>
              <w:rPr>
                <w:rFonts w:ascii="宋体" w:hAnsi="宋体" w:eastAsia="宋体" w:cs="宋体"/>
              </w:rPr>
            </w:pPr>
          </w:p>
        </w:tc>
      </w:tr>
      <w:tr w14:paraId="620044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0" w:hRule="atLeast"/>
          <w:jc w:val="center"/>
        </w:trPr>
        <w:tc>
          <w:tcPr>
            <w:tcW w:w="733" w:type="dxa"/>
            <w:vMerge w:val="restart"/>
            <w:tcBorders>
              <w:top w:val="single" w:color="000000" w:sz="4" w:space="0"/>
              <w:left w:val="single" w:color="000000" w:sz="4" w:space="0"/>
              <w:right w:val="single" w:color="000000" w:sz="4" w:space="0"/>
            </w:tcBorders>
          </w:tcPr>
          <w:p w14:paraId="5570F7C4">
            <w:pPr>
              <w:spacing w:after="0" w:line="68" w:lineRule="atLeast"/>
              <w:rPr>
                <w:rFonts w:ascii="宋体" w:hAnsi="宋体" w:eastAsia="宋体" w:cs="宋体"/>
              </w:rPr>
            </w:pPr>
          </w:p>
          <w:p w14:paraId="1C621622">
            <w:pPr>
              <w:spacing w:after="0" w:line="68" w:lineRule="atLeast"/>
              <w:rPr>
                <w:rFonts w:ascii="宋体" w:hAnsi="宋体" w:eastAsia="宋体" w:cs="宋体"/>
              </w:rPr>
            </w:pPr>
          </w:p>
          <w:p w14:paraId="25359817">
            <w:pPr>
              <w:spacing w:after="0" w:line="68" w:lineRule="atLeast"/>
              <w:rPr>
                <w:rFonts w:ascii="宋体" w:hAnsi="宋体" w:eastAsia="宋体" w:cs="宋体"/>
              </w:rPr>
            </w:pPr>
          </w:p>
          <w:p w14:paraId="0257AAC6">
            <w:pPr>
              <w:spacing w:after="0" w:line="68" w:lineRule="atLeast"/>
              <w:rPr>
                <w:rFonts w:ascii="宋体" w:hAnsi="宋体" w:eastAsia="宋体" w:cs="宋体"/>
              </w:rPr>
            </w:pPr>
          </w:p>
          <w:p w14:paraId="6133905F">
            <w:pPr>
              <w:spacing w:after="0" w:line="68" w:lineRule="atLeast"/>
              <w:rPr>
                <w:rFonts w:ascii="宋体" w:hAnsi="宋体" w:eastAsia="宋体" w:cs="宋体"/>
              </w:rPr>
            </w:pPr>
          </w:p>
          <w:p w14:paraId="1F24C5F7">
            <w:pPr>
              <w:spacing w:after="0" w:line="68" w:lineRule="atLeast"/>
              <w:rPr>
                <w:rFonts w:ascii="宋体" w:hAnsi="宋体" w:eastAsia="宋体" w:cs="宋体"/>
              </w:rPr>
            </w:pPr>
          </w:p>
          <w:p w14:paraId="71364D73">
            <w:pPr>
              <w:spacing w:after="0" w:line="68" w:lineRule="atLeast"/>
              <w:rPr>
                <w:rFonts w:ascii="宋体" w:hAnsi="宋体" w:eastAsia="宋体" w:cs="宋体"/>
              </w:rPr>
            </w:pPr>
          </w:p>
          <w:p w14:paraId="39EA08B9">
            <w:pPr>
              <w:spacing w:after="0" w:line="68" w:lineRule="atLeast"/>
              <w:rPr>
                <w:rFonts w:ascii="宋体" w:hAnsi="宋体" w:eastAsia="宋体" w:cs="宋体"/>
              </w:rPr>
            </w:pPr>
          </w:p>
          <w:p w14:paraId="2A6B66EF">
            <w:pPr>
              <w:spacing w:after="0" w:line="68" w:lineRule="atLeast"/>
              <w:rPr>
                <w:rFonts w:ascii="宋体" w:hAnsi="宋体" w:eastAsia="宋体" w:cs="宋体"/>
              </w:rPr>
            </w:pPr>
          </w:p>
          <w:p w14:paraId="0CADDA90">
            <w:pPr>
              <w:spacing w:after="0" w:line="68" w:lineRule="atLeast"/>
              <w:rPr>
                <w:rFonts w:ascii="宋体" w:hAnsi="宋体" w:eastAsia="宋体" w:cs="宋体"/>
              </w:rPr>
            </w:pPr>
          </w:p>
          <w:p w14:paraId="5901EC3B">
            <w:pPr>
              <w:spacing w:after="0" w:line="68" w:lineRule="atLeast"/>
              <w:rPr>
                <w:rFonts w:ascii="宋体" w:hAnsi="宋体" w:eastAsia="宋体" w:cs="宋体"/>
              </w:rPr>
            </w:pPr>
            <w:r>
              <w:rPr>
                <w:rFonts w:hint="eastAsia" w:ascii="宋体" w:hAnsi="宋体" w:eastAsia="宋体" w:cs="宋体"/>
              </w:rPr>
              <w:t>投入（15分）</w:t>
            </w:r>
          </w:p>
          <w:p w14:paraId="1A6183D1">
            <w:pPr>
              <w:spacing w:after="0" w:line="68" w:lineRule="atLeast"/>
              <w:rPr>
                <w:rFonts w:ascii="宋体" w:hAnsi="宋体" w:eastAsia="宋体" w:cs="宋体"/>
              </w:rPr>
            </w:pPr>
          </w:p>
          <w:p w14:paraId="24375890">
            <w:pPr>
              <w:spacing w:after="0" w:line="68" w:lineRule="atLeast"/>
              <w:rPr>
                <w:rFonts w:ascii="宋体" w:hAnsi="宋体" w:eastAsia="宋体" w:cs="宋体"/>
              </w:rPr>
            </w:pPr>
          </w:p>
          <w:p w14:paraId="4037701E">
            <w:pPr>
              <w:spacing w:after="0" w:line="68" w:lineRule="atLeast"/>
              <w:rPr>
                <w:rFonts w:ascii="宋体" w:hAnsi="宋体" w:eastAsia="宋体" w:cs="宋体"/>
              </w:rPr>
            </w:pPr>
          </w:p>
          <w:p w14:paraId="232FB511">
            <w:pPr>
              <w:spacing w:after="0" w:line="68" w:lineRule="atLeast"/>
              <w:rPr>
                <w:rFonts w:ascii="宋体" w:hAnsi="宋体" w:eastAsia="宋体" w:cs="宋体"/>
              </w:rPr>
            </w:pPr>
          </w:p>
          <w:p w14:paraId="45237CB1">
            <w:pPr>
              <w:spacing w:after="0" w:line="68" w:lineRule="atLeast"/>
              <w:rPr>
                <w:rFonts w:ascii="宋体" w:hAnsi="宋体" w:eastAsia="宋体" w:cs="宋体"/>
              </w:rPr>
            </w:pPr>
          </w:p>
          <w:p w14:paraId="22EC0605">
            <w:pPr>
              <w:spacing w:after="0" w:line="68" w:lineRule="atLeast"/>
              <w:rPr>
                <w:rFonts w:ascii="宋体" w:hAnsi="宋体" w:eastAsia="宋体" w:cs="宋体"/>
              </w:rPr>
            </w:pPr>
          </w:p>
          <w:p w14:paraId="390C95B2">
            <w:pPr>
              <w:spacing w:after="0" w:line="68" w:lineRule="atLeast"/>
              <w:rPr>
                <w:rFonts w:ascii="宋体" w:hAnsi="宋体" w:eastAsia="宋体" w:cs="宋体"/>
              </w:rPr>
            </w:pPr>
          </w:p>
          <w:p w14:paraId="4F69FAF1">
            <w:pPr>
              <w:spacing w:after="0" w:line="68" w:lineRule="atLeast"/>
              <w:rPr>
                <w:rFonts w:ascii="宋体" w:hAnsi="宋体" w:eastAsia="宋体" w:cs="宋体"/>
              </w:rPr>
            </w:pPr>
          </w:p>
          <w:p w14:paraId="7570830B">
            <w:pPr>
              <w:spacing w:after="0" w:line="68" w:lineRule="atLeast"/>
              <w:rPr>
                <w:rFonts w:ascii="宋体" w:hAnsi="宋体" w:eastAsia="宋体" w:cs="宋体"/>
              </w:rPr>
            </w:pPr>
          </w:p>
          <w:p w14:paraId="036F2682">
            <w:pPr>
              <w:spacing w:after="0" w:line="68" w:lineRule="atLeast"/>
              <w:rPr>
                <w:rFonts w:ascii="宋体" w:hAnsi="宋体" w:eastAsia="宋体" w:cs="宋体"/>
              </w:rPr>
            </w:pPr>
          </w:p>
          <w:p w14:paraId="0AA748B1">
            <w:pPr>
              <w:spacing w:after="0" w:line="68" w:lineRule="atLeast"/>
              <w:rPr>
                <w:rFonts w:ascii="宋体" w:hAnsi="宋体" w:eastAsia="宋体" w:cs="宋体"/>
              </w:rPr>
            </w:pPr>
          </w:p>
          <w:p w14:paraId="6DDFCBE2">
            <w:pPr>
              <w:spacing w:after="0" w:line="68" w:lineRule="atLeast"/>
              <w:rPr>
                <w:rFonts w:ascii="宋体" w:hAnsi="宋体" w:eastAsia="宋体" w:cs="宋体"/>
              </w:rPr>
            </w:pPr>
          </w:p>
          <w:p w14:paraId="6B8361C9">
            <w:pPr>
              <w:spacing w:after="0" w:line="68" w:lineRule="atLeast"/>
              <w:rPr>
                <w:rFonts w:ascii="宋体" w:hAnsi="宋体" w:eastAsia="宋体" w:cs="宋体"/>
              </w:rPr>
            </w:pPr>
          </w:p>
          <w:p w14:paraId="6DE40026">
            <w:pPr>
              <w:spacing w:after="0" w:line="68" w:lineRule="atLeast"/>
              <w:rPr>
                <w:rFonts w:ascii="宋体" w:hAnsi="宋体" w:eastAsia="宋体" w:cs="宋体"/>
              </w:rPr>
            </w:pPr>
          </w:p>
          <w:p w14:paraId="260ABEE7">
            <w:pPr>
              <w:spacing w:after="0" w:line="68" w:lineRule="atLeast"/>
              <w:rPr>
                <w:rFonts w:ascii="宋体" w:hAnsi="宋体" w:eastAsia="宋体" w:cs="宋体"/>
              </w:rPr>
            </w:pPr>
          </w:p>
          <w:p w14:paraId="11D7750E">
            <w:pPr>
              <w:spacing w:after="0" w:line="68" w:lineRule="atLeast"/>
              <w:rPr>
                <w:rFonts w:ascii="宋体" w:hAnsi="宋体" w:eastAsia="宋体" w:cs="宋体"/>
              </w:rPr>
            </w:pPr>
          </w:p>
          <w:p w14:paraId="51B13428">
            <w:pPr>
              <w:spacing w:after="0" w:line="68" w:lineRule="atLeast"/>
              <w:rPr>
                <w:rFonts w:ascii="宋体" w:hAnsi="宋体" w:eastAsia="宋体" w:cs="宋体"/>
              </w:rPr>
            </w:pPr>
          </w:p>
          <w:p w14:paraId="76A2FED9">
            <w:pPr>
              <w:spacing w:after="0" w:line="68" w:lineRule="atLeast"/>
              <w:rPr>
                <w:rFonts w:ascii="宋体" w:hAnsi="宋体" w:eastAsia="宋体" w:cs="宋体"/>
              </w:rPr>
            </w:pPr>
          </w:p>
          <w:p w14:paraId="37495E84">
            <w:pPr>
              <w:spacing w:after="0" w:line="68" w:lineRule="atLeast"/>
              <w:rPr>
                <w:rFonts w:ascii="宋体" w:hAnsi="宋体" w:eastAsia="宋体" w:cs="宋体"/>
              </w:rPr>
            </w:pPr>
          </w:p>
          <w:p w14:paraId="54062487">
            <w:pPr>
              <w:spacing w:after="0" w:line="68" w:lineRule="atLeast"/>
              <w:rPr>
                <w:rFonts w:ascii="宋体" w:hAnsi="宋体" w:eastAsia="宋体" w:cs="宋体"/>
              </w:rPr>
            </w:pPr>
            <w:r>
              <w:rPr>
                <w:rFonts w:hint="eastAsia" w:ascii="宋体" w:hAnsi="宋体" w:eastAsia="宋体" w:cs="宋体"/>
              </w:rPr>
              <w:t>投入（15分）</w:t>
            </w:r>
          </w:p>
        </w:tc>
        <w:tc>
          <w:tcPr>
            <w:tcW w:w="803" w:type="dxa"/>
            <w:vMerge w:val="restart"/>
            <w:tcBorders>
              <w:top w:val="single" w:color="000000" w:sz="4" w:space="0"/>
              <w:left w:val="single" w:color="000000" w:sz="4" w:space="0"/>
              <w:right w:val="single" w:color="000000" w:sz="4" w:space="0"/>
            </w:tcBorders>
          </w:tcPr>
          <w:p w14:paraId="4170825F">
            <w:pPr>
              <w:spacing w:after="0" w:line="240" w:lineRule="exact"/>
              <w:rPr>
                <w:rFonts w:ascii="宋体" w:hAnsi="宋体" w:eastAsia="宋体" w:cs="宋体"/>
              </w:rPr>
            </w:pPr>
          </w:p>
          <w:p w14:paraId="51661E25">
            <w:pPr>
              <w:spacing w:after="0" w:line="240" w:lineRule="exact"/>
              <w:rPr>
                <w:rFonts w:ascii="宋体" w:hAnsi="宋体" w:eastAsia="宋体" w:cs="宋体"/>
              </w:rPr>
            </w:pPr>
          </w:p>
          <w:p w14:paraId="6A697308">
            <w:pPr>
              <w:spacing w:after="0" w:line="240" w:lineRule="exact"/>
              <w:rPr>
                <w:rFonts w:ascii="宋体" w:hAnsi="宋体" w:eastAsia="宋体" w:cs="宋体"/>
              </w:rPr>
            </w:pPr>
          </w:p>
          <w:p w14:paraId="40049944">
            <w:pPr>
              <w:spacing w:after="0" w:line="240" w:lineRule="exact"/>
              <w:rPr>
                <w:rFonts w:ascii="宋体" w:hAnsi="宋体" w:eastAsia="宋体" w:cs="宋体"/>
              </w:rPr>
            </w:pPr>
          </w:p>
          <w:p w14:paraId="28863437">
            <w:pPr>
              <w:spacing w:after="0" w:line="240" w:lineRule="exact"/>
              <w:rPr>
                <w:rFonts w:ascii="宋体" w:hAnsi="宋体" w:eastAsia="宋体" w:cs="宋体"/>
              </w:rPr>
            </w:pPr>
          </w:p>
          <w:p w14:paraId="6A91CBF2">
            <w:pPr>
              <w:spacing w:after="0" w:line="240" w:lineRule="exact"/>
              <w:rPr>
                <w:rFonts w:ascii="宋体" w:hAnsi="宋体" w:eastAsia="宋体" w:cs="宋体"/>
              </w:rPr>
            </w:pPr>
          </w:p>
          <w:p w14:paraId="1CB440E4">
            <w:pPr>
              <w:spacing w:after="0" w:line="240" w:lineRule="exact"/>
              <w:rPr>
                <w:rFonts w:ascii="宋体" w:hAnsi="宋体" w:eastAsia="宋体" w:cs="宋体"/>
              </w:rPr>
            </w:pPr>
          </w:p>
          <w:p w14:paraId="377FF45D">
            <w:pPr>
              <w:spacing w:after="0" w:line="240" w:lineRule="exact"/>
              <w:rPr>
                <w:rFonts w:ascii="宋体" w:hAnsi="宋体" w:eastAsia="宋体" w:cs="宋体"/>
              </w:rPr>
            </w:pPr>
          </w:p>
          <w:p w14:paraId="560AA040">
            <w:pPr>
              <w:spacing w:after="0" w:line="240" w:lineRule="exact"/>
              <w:rPr>
                <w:rFonts w:ascii="宋体" w:hAnsi="宋体" w:eastAsia="宋体" w:cs="宋体"/>
              </w:rPr>
            </w:pPr>
          </w:p>
          <w:p w14:paraId="7B8B86AA">
            <w:pPr>
              <w:spacing w:after="0" w:line="240" w:lineRule="exact"/>
              <w:rPr>
                <w:rFonts w:ascii="宋体" w:hAnsi="宋体" w:eastAsia="宋体" w:cs="宋体"/>
              </w:rPr>
            </w:pPr>
          </w:p>
          <w:p w14:paraId="10C35C98">
            <w:pPr>
              <w:spacing w:after="0" w:line="240" w:lineRule="exact"/>
              <w:rPr>
                <w:rFonts w:ascii="宋体" w:hAnsi="宋体" w:eastAsia="宋体" w:cs="宋体"/>
              </w:rPr>
            </w:pPr>
          </w:p>
          <w:p w14:paraId="408B1393">
            <w:pPr>
              <w:spacing w:after="0" w:line="240" w:lineRule="exact"/>
              <w:rPr>
                <w:rFonts w:ascii="宋体" w:hAnsi="宋体" w:eastAsia="宋体" w:cs="宋体"/>
              </w:rPr>
            </w:pPr>
          </w:p>
          <w:p w14:paraId="6DF4E42D">
            <w:pPr>
              <w:spacing w:after="0" w:line="240" w:lineRule="exact"/>
              <w:rPr>
                <w:rFonts w:ascii="宋体" w:hAnsi="宋体" w:eastAsia="宋体" w:cs="宋体"/>
              </w:rPr>
            </w:pPr>
          </w:p>
          <w:p w14:paraId="5CEEBD81">
            <w:pPr>
              <w:spacing w:after="0" w:line="240" w:lineRule="exact"/>
              <w:rPr>
                <w:rFonts w:ascii="宋体" w:hAnsi="宋体" w:eastAsia="宋体" w:cs="宋体"/>
              </w:rPr>
            </w:pPr>
            <w:r>
              <w:rPr>
                <w:rFonts w:hint="eastAsia" w:ascii="宋体" w:hAnsi="宋体" w:eastAsia="宋体" w:cs="宋体"/>
              </w:rPr>
              <w:t>目标设定</w:t>
            </w:r>
          </w:p>
          <w:p w14:paraId="1DC62541">
            <w:pPr>
              <w:spacing w:after="0" w:line="68" w:lineRule="atLeast"/>
              <w:rPr>
                <w:rFonts w:ascii="宋体" w:hAnsi="宋体" w:eastAsia="宋体" w:cs="宋体"/>
              </w:rPr>
            </w:pPr>
            <w:r>
              <w:rPr>
                <w:rFonts w:hint="eastAsia" w:ascii="宋体" w:hAnsi="宋体" w:eastAsia="宋体" w:cs="宋体"/>
              </w:rPr>
              <w:t>（5分）</w:t>
            </w:r>
          </w:p>
        </w:tc>
        <w:tc>
          <w:tcPr>
            <w:tcW w:w="1182" w:type="dxa"/>
            <w:tcBorders>
              <w:top w:val="single" w:color="000000" w:sz="4" w:space="0"/>
              <w:left w:val="single" w:color="000000" w:sz="4" w:space="0"/>
              <w:bottom w:val="single" w:color="auto" w:sz="4" w:space="0"/>
              <w:right w:val="single" w:color="auto" w:sz="4" w:space="0"/>
            </w:tcBorders>
          </w:tcPr>
          <w:p w14:paraId="7E9781BD">
            <w:pPr>
              <w:spacing w:after="0" w:line="68" w:lineRule="atLeast"/>
              <w:rPr>
                <w:rFonts w:ascii="宋体" w:hAnsi="宋体" w:eastAsia="宋体" w:cs="宋体"/>
              </w:rPr>
            </w:pPr>
            <w:r>
              <w:rPr>
                <w:rFonts w:hint="eastAsia" w:ascii="宋体" w:hAnsi="宋体" w:eastAsia="宋体" w:cs="宋体"/>
              </w:rPr>
              <w:t>职责明确（1分）</w:t>
            </w:r>
          </w:p>
        </w:tc>
        <w:tc>
          <w:tcPr>
            <w:tcW w:w="6911" w:type="dxa"/>
            <w:tcBorders>
              <w:top w:val="single" w:color="000000" w:sz="4" w:space="0"/>
              <w:left w:val="single" w:color="auto" w:sz="4" w:space="0"/>
              <w:bottom w:val="single" w:color="auto" w:sz="4" w:space="0"/>
              <w:right w:val="single" w:color="auto" w:sz="4" w:space="0"/>
            </w:tcBorders>
          </w:tcPr>
          <w:p w14:paraId="06D0B8A7">
            <w:pPr>
              <w:spacing w:after="0" w:line="68" w:lineRule="atLeast"/>
              <w:rPr>
                <w:rFonts w:ascii="宋体" w:hAnsi="宋体" w:eastAsia="宋体" w:cs="宋体"/>
              </w:rPr>
            </w:pPr>
            <w:r>
              <w:rPr>
                <w:rFonts w:hint="eastAsia" w:ascii="宋体" w:hAnsi="宋体" w:eastAsia="宋体" w:cs="宋体"/>
              </w:rPr>
              <w:t>部门的职责设定是否符合“三定”方案中所赋予的职责和年度承担的重点工作，用以反映和评价部门工作的目的性与计划性。</w:t>
            </w:r>
          </w:p>
        </w:tc>
        <w:tc>
          <w:tcPr>
            <w:tcW w:w="3423" w:type="dxa"/>
            <w:tcBorders>
              <w:top w:val="single" w:color="000000" w:sz="4" w:space="0"/>
              <w:left w:val="single" w:color="auto" w:sz="4" w:space="0"/>
              <w:bottom w:val="single" w:color="auto" w:sz="4" w:space="0"/>
              <w:right w:val="single" w:color="auto" w:sz="4" w:space="0"/>
            </w:tcBorders>
          </w:tcPr>
          <w:p w14:paraId="11135960">
            <w:pPr>
              <w:spacing w:after="0" w:line="240" w:lineRule="exact"/>
              <w:rPr>
                <w:rFonts w:ascii="宋体" w:hAnsi="宋体" w:eastAsia="宋体" w:cs="宋体"/>
              </w:rPr>
            </w:pPr>
            <w:r>
              <w:rPr>
                <w:rFonts w:hint="eastAsia" w:ascii="宋体" w:hAnsi="宋体" w:eastAsia="宋体" w:cs="宋体"/>
              </w:rPr>
              <w:t>符合（1分）；</w:t>
            </w:r>
          </w:p>
          <w:p w14:paraId="2B6D3DAA">
            <w:pPr>
              <w:spacing w:after="0" w:line="68" w:lineRule="atLeast"/>
              <w:rPr>
                <w:rFonts w:ascii="宋体" w:hAnsi="宋体" w:eastAsia="宋体" w:cs="宋体"/>
              </w:rPr>
            </w:pPr>
            <w:r>
              <w:rPr>
                <w:rFonts w:hint="eastAsia" w:ascii="宋体" w:hAnsi="宋体" w:eastAsia="宋体" w:cs="宋体"/>
              </w:rPr>
              <w:t>不符合（0分）。</w:t>
            </w:r>
          </w:p>
        </w:tc>
        <w:tc>
          <w:tcPr>
            <w:tcW w:w="1090" w:type="dxa"/>
            <w:tcBorders>
              <w:top w:val="single" w:color="000000" w:sz="4" w:space="0"/>
              <w:left w:val="single" w:color="auto" w:sz="4" w:space="0"/>
              <w:bottom w:val="single" w:color="auto" w:sz="4" w:space="0"/>
              <w:right w:val="single" w:color="000000" w:sz="4" w:space="0"/>
            </w:tcBorders>
          </w:tcPr>
          <w:p w14:paraId="3A1F2305">
            <w:pPr>
              <w:spacing w:after="0" w:line="68" w:lineRule="atLeast"/>
              <w:rPr>
                <w:rFonts w:ascii="宋体" w:hAnsi="宋体" w:eastAsia="宋体" w:cs="宋体"/>
              </w:rPr>
            </w:pPr>
            <w:r>
              <w:rPr>
                <w:rFonts w:hint="eastAsia" w:ascii="宋体" w:hAnsi="宋体" w:eastAsia="宋体" w:cs="宋体"/>
              </w:rPr>
              <w:t> 1</w:t>
            </w:r>
          </w:p>
        </w:tc>
      </w:tr>
      <w:tr w14:paraId="635678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4" w:hRule="atLeast"/>
          <w:jc w:val="center"/>
        </w:trPr>
        <w:tc>
          <w:tcPr>
            <w:tcW w:w="733" w:type="dxa"/>
            <w:vMerge w:val="continue"/>
            <w:tcBorders>
              <w:left w:val="single" w:color="000000" w:sz="4" w:space="0"/>
              <w:right w:val="single" w:color="000000" w:sz="4" w:space="0"/>
            </w:tcBorders>
            <w:vAlign w:val="center"/>
          </w:tcPr>
          <w:p w14:paraId="421E3FC6">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4CB7E7D0">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4B7C0119">
            <w:pPr>
              <w:spacing w:after="0" w:line="68" w:lineRule="atLeast"/>
              <w:rPr>
                <w:rFonts w:ascii="宋体" w:hAnsi="宋体" w:eastAsia="宋体" w:cs="宋体"/>
              </w:rPr>
            </w:pPr>
            <w:r>
              <w:rPr>
                <w:rFonts w:hint="eastAsia" w:ascii="宋体" w:hAnsi="宋体" w:eastAsia="宋体" w:cs="宋体"/>
              </w:rPr>
              <w:t>活动合规性（1分）</w:t>
            </w:r>
          </w:p>
        </w:tc>
        <w:tc>
          <w:tcPr>
            <w:tcW w:w="6911" w:type="dxa"/>
            <w:tcBorders>
              <w:top w:val="single" w:color="000000" w:sz="4" w:space="0"/>
              <w:left w:val="single" w:color="auto" w:sz="4" w:space="0"/>
              <w:bottom w:val="single" w:color="auto" w:sz="4" w:space="0"/>
              <w:right w:val="single" w:color="auto" w:sz="4" w:space="0"/>
            </w:tcBorders>
            <w:vAlign w:val="center"/>
          </w:tcPr>
          <w:p w14:paraId="2A8A68EE">
            <w:pPr>
              <w:spacing w:after="0" w:line="240" w:lineRule="exact"/>
              <w:rPr>
                <w:rFonts w:ascii="宋体" w:hAnsi="宋体" w:eastAsia="宋体" w:cs="宋体"/>
              </w:rPr>
            </w:pPr>
            <w:r>
              <w:rPr>
                <w:rFonts w:hint="eastAsia" w:ascii="宋体" w:hAnsi="宋体" w:eastAsia="宋体" w:cs="宋体"/>
              </w:rPr>
              <w:t>部门的活动是否在职责范围之内并符合部门中长期规划，用以反映和评价部门活动目标与部门履职、年度工作任务的相符性情况。</w:t>
            </w:r>
          </w:p>
          <w:p w14:paraId="1C1B932E">
            <w:pPr>
              <w:spacing w:after="0" w:line="240" w:lineRule="exact"/>
              <w:rPr>
                <w:rFonts w:ascii="宋体" w:hAnsi="宋体" w:eastAsia="宋体" w:cs="宋体"/>
              </w:rPr>
            </w:pPr>
            <w:r>
              <w:rPr>
                <w:rFonts w:hint="eastAsia" w:ascii="宋体" w:hAnsi="宋体" w:eastAsia="宋体" w:cs="宋体"/>
              </w:rPr>
              <w:t>评价要点：</w:t>
            </w:r>
          </w:p>
          <w:p w14:paraId="421D40D6">
            <w:pPr>
              <w:spacing w:after="0" w:line="240" w:lineRule="exact"/>
              <w:rPr>
                <w:rFonts w:ascii="宋体" w:hAnsi="宋体" w:eastAsia="宋体" w:cs="宋体"/>
              </w:rPr>
            </w:pPr>
            <w:r>
              <w:rPr>
                <w:rFonts w:hint="eastAsia" w:ascii="宋体" w:hAnsi="宋体" w:eastAsia="宋体" w:cs="宋体"/>
              </w:rPr>
              <w:t>1.部门活动的设定在部门所确定的职责范围之内；</w:t>
            </w:r>
          </w:p>
          <w:p w14:paraId="59B4C95F">
            <w:pPr>
              <w:spacing w:after="0" w:line="68" w:lineRule="atLeast"/>
              <w:rPr>
                <w:rFonts w:ascii="宋体" w:hAnsi="宋体" w:eastAsia="宋体" w:cs="宋体"/>
              </w:rPr>
            </w:pPr>
            <w:r>
              <w:rPr>
                <w:rFonts w:hint="eastAsia" w:ascii="宋体" w:hAnsi="宋体" w:eastAsia="宋体" w:cs="宋体"/>
              </w:rPr>
              <w:t>2.部门活动符合市委、市政府的发展规划及本部门的年度工作安排与发展规划。</w:t>
            </w:r>
          </w:p>
        </w:tc>
        <w:tc>
          <w:tcPr>
            <w:tcW w:w="3423" w:type="dxa"/>
            <w:tcBorders>
              <w:top w:val="single" w:color="000000" w:sz="4" w:space="0"/>
              <w:left w:val="single" w:color="auto" w:sz="4" w:space="0"/>
              <w:bottom w:val="single" w:color="auto" w:sz="4" w:space="0"/>
              <w:right w:val="single" w:color="auto" w:sz="4" w:space="0"/>
            </w:tcBorders>
            <w:vAlign w:val="center"/>
          </w:tcPr>
          <w:p w14:paraId="7622835F">
            <w:pPr>
              <w:spacing w:after="0" w:line="240" w:lineRule="exact"/>
              <w:rPr>
                <w:rFonts w:ascii="宋体" w:hAnsi="宋体" w:eastAsia="宋体" w:cs="宋体"/>
              </w:rPr>
            </w:pPr>
            <w:r>
              <w:rPr>
                <w:rFonts w:hint="eastAsia" w:ascii="宋体" w:hAnsi="宋体" w:eastAsia="宋体" w:cs="宋体"/>
              </w:rPr>
              <w:t>全部符合（1分）；</w:t>
            </w:r>
          </w:p>
          <w:p w14:paraId="441563AB">
            <w:pPr>
              <w:spacing w:after="0" w:line="68" w:lineRule="atLeast"/>
              <w:rPr>
                <w:rFonts w:ascii="宋体" w:hAnsi="宋体" w:eastAsia="宋体" w:cs="宋体"/>
              </w:rPr>
            </w:pPr>
            <w:r>
              <w:rPr>
                <w:rFonts w:hint="eastAsia" w:ascii="宋体" w:hAnsi="宋体" w:eastAsia="宋体" w:cs="宋体"/>
              </w:rPr>
              <w:t>其中一项不符合（0分）。</w:t>
            </w:r>
          </w:p>
        </w:tc>
        <w:tc>
          <w:tcPr>
            <w:tcW w:w="1090" w:type="dxa"/>
            <w:tcBorders>
              <w:top w:val="single" w:color="000000" w:sz="4" w:space="0"/>
              <w:left w:val="single" w:color="auto" w:sz="4" w:space="0"/>
              <w:bottom w:val="single" w:color="auto" w:sz="4" w:space="0"/>
              <w:right w:val="single" w:color="000000" w:sz="4" w:space="0"/>
            </w:tcBorders>
            <w:vAlign w:val="center"/>
          </w:tcPr>
          <w:p w14:paraId="418918F9">
            <w:pPr>
              <w:spacing w:after="0" w:line="68" w:lineRule="atLeast"/>
              <w:rPr>
                <w:rFonts w:ascii="宋体" w:hAnsi="宋体" w:eastAsia="宋体" w:cs="宋体"/>
              </w:rPr>
            </w:pPr>
            <w:r>
              <w:rPr>
                <w:rFonts w:hint="eastAsia" w:ascii="宋体" w:hAnsi="宋体" w:eastAsia="宋体" w:cs="宋体"/>
              </w:rPr>
              <w:t> 1</w:t>
            </w:r>
          </w:p>
        </w:tc>
      </w:tr>
      <w:tr w14:paraId="4730AD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2" w:hRule="atLeast"/>
          <w:jc w:val="center"/>
        </w:trPr>
        <w:tc>
          <w:tcPr>
            <w:tcW w:w="733" w:type="dxa"/>
            <w:vMerge w:val="continue"/>
            <w:tcBorders>
              <w:left w:val="single" w:color="000000" w:sz="4" w:space="0"/>
              <w:right w:val="single" w:color="000000" w:sz="4" w:space="0"/>
            </w:tcBorders>
            <w:vAlign w:val="center"/>
          </w:tcPr>
          <w:p w14:paraId="34ED06B2">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204B0DD5">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107CEA0F">
            <w:pPr>
              <w:spacing w:after="0" w:line="68" w:lineRule="atLeast"/>
              <w:rPr>
                <w:rFonts w:ascii="宋体" w:hAnsi="宋体" w:eastAsia="宋体" w:cs="宋体"/>
              </w:rPr>
            </w:pPr>
            <w:r>
              <w:rPr>
                <w:rFonts w:hint="eastAsia" w:ascii="宋体" w:hAnsi="宋体" w:eastAsia="宋体" w:cs="宋体"/>
              </w:rPr>
              <w:t>活动合理性（1分）</w:t>
            </w:r>
          </w:p>
        </w:tc>
        <w:tc>
          <w:tcPr>
            <w:tcW w:w="6911" w:type="dxa"/>
            <w:tcBorders>
              <w:top w:val="single" w:color="000000" w:sz="4" w:space="0"/>
              <w:left w:val="single" w:color="auto" w:sz="4" w:space="0"/>
              <w:bottom w:val="single" w:color="auto" w:sz="4" w:space="0"/>
              <w:right w:val="single" w:color="auto" w:sz="4" w:space="0"/>
            </w:tcBorders>
            <w:vAlign w:val="center"/>
          </w:tcPr>
          <w:p w14:paraId="2A8B37F8">
            <w:pPr>
              <w:spacing w:after="0" w:line="240" w:lineRule="exact"/>
              <w:rPr>
                <w:rFonts w:ascii="宋体" w:hAnsi="宋体" w:eastAsia="宋体" w:cs="宋体"/>
              </w:rPr>
            </w:pPr>
            <w:r>
              <w:rPr>
                <w:rFonts w:hint="eastAsia" w:ascii="宋体" w:hAnsi="宋体" w:eastAsia="宋体" w:cs="宋体"/>
              </w:rPr>
              <w:t>部门所设立的活动是否明确合理、活动的关键性指标设置是否可衡量，用以反映和评价部门活动目标设定的合理性。</w:t>
            </w:r>
          </w:p>
          <w:p w14:paraId="5D873A90">
            <w:pPr>
              <w:spacing w:after="0" w:line="240" w:lineRule="exact"/>
              <w:rPr>
                <w:rFonts w:ascii="宋体" w:hAnsi="宋体" w:eastAsia="宋体" w:cs="宋体"/>
              </w:rPr>
            </w:pPr>
            <w:r>
              <w:rPr>
                <w:rFonts w:hint="eastAsia" w:ascii="宋体" w:hAnsi="宋体" w:eastAsia="宋体" w:cs="宋体"/>
              </w:rPr>
              <w:t>评价要点：</w:t>
            </w:r>
          </w:p>
          <w:p w14:paraId="214EA466">
            <w:pPr>
              <w:spacing w:after="0" w:line="240" w:lineRule="exact"/>
              <w:rPr>
                <w:rFonts w:ascii="宋体" w:hAnsi="宋体" w:eastAsia="宋体" w:cs="宋体"/>
              </w:rPr>
            </w:pPr>
            <w:r>
              <w:rPr>
                <w:rFonts w:hint="eastAsia" w:ascii="宋体" w:hAnsi="宋体" w:eastAsia="宋体" w:cs="宋体"/>
              </w:rPr>
              <w:t>1.活动目标的设定是可量化的，可通过清晰、可衡量的关键指标值予以体现；</w:t>
            </w:r>
          </w:p>
          <w:p w14:paraId="4BBE744A">
            <w:pPr>
              <w:spacing w:after="0" w:line="68" w:lineRule="atLeast"/>
              <w:rPr>
                <w:rFonts w:ascii="宋体" w:hAnsi="宋体" w:eastAsia="宋体" w:cs="宋体"/>
              </w:rPr>
            </w:pPr>
            <w:r>
              <w:rPr>
                <w:rFonts w:hint="eastAsia" w:ascii="宋体" w:hAnsi="宋体" w:eastAsia="宋体" w:cs="宋体"/>
              </w:rPr>
              <w:t>2.在活动目标设定时，将关键指标明细分解为具体的达成目标与工作任务。</w:t>
            </w:r>
          </w:p>
        </w:tc>
        <w:tc>
          <w:tcPr>
            <w:tcW w:w="3423" w:type="dxa"/>
            <w:tcBorders>
              <w:top w:val="single" w:color="000000" w:sz="4" w:space="0"/>
              <w:left w:val="single" w:color="auto" w:sz="4" w:space="0"/>
              <w:bottom w:val="single" w:color="auto" w:sz="4" w:space="0"/>
              <w:right w:val="single" w:color="auto" w:sz="4" w:space="0"/>
            </w:tcBorders>
            <w:vAlign w:val="center"/>
          </w:tcPr>
          <w:p w14:paraId="7370CFBD">
            <w:pPr>
              <w:spacing w:after="0" w:line="240" w:lineRule="exact"/>
              <w:rPr>
                <w:rFonts w:ascii="宋体" w:hAnsi="宋体" w:eastAsia="宋体" w:cs="宋体"/>
              </w:rPr>
            </w:pPr>
            <w:r>
              <w:rPr>
                <w:rFonts w:hint="eastAsia" w:ascii="宋体" w:hAnsi="宋体" w:eastAsia="宋体" w:cs="宋体"/>
              </w:rPr>
              <w:t>全部符合（1分）；</w:t>
            </w:r>
          </w:p>
          <w:p w14:paraId="2D2D60C3">
            <w:pPr>
              <w:spacing w:after="0" w:line="68" w:lineRule="atLeast"/>
              <w:rPr>
                <w:rFonts w:ascii="宋体" w:hAnsi="宋体" w:eastAsia="宋体" w:cs="宋体"/>
              </w:rPr>
            </w:pPr>
            <w:r>
              <w:rPr>
                <w:rFonts w:hint="eastAsia" w:ascii="宋体" w:hAnsi="宋体" w:eastAsia="宋体" w:cs="宋体"/>
              </w:rPr>
              <w:t>其中一项不符合（0分）。</w:t>
            </w:r>
          </w:p>
        </w:tc>
        <w:tc>
          <w:tcPr>
            <w:tcW w:w="1090" w:type="dxa"/>
            <w:tcBorders>
              <w:top w:val="single" w:color="000000" w:sz="4" w:space="0"/>
              <w:left w:val="single" w:color="auto" w:sz="4" w:space="0"/>
              <w:bottom w:val="single" w:color="auto" w:sz="4" w:space="0"/>
              <w:right w:val="single" w:color="000000" w:sz="4" w:space="0"/>
            </w:tcBorders>
            <w:vAlign w:val="center"/>
          </w:tcPr>
          <w:p w14:paraId="6B616F68">
            <w:pPr>
              <w:spacing w:after="0" w:line="68" w:lineRule="atLeast"/>
              <w:rPr>
                <w:rFonts w:ascii="宋体" w:hAnsi="宋体" w:eastAsia="宋体" w:cs="宋体"/>
              </w:rPr>
            </w:pPr>
            <w:r>
              <w:rPr>
                <w:rFonts w:hint="eastAsia" w:ascii="宋体" w:hAnsi="宋体" w:eastAsia="宋体" w:cs="宋体"/>
              </w:rPr>
              <w:t> 1</w:t>
            </w:r>
          </w:p>
        </w:tc>
      </w:tr>
      <w:tr w14:paraId="65548C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4" w:hRule="atLeast"/>
          <w:jc w:val="center"/>
        </w:trPr>
        <w:tc>
          <w:tcPr>
            <w:tcW w:w="733" w:type="dxa"/>
            <w:vMerge w:val="continue"/>
            <w:tcBorders>
              <w:left w:val="single" w:color="000000" w:sz="4" w:space="0"/>
              <w:right w:val="single" w:color="000000" w:sz="4" w:space="0"/>
            </w:tcBorders>
            <w:vAlign w:val="center"/>
          </w:tcPr>
          <w:p w14:paraId="663D0740">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036F4D33">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21833501">
            <w:pPr>
              <w:spacing w:after="0" w:line="68" w:lineRule="atLeast"/>
              <w:rPr>
                <w:rFonts w:ascii="宋体" w:hAnsi="宋体" w:eastAsia="宋体" w:cs="宋体"/>
              </w:rPr>
            </w:pPr>
            <w:r>
              <w:rPr>
                <w:rFonts w:hint="eastAsia" w:ascii="宋体" w:hAnsi="宋体" w:eastAsia="宋体" w:cs="宋体"/>
              </w:rPr>
              <w:t>目标覆盖率（1分）</w:t>
            </w:r>
          </w:p>
        </w:tc>
        <w:tc>
          <w:tcPr>
            <w:tcW w:w="6911" w:type="dxa"/>
            <w:tcBorders>
              <w:top w:val="single" w:color="000000" w:sz="4" w:space="0"/>
              <w:left w:val="single" w:color="auto" w:sz="4" w:space="0"/>
              <w:bottom w:val="single" w:color="auto" w:sz="4" w:space="0"/>
              <w:right w:val="single" w:color="auto" w:sz="4" w:space="0"/>
            </w:tcBorders>
            <w:vAlign w:val="center"/>
          </w:tcPr>
          <w:p w14:paraId="314D2FD9">
            <w:pPr>
              <w:spacing w:after="0" w:line="240" w:lineRule="exact"/>
              <w:rPr>
                <w:rFonts w:ascii="宋体" w:hAnsi="宋体" w:eastAsia="宋体" w:cs="宋体"/>
              </w:rPr>
            </w:pPr>
            <w:r>
              <w:rPr>
                <w:rFonts w:hint="eastAsia" w:ascii="宋体" w:hAnsi="宋体" w:eastAsia="宋体" w:cs="宋体"/>
              </w:rPr>
              <w:t>部门年度申报绩效目标项目资金额与部门项目预算资金总额的比率，用以反映部门落实财政部门绩效目标申报要求的资金覆盖情况。</w:t>
            </w:r>
          </w:p>
          <w:p w14:paraId="5E3F634F">
            <w:pPr>
              <w:spacing w:after="0" w:line="240" w:lineRule="exact"/>
              <w:rPr>
                <w:rFonts w:ascii="宋体" w:hAnsi="宋体" w:eastAsia="宋体" w:cs="宋体"/>
              </w:rPr>
            </w:pPr>
            <w:r>
              <w:rPr>
                <w:rFonts w:hint="eastAsia" w:ascii="宋体" w:hAnsi="宋体" w:eastAsia="宋体" w:cs="宋体"/>
              </w:rPr>
              <w:t>覆盖率=实际申报绩效目标项目资金总额/部门项目预算资金总额×100%</w:t>
            </w:r>
          </w:p>
        </w:tc>
        <w:tc>
          <w:tcPr>
            <w:tcW w:w="3423" w:type="dxa"/>
            <w:tcBorders>
              <w:top w:val="single" w:color="000000" w:sz="4" w:space="0"/>
              <w:left w:val="single" w:color="auto" w:sz="4" w:space="0"/>
              <w:bottom w:val="single" w:color="auto" w:sz="4" w:space="0"/>
              <w:right w:val="single" w:color="auto" w:sz="4" w:space="0"/>
            </w:tcBorders>
            <w:vAlign w:val="center"/>
          </w:tcPr>
          <w:p w14:paraId="5D713C9A">
            <w:pPr>
              <w:spacing w:after="0" w:line="240" w:lineRule="exact"/>
              <w:rPr>
                <w:rFonts w:ascii="宋体" w:hAnsi="宋体" w:eastAsia="宋体" w:cs="宋体"/>
              </w:rPr>
            </w:pPr>
            <w:r>
              <w:rPr>
                <w:rFonts w:hint="eastAsia" w:ascii="宋体" w:hAnsi="宋体" w:eastAsia="宋体" w:cs="宋体"/>
              </w:rPr>
              <w:t>达到目标值得1分，未达到目标值采用完成比率法计分：得分=覆盖率/目标值×1，超过目标值不加分。</w:t>
            </w:r>
          </w:p>
        </w:tc>
        <w:tc>
          <w:tcPr>
            <w:tcW w:w="1090" w:type="dxa"/>
            <w:tcBorders>
              <w:top w:val="single" w:color="000000" w:sz="4" w:space="0"/>
              <w:left w:val="single" w:color="auto" w:sz="4" w:space="0"/>
              <w:bottom w:val="single" w:color="auto" w:sz="4" w:space="0"/>
              <w:right w:val="single" w:color="000000" w:sz="4" w:space="0"/>
            </w:tcBorders>
            <w:vAlign w:val="center"/>
          </w:tcPr>
          <w:p w14:paraId="29771FA8">
            <w:pPr>
              <w:spacing w:after="0" w:line="68" w:lineRule="atLeast"/>
              <w:ind w:firstLine="220" w:firstLineChars="100"/>
              <w:rPr>
                <w:rFonts w:ascii="宋体" w:hAnsi="宋体" w:eastAsia="宋体" w:cs="宋体"/>
              </w:rPr>
            </w:pPr>
            <w:r>
              <w:rPr>
                <w:rFonts w:hint="eastAsia" w:ascii="宋体" w:hAnsi="宋体" w:eastAsia="宋体" w:cs="宋体"/>
              </w:rPr>
              <w:t>1</w:t>
            </w:r>
          </w:p>
        </w:tc>
      </w:tr>
      <w:tr w14:paraId="3E41A1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2" w:hRule="atLeast"/>
          <w:jc w:val="center"/>
        </w:trPr>
        <w:tc>
          <w:tcPr>
            <w:tcW w:w="733" w:type="dxa"/>
            <w:vMerge w:val="continue"/>
            <w:tcBorders>
              <w:left w:val="single" w:color="000000" w:sz="4" w:space="0"/>
              <w:right w:val="single" w:color="000000" w:sz="4" w:space="0"/>
            </w:tcBorders>
            <w:vAlign w:val="center"/>
          </w:tcPr>
          <w:p w14:paraId="71F4153D">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5D10AB87">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2C596548">
            <w:pPr>
              <w:spacing w:after="0" w:line="68" w:lineRule="atLeast"/>
              <w:rPr>
                <w:rFonts w:ascii="宋体" w:hAnsi="宋体" w:eastAsia="宋体" w:cs="宋体"/>
              </w:rPr>
            </w:pPr>
            <w:r>
              <w:rPr>
                <w:rFonts w:hint="eastAsia" w:ascii="宋体" w:hAnsi="宋体" w:eastAsia="宋体" w:cs="宋体"/>
              </w:rPr>
              <w:t>目标管理创新（1分）</w:t>
            </w:r>
          </w:p>
        </w:tc>
        <w:tc>
          <w:tcPr>
            <w:tcW w:w="6911" w:type="dxa"/>
            <w:tcBorders>
              <w:top w:val="single" w:color="000000" w:sz="4" w:space="0"/>
              <w:left w:val="single" w:color="auto" w:sz="4" w:space="0"/>
              <w:bottom w:val="single" w:color="auto" w:sz="4" w:space="0"/>
              <w:right w:val="single" w:color="auto" w:sz="4" w:space="0"/>
            </w:tcBorders>
            <w:vAlign w:val="center"/>
          </w:tcPr>
          <w:p w14:paraId="3FDCEFD1">
            <w:pPr>
              <w:spacing w:after="0" w:line="240" w:lineRule="exact"/>
              <w:rPr>
                <w:rFonts w:ascii="宋体" w:hAnsi="宋体" w:eastAsia="宋体" w:cs="宋体"/>
              </w:rPr>
            </w:pPr>
            <w:r>
              <w:rPr>
                <w:rFonts w:hint="eastAsia" w:ascii="宋体" w:hAnsi="宋体" w:eastAsia="宋体" w:cs="宋体"/>
              </w:rPr>
              <w:t>部门编报整体绩效目标和申报项目绩效目标的数量超过规定的要求。用以反映和考核部门绩效目标管理创新工作情况。</w:t>
            </w:r>
          </w:p>
          <w:p w14:paraId="778E8438">
            <w:pPr>
              <w:spacing w:after="0" w:line="240" w:lineRule="exact"/>
              <w:rPr>
                <w:rFonts w:ascii="宋体" w:hAnsi="宋体" w:eastAsia="宋体" w:cs="宋体"/>
              </w:rPr>
            </w:pPr>
            <w:r>
              <w:rPr>
                <w:rFonts w:hint="eastAsia" w:ascii="宋体" w:hAnsi="宋体" w:eastAsia="宋体" w:cs="宋体"/>
              </w:rPr>
              <w:t>项目绩效目标创新=部门绩效目标编报数量-按财政部门要求的绩效目标填报数量</w:t>
            </w:r>
          </w:p>
        </w:tc>
        <w:tc>
          <w:tcPr>
            <w:tcW w:w="3423" w:type="dxa"/>
            <w:tcBorders>
              <w:top w:val="single" w:color="000000" w:sz="4" w:space="0"/>
              <w:left w:val="single" w:color="auto" w:sz="4" w:space="0"/>
              <w:bottom w:val="single" w:color="auto" w:sz="4" w:space="0"/>
              <w:right w:val="single" w:color="auto" w:sz="4" w:space="0"/>
            </w:tcBorders>
            <w:vAlign w:val="center"/>
          </w:tcPr>
          <w:p w14:paraId="3863356C">
            <w:pPr>
              <w:spacing w:after="0" w:line="240" w:lineRule="exact"/>
              <w:rPr>
                <w:rFonts w:ascii="宋体" w:hAnsi="宋体" w:eastAsia="宋体" w:cs="宋体"/>
              </w:rPr>
            </w:pPr>
            <w:r>
              <w:rPr>
                <w:rFonts w:hint="eastAsia" w:ascii="宋体" w:hAnsi="宋体" w:eastAsia="宋体" w:cs="宋体"/>
              </w:rPr>
              <w:t>每超过1项得0.1分，满分1分。</w:t>
            </w:r>
          </w:p>
        </w:tc>
        <w:tc>
          <w:tcPr>
            <w:tcW w:w="1090" w:type="dxa"/>
            <w:tcBorders>
              <w:top w:val="single" w:color="000000" w:sz="4" w:space="0"/>
              <w:left w:val="single" w:color="auto" w:sz="4" w:space="0"/>
              <w:bottom w:val="single" w:color="auto" w:sz="4" w:space="0"/>
              <w:right w:val="single" w:color="000000" w:sz="4" w:space="0"/>
            </w:tcBorders>
            <w:vAlign w:val="center"/>
          </w:tcPr>
          <w:p w14:paraId="5344A0D3">
            <w:pPr>
              <w:spacing w:after="0" w:line="68" w:lineRule="atLeast"/>
              <w:rPr>
                <w:rFonts w:ascii="宋体" w:hAnsi="宋体" w:eastAsia="宋体" w:cs="宋体"/>
              </w:rPr>
            </w:pPr>
            <w:r>
              <w:rPr>
                <w:rFonts w:hint="eastAsia" w:ascii="宋体" w:hAnsi="宋体" w:eastAsia="宋体" w:cs="宋体"/>
              </w:rPr>
              <w:t xml:space="preserve">  1</w:t>
            </w:r>
          </w:p>
        </w:tc>
      </w:tr>
      <w:tr w14:paraId="635920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95" w:hRule="atLeast"/>
          <w:jc w:val="center"/>
        </w:trPr>
        <w:tc>
          <w:tcPr>
            <w:tcW w:w="733" w:type="dxa"/>
            <w:vMerge w:val="continue"/>
            <w:tcBorders>
              <w:left w:val="single" w:color="000000" w:sz="4" w:space="0"/>
              <w:right w:val="single" w:color="000000" w:sz="4" w:space="0"/>
            </w:tcBorders>
            <w:vAlign w:val="center"/>
          </w:tcPr>
          <w:p w14:paraId="0DFF50EE">
            <w:pPr>
              <w:spacing w:after="0"/>
              <w:rPr>
                <w:rFonts w:ascii="宋体" w:hAnsi="宋体" w:eastAsia="宋体" w:cs="宋体"/>
              </w:rPr>
            </w:pPr>
          </w:p>
        </w:tc>
        <w:tc>
          <w:tcPr>
            <w:tcW w:w="803" w:type="dxa"/>
            <w:vMerge w:val="restart"/>
            <w:tcBorders>
              <w:top w:val="single" w:color="000000" w:sz="4" w:space="0"/>
              <w:left w:val="single" w:color="000000" w:sz="4" w:space="0"/>
              <w:right w:val="single" w:color="000000" w:sz="4" w:space="0"/>
            </w:tcBorders>
            <w:vAlign w:val="center"/>
          </w:tcPr>
          <w:p w14:paraId="5D8DEF8E">
            <w:pPr>
              <w:spacing w:after="0" w:line="68" w:lineRule="atLeast"/>
              <w:rPr>
                <w:rFonts w:ascii="宋体" w:hAnsi="宋体" w:eastAsia="宋体" w:cs="宋体"/>
              </w:rPr>
            </w:pPr>
            <w:r>
              <w:rPr>
                <w:rFonts w:hint="eastAsia" w:ascii="宋体" w:hAnsi="宋体" w:eastAsia="宋体" w:cs="宋体"/>
              </w:rPr>
              <w:t>预算配置(10分)</w:t>
            </w:r>
          </w:p>
        </w:tc>
        <w:tc>
          <w:tcPr>
            <w:tcW w:w="1182" w:type="dxa"/>
            <w:tcBorders>
              <w:top w:val="single" w:color="auto" w:sz="4" w:space="0"/>
              <w:left w:val="single" w:color="000000" w:sz="4" w:space="0"/>
              <w:bottom w:val="single" w:color="000000" w:sz="4" w:space="0"/>
              <w:right w:val="single" w:color="auto" w:sz="4" w:space="0"/>
            </w:tcBorders>
            <w:vAlign w:val="center"/>
          </w:tcPr>
          <w:p w14:paraId="39B73B85">
            <w:pPr>
              <w:spacing w:after="0" w:line="68" w:lineRule="atLeast"/>
              <w:rPr>
                <w:rFonts w:ascii="宋体" w:hAnsi="宋体" w:eastAsia="宋体" w:cs="宋体"/>
              </w:rPr>
            </w:pPr>
            <w:r>
              <w:rPr>
                <w:rFonts w:hint="eastAsia" w:ascii="宋体" w:hAnsi="宋体" w:eastAsia="宋体" w:cs="宋体"/>
              </w:rPr>
              <w:t>财政供养人员控制率（3分）</w:t>
            </w:r>
          </w:p>
        </w:tc>
        <w:tc>
          <w:tcPr>
            <w:tcW w:w="6911" w:type="dxa"/>
            <w:tcBorders>
              <w:top w:val="single" w:color="auto" w:sz="4" w:space="0"/>
              <w:left w:val="single" w:color="auto" w:sz="4" w:space="0"/>
              <w:bottom w:val="single" w:color="000000" w:sz="4" w:space="0"/>
              <w:right w:val="single" w:color="auto" w:sz="4" w:space="0"/>
            </w:tcBorders>
            <w:vAlign w:val="center"/>
          </w:tcPr>
          <w:p w14:paraId="3EBC1B81">
            <w:pPr>
              <w:spacing w:after="0" w:line="240" w:lineRule="exact"/>
              <w:rPr>
                <w:rFonts w:ascii="宋体" w:hAnsi="宋体" w:eastAsia="宋体" w:cs="宋体"/>
              </w:rPr>
            </w:pPr>
            <w:r>
              <w:rPr>
                <w:rFonts w:hint="eastAsia" w:ascii="宋体" w:hAnsi="宋体" w:eastAsia="宋体" w:cs="宋体"/>
              </w:rPr>
              <w:t>部门本年度实际在职人员数与编制数的比率，用以反映和评价部门对人员成本的控制程度。</w:t>
            </w:r>
          </w:p>
          <w:p w14:paraId="5BD9556C">
            <w:pPr>
              <w:spacing w:after="0" w:line="240" w:lineRule="exact"/>
              <w:rPr>
                <w:rFonts w:ascii="宋体" w:hAnsi="宋体" w:eastAsia="宋体" w:cs="宋体"/>
              </w:rPr>
            </w:pPr>
            <w:r>
              <w:rPr>
                <w:rFonts w:hint="eastAsia" w:ascii="宋体" w:hAnsi="宋体" w:eastAsia="宋体" w:cs="宋体"/>
              </w:rPr>
              <w:t>在职人员控制率=（在职人员数/编制数）×100%。</w:t>
            </w:r>
          </w:p>
          <w:p w14:paraId="44F93416">
            <w:pPr>
              <w:spacing w:after="0" w:line="240" w:lineRule="exact"/>
              <w:rPr>
                <w:rFonts w:ascii="宋体" w:hAnsi="宋体" w:eastAsia="宋体" w:cs="宋体"/>
              </w:rPr>
            </w:pPr>
            <w:r>
              <w:rPr>
                <w:rFonts w:hint="eastAsia" w:ascii="宋体" w:hAnsi="宋体" w:eastAsia="宋体" w:cs="宋体"/>
              </w:rPr>
              <w:t>在职人员数：部门实际在职人数，以财政部确定的部门决算编制口径为准，由编制部门和人劳部门批复同意的临聘人员除外。</w:t>
            </w:r>
          </w:p>
          <w:p w14:paraId="356B2CEE">
            <w:pPr>
              <w:spacing w:after="0" w:line="68" w:lineRule="atLeast"/>
              <w:rPr>
                <w:rFonts w:ascii="宋体" w:hAnsi="宋体" w:eastAsia="宋体" w:cs="宋体"/>
              </w:rPr>
            </w:pPr>
            <w:r>
              <w:rPr>
                <w:rFonts w:hint="eastAsia" w:ascii="宋体" w:hAnsi="宋体" w:eastAsia="宋体" w:cs="宋体"/>
              </w:rPr>
              <w:t>编制数：机构编制部门核定批复的部门人员编制数。</w:t>
            </w:r>
          </w:p>
        </w:tc>
        <w:tc>
          <w:tcPr>
            <w:tcW w:w="3423" w:type="dxa"/>
            <w:tcBorders>
              <w:top w:val="single" w:color="auto" w:sz="4" w:space="0"/>
              <w:left w:val="single" w:color="auto" w:sz="4" w:space="0"/>
              <w:bottom w:val="single" w:color="000000" w:sz="4" w:space="0"/>
              <w:right w:val="single" w:color="auto" w:sz="4" w:space="0"/>
            </w:tcBorders>
            <w:vAlign w:val="center"/>
          </w:tcPr>
          <w:p w14:paraId="36C0A40A">
            <w:pPr>
              <w:spacing w:after="0" w:line="68" w:lineRule="atLeast"/>
              <w:rPr>
                <w:rFonts w:ascii="宋体" w:hAnsi="宋体" w:eastAsia="宋体" w:cs="宋体"/>
              </w:rPr>
            </w:pPr>
            <w:r>
              <w:rPr>
                <w:rFonts w:hint="eastAsia" w:ascii="宋体" w:hAnsi="宋体" w:eastAsia="宋体" w:cs="宋体"/>
              </w:rPr>
              <w:t>目标值≤100%；达到目标值得3分，每超出1人扣0.1分，扣完为止。</w:t>
            </w:r>
          </w:p>
        </w:tc>
        <w:tc>
          <w:tcPr>
            <w:tcW w:w="1090" w:type="dxa"/>
            <w:tcBorders>
              <w:top w:val="single" w:color="auto" w:sz="4" w:space="0"/>
              <w:left w:val="single" w:color="auto" w:sz="4" w:space="0"/>
              <w:bottom w:val="single" w:color="000000" w:sz="4" w:space="0"/>
              <w:right w:val="single" w:color="000000" w:sz="4" w:space="0"/>
            </w:tcBorders>
            <w:vAlign w:val="center"/>
          </w:tcPr>
          <w:p w14:paraId="59F72513">
            <w:pPr>
              <w:spacing w:after="0" w:line="68" w:lineRule="atLeast"/>
              <w:rPr>
                <w:rFonts w:ascii="宋体" w:hAnsi="宋体" w:eastAsia="宋体" w:cs="宋体"/>
              </w:rPr>
            </w:pPr>
            <w:r>
              <w:rPr>
                <w:rFonts w:hint="eastAsia" w:ascii="宋体" w:hAnsi="宋体" w:eastAsia="宋体" w:cs="宋体"/>
              </w:rPr>
              <w:t> 3</w:t>
            </w:r>
          </w:p>
        </w:tc>
      </w:tr>
      <w:tr w14:paraId="54EBBC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75" w:hRule="atLeast"/>
          <w:jc w:val="center"/>
        </w:trPr>
        <w:tc>
          <w:tcPr>
            <w:tcW w:w="733" w:type="dxa"/>
            <w:vMerge w:val="continue"/>
            <w:tcBorders>
              <w:left w:val="single" w:color="000000" w:sz="4" w:space="0"/>
              <w:right w:val="single" w:color="000000" w:sz="4" w:space="0"/>
            </w:tcBorders>
            <w:vAlign w:val="center"/>
          </w:tcPr>
          <w:p w14:paraId="060DC0AE">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279BDCB0">
            <w:pPr>
              <w:spacing w:after="0"/>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14:paraId="4203C207">
            <w:pPr>
              <w:spacing w:after="0" w:line="68" w:lineRule="atLeast"/>
              <w:rPr>
                <w:rFonts w:ascii="宋体" w:hAnsi="宋体" w:eastAsia="宋体" w:cs="宋体"/>
              </w:rPr>
            </w:pPr>
            <w:r>
              <w:rPr>
                <w:rFonts w:hint="eastAsia" w:ascii="宋体" w:hAnsi="宋体" w:eastAsia="宋体" w:cs="宋体"/>
              </w:rPr>
              <w:t>“三公经费”变动率（4分）</w:t>
            </w:r>
          </w:p>
        </w:tc>
        <w:tc>
          <w:tcPr>
            <w:tcW w:w="6911" w:type="dxa"/>
            <w:tcBorders>
              <w:top w:val="single" w:color="auto" w:sz="4" w:space="0"/>
              <w:left w:val="single" w:color="auto" w:sz="4" w:space="0"/>
              <w:bottom w:val="single" w:color="000000" w:sz="4" w:space="0"/>
              <w:right w:val="single" w:color="auto" w:sz="4" w:space="0"/>
            </w:tcBorders>
            <w:vAlign w:val="center"/>
          </w:tcPr>
          <w:p w14:paraId="4099148C">
            <w:pPr>
              <w:spacing w:after="0" w:line="240" w:lineRule="exact"/>
              <w:rPr>
                <w:rFonts w:ascii="宋体" w:hAnsi="宋体" w:eastAsia="宋体" w:cs="宋体"/>
              </w:rPr>
            </w:pPr>
            <w:r>
              <w:rPr>
                <w:rFonts w:hint="eastAsia" w:ascii="宋体" w:hAnsi="宋体" w:eastAsia="宋体" w:cs="宋体"/>
              </w:rPr>
              <w:t>部门本年度“三公经费”预算数与上年度“三公经费”预算数的变动比率，用以反映和考核部门对控制重点行政成本的努力程度。</w:t>
            </w:r>
          </w:p>
          <w:p w14:paraId="01D42494">
            <w:pPr>
              <w:spacing w:after="0" w:line="240" w:lineRule="exact"/>
              <w:rPr>
                <w:rFonts w:ascii="宋体" w:hAnsi="宋体" w:eastAsia="宋体" w:cs="宋体"/>
              </w:rPr>
            </w:pPr>
            <w:r>
              <w:rPr>
                <w:rFonts w:hint="eastAsia" w:ascii="宋体" w:hAnsi="宋体" w:eastAsia="宋体" w:cs="宋体"/>
              </w:rPr>
              <w:t>“三公经费”变动率=〔（本年度“三公经费”总额-上年度“三公经费”总额）/上年度“三公经费”总额〕×100%</w:t>
            </w:r>
          </w:p>
          <w:p w14:paraId="5CB1A064">
            <w:pPr>
              <w:spacing w:after="0" w:line="240" w:lineRule="exact"/>
              <w:rPr>
                <w:rFonts w:ascii="宋体" w:hAnsi="宋体" w:eastAsia="宋体" w:cs="宋体"/>
              </w:rPr>
            </w:pPr>
            <w:r>
              <w:rPr>
                <w:rFonts w:hint="eastAsia" w:ascii="宋体" w:hAnsi="宋体" w:eastAsia="宋体" w:cs="宋体"/>
              </w:rPr>
              <w:t>“三公经费”：年度预算安排的因公出国（境）费、公务车辆购置及运行费和公务招待费。</w:t>
            </w:r>
          </w:p>
        </w:tc>
        <w:tc>
          <w:tcPr>
            <w:tcW w:w="3423" w:type="dxa"/>
            <w:tcBorders>
              <w:top w:val="single" w:color="auto" w:sz="4" w:space="0"/>
              <w:left w:val="single" w:color="auto" w:sz="4" w:space="0"/>
              <w:bottom w:val="single" w:color="000000" w:sz="4" w:space="0"/>
              <w:right w:val="single" w:color="auto" w:sz="4" w:space="0"/>
            </w:tcBorders>
            <w:vAlign w:val="center"/>
          </w:tcPr>
          <w:p w14:paraId="5F64194C">
            <w:pPr>
              <w:spacing w:after="0" w:line="240" w:lineRule="exact"/>
              <w:rPr>
                <w:rFonts w:ascii="宋体" w:hAnsi="宋体" w:eastAsia="宋体" w:cs="宋体"/>
              </w:rPr>
            </w:pPr>
            <w:r>
              <w:rPr>
                <w:rFonts w:hint="eastAsia" w:ascii="宋体" w:hAnsi="宋体" w:eastAsia="宋体" w:cs="宋体"/>
              </w:rPr>
              <w:t>目标值≤0；达到目标值得4分，未达到目标值的采用比率扣分法：扣分值=“三公经费”变动率×4×10，变动率达10%以上的扣4分。</w:t>
            </w:r>
          </w:p>
        </w:tc>
        <w:tc>
          <w:tcPr>
            <w:tcW w:w="1090" w:type="dxa"/>
            <w:tcBorders>
              <w:top w:val="single" w:color="auto" w:sz="4" w:space="0"/>
              <w:left w:val="single" w:color="auto" w:sz="4" w:space="0"/>
              <w:bottom w:val="single" w:color="000000" w:sz="4" w:space="0"/>
              <w:right w:val="single" w:color="000000" w:sz="4" w:space="0"/>
            </w:tcBorders>
            <w:vAlign w:val="center"/>
          </w:tcPr>
          <w:p w14:paraId="64AF9E94">
            <w:pPr>
              <w:spacing w:after="0" w:line="68" w:lineRule="atLeast"/>
              <w:rPr>
                <w:rFonts w:ascii="宋体" w:hAnsi="宋体" w:eastAsia="宋体" w:cs="宋体"/>
              </w:rPr>
            </w:pPr>
            <w:r>
              <w:rPr>
                <w:rFonts w:hint="eastAsia" w:ascii="宋体" w:hAnsi="宋体" w:eastAsia="宋体" w:cs="宋体"/>
              </w:rPr>
              <w:t> 4</w:t>
            </w:r>
          </w:p>
        </w:tc>
      </w:tr>
      <w:tr w14:paraId="67FCFC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07" w:hRule="atLeast"/>
          <w:jc w:val="center"/>
        </w:trPr>
        <w:tc>
          <w:tcPr>
            <w:tcW w:w="733" w:type="dxa"/>
            <w:vMerge w:val="continue"/>
            <w:tcBorders>
              <w:left w:val="single" w:color="000000" w:sz="4" w:space="0"/>
              <w:bottom w:val="single" w:color="000000" w:sz="4" w:space="0"/>
              <w:right w:val="single" w:color="000000" w:sz="4" w:space="0"/>
            </w:tcBorders>
            <w:vAlign w:val="center"/>
          </w:tcPr>
          <w:p w14:paraId="329E9AFC">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4BBD88BC">
            <w:pPr>
              <w:spacing w:after="0"/>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14:paraId="07CB1353">
            <w:pPr>
              <w:spacing w:after="0" w:line="68" w:lineRule="atLeast"/>
              <w:rPr>
                <w:rFonts w:ascii="宋体" w:hAnsi="宋体" w:eastAsia="宋体" w:cs="宋体"/>
              </w:rPr>
            </w:pPr>
            <w:r>
              <w:rPr>
                <w:rFonts w:hint="eastAsia" w:ascii="宋体" w:hAnsi="宋体" w:eastAsia="宋体" w:cs="宋体"/>
              </w:rPr>
              <w:t>重点支出安排率（3分）</w:t>
            </w:r>
          </w:p>
        </w:tc>
        <w:tc>
          <w:tcPr>
            <w:tcW w:w="6911" w:type="dxa"/>
            <w:tcBorders>
              <w:top w:val="single" w:color="auto" w:sz="4" w:space="0"/>
              <w:left w:val="single" w:color="auto" w:sz="4" w:space="0"/>
              <w:bottom w:val="single" w:color="000000" w:sz="4" w:space="0"/>
              <w:right w:val="single" w:color="auto" w:sz="4" w:space="0"/>
            </w:tcBorders>
            <w:vAlign w:val="center"/>
          </w:tcPr>
          <w:p w14:paraId="761174BE">
            <w:pPr>
              <w:spacing w:after="0" w:line="240" w:lineRule="exact"/>
              <w:rPr>
                <w:rFonts w:ascii="宋体" w:hAnsi="宋体" w:eastAsia="宋体" w:cs="宋体"/>
              </w:rPr>
            </w:pPr>
            <w:r>
              <w:rPr>
                <w:rFonts w:hint="eastAsia" w:ascii="宋体" w:hAnsi="宋体" w:eastAsia="宋体" w:cs="宋体"/>
              </w:rPr>
              <w:t>部门（单位）本年度预算安排的重点项目支出与部门项目总支出的比率，用以反映和考核部门（单位）对履行主要职责或完成重点任务的保障程度。重点支出安排率=（重点项目支出/项目总支出）×100%。</w:t>
            </w:r>
          </w:p>
          <w:p w14:paraId="3FECE87D">
            <w:pPr>
              <w:spacing w:after="0" w:line="240" w:lineRule="exact"/>
              <w:rPr>
                <w:rFonts w:ascii="宋体" w:hAnsi="宋体" w:eastAsia="宋体" w:cs="宋体"/>
              </w:rPr>
            </w:pPr>
            <w:r>
              <w:rPr>
                <w:rFonts w:hint="eastAsia" w:ascii="宋体" w:hAnsi="宋体" w:eastAsia="宋体" w:cs="宋体"/>
              </w:rPr>
              <w:t>重点项目支出：部门（单位）年度预算安排的，与本部门履职和发展密切相关、具有明显社会和经济影响、党委政府关心或社会比较关注的项目支出总额。具体由被评价部门提出后经对口部门预算管理处审核确定。</w:t>
            </w:r>
          </w:p>
          <w:p w14:paraId="1EDC3506">
            <w:pPr>
              <w:spacing w:after="0" w:line="240" w:lineRule="exact"/>
              <w:rPr>
                <w:rFonts w:ascii="宋体" w:hAnsi="宋体" w:eastAsia="宋体" w:cs="宋体"/>
              </w:rPr>
            </w:pPr>
            <w:r>
              <w:rPr>
                <w:rFonts w:hint="eastAsia" w:ascii="宋体" w:hAnsi="宋体" w:eastAsia="宋体" w:cs="宋体"/>
              </w:rPr>
              <w:t>项目总支出：部门（单位）年度预算安排的项目支出总额。</w:t>
            </w:r>
          </w:p>
        </w:tc>
        <w:tc>
          <w:tcPr>
            <w:tcW w:w="3423" w:type="dxa"/>
            <w:tcBorders>
              <w:top w:val="single" w:color="auto" w:sz="4" w:space="0"/>
              <w:left w:val="single" w:color="auto" w:sz="4" w:space="0"/>
              <w:bottom w:val="single" w:color="000000" w:sz="4" w:space="0"/>
              <w:right w:val="single" w:color="auto" w:sz="4" w:space="0"/>
            </w:tcBorders>
            <w:vAlign w:val="center"/>
          </w:tcPr>
          <w:p w14:paraId="4DA8D2FF">
            <w:pPr>
              <w:spacing w:after="0" w:line="240" w:lineRule="exact"/>
              <w:rPr>
                <w:rFonts w:ascii="宋体" w:hAnsi="宋体" w:eastAsia="宋体" w:cs="宋体"/>
              </w:rPr>
            </w:pPr>
            <w:r>
              <w:rPr>
                <w:rFonts w:hint="eastAsia" w:ascii="宋体" w:hAnsi="宋体" w:eastAsia="宋体" w:cs="宋体"/>
              </w:rPr>
              <w:t>目标值≥70%；以3分为上限，采用完成比率法计分：得分=重点支出安排率/70%×100%×3，超出目标值不加分。</w:t>
            </w:r>
          </w:p>
        </w:tc>
        <w:tc>
          <w:tcPr>
            <w:tcW w:w="1090" w:type="dxa"/>
            <w:tcBorders>
              <w:top w:val="single" w:color="auto" w:sz="4" w:space="0"/>
              <w:left w:val="single" w:color="auto" w:sz="4" w:space="0"/>
              <w:bottom w:val="single" w:color="000000" w:sz="4" w:space="0"/>
              <w:right w:val="single" w:color="000000" w:sz="4" w:space="0"/>
            </w:tcBorders>
            <w:vAlign w:val="center"/>
          </w:tcPr>
          <w:p w14:paraId="3CC37679">
            <w:pPr>
              <w:spacing w:after="0" w:line="68" w:lineRule="atLeast"/>
              <w:rPr>
                <w:rFonts w:ascii="宋体" w:hAnsi="宋体" w:eastAsia="宋体" w:cs="宋体"/>
              </w:rPr>
            </w:pPr>
            <w:r>
              <w:rPr>
                <w:rFonts w:hint="eastAsia" w:ascii="宋体" w:hAnsi="宋体" w:eastAsia="宋体" w:cs="宋体"/>
              </w:rPr>
              <w:t xml:space="preserve">   3</w:t>
            </w:r>
          </w:p>
        </w:tc>
      </w:tr>
      <w:tr w14:paraId="5EAF14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96" w:hRule="atLeast"/>
          <w:jc w:val="center"/>
        </w:trPr>
        <w:tc>
          <w:tcPr>
            <w:tcW w:w="733" w:type="dxa"/>
            <w:vMerge w:val="restart"/>
            <w:tcBorders>
              <w:top w:val="single" w:color="000000" w:sz="4" w:space="0"/>
              <w:left w:val="single" w:color="000000" w:sz="4" w:space="0"/>
              <w:right w:val="single" w:color="000000" w:sz="4" w:space="0"/>
            </w:tcBorders>
            <w:vAlign w:val="center"/>
          </w:tcPr>
          <w:p w14:paraId="0F410952">
            <w:pPr>
              <w:spacing w:after="0" w:line="68" w:lineRule="atLeast"/>
              <w:jc w:val="center"/>
              <w:rPr>
                <w:rFonts w:ascii="宋体" w:hAnsi="宋体" w:eastAsia="宋体" w:cs="宋体"/>
              </w:rPr>
            </w:pPr>
          </w:p>
          <w:p w14:paraId="702B11F2">
            <w:pPr>
              <w:spacing w:after="0" w:line="68" w:lineRule="atLeast"/>
              <w:jc w:val="center"/>
              <w:rPr>
                <w:rFonts w:ascii="宋体" w:hAnsi="宋体" w:eastAsia="宋体" w:cs="宋体"/>
              </w:rPr>
            </w:pPr>
          </w:p>
          <w:p w14:paraId="304268EB">
            <w:pPr>
              <w:spacing w:after="0" w:line="68" w:lineRule="atLeast"/>
              <w:jc w:val="center"/>
              <w:rPr>
                <w:rFonts w:ascii="宋体" w:hAnsi="宋体" w:eastAsia="宋体" w:cs="宋体"/>
              </w:rPr>
            </w:pPr>
          </w:p>
          <w:p w14:paraId="7615F2B9">
            <w:pPr>
              <w:spacing w:after="0" w:line="68" w:lineRule="atLeast"/>
              <w:jc w:val="center"/>
              <w:rPr>
                <w:rFonts w:ascii="宋体" w:hAnsi="宋体" w:eastAsia="宋体" w:cs="宋体"/>
              </w:rPr>
            </w:pPr>
          </w:p>
          <w:p w14:paraId="20823BCD">
            <w:pPr>
              <w:spacing w:after="0" w:line="68" w:lineRule="atLeast"/>
              <w:jc w:val="center"/>
              <w:rPr>
                <w:rFonts w:ascii="宋体" w:hAnsi="宋体" w:eastAsia="宋体" w:cs="宋体"/>
              </w:rPr>
            </w:pPr>
          </w:p>
          <w:p w14:paraId="1A0F239A">
            <w:pPr>
              <w:spacing w:after="0" w:line="68" w:lineRule="atLeast"/>
              <w:jc w:val="center"/>
              <w:rPr>
                <w:rFonts w:ascii="宋体" w:hAnsi="宋体" w:eastAsia="宋体" w:cs="宋体"/>
              </w:rPr>
            </w:pPr>
          </w:p>
          <w:p w14:paraId="7003DAC9">
            <w:pPr>
              <w:spacing w:after="0" w:line="68" w:lineRule="atLeast"/>
              <w:jc w:val="center"/>
              <w:rPr>
                <w:rFonts w:ascii="宋体" w:hAnsi="宋体" w:eastAsia="宋体" w:cs="宋体"/>
              </w:rPr>
            </w:pPr>
          </w:p>
          <w:p w14:paraId="700AFB89">
            <w:pPr>
              <w:spacing w:after="0" w:line="68" w:lineRule="atLeast"/>
              <w:jc w:val="center"/>
              <w:rPr>
                <w:rFonts w:ascii="宋体" w:hAnsi="宋体" w:eastAsia="宋体" w:cs="宋体"/>
              </w:rPr>
            </w:pPr>
          </w:p>
          <w:p w14:paraId="794813C5">
            <w:pPr>
              <w:spacing w:after="0" w:line="68" w:lineRule="atLeast"/>
              <w:jc w:val="center"/>
              <w:rPr>
                <w:rFonts w:ascii="宋体" w:hAnsi="宋体" w:eastAsia="宋体" w:cs="宋体"/>
              </w:rPr>
            </w:pPr>
          </w:p>
          <w:p w14:paraId="2A42D90D">
            <w:pPr>
              <w:spacing w:after="0" w:line="68" w:lineRule="atLeast"/>
              <w:jc w:val="center"/>
              <w:rPr>
                <w:rFonts w:ascii="宋体" w:hAnsi="宋体" w:eastAsia="宋体" w:cs="宋体"/>
              </w:rPr>
            </w:pPr>
          </w:p>
          <w:p w14:paraId="1BBC179A">
            <w:pPr>
              <w:spacing w:after="0" w:line="68" w:lineRule="atLeast"/>
              <w:jc w:val="center"/>
              <w:rPr>
                <w:rFonts w:ascii="宋体" w:hAnsi="宋体" w:eastAsia="宋体" w:cs="宋体"/>
              </w:rPr>
            </w:pPr>
            <w:r>
              <w:rPr>
                <w:rFonts w:hint="eastAsia" w:ascii="宋体" w:hAnsi="宋体" w:eastAsia="宋体" w:cs="宋体"/>
              </w:rPr>
              <w:t>过程(55分)</w:t>
            </w:r>
          </w:p>
          <w:p w14:paraId="0CA4022A">
            <w:pPr>
              <w:spacing w:after="0" w:line="68" w:lineRule="atLeast"/>
              <w:jc w:val="center"/>
              <w:rPr>
                <w:rFonts w:ascii="宋体" w:hAnsi="宋体" w:eastAsia="宋体" w:cs="宋体"/>
              </w:rPr>
            </w:pPr>
          </w:p>
          <w:p w14:paraId="5272F04C">
            <w:pPr>
              <w:spacing w:after="0" w:line="68" w:lineRule="atLeast"/>
              <w:jc w:val="center"/>
              <w:rPr>
                <w:rFonts w:ascii="宋体" w:hAnsi="宋体" w:eastAsia="宋体" w:cs="宋体"/>
              </w:rPr>
            </w:pPr>
          </w:p>
          <w:p w14:paraId="55725890">
            <w:pPr>
              <w:spacing w:after="0" w:line="68" w:lineRule="atLeast"/>
              <w:jc w:val="center"/>
              <w:rPr>
                <w:rFonts w:ascii="宋体" w:hAnsi="宋体" w:eastAsia="宋体" w:cs="宋体"/>
              </w:rPr>
            </w:pPr>
          </w:p>
          <w:p w14:paraId="2B41770D">
            <w:pPr>
              <w:spacing w:after="0" w:line="68" w:lineRule="atLeast"/>
              <w:jc w:val="center"/>
              <w:rPr>
                <w:rFonts w:ascii="宋体" w:hAnsi="宋体" w:eastAsia="宋体" w:cs="宋体"/>
              </w:rPr>
            </w:pPr>
          </w:p>
          <w:p w14:paraId="27D37848">
            <w:pPr>
              <w:spacing w:after="0" w:line="68" w:lineRule="atLeast"/>
              <w:jc w:val="center"/>
              <w:rPr>
                <w:rFonts w:ascii="宋体" w:hAnsi="宋体" w:eastAsia="宋体" w:cs="宋体"/>
              </w:rPr>
            </w:pPr>
          </w:p>
          <w:p w14:paraId="318EBF27">
            <w:pPr>
              <w:spacing w:after="0" w:line="68" w:lineRule="atLeast"/>
              <w:jc w:val="center"/>
              <w:rPr>
                <w:rFonts w:ascii="宋体" w:hAnsi="宋体" w:eastAsia="宋体" w:cs="宋体"/>
              </w:rPr>
            </w:pPr>
          </w:p>
          <w:p w14:paraId="1F382F81">
            <w:pPr>
              <w:spacing w:after="0" w:line="68" w:lineRule="atLeast"/>
              <w:jc w:val="center"/>
              <w:rPr>
                <w:rFonts w:ascii="宋体" w:hAnsi="宋体" w:eastAsia="宋体" w:cs="宋体"/>
              </w:rPr>
            </w:pPr>
          </w:p>
          <w:p w14:paraId="69B44926">
            <w:pPr>
              <w:spacing w:after="0" w:line="68" w:lineRule="atLeast"/>
              <w:jc w:val="center"/>
              <w:rPr>
                <w:rFonts w:ascii="宋体" w:hAnsi="宋体" w:eastAsia="宋体" w:cs="宋体"/>
              </w:rPr>
            </w:pPr>
          </w:p>
          <w:p w14:paraId="057C0E24">
            <w:pPr>
              <w:spacing w:after="0" w:line="68" w:lineRule="atLeast"/>
              <w:jc w:val="center"/>
              <w:rPr>
                <w:rFonts w:ascii="宋体" w:hAnsi="宋体" w:eastAsia="宋体" w:cs="宋体"/>
              </w:rPr>
            </w:pPr>
          </w:p>
          <w:p w14:paraId="0F757DE9">
            <w:pPr>
              <w:spacing w:after="0" w:line="68" w:lineRule="atLeast"/>
              <w:jc w:val="center"/>
              <w:rPr>
                <w:rFonts w:ascii="宋体" w:hAnsi="宋体" w:eastAsia="宋体" w:cs="宋体"/>
              </w:rPr>
            </w:pPr>
          </w:p>
          <w:p w14:paraId="5663536F">
            <w:pPr>
              <w:spacing w:after="0" w:line="68" w:lineRule="atLeast"/>
              <w:jc w:val="center"/>
              <w:rPr>
                <w:rFonts w:ascii="宋体" w:hAnsi="宋体" w:eastAsia="宋体" w:cs="宋体"/>
              </w:rPr>
            </w:pPr>
          </w:p>
          <w:p w14:paraId="62ACAD33">
            <w:pPr>
              <w:spacing w:after="0" w:line="68" w:lineRule="atLeast"/>
              <w:jc w:val="center"/>
              <w:rPr>
                <w:rFonts w:ascii="宋体" w:hAnsi="宋体" w:eastAsia="宋体" w:cs="宋体"/>
              </w:rPr>
            </w:pPr>
          </w:p>
          <w:p w14:paraId="01A1B6DE">
            <w:pPr>
              <w:spacing w:after="0" w:line="68" w:lineRule="atLeast"/>
              <w:jc w:val="center"/>
              <w:rPr>
                <w:rFonts w:ascii="宋体" w:hAnsi="宋体" w:eastAsia="宋体" w:cs="宋体"/>
              </w:rPr>
            </w:pPr>
          </w:p>
          <w:p w14:paraId="2BDA9ACE">
            <w:pPr>
              <w:spacing w:after="0" w:line="68" w:lineRule="atLeast"/>
              <w:jc w:val="center"/>
              <w:rPr>
                <w:rFonts w:ascii="宋体" w:hAnsi="宋体" w:eastAsia="宋体" w:cs="宋体"/>
              </w:rPr>
            </w:pPr>
          </w:p>
          <w:p w14:paraId="069149AD">
            <w:pPr>
              <w:spacing w:after="0" w:line="68" w:lineRule="atLeast"/>
              <w:jc w:val="center"/>
              <w:rPr>
                <w:rFonts w:ascii="宋体" w:hAnsi="宋体" w:eastAsia="宋体" w:cs="宋体"/>
              </w:rPr>
            </w:pPr>
          </w:p>
          <w:p w14:paraId="29661E43">
            <w:pPr>
              <w:spacing w:after="0" w:line="68" w:lineRule="atLeast"/>
              <w:jc w:val="center"/>
              <w:rPr>
                <w:rFonts w:ascii="宋体" w:hAnsi="宋体" w:eastAsia="宋体" w:cs="宋体"/>
              </w:rPr>
            </w:pPr>
          </w:p>
          <w:p w14:paraId="3FE32BCA">
            <w:pPr>
              <w:spacing w:after="0" w:line="68" w:lineRule="atLeast"/>
              <w:jc w:val="center"/>
              <w:rPr>
                <w:rFonts w:ascii="宋体" w:hAnsi="宋体" w:eastAsia="宋体" w:cs="宋体"/>
              </w:rPr>
            </w:pPr>
          </w:p>
          <w:p w14:paraId="38FDC01A">
            <w:pPr>
              <w:spacing w:after="0" w:line="68" w:lineRule="atLeast"/>
              <w:jc w:val="center"/>
              <w:rPr>
                <w:rFonts w:ascii="宋体" w:hAnsi="宋体" w:eastAsia="宋体" w:cs="宋体"/>
              </w:rPr>
            </w:pPr>
          </w:p>
          <w:p w14:paraId="09814AF2">
            <w:pPr>
              <w:spacing w:after="0" w:line="68" w:lineRule="atLeast"/>
              <w:jc w:val="center"/>
              <w:rPr>
                <w:rFonts w:ascii="宋体" w:hAnsi="宋体" w:eastAsia="宋体" w:cs="宋体"/>
              </w:rPr>
            </w:pPr>
          </w:p>
          <w:p w14:paraId="36D3209F">
            <w:pPr>
              <w:spacing w:after="0" w:line="68" w:lineRule="atLeast"/>
              <w:jc w:val="center"/>
              <w:rPr>
                <w:rFonts w:ascii="宋体" w:hAnsi="宋体" w:eastAsia="宋体" w:cs="宋体"/>
              </w:rPr>
            </w:pPr>
            <w:r>
              <w:rPr>
                <w:rFonts w:hint="eastAsia" w:ascii="宋体" w:hAnsi="宋体" w:eastAsia="宋体" w:cs="宋体"/>
              </w:rPr>
              <w:t>过程(55分)</w:t>
            </w:r>
          </w:p>
          <w:p w14:paraId="50ACE58D">
            <w:pPr>
              <w:spacing w:after="0" w:line="68" w:lineRule="atLeast"/>
              <w:jc w:val="center"/>
              <w:rPr>
                <w:rFonts w:ascii="宋体" w:hAnsi="宋体" w:eastAsia="宋体" w:cs="宋体"/>
              </w:rPr>
            </w:pPr>
          </w:p>
          <w:p w14:paraId="4DF57488">
            <w:pPr>
              <w:spacing w:after="0" w:line="68" w:lineRule="atLeast"/>
              <w:jc w:val="center"/>
              <w:rPr>
                <w:rFonts w:ascii="宋体" w:hAnsi="宋体" w:eastAsia="宋体" w:cs="宋体"/>
              </w:rPr>
            </w:pPr>
          </w:p>
          <w:p w14:paraId="09C74FA9">
            <w:pPr>
              <w:spacing w:after="0" w:line="68" w:lineRule="atLeast"/>
              <w:jc w:val="center"/>
              <w:rPr>
                <w:rFonts w:ascii="宋体" w:hAnsi="宋体" w:eastAsia="宋体" w:cs="宋体"/>
              </w:rPr>
            </w:pPr>
          </w:p>
          <w:p w14:paraId="6159528E">
            <w:pPr>
              <w:spacing w:after="0" w:line="68" w:lineRule="atLeast"/>
              <w:jc w:val="center"/>
              <w:rPr>
                <w:rFonts w:ascii="宋体" w:hAnsi="宋体" w:eastAsia="宋体" w:cs="宋体"/>
              </w:rPr>
            </w:pPr>
          </w:p>
          <w:p w14:paraId="605E07AD">
            <w:pPr>
              <w:spacing w:after="0" w:line="68" w:lineRule="atLeast"/>
              <w:jc w:val="center"/>
              <w:rPr>
                <w:rFonts w:ascii="宋体" w:hAnsi="宋体" w:eastAsia="宋体" w:cs="宋体"/>
              </w:rPr>
            </w:pPr>
          </w:p>
          <w:p w14:paraId="70245B78">
            <w:pPr>
              <w:spacing w:after="0" w:line="68" w:lineRule="atLeast"/>
              <w:jc w:val="center"/>
              <w:rPr>
                <w:rFonts w:ascii="宋体" w:hAnsi="宋体" w:eastAsia="宋体" w:cs="宋体"/>
              </w:rPr>
            </w:pPr>
          </w:p>
          <w:p w14:paraId="6557C75D">
            <w:pPr>
              <w:spacing w:after="0" w:line="68" w:lineRule="atLeast"/>
              <w:jc w:val="center"/>
              <w:rPr>
                <w:rFonts w:ascii="宋体" w:hAnsi="宋体" w:eastAsia="宋体" w:cs="宋体"/>
              </w:rPr>
            </w:pPr>
          </w:p>
          <w:p w14:paraId="27BCA7D0">
            <w:pPr>
              <w:spacing w:after="0" w:line="68" w:lineRule="atLeast"/>
              <w:jc w:val="center"/>
              <w:rPr>
                <w:rFonts w:ascii="宋体" w:hAnsi="宋体" w:eastAsia="宋体" w:cs="宋体"/>
              </w:rPr>
            </w:pPr>
          </w:p>
          <w:p w14:paraId="65983456">
            <w:pPr>
              <w:spacing w:after="0" w:line="68" w:lineRule="atLeast"/>
              <w:jc w:val="center"/>
              <w:rPr>
                <w:rFonts w:ascii="宋体" w:hAnsi="宋体" w:eastAsia="宋体" w:cs="宋体"/>
              </w:rPr>
            </w:pPr>
          </w:p>
          <w:p w14:paraId="405D27FF">
            <w:pPr>
              <w:spacing w:after="0" w:line="68" w:lineRule="atLeast"/>
              <w:jc w:val="center"/>
              <w:rPr>
                <w:rFonts w:ascii="宋体" w:hAnsi="宋体" w:eastAsia="宋体" w:cs="宋体"/>
              </w:rPr>
            </w:pPr>
          </w:p>
          <w:p w14:paraId="2F66A172">
            <w:pPr>
              <w:spacing w:after="0" w:line="68" w:lineRule="atLeast"/>
              <w:jc w:val="center"/>
              <w:rPr>
                <w:rFonts w:ascii="宋体" w:hAnsi="宋体" w:eastAsia="宋体" w:cs="宋体"/>
              </w:rPr>
            </w:pPr>
          </w:p>
          <w:p w14:paraId="4538AFF1">
            <w:pPr>
              <w:spacing w:after="0" w:line="68" w:lineRule="atLeast"/>
              <w:jc w:val="center"/>
              <w:rPr>
                <w:rFonts w:ascii="宋体" w:hAnsi="宋体" w:eastAsia="宋体" w:cs="宋体"/>
              </w:rPr>
            </w:pPr>
          </w:p>
          <w:p w14:paraId="0B8BFB94">
            <w:pPr>
              <w:spacing w:after="0" w:line="68" w:lineRule="atLeast"/>
              <w:jc w:val="center"/>
              <w:rPr>
                <w:rFonts w:ascii="宋体" w:hAnsi="宋体" w:eastAsia="宋体" w:cs="宋体"/>
              </w:rPr>
            </w:pPr>
          </w:p>
          <w:p w14:paraId="2CC2F057">
            <w:pPr>
              <w:spacing w:after="0" w:line="68" w:lineRule="atLeast"/>
              <w:jc w:val="center"/>
              <w:rPr>
                <w:rFonts w:ascii="宋体" w:hAnsi="宋体" w:eastAsia="宋体" w:cs="宋体"/>
              </w:rPr>
            </w:pPr>
          </w:p>
          <w:p w14:paraId="7BD3A1AD">
            <w:pPr>
              <w:spacing w:after="0" w:line="68" w:lineRule="atLeast"/>
              <w:jc w:val="center"/>
              <w:rPr>
                <w:rFonts w:ascii="宋体" w:hAnsi="宋体" w:eastAsia="宋体" w:cs="宋体"/>
              </w:rPr>
            </w:pPr>
          </w:p>
          <w:p w14:paraId="455F07D0">
            <w:pPr>
              <w:spacing w:after="0" w:line="68" w:lineRule="atLeast"/>
              <w:jc w:val="center"/>
              <w:rPr>
                <w:rFonts w:ascii="宋体" w:hAnsi="宋体" w:eastAsia="宋体" w:cs="宋体"/>
              </w:rPr>
            </w:pPr>
          </w:p>
          <w:p w14:paraId="75A2B454">
            <w:pPr>
              <w:spacing w:after="0" w:line="68" w:lineRule="atLeast"/>
              <w:jc w:val="center"/>
              <w:rPr>
                <w:rFonts w:ascii="宋体" w:hAnsi="宋体" w:eastAsia="宋体" w:cs="宋体"/>
              </w:rPr>
            </w:pPr>
          </w:p>
          <w:p w14:paraId="71FC5759">
            <w:pPr>
              <w:spacing w:after="0" w:line="68" w:lineRule="atLeast"/>
              <w:jc w:val="center"/>
              <w:rPr>
                <w:rFonts w:ascii="宋体" w:hAnsi="宋体" w:eastAsia="宋体" w:cs="宋体"/>
              </w:rPr>
            </w:pPr>
          </w:p>
          <w:p w14:paraId="6E845FF1">
            <w:pPr>
              <w:spacing w:after="0" w:line="68" w:lineRule="atLeast"/>
              <w:jc w:val="center"/>
              <w:rPr>
                <w:rFonts w:ascii="宋体" w:hAnsi="宋体" w:eastAsia="宋体" w:cs="宋体"/>
              </w:rPr>
            </w:pPr>
          </w:p>
          <w:p w14:paraId="1EEB415E">
            <w:pPr>
              <w:spacing w:after="0" w:line="68" w:lineRule="atLeast"/>
              <w:jc w:val="center"/>
              <w:rPr>
                <w:rFonts w:ascii="宋体" w:hAnsi="宋体" w:eastAsia="宋体" w:cs="宋体"/>
              </w:rPr>
            </w:pPr>
          </w:p>
          <w:p w14:paraId="79BEAC20">
            <w:pPr>
              <w:spacing w:after="0" w:line="68" w:lineRule="atLeast"/>
              <w:jc w:val="center"/>
              <w:rPr>
                <w:rFonts w:ascii="宋体" w:hAnsi="宋体" w:eastAsia="宋体" w:cs="宋体"/>
              </w:rPr>
            </w:pPr>
          </w:p>
          <w:p w14:paraId="1F75B3D8">
            <w:pPr>
              <w:spacing w:after="0" w:line="68" w:lineRule="atLeast"/>
              <w:jc w:val="center"/>
              <w:rPr>
                <w:rFonts w:ascii="宋体" w:hAnsi="宋体" w:eastAsia="宋体" w:cs="宋体"/>
              </w:rPr>
            </w:pPr>
          </w:p>
          <w:p w14:paraId="02A19353">
            <w:pPr>
              <w:spacing w:after="0" w:line="68" w:lineRule="atLeast"/>
              <w:jc w:val="center"/>
              <w:rPr>
                <w:rFonts w:ascii="宋体" w:hAnsi="宋体" w:eastAsia="宋体" w:cs="宋体"/>
              </w:rPr>
            </w:pPr>
          </w:p>
          <w:p w14:paraId="367810F7">
            <w:pPr>
              <w:spacing w:after="0" w:line="68" w:lineRule="atLeast"/>
              <w:jc w:val="center"/>
              <w:rPr>
                <w:rFonts w:ascii="宋体" w:hAnsi="宋体" w:eastAsia="宋体" w:cs="宋体"/>
              </w:rPr>
            </w:pPr>
          </w:p>
          <w:p w14:paraId="7250BF47">
            <w:pPr>
              <w:spacing w:after="0" w:line="68" w:lineRule="atLeast"/>
              <w:jc w:val="center"/>
              <w:rPr>
                <w:rFonts w:ascii="宋体" w:hAnsi="宋体" w:eastAsia="宋体" w:cs="宋体"/>
              </w:rPr>
            </w:pPr>
          </w:p>
          <w:p w14:paraId="3D1E789C">
            <w:pPr>
              <w:spacing w:after="0" w:line="68" w:lineRule="atLeast"/>
              <w:jc w:val="center"/>
              <w:rPr>
                <w:rFonts w:ascii="宋体" w:hAnsi="宋体" w:eastAsia="宋体" w:cs="宋体"/>
              </w:rPr>
            </w:pPr>
            <w:r>
              <w:rPr>
                <w:rFonts w:hint="eastAsia" w:ascii="宋体" w:hAnsi="宋体" w:eastAsia="宋体" w:cs="宋体"/>
              </w:rPr>
              <w:t>过程(55分)</w:t>
            </w:r>
          </w:p>
          <w:p w14:paraId="613BC224">
            <w:pPr>
              <w:spacing w:after="0" w:line="68" w:lineRule="atLeast"/>
              <w:jc w:val="center"/>
              <w:rPr>
                <w:rFonts w:ascii="宋体" w:hAnsi="宋体" w:eastAsia="宋体" w:cs="宋体"/>
              </w:rPr>
            </w:pPr>
          </w:p>
          <w:p w14:paraId="502238BA">
            <w:pPr>
              <w:spacing w:after="0" w:line="68" w:lineRule="atLeast"/>
              <w:jc w:val="center"/>
              <w:rPr>
                <w:rFonts w:ascii="宋体" w:hAnsi="宋体" w:eastAsia="宋体" w:cs="宋体"/>
              </w:rPr>
            </w:pPr>
          </w:p>
          <w:p w14:paraId="3C2AC8AE">
            <w:pPr>
              <w:spacing w:after="0" w:line="68" w:lineRule="atLeast"/>
              <w:jc w:val="center"/>
              <w:rPr>
                <w:rFonts w:ascii="宋体" w:hAnsi="宋体" w:eastAsia="宋体" w:cs="宋体"/>
              </w:rPr>
            </w:pPr>
          </w:p>
          <w:p w14:paraId="19754071">
            <w:pPr>
              <w:spacing w:after="0" w:line="68" w:lineRule="atLeast"/>
              <w:jc w:val="center"/>
              <w:rPr>
                <w:rFonts w:ascii="宋体" w:hAnsi="宋体" w:eastAsia="宋体" w:cs="宋体"/>
              </w:rPr>
            </w:pPr>
          </w:p>
          <w:p w14:paraId="1AA292A4">
            <w:pPr>
              <w:spacing w:after="0" w:line="68" w:lineRule="atLeast"/>
              <w:jc w:val="center"/>
              <w:rPr>
                <w:rFonts w:ascii="宋体" w:hAnsi="宋体" w:eastAsia="宋体" w:cs="宋体"/>
              </w:rPr>
            </w:pPr>
          </w:p>
          <w:p w14:paraId="704FF6F3">
            <w:pPr>
              <w:spacing w:after="0" w:line="68" w:lineRule="atLeast"/>
              <w:jc w:val="center"/>
              <w:rPr>
                <w:rFonts w:ascii="宋体" w:hAnsi="宋体" w:eastAsia="宋体" w:cs="宋体"/>
              </w:rPr>
            </w:pPr>
          </w:p>
          <w:p w14:paraId="1A6348A4">
            <w:pPr>
              <w:spacing w:after="0" w:line="68" w:lineRule="atLeast"/>
              <w:jc w:val="center"/>
              <w:rPr>
                <w:rFonts w:ascii="宋体" w:hAnsi="宋体" w:eastAsia="宋体" w:cs="宋体"/>
              </w:rPr>
            </w:pPr>
          </w:p>
          <w:p w14:paraId="007D7266">
            <w:pPr>
              <w:spacing w:after="0" w:line="68" w:lineRule="atLeast"/>
              <w:jc w:val="center"/>
              <w:rPr>
                <w:rFonts w:ascii="宋体" w:hAnsi="宋体" w:eastAsia="宋体" w:cs="宋体"/>
              </w:rPr>
            </w:pPr>
          </w:p>
          <w:p w14:paraId="722262EA">
            <w:pPr>
              <w:spacing w:after="0" w:line="68" w:lineRule="atLeast"/>
              <w:rPr>
                <w:rFonts w:ascii="宋体" w:hAnsi="宋体" w:eastAsia="宋体" w:cs="宋体"/>
              </w:rPr>
            </w:pPr>
          </w:p>
          <w:p w14:paraId="0489FBCB">
            <w:pPr>
              <w:spacing w:after="0" w:line="68" w:lineRule="atLeast"/>
              <w:rPr>
                <w:rFonts w:ascii="宋体" w:hAnsi="宋体" w:eastAsia="宋体" w:cs="宋体"/>
              </w:rPr>
            </w:pPr>
          </w:p>
          <w:p w14:paraId="67038037">
            <w:pPr>
              <w:spacing w:after="0" w:line="68" w:lineRule="atLeast"/>
              <w:rPr>
                <w:rFonts w:ascii="宋体" w:hAnsi="宋体" w:eastAsia="宋体" w:cs="宋体"/>
              </w:rPr>
            </w:pPr>
          </w:p>
          <w:p w14:paraId="28C84870">
            <w:pPr>
              <w:spacing w:after="0" w:line="68" w:lineRule="atLeast"/>
              <w:rPr>
                <w:rFonts w:ascii="宋体" w:hAnsi="宋体" w:eastAsia="宋体" w:cs="宋体"/>
              </w:rPr>
            </w:pPr>
          </w:p>
          <w:p w14:paraId="454EFE42">
            <w:pPr>
              <w:spacing w:after="0" w:line="68" w:lineRule="atLeast"/>
              <w:rPr>
                <w:rFonts w:ascii="宋体" w:hAnsi="宋体" w:eastAsia="宋体" w:cs="宋体"/>
              </w:rPr>
            </w:pPr>
          </w:p>
          <w:p w14:paraId="691328F6">
            <w:pPr>
              <w:spacing w:after="0" w:line="68" w:lineRule="atLeast"/>
              <w:jc w:val="center"/>
              <w:rPr>
                <w:rFonts w:ascii="宋体" w:hAnsi="宋体" w:eastAsia="宋体" w:cs="宋体"/>
              </w:rPr>
            </w:pPr>
            <w:r>
              <w:rPr>
                <w:rFonts w:hint="eastAsia" w:ascii="宋体" w:hAnsi="宋体" w:eastAsia="宋体" w:cs="宋体"/>
              </w:rPr>
              <w:t>过程(55分)</w:t>
            </w:r>
          </w:p>
          <w:p w14:paraId="3888151C">
            <w:pPr>
              <w:spacing w:after="0" w:line="68" w:lineRule="atLeast"/>
              <w:rPr>
                <w:rFonts w:ascii="宋体" w:hAnsi="宋体" w:eastAsia="宋体" w:cs="宋体"/>
              </w:rPr>
            </w:pPr>
          </w:p>
        </w:tc>
        <w:tc>
          <w:tcPr>
            <w:tcW w:w="803" w:type="dxa"/>
            <w:vMerge w:val="restart"/>
            <w:tcBorders>
              <w:top w:val="single" w:color="000000" w:sz="4" w:space="0"/>
              <w:left w:val="single" w:color="000000" w:sz="4" w:space="0"/>
              <w:bottom w:val="single" w:color="000000" w:sz="4" w:space="0"/>
              <w:right w:val="single" w:color="000000" w:sz="4" w:space="0"/>
            </w:tcBorders>
            <w:vAlign w:val="center"/>
          </w:tcPr>
          <w:p w14:paraId="3DCE410D">
            <w:pPr>
              <w:spacing w:after="0" w:line="68" w:lineRule="atLeast"/>
              <w:rPr>
                <w:rFonts w:ascii="宋体" w:hAnsi="宋体" w:eastAsia="宋体" w:cs="宋体"/>
              </w:rPr>
            </w:pPr>
            <w:r>
              <w:rPr>
                <w:rFonts w:hint="eastAsia" w:ascii="宋体" w:hAnsi="宋体" w:eastAsia="宋体" w:cs="宋体"/>
              </w:rPr>
              <w:t>预算执行(27分)</w:t>
            </w:r>
          </w:p>
        </w:tc>
        <w:tc>
          <w:tcPr>
            <w:tcW w:w="1182" w:type="dxa"/>
            <w:tcBorders>
              <w:top w:val="single" w:color="000000" w:sz="4" w:space="0"/>
              <w:left w:val="single" w:color="000000" w:sz="4" w:space="0"/>
              <w:bottom w:val="single" w:color="000000" w:sz="4" w:space="0"/>
              <w:right w:val="single" w:color="auto" w:sz="4" w:space="0"/>
            </w:tcBorders>
            <w:vAlign w:val="center"/>
          </w:tcPr>
          <w:p w14:paraId="69A412F4">
            <w:pPr>
              <w:spacing w:after="0" w:line="68" w:lineRule="atLeast"/>
              <w:rPr>
                <w:rFonts w:ascii="宋体" w:hAnsi="宋体" w:eastAsia="宋体" w:cs="宋体"/>
              </w:rPr>
            </w:pPr>
            <w:r>
              <w:rPr>
                <w:rFonts w:hint="eastAsia" w:ascii="宋体" w:hAnsi="宋体" w:eastAsia="宋体" w:cs="宋体"/>
              </w:rPr>
              <w:t>预算完成率（3分）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32522941">
            <w:pPr>
              <w:spacing w:after="0" w:line="240" w:lineRule="exact"/>
              <w:rPr>
                <w:rFonts w:ascii="宋体" w:hAnsi="宋体" w:eastAsia="宋体" w:cs="宋体"/>
              </w:rPr>
            </w:pPr>
            <w:r>
              <w:rPr>
                <w:rFonts w:hint="eastAsia" w:ascii="宋体" w:hAnsi="宋体" w:eastAsia="宋体" w:cs="宋体"/>
              </w:rPr>
              <w:t>通过对部门本年度预算完成数与预算数的比较，反映和评价部门预算的完成程度。</w:t>
            </w:r>
          </w:p>
          <w:p w14:paraId="573E8EE8">
            <w:pPr>
              <w:spacing w:after="0" w:line="68" w:lineRule="atLeast"/>
              <w:rPr>
                <w:rFonts w:ascii="宋体" w:hAnsi="宋体" w:eastAsia="宋体" w:cs="宋体"/>
              </w:rPr>
            </w:pPr>
            <w:r>
              <w:rPr>
                <w:rFonts w:hint="eastAsia" w:ascii="宋体" w:hAnsi="宋体" w:eastAsia="宋体" w:cs="宋体"/>
              </w:rPr>
              <w:t>预算完成率=（预算完成数/预算数）×100%。</w:t>
            </w:r>
          </w:p>
        </w:tc>
        <w:tc>
          <w:tcPr>
            <w:tcW w:w="3423" w:type="dxa"/>
            <w:tcBorders>
              <w:top w:val="single" w:color="000000" w:sz="4" w:space="0"/>
              <w:left w:val="single" w:color="auto" w:sz="4" w:space="0"/>
              <w:bottom w:val="single" w:color="000000" w:sz="4" w:space="0"/>
              <w:right w:val="single" w:color="auto" w:sz="4" w:space="0"/>
            </w:tcBorders>
            <w:vAlign w:val="center"/>
          </w:tcPr>
          <w:p w14:paraId="19754583">
            <w:pPr>
              <w:spacing w:after="0" w:line="68" w:lineRule="atLeast"/>
              <w:rPr>
                <w:rFonts w:ascii="宋体" w:hAnsi="宋体" w:eastAsia="宋体" w:cs="宋体"/>
              </w:rPr>
            </w:pPr>
            <w:r>
              <w:rPr>
                <w:rFonts w:hint="eastAsia" w:ascii="宋体" w:hAnsi="宋体" w:eastAsia="宋体" w:cs="宋体"/>
              </w:rPr>
              <w:t>目标值≥100%；</w:t>
            </w:r>
          </w:p>
          <w:p w14:paraId="27F61916">
            <w:pPr>
              <w:spacing w:after="0" w:line="68" w:lineRule="atLeast"/>
              <w:rPr>
                <w:rFonts w:ascii="宋体" w:hAnsi="宋体" w:eastAsia="宋体" w:cs="宋体"/>
              </w:rPr>
            </w:pPr>
            <w:r>
              <w:rPr>
                <w:rFonts w:hint="eastAsia" w:ascii="宋体" w:hAnsi="宋体" w:eastAsia="宋体" w:cs="宋体"/>
              </w:rPr>
              <w:t>达到目标值的得3分；</w:t>
            </w:r>
          </w:p>
          <w:p w14:paraId="4BC82CC5">
            <w:pPr>
              <w:spacing w:after="0" w:line="68" w:lineRule="atLeast"/>
              <w:rPr>
                <w:rFonts w:ascii="宋体" w:hAnsi="宋体" w:eastAsia="宋体" w:cs="宋体"/>
              </w:rPr>
            </w:pPr>
            <w:r>
              <w:rPr>
                <w:rFonts w:hint="eastAsia" w:ascii="宋体" w:hAnsi="宋体" w:eastAsia="宋体" w:cs="宋体"/>
              </w:rPr>
              <w:t>100%＞结果≥90%，得3分；</w:t>
            </w:r>
          </w:p>
          <w:p w14:paraId="41E9211F">
            <w:pPr>
              <w:spacing w:after="0" w:line="68" w:lineRule="atLeast"/>
              <w:rPr>
                <w:rFonts w:ascii="宋体" w:hAnsi="宋体" w:eastAsia="宋体" w:cs="宋体"/>
              </w:rPr>
            </w:pPr>
            <w:r>
              <w:rPr>
                <w:rFonts w:hint="eastAsia" w:ascii="宋体" w:hAnsi="宋体" w:eastAsia="宋体" w:cs="宋体"/>
              </w:rPr>
              <w:t>90%＞结果≥80%，得1分；</w:t>
            </w:r>
          </w:p>
          <w:p w14:paraId="528C0234">
            <w:pPr>
              <w:spacing w:after="0" w:line="68" w:lineRule="atLeast"/>
              <w:rPr>
                <w:rFonts w:ascii="宋体" w:hAnsi="宋体" w:eastAsia="宋体" w:cs="宋体"/>
              </w:rPr>
            </w:pPr>
            <w:r>
              <w:rPr>
                <w:rFonts w:hint="eastAsia" w:ascii="宋体" w:hAnsi="宋体" w:eastAsia="宋体" w:cs="宋体"/>
              </w:rPr>
              <w:t>结果＜80%得0分。</w:t>
            </w:r>
          </w:p>
        </w:tc>
        <w:tc>
          <w:tcPr>
            <w:tcW w:w="1090" w:type="dxa"/>
            <w:tcBorders>
              <w:top w:val="single" w:color="000000" w:sz="4" w:space="0"/>
              <w:left w:val="single" w:color="auto" w:sz="4" w:space="0"/>
              <w:bottom w:val="single" w:color="000000" w:sz="4" w:space="0"/>
              <w:right w:val="single" w:color="000000" w:sz="4" w:space="0"/>
            </w:tcBorders>
            <w:vAlign w:val="center"/>
          </w:tcPr>
          <w:p w14:paraId="56BE272C">
            <w:pPr>
              <w:spacing w:after="0" w:line="68" w:lineRule="atLeast"/>
              <w:rPr>
                <w:rFonts w:ascii="宋体" w:hAnsi="宋体" w:eastAsia="宋体" w:cs="宋体"/>
              </w:rPr>
            </w:pPr>
            <w:r>
              <w:rPr>
                <w:rFonts w:hint="eastAsia" w:ascii="宋体" w:hAnsi="宋体" w:eastAsia="宋体" w:cs="宋体"/>
              </w:rPr>
              <w:t> 3</w:t>
            </w:r>
          </w:p>
        </w:tc>
      </w:tr>
      <w:tr w14:paraId="4F9E0C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5" w:hRule="atLeast"/>
          <w:jc w:val="center"/>
        </w:trPr>
        <w:tc>
          <w:tcPr>
            <w:tcW w:w="733" w:type="dxa"/>
            <w:vMerge w:val="continue"/>
            <w:tcBorders>
              <w:left w:val="single" w:color="000000" w:sz="4" w:space="0"/>
              <w:right w:val="single" w:color="000000" w:sz="4" w:space="0"/>
            </w:tcBorders>
            <w:vAlign w:val="center"/>
          </w:tcPr>
          <w:p w14:paraId="3068FE4F">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7621F48C">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589AC1E1">
            <w:pPr>
              <w:spacing w:after="0" w:line="68" w:lineRule="atLeast"/>
              <w:rPr>
                <w:rFonts w:ascii="宋体" w:hAnsi="宋体" w:eastAsia="宋体" w:cs="宋体"/>
              </w:rPr>
            </w:pPr>
            <w:r>
              <w:rPr>
                <w:rFonts w:hint="eastAsia" w:ascii="宋体" w:hAnsi="宋体" w:eastAsia="宋体" w:cs="宋体"/>
              </w:rPr>
              <w:t>预算调整率（3分）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7AB26EE6">
            <w:pPr>
              <w:spacing w:after="0" w:line="240" w:lineRule="exact"/>
              <w:rPr>
                <w:rFonts w:ascii="宋体" w:hAnsi="宋体" w:eastAsia="宋体" w:cs="宋体"/>
              </w:rPr>
            </w:pPr>
            <w:r>
              <w:rPr>
                <w:rFonts w:hint="eastAsia" w:ascii="宋体" w:hAnsi="宋体" w:eastAsia="宋体" w:cs="宋体"/>
              </w:rPr>
              <w:t>部门本年度预算调整数与预算数的比率，用以反映和评价部门预算的调整程度。</w:t>
            </w:r>
          </w:p>
          <w:p w14:paraId="59E2D374">
            <w:pPr>
              <w:spacing w:after="0" w:line="68" w:lineRule="atLeast"/>
              <w:rPr>
                <w:rFonts w:ascii="宋体" w:hAnsi="宋体" w:eastAsia="宋体" w:cs="宋体"/>
              </w:rPr>
            </w:pPr>
            <w:r>
              <w:rPr>
                <w:rFonts w:hint="eastAsia" w:ascii="宋体" w:hAnsi="宋体" w:eastAsia="宋体" w:cs="宋体"/>
              </w:rPr>
              <w:t>预算调整率=（预算调整数/预算数）×100%。</w:t>
            </w:r>
          </w:p>
        </w:tc>
        <w:tc>
          <w:tcPr>
            <w:tcW w:w="3423" w:type="dxa"/>
            <w:tcBorders>
              <w:top w:val="single" w:color="000000" w:sz="4" w:space="0"/>
              <w:left w:val="single" w:color="auto" w:sz="4" w:space="0"/>
              <w:bottom w:val="single" w:color="000000" w:sz="4" w:space="0"/>
              <w:right w:val="single" w:color="auto" w:sz="4" w:space="0"/>
            </w:tcBorders>
            <w:vAlign w:val="center"/>
          </w:tcPr>
          <w:p w14:paraId="163D8128">
            <w:pPr>
              <w:spacing w:after="0" w:line="68" w:lineRule="atLeast"/>
              <w:rPr>
                <w:rFonts w:ascii="宋体" w:hAnsi="宋体" w:eastAsia="宋体" w:cs="宋体"/>
              </w:rPr>
            </w:pPr>
            <w:r>
              <w:rPr>
                <w:rFonts w:hint="eastAsia" w:ascii="宋体" w:hAnsi="宋体" w:eastAsia="宋体" w:cs="宋体"/>
              </w:rPr>
              <w:t>目标值为10%；达到目标值得3分，未达到目标值的每增加0.1个百分点扣0.1分，扣完为止。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14:paraId="61078693">
            <w:pPr>
              <w:spacing w:after="0" w:line="68" w:lineRule="atLeast"/>
              <w:rPr>
                <w:rFonts w:hint="eastAsia" w:ascii="宋体" w:hAnsi="宋体" w:eastAsia="宋体" w:cs="宋体"/>
                <w:lang w:eastAsia="zh-CN"/>
              </w:rPr>
            </w:pPr>
            <w:r>
              <w:rPr>
                <w:rFonts w:hint="eastAsia" w:ascii="宋体" w:hAnsi="宋体" w:eastAsia="宋体" w:cs="宋体"/>
              </w:rPr>
              <w:t> </w:t>
            </w:r>
            <w:r>
              <w:rPr>
                <w:rFonts w:hint="eastAsia" w:ascii="宋体" w:hAnsi="宋体" w:eastAsia="宋体" w:cs="宋体"/>
                <w:lang w:val="en-US" w:eastAsia="zh-CN"/>
              </w:rPr>
              <w:t>0</w:t>
            </w:r>
          </w:p>
        </w:tc>
      </w:tr>
      <w:tr w14:paraId="60F585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0" w:hRule="atLeast"/>
          <w:jc w:val="center"/>
        </w:trPr>
        <w:tc>
          <w:tcPr>
            <w:tcW w:w="733" w:type="dxa"/>
            <w:vMerge w:val="continue"/>
            <w:tcBorders>
              <w:left w:val="single" w:color="000000" w:sz="4" w:space="0"/>
              <w:right w:val="single" w:color="000000" w:sz="4" w:space="0"/>
            </w:tcBorders>
            <w:vAlign w:val="center"/>
          </w:tcPr>
          <w:p w14:paraId="4AF6F267">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630D0B18">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786C33C2">
            <w:pPr>
              <w:spacing w:after="0" w:line="240" w:lineRule="exact"/>
              <w:rPr>
                <w:rFonts w:ascii="宋体" w:hAnsi="宋体" w:eastAsia="宋体" w:cs="宋体"/>
              </w:rPr>
            </w:pPr>
            <w:r>
              <w:rPr>
                <w:rFonts w:hint="eastAsia" w:ascii="宋体" w:hAnsi="宋体" w:eastAsia="宋体" w:cs="宋体"/>
                <w:color w:val="000000"/>
              </w:rPr>
              <w:t>支付进度率</w:t>
            </w:r>
            <w:r>
              <w:rPr>
                <w:rFonts w:hint="eastAsia" w:ascii="宋体" w:hAnsi="宋体" w:eastAsia="宋体" w:cs="宋体"/>
              </w:rPr>
              <w:t>（6分）</w:t>
            </w:r>
          </w:p>
        </w:tc>
        <w:tc>
          <w:tcPr>
            <w:tcW w:w="6911" w:type="dxa"/>
            <w:tcBorders>
              <w:top w:val="single" w:color="000000" w:sz="4" w:space="0"/>
              <w:left w:val="single" w:color="auto" w:sz="4" w:space="0"/>
              <w:bottom w:val="single" w:color="000000" w:sz="4" w:space="0"/>
              <w:right w:val="single" w:color="auto" w:sz="4" w:space="0"/>
            </w:tcBorders>
            <w:vAlign w:val="center"/>
          </w:tcPr>
          <w:p w14:paraId="69F4B50B">
            <w:pPr>
              <w:spacing w:after="0" w:line="240" w:lineRule="exact"/>
              <w:rPr>
                <w:rFonts w:ascii="宋体" w:hAnsi="宋体" w:eastAsia="宋体" w:cs="宋体"/>
              </w:rPr>
            </w:pPr>
            <w:r>
              <w:rPr>
                <w:rFonts w:hint="eastAsia" w:ascii="宋体" w:hAnsi="宋体" w:eastAsia="宋体" w:cs="宋体"/>
              </w:rPr>
              <w:t>部门年度支付数与年度预算（调整）数的比率，用以反映和评价部门预算执行的及时和均衡程度。</w:t>
            </w:r>
          </w:p>
          <w:p w14:paraId="65DB2511">
            <w:pPr>
              <w:spacing w:after="0" w:line="240" w:lineRule="exact"/>
              <w:rPr>
                <w:rFonts w:ascii="宋体" w:hAnsi="宋体" w:eastAsia="宋体" w:cs="宋体"/>
              </w:rPr>
            </w:pPr>
            <w:r>
              <w:rPr>
                <w:rFonts w:hint="eastAsia" w:ascii="宋体" w:hAnsi="宋体" w:eastAsia="宋体" w:cs="宋体"/>
              </w:rPr>
              <w:t>半年支付进度=部门上半年实际支出÷（上年结余结转+本年部门预算安排+上半年执行中追加追减）×100%</w:t>
            </w:r>
          </w:p>
          <w:p w14:paraId="77630E9D">
            <w:pPr>
              <w:spacing w:after="0" w:line="240" w:lineRule="exact"/>
              <w:rPr>
                <w:rFonts w:ascii="宋体" w:hAnsi="宋体" w:eastAsia="宋体" w:cs="宋体"/>
              </w:rPr>
            </w:pPr>
            <w:r>
              <w:rPr>
                <w:rFonts w:hint="eastAsia" w:ascii="宋体" w:hAnsi="宋体" w:eastAsia="宋体" w:cs="宋体"/>
              </w:rPr>
              <w:t>全年支付进度=部门全年实际支出÷（上年结余结转+本年部门预算安排+全年执行中追加追减）×100%</w:t>
            </w:r>
          </w:p>
        </w:tc>
        <w:tc>
          <w:tcPr>
            <w:tcW w:w="3423" w:type="dxa"/>
            <w:tcBorders>
              <w:top w:val="single" w:color="000000" w:sz="4" w:space="0"/>
              <w:left w:val="single" w:color="auto" w:sz="4" w:space="0"/>
              <w:bottom w:val="single" w:color="000000" w:sz="4" w:space="0"/>
              <w:right w:val="single" w:color="auto" w:sz="4" w:space="0"/>
            </w:tcBorders>
            <w:vAlign w:val="center"/>
          </w:tcPr>
          <w:p w14:paraId="196943C7">
            <w:pPr>
              <w:spacing w:after="0" w:line="240" w:lineRule="exact"/>
              <w:rPr>
                <w:rFonts w:ascii="宋体" w:hAnsi="宋体" w:eastAsia="宋体" w:cs="宋体"/>
              </w:rPr>
            </w:pPr>
            <w:r>
              <w:rPr>
                <w:rFonts w:hint="eastAsia" w:ascii="宋体" w:hAnsi="宋体" w:eastAsia="宋体" w:cs="宋体"/>
              </w:rPr>
              <w:t>半年进度：结果≥50%，得2分；50%＞结果≥40%，得1分；结果＜40%，得0分。</w:t>
            </w:r>
          </w:p>
          <w:p w14:paraId="0F731C68">
            <w:pPr>
              <w:spacing w:after="0" w:line="240" w:lineRule="exact"/>
              <w:rPr>
                <w:rFonts w:ascii="宋体" w:hAnsi="宋体" w:eastAsia="宋体" w:cs="宋体"/>
              </w:rPr>
            </w:pPr>
            <w:r>
              <w:rPr>
                <w:rFonts w:hint="eastAsia" w:ascii="宋体" w:hAnsi="宋体" w:eastAsia="宋体" w:cs="宋体"/>
              </w:rPr>
              <w:t>全年进度：结果≥100%，得4分；100%＞结果≥95%，得3分；95%＞结果≥90%，得2分；90%＞结果≥85%，得2分；结果＜85%，得0分。</w:t>
            </w:r>
          </w:p>
        </w:tc>
        <w:tc>
          <w:tcPr>
            <w:tcW w:w="1090" w:type="dxa"/>
            <w:tcBorders>
              <w:top w:val="single" w:color="000000" w:sz="4" w:space="0"/>
              <w:left w:val="single" w:color="auto" w:sz="4" w:space="0"/>
              <w:bottom w:val="single" w:color="000000" w:sz="4" w:space="0"/>
              <w:right w:val="single" w:color="000000" w:sz="4" w:space="0"/>
            </w:tcBorders>
            <w:vAlign w:val="center"/>
          </w:tcPr>
          <w:p w14:paraId="3CD2D433">
            <w:pPr>
              <w:spacing w:after="0" w:line="240" w:lineRule="exac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1</w:t>
            </w:r>
          </w:p>
        </w:tc>
      </w:tr>
      <w:tr w14:paraId="7A8A53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8" w:hRule="atLeast"/>
          <w:jc w:val="center"/>
        </w:trPr>
        <w:tc>
          <w:tcPr>
            <w:tcW w:w="733" w:type="dxa"/>
            <w:vMerge w:val="continue"/>
            <w:tcBorders>
              <w:left w:val="single" w:color="000000" w:sz="4" w:space="0"/>
              <w:right w:val="single" w:color="000000" w:sz="4" w:space="0"/>
            </w:tcBorders>
            <w:vAlign w:val="center"/>
          </w:tcPr>
          <w:p w14:paraId="0D925A34">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25DCCAD2">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2FAC4E31">
            <w:pPr>
              <w:spacing w:after="0" w:line="240" w:lineRule="exact"/>
              <w:rPr>
                <w:rFonts w:ascii="宋体" w:hAnsi="宋体" w:eastAsia="宋体" w:cs="宋体"/>
              </w:rPr>
            </w:pPr>
            <w:r>
              <w:rPr>
                <w:rFonts w:hint="eastAsia" w:ascii="宋体" w:hAnsi="宋体" w:eastAsia="宋体" w:cs="宋体"/>
              </w:rPr>
              <w:t>结转结余率（3分）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63DBE8BC">
            <w:pPr>
              <w:spacing w:after="0" w:line="240" w:lineRule="exact"/>
              <w:rPr>
                <w:rFonts w:ascii="宋体" w:hAnsi="宋体" w:eastAsia="宋体" w:cs="宋体"/>
              </w:rPr>
            </w:pPr>
            <w:r>
              <w:rPr>
                <w:rFonts w:hint="eastAsia" w:ascii="宋体" w:hAnsi="宋体" w:eastAsia="宋体" w:cs="宋体"/>
              </w:rPr>
              <w:t>通过对部门本年度结转结余总额与支出预算数的比较，反映和评价部门对本年度结转结余资金的实际控制程度。</w:t>
            </w:r>
          </w:p>
          <w:p w14:paraId="691B32D9">
            <w:pPr>
              <w:spacing w:after="0" w:line="240" w:lineRule="exact"/>
              <w:rPr>
                <w:rFonts w:ascii="宋体" w:hAnsi="宋体" w:eastAsia="宋体" w:cs="宋体"/>
              </w:rPr>
            </w:pPr>
            <w:r>
              <w:rPr>
                <w:rFonts w:hint="eastAsia" w:ascii="宋体" w:hAnsi="宋体" w:eastAsia="宋体" w:cs="宋体"/>
              </w:rPr>
              <w:t>结转结余率=（结转结余总额/支出预算数）×100%。</w:t>
            </w:r>
          </w:p>
        </w:tc>
        <w:tc>
          <w:tcPr>
            <w:tcW w:w="3423" w:type="dxa"/>
            <w:tcBorders>
              <w:top w:val="single" w:color="000000" w:sz="4" w:space="0"/>
              <w:left w:val="single" w:color="auto" w:sz="4" w:space="0"/>
              <w:bottom w:val="single" w:color="000000" w:sz="4" w:space="0"/>
              <w:right w:val="single" w:color="auto" w:sz="4" w:space="0"/>
            </w:tcBorders>
            <w:vAlign w:val="center"/>
          </w:tcPr>
          <w:p w14:paraId="48413FC0">
            <w:pPr>
              <w:spacing w:after="0" w:line="240" w:lineRule="exact"/>
              <w:rPr>
                <w:rFonts w:ascii="宋体" w:hAnsi="宋体" w:eastAsia="宋体" w:cs="宋体"/>
              </w:rPr>
            </w:pPr>
            <w:r>
              <w:rPr>
                <w:rFonts w:hint="eastAsia" w:ascii="宋体" w:hAnsi="宋体" w:eastAsia="宋体" w:cs="宋体"/>
              </w:rPr>
              <w:t>目标值为0；达到目标值得3分，未达到目标值的每增加0.1个百分点扣0.1分，扣完为止。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14:paraId="78FBEFDA">
            <w:pPr>
              <w:spacing w:after="0" w:line="240" w:lineRule="exact"/>
              <w:rPr>
                <w:rFonts w:ascii="宋体" w:hAnsi="宋体" w:eastAsia="宋体" w:cs="宋体"/>
              </w:rPr>
            </w:pPr>
            <w:r>
              <w:rPr>
                <w:rFonts w:hint="eastAsia" w:ascii="宋体" w:hAnsi="宋体" w:eastAsia="宋体" w:cs="宋体"/>
              </w:rPr>
              <w:t> 0</w:t>
            </w:r>
          </w:p>
        </w:tc>
      </w:tr>
      <w:tr w14:paraId="57A17F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7" w:hRule="atLeast"/>
          <w:jc w:val="center"/>
        </w:trPr>
        <w:tc>
          <w:tcPr>
            <w:tcW w:w="733" w:type="dxa"/>
            <w:vMerge w:val="continue"/>
            <w:tcBorders>
              <w:left w:val="single" w:color="000000" w:sz="4" w:space="0"/>
              <w:right w:val="single" w:color="000000" w:sz="4" w:space="0"/>
            </w:tcBorders>
            <w:vAlign w:val="center"/>
          </w:tcPr>
          <w:p w14:paraId="29BB359D">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7C4D49CB">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7445388D">
            <w:pPr>
              <w:spacing w:after="0" w:line="240" w:lineRule="exact"/>
              <w:rPr>
                <w:rFonts w:ascii="宋体" w:hAnsi="宋体" w:eastAsia="宋体" w:cs="宋体"/>
              </w:rPr>
            </w:pPr>
            <w:r>
              <w:rPr>
                <w:rFonts w:hint="eastAsia" w:ascii="宋体" w:hAnsi="宋体" w:eastAsia="宋体" w:cs="宋体"/>
              </w:rPr>
              <w:t>结转结余变动率(3分）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6DD68F02">
            <w:pPr>
              <w:spacing w:after="0" w:line="240" w:lineRule="exact"/>
              <w:rPr>
                <w:rFonts w:ascii="宋体" w:hAnsi="宋体" w:eastAsia="宋体" w:cs="宋体"/>
              </w:rPr>
            </w:pPr>
            <w:r>
              <w:rPr>
                <w:rFonts w:hint="eastAsia" w:ascii="宋体" w:hAnsi="宋体" w:eastAsia="宋体" w:cs="宋体"/>
              </w:rPr>
              <w:t>部门本年度结转结余资金总额与上年度结转结余资金总额的变动比率，用以反映和考核部门对控制结转结余资金的努力程度。</w:t>
            </w:r>
          </w:p>
          <w:p w14:paraId="50AF1950">
            <w:pPr>
              <w:spacing w:after="0" w:line="240" w:lineRule="exact"/>
              <w:rPr>
                <w:rFonts w:ascii="宋体" w:hAnsi="宋体" w:eastAsia="宋体" w:cs="宋体"/>
              </w:rPr>
            </w:pPr>
            <w:r>
              <w:rPr>
                <w:rFonts w:hint="eastAsia" w:ascii="宋体" w:hAnsi="宋体" w:eastAsia="宋体" w:cs="宋体"/>
              </w:rPr>
              <w:t>结转结余变动率=〔（本年度累计结转结余资金总额-上年度累计结转结余资金总额）/上年度累计结转结余资金总额〕×100%。</w:t>
            </w:r>
          </w:p>
        </w:tc>
        <w:tc>
          <w:tcPr>
            <w:tcW w:w="3423" w:type="dxa"/>
            <w:tcBorders>
              <w:top w:val="single" w:color="000000" w:sz="4" w:space="0"/>
              <w:left w:val="single" w:color="auto" w:sz="4" w:space="0"/>
              <w:bottom w:val="single" w:color="000000" w:sz="4" w:space="0"/>
              <w:right w:val="single" w:color="auto" w:sz="4" w:space="0"/>
            </w:tcBorders>
            <w:vAlign w:val="center"/>
          </w:tcPr>
          <w:p w14:paraId="4EEBFD96">
            <w:pPr>
              <w:spacing w:after="0" w:line="240" w:lineRule="exact"/>
              <w:rPr>
                <w:rFonts w:ascii="宋体" w:hAnsi="宋体" w:eastAsia="宋体" w:cs="宋体"/>
              </w:rPr>
            </w:pPr>
            <w:r>
              <w:rPr>
                <w:rFonts w:hint="eastAsia" w:ascii="宋体" w:hAnsi="宋体" w:eastAsia="宋体" w:cs="宋体"/>
              </w:rPr>
              <w:t>目标值为≤0%；达到目标值得3分，未达到目标值的采用比率扣分法：扣分值=结转结余变动率×2×10，变动率达10%以上的扣2分。</w:t>
            </w:r>
          </w:p>
        </w:tc>
        <w:tc>
          <w:tcPr>
            <w:tcW w:w="1090" w:type="dxa"/>
            <w:tcBorders>
              <w:top w:val="single" w:color="000000" w:sz="4" w:space="0"/>
              <w:left w:val="single" w:color="auto" w:sz="4" w:space="0"/>
              <w:bottom w:val="single" w:color="000000" w:sz="4" w:space="0"/>
              <w:right w:val="single" w:color="000000" w:sz="4" w:space="0"/>
            </w:tcBorders>
            <w:vAlign w:val="center"/>
          </w:tcPr>
          <w:p w14:paraId="21729F1E">
            <w:pPr>
              <w:spacing w:after="0" w:line="240" w:lineRule="exact"/>
              <w:rPr>
                <w:rFonts w:ascii="宋体" w:hAnsi="宋体" w:eastAsia="宋体" w:cs="宋体"/>
              </w:rPr>
            </w:pPr>
            <w:r>
              <w:rPr>
                <w:rFonts w:hint="eastAsia" w:ascii="宋体" w:hAnsi="宋体" w:eastAsia="宋体" w:cs="宋体"/>
              </w:rPr>
              <w:t xml:space="preserve">  0</w:t>
            </w:r>
          </w:p>
        </w:tc>
      </w:tr>
      <w:tr w14:paraId="5EEDD2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05" w:hRule="atLeast"/>
          <w:jc w:val="center"/>
        </w:trPr>
        <w:tc>
          <w:tcPr>
            <w:tcW w:w="733" w:type="dxa"/>
            <w:vMerge w:val="continue"/>
            <w:tcBorders>
              <w:left w:val="single" w:color="000000" w:sz="4" w:space="0"/>
              <w:right w:val="single" w:color="000000" w:sz="4" w:space="0"/>
            </w:tcBorders>
            <w:vAlign w:val="center"/>
          </w:tcPr>
          <w:p w14:paraId="58A3932D">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3E7987A9">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355185AC">
            <w:pPr>
              <w:spacing w:after="0" w:line="240" w:lineRule="exact"/>
              <w:rPr>
                <w:rFonts w:ascii="宋体" w:hAnsi="宋体" w:eastAsia="宋体" w:cs="宋体"/>
              </w:rPr>
            </w:pPr>
            <w:r>
              <w:rPr>
                <w:rFonts w:hint="eastAsia" w:ascii="宋体" w:hAnsi="宋体" w:eastAsia="宋体" w:cs="宋体"/>
              </w:rPr>
              <w:t>公用经费控制率（3分）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15B598EC">
            <w:pPr>
              <w:spacing w:after="0" w:line="240" w:lineRule="exact"/>
              <w:rPr>
                <w:rFonts w:ascii="宋体" w:hAnsi="宋体" w:eastAsia="宋体" w:cs="宋体"/>
              </w:rPr>
            </w:pPr>
            <w:r>
              <w:rPr>
                <w:rFonts w:hint="eastAsia" w:ascii="宋体" w:hAnsi="宋体" w:eastAsia="宋体" w:cs="宋体"/>
              </w:rPr>
              <w:t>通过对部门本年度实际支出的公用经费总额与预算安排的公用经费总额的比率，反映和评价部门对机构运转成本的实际控制程度。</w:t>
            </w:r>
          </w:p>
          <w:p w14:paraId="54FF936B">
            <w:pPr>
              <w:spacing w:after="0" w:line="240" w:lineRule="exact"/>
              <w:rPr>
                <w:rFonts w:ascii="宋体" w:hAnsi="宋体" w:eastAsia="宋体" w:cs="宋体"/>
              </w:rPr>
            </w:pPr>
            <w:r>
              <w:rPr>
                <w:rFonts w:hint="eastAsia" w:ascii="宋体" w:hAnsi="宋体" w:eastAsia="宋体" w:cs="宋体"/>
              </w:rPr>
              <w:t>公用经费控制率=（实际支出公用经费总额/预算安排公用经费总额）×100%。</w:t>
            </w:r>
          </w:p>
        </w:tc>
        <w:tc>
          <w:tcPr>
            <w:tcW w:w="3423" w:type="dxa"/>
            <w:tcBorders>
              <w:top w:val="single" w:color="000000" w:sz="4" w:space="0"/>
              <w:left w:val="single" w:color="auto" w:sz="4" w:space="0"/>
              <w:bottom w:val="single" w:color="000000" w:sz="4" w:space="0"/>
              <w:right w:val="single" w:color="auto" w:sz="4" w:space="0"/>
            </w:tcBorders>
            <w:vAlign w:val="center"/>
          </w:tcPr>
          <w:p w14:paraId="49ACF330">
            <w:pPr>
              <w:spacing w:after="0" w:line="240" w:lineRule="exact"/>
              <w:rPr>
                <w:rFonts w:ascii="宋体" w:hAnsi="宋体" w:eastAsia="宋体" w:cs="宋体"/>
              </w:rPr>
            </w:pPr>
            <w:r>
              <w:rPr>
                <w:rFonts w:hint="eastAsia" w:ascii="宋体" w:hAnsi="宋体" w:eastAsia="宋体" w:cs="宋体"/>
              </w:rPr>
              <w:t>目标值为≤100%；达到目标值得3分，未达到目标值的每增加0.1个百分点扣0.1分，扣完为止。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14:paraId="40C87DBC">
            <w:pPr>
              <w:spacing w:after="0" w:line="240" w:lineRule="exact"/>
              <w:rPr>
                <w:rFonts w:ascii="宋体" w:hAnsi="宋体" w:eastAsia="宋体" w:cs="宋体"/>
              </w:rPr>
            </w:pPr>
            <w:r>
              <w:rPr>
                <w:rFonts w:hint="eastAsia" w:ascii="宋体" w:hAnsi="宋体" w:eastAsia="宋体" w:cs="宋体"/>
              </w:rPr>
              <w:t> 3</w:t>
            </w:r>
          </w:p>
        </w:tc>
      </w:tr>
      <w:tr w14:paraId="75A223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23" w:hRule="atLeast"/>
          <w:jc w:val="center"/>
        </w:trPr>
        <w:tc>
          <w:tcPr>
            <w:tcW w:w="733" w:type="dxa"/>
            <w:vMerge w:val="continue"/>
            <w:tcBorders>
              <w:left w:val="single" w:color="000000" w:sz="4" w:space="0"/>
              <w:right w:val="single" w:color="000000" w:sz="4" w:space="0"/>
            </w:tcBorders>
            <w:vAlign w:val="center"/>
          </w:tcPr>
          <w:p w14:paraId="21B61536">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60BE3ACC">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3E1AF49C">
            <w:pPr>
              <w:spacing w:after="0" w:line="240" w:lineRule="exact"/>
              <w:rPr>
                <w:rFonts w:ascii="宋体" w:hAnsi="宋体" w:eastAsia="宋体" w:cs="宋体"/>
              </w:rPr>
            </w:pPr>
            <w:r>
              <w:rPr>
                <w:rFonts w:hint="eastAsia" w:ascii="宋体" w:hAnsi="宋体" w:eastAsia="宋体" w:cs="宋体"/>
              </w:rPr>
              <w:t>“三公经费”控制率（3分）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3ADD2AB8">
            <w:pPr>
              <w:spacing w:after="0" w:line="240" w:lineRule="exact"/>
              <w:rPr>
                <w:rFonts w:ascii="宋体" w:hAnsi="宋体" w:eastAsia="宋体" w:cs="宋体"/>
              </w:rPr>
            </w:pPr>
            <w:r>
              <w:rPr>
                <w:rFonts w:hint="eastAsia" w:ascii="宋体" w:hAnsi="宋体" w:eastAsia="宋体" w:cs="宋体"/>
              </w:rPr>
              <w:t>部门（单位）本年度“三公经费”实际支出数与预算安排数的比率，用以反映和考核部门（单位）对“三公经费”的实际控制程度。</w:t>
            </w:r>
          </w:p>
          <w:p w14:paraId="48E913C3">
            <w:pPr>
              <w:spacing w:after="0" w:line="240" w:lineRule="exact"/>
              <w:rPr>
                <w:rFonts w:ascii="宋体" w:hAnsi="宋体" w:eastAsia="宋体" w:cs="宋体"/>
              </w:rPr>
            </w:pPr>
            <w:r>
              <w:rPr>
                <w:rFonts w:hint="eastAsia" w:ascii="宋体" w:hAnsi="宋体" w:eastAsia="宋体" w:cs="宋体"/>
              </w:rPr>
              <w:t>“三公经费”控制率=（“三公经费”实际支出/“三公经费”预算安排数）×100%</w:t>
            </w:r>
          </w:p>
        </w:tc>
        <w:tc>
          <w:tcPr>
            <w:tcW w:w="3423" w:type="dxa"/>
            <w:tcBorders>
              <w:top w:val="single" w:color="000000" w:sz="4" w:space="0"/>
              <w:left w:val="single" w:color="auto" w:sz="4" w:space="0"/>
              <w:bottom w:val="single" w:color="000000" w:sz="4" w:space="0"/>
              <w:right w:val="single" w:color="auto" w:sz="4" w:space="0"/>
            </w:tcBorders>
            <w:vAlign w:val="center"/>
          </w:tcPr>
          <w:p w14:paraId="74896918">
            <w:pPr>
              <w:spacing w:after="0" w:line="240" w:lineRule="exact"/>
              <w:rPr>
                <w:rFonts w:ascii="宋体" w:hAnsi="宋体" w:eastAsia="宋体" w:cs="宋体"/>
              </w:rPr>
            </w:pPr>
            <w:r>
              <w:rPr>
                <w:rFonts w:hint="eastAsia" w:ascii="宋体" w:hAnsi="宋体" w:eastAsia="宋体" w:cs="宋体"/>
              </w:rPr>
              <w:t>目标值为≤100%；达到目标值得3分，未达到目标值的每增加0.1个百分点扣0.1分，扣完为止。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14:paraId="2BC6E0C8">
            <w:pPr>
              <w:spacing w:after="0" w:line="240" w:lineRule="exact"/>
              <w:rPr>
                <w:rFonts w:ascii="宋体" w:hAnsi="宋体" w:eastAsia="宋体" w:cs="宋体"/>
              </w:rPr>
            </w:pPr>
            <w:r>
              <w:rPr>
                <w:rFonts w:hint="eastAsia" w:ascii="宋体" w:hAnsi="宋体" w:eastAsia="宋体" w:cs="宋体"/>
              </w:rPr>
              <w:t xml:space="preserve">  3</w:t>
            </w:r>
          </w:p>
        </w:tc>
      </w:tr>
      <w:tr w14:paraId="20835E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61" w:hRule="atLeast"/>
          <w:jc w:val="center"/>
        </w:trPr>
        <w:tc>
          <w:tcPr>
            <w:tcW w:w="733" w:type="dxa"/>
            <w:vMerge w:val="continue"/>
            <w:tcBorders>
              <w:left w:val="single" w:color="000000" w:sz="4" w:space="0"/>
              <w:right w:val="single" w:color="000000" w:sz="4" w:space="0"/>
            </w:tcBorders>
            <w:vAlign w:val="center"/>
          </w:tcPr>
          <w:p w14:paraId="0CD26725">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33AA94C2">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66138AFF">
            <w:pPr>
              <w:spacing w:after="0" w:line="240" w:lineRule="exact"/>
              <w:rPr>
                <w:rFonts w:ascii="宋体" w:hAnsi="宋体" w:eastAsia="宋体" w:cs="宋体"/>
              </w:rPr>
            </w:pPr>
            <w:r>
              <w:rPr>
                <w:rFonts w:hint="eastAsia" w:ascii="宋体" w:hAnsi="宋体" w:eastAsia="宋体" w:cs="宋体"/>
              </w:rPr>
              <w:t>政府采购执行率（3分）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32388B69">
            <w:pPr>
              <w:spacing w:after="0" w:line="240" w:lineRule="exact"/>
              <w:rPr>
                <w:rFonts w:ascii="宋体" w:hAnsi="宋体" w:eastAsia="宋体" w:cs="宋体"/>
              </w:rPr>
            </w:pPr>
            <w:r>
              <w:rPr>
                <w:rFonts w:hint="eastAsia" w:ascii="宋体" w:hAnsi="宋体" w:eastAsia="宋体" w:cs="宋体"/>
              </w:rPr>
              <w:t>通过对部门本年度实际政府采购预算项目个数与政府采购预算项目个数的比较，反映和评价部门政府采购预算执行情况。</w:t>
            </w:r>
          </w:p>
          <w:p w14:paraId="2A05357E">
            <w:pPr>
              <w:spacing w:after="0" w:line="240" w:lineRule="exact"/>
              <w:rPr>
                <w:rFonts w:ascii="宋体" w:hAnsi="宋体" w:eastAsia="宋体" w:cs="宋体"/>
              </w:rPr>
            </w:pPr>
            <w:r>
              <w:rPr>
                <w:rFonts w:hint="eastAsia" w:ascii="宋体" w:hAnsi="宋体" w:eastAsia="宋体" w:cs="宋体"/>
              </w:rPr>
              <w:t>政府采购执行率=（实际政府采购预算项目个数/政府采购预算项目个数）×100%。</w:t>
            </w:r>
          </w:p>
          <w:p w14:paraId="4032D5C6">
            <w:pPr>
              <w:spacing w:after="0" w:line="240" w:lineRule="exact"/>
              <w:rPr>
                <w:rFonts w:ascii="宋体" w:hAnsi="宋体" w:eastAsia="宋体" w:cs="宋体"/>
              </w:rPr>
            </w:pPr>
            <w:r>
              <w:rPr>
                <w:rFonts w:hint="eastAsia" w:ascii="宋体" w:hAnsi="宋体" w:eastAsia="宋体" w:cs="宋体"/>
              </w:rPr>
              <w:t>政府采购项目中非预算内安排的项目除外。</w:t>
            </w:r>
          </w:p>
        </w:tc>
        <w:tc>
          <w:tcPr>
            <w:tcW w:w="3423" w:type="dxa"/>
            <w:tcBorders>
              <w:top w:val="single" w:color="000000" w:sz="4" w:space="0"/>
              <w:left w:val="single" w:color="auto" w:sz="4" w:space="0"/>
              <w:bottom w:val="single" w:color="000000" w:sz="4" w:space="0"/>
              <w:right w:val="single" w:color="auto" w:sz="4" w:space="0"/>
            </w:tcBorders>
            <w:vAlign w:val="center"/>
          </w:tcPr>
          <w:p w14:paraId="3B3EBA76">
            <w:pPr>
              <w:spacing w:after="0" w:line="240" w:lineRule="exact"/>
              <w:rPr>
                <w:rFonts w:ascii="宋体" w:hAnsi="宋体" w:eastAsia="宋体" w:cs="宋体"/>
              </w:rPr>
            </w:pPr>
            <w:r>
              <w:rPr>
                <w:rFonts w:hint="eastAsia" w:ascii="宋体" w:hAnsi="宋体" w:eastAsia="宋体" w:cs="宋体"/>
              </w:rPr>
              <w:t>目标值为100%；以3分为上限，采用完成比率法计分：得分=政府采购执行率×3。</w:t>
            </w:r>
          </w:p>
        </w:tc>
        <w:tc>
          <w:tcPr>
            <w:tcW w:w="1090" w:type="dxa"/>
            <w:tcBorders>
              <w:top w:val="single" w:color="000000" w:sz="4" w:space="0"/>
              <w:left w:val="single" w:color="auto" w:sz="4" w:space="0"/>
              <w:bottom w:val="single" w:color="000000" w:sz="4" w:space="0"/>
              <w:right w:val="single" w:color="000000" w:sz="4" w:space="0"/>
            </w:tcBorders>
            <w:vAlign w:val="center"/>
          </w:tcPr>
          <w:p w14:paraId="14C6809E">
            <w:pPr>
              <w:spacing w:after="0" w:line="240" w:lineRule="exact"/>
              <w:rPr>
                <w:rFonts w:ascii="宋体" w:hAnsi="宋体" w:eastAsia="宋体" w:cs="宋体"/>
              </w:rPr>
            </w:pPr>
            <w:r>
              <w:rPr>
                <w:rFonts w:hint="eastAsia" w:ascii="宋体" w:hAnsi="宋体" w:eastAsia="宋体" w:cs="宋体"/>
              </w:rPr>
              <w:t> 3</w:t>
            </w:r>
          </w:p>
        </w:tc>
      </w:tr>
      <w:tr w14:paraId="694DDC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4" w:hRule="atLeast"/>
          <w:jc w:val="center"/>
        </w:trPr>
        <w:tc>
          <w:tcPr>
            <w:tcW w:w="733" w:type="dxa"/>
            <w:vMerge w:val="continue"/>
            <w:tcBorders>
              <w:left w:val="single" w:color="000000" w:sz="4" w:space="0"/>
              <w:right w:val="single" w:color="000000" w:sz="4" w:space="0"/>
            </w:tcBorders>
            <w:vAlign w:val="center"/>
          </w:tcPr>
          <w:p w14:paraId="680C2676">
            <w:pPr>
              <w:spacing w:after="0"/>
              <w:rPr>
                <w:rFonts w:ascii="宋体" w:hAnsi="宋体" w:eastAsia="宋体" w:cs="宋体"/>
              </w:rPr>
            </w:pPr>
          </w:p>
        </w:tc>
        <w:tc>
          <w:tcPr>
            <w:tcW w:w="803" w:type="dxa"/>
            <w:vMerge w:val="restart"/>
            <w:tcBorders>
              <w:top w:val="single" w:color="000000" w:sz="4" w:space="0"/>
              <w:left w:val="single" w:color="000000" w:sz="4" w:space="0"/>
              <w:right w:val="single" w:color="000000" w:sz="4" w:space="0"/>
            </w:tcBorders>
            <w:vAlign w:val="center"/>
          </w:tcPr>
          <w:p w14:paraId="214E7020">
            <w:pPr>
              <w:spacing w:after="0" w:line="240" w:lineRule="exact"/>
              <w:jc w:val="center"/>
              <w:rPr>
                <w:rFonts w:ascii="宋体" w:hAnsi="宋体" w:eastAsia="宋体" w:cs="宋体"/>
              </w:rPr>
            </w:pPr>
            <w:r>
              <w:rPr>
                <w:rFonts w:hint="eastAsia" w:ascii="宋体" w:hAnsi="宋体" w:eastAsia="宋体" w:cs="宋体"/>
              </w:rPr>
              <w:t>预算管理</w:t>
            </w:r>
          </w:p>
          <w:p w14:paraId="772B1407">
            <w:pPr>
              <w:spacing w:after="0" w:line="68" w:lineRule="atLeast"/>
              <w:jc w:val="center"/>
              <w:rPr>
                <w:rFonts w:ascii="宋体" w:hAnsi="宋体" w:eastAsia="宋体" w:cs="宋体"/>
              </w:rPr>
            </w:pPr>
            <w:r>
              <w:rPr>
                <w:rFonts w:hint="eastAsia" w:ascii="宋体" w:hAnsi="宋体" w:eastAsia="宋体" w:cs="宋体"/>
              </w:rPr>
              <w:t>（18分）</w:t>
            </w:r>
          </w:p>
        </w:tc>
        <w:tc>
          <w:tcPr>
            <w:tcW w:w="1182" w:type="dxa"/>
            <w:tcBorders>
              <w:top w:val="single" w:color="000000" w:sz="4" w:space="0"/>
              <w:left w:val="single" w:color="000000" w:sz="4" w:space="0"/>
              <w:bottom w:val="single" w:color="000000" w:sz="4" w:space="0"/>
              <w:right w:val="single" w:color="auto" w:sz="4" w:space="0"/>
            </w:tcBorders>
            <w:vAlign w:val="center"/>
          </w:tcPr>
          <w:p w14:paraId="7112BD1F">
            <w:pPr>
              <w:spacing w:after="0" w:line="240" w:lineRule="exact"/>
              <w:rPr>
                <w:rFonts w:ascii="宋体" w:hAnsi="宋体" w:eastAsia="宋体" w:cs="宋体"/>
              </w:rPr>
            </w:pPr>
            <w:r>
              <w:rPr>
                <w:rFonts w:hint="eastAsia" w:ascii="宋体" w:hAnsi="宋体" w:eastAsia="宋体" w:cs="宋体"/>
              </w:rPr>
              <w:t>管理制度健全性</w:t>
            </w:r>
          </w:p>
          <w:p w14:paraId="7B0C4023">
            <w:pPr>
              <w:spacing w:after="0" w:line="240" w:lineRule="exact"/>
              <w:rPr>
                <w:rFonts w:ascii="宋体" w:hAnsi="宋体" w:eastAsia="宋体" w:cs="宋体"/>
              </w:rPr>
            </w:pPr>
            <w:r>
              <w:rPr>
                <w:rFonts w:hint="eastAsia" w:ascii="宋体" w:hAnsi="宋体" w:eastAsia="宋体" w:cs="宋体"/>
              </w:rPr>
              <w:t>（2分）</w:t>
            </w:r>
          </w:p>
        </w:tc>
        <w:tc>
          <w:tcPr>
            <w:tcW w:w="6911" w:type="dxa"/>
            <w:tcBorders>
              <w:top w:val="single" w:color="000000" w:sz="4" w:space="0"/>
              <w:left w:val="single" w:color="auto" w:sz="4" w:space="0"/>
              <w:bottom w:val="single" w:color="000000" w:sz="4" w:space="0"/>
              <w:right w:val="single" w:color="auto" w:sz="4" w:space="0"/>
            </w:tcBorders>
            <w:vAlign w:val="center"/>
          </w:tcPr>
          <w:p w14:paraId="3DACBA75">
            <w:pPr>
              <w:spacing w:after="0" w:line="240" w:lineRule="exact"/>
              <w:rPr>
                <w:rFonts w:ascii="宋体" w:hAnsi="宋体" w:eastAsia="宋体" w:cs="宋体"/>
              </w:rPr>
            </w:pPr>
            <w:r>
              <w:rPr>
                <w:rFonts w:hint="eastAsia" w:ascii="宋体" w:hAnsi="宋体" w:eastAsia="宋体" w:cs="宋体"/>
              </w:rPr>
              <w:t>部门为加强预算管理，规范财务行为而制定的管理制度是否健全完整，用以反映和考核部门预算管理制度对完成主要职责或促进事业发展的保障情况。</w:t>
            </w:r>
          </w:p>
          <w:p w14:paraId="48670FC5">
            <w:pPr>
              <w:spacing w:after="0" w:line="240" w:lineRule="exact"/>
              <w:rPr>
                <w:rFonts w:ascii="宋体" w:hAnsi="宋体" w:eastAsia="宋体" w:cs="宋体"/>
              </w:rPr>
            </w:pPr>
            <w:r>
              <w:rPr>
                <w:rFonts w:hint="eastAsia" w:ascii="宋体" w:hAnsi="宋体" w:eastAsia="宋体" w:cs="宋体"/>
              </w:rPr>
              <w:t>评价要点：</w:t>
            </w:r>
          </w:p>
          <w:p w14:paraId="7235B5BC">
            <w:pPr>
              <w:spacing w:after="0" w:line="240" w:lineRule="exact"/>
              <w:rPr>
                <w:rFonts w:ascii="宋体" w:hAnsi="宋体" w:eastAsia="宋体" w:cs="宋体"/>
              </w:rPr>
            </w:pPr>
            <w:r>
              <w:rPr>
                <w:rFonts w:hint="eastAsia" w:ascii="宋体" w:hAnsi="宋体" w:eastAsia="宋体" w:cs="宋体"/>
              </w:rPr>
              <w:t>1．是否已制定或具有预算资金管理办法、内部财务管理制度、会计核算制度等管理制度；</w:t>
            </w:r>
          </w:p>
          <w:p w14:paraId="55CDE4F8">
            <w:pPr>
              <w:spacing w:after="0" w:line="240" w:lineRule="exact"/>
              <w:rPr>
                <w:rFonts w:ascii="宋体" w:hAnsi="宋体" w:eastAsia="宋体" w:cs="宋体"/>
              </w:rPr>
            </w:pPr>
            <w:r>
              <w:rPr>
                <w:rFonts w:hint="eastAsia" w:ascii="宋体" w:hAnsi="宋体" w:eastAsia="宋体" w:cs="宋体"/>
              </w:rPr>
              <w:t>2.相关管理制度是否合法、合规、完整；</w:t>
            </w:r>
          </w:p>
          <w:p w14:paraId="483AC3D9">
            <w:pPr>
              <w:spacing w:after="0" w:line="240" w:lineRule="exact"/>
              <w:rPr>
                <w:rFonts w:ascii="宋体" w:hAnsi="宋体" w:eastAsia="宋体" w:cs="宋体"/>
              </w:rPr>
            </w:pPr>
            <w:r>
              <w:rPr>
                <w:rFonts w:hint="eastAsia" w:ascii="宋体" w:hAnsi="宋体" w:eastAsia="宋体" w:cs="宋体"/>
              </w:rPr>
              <w:t>3.相关管理制度是否得到有效执行。</w:t>
            </w:r>
          </w:p>
        </w:tc>
        <w:tc>
          <w:tcPr>
            <w:tcW w:w="3423" w:type="dxa"/>
            <w:tcBorders>
              <w:top w:val="single" w:color="000000" w:sz="4" w:space="0"/>
              <w:left w:val="single" w:color="auto" w:sz="4" w:space="0"/>
              <w:bottom w:val="single" w:color="000000" w:sz="4" w:space="0"/>
              <w:right w:val="single" w:color="auto" w:sz="4" w:space="0"/>
            </w:tcBorders>
            <w:vAlign w:val="center"/>
          </w:tcPr>
          <w:p w14:paraId="6C8FD635">
            <w:pPr>
              <w:spacing w:after="0" w:line="240" w:lineRule="exact"/>
              <w:rPr>
                <w:rFonts w:ascii="宋体" w:hAnsi="宋体" w:eastAsia="宋体" w:cs="宋体"/>
              </w:rPr>
            </w:pPr>
            <w:r>
              <w:rPr>
                <w:rFonts w:hint="eastAsia" w:ascii="宋体" w:hAnsi="宋体" w:eastAsia="宋体" w:cs="宋体"/>
              </w:rPr>
              <w:t>全部符合（2分）；</w:t>
            </w:r>
          </w:p>
          <w:p w14:paraId="3782A23F">
            <w:pPr>
              <w:spacing w:after="0" w:line="240" w:lineRule="exact"/>
              <w:rPr>
                <w:rFonts w:ascii="宋体" w:hAnsi="宋体" w:eastAsia="宋体" w:cs="宋体"/>
              </w:rPr>
            </w:pPr>
            <w:r>
              <w:rPr>
                <w:rFonts w:hint="eastAsia" w:ascii="宋体" w:hAnsi="宋体" w:eastAsia="宋体" w:cs="宋体"/>
              </w:rPr>
              <w:t>符合其中两项（1分）</w:t>
            </w:r>
          </w:p>
          <w:p w14:paraId="32FA7B20">
            <w:pPr>
              <w:spacing w:after="0" w:line="240" w:lineRule="exac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56FB1134">
            <w:pPr>
              <w:spacing w:after="0" w:line="240" w:lineRule="exact"/>
              <w:rPr>
                <w:rFonts w:ascii="宋体" w:hAnsi="宋体" w:eastAsia="宋体" w:cs="宋体"/>
              </w:rPr>
            </w:pPr>
            <w:r>
              <w:rPr>
                <w:rFonts w:hint="eastAsia" w:ascii="宋体" w:hAnsi="宋体" w:eastAsia="宋体" w:cs="宋体"/>
              </w:rPr>
              <w:t xml:space="preserve">  2</w:t>
            </w:r>
          </w:p>
        </w:tc>
      </w:tr>
      <w:tr w14:paraId="3F1A88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65" w:hRule="atLeast"/>
          <w:jc w:val="center"/>
        </w:trPr>
        <w:tc>
          <w:tcPr>
            <w:tcW w:w="733" w:type="dxa"/>
            <w:vMerge w:val="continue"/>
            <w:tcBorders>
              <w:left w:val="single" w:color="000000" w:sz="4" w:space="0"/>
              <w:right w:val="single" w:color="000000" w:sz="4" w:space="0"/>
            </w:tcBorders>
            <w:vAlign w:val="center"/>
          </w:tcPr>
          <w:p w14:paraId="1F351414">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3FDC4507">
            <w:pPr>
              <w:spacing w:after="0" w:line="68" w:lineRule="atLeast"/>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274C4F0A">
            <w:pPr>
              <w:spacing w:after="0" w:line="68" w:lineRule="atLeast"/>
              <w:rPr>
                <w:rFonts w:ascii="宋体" w:hAnsi="宋体" w:eastAsia="宋体" w:cs="宋体"/>
              </w:rPr>
            </w:pPr>
            <w:r>
              <w:rPr>
                <w:rFonts w:hint="eastAsia" w:ascii="宋体" w:hAnsi="宋体" w:eastAsia="宋体" w:cs="宋体"/>
              </w:rPr>
              <w:t>资金使用合规性</w:t>
            </w:r>
          </w:p>
          <w:p w14:paraId="49EB46A9">
            <w:pPr>
              <w:spacing w:after="0" w:line="68" w:lineRule="atLeast"/>
              <w:rPr>
                <w:rFonts w:ascii="宋体" w:hAnsi="宋体" w:eastAsia="宋体" w:cs="宋体"/>
              </w:rPr>
            </w:pPr>
            <w:r>
              <w:rPr>
                <w:rFonts w:hint="eastAsia" w:ascii="宋体" w:hAnsi="宋体" w:eastAsia="宋体" w:cs="宋体"/>
              </w:rPr>
              <w:t>（9分）</w:t>
            </w:r>
          </w:p>
        </w:tc>
        <w:tc>
          <w:tcPr>
            <w:tcW w:w="6911" w:type="dxa"/>
            <w:tcBorders>
              <w:top w:val="single" w:color="000000" w:sz="4" w:space="0"/>
              <w:left w:val="single" w:color="auto" w:sz="4" w:space="0"/>
              <w:bottom w:val="single" w:color="000000" w:sz="4" w:space="0"/>
              <w:right w:val="single" w:color="auto" w:sz="4" w:space="0"/>
            </w:tcBorders>
            <w:vAlign w:val="center"/>
          </w:tcPr>
          <w:p w14:paraId="54919914">
            <w:pPr>
              <w:spacing w:after="0" w:line="240" w:lineRule="exact"/>
              <w:rPr>
                <w:rFonts w:ascii="宋体" w:hAnsi="宋体" w:eastAsia="宋体" w:cs="宋体"/>
              </w:rPr>
            </w:pPr>
            <w:r>
              <w:rPr>
                <w:rFonts w:hint="eastAsia" w:ascii="宋体" w:hAnsi="宋体" w:eastAsia="宋体" w:cs="宋体"/>
              </w:rPr>
              <w:t>部门使用预算资金是否符合相关的预算财务管理制度的规定，反映和评价部门预算资金的规范运行情况。</w:t>
            </w:r>
          </w:p>
          <w:p w14:paraId="016969FC">
            <w:pPr>
              <w:spacing w:after="0" w:line="240" w:lineRule="exact"/>
              <w:rPr>
                <w:rFonts w:ascii="宋体" w:hAnsi="宋体" w:eastAsia="宋体" w:cs="宋体"/>
              </w:rPr>
            </w:pPr>
            <w:r>
              <w:rPr>
                <w:rFonts w:hint="eastAsia" w:ascii="宋体" w:hAnsi="宋体" w:eastAsia="宋体" w:cs="宋体"/>
              </w:rPr>
              <w:t>评价要点：</w:t>
            </w:r>
          </w:p>
          <w:p w14:paraId="64830500">
            <w:pPr>
              <w:spacing w:after="0" w:line="240" w:lineRule="exact"/>
              <w:rPr>
                <w:rFonts w:ascii="宋体" w:hAnsi="宋体" w:eastAsia="宋体" w:cs="宋体"/>
              </w:rPr>
            </w:pPr>
            <w:r>
              <w:rPr>
                <w:rFonts w:hint="eastAsia" w:ascii="宋体" w:hAnsi="宋体" w:eastAsia="宋体" w:cs="宋体"/>
              </w:rPr>
              <w:t>1.符合国家财经法规和财务管理制度规定以及有关部门资金管理办法的规定；</w:t>
            </w:r>
          </w:p>
          <w:p w14:paraId="6E9BB7B5">
            <w:pPr>
              <w:spacing w:after="0" w:line="240" w:lineRule="exact"/>
              <w:rPr>
                <w:rFonts w:ascii="宋体" w:hAnsi="宋体" w:eastAsia="宋体" w:cs="宋体"/>
              </w:rPr>
            </w:pPr>
            <w:r>
              <w:rPr>
                <w:rFonts w:hint="eastAsia" w:ascii="宋体" w:hAnsi="宋体" w:eastAsia="宋体" w:cs="宋体"/>
              </w:rPr>
              <w:t>2.资金的拨付有完整的审批过程和手续；</w:t>
            </w:r>
          </w:p>
          <w:p w14:paraId="22AFB709">
            <w:pPr>
              <w:spacing w:after="0" w:line="240" w:lineRule="exact"/>
              <w:rPr>
                <w:rFonts w:ascii="宋体" w:hAnsi="宋体" w:eastAsia="宋体" w:cs="宋体"/>
              </w:rPr>
            </w:pPr>
            <w:r>
              <w:rPr>
                <w:rFonts w:hint="eastAsia" w:ascii="宋体" w:hAnsi="宋体" w:eastAsia="宋体" w:cs="宋体"/>
              </w:rPr>
              <w:t>3.项目的重大开支经过评估论证；</w:t>
            </w:r>
          </w:p>
          <w:p w14:paraId="0BAD1C01">
            <w:pPr>
              <w:spacing w:after="0" w:line="240" w:lineRule="exact"/>
              <w:rPr>
                <w:rFonts w:ascii="宋体" w:hAnsi="宋体" w:eastAsia="宋体" w:cs="宋体"/>
              </w:rPr>
            </w:pPr>
            <w:r>
              <w:rPr>
                <w:rFonts w:hint="eastAsia" w:ascii="宋体" w:hAnsi="宋体" w:eastAsia="宋体" w:cs="宋体"/>
              </w:rPr>
              <w:t>4.符合部门预算批复的用途；</w:t>
            </w:r>
          </w:p>
          <w:p w14:paraId="7A146CCB">
            <w:pPr>
              <w:spacing w:after="0" w:line="240" w:lineRule="exact"/>
              <w:rPr>
                <w:rFonts w:ascii="宋体" w:hAnsi="宋体" w:eastAsia="宋体" w:cs="宋体"/>
              </w:rPr>
            </w:pPr>
            <w:r>
              <w:rPr>
                <w:rFonts w:hint="eastAsia" w:ascii="宋体" w:hAnsi="宋体" w:eastAsia="宋体" w:cs="宋体"/>
              </w:rPr>
              <w:t>5.不存在截留情况；6.不存在挤占情况；</w:t>
            </w:r>
          </w:p>
          <w:p w14:paraId="096E0D26">
            <w:pPr>
              <w:spacing w:after="0" w:line="240" w:lineRule="exact"/>
              <w:rPr>
                <w:rFonts w:ascii="宋体" w:hAnsi="宋体" w:eastAsia="宋体" w:cs="宋体"/>
              </w:rPr>
            </w:pPr>
            <w:r>
              <w:rPr>
                <w:rFonts w:hint="eastAsia" w:ascii="宋体" w:hAnsi="宋体" w:eastAsia="宋体" w:cs="宋体"/>
              </w:rPr>
              <w:t>7.不存在挪用情况；8.不存在虚列支出情况。</w:t>
            </w:r>
          </w:p>
        </w:tc>
        <w:tc>
          <w:tcPr>
            <w:tcW w:w="3423" w:type="dxa"/>
            <w:tcBorders>
              <w:top w:val="single" w:color="000000" w:sz="4" w:space="0"/>
              <w:left w:val="single" w:color="auto" w:sz="4" w:space="0"/>
              <w:bottom w:val="single" w:color="000000" w:sz="4" w:space="0"/>
              <w:right w:val="single" w:color="auto" w:sz="4" w:space="0"/>
            </w:tcBorders>
            <w:vAlign w:val="center"/>
          </w:tcPr>
          <w:p w14:paraId="20F6F29E">
            <w:pPr>
              <w:spacing w:after="0" w:line="240" w:lineRule="exact"/>
              <w:rPr>
                <w:rFonts w:ascii="宋体" w:hAnsi="宋体" w:eastAsia="宋体" w:cs="宋体"/>
              </w:rPr>
            </w:pPr>
            <w:r>
              <w:rPr>
                <w:rFonts w:hint="eastAsia" w:ascii="宋体" w:hAnsi="宋体" w:eastAsia="宋体" w:cs="宋体"/>
              </w:rPr>
              <w:t>全部符合（9分）；</w:t>
            </w:r>
          </w:p>
          <w:p w14:paraId="4BE4B051">
            <w:pPr>
              <w:spacing w:after="0" w:line="240" w:lineRule="exact"/>
              <w:rPr>
                <w:rFonts w:ascii="宋体" w:hAnsi="宋体" w:eastAsia="宋体" w:cs="宋体"/>
              </w:rPr>
            </w:pPr>
            <w:r>
              <w:rPr>
                <w:rFonts w:hint="eastAsia" w:ascii="宋体" w:hAnsi="宋体" w:eastAsia="宋体" w:cs="宋体"/>
              </w:rPr>
              <w:t>符合其中七项（8分）；</w:t>
            </w:r>
          </w:p>
          <w:p w14:paraId="5F3CD015">
            <w:pPr>
              <w:spacing w:after="0" w:line="240" w:lineRule="exact"/>
              <w:rPr>
                <w:rFonts w:ascii="宋体" w:hAnsi="宋体" w:eastAsia="宋体" w:cs="宋体"/>
              </w:rPr>
            </w:pPr>
            <w:r>
              <w:rPr>
                <w:rFonts w:hint="eastAsia" w:ascii="宋体" w:hAnsi="宋体" w:eastAsia="宋体" w:cs="宋体"/>
              </w:rPr>
              <w:t>符合其中六项（5分）；</w:t>
            </w:r>
          </w:p>
          <w:p w14:paraId="2DF3D254">
            <w:pPr>
              <w:spacing w:after="0" w:line="240" w:lineRule="exact"/>
              <w:rPr>
                <w:rFonts w:ascii="宋体" w:hAnsi="宋体" w:eastAsia="宋体" w:cs="宋体"/>
              </w:rPr>
            </w:pPr>
            <w:r>
              <w:rPr>
                <w:rFonts w:hint="eastAsia" w:ascii="宋体" w:hAnsi="宋体" w:eastAsia="宋体" w:cs="宋体"/>
              </w:rPr>
              <w:t>符合其中五项（3分）；</w:t>
            </w:r>
          </w:p>
          <w:p w14:paraId="4A50F8B8">
            <w:pPr>
              <w:spacing w:after="0" w:line="68" w:lineRule="atLeast"/>
              <w:rPr>
                <w:rFonts w:ascii="宋体" w:hAnsi="宋体" w:eastAsia="宋体" w:cs="宋体"/>
              </w:rPr>
            </w:pPr>
            <w:r>
              <w:rPr>
                <w:rFonts w:hint="eastAsia" w:ascii="宋体" w:hAnsi="宋体" w:eastAsia="宋体" w:cs="宋体"/>
              </w:rPr>
              <w:t>符合其中四项及以下（0分）。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15C0BD27">
            <w:pPr>
              <w:spacing w:after="0" w:line="68" w:lineRule="atLeast"/>
              <w:rPr>
                <w:rFonts w:ascii="宋体" w:hAnsi="宋体" w:eastAsia="宋体" w:cs="宋体"/>
              </w:rPr>
            </w:pPr>
            <w:r>
              <w:rPr>
                <w:rFonts w:hint="eastAsia" w:ascii="宋体" w:hAnsi="宋体" w:eastAsia="宋体" w:cs="宋体"/>
              </w:rPr>
              <w:t> 9</w:t>
            </w:r>
          </w:p>
        </w:tc>
      </w:tr>
      <w:tr w14:paraId="797444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63" w:hRule="atLeast"/>
          <w:jc w:val="center"/>
        </w:trPr>
        <w:tc>
          <w:tcPr>
            <w:tcW w:w="733" w:type="dxa"/>
            <w:vMerge w:val="continue"/>
            <w:tcBorders>
              <w:left w:val="single" w:color="000000" w:sz="4" w:space="0"/>
              <w:right w:val="single" w:color="000000" w:sz="4" w:space="0"/>
            </w:tcBorders>
            <w:vAlign w:val="center"/>
          </w:tcPr>
          <w:p w14:paraId="3DC485E0">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73022D09">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021EEB70">
            <w:pPr>
              <w:spacing w:after="0" w:line="68" w:lineRule="atLeast"/>
              <w:rPr>
                <w:rFonts w:ascii="宋体" w:hAnsi="宋体" w:eastAsia="宋体" w:cs="宋体"/>
              </w:rPr>
            </w:pPr>
            <w:r>
              <w:rPr>
                <w:rFonts w:hint="eastAsia" w:ascii="宋体" w:hAnsi="宋体" w:eastAsia="宋体" w:cs="宋体"/>
              </w:rPr>
              <w:t>预决算信息公开性（3分）</w:t>
            </w:r>
          </w:p>
        </w:tc>
        <w:tc>
          <w:tcPr>
            <w:tcW w:w="6911" w:type="dxa"/>
            <w:tcBorders>
              <w:top w:val="single" w:color="000000" w:sz="4" w:space="0"/>
              <w:left w:val="single" w:color="auto" w:sz="4" w:space="0"/>
              <w:bottom w:val="single" w:color="000000" w:sz="4" w:space="0"/>
              <w:right w:val="single" w:color="auto" w:sz="4" w:space="0"/>
            </w:tcBorders>
            <w:vAlign w:val="center"/>
          </w:tcPr>
          <w:p w14:paraId="4BCEFFC1">
            <w:pPr>
              <w:spacing w:after="0" w:line="240" w:lineRule="exact"/>
              <w:rPr>
                <w:rFonts w:ascii="宋体" w:hAnsi="宋体" w:eastAsia="宋体" w:cs="宋体"/>
              </w:rPr>
            </w:pPr>
            <w:r>
              <w:rPr>
                <w:rFonts w:hint="eastAsia" w:ascii="宋体" w:hAnsi="宋体" w:eastAsia="宋体" w:cs="宋体"/>
              </w:rPr>
              <w:t>部门是否按照政府信息公开有关规定公开相关预决算信息，用以反映和评价部门预决算管理的公开透明情况。</w:t>
            </w:r>
          </w:p>
          <w:p w14:paraId="33B4DDC1">
            <w:pPr>
              <w:spacing w:after="0" w:line="240" w:lineRule="exact"/>
              <w:rPr>
                <w:rFonts w:ascii="宋体" w:hAnsi="宋体" w:eastAsia="宋体" w:cs="宋体"/>
              </w:rPr>
            </w:pPr>
            <w:r>
              <w:rPr>
                <w:rFonts w:hint="eastAsia" w:ascii="宋体" w:hAnsi="宋体" w:eastAsia="宋体" w:cs="宋体"/>
              </w:rPr>
              <w:t>预决算信息是指与部门预算、执行、决算、监督、绩效等管理相关的信息。</w:t>
            </w:r>
          </w:p>
          <w:p w14:paraId="0F3EB84F">
            <w:pPr>
              <w:spacing w:after="0" w:line="240" w:lineRule="exact"/>
              <w:rPr>
                <w:rFonts w:ascii="宋体" w:hAnsi="宋体" w:eastAsia="宋体" w:cs="宋体"/>
              </w:rPr>
            </w:pPr>
            <w:r>
              <w:rPr>
                <w:rFonts w:hint="eastAsia" w:ascii="宋体" w:hAnsi="宋体" w:eastAsia="宋体" w:cs="宋体"/>
              </w:rPr>
              <w:t>评价要点：</w:t>
            </w:r>
          </w:p>
          <w:p w14:paraId="0F68B31C">
            <w:pPr>
              <w:spacing w:after="0" w:line="240" w:lineRule="exact"/>
              <w:rPr>
                <w:rFonts w:ascii="宋体" w:hAnsi="宋体" w:eastAsia="宋体" w:cs="宋体"/>
              </w:rPr>
            </w:pPr>
            <w:r>
              <w:rPr>
                <w:rFonts w:hint="eastAsia" w:ascii="宋体" w:hAnsi="宋体" w:eastAsia="宋体" w:cs="宋体"/>
              </w:rPr>
              <w:t>1.公开预决算信息；</w:t>
            </w:r>
          </w:p>
          <w:p w14:paraId="044361D2">
            <w:pPr>
              <w:spacing w:after="0" w:line="240" w:lineRule="exact"/>
              <w:rPr>
                <w:rFonts w:ascii="宋体" w:hAnsi="宋体" w:eastAsia="宋体" w:cs="宋体"/>
              </w:rPr>
            </w:pPr>
            <w:r>
              <w:rPr>
                <w:rFonts w:hint="eastAsia" w:ascii="宋体" w:hAnsi="宋体" w:eastAsia="宋体" w:cs="宋体"/>
              </w:rPr>
              <w:t>2.按规定内容公开预决算信息；</w:t>
            </w:r>
          </w:p>
          <w:p w14:paraId="7946F697">
            <w:pPr>
              <w:spacing w:after="0" w:line="68" w:lineRule="atLeast"/>
              <w:rPr>
                <w:rFonts w:ascii="宋体" w:hAnsi="宋体" w:eastAsia="宋体" w:cs="宋体"/>
              </w:rPr>
            </w:pPr>
            <w:r>
              <w:rPr>
                <w:rFonts w:hint="eastAsia" w:ascii="宋体" w:hAnsi="宋体" w:eastAsia="宋体" w:cs="宋体"/>
              </w:rPr>
              <w:t>3.按规定时限公开预决算信息。</w:t>
            </w:r>
          </w:p>
        </w:tc>
        <w:tc>
          <w:tcPr>
            <w:tcW w:w="3423" w:type="dxa"/>
            <w:tcBorders>
              <w:top w:val="single" w:color="000000" w:sz="4" w:space="0"/>
              <w:left w:val="single" w:color="auto" w:sz="4" w:space="0"/>
              <w:bottom w:val="single" w:color="000000" w:sz="4" w:space="0"/>
              <w:right w:val="single" w:color="auto" w:sz="4" w:space="0"/>
            </w:tcBorders>
            <w:vAlign w:val="center"/>
          </w:tcPr>
          <w:p w14:paraId="44348577">
            <w:pPr>
              <w:spacing w:after="0" w:line="240" w:lineRule="exact"/>
              <w:rPr>
                <w:rFonts w:ascii="宋体" w:hAnsi="宋体" w:eastAsia="宋体" w:cs="宋体"/>
              </w:rPr>
            </w:pPr>
            <w:r>
              <w:rPr>
                <w:rFonts w:hint="eastAsia" w:ascii="宋体" w:hAnsi="宋体" w:eastAsia="宋体" w:cs="宋体"/>
              </w:rPr>
              <w:t>全部符合（3分）；</w:t>
            </w:r>
          </w:p>
          <w:p w14:paraId="58156D4B">
            <w:pPr>
              <w:spacing w:after="0" w:line="240" w:lineRule="exact"/>
              <w:rPr>
                <w:rFonts w:ascii="宋体" w:hAnsi="宋体" w:eastAsia="宋体" w:cs="宋体"/>
              </w:rPr>
            </w:pPr>
            <w:r>
              <w:rPr>
                <w:rFonts w:hint="eastAsia" w:ascii="宋体" w:hAnsi="宋体" w:eastAsia="宋体" w:cs="宋体"/>
              </w:rPr>
              <w:t>符合其中两项（2分）</w:t>
            </w:r>
          </w:p>
          <w:p w14:paraId="766A3FD6">
            <w:pPr>
              <w:spacing w:after="0" w:line="68" w:lineRule="atLeas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4EED4371">
            <w:pPr>
              <w:spacing w:after="0" w:line="68" w:lineRule="atLeast"/>
              <w:rPr>
                <w:rFonts w:ascii="宋体" w:hAnsi="宋体" w:eastAsia="宋体" w:cs="宋体"/>
              </w:rPr>
            </w:pPr>
            <w:r>
              <w:rPr>
                <w:rFonts w:hint="eastAsia" w:ascii="宋体" w:hAnsi="宋体" w:eastAsia="宋体" w:cs="宋体"/>
              </w:rPr>
              <w:t> 3</w:t>
            </w:r>
          </w:p>
        </w:tc>
      </w:tr>
      <w:tr w14:paraId="14C6CB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74" w:hRule="atLeast"/>
          <w:jc w:val="center"/>
        </w:trPr>
        <w:tc>
          <w:tcPr>
            <w:tcW w:w="733" w:type="dxa"/>
            <w:vMerge w:val="continue"/>
            <w:tcBorders>
              <w:left w:val="single" w:color="000000" w:sz="4" w:space="0"/>
              <w:right w:val="single" w:color="000000" w:sz="4" w:space="0"/>
            </w:tcBorders>
            <w:vAlign w:val="center"/>
          </w:tcPr>
          <w:p w14:paraId="7DD59077">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328D3FDD">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57CD404D">
            <w:pPr>
              <w:spacing w:after="0" w:line="68" w:lineRule="atLeast"/>
              <w:rPr>
                <w:rFonts w:ascii="宋体" w:hAnsi="宋体" w:eastAsia="宋体" w:cs="宋体"/>
                <w:color w:val="000000"/>
              </w:rPr>
            </w:pPr>
            <w:r>
              <w:rPr>
                <w:rFonts w:hint="eastAsia" w:ascii="宋体" w:hAnsi="宋体" w:eastAsia="宋体" w:cs="宋体"/>
                <w:color w:val="000000"/>
              </w:rPr>
              <w:t>基础信息完善性</w:t>
            </w:r>
          </w:p>
          <w:p w14:paraId="084D2AE3">
            <w:pPr>
              <w:spacing w:after="0" w:line="68" w:lineRule="atLeast"/>
              <w:rPr>
                <w:rFonts w:ascii="宋体" w:hAnsi="宋体" w:eastAsia="宋体" w:cs="宋体"/>
              </w:rPr>
            </w:pPr>
            <w:r>
              <w:rPr>
                <w:rFonts w:hint="eastAsia" w:ascii="宋体" w:hAnsi="宋体" w:eastAsia="宋体" w:cs="宋体"/>
              </w:rPr>
              <w:t>（4分）</w:t>
            </w:r>
          </w:p>
        </w:tc>
        <w:tc>
          <w:tcPr>
            <w:tcW w:w="6911" w:type="dxa"/>
            <w:tcBorders>
              <w:top w:val="single" w:color="000000" w:sz="4" w:space="0"/>
              <w:left w:val="single" w:color="auto" w:sz="4" w:space="0"/>
              <w:bottom w:val="single" w:color="000000" w:sz="4" w:space="0"/>
              <w:right w:val="single" w:color="auto" w:sz="4" w:space="0"/>
            </w:tcBorders>
            <w:vAlign w:val="center"/>
          </w:tcPr>
          <w:p w14:paraId="49575B46">
            <w:pPr>
              <w:spacing w:after="0" w:line="240" w:lineRule="exact"/>
              <w:rPr>
                <w:rFonts w:ascii="宋体" w:hAnsi="宋体" w:eastAsia="宋体" w:cs="宋体"/>
              </w:rPr>
            </w:pPr>
            <w:r>
              <w:rPr>
                <w:rFonts w:hint="eastAsia" w:ascii="宋体" w:hAnsi="宋体" w:eastAsia="宋体" w:cs="宋体"/>
              </w:rPr>
              <w:t>部门基础信息是否完善，用以反映和评价基础信息对预算管理工作的支撑情况。</w:t>
            </w:r>
          </w:p>
          <w:p w14:paraId="04F0DE3D">
            <w:pPr>
              <w:spacing w:after="0" w:line="240" w:lineRule="exact"/>
              <w:rPr>
                <w:rFonts w:ascii="宋体" w:hAnsi="宋体" w:eastAsia="宋体" w:cs="宋体"/>
              </w:rPr>
            </w:pPr>
            <w:r>
              <w:rPr>
                <w:rFonts w:hint="eastAsia" w:ascii="宋体" w:hAnsi="宋体" w:eastAsia="宋体" w:cs="宋体"/>
              </w:rPr>
              <w:t>评价要点：</w:t>
            </w:r>
          </w:p>
          <w:p w14:paraId="627FAC93">
            <w:pPr>
              <w:spacing w:after="0" w:line="240" w:lineRule="exact"/>
              <w:rPr>
                <w:rFonts w:ascii="宋体" w:hAnsi="宋体" w:eastAsia="宋体" w:cs="宋体"/>
              </w:rPr>
            </w:pPr>
            <w:r>
              <w:rPr>
                <w:rFonts w:hint="eastAsia" w:ascii="宋体" w:hAnsi="宋体" w:eastAsia="宋体" w:cs="宋体"/>
              </w:rPr>
              <w:t>1.基本财务管理制度健全；</w:t>
            </w:r>
          </w:p>
          <w:p w14:paraId="474EEF67">
            <w:pPr>
              <w:spacing w:after="0" w:line="240" w:lineRule="exact"/>
              <w:rPr>
                <w:rFonts w:ascii="宋体" w:hAnsi="宋体" w:eastAsia="宋体" w:cs="宋体"/>
              </w:rPr>
            </w:pPr>
            <w:r>
              <w:rPr>
                <w:rFonts w:hint="eastAsia" w:ascii="宋体" w:hAnsi="宋体" w:eastAsia="宋体" w:cs="宋体"/>
              </w:rPr>
              <w:t>2.基础数据信息和会计信息资料真实；</w:t>
            </w:r>
          </w:p>
          <w:p w14:paraId="44712373">
            <w:pPr>
              <w:spacing w:after="0" w:line="240" w:lineRule="exact"/>
              <w:rPr>
                <w:rFonts w:ascii="宋体" w:hAnsi="宋体" w:eastAsia="宋体" w:cs="宋体"/>
              </w:rPr>
            </w:pPr>
            <w:r>
              <w:rPr>
                <w:rFonts w:hint="eastAsia" w:ascii="宋体" w:hAnsi="宋体" w:eastAsia="宋体" w:cs="宋体"/>
              </w:rPr>
              <w:t>3.基础数据信息和会计信息资料完整；</w:t>
            </w:r>
          </w:p>
          <w:p w14:paraId="1FCB94D7">
            <w:pPr>
              <w:spacing w:after="0" w:line="68" w:lineRule="atLeast"/>
              <w:rPr>
                <w:rFonts w:ascii="宋体" w:hAnsi="宋体" w:eastAsia="宋体" w:cs="宋体"/>
              </w:rPr>
            </w:pPr>
            <w:r>
              <w:rPr>
                <w:rFonts w:hint="eastAsia" w:ascii="宋体" w:hAnsi="宋体" w:eastAsia="宋体" w:cs="宋体"/>
              </w:rPr>
              <w:t>4.基础数据信息和会计信息资料准确。</w:t>
            </w:r>
          </w:p>
        </w:tc>
        <w:tc>
          <w:tcPr>
            <w:tcW w:w="3423" w:type="dxa"/>
            <w:tcBorders>
              <w:top w:val="single" w:color="000000" w:sz="4" w:space="0"/>
              <w:left w:val="single" w:color="auto" w:sz="4" w:space="0"/>
              <w:bottom w:val="single" w:color="000000" w:sz="4" w:space="0"/>
              <w:right w:val="single" w:color="auto" w:sz="4" w:space="0"/>
            </w:tcBorders>
            <w:vAlign w:val="center"/>
          </w:tcPr>
          <w:p w14:paraId="716CAE10">
            <w:pPr>
              <w:spacing w:after="0" w:line="240" w:lineRule="exact"/>
              <w:rPr>
                <w:rFonts w:ascii="宋体" w:hAnsi="宋体" w:eastAsia="宋体" w:cs="宋体"/>
              </w:rPr>
            </w:pPr>
            <w:r>
              <w:rPr>
                <w:rFonts w:hint="eastAsia" w:ascii="宋体" w:hAnsi="宋体" w:eastAsia="宋体" w:cs="宋体"/>
              </w:rPr>
              <w:t>符合全部四项（4分）；</w:t>
            </w:r>
          </w:p>
          <w:p w14:paraId="5EE58DE3">
            <w:pPr>
              <w:spacing w:after="0" w:line="240" w:lineRule="exact"/>
              <w:rPr>
                <w:rFonts w:ascii="宋体" w:hAnsi="宋体" w:eastAsia="宋体" w:cs="宋体"/>
              </w:rPr>
            </w:pPr>
            <w:r>
              <w:rPr>
                <w:rFonts w:hint="eastAsia" w:ascii="宋体" w:hAnsi="宋体" w:eastAsia="宋体" w:cs="宋体"/>
              </w:rPr>
              <w:t>符合其中三项（2分）；</w:t>
            </w:r>
          </w:p>
          <w:p w14:paraId="34E04538">
            <w:pPr>
              <w:spacing w:after="0" w:line="240" w:lineRule="exact"/>
              <w:rPr>
                <w:rFonts w:ascii="宋体" w:hAnsi="宋体" w:eastAsia="宋体" w:cs="宋体"/>
              </w:rPr>
            </w:pPr>
            <w:r>
              <w:rPr>
                <w:rFonts w:hint="eastAsia" w:ascii="宋体" w:hAnsi="宋体" w:eastAsia="宋体" w:cs="宋体"/>
              </w:rPr>
              <w:t>符合其中两项（1分）；</w:t>
            </w:r>
          </w:p>
          <w:p w14:paraId="148FF35D">
            <w:pPr>
              <w:spacing w:after="0" w:line="68" w:lineRule="atLeas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4C1F55BF">
            <w:pPr>
              <w:spacing w:after="0" w:line="68" w:lineRule="atLeast"/>
              <w:rPr>
                <w:rFonts w:ascii="宋体" w:hAnsi="宋体" w:eastAsia="宋体" w:cs="宋体"/>
              </w:rPr>
            </w:pPr>
            <w:r>
              <w:rPr>
                <w:rFonts w:hint="eastAsia" w:ascii="宋体" w:hAnsi="宋体" w:eastAsia="宋体" w:cs="宋体"/>
              </w:rPr>
              <w:t> 4</w:t>
            </w:r>
          </w:p>
        </w:tc>
      </w:tr>
      <w:tr w14:paraId="182F8E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5" w:hRule="atLeast"/>
          <w:jc w:val="center"/>
        </w:trPr>
        <w:tc>
          <w:tcPr>
            <w:tcW w:w="733" w:type="dxa"/>
            <w:vMerge w:val="continue"/>
            <w:tcBorders>
              <w:left w:val="single" w:color="000000" w:sz="4" w:space="0"/>
              <w:right w:val="single" w:color="000000" w:sz="4" w:space="0"/>
            </w:tcBorders>
            <w:vAlign w:val="center"/>
          </w:tcPr>
          <w:p w14:paraId="2A98ED47">
            <w:pPr>
              <w:spacing w:after="0"/>
              <w:rPr>
                <w:rFonts w:ascii="宋体" w:hAnsi="宋体" w:eastAsia="宋体" w:cs="宋体"/>
              </w:rPr>
            </w:pPr>
          </w:p>
        </w:tc>
        <w:tc>
          <w:tcPr>
            <w:tcW w:w="803" w:type="dxa"/>
            <w:vMerge w:val="restart"/>
            <w:tcBorders>
              <w:left w:val="single" w:color="000000" w:sz="4" w:space="0"/>
              <w:right w:val="single" w:color="000000" w:sz="4" w:space="0"/>
            </w:tcBorders>
            <w:vAlign w:val="center"/>
          </w:tcPr>
          <w:p w14:paraId="365B019C">
            <w:pPr>
              <w:spacing w:after="0" w:line="68" w:lineRule="atLeast"/>
              <w:rPr>
                <w:rFonts w:ascii="宋体" w:hAnsi="宋体" w:eastAsia="宋体" w:cs="宋体"/>
              </w:rPr>
            </w:pPr>
            <w:r>
              <w:rPr>
                <w:rFonts w:hint="eastAsia" w:ascii="宋体" w:hAnsi="宋体" w:eastAsia="宋体" w:cs="宋体"/>
              </w:rPr>
              <w:t>资产管理（8分）</w:t>
            </w:r>
          </w:p>
        </w:tc>
        <w:tc>
          <w:tcPr>
            <w:tcW w:w="1182" w:type="dxa"/>
            <w:tcBorders>
              <w:top w:val="single" w:color="000000" w:sz="4" w:space="0"/>
              <w:left w:val="single" w:color="000000" w:sz="4" w:space="0"/>
              <w:bottom w:val="single" w:color="000000" w:sz="4" w:space="0"/>
              <w:right w:val="single" w:color="auto" w:sz="4" w:space="0"/>
            </w:tcBorders>
            <w:vAlign w:val="center"/>
          </w:tcPr>
          <w:p w14:paraId="428CBEAC">
            <w:pPr>
              <w:spacing w:after="0" w:line="68" w:lineRule="atLeast"/>
              <w:rPr>
                <w:rFonts w:ascii="宋体" w:hAnsi="宋体" w:eastAsia="宋体" w:cs="宋体"/>
                <w:color w:val="000000"/>
              </w:rPr>
            </w:pPr>
            <w:r>
              <w:rPr>
                <w:rFonts w:hint="eastAsia" w:ascii="宋体" w:hAnsi="宋体" w:eastAsia="宋体" w:cs="宋体"/>
                <w:color w:val="000000"/>
              </w:rPr>
              <w:t>管理制度健全性</w:t>
            </w:r>
          </w:p>
          <w:p w14:paraId="0863B7C0">
            <w:pPr>
              <w:spacing w:after="0" w:line="68" w:lineRule="atLeast"/>
              <w:rPr>
                <w:rFonts w:ascii="宋体" w:hAnsi="宋体" w:eastAsia="宋体" w:cs="宋体"/>
                <w:color w:val="000000"/>
              </w:rPr>
            </w:pPr>
            <w:r>
              <w:rPr>
                <w:rFonts w:hint="eastAsia" w:ascii="宋体" w:hAnsi="宋体" w:eastAsia="宋体" w:cs="宋体"/>
                <w:color w:val="000000"/>
              </w:rPr>
              <w:t>（2分）</w:t>
            </w:r>
          </w:p>
        </w:tc>
        <w:tc>
          <w:tcPr>
            <w:tcW w:w="6911" w:type="dxa"/>
            <w:tcBorders>
              <w:top w:val="single" w:color="000000" w:sz="4" w:space="0"/>
              <w:left w:val="single" w:color="auto" w:sz="4" w:space="0"/>
              <w:bottom w:val="single" w:color="000000" w:sz="4" w:space="0"/>
              <w:right w:val="single" w:color="auto" w:sz="4" w:space="0"/>
            </w:tcBorders>
            <w:vAlign w:val="center"/>
          </w:tcPr>
          <w:p w14:paraId="12F5EF40">
            <w:pPr>
              <w:spacing w:after="0" w:line="240" w:lineRule="exact"/>
              <w:rPr>
                <w:rFonts w:ascii="宋体" w:hAnsi="宋体" w:eastAsia="宋体" w:cs="宋体"/>
              </w:rPr>
            </w:pPr>
            <w:r>
              <w:rPr>
                <w:rFonts w:hint="eastAsia" w:ascii="宋体" w:hAnsi="宋体" w:eastAsia="宋体" w:cs="宋体"/>
              </w:rPr>
              <w:t>部门为加强资产管理、规范资产管理行为而制定的管理制度是否健全完整，用以反映和考核部门资产管理制度对完成主要职责或促进社会发展的保障情况。</w:t>
            </w:r>
          </w:p>
          <w:p w14:paraId="0BB0E4E4">
            <w:pPr>
              <w:spacing w:after="0" w:line="240" w:lineRule="exact"/>
              <w:rPr>
                <w:rFonts w:ascii="宋体" w:hAnsi="宋体" w:eastAsia="宋体" w:cs="宋体"/>
              </w:rPr>
            </w:pPr>
            <w:r>
              <w:rPr>
                <w:rFonts w:hint="eastAsia" w:ascii="宋体" w:hAnsi="宋体" w:eastAsia="宋体" w:cs="宋体"/>
              </w:rPr>
              <w:t>评价要点：</w:t>
            </w:r>
          </w:p>
          <w:p w14:paraId="59C89E75">
            <w:pPr>
              <w:spacing w:after="0" w:line="240" w:lineRule="exact"/>
              <w:rPr>
                <w:rFonts w:ascii="宋体" w:hAnsi="宋体" w:eastAsia="宋体" w:cs="宋体"/>
              </w:rPr>
            </w:pPr>
            <w:r>
              <w:rPr>
                <w:rFonts w:hint="eastAsia" w:ascii="宋体" w:hAnsi="宋体" w:eastAsia="宋体" w:cs="宋体"/>
              </w:rPr>
              <w:t>1.是否已制定或具有资产管理制度；</w:t>
            </w:r>
          </w:p>
          <w:p w14:paraId="753AF0E4">
            <w:pPr>
              <w:spacing w:after="0" w:line="240" w:lineRule="exact"/>
              <w:rPr>
                <w:rFonts w:ascii="宋体" w:hAnsi="宋体" w:eastAsia="宋体" w:cs="宋体"/>
              </w:rPr>
            </w:pPr>
            <w:r>
              <w:rPr>
                <w:rFonts w:hint="eastAsia" w:ascii="宋体" w:hAnsi="宋体" w:eastAsia="宋体" w:cs="宋体"/>
              </w:rPr>
              <w:t>2.相关资金管理制度是否合法、合规、完整；</w:t>
            </w:r>
          </w:p>
          <w:p w14:paraId="5C0AB903">
            <w:pPr>
              <w:spacing w:after="0" w:line="240" w:lineRule="exact"/>
              <w:rPr>
                <w:rFonts w:ascii="宋体" w:hAnsi="宋体" w:eastAsia="宋体" w:cs="宋体"/>
              </w:rPr>
            </w:pPr>
            <w:r>
              <w:rPr>
                <w:rFonts w:hint="eastAsia" w:ascii="宋体" w:hAnsi="宋体" w:eastAsia="宋体" w:cs="宋体"/>
              </w:rPr>
              <w:t>3.相关资产管理制度是否得到有效执行。</w:t>
            </w:r>
          </w:p>
        </w:tc>
        <w:tc>
          <w:tcPr>
            <w:tcW w:w="3423" w:type="dxa"/>
            <w:tcBorders>
              <w:top w:val="single" w:color="000000" w:sz="4" w:space="0"/>
              <w:left w:val="single" w:color="auto" w:sz="4" w:space="0"/>
              <w:bottom w:val="single" w:color="000000" w:sz="4" w:space="0"/>
              <w:right w:val="single" w:color="auto" w:sz="4" w:space="0"/>
            </w:tcBorders>
            <w:vAlign w:val="center"/>
          </w:tcPr>
          <w:p w14:paraId="57FF9653">
            <w:pPr>
              <w:spacing w:after="0" w:line="240" w:lineRule="exact"/>
              <w:rPr>
                <w:rFonts w:ascii="宋体" w:hAnsi="宋体" w:eastAsia="宋体" w:cs="宋体"/>
              </w:rPr>
            </w:pPr>
            <w:r>
              <w:rPr>
                <w:rFonts w:hint="eastAsia" w:ascii="宋体" w:hAnsi="宋体" w:eastAsia="宋体" w:cs="宋体"/>
              </w:rPr>
              <w:t>全部符合（2分）；</w:t>
            </w:r>
          </w:p>
          <w:p w14:paraId="5065F076">
            <w:pPr>
              <w:spacing w:after="0" w:line="240" w:lineRule="exact"/>
              <w:rPr>
                <w:rFonts w:ascii="宋体" w:hAnsi="宋体" w:eastAsia="宋体" w:cs="宋体"/>
              </w:rPr>
            </w:pPr>
            <w:r>
              <w:rPr>
                <w:rFonts w:hint="eastAsia" w:ascii="宋体" w:hAnsi="宋体" w:eastAsia="宋体" w:cs="宋体"/>
              </w:rPr>
              <w:t>符合其中两项（1分）</w:t>
            </w:r>
          </w:p>
          <w:p w14:paraId="72FAF466">
            <w:pPr>
              <w:spacing w:after="0" w:line="240" w:lineRule="exac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4443A79F">
            <w:pPr>
              <w:spacing w:after="0" w:line="68" w:lineRule="atLeast"/>
              <w:ind w:firstLine="220" w:firstLineChars="100"/>
              <w:rPr>
                <w:rFonts w:ascii="宋体" w:hAnsi="宋体" w:eastAsia="宋体" w:cs="宋体"/>
              </w:rPr>
            </w:pPr>
            <w:r>
              <w:rPr>
                <w:rFonts w:hint="eastAsia" w:ascii="宋体" w:hAnsi="宋体" w:eastAsia="宋体" w:cs="宋体"/>
              </w:rPr>
              <w:t>2</w:t>
            </w:r>
          </w:p>
        </w:tc>
      </w:tr>
      <w:tr w14:paraId="41C9C3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86" w:hRule="atLeast"/>
          <w:jc w:val="center"/>
        </w:trPr>
        <w:tc>
          <w:tcPr>
            <w:tcW w:w="733" w:type="dxa"/>
            <w:vMerge w:val="continue"/>
            <w:tcBorders>
              <w:left w:val="single" w:color="000000" w:sz="4" w:space="0"/>
              <w:right w:val="single" w:color="000000" w:sz="4" w:space="0"/>
            </w:tcBorders>
            <w:vAlign w:val="center"/>
          </w:tcPr>
          <w:p w14:paraId="5CDFC778">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7B101B46">
            <w:pPr>
              <w:spacing w:after="0" w:line="68" w:lineRule="atLeast"/>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14:paraId="52930938">
            <w:pPr>
              <w:spacing w:after="0" w:line="68" w:lineRule="atLeast"/>
              <w:rPr>
                <w:rFonts w:ascii="宋体" w:hAnsi="宋体" w:eastAsia="宋体" w:cs="宋体"/>
              </w:rPr>
            </w:pPr>
            <w:r>
              <w:rPr>
                <w:rFonts w:hint="eastAsia" w:ascii="宋体" w:hAnsi="宋体" w:eastAsia="宋体" w:cs="宋体"/>
              </w:rPr>
              <w:t>资产管理完全性</w:t>
            </w:r>
          </w:p>
          <w:p w14:paraId="266C97C3">
            <w:pPr>
              <w:spacing w:after="0" w:line="68" w:lineRule="atLeast"/>
              <w:rPr>
                <w:rFonts w:ascii="宋体" w:hAnsi="宋体" w:eastAsia="宋体" w:cs="宋体"/>
              </w:rPr>
            </w:pPr>
            <w:r>
              <w:rPr>
                <w:rFonts w:hint="eastAsia" w:ascii="宋体" w:hAnsi="宋体" w:eastAsia="宋体" w:cs="宋体"/>
              </w:rPr>
              <w:t>（3分）</w:t>
            </w:r>
          </w:p>
        </w:tc>
        <w:tc>
          <w:tcPr>
            <w:tcW w:w="6911" w:type="dxa"/>
            <w:tcBorders>
              <w:top w:val="single" w:color="auto" w:sz="4" w:space="0"/>
              <w:left w:val="single" w:color="auto" w:sz="4" w:space="0"/>
              <w:bottom w:val="single" w:color="000000" w:sz="4" w:space="0"/>
              <w:right w:val="single" w:color="auto" w:sz="4" w:space="0"/>
            </w:tcBorders>
            <w:vAlign w:val="center"/>
          </w:tcPr>
          <w:p w14:paraId="6225829A">
            <w:pPr>
              <w:spacing w:after="0" w:line="240" w:lineRule="exact"/>
              <w:rPr>
                <w:rFonts w:ascii="宋体" w:hAnsi="宋体" w:eastAsia="宋体" w:cs="宋体"/>
              </w:rPr>
            </w:pPr>
            <w:r>
              <w:rPr>
                <w:rFonts w:hint="eastAsia" w:ascii="宋体" w:hAnsi="宋体" w:eastAsia="宋体" w:cs="宋体"/>
              </w:rPr>
              <w:t>部门的资产是否保存完整、使用合规、收入及时足额上缴，用以反映和评价部门资产运行情况。</w:t>
            </w:r>
          </w:p>
          <w:p w14:paraId="105586A2">
            <w:pPr>
              <w:spacing w:after="0" w:line="240" w:lineRule="exact"/>
              <w:rPr>
                <w:rFonts w:ascii="宋体" w:hAnsi="宋体" w:eastAsia="宋体" w:cs="宋体"/>
              </w:rPr>
            </w:pPr>
            <w:r>
              <w:rPr>
                <w:rFonts w:hint="eastAsia" w:ascii="宋体" w:hAnsi="宋体" w:eastAsia="宋体" w:cs="宋体"/>
              </w:rPr>
              <w:t>评价要点：</w:t>
            </w:r>
          </w:p>
          <w:p w14:paraId="53C43DB8">
            <w:pPr>
              <w:spacing w:after="0" w:line="240" w:lineRule="exact"/>
              <w:rPr>
                <w:rFonts w:ascii="宋体" w:hAnsi="宋体" w:eastAsia="宋体" w:cs="宋体"/>
              </w:rPr>
            </w:pPr>
            <w:r>
              <w:rPr>
                <w:rFonts w:hint="eastAsia" w:ascii="宋体" w:hAnsi="宋体" w:eastAsia="宋体" w:cs="宋体"/>
              </w:rPr>
              <w:t>1.资产保存完整；</w:t>
            </w:r>
          </w:p>
          <w:p w14:paraId="383A0955">
            <w:pPr>
              <w:spacing w:after="0" w:line="240" w:lineRule="exact"/>
              <w:rPr>
                <w:rFonts w:ascii="宋体" w:hAnsi="宋体" w:eastAsia="宋体" w:cs="宋体"/>
              </w:rPr>
            </w:pPr>
            <w:r>
              <w:rPr>
                <w:rFonts w:hint="eastAsia" w:ascii="宋体" w:hAnsi="宋体" w:eastAsia="宋体" w:cs="宋体"/>
              </w:rPr>
              <w:t>2.资产账务管理是否合规，帐实相符；</w:t>
            </w:r>
          </w:p>
          <w:p w14:paraId="123CF23A">
            <w:pPr>
              <w:spacing w:after="0" w:line="68" w:lineRule="atLeast"/>
              <w:rPr>
                <w:rFonts w:ascii="宋体" w:hAnsi="宋体" w:eastAsia="宋体" w:cs="宋体"/>
              </w:rPr>
            </w:pPr>
            <w:r>
              <w:rPr>
                <w:rFonts w:hint="eastAsia" w:ascii="宋体" w:hAnsi="宋体" w:eastAsia="宋体" w:cs="宋体"/>
              </w:rPr>
              <w:t>3.资产有偿使用及处置收入及时足额上缴。</w:t>
            </w:r>
          </w:p>
        </w:tc>
        <w:tc>
          <w:tcPr>
            <w:tcW w:w="3423" w:type="dxa"/>
            <w:tcBorders>
              <w:top w:val="single" w:color="auto" w:sz="4" w:space="0"/>
              <w:left w:val="single" w:color="auto" w:sz="4" w:space="0"/>
              <w:bottom w:val="single" w:color="000000" w:sz="4" w:space="0"/>
              <w:right w:val="single" w:color="auto" w:sz="4" w:space="0"/>
            </w:tcBorders>
            <w:vAlign w:val="center"/>
          </w:tcPr>
          <w:p w14:paraId="705890D5">
            <w:pPr>
              <w:spacing w:after="0" w:line="240" w:lineRule="exact"/>
              <w:rPr>
                <w:rFonts w:ascii="宋体" w:hAnsi="宋体" w:eastAsia="宋体" w:cs="宋体"/>
              </w:rPr>
            </w:pPr>
            <w:r>
              <w:rPr>
                <w:rFonts w:hint="eastAsia" w:ascii="宋体" w:hAnsi="宋体" w:eastAsia="宋体" w:cs="宋体"/>
              </w:rPr>
              <w:t>符合全部三项（3分）；</w:t>
            </w:r>
          </w:p>
          <w:p w14:paraId="75D83739">
            <w:pPr>
              <w:spacing w:after="0" w:line="240" w:lineRule="exact"/>
              <w:rPr>
                <w:rFonts w:ascii="宋体" w:hAnsi="宋体" w:eastAsia="宋体" w:cs="宋体"/>
              </w:rPr>
            </w:pPr>
            <w:r>
              <w:rPr>
                <w:rFonts w:hint="eastAsia" w:ascii="宋体" w:hAnsi="宋体" w:eastAsia="宋体" w:cs="宋体"/>
              </w:rPr>
              <w:t>符合其中两项（2分）；</w:t>
            </w:r>
          </w:p>
          <w:p w14:paraId="2326B745">
            <w:pPr>
              <w:spacing w:after="0" w:line="240" w:lineRule="exact"/>
              <w:rPr>
                <w:rFonts w:ascii="宋体" w:hAnsi="宋体" w:eastAsia="宋体" w:cs="宋体"/>
              </w:rPr>
            </w:pPr>
            <w:r>
              <w:rPr>
                <w:rFonts w:hint="eastAsia" w:ascii="宋体" w:hAnsi="宋体" w:eastAsia="宋体" w:cs="宋体"/>
              </w:rPr>
              <w:t>符合其中一项（1分）；</w:t>
            </w:r>
          </w:p>
          <w:p w14:paraId="6BDBACF9">
            <w:pPr>
              <w:spacing w:after="0" w:line="68" w:lineRule="atLeast"/>
              <w:rPr>
                <w:rFonts w:ascii="宋体" w:hAnsi="宋体" w:eastAsia="宋体" w:cs="宋体"/>
              </w:rPr>
            </w:pPr>
            <w:r>
              <w:rPr>
                <w:rFonts w:hint="eastAsia" w:ascii="宋体" w:hAnsi="宋体" w:eastAsia="宋体" w:cs="宋体"/>
              </w:rPr>
              <w:t>符合零项（0分）。</w:t>
            </w:r>
          </w:p>
        </w:tc>
        <w:tc>
          <w:tcPr>
            <w:tcW w:w="1090" w:type="dxa"/>
            <w:tcBorders>
              <w:top w:val="single" w:color="auto" w:sz="4" w:space="0"/>
              <w:left w:val="single" w:color="auto" w:sz="4" w:space="0"/>
              <w:bottom w:val="single" w:color="000000" w:sz="4" w:space="0"/>
              <w:right w:val="single" w:color="000000" w:sz="4" w:space="0"/>
            </w:tcBorders>
            <w:vAlign w:val="center"/>
          </w:tcPr>
          <w:p w14:paraId="43C2F4DB">
            <w:pPr>
              <w:spacing w:after="0" w:line="68" w:lineRule="atLeast"/>
              <w:rPr>
                <w:rFonts w:ascii="宋体" w:hAnsi="宋体" w:eastAsia="宋体" w:cs="宋体"/>
              </w:rPr>
            </w:pPr>
            <w:r>
              <w:rPr>
                <w:rFonts w:hint="eastAsia" w:ascii="宋体" w:hAnsi="宋体" w:eastAsia="宋体" w:cs="宋体"/>
              </w:rPr>
              <w:t> 3</w:t>
            </w:r>
          </w:p>
        </w:tc>
      </w:tr>
      <w:tr w14:paraId="2C7C18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9" w:hRule="atLeast"/>
          <w:jc w:val="center"/>
        </w:trPr>
        <w:tc>
          <w:tcPr>
            <w:tcW w:w="733" w:type="dxa"/>
            <w:vMerge w:val="continue"/>
            <w:tcBorders>
              <w:left w:val="single" w:color="000000" w:sz="4" w:space="0"/>
              <w:right w:val="single" w:color="000000" w:sz="4" w:space="0"/>
            </w:tcBorders>
            <w:vAlign w:val="center"/>
          </w:tcPr>
          <w:p w14:paraId="7A795853">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39BF3EE3">
            <w:pPr>
              <w:spacing w:after="0"/>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14:paraId="33841D1F">
            <w:pPr>
              <w:spacing w:after="0" w:line="68" w:lineRule="atLeast"/>
              <w:rPr>
                <w:rFonts w:ascii="宋体" w:hAnsi="宋体" w:eastAsia="宋体" w:cs="宋体"/>
              </w:rPr>
            </w:pPr>
            <w:r>
              <w:rPr>
                <w:rFonts w:hint="eastAsia" w:ascii="宋体" w:hAnsi="宋体" w:eastAsia="宋体" w:cs="宋体"/>
              </w:rPr>
              <w:t>固定资产利用率</w:t>
            </w:r>
          </w:p>
          <w:p w14:paraId="1FE891CA">
            <w:pPr>
              <w:spacing w:after="0" w:line="68" w:lineRule="atLeast"/>
              <w:rPr>
                <w:rFonts w:ascii="宋体" w:hAnsi="宋体" w:eastAsia="宋体" w:cs="宋体"/>
              </w:rPr>
            </w:pPr>
            <w:r>
              <w:rPr>
                <w:rFonts w:hint="eastAsia" w:ascii="宋体" w:hAnsi="宋体" w:eastAsia="宋体" w:cs="宋体"/>
              </w:rPr>
              <w:t>（3分）</w:t>
            </w:r>
          </w:p>
        </w:tc>
        <w:tc>
          <w:tcPr>
            <w:tcW w:w="6911" w:type="dxa"/>
            <w:tcBorders>
              <w:top w:val="single" w:color="auto" w:sz="4" w:space="0"/>
              <w:left w:val="single" w:color="auto" w:sz="4" w:space="0"/>
              <w:bottom w:val="single" w:color="000000" w:sz="4" w:space="0"/>
              <w:right w:val="single" w:color="auto" w:sz="4" w:space="0"/>
            </w:tcBorders>
            <w:vAlign w:val="center"/>
          </w:tcPr>
          <w:p w14:paraId="4BFEC555">
            <w:pPr>
              <w:spacing w:after="0" w:line="240" w:lineRule="exact"/>
              <w:rPr>
                <w:rFonts w:ascii="宋体" w:hAnsi="宋体" w:eastAsia="宋体" w:cs="宋体"/>
              </w:rPr>
            </w:pPr>
            <w:r>
              <w:rPr>
                <w:rFonts w:hint="eastAsia" w:ascii="宋体" w:hAnsi="宋体" w:eastAsia="宋体" w:cs="宋体"/>
              </w:rPr>
              <w:t>部门实际在用固定资产总额与所有固定资产总额的比率，用以反映和评价部门固定资产使用效率。</w:t>
            </w:r>
          </w:p>
          <w:p w14:paraId="05C182D5">
            <w:pPr>
              <w:spacing w:after="0" w:line="68" w:lineRule="atLeast"/>
              <w:rPr>
                <w:rFonts w:ascii="宋体" w:hAnsi="宋体" w:eastAsia="宋体" w:cs="宋体"/>
              </w:rPr>
            </w:pPr>
            <w:r>
              <w:rPr>
                <w:rFonts w:hint="eastAsia" w:ascii="宋体" w:hAnsi="宋体" w:eastAsia="宋体" w:cs="宋体"/>
              </w:rPr>
              <w:t>固定资产利用率=（实际在用固定资产总额/所有固定资产总额）×100%。</w:t>
            </w:r>
          </w:p>
        </w:tc>
        <w:tc>
          <w:tcPr>
            <w:tcW w:w="3423" w:type="dxa"/>
            <w:tcBorders>
              <w:top w:val="single" w:color="auto" w:sz="4" w:space="0"/>
              <w:left w:val="single" w:color="auto" w:sz="4" w:space="0"/>
              <w:bottom w:val="single" w:color="000000" w:sz="4" w:space="0"/>
              <w:right w:val="single" w:color="auto" w:sz="4" w:space="0"/>
            </w:tcBorders>
            <w:vAlign w:val="center"/>
          </w:tcPr>
          <w:p w14:paraId="1371E8DD">
            <w:pPr>
              <w:spacing w:after="0" w:line="68" w:lineRule="atLeast"/>
              <w:rPr>
                <w:rFonts w:ascii="宋体" w:hAnsi="宋体" w:eastAsia="宋体" w:cs="宋体"/>
              </w:rPr>
            </w:pPr>
            <w:r>
              <w:rPr>
                <w:rFonts w:hint="eastAsia" w:ascii="宋体" w:hAnsi="宋体" w:eastAsia="宋体" w:cs="宋体"/>
              </w:rPr>
              <w:t>目标值为80%；以3分为上限，采用完成比率法计分：得分=固定资产利用率/80%×100%×3，超出目标值不加分。</w:t>
            </w:r>
          </w:p>
        </w:tc>
        <w:tc>
          <w:tcPr>
            <w:tcW w:w="1090" w:type="dxa"/>
            <w:tcBorders>
              <w:top w:val="single" w:color="auto" w:sz="4" w:space="0"/>
              <w:left w:val="single" w:color="auto" w:sz="4" w:space="0"/>
              <w:bottom w:val="single" w:color="000000" w:sz="4" w:space="0"/>
              <w:right w:val="single" w:color="000000" w:sz="4" w:space="0"/>
            </w:tcBorders>
            <w:vAlign w:val="center"/>
          </w:tcPr>
          <w:p w14:paraId="3755B56D">
            <w:pPr>
              <w:spacing w:after="0" w:line="68" w:lineRule="atLeast"/>
              <w:rPr>
                <w:rFonts w:ascii="宋体" w:hAnsi="宋体" w:eastAsia="宋体" w:cs="宋体"/>
              </w:rPr>
            </w:pPr>
            <w:r>
              <w:rPr>
                <w:rFonts w:hint="eastAsia" w:ascii="宋体" w:hAnsi="宋体" w:eastAsia="宋体" w:cs="宋体"/>
              </w:rPr>
              <w:t> 3</w:t>
            </w:r>
          </w:p>
        </w:tc>
      </w:tr>
      <w:tr w14:paraId="473A41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06" w:hRule="atLeast"/>
          <w:jc w:val="center"/>
        </w:trPr>
        <w:tc>
          <w:tcPr>
            <w:tcW w:w="733" w:type="dxa"/>
            <w:vMerge w:val="continue"/>
            <w:tcBorders>
              <w:left w:val="single" w:color="000000" w:sz="4" w:space="0"/>
              <w:bottom w:val="single" w:color="000000" w:sz="4" w:space="0"/>
              <w:right w:val="single" w:color="000000" w:sz="4" w:space="0"/>
            </w:tcBorders>
            <w:vAlign w:val="center"/>
          </w:tcPr>
          <w:p w14:paraId="5C1A7E4C">
            <w:pPr>
              <w:spacing w:after="0"/>
              <w:rPr>
                <w:rFonts w:ascii="宋体" w:hAnsi="宋体" w:eastAsia="宋体" w:cs="宋体"/>
              </w:rPr>
            </w:pPr>
          </w:p>
        </w:tc>
        <w:tc>
          <w:tcPr>
            <w:tcW w:w="803" w:type="dxa"/>
            <w:tcBorders>
              <w:left w:val="single" w:color="000000" w:sz="4" w:space="0"/>
              <w:bottom w:val="single" w:color="000000" w:sz="4" w:space="0"/>
              <w:right w:val="single" w:color="000000" w:sz="4" w:space="0"/>
            </w:tcBorders>
            <w:vAlign w:val="center"/>
          </w:tcPr>
          <w:p w14:paraId="7C948005">
            <w:pPr>
              <w:spacing w:after="0"/>
              <w:rPr>
                <w:rFonts w:ascii="宋体" w:hAnsi="宋体" w:eastAsia="宋体" w:cs="宋体"/>
              </w:rPr>
            </w:pPr>
            <w:r>
              <w:rPr>
                <w:rFonts w:hint="eastAsia" w:ascii="宋体" w:hAnsi="宋体" w:eastAsia="宋体" w:cs="宋体"/>
              </w:rPr>
              <w:t>预算绩效监控管理（2分）</w:t>
            </w:r>
          </w:p>
        </w:tc>
        <w:tc>
          <w:tcPr>
            <w:tcW w:w="1182" w:type="dxa"/>
            <w:tcBorders>
              <w:top w:val="single" w:color="auto" w:sz="4" w:space="0"/>
              <w:left w:val="single" w:color="000000" w:sz="4" w:space="0"/>
              <w:bottom w:val="single" w:color="000000" w:sz="4" w:space="0"/>
              <w:right w:val="single" w:color="auto" w:sz="4" w:space="0"/>
            </w:tcBorders>
            <w:vAlign w:val="center"/>
          </w:tcPr>
          <w:p w14:paraId="09EDE73A">
            <w:pPr>
              <w:spacing w:after="0" w:line="68" w:lineRule="atLeast"/>
              <w:rPr>
                <w:rFonts w:ascii="宋体" w:hAnsi="宋体" w:eastAsia="宋体" w:cs="宋体"/>
              </w:rPr>
            </w:pPr>
            <w:r>
              <w:rPr>
                <w:rFonts w:hint="eastAsia" w:ascii="宋体" w:hAnsi="宋体" w:eastAsia="宋体" w:cs="宋体"/>
              </w:rPr>
              <w:t>监控率（2分）</w:t>
            </w:r>
          </w:p>
        </w:tc>
        <w:tc>
          <w:tcPr>
            <w:tcW w:w="6911" w:type="dxa"/>
            <w:tcBorders>
              <w:top w:val="single" w:color="auto" w:sz="4" w:space="0"/>
              <w:left w:val="single" w:color="auto" w:sz="4" w:space="0"/>
              <w:bottom w:val="single" w:color="000000" w:sz="4" w:space="0"/>
              <w:right w:val="single" w:color="auto" w:sz="4" w:space="0"/>
            </w:tcBorders>
            <w:vAlign w:val="center"/>
          </w:tcPr>
          <w:p w14:paraId="5D23EBC9">
            <w:pPr>
              <w:spacing w:after="0" w:line="240" w:lineRule="exact"/>
              <w:rPr>
                <w:rFonts w:ascii="宋体" w:hAnsi="宋体" w:eastAsia="宋体" w:cs="宋体"/>
              </w:rPr>
            </w:pPr>
            <w:r>
              <w:rPr>
                <w:rFonts w:hint="eastAsia" w:ascii="宋体" w:hAnsi="宋体" w:eastAsia="宋体" w:cs="宋体"/>
              </w:rPr>
              <w:t>部门（单位）纳入绩效监控的项目数量占实际申报绩效目标项目数量的比重，用以反映和考核部门（单位）在项目运行中实施绩效管理的水平和程度。</w:t>
            </w:r>
          </w:p>
          <w:p w14:paraId="150A0478">
            <w:pPr>
              <w:spacing w:after="0" w:line="240" w:lineRule="exact"/>
              <w:rPr>
                <w:rFonts w:ascii="宋体" w:hAnsi="宋体" w:eastAsia="宋体" w:cs="宋体"/>
              </w:rPr>
            </w:pPr>
            <w:r>
              <w:rPr>
                <w:rFonts w:hint="eastAsia" w:ascii="宋体" w:hAnsi="宋体" w:eastAsia="宋体" w:cs="宋体"/>
              </w:rPr>
              <w:t>监控率=实施绩效监控项目数/实际申报绩效目标项目数×100%</w:t>
            </w:r>
          </w:p>
        </w:tc>
        <w:tc>
          <w:tcPr>
            <w:tcW w:w="3423" w:type="dxa"/>
            <w:tcBorders>
              <w:top w:val="single" w:color="auto" w:sz="4" w:space="0"/>
              <w:left w:val="single" w:color="auto" w:sz="4" w:space="0"/>
              <w:bottom w:val="single" w:color="000000" w:sz="4" w:space="0"/>
              <w:right w:val="single" w:color="auto" w:sz="4" w:space="0"/>
            </w:tcBorders>
            <w:vAlign w:val="center"/>
          </w:tcPr>
          <w:p w14:paraId="3E77E21A">
            <w:pPr>
              <w:spacing w:after="0" w:line="68" w:lineRule="atLeast"/>
              <w:rPr>
                <w:rFonts w:ascii="宋体" w:hAnsi="宋体" w:eastAsia="宋体" w:cs="宋体"/>
              </w:rPr>
            </w:pPr>
            <w:r>
              <w:rPr>
                <w:rFonts w:hint="eastAsia" w:ascii="宋体" w:hAnsi="宋体" w:eastAsia="宋体" w:cs="宋体"/>
              </w:rPr>
              <w:t>目标值为90%；以2分为上限，采用完成比率法计分：得分=监控率×2，超出目标值不加分。</w:t>
            </w:r>
          </w:p>
        </w:tc>
        <w:tc>
          <w:tcPr>
            <w:tcW w:w="1090" w:type="dxa"/>
            <w:tcBorders>
              <w:top w:val="single" w:color="auto" w:sz="4" w:space="0"/>
              <w:left w:val="single" w:color="auto" w:sz="4" w:space="0"/>
              <w:bottom w:val="single" w:color="000000" w:sz="4" w:space="0"/>
              <w:right w:val="single" w:color="000000" w:sz="4" w:space="0"/>
            </w:tcBorders>
            <w:vAlign w:val="center"/>
          </w:tcPr>
          <w:p w14:paraId="6D1BFA62">
            <w:pPr>
              <w:spacing w:after="0" w:line="68" w:lineRule="atLeast"/>
              <w:rPr>
                <w:rFonts w:hint="eastAsia" w:ascii="宋体" w:hAnsi="宋体" w:eastAsia="宋体" w:cs="宋体"/>
                <w:lang w:val="en-US" w:eastAsia="zh-CN"/>
              </w:rPr>
            </w:pPr>
            <w:r>
              <w:rPr>
                <w:rFonts w:hint="eastAsia" w:ascii="宋体" w:hAnsi="宋体" w:eastAsia="宋体" w:cs="宋体"/>
              </w:rPr>
              <w:t xml:space="preserve">  </w:t>
            </w:r>
            <w:r>
              <w:rPr>
                <w:rFonts w:hint="eastAsia" w:ascii="宋体" w:hAnsi="宋体" w:eastAsia="宋体" w:cs="宋体"/>
                <w:lang w:val="en-US" w:eastAsia="zh-CN"/>
              </w:rPr>
              <w:t>1</w:t>
            </w:r>
          </w:p>
        </w:tc>
      </w:tr>
      <w:tr w14:paraId="57FAFF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 w:hRule="atLeast"/>
          <w:jc w:val="center"/>
        </w:trPr>
        <w:tc>
          <w:tcPr>
            <w:tcW w:w="733" w:type="dxa"/>
            <w:vMerge w:val="restart"/>
            <w:tcBorders>
              <w:top w:val="single" w:color="000000" w:sz="4" w:space="0"/>
              <w:left w:val="single" w:color="000000" w:sz="4" w:space="0"/>
              <w:right w:val="single" w:color="000000" w:sz="4" w:space="0"/>
            </w:tcBorders>
            <w:vAlign w:val="center"/>
          </w:tcPr>
          <w:p w14:paraId="656270E2">
            <w:pPr>
              <w:spacing w:after="0" w:line="68" w:lineRule="atLeast"/>
              <w:rPr>
                <w:rFonts w:ascii="宋体" w:hAnsi="宋体" w:eastAsia="宋体" w:cs="宋体"/>
              </w:rPr>
            </w:pPr>
          </w:p>
          <w:p w14:paraId="44D49D99">
            <w:pPr>
              <w:spacing w:after="0" w:line="68" w:lineRule="atLeast"/>
              <w:rPr>
                <w:rFonts w:ascii="宋体" w:hAnsi="宋体" w:eastAsia="宋体" w:cs="宋体"/>
              </w:rPr>
            </w:pPr>
            <w:r>
              <w:rPr>
                <w:rFonts w:hint="eastAsia" w:ascii="宋体" w:hAnsi="宋体" w:eastAsia="宋体" w:cs="宋体"/>
              </w:rPr>
              <w:t>产出(15分)</w:t>
            </w:r>
          </w:p>
          <w:p w14:paraId="293320D8">
            <w:pPr>
              <w:spacing w:after="0" w:line="68" w:lineRule="atLeast"/>
              <w:rPr>
                <w:rFonts w:ascii="宋体" w:hAnsi="宋体" w:eastAsia="宋体" w:cs="宋体"/>
              </w:rPr>
            </w:pPr>
          </w:p>
          <w:p w14:paraId="3A5CD334">
            <w:pPr>
              <w:spacing w:after="0" w:line="68" w:lineRule="atLeast"/>
              <w:rPr>
                <w:rFonts w:ascii="宋体" w:hAnsi="宋体" w:eastAsia="宋体" w:cs="宋体"/>
              </w:rPr>
            </w:pPr>
          </w:p>
          <w:p w14:paraId="467E0B09">
            <w:pPr>
              <w:spacing w:after="0" w:line="68" w:lineRule="atLeast"/>
              <w:rPr>
                <w:rFonts w:ascii="宋体" w:hAnsi="宋体" w:eastAsia="宋体" w:cs="宋体"/>
              </w:rPr>
            </w:pPr>
          </w:p>
          <w:p w14:paraId="1438C7F3">
            <w:pPr>
              <w:spacing w:after="0" w:line="68" w:lineRule="atLeast"/>
              <w:rPr>
                <w:rFonts w:ascii="宋体" w:hAnsi="宋体" w:eastAsia="宋体" w:cs="宋体"/>
              </w:rPr>
            </w:pPr>
          </w:p>
          <w:p w14:paraId="3AB09F4B">
            <w:pPr>
              <w:spacing w:after="0" w:line="68" w:lineRule="atLeast"/>
              <w:rPr>
                <w:rFonts w:ascii="宋体" w:hAnsi="宋体" w:eastAsia="宋体" w:cs="宋体"/>
              </w:rPr>
            </w:pPr>
          </w:p>
          <w:p w14:paraId="6FB49E0D">
            <w:pPr>
              <w:spacing w:after="0" w:line="68" w:lineRule="atLeast"/>
              <w:rPr>
                <w:rFonts w:ascii="宋体" w:hAnsi="宋体" w:eastAsia="宋体" w:cs="宋体"/>
              </w:rPr>
            </w:pPr>
          </w:p>
          <w:p w14:paraId="6F394371">
            <w:pPr>
              <w:spacing w:after="0" w:line="68" w:lineRule="atLeast"/>
              <w:rPr>
                <w:rFonts w:ascii="宋体" w:hAnsi="宋体" w:eastAsia="宋体" w:cs="宋体"/>
              </w:rPr>
            </w:pPr>
          </w:p>
          <w:p w14:paraId="3B08D47B">
            <w:pPr>
              <w:spacing w:after="0" w:line="68" w:lineRule="atLeast"/>
              <w:rPr>
                <w:rFonts w:ascii="宋体" w:hAnsi="宋体" w:eastAsia="宋体" w:cs="宋体"/>
              </w:rPr>
            </w:pPr>
          </w:p>
          <w:p w14:paraId="636DC67F">
            <w:pPr>
              <w:spacing w:after="0" w:line="68" w:lineRule="atLeast"/>
              <w:rPr>
                <w:rFonts w:ascii="宋体" w:hAnsi="宋体" w:eastAsia="宋体" w:cs="宋体"/>
              </w:rPr>
            </w:pPr>
          </w:p>
          <w:p w14:paraId="7B27222E">
            <w:pPr>
              <w:spacing w:after="0" w:line="68" w:lineRule="atLeast"/>
              <w:rPr>
                <w:rFonts w:ascii="宋体" w:hAnsi="宋体" w:eastAsia="宋体" w:cs="宋体"/>
              </w:rPr>
            </w:pPr>
          </w:p>
          <w:p w14:paraId="417F1A19">
            <w:pPr>
              <w:spacing w:after="0" w:line="68" w:lineRule="atLeast"/>
              <w:rPr>
                <w:rFonts w:ascii="宋体" w:hAnsi="宋体" w:eastAsia="宋体" w:cs="宋体"/>
              </w:rPr>
            </w:pPr>
          </w:p>
          <w:p w14:paraId="1C451613">
            <w:pPr>
              <w:spacing w:after="0" w:line="68" w:lineRule="atLeast"/>
              <w:rPr>
                <w:rFonts w:ascii="宋体" w:hAnsi="宋体" w:eastAsia="宋体" w:cs="宋体"/>
              </w:rPr>
            </w:pPr>
          </w:p>
          <w:p w14:paraId="09E264BD">
            <w:pPr>
              <w:spacing w:after="0" w:line="68" w:lineRule="atLeast"/>
              <w:rPr>
                <w:rFonts w:ascii="宋体" w:hAnsi="宋体" w:eastAsia="宋体" w:cs="宋体"/>
              </w:rPr>
            </w:pPr>
          </w:p>
          <w:p w14:paraId="70660E3A">
            <w:pPr>
              <w:spacing w:after="0" w:line="68" w:lineRule="atLeast"/>
              <w:rPr>
                <w:rFonts w:ascii="宋体" w:hAnsi="宋体" w:eastAsia="宋体" w:cs="宋体"/>
              </w:rPr>
            </w:pPr>
            <w:r>
              <w:rPr>
                <w:rFonts w:hint="eastAsia" w:ascii="宋体" w:hAnsi="宋体" w:eastAsia="宋体" w:cs="宋体"/>
              </w:rPr>
              <w:t>产出(15分)</w:t>
            </w:r>
          </w:p>
        </w:tc>
        <w:tc>
          <w:tcPr>
            <w:tcW w:w="803" w:type="dxa"/>
            <w:vMerge w:val="restart"/>
            <w:tcBorders>
              <w:top w:val="single" w:color="000000" w:sz="4" w:space="0"/>
              <w:left w:val="single" w:color="000000" w:sz="4" w:space="0"/>
              <w:right w:val="single" w:color="000000" w:sz="4" w:space="0"/>
            </w:tcBorders>
            <w:vAlign w:val="center"/>
          </w:tcPr>
          <w:p w14:paraId="6DD25C75">
            <w:pPr>
              <w:spacing w:after="0" w:line="68" w:lineRule="atLeast"/>
              <w:rPr>
                <w:rFonts w:ascii="宋体" w:hAnsi="宋体" w:eastAsia="宋体" w:cs="宋体"/>
              </w:rPr>
            </w:pPr>
            <w:r>
              <w:rPr>
                <w:rFonts w:hint="eastAsia" w:ascii="宋体" w:hAnsi="宋体" w:eastAsia="宋体" w:cs="宋体"/>
              </w:rPr>
              <w:t>职责履行（15分）</w:t>
            </w:r>
          </w:p>
        </w:tc>
        <w:tc>
          <w:tcPr>
            <w:tcW w:w="1182" w:type="dxa"/>
            <w:tcBorders>
              <w:top w:val="single" w:color="000000" w:sz="4" w:space="0"/>
              <w:left w:val="single" w:color="000000" w:sz="4" w:space="0"/>
              <w:bottom w:val="single" w:color="auto" w:sz="4" w:space="0"/>
              <w:right w:val="single" w:color="auto" w:sz="4" w:space="0"/>
            </w:tcBorders>
            <w:vAlign w:val="center"/>
          </w:tcPr>
          <w:p w14:paraId="009AFA28">
            <w:pPr>
              <w:spacing w:after="0" w:line="68" w:lineRule="atLeast"/>
              <w:rPr>
                <w:rFonts w:ascii="宋体" w:hAnsi="宋体" w:eastAsia="宋体" w:cs="宋体"/>
              </w:rPr>
            </w:pPr>
            <w:r>
              <w:rPr>
                <w:rFonts w:hint="eastAsia" w:ascii="宋体" w:hAnsi="宋体" w:eastAsia="宋体" w:cs="宋体"/>
              </w:rPr>
              <w:t>项目实际完成率（4分）</w:t>
            </w:r>
          </w:p>
        </w:tc>
        <w:tc>
          <w:tcPr>
            <w:tcW w:w="6911" w:type="dxa"/>
            <w:tcBorders>
              <w:top w:val="single" w:color="000000" w:sz="4" w:space="0"/>
              <w:left w:val="single" w:color="auto" w:sz="4" w:space="0"/>
              <w:bottom w:val="single" w:color="auto" w:sz="4" w:space="0"/>
              <w:right w:val="single" w:color="auto" w:sz="4" w:space="0"/>
            </w:tcBorders>
            <w:vAlign w:val="center"/>
          </w:tcPr>
          <w:p w14:paraId="729A427C">
            <w:pPr>
              <w:spacing w:after="0" w:line="240" w:lineRule="exact"/>
              <w:rPr>
                <w:rFonts w:ascii="宋体" w:hAnsi="宋体" w:eastAsia="宋体" w:cs="宋体"/>
              </w:rPr>
            </w:pPr>
            <w:r>
              <w:rPr>
                <w:rFonts w:hint="eastAsia" w:ascii="宋体" w:hAnsi="宋体" w:eastAsia="宋体" w:cs="宋体"/>
              </w:rPr>
              <w:t>部门履行职责而实际完成的项目数与计划完成的项目数的比率，用以反映和评价部门履职任务目标的实现程度。</w:t>
            </w:r>
          </w:p>
          <w:p w14:paraId="30998858">
            <w:pPr>
              <w:spacing w:after="0" w:line="68" w:lineRule="atLeast"/>
              <w:rPr>
                <w:rFonts w:ascii="宋体" w:hAnsi="宋体" w:eastAsia="宋体" w:cs="宋体"/>
              </w:rPr>
            </w:pPr>
            <w:r>
              <w:rPr>
                <w:rFonts w:hint="eastAsia" w:ascii="宋体" w:hAnsi="宋体" w:eastAsia="宋体" w:cs="宋体"/>
              </w:rPr>
              <w:t>项目实际完成率=（实际完成项目数/计划完成项目数）×100%。</w:t>
            </w:r>
          </w:p>
        </w:tc>
        <w:tc>
          <w:tcPr>
            <w:tcW w:w="3423" w:type="dxa"/>
            <w:tcBorders>
              <w:top w:val="single" w:color="000000" w:sz="4" w:space="0"/>
              <w:left w:val="single" w:color="auto" w:sz="4" w:space="0"/>
              <w:bottom w:val="single" w:color="auto" w:sz="4" w:space="0"/>
              <w:right w:val="single" w:color="auto" w:sz="4" w:space="0"/>
            </w:tcBorders>
            <w:vAlign w:val="center"/>
          </w:tcPr>
          <w:p w14:paraId="7D796A0D">
            <w:pPr>
              <w:spacing w:after="0" w:line="68" w:lineRule="atLeast"/>
              <w:rPr>
                <w:rFonts w:ascii="宋体" w:hAnsi="宋体" w:eastAsia="宋体" w:cs="宋体"/>
              </w:rPr>
            </w:pPr>
            <w:r>
              <w:rPr>
                <w:rFonts w:hint="eastAsia" w:ascii="宋体" w:hAnsi="宋体" w:eastAsia="宋体" w:cs="宋体"/>
              </w:rPr>
              <w:t>目标值为100%；</w:t>
            </w:r>
          </w:p>
          <w:p w14:paraId="4589C5A2">
            <w:pPr>
              <w:spacing w:after="0" w:line="68" w:lineRule="atLeast"/>
              <w:rPr>
                <w:rFonts w:ascii="宋体" w:hAnsi="宋体" w:eastAsia="宋体" w:cs="宋体"/>
              </w:rPr>
            </w:pPr>
            <w:r>
              <w:rPr>
                <w:rFonts w:hint="eastAsia" w:ascii="宋体" w:hAnsi="宋体" w:eastAsia="宋体" w:cs="宋体"/>
              </w:rPr>
              <w:t>达到目标值得4分；</w:t>
            </w:r>
          </w:p>
          <w:p w14:paraId="56F1EDF9">
            <w:pPr>
              <w:spacing w:after="0" w:line="68" w:lineRule="atLeast"/>
              <w:rPr>
                <w:rFonts w:ascii="宋体" w:hAnsi="宋体" w:eastAsia="宋体" w:cs="宋体"/>
              </w:rPr>
            </w:pPr>
            <w:r>
              <w:rPr>
                <w:rFonts w:hint="eastAsia" w:ascii="宋体" w:hAnsi="宋体" w:eastAsia="宋体" w:cs="宋体"/>
              </w:rPr>
              <w:t>100%＞结果≥95%，得3分；</w:t>
            </w:r>
          </w:p>
          <w:p w14:paraId="51F369FE">
            <w:pPr>
              <w:spacing w:after="0" w:line="68" w:lineRule="atLeast"/>
              <w:rPr>
                <w:rFonts w:ascii="宋体" w:hAnsi="宋体" w:eastAsia="宋体" w:cs="宋体"/>
              </w:rPr>
            </w:pPr>
            <w:r>
              <w:rPr>
                <w:rFonts w:hint="eastAsia" w:ascii="宋体" w:hAnsi="宋体" w:eastAsia="宋体" w:cs="宋体"/>
              </w:rPr>
              <w:t>95%＞结果≥90%，得2分；</w:t>
            </w:r>
          </w:p>
          <w:p w14:paraId="17C1EE92">
            <w:pPr>
              <w:spacing w:after="0" w:line="68" w:lineRule="atLeast"/>
              <w:rPr>
                <w:rFonts w:ascii="宋体" w:hAnsi="宋体" w:eastAsia="宋体" w:cs="宋体"/>
              </w:rPr>
            </w:pPr>
            <w:r>
              <w:rPr>
                <w:rFonts w:hint="eastAsia" w:ascii="宋体" w:hAnsi="宋体" w:eastAsia="宋体" w:cs="宋体"/>
              </w:rPr>
              <w:t>90%＞结果≥85%，得1分；</w:t>
            </w:r>
          </w:p>
          <w:p w14:paraId="7B179CFA">
            <w:pPr>
              <w:spacing w:after="0" w:line="68" w:lineRule="atLeast"/>
              <w:rPr>
                <w:rFonts w:ascii="宋体" w:hAnsi="宋体" w:eastAsia="宋体" w:cs="宋体"/>
              </w:rPr>
            </w:pPr>
            <w:r>
              <w:rPr>
                <w:rFonts w:hint="eastAsia" w:ascii="宋体" w:hAnsi="宋体" w:eastAsia="宋体" w:cs="宋体"/>
              </w:rPr>
              <w:t>结果＜85%得0分。</w:t>
            </w:r>
          </w:p>
        </w:tc>
        <w:tc>
          <w:tcPr>
            <w:tcW w:w="1090" w:type="dxa"/>
            <w:tcBorders>
              <w:top w:val="single" w:color="000000" w:sz="4" w:space="0"/>
              <w:left w:val="single" w:color="auto" w:sz="4" w:space="0"/>
              <w:bottom w:val="single" w:color="auto" w:sz="4" w:space="0"/>
              <w:right w:val="single" w:color="000000" w:sz="4" w:space="0"/>
            </w:tcBorders>
            <w:vAlign w:val="center"/>
          </w:tcPr>
          <w:p w14:paraId="6E4CED4D">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4</w:t>
            </w:r>
          </w:p>
        </w:tc>
      </w:tr>
      <w:tr w14:paraId="7B0B98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19" w:hRule="atLeast"/>
          <w:jc w:val="center"/>
        </w:trPr>
        <w:tc>
          <w:tcPr>
            <w:tcW w:w="733" w:type="dxa"/>
            <w:vMerge w:val="continue"/>
            <w:tcBorders>
              <w:left w:val="single" w:color="000000" w:sz="4" w:space="0"/>
              <w:right w:val="single" w:color="000000" w:sz="4" w:space="0"/>
            </w:tcBorders>
            <w:vAlign w:val="center"/>
          </w:tcPr>
          <w:p w14:paraId="35E46E88">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71DFB393">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1D54072A">
            <w:pPr>
              <w:spacing w:after="0" w:line="68" w:lineRule="atLeast"/>
              <w:rPr>
                <w:rFonts w:ascii="宋体" w:hAnsi="宋体" w:eastAsia="宋体" w:cs="宋体"/>
              </w:rPr>
            </w:pPr>
            <w:r>
              <w:rPr>
                <w:rFonts w:hint="eastAsia" w:ascii="宋体" w:hAnsi="宋体" w:eastAsia="宋体" w:cs="宋体"/>
              </w:rPr>
              <w:t>项目质量达标率（4分）</w:t>
            </w:r>
          </w:p>
        </w:tc>
        <w:tc>
          <w:tcPr>
            <w:tcW w:w="6911" w:type="dxa"/>
            <w:tcBorders>
              <w:top w:val="single" w:color="000000" w:sz="4" w:space="0"/>
              <w:left w:val="single" w:color="auto" w:sz="4" w:space="0"/>
              <w:bottom w:val="single" w:color="auto" w:sz="4" w:space="0"/>
              <w:right w:val="single" w:color="auto" w:sz="4" w:space="0"/>
            </w:tcBorders>
            <w:vAlign w:val="center"/>
          </w:tcPr>
          <w:p w14:paraId="35D215CF">
            <w:pPr>
              <w:spacing w:after="0" w:line="240" w:lineRule="exact"/>
              <w:rPr>
                <w:rFonts w:ascii="宋体" w:hAnsi="宋体" w:eastAsia="宋体" w:cs="宋体"/>
              </w:rPr>
            </w:pPr>
            <w:r>
              <w:rPr>
                <w:rFonts w:hint="eastAsia" w:ascii="宋体" w:hAnsi="宋体" w:eastAsia="宋体" w:cs="宋体"/>
              </w:rPr>
              <w:t>部门已完成项目中质量达标项目个数占已完成项目个数的比率,用以反映和评价部门履职质量目标的实现程度。</w:t>
            </w:r>
          </w:p>
          <w:p w14:paraId="4712A0BB">
            <w:pPr>
              <w:spacing w:after="0" w:line="240" w:lineRule="exact"/>
              <w:rPr>
                <w:rFonts w:ascii="宋体" w:hAnsi="宋体" w:eastAsia="宋体" w:cs="宋体"/>
              </w:rPr>
            </w:pPr>
            <w:r>
              <w:rPr>
                <w:rFonts w:hint="eastAsia" w:ascii="宋体" w:hAnsi="宋体" w:eastAsia="宋体" w:cs="宋体"/>
              </w:rPr>
              <w:t>项目质量达标率=（已完成项目中质量达标项目个数/已完成项目个数）×100%。</w:t>
            </w:r>
          </w:p>
          <w:p w14:paraId="5212E5CD">
            <w:pPr>
              <w:spacing w:after="0" w:line="68" w:lineRule="atLeast"/>
              <w:rPr>
                <w:rFonts w:ascii="宋体" w:hAnsi="宋体" w:eastAsia="宋体" w:cs="宋体"/>
              </w:rPr>
            </w:pPr>
            <w:r>
              <w:rPr>
                <w:rFonts w:hint="eastAsia" w:ascii="宋体" w:hAnsi="宋体" w:eastAsia="宋体" w:cs="宋体"/>
              </w:rPr>
              <w:t>项目质量达标是指项目决算验收合格。</w:t>
            </w:r>
          </w:p>
        </w:tc>
        <w:tc>
          <w:tcPr>
            <w:tcW w:w="3423" w:type="dxa"/>
            <w:tcBorders>
              <w:top w:val="single" w:color="000000" w:sz="4" w:space="0"/>
              <w:left w:val="single" w:color="auto" w:sz="4" w:space="0"/>
              <w:bottom w:val="single" w:color="auto" w:sz="4" w:space="0"/>
              <w:right w:val="single" w:color="auto" w:sz="4" w:space="0"/>
            </w:tcBorders>
            <w:vAlign w:val="center"/>
          </w:tcPr>
          <w:p w14:paraId="44660AA4">
            <w:pPr>
              <w:spacing w:after="0" w:line="68" w:lineRule="atLeast"/>
              <w:rPr>
                <w:rFonts w:ascii="宋体" w:hAnsi="宋体" w:eastAsia="宋体" w:cs="宋体"/>
              </w:rPr>
            </w:pPr>
            <w:r>
              <w:rPr>
                <w:rFonts w:hint="eastAsia" w:ascii="宋体" w:hAnsi="宋体" w:eastAsia="宋体" w:cs="宋体"/>
              </w:rPr>
              <w:t>目标值100%；以4分为上限，采用完成比率法计分：得分=项目质量达标率×4，≤95%的扣4分。</w:t>
            </w:r>
          </w:p>
        </w:tc>
        <w:tc>
          <w:tcPr>
            <w:tcW w:w="1090" w:type="dxa"/>
            <w:tcBorders>
              <w:top w:val="single" w:color="000000" w:sz="4" w:space="0"/>
              <w:left w:val="single" w:color="auto" w:sz="4" w:space="0"/>
              <w:bottom w:val="single" w:color="auto" w:sz="4" w:space="0"/>
              <w:right w:val="single" w:color="000000" w:sz="4" w:space="0"/>
            </w:tcBorders>
            <w:vAlign w:val="center"/>
          </w:tcPr>
          <w:p w14:paraId="7F239E0E">
            <w:pPr>
              <w:spacing w:after="0" w:line="68" w:lineRule="atLeast"/>
              <w:rPr>
                <w:rFonts w:ascii="宋体" w:hAnsi="宋体" w:eastAsia="宋体" w:cs="宋体"/>
              </w:rPr>
            </w:pPr>
            <w:r>
              <w:rPr>
                <w:rFonts w:hint="eastAsia" w:ascii="宋体" w:hAnsi="宋体" w:eastAsia="宋体" w:cs="宋体"/>
              </w:rPr>
              <w:t> 4</w:t>
            </w:r>
          </w:p>
        </w:tc>
      </w:tr>
      <w:tr w14:paraId="580A7F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41" w:hRule="atLeast"/>
          <w:jc w:val="center"/>
        </w:trPr>
        <w:tc>
          <w:tcPr>
            <w:tcW w:w="733" w:type="dxa"/>
            <w:vMerge w:val="continue"/>
            <w:tcBorders>
              <w:left w:val="single" w:color="000000" w:sz="4" w:space="0"/>
              <w:right w:val="single" w:color="000000" w:sz="4" w:space="0"/>
            </w:tcBorders>
            <w:vAlign w:val="center"/>
          </w:tcPr>
          <w:p w14:paraId="6BDE0D35">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1155FD15">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2935CA98">
            <w:pPr>
              <w:spacing w:after="0" w:line="68" w:lineRule="atLeast"/>
              <w:rPr>
                <w:rFonts w:ascii="宋体" w:hAnsi="宋体" w:eastAsia="宋体" w:cs="宋体"/>
              </w:rPr>
            </w:pPr>
            <w:r>
              <w:rPr>
                <w:rFonts w:hint="eastAsia" w:ascii="宋体" w:hAnsi="宋体" w:eastAsia="宋体" w:cs="宋体"/>
              </w:rPr>
              <w:t>重点工作办结率（4分）</w:t>
            </w:r>
          </w:p>
        </w:tc>
        <w:tc>
          <w:tcPr>
            <w:tcW w:w="6911" w:type="dxa"/>
            <w:tcBorders>
              <w:top w:val="single" w:color="000000" w:sz="4" w:space="0"/>
              <w:left w:val="single" w:color="auto" w:sz="4" w:space="0"/>
              <w:bottom w:val="single" w:color="auto" w:sz="4" w:space="0"/>
              <w:right w:val="single" w:color="auto" w:sz="4" w:space="0"/>
            </w:tcBorders>
            <w:vAlign w:val="center"/>
          </w:tcPr>
          <w:p w14:paraId="3B20D6A4">
            <w:pPr>
              <w:spacing w:after="0" w:line="68" w:lineRule="atLeast"/>
              <w:rPr>
                <w:rFonts w:ascii="宋体" w:hAnsi="宋体" w:eastAsia="宋体" w:cs="宋体"/>
              </w:rPr>
            </w:pPr>
            <w:r>
              <w:rPr>
                <w:rFonts w:hint="eastAsia" w:ascii="宋体" w:hAnsi="宋体" w:eastAsia="宋体" w:cs="宋体"/>
              </w:rPr>
              <w:t>部门年度重点工作实际完成数与交办或下达数的比率，用以反映部门对重点工作的办理落实程度。</w:t>
            </w:r>
          </w:p>
          <w:p w14:paraId="0790F5B7">
            <w:pPr>
              <w:spacing w:after="0" w:line="68" w:lineRule="atLeast"/>
              <w:rPr>
                <w:rFonts w:ascii="宋体" w:hAnsi="宋体" w:eastAsia="宋体" w:cs="宋体"/>
              </w:rPr>
            </w:pPr>
            <w:r>
              <w:rPr>
                <w:rFonts w:hint="eastAsia" w:ascii="宋体" w:hAnsi="宋体" w:eastAsia="宋体" w:cs="宋体"/>
              </w:rPr>
              <w:t>重点工作办结率=（重点工作实际完成数/交办或下达数）×100%。</w:t>
            </w:r>
          </w:p>
          <w:p w14:paraId="5A0AE9BE">
            <w:pPr>
              <w:spacing w:after="0" w:line="68" w:lineRule="atLeast"/>
              <w:rPr>
                <w:rFonts w:ascii="宋体" w:hAnsi="宋体" w:eastAsia="宋体" w:cs="宋体"/>
              </w:rPr>
            </w:pPr>
            <w:r>
              <w:rPr>
                <w:rFonts w:hint="eastAsia" w:ascii="宋体" w:hAnsi="宋体" w:eastAsia="宋体" w:cs="宋体"/>
              </w:rPr>
              <w:t>重点工作是指党委、政府、人大、相关部门交办或下达的工作任务。</w:t>
            </w:r>
          </w:p>
        </w:tc>
        <w:tc>
          <w:tcPr>
            <w:tcW w:w="3423" w:type="dxa"/>
            <w:tcBorders>
              <w:top w:val="single" w:color="000000" w:sz="4" w:space="0"/>
              <w:left w:val="single" w:color="auto" w:sz="4" w:space="0"/>
              <w:bottom w:val="single" w:color="auto" w:sz="4" w:space="0"/>
              <w:right w:val="single" w:color="auto" w:sz="4" w:space="0"/>
            </w:tcBorders>
            <w:vAlign w:val="center"/>
          </w:tcPr>
          <w:p w14:paraId="1E5D4DAD">
            <w:pPr>
              <w:spacing w:after="0" w:line="68" w:lineRule="atLeast"/>
              <w:rPr>
                <w:rFonts w:ascii="宋体" w:hAnsi="宋体" w:eastAsia="宋体" w:cs="宋体"/>
              </w:rPr>
            </w:pPr>
            <w:r>
              <w:rPr>
                <w:rFonts w:hint="eastAsia" w:ascii="宋体" w:hAnsi="宋体" w:eastAsia="宋体" w:cs="宋体"/>
              </w:rPr>
              <w:t>目标值100%；以4分为上限，采用完成比率法计分：得分=重点工作办结率×4，≤90%的扣4分。</w:t>
            </w:r>
          </w:p>
        </w:tc>
        <w:tc>
          <w:tcPr>
            <w:tcW w:w="1090" w:type="dxa"/>
            <w:tcBorders>
              <w:top w:val="single" w:color="000000" w:sz="4" w:space="0"/>
              <w:left w:val="single" w:color="auto" w:sz="4" w:space="0"/>
              <w:bottom w:val="single" w:color="auto" w:sz="4" w:space="0"/>
              <w:right w:val="single" w:color="000000" w:sz="4" w:space="0"/>
            </w:tcBorders>
            <w:vAlign w:val="center"/>
          </w:tcPr>
          <w:p w14:paraId="68EA4C95">
            <w:pPr>
              <w:spacing w:after="0" w:line="68" w:lineRule="atLeast"/>
              <w:rPr>
                <w:rFonts w:ascii="宋体" w:hAnsi="宋体" w:eastAsia="宋体" w:cs="宋体"/>
              </w:rPr>
            </w:pPr>
            <w:r>
              <w:rPr>
                <w:rFonts w:hint="eastAsia" w:ascii="宋体" w:hAnsi="宋体" w:eastAsia="宋体" w:cs="宋体"/>
              </w:rPr>
              <w:t> 4</w:t>
            </w:r>
          </w:p>
        </w:tc>
      </w:tr>
      <w:tr w14:paraId="5F265B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39" w:hRule="atLeast"/>
          <w:jc w:val="center"/>
        </w:trPr>
        <w:tc>
          <w:tcPr>
            <w:tcW w:w="733" w:type="dxa"/>
            <w:vMerge w:val="continue"/>
            <w:tcBorders>
              <w:left w:val="single" w:color="000000" w:sz="4" w:space="0"/>
              <w:bottom w:val="single" w:color="000000" w:sz="4" w:space="0"/>
              <w:right w:val="single" w:color="000000" w:sz="4" w:space="0"/>
            </w:tcBorders>
            <w:vAlign w:val="center"/>
          </w:tcPr>
          <w:p w14:paraId="3A9C1A36">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03624B4A">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611592EA">
            <w:pPr>
              <w:spacing w:after="0" w:line="68" w:lineRule="atLeast"/>
              <w:rPr>
                <w:rFonts w:ascii="宋体" w:hAnsi="宋体" w:eastAsia="宋体" w:cs="宋体"/>
              </w:rPr>
            </w:pPr>
            <w:r>
              <w:rPr>
                <w:rFonts w:hint="eastAsia" w:ascii="宋体" w:hAnsi="宋体" w:eastAsia="宋体" w:cs="宋体"/>
              </w:rPr>
              <w:t>部门绩效自评项目占比率（3分）</w:t>
            </w:r>
          </w:p>
        </w:tc>
        <w:tc>
          <w:tcPr>
            <w:tcW w:w="6911" w:type="dxa"/>
            <w:tcBorders>
              <w:top w:val="single" w:color="000000" w:sz="4" w:space="0"/>
              <w:left w:val="single" w:color="auto" w:sz="4" w:space="0"/>
              <w:bottom w:val="single" w:color="auto" w:sz="4" w:space="0"/>
              <w:right w:val="single" w:color="auto" w:sz="4" w:space="0"/>
            </w:tcBorders>
            <w:vAlign w:val="center"/>
          </w:tcPr>
          <w:p w14:paraId="7701AC43">
            <w:pPr>
              <w:spacing w:after="0" w:line="240" w:lineRule="exact"/>
              <w:rPr>
                <w:rFonts w:ascii="宋体" w:hAnsi="宋体" w:eastAsia="宋体" w:cs="宋体"/>
              </w:rPr>
            </w:pPr>
            <w:r>
              <w:rPr>
                <w:rFonts w:hint="eastAsia" w:ascii="宋体" w:hAnsi="宋体" w:eastAsia="宋体" w:cs="宋体"/>
              </w:rPr>
              <w:t>部门自评项目在所有项目中所占的份额，反映和评价部门对项目自评的重视程度。</w:t>
            </w:r>
          </w:p>
          <w:p w14:paraId="1123AEEB">
            <w:pPr>
              <w:spacing w:after="0" w:line="240" w:lineRule="exact"/>
              <w:rPr>
                <w:rFonts w:ascii="宋体" w:hAnsi="宋体" w:eastAsia="宋体" w:cs="宋体"/>
              </w:rPr>
            </w:pPr>
            <w:r>
              <w:rPr>
                <w:rFonts w:hint="eastAsia" w:ascii="宋体" w:hAnsi="宋体" w:eastAsia="宋体" w:cs="宋体"/>
              </w:rPr>
              <w:t>占比率=(自评项目资金量/项目支出资金量)×100%。</w:t>
            </w:r>
          </w:p>
          <w:p w14:paraId="2096C18B">
            <w:pPr>
              <w:spacing w:after="0" w:line="68" w:lineRule="atLeast"/>
              <w:rPr>
                <w:rFonts w:ascii="宋体" w:hAnsi="宋体" w:eastAsia="宋体" w:cs="宋体"/>
              </w:rPr>
            </w:pPr>
            <w:r>
              <w:rPr>
                <w:rFonts w:hint="eastAsia" w:ascii="宋体" w:hAnsi="宋体" w:eastAsia="宋体" w:cs="宋体"/>
              </w:rPr>
              <w:t>部门支出项目绩效自评范围：本年度列入本级财政预算安排的项目。</w:t>
            </w:r>
          </w:p>
        </w:tc>
        <w:tc>
          <w:tcPr>
            <w:tcW w:w="3423" w:type="dxa"/>
            <w:tcBorders>
              <w:top w:val="single" w:color="000000" w:sz="4" w:space="0"/>
              <w:left w:val="single" w:color="auto" w:sz="4" w:space="0"/>
              <w:bottom w:val="single" w:color="auto" w:sz="4" w:space="0"/>
              <w:right w:val="single" w:color="auto" w:sz="4" w:space="0"/>
            </w:tcBorders>
            <w:vAlign w:val="center"/>
          </w:tcPr>
          <w:p w14:paraId="4A2A662E">
            <w:pPr>
              <w:spacing w:after="0" w:line="68" w:lineRule="atLeast"/>
              <w:rPr>
                <w:rFonts w:ascii="宋体" w:hAnsi="宋体" w:eastAsia="宋体" w:cs="宋体"/>
              </w:rPr>
            </w:pPr>
            <w:r>
              <w:rPr>
                <w:rFonts w:hint="eastAsia" w:ascii="宋体" w:hAnsi="宋体" w:eastAsia="宋体" w:cs="宋体"/>
              </w:rPr>
              <w:t>达到目标值得3分，未达到目标值采用完成比率法计分：得分=占比率/目标值×3，超过目标值不加分。</w:t>
            </w:r>
          </w:p>
        </w:tc>
        <w:tc>
          <w:tcPr>
            <w:tcW w:w="1090" w:type="dxa"/>
            <w:tcBorders>
              <w:top w:val="single" w:color="000000" w:sz="4" w:space="0"/>
              <w:left w:val="single" w:color="auto" w:sz="4" w:space="0"/>
              <w:bottom w:val="single" w:color="auto" w:sz="4" w:space="0"/>
              <w:right w:val="single" w:color="000000" w:sz="4" w:space="0"/>
            </w:tcBorders>
            <w:vAlign w:val="center"/>
          </w:tcPr>
          <w:p w14:paraId="5EEFECC0">
            <w:pPr>
              <w:spacing w:after="0" w:line="68" w:lineRule="atLeast"/>
              <w:rPr>
                <w:rFonts w:ascii="宋体" w:hAnsi="宋体" w:eastAsia="宋体" w:cs="宋体"/>
              </w:rPr>
            </w:pPr>
            <w:r>
              <w:rPr>
                <w:rFonts w:hint="eastAsia" w:ascii="宋体" w:hAnsi="宋体" w:eastAsia="宋体" w:cs="宋体"/>
              </w:rPr>
              <w:t xml:space="preserve">  3</w:t>
            </w:r>
          </w:p>
        </w:tc>
      </w:tr>
      <w:tr w14:paraId="32E7F2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38" w:hRule="atLeast"/>
          <w:jc w:val="center"/>
        </w:trPr>
        <w:tc>
          <w:tcPr>
            <w:tcW w:w="733" w:type="dxa"/>
            <w:vMerge w:val="restart"/>
            <w:tcBorders>
              <w:top w:val="single" w:color="000000" w:sz="4" w:space="0"/>
              <w:left w:val="single" w:color="000000" w:sz="4" w:space="0"/>
              <w:right w:val="single" w:color="000000" w:sz="4" w:space="0"/>
            </w:tcBorders>
            <w:vAlign w:val="center"/>
          </w:tcPr>
          <w:p w14:paraId="2C12BF20">
            <w:pPr>
              <w:spacing w:after="0" w:line="68" w:lineRule="atLeast"/>
              <w:rPr>
                <w:rFonts w:ascii="宋体" w:hAnsi="宋体" w:eastAsia="宋体" w:cs="宋体"/>
              </w:rPr>
            </w:pPr>
          </w:p>
          <w:p w14:paraId="5A9BB8FA">
            <w:pPr>
              <w:spacing w:after="0" w:line="68" w:lineRule="atLeast"/>
              <w:rPr>
                <w:rFonts w:ascii="宋体" w:hAnsi="宋体" w:eastAsia="宋体" w:cs="宋体"/>
              </w:rPr>
            </w:pPr>
          </w:p>
          <w:p w14:paraId="33D92040">
            <w:pPr>
              <w:spacing w:after="0" w:line="68" w:lineRule="atLeast"/>
              <w:rPr>
                <w:rFonts w:ascii="宋体" w:hAnsi="宋体" w:eastAsia="宋体" w:cs="宋体"/>
              </w:rPr>
            </w:pPr>
          </w:p>
          <w:p w14:paraId="07873CEF">
            <w:pPr>
              <w:spacing w:after="0" w:line="68" w:lineRule="atLeast"/>
              <w:rPr>
                <w:rFonts w:ascii="宋体" w:hAnsi="宋体" w:eastAsia="宋体" w:cs="宋体"/>
              </w:rPr>
            </w:pPr>
          </w:p>
          <w:p w14:paraId="73DC5657">
            <w:pPr>
              <w:spacing w:after="0" w:line="68" w:lineRule="atLeast"/>
              <w:rPr>
                <w:rFonts w:ascii="宋体" w:hAnsi="宋体" w:eastAsia="宋体" w:cs="宋体"/>
              </w:rPr>
            </w:pPr>
          </w:p>
          <w:p w14:paraId="2BF0EE43">
            <w:pPr>
              <w:spacing w:after="0" w:line="68" w:lineRule="atLeast"/>
              <w:rPr>
                <w:rFonts w:ascii="宋体" w:hAnsi="宋体" w:eastAsia="宋体" w:cs="宋体"/>
              </w:rPr>
            </w:pPr>
          </w:p>
          <w:p w14:paraId="521AA993">
            <w:pPr>
              <w:spacing w:after="0" w:line="68" w:lineRule="atLeast"/>
              <w:rPr>
                <w:rFonts w:ascii="宋体" w:hAnsi="宋体" w:eastAsia="宋体" w:cs="宋体"/>
              </w:rPr>
            </w:pPr>
          </w:p>
          <w:p w14:paraId="7F69F56D">
            <w:pPr>
              <w:spacing w:after="0" w:line="68" w:lineRule="atLeast"/>
              <w:rPr>
                <w:rFonts w:ascii="宋体" w:hAnsi="宋体" w:eastAsia="宋体" w:cs="宋体"/>
              </w:rPr>
            </w:pPr>
            <w:r>
              <w:rPr>
                <w:rFonts w:hint="eastAsia" w:ascii="宋体" w:hAnsi="宋体" w:eastAsia="宋体" w:cs="宋体"/>
              </w:rPr>
              <w:t>效果（15）</w:t>
            </w:r>
          </w:p>
          <w:p w14:paraId="70A50996">
            <w:pPr>
              <w:spacing w:after="0" w:line="68" w:lineRule="atLeast"/>
              <w:rPr>
                <w:rFonts w:ascii="宋体" w:hAnsi="宋体" w:eastAsia="宋体" w:cs="宋体"/>
              </w:rPr>
            </w:pPr>
          </w:p>
          <w:p w14:paraId="56CD4F76">
            <w:pPr>
              <w:spacing w:after="0" w:line="68" w:lineRule="atLeast"/>
              <w:rPr>
                <w:rFonts w:ascii="宋体" w:hAnsi="宋体" w:eastAsia="宋体" w:cs="宋体"/>
              </w:rPr>
            </w:pPr>
          </w:p>
          <w:p w14:paraId="75586DBD">
            <w:pPr>
              <w:spacing w:after="0" w:line="68" w:lineRule="atLeast"/>
              <w:rPr>
                <w:rFonts w:ascii="宋体" w:hAnsi="宋体" w:eastAsia="宋体" w:cs="宋体"/>
              </w:rPr>
            </w:pPr>
          </w:p>
          <w:p w14:paraId="275BF9F5">
            <w:pPr>
              <w:spacing w:after="0" w:line="68" w:lineRule="atLeast"/>
              <w:rPr>
                <w:rFonts w:ascii="宋体" w:hAnsi="宋体" w:eastAsia="宋体" w:cs="宋体"/>
              </w:rPr>
            </w:pPr>
          </w:p>
          <w:p w14:paraId="0AECFAE3">
            <w:pPr>
              <w:spacing w:after="0" w:line="68" w:lineRule="atLeast"/>
              <w:rPr>
                <w:rFonts w:ascii="宋体" w:hAnsi="宋体" w:eastAsia="宋体" w:cs="宋体"/>
              </w:rPr>
            </w:pPr>
          </w:p>
          <w:p w14:paraId="4692FF04">
            <w:pPr>
              <w:spacing w:after="0" w:line="68" w:lineRule="atLeast"/>
              <w:rPr>
                <w:rFonts w:ascii="宋体" w:hAnsi="宋体" w:eastAsia="宋体" w:cs="宋体"/>
              </w:rPr>
            </w:pPr>
          </w:p>
          <w:p w14:paraId="2C790AA6">
            <w:pPr>
              <w:spacing w:after="0" w:line="68" w:lineRule="atLeast"/>
              <w:rPr>
                <w:rFonts w:ascii="宋体" w:hAnsi="宋体" w:eastAsia="宋体" w:cs="宋体"/>
              </w:rPr>
            </w:pPr>
          </w:p>
          <w:p w14:paraId="586F51CB">
            <w:pPr>
              <w:spacing w:after="0" w:line="68" w:lineRule="atLeast"/>
              <w:rPr>
                <w:rFonts w:ascii="宋体" w:hAnsi="宋体" w:eastAsia="宋体" w:cs="宋体"/>
              </w:rPr>
            </w:pPr>
          </w:p>
          <w:p w14:paraId="75DEFB86">
            <w:pPr>
              <w:spacing w:after="0" w:line="68" w:lineRule="atLeast"/>
              <w:rPr>
                <w:rFonts w:ascii="宋体" w:hAnsi="宋体" w:eastAsia="宋体" w:cs="宋体"/>
              </w:rPr>
            </w:pPr>
          </w:p>
          <w:p w14:paraId="5DF80E7B">
            <w:pPr>
              <w:spacing w:after="0" w:line="68" w:lineRule="atLeast"/>
              <w:rPr>
                <w:rFonts w:ascii="宋体" w:hAnsi="宋体" w:eastAsia="宋体" w:cs="宋体"/>
              </w:rPr>
            </w:pPr>
          </w:p>
          <w:p w14:paraId="222FB0A9">
            <w:pPr>
              <w:spacing w:after="0" w:line="68" w:lineRule="atLeast"/>
              <w:rPr>
                <w:rFonts w:ascii="宋体" w:hAnsi="宋体" w:eastAsia="宋体" w:cs="宋体"/>
              </w:rPr>
            </w:pPr>
          </w:p>
          <w:p w14:paraId="3D4D46AB">
            <w:pPr>
              <w:spacing w:after="0" w:line="68" w:lineRule="atLeast"/>
              <w:rPr>
                <w:rFonts w:ascii="宋体" w:hAnsi="宋体" w:eastAsia="宋体" w:cs="宋体"/>
              </w:rPr>
            </w:pPr>
          </w:p>
          <w:p w14:paraId="548CFF4F">
            <w:pPr>
              <w:spacing w:after="0" w:line="68" w:lineRule="atLeast"/>
              <w:rPr>
                <w:rFonts w:ascii="宋体" w:hAnsi="宋体" w:eastAsia="宋体" w:cs="宋体"/>
              </w:rPr>
            </w:pPr>
          </w:p>
          <w:p w14:paraId="23EBBE42">
            <w:pPr>
              <w:spacing w:after="0" w:line="68" w:lineRule="atLeast"/>
              <w:rPr>
                <w:rFonts w:ascii="宋体" w:hAnsi="宋体" w:eastAsia="宋体" w:cs="宋体"/>
              </w:rPr>
            </w:pPr>
          </w:p>
          <w:p w14:paraId="60BC026F">
            <w:pPr>
              <w:spacing w:after="0" w:line="68" w:lineRule="atLeast"/>
              <w:rPr>
                <w:rFonts w:ascii="宋体" w:hAnsi="宋体" w:eastAsia="宋体" w:cs="宋体"/>
              </w:rPr>
            </w:pPr>
          </w:p>
          <w:p w14:paraId="7CFF9A87">
            <w:pPr>
              <w:spacing w:after="0" w:line="68" w:lineRule="atLeast"/>
              <w:rPr>
                <w:rFonts w:ascii="宋体" w:hAnsi="宋体" w:eastAsia="宋体" w:cs="宋体"/>
              </w:rPr>
            </w:pPr>
          </w:p>
          <w:p w14:paraId="582D966B">
            <w:pPr>
              <w:spacing w:after="0" w:line="68" w:lineRule="atLeast"/>
              <w:rPr>
                <w:rFonts w:ascii="宋体" w:hAnsi="宋体" w:eastAsia="宋体" w:cs="宋体"/>
              </w:rPr>
            </w:pPr>
            <w:r>
              <w:rPr>
                <w:rFonts w:hint="eastAsia" w:ascii="宋体" w:hAnsi="宋体" w:eastAsia="宋体" w:cs="宋体"/>
              </w:rPr>
              <w:t>效果（15）</w:t>
            </w:r>
          </w:p>
          <w:p w14:paraId="715A8564">
            <w:pPr>
              <w:spacing w:after="0" w:line="68" w:lineRule="atLeast"/>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5DE8DAAE">
            <w:pPr>
              <w:spacing w:after="0" w:line="68" w:lineRule="atLeast"/>
              <w:rPr>
                <w:rFonts w:ascii="宋体" w:hAnsi="宋体" w:eastAsia="宋体" w:cs="宋体"/>
              </w:rPr>
            </w:pPr>
            <w:r>
              <w:rPr>
                <w:rFonts w:hint="eastAsia" w:ascii="宋体" w:hAnsi="宋体" w:eastAsia="宋体" w:cs="宋体"/>
              </w:rPr>
              <w:t>监督发现问题</w:t>
            </w:r>
          </w:p>
          <w:p w14:paraId="5FA18116">
            <w:pPr>
              <w:spacing w:after="0" w:line="68" w:lineRule="atLeast"/>
              <w:rPr>
                <w:rFonts w:ascii="宋体" w:hAnsi="宋体" w:eastAsia="宋体" w:cs="宋体"/>
              </w:rPr>
            </w:pPr>
            <w:r>
              <w:rPr>
                <w:rFonts w:hint="eastAsia" w:ascii="宋体" w:hAnsi="宋体" w:eastAsia="宋体" w:cs="宋体"/>
              </w:rPr>
              <w:t>（2分）</w:t>
            </w:r>
          </w:p>
        </w:tc>
        <w:tc>
          <w:tcPr>
            <w:tcW w:w="1182" w:type="dxa"/>
            <w:tcBorders>
              <w:top w:val="single" w:color="000000" w:sz="4" w:space="0"/>
              <w:left w:val="single" w:color="000000" w:sz="4" w:space="0"/>
              <w:bottom w:val="single" w:color="000000" w:sz="4" w:space="0"/>
              <w:right w:val="single" w:color="auto" w:sz="4" w:space="0"/>
            </w:tcBorders>
            <w:vAlign w:val="center"/>
          </w:tcPr>
          <w:p w14:paraId="3C5F1E7D">
            <w:pPr>
              <w:spacing w:after="0" w:line="68" w:lineRule="atLeast"/>
              <w:rPr>
                <w:rFonts w:ascii="宋体" w:hAnsi="宋体" w:eastAsia="宋体" w:cs="宋体"/>
              </w:rPr>
            </w:pPr>
            <w:r>
              <w:rPr>
                <w:rFonts w:hint="eastAsia" w:ascii="宋体" w:hAnsi="宋体" w:eastAsia="宋体" w:cs="宋体"/>
              </w:rPr>
              <w:t>违规率（2分）</w:t>
            </w:r>
          </w:p>
        </w:tc>
        <w:tc>
          <w:tcPr>
            <w:tcW w:w="6911" w:type="dxa"/>
            <w:tcBorders>
              <w:top w:val="single" w:color="000000" w:sz="4" w:space="0"/>
              <w:left w:val="single" w:color="auto" w:sz="4" w:space="0"/>
              <w:bottom w:val="single" w:color="000000" w:sz="4" w:space="0"/>
              <w:right w:val="single" w:color="auto" w:sz="4" w:space="0"/>
            </w:tcBorders>
            <w:vAlign w:val="center"/>
          </w:tcPr>
          <w:p w14:paraId="56D45486">
            <w:pPr>
              <w:spacing w:after="0" w:line="68" w:lineRule="atLeast"/>
              <w:rPr>
                <w:rFonts w:ascii="宋体" w:hAnsi="宋体" w:eastAsia="宋体" w:cs="宋体"/>
              </w:rPr>
            </w:pPr>
            <w:r>
              <w:rPr>
                <w:rFonts w:hint="eastAsia" w:ascii="宋体" w:hAnsi="宋体" w:eastAsia="宋体" w:cs="宋体"/>
              </w:rPr>
              <w:t>部门存在违规问题的资金数量占部门预算支出资金总额的比重，用以反映和考核部门预算资金管理使用的合法、合规情况。</w:t>
            </w:r>
          </w:p>
          <w:p w14:paraId="65868A54">
            <w:pPr>
              <w:spacing w:after="0" w:line="68" w:lineRule="atLeast"/>
              <w:rPr>
                <w:rFonts w:ascii="宋体" w:hAnsi="宋体" w:eastAsia="宋体" w:cs="宋体"/>
              </w:rPr>
            </w:pPr>
            <w:r>
              <w:rPr>
                <w:rFonts w:hint="eastAsia" w:ascii="宋体" w:hAnsi="宋体" w:eastAsia="宋体" w:cs="宋体"/>
              </w:rPr>
              <w:t>违规率=存在违规问题的资金额/部门预算支出资金总额×100%</w:t>
            </w:r>
          </w:p>
        </w:tc>
        <w:tc>
          <w:tcPr>
            <w:tcW w:w="3423" w:type="dxa"/>
            <w:tcBorders>
              <w:top w:val="single" w:color="000000" w:sz="4" w:space="0"/>
              <w:left w:val="single" w:color="auto" w:sz="4" w:space="0"/>
              <w:bottom w:val="single" w:color="000000" w:sz="4" w:space="0"/>
              <w:right w:val="single" w:color="auto" w:sz="4" w:space="0"/>
            </w:tcBorders>
            <w:vAlign w:val="center"/>
          </w:tcPr>
          <w:p w14:paraId="2A8662AA">
            <w:pPr>
              <w:spacing w:after="0" w:line="240" w:lineRule="exact"/>
              <w:rPr>
                <w:rFonts w:ascii="宋体" w:hAnsi="宋体" w:eastAsia="宋体" w:cs="宋体"/>
              </w:rPr>
            </w:pPr>
            <w:r>
              <w:rPr>
                <w:rFonts w:hint="eastAsia" w:ascii="宋体" w:hAnsi="宋体" w:eastAsia="宋体" w:cs="宋体"/>
              </w:rPr>
              <w:t>目标值0，达到目标值得2分，未达到目标值的每增加0.1个百分点扣0.1分</w:t>
            </w:r>
          </w:p>
        </w:tc>
        <w:tc>
          <w:tcPr>
            <w:tcW w:w="1090" w:type="dxa"/>
            <w:tcBorders>
              <w:top w:val="single" w:color="000000" w:sz="4" w:space="0"/>
              <w:left w:val="single" w:color="auto" w:sz="4" w:space="0"/>
              <w:bottom w:val="single" w:color="000000" w:sz="4" w:space="0"/>
              <w:right w:val="single" w:color="000000" w:sz="4" w:space="0"/>
            </w:tcBorders>
            <w:vAlign w:val="center"/>
          </w:tcPr>
          <w:p w14:paraId="0837793D">
            <w:pPr>
              <w:spacing w:after="0" w:line="68" w:lineRule="atLeast"/>
              <w:rPr>
                <w:rFonts w:ascii="宋体" w:hAnsi="宋体" w:eastAsia="宋体" w:cs="宋体"/>
              </w:rPr>
            </w:pPr>
            <w:r>
              <w:rPr>
                <w:rFonts w:hint="eastAsia" w:ascii="宋体" w:hAnsi="宋体" w:eastAsia="宋体" w:cs="宋体"/>
              </w:rPr>
              <w:t> 2</w:t>
            </w:r>
          </w:p>
        </w:tc>
      </w:tr>
      <w:tr w14:paraId="7C30A4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15" w:hRule="atLeast"/>
          <w:jc w:val="center"/>
        </w:trPr>
        <w:tc>
          <w:tcPr>
            <w:tcW w:w="733" w:type="dxa"/>
            <w:vMerge w:val="continue"/>
            <w:tcBorders>
              <w:left w:val="single" w:color="000000" w:sz="4" w:space="0"/>
              <w:right w:val="single" w:color="000000" w:sz="4" w:space="0"/>
            </w:tcBorders>
            <w:vAlign w:val="center"/>
          </w:tcPr>
          <w:p w14:paraId="18DCBC88">
            <w:pPr>
              <w:spacing w:after="0" w:line="68" w:lineRule="atLeast"/>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51BAAFBC">
            <w:pPr>
              <w:spacing w:after="0" w:line="68" w:lineRule="atLeast"/>
              <w:rPr>
                <w:rFonts w:ascii="宋体" w:hAnsi="宋体" w:eastAsia="宋体" w:cs="宋体"/>
              </w:rPr>
            </w:pPr>
            <w:r>
              <w:rPr>
                <w:rFonts w:hint="eastAsia" w:ascii="宋体" w:hAnsi="宋体" w:eastAsia="宋体" w:cs="宋体"/>
              </w:rPr>
              <w:t>工作成效（5）</w:t>
            </w:r>
          </w:p>
        </w:tc>
        <w:tc>
          <w:tcPr>
            <w:tcW w:w="1182" w:type="dxa"/>
            <w:tcBorders>
              <w:top w:val="single" w:color="000000" w:sz="4" w:space="0"/>
              <w:left w:val="single" w:color="000000" w:sz="4" w:space="0"/>
              <w:bottom w:val="single" w:color="000000" w:sz="4" w:space="0"/>
              <w:right w:val="single" w:color="auto" w:sz="4" w:space="0"/>
            </w:tcBorders>
            <w:vAlign w:val="center"/>
          </w:tcPr>
          <w:p w14:paraId="6352CF54">
            <w:pPr>
              <w:spacing w:after="0" w:line="68" w:lineRule="atLeast"/>
              <w:rPr>
                <w:rFonts w:ascii="宋体" w:hAnsi="宋体" w:eastAsia="宋体" w:cs="宋体"/>
              </w:rPr>
            </w:pPr>
            <w:r>
              <w:rPr>
                <w:rFonts w:hint="eastAsia" w:ascii="宋体" w:hAnsi="宋体" w:eastAsia="宋体" w:cs="宋体"/>
                <w:bCs/>
                <w:color w:val="000000"/>
              </w:rPr>
              <w:t>部门预算绩效管理考核评价</w:t>
            </w:r>
            <w:r>
              <w:rPr>
                <w:rFonts w:hint="eastAsia" w:ascii="宋体" w:hAnsi="宋体" w:eastAsia="宋体" w:cs="宋体"/>
                <w:bCs/>
              </w:rPr>
              <w:t>（5）</w:t>
            </w:r>
          </w:p>
        </w:tc>
        <w:tc>
          <w:tcPr>
            <w:tcW w:w="6911" w:type="dxa"/>
            <w:tcBorders>
              <w:top w:val="single" w:color="000000" w:sz="4" w:space="0"/>
              <w:left w:val="single" w:color="auto" w:sz="4" w:space="0"/>
              <w:bottom w:val="single" w:color="000000" w:sz="4" w:space="0"/>
              <w:right w:val="single" w:color="auto" w:sz="4" w:space="0"/>
            </w:tcBorders>
            <w:vAlign w:val="center"/>
          </w:tcPr>
          <w:p w14:paraId="0E4BF170">
            <w:pPr>
              <w:spacing w:after="0" w:line="240" w:lineRule="exact"/>
              <w:rPr>
                <w:rFonts w:ascii="宋体" w:hAnsi="宋体" w:eastAsia="宋体" w:cs="宋体"/>
              </w:rPr>
            </w:pPr>
            <w:r>
              <w:rPr>
                <w:rFonts w:hint="eastAsia" w:ascii="宋体" w:hAnsi="宋体" w:eastAsia="宋体" w:cs="宋体"/>
                <w:color w:val="000000"/>
              </w:rPr>
              <w:t>财政部门对部门开展预算绩效管理工作的评价结果，用以反映部门对预算绩效管理工作的重视程度和取得的成效。</w:t>
            </w:r>
          </w:p>
          <w:p w14:paraId="67EEAFBB">
            <w:pPr>
              <w:spacing w:after="0" w:line="240" w:lineRule="exact"/>
              <w:rPr>
                <w:rFonts w:ascii="宋体" w:hAnsi="宋体" w:eastAsia="宋体" w:cs="宋体"/>
              </w:rPr>
            </w:pPr>
            <w:r>
              <w:rPr>
                <w:rFonts w:hint="eastAsia" w:ascii="宋体" w:hAnsi="宋体" w:eastAsia="宋体" w:cs="宋体"/>
                <w:color w:val="000000"/>
              </w:rPr>
              <w:t>1.财政部门对部门绩效管理工作开展情况进行核查评价，包括绩效目标管理、绩效执行监控、绩效自评和评价结果应用等情况，按百分制。</w:t>
            </w:r>
          </w:p>
          <w:p w14:paraId="7EB1E7E1">
            <w:pPr>
              <w:spacing w:after="0" w:line="68" w:lineRule="atLeast"/>
              <w:rPr>
                <w:rFonts w:ascii="宋体" w:hAnsi="宋体" w:eastAsia="宋体" w:cs="宋体"/>
              </w:rPr>
            </w:pPr>
            <w:r>
              <w:rPr>
                <w:rFonts w:hint="eastAsia" w:ascii="宋体" w:hAnsi="宋体" w:eastAsia="宋体" w:cs="宋体"/>
                <w:color w:val="000000"/>
              </w:rPr>
              <w:t>2.以部门为单位进行综合计算，得出各部门绩效管理工作评价结果。</w:t>
            </w:r>
          </w:p>
        </w:tc>
        <w:tc>
          <w:tcPr>
            <w:tcW w:w="3423" w:type="dxa"/>
            <w:tcBorders>
              <w:top w:val="single" w:color="000000" w:sz="4" w:space="0"/>
              <w:left w:val="single" w:color="auto" w:sz="4" w:space="0"/>
              <w:bottom w:val="single" w:color="000000" w:sz="4" w:space="0"/>
              <w:right w:val="single" w:color="auto" w:sz="4" w:space="0"/>
            </w:tcBorders>
            <w:vAlign w:val="center"/>
          </w:tcPr>
          <w:p w14:paraId="256ED586">
            <w:pPr>
              <w:spacing w:after="0" w:line="240" w:lineRule="exact"/>
              <w:rPr>
                <w:rFonts w:ascii="宋体" w:hAnsi="宋体" w:eastAsia="宋体" w:cs="宋体"/>
              </w:rPr>
            </w:pPr>
            <w:r>
              <w:rPr>
                <w:rFonts w:hint="eastAsia" w:ascii="宋体" w:hAnsi="宋体" w:eastAsia="宋体" w:cs="宋体"/>
                <w:color w:val="000000"/>
              </w:rPr>
              <w:t>综合得分=（部门绩效管理工作评价结果/100）*5分</w:t>
            </w:r>
          </w:p>
          <w:p w14:paraId="66537B56">
            <w:pPr>
              <w:spacing w:after="0" w:line="68" w:lineRule="atLeast"/>
              <w:rPr>
                <w:rFonts w:ascii="宋体" w:hAnsi="宋体" w:eastAsia="宋体" w:cs="宋体"/>
              </w:rPr>
            </w:pPr>
            <w:r>
              <w:rPr>
                <w:rFonts w:hint="eastAsia" w:ascii="宋体" w:hAnsi="宋体" w:eastAsia="宋体" w:cs="宋体"/>
              </w:rPr>
              <w:t> </w:t>
            </w:r>
          </w:p>
        </w:tc>
        <w:tc>
          <w:tcPr>
            <w:tcW w:w="1090" w:type="dxa"/>
            <w:tcBorders>
              <w:top w:val="single" w:color="000000" w:sz="4" w:space="0"/>
              <w:left w:val="single" w:color="auto" w:sz="4" w:space="0"/>
              <w:bottom w:val="single" w:color="000000" w:sz="4" w:space="0"/>
              <w:right w:val="single" w:color="000000" w:sz="4" w:space="0"/>
            </w:tcBorders>
            <w:vAlign w:val="center"/>
          </w:tcPr>
          <w:p w14:paraId="0E3C6B00">
            <w:pPr>
              <w:spacing w:after="0" w:line="68" w:lineRule="atLeast"/>
              <w:rPr>
                <w:rFonts w:ascii="宋体" w:hAnsi="宋体" w:eastAsia="宋体" w:cs="宋体"/>
              </w:rPr>
            </w:pPr>
            <w:r>
              <w:rPr>
                <w:rFonts w:hint="eastAsia" w:ascii="宋体" w:hAnsi="宋体" w:eastAsia="宋体" w:cs="宋体"/>
              </w:rPr>
              <w:t xml:space="preserve">  5</w:t>
            </w:r>
          </w:p>
        </w:tc>
      </w:tr>
      <w:tr w14:paraId="71321C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67" w:hRule="atLeast"/>
          <w:jc w:val="center"/>
        </w:trPr>
        <w:tc>
          <w:tcPr>
            <w:tcW w:w="733" w:type="dxa"/>
            <w:vMerge w:val="continue"/>
            <w:tcBorders>
              <w:left w:val="single" w:color="000000" w:sz="4" w:space="0"/>
              <w:right w:val="single" w:color="000000" w:sz="4" w:space="0"/>
            </w:tcBorders>
            <w:vAlign w:val="center"/>
          </w:tcPr>
          <w:p w14:paraId="46B00FD9">
            <w:pPr>
              <w:spacing w:after="0"/>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5C11E459">
            <w:pPr>
              <w:spacing w:after="0" w:line="68" w:lineRule="atLeast"/>
              <w:rPr>
                <w:rFonts w:ascii="宋体" w:hAnsi="宋体" w:eastAsia="宋体" w:cs="宋体"/>
              </w:rPr>
            </w:pPr>
            <w:r>
              <w:rPr>
                <w:rFonts w:hint="eastAsia" w:ascii="宋体" w:hAnsi="宋体" w:eastAsia="宋体" w:cs="宋体"/>
              </w:rPr>
              <w:t>评价结果应用</w:t>
            </w:r>
          </w:p>
          <w:p w14:paraId="7A4EEE2F">
            <w:pPr>
              <w:spacing w:after="0" w:line="68" w:lineRule="atLeast"/>
              <w:rPr>
                <w:rFonts w:ascii="宋体" w:hAnsi="宋体" w:eastAsia="宋体" w:cs="宋体"/>
              </w:rPr>
            </w:pPr>
            <w:r>
              <w:rPr>
                <w:rFonts w:hint="eastAsia" w:ascii="宋体" w:hAnsi="宋体" w:eastAsia="宋体" w:cs="宋体"/>
              </w:rPr>
              <w:t>（2分）</w:t>
            </w:r>
          </w:p>
        </w:tc>
        <w:tc>
          <w:tcPr>
            <w:tcW w:w="1182" w:type="dxa"/>
            <w:tcBorders>
              <w:top w:val="single" w:color="000000" w:sz="4" w:space="0"/>
              <w:left w:val="single" w:color="000000" w:sz="4" w:space="0"/>
              <w:bottom w:val="single" w:color="000000" w:sz="4" w:space="0"/>
              <w:right w:val="single" w:color="auto" w:sz="4" w:space="0"/>
            </w:tcBorders>
            <w:vAlign w:val="center"/>
          </w:tcPr>
          <w:p w14:paraId="42C8679A">
            <w:pPr>
              <w:spacing w:after="0" w:line="68" w:lineRule="atLeast"/>
              <w:rPr>
                <w:rFonts w:ascii="宋体" w:hAnsi="宋体" w:eastAsia="宋体" w:cs="宋体"/>
              </w:rPr>
            </w:pPr>
            <w:r>
              <w:rPr>
                <w:rFonts w:hint="eastAsia" w:ascii="宋体" w:hAnsi="宋体" w:eastAsia="宋体" w:cs="宋体"/>
              </w:rPr>
              <w:t>应用率（2分）</w:t>
            </w:r>
          </w:p>
        </w:tc>
        <w:tc>
          <w:tcPr>
            <w:tcW w:w="6911" w:type="dxa"/>
            <w:tcBorders>
              <w:top w:val="single" w:color="000000" w:sz="4" w:space="0"/>
              <w:left w:val="single" w:color="auto" w:sz="4" w:space="0"/>
              <w:bottom w:val="single" w:color="000000" w:sz="4" w:space="0"/>
              <w:right w:val="single" w:color="auto" w:sz="4" w:space="0"/>
            </w:tcBorders>
            <w:vAlign w:val="center"/>
          </w:tcPr>
          <w:p w14:paraId="23BE66D8">
            <w:pPr>
              <w:spacing w:after="0" w:line="68" w:lineRule="atLeast"/>
              <w:rPr>
                <w:rFonts w:ascii="宋体" w:hAnsi="宋体" w:eastAsia="宋体" w:cs="宋体"/>
              </w:rPr>
            </w:pPr>
            <w:r>
              <w:rPr>
                <w:rFonts w:hint="eastAsia" w:ascii="宋体" w:hAnsi="宋体" w:eastAsia="宋体" w:cs="宋体"/>
              </w:rPr>
              <w:t>部门应用绩效评价结果的项目数占绩效评价项目数的比重，用以反映和考核部门绩效评价结果的利用水平和程度。</w:t>
            </w:r>
          </w:p>
          <w:p w14:paraId="3BBA7AB0">
            <w:pPr>
              <w:spacing w:after="0" w:line="68" w:lineRule="atLeast"/>
              <w:rPr>
                <w:rFonts w:ascii="宋体" w:hAnsi="宋体" w:eastAsia="宋体" w:cs="宋体"/>
              </w:rPr>
            </w:pPr>
            <w:r>
              <w:rPr>
                <w:rFonts w:hint="eastAsia" w:ascii="宋体" w:hAnsi="宋体" w:eastAsia="宋体" w:cs="宋体"/>
              </w:rPr>
              <w:t>应用率=应用绩效评价结果的项目数量/部门实施绩效评价项目数量×100%。</w:t>
            </w:r>
          </w:p>
          <w:p w14:paraId="022863BE">
            <w:pPr>
              <w:spacing w:after="0" w:line="68" w:lineRule="atLeast"/>
              <w:rPr>
                <w:rFonts w:ascii="宋体" w:hAnsi="宋体" w:eastAsia="宋体" w:cs="宋体"/>
              </w:rPr>
            </w:pPr>
            <w:r>
              <w:rPr>
                <w:rFonts w:hint="eastAsia" w:ascii="宋体" w:hAnsi="宋体" w:eastAsia="宋体" w:cs="宋体"/>
              </w:rPr>
              <w:t>应用绩效评价结果包括向财政部门报告绩效评价结果、向被评价单位反馈绩效评价结果、内部公开绩效评价结果和落实整改措施等方面，其中，落实整改措施包括调整预算结构、改革预算管理、整改发现问题、健全制度措施和实施绩效问责。</w:t>
            </w:r>
          </w:p>
        </w:tc>
        <w:tc>
          <w:tcPr>
            <w:tcW w:w="3423" w:type="dxa"/>
            <w:tcBorders>
              <w:top w:val="single" w:color="000000" w:sz="4" w:space="0"/>
              <w:left w:val="single" w:color="auto" w:sz="4" w:space="0"/>
              <w:bottom w:val="single" w:color="000000" w:sz="4" w:space="0"/>
              <w:right w:val="single" w:color="auto" w:sz="4" w:space="0"/>
            </w:tcBorders>
            <w:vAlign w:val="center"/>
          </w:tcPr>
          <w:p w14:paraId="208AE833">
            <w:pPr>
              <w:spacing w:after="0" w:line="240" w:lineRule="exact"/>
              <w:rPr>
                <w:rFonts w:ascii="宋体" w:hAnsi="宋体" w:eastAsia="宋体" w:cs="宋体"/>
              </w:rPr>
            </w:pPr>
            <w:r>
              <w:rPr>
                <w:rFonts w:hint="eastAsia" w:ascii="宋体" w:hAnsi="宋体" w:eastAsia="宋体" w:cs="宋体"/>
              </w:rPr>
              <w:t>目标值为100%；以2分为上限，采用完成比率法计分：得分=应用率×2，超出目标值不加分。</w:t>
            </w:r>
          </w:p>
        </w:tc>
        <w:tc>
          <w:tcPr>
            <w:tcW w:w="1090" w:type="dxa"/>
            <w:tcBorders>
              <w:top w:val="single" w:color="000000" w:sz="4" w:space="0"/>
              <w:left w:val="single" w:color="auto" w:sz="4" w:space="0"/>
              <w:bottom w:val="single" w:color="000000" w:sz="4" w:space="0"/>
              <w:right w:val="single" w:color="000000" w:sz="4" w:space="0"/>
            </w:tcBorders>
            <w:vAlign w:val="center"/>
          </w:tcPr>
          <w:p w14:paraId="64F14F13">
            <w:pPr>
              <w:spacing w:after="0" w:line="68" w:lineRule="atLeast"/>
              <w:rPr>
                <w:rFonts w:ascii="宋体" w:hAnsi="宋体" w:eastAsia="宋体" w:cs="宋体"/>
              </w:rPr>
            </w:pPr>
            <w:r>
              <w:rPr>
                <w:rFonts w:hint="eastAsia" w:ascii="宋体" w:hAnsi="宋体" w:eastAsia="宋体" w:cs="宋体"/>
              </w:rPr>
              <w:t xml:space="preserve">  2</w:t>
            </w:r>
          </w:p>
        </w:tc>
      </w:tr>
      <w:tr w14:paraId="633ED6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79" w:hRule="atLeast"/>
          <w:jc w:val="center"/>
        </w:trPr>
        <w:tc>
          <w:tcPr>
            <w:tcW w:w="733" w:type="dxa"/>
            <w:vMerge w:val="continue"/>
            <w:tcBorders>
              <w:left w:val="single" w:color="000000" w:sz="4" w:space="0"/>
              <w:right w:val="single" w:color="000000" w:sz="4" w:space="0"/>
            </w:tcBorders>
            <w:vAlign w:val="center"/>
          </w:tcPr>
          <w:p w14:paraId="321902FF">
            <w:pPr>
              <w:spacing w:after="0"/>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1D8F3650">
            <w:pPr>
              <w:spacing w:after="0" w:line="68" w:lineRule="atLeast"/>
              <w:rPr>
                <w:rFonts w:ascii="宋体" w:hAnsi="宋体" w:eastAsia="宋体" w:cs="宋体"/>
              </w:rPr>
            </w:pPr>
            <w:r>
              <w:rPr>
                <w:rFonts w:hint="eastAsia" w:ascii="宋体" w:hAnsi="宋体" w:eastAsia="宋体" w:cs="宋体"/>
              </w:rPr>
              <w:t>结果应用创新（1分）</w:t>
            </w:r>
          </w:p>
        </w:tc>
        <w:tc>
          <w:tcPr>
            <w:tcW w:w="1182" w:type="dxa"/>
            <w:tcBorders>
              <w:top w:val="single" w:color="000000" w:sz="4" w:space="0"/>
              <w:left w:val="single" w:color="000000" w:sz="4" w:space="0"/>
              <w:bottom w:val="single" w:color="000000" w:sz="4" w:space="0"/>
              <w:right w:val="single" w:color="auto" w:sz="4" w:space="0"/>
            </w:tcBorders>
            <w:vAlign w:val="center"/>
          </w:tcPr>
          <w:p w14:paraId="18522929">
            <w:pPr>
              <w:spacing w:after="0" w:line="68" w:lineRule="atLeast"/>
              <w:rPr>
                <w:rFonts w:ascii="宋体" w:hAnsi="宋体" w:eastAsia="宋体" w:cs="宋体"/>
              </w:rPr>
            </w:pPr>
            <w:r>
              <w:rPr>
                <w:rFonts w:hint="eastAsia" w:ascii="宋体" w:hAnsi="宋体" w:eastAsia="宋体" w:cs="宋体"/>
              </w:rPr>
              <w:t>结果应用创新（1分）</w:t>
            </w:r>
          </w:p>
        </w:tc>
        <w:tc>
          <w:tcPr>
            <w:tcW w:w="6911" w:type="dxa"/>
            <w:tcBorders>
              <w:top w:val="single" w:color="000000" w:sz="4" w:space="0"/>
              <w:left w:val="single" w:color="auto" w:sz="4" w:space="0"/>
              <w:bottom w:val="single" w:color="000000" w:sz="4" w:space="0"/>
              <w:right w:val="single" w:color="auto" w:sz="4" w:space="0"/>
            </w:tcBorders>
            <w:vAlign w:val="center"/>
          </w:tcPr>
          <w:p w14:paraId="2A0AE852">
            <w:pPr>
              <w:spacing w:after="0" w:line="68" w:lineRule="atLeast"/>
              <w:rPr>
                <w:rFonts w:ascii="宋体" w:hAnsi="宋体" w:eastAsia="宋体" w:cs="宋体"/>
              </w:rPr>
            </w:pPr>
            <w:r>
              <w:rPr>
                <w:rFonts w:hint="eastAsia" w:ascii="宋体" w:hAnsi="宋体" w:eastAsia="宋体" w:cs="宋体"/>
              </w:rPr>
              <w:t>部门将绩效结果主动对外公开、预算绩效管理工作开展情况向同级政府、人大等部门报告，用以反映和考核部门在结果应用方面的创新情况。</w:t>
            </w:r>
          </w:p>
          <w:p w14:paraId="056029B9">
            <w:pPr>
              <w:spacing w:after="0" w:line="68" w:lineRule="atLeast"/>
              <w:rPr>
                <w:rFonts w:ascii="宋体" w:hAnsi="宋体" w:eastAsia="宋体" w:cs="宋体"/>
              </w:rPr>
            </w:pPr>
            <w:r>
              <w:rPr>
                <w:rFonts w:hint="eastAsia" w:ascii="宋体" w:hAnsi="宋体" w:eastAsia="宋体" w:cs="宋体"/>
              </w:rPr>
              <w:t>评价要点：</w:t>
            </w:r>
          </w:p>
          <w:p w14:paraId="66EE3892">
            <w:pPr>
              <w:spacing w:after="0" w:line="68" w:lineRule="atLeast"/>
              <w:rPr>
                <w:rFonts w:ascii="宋体" w:hAnsi="宋体" w:eastAsia="宋体" w:cs="宋体"/>
              </w:rPr>
            </w:pPr>
            <w:r>
              <w:rPr>
                <w:rFonts w:hint="eastAsia" w:ascii="宋体" w:hAnsi="宋体" w:eastAsia="宋体" w:cs="宋体"/>
              </w:rPr>
              <w:t>1.部门是否按要求对社会公开绩效评价结果。</w:t>
            </w:r>
          </w:p>
          <w:p w14:paraId="3AD08A4F">
            <w:pPr>
              <w:spacing w:after="0" w:line="68" w:lineRule="atLeast"/>
              <w:rPr>
                <w:rFonts w:ascii="宋体" w:hAnsi="宋体" w:eastAsia="宋体" w:cs="宋体"/>
              </w:rPr>
            </w:pPr>
            <w:r>
              <w:rPr>
                <w:rFonts w:hint="eastAsia" w:ascii="宋体" w:hAnsi="宋体" w:eastAsia="宋体" w:cs="宋体"/>
              </w:rPr>
              <w:t>2.部门是否将预算绩效管理工作开展情况向同级政府、人大等部门报告。</w:t>
            </w:r>
          </w:p>
        </w:tc>
        <w:tc>
          <w:tcPr>
            <w:tcW w:w="3423" w:type="dxa"/>
            <w:tcBorders>
              <w:top w:val="single" w:color="000000" w:sz="4" w:space="0"/>
              <w:left w:val="single" w:color="auto" w:sz="4" w:space="0"/>
              <w:bottom w:val="single" w:color="000000" w:sz="4" w:space="0"/>
              <w:right w:val="single" w:color="auto" w:sz="4" w:space="0"/>
            </w:tcBorders>
            <w:vAlign w:val="center"/>
          </w:tcPr>
          <w:p w14:paraId="6DF1C693">
            <w:pPr>
              <w:spacing w:after="0" w:line="240" w:lineRule="exact"/>
              <w:rPr>
                <w:rFonts w:ascii="宋体" w:hAnsi="宋体" w:eastAsia="宋体" w:cs="宋体"/>
              </w:rPr>
            </w:pPr>
            <w:r>
              <w:rPr>
                <w:rFonts w:hint="eastAsia" w:ascii="宋体" w:hAnsi="宋体" w:eastAsia="宋体" w:cs="宋体"/>
              </w:rPr>
              <w:t>全部符合（1分）；</w:t>
            </w:r>
          </w:p>
          <w:p w14:paraId="7BDECF82">
            <w:pPr>
              <w:spacing w:after="0" w:line="240" w:lineRule="exact"/>
              <w:rPr>
                <w:rFonts w:ascii="宋体" w:hAnsi="宋体" w:eastAsia="宋体" w:cs="宋体"/>
              </w:rPr>
            </w:pPr>
            <w:r>
              <w:rPr>
                <w:rFonts w:hint="eastAsia" w:ascii="宋体" w:hAnsi="宋体" w:eastAsia="宋体" w:cs="宋体"/>
              </w:rPr>
              <w:t>符合其中两项（0.5分）</w:t>
            </w:r>
          </w:p>
          <w:p w14:paraId="3D665172">
            <w:pPr>
              <w:spacing w:after="0" w:line="240" w:lineRule="exac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1ABD4609">
            <w:pPr>
              <w:spacing w:after="0" w:line="68" w:lineRule="atLeast"/>
              <w:rPr>
                <w:rFonts w:ascii="宋体" w:hAnsi="宋体" w:eastAsia="宋体" w:cs="宋体"/>
              </w:rPr>
            </w:pPr>
            <w:r>
              <w:rPr>
                <w:rFonts w:hint="eastAsia" w:ascii="宋体" w:hAnsi="宋体" w:eastAsia="宋体" w:cs="宋体"/>
              </w:rPr>
              <w:t xml:space="preserve">  1</w:t>
            </w:r>
          </w:p>
        </w:tc>
      </w:tr>
      <w:tr w14:paraId="251F27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78" w:hRule="atLeast"/>
          <w:jc w:val="center"/>
        </w:trPr>
        <w:tc>
          <w:tcPr>
            <w:tcW w:w="733" w:type="dxa"/>
            <w:vMerge w:val="continue"/>
            <w:tcBorders>
              <w:left w:val="single" w:color="000000" w:sz="4" w:space="0"/>
              <w:right w:val="single" w:color="000000" w:sz="4" w:space="0"/>
            </w:tcBorders>
            <w:vAlign w:val="center"/>
          </w:tcPr>
          <w:p w14:paraId="0D8A1D34">
            <w:pPr>
              <w:spacing w:after="0"/>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0E6BFC7B">
            <w:pPr>
              <w:spacing w:after="0" w:line="68" w:lineRule="atLeast"/>
              <w:rPr>
                <w:rFonts w:ascii="宋体" w:hAnsi="宋体" w:eastAsia="宋体" w:cs="宋体"/>
              </w:rPr>
            </w:pPr>
            <w:r>
              <w:rPr>
                <w:rFonts w:hint="eastAsia" w:ascii="宋体" w:hAnsi="宋体" w:eastAsia="宋体" w:cs="宋体"/>
              </w:rPr>
              <w:t>社会效益（5分）</w:t>
            </w:r>
          </w:p>
        </w:tc>
        <w:tc>
          <w:tcPr>
            <w:tcW w:w="1182" w:type="dxa"/>
            <w:tcBorders>
              <w:top w:val="single" w:color="000000" w:sz="4" w:space="0"/>
              <w:left w:val="single" w:color="000000" w:sz="4" w:space="0"/>
              <w:bottom w:val="single" w:color="000000" w:sz="4" w:space="0"/>
              <w:right w:val="single" w:color="auto" w:sz="4" w:space="0"/>
            </w:tcBorders>
            <w:vAlign w:val="center"/>
          </w:tcPr>
          <w:p w14:paraId="713C85A7">
            <w:pPr>
              <w:spacing w:after="0" w:line="68" w:lineRule="atLeast"/>
              <w:rPr>
                <w:rFonts w:ascii="宋体" w:hAnsi="宋体" w:eastAsia="宋体" w:cs="宋体"/>
              </w:rPr>
            </w:pPr>
            <w:r>
              <w:rPr>
                <w:rFonts w:hint="eastAsia" w:ascii="宋体" w:hAnsi="宋体" w:eastAsia="宋体" w:cs="宋体"/>
              </w:rPr>
              <w:t>社会公众满意度（5分）</w:t>
            </w:r>
          </w:p>
        </w:tc>
        <w:tc>
          <w:tcPr>
            <w:tcW w:w="6911" w:type="dxa"/>
            <w:tcBorders>
              <w:top w:val="single" w:color="000000" w:sz="4" w:space="0"/>
              <w:left w:val="single" w:color="auto" w:sz="4" w:space="0"/>
              <w:bottom w:val="single" w:color="000000" w:sz="4" w:space="0"/>
              <w:right w:val="single" w:color="auto" w:sz="4" w:space="0"/>
            </w:tcBorders>
            <w:vAlign w:val="center"/>
          </w:tcPr>
          <w:p w14:paraId="1874F4B0">
            <w:pPr>
              <w:spacing w:after="0" w:line="68" w:lineRule="atLeast"/>
              <w:rPr>
                <w:rFonts w:ascii="宋体" w:hAnsi="宋体" w:eastAsia="宋体" w:cs="宋体"/>
              </w:rPr>
            </w:pPr>
            <w:r>
              <w:rPr>
                <w:rFonts w:hint="eastAsia" w:ascii="宋体" w:hAnsi="宋体" w:eastAsia="宋体" w:cs="宋体"/>
              </w:rPr>
              <w:t>通过问卷调查了解社会公众对部门履职效果、解决民众关心的热点问题、厉行节约等方面的满意程度，反映和评价部门支出所带来的社会效益。</w:t>
            </w:r>
          </w:p>
        </w:tc>
        <w:tc>
          <w:tcPr>
            <w:tcW w:w="3423" w:type="dxa"/>
            <w:tcBorders>
              <w:top w:val="single" w:color="000000" w:sz="4" w:space="0"/>
              <w:left w:val="single" w:color="auto" w:sz="4" w:space="0"/>
              <w:bottom w:val="single" w:color="000000" w:sz="4" w:space="0"/>
              <w:right w:val="single" w:color="auto" w:sz="4" w:space="0"/>
            </w:tcBorders>
            <w:vAlign w:val="center"/>
          </w:tcPr>
          <w:p w14:paraId="5C41895A">
            <w:pPr>
              <w:spacing w:after="0" w:line="240" w:lineRule="exact"/>
              <w:rPr>
                <w:rFonts w:ascii="宋体" w:hAnsi="宋体" w:eastAsia="宋体" w:cs="宋体"/>
              </w:rPr>
            </w:pPr>
            <w:r>
              <w:rPr>
                <w:rFonts w:hint="eastAsia" w:ascii="宋体" w:hAnsi="宋体" w:eastAsia="宋体" w:cs="宋体"/>
              </w:rPr>
              <w:t>按照满意度调查的优秀、良好、合格、不合格给予该项指标打分：</w:t>
            </w:r>
          </w:p>
          <w:p w14:paraId="5C2EED58">
            <w:pPr>
              <w:spacing w:after="0" w:line="68" w:lineRule="atLeast"/>
              <w:rPr>
                <w:rFonts w:ascii="宋体" w:hAnsi="宋体" w:eastAsia="宋体" w:cs="宋体"/>
              </w:rPr>
            </w:pPr>
            <w:r>
              <w:rPr>
                <w:rFonts w:hint="eastAsia" w:ascii="宋体" w:hAnsi="宋体" w:eastAsia="宋体" w:cs="宋体"/>
              </w:rPr>
              <w:t>优秀（5分）；良好（3分）；合格（1分）；不合格（0分）。</w:t>
            </w:r>
          </w:p>
        </w:tc>
        <w:tc>
          <w:tcPr>
            <w:tcW w:w="1090" w:type="dxa"/>
            <w:tcBorders>
              <w:top w:val="single" w:color="000000" w:sz="4" w:space="0"/>
              <w:left w:val="single" w:color="auto" w:sz="4" w:space="0"/>
              <w:bottom w:val="single" w:color="000000" w:sz="4" w:space="0"/>
              <w:right w:val="single" w:color="000000" w:sz="4" w:space="0"/>
            </w:tcBorders>
            <w:vAlign w:val="center"/>
          </w:tcPr>
          <w:p w14:paraId="353471BD">
            <w:pPr>
              <w:spacing w:after="0" w:line="68" w:lineRule="atLeast"/>
              <w:rPr>
                <w:rFonts w:ascii="宋体" w:hAnsi="宋体" w:eastAsia="宋体" w:cs="宋体"/>
              </w:rPr>
            </w:pPr>
            <w:r>
              <w:rPr>
                <w:rFonts w:hint="eastAsia" w:ascii="宋体" w:hAnsi="宋体" w:eastAsia="宋体" w:cs="宋体"/>
              </w:rPr>
              <w:t xml:space="preserve">  3</w:t>
            </w:r>
          </w:p>
        </w:tc>
      </w:tr>
      <w:tr w14:paraId="15B93D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733" w:type="dxa"/>
            <w:tcBorders>
              <w:left w:val="single" w:color="000000" w:sz="4" w:space="0"/>
              <w:right w:val="single" w:color="000000" w:sz="4" w:space="0"/>
            </w:tcBorders>
            <w:vAlign w:val="center"/>
          </w:tcPr>
          <w:p w14:paraId="016AA710">
            <w:pPr>
              <w:spacing w:after="0"/>
              <w:rPr>
                <w:rFonts w:ascii="宋体" w:hAnsi="宋体" w:eastAsia="宋体" w:cs="宋体"/>
              </w:rPr>
            </w:pPr>
            <w:r>
              <w:rPr>
                <w:rFonts w:hint="eastAsia" w:ascii="宋体" w:hAnsi="宋体" w:eastAsia="宋体" w:cs="宋体"/>
              </w:rPr>
              <w:t>小计</w:t>
            </w:r>
          </w:p>
        </w:tc>
        <w:tc>
          <w:tcPr>
            <w:tcW w:w="803" w:type="dxa"/>
            <w:tcBorders>
              <w:top w:val="single" w:color="auto" w:sz="4" w:space="0"/>
              <w:left w:val="single" w:color="000000" w:sz="4" w:space="0"/>
              <w:bottom w:val="single" w:color="auto" w:sz="4" w:space="0"/>
              <w:right w:val="single" w:color="000000" w:sz="4" w:space="0"/>
            </w:tcBorders>
            <w:vAlign w:val="center"/>
          </w:tcPr>
          <w:p w14:paraId="357B3DF0">
            <w:pPr>
              <w:spacing w:after="0" w:line="68" w:lineRule="atLeast"/>
              <w:rPr>
                <w:rFonts w:ascii="宋体" w:hAnsi="宋体" w:eastAsia="宋体" w:cs="宋体"/>
              </w:rPr>
            </w:pPr>
            <w:r>
              <w:rPr>
                <w:rFonts w:hint="eastAsia" w:ascii="宋体" w:hAnsi="宋体" w:eastAsia="宋体" w:cs="宋体"/>
              </w:rPr>
              <w:t>100</w:t>
            </w:r>
          </w:p>
        </w:tc>
        <w:tc>
          <w:tcPr>
            <w:tcW w:w="1182" w:type="dxa"/>
            <w:tcBorders>
              <w:top w:val="single" w:color="000000" w:sz="4" w:space="0"/>
              <w:left w:val="single" w:color="000000" w:sz="4" w:space="0"/>
              <w:bottom w:val="single" w:color="000000" w:sz="4" w:space="0"/>
              <w:right w:val="single" w:color="auto" w:sz="4" w:space="0"/>
            </w:tcBorders>
            <w:vAlign w:val="center"/>
          </w:tcPr>
          <w:p w14:paraId="376E5FD8">
            <w:pPr>
              <w:spacing w:after="0" w:line="68" w:lineRule="atLeast"/>
              <w:rPr>
                <w:rFonts w:ascii="宋体" w:hAnsi="宋体" w:eastAsia="宋体" w:cs="宋体"/>
              </w:rPr>
            </w:pPr>
          </w:p>
        </w:tc>
        <w:tc>
          <w:tcPr>
            <w:tcW w:w="6911" w:type="dxa"/>
            <w:tcBorders>
              <w:top w:val="single" w:color="000000" w:sz="4" w:space="0"/>
              <w:left w:val="single" w:color="auto" w:sz="4" w:space="0"/>
              <w:bottom w:val="single" w:color="000000" w:sz="4" w:space="0"/>
              <w:right w:val="single" w:color="auto" w:sz="4" w:space="0"/>
            </w:tcBorders>
            <w:vAlign w:val="center"/>
          </w:tcPr>
          <w:p w14:paraId="49A03C29">
            <w:pPr>
              <w:spacing w:after="0" w:line="68" w:lineRule="atLeast"/>
              <w:rPr>
                <w:rFonts w:ascii="宋体" w:hAnsi="宋体" w:eastAsia="宋体" w:cs="宋体"/>
              </w:rPr>
            </w:pPr>
          </w:p>
        </w:tc>
        <w:tc>
          <w:tcPr>
            <w:tcW w:w="3423" w:type="dxa"/>
            <w:tcBorders>
              <w:top w:val="single" w:color="000000" w:sz="4" w:space="0"/>
              <w:left w:val="single" w:color="auto" w:sz="4" w:space="0"/>
              <w:bottom w:val="single" w:color="000000" w:sz="4" w:space="0"/>
              <w:right w:val="single" w:color="auto" w:sz="4" w:space="0"/>
            </w:tcBorders>
            <w:vAlign w:val="center"/>
          </w:tcPr>
          <w:p w14:paraId="35FB7CC9">
            <w:pPr>
              <w:spacing w:after="0" w:line="68" w:lineRule="atLeast"/>
              <w:rPr>
                <w:rFonts w:ascii="宋体" w:hAnsi="宋体" w:eastAsia="宋体" w:cs="宋体"/>
              </w:rPr>
            </w:pPr>
          </w:p>
        </w:tc>
        <w:tc>
          <w:tcPr>
            <w:tcW w:w="1090" w:type="dxa"/>
            <w:tcBorders>
              <w:top w:val="single" w:color="000000" w:sz="4" w:space="0"/>
              <w:left w:val="single" w:color="auto" w:sz="4" w:space="0"/>
              <w:bottom w:val="single" w:color="000000" w:sz="4" w:space="0"/>
              <w:right w:val="single" w:color="000000" w:sz="4" w:space="0"/>
            </w:tcBorders>
            <w:vAlign w:val="center"/>
          </w:tcPr>
          <w:p w14:paraId="1E5417BB">
            <w:pPr>
              <w:spacing w:after="0" w:line="68" w:lineRule="atLeast"/>
              <w:rPr>
                <w:rFonts w:ascii="宋体" w:hAnsi="宋体" w:eastAsia="宋体" w:cs="宋体"/>
              </w:rPr>
            </w:pPr>
          </w:p>
        </w:tc>
      </w:tr>
      <w:tr w14:paraId="3CA1A4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8" w:hRule="atLeast"/>
          <w:jc w:val="center"/>
        </w:trPr>
        <w:tc>
          <w:tcPr>
            <w:tcW w:w="733" w:type="dxa"/>
            <w:tcBorders>
              <w:left w:val="single" w:color="000000" w:sz="4" w:space="0"/>
              <w:bottom w:val="single" w:color="000000" w:sz="4" w:space="0"/>
              <w:right w:val="single" w:color="000000" w:sz="4" w:space="0"/>
            </w:tcBorders>
            <w:vAlign w:val="center"/>
          </w:tcPr>
          <w:p w14:paraId="0F0D557B">
            <w:pPr>
              <w:spacing w:after="0"/>
              <w:rPr>
                <w:rFonts w:ascii="宋体" w:hAnsi="宋体" w:eastAsia="宋体" w:cs="宋体"/>
              </w:rPr>
            </w:pPr>
            <w:r>
              <w:rPr>
                <w:rFonts w:hint="eastAsia" w:ascii="宋体" w:hAnsi="宋体" w:eastAsia="宋体" w:cs="宋体"/>
              </w:rPr>
              <w:t>评价结果</w:t>
            </w:r>
          </w:p>
        </w:tc>
        <w:tc>
          <w:tcPr>
            <w:tcW w:w="803" w:type="dxa"/>
            <w:tcBorders>
              <w:top w:val="single" w:color="auto" w:sz="4" w:space="0"/>
              <w:left w:val="single" w:color="000000" w:sz="4" w:space="0"/>
              <w:bottom w:val="single" w:color="auto" w:sz="4" w:space="0"/>
              <w:right w:val="single" w:color="000000" w:sz="4" w:space="0"/>
            </w:tcBorders>
            <w:vAlign w:val="center"/>
          </w:tcPr>
          <w:p w14:paraId="34F57C11">
            <w:pPr>
              <w:spacing w:after="0" w:line="68" w:lineRule="atLeast"/>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28DFF544">
            <w:pPr>
              <w:spacing w:after="0" w:line="68" w:lineRule="atLeast"/>
              <w:rPr>
                <w:rFonts w:ascii="宋体" w:hAnsi="宋体" w:eastAsia="宋体" w:cs="宋体"/>
              </w:rPr>
            </w:pPr>
          </w:p>
        </w:tc>
        <w:tc>
          <w:tcPr>
            <w:tcW w:w="10334" w:type="dxa"/>
            <w:gridSpan w:val="2"/>
            <w:tcBorders>
              <w:top w:val="single" w:color="000000" w:sz="4" w:space="0"/>
              <w:left w:val="single" w:color="auto" w:sz="4" w:space="0"/>
              <w:bottom w:val="single" w:color="000000" w:sz="4" w:space="0"/>
              <w:right w:val="single" w:color="auto" w:sz="4" w:space="0"/>
            </w:tcBorders>
            <w:vAlign w:val="center"/>
          </w:tcPr>
          <w:p w14:paraId="2E818E9C">
            <w:pPr>
              <w:spacing w:after="0" w:line="68" w:lineRule="atLeast"/>
              <w:rPr>
                <w:rFonts w:ascii="宋体" w:hAnsi="宋体" w:eastAsia="宋体" w:cs="宋体"/>
              </w:rPr>
            </w:pPr>
            <w:r>
              <w:rPr>
                <w:rFonts w:hint="eastAsia" w:ascii="宋体" w:hAnsi="宋体" w:eastAsia="宋体" w:cs="宋体"/>
              </w:rPr>
              <w:t>□优秀  90分≤得分≤100分； ☑良好  80分≤得分≤89分；</w:t>
            </w:r>
          </w:p>
          <w:p w14:paraId="7638CDB0">
            <w:pPr>
              <w:spacing w:after="0" w:line="68" w:lineRule="atLeast"/>
              <w:rPr>
                <w:rFonts w:ascii="宋体" w:hAnsi="宋体" w:eastAsia="宋体" w:cs="宋体"/>
              </w:rPr>
            </w:pPr>
            <w:r>
              <w:rPr>
                <w:rFonts w:hint="eastAsia" w:ascii="宋体" w:hAnsi="宋体" w:eastAsia="宋体" w:cs="宋体"/>
              </w:rPr>
              <w:t>□中  60分≤得分≤79分；  □较差  0≤得分≤59分</w:t>
            </w:r>
          </w:p>
        </w:tc>
        <w:tc>
          <w:tcPr>
            <w:tcW w:w="1090" w:type="dxa"/>
            <w:tcBorders>
              <w:top w:val="single" w:color="000000" w:sz="4" w:space="0"/>
              <w:left w:val="single" w:color="auto" w:sz="4" w:space="0"/>
              <w:bottom w:val="single" w:color="000000" w:sz="4" w:space="0"/>
              <w:right w:val="single" w:color="000000" w:sz="4" w:space="0"/>
            </w:tcBorders>
            <w:vAlign w:val="center"/>
          </w:tcPr>
          <w:p w14:paraId="792966DA">
            <w:pPr>
              <w:spacing w:after="0" w:line="68" w:lineRule="atLeast"/>
              <w:rPr>
                <w:rFonts w:ascii="宋体" w:hAnsi="宋体" w:eastAsia="宋体" w:cs="宋体"/>
              </w:rPr>
            </w:pPr>
            <w:r>
              <w:rPr>
                <w:rFonts w:hint="eastAsia" w:ascii="宋体" w:hAnsi="宋体" w:eastAsia="宋体" w:cs="宋体"/>
              </w:rPr>
              <w:t xml:space="preserve">  83</w:t>
            </w:r>
          </w:p>
        </w:tc>
      </w:tr>
    </w:tbl>
    <w:p w14:paraId="62AD6740">
      <w:pPr>
        <w:spacing w:line="432" w:lineRule="auto"/>
      </w:pPr>
    </w:p>
    <w:p w14:paraId="0998907C">
      <w:pPr>
        <w:rPr>
          <w:rFonts w:ascii="黑体" w:hAnsi="黑体" w:eastAsia="黑体"/>
          <w:sz w:val="32"/>
          <w:szCs w:val="32"/>
        </w:rPr>
      </w:pPr>
      <w:r>
        <w:rPr>
          <w:rFonts w:hint="eastAsia" w:ascii="黑体" w:hAnsi="黑体" w:eastAsia="黑体"/>
          <w:sz w:val="32"/>
          <w:szCs w:val="32"/>
        </w:rPr>
        <w:br w:type="page"/>
      </w:r>
      <w:r>
        <w:rPr>
          <w:rFonts w:hint="eastAsia" w:ascii="黑体" w:hAnsi="黑体" w:eastAsia="黑体"/>
          <w:sz w:val="28"/>
          <w:szCs w:val="28"/>
        </w:rPr>
        <w:t>附件3</w:t>
      </w:r>
    </w:p>
    <w:p w14:paraId="329E2729">
      <w:pPr>
        <w:spacing w:after="0" w:line="700" w:lineRule="exact"/>
        <w:jc w:val="center"/>
        <w:rPr>
          <w:rFonts w:ascii="方正小标宋简体" w:hAnsi="Times New Roman" w:eastAsia="方正小标宋简体"/>
          <w:sz w:val="44"/>
          <w:szCs w:val="44"/>
        </w:rPr>
      </w:pPr>
      <w:r>
        <w:rPr>
          <w:rFonts w:hint="eastAsia" w:ascii="方正小标宋简体" w:hAnsi="Times New Roman" w:eastAsia="方正小标宋简体"/>
          <w:sz w:val="44"/>
          <w:szCs w:val="44"/>
        </w:rPr>
        <w:t>中方县政府网站及政务新媒体信息发布审查表</w:t>
      </w:r>
    </w:p>
    <w:p w14:paraId="1CD9C37A">
      <w:pPr>
        <w:spacing w:after="0" w:line="400" w:lineRule="exact"/>
        <w:jc w:val="center"/>
        <w:rPr>
          <w:rFonts w:ascii="方正小标宋简体" w:hAnsi="Times New Roman" w:eastAsia="方正小标宋简体"/>
          <w:sz w:val="44"/>
          <w:szCs w:val="44"/>
        </w:rPr>
      </w:pPr>
    </w:p>
    <w:p w14:paraId="0F4CFAF6">
      <w:pPr>
        <w:rPr>
          <w:rFonts w:ascii="宋体" w:hAnsi="宋体" w:eastAsia="宋体" w:cs="宋体"/>
          <w:sz w:val="24"/>
          <w:szCs w:val="24"/>
        </w:rPr>
      </w:pPr>
      <w:r>
        <w:rPr>
          <w:rFonts w:hint="eastAsia" w:ascii="宋体" w:hAnsi="宋体" w:eastAsia="宋体" w:cs="宋体"/>
          <w:sz w:val="24"/>
          <w:szCs w:val="24"/>
        </w:rPr>
        <w:t>单位：</w:t>
      </w:r>
      <w:r>
        <w:rPr>
          <w:rFonts w:hint="eastAsia" w:ascii="宋体" w:hAnsi="宋体" w:eastAsia="宋体" w:cs="宋体"/>
        </w:rPr>
        <w:t>中方县妇幼保健和计划生育技术服务中心</w:t>
      </w:r>
      <w:r>
        <w:rPr>
          <w:rFonts w:hint="eastAsia" w:ascii="宋体" w:hAnsi="宋体" w:eastAsia="宋体" w:cs="宋体"/>
          <w:sz w:val="24"/>
          <w:szCs w:val="24"/>
        </w:rPr>
        <w:t>202</w:t>
      </w:r>
      <w:r>
        <w:rPr>
          <w:rFonts w:hint="eastAsia" w:ascii="宋体" w:hAnsi="宋体" w:eastAsia="宋体" w:cs="宋体"/>
          <w:sz w:val="24"/>
          <w:szCs w:val="24"/>
          <w:lang w:val="en-US" w:eastAsia="zh-CN"/>
        </w:rPr>
        <w:t>4</w:t>
      </w:r>
      <w:r>
        <w:rPr>
          <w:rFonts w:hint="eastAsia" w:ascii="宋体" w:hAnsi="宋体" w:eastAsia="宋体" w:cs="宋体"/>
          <w:sz w:val="24"/>
          <w:szCs w:val="24"/>
        </w:rPr>
        <w:t xml:space="preserve"> 年</w:t>
      </w:r>
      <w:r>
        <w:rPr>
          <w:rFonts w:hint="eastAsia" w:ascii="宋体" w:hAnsi="宋体" w:eastAsia="宋体" w:cs="宋体"/>
          <w:sz w:val="24"/>
          <w:szCs w:val="24"/>
          <w:lang w:val="en-US" w:eastAsia="zh-CN"/>
        </w:rPr>
        <w:t>8</w:t>
      </w:r>
      <w:r>
        <w:rPr>
          <w:rFonts w:hint="eastAsia" w:ascii="宋体" w:hAnsi="宋体" w:eastAsia="宋体" w:cs="宋体"/>
          <w:sz w:val="24"/>
          <w:szCs w:val="24"/>
        </w:rPr>
        <w:t xml:space="preserve"> 月 </w:t>
      </w:r>
      <w:r>
        <w:rPr>
          <w:rFonts w:hint="eastAsia" w:ascii="宋体" w:hAnsi="宋体" w:eastAsia="宋体" w:cs="宋体"/>
          <w:sz w:val="24"/>
          <w:szCs w:val="24"/>
          <w:lang w:val="en-US" w:eastAsia="zh-CN"/>
        </w:rPr>
        <w:t>12</w:t>
      </w:r>
      <w:r>
        <w:rPr>
          <w:rFonts w:hint="eastAsia" w:ascii="宋体" w:hAnsi="宋体" w:eastAsia="宋体" w:cs="宋体"/>
          <w:sz w:val="24"/>
          <w:szCs w:val="24"/>
        </w:rPr>
        <w:t xml:space="preserve"> 日</w:t>
      </w:r>
    </w:p>
    <w:tbl>
      <w:tblPr>
        <w:tblStyle w:val="5"/>
        <w:tblW w:w="1473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3098"/>
        <w:gridCol w:w="2792"/>
        <w:gridCol w:w="2781"/>
        <w:gridCol w:w="3277"/>
        <w:gridCol w:w="2081"/>
      </w:tblGrid>
      <w:tr w14:paraId="6A0738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jc w:val="center"/>
        </w:trPr>
        <w:tc>
          <w:tcPr>
            <w:tcW w:w="709" w:type="dxa"/>
            <w:vAlign w:val="bottom"/>
          </w:tcPr>
          <w:p w14:paraId="286F4A47">
            <w:pPr>
              <w:spacing w:after="0"/>
              <w:jc w:val="center"/>
              <w:rPr>
                <w:rFonts w:ascii="宋体" w:hAnsi="宋体" w:eastAsia="宋体" w:cs="宋体"/>
                <w:b/>
                <w:bCs/>
                <w:sz w:val="24"/>
                <w:szCs w:val="24"/>
              </w:rPr>
            </w:pPr>
            <w:r>
              <w:rPr>
                <w:rFonts w:hint="eastAsia" w:ascii="宋体" w:hAnsi="宋体" w:eastAsia="宋体" w:cs="宋体"/>
                <w:b/>
                <w:bCs/>
                <w:sz w:val="24"/>
                <w:szCs w:val="24"/>
              </w:rPr>
              <w:t>序号</w:t>
            </w:r>
          </w:p>
        </w:tc>
        <w:tc>
          <w:tcPr>
            <w:tcW w:w="3098" w:type="dxa"/>
            <w:vAlign w:val="bottom"/>
          </w:tcPr>
          <w:p w14:paraId="7F424929">
            <w:pPr>
              <w:spacing w:after="0"/>
              <w:jc w:val="center"/>
              <w:rPr>
                <w:rFonts w:ascii="宋体" w:hAnsi="宋体" w:eastAsia="宋体" w:cs="宋体"/>
                <w:b/>
                <w:bCs/>
                <w:sz w:val="24"/>
                <w:szCs w:val="24"/>
              </w:rPr>
            </w:pPr>
            <w:r>
              <w:rPr>
                <w:rFonts w:hint="eastAsia" w:ascii="宋体" w:hAnsi="宋体" w:eastAsia="宋体" w:cs="宋体"/>
                <w:b/>
                <w:bCs/>
                <w:sz w:val="24"/>
                <w:szCs w:val="24"/>
              </w:rPr>
              <w:t>信息名称</w:t>
            </w:r>
          </w:p>
        </w:tc>
        <w:tc>
          <w:tcPr>
            <w:tcW w:w="2792" w:type="dxa"/>
            <w:vAlign w:val="bottom"/>
          </w:tcPr>
          <w:p w14:paraId="162E9A62">
            <w:pPr>
              <w:spacing w:after="0"/>
              <w:jc w:val="center"/>
              <w:rPr>
                <w:rFonts w:ascii="宋体" w:hAnsi="宋体" w:eastAsia="宋体" w:cs="宋体"/>
                <w:b/>
                <w:bCs/>
                <w:sz w:val="24"/>
                <w:szCs w:val="24"/>
              </w:rPr>
            </w:pPr>
            <w:r>
              <w:rPr>
                <w:rFonts w:hint="eastAsia" w:ascii="宋体" w:hAnsi="宋体" w:eastAsia="宋体" w:cs="宋体"/>
                <w:b/>
                <w:bCs/>
                <w:sz w:val="24"/>
                <w:szCs w:val="24"/>
              </w:rPr>
              <w:t>信息来源</w:t>
            </w:r>
          </w:p>
        </w:tc>
        <w:tc>
          <w:tcPr>
            <w:tcW w:w="2781" w:type="dxa"/>
            <w:vAlign w:val="bottom"/>
          </w:tcPr>
          <w:p w14:paraId="57A17F1F">
            <w:pPr>
              <w:spacing w:after="0"/>
              <w:jc w:val="center"/>
              <w:rPr>
                <w:rFonts w:ascii="宋体" w:hAnsi="宋体" w:eastAsia="宋体" w:cs="宋体"/>
                <w:b/>
                <w:bCs/>
                <w:sz w:val="24"/>
                <w:szCs w:val="24"/>
              </w:rPr>
            </w:pPr>
            <w:r>
              <w:rPr>
                <w:rFonts w:hint="eastAsia" w:ascii="宋体" w:hAnsi="宋体" w:eastAsia="宋体" w:cs="宋体"/>
                <w:b/>
                <w:bCs/>
                <w:sz w:val="24"/>
                <w:szCs w:val="24"/>
              </w:rPr>
              <w:t>发布形式</w:t>
            </w:r>
          </w:p>
        </w:tc>
        <w:tc>
          <w:tcPr>
            <w:tcW w:w="3277" w:type="dxa"/>
            <w:vAlign w:val="bottom"/>
          </w:tcPr>
          <w:p w14:paraId="7DB86C49">
            <w:pPr>
              <w:spacing w:after="0"/>
              <w:jc w:val="center"/>
              <w:rPr>
                <w:rFonts w:ascii="宋体" w:hAnsi="宋体" w:eastAsia="宋体" w:cs="宋体"/>
                <w:b/>
                <w:bCs/>
                <w:sz w:val="24"/>
                <w:szCs w:val="24"/>
              </w:rPr>
            </w:pPr>
            <w:r>
              <w:rPr>
                <w:rFonts w:hint="eastAsia" w:ascii="宋体" w:hAnsi="宋体" w:eastAsia="宋体" w:cs="宋体"/>
                <w:b/>
                <w:bCs/>
                <w:sz w:val="24"/>
                <w:szCs w:val="24"/>
              </w:rPr>
              <w:t>保密机构或保密员</w:t>
            </w:r>
            <w:r>
              <w:rPr>
                <w:rFonts w:hint="eastAsia" w:ascii="宋体" w:hAnsi="宋体" w:eastAsia="宋体" w:cs="宋体"/>
                <w:b/>
                <w:bCs/>
                <w:sz w:val="24"/>
                <w:szCs w:val="24"/>
                <w:u w:val="single"/>
              </w:rPr>
              <w:t>复审</w:t>
            </w:r>
          </w:p>
        </w:tc>
        <w:tc>
          <w:tcPr>
            <w:tcW w:w="2081" w:type="dxa"/>
            <w:vAlign w:val="bottom"/>
          </w:tcPr>
          <w:p w14:paraId="114F5765">
            <w:pPr>
              <w:spacing w:after="0"/>
              <w:jc w:val="center"/>
              <w:rPr>
                <w:rFonts w:ascii="宋体" w:hAnsi="宋体" w:eastAsia="宋体" w:cs="宋体"/>
                <w:b/>
                <w:bCs/>
                <w:sz w:val="24"/>
                <w:szCs w:val="24"/>
              </w:rPr>
            </w:pPr>
            <w:r>
              <w:rPr>
                <w:rFonts w:hint="eastAsia" w:ascii="宋体" w:hAnsi="宋体" w:eastAsia="宋体" w:cs="宋体"/>
                <w:b/>
                <w:bCs/>
                <w:sz w:val="24"/>
                <w:szCs w:val="24"/>
              </w:rPr>
              <w:t>主管领导</w:t>
            </w:r>
            <w:r>
              <w:rPr>
                <w:rFonts w:hint="eastAsia" w:ascii="宋体" w:hAnsi="宋体" w:eastAsia="宋体" w:cs="宋体"/>
                <w:b/>
                <w:bCs/>
                <w:sz w:val="24"/>
                <w:szCs w:val="24"/>
                <w:u w:val="single"/>
              </w:rPr>
              <w:t>终审</w:t>
            </w:r>
          </w:p>
        </w:tc>
      </w:tr>
      <w:tr w14:paraId="2D3766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14:paraId="750948DD">
            <w:pPr>
              <w:spacing w:after="0" w:line="500" w:lineRule="exact"/>
              <w:jc w:val="center"/>
              <w:rPr>
                <w:rFonts w:ascii="宋体" w:hAnsi="宋体" w:eastAsia="宋体" w:cs="宋体"/>
              </w:rPr>
            </w:pPr>
            <w:r>
              <w:rPr>
                <w:rFonts w:hint="eastAsia" w:ascii="宋体" w:hAnsi="宋体" w:eastAsia="宋体" w:cs="宋体"/>
              </w:rPr>
              <w:t>1</w:t>
            </w:r>
          </w:p>
        </w:tc>
        <w:tc>
          <w:tcPr>
            <w:tcW w:w="3098" w:type="dxa"/>
            <w:vAlign w:val="center"/>
          </w:tcPr>
          <w:p w14:paraId="5747DEC8">
            <w:pPr>
              <w:spacing w:after="0" w:line="500" w:lineRule="exact"/>
              <w:jc w:val="center"/>
              <w:rPr>
                <w:rFonts w:ascii="宋体" w:hAnsi="宋体" w:eastAsia="宋体" w:cs="宋体"/>
              </w:rPr>
            </w:pPr>
            <w:r>
              <w:rPr>
                <w:rFonts w:hint="eastAsia" w:ascii="宋体" w:hAnsi="宋体" w:eastAsia="宋体" w:cs="宋体"/>
              </w:rPr>
              <w:t>中方县妇幼保健和计划生育技术服务中心202</w:t>
            </w:r>
            <w:r>
              <w:rPr>
                <w:rFonts w:hint="eastAsia" w:ascii="宋体" w:hAnsi="宋体" w:eastAsia="宋体" w:cs="宋体"/>
                <w:lang w:val="en-US" w:eastAsia="zh-CN"/>
              </w:rPr>
              <w:t>3</w:t>
            </w:r>
            <w:r>
              <w:rPr>
                <w:rFonts w:hint="eastAsia" w:ascii="宋体" w:hAnsi="宋体" w:eastAsia="宋体" w:cs="宋体"/>
              </w:rPr>
              <w:t>年度部门整体支出绩效自评报告</w:t>
            </w:r>
          </w:p>
        </w:tc>
        <w:tc>
          <w:tcPr>
            <w:tcW w:w="2792" w:type="dxa"/>
            <w:vAlign w:val="center"/>
          </w:tcPr>
          <w:p w14:paraId="4C67FDB1">
            <w:pPr>
              <w:spacing w:after="0" w:line="500" w:lineRule="exact"/>
              <w:rPr>
                <w:rFonts w:ascii="宋体" w:hAnsi="宋体" w:eastAsia="宋体" w:cs="宋体"/>
              </w:rPr>
            </w:pPr>
            <w:r>
              <w:rPr>
                <w:rFonts w:hint="eastAsia" w:ascii="宋体" w:hAnsi="宋体" w:eastAsia="宋体" w:cs="宋体"/>
              </w:rPr>
              <w:t>本机关、单位制发  ☑</w:t>
            </w:r>
          </w:p>
          <w:p w14:paraId="547CB3AE">
            <w:pPr>
              <w:spacing w:after="0" w:line="500" w:lineRule="exact"/>
              <w:rPr>
                <w:rFonts w:ascii="宋体" w:hAnsi="宋体" w:eastAsia="宋体" w:cs="宋体"/>
              </w:rPr>
            </w:pPr>
            <w:r>
              <w:rPr>
                <w:rFonts w:hint="eastAsia" w:ascii="宋体" w:hAnsi="宋体" w:eastAsia="宋体" w:cs="宋体"/>
              </w:rPr>
              <w:t>转载（注明转载来源）：</w:t>
            </w:r>
          </w:p>
          <w:p w14:paraId="32C306F1">
            <w:pPr>
              <w:spacing w:after="0" w:line="500" w:lineRule="exact"/>
              <w:rPr>
                <w:rFonts w:ascii="宋体" w:hAnsi="宋体" w:eastAsia="宋体" w:cs="宋体"/>
                <w:u w:val="single"/>
              </w:rPr>
            </w:pPr>
          </w:p>
        </w:tc>
        <w:tc>
          <w:tcPr>
            <w:tcW w:w="2781" w:type="dxa"/>
            <w:vAlign w:val="center"/>
          </w:tcPr>
          <w:p w14:paraId="2443B1E2">
            <w:pPr>
              <w:spacing w:after="0" w:line="500" w:lineRule="exact"/>
              <w:rPr>
                <w:rFonts w:ascii="宋体" w:hAnsi="宋体" w:eastAsia="宋体" w:cs="宋体"/>
              </w:rPr>
            </w:pPr>
            <w:r>
              <w:rPr>
                <w:rFonts w:hint="eastAsia" w:ascii="宋体" w:hAnsi="宋体" w:eastAsia="宋体" w:cs="宋体"/>
              </w:rPr>
              <w:t>政府网站主动公开  ☑</w:t>
            </w:r>
          </w:p>
          <w:p w14:paraId="35EA5D61">
            <w:pPr>
              <w:spacing w:after="0" w:line="500" w:lineRule="exact"/>
              <w:rPr>
                <w:rFonts w:ascii="宋体" w:hAnsi="宋体" w:eastAsia="宋体" w:cs="宋体"/>
              </w:rPr>
            </w:pPr>
            <w:r>
              <w:rPr>
                <w:rFonts w:hint="eastAsia" w:ascii="宋体" w:hAnsi="宋体" w:eastAsia="宋体" w:cs="宋体"/>
              </w:rPr>
              <w:t xml:space="preserve">依申请公开        </w:t>
            </w:r>
            <w:r>
              <w:rPr>
                <w:rFonts w:hint="eastAsia" w:ascii="宋体" w:hAnsi="宋体" w:eastAsia="宋体" w:cs="宋体"/>
              </w:rPr>
              <w:sym w:font="Wingdings 2" w:char="0052"/>
            </w:r>
          </w:p>
          <w:p w14:paraId="17921020">
            <w:pPr>
              <w:spacing w:after="0" w:line="500" w:lineRule="exact"/>
              <w:rPr>
                <w:rFonts w:ascii="宋体" w:hAnsi="宋体" w:eastAsia="宋体" w:cs="宋体"/>
              </w:rPr>
            </w:pPr>
            <w:r>
              <w:rPr>
                <w:rFonts w:hint="eastAsia" w:ascii="宋体" w:hAnsi="宋体" w:eastAsia="宋体" w:cs="宋体"/>
              </w:rPr>
              <w:t>其他</w:t>
            </w:r>
          </w:p>
        </w:tc>
        <w:tc>
          <w:tcPr>
            <w:tcW w:w="3277" w:type="dxa"/>
            <w:vAlign w:val="center"/>
          </w:tcPr>
          <w:p w14:paraId="3C312CD8">
            <w:pPr>
              <w:spacing w:after="0" w:line="500" w:lineRule="exact"/>
              <w:rPr>
                <w:rFonts w:ascii="宋体" w:hAnsi="宋体" w:eastAsia="宋体" w:cs="宋体"/>
              </w:rPr>
            </w:pPr>
            <w:r>
              <w:rPr>
                <w:rFonts w:hint="eastAsia" w:ascii="宋体" w:hAnsi="宋体" w:eastAsia="宋体" w:cs="宋体"/>
              </w:rPr>
              <w:t>非涉密，同意公开☑</w:t>
            </w:r>
          </w:p>
          <w:p w14:paraId="06701239">
            <w:pPr>
              <w:spacing w:after="0" w:line="500" w:lineRule="exact"/>
              <w:rPr>
                <w:rFonts w:ascii="宋体" w:hAnsi="宋体" w:eastAsia="宋体" w:cs="宋体"/>
              </w:rPr>
            </w:pPr>
            <w:r>
              <w:rPr>
                <w:rFonts w:hint="eastAsia" w:ascii="宋体" w:hAnsi="宋体" w:eastAsia="宋体" w:cs="宋体"/>
              </w:rPr>
              <w:t>不同意，□</w:t>
            </w:r>
          </w:p>
        </w:tc>
        <w:tc>
          <w:tcPr>
            <w:tcW w:w="2081" w:type="dxa"/>
            <w:vAlign w:val="center"/>
          </w:tcPr>
          <w:p w14:paraId="6388D32B">
            <w:pPr>
              <w:spacing w:after="0" w:line="500" w:lineRule="exact"/>
              <w:jc w:val="center"/>
              <w:rPr>
                <w:rFonts w:ascii="宋体" w:hAnsi="宋体" w:eastAsia="宋体" w:cs="宋体"/>
              </w:rPr>
            </w:pPr>
          </w:p>
        </w:tc>
      </w:tr>
      <w:tr w14:paraId="5DAE41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14:paraId="69970B82">
            <w:pPr>
              <w:spacing w:after="0" w:line="500" w:lineRule="exact"/>
              <w:jc w:val="center"/>
              <w:rPr>
                <w:rFonts w:ascii="宋体" w:hAnsi="宋体" w:eastAsia="宋体" w:cs="宋体"/>
              </w:rPr>
            </w:pPr>
            <w:r>
              <w:rPr>
                <w:rFonts w:hint="eastAsia" w:ascii="宋体" w:hAnsi="宋体" w:eastAsia="宋体" w:cs="宋体"/>
              </w:rPr>
              <w:t>2</w:t>
            </w:r>
          </w:p>
        </w:tc>
        <w:tc>
          <w:tcPr>
            <w:tcW w:w="3098" w:type="dxa"/>
            <w:vAlign w:val="center"/>
          </w:tcPr>
          <w:p w14:paraId="274A8CD3">
            <w:pPr>
              <w:spacing w:after="0" w:line="500" w:lineRule="exact"/>
              <w:jc w:val="center"/>
              <w:rPr>
                <w:rFonts w:ascii="宋体" w:hAnsi="宋体" w:eastAsia="宋体" w:cs="宋体"/>
              </w:rPr>
            </w:pPr>
            <w:r>
              <w:rPr>
                <w:rFonts w:hint="eastAsia" w:ascii="宋体" w:hAnsi="宋体" w:eastAsia="宋体" w:cs="宋体"/>
              </w:rPr>
              <w:t>中方县妇幼保健和计划生育技术服务中心202</w:t>
            </w:r>
            <w:r>
              <w:rPr>
                <w:rFonts w:hint="eastAsia" w:ascii="宋体" w:hAnsi="宋体" w:eastAsia="宋体" w:cs="宋体"/>
                <w:lang w:val="en-US" w:eastAsia="zh-CN"/>
              </w:rPr>
              <w:t>3</w:t>
            </w:r>
            <w:r>
              <w:rPr>
                <w:rFonts w:hint="eastAsia" w:ascii="宋体" w:hAnsi="宋体" w:eastAsia="宋体" w:cs="宋体"/>
              </w:rPr>
              <w:t>年度项目支出绩效自评报告</w:t>
            </w:r>
          </w:p>
        </w:tc>
        <w:tc>
          <w:tcPr>
            <w:tcW w:w="2792" w:type="dxa"/>
            <w:vAlign w:val="center"/>
          </w:tcPr>
          <w:p w14:paraId="4B8EF12A">
            <w:pPr>
              <w:spacing w:after="0" w:line="500" w:lineRule="exact"/>
              <w:rPr>
                <w:rFonts w:ascii="宋体" w:hAnsi="宋体" w:eastAsia="宋体" w:cs="宋体"/>
              </w:rPr>
            </w:pPr>
            <w:r>
              <w:rPr>
                <w:rFonts w:hint="eastAsia" w:ascii="宋体" w:hAnsi="宋体" w:eastAsia="宋体" w:cs="宋体"/>
              </w:rPr>
              <w:t>本机关、单位制发  ☑</w:t>
            </w:r>
          </w:p>
          <w:p w14:paraId="050EC6CE">
            <w:pPr>
              <w:spacing w:after="0" w:line="500" w:lineRule="exact"/>
              <w:rPr>
                <w:rFonts w:ascii="宋体" w:hAnsi="宋体" w:eastAsia="宋体" w:cs="宋体"/>
              </w:rPr>
            </w:pPr>
            <w:r>
              <w:rPr>
                <w:rFonts w:hint="eastAsia" w:ascii="宋体" w:hAnsi="宋体" w:eastAsia="宋体" w:cs="宋体"/>
              </w:rPr>
              <w:t>转载（注明转载来源）：</w:t>
            </w:r>
          </w:p>
          <w:p w14:paraId="1D1AA031">
            <w:pPr>
              <w:spacing w:after="0" w:line="500" w:lineRule="exact"/>
              <w:rPr>
                <w:rFonts w:ascii="宋体" w:hAnsi="宋体" w:eastAsia="宋体" w:cs="宋体"/>
              </w:rPr>
            </w:pPr>
          </w:p>
        </w:tc>
        <w:tc>
          <w:tcPr>
            <w:tcW w:w="2781" w:type="dxa"/>
            <w:vAlign w:val="center"/>
          </w:tcPr>
          <w:p w14:paraId="6441264E">
            <w:pPr>
              <w:spacing w:after="0" w:line="500" w:lineRule="exact"/>
              <w:rPr>
                <w:rFonts w:ascii="宋体" w:hAnsi="宋体" w:eastAsia="宋体" w:cs="宋体"/>
              </w:rPr>
            </w:pPr>
            <w:r>
              <w:rPr>
                <w:rFonts w:hint="eastAsia" w:ascii="宋体" w:hAnsi="宋体" w:eastAsia="宋体" w:cs="宋体"/>
              </w:rPr>
              <w:t>政府网站主动公开  ☑</w:t>
            </w:r>
          </w:p>
          <w:p w14:paraId="6368645D">
            <w:pPr>
              <w:spacing w:after="0" w:line="500" w:lineRule="exact"/>
              <w:rPr>
                <w:rFonts w:ascii="宋体" w:hAnsi="宋体" w:eastAsia="宋体" w:cs="宋体"/>
              </w:rPr>
            </w:pPr>
            <w:r>
              <w:rPr>
                <w:rFonts w:hint="eastAsia" w:ascii="宋体" w:hAnsi="宋体" w:eastAsia="宋体" w:cs="宋体"/>
              </w:rPr>
              <w:t>依申请公开        □</w:t>
            </w:r>
          </w:p>
          <w:p w14:paraId="6E14D83A">
            <w:pPr>
              <w:spacing w:after="0" w:line="500" w:lineRule="exact"/>
              <w:rPr>
                <w:rFonts w:ascii="宋体" w:hAnsi="宋体" w:eastAsia="宋体" w:cs="宋体"/>
              </w:rPr>
            </w:pPr>
            <w:r>
              <w:rPr>
                <w:rFonts w:hint="eastAsia" w:ascii="宋体" w:hAnsi="宋体" w:eastAsia="宋体" w:cs="宋体"/>
              </w:rPr>
              <w:t>其他</w:t>
            </w:r>
          </w:p>
        </w:tc>
        <w:tc>
          <w:tcPr>
            <w:tcW w:w="3277" w:type="dxa"/>
            <w:vAlign w:val="center"/>
          </w:tcPr>
          <w:p w14:paraId="57E7D1FE">
            <w:pPr>
              <w:spacing w:after="0" w:line="500" w:lineRule="exact"/>
              <w:rPr>
                <w:rFonts w:ascii="宋体" w:hAnsi="宋体" w:eastAsia="宋体" w:cs="宋体"/>
              </w:rPr>
            </w:pPr>
            <w:r>
              <w:rPr>
                <w:rFonts w:hint="eastAsia" w:ascii="宋体" w:hAnsi="宋体" w:eastAsia="宋体" w:cs="宋体"/>
              </w:rPr>
              <w:t>非涉密，同意公开☑</w:t>
            </w:r>
          </w:p>
          <w:p w14:paraId="5BFD11C3">
            <w:pPr>
              <w:spacing w:after="0" w:line="500" w:lineRule="exact"/>
              <w:rPr>
                <w:rFonts w:ascii="宋体" w:hAnsi="宋体" w:eastAsia="宋体" w:cs="宋体"/>
              </w:rPr>
            </w:pPr>
            <w:r>
              <w:rPr>
                <w:rFonts w:hint="eastAsia" w:ascii="宋体" w:hAnsi="宋体" w:eastAsia="宋体" w:cs="宋体"/>
              </w:rPr>
              <w:t>不同意，□</w:t>
            </w:r>
          </w:p>
        </w:tc>
        <w:tc>
          <w:tcPr>
            <w:tcW w:w="2081" w:type="dxa"/>
            <w:vAlign w:val="center"/>
          </w:tcPr>
          <w:p w14:paraId="37041473">
            <w:pPr>
              <w:spacing w:after="0" w:line="500" w:lineRule="exact"/>
              <w:jc w:val="center"/>
              <w:rPr>
                <w:rFonts w:ascii="宋体" w:hAnsi="宋体" w:eastAsia="宋体" w:cs="宋体"/>
              </w:rPr>
            </w:pPr>
          </w:p>
        </w:tc>
      </w:tr>
      <w:tr w14:paraId="124C72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9380" w:type="dxa"/>
            <w:gridSpan w:val="4"/>
            <w:vAlign w:val="center"/>
          </w:tcPr>
          <w:p w14:paraId="51A6D38B">
            <w:pPr>
              <w:spacing w:after="0" w:line="500" w:lineRule="exact"/>
              <w:rPr>
                <w:rFonts w:ascii="宋体" w:hAnsi="宋体" w:eastAsia="宋体" w:cs="宋体"/>
              </w:rPr>
            </w:pPr>
            <w:r>
              <w:rPr>
                <w:rFonts w:hint="eastAsia" w:ascii="宋体" w:hAnsi="宋体" w:eastAsia="宋体" w:cs="宋体"/>
              </w:rPr>
              <w:t>承办人</w:t>
            </w:r>
            <w:r>
              <w:rPr>
                <w:rFonts w:hint="eastAsia" w:ascii="宋体" w:hAnsi="宋体" w:eastAsia="宋体" w:cs="宋体"/>
                <w:u w:val="single"/>
              </w:rPr>
              <w:t>初审</w:t>
            </w:r>
            <w:r>
              <w:rPr>
                <w:rFonts w:hint="eastAsia" w:ascii="宋体" w:hAnsi="宋体" w:eastAsia="宋体" w:cs="宋体"/>
              </w:rPr>
              <w:t>（签字）</w:t>
            </w:r>
          </w:p>
        </w:tc>
        <w:tc>
          <w:tcPr>
            <w:tcW w:w="3277" w:type="dxa"/>
            <w:vAlign w:val="center"/>
          </w:tcPr>
          <w:p w14:paraId="282FF04A">
            <w:pPr>
              <w:spacing w:after="0" w:line="500" w:lineRule="exact"/>
              <w:rPr>
                <w:rFonts w:ascii="宋体" w:hAnsi="宋体" w:eastAsia="宋体" w:cs="宋体"/>
              </w:rPr>
            </w:pPr>
            <w:r>
              <w:rPr>
                <w:rFonts w:hint="eastAsia" w:ascii="宋体" w:hAnsi="宋体" w:eastAsia="宋体" w:cs="宋体"/>
              </w:rPr>
              <w:t>（签字）</w:t>
            </w:r>
          </w:p>
        </w:tc>
        <w:tc>
          <w:tcPr>
            <w:tcW w:w="2081" w:type="dxa"/>
            <w:vAlign w:val="center"/>
          </w:tcPr>
          <w:p w14:paraId="4E16D592">
            <w:pPr>
              <w:spacing w:after="0" w:line="500" w:lineRule="exact"/>
              <w:rPr>
                <w:rFonts w:ascii="宋体" w:hAnsi="宋体" w:eastAsia="宋体" w:cs="宋体"/>
              </w:rPr>
            </w:pPr>
            <w:r>
              <w:rPr>
                <w:rFonts w:hint="eastAsia" w:ascii="宋体" w:hAnsi="宋体" w:eastAsia="宋体" w:cs="宋体"/>
              </w:rPr>
              <w:t>（签字）</w:t>
            </w:r>
          </w:p>
        </w:tc>
      </w:tr>
    </w:tbl>
    <w:p w14:paraId="3DA987F0">
      <w:pPr>
        <w:spacing w:after="0" w:line="400" w:lineRule="exact"/>
        <w:ind w:firstLine="440" w:firstLineChars="200"/>
        <w:rPr>
          <w:rFonts w:ascii="宋体" w:hAnsi="宋体" w:eastAsia="宋体" w:cs="宋体"/>
        </w:rPr>
      </w:pPr>
    </w:p>
    <w:p w14:paraId="1F834017">
      <w:pPr>
        <w:spacing w:after="0" w:line="400" w:lineRule="exact"/>
        <w:ind w:firstLine="440" w:firstLineChars="200"/>
        <w:rPr>
          <w:rFonts w:ascii="宋体" w:hAnsi="宋体" w:eastAsia="宋体" w:cs="宋体"/>
        </w:rPr>
      </w:pPr>
      <w:r>
        <w:rPr>
          <w:rFonts w:hint="eastAsia" w:ascii="宋体" w:hAnsi="宋体" w:eastAsia="宋体" w:cs="宋体"/>
        </w:rPr>
        <w:t>注：1.机关、单位政府网站及政务新媒体发布信息前要认真填写本表；</w:t>
      </w:r>
    </w:p>
    <w:p w14:paraId="2D6069D5">
      <w:pPr>
        <w:spacing w:after="0" w:line="400" w:lineRule="exact"/>
        <w:ind w:firstLine="880" w:firstLineChars="400"/>
        <w:rPr>
          <w:rFonts w:ascii="宋体" w:hAnsi="宋体" w:eastAsia="宋体" w:cs="宋体"/>
        </w:rPr>
      </w:pPr>
      <w:r>
        <w:rPr>
          <w:rFonts w:hint="eastAsia" w:ascii="宋体" w:hAnsi="宋体" w:eastAsia="宋体" w:cs="宋体"/>
        </w:rPr>
        <w:t>2.严格落实信息发布保密审查制度和“三审制”，请在相应的“□”打“√”或填写意见；</w:t>
      </w:r>
      <w:bookmarkStart w:id="0" w:name="_GoBack"/>
      <w:bookmarkEnd w:id="0"/>
    </w:p>
    <w:p w14:paraId="1165AC15">
      <w:pPr>
        <w:spacing w:after="0" w:line="400" w:lineRule="exact"/>
        <w:ind w:firstLine="880" w:firstLineChars="400"/>
        <w:rPr>
          <w:rFonts w:ascii="宋体" w:hAnsi="宋体" w:eastAsia="宋体" w:cs="宋体"/>
        </w:rPr>
      </w:pPr>
      <w:r>
        <w:rPr>
          <w:rFonts w:hint="eastAsia" w:ascii="宋体" w:hAnsi="宋体" w:eastAsia="宋体" w:cs="宋体"/>
        </w:rPr>
        <w:t>3.信息发布要严把文字、保密、政治关，不能确定信息是否可以公开时，要组织保密审查并报上级部门确认；</w:t>
      </w:r>
    </w:p>
    <w:p w14:paraId="7CC22CC8">
      <w:pPr>
        <w:spacing w:after="0" w:line="400" w:lineRule="exact"/>
        <w:ind w:firstLine="880" w:firstLineChars="400"/>
        <w:rPr>
          <w:rFonts w:ascii="宋体" w:hAnsi="宋体" w:eastAsia="宋体" w:cs="宋体"/>
        </w:rPr>
      </w:pPr>
      <w:r>
        <w:rPr>
          <w:rFonts w:hint="eastAsia" w:ascii="宋体" w:hAnsi="宋体" w:eastAsia="宋体" w:cs="宋体"/>
        </w:rPr>
        <w:t>4.本表由本机关、单位负责组织填写和保管</w:t>
      </w:r>
    </w:p>
    <w:sectPr>
      <w:pgSz w:w="16838" w:h="11906" w:orient="landscape"/>
      <w:pgMar w:top="1587" w:right="1587" w:bottom="1587" w:left="1587" w:header="708" w:footer="709" w:gutter="0"/>
      <w:cols w:space="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altName w:val="黑体"/>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3CA409">
    <w:pPr>
      <w:pStyle w:val="2"/>
    </w:pPr>
    <w:r>
      <w:pict>
        <v:shape id="文本框 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ihY+ckBAACZ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mUOG5x4OefP86/Hs8P38mb&#10;LE8foMasu4B5aXjvh5w6+QGdmfWgos1f5EMwjuKeLuLKIRGRH62Wq1WFIYGx+YI47Ol5iJA+SG9J&#10;NhoacXpFVH78BGlMnVNyNedvtTHo57VxfzkQM3tY7n3sMVtp2A1T4zvfnpBPj4NvqMM9p8R8dKhr&#10;3pHZiLOxm41DiHrflSXK9SC8OyRsovSWK4ywU2GcWGE3bVdeiT/vJevpj9r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mKFj5yQEAAJkDAAAOAAAAAAAAAAEAIAAAAB4BAABkcnMvZTJvRG9j&#10;LnhtbFBLBQYAAAAABgAGAFkBAABZBQAAAAA=&#10;">
          <v:path/>
          <v:fill on="f" focussize="0,0"/>
          <v:stroke on="f" joinstyle="miter"/>
          <v:imagedata o:title=""/>
          <o:lock v:ext="edit"/>
          <v:textbox inset="0mm,0mm,0mm,0mm" style="mso-fit-shape-to-text:t;">
            <w:txbxContent>
              <w:p w14:paraId="2BA1B4F2">
                <w:pPr>
                  <w:pStyle w:val="2"/>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10</w:t>
                </w:r>
                <w:r>
                  <w:rPr>
                    <w:sz w:val="21"/>
                    <w:szCs w:val="21"/>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E6A5DA"/>
    <w:multiLevelType w:val="singleLevel"/>
    <w:tmpl w:val="0CE6A5DA"/>
    <w:lvl w:ilvl="0" w:tentative="0">
      <w:start w:val="5"/>
      <w:numFmt w:val="chineseCounting"/>
      <w:suff w:val="nothing"/>
      <w:lvlText w:val="%1、"/>
      <w:lvlJc w:val="left"/>
      <w:rPr>
        <w:rFonts w:hint="eastAsia"/>
      </w:rPr>
    </w:lvl>
  </w:abstractNum>
  <w:abstractNum w:abstractNumId="1">
    <w:nsid w:val="14484732"/>
    <w:multiLevelType w:val="singleLevel"/>
    <w:tmpl w:val="14484732"/>
    <w:lvl w:ilvl="0" w:tentative="0">
      <w:start w:val="4"/>
      <w:numFmt w:val="chineseCounting"/>
      <w:suff w:val="nothing"/>
      <w:lvlText w:val="%1、"/>
      <w:lvlJc w:val="left"/>
      <w:rPr>
        <w:rFonts w:hint="eastAsia"/>
      </w:rPr>
    </w:lvl>
  </w:abstractNum>
  <w:abstractNum w:abstractNumId="2">
    <w:nsid w:val="156F5F3C"/>
    <w:multiLevelType w:val="singleLevel"/>
    <w:tmpl w:val="156F5F3C"/>
    <w:lvl w:ilvl="0" w:tentative="0">
      <w:start w:val="2"/>
      <w:numFmt w:val="chineseCounting"/>
      <w:suff w:val="nothing"/>
      <w:lvlText w:val="（%1）"/>
      <w:lvlJc w:val="left"/>
      <w:rPr>
        <w:rFonts w:hint="eastAsia"/>
      </w:rPr>
    </w:lvl>
  </w:abstractNum>
  <w:abstractNum w:abstractNumId="3">
    <w:nsid w:val="30C319D7"/>
    <w:multiLevelType w:val="singleLevel"/>
    <w:tmpl w:val="30C319D7"/>
    <w:lvl w:ilvl="0" w:tentative="0">
      <w:start w:val="2"/>
      <w:numFmt w:val="chineseCounting"/>
      <w:suff w:val="nothing"/>
      <w:lvlText w:val="（%1）"/>
      <w:lvlJc w:val="left"/>
      <w:rPr>
        <w:rFonts w:hint="eastAsia"/>
      </w:rPr>
    </w:lvl>
  </w:abstractNum>
  <w:abstractNum w:abstractNumId="4">
    <w:nsid w:val="65EBEE85"/>
    <w:multiLevelType w:val="singleLevel"/>
    <w:tmpl w:val="65EBEE85"/>
    <w:lvl w:ilvl="0" w:tentative="0">
      <w:start w:val="1"/>
      <w:numFmt w:val="decimal"/>
      <w:suff w:val="nothing"/>
      <w:lvlText w:val="%1、"/>
      <w:lvlJc w:val="left"/>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hdrShapeDefaults>
    <o:shapelayout v:ext="edit">
      <o:idmap v:ext="edit" data="1"/>
    </o:shapelayout>
  </w:hdrShapeDefaults>
  <w:footnotePr>
    <w:footnote w:id="0"/>
    <w:footnote w:id="1"/>
  </w:footnotePr>
  <w:compat>
    <w:useFELayout/>
    <w:compatSetting w:name="compatibilityMode" w:uri="http://schemas.microsoft.com/office/word" w:val="12"/>
  </w:compat>
  <w:docVars>
    <w:docVar w:name="commondata" w:val="eyJoZGlkIjoiODk5ZjIxMzNiMzg5YWJiMDBlNjBhNDg1MjIyNDM5MWUifQ=="/>
  </w:docVars>
  <w:rsids>
    <w:rsidRoot w:val="00D31D50"/>
    <w:rsid w:val="00043B0C"/>
    <w:rsid w:val="00055B03"/>
    <w:rsid w:val="000B540C"/>
    <w:rsid w:val="000E520B"/>
    <w:rsid w:val="00104AF0"/>
    <w:rsid w:val="00106532"/>
    <w:rsid w:val="00135CB9"/>
    <w:rsid w:val="001443B8"/>
    <w:rsid w:val="001A2DB6"/>
    <w:rsid w:val="001F1A2E"/>
    <w:rsid w:val="001F36BD"/>
    <w:rsid w:val="00323B43"/>
    <w:rsid w:val="00361534"/>
    <w:rsid w:val="0036742F"/>
    <w:rsid w:val="0038315F"/>
    <w:rsid w:val="003D37D8"/>
    <w:rsid w:val="00415CE5"/>
    <w:rsid w:val="00426133"/>
    <w:rsid w:val="004358AB"/>
    <w:rsid w:val="00494E33"/>
    <w:rsid w:val="004B44DF"/>
    <w:rsid w:val="004C6566"/>
    <w:rsid w:val="004F771D"/>
    <w:rsid w:val="00530D76"/>
    <w:rsid w:val="00542C4C"/>
    <w:rsid w:val="00567B4B"/>
    <w:rsid w:val="00571DD9"/>
    <w:rsid w:val="006032BA"/>
    <w:rsid w:val="00620E4A"/>
    <w:rsid w:val="00657EFE"/>
    <w:rsid w:val="006B50E7"/>
    <w:rsid w:val="007340AC"/>
    <w:rsid w:val="00782012"/>
    <w:rsid w:val="00807C6D"/>
    <w:rsid w:val="00825CA4"/>
    <w:rsid w:val="0085157C"/>
    <w:rsid w:val="008A7153"/>
    <w:rsid w:val="008B7726"/>
    <w:rsid w:val="009113CE"/>
    <w:rsid w:val="00914FE1"/>
    <w:rsid w:val="00932614"/>
    <w:rsid w:val="009C52A7"/>
    <w:rsid w:val="00A52F6A"/>
    <w:rsid w:val="00A90A9C"/>
    <w:rsid w:val="00AA2BB6"/>
    <w:rsid w:val="00AF7382"/>
    <w:rsid w:val="00B0349B"/>
    <w:rsid w:val="00B07078"/>
    <w:rsid w:val="00C03717"/>
    <w:rsid w:val="00C04908"/>
    <w:rsid w:val="00C36A69"/>
    <w:rsid w:val="00CF5F8D"/>
    <w:rsid w:val="00D31D50"/>
    <w:rsid w:val="00E37B7A"/>
    <w:rsid w:val="00E6135B"/>
    <w:rsid w:val="00E67D25"/>
    <w:rsid w:val="00EA7D7A"/>
    <w:rsid w:val="00EB4495"/>
    <w:rsid w:val="00EF6707"/>
    <w:rsid w:val="00F33E47"/>
    <w:rsid w:val="00F35E1F"/>
    <w:rsid w:val="00F6372E"/>
    <w:rsid w:val="00F81B99"/>
    <w:rsid w:val="00FA17E4"/>
    <w:rsid w:val="010D6B75"/>
    <w:rsid w:val="018C519F"/>
    <w:rsid w:val="01972837"/>
    <w:rsid w:val="01FD5627"/>
    <w:rsid w:val="02572DDA"/>
    <w:rsid w:val="033A1D2B"/>
    <w:rsid w:val="03550139"/>
    <w:rsid w:val="03985A68"/>
    <w:rsid w:val="03A462BB"/>
    <w:rsid w:val="0455536E"/>
    <w:rsid w:val="05B775DF"/>
    <w:rsid w:val="06B458C0"/>
    <w:rsid w:val="070C4DB2"/>
    <w:rsid w:val="079808BF"/>
    <w:rsid w:val="08856DEC"/>
    <w:rsid w:val="08CA4055"/>
    <w:rsid w:val="09E813E1"/>
    <w:rsid w:val="0AB1645E"/>
    <w:rsid w:val="0B2823FC"/>
    <w:rsid w:val="0C437D3E"/>
    <w:rsid w:val="0E6B152D"/>
    <w:rsid w:val="10264A11"/>
    <w:rsid w:val="10A23EC0"/>
    <w:rsid w:val="11050ACA"/>
    <w:rsid w:val="115B693C"/>
    <w:rsid w:val="12020899"/>
    <w:rsid w:val="12855F2D"/>
    <w:rsid w:val="131109C2"/>
    <w:rsid w:val="13531C06"/>
    <w:rsid w:val="13D824C6"/>
    <w:rsid w:val="15574F43"/>
    <w:rsid w:val="15F50B9B"/>
    <w:rsid w:val="160E2D9E"/>
    <w:rsid w:val="17CB21F6"/>
    <w:rsid w:val="17DB07D7"/>
    <w:rsid w:val="17FC5549"/>
    <w:rsid w:val="18874946"/>
    <w:rsid w:val="1AA11864"/>
    <w:rsid w:val="1C4F7811"/>
    <w:rsid w:val="1E611638"/>
    <w:rsid w:val="1E926D9A"/>
    <w:rsid w:val="1FC009DE"/>
    <w:rsid w:val="1FC77BA4"/>
    <w:rsid w:val="1FF57DF9"/>
    <w:rsid w:val="1FFD6273"/>
    <w:rsid w:val="206D21E8"/>
    <w:rsid w:val="207A48AF"/>
    <w:rsid w:val="208042C0"/>
    <w:rsid w:val="22995058"/>
    <w:rsid w:val="22A27406"/>
    <w:rsid w:val="23E8420E"/>
    <w:rsid w:val="25030093"/>
    <w:rsid w:val="262F2B51"/>
    <w:rsid w:val="26820A49"/>
    <w:rsid w:val="27111A08"/>
    <w:rsid w:val="27AF54E0"/>
    <w:rsid w:val="27E50A60"/>
    <w:rsid w:val="2826333B"/>
    <w:rsid w:val="282C127B"/>
    <w:rsid w:val="283F0101"/>
    <w:rsid w:val="29932CBF"/>
    <w:rsid w:val="29DE76A0"/>
    <w:rsid w:val="2A747218"/>
    <w:rsid w:val="2B6861CE"/>
    <w:rsid w:val="2B85488A"/>
    <w:rsid w:val="2BA70A0B"/>
    <w:rsid w:val="2D205A01"/>
    <w:rsid w:val="2D450775"/>
    <w:rsid w:val="2D796670"/>
    <w:rsid w:val="2D890D50"/>
    <w:rsid w:val="2E08776C"/>
    <w:rsid w:val="2E471DC8"/>
    <w:rsid w:val="2E7F2E40"/>
    <w:rsid w:val="2F1A6C8E"/>
    <w:rsid w:val="2FB93755"/>
    <w:rsid w:val="309F1657"/>
    <w:rsid w:val="33423060"/>
    <w:rsid w:val="33D01AB8"/>
    <w:rsid w:val="345222EB"/>
    <w:rsid w:val="34E42621"/>
    <w:rsid w:val="366F0501"/>
    <w:rsid w:val="375A6719"/>
    <w:rsid w:val="3769735A"/>
    <w:rsid w:val="38480341"/>
    <w:rsid w:val="3862667F"/>
    <w:rsid w:val="39360B0F"/>
    <w:rsid w:val="396346C9"/>
    <w:rsid w:val="3A9F783C"/>
    <w:rsid w:val="3AD84480"/>
    <w:rsid w:val="3B0949EF"/>
    <w:rsid w:val="3C756313"/>
    <w:rsid w:val="3EE4286E"/>
    <w:rsid w:val="3F2533F6"/>
    <w:rsid w:val="3F424339"/>
    <w:rsid w:val="3FFC25C9"/>
    <w:rsid w:val="40F97EBF"/>
    <w:rsid w:val="417D7802"/>
    <w:rsid w:val="42912F65"/>
    <w:rsid w:val="42BB7663"/>
    <w:rsid w:val="42F20DCB"/>
    <w:rsid w:val="431A078E"/>
    <w:rsid w:val="43B802BF"/>
    <w:rsid w:val="44AD039C"/>
    <w:rsid w:val="460C7BB5"/>
    <w:rsid w:val="46DC1FBC"/>
    <w:rsid w:val="47B21FD0"/>
    <w:rsid w:val="47B975FE"/>
    <w:rsid w:val="482E79F6"/>
    <w:rsid w:val="488F2F9E"/>
    <w:rsid w:val="48EC24DB"/>
    <w:rsid w:val="490C0D4E"/>
    <w:rsid w:val="491911E2"/>
    <w:rsid w:val="49331971"/>
    <w:rsid w:val="4B307425"/>
    <w:rsid w:val="4B6D01D8"/>
    <w:rsid w:val="4E6B1A2A"/>
    <w:rsid w:val="4F3C4A59"/>
    <w:rsid w:val="51565E84"/>
    <w:rsid w:val="515801F4"/>
    <w:rsid w:val="526B70BF"/>
    <w:rsid w:val="52C61160"/>
    <w:rsid w:val="53160B7D"/>
    <w:rsid w:val="54D561A2"/>
    <w:rsid w:val="54E06CB6"/>
    <w:rsid w:val="589A5C0E"/>
    <w:rsid w:val="58AE663A"/>
    <w:rsid w:val="5A945878"/>
    <w:rsid w:val="5AC1682D"/>
    <w:rsid w:val="5AFD3965"/>
    <w:rsid w:val="5D81714F"/>
    <w:rsid w:val="5E4D69C7"/>
    <w:rsid w:val="5E7E090A"/>
    <w:rsid w:val="5E9D36BD"/>
    <w:rsid w:val="5ED74E21"/>
    <w:rsid w:val="5F45696F"/>
    <w:rsid w:val="60FD1DC0"/>
    <w:rsid w:val="627D4878"/>
    <w:rsid w:val="64B410AF"/>
    <w:rsid w:val="650E7F20"/>
    <w:rsid w:val="66F30DB5"/>
    <w:rsid w:val="66F6790A"/>
    <w:rsid w:val="69224EEB"/>
    <w:rsid w:val="6BA204F9"/>
    <w:rsid w:val="6BEC7865"/>
    <w:rsid w:val="6BF24A3B"/>
    <w:rsid w:val="6C0E5F5E"/>
    <w:rsid w:val="6C316DA2"/>
    <w:rsid w:val="6C40077A"/>
    <w:rsid w:val="6D1920F6"/>
    <w:rsid w:val="6D2A0A99"/>
    <w:rsid w:val="6E6B10E2"/>
    <w:rsid w:val="6F7D6FD7"/>
    <w:rsid w:val="70AC6CA6"/>
    <w:rsid w:val="73667E4A"/>
    <w:rsid w:val="76500BBD"/>
    <w:rsid w:val="768B79D3"/>
    <w:rsid w:val="768F0540"/>
    <w:rsid w:val="78CC19CB"/>
    <w:rsid w:val="795506F4"/>
    <w:rsid w:val="79A429DF"/>
    <w:rsid w:val="7A3B5C3E"/>
    <w:rsid w:val="7A6618BC"/>
    <w:rsid w:val="7C0B180E"/>
    <w:rsid w:val="7C8C7339"/>
    <w:rsid w:val="7DA42869"/>
    <w:rsid w:val="7DCC76C3"/>
    <w:rsid w:val="7E0D2C5E"/>
    <w:rsid w:val="7E972B85"/>
    <w:rsid w:val="7ECE3FBA"/>
    <w:rsid w:val="7EE561B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jc w:val="center"/>
    </w:pPr>
    <w:rPr>
      <w:sz w:val="18"/>
      <w:szCs w:val="18"/>
    </w:rPr>
  </w:style>
  <w:style w:type="paragraph" w:styleId="4">
    <w:name w:val="Normal (Web)"/>
    <w:basedOn w:val="1"/>
    <w:semiHidden/>
    <w:unhideWhenUsed/>
    <w:qFormat/>
    <w:uiPriority w:val="99"/>
    <w:pPr>
      <w:adjustRightInd/>
      <w:snapToGrid/>
      <w:spacing w:before="100" w:beforeAutospacing="1" w:after="100" w:afterAutospacing="1"/>
    </w:pPr>
    <w:rPr>
      <w:rFonts w:ascii="宋体" w:hAnsi="宋体" w:eastAsia="宋体" w:cs="宋体"/>
      <w:sz w:val="24"/>
      <w:szCs w:val="24"/>
    </w:rPr>
  </w:style>
  <w:style w:type="character" w:styleId="7">
    <w:name w:val="page number"/>
    <w:basedOn w:val="6"/>
    <w:qFormat/>
    <w:uiPriority w:val="0"/>
  </w:style>
  <w:style w:type="character" w:styleId="8">
    <w:name w:val="Hyperlink"/>
    <w:basedOn w:val="6"/>
    <w:semiHidden/>
    <w:unhideWhenUsed/>
    <w:qFormat/>
    <w:uiPriority w:val="99"/>
    <w:rPr>
      <w:color w:val="333333"/>
      <w:u w:val="none"/>
    </w:rPr>
  </w:style>
  <w:style w:type="character" w:customStyle="1" w:styleId="9">
    <w:name w:val="页眉 Char"/>
    <w:basedOn w:val="6"/>
    <w:link w:val="3"/>
    <w:semiHidden/>
    <w:qFormat/>
    <w:uiPriority w:val="99"/>
    <w:rPr>
      <w:rFonts w:ascii="Tahoma" w:hAnsi="Tahoma"/>
      <w:sz w:val="18"/>
      <w:szCs w:val="18"/>
    </w:rPr>
  </w:style>
  <w:style w:type="character" w:customStyle="1" w:styleId="10">
    <w:name w:val="页脚 Char"/>
    <w:basedOn w:val="6"/>
    <w:link w:val="2"/>
    <w:semiHidden/>
    <w:qFormat/>
    <w:uiPriority w:val="99"/>
    <w:rPr>
      <w:rFonts w:ascii="Tahoma" w:hAnsi="Tahoma"/>
      <w:sz w:val="18"/>
      <w:szCs w:val="18"/>
    </w:rPr>
  </w:style>
  <w:style w:type="paragraph" w:styleId="11">
    <w:name w:val="List Paragraph"/>
    <w:basedOn w:val="1"/>
    <w:qFormat/>
    <w:uiPriority w:val="99"/>
    <w:pPr>
      <w:ind w:firstLine="420" w:firstLineChars="200"/>
    </w:pPr>
    <w:rPr>
      <w:rFonts w:ascii="Calibri" w:hAnsi="Calibri"/>
    </w:rPr>
  </w:style>
  <w:style w:type="paragraph" w:styleId="12">
    <w:name w:val="No Spacing"/>
    <w:qFormat/>
    <w:uiPriority w:val="0"/>
    <w:pPr>
      <w:adjustRightInd w:val="0"/>
      <w:snapToGrid w:val="0"/>
    </w:pPr>
    <w:rPr>
      <w:rFonts w:ascii="Tahoma" w:hAnsi="Tahoma" w:eastAsia="微软雅黑" w:cs="Times New Roman"/>
      <w:sz w:val="22"/>
      <w:szCs w:val="22"/>
      <w:lang w:val="en-US" w:eastAsia="zh-CN" w:bidi="ar-SA"/>
    </w:rPr>
  </w:style>
  <w:style w:type="paragraph" w:customStyle="1" w:styleId="13">
    <w:name w:val="样式1"/>
    <w:basedOn w:val="1"/>
    <w:qFormat/>
    <w:uiPriority w:val="0"/>
    <w:pPr>
      <w:tabs>
        <w:tab w:val="left" w:pos="3220"/>
        <w:tab w:val="left" w:pos="3381"/>
      </w:tabs>
      <w:ind w:firstLine="640"/>
    </w:pPr>
  </w:style>
  <w:style w:type="character" w:customStyle="1" w:styleId="14">
    <w:name w:val="zyyy"/>
    <w:basedOn w:val="6"/>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20</Pages>
  <Words>10409</Words>
  <Characters>11137</Characters>
  <Lines>83</Lines>
  <Paragraphs>23</Paragraphs>
  <TotalTime>19</TotalTime>
  <ScaleCrop>false</ScaleCrop>
  <LinksUpToDate>false</LinksUpToDate>
  <CharactersWithSpaces>11235</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2023-06-30T03:00:00Z</dcterms:created>
  <dc:creator>Administrator</dc:creator>
  <cp:lastModifiedBy>Administrator</cp:lastModifiedBy>
  <cp:lastPrinted>2023-07-12T00:43:00Z</cp:lastPrinted>
  <dcterms:modified xsi:type="dcterms:W3CDTF">2024-08-02T06:48:01Z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FCF491CC269743D18BC92A1FEB9338E0</vt:lpwstr>
  </property>
</Properties>
</file>