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ascii="楷体" w:hAnsi="楷体" w:eastAsia="楷体" w:cs="楷体"/>
          <w:bCs/>
          <w:sz w:val="36"/>
          <w:szCs w:val="36"/>
        </w:rPr>
      </w:pPr>
      <w:r>
        <w:rPr>
          <w:rFonts w:hint="eastAsia" w:ascii="方正小标宋_GBK" w:hAnsi="方正小标宋_GBK" w:eastAsia="方正小标宋_GBK" w:cs="方正小标宋_GBK"/>
        </w:rPr>
        <w:t>中方县</w:t>
      </w:r>
      <w:r>
        <w:rPr>
          <w:rFonts w:hint="eastAsia" w:ascii="方正小标宋_GBK" w:hAnsi="方正小标宋_GBK" w:cs="方正小标宋_GBK"/>
          <w:b/>
          <w:bCs/>
          <w:lang w:eastAsia="zh-CN"/>
        </w:rPr>
        <w:t>红十字会</w:t>
      </w:r>
      <w:r>
        <w:rPr>
          <w:rFonts w:hint="eastAsia" w:ascii="方正小标宋_GBK" w:hAnsi="方正小标宋_GBK" w:eastAsia="方正小标宋_GBK" w:cs="方正小标宋_GBK"/>
          <w:lang w:eastAsia="zh-CN"/>
        </w:rPr>
        <w:t>202</w:t>
      </w:r>
      <w:r>
        <w:rPr>
          <w:rFonts w:hint="eastAsia" w:ascii="方正小标宋_GBK" w:hAnsi="方正小标宋_GBK" w:eastAsia="方正小标宋_GBK" w:cs="方正小标宋_GBK"/>
          <w:lang w:val="en-US" w:eastAsia="zh-CN"/>
        </w:rPr>
        <w:t>3</w:t>
      </w:r>
      <w:r>
        <w:rPr>
          <w:rFonts w:hint="eastAsia" w:ascii="方正小标宋_GBK" w:hAnsi="方正小标宋_GBK" w:eastAsia="方正小标宋_GBK" w:cs="方正小标宋_GBK"/>
        </w:rPr>
        <w:t>年度部门整体支出绩效自评报告</w:t>
      </w:r>
    </w:p>
    <w:p>
      <w:pPr>
        <w:pStyle w:val="3"/>
        <w:bidi w:val="0"/>
      </w:pPr>
      <w:r>
        <w:rPr>
          <w:rFonts w:hint="eastAsia"/>
        </w:rPr>
        <w:t>一、部门基本情况</w:t>
      </w:r>
    </w:p>
    <w:p>
      <w:pPr>
        <w:keepNext w:val="0"/>
        <w:keepLines w:val="0"/>
        <w:pageBreakBefore w:val="0"/>
        <w:widowControl/>
        <w:kinsoku/>
        <w:wordWrap/>
        <w:overflowPunct/>
        <w:topLinePunct w:val="0"/>
        <w:autoSpaceDE/>
        <w:autoSpaceDN/>
        <w:bidi w:val="0"/>
        <w:adjustRightInd w:val="0"/>
        <w:snapToGrid w:val="0"/>
        <w:spacing w:after="0" w:line="600" w:lineRule="atLeas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（一）部门职能与机构设置</w:t>
      </w:r>
    </w:p>
    <w:p>
      <w:pPr>
        <w:keepNext/>
        <w:keepLines/>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1、部门职能</w:t>
      </w:r>
    </w:p>
    <w:p>
      <w:pPr>
        <w:keepNext/>
        <w:keepLines/>
        <w:pageBreakBefore w:val="0"/>
        <w:widowControl w:val="0"/>
        <w:numPr>
          <w:ilvl w:val="0"/>
          <w:numId w:val="0"/>
        </w:numPr>
        <w:kinsoku/>
        <w:wordWrap/>
        <w:overflowPunct/>
        <w:topLinePunct w:val="0"/>
        <w:autoSpaceDE/>
        <w:autoSpaceDN/>
        <w:bidi w:val="0"/>
        <w:adjustRightInd/>
        <w:snapToGrid/>
        <w:spacing w:after="0" w:line="520" w:lineRule="exact"/>
        <w:ind w:firstLine="640" w:firstLineChars="200"/>
        <w:textAlignment w:val="auto"/>
        <w:rPr>
          <w:rFonts w:hint="eastAsia" w:ascii="仿宋" w:hAnsi="仿宋" w:eastAsia="仿宋" w:cs="仿宋"/>
          <w:b/>
          <w:bCs/>
          <w:sz w:val="32"/>
          <w:szCs w:val="32"/>
        </w:rPr>
      </w:pPr>
      <w:r>
        <w:rPr>
          <w:rFonts w:hint="default" w:ascii="Calibri" w:hAnsi="Calibri" w:eastAsia="仿宋" w:cs="Calibri"/>
          <w:sz w:val="32"/>
          <w:szCs w:val="32"/>
          <w:lang w:val="en-US" w:eastAsia="zh-CN"/>
        </w:rPr>
        <w:t>①</w:t>
      </w:r>
      <w:r>
        <w:rPr>
          <w:rFonts w:hint="eastAsia" w:ascii="仿宋" w:hAnsi="仿宋" w:eastAsia="仿宋" w:cs="仿宋"/>
          <w:sz w:val="32"/>
          <w:szCs w:val="32"/>
        </w:rPr>
        <w:t>宣传、贯彻、执行《中华人民共和国红十字会法》及有关法律、法规；</w:t>
      </w:r>
      <w:r>
        <w:rPr>
          <w:rFonts w:hint="default" w:ascii="Calibri" w:hAnsi="Calibri" w:eastAsia="仿宋" w:cs="Calibri"/>
          <w:sz w:val="32"/>
          <w:szCs w:val="32"/>
          <w:lang w:val="en-US" w:eastAsia="zh-CN"/>
        </w:rPr>
        <w:t>②</w:t>
      </w:r>
      <w:r>
        <w:rPr>
          <w:rFonts w:hint="eastAsia" w:ascii="仿宋" w:hAnsi="仿宋" w:eastAsia="仿宋" w:cs="仿宋"/>
          <w:sz w:val="32"/>
          <w:szCs w:val="32"/>
        </w:rPr>
        <w:t>依法开展“三救”、“三献”工作；</w:t>
      </w:r>
      <w:r>
        <w:rPr>
          <w:rFonts w:hint="default" w:ascii="Calibri" w:hAnsi="Calibri" w:eastAsia="仿宋" w:cs="Calibri"/>
          <w:sz w:val="32"/>
          <w:szCs w:val="32"/>
          <w:lang w:val="en-US" w:eastAsia="zh-CN"/>
        </w:rPr>
        <w:t>③</w:t>
      </w:r>
      <w:r>
        <w:rPr>
          <w:rFonts w:hint="eastAsia" w:ascii="仿宋" w:hAnsi="仿宋" w:eastAsia="仿宋" w:cs="仿宋"/>
          <w:sz w:val="32"/>
          <w:szCs w:val="32"/>
        </w:rPr>
        <w:t>开展有益于青少年身心健康的、弘扬人道主义精神的红十字青少年活动；</w:t>
      </w:r>
      <w:r>
        <w:rPr>
          <w:rFonts w:hint="eastAsia" w:ascii="微软雅黑" w:hAnsi="微软雅黑" w:eastAsia="微软雅黑" w:cs="微软雅黑"/>
          <w:sz w:val="32"/>
          <w:szCs w:val="32"/>
          <w:lang w:val="en-US" w:eastAsia="zh-CN"/>
        </w:rPr>
        <w:t>④</w:t>
      </w:r>
      <w:r>
        <w:rPr>
          <w:rFonts w:hint="eastAsia" w:ascii="仿宋" w:hAnsi="仿宋" w:eastAsia="仿宋" w:cs="仿宋"/>
          <w:sz w:val="32"/>
          <w:szCs w:val="32"/>
        </w:rPr>
        <w:t>组织会员、志愿工作者参与艾滋病预防宣传培训活动；⑤兴办与红十字会宗旨相符合的社会福利事业；⑥遵照国际红十字会基本原则，完成同级人民政府和上级红十字会委托事宜</w:t>
      </w:r>
      <w:r>
        <w:rPr>
          <w:rFonts w:hint="eastAsia" w:ascii="仿宋" w:hAnsi="仿宋" w:eastAsia="仿宋" w:cs="仿宋"/>
          <w:sz w:val="32"/>
          <w:szCs w:val="32"/>
          <w:lang w:eastAsia="zh-CN"/>
        </w:rPr>
        <w:t>。</w:t>
      </w:r>
    </w:p>
    <w:p>
      <w:pPr>
        <w:keepNext/>
        <w:keepLines/>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2、机构设置</w:t>
      </w:r>
    </w:p>
    <w:p>
      <w:pPr>
        <w:keepNext/>
        <w:keepLines/>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中方县红十字会为参照公务员管理的全额拨款事业单位，纳入202</w:t>
      </w:r>
      <w:r>
        <w:rPr>
          <w:rFonts w:hint="eastAsia" w:ascii="仿宋" w:hAnsi="仿宋" w:eastAsia="仿宋" w:cs="仿宋"/>
          <w:sz w:val="32"/>
          <w:szCs w:val="32"/>
          <w:lang w:val="en-US" w:eastAsia="zh-CN"/>
        </w:rPr>
        <w:t>3</w:t>
      </w:r>
      <w:r>
        <w:rPr>
          <w:rFonts w:hint="eastAsia" w:ascii="仿宋" w:hAnsi="仿宋" w:eastAsia="仿宋" w:cs="仿宋"/>
          <w:sz w:val="32"/>
          <w:szCs w:val="32"/>
        </w:rPr>
        <w:t>年度部门决算的单位为本单位1个，无内设机构，执行政府会计准则制度，机构设置无变化。</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人员情况</w:t>
      </w:r>
    </w:p>
    <w:p>
      <w:pPr>
        <w:keepNext/>
        <w:keepLines/>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年末编制人数11人，年末实有人数11人，其中在职1</w:t>
      </w:r>
      <w:r>
        <w:rPr>
          <w:rFonts w:hint="eastAsia" w:ascii="仿宋" w:hAnsi="仿宋" w:eastAsia="仿宋" w:cs="仿宋"/>
          <w:sz w:val="32"/>
          <w:szCs w:val="32"/>
          <w:lang w:val="en-US" w:eastAsia="zh-CN"/>
        </w:rPr>
        <w:t>1</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年末在职人数比去年不变。</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部门年度总体工作任务和重点工作任务</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600" w:lineRule="atLeast"/>
        <w:ind w:left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部门年度总体工作任务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textAlignment w:val="auto"/>
        <w:rPr>
          <w:rFonts w:hint="eastAsia" w:ascii="仿宋" w:hAnsi="仿宋" w:eastAsia="仿宋" w:cs="仿宋"/>
          <w:sz w:val="32"/>
          <w:szCs w:val="32"/>
          <w:lang w:eastAsia="zh-CN"/>
        </w:rPr>
      </w:pPr>
      <w:r>
        <w:rPr>
          <w:rFonts w:hint="default" w:ascii="Calibri" w:hAnsi="Calibri" w:eastAsia="仿宋" w:cs="Calibri"/>
          <w:sz w:val="32"/>
          <w:szCs w:val="32"/>
          <w:lang w:val="en-US" w:eastAsia="zh-CN"/>
        </w:rPr>
        <w:t>①</w:t>
      </w:r>
      <w:r>
        <w:rPr>
          <w:rFonts w:hint="eastAsia" w:ascii="仿宋" w:hAnsi="仿宋" w:eastAsia="仿宋" w:cs="仿宋"/>
          <w:sz w:val="32"/>
          <w:szCs w:val="32"/>
        </w:rPr>
        <w:t>宣传、贯彻、执行《中华人民共和国红十字会法》及有关法律、法规；</w:t>
      </w:r>
      <w:r>
        <w:rPr>
          <w:rFonts w:hint="default" w:ascii="Calibri" w:hAnsi="Calibri" w:eastAsia="仿宋" w:cs="Calibri"/>
          <w:sz w:val="32"/>
          <w:szCs w:val="32"/>
          <w:lang w:val="en-US" w:eastAsia="zh-CN"/>
        </w:rPr>
        <w:t>②</w:t>
      </w:r>
      <w:r>
        <w:rPr>
          <w:rFonts w:hint="eastAsia" w:ascii="仿宋" w:hAnsi="仿宋" w:eastAsia="仿宋" w:cs="仿宋"/>
          <w:sz w:val="32"/>
          <w:szCs w:val="32"/>
        </w:rPr>
        <w:t>依法开展“三救”、“三献”工作；</w:t>
      </w:r>
      <w:r>
        <w:rPr>
          <w:rFonts w:hint="default" w:ascii="Calibri" w:hAnsi="Calibri" w:eastAsia="仿宋" w:cs="Calibri"/>
          <w:sz w:val="32"/>
          <w:szCs w:val="32"/>
          <w:lang w:val="en-US" w:eastAsia="zh-CN"/>
        </w:rPr>
        <w:t>③</w:t>
      </w:r>
      <w:r>
        <w:rPr>
          <w:rFonts w:hint="eastAsia" w:ascii="仿宋" w:hAnsi="仿宋" w:eastAsia="仿宋" w:cs="仿宋"/>
          <w:sz w:val="32"/>
          <w:szCs w:val="32"/>
        </w:rPr>
        <w:t>开展有益于青少年身心健康的、弘扬人道主义精神的红十字青少年活动；</w:t>
      </w:r>
      <w:r>
        <w:rPr>
          <w:rFonts w:hint="eastAsia" w:ascii="微软雅黑" w:hAnsi="微软雅黑" w:eastAsia="微软雅黑" w:cs="微软雅黑"/>
          <w:sz w:val="32"/>
          <w:szCs w:val="32"/>
          <w:lang w:val="en-US" w:eastAsia="zh-CN"/>
        </w:rPr>
        <w:t>④</w:t>
      </w:r>
      <w:r>
        <w:rPr>
          <w:rFonts w:hint="eastAsia" w:ascii="仿宋" w:hAnsi="仿宋" w:eastAsia="仿宋" w:cs="仿宋"/>
          <w:sz w:val="32"/>
          <w:szCs w:val="32"/>
        </w:rPr>
        <w:t>组织会员、志愿工作者参与艾滋病预防宣传培训活动；⑤兴办与红十字会宗旨相符合的社会福利事业；⑥遵照国际红十字会基本原则，完成同级人民政府和上级红十字会委托事宜</w:t>
      </w:r>
      <w:r>
        <w:rPr>
          <w:rFonts w:hint="eastAsia" w:ascii="仿宋" w:hAnsi="仿宋" w:eastAsia="仿宋" w:cs="仿宋"/>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600" w:lineRule="atLeast"/>
        <w:ind w:left="440" w:leftChars="20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部门</w:t>
      </w:r>
      <w:r>
        <w:rPr>
          <w:rFonts w:hint="eastAsia" w:ascii="仿宋" w:hAnsi="仿宋" w:eastAsia="仿宋" w:cs="仿宋"/>
          <w:sz w:val="32"/>
          <w:szCs w:val="32"/>
        </w:rPr>
        <w:t>重点工作任务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lang w:val="en-US" w:eastAsia="zh-CN"/>
        </w:rPr>
      </w:pPr>
      <w:r>
        <w:rPr>
          <w:rFonts w:hint="default" w:ascii="Calibri" w:hAnsi="Calibri" w:eastAsia="仿宋" w:cs="Calibri"/>
          <w:sz w:val="32"/>
          <w:szCs w:val="32"/>
          <w:lang w:val="en-US" w:eastAsia="zh-CN"/>
        </w:rPr>
        <w:t>①</w:t>
      </w:r>
      <w:r>
        <w:rPr>
          <w:rFonts w:hint="eastAsia" w:ascii="仿宋" w:hAnsi="仿宋" w:eastAsia="仿宋" w:cs="仿宋"/>
          <w:sz w:val="32"/>
          <w:szCs w:val="32"/>
        </w:rPr>
        <w:t>开展“5.8”世界红十字日和“博爱送万家”活动受益</w:t>
      </w:r>
      <w:r>
        <w:rPr>
          <w:rFonts w:hint="eastAsia" w:ascii="仿宋" w:hAnsi="仿宋" w:eastAsia="仿宋" w:cs="仿宋"/>
          <w:sz w:val="32"/>
          <w:szCs w:val="32"/>
          <w:lang w:val="en-US" w:eastAsia="zh-CN"/>
        </w:rPr>
        <w:t>100</w:t>
      </w:r>
      <w:r>
        <w:rPr>
          <w:rFonts w:hint="eastAsia" w:ascii="仿宋" w:hAnsi="仿宋" w:eastAsia="仿宋" w:cs="仿宋"/>
          <w:sz w:val="32"/>
          <w:szCs w:val="32"/>
        </w:rPr>
        <w:t>人次</w:t>
      </w:r>
      <w:r>
        <w:rPr>
          <w:rFonts w:hint="eastAsia" w:ascii="仿宋" w:hAnsi="仿宋" w:eastAsia="仿宋" w:cs="仿宋"/>
          <w:sz w:val="32"/>
          <w:szCs w:val="32"/>
          <w:lang w:eastAsia="zh-CN"/>
        </w:rPr>
        <w:t>；</w:t>
      </w:r>
      <w:r>
        <w:rPr>
          <w:rFonts w:hint="default" w:ascii="Calibri" w:hAnsi="Calibri" w:eastAsia="仿宋" w:cs="Calibri"/>
          <w:sz w:val="32"/>
          <w:szCs w:val="32"/>
          <w:lang w:val="en-US" w:eastAsia="zh-CN"/>
        </w:rPr>
        <w:t>②开展救护员培训</w:t>
      </w:r>
      <w:r>
        <w:rPr>
          <w:rFonts w:hint="eastAsia" w:ascii="Calibri" w:hAnsi="Calibri" w:eastAsia="仿宋" w:cs="Calibri"/>
          <w:sz w:val="32"/>
          <w:szCs w:val="32"/>
          <w:lang w:val="en-US" w:eastAsia="zh-CN"/>
        </w:rPr>
        <w:t>完成70人；</w:t>
      </w:r>
      <w:r>
        <w:rPr>
          <w:rFonts w:hint="default" w:ascii="Calibri" w:hAnsi="Calibri" w:eastAsia="仿宋" w:cs="Calibri"/>
          <w:sz w:val="32"/>
          <w:szCs w:val="32"/>
          <w:lang w:val="en-US" w:eastAsia="zh-CN"/>
        </w:rPr>
        <w:t>③开展初级救护知识培训工作受益</w:t>
      </w:r>
      <w:r>
        <w:rPr>
          <w:rFonts w:hint="eastAsia" w:ascii="Calibri" w:hAnsi="Calibri" w:eastAsia="仿宋" w:cs="Calibri"/>
          <w:sz w:val="32"/>
          <w:szCs w:val="32"/>
          <w:lang w:val="en-US" w:eastAsia="zh-CN"/>
        </w:rPr>
        <w:t>1000人</w:t>
      </w:r>
      <w:r>
        <w:rPr>
          <w:rFonts w:hint="default" w:ascii="Calibri" w:hAnsi="Calibri" w:eastAsia="仿宋" w:cs="Calibri"/>
          <w:sz w:val="32"/>
          <w:szCs w:val="32"/>
          <w:lang w:val="en-US" w:eastAsia="zh-CN"/>
        </w:rPr>
        <w:t>次</w:t>
      </w:r>
      <w:r>
        <w:rPr>
          <w:rFonts w:hint="eastAsia" w:ascii="Calibri" w:hAnsi="Calibri" w:eastAsia="仿宋" w:cs="Calibri"/>
          <w:sz w:val="32"/>
          <w:szCs w:val="32"/>
          <w:lang w:val="en-US" w:eastAsia="zh-CN"/>
        </w:rPr>
        <w:t>。</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部门年度整体收支情况</w:t>
      </w:r>
      <w:r>
        <w:rPr>
          <w:rFonts w:hint="eastAsia" w:ascii="仿宋" w:hAnsi="仿宋" w:eastAsia="仿宋" w:cs="仿宋"/>
          <w:sz w:val="32"/>
          <w:szCs w:val="32"/>
        </w:rPr>
        <w:t>，包括当年预算收入、预算支出和专项资金管理情况、“三公”经费支出情况以及政府采购情况等。</w:t>
      </w:r>
    </w:p>
    <w:p>
      <w:pPr>
        <w:snapToGrid w:val="0"/>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b/>
          <w:bCs/>
          <w:kern w:val="2"/>
          <w:sz w:val="32"/>
          <w:szCs w:val="32"/>
        </w:rPr>
        <w:t>收入预算：</w:t>
      </w:r>
      <w:r>
        <w:rPr>
          <w:rFonts w:hint="eastAsia" w:ascii="仿宋" w:hAnsi="仿宋" w:eastAsia="仿宋" w:cs="仿宋"/>
          <w:sz w:val="32"/>
        </w:rPr>
        <w:t xml:space="preserve"> 202</w:t>
      </w:r>
      <w:r>
        <w:rPr>
          <w:rFonts w:hint="eastAsia" w:ascii="仿宋" w:hAnsi="仿宋" w:eastAsia="仿宋" w:cs="仿宋"/>
          <w:sz w:val="32"/>
          <w:lang w:val="en-US" w:eastAsia="zh-CN"/>
        </w:rPr>
        <w:t>3</w:t>
      </w:r>
      <w:r>
        <w:rPr>
          <w:rFonts w:hint="eastAsia" w:ascii="仿宋" w:hAnsi="仿宋" w:eastAsia="仿宋" w:cs="仿宋"/>
          <w:sz w:val="32"/>
        </w:rPr>
        <w:t>年本单位收入预算</w:t>
      </w:r>
      <w:r>
        <w:rPr>
          <w:rFonts w:hint="eastAsia" w:ascii="仿宋" w:hAnsi="仿宋" w:eastAsia="仿宋" w:cs="仿宋"/>
          <w:sz w:val="32"/>
          <w:lang w:val="en-US" w:eastAsia="zh-CN"/>
        </w:rPr>
        <w:t>148.45</w:t>
      </w:r>
      <w:r>
        <w:rPr>
          <w:rFonts w:hint="eastAsia" w:ascii="仿宋" w:hAnsi="仿宋" w:eastAsia="仿宋" w:cs="仿宋"/>
          <w:sz w:val="32"/>
        </w:rPr>
        <w:t>万元，收入年末决算数</w:t>
      </w:r>
      <w:r>
        <w:rPr>
          <w:rFonts w:hint="eastAsia" w:ascii="仿宋" w:hAnsi="仿宋" w:eastAsia="仿宋" w:cs="仿宋"/>
          <w:sz w:val="32"/>
          <w:lang w:val="en-US" w:eastAsia="zh-CN"/>
        </w:rPr>
        <w:t>161.33</w:t>
      </w:r>
      <w:r>
        <w:rPr>
          <w:rFonts w:hint="eastAsia" w:ascii="仿宋" w:hAnsi="仿宋" w:eastAsia="仿宋" w:cs="仿宋"/>
          <w:sz w:val="32"/>
        </w:rPr>
        <w:t>万元，其中，一般公共预算拨款</w:t>
      </w:r>
      <w:r>
        <w:rPr>
          <w:rFonts w:hint="eastAsia" w:ascii="仿宋" w:hAnsi="仿宋" w:eastAsia="仿宋" w:cs="仿宋"/>
          <w:sz w:val="32"/>
          <w:lang w:val="en-US" w:eastAsia="zh-CN"/>
        </w:rPr>
        <w:t>161.34</w:t>
      </w:r>
      <w:r>
        <w:rPr>
          <w:rFonts w:hint="eastAsia" w:ascii="仿宋" w:hAnsi="仿宋" w:eastAsia="仿宋" w:cs="仿宋"/>
          <w:sz w:val="32"/>
        </w:rPr>
        <w:t>万元；政府性基金预算财政拨款</w:t>
      </w:r>
      <w:r>
        <w:rPr>
          <w:rFonts w:hint="eastAsia" w:ascii="仿宋" w:hAnsi="仿宋" w:eastAsia="仿宋" w:cs="仿宋"/>
          <w:sz w:val="32"/>
          <w:lang w:val="en-US" w:eastAsia="zh-CN"/>
        </w:rPr>
        <w:t>0</w:t>
      </w:r>
      <w:r>
        <w:rPr>
          <w:rFonts w:hint="eastAsia" w:ascii="仿宋" w:hAnsi="仿宋" w:eastAsia="仿宋" w:cs="仿宋"/>
          <w:sz w:val="32"/>
        </w:rPr>
        <w:t>万元。</w:t>
      </w:r>
      <w:r>
        <w:rPr>
          <w:rFonts w:hint="eastAsia" w:ascii="仿宋" w:hAnsi="仿宋" w:eastAsia="仿宋" w:cs="仿宋"/>
          <w:sz w:val="32"/>
          <w:szCs w:val="32"/>
        </w:rPr>
        <w:t>本年收</w:t>
      </w:r>
      <w:r>
        <w:rPr>
          <w:rFonts w:hint="eastAsia" w:ascii="仿宋" w:hAnsi="仿宋" w:eastAsia="仿宋" w:cs="仿宋"/>
          <w:sz w:val="32"/>
          <w:szCs w:val="32"/>
          <w:lang w:eastAsia="zh-CN"/>
        </w:rPr>
        <w:t>入</w:t>
      </w:r>
      <w:r>
        <w:rPr>
          <w:rFonts w:hint="eastAsia" w:ascii="仿宋" w:hAnsi="仿宋" w:eastAsia="仿宋" w:cs="仿宋"/>
          <w:sz w:val="32"/>
          <w:szCs w:val="32"/>
        </w:rPr>
        <w:t>比年初预算收</w:t>
      </w:r>
      <w:r>
        <w:rPr>
          <w:rFonts w:hint="eastAsia" w:ascii="仿宋" w:hAnsi="仿宋" w:eastAsia="仿宋" w:cs="仿宋"/>
          <w:sz w:val="32"/>
          <w:szCs w:val="32"/>
          <w:lang w:eastAsia="zh-CN"/>
        </w:rPr>
        <w:t>入</w:t>
      </w:r>
      <w:r>
        <w:rPr>
          <w:rFonts w:hint="eastAsia" w:ascii="仿宋" w:hAnsi="仿宋" w:eastAsia="仿宋" w:cs="仿宋"/>
          <w:sz w:val="32"/>
          <w:szCs w:val="32"/>
        </w:rPr>
        <w:t>增加12.89万元，</w:t>
      </w:r>
      <w:r>
        <w:rPr>
          <w:rFonts w:hint="eastAsia" w:ascii="仿宋" w:hAnsi="仿宋" w:eastAsia="仿宋" w:cs="仿宋"/>
          <w:sz w:val="32"/>
          <w:lang w:eastAsia="zh-CN"/>
        </w:rPr>
        <w:t>提高</w:t>
      </w:r>
      <w:r>
        <w:rPr>
          <w:rFonts w:hint="eastAsia" w:ascii="仿宋" w:hAnsi="仿宋" w:eastAsia="仿宋" w:cs="仿宋"/>
          <w:sz w:val="32"/>
          <w:lang w:val="en-US" w:eastAsia="zh-CN"/>
        </w:rPr>
        <w:t>8.68</w:t>
      </w:r>
      <w:r>
        <w:rPr>
          <w:rFonts w:hint="eastAsia" w:ascii="仿宋" w:hAnsi="仿宋" w:eastAsia="仿宋" w:cs="仿宋"/>
          <w:sz w:val="32"/>
        </w:rPr>
        <w:t>%</w:t>
      </w:r>
      <w:r>
        <w:rPr>
          <w:rFonts w:hint="eastAsia" w:ascii="仿宋" w:hAnsi="仿宋" w:eastAsia="仿宋" w:cs="仿宋"/>
          <w:sz w:val="32"/>
          <w:lang w:eastAsia="zh-CN"/>
        </w:rPr>
        <w:t>，</w:t>
      </w:r>
      <w:r>
        <w:rPr>
          <w:rFonts w:hint="eastAsia" w:ascii="仿宋" w:hAnsi="仿宋" w:eastAsia="仿宋" w:cs="仿宋"/>
          <w:sz w:val="32"/>
          <w:szCs w:val="32"/>
        </w:rPr>
        <w:t>增加的原因是财政拨款收入增加导致全年收入和支出增加。</w:t>
      </w:r>
    </w:p>
    <w:p>
      <w:pPr>
        <w:pageBreakBefore w:val="0"/>
        <w:numPr>
          <w:ilvl w:val="0"/>
          <w:numId w:val="0"/>
        </w:numPr>
        <w:kinsoku/>
        <w:wordWrap/>
        <w:topLinePunct w:val="0"/>
        <w:autoSpaceDE/>
        <w:autoSpaceDN/>
        <w:bidi w:val="0"/>
        <w:snapToGrid w:val="0"/>
        <w:spacing w:line="520" w:lineRule="exact"/>
        <w:ind w:firstLine="321" w:firstLineChars="100"/>
        <w:textAlignment w:val="auto"/>
        <w:rPr>
          <w:rFonts w:hint="eastAsia" w:ascii="仿宋" w:hAnsi="仿宋" w:eastAsia="仿宋" w:cs="仿宋"/>
          <w:sz w:val="32"/>
        </w:rPr>
      </w:pPr>
      <w:r>
        <w:rPr>
          <w:rFonts w:hint="eastAsia" w:ascii="仿宋" w:hAnsi="仿宋" w:eastAsia="仿宋" w:cs="仿宋"/>
          <w:b/>
          <w:bCs/>
          <w:kern w:val="2"/>
          <w:sz w:val="32"/>
          <w:szCs w:val="32"/>
          <w:lang w:eastAsia="zh-CN"/>
        </w:rPr>
        <w:t>　</w:t>
      </w:r>
      <w:r>
        <w:rPr>
          <w:rFonts w:hint="eastAsia" w:ascii="仿宋" w:hAnsi="仿宋" w:eastAsia="仿宋" w:cs="仿宋"/>
          <w:b/>
          <w:bCs/>
          <w:kern w:val="2"/>
          <w:sz w:val="32"/>
          <w:szCs w:val="32"/>
        </w:rPr>
        <w:t>2</w:t>
      </w:r>
      <w:r>
        <w:rPr>
          <w:rFonts w:hint="eastAsia" w:ascii="仿宋" w:hAnsi="仿宋" w:eastAsia="仿宋" w:cs="仿宋"/>
          <w:b/>
          <w:bCs/>
          <w:kern w:val="2"/>
          <w:sz w:val="32"/>
          <w:szCs w:val="32"/>
          <w:lang w:val="en-US" w:eastAsia="zh-CN"/>
        </w:rPr>
        <w:t>、</w:t>
      </w:r>
      <w:r>
        <w:rPr>
          <w:rFonts w:hint="eastAsia" w:ascii="仿宋" w:hAnsi="仿宋" w:eastAsia="仿宋" w:cs="仿宋"/>
          <w:b/>
          <w:bCs/>
          <w:kern w:val="2"/>
          <w:sz w:val="32"/>
          <w:szCs w:val="32"/>
        </w:rPr>
        <w:t>支出预算：</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年本单位预算支出</w:t>
      </w:r>
      <w:r>
        <w:rPr>
          <w:rFonts w:hint="eastAsia" w:ascii="仿宋" w:hAnsi="仿宋" w:eastAsia="仿宋" w:cs="仿宋"/>
          <w:sz w:val="32"/>
          <w:lang w:val="en-US" w:eastAsia="zh-CN"/>
        </w:rPr>
        <w:t>148.45</w:t>
      </w:r>
      <w:r>
        <w:rPr>
          <w:rFonts w:hint="eastAsia" w:ascii="仿宋" w:hAnsi="仿宋" w:eastAsia="仿宋" w:cs="仿宋"/>
          <w:sz w:val="32"/>
        </w:rPr>
        <w:t>万元，支出年末决算数</w:t>
      </w:r>
      <w:r>
        <w:rPr>
          <w:rFonts w:hint="eastAsia" w:ascii="仿宋" w:hAnsi="仿宋" w:eastAsia="仿宋" w:cs="仿宋"/>
          <w:sz w:val="32"/>
          <w:lang w:val="en-US" w:eastAsia="zh-CN"/>
        </w:rPr>
        <w:t>161.34</w:t>
      </w:r>
      <w:r>
        <w:rPr>
          <w:rFonts w:hint="eastAsia" w:ascii="仿宋" w:hAnsi="仿宋" w:eastAsia="仿宋" w:cs="仿宋"/>
          <w:sz w:val="32"/>
        </w:rPr>
        <w:t>万元，其中：人员经费</w:t>
      </w:r>
      <w:r>
        <w:rPr>
          <w:rFonts w:hint="eastAsia" w:ascii="仿宋" w:hAnsi="仿宋" w:eastAsia="仿宋" w:cs="仿宋"/>
          <w:sz w:val="32"/>
          <w:lang w:val="en-US" w:eastAsia="zh-CN"/>
        </w:rPr>
        <w:t>147.53</w:t>
      </w:r>
      <w:r>
        <w:rPr>
          <w:rFonts w:hint="eastAsia" w:ascii="仿宋" w:hAnsi="仿宋" w:eastAsia="仿宋" w:cs="仿宋"/>
          <w:sz w:val="32"/>
        </w:rPr>
        <w:t>万元；公用经费</w:t>
      </w:r>
      <w:r>
        <w:rPr>
          <w:rFonts w:hint="eastAsia" w:ascii="仿宋" w:hAnsi="仿宋" w:eastAsia="仿宋" w:cs="仿宋"/>
          <w:sz w:val="32"/>
          <w:lang w:val="en-US" w:eastAsia="zh-CN"/>
        </w:rPr>
        <w:t>13.81</w:t>
      </w:r>
      <w:r>
        <w:rPr>
          <w:rFonts w:hint="eastAsia" w:ascii="仿宋" w:hAnsi="仿宋" w:eastAsia="仿宋" w:cs="仿宋"/>
          <w:sz w:val="32"/>
        </w:rPr>
        <w:t>万元；项目支出</w:t>
      </w:r>
      <w:r>
        <w:rPr>
          <w:rFonts w:hint="eastAsia" w:ascii="仿宋" w:hAnsi="仿宋" w:eastAsia="仿宋" w:cs="仿宋"/>
          <w:sz w:val="32"/>
          <w:lang w:val="en-US" w:eastAsia="zh-CN"/>
        </w:rPr>
        <w:t>0</w:t>
      </w:r>
      <w:r>
        <w:rPr>
          <w:rFonts w:hint="eastAsia" w:ascii="仿宋" w:hAnsi="仿宋" w:eastAsia="仿宋" w:cs="仿宋"/>
          <w:sz w:val="32"/>
        </w:rPr>
        <w:t>万元。</w:t>
      </w:r>
      <w:r>
        <w:rPr>
          <w:rFonts w:hint="eastAsia" w:ascii="仿宋" w:hAnsi="仿宋" w:eastAsia="仿宋" w:cs="仿宋"/>
          <w:sz w:val="32"/>
          <w:lang w:eastAsia="zh-CN"/>
        </w:rPr>
        <w:t>支出</w:t>
      </w:r>
      <w:r>
        <w:rPr>
          <w:rFonts w:hint="eastAsia" w:ascii="仿宋" w:hAnsi="仿宋" w:eastAsia="仿宋" w:cs="仿宋"/>
          <w:sz w:val="32"/>
        </w:rPr>
        <w:t>较上年</w:t>
      </w:r>
      <w:r>
        <w:rPr>
          <w:rFonts w:hint="eastAsia" w:ascii="仿宋" w:hAnsi="仿宋" w:eastAsia="仿宋" w:cs="仿宋"/>
          <w:sz w:val="32"/>
          <w:lang w:eastAsia="zh-CN"/>
        </w:rPr>
        <w:t>增加</w:t>
      </w:r>
      <w:r>
        <w:rPr>
          <w:rFonts w:hint="eastAsia" w:ascii="仿宋" w:hAnsi="仿宋" w:eastAsia="仿宋" w:cs="仿宋"/>
          <w:sz w:val="32"/>
          <w:lang w:val="en-US" w:eastAsia="zh-CN"/>
        </w:rPr>
        <w:t>12.89</w:t>
      </w:r>
      <w:r>
        <w:rPr>
          <w:rFonts w:hint="eastAsia" w:ascii="仿宋" w:hAnsi="仿宋" w:eastAsia="仿宋" w:cs="仿宋"/>
          <w:sz w:val="32"/>
        </w:rPr>
        <w:t>万元，</w:t>
      </w:r>
      <w:r>
        <w:rPr>
          <w:rFonts w:hint="eastAsia" w:ascii="仿宋" w:hAnsi="仿宋" w:eastAsia="仿宋" w:cs="仿宋"/>
          <w:sz w:val="32"/>
          <w:lang w:eastAsia="zh-CN"/>
        </w:rPr>
        <w:t>提高</w:t>
      </w:r>
      <w:r>
        <w:rPr>
          <w:rFonts w:hint="eastAsia" w:ascii="仿宋" w:hAnsi="仿宋" w:eastAsia="仿宋" w:cs="仿宋"/>
          <w:sz w:val="32"/>
          <w:lang w:val="en-US" w:eastAsia="zh-CN"/>
        </w:rPr>
        <w:t>8.68</w:t>
      </w:r>
      <w:r>
        <w:rPr>
          <w:rFonts w:hint="eastAsia" w:ascii="仿宋" w:hAnsi="仿宋" w:eastAsia="仿宋" w:cs="仿宋"/>
          <w:sz w:val="32"/>
        </w:rPr>
        <w:t>%</w:t>
      </w:r>
      <w:r>
        <w:rPr>
          <w:rFonts w:hint="eastAsia" w:ascii="仿宋" w:hAnsi="仿宋" w:eastAsia="仿宋" w:cs="仿宋"/>
          <w:sz w:val="32"/>
          <w:lang w:eastAsia="zh-CN"/>
        </w:rPr>
        <w:t>，</w:t>
      </w:r>
      <w:r>
        <w:rPr>
          <w:rFonts w:hint="eastAsia" w:ascii="仿宋" w:hAnsi="仿宋" w:eastAsia="仿宋" w:cs="仿宋"/>
          <w:sz w:val="32"/>
          <w:szCs w:val="32"/>
          <w:lang w:eastAsia="zh-CN"/>
        </w:rPr>
        <w:t>增加</w:t>
      </w:r>
      <w:r>
        <w:rPr>
          <w:rFonts w:hint="eastAsia" w:ascii="仿宋" w:hAnsi="仿宋" w:eastAsia="仿宋" w:cs="仿宋"/>
          <w:sz w:val="32"/>
          <w:szCs w:val="32"/>
        </w:rPr>
        <w:t>的</w:t>
      </w:r>
      <w:r>
        <w:rPr>
          <w:rFonts w:hint="eastAsia" w:ascii="仿宋" w:hAnsi="仿宋" w:eastAsia="仿宋" w:cs="仿宋"/>
          <w:sz w:val="32"/>
          <w:szCs w:val="32"/>
          <w:lang w:eastAsia="zh-CN"/>
        </w:rPr>
        <w:t>主要</w:t>
      </w:r>
      <w:r>
        <w:rPr>
          <w:rFonts w:hint="eastAsia" w:ascii="仿宋" w:hAnsi="仿宋" w:eastAsia="仿宋" w:cs="仿宋"/>
          <w:sz w:val="32"/>
          <w:szCs w:val="32"/>
        </w:rPr>
        <w:t>原因是</w:t>
      </w:r>
      <w:r>
        <w:rPr>
          <w:rFonts w:hint="eastAsia" w:ascii="仿宋_GB2312" w:eastAsia="仿宋_GB2312"/>
          <w:sz w:val="32"/>
          <w:szCs w:val="32"/>
          <w:lang w:eastAsia="zh-CN"/>
        </w:rPr>
        <w:t>财政拨款收入增加导致全年收入和支出增加</w:t>
      </w:r>
      <w:r>
        <w:rPr>
          <w:rFonts w:hint="eastAsia" w:ascii="仿宋" w:hAnsi="仿宋" w:eastAsia="仿宋" w:cs="仿宋"/>
          <w:sz w:val="32"/>
          <w:szCs w:val="32"/>
          <w:lang w:eastAsia="zh-CN"/>
        </w:rPr>
        <w:t>。</w:t>
      </w:r>
    </w:p>
    <w:p>
      <w:pPr>
        <w:pStyle w:val="4"/>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520" w:lineRule="exact"/>
        <w:ind w:right="420" w:firstLine="639" w:firstLineChars="199"/>
        <w:jc w:val="both"/>
        <w:textAlignment w:val="auto"/>
        <w:rPr>
          <w:rFonts w:hint="eastAsia" w:ascii="仿宋" w:hAnsi="仿宋" w:eastAsia="仿宋" w:cs="仿宋"/>
          <w:kern w:val="2"/>
          <w:sz w:val="32"/>
          <w:szCs w:val="32"/>
        </w:rPr>
      </w:pPr>
      <w:r>
        <w:rPr>
          <w:rFonts w:hint="eastAsia" w:ascii="仿宋" w:hAnsi="仿宋" w:eastAsia="仿宋" w:cs="仿宋"/>
          <w:b/>
          <w:bCs/>
          <w:kern w:val="2"/>
          <w:sz w:val="32"/>
          <w:szCs w:val="32"/>
        </w:rPr>
        <w:t>3</w:t>
      </w:r>
      <w:r>
        <w:rPr>
          <w:rFonts w:hint="eastAsia" w:ascii="仿宋" w:hAnsi="仿宋" w:eastAsia="仿宋" w:cs="仿宋"/>
          <w:b/>
          <w:bCs/>
          <w:kern w:val="2"/>
          <w:sz w:val="32"/>
          <w:szCs w:val="32"/>
          <w:lang w:val="en-US" w:eastAsia="zh-CN"/>
        </w:rPr>
        <w:t>、</w:t>
      </w:r>
      <w:r>
        <w:rPr>
          <w:rFonts w:hint="eastAsia" w:ascii="仿宋" w:hAnsi="仿宋" w:eastAsia="仿宋" w:cs="仿宋"/>
          <w:b/>
          <w:bCs/>
          <w:kern w:val="2"/>
          <w:sz w:val="32"/>
          <w:szCs w:val="32"/>
        </w:rPr>
        <w:t>“三公”经费预算：</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 “三公”经费预算数为</w:t>
      </w:r>
      <w:r>
        <w:rPr>
          <w:rFonts w:hint="eastAsia" w:ascii="仿宋" w:hAnsi="仿宋" w:eastAsia="仿宋" w:cs="仿宋"/>
          <w:sz w:val="32"/>
          <w:lang w:val="en-US" w:eastAsia="zh-CN"/>
        </w:rPr>
        <w:t>0</w:t>
      </w:r>
      <w:r>
        <w:rPr>
          <w:rFonts w:hint="eastAsia" w:ascii="仿宋" w:hAnsi="仿宋" w:eastAsia="仿宋" w:cs="仿宋"/>
          <w:sz w:val="32"/>
        </w:rPr>
        <w:t>万元，其中，公务接待费</w:t>
      </w:r>
      <w:r>
        <w:rPr>
          <w:rFonts w:hint="eastAsia" w:ascii="仿宋" w:hAnsi="仿宋" w:eastAsia="仿宋" w:cs="仿宋"/>
          <w:sz w:val="32"/>
          <w:lang w:val="en-US" w:eastAsia="zh-CN"/>
        </w:rPr>
        <w:t>0</w:t>
      </w:r>
      <w:r>
        <w:rPr>
          <w:rFonts w:hint="eastAsia" w:ascii="仿宋" w:hAnsi="仿宋" w:eastAsia="仿宋" w:cs="仿宋"/>
          <w:sz w:val="32"/>
        </w:rPr>
        <w:t>万元，公务用车购置及运行费0万元，因公出国（境）费0万元。202</w:t>
      </w:r>
      <w:r>
        <w:rPr>
          <w:rFonts w:hint="eastAsia" w:ascii="仿宋" w:hAnsi="仿宋" w:eastAsia="仿宋" w:cs="仿宋"/>
          <w:sz w:val="32"/>
          <w:lang w:val="en-US" w:eastAsia="zh-CN"/>
        </w:rPr>
        <w:t>3</w:t>
      </w:r>
      <w:r>
        <w:rPr>
          <w:rFonts w:hint="eastAsia" w:ascii="仿宋" w:hAnsi="仿宋" w:eastAsia="仿宋" w:cs="仿宋"/>
          <w:sz w:val="32"/>
        </w:rPr>
        <w:t>年“三公”经费实际支出0万元，其中，公务接待费0万元，公务用车购置及运行费0万元，因公出国（境）费0万元。</w:t>
      </w:r>
    </w:p>
    <w:p>
      <w:pPr>
        <w:pStyle w:val="4"/>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520" w:lineRule="exact"/>
        <w:ind w:right="420" w:firstLine="639" w:firstLineChars="199"/>
        <w:jc w:val="both"/>
        <w:textAlignment w:val="auto"/>
        <w:rPr>
          <w:rFonts w:hint="eastAsia" w:ascii="仿宋" w:hAnsi="仿宋" w:eastAsia="仿宋" w:cs="仿宋"/>
          <w:sz w:val="32"/>
          <w:szCs w:val="32"/>
          <w:lang w:eastAsia="zh-CN"/>
        </w:rPr>
      </w:pPr>
      <w:r>
        <w:rPr>
          <w:rFonts w:hint="eastAsia" w:ascii="仿宋" w:hAnsi="仿宋" w:eastAsia="仿宋" w:cs="仿宋"/>
          <w:b/>
          <w:bCs/>
          <w:kern w:val="2"/>
          <w:sz w:val="32"/>
          <w:szCs w:val="32"/>
        </w:rPr>
        <w:t>4</w:t>
      </w:r>
      <w:r>
        <w:rPr>
          <w:rFonts w:hint="eastAsia" w:ascii="仿宋" w:hAnsi="仿宋" w:eastAsia="仿宋" w:cs="仿宋"/>
          <w:b/>
          <w:bCs/>
          <w:kern w:val="2"/>
          <w:sz w:val="32"/>
          <w:szCs w:val="32"/>
          <w:lang w:val="en-US" w:eastAsia="zh-CN"/>
        </w:rPr>
        <w:t>、</w:t>
      </w:r>
      <w:r>
        <w:rPr>
          <w:rFonts w:hint="eastAsia" w:ascii="仿宋" w:hAnsi="仿宋" w:eastAsia="仿宋" w:cs="仿宋"/>
          <w:b/>
          <w:bCs/>
          <w:kern w:val="2"/>
          <w:sz w:val="32"/>
          <w:szCs w:val="32"/>
        </w:rPr>
        <w:t>政府采购情况：</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年本单位政府采购预算总额0万元，其中：货物类采购预算0万元；工程类采购预算0万元；服务类采购预算0万元</w:t>
      </w:r>
      <w:r>
        <w:rPr>
          <w:rFonts w:hint="eastAsia" w:ascii="仿宋" w:hAnsi="仿宋" w:eastAsia="仿宋" w:cs="仿宋"/>
          <w:sz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1" w:firstLineChars="1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部门年度整体工作目标任务完成情况</w:t>
      </w:r>
    </w:p>
    <w:p>
      <w:pPr>
        <w:keepNext w:val="0"/>
        <w:keepLines w:val="0"/>
        <w:pageBreakBefore w:val="0"/>
        <w:kinsoku/>
        <w:wordWrap/>
        <w:topLinePunct w:val="0"/>
        <w:autoSpaceDE/>
        <w:autoSpaceDN/>
        <w:bidi w:val="0"/>
        <w:adjustRightInd/>
        <w:snapToGrid/>
        <w:spacing w:line="520" w:lineRule="exact"/>
        <w:ind w:firstLine="800" w:firstLineChars="250"/>
        <w:textAlignment w:val="auto"/>
        <w:rPr>
          <w:rFonts w:hint="eastAsia" w:ascii="仿宋" w:hAnsi="仿宋" w:eastAsia="仿宋" w:cs="仿宋"/>
          <w:sz w:val="32"/>
          <w:szCs w:val="32"/>
        </w:rPr>
      </w:pPr>
      <w:r>
        <w:rPr>
          <w:rFonts w:hint="eastAsia" w:ascii="仿宋" w:hAnsi="仿宋" w:eastAsia="仿宋" w:cs="仿宋"/>
          <w:sz w:val="32"/>
          <w:szCs w:val="32"/>
        </w:rPr>
        <w:t>我单位认真贯彻中央和省、市、县决策部署，通过深化政务服务改革、狠抓重点工作，改进文风会风，推进服务效能，提高办事效率，较好的完成了各项工作目标，取得了显著的社会效益，行政效能明显提升。</w:t>
      </w:r>
    </w:p>
    <w:p>
      <w:pPr>
        <w:pStyle w:val="3"/>
        <w:bidi w:val="0"/>
        <w:ind w:left="0" w:leftChars="0" w:firstLine="640" w:firstLineChars="200"/>
        <w:rPr>
          <w:rFonts w:hint="eastAsia" w:ascii="仿宋" w:hAnsi="仿宋" w:eastAsia="仿宋" w:cs="仿宋"/>
        </w:rPr>
      </w:pPr>
      <w:r>
        <w:rPr>
          <w:rFonts w:hint="eastAsia" w:ascii="仿宋" w:hAnsi="仿宋" w:eastAsia="仿宋" w:cs="仿宋"/>
        </w:rPr>
        <w:t>二、部门整体评价工作开展</w:t>
      </w:r>
    </w:p>
    <w:p>
      <w:pPr>
        <w:keepNext w:val="0"/>
        <w:keepLines w:val="0"/>
        <w:pageBreakBefore w:val="0"/>
        <w:kinsoku/>
        <w:wordWrap/>
        <w:topLinePunct w:val="0"/>
        <w:autoSpaceDE/>
        <w:autoSpaceDN/>
        <w:bidi w:val="0"/>
        <w:adjustRightInd/>
        <w:snapToGrid/>
        <w:spacing w:line="52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（一）绩效评价实施过程情况</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300" w:afterAutospacing="0" w:line="580" w:lineRule="exact"/>
        <w:ind w:firstLine="643" w:firstLineChars="200"/>
        <w:contextualSpacing/>
        <w:textAlignment w:val="auto"/>
        <w:rPr>
          <w:rFonts w:hint="eastAsia" w:ascii="仿宋" w:hAnsi="仿宋" w:eastAsia="仿宋" w:cs="仿宋"/>
          <w:kern w:val="2"/>
          <w:sz w:val="32"/>
          <w:szCs w:val="32"/>
        </w:rPr>
      </w:pPr>
      <w:r>
        <w:rPr>
          <w:rFonts w:hint="eastAsia" w:ascii="仿宋" w:hAnsi="仿宋" w:eastAsia="仿宋" w:cs="仿宋"/>
          <w:b/>
          <w:bCs/>
          <w:kern w:val="2"/>
          <w:sz w:val="32"/>
          <w:szCs w:val="32"/>
        </w:rPr>
        <w:t>1</w:t>
      </w:r>
      <w:r>
        <w:rPr>
          <w:rFonts w:hint="eastAsia" w:ascii="仿宋" w:hAnsi="仿宋" w:eastAsia="仿宋" w:cs="仿宋"/>
          <w:b/>
          <w:bCs/>
          <w:kern w:val="2"/>
          <w:sz w:val="32"/>
          <w:szCs w:val="32"/>
          <w:lang w:eastAsia="zh-CN"/>
        </w:rPr>
        <w:t>、</w:t>
      </w:r>
      <w:r>
        <w:rPr>
          <w:rFonts w:hint="eastAsia" w:ascii="仿宋" w:hAnsi="仿宋" w:eastAsia="仿宋" w:cs="仿宋"/>
          <w:b/>
          <w:bCs/>
          <w:kern w:val="2"/>
          <w:sz w:val="32"/>
          <w:szCs w:val="32"/>
        </w:rPr>
        <w:t>前期准备阶段</w:t>
      </w:r>
      <w:r>
        <w:rPr>
          <w:rFonts w:hint="eastAsia" w:ascii="仿宋" w:hAnsi="仿宋" w:eastAsia="仿宋" w:cs="仿宋"/>
          <w:b/>
          <w:bCs/>
          <w:kern w:val="2"/>
          <w:sz w:val="32"/>
          <w:szCs w:val="32"/>
          <w:lang w:eastAsia="zh-CN"/>
        </w:rPr>
        <w:t>。</w:t>
      </w:r>
      <w:r>
        <w:rPr>
          <w:rFonts w:hint="eastAsia" w:ascii="仿宋" w:hAnsi="仿宋" w:eastAsia="仿宋" w:cs="仿宋"/>
          <w:kern w:val="2"/>
          <w:sz w:val="32"/>
          <w:szCs w:val="32"/>
        </w:rPr>
        <w:t>组建评价工作组,制定具体的绩效评价工作方案。评价工作组在与有关人员进行座谈、了解项目情况，结合本次绩效评价工作要求的基础上，制定绩效评价工作方案，明确评价对象和范围、评价目的、评价内容、评价方法、指标体系框架、组织形式、时间安排和工作要求等具体事项。</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300" w:afterAutospacing="0" w:line="580" w:lineRule="exact"/>
        <w:contextualSpacing/>
        <w:textAlignment w:val="auto"/>
        <w:rPr>
          <w:rFonts w:hint="eastAsia" w:ascii="仿宋" w:hAnsi="仿宋" w:eastAsia="仿宋" w:cs="仿宋"/>
          <w:kern w:val="2"/>
          <w:sz w:val="32"/>
          <w:szCs w:val="32"/>
        </w:rPr>
      </w:pPr>
      <w:r>
        <w:rPr>
          <w:rFonts w:hint="eastAsia" w:ascii="仿宋" w:hAnsi="仿宋" w:eastAsia="仿宋" w:cs="仿宋"/>
          <w:kern w:val="2"/>
          <w:sz w:val="32"/>
          <w:szCs w:val="32"/>
        </w:rPr>
        <w:t>　　</w:t>
      </w:r>
      <w:r>
        <w:rPr>
          <w:rFonts w:hint="eastAsia" w:ascii="仿宋" w:hAnsi="仿宋" w:eastAsia="仿宋" w:cs="仿宋"/>
          <w:b/>
          <w:bCs/>
          <w:kern w:val="2"/>
          <w:sz w:val="32"/>
          <w:szCs w:val="32"/>
        </w:rPr>
        <w:t>2</w:t>
      </w:r>
      <w:r>
        <w:rPr>
          <w:rFonts w:hint="eastAsia" w:ascii="仿宋" w:hAnsi="仿宋" w:eastAsia="仿宋" w:cs="仿宋"/>
          <w:b/>
          <w:bCs/>
          <w:kern w:val="2"/>
          <w:sz w:val="32"/>
          <w:szCs w:val="32"/>
          <w:lang w:eastAsia="zh-CN"/>
        </w:rPr>
        <w:t>、</w:t>
      </w:r>
      <w:r>
        <w:rPr>
          <w:rFonts w:hint="eastAsia" w:ascii="仿宋" w:hAnsi="仿宋" w:eastAsia="仿宋" w:cs="仿宋"/>
          <w:b/>
          <w:bCs/>
          <w:kern w:val="2"/>
          <w:sz w:val="32"/>
          <w:szCs w:val="32"/>
        </w:rPr>
        <w:t>现场调研及审核阶</w:t>
      </w:r>
      <w:r>
        <w:rPr>
          <w:rFonts w:hint="eastAsia" w:ascii="仿宋" w:hAnsi="仿宋" w:eastAsia="仿宋" w:cs="仿宋"/>
          <w:b/>
          <w:bCs/>
          <w:kern w:val="2"/>
          <w:sz w:val="32"/>
          <w:szCs w:val="32"/>
          <w:lang w:eastAsia="zh-CN"/>
        </w:rPr>
        <w:t>段。</w:t>
      </w:r>
      <w:r>
        <w:rPr>
          <w:rFonts w:hint="eastAsia" w:ascii="仿宋" w:hAnsi="仿宋" w:eastAsia="仿宋" w:cs="仿宋"/>
          <w:kern w:val="2"/>
          <w:sz w:val="32"/>
          <w:szCs w:val="32"/>
        </w:rPr>
        <w:t>主要工作包括：听取项目的介绍，核查、收集与项目实施有关的文件材料，了解项目资金使用及效益情况。对本项目资金使用情况项目情况进行调查了解，收集、整理、填报评价基础数据资料，对有关内容进行审核，重点对评价基础数据的准确性、完整性及相应佐证材料的有效性进行审核，并将审核过程中发现的问题、审核意见记录清楚。在整理分析总体情况和项目资料之后，评价工作组根据现场调研情况，细化评价指标，明确指标权重和评分标准，制定评价指标体系。</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300" w:afterAutospacing="0" w:line="580" w:lineRule="exact"/>
        <w:ind w:firstLine="641"/>
        <w:contextualSpacing/>
        <w:textAlignment w:val="auto"/>
        <w:rPr>
          <w:rFonts w:hint="eastAsia" w:ascii="仿宋" w:hAnsi="仿宋" w:eastAsia="仿宋" w:cs="仿宋"/>
          <w:kern w:val="2"/>
          <w:sz w:val="32"/>
          <w:szCs w:val="32"/>
        </w:rPr>
      </w:pPr>
      <w:r>
        <w:rPr>
          <w:rFonts w:hint="eastAsia" w:ascii="仿宋" w:hAnsi="仿宋" w:eastAsia="仿宋" w:cs="仿宋"/>
          <w:b/>
          <w:bCs/>
          <w:kern w:val="2"/>
          <w:sz w:val="32"/>
          <w:szCs w:val="32"/>
        </w:rPr>
        <w:t>3</w:t>
      </w:r>
      <w:r>
        <w:rPr>
          <w:rFonts w:hint="eastAsia" w:ascii="仿宋" w:hAnsi="仿宋" w:eastAsia="仿宋" w:cs="仿宋"/>
          <w:b/>
          <w:bCs/>
          <w:kern w:val="2"/>
          <w:sz w:val="32"/>
          <w:szCs w:val="32"/>
          <w:lang w:eastAsia="zh-CN"/>
        </w:rPr>
        <w:t>、</w:t>
      </w:r>
      <w:r>
        <w:rPr>
          <w:rFonts w:hint="eastAsia" w:ascii="仿宋" w:hAnsi="仿宋" w:eastAsia="仿宋" w:cs="仿宋"/>
          <w:b/>
          <w:bCs/>
          <w:kern w:val="2"/>
          <w:sz w:val="32"/>
          <w:szCs w:val="32"/>
        </w:rPr>
        <w:t>评价总结阶</w:t>
      </w:r>
      <w:r>
        <w:rPr>
          <w:rFonts w:hint="eastAsia" w:ascii="仿宋" w:hAnsi="仿宋" w:eastAsia="仿宋" w:cs="仿宋"/>
          <w:b/>
          <w:bCs/>
          <w:kern w:val="2"/>
          <w:sz w:val="32"/>
          <w:szCs w:val="32"/>
          <w:lang w:eastAsia="zh-CN"/>
        </w:rPr>
        <w:t>段。</w:t>
      </w:r>
      <w:r>
        <w:rPr>
          <w:rFonts w:hint="eastAsia" w:ascii="仿宋" w:hAnsi="仿宋" w:eastAsia="仿宋" w:cs="仿宋"/>
          <w:kern w:val="2"/>
          <w:sz w:val="32"/>
          <w:szCs w:val="32"/>
        </w:rPr>
        <w:t>主要工作包括：撰写绩效评价报告；沟通初步评价意见；形成正式绩效评价报告；报送绩效评价报告；归档绩效评价资料。</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300" w:afterAutospacing="0" w:line="580" w:lineRule="exact"/>
        <w:ind w:firstLine="641"/>
        <w:contextualSpacing/>
        <w:textAlignment w:val="auto"/>
        <w:rPr>
          <w:rFonts w:hint="eastAsia" w:ascii="仿宋" w:hAnsi="仿宋" w:eastAsia="仿宋" w:cs="仿宋"/>
          <w:b w:val="0"/>
          <w:bCs/>
          <w:kern w:val="2"/>
          <w:sz w:val="32"/>
          <w:szCs w:val="32"/>
          <w:lang w:val="en-US" w:eastAsia="zh-CN" w:bidi="ar-SA"/>
        </w:rPr>
      </w:pPr>
      <w:r>
        <w:rPr>
          <w:rFonts w:hint="eastAsia" w:ascii="仿宋" w:hAnsi="仿宋" w:eastAsia="仿宋" w:cs="仿宋"/>
          <w:b w:val="0"/>
          <w:bCs/>
          <w:kern w:val="2"/>
          <w:sz w:val="32"/>
          <w:szCs w:val="32"/>
          <w:lang w:val="en-US" w:eastAsia="zh-CN" w:bidi="ar-SA"/>
        </w:rPr>
        <w:t>（二）绩效评价整体结果概况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300" w:afterAutospacing="0" w:line="580" w:lineRule="exact"/>
        <w:ind w:firstLine="641"/>
        <w:contextualSpacing/>
        <w:textAlignment w:val="auto"/>
        <w:rPr>
          <w:rFonts w:hint="eastAsia" w:ascii="仿宋" w:hAnsi="仿宋" w:eastAsia="仿宋" w:cs="仿宋"/>
          <w:b/>
          <w:bCs/>
          <w:sz w:val="32"/>
          <w:szCs w:val="32"/>
        </w:rPr>
      </w:pPr>
      <w:r>
        <w:rPr>
          <w:rFonts w:hint="eastAsia" w:ascii="仿宋" w:hAnsi="仿宋" w:eastAsia="仿宋" w:cs="仿宋"/>
          <w:b/>
          <w:bCs/>
          <w:sz w:val="32"/>
          <w:szCs w:val="32"/>
        </w:rPr>
        <w:t>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年度整体支出绩效评价“ 优”。</w:t>
      </w:r>
    </w:p>
    <w:p>
      <w:pPr>
        <w:keepNext w:val="0"/>
        <w:keepLines w:val="0"/>
        <w:pageBreakBefore w:val="0"/>
        <w:widowControl w:val="0"/>
        <w:tabs>
          <w:tab w:val="left" w:pos="4004"/>
        </w:tabs>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20"/>
          <w:szCs w:val="20"/>
          <w:lang w:val="en-US" w:eastAsia="zh-CN"/>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t>“三公”经费的预决算执行及控制情况。</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年度“三公”经费预算数</w:t>
      </w:r>
      <w:r>
        <w:rPr>
          <w:rFonts w:hint="eastAsia" w:ascii="仿宋" w:hAnsi="仿宋" w:eastAsia="仿宋" w:cs="仿宋"/>
          <w:bCs/>
          <w:sz w:val="32"/>
          <w:szCs w:val="32"/>
          <w:lang w:val="en-US" w:eastAsia="zh-CN"/>
        </w:rPr>
        <w:t>0万</w:t>
      </w:r>
      <w:r>
        <w:rPr>
          <w:rFonts w:hint="eastAsia" w:ascii="仿宋" w:hAnsi="仿宋" w:eastAsia="仿宋" w:cs="仿宋"/>
          <w:bCs/>
          <w:sz w:val="32"/>
          <w:szCs w:val="32"/>
        </w:rPr>
        <w:t>元，决算数</w:t>
      </w:r>
      <w:r>
        <w:rPr>
          <w:rFonts w:hint="eastAsia" w:ascii="仿宋" w:hAnsi="仿宋" w:eastAsia="仿宋" w:cs="仿宋"/>
          <w:sz w:val="32"/>
          <w:szCs w:val="32"/>
        </w:rPr>
        <w:t>0</w:t>
      </w:r>
      <w:r>
        <w:rPr>
          <w:rFonts w:hint="eastAsia" w:ascii="仿宋" w:hAnsi="仿宋" w:eastAsia="仿宋" w:cs="仿宋"/>
          <w:bCs/>
          <w:sz w:val="32"/>
          <w:szCs w:val="32"/>
        </w:rPr>
        <w:t>元。具体明细如下：</w:t>
      </w:r>
      <w:r>
        <w:rPr>
          <w:rFonts w:hint="eastAsia" w:ascii="仿宋" w:hAnsi="仿宋" w:eastAsia="仿宋" w:cs="仿宋"/>
          <w:sz w:val="30"/>
          <w:szCs w:val="30"/>
        </w:rPr>
        <w:t xml:space="preserve">                                 </w:t>
      </w:r>
      <w:r>
        <w:rPr>
          <w:rFonts w:hint="eastAsia" w:ascii="仿宋" w:hAnsi="仿宋" w:eastAsia="仿宋" w:cs="仿宋"/>
          <w:sz w:val="20"/>
          <w:szCs w:val="20"/>
          <w:lang w:val="en-US" w:eastAsia="zh-CN"/>
        </w:rPr>
        <w:t xml:space="preserve">                                                                </w:t>
      </w:r>
    </w:p>
    <w:p>
      <w:pPr>
        <w:keepNext w:val="0"/>
        <w:keepLines w:val="0"/>
        <w:pageBreakBefore w:val="0"/>
        <w:kinsoku/>
        <w:wordWrap/>
        <w:topLinePunct w:val="0"/>
        <w:autoSpaceDE/>
        <w:autoSpaceDN/>
        <w:bidi w:val="0"/>
        <w:adjustRightInd/>
        <w:snapToGrid/>
        <w:spacing w:line="520" w:lineRule="exact"/>
        <w:ind w:firstLine="400" w:firstLineChars="200"/>
        <w:jc w:val="both"/>
        <w:textAlignment w:val="auto"/>
        <w:rPr>
          <w:rFonts w:hint="eastAsia" w:ascii="仿宋" w:hAnsi="仿宋" w:eastAsia="仿宋" w:cs="仿宋"/>
        </w:rPr>
      </w:pP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单位：万元</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5"/>
        <w:gridCol w:w="1966"/>
        <w:gridCol w:w="2040"/>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2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b/>
              </w:rPr>
            </w:pPr>
            <w:r>
              <w:rPr>
                <w:rFonts w:hint="eastAsia" w:ascii="仿宋" w:hAnsi="仿宋" w:eastAsia="仿宋" w:cs="仿宋"/>
                <w:b/>
              </w:rPr>
              <w:t>项  目</w:t>
            </w:r>
          </w:p>
        </w:tc>
        <w:tc>
          <w:tcPr>
            <w:tcW w:w="1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b/>
              </w:rPr>
            </w:pPr>
            <w:r>
              <w:rPr>
                <w:rFonts w:hint="eastAsia" w:ascii="仿宋" w:hAnsi="仿宋" w:eastAsia="仿宋" w:cs="仿宋"/>
                <w:b/>
              </w:rPr>
              <w:t>预算数</w:t>
            </w:r>
          </w:p>
        </w:tc>
        <w:tc>
          <w:tcPr>
            <w:tcW w:w="20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b/>
              </w:rPr>
            </w:pPr>
            <w:r>
              <w:rPr>
                <w:rFonts w:hint="eastAsia" w:ascii="仿宋" w:hAnsi="仿宋" w:eastAsia="仿宋" w:cs="仿宋"/>
                <w:b/>
              </w:rPr>
              <w:t>决算数</w:t>
            </w:r>
          </w:p>
        </w:tc>
        <w:tc>
          <w:tcPr>
            <w:tcW w:w="22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b/>
              </w:rPr>
            </w:pPr>
            <w:r>
              <w:rPr>
                <w:rFonts w:hint="eastAsia" w:ascii="仿宋" w:hAnsi="仿宋" w:eastAsia="仿宋" w:cs="仿宋"/>
                <w:b/>
              </w:rPr>
              <w:t>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textAlignment w:val="auto"/>
              <w:rPr>
                <w:rFonts w:hint="eastAsia" w:ascii="仿宋" w:hAnsi="仿宋" w:eastAsia="仿宋" w:cs="仿宋"/>
              </w:rPr>
            </w:pPr>
            <w:r>
              <w:rPr>
                <w:rFonts w:hint="eastAsia" w:ascii="仿宋" w:hAnsi="仿宋" w:eastAsia="仿宋" w:cs="仿宋"/>
              </w:rPr>
              <w:t>公务用车购置支出</w:t>
            </w:r>
          </w:p>
        </w:tc>
        <w:tc>
          <w:tcPr>
            <w:tcW w:w="1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0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rPr>
            </w:pPr>
            <w:r>
              <w:rPr>
                <w:rFonts w:hint="eastAsia" w:ascii="仿宋" w:hAnsi="仿宋" w:eastAsia="仿宋" w:cs="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2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textAlignment w:val="auto"/>
              <w:rPr>
                <w:rFonts w:hint="eastAsia" w:ascii="仿宋" w:hAnsi="仿宋" w:eastAsia="仿宋" w:cs="仿宋"/>
              </w:rPr>
            </w:pPr>
            <w:r>
              <w:rPr>
                <w:rFonts w:hint="eastAsia" w:ascii="仿宋" w:hAnsi="仿宋" w:eastAsia="仿宋" w:cs="仿宋"/>
              </w:rPr>
              <w:t>公务用车运行维护费支出</w:t>
            </w:r>
          </w:p>
        </w:tc>
        <w:tc>
          <w:tcPr>
            <w:tcW w:w="1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0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rPr>
            </w:pPr>
            <w:r>
              <w:rPr>
                <w:rFonts w:hint="eastAsia" w:ascii="仿宋" w:hAnsi="仿宋" w:eastAsia="仿宋" w:cs="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textAlignment w:val="auto"/>
              <w:rPr>
                <w:rFonts w:hint="eastAsia" w:ascii="仿宋" w:hAnsi="仿宋" w:eastAsia="仿宋" w:cs="仿宋"/>
              </w:rPr>
            </w:pPr>
            <w:r>
              <w:rPr>
                <w:rFonts w:hint="eastAsia" w:ascii="仿宋" w:hAnsi="仿宋" w:eastAsia="仿宋" w:cs="仿宋"/>
              </w:rPr>
              <w:t>因公出国支出</w:t>
            </w:r>
          </w:p>
        </w:tc>
        <w:tc>
          <w:tcPr>
            <w:tcW w:w="1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0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rPr>
            </w:pPr>
            <w:r>
              <w:rPr>
                <w:rFonts w:hint="eastAsia" w:ascii="仿宋" w:hAnsi="仿宋" w:eastAsia="仿宋" w:cs="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textAlignment w:val="auto"/>
              <w:rPr>
                <w:rFonts w:hint="eastAsia" w:ascii="仿宋" w:hAnsi="仿宋" w:eastAsia="仿宋" w:cs="仿宋"/>
              </w:rPr>
            </w:pPr>
            <w:r>
              <w:rPr>
                <w:rFonts w:hint="eastAsia" w:ascii="仿宋" w:hAnsi="仿宋" w:eastAsia="仿宋" w:cs="仿宋"/>
              </w:rPr>
              <w:t xml:space="preserve">公务接待费支出  </w:t>
            </w:r>
          </w:p>
        </w:tc>
        <w:tc>
          <w:tcPr>
            <w:tcW w:w="1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0</w:t>
            </w:r>
          </w:p>
        </w:tc>
        <w:tc>
          <w:tcPr>
            <w:tcW w:w="20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lang w:val="en-US" w:eastAsia="zh-CN"/>
              </w:rPr>
            </w:pPr>
            <w:r>
              <w:rPr>
                <w:rFonts w:hint="eastAsia" w:ascii="仿宋" w:hAnsi="仿宋" w:eastAsia="仿宋" w:cs="仿宋"/>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textAlignment w:val="auto"/>
              <w:rPr>
                <w:rFonts w:hint="eastAsia" w:ascii="仿宋" w:hAnsi="仿宋" w:eastAsia="仿宋" w:cs="仿宋"/>
              </w:rPr>
            </w:pPr>
            <w:r>
              <w:rPr>
                <w:rFonts w:hint="eastAsia" w:ascii="仿宋" w:hAnsi="仿宋" w:eastAsia="仿宋" w:cs="仿宋"/>
              </w:rPr>
              <w:t xml:space="preserve">   合  计</w:t>
            </w:r>
          </w:p>
        </w:tc>
        <w:tc>
          <w:tcPr>
            <w:tcW w:w="1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0</w:t>
            </w:r>
          </w:p>
        </w:tc>
        <w:tc>
          <w:tcPr>
            <w:tcW w:w="20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sz w:val="22"/>
                <w:szCs w:val="22"/>
              </w:rPr>
            </w:pPr>
            <w:r>
              <w:rPr>
                <w:rFonts w:hint="eastAsia" w:ascii="仿宋" w:hAnsi="仿宋" w:eastAsia="仿宋" w:cs="仿宋"/>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topLinePunct w:val="0"/>
              <w:autoSpaceDE/>
              <w:autoSpaceDN/>
              <w:bidi w:val="0"/>
              <w:adjustRightInd/>
              <w:snapToGrid/>
              <w:spacing w:line="520" w:lineRule="exact"/>
              <w:jc w:val="center"/>
              <w:textAlignment w:val="auto"/>
              <w:rPr>
                <w:rFonts w:hint="eastAsia" w:ascii="仿宋" w:hAnsi="仿宋" w:eastAsia="仿宋" w:cs="仿宋"/>
                <w:lang w:val="en-US" w:eastAsia="zh-CN"/>
              </w:rPr>
            </w:pPr>
            <w:r>
              <w:rPr>
                <w:rFonts w:hint="eastAsia" w:ascii="仿宋" w:hAnsi="仿宋" w:eastAsia="仿宋" w:cs="仿宋"/>
                <w:lang w:val="en-US" w:eastAsia="zh-CN"/>
              </w:rPr>
              <w:t>0</w:t>
            </w:r>
          </w:p>
        </w:tc>
      </w:tr>
    </w:tbl>
    <w:p>
      <w:pPr>
        <w:keepNext w:val="0"/>
        <w:keepLines w:val="0"/>
        <w:pageBreakBefore w:val="0"/>
        <w:kinsoku/>
        <w:wordWrap/>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年度“三公经费”决算数</w:t>
      </w:r>
      <w:r>
        <w:rPr>
          <w:rFonts w:hint="eastAsia" w:ascii="仿宋" w:hAnsi="仿宋" w:eastAsia="仿宋" w:cs="仿宋"/>
          <w:sz w:val="32"/>
          <w:szCs w:val="32"/>
        </w:rPr>
        <w:t>0</w:t>
      </w:r>
      <w:r>
        <w:rPr>
          <w:rFonts w:hint="eastAsia" w:ascii="仿宋" w:hAnsi="仿宋" w:eastAsia="仿宋" w:cs="仿宋"/>
          <w:bCs/>
          <w:sz w:val="32"/>
          <w:szCs w:val="32"/>
        </w:rPr>
        <w:t>万元比202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年度“三公经费”决算数</w:t>
      </w:r>
      <w:r>
        <w:rPr>
          <w:rFonts w:hint="eastAsia" w:ascii="仿宋" w:hAnsi="仿宋" w:eastAsia="仿宋" w:cs="仿宋"/>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bCs/>
          <w:sz w:val="32"/>
          <w:szCs w:val="32"/>
          <w:lang w:eastAsia="zh-CN"/>
        </w:rPr>
        <w:t>，</w:t>
      </w:r>
      <w:r>
        <w:rPr>
          <w:rFonts w:hint="eastAsia" w:ascii="仿宋" w:hAnsi="仿宋" w:eastAsia="仿宋" w:cs="仿宋"/>
          <w:bCs/>
          <w:sz w:val="32"/>
          <w:szCs w:val="32"/>
        </w:rPr>
        <w:t>减少了</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万元，三公经费</w:t>
      </w:r>
      <w:r>
        <w:rPr>
          <w:rFonts w:hint="eastAsia" w:ascii="仿宋" w:hAnsi="仿宋" w:eastAsia="仿宋" w:cs="仿宋"/>
          <w:bCs/>
          <w:sz w:val="32"/>
          <w:szCs w:val="32"/>
          <w:lang w:eastAsia="zh-CN"/>
        </w:rPr>
        <w:t>无增减</w:t>
      </w:r>
      <w:r>
        <w:rPr>
          <w:rFonts w:hint="eastAsia" w:ascii="仿宋" w:hAnsi="仿宋" w:eastAsia="仿宋" w:cs="仿宋"/>
          <w:bCs/>
          <w:sz w:val="32"/>
          <w:szCs w:val="32"/>
        </w:rPr>
        <w:t>的主要原因：是</w:t>
      </w:r>
      <w:r>
        <w:rPr>
          <w:rFonts w:hint="eastAsia" w:ascii="仿宋" w:hAnsi="仿宋" w:eastAsia="仿宋" w:cs="仿宋"/>
          <w:bCs/>
          <w:sz w:val="32"/>
          <w:szCs w:val="32"/>
          <w:lang w:eastAsia="zh-CN"/>
        </w:rPr>
        <w:t>单位</w:t>
      </w:r>
      <w:r>
        <w:rPr>
          <w:rFonts w:hint="eastAsia" w:ascii="仿宋" w:hAnsi="仿宋" w:eastAsia="仿宋" w:cs="仿宋"/>
          <w:bCs/>
          <w:sz w:val="32"/>
          <w:szCs w:val="32"/>
        </w:rPr>
        <w:t>严格执行《关于进一步加强三公经费的管理意见》，认真贯彻落实</w:t>
      </w:r>
      <w:r>
        <w:rPr>
          <w:rFonts w:hint="eastAsia" w:ascii="仿宋" w:hAnsi="仿宋" w:eastAsia="仿宋" w:cs="仿宋"/>
          <w:bCs/>
          <w:sz w:val="32"/>
          <w:szCs w:val="32"/>
          <w:lang w:eastAsia="zh-CN"/>
        </w:rPr>
        <w:t>中央</w:t>
      </w:r>
      <w:r>
        <w:rPr>
          <w:rFonts w:hint="eastAsia" w:ascii="仿宋" w:hAnsi="仿宋" w:eastAsia="仿宋" w:cs="仿宋"/>
          <w:bCs/>
          <w:sz w:val="32"/>
          <w:szCs w:val="32"/>
        </w:rPr>
        <w:t>八项规定要求，厉行节约，规范公务接待活动</w:t>
      </w:r>
      <w:r>
        <w:rPr>
          <w:rFonts w:hint="eastAsia" w:ascii="仿宋" w:hAnsi="仿宋" w:eastAsia="仿宋" w:cs="仿宋"/>
          <w:bCs/>
          <w:sz w:val="32"/>
          <w:szCs w:val="32"/>
          <w:lang w:eastAsia="zh-CN"/>
        </w:rPr>
        <w:t>，严格</w:t>
      </w:r>
      <w:r>
        <w:rPr>
          <w:rFonts w:hint="eastAsia" w:ascii="仿宋" w:hAnsi="仿宋" w:eastAsia="仿宋" w:cs="仿宋"/>
          <w:bCs/>
          <w:sz w:val="32"/>
          <w:szCs w:val="32"/>
        </w:rPr>
        <w:t>控制三公经费支出</w:t>
      </w:r>
      <w:r>
        <w:rPr>
          <w:rFonts w:hint="eastAsia" w:ascii="仿宋" w:hAnsi="仿宋" w:eastAsia="仿宋" w:cs="仿宋"/>
          <w:bCs/>
          <w:sz w:val="32"/>
          <w:szCs w:val="32"/>
          <w:lang w:eastAsia="zh-CN"/>
        </w:rPr>
        <w:t>。</w:t>
      </w:r>
    </w:p>
    <w:p>
      <w:pPr>
        <w:keepNext w:val="0"/>
        <w:keepLines w:val="0"/>
        <w:pageBreakBefore w:val="0"/>
        <w:numPr>
          <w:ilvl w:val="0"/>
          <w:numId w:val="3"/>
        </w:numPr>
        <w:kinsoku/>
        <w:wordWrap/>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rPr>
        <w:t>高度重视绩效评价</w:t>
      </w:r>
      <w:r>
        <w:rPr>
          <w:rFonts w:hint="eastAsia" w:ascii="仿宋" w:hAnsi="仿宋" w:eastAsia="仿宋" w:cs="仿宋"/>
          <w:b/>
          <w:bCs/>
          <w:sz w:val="32"/>
          <w:szCs w:val="32"/>
          <w:lang w:eastAsia="zh-CN"/>
        </w:rPr>
        <w:t>工作</w:t>
      </w:r>
    </w:p>
    <w:p>
      <w:pPr>
        <w:keepNext w:val="0"/>
        <w:keepLines w:val="0"/>
        <w:pageBreakBefore w:val="0"/>
        <w:numPr>
          <w:ilvl w:val="0"/>
          <w:numId w:val="0"/>
        </w:numPr>
        <w:kinsoku/>
        <w:wordWrap/>
        <w:topLinePunct w:val="0"/>
        <w:autoSpaceDE/>
        <w:autoSpaceDN/>
        <w:bidi w:val="0"/>
        <w:adjustRightInd/>
        <w:snapToGrid/>
        <w:spacing w:line="520" w:lineRule="exact"/>
        <w:ind w:leftChars="20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积极探索和建立一套与预算管理相结合、多渠道应用评价结果的有效机制，着力提高绩效意识和财政资金使用效益。同时，按照县财政部门统一部署，我</w:t>
      </w:r>
      <w:r>
        <w:rPr>
          <w:rFonts w:hint="eastAsia" w:ascii="仿宋" w:hAnsi="仿宋" w:eastAsia="仿宋" w:cs="仿宋"/>
          <w:sz w:val="32"/>
          <w:szCs w:val="32"/>
          <w:lang w:eastAsia="zh-CN"/>
        </w:rPr>
        <w:t>会</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年度部门整体支出绩效自评情况将在中方县政府门户网站公开，接受社会监督。根据部门整体支出绩效评价要求，设定评分标准，202</w:t>
      </w:r>
      <w:r>
        <w:rPr>
          <w:rFonts w:hint="eastAsia" w:ascii="仿宋" w:hAnsi="仿宋" w:eastAsia="仿宋" w:cs="仿宋"/>
          <w:sz w:val="32"/>
          <w:szCs w:val="32"/>
          <w:lang w:val="en-US" w:eastAsia="zh-CN"/>
        </w:rPr>
        <w:t>3</w:t>
      </w:r>
      <w:r>
        <w:rPr>
          <w:rFonts w:hint="eastAsia" w:ascii="仿宋" w:hAnsi="仿宋" w:eastAsia="仿宋" w:cs="仿宋"/>
          <w:sz w:val="32"/>
          <w:szCs w:val="32"/>
        </w:rPr>
        <w:t>年度我</w:t>
      </w:r>
      <w:r>
        <w:rPr>
          <w:rFonts w:hint="eastAsia" w:ascii="仿宋" w:hAnsi="仿宋" w:eastAsia="仿宋" w:cs="仿宋"/>
          <w:sz w:val="32"/>
          <w:szCs w:val="32"/>
          <w:lang w:eastAsia="zh-CN"/>
        </w:rPr>
        <w:t>会</w:t>
      </w:r>
      <w:r>
        <w:rPr>
          <w:rFonts w:hint="eastAsia" w:ascii="仿宋" w:hAnsi="仿宋" w:eastAsia="仿宋" w:cs="仿宋"/>
          <w:sz w:val="32"/>
          <w:szCs w:val="32"/>
        </w:rPr>
        <w:t>综合得分为9</w:t>
      </w:r>
      <w:r>
        <w:rPr>
          <w:rFonts w:hint="eastAsia" w:ascii="仿宋" w:hAnsi="仿宋" w:eastAsia="仿宋" w:cs="仿宋"/>
          <w:sz w:val="32"/>
          <w:szCs w:val="32"/>
          <w:lang w:val="en-US" w:eastAsia="zh-CN"/>
        </w:rPr>
        <w:t>5</w:t>
      </w:r>
      <w:bookmarkStart w:id="0" w:name="_GoBack"/>
      <w:bookmarkEnd w:id="0"/>
      <w:r>
        <w:rPr>
          <w:rFonts w:hint="eastAsia" w:ascii="仿宋" w:hAnsi="仿宋" w:eastAsia="仿宋" w:cs="仿宋"/>
          <w:sz w:val="32"/>
          <w:szCs w:val="32"/>
        </w:rPr>
        <w:t>分。</w:t>
      </w:r>
    </w:p>
    <w:p>
      <w:pPr>
        <w:keepNext w:val="0"/>
        <w:keepLines w:val="0"/>
        <w:pageBreakBefore w:val="0"/>
        <w:kinsoku/>
        <w:wordWrap/>
        <w:topLinePunct w:val="0"/>
        <w:autoSpaceDE/>
        <w:autoSpaceDN/>
        <w:bidi w:val="0"/>
        <w:adjustRightInd/>
        <w:snapToGrid/>
        <w:spacing w:line="52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3</w:t>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t>项目支出的管理情况</w:t>
      </w:r>
    </w:p>
    <w:p>
      <w:pPr>
        <w:keepNext w:val="0"/>
        <w:keepLines w:val="0"/>
        <w:pageBreakBefore w:val="0"/>
        <w:kinsoku/>
        <w:wordWrap/>
        <w:topLinePunct w:val="0"/>
        <w:autoSpaceDE/>
        <w:autoSpaceDN/>
        <w:bidi w:val="0"/>
        <w:adjustRightInd/>
        <w:snapToGrid/>
        <w:spacing w:line="52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sz w:val="32"/>
          <w:szCs w:val="32"/>
        </w:rPr>
        <w:t>本单位20</w:t>
      </w:r>
      <w:r>
        <w:rPr>
          <w:rFonts w:hint="eastAsia" w:ascii="仿宋" w:hAnsi="仿宋" w:eastAsia="仿宋" w:cs="仿宋"/>
          <w:sz w:val="32"/>
          <w:szCs w:val="32"/>
          <w:lang w:val="en-US" w:eastAsia="zh-CN"/>
        </w:rPr>
        <w:t>23</w:t>
      </w:r>
      <w:r>
        <w:rPr>
          <w:rFonts w:hint="eastAsia" w:ascii="仿宋" w:hAnsi="仿宋" w:eastAsia="仿宋" w:cs="仿宋"/>
          <w:sz w:val="32"/>
          <w:szCs w:val="32"/>
        </w:rPr>
        <w:t>年无项目支出</w:t>
      </w:r>
      <w:r>
        <w:rPr>
          <w:rFonts w:hint="eastAsia" w:ascii="仿宋" w:hAnsi="仿宋" w:eastAsia="仿宋" w:cs="仿宋"/>
          <w:sz w:val="32"/>
          <w:szCs w:val="32"/>
          <w:lang w:eastAsia="zh-CN"/>
        </w:rPr>
        <w:t>。</w:t>
      </w:r>
    </w:p>
    <w:p>
      <w:pPr>
        <w:pStyle w:val="3"/>
        <w:bidi w:val="0"/>
        <w:rPr>
          <w:rFonts w:hint="eastAsia" w:ascii="仿宋" w:hAnsi="仿宋" w:eastAsia="仿宋" w:cs="仿宋"/>
          <w:b/>
          <w:bCs w:val="0"/>
        </w:rPr>
      </w:pPr>
      <w:r>
        <w:rPr>
          <w:rFonts w:hint="eastAsia" w:ascii="仿宋" w:hAnsi="仿宋" w:eastAsia="仿宋" w:cs="仿宋"/>
          <w:b/>
          <w:bCs w:val="0"/>
        </w:rPr>
        <w:t>三、部门整体支出绩效评价分析</w:t>
      </w:r>
    </w:p>
    <w:p>
      <w:pPr>
        <w:keepNext w:val="0"/>
        <w:keepLines w:val="0"/>
        <w:pageBreakBefore w:val="0"/>
        <w:widowControl/>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1、扎实推进红十字会“三救三献”工作。</w:t>
      </w:r>
      <w:r>
        <w:rPr>
          <w:rFonts w:hint="eastAsia" w:ascii="仿宋" w:hAnsi="仿宋" w:eastAsia="仿宋" w:cs="仿宋"/>
          <w:sz w:val="32"/>
          <w:szCs w:val="32"/>
        </w:rPr>
        <w:t>①3月4日、8月3日、4日我会邀请了市红箭救援队救护培训分队救护师资蒋东卓、徐磊、钱桂凤为中方县金升阳科技有限公司的30名员工和</w:t>
      </w:r>
      <w:r>
        <w:rPr>
          <w:rFonts w:hint="eastAsia" w:ascii="仿宋" w:hAnsi="仿宋" w:eastAsia="仿宋" w:cs="仿宋"/>
          <w:spacing w:val="0"/>
          <w:position w:val="0"/>
          <w:sz w:val="32"/>
          <w:szCs w:val="32"/>
        </w:rPr>
        <w:t>中方县中小学幼儿园</w:t>
      </w:r>
      <w:r>
        <w:rPr>
          <w:rFonts w:hint="eastAsia" w:ascii="仿宋" w:hAnsi="仿宋" w:eastAsia="仿宋" w:cs="仿宋"/>
          <w:spacing w:val="0"/>
          <w:position w:val="0"/>
          <w:sz w:val="32"/>
          <w:szCs w:val="32"/>
          <w:lang w:eastAsia="zh-CN"/>
        </w:rPr>
        <w:t>分管安全负责人、综治主任4</w:t>
      </w:r>
      <w:r>
        <w:rPr>
          <w:rFonts w:hint="eastAsia" w:ascii="仿宋" w:hAnsi="仿宋" w:eastAsia="仿宋" w:cs="仿宋"/>
          <w:spacing w:val="0"/>
          <w:position w:val="0"/>
          <w:sz w:val="32"/>
          <w:szCs w:val="32"/>
        </w:rPr>
        <w:t>9</w:t>
      </w:r>
      <w:r>
        <w:rPr>
          <w:rFonts w:hint="eastAsia" w:ascii="仿宋" w:hAnsi="仿宋" w:eastAsia="仿宋" w:cs="仿宋"/>
          <w:sz w:val="32"/>
          <w:szCs w:val="32"/>
        </w:rPr>
        <w:t>名教师进行红十字救护员培训。打破了我会近年来救护员培训这块工作为零的工作局面。②1月17日、18日中方县红十字会到中方县新路河镇开展了博爱送万家集中活动，为困难群众送去大米20袋，食用油20桶，棉衣48件，温暖箱20个，健康防护箱200个价值2.68万元，受益群众</w:t>
      </w:r>
      <w:r>
        <w:rPr>
          <w:rFonts w:hint="eastAsia" w:ascii="仿宋" w:hAnsi="仿宋" w:eastAsia="仿宋" w:cs="仿宋"/>
          <w:sz w:val="32"/>
          <w:szCs w:val="32"/>
          <w:lang w:val="en-US" w:eastAsia="zh-CN"/>
        </w:rPr>
        <w:t>150</w:t>
      </w:r>
      <w:r>
        <w:rPr>
          <w:rFonts w:hint="eastAsia" w:ascii="仿宋" w:hAnsi="仿宋" w:eastAsia="仿宋" w:cs="仿宋"/>
          <w:sz w:val="32"/>
          <w:szCs w:val="32"/>
        </w:rPr>
        <w:t>余人，加强和改善了党群干群关系。为了纪念第76个“5.8”世界红十字日，弘扬“人道、博爱、奉献”的红十字精神，倡导“人人学急救，急救为人人”的急救理念，中方县红十字会常务会长蒲繁荣同志于5月8日上午带领全体干部职工到中方县桐木镇黄家湾村开展“5.8”世界红十字日宣传活动。县红十字会为黄家湾村的28位困难群众送去牛奶28件，食用油28桶，宣传资料120份，价值3000元，并向他们宣传了红十字“人道、博爱、奉献”的红十字精神，将红十字的温暖和关爱送给了黄家湾村的困难群众，让他们感觉到党的关心和关爱。③为落实怀化市2023年度新增造血干细胞入库志愿者指标任务，进一步弘扬“人道、博爱、奉献”的红十字精神，引导广大干部群众积极参与我县公益事业发展，尽快加入志愿捐献造血干细胞血样采集和献血活动中来，2023年6月6日、7日中方县红十字会全体干部职工到县一号会议室，携手怀化市中心血站对献血志愿者面对面进行造血干细胞的知识宣传，成功发展了20名造血干细胞捐献志愿者，圆满完成了此次工作任务。</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4 \* GB3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④</w:t>
      </w:r>
      <w:r>
        <w:rPr>
          <w:rFonts w:hint="eastAsia" w:ascii="仿宋" w:hAnsi="仿宋" w:eastAsia="仿宋" w:cs="仿宋"/>
          <w:sz w:val="32"/>
          <w:szCs w:val="32"/>
        </w:rPr>
        <w:fldChar w:fldCharType="end"/>
      </w:r>
      <w:r>
        <w:rPr>
          <w:rFonts w:hint="eastAsia" w:ascii="仿宋" w:hAnsi="仿宋" w:eastAsia="仿宋" w:cs="仿宋"/>
          <w:sz w:val="32"/>
          <w:szCs w:val="32"/>
        </w:rPr>
        <w:t>为了普及初级卫生知识、应急救护知识和安全知识的培训，提高学生在可能发生的突发事件和意外伤害情况下的自救和互救能力。5月31日，6月9日我会在花桥镇花桥中学、中方县中兴学校举办了《中方县花桥中学2023年应急救护和防溺水知识》培训班，培训邀请了市红十字红箭救援队队长蒋东卓进行专业授课。活动的培训师生达2000余人，发放《应急救护和防灾减灾知识读本》2000余册，深受师生好评。</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5 \* GB3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⑤</w:t>
      </w:r>
      <w:r>
        <w:rPr>
          <w:rFonts w:hint="eastAsia" w:ascii="仿宋" w:hAnsi="仿宋" w:eastAsia="仿宋" w:cs="仿宋"/>
          <w:sz w:val="32"/>
          <w:szCs w:val="32"/>
        </w:rPr>
        <w:fldChar w:fldCharType="end"/>
      </w:r>
      <w:r>
        <w:rPr>
          <w:rFonts w:hint="eastAsia" w:ascii="仿宋" w:hAnsi="仿宋" w:eastAsia="仿宋" w:cs="仿宋"/>
          <w:sz w:val="32"/>
          <w:szCs w:val="32"/>
        </w:rPr>
        <w:t>9月8日中方县红十字会参加了市红十字会举办的“关爱生命、救在身边”红十字知识竞赛，通过激烈的比拼，中方县代表队进入了决赛。决赛分为“有问必答”、“精诚合作”、“争分夺秒”、“风险挑战”四个环节进行。竞赛内容涵盖习近平新时代中国特色社会主义思想、党的二十大精神、红十字运动基本知识、红十字会相关法律法规以及“三献三救”核心业务知识等内容。中方县红十字会参赛队员以赛促学强本领，以学促用展风采勇夺比赛第三名。⑥为纪念第24个“世界急救日”，中方县红十字会常务副会长蒲繁荣同志于9月13日上午带领全体干部职工到中方县南湖路鸭嘴岩赶集市场开展了2023年“世界急救日”主题宣传活动。县红十字的工作人员向群众宣传和普及了应急救护知识，发放了宣传资料200份，提高了救护知识在群众的普及率。</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bCs/>
          <w:sz w:val="32"/>
          <w:szCs w:val="32"/>
        </w:rPr>
        <w:t>积极参与县委、县政府安排的中心工作。①</w:t>
      </w:r>
      <w:r>
        <w:rPr>
          <w:rFonts w:hint="eastAsia" w:ascii="仿宋" w:hAnsi="仿宋" w:eastAsia="仿宋" w:cs="仿宋"/>
          <w:sz w:val="32"/>
          <w:szCs w:val="32"/>
        </w:rPr>
        <w:t>主动参与振兴乡村和干部联村工作。积极响应县委、县政府要求参与振兴乡村工作的号召。今年来，先后帮扶贫困户60余户，共送去慰问金和帮扶物质（折价）总计达1万元。同时为振兴乡村工作联系村桐木镇黄家湾村解决工作经费1万元，全力以赴参与振兴乡村工作，工作基本做到了工作务实、过程扎实、结果真实，为所联村的振兴乡村工作做出了应有的贡献。②带领我会干部职工深入学习贯彻习近平新时代中国特色社会主义思想、《中华人民共和国红十字会法》、习近平会见红十字委员会主席斯波利亚里茨时的重要讲话和指示。</w:t>
      </w:r>
    </w:p>
    <w:p>
      <w:pPr>
        <w:pStyle w:val="3"/>
        <w:keepNext w:val="0"/>
        <w:keepLines w:val="0"/>
        <w:pageBreakBefore w:val="0"/>
        <w:widowControl/>
        <w:kinsoku/>
        <w:wordWrap/>
        <w:overflowPunct/>
        <w:topLinePunct w:val="0"/>
        <w:autoSpaceDE/>
        <w:autoSpaceDN/>
        <w:bidi w:val="0"/>
        <w:adjustRightInd w:val="0"/>
        <w:snapToGrid w:val="0"/>
        <w:spacing w:line="520" w:lineRule="exact"/>
        <w:textAlignment w:val="auto"/>
        <w:rPr>
          <w:rFonts w:hint="eastAsia" w:ascii="仿宋" w:hAnsi="仿宋" w:eastAsia="仿宋" w:cs="仿宋"/>
          <w:b/>
          <w:bCs w:val="0"/>
        </w:rPr>
      </w:pPr>
      <w:r>
        <w:rPr>
          <w:rFonts w:hint="eastAsia" w:ascii="仿宋" w:hAnsi="仿宋" w:eastAsia="仿宋" w:cs="仿宋"/>
          <w:b/>
          <w:bCs w:val="0"/>
        </w:rPr>
        <w:t>四、存在的问题</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1、争取政策支持和财政投入方面不够，资金短缺，救助实力薄弱；</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2、对影响红会事业发展的瓶颈和障碍问题研究的还不够透彻，筹措资金、社会募捐工作难点问题的解决办法措施力度还不够有效。</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预算执行有待进一步加强，预算支出进度有前慢后快现象，前三季度支出较慢，第四季度支出较快。</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预算管理方面，制度执行总体较为有效，仍需进一步强化；资金使用管理需进一步加强。</w:t>
      </w:r>
    </w:p>
    <w:p>
      <w:pPr>
        <w:pStyle w:val="3"/>
        <w:keepNext w:val="0"/>
        <w:keepLines w:val="0"/>
        <w:pageBreakBefore w:val="0"/>
        <w:widowControl/>
        <w:kinsoku/>
        <w:wordWrap/>
        <w:overflowPunct/>
        <w:topLinePunct w:val="0"/>
        <w:autoSpaceDE/>
        <w:autoSpaceDN/>
        <w:bidi w:val="0"/>
        <w:adjustRightInd w:val="0"/>
        <w:snapToGrid w:val="0"/>
        <w:spacing w:line="520" w:lineRule="exact"/>
        <w:textAlignment w:val="auto"/>
        <w:rPr>
          <w:rFonts w:hint="eastAsia" w:ascii="仿宋" w:hAnsi="仿宋" w:eastAsia="仿宋" w:cs="仿宋"/>
          <w:b/>
          <w:bCs w:val="0"/>
        </w:rPr>
      </w:pPr>
      <w:r>
        <w:rPr>
          <w:rFonts w:hint="eastAsia" w:ascii="仿宋" w:hAnsi="仿宋" w:eastAsia="仿宋" w:cs="仿宋"/>
          <w:b/>
          <w:bCs w:val="0"/>
        </w:rPr>
        <w:t>五、整改措施或建议</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完善预算审核机制，细化、准确编制预算，合理安排预算。完善预算管理制度，进一步加强内部各处室的预算管理意识，严格按照预算编制的相关制度和要求，本着“勤俭节约、保障运转”的原则进行预算的编制；进一步提高预算编制的科学性、合理性、严谨性。</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进一步完善红十字基层组织体系，加强人道救助与应急救援能力建设。加大宣传动员力度，整合力量，建立和拓宽资金来源渠道，逐步提高红十字会救助实力。</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完善预算审核机制，细化、准确编制预算，合理安排预算。完善预算管理制度，进一步加强内部各处室的预算管理意识，严格按照预算编制的相关制度和要求，本着“勤俭节约、保障运转”的原则进行预算的编制；进一步提高预算编制的科学性、合理性、严谨性。</w:t>
      </w:r>
    </w:p>
    <w:p>
      <w:pPr>
        <w:keepNext w:val="0"/>
        <w:keepLines w:val="0"/>
        <w:pageBreakBefore w:val="0"/>
        <w:widowControl/>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六、其他需要说明的问题</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
          <w:sz w:val="32"/>
          <w:szCs w:val="32"/>
          <w:lang w:eastAsia="zh-CN"/>
        </w:rPr>
        <w:sectPr>
          <w:footerReference r:id="rId3" w:type="default"/>
          <w:pgSz w:w="11906" w:h="16838"/>
          <w:pgMar w:top="1440" w:right="1800" w:bottom="1440" w:left="1800" w:header="708" w:footer="709" w:gutter="0"/>
          <w:pgNumType w:fmt="decimal"/>
          <w:cols w:space="0" w:num="1"/>
          <w:docGrid w:linePitch="360" w:charSpace="0"/>
        </w:sectPr>
      </w:pPr>
      <w:r>
        <w:rPr>
          <w:rFonts w:hint="eastAsia" w:ascii="仿宋" w:hAnsi="仿宋" w:eastAsia="仿宋" w:cs="仿宋"/>
          <w:sz w:val="32"/>
          <w:szCs w:val="32"/>
          <w:lang w:eastAsia="zh-CN"/>
        </w:rPr>
        <w:t>无。</w:t>
      </w:r>
    </w:p>
    <w:p>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10"/>
        <w:tblW w:w="1414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pPr>
              <w:spacing w:after="0"/>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投入（15分）</w:t>
            </w: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r>
              <w:rPr>
                <w:rFonts w:hint="eastAsia" w:ascii="宋体" w:hAnsi="宋体" w:eastAsia="宋体" w:cs="宋体"/>
              </w:rPr>
              <w:t>目标设定</w:t>
            </w:r>
          </w:p>
          <w:p>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pPr>
              <w:spacing w:after="0" w:line="240" w:lineRule="exact"/>
              <w:rPr>
                <w:rFonts w:ascii="宋体" w:hAnsi="宋体" w:eastAsia="宋体" w:cs="宋体"/>
              </w:rPr>
            </w:pPr>
            <w:r>
              <w:rPr>
                <w:rFonts w:hint="eastAsia" w:ascii="宋体" w:hAnsi="宋体" w:eastAsia="宋体" w:cs="宋体"/>
              </w:rPr>
              <w:t>符合（1分）；</w:t>
            </w:r>
          </w:p>
          <w:p>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全部符合（1分）；</w:t>
            </w:r>
          </w:p>
          <w:p>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全部符合（1分）；</w:t>
            </w:r>
          </w:p>
          <w:p>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pPr>
              <w:spacing w:after="0" w:line="240" w:lineRule="exact"/>
              <w:rPr>
                <w:rFonts w:ascii="宋体" w:hAnsi="宋体" w:eastAsia="宋体" w:cs="宋体"/>
              </w:rPr>
            </w:pPr>
            <w:r>
              <w:rPr>
                <w:rFonts w:hint="eastAsia" w:ascii="宋体" w:hAnsi="宋体" w:eastAsia="宋体" w:cs="宋体"/>
              </w:rPr>
              <w:t>在职人员控制率=（在职人员数/编制数）×100%。</w:t>
            </w:r>
          </w:p>
          <w:p>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w:t>
            </w:r>
          </w:p>
          <w:p>
            <w:pPr>
              <w:spacing w:after="0" w:line="68" w:lineRule="atLeast"/>
              <w:rPr>
                <w:rFonts w:ascii="宋体" w:hAnsi="宋体" w:eastAsia="宋体" w:cs="宋体"/>
              </w:rPr>
            </w:pPr>
            <w:r>
              <w:rPr>
                <w:rFonts w:hint="eastAsia" w:ascii="宋体" w:hAnsi="宋体" w:eastAsia="宋体" w:cs="宋体"/>
              </w:rPr>
              <w:t>达到目标值的得3分；</w:t>
            </w:r>
          </w:p>
          <w:p>
            <w:pPr>
              <w:spacing w:after="0" w:line="68" w:lineRule="atLeast"/>
              <w:rPr>
                <w:rFonts w:ascii="宋体" w:hAnsi="宋体" w:eastAsia="宋体" w:cs="宋体"/>
              </w:rPr>
            </w:pPr>
            <w:r>
              <w:rPr>
                <w:rFonts w:hint="eastAsia" w:ascii="宋体" w:hAnsi="宋体" w:eastAsia="宋体" w:cs="宋体"/>
              </w:rPr>
              <w:t>100%＞结果≥90%，得3分；</w:t>
            </w:r>
          </w:p>
          <w:p>
            <w:pPr>
              <w:spacing w:after="0" w:line="68" w:lineRule="atLeast"/>
              <w:rPr>
                <w:rFonts w:ascii="宋体" w:hAnsi="宋体" w:eastAsia="宋体" w:cs="宋体"/>
              </w:rPr>
            </w:pPr>
            <w:r>
              <w:rPr>
                <w:rFonts w:hint="eastAsia" w:ascii="宋体" w:hAnsi="宋体" w:eastAsia="宋体" w:cs="宋体"/>
              </w:rPr>
              <w:t>90%＞结果≥80%，得1分；</w:t>
            </w:r>
          </w:p>
          <w:p>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pPr>
              <w:spacing w:after="0" w:line="240" w:lineRule="exact"/>
              <w:jc w:val="center"/>
              <w:rPr>
                <w:rFonts w:ascii="宋体" w:hAnsi="宋体" w:eastAsia="宋体" w:cs="宋体"/>
              </w:rPr>
            </w:pPr>
            <w:r>
              <w:rPr>
                <w:rFonts w:hint="eastAsia" w:ascii="宋体" w:hAnsi="宋体" w:eastAsia="宋体" w:cs="宋体"/>
              </w:rPr>
              <w:t>预算管理</w:t>
            </w:r>
          </w:p>
          <w:p>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管理制度健全性</w:t>
            </w:r>
          </w:p>
          <w:p>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pPr>
              <w:spacing w:after="0" w:line="240" w:lineRule="exact"/>
              <w:rPr>
                <w:rFonts w:ascii="宋体" w:hAnsi="宋体" w:eastAsia="宋体" w:cs="宋体"/>
              </w:rPr>
            </w:pPr>
            <w:r>
              <w:rPr>
                <w:rFonts w:hint="eastAsia" w:ascii="宋体" w:hAnsi="宋体" w:eastAsia="宋体" w:cs="宋体"/>
              </w:rPr>
              <w:t>2.相关管理制度是否合法、合规、完整；</w:t>
            </w:r>
          </w:p>
          <w:p>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全部符合（2分）；</w:t>
            </w:r>
          </w:p>
          <w:p>
            <w:pPr>
              <w:spacing w:after="0" w:line="240" w:lineRule="exact"/>
              <w:rPr>
                <w:rFonts w:ascii="宋体" w:hAnsi="宋体" w:eastAsia="宋体" w:cs="宋体"/>
              </w:rPr>
            </w:pPr>
            <w:r>
              <w:rPr>
                <w:rFonts w:hint="eastAsia" w:ascii="宋体" w:hAnsi="宋体" w:eastAsia="宋体" w:cs="宋体"/>
              </w:rPr>
              <w:t>符合其中两项（1分）</w:t>
            </w:r>
          </w:p>
          <w:p>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资金使用合规性</w:t>
            </w:r>
          </w:p>
          <w:p>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pPr>
              <w:spacing w:after="0" w:line="240" w:lineRule="exact"/>
              <w:rPr>
                <w:rFonts w:ascii="宋体" w:hAnsi="宋体" w:eastAsia="宋体" w:cs="宋体"/>
              </w:rPr>
            </w:pPr>
            <w:r>
              <w:rPr>
                <w:rFonts w:hint="eastAsia" w:ascii="宋体" w:hAnsi="宋体" w:eastAsia="宋体" w:cs="宋体"/>
              </w:rPr>
              <w:t>2.资金的拨付有完整的审批过程和手续；</w:t>
            </w:r>
          </w:p>
          <w:p>
            <w:pPr>
              <w:spacing w:after="0" w:line="240" w:lineRule="exact"/>
              <w:rPr>
                <w:rFonts w:ascii="宋体" w:hAnsi="宋体" w:eastAsia="宋体" w:cs="宋体"/>
              </w:rPr>
            </w:pPr>
            <w:r>
              <w:rPr>
                <w:rFonts w:hint="eastAsia" w:ascii="宋体" w:hAnsi="宋体" w:eastAsia="宋体" w:cs="宋体"/>
              </w:rPr>
              <w:t>3.项目的重大开支经过评估论证；</w:t>
            </w:r>
          </w:p>
          <w:p>
            <w:pPr>
              <w:spacing w:after="0" w:line="240" w:lineRule="exact"/>
              <w:rPr>
                <w:rFonts w:ascii="宋体" w:hAnsi="宋体" w:eastAsia="宋体" w:cs="宋体"/>
              </w:rPr>
            </w:pPr>
            <w:r>
              <w:rPr>
                <w:rFonts w:hint="eastAsia" w:ascii="宋体" w:hAnsi="宋体" w:eastAsia="宋体" w:cs="宋体"/>
              </w:rPr>
              <w:t>4.符合部门预算批复的用途；</w:t>
            </w:r>
          </w:p>
          <w:p>
            <w:pPr>
              <w:spacing w:after="0" w:line="240" w:lineRule="exact"/>
              <w:rPr>
                <w:rFonts w:ascii="宋体" w:hAnsi="宋体" w:eastAsia="宋体" w:cs="宋体"/>
              </w:rPr>
            </w:pPr>
            <w:r>
              <w:rPr>
                <w:rFonts w:hint="eastAsia" w:ascii="宋体" w:hAnsi="宋体" w:eastAsia="宋体" w:cs="宋体"/>
              </w:rPr>
              <w:t>5.不存在截留情况；6.不存在挤占情况；</w:t>
            </w:r>
          </w:p>
          <w:p>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全部符合（9分）；</w:t>
            </w:r>
          </w:p>
          <w:p>
            <w:pPr>
              <w:spacing w:after="0" w:line="240" w:lineRule="exact"/>
              <w:rPr>
                <w:rFonts w:ascii="宋体" w:hAnsi="宋体" w:eastAsia="宋体" w:cs="宋体"/>
              </w:rPr>
            </w:pPr>
            <w:r>
              <w:rPr>
                <w:rFonts w:hint="eastAsia" w:ascii="宋体" w:hAnsi="宋体" w:eastAsia="宋体" w:cs="宋体"/>
              </w:rPr>
              <w:t>符合其中七项（8分）；</w:t>
            </w:r>
          </w:p>
          <w:p>
            <w:pPr>
              <w:spacing w:after="0" w:line="240" w:lineRule="exact"/>
              <w:rPr>
                <w:rFonts w:ascii="宋体" w:hAnsi="宋体" w:eastAsia="宋体" w:cs="宋体"/>
              </w:rPr>
            </w:pPr>
            <w:r>
              <w:rPr>
                <w:rFonts w:hint="eastAsia" w:ascii="宋体" w:hAnsi="宋体" w:eastAsia="宋体" w:cs="宋体"/>
              </w:rPr>
              <w:t>符合其中六项（5分）；</w:t>
            </w:r>
          </w:p>
          <w:p>
            <w:pPr>
              <w:spacing w:after="0" w:line="240" w:lineRule="exact"/>
              <w:rPr>
                <w:rFonts w:ascii="宋体" w:hAnsi="宋体" w:eastAsia="宋体" w:cs="宋体"/>
              </w:rPr>
            </w:pPr>
            <w:r>
              <w:rPr>
                <w:rFonts w:hint="eastAsia" w:ascii="宋体" w:hAnsi="宋体" w:eastAsia="宋体" w:cs="宋体"/>
              </w:rPr>
              <w:t>符合其中五项（3分）；</w:t>
            </w:r>
          </w:p>
          <w:p>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1.公开预决算信息；</w:t>
            </w:r>
          </w:p>
          <w:p>
            <w:pPr>
              <w:spacing w:after="0" w:line="240" w:lineRule="exact"/>
              <w:rPr>
                <w:rFonts w:ascii="宋体" w:hAnsi="宋体" w:eastAsia="宋体" w:cs="宋体"/>
              </w:rPr>
            </w:pPr>
            <w:r>
              <w:rPr>
                <w:rFonts w:hint="eastAsia" w:ascii="宋体" w:hAnsi="宋体" w:eastAsia="宋体" w:cs="宋体"/>
              </w:rPr>
              <w:t>2.按规定内容公开预决算信息；</w:t>
            </w:r>
          </w:p>
          <w:p>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全部符合（3分）；</w:t>
            </w:r>
          </w:p>
          <w:p>
            <w:pPr>
              <w:spacing w:after="0" w:line="240" w:lineRule="exact"/>
              <w:rPr>
                <w:rFonts w:ascii="宋体" w:hAnsi="宋体" w:eastAsia="宋体" w:cs="宋体"/>
              </w:rPr>
            </w:pPr>
            <w:r>
              <w:rPr>
                <w:rFonts w:hint="eastAsia" w:ascii="宋体" w:hAnsi="宋体" w:eastAsia="宋体" w:cs="宋体"/>
              </w:rPr>
              <w:t>符合其中两项（2分）</w:t>
            </w:r>
          </w:p>
          <w:p>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1.基本财务管理制度健全；</w:t>
            </w:r>
          </w:p>
          <w:p>
            <w:pPr>
              <w:spacing w:after="0" w:line="240" w:lineRule="exact"/>
              <w:rPr>
                <w:rFonts w:ascii="宋体" w:hAnsi="宋体" w:eastAsia="宋体" w:cs="宋体"/>
              </w:rPr>
            </w:pPr>
            <w:r>
              <w:rPr>
                <w:rFonts w:hint="eastAsia" w:ascii="宋体" w:hAnsi="宋体" w:eastAsia="宋体" w:cs="宋体"/>
              </w:rPr>
              <w:t>2.基础数据信息和会计信息资料真实；</w:t>
            </w:r>
          </w:p>
          <w:p>
            <w:pPr>
              <w:spacing w:after="0" w:line="240" w:lineRule="exact"/>
              <w:rPr>
                <w:rFonts w:ascii="宋体" w:hAnsi="宋体" w:eastAsia="宋体" w:cs="宋体"/>
              </w:rPr>
            </w:pPr>
            <w:r>
              <w:rPr>
                <w:rFonts w:hint="eastAsia" w:ascii="宋体" w:hAnsi="宋体" w:eastAsia="宋体" w:cs="宋体"/>
              </w:rPr>
              <w:t>3.基础数据信息和会计信息资料完整；</w:t>
            </w:r>
          </w:p>
          <w:p>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符合全部四项（4分）；</w:t>
            </w:r>
          </w:p>
          <w:p>
            <w:pPr>
              <w:spacing w:after="0" w:line="240" w:lineRule="exact"/>
              <w:rPr>
                <w:rFonts w:ascii="宋体" w:hAnsi="宋体" w:eastAsia="宋体" w:cs="宋体"/>
              </w:rPr>
            </w:pPr>
            <w:r>
              <w:rPr>
                <w:rFonts w:hint="eastAsia" w:ascii="宋体" w:hAnsi="宋体" w:eastAsia="宋体" w:cs="宋体"/>
              </w:rPr>
              <w:t>符合其中三项（2分）；</w:t>
            </w:r>
          </w:p>
          <w:p>
            <w:pPr>
              <w:spacing w:after="0" w:line="240" w:lineRule="exact"/>
              <w:rPr>
                <w:rFonts w:ascii="宋体" w:hAnsi="宋体" w:eastAsia="宋体" w:cs="宋体"/>
              </w:rPr>
            </w:pPr>
            <w:r>
              <w:rPr>
                <w:rFonts w:hint="eastAsia" w:ascii="宋体" w:hAnsi="宋体" w:eastAsia="宋体" w:cs="宋体"/>
              </w:rPr>
              <w:t>符合其中两项（1分）；</w:t>
            </w:r>
          </w:p>
          <w:p>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1.是否已制定或具有资产管理制度；</w:t>
            </w:r>
          </w:p>
          <w:p>
            <w:pPr>
              <w:spacing w:after="0" w:line="240" w:lineRule="exact"/>
              <w:rPr>
                <w:rFonts w:ascii="宋体" w:hAnsi="宋体" w:eastAsia="宋体" w:cs="宋体"/>
              </w:rPr>
            </w:pPr>
            <w:r>
              <w:rPr>
                <w:rFonts w:hint="eastAsia" w:ascii="宋体" w:hAnsi="宋体" w:eastAsia="宋体" w:cs="宋体"/>
              </w:rPr>
              <w:t>2.相关资金管理制度是否合法、合规、完整；</w:t>
            </w:r>
          </w:p>
          <w:p>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全部符合（2分）；</w:t>
            </w:r>
          </w:p>
          <w:p>
            <w:pPr>
              <w:spacing w:after="0" w:line="240" w:lineRule="exact"/>
              <w:rPr>
                <w:rFonts w:ascii="宋体" w:hAnsi="宋体" w:eastAsia="宋体" w:cs="宋体"/>
              </w:rPr>
            </w:pPr>
            <w:r>
              <w:rPr>
                <w:rFonts w:hint="eastAsia" w:ascii="宋体" w:hAnsi="宋体" w:eastAsia="宋体" w:cs="宋体"/>
              </w:rPr>
              <w:t>符合其中两项（1分）</w:t>
            </w:r>
          </w:p>
          <w:p>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资产管理完全性</w:t>
            </w:r>
          </w:p>
          <w:p>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1.资产保存完整；</w:t>
            </w:r>
          </w:p>
          <w:p>
            <w:pPr>
              <w:spacing w:after="0" w:line="240" w:lineRule="exact"/>
              <w:rPr>
                <w:rFonts w:ascii="宋体" w:hAnsi="宋体" w:eastAsia="宋体" w:cs="宋体"/>
              </w:rPr>
            </w:pPr>
            <w:r>
              <w:rPr>
                <w:rFonts w:hint="eastAsia" w:ascii="宋体" w:hAnsi="宋体" w:eastAsia="宋体" w:cs="宋体"/>
              </w:rPr>
              <w:t>2.资产账务管理是否合规，帐实相符；</w:t>
            </w:r>
          </w:p>
          <w:p>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符合全部三项（3分）；</w:t>
            </w:r>
          </w:p>
          <w:p>
            <w:pPr>
              <w:spacing w:after="0" w:line="240" w:lineRule="exact"/>
              <w:rPr>
                <w:rFonts w:ascii="宋体" w:hAnsi="宋体" w:eastAsia="宋体" w:cs="宋体"/>
              </w:rPr>
            </w:pPr>
            <w:r>
              <w:rPr>
                <w:rFonts w:hint="eastAsia" w:ascii="宋体" w:hAnsi="宋体" w:eastAsia="宋体" w:cs="宋体"/>
              </w:rPr>
              <w:t>符合其中两项（2分）；</w:t>
            </w:r>
          </w:p>
          <w:p>
            <w:pPr>
              <w:spacing w:after="0" w:line="240" w:lineRule="exact"/>
              <w:rPr>
                <w:rFonts w:ascii="宋体" w:hAnsi="宋体" w:eastAsia="宋体" w:cs="宋体"/>
              </w:rPr>
            </w:pPr>
            <w:r>
              <w:rPr>
                <w:rFonts w:hint="eastAsia" w:ascii="宋体" w:hAnsi="宋体" w:eastAsia="宋体" w:cs="宋体"/>
              </w:rPr>
              <w:t>符合其中一项（1分）；</w:t>
            </w:r>
          </w:p>
          <w:p>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固定资产利用率</w:t>
            </w:r>
          </w:p>
          <w:p>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产出(15分)</w:t>
            </w: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目标值为100%；</w:t>
            </w:r>
          </w:p>
          <w:p>
            <w:pPr>
              <w:spacing w:after="0" w:line="68" w:lineRule="atLeast"/>
              <w:rPr>
                <w:rFonts w:ascii="宋体" w:hAnsi="宋体" w:eastAsia="宋体" w:cs="宋体"/>
              </w:rPr>
            </w:pPr>
            <w:r>
              <w:rPr>
                <w:rFonts w:hint="eastAsia" w:ascii="宋体" w:hAnsi="宋体" w:eastAsia="宋体" w:cs="宋体"/>
              </w:rPr>
              <w:t>达到目标值得4分；</w:t>
            </w:r>
          </w:p>
          <w:p>
            <w:pPr>
              <w:spacing w:after="0" w:line="68" w:lineRule="atLeast"/>
              <w:rPr>
                <w:rFonts w:ascii="宋体" w:hAnsi="宋体" w:eastAsia="宋体" w:cs="宋体"/>
              </w:rPr>
            </w:pPr>
            <w:r>
              <w:rPr>
                <w:rFonts w:hint="eastAsia" w:ascii="宋体" w:hAnsi="宋体" w:eastAsia="宋体" w:cs="宋体"/>
              </w:rPr>
              <w:t>100%＞结果≥95%，得3分；</w:t>
            </w:r>
          </w:p>
          <w:p>
            <w:pPr>
              <w:spacing w:after="0" w:line="68" w:lineRule="atLeast"/>
              <w:rPr>
                <w:rFonts w:ascii="宋体" w:hAnsi="宋体" w:eastAsia="宋体" w:cs="宋体"/>
              </w:rPr>
            </w:pPr>
            <w:r>
              <w:rPr>
                <w:rFonts w:hint="eastAsia" w:ascii="宋体" w:hAnsi="宋体" w:eastAsia="宋体" w:cs="宋体"/>
              </w:rPr>
              <w:t>95%＞结果≥90%，得2分；</w:t>
            </w:r>
          </w:p>
          <w:p>
            <w:pPr>
              <w:spacing w:after="0" w:line="68" w:lineRule="atLeast"/>
              <w:rPr>
                <w:rFonts w:ascii="宋体" w:hAnsi="宋体" w:eastAsia="宋体" w:cs="宋体"/>
              </w:rPr>
            </w:pPr>
            <w:r>
              <w:rPr>
                <w:rFonts w:hint="eastAsia" w:ascii="宋体" w:hAnsi="宋体" w:eastAsia="宋体" w:cs="宋体"/>
              </w:rPr>
              <w:t>90%＞结果≥85%，得1分；</w:t>
            </w:r>
          </w:p>
          <w:p>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pPr>
              <w:spacing w:after="0" w:line="240" w:lineRule="exact"/>
              <w:rPr>
                <w:rFonts w:ascii="宋体" w:hAnsi="宋体" w:eastAsia="宋体" w:cs="宋体"/>
              </w:rPr>
            </w:pPr>
            <w:r>
              <w:rPr>
                <w:rFonts w:hint="eastAsia" w:ascii="宋体" w:hAnsi="宋体" w:eastAsia="宋体" w:cs="宋体"/>
              </w:rPr>
              <w:t>占比率=(自评项目资金量/项目支出资金量)×100%。</w:t>
            </w:r>
          </w:p>
          <w:p>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效果（15）</w:t>
            </w: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效果（15）</w:t>
            </w:r>
          </w:p>
          <w:p>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监督发现问题</w:t>
            </w:r>
          </w:p>
          <w:p>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评价结果应用</w:t>
            </w:r>
          </w:p>
          <w:p>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pPr>
              <w:spacing w:after="0" w:line="68" w:lineRule="atLeast"/>
              <w:rPr>
                <w:rFonts w:ascii="宋体" w:hAnsi="宋体" w:eastAsia="宋体" w:cs="宋体"/>
              </w:rPr>
            </w:pPr>
            <w:r>
              <w:rPr>
                <w:rFonts w:hint="eastAsia" w:ascii="宋体" w:hAnsi="宋体" w:eastAsia="宋体" w:cs="宋体"/>
              </w:rPr>
              <w:t>评价要点：</w:t>
            </w:r>
          </w:p>
          <w:p>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全部符合（1分）；</w:t>
            </w:r>
          </w:p>
          <w:p>
            <w:pPr>
              <w:spacing w:after="0" w:line="240" w:lineRule="exact"/>
              <w:rPr>
                <w:rFonts w:ascii="宋体" w:hAnsi="宋体" w:eastAsia="宋体" w:cs="宋体"/>
              </w:rPr>
            </w:pPr>
            <w:r>
              <w:rPr>
                <w:rFonts w:hint="eastAsia" w:ascii="宋体" w:hAnsi="宋体" w:eastAsia="宋体" w:cs="宋体"/>
              </w:rPr>
              <w:t>符合其中两项（0.5分）</w:t>
            </w:r>
          </w:p>
          <w:p>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sym w:font="Wingdings 2" w:char="0052"/>
            </w: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95</w:t>
            </w:r>
          </w:p>
        </w:tc>
      </w:tr>
    </w:tbl>
    <w:p>
      <w:pPr>
        <w:spacing w:line="432" w:lineRule="auto"/>
      </w:pPr>
    </w:p>
    <w:p>
      <w:pPr>
        <w:rPr>
          <w:rFonts w:ascii="黑体" w:hAnsi="黑体" w:eastAsia="黑体"/>
          <w:sz w:val="32"/>
          <w:szCs w:val="32"/>
        </w:rPr>
      </w:pPr>
      <w:r>
        <w:rPr>
          <w:rFonts w:hint="eastAsia" w:ascii="黑体" w:hAnsi="黑体" w:eastAsia="黑体"/>
          <w:sz w:val="32"/>
          <w:szCs w:val="32"/>
        </w:rPr>
        <w:br w:type="page"/>
      </w:r>
    </w:p>
    <w:p>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pPr>
        <w:spacing w:after="0" w:line="400" w:lineRule="exact"/>
        <w:jc w:val="center"/>
        <w:rPr>
          <w:rFonts w:ascii="方正小标宋简体" w:hAnsi="Times New Roman" w:eastAsia="方正小标宋简体"/>
          <w:sz w:val="44"/>
          <w:szCs w:val="44"/>
        </w:rPr>
      </w:pPr>
    </w:p>
    <w:p>
      <w:pPr>
        <w:rPr>
          <w:rFonts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lang w:eastAsia="zh-CN"/>
        </w:rPr>
        <w:t>中方县红十字会</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2024</w:t>
      </w:r>
      <w:r>
        <w:rPr>
          <w:rFonts w:hint="eastAsia" w:ascii="宋体" w:hAnsi="宋体" w:eastAsia="宋体" w:cs="宋体"/>
          <w:sz w:val="24"/>
          <w:szCs w:val="24"/>
        </w:rPr>
        <w:t>年</w:t>
      </w:r>
      <w:r>
        <w:rPr>
          <w:rFonts w:hint="eastAsia" w:ascii="宋体" w:hAnsi="宋体" w:eastAsia="宋体" w:cs="宋体"/>
          <w:sz w:val="24"/>
          <w:szCs w:val="24"/>
          <w:lang w:val="en-US" w:eastAsia="zh-CN"/>
        </w:rPr>
        <w:t>08</w:t>
      </w:r>
      <w:r>
        <w:rPr>
          <w:rFonts w:hint="eastAsia" w:ascii="宋体" w:hAnsi="宋体" w:eastAsia="宋体" w:cs="宋体"/>
          <w:sz w:val="24"/>
          <w:szCs w:val="24"/>
        </w:rPr>
        <w:t xml:space="preserve">月 </w:t>
      </w:r>
      <w:r>
        <w:rPr>
          <w:rFonts w:hint="eastAsia" w:ascii="宋体" w:hAnsi="宋体" w:eastAsia="宋体" w:cs="宋体"/>
          <w:sz w:val="24"/>
          <w:szCs w:val="24"/>
          <w:lang w:val="en-US" w:eastAsia="zh-CN"/>
        </w:rPr>
        <w:t>16</w:t>
      </w:r>
      <w:r>
        <w:rPr>
          <w:rFonts w:hint="eastAsia" w:ascii="宋体" w:hAnsi="宋体" w:eastAsia="宋体" w:cs="宋体"/>
          <w:sz w:val="24"/>
          <w:szCs w:val="24"/>
        </w:rPr>
        <w:t>日</w:t>
      </w:r>
    </w:p>
    <w:tbl>
      <w:tblPr>
        <w:tblStyle w:val="10"/>
        <w:tblW w:w="1473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2" w:hRule="atLeast"/>
          <w:jc w:val="center"/>
        </w:trPr>
        <w:tc>
          <w:tcPr>
            <w:tcW w:w="709"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vAlign w:val="center"/>
          </w:tcPr>
          <w:p>
            <w:pPr>
              <w:spacing w:after="0" w:line="500" w:lineRule="exact"/>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2383" w:type="dxa"/>
            <w:vAlign w:val="center"/>
          </w:tcPr>
          <w:p>
            <w:pPr>
              <w:spacing w:after="0" w:line="500" w:lineRule="exact"/>
              <w:jc w:val="center"/>
              <w:rPr>
                <w:rFonts w:ascii="宋体" w:hAnsi="宋体" w:eastAsia="宋体" w:cs="宋体"/>
              </w:rPr>
            </w:pPr>
            <w:r>
              <w:rPr>
                <w:rFonts w:hint="eastAsia" w:ascii="方正小标宋_GBK" w:hAnsi="方正小标宋_GBK" w:eastAsia="方正小标宋_GBK" w:cs="方正小标宋_GBK"/>
              </w:rPr>
              <w:t>中方县</w:t>
            </w:r>
            <w:r>
              <w:rPr>
                <w:rFonts w:hint="eastAsia" w:ascii="方正小标宋_GBK" w:hAnsi="方正小标宋_GBK" w:cs="方正小标宋_GBK"/>
                <w:b/>
                <w:bCs/>
                <w:lang w:eastAsia="zh-CN"/>
              </w:rPr>
              <w:t>红十字会</w:t>
            </w:r>
            <w:r>
              <w:rPr>
                <w:rFonts w:hint="eastAsia" w:ascii="方正小标宋_GBK" w:hAnsi="方正小标宋_GBK" w:eastAsia="方正小标宋_GBK" w:cs="方正小标宋_GBK"/>
                <w:lang w:eastAsia="zh-CN"/>
              </w:rPr>
              <w:t>202</w:t>
            </w:r>
            <w:r>
              <w:rPr>
                <w:rFonts w:hint="eastAsia" w:ascii="方正小标宋_GBK" w:hAnsi="方正小标宋_GBK" w:eastAsia="方正小标宋_GBK" w:cs="方正小标宋_GBK"/>
                <w:lang w:val="en-US" w:eastAsia="zh-CN"/>
              </w:rPr>
              <w:t>3</w:t>
            </w:r>
            <w:r>
              <w:rPr>
                <w:rFonts w:hint="eastAsia" w:ascii="方正小标宋_GBK" w:hAnsi="方正小标宋_GBK" w:eastAsia="方正小标宋_GBK" w:cs="方正小标宋_GBK"/>
              </w:rPr>
              <w:t>年度部门整体支出绩效自评报告</w:t>
            </w:r>
          </w:p>
        </w:tc>
        <w:tc>
          <w:tcPr>
            <w:tcW w:w="3507" w:type="dxa"/>
            <w:vAlign w:val="center"/>
          </w:tcPr>
          <w:p>
            <w:pPr>
              <w:spacing w:after="0" w:line="500" w:lineRule="exact"/>
              <w:rPr>
                <w:rFonts w:ascii="宋体" w:hAnsi="宋体" w:eastAsia="宋体" w:cs="宋体"/>
              </w:rPr>
            </w:pPr>
            <w:r>
              <w:rPr>
                <w:rFonts w:hint="eastAsia" w:ascii="宋体" w:hAnsi="宋体" w:eastAsia="宋体" w:cs="宋体"/>
              </w:rPr>
              <w:t xml:space="preserve">本机关、单位制发  </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u w:val="single"/>
              </w:rPr>
            </w:pPr>
            <w:r>
              <w:rPr>
                <w:rFonts w:hint="eastAsia" w:ascii="宋体" w:hAnsi="宋体" w:eastAsia="宋体" w:cs="宋体"/>
                <w:u w:val="single"/>
              </w:rPr>
              <w:t xml:space="preserve">                           </w:t>
            </w: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r>
              <w:rPr>
                <w:rFonts w:hint="eastAsia" w:ascii="宋体" w:hAnsi="宋体" w:eastAsia="宋体" w:cs="宋体"/>
              </w:rPr>
              <w:sym w:font="Wingdings 2" w:char="0052"/>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jc w:val="center"/>
              <w:rPr>
                <w:rFonts w:hint="eastAsia" w:ascii="宋体" w:hAnsi="宋体" w:eastAsia="宋体" w:cs="宋体"/>
                <w:lang w:eastAsia="zh-CN"/>
              </w:rPr>
            </w:pPr>
            <w:r>
              <w:rPr>
                <w:rFonts w:hint="eastAsia" w:ascii="宋体" w:hAnsi="宋体" w:eastAsia="宋体" w:cs="宋体"/>
                <w:lang w:eastAsia="zh-CN"/>
              </w:rPr>
              <w:t>同意公开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vAlign w:val="center"/>
          </w:tcPr>
          <w:p>
            <w:pPr>
              <w:spacing w:after="0" w:line="500" w:lineRule="exact"/>
              <w:jc w:val="center"/>
              <w:rPr>
                <w:rFonts w:ascii="宋体" w:hAnsi="宋体" w:eastAsia="宋体" w:cs="宋体"/>
              </w:rPr>
            </w:pPr>
          </w:p>
        </w:tc>
        <w:tc>
          <w:tcPr>
            <w:tcW w:w="2383" w:type="dxa"/>
            <w:vAlign w:val="center"/>
          </w:tcPr>
          <w:p>
            <w:pPr>
              <w:spacing w:after="0" w:line="500" w:lineRule="exact"/>
              <w:jc w:val="center"/>
              <w:rPr>
                <w:rFonts w:ascii="宋体" w:hAnsi="宋体" w:eastAsia="宋体" w:cs="宋体"/>
              </w:rPr>
            </w:pPr>
          </w:p>
        </w:tc>
        <w:tc>
          <w:tcPr>
            <w:tcW w:w="3507" w:type="dxa"/>
            <w:vAlign w:val="center"/>
          </w:tcPr>
          <w:p>
            <w:pPr>
              <w:spacing w:after="0" w:line="500" w:lineRule="exact"/>
              <w:rPr>
                <w:rFonts w:ascii="宋体" w:hAnsi="宋体" w:eastAsia="宋体" w:cs="宋体"/>
              </w:rPr>
            </w:pPr>
            <w:r>
              <w:rPr>
                <w:rFonts w:hint="eastAsia" w:ascii="宋体" w:hAnsi="宋体" w:eastAsia="宋体" w:cs="宋体"/>
              </w:rPr>
              <w:t>本机关、单位制发  □</w:t>
            </w:r>
          </w:p>
          <w:p>
            <w:pPr>
              <w:spacing w:after="0" w:line="500" w:lineRule="exact"/>
              <w:rPr>
                <w:rFonts w:ascii="宋体" w:hAnsi="宋体" w:eastAsia="宋体" w:cs="宋体"/>
              </w:rPr>
            </w:pPr>
            <w:r>
              <w:rPr>
                <w:rFonts w:hint="eastAsia" w:ascii="宋体" w:hAnsi="宋体" w:eastAsia="宋体" w:cs="宋体"/>
              </w:rPr>
              <w:t>转载（注明转载来源）：</w:t>
            </w:r>
          </w:p>
          <w:p>
            <w:pPr>
              <w:spacing w:after="0" w:line="500" w:lineRule="exact"/>
              <w:rPr>
                <w:rFonts w:ascii="宋体" w:hAnsi="宋体" w:eastAsia="宋体" w:cs="宋体"/>
              </w:rPr>
            </w:pPr>
            <w:r>
              <w:rPr>
                <w:rFonts w:hint="eastAsia" w:ascii="宋体" w:hAnsi="宋体" w:eastAsia="宋体" w:cs="宋体"/>
                <w:u w:val="single"/>
              </w:rPr>
              <w:t xml:space="preserve">                            </w:t>
            </w:r>
          </w:p>
        </w:tc>
        <w:tc>
          <w:tcPr>
            <w:tcW w:w="2781" w:type="dxa"/>
            <w:vAlign w:val="center"/>
          </w:tcPr>
          <w:p>
            <w:pPr>
              <w:spacing w:after="0" w:line="500" w:lineRule="exact"/>
              <w:rPr>
                <w:rFonts w:ascii="宋体" w:hAnsi="宋体" w:eastAsia="宋体" w:cs="宋体"/>
              </w:rPr>
            </w:pPr>
            <w:r>
              <w:rPr>
                <w:rFonts w:hint="eastAsia" w:ascii="宋体" w:hAnsi="宋体" w:eastAsia="宋体" w:cs="宋体"/>
              </w:rPr>
              <w:t>政府网站主动公开  □</w:t>
            </w:r>
          </w:p>
          <w:p>
            <w:pPr>
              <w:spacing w:after="0" w:line="500" w:lineRule="exact"/>
              <w:rPr>
                <w:rFonts w:ascii="宋体" w:hAnsi="宋体" w:eastAsia="宋体" w:cs="宋体"/>
              </w:rPr>
            </w:pPr>
            <w:r>
              <w:rPr>
                <w:rFonts w:hint="eastAsia" w:ascii="宋体" w:hAnsi="宋体" w:eastAsia="宋体" w:cs="宋体"/>
              </w:rPr>
              <w:t>依申请公开        □</w:t>
            </w:r>
          </w:p>
          <w:p>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pPr>
              <w:spacing w:after="0" w:line="500" w:lineRule="exact"/>
              <w:rPr>
                <w:rFonts w:ascii="宋体" w:hAnsi="宋体" w:eastAsia="宋体" w:cs="宋体"/>
              </w:rPr>
            </w:pPr>
            <w:r>
              <w:rPr>
                <w:rFonts w:hint="eastAsia" w:ascii="宋体" w:hAnsi="宋体" w:eastAsia="宋体" w:cs="宋体"/>
              </w:rPr>
              <w:t>非涉密，同意公开□</w:t>
            </w:r>
          </w:p>
          <w:p>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pPr>
              <w:spacing w:after="0" w:line="500" w:lineRule="exact"/>
              <w:jc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7" w:hRule="atLeast"/>
          <w:jc w:val="center"/>
        </w:trPr>
        <w:tc>
          <w:tcPr>
            <w:tcW w:w="9380" w:type="dxa"/>
            <w:gridSpan w:val="4"/>
            <w:vAlign w:val="center"/>
          </w:tcPr>
          <w:p>
            <w:pPr>
              <w:spacing w:after="0" w:line="500" w:lineRule="exact"/>
              <w:rPr>
                <w:rFonts w:hint="eastAsia" w:ascii="宋体" w:hAnsi="宋体" w:eastAsia="宋体" w:cs="宋体"/>
                <w:lang w:eastAsia="zh-CN"/>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r>
              <w:rPr>
                <w:rFonts w:hint="eastAsia" w:ascii="宋体" w:hAnsi="宋体" w:eastAsia="宋体" w:cs="宋体"/>
                <w:lang w:eastAsia="zh-CN"/>
              </w:rPr>
              <w:t>杨剑平</w:t>
            </w:r>
          </w:p>
        </w:tc>
        <w:tc>
          <w:tcPr>
            <w:tcW w:w="3277" w:type="dxa"/>
            <w:vAlign w:val="center"/>
          </w:tcPr>
          <w:p>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胡静</w:t>
            </w:r>
          </w:p>
        </w:tc>
        <w:tc>
          <w:tcPr>
            <w:tcW w:w="2081" w:type="dxa"/>
            <w:vAlign w:val="center"/>
          </w:tcPr>
          <w:p>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蒲繁荣</w:t>
            </w:r>
          </w:p>
        </w:tc>
      </w:tr>
    </w:tbl>
    <w:p>
      <w:pPr>
        <w:spacing w:after="0" w:line="400" w:lineRule="exact"/>
        <w:ind w:firstLine="440" w:firstLineChars="200"/>
        <w:rPr>
          <w:rFonts w:ascii="宋体" w:hAnsi="宋体" w:eastAsia="宋体" w:cs="宋体"/>
        </w:rPr>
      </w:pPr>
    </w:p>
    <w:p>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pPr>
        <w:spacing w:after="0" w:line="400" w:lineRule="exact"/>
        <w:ind w:firstLine="880" w:firstLineChars="400"/>
        <w:rPr>
          <w:rFonts w:hint="eastAsia" w:ascii="宋体" w:hAnsi="宋体" w:eastAsia="宋体" w:cs="宋体"/>
          <w:lang w:eastAsia="zh-CN"/>
        </w:rPr>
        <w:sectPr>
          <w:pgSz w:w="16838" w:h="11906" w:orient="landscape"/>
          <w:pgMar w:top="1587" w:right="1587" w:bottom="1587" w:left="1587" w:header="708" w:footer="709" w:gutter="0"/>
          <w:pgNumType w:fmt="decimal"/>
          <w:cols w:space="0" w:num="1"/>
          <w:docGrid w:linePitch="360" w:charSpace="0"/>
        </w:sectPr>
      </w:pPr>
      <w:r>
        <w:rPr>
          <w:rFonts w:hint="eastAsia" w:ascii="宋体" w:hAnsi="宋体" w:eastAsia="宋体" w:cs="宋体"/>
        </w:rPr>
        <w:t>4.本表由本机关、单位负责组织填写和保管</w:t>
      </w:r>
      <w:r>
        <w:rPr>
          <w:rFonts w:hint="eastAsia" w:ascii="宋体" w:hAnsi="宋体" w:eastAsia="宋体" w:cs="宋体"/>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right="-328" w:rightChars="-149"/>
        <w:jc w:val="both"/>
        <w:textAlignment w:val="auto"/>
        <w:rPr>
          <w:rFonts w:hint="eastAsia" w:ascii="宋体" w:hAnsi="宋体" w:eastAsia="宋体" w:cs="宋体"/>
        </w:rPr>
      </w:pPr>
    </w:p>
    <w:sectPr>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355EF6-CB15-4043-941E-443C69FBEDA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A5CD0F1-2019-48F5-AB39-76CFE3BA7A6C}"/>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embedRegular r:id="rId3" w:fontKey="{2FE3DCED-B9E3-4264-ADB2-AAD4D7F32359}"/>
  </w:font>
  <w:font w:name="方正小标宋_GBK">
    <w:panose1 w:val="02000000000000000000"/>
    <w:charset w:val="86"/>
    <w:family w:val="auto"/>
    <w:pitch w:val="default"/>
    <w:sig w:usb0="00000000" w:usb1="00000000" w:usb2="00000000" w:usb3="00000000" w:csb0="00000000" w:csb1="00000000"/>
    <w:embedRegular r:id="rId4" w:fontKey="{FF66DC50-12A6-407F-AD89-318B6C32526F}"/>
  </w:font>
  <w:font w:name="楷体">
    <w:panose1 w:val="02010609060101010101"/>
    <w:charset w:val="86"/>
    <w:family w:val="auto"/>
    <w:pitch w:val="default"/>
    <w:sig w:usb0="800002BF" w:usb1="38CF7CFA" w:usb2="00000016" w:usb3="00000000" w:csb0="00040001" w:csb1="00000000"/>
    <w:embedRegular r:id="rId5" w:fontKey="{12BB6460-61C7-458C-9123-181EF0C5CF8A}"/>
  </w:font>
  <w:font w:name="仿宋">
    <w:panose1 w:val="02010609060101010101"/>
    <w:charset w:val="86"/>
    <w:family w:val="auto"/>
    <w:pitch w:val="default"/>
    <w:sig w:usb0="800002BF" w:usb1="38CF7CFA" w:usb2="00000016" w:usb3="00000000" w:csb0="00040001" w:csb1="00000000"/>
    <w:embedRegular r:id="rId6" w:fontKey="{C0307933-3DA0-4E8D-9E26-3144DA0DCB57}"/>
  </w:font>
  <w:font w:name="仿宋_GB2312">
    <w:panose1 w:val="02010609030101010101"/>
    <w:charset w:val="86"/>
    <w:family w:val="modern"/>
    <w:pitch w:val="default"/>
    <w:sig w:usb0="00000000" w:usb1="00000000" w:usb2="00000000" w:usb3="00000000" w:csb0="00000000" w:csb1="00000000"/>
    <w:embedRegular r:id="rId7" w:fontKey="{C2E6D096-44EB-46B8-94DF-CA0A0063078F}"/>
  </w:font>
  <w:font w:name="方正小标宋简体">
    <w:panose1 w:val="03000509000000000000"/>
    <w:charset w:val="86"/>
    <w:family w:val="script"/>
    <w:pitch w:val="default"/>
    <w:sig w:usb0="00000000" w:usb1="00000000" w:usb2="00000000" w:usb3="00000000" w:csb0="00000000" w:csb1="00000000"/>
    <w:embedRegular r:id="rId8" w:fontKey="{A3F3E901-B2DF-4051-A927-63005048F235}"/>
  </w:font>
  <w:font w:name="Wingdings 2">
    <w:panose1 w:val="05020102010507070707"/>
    <w:charset w:val="02"/>
    <w:family w:val="roman"/>
    <w:pitch w:val="default"/>
    <w:sig w:usb0="00000000" w:usb1="00000000" w:usb2="00000000" w:usb3="00000000" w:csb0="00000000" w:csb1="00000000"/>
    <w:embedRegular r:id="rId9" w:fontKey="{DF480D8E-CDCA-4916-9A6C-8650E6F5EAE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z7ULTrgEAAEsD&#10;AAAOAAAAAAAAAAEAIAAAAB4BAABkcnMvZTJvRG9jLnhtbFBLBQYAAAAABgAGAFkBAAA+BQAAAAA=&#10;">
              <v:fill on="f" focussize="0,0"/>
              <v:stroke on="f"/>
              <v:imagedata o:title=""/>
              <o:lock v:ext="edit" aspectratio="f"/>
              <v:textbox inset="0mm,0mm,0mm,0mm" style="mso-fit-shape-to-text:t;">
                <w:txbxContent>
                  <w:p>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3086C7"/>
    <w:multiLevelType w:val="singleLevel"/>
    <w:tmpl w:val="963086C7"/>
    <w:lvl w:ilvl="0" w:tentative="0">
      <w:start w:val="1"/>
      <w:numFmt w:val="decimal"/>
      <w:suff w:val="nothing"/>
      <w:lvlText w:val="%1、"/>
      <w:lvlJc w:val="left"/>
    </w:lvl>
  </w:abstractNum>
  <w:abstractNum w:abstractNumId="1">
    <w:nsid w:val="AED50E95"/>
    <w:multiLevelType w:val="singleLevel"/>
    <w:tmpl w:val="AED50E95"/>
    <w:lvl w:ilvl="0" w:tentative="0">
      <w:start w:val="2"/>
      <w:numFmt w:val="chineseCounting"/>
      <w:suff w:val="nothing"/>
      <w:lvlText w:val="（%1）"/>
      <w:lvlJc w:val="left"/>
      <w:rPr>
        <w:rFonts w:hint="eastAsia"/>
      </w:rPr>
    </w:lvl>
  </w:abstractNum>
  <w:abstractNum w:abstractNumId="2">
    <w:nsid w:val="F6078243"/>
    <w:multiLevelType w:val="singleLevel"/>
    <w:tmpl w:val="F6078243"/>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xZDMzZjU0NGQ0ZmEzNjU5NzE5MTkyYzhlYjJhMzA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33A1D2B"/>
    <w:rsid w:val="03550139"/>
    <w:rsid w:val="07036575"/>
    <w:rsid w:val="09E813E1"/>
    <w:rsid w:val="0A3C1C07"/>
    <w:rsid w:val="10BB784F"/>
    <w:rsid w:val="12855F2D"/>
    <w:rsid w:val="19215F1A"/>
    <w:rsid w:val="1BC650F5"/>
    <w:rsid w:val="1C4F7811"/>
    <w:rsid w:val="1D2B15F0"/>
    <w:rsid w:val="1E926D9A"/>
    <w:rsid w:val="1EE10A22"/>
    <w:rsid w:val="1FA85DBF"/>
    <w:rsid w:val="1FF57DF9"/>
    <w:rsid w:val="213823C0"/>
    <w:rsid w:val="27AF54E0"/>
    <w:rsid w:val="283F0101"/>
    <w:rsid w:val="29932CBF"/>
    <w:rsid w:val="29A44476"/>
    <w:rsid w:val="2F1A6C8E"/>
    <w:rsid w:val="2FB93755"/>
    <w:rsid w:val="32332E03"/>
    <w:rsid w:val="350C5A51"/>
    <w:rsid w:val="352E3900"/>
    <w:rsid w:val="359C5577"/>
    <w:rsid w:val="3A9F783C"/>
    <w:rsid w:val="3F2533F6"/>
    <w:rsid w:val="3FFC25C9"/>
    <w:rsid w:val="40FE4130"/>
    <w:rsid w:val="417D7802"/>
    <w:rsid w:val="42BB7663"/>
    <w:rsid w:val="43B802BF"/>
    <w:rsid w:val="464168E7"/>
    <w:rsid w:val="482E79F6"/>
    <w:rsid w:val="48D86670"/>
    <w:rsid w:val="48D923E5"/>
    <w:rsid w:val="4A4D7699"/>
    <w:rsid w:val="4C847914"/>
    <w:rsid w:val="4CE01FA6"/>
    <w:rsid w:val="4DF06083"/>
    <w:rsid w:val="4E6B1A2A"/>
    <w:rsid w:val="4E834801"/>
    <w:rsid w:val="50167A22"/>
    <w:rsid w:val="50487133"/>
    <w:rsid w:val="526B70BF"/>
    <w:rsid w:val="53C92F82"/>
    <w:rsid w:val="54CA72E7"/>
    <w:rsid w:val="56510912"/>
    <w:rsid w:val="58AE663A"/>
    <w:rsid w:val="5AFD3965"/>
    <w:rsid w:val="5DC50491"/>
    <w:rsid w:val="5E986A78"/>
    <w:rsid w:val="5ED74E21"/>
    <w:rsid w:val="5F153A8D"/>
    <w:rsid w:val="5F870D72"/>
    <w:rsid w:val="60CC685C"/>
    <w:rsid w:val="62D818A0"/>
    <w:rsid w:val="6AD46AE2"/>
    <w:rsid w:val="6BA204F9"/>
    <w:rsid w:val="6BEC7865"/>
    <w:rsid w:val="6D1920F6"/>
    <w:rsid w:val="6D2A0A99"/>
    <w:rsid w:val="70AC6CA6"/>
    <w:rsid w:val="71A37B13"/>
    <w:rsid w:val="73E019C6"/>
    <w:rsid w:val="768B79D3"/>
    <w:rsid w:val="768F0540"/>
    <w:rsid w:val="79A429DF"/>
    <w:rsid w:val="7A252900"/>
    <w:rsid w:val="7B6273C9"/>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3"/>
    <w:basedOn w:val="1"/>
    <w:next w:val="1"/>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1">
    <w:name w:val="Default Paragraph Font"/>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0"/>
    <w:pPr>
      <w:widowControl/>
      <w:adjustRightInd w:val="0"/>
      <w:snapToGrid w:val="0"/>
      <w:spacing w:after="200"/>
      <w:jc w:val="left"/>
    </w:pPr>
    <w:rPr>
      <w:rFonts w:ascii="Tahoma" w:hAnsi="Tahoma" w:eastAsia="微软雅黑" w:cstheme="minorBidi"/>
      <w:kern w:val="0"/>
      <w:sz w:val="22"/>
      <w:szCs w:val="22"/>
    </w:r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5"/>
    <w:semiHidden/>
    <w:unhideWhenUsed/>
    <w:qFormat/>
    <w:uiPriority w:val="99"/>
    <w:pPr>
      <w:tabs>
        <w:tab w:val="center" w:pos="4153"/>
        <w:tab w:val="right" w:pos="8306"/>
      </w:tabs>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9">
    <w:name w:val="Body Text First Indent 2"/>
    <w:basedOn w:val="5"/>
    <w:qFormat/>
    <w:uiPriority w:val="0"/>
    <w:pPr>
      <w:autoSpaceDE w:val="0"/>
      <w:autoSpaceDN w:val="0"/>
      <w:adjustRightInd w:val="0"/>
      <w:spacing w:after="0"/>
      <w:ind w:firstLine="420"/>
      <w:jc w:val="left"/>
    </w:pPr>
    <w:rPr>
      <w:rFonts w:ascii="Calibri" w:hAnsi="Calibri"/>
    </w:rPr>
  </w:style>
  <w:style w:type="character" w:styleId="12">
    <w:name w:val="page number"/>
    <w:basedOn w:val="11"/>
    <w:qFormat/>
    <w:uiPriority w:val="0"/>
  </w:style>
  <w:style w:type="character" w:styleId="13">
    <w:name w:val="Hyperlink"/>
    <w:basedOn w:val="11"/>
    <w:semiHidden/>
    <w:unhideWhenUsed/>
    <w:qFormat/>
    <w:uiPriority w:val="99"/>
    <w:rPr>
      <w:color w:val="333333"/>
      <w:u w:val="none"/>
    </w:rPr>
  </w:style>
  <w:style w:type="character" w:customStyle="1" w:styleId="14">
    <w:name w:val="页眉 Char"/>
    <w:basedOn w:val="11"/>
    <w:link w:val="7"/>
    <w:semiHidden/>
    <w:qFormat/>
    <w:uiPriority w:val="99"/>
    <w:rPr>
      <w:rFonts w:ascii="Tahoma" w:hAnsi="Tahoma"/>
      <w:sz w:val="18"/>
      <w:szCs w:val="18"/>
    </w:rPr>
  </w:style>
  <w:style w:type="character" w:customStyle="1" w:styleId="15">
    <w:name w:val="页脚 Char"/>
    <w:basedOn w:val="11"/>
    <w:link w:val="6"/>
    <w:semiHidden/>
    <w:qFormat/>
    <w:uiPriority w:val="99"/>
    <w:rPr>
      <w:rFonts w:ascii="Tahoma" w:hAnsi="Tahoma"/>
      <w:sz w:val="18"/>
      <w:szCs w:val="18"/>
    </w:rPr>
  </w:style>
  <w:style w:type="character" w:customStyle="1" w:styleId="16">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7981</Words>
  <Characters>8309</Characters>
  <Lines>66</Lines>
  <Paragraphs>18</Paragraphs>
  <TotalTime>2</TotalTime>
  <ScaleCrop>false</ScaleCrop>
  <LinksUpToDate>false</LinksUpToDate>
  <CharactersWithSpaces>8621</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2024-07-30T09:19:00Z</cp:lastPrinted>
  <dcterms:modified xsi:type="dcterms:W3CDTF">2024-08-02T03:58:49Z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y fmtid="{D5CDD505-2E9C-101B-9397-08002B2CF9AE}" pid="3" name="ICV">
    <vt:lpwstr>7080D7ECA65A4F1A9EEACB6D12C2DBA7_13</vt:lpwstr>
  </property>
</Properties>
</file>