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中方</w:t>
      </w:r>
      <w:r>
        <w:rPr>
          <w:rFonts w:hint="eastAsia" w:ascii="方正小标宋_GBK" w:hAnsi="方正小标宋_GBK" w:eastAsia="方正小标宋_GBK" w:cs="方正小标宋_GBK"/>
          <w:b w:val="0"/>
          <w:bCs w:val="0"/>
          <w:sz w:val="44"/>
          <w:szCs w:val="44"/>
          <w:lang w:eastAsia="zh-CN"/>
        </w:rPr>
        <w:t>县</w:t>
      </w:r>
      <w:r>
        <w:rPr>
          <w:rFonts w:hint="eastAsia" w:ascii="方正小标宋_GBK" w:hAnsi="方正小标宋_GBK" w:cs="方正小标宋_GBK"/>
          <w:b/>
          <w:bCs/>
          <w:sz w:val="44"/>
          <w:szCs w:val="44"/>
          <w:lang w:eastAsia="zh-CN"/>
        </w:rPr>
        <w:t>人社</w:t>
      </w:r>
      <w:r>
        <w:rPr>
          <w:rFonts w:hint="eastAsia" w:ascii="方正小标宋_GBK" w:hAnsi="方正小标宋_GBK" w:cs="方正小标宋_GBK"/>
          <w:b w:val="0"/>
          <w:bCs w:val="0"/>
          <w:sz w:val="44"/>
          <w:szCs w:val="44"/>
          <w:lang w:eastAsia="zh-CN"/>
        </w:rPr>
        <w:t>局</w:t>
      </w:r>
      <w:r>
        <w:rPr>
          <w:rFonts w:hint="eastAsia" w:ascii="方正小标宋_GBK" w:hAnsi="方正小标宋_GBK" w:eastAsia="方正小标宋_GBK" w:cs="方正小标宋_GBK"/>
          <w:b w:val="0"/>
          <w:bCs w:val="0"/>
          <w:sz w:val="44"/>
          <w:szCs w:val="44"/>
          <w:lang w:eastAsia="zh-CN"/>
        </w:rPr>
        <w:t>202</w:t>
      </w:r>
      <w:r>
        <w:rPr>
          <w:rFonts w:hint="eastAsia" w:ascii="方正小标宋_GBK" w:hAnsi="方正小标宋_GBK" w:eastAsia="方正小标宋_GBK" w:cs="方正小标宋_GBK"/>
          <w:b w:val="0"/>
          <w:bCs w:val="0"/>
          <w:sz w:val="44"/>
          <w:szCs w:val="44"/>
          <w:lang w:val="en-US" w:eastAsia="zh-CN"/>
        </w:rPr>
        <w:t>3</w:t>
      </w:r>
      <w:r>
        <w:rPr>
          <w:rFonts w:hint="eastAsia" w:ascii="方正小标宋_GBK" w:hAnsi="方正小标宋_GBK" w:eastAsia="方正小标宋_GBK" w:cs="方正小标宋_GBK"/>
          <w:b w:val="0"/>
          <w:bCs w:val="0"/>
          <w:sz w:val="44"/>
          <w:szCs w:val="44"/>
        </w:rPr>
        <w:t>年度部门整体支出绩效自评报告</w:t>
      </w:r>
    </w:p>
    <w:p>
      <w:pPr>
        <w:pStyle w:val="5"/>
        <w:pageBreakBefore w:val="0"/>
        <w:kinsoku/>
        <w:wordWrap/>
        <w:overflowPunct/>
        <w:topLinePunct w:val="0"/>
        <w:autoSpaceDE/>
        <w:autoSpaceDN/>
        <w:bidi w:val="0"/>
        <w:jc w:val="both"/>
        <w:textAlignment w:val="auto"/>
        <w:rPr>
          <w:rFonts w:hint="eastAsia" w:ascii="楷体" w:hAnsi="楷体" w:eastAsia="楷体" w:cs="楷体"/>
          <w:bCs/>
          <w:sz w:val="36"/>
          <w:szCs w:val="36"/>
        </w:rPr>
      </w:pPr>
      <w:r>
        <w:rPr>
          <w:rFonts w:hint="eastAsia" w:ascii="仿宋" w:hAnsi="仿宋" w:eastAsia="仿宋" w:cs="仿宋"/>
          <w:color w:val="333333"/>
          <w:sz w:val="32"/>
          <w:szCs w:val="32"/>
        </w:rPr>
        <w:t>根据</w:t>
      </w:r>
      <w:r>
        <w:rPr>
          <w:rFonts w:hint="eastAsia" w:ascii="仿宋" w:hAnsi="仿宋" w:eastAsia="仿宋" w:cs="仿宋"/>
          <w:color w:val="333333"/>
          <w:sz w:val="32"/>
          <w:szCs w:val="32"/>
          <w:lang w:eastAsia="zh-CN"/>
        </w:rPr>
        <w:t>中方县</w:t>
      </w:r>
      <w:r>
        <w:rPr>
          <w:rFonts w:hint="eastAsia" w:ascii="仿宋" w:hAnsi="仿宋" w:eastAsia="仿宋" w:cs="仿宋"/>
          <w:color w:val="333333"/>
          <w:sz w:val="32"/>
          <w:szCs w:val="32"/>
        </w:rPr>
        <w:t>财政局《</w:t>
      </w:r>
      <w:r>
        <w:rPr>
          <w:rFonts w:hint="eastAsia" w:ascii="仿宋" w:hAnsi="仿宋" w:eastAsia="仿宋" w:cs="仿宋"/>
          <w:color w:val="333333"/>
          <w:sz w:val="32"/>
          <w:szCs w:val="32"/>
          <w:lang w:eastAsia="zh-CN"/>
        </w:rPr>
        <w:t>关于开展</w:t>
      </w:r>
      <w:r>
        <w:rPr>
          <w:rFonts w:hint="eastAsia" w:ascii="仿宋" w:hAnsi="仿宋" w:eastAsia="仿宋" w:cs="仿宋"/>
          <w:color w:val="333333"/>
          <w:sz w:val="32"/>
          <w:szCs w:val="32"/>
          <w:lang w:val="en-US" w:eastAsia="zh-CN"/>
        </w:rPr>
        <w:t>2023年度部门整体支出绩效自评工作</w:t>
      </w:r>
      <w:r>
        <w:rPr>
          <w:rFonts w:hint="eastAsia" w:ascii="仿宋" w:hAnsi="仿宋" w:eastAsia="仿宋" w:cs="仿宋"/>
          <w:color w:val="333333"/>
          <w:sz w:val="32"/>
          <w:szCs w:val="32"/>
        </w:rPr>
        <w:t>的通知》（</w:t>
      </w:r>
      <w:r>
        <w:rPr>
          <w:rFonts w:hint="eastAsia" w:ascii="仿宋" w:hAnsi="仿宋" w:eastAsia="仿宋" w:cs="仿宋"/>
          <w:color w:val="333333"/>
          <w:sz w:val="32"/>
          <w:szCs w:val="32"/>
          <w:lang w:eastAsia="zh-CN"/>
        </w:rPr>
        <w:t>中</w:t>
      </w:r>
      <w:r>
        <w:rPr>
          <w:rFonts w:hint="eastAsia" w:ascii="仿宋" w:hAnsi="仿宋" w:eastAsia="仿宋" w:cs="仿宋"/>
          <w:color w:val="333333"/>
          <w:sz w:val="32"/>
          <w:szCs w:val="32"/>
        </w:rPr>
        <w:t>财绩（20</w:t>
      </w:r>
      <w:r>
        <w:rPr>
          <w:rFonts w:hint="eastAsia" w:ascii="仿宋" w:hAnsi="仿宋" w:eastAsia="仿宋" w:cs="仿宋"/>
          <w:color w:val="333333"/>
          <w:sz w:val="32"/>
          <w:szCs w:val="32"/>
          <w:lang w:val="en-US" w:eastAsia="zh-CN"/>
        </w:rPr>
        <w:t>24</w:t>
      </w:r>
      <w:r>
        <w:rPr>
          <w:rFonts w:hint="eastAsia" w:ascii="仿宋" w:hAnsi="仿宋" w:eastAsia="仿宋" w:cs="仿宋"/>
          <w:color w:val="333333"/>
          <w:sz w:val="32"/>
          <w:szCs w:val="32"/>
        </w:rPr>
        <w:t>）</w:t>
      </w:r>
      <w:r>
        <w:rPr>
          <w:rFonts w:hint="eastAsia" w:ascii="仿宋" w:hAnsi="仿宋" w:eastAsia="仿宋" w:cs="仿宋"/>
          <w:color w:val="333333"/>
          <w:sz w:val="32"/>
          <w:szCs w:val="32"/>
          <w:lang w:val="en-US" w:eastAsia="zh-CN"/>
        </w:rPr>
        <w:t>174</w:t>
      </w:r>
      <w:r>
        <w:rPr>
          <w:rFonts w:hint="eastAsia" w:ascii="仿宋" w:hAnsi="仿宋" w:eastAsia="仿宋" w:cs="仿宋"/>
          <w:color w:val="333333"/>
          <w:sz w:val="32"/>
          <w:szCs w:val="32"/>
        </w:rPr>
        <w:t>号）精神，我们对财政资金整体支出绩效进行了认真自评，具体自评情况如下：</w:t>
      </w:r>
    </w:p>
    <w:p>
      <w:pPr>
        <w:pStyle w:val="5"/>
        <w:pageBreakBefore w:val="0"/>
        <w:kinsoku/>
        <w:wordWrap/>
        <w:overflowPunct/>
        <w:topLinePunct w:val="0"/>
        <w:autoSpaceDE/>
        <w:autoSpaceDN/>
        <w:bidi w:val="0"/>
        <w:jc w:val="both"/>
        <w:textAlignment w:val="auto"/>
      </w:pPr>
      <w:r>
        <w:rPr>
          <w:rFonts w:hint="eastAsia"/>
        </w:rPr>
        <w:t>一、部门基本情况</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（一）部门职能与机构设置；</w:t>
      </w:r>
    </w:p>
    <w:p>
      <w:pPr>
        <w:pageBreakBefore w:val="0"/>
        <w:kinsoku/>
        <w:wordWrap/>
        <w:overflowPunct/>
        <w:topLinePunct w:val="0"/>
        <w:autoSpaceDE/>
        <w:autoSpaceDN/>
        <w:bidi w:val="0"/>
        <w:spacing w:after="0" w:line="560" w:lineRule="exact"/>
        <w:ind w:firstLine="640" w:firstLineChars="200"/>
        <w:jc w:val="both"/>
        <w:textAlignment w:val="auto"/>
        <w:rPr>
          <w:rFonts w:hint="eastAsia" w:ascii="仿宋" w:hAnsi="仿宋" w:eastAsia="仿宋" w:cs="仿宋"/>
          <w:color w:val="000000"/>
          <w:sz w:val="32"/>
          <w:szCs w:val="32"/>
          <w:shd w:val="clear" w:color="auto" w:fill="FFFFFF"/>
        </w:rPr>
      </w:pPr>
      <w:bookmarkStart w:id="0" w:name="FUNCRESP"/>
      <w:r>
        <w:rPr>
          <w:rFonts w:hint="eastAsia" w:ascii="仿宋" w:hAnsi="仿宋" w:eastAsia="仿宋" w:cs="仿宋"/>
          <w:color w:val="000000"/>
          <w:sz w:val="32"/>
          <w:szCs w:val="32"/>
          <w:shd w:val="clear" w:color="auto" w:fill="FFFFFF"/>
          <w:lang w:val="en-US" w:eastAsia="zh-CN"/>
        </w:rPr>
        <w:t>部门职能：1、</w:t>
      </w:r>
      <w:r>
        <w:rPr>
          <w:rFonts w:hint="eastAsia" w:ascii="仿宋" w:hAnsi="仿宋" w:eastAsia="仿宋" w:cs="仿宋"/>
          <w:color w:val="000000"/>
          <w:sz w:val="32"/>
          <w:szCs w:val="32"/>
          <w:shd w:val="clear" w:color="auto" w:fill="FFFFFF"/>
        </w:rPr>
        <w:t>贯彻执行国家、省、市制定的人力资源和社会保障方针政策和法律法规；拟订全县人力资源和社会保障事业发展规划及实施办法；对全县人力资源和社会保障工作进行综合管理、监督指导、协调服务。</w:t>
      </w:r>
      <w:r>
        <w:rPr>
          <w:rFonts w:hint="eastAsia" w:ascii="仿宋" w:hAnsi="仿宋" w:eastAsia="仿宋" w:cs="仿宋"/>
          <w:color w:val="000000"/>
          <w:sz w:val="32"/>
          <w:szCs w:val="32"/>
          <w:shd w:val="clear" w:color="auto" w:fill="FFFFFF"/>
          <w:lang w:val="en-US" w:eastAsia="zh-CN"/>
        </w:rPr>
        <w:t>2、</w:t>
      </w:r>
      <w:r>
        <w:rPr>
          <w:rFonts w:hint="eastAsia" w:ascii="仿宋" w:hAnsi="仿宋" w:eastAsia="仿宋" w:cs="仿宋"/>
          <w:color w:val="000000"/>
          <w:sz w:val="32"/>
          <w:szCs w:val="32"/>
          <w:shd w:val="clear" w:color="auto" w:fill="FFFFFF"/>
        </w:rPr>
        <w:t>拟订并组织实施全县人力资源市场发展规划和人力资源流动办法；负责县直机关、企事业单位有关工作人员的流动调配工作；指导乡镇劳动保障站建设；指导全县建立统一规范的人力资源市场，促进人力资源合理流动、有效配置。</w:t>
      </w:r>
      <w:r>
        <w:rPr>
          <w:rFonts w:hint="eastAsia" w:ascii="仿宋" w:hAnsi="仿宋" w:eastAsia="仿宋" w:cs="仿宋"/>
          <w:color w:val="000000"/>
          <w:sz w:val="32"/>
          <w:szCs w:val="32"/>
          <w:shd w:val="clear" w:color="auto" w:fill="FFFFFF"/>
          <w:lang w:val="en-US" w:eastAsia="zh-CN"/>
        </w:rPr>
        <w:t>3、</w:t>
      </w:r>
      <w:r>
        <w:rPr>
          <w:rFonts w:hint="eastAsia" w:ascii="仿宋" w:hAnsi="仿宋" w:eastAsia="仿宋" w:cs="仿宋"/>
          <w:color w:val="000000"/>
          <w:sz w:val="32"/>
          <w:szCs w:val="32"/>
          <w:shd w:val="clear" w:color="auto" w:fill="FFFFFF"/>
        </w:rPr>
        <w:t>负责促进就业工作，拟订和落实全县统筹城乡就业发展规划和实施办法，完善就业公共服务体系；拟订和组织落实全县就业援助制度，统筹建立面向城乡劳动者的职业培训制度，牵头落实高校毕业生就业政策，会同有关部门拟订高技能人才、农村实用人才培养和激励措施。</w:t>
      </w:r>
      <w:r>
        <w:rPr>
          <w:rFonts w:hint="eastAsia" w:ascii="仿宋" w:hAnsi="仿宋" w:eastAsia="仿宋" w:cs="仿宋"/>
          <w:color w:val="000000"/>
          <w:sz w:val="32"/>
          <w:szCs w:val="32"/>
          <w:shd w:val="clear" w:color="auto" w:fill="FFFFFF"/>
          <w:lang w:val="en-US" w:eastAsia="zh-CN"/>
        </w:rPr>
        <w:t>4、</w:t>
      </w:r>
      <w:r>
        <w:rPr>
          <w:rFonts w:hint="eastAsia" w:ascii="仿宋" w:hAnsi="仿宋" w:eastAsia="仿宋" w:cs="仿宋"/>
          <w:color w:val="000000"/>
          <w:sz w:val="32"/>
          <w:szCs w:val="32"/>
          <w:shd w:val="clear" w:color="auto" w:fill="FFFFFF"/>
        </w:rPr>
        <w:t>统筹建立覆盖全县城乡社会保障体系。</w:t>
      </w:r>
      <w:r>
        <w:rPr>
          <w:rFonts w:hint="eastAsia" w:ascii="仿宋" w:hAnsi="仿宋" w:eastAsia="仿宋" w:cs="仿宋"/>
          <w:color w:val="000000"/>
          <w:sz w:val="32"/>
          <w:szCs w:val="32"/>
          <w:shd w:val="clear" w:color="auto" w:fill="FFFFFF"/>
          <w:lang w:val="en-US" w:eastAsia="zh-CN"/>
        </w:rPr>
        <w:t>5、</w:t>
      </w:r>
      <w:r>
        <w:rPr>
          <w:rFonts w:hint="eastAsia" w:ascii="仿宋" w:hAnsi="仿宋" w:eastAsia="仿宋" w:cs="仿宋"/>
          <w:color w:val="000000"/>
          <w:sz w:val="32"/>
          <w:szCs w:val="32"/>
          <w:shd w:val="clear" w:color="auto" w:fill="FFFFFF"/>
        </w:rPr>
        <w:t>负责全县就业、失业、社会保险基金预测预警和信息引导，拟订应对预案，实施预防、调节和控制，保持就业形势稳定和社会保险基金总体收支平衡。</w:t>
      </w:r>
      <w:r>
        <w:rPr>
          <w:rFonts w:hint="eastAsia" w:ascii="仿宋" w:hAnsi="仿宋" w:eastAsia="仿宋" w:cs="仿宋"/>
          <w:color w:val="000000"/>
          <w:sz w:val="32"/>
          <w:szCs w:val="32"/>
          <w:shd w:val="clear" w:color="auto" w:fill="FFFFFF"/>
          <w:lang w:val="en-US" w:eastAsia="zh-CN"/>
        </w:rPr>
        <w:t>6、</w:t>
      </w:r>
      <w:r>
        <w:rPr>
          <w:rFonts w:hint="eastAsia" w:ascii="仿宋" w:hAnsi="仿宋" w:eastAsia="仿宋" w:cs="仿宋"/>
          <w:color w:val="000000"/>
          <w:sz w:val="32"/>
          <w:szCs w:val="32"/>
          <w:shd w:val="clear" w:color="auto" w:fill="FFFFFF"/>
        </w:rPr>
        <w:t>负责全县机关企事业单位工资收入和福利分配综合管理。</w:t>
      </w:r>
      <w:r>
        <w:rPr>
          <w:rFonts w:hint="eastAsia" w:ascii="仿宋" w:hAnsi="仿宋" w:eastAsia="仿宋" w:cs="仿宋"/>
          <w:color w:val="000000"/>
          <w:sz w:val="32"/>
          <w:szCs w:val="32"/>
          <w:shd w:val="clear" w:color="auto" w:fill="FFFFFF"/>
          <w:lang w:val="en-US" w:eastAsia="zh-CN"/>
        </w:rPr>
        <w:t>7、</w:t>
      </w:r>
      <w:r>
        <w:rPr>
          <w:rFonts w:hint="eastAsia" w:ascii="仿宋" w:hAnsi="仿宋" w:eastAsia="仿宋" w:cs="仿宋"/>
          <w:color w:val="000000"/>
          <w:sz w:val="32"/>
          <w:szCs w:val="32"/>
          <w:shd w:val="clear" w:color="auto" w:fill="FFFFFF"/>
        </w:rPr>
        <w:t>会同有关部门指导事业单位人事制度改革；监督落实机关事业单位人员和机关工勤人员管理政策；参与人才管理工作；编制管理全县机关、事业单位人员计划，负责人事统计工作；综合管理全县专业技术人员和专业技术队伍建设工作，综合管理全县专业技术人员和机关事业单位工勤人员的培训和继续教育工作，牵头推进深化职称制度改革，归口管理专业技术人员的职称工作，组织实施专业技术职务聘任制度，推行专业技术执业资格制度；健全博士后管理办法，负责高层次专业技术人才选拔、培养和引进工作，组织有突出贡献专家、享受政府特殊津贴专家的选拔工作，拟订并落实吸引国（境）外专家、留学人员来中方（回中方）工作或定居政策；拟订全县专业技术骨干人才出入国（境）和国外机构在我县招聘专业技术骨干人才管理办法并组织实施。</w:t>
      </w:r>
      <w:r>
        <w:rPr>
          <w:rFonts w:hint="eastAsia" w:ascii="仿宋" w:hAnsi="仿宋" w:eastAsia="仿宋" w:cs="仿宋"/>
          <w:color w:val="000000"/>
          <w:sz w:val="32"/>
          <w:szCs w:val="32"/>
          <w:shd w:val="clear" w:color="auto" w:fill="FFFFFF"/>
          <w:lang w:val="en-US" w:eastAsia="zh-CN"/>
        </w:rPr>
        <w:t>8、</w:t>
      </w:r>
      <w:r>
        <w:rPr>
          <w:rFonts w:hint="eastAsia" w:ascii="仿宋" w:hAnsi="仿宋" w:eastAsia="仿宋" w:cs="仿宋"/>
          <w:color w:val="000000"/>
          <w:sz w:val="32"/>
          <w:szCs w:val="32"/>
          <w:shd w:val="clear" w:color="auto" w:fill="FFFFFF"/>
        </w:rPr>
        <w:t>会同有关部门推动农民工相关政策的落实，协调解决重点难点问题，维护农民工合法权益。</w:t>
      </w:r>
      <w:r>
        <w:rPr>
          <w:rFonts w:hint="eastAsia" w:ascii="仿宋" w:hAnsi="仿宋" w:eastAsia="仿宋" w:cs="仿宋"/>
          <w:color w:val="000000"/>
          <w:sz w:val="32"/>
          <w:szCs w:val="32"/>
          <w:shd w:val="clear" w:color="auto" w:fill="FFFFFF"/>
          <w:lang w:val="en-US" w:eastAsia="zh-CN"/>
        </w:rPr>
        <w:t>9、</w:t>
      </w:r>
      <w:r>
        <w:rPr>
          <w:rFonts w:hint="eastAsia" w:ascii="仿宋" w:hAnsi="仿宋" w:eastAsia="仿宋" w:cs="仿宋"/>
          <w:color w:val="000000"/>
          <w:sz w:val="32"/>
          <w:szCs w:val="32"/>
          <w:shd w:val="clear" w:color="auto" w:fill="FFFFFF"/>
        </w:rPr>
        <w:t>统筹实施劳动、人事争议调解仲裁制度。</w:t>
      </w:r>
      <w:r>
        <w:rPr>
          <w:rFonts w:hint="eastAsia" w:ascii="仿宋" w:hAnsi="仿宋" w:eastAsia="仿宋" w:cs="仿宋"/>
          <w:color w:val="000000"/>
          <w:sz w:val="32"/>
          <w:szCs w:val="32"/>
          <w:shd w:val="clear" w:color="auto" w:fill="FFFFFF"/>
          <w:lang w:val="en-US" w:eastAsia="zh-CN"/>
        </w:rPr>
        <w:t>10、</w:t>
      </w:r>
      <w:r>
        <w:rPr>
          <w:rFonts w:hint="eastAsia" w:ascii="仿宋" w:hAnsi="仿宋" w:eastAsia="仿宋" w:cs="仿宋"/>
          <w:color w:val="000000"/>
          <w:sz w:val="32"/>
          <w:szCs w:val="32"/>
          <w:shd w:val="clear" w:color="auto" w:fill="FFFFFF"/>
        </w:rPr>
        <w:t>承办县人民政府交办的其他事项。</w:t>
      </w:r>
      <w:bookmarkEnd w:id="0"/>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color w:val="333333"/>
          <w:sz w:val="32"/>
          <w:szCs w:val="32"/>
        </w:rPr>
        <w:t>内设机构：办公室</w:t>
      </w:r>
      <w:r>
        <w:rPr>
          <w:rFonts w:hint="eastAsia" w:ascii="仿宋" w:hAnsi="仿宋" w:eastAsia="仿宋" w:cs="仿宋"/>
          <w:b w:val="0"/>
          <w:bCs w:val="0"/>
          <w:kern w:val="0"/>
          <w:sz w:val="32"/>
          <w:szCs w:val="32"/>
          <w:lang w:eastAsia="zh-CN"/>
        </w:rPr>
        <w:t>、</w:t>
      </w:r>
      <w:r>
        <w:rPr>
          <w:rFonts w:hint="eastAsia" w:ascii="仿宋" w:hAnsi="仿宋" w:eastAsia="仿宋" w:cs="仿宋"/>
          <w:b w:val="0"/>
          <w:bCs w:val="0"/>
          <w:kern w:val="0"/>
          <w:sz w:val="32"/>
          <w:szCs w:val="32"/>
        </w:rPr>
        <w:t>规划财务股</w:t>
      </w:r>
      <w:r>
        <w:rPr>
          <w:rFonts w:hint="eastAsia" w:ascii="仿宋" w:hAnsi="仿宋" w:eastAsia="仿宋" w:cs="仿宋"/>
          <w:b w:val="0"/>
          <w:bCs w:val="0"/>
          <w:kern w:val="0"/>
          <w:sz w:val="32"/>
          <w:szCs w:val="32"/>
          <w:lang w:eastAsia="zh-CN"/>
        </w:rPr>
        <w:t>、</w:t>
      </w:r>
      <w:r>
        <w:rPr>
          <w:rFonts w:hint="eastAsia" w:ascii="仿宋" w:hAnsi="仿宋" w:eastAsia="仿宋" w:cs="仿宋"/>
          <w:color w:val="333333"/>
          <w:sz w:val="32"/>
          <w:szCs w:val="32"/>
          <w:lang w:eastAsia="zh-CN"/>
        </w:rPr>
        <w:t>基金监督</w:t>
      </w:r>
      <w:r>
        <w:rPr>
          <w:rFonts w:hint="eastAsia" w:ascii="仿宋" w:hAnsi="仿宋" w:eastAsia="仿宋" w:cs="仿宋"/>
          <w:b w:val="0"/>
          <w:bCs w:val="0"/>
          <w:sz w:val="32"/>
          <w:szCs w:val="32"/>
        </w:rPr>
        <w:t>股</w:t>
      </w:r>
      <w:r>
        <w:rPr>
          <w:rFonts w:hint="eastAsia" w:ascii="仿宋" w:hAnsi="仿宋" w:eastAsia="仿宋" w:cs="仿宋"/>
          <w:b w:val="0"/>
          <w:bCs w:val="0"/>
          <w:sz w:val="32"/>
          <w:szCs w:val="32"/>
          <w:lang w:eastAsia="zh-CN"/>
        </w:rPr>
        <w:t>（县基金监督联席办）、监察室、</w:t>
      </w:r>
      <w:r>
        <w:rPr>
          <w:rFonts w:hint="eastAsia" w:ascii="仿宋" w:hAnsi="仿宋" w:eastAsia="仿宋" w:cs="仿宋"/>
          <w:color w:val="333333"/>
          <w:sz w:val="32"/>
          <w:szCs w:val="32"/>
        </w:rPr>
        <w:t>工资福利</w:t>
      </w:r>
      <w:r>
        <w:rPr>
          <w:rFonts w:hint="eastAsia" w:ascii="仿宋" w:hAnsi="仿宋" w:eastAsia="仿宋" w:cs="仿宋"/>
          <w:color w:val="333333"/>
          <w:sz w:val="32"/>
          <w:szCs w:val="32"/>
          <w:lang w:eastAsia="zh-CN"/>
        </w:rPr>
        <w:t>股（表彰奖励股、工资改革办、退休人员服务中心）、</w:t>
      </w:r>
      <w:r>
        <w:rPr>
          <w:rFonts w:hint="eastAsia" w:ascii="仿宋" w:hAnsi="仿宋" w:eastAsia="仿宋" w:cs="仿宋"/>
          <w:b w:val="0"/>
          <w:bCs w:val="0"/>
          <w:kern w:val="0"/>
          <w:sz w:val="32"/>
          <w:szCs w:val="32"/>
        </w:rPr>
        <w:t>事业单位人事</w:t>
      </w:r>
      <w:r>
        <w:rPr>
          <w:rFonts w:hint="eastAsia" w:ascii="仿宋" w:hAnsi="仿宋" w:eastAsia="仿宋" w:cs="仿宋"/>
          <w:b w:val="0"/>
          <w:bCs w:val="0"/>
          <w:sz w:val="32"/>
          <w:szCs w:val="32"/>
        </w:rPr>
        <w:t>管理股</w:t>
      </w:r>
      <w:r>
        <w:rPr>
          <w:rFonts w:hint="eastAsia" w:ascii="仿宋" w:hAnsi="仿宋" w:eastAsia="仿宋" w:cs="仿宋"/>
          <w:b w:val="0"/>
          <w:bCs w:val="0"/>
          <w:sz w:val="32"/>
          <w:szCs w:val="32"/>
          <w:lang w:eastAsia="zh-CN"/>
        </w:rPr>
        <w:t>（专业技术人员管理股、职改办）、</w:t>
      </w:r>
      <w:r>
        <w:rPr>
          <w:rFonts w:hint="eastAsia" w:ascii="仿宋" w:hAnsi="仿宋" w:eastAsia="仿宋" w:cs="仿宋"/>
          <w:b w:val="0"/>
          <w:bCs w:val="0"/>
          <w:kern w:val="0"/>
          <w:sz w:val="32"/>
          <w:szCs w:val="32"/>
        </w:rPr>
        <w:t>就业促进与失业保险股</w:t>
      </w:r>
      <w:r>
        <w:rPr>
          <w:rFonts w:hint="eastAsia" w:ascii="仿宋" w:hAnsi="仿宋" w:eastAsia="仿宋" w:cs="仿宋"/>
          <w:b w:val="0"/>
          <w:bCs w:val="0"/>
          <w:kern w:val="0"/>
          <w:sz w:val="32"/>
          <w:szCs w:val="32"/>
          <w:lang w:val="en-US" w:eastAsia="zh-CN"/>
        </w:rPr>
        <w:t>(职业能力建设股）</w:t>
      </w:r>
      <w:r>
        <w:rPr>
          <w:rFonts w:hint="eastAsia" w:ascii="仿宋" w:hAnsi="仿宋" w:eastAsia="仿宋" w:cs="仿宋"/>
          <w:b w:val="0"/>
          <w:bCs w:val="0"/>
          <w:kern w:val="0"/>
          <w:sz w:val="32"/>
          <w:szCs w:val="32"/>
          <w:lang w:eastAsia="zh-CN"/>
        </w:rPr>
        <w:t>、</w:t>
      </w:r>
      <w:r>
        <w:rPr>
          <w:rFonts w:hint="eastAsia" w:ascii="仿宋" w:hAnsi="仿宋" w:eastAsia="仿宋" w:cs="仿宋"/>
          <w:b w:val="0"/>
          <w:bCs w:val="0"/>
          <w:kern w:val="0"/>
          <w:sz w:val="32"/>
          <w:szCs w:val="32"/>
        </w:rPr>
        <w:t>社会养老保险股</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工伤保险股</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人力资源服务中心</w:t>
      </w:r>
      <w:r>
        <w:rPr>
          <w:rFonts w:hint="eastAsia" w:ascii="仿宋" w:hAnsi="仿宋" w:eastAsia="仿宋" w:cs="仿宋"/>
          <w:b w:val="0"/>
          <w:bCs w:val="0"/>
          <w:sz w:val="32"/>
          <w:szCs w:val="32"/>
          <w:lang w:eastAsia="zh-CN"/>
        </w:rPr>
        <w:t>人事股、劳动监察大队、</w:t>
      </w:r>
      <w:r>
        <w:rPr>
          <w:rFonts w:hint="eastAsia" w:ascii="仿宋" w:hAnsi="仿宋" w:eastAsia="仿宋" w:cs="仿宋"/>
          <w:b w:val="0"/>
          <w:bCs w:val="0"/>
          <w:kern w:val="0"/>
          <w:sz w:val="32"/>
          <w:szCs w:val="32"/>
        </w:rPr>
        <w:t>劳动关系股（农民工工作</w:t>
      </w:r>
      <w:r>
        <w:rPr>
          <w:rFonts w:hint="eastAsia" w:ascii="仿宋" w:hAnsi="仿宋" w:eastAsia="仿宋" w:cs="仿宋"/>
          <w:b w:val="0"/>
          <w:bCs w:val="0"/>
          <w:sz w:val="32"/>
          <w:szCs w:val="32"/>
          <w:lang w:eastAsia="zh-CN"/>
        </w:rPr>
        <w:t>股）、劳动人事争议仲裁院、法规股、行政审批政务服务股、社会保障</w:t>
      </w:r>
      <w:r>
        <w:rPr>
          <w:rFonts w:hint="eastAsia" w:ascii="仿宋" w:hAnsi="仿宋" w:eastAsia="仿宋" w:cs="仿宋"/>
          <w:color w:val="333333"/>
          <w:sz w:val="32"/>
          <w:szCs w:val="32"/>
          <w:lang w:eastAsia="zh-CN"/>
        </w:rPr>
        <w:t>、</w:t>
      </w:r>
      <w:r>
        <w:rPr>
          <w:rFonts w:hint="eastAsia" w:ascii="仿宋" w:hAnsi="仿宋" w:eastAsia="仿宋" w:cs="仿宋"/>
          <w:b w:val="0"/>
          <w:bCs w:val="0"/>
          <w:sz w:val="32"/>
          <w:szCs w:val="32"/>
          <w:lang w:eastAsia="zh-CN"/>
        </w:rPr>
        <w:t>信息服务中心、党建办。</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人员情况；</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color w:val="333333"/>
          <w:sz w:val="32"/>
          <w:szCs w:val="32"/>
        </w:rPr>
        <w:t>全局编制共</w:t>
      </w:r>
      <w:r>
        <w:rPr>
          <w:rFonts w:hint="eastAsia" w:ascii="仿宋" w:hAnsi="仿宋" w:eastAsia="仿宋" w:cs="仿宋"/>
          <w:color w:val="333333"/>
          <w:sz w:val="32"/>
          <w:szCs w:val="32"/>
          <w:lang w:val="en-US" w:eastAsia="zh-CN"/>
        </w:rPr>
        <w:t>65</w:t>
      </w:r>
      <w:r>
        <w:rPr>
          <w:rFonts w:hint="eastAsia" w:ascii="仿宋" w:hAnsi="仿宋" w:eastAsia="仿宋" w:cs="仿宋"/>
          <w:color w:val="333333"/>
          <w:sz w:val="32"/>
          <w:szCs w:val="32"/>
        </w:rPr>
        <w:t>人，实际在职人员</w:t>
      </w:r>
      <w:r>
        <w:rPr>
          <w:rFonts w:hint="eastAsia" w:ascii="仿宋" w:hAnsi="仿宋" w:eastAsia="仿宋" w:cs="仿宋"/>
          <w:color w:val="333333"/>
          <w:sz w:val="32"/>
          <w:szCs w:val="32"/>
          <w:lang w:val="en-US" w:eastAsia="zh-CN"/>
        </w:rPr>
        <w:t>65</w:t>
      </w:r>
      <w:r>
        <w:rPr>
          <w:rFonts w:hint="eastAsia" w:ascii="仿宋" w:hAnsi="仿宋" w:eastAsia="仿宋" w:cs="仿宋"/>
          <w:color w:val="333333"/>
          <w:sz w:val="32"/>
          <w:szCs w:val="32"/>
        </w:rPr>
        <w:t>人</w:t>
      </w:r>
      <w:r>
        <w:rPr>
          <w:rFonts w:hint="eastAsia" w:ascii="仿宋" w:hAnsi="仿宋" w:eastAsia="仿宋" w:cs="仿宋"/>
          <w:color w:val="333333"/>
          <w:sz w:val="32"/>
          <w:szCs w:val="32"/>
          <w:lang w:val="en-US" w:eastAsia="zh-CN"/>
        </w:rPr>
        <w:t>,在职人员控制率100%。</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部门年度总体工作任务和重点工作任务；</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eastAsia="zh-CN"/>
        </w:rPr>
        <w:t>精准施策，促进充分就业。落实落细就业政策，优化设置县人力资源市场公共就业创业一站式服务功能，不断提升公共就业服务水平；突出就业优先导向，完善重点群体就业支持体系，持续强化就业帮扶措施；紧盯上级就业创业表彰激励评价指标，确保全面并超额完成各项就业指标。</w:t>
      </w:r>
      <w:r>
        <w:rPr>
          <w:rFonts w:hint="eastAsia" w:ascii="仿宋" w:hAnsi="仿宋" w:eastAsia="仿宋" w:cs="仿宋"/>
          <w:b w:val="0"/>
          <w:bCs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eastAsia="zh-CN"/>
        </w:rPr>
        <w:t>强化保障，增进民生福祉。持续加大社保宣传、扩面征缴力度，兜牢兜实基本民生底线，打造更加高效便民的“温暖社保”服务品牌；严格落实《湖南省社会保险基金监管条例》，狠抓社保基金日常稽核巡查工作</w:t>
      </w:r>
      <w:r>
        <w:rPr>
          <w:rFonts w:hint="eastAsia" w:ascii="仿宋" w:hAnsi="仿宋" w:eastAsia="仿宋" w:cs="仿宋"/>
          <w:b w:val="0"/>
          <w:bCs w:val="0"/>
          <w:sz w:val="32"/>
          <w:szCs w:val="32"/>
          <w:lang w:val="en-US" w:eastAsia="zh-CN"/>
        </w:rPr>
        <w:t>，扎实推进社保基金管理巩固提升行动，全力</w:t>
      </w:r>
      <w:r>
        <w:rPr>
          <w:rFonts w:hint="eastAsia" w:ascii="仿宋" w:hAnsi="仿宋" w:eastAsia="仿宋" w:cs="仿宋"/>
          <w:b w:val="0"/>
          <w:bCs w:val="0"/>
          <w:sz w:val="32"/>
          <w:szCs w:val="32"/>
          <w:lang w:eastAsia="zh-CN"/>
        </w:rPr>
        <w:t>守护老百姓的“保命钱”。</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依法行政，维护合法权益。以工程建设领域和其他欠薪易发多发行业企业为重点，对欠薪问题实施集中专项治理。进一步建立健全办案规章制度，切实将劳动人事争议调解仲裁工作纳入规范化、程序化、法制化的轨道，不断提高劳动争议调解质效，构建更加和谐稳定的劳动关系。</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lang w:eastAsia="zh-CN"/>
        </w:rPr>
        <w:t>多措并举，激发人才活力。积极推进</w:t>
      </w:r>
      <w:r>
        <w:rPr>
          <w:rFonts w:hint="eastAsia" w:ascii="仿宋" w:hAnsi="仿宋" w:eastAsia="仿宋" w:cs="仿宋"/>
          <w:b w:val="0"/>
          <w:bCs w:val="0"/>
          <w:sz w:val="32"/>
          <w:szCs w:val="32"/>
          <w:lang w:val="en-US" w:eastAsia="zh-CN"/>
        </w:rPr>
        <w:t>中方县</w:t>
      </w:r>
      <w:r>
        <w:rPr>
          <w:rFonts w:hint="eastAsia" w:ascii="仿宋" w:hAnsi="仿宋" w:eastAsia="仿宋" w:cs="仿宋"/>
          <w:b w:val="0"/>
          <w:bCs w:val="0"/>
          <w:sz w:val="32"/>
          <w:szCs w:val="32"/>
          <w:lang w:eastAsia="zh-CN"/>
        </w:rPr>
        <w:t>公共实训基地建设取得实质性进展</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lang w:eastAsia="zh-CN"/>
        </w:rPr>
        <w:t>进一步整合社会培训资源，对标怀化国际陆港对新型产业的需要，着力开发新的岗位，开展“技能入户行动”，加快推进高技能人才培育。</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lang w:eastAsia="zh-CN"/>
        </w:rPr>
        <w:t>整顿作风，提升服务水平。充分发挥基层战斗堡垒功能，</w:t>
      </w:r>
      <w:r>
        <w:rPr>
          <w:rFonts w:hint="eastAsia" w:ascii="仿宋" w:hAnsi="仿宋" w:eastAsia="仿宋" w:cs="仿宋"/>
          <w:b w:val="0"/>
          <w:bCs w:val="0"/>
          <w:sz w:val="32"/>
          <w:szCs w:val="32"/>
          <w:lang w:val="en-US" w:eastAsia="zh-CN"/>
        </w:rPr>
        <w:t>以</w:t>
      </w:r>
      <w:r>
        <w:rPr>
          <w:rFonts w:hint="eastAsia" w:ascii="仿宋" w:hAnsi="仿宋" w:eastAsia="仿宋" w:cs="仿宋"/>
          <w:b w:val="0"/>
          <w:bCs w:val="0"/>
          <w:sz w:val="32"/>
          <w:szCs w:val="32"/>
          <w:lang w:eastAsia="zh-CN"/>
        </w:rPr>
        <w:t>“清廉单元”“文明创建”活动</w:t>
      </w:r>
      <w:r>
        <w:rPr>
          <w:rFonts w:hint="eastAsia" w:ascii="仿宋" w:hAnsi="仿宋" w:eastAsia="仿宋" w:cs="仿宋"/>
          <w:b w:val="0"/>
          <w:bCs w:val="0"/>
          <w:sz w:val="32"/>
          <w:szCs w:val="32"/>
          <w:lang w:val="en-US" w:eastAsia="zh-CN"/>
        </w:rPr>
        <w:t>为抓手，</w:t>
      </w:r>
      <w:r>
        <w:rPr>
          <w:rFonts w:hint="eastAsia" w:ascii="仿宋" w:hAnsi="仿宋" w:eastAsia="仿宋" w:cs="仿宋"/>
          <w:b w:val="0"/>
          <w:bCs w:val="0"/>
          <w:sz w:val="32"/>
          <w:szCs w:val="32"/>
          <w:lang w:eastAsia="zh-CN"/>
        </w:rPr>
        <w:t>在行风建设领域持续发力，</w:t>
      </w:r>
      <w:r>
        <w:rPr>
          <w:rFonts w:hint="eastAsia" w:ascii="仿宋" w:hAnsi="仿宋" w:eastAsia="仿宋" w:cs="仿宋"/>
          <w:b w:val="0"/>
          <w:bCs w:val="0"/>
          <w:sz w:val="32"/>
          <w:szCs w:val="32"/>
          <w:lang w:val="en-US" w:eastAsia="zh-CN"/>
        </w:rPr>
        <w:t>推动政务服务廉洁高效</w:t>
      </w:r>
      <w:r>
        <w:rPr>
          <w:rFonts w:hint="eastAsia" w:ascii="仿宋" w:hAnsi="仿宋" w:eastAsia="仿宋" w:cs="仿宋"/>
          <w:b w:val="0"/>
          <w:bCs w:val="0"/>
          <w:sz w:val="32"/>
          <w:szCs w:val="32"/>
          <w:lang w:eastAsia="zh-CN"/>
        </w:rPr>
        <w:t>。切实转变工作作风，提升工作的层次和水平，打造人社部门的良好形象。</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sz w:val="32"/>
          <w:szCs w:val="32"/>
        </w:rPr>
        <w:t>（四）部门年度整体收支情况，包括当年预算收入、预算</w:t>
      </w:r>
      <w:r>
        <w:rPr>
          <w:rFonts w:hint="eastAsia" w:ascii="仿宋" w:hAnsi="仿宋" w:eastAsia="仿宋" w:cs="仿宋"/>
          <w:b w:val="0"/>
          <w:bCs w:val="0"/>
          <w:sz w:val="32"/>
          <w:szCs w:val="32"/>
          <w:lang w:val="en-US" w:eastAsia="zh-CN"/>
        </w:rPr>
        <w:t>支出和专项资金管理情况、“三公”经费支出情况以及政府采购情况等。</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2023年，本部门年初预算收入2658.69万元，年初预算支出2658.69万元。年初基本预算支出886.69万元，包括工资福利支出770.45万元、商品和服务支出75.6万元、对个人和家庭的补助支出40.64万元；年初项目预算支出1772万元，包括就业补助资金1762万元，基金监督专项工作经费10万元。</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2、2023年，本部门实际收入1146.83万元，实际支出1146.83万元。年终基本支出1015.59万元，包括工资福利支出800.8万元、商品和服务支出34.91万元、对个人和家庭的补助179.45万元、资本性支出（办公设备购置）0.43万元；年终项目支出131.24万元，包括实训基地前期设计费9.68万元，</w:t>
      </w:r>
      <w:r>
        <w:rPr>
          <w:rFonts w:hint="eastAsia" w:ascii="仿宋" w:hAnsi="仿宋" w:eastAsia="仿宋" w:cs="仿宋"/>
          <w:sz w:val="32"/>
          <w:szCs w:val="32"/>
        </w:rPr>
        <w:t>增收节支</w:t>
      </w:r>
      <w:r>
        <w:rPr>
          <w:rFonts w:hint="default" w:ascii="仿宋" w:hAnsi="仿宋" w:eastAsia="仿宋" w:cs="仿宋"/>
          <w:sz w:val="32"/>
          <w:szCs w:val="32"/>
          <w:lang w:val="en"/>
        </w:rPr>
        <w:t>:</w:t>
      </w:r>
      <w:r>
        <w:rPr>
          <w:rFonts w:hint="eastAsia" w:ascii="仿宋" w:hAnsi="仿宋" w:eastAsia="仿宋" w:cs="仿宋"/>
          <w:sz w:val="32"/>
          <w:szCs w:val="32"/>
        </w:rPr>
        <w:t>2022年度协税护税奖励资金</w:t>
      </w:r>
      <w:r>
        <w:rPr>
          <w:rFonts w:hint="eastAsia" w:ascii="仿宋" w:hAnsi="仿宋" w:eastAsia="仿宋" w:cs="仿宋"/>
          <w:sz w:val="32"/>
          <w:szCs w:val="32"/>
          <w:lang w:eastAsia="zh-CN"/>
        </w:rPr>
        <w:t>和职业年金返还等</w:t>
      </w:r>
      <w:bookmarkStart w:id="12" w:name="_GoBack"/>
      <w:bookmarkEnd w:id="12"/>
      <w:r>
        <w:rPr>
          <w:rFonts w:hint="eastAsia" w:ascii="仿宋" w:hAnsi="仿宋" w:eastAsia="仿宋" w:cs="仿宋"/>
          <w:sz w:val="32"/>
          <w:szCs w:val="32"/>
          <w:lang w:val="en-US" w:eastAsia="zh-CN"/>
        </w:rPr>
        <w:t>11.65万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sz w:val="32"/>
          <w:szCs w:val="32"/>
        </w:rPr>
        <w:t>基金监督</w:t>
      </w:r>
      <w:r>
        <w:rPr>
          <w:rFonts w:hint="eastAsia" w:ascii="仿宋" w:hAnsi="仿宋" w:eastAsia="仿宋" w:cs="仿宋"/>
          <w:sz w:val="32"/>
          <w:szCs w:val="32"/>
          <w:lang w:eastAsia="zh-CN"/>
        </w:rPr>
        <w:t>工作</w:t>
      </w:r>
      <w:r>
        <w:rPr>
          <w:rFonts w:hint="eastAsia" w:ascii="仿宋" w:hAnsi="仿宋" w:eastAsia="仿宋" w:cs="仿宋"/>
          <w:sz w:val="32"/>
          <w:szCs w:val="32"/>
        </w:rPr>
        <w:t>经费</w:t>
      </w:r>
      <w:r>
        <w:rPr>
          <w:rFonts w:hint="eastAsia" w:ascii="仿宋" w:hAnsi="仿宋" w:eastAsia="仿宋" w:cs="仿宋"/>
          <w:sz w:val="32"/>
          <w:szCs w:val="32"/>
          <w:lang w:eastAsia="zh-CN"/>
        </w:rPr>
        <w:t>等</w:t>
      </w:r>
      <w:r>
        <w:rPr>
          <w:rFonts w:hint="eastAsia" w:ascii="仿宋" w:hAnsi="仿宋" w:eastAsia="仿宋" w:cs="仿宋"/>
          <w:sz w:val="32"/>
          <w:szCs w:val="32"/>
          <w:lang w:val="en-US" w:eastAsia="zh-CN"/>
        </w:rPr>
        <w:t>4.77万</w:t>
      </w:r>
      <w:r>
        <w:rPr>
          <w:rFonts w:hint="eastAsia" w:ascii="仿宋" w:hAnsi="仿宋" w:eastAsia="仿宋" w:cs="仿宋"/>
          <w:sz w:val="32"/>
          <w:szCs w:val="32"/>
        </w:rPr>
        <w:t>元</w:t>
      </w:r>
      <w:r>
        <w:rPr>
          <w:rFonts w:hint="eastAsia" w:ascii="仿宋" w:hAnsi="仿宋" w:eastAsia="仿宋" w:cs="仿宋"/>
          <w:sz w:val="32"/>
          <w:szCs w:val="32"/>
          <w:lang w:eastAsia="zh-CN"/>
        </w:rPr>
        <w:t>，拨付2023年事业单位公开招聘经费</w:t>
      </w:r>
      <w:r>
        <w:rPr>
          <w:rFonts w:hint="eastAsia" w:ascii="仿宋" w:hAnsi="仿宋" w:eastAsia="仿宋" w:cs="仿宋"/>
          <w:sz w:val="32"/>
          <w:szCs w:val="32"/>
          <w:lang w:val="en-US" w:eastAsia="zh-CN"/>
        </w:rPr>
        <w:t>48.57万元，公益性岗位补助及就业服务平台建设经费48.12万元，</w:t>
      </w:r>
      <w:r>
        <w:rPr>
          <w:rFonts w:hint="eastAsia" w:ascii="仿宋" w:hAnsi="仿宋" w:eastAsia="仿宋" w:cs="仿宋"/>
          <w:sz w:val="32"/>
          <w:szCs w:val="32"/>
          <w:lang w:eastAsia="zh-CN"/>
        </w:rPr>
        <w:t>县人社局平台建设资金</w:t>
      </w:r>
      <w:r>
        <w:rPr>
          <w:rFonts w:hint="eastAsia" w:ascii="仿宋" w:hAnsi="仿宋" w:eastAsia="仿宋" w:cs="仿宋"/>
          <w:sz w:val="32"/>
          <w:szCs w:val="32"/>
          <w:lang w:val="en-US" w:eastAsia="zh-CN"/>
        </w:rPr>
        <w:t>8万元、退休党支部党费返还0.45万元。</w:t>
      </w:r>
    </w:p>
    <w:p>
      <w:pPr>
        <w:pStyle w:val="11"/>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 w:hAnsi="仿宋" w:eastAsia="仿宋" w:cs="仿宋"/>
          <w:color w:val="333333"/>
          <w:sz w:val="32"/>
          <w:szCs w:val="32"/>
          <w:lang w:eastAsia="zh-CN"/>
        </w:rPr>
      </w:pPr>
      <w:r>
        <w:rPr>
          <w:rFonts w:hint="eastAsia" w:ascii="仿宋" w:hAnsi="仿宋" w:eastAsia="仿宋" w:cs="仿宋"/>
          <w:color w:val="333333"/>
          <w:sz w:val="32"/>
          <w:szCs w:val="32"/>
          <w:lang w:val="en-US" w:eastAsia="zh-CN"/>
        </w:rPr>
        <w:t>3.</w:t>
      </w:r>
      <w:r>
        <w:rPr>
          <w:rFonts w:hint="eastAsia" w:ascii="仿宋" w:hAnsi="仿宋" w:eastAsia="仿宋" w:cs="仿宋"/>
          <w:color w:val="333333"/>
          <w:sz w:val="32"/>
          <w:szCs w:val="32"/>
        </w:rPr>
        <w:t>“三公经费”严格按照</w:t>
      </w:r>
      <w:r>
        <w:rPr>
          <w:rFonts w:hint="eastAsia" w:ascii="仿宋" w:hAnsi="仿宋" w:eastAsia="仿宋" w:cs="仿宋"/>
          <w:color w:val="333333"/>
          <w:sz w:val="32"/>
          <w:szCs w:val="32"/>
          <w:lang w:eastAsia="zh-CN"/>
        </w:rPr>
        <w:t>县</w:t>
      </w:r>
      <w:r>
        <w:rPr>
          <w:rFonts w:hint="eastAsia" w:ascii="仿宋" w:hAnsi="仿宋" w:eastAsia="仿宋" w:cs="仿宋"/>
          <w:color w:val="333333"/>
          <w:sz w:val="32"/>
          <w:szCs w:val="32"/>
        </w:rPr>
        <w:t>纪委、财政年初下达的</w:t>
      </w:r>
      <w:r>
        <w:rPr>
          <w:rFonts w:hint="eastAsia" w:ascii="仿宋" w:hAnsi="仿宋" w:eastAsia="仿宋" w:cs="仿宋"/>
          <w:color w:val="333333"/>
          <w:sz w:val="32"/>
          <w:szCs w:val="32"/>
          <w:lang w:eastAsia="zh-CN"/>
        </w:rPr>
        <w:t>控</w:t>
      </w:r>
      <w:r>
        <w:rPr>
          <w:rFonts w:hint="eastAsia" w:ascii="仿宋" w:hAnsi="仿宋" w:eastAsia="仿宋" w:cs="仿宋"/>
          <w:color w:val="333333"/>
          <w:sz w:val="32"/>
          <w:szCs w:val="32"/>
        </w:rPr>
        <w:t>制数使用，并按照公务车管理、公务接待等国家和省市有关规定从严管理、从严控制、规范报账。20</w:t>
      </w:r>
      <w:r>
        <w:rPr>
          <w:rFonts w:hint="eastAsia" w:ascii="仿宋" w:hAnsi="仿宋" w:eastAsia="仿宋" w:cs="仿宋"/>
          <w:color w:val="333333"/>
          <w:sz w:val="32"/>
          <w:szCs w:val="32"/>
          <w:lang w:val="en-US" w:eastAsia="zh-CN"/>
        </w:rPr>
        <w:t>23</w:t>
      </w:r>
      <w:r>
        <w:rPr>
          <w:rFonts w:hint="eastAsia" w:ascii="仿宋" w:hAnsi="仿宋" w:eastAsia="仿宋" w:cs="仿宋"/>
          <w:color w:val="333333"/>
          <w:sz w:val="32"/>
          <w:szCs w:val="32"/>
        </w:rPr>
        <w:t>年，“三公经费”</w:t>
      </w:r>
      <w:r>
        <w:rPr>
          <w:rFonts w:hint="eastAsia" w:ascii="仿宋" w:hAnsi="仿宋" w:eastAsia="仿宋" w:cs="仿宋"/>
          <w:color w:val="333333"/>
          <w:sz w:val="32"/>
          <w:szCs w:val="32"/>
          <w:lang w:eastAsia="zh-CN"/>
        </w:rPr>
        <w:t>预算批复</w:t>
      </w:r>
      <w:r>
        <w:rPr>
          <w:rFonts w:hint="eastAsia" w:ascii="仿宋" w:hAnsi="仿宋" w:eastAsia="仿宋" w:cs="仿宋"/>
          <w:color w:val="333333"/>
          <w:sz w:val="32"/>
          <w:szCs w:val="32"/>
          <w:lang w:val="en-US" w:eastAsia="zh-CN"/>
        </w:rPr>
        <w:t>6.5万元，</w:t>
      </w:r>
      <w:r>
        <w:rPr>
          <w:rFonts w:hint="eastAsia" w:ascii="仿宋" w:hAnsi="仿宋" w:eastAsia="仿宋" w:cs="仿宋"/>
          <w:color w:val="333333"/>
          <w:sz w:val="32"/>
          <w:szCs w:val="32"/>
        </w:rPr>
        <w:t>决算支出</w:t>
      </w:r>
      <w:r>
        <w:rPr>
          <w:rFonts w:hint="eastAsia" w:ascii="仿宋" w:hAnsi="仿宋" w:eastAsia="仿宋" w:cs="仿宋"/>
          <w:color w:val="333333"/>
          <w:sz w:val="32"/>
          <w:szCs w:val="32"/>
          <w:lang w:val="en-US" w:eastAsia="zh-CN"/>
        </w:rPr>
        <w:t>2.96</w:t>
      </w:r>
      <w:r>
        <w:rPr>
          <w:rFonts w:hint="eastAsia" w:ascii="仿宋" w:hAnsi="仿宋" w:eastAsia="仿宋" w:cs="仿宋"/>
          <w:color w:val="333333"/>
          <w:sz w:val="32"/>
          <w:szCs w:val="32"/>
        </w:rPr>
        <w:t>万元，较20</w:t>
      </w:r>
      <w:r>
        <w:rPr>
          <w:rFonts w:hint="eastAsia" w:ascii="仿宋" w:hAnsi="仿宋" w:eastAsia="仿宋" w:cs="仿宋"/>
          <w:color w:val="333333"/>
          <w:sz w:val="32"/>
          <w:szCs w:val="32"/>
          <w:lang w:val="en-US" w:eastAsia="zh-CN"/>
        </w:rPr>
        <w:t>22</w:t>
      </w:r>
      <w:r>
        <w:rPr>
          <w:rFonts w:hint="eastAsia" w:ascii="仿宋" w:hAnsi="仿宋" w:eastAsia="仿宋" w:cs="仿宋"/>
          <w:color w:val="333333"/>
          <w:sz w:val="32"/>
          <w:szCs w:val="32"/>
        </w:rPr>
        <w:t>年</w:t>
      </w:r>
      <w:r>
        <w:rPr>
          <w:rFonts w:hint="eastAsia" w:ascii="仿宋" w:hAnsi="仿宋" w:eastAsia="仿宋" w:cs="仿宋"/>
          <w:color w:val="333333"/>
          <w:sz w:val="32"/>
          <w:szCs w:val="32"/>
          <w:lang w:eastAsia="zh-CN"/>
        </w:rPr>
        <w:t>决算下降</w:t>
      </w:r>
      <w:r>
        <w:rPr>
          <w:rFonts w:hint="eastAsia" w:ascii="仿宋" w:hAnsi="仿宋" w:eastAsia="仿宋" w:cs="仿宋"/>
          <w:color w:val="333333"/>
          <w:sz w:val="32"/>
          <w:szCs w:val="32"/>
          <w:lang w:val="en-US" w:eastAsia="zh-CN"/>
        </w:rPr>
        <w:t>1.56</w:t>
      </w:r>
      <w:r>
        <w:rPr>
          <w:rFonts w:hint="eastAsia" w:ascii="仿宋" w:hAnsi="仿宋" w:eastAsia="仿宋" w:cs="仿宋"/>
          <w:color w:val="333333"/>
          <w:sz w:val="32"/>
          <w:szCs w:val="32"/>
        </w:rPr>
        <w:t>万元，</w:t>
      </w:r>
      <w:r>
        <w:rPr>
          <w:rFonts w:hint="eastAsia" w:ascii="仿宋" w:hAnsi="仿宋" w:eastAsia="仿宋" w:cs="仿宋"/>
          <w:color w:val="333333"/>
          <w:sz w:val="32"/>
          <w:szCs w:val="32"/>
          <w:lang w:eastAsia="zh-CN"/>
        </w:rPr>
        <w:t>下降</w:t>
      </w:r>
      <w:r>
        <w:rPr>
          <w:rFonts w:hint="eastAsia" w:ascii="仿宋" w:hAnsi="仿宋" w:eastAsia="仿宋" w:cs="仿宋"/>
          <w:color w:val="333333"/>
          <w:sz w:val="32"/>
          <w:szCs w:val="32"/>
          <w:lang w:val="en-US" w:eastAsia="zh-CN"/>
        </w:rPr>
        <w:t>34.56</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rPr>
        <w:t>其中：公务用车运行批复的控制指标</w:t>
      </w:r>
      <w:r>
        <w:rPr>
          <w:rFonts w:hint="eastAsia" w:ascii="仿宋" w:hAnsi="仿宋" w:eastAsia="仿宋" w:cs="仿宋"/>
          <w:color w:val="333333"/>
          <w:sz w:val="32"/>
          <w:szCs w:val="32"/>
          <w:lang w:val="en-US" w:eastAsia="zh-CN"/>
        </w:rPr>
        <w:t>5</w:t>
      </w:r>
      <w:r>
        <w:rPr>
          <w:rFonts w:hint="eastAsia" w:ascii="仿宋" w:hAnsi="仿宋" w:eastAsia="仿宋" w:cs="仿宋"/>
          <w:color w:val="333333"/>
          <w:sz w:val="32"/>
          <w:szCs w:val="32"/>
        </w:rPr>
        <w:t>万元，决算支出</w:t>
      </w:r>
      <w:r>
        <w:rPr>
          <w:rFonts w:hint="eastAsia" w:ascii="仿宋" w:hAnsi="仿宋" w:eastAsia="仿宋" w:cs="仿宋"/>
          <w:color w:val="333333"/>
          <w:sz w:val="32"/>
          <w:szCs w:val="32"/>
          <w:lang w:val="en-US" w:eastAsia="zh-CN"/>
        </w:rPr>
        <w:t>1.69</w:t>
      </w:r>
      <w:r>
        <w:rPr>
          <w:rFonts w:hint="eastAsia" w:ascii="仿宋" w:hAnsi="仿宋" w:eastAsia="仿宋" w:cs="仿宋"/>
          <w:color w:val="333333"/>
          <w:sz w:val="32"/>
          <w:szCs w:val="32"/>
        </w:rPr>
        <w:t>万元，较20</w:t>
      </w:r>
      <w:r>
        <w:rPr>
          <w:rFonts w:hint="eastAsia" w:ascii="仿宋" w:hAnsi="仿宋" w:eastAsia="仿宋" w:cs="仿宋"/>
          <w:color w:val="333333"/>
          <w:sz w:val="32"/>
          <w:szCs w:val="32"/>
          <w:lang w:val="en-US" w:eastAsia="zh-CN"/>
        </w:rPr>
        <w:t>22</w:t>
      </w:r>
      <w:r>
        <w:rPr>
          <w:rFonts w:hint="eastAsia" w:ascii="仿宋" w:hAnsi="仿宋" w:eastAsia="仿宋" w:cs="仿宋"/>
          <w:color w:val="333333"/>
          <w:sz w:val="32"/>
          <w:szCs w:val="32"/>
        </w:rPr>
        <w:t>年</w:t>
      </w:r>
      <w:r>
        <w:rPr>
          <w:rFonts w:hint="eastAsia" w:ascii="仿宋" w:hAnsi="仿宋" w:eastAsia="仿宋" w:cs="仿宋"/>
          <w:color w:val="333333"/>
          <w:sz w:val="32"/>
          <w:szCs w:val="32"/>
          <w:lang w:eastAsia="zh-CN"/>
        </w:rPr>
        <w:t>下降</w:t>
      </w:r>
      <w:r>
        <w:rPr>
          <w:rFonts w:hint="eastAsia" w:ascii="仿宋" w:hAnsi="仿宋" w:eastAsia="仿宋" w:cs="仿宋"/>
          <w:color w:val="333333"/>
          <w:sz w:val="32"/>
          <w:szCs w:val="32"/>
          <w:lang w:val="en-US" w:eastAsia="zh-CN"/>
        </w:rPr>
        <w:t>1.43</w:t>
      </w:r>
      <w:r>
        <w:rPr>
          <w:rFonts w:hint="eastAsia" w:ascii="仿宋" w:hAnsi="仿宋" w:eastAsia="仿宋" w:cs="仿宋"/>
          <w:color w:val="333333"/>
          <w:sz w:val="32"/>
          <w:szCs w:val="32"/>
        </w:rPr>
        <w:t>万元，</w:t>
      </w:r>
      <w:r>
        <w:rPr>
          <w:rFonts w:hint="eastAsia" w:ascii="仿宋" w:hAnsi="仿宋" w:eastAsia="仿宋" w:cs="仿宋"/>
          <w:color w:val="333333"/>
          <w:sz w:val="32"/>
          <w:szCs w:val="32"/>
          <w:lang w:eastAsia="zh-CN"/>
        </w:rPr>
        <w:t>下降</w:t>
      </w:r>
      <w:r>
        <w:rPr>
          <w:rFonts w:hint="eastAsia" w:ascii="仿宋" w:hAnsi="仿宋" w:eastAsia="仿宋" w:cs="仿宋"/>
          <w:color w:val="333333"/>
          <w:sz w:val="32"/>
          <w:szCs w:val="32"/>
          <w:lang w:val="en-US" w:eastAsia="zh-CN"/>
        </w:rPr>
        <w:t>45.95</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rPr>
        <w:t>公务接待批复的控制指标</w:t>
      </w:r>
      <w:r>
        <w:rPr>
          <w:rFonts w:hint="eastAsia" w:ascii="仿宋" w:hAnsi="仿宋" w:eastAsia="仿宋" w:cs="仿宋"/>
          <w:color w:val="333333"/>
          <w:sz w:val="32"/>
          <w:szCs w:val="32"/>
          <w:lang w:val="en-US" w:eastAsia="zh-CN"/>
        </w:rPr>
        <w:t>1.5</w:t>
      </w:r>
      <w:r>
        <w:rPr>
          <w:rFonts w:hint="eastAsia" w:ascii="仿宋" w:hAnsi="仿宋" w:eastAsia="仿宋" w:cs="仿宋"/>
          <w:color w:val="333333"/>
          <w:sz w:val="32"/>
          <w:szCs w:val="32"/>
        </w:rPr>
        <w:t>万元，决算支出</w:t>
      </w:r>
      <w:r>
        <w:rPr>
          <w:rFonts w:hint="eastAsia" w:ascii="仿宋" w:hAnsi="仿宋" w:eastAsia="仿宋" w:cs="仿宋"/>
          <w:color w:val="333333"/>
          <w:sz w:val="32"/>
          <w:szCs w:val="32"/>
          <w:lang w:val="en-US" w:eastAsia="zh-CN"/>
        </w:rPr>
        <w:t>1.27</w:t>
      </w:r>
      <w:r>
        <w:rPr>
          <w:rFonts w:hint="eastAsia" w:ascii="仿宋" w:hAnsi="仿宋" w:eastAsia="仿宋" w:cs="仿宋"/>
          <w:color w:val="333333"/>
          <w:sz w:val="32"/>
          <w:szCs w:val="32"/>
        </w:rPr>
        <w:t>万元，较20</w:t>
      </w:r>
      <w:r>
        <w:rPr>
          <w:rFonts w:hint="eastAsia" w:ascii="仿宋" w:hAnsi="仿宋" w:eastAsia="仿宋" w:cs="仿宋"/>
          <w:color w:val="333333"/>
          <w:sz w:val="32"/>
          <w:szCs w:val="32"/>
          <w:lang w:val="en-US" w:eastAsia="zh-CN"/>
        </w:rPr>
        <w:t>22</w:t>
      </w:r>
      <w:r>
        <w:rPr>
          <w:rFonts w:hint="eastAsia" w:ascii="仿宋" w:hAnsi="仿宋" w:eastAsia="仿宋" w:cs="仿宋"/>
          <w:color w:val="333333"/>
          <w:sz w:val="32"/>
          <w:szCs w:val="32"/>
        </w:rPr>
        <w:t>年</w:t>
      </w:r>
      <w:r>
        <w:rPr>
          <w:rFonts w:hint="eastAsia" w:ascii="仿宋" w:hAnsi="仿宋" w:eastAsia="仿宋" w:cs="仿宋"/>
          <w:color w:val="333333"/>
          <w:sz w:val="32"/>
          <w:szCs w:val="32"/>
          <w:lang w:eastAsia="zh-CN"/>
        </w:rPr>
        <w:t>决算增加</w:t>
      </w:r>
      <w:r>
        <w:rPr>
          <w:rFonts w:hint="eastAsia" w:ascii="仿宋" w:hAnsi="仿宋" w:eastAsia="仿宋" w:cs="仿宋"/>
          <w:color w:val="333333"/>
          <w:sz w:val="32"/>
          <w:szCs w:val="32"/>
          <w:lang w:val="en-US" w:eastAsia="zh-CN"/>
        </w:rPr>
        <w:t>0.2</w:t>
      </w:r>
      <w:r>
        <w:rPr>
          <w:rFonts w:hint="eastAsia" w:ascii="仿宋" w:hAnsi="仿宋" w:eastAsia="仿宋" w:cs="仿宋"/>
          <w:color w:val="333333"/>
          <w:sz w:val="32"/>
          <w:szCs w:val="32"/>
        </w:rPr>
        <w:t>万元</w:t>
      </w:r>
      <w:r>
        <w:rPr>
          <w:rFonts w:hint="eastAsia" w:ascii="仿宋" w:hAnsi="仿宋" w:eastAsia="仿宋" w:cs="仿宋"/>
          <w:color w:val="333333"/>
          <w:sz w:val="32"/>
          <w:szCs w:val="32"/>
          <w:lang w:eastAsia="zh-CN"/>
        </w:rPr>
        <w:t>，下降</w:t>
      </w:r>
      <w:r>
        <w:rPr>
          <w:rFonts w:hint="eastAsia" w:ascii="仿宋" w:hAnsi="仿宋" w:eastAsia="仿宋" w:cs="仿宋"/>
          <w:color w:val="333333"/>
          <w:sz w:val="32"/>
          <w:szCs w:val="32"/>
          <w:lang w:val="en-US" w:eastAsia="zh-CN"/>
        </w:rPr>
        <w:t>8.96</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w:t>
      </w:r>
    </w:p>
    <w:p>
      <w:pPr>
        <w:pStyle w:val="11"/>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60" w:lineRule="exact"/>
        <w:ind w:right="0" w:rightChars="0" w:firstLine="640" w:firstLineChars="200"/>
        <w:jc w:val="both"/>
        <w:textAlignment w:val="auto"/>
        <w:rPr>
          <w:rFonts w:hint="default" w:eastAsia="宋体"/>
          <w:lang w:val="en-US" w:eastAsia="zh-CN"/>
        </w:rPr>
      </w:pPr>
      <w:r>
        <w:rPr>
          <w:rFonts w:hint="eastAsia" w:ascii="仿宋" w:hAnsi="仿宋" w:eastAsia="仿宋" w:cs="仿宋"/>
          <w:color w:val="333333"/>
          <w:sz w:val="32"/>
          <w:szCs w:val="32"/>
          <w:lang w:val="en-US" w:eastAsia="zh-CN"/>
        </w:rPr>
        <w:t>4.</w:t>
      </w:r>
      <w:r>
        <w:rPr>
          <w:rFonts w:hint="eastAsia" w:ascii="仿宋" w:hAnsi="仿宋" w:eastAsia="仿宋" w:cs="仿宋"/>
          <w:color w:val="333333"/>
          <w:sz w:val="32"/>
          <w:szCs w:val="32"/>
          <w:lang w:eastAsia="zh-CN"/>
        </w:rPr>
        <w:t>政府采购严格按照相关规定执行。</w:t>
      </w:r>
      <w:r>
        <w:rPr>
          <w:rFonts w:hint="eastAsia" w:ascii="仿宋" w:hAnsi="仿宋" w:eastAsia="仿宋" w:cs="仿宋"/>
          <w:sz w:val="32"/>
          <w:szCs w:val="32"/>
          <w:lang w:val="en-US" w:eastAsia="zh-CN"/>
        </w:rPr>
        <w:t>2023年采购货物类支出30.78万元，采购服务类支出18.07万元。</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（五）部门年度整体工作目标任务完成情况，包括：财政资金支出达到的效果情况、社会满意度认可情况等。</w:t>
      </w:r>
    </w:p>
    <w:p>
      <w:pPr>
        <w:pStyle w:val="8"/>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80" w:lineRule="exact"/>
        <w:ind w:firstLine="640" w:firstLineChars="200"/>
        <w:jc w:val="both"/>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1.坚持就业优先。城镇居民可支配收入37016元，增长4.4%;组织59场线上线下招聘会，参加单位累计590多家次，登记求职人员达5100余人;实现就业困难人员就业140人，任务完成率100%；对离校未就业高校毕业生开展6个100%服务，实名登记离校未就业高校毕业大学生325人实现就业317人（其中单位就业214人），就业比例97.54%；开展就业见习计划26人，任务完成率100%；失业人员再就业316人，任务完成率117.03%；新增城镇就业1210人，任务完成率100.83%；农村劳动力转移就业2117人，任务完成率100.8%；建设就业帮扶车间19个，脱贫车间及脱贫基地吸纳脱贫劳动力419名，对未就业有就业意愿的提供311就业服务，覆盖率达100%；退捕渔民172人有劳动能力且有就业意愿已就业128人；城镇登记失业率控制在4.5％以内、调查失业率控制在5.5%以内；完成职业培训1265人次（其中技能培训922人，创业培训343人，补贴196.17万元），任务完成率119.23%；发放小额担保贷款52笔共880万元，贴息51.54万元，带动就业177人。</w:t>
      </w:r>
    </w:p>
    <w:p>
      <w:pPr>
        <w:pStyle w:val="8"/>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80" w:lineRule="exact"/>
        <w:ind w:firstLine="640" w:firstLineChars="200"/>
        <w:jc w:val="both"/>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2.完善社保体系。深入实施“全民参保计划”，社会保险实现全覆盖。城乡居民养老保险参保170725人，基金征缴 2034.78万元；企业职工养老保险参保13523人，缴费8333人，基金征缴7927.03万元；机关事业养老保险参保6982人，缴费6666人，基金征缴 14619.23万元，职业年金征缴 938.56万元；工伤保险参保单位1061家，参保27291人，基金征缴1052.23万元；失业保险参保单位369家，参保13002人，征缴508.59万元。</w:t>
      </w:r>
    </w:p>
    <w:p>
      <w:pPr>
        <w:pStyle w:val="8"/>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80" w:lineRule="exact"/>
        <w:ind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3.全力打好重点民生保障仗。按照“坚持就业优先、提升保障水平、改善生态环境”要求，聚焦教育、医疗、养老、就业、住房、基础设施建设、困难群体救助等群众“急难愁盼”问题，省市重点民生实事项目17件36项已全部完成任务,群众满意度达到95%以上。</w:t>
      </w:r>
    </w:p>
    <w:p>
      <w:pPr>
        <w:pStyle w:val="20"/>
        <w:keepNext w:val="0"/>
        <w:keepLines w:val="0"/>
        <w:pageBreakBefore w:val="0"/>
        <w:widowControl w:val="0"/>
        <w:kinsoku/>
        <w:wordWrap/>
        <w:overflowPunct/>
        <w:topLinePunct w:val="0"/>
        <w:autoSpaceDE/>
        <w:autoSpaceDN/>
        <w:bidi w:val="0"/>
        <w:spacing w:beforeAutospacing="0" w:afterAutospacing="0" w:line="580" w:lineRule="exact"/>
        <w:ind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4.大力推进鹤中一体化建设。将办公楼一楼大厅建设成中方县零工市场，安装电子招聘发布平台23块，每乡镇同步安装招聘发布平台1块共12块，实现县乡同步招聘信息发布。组织近110余家企业参加“怀化国际陆港经济开发区箱包皮具产业链企业暨2023年高校毕业生秋季专场招聘会”、“2023年怀化师范高等专科学院高校毕业生冬季专场招聘会暨建设国家陆港城、争做国际陆港人，职在家门口”招聘会，提供近2200个就业岗位，前后近5000余人参会，现场达成求职意向近480人，求职满意度100%。</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5.事业单位招聘工作。规范事业单位招聘工作，完成全县事业单位招聘26人。申报高级职称申报193人，中级职称 129人。</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6.加强基金监管。下发《中方县落实关于切实加强社会保险基金监管工作的意见任务清单》及《中方县社会保险经办机构岗位职责管理办法实施细则》，切实开展日常稽核督查，共核查社保基金疑点数据441条（其中人社部下发数据6条，省人社厅下发数据435条），追回违规资金46085.82元。</w:t>
      </w:r>
    </w:p>
    <w:p>
      <w:pPr>
        <w:pStyle w:val="5"/>
        <w:pageBreakBefore w:val="0"/>
        <w:kinsoku/>
        <w:wordWrap/>
        <w:overflowPunct/>
        <w:topLinePunct w:val="0"/>
        <w:autoSpaceDE/>
        <w:autoSpaceDN/>
        <w:bidi w:val="0"/>
        <w:jc w:val="both"/>
        <w:textAlignment w:val="auto"/>
      </w:pPr>
      <w:r>
        <w:rPr>
          <w:rFonts w:hint="eastAsia"/>
        </w:rPr>
        <w:t>二、部门整体评价工作开展</w:t>
      </w:r>
    </w:p>
    <w:p>
      <w:pPr>
        <w:pStyle w:val="4"/>
        <w:pageBreakBefore w:val="0"/>
        <w:widowControl/>
        <w:kinsoku/>
        <w:wordWrap/>
        <w:overflowPunct/>
        <w:topLinePunct w:val="0"/>
        <w:autoSpaceDE/>
        <w:autoSpaceDN/>
        <w:bidi w:val="0"/>
        <w:spacing w:after="0" w:line="560" w:lineRule="exact"/>
        <w:ind w:left="0" w:firstLine="596" w:firstLineChars="200"/>
        <w:jc w:val="both"/>
        <w:textAlignment w:val="auto"/>
        <w:rPr>
          <w:rFonts w:hint="eastAsia" w:ascii="仿宋" w:hAnsi="仿宋" w:eastAsia="仿宋" w:cs="仿宋"/>
          <w:b w:val="0"/>
          <w:bCs w:val="0"/>
          <w:spacing w:val="-11"/>
          <w:sz w:val="32"/>
          <w:szCs w:val="32"/>
        </w:rPr>
      </w:pPr>
      <w:r>
        <w:rPr>
          <w:rFonts w:hint="eastAsia" w:ascii="仿宋" w:hAnsi="仿宋" w:eastAsia="仿宋" w:cs="仿宋"/>
          <w:b w:val="0"/>
          <w:bCs w:val="0"/>
          <w:spacing w:val="-11"/>
          <w:sz w:val="32"/>
          <w:szCs w:val="32"/>
        </w:rPr>
        <w:t>（一）绩效评价实施过程情况，包括评价方法、工作程序等；</w:t>
      </w:r>
      <w:bookmarkStart w:id="1" w:name="_Toc27994"/>
      <w:bookmarkStart w:id="2" w:name="_Toc42769229"/>
      <w:bookmarkStart w:id="3" w:name="_Toc9436357"/>
    </w:p>
    <w:p>
      <w:pPr>
        <w:pStyle w:val="4"/>
        <w:pageBreakBefore w:val="0"/>
        <w:widowControl/>
        <w:kinsoku/>
        <w:wordWrap/>
        <w:overflowPunct/>
        <w:topLinePunct w:val="0"/>
        <w:autoSpaceDE/>
        <w:autoSpaceDN/>
        <w:bidi w:val="0"/>
        <w:spacing w:after="0" w:line="560" w:lineRule="exact"/>
        <w:ind w:left="0" w:firstLine="640" w:firstLineChars="200"/>
        <w:jc w:val="both"/>
        <w:textAlignment w:val="auto"/>
        <w:rPr>
          <w:rFonts w:hint="eastAsia" w:ascii="仿宋" w:hAnsi="仿宋" w:eastAsia="仿宋" w:cs="仿宋"/>
          <w:b w:val="0"/>
          <w:bCs w:val="0"/>
          <w:sz w:val="32"/>
          <w:szCs w:val="32"/>
          <w:lang w:val="en-US"/>
        </w:rPr>
      </w:pPr>
      <w:r>
        <w:rPr>
          <w:rFonts w:hint="eastAsia" w:ascii="仿宋" w:hAnsi="仿宋" w:eastAsia="仿宋" w:cs="仿宋"/>
          <w:b w:val="0"/>
          <w:bCs w:val="0"/>
          <w:sz w:val="32"/>
          <w:szCs w:val="32"/>
          <w:lang w:eastAsia="zh-CN"/>
        </w:rPr>
        <w:t>（一）成立了绩效评价小组，完善绩效自评评价指标</w:t>
      </w:r>
      <w:bookmarkEnd w:id="1"/>
      <w:bookmarkEnd w:id="2"/>
      <w:bookmarkEnd w:id="3"/>
    </w:p>
    <w:p>
      <w:pPr>
        <w:keepNext w:val="0"/>
        <w:keepLines w:val="0"/>
        <w:pageBreakBefore w:val="0"/>
        <w:widowControl w:val="0"/>
        <w:suppressLineNumbers w:val="0"/>
        <w:kinsoku/>
        <w:wordWrap/>
        <w:overflowPunct/>
        <w:topLinePunct w:val="0"/>
        <w:autoSpaceDE/>
        <w:autoSpaceDN/>
        <w:bidi w:val="0"/>
        <w:spacing w:beforeAutospacing="0" w:after="0" w:afterAutospacing="0" w:line="560" w:lineRule="exact"/>
        <w:ind w:left="0" w:right="0" w:firstLine="640" w:firstLineChars="200"/>
        <w:jc w:val="both"/>
        <w:textAlignment w:val="auto"/>
        <w:rPr>
          <w:rFonts w:hint="eastAsia" w:ascii="仿宋" w:hAnsi="仿宋" w:eastAsia="仿宋" w:cs="仿宋"/>
          <w:kern w:val="0"/>
          <w:sz w:val="32"/>
          <w:szCs w:val="32"/>
          <w:lang w:val="en-US"/>
        </w:rPr>
      </w:pPr>
      <w:r>
        <w:rPr>
          <w:rFonts w:hint="eastAsia" w:ascii="仿宋" w:hAnsi="仿宋" w:eastAsia="仿宋" w:cs="仿宋"/>
          <w:kern w:val="0"/>
          <w:sz w:val="32"/>
          <w:szCs w:val="32"/>
          <w:lang w:val="en-US" w:eastAsia="zh-CN" w:bidi="ar"/>
        </w:rPr>
        <w:t>我局成立了由局班子成员、各独立核算单位负责人及局机关各股室长组成的绩效自评工作小组。结合本单位实际完善了评价指标体系，特别是对产出及效率指标进行细化、量化。</w:t>
      </w:r>
    </w:p>
    <w:p>
      <w:pPr>
        <w:pStyle w:val="4"/>
        <w:pageBreakBefore w:val="0"/>
        <w:widowControl/>
        <w:kinsoku/>
        <w:wordWrap/>
        <w:overflowPunct/>
        <w:topLinePunct w:val="0"/>
        <w:autoSpaceDE/>
        <w:autoSpaceDN/>
        <w:bidi w:val="0"/>
        <w:spacing w:after="0" w:line="560" w:lineRule="exact"/>
        <w:ind w:left="0" w:firstLine="640" w:firstLineChars="200"/>
        <w:jc w:val="both"/>
        <w:textAlignment w:val="auto"/>
        <w:rPr>
          <w:rFonts w:hint="eastAsia" w:ascii="仿宋" w:hAnsi="仿宋" w:eastAsia="仿宋" w:cs="仿宋"/>
          <w:b w:val="0"/>
          <w:bCs w:val="0"/>
          <w:sz w:val="32"/>
          <w:szCs w:val="32"/>
          <w:lang w:val="en-US"/>
        </w:rPr>
      </w:pPr>
      <w:bookmarkStart w:id="4" w:name="_Toc9436358"/>
      <w:bookmarkStart w:id="5" w:name="_Toc42769230"/>
      <w:bookmarkStart w:id="6" w:name="_Toc13051"/>
      <w:r>
        <w:rPr>
          <w:rFonts w:hint="eastAsia" w:ascii="仿宋" w:hAnsi="仿宋" w:eastAsia="仿宋" w:cs="仿宋"/>
          <w:b w:val="0"/>
          <w:bCs w:val="0"/>
          <w:sz w:val="32"/>
          <w:szCs w:val="32"/>
          <w:lang w:eastAsia="zh-CN"/>
        </w:rPr>
        <w:t>（二）下发通知，布置自评</w:t>
      </w:r>
      <w:bookmarkEnd w:id="4"/>
      <w:bookmarkEnd w:id="5"/>
      <w:r>
        <w:rPr>
          <w:rFonts w:hint="eastAsia" w:ascii="仿宋" w:hAnsi="仿宋" w:eastAsia="仿宋" w:cs="仿宋"/>
          <w:b w:val="0"/>
          <w:bCs w:val="0"/>
          <w:sz w:val="32"/>
          <w:szCs w:val="32"/>
          <w:lang w:eastAsia="zh-CN"/>
        </w:rPr>
        <w:t>工作</w:t>
      </w:r>
      <w:bookmarkEnd w:id="6"/>
    </w:p>
    <w:p>
      <w:pPr>
        <w:keepNext w:val="0"/>
        <w:keepLines w:val="0"/>
        <w:pageBreakBefore w:val="0"/>
        <w:widowControl w:val="0"/>
        <w:suppressLineNumbers w:val="0"/>
        <w:kinsoku/>
        <w:wordWrap/>
        <w:overflowPunct/>
        <w:topLinePunct w:val="0"/>
        <w:autoSpaceDE/>
        <w:autoSpaceDN/>
        <w:bidi w:val="0"/>
        <w:spacing w:beforeAutospacing="0" w:after="0" w:afterAutospacing="0" w:line="560" w:lineRule="exact"/>
        <w:ind w:left="0" w:right="0" w:firstLine="640" w:firstLineChars="200"/>
        <w:jc w:val="both"/>
        <w:textAlignment w:val="auto"/>
        <w:rPr>
          <w:rFonts w:hint="eastAsia" w:ascii="仿宋" w:hAnsi="仿宋" w:eastAsia="仿宋" w:cs="仿宋"/>
          <w:kern w:val="0"/>
          <w:sz w:val="32"/>
          <w:szCs w:val="32"/>
          <w:lang w:val="en-US"/>
        </w:rPr>
      </w:pPr>
      <w:r>
        <w:rPr>
          <w:rFonts w:hint="eastAsia" w:ascii="仿宋" w:hAnsi="仿宋" w:eastAsia="仿宋" w:cs="仿宋"/>
          <w:kern w:val="0"/>
          <w:sz w:val="32"/>
          <w:szCs w:val="32"/>
          <w:lang w:val="en-US" w:eastAsia="zh-CN" w:bidi="ar"/>
        </w:rPr>
        <w:t>我局高度重视，第一时间按照中财绩【2024】174号文件的要求下发通知，布置工作。自评工作小组本着客观、公正、科学的原则，对照部门整体支出绩效评价指标表，通过基础数据、原始资料、会计报表、业务报表审核自查，对组织机构、人员编制、预算管理、预算执行情况等进行了全面绩效自评，在自评过程中发现问题，查找原因，及时纠正偏差，为下一步工作夯实基础，保证了绩效自评工作真实性、准确性和完整性。</w:t>
      </w:r>
    </w:p>
    <w:p>
      <w:pPr>
        <w:pStyle w:val="4"/>
        <w:pageBreakBefore w:val="0"/>
        <w:widowControl/>
        <w:kinsoku/>
        <w:wordWrap/>
        <w:overflowPunct/>
        <w:topLinePunct w:val="0"/>
        <w:autoSpaceDE/>
        <w:autoSpaceDN/>
        <w:bidi w:val="0"/>
        <w:spacing w:after="0" w:line="560" w:lineRule="exact"/>
        <w:ind w:left="0" w:firstLine="640" w:firstLineChars="200"/>
        <w:jc w:val="both"/>
        <w:textAlignment w:val="auto"/>
        <w:rPr>
          <w:rFonts w:hint="eastAsia" w:ascii="仿宋" w:hAnsi="仿宋" w:eastAsia="仿宋" w:cs="仿宋"/>
          <w:b w:val="0"/>
          <w:bCs w:val="0"/>
          <w:sz w:val="32"/>
          <w:szCs w:val="32"/>
          <w:lang w:val="en-US"/>
        </w:rPr>
      </w:pPr>
      <w:bookmarkStart w:id="7" w:name="_Toc9436359"/>
      <w:bookmarkStart w:id="8" w:name="_Toc42769231"/>
      <w:bookmarkStart w:id="9" w:name="_Toc12826"/>
      <w:r>
        <w:rPr>
          <w:rFonts w:hint="eastAsia" w:ascii="仿宋" w:hAnsi="仿宋" w:eastAsia="仿宋" w:cs="仿宋"/>
          <w:b w:val="0"/>
          <w:bCs w:val="0"/>
          <w:sz w:val="32"/>
          <w:szCs w:val="32"/>
          <w:lang w:eastAsia="zh-CN"/>
        </w:rPr>
        <w:t>（三）开展现场评价</w:t>
      </w:r>
      <w:bookmarkEnd w:id="7"/>
      <w:bookmarkEnd w:id="8"/>
      <w:bookmarkEnd w:id="9"/>
    </w:p>
    <w:p>
      <w:pPr>
        <w:keepNext w:val="0"/>
        <w:keepLines w:val="0"/>
        <w:pageBreakBefore w:val="0"/>
        <w:widowControl w:val="0"/>
        <w:suppressLineNumbers w:val="0"/>
        <w:kinsoku/>
        <w:wordWrap/>
        <w:overflowPunct/>
        <w:topLinePunct w:val="0"/>
        <w:autoSpaceDE/>
        <w:autoSpaceDN/>
        <w:bidi w:val="0"/>
        <w:spacing w:beforeAutospacing="0" w:after="0" w:afterAutospacing="0" w:line="560" w:lineRule="exact"/>
        <w:ind w:left="0" w:right="0" w:firstLine="640" w:firstLineChars="200"/>
        <w:jc w:val="both"/>
        <w:textAlignment w:val="auto"/>
        <w:rPr>
          <w:rFonts w:hint="eastAsia" w:ascii="仿宋" w:hAnsi="仿宋" w:eastAsia="仿宋" w:cs="仿宋"/>
          <w:kern w:val="0"/>
          <w:sz w:val="32"/>
          <w:szCs w:val="32"/>
          <w:lang w:val="en-US"/>
        </w:rPr>
      </w:pPr>
      <w:r>
        <w:rPr>
          <w:rFonts w:hint="eastAsia" w:ascii="仿宋" w:hAnsi="仿宋" w:eastAsia="仿宋" w:cs="仿宋"/>
          <w:kern w:val="0"/>
          <w:sz w:val="32"/>
          <w:szCs w:val="32"/>
          <w:lang w:val="en-US" w:eastAsia="zh-CN" w:bidi="ar"/>
        </w:rPr>
        <w:t>我局于组织专人对局本级的整体支出情况进行了检查，审阅了单位的凭证，查阅了报表、账簿，对预算收支执行情况进行了核实；年初预算编制及年中预算调整情况、预算收入整体执行情况、预算支出整体执行情况、下发调查问卷，对部门整体支出社会效益进行评价。</w:t>
      </w:r>
    </w:p>
    <w:p>
      <w:pPr>
        <w:pStyle w:val="4"/>
        <w:pageBreakBefore w:val="0"/>
        <w:widowControl/>
        <w:kinsoku/>
        <w:wordWrap/>
        <w:overflowPunct/>
        <w:topLinePunct w:val="0"/>
        <w:autoSpaceDE/>
        <w:autoSpaceDN/>
        <w:bidi w:val="0"/>
        <w:spacing w:after="0" w:line="560" w:lineRule="exact"/>
        <w:ind w:left="0" w:firstLine="640" w:firstLineChars="200"/>
        <w:jc w:val="both"/>
        <w:textAlignment w:val="auto"/>
        <w:rPr>
          <w:rFonts w:hint="eastAsia" w:ascii="仿宋" w:hAnsi="仿宋" w:eastAsia="仿宋" w:cs="仿宋"/>
          <w:b w:val="0"/>
          <w:bCs w:val="0"/>
          <w:sz w:val="32"/>
          <w:szCs w:val="32"/>
          <w:lang w:val="en-US"/>
        </w:rPr>
      </w:pPr>
      <w:bookmarkStart w:id="10" w:name="_Toc42769232"/>
      <w:bookmarkStart w:id="11" w:name="_Toc14952"/>
      <w:r>
        <w:rPr>
          <w:rFonts w:hint="eastAsia" w:ascii="仿宋" w:hAnsi="仿宋" w:eastAsia="仿宋" w:cs="仿宋"/>
          <w:b w:val="0"/>
          <w:bCs w:val="0"/>
          <w:sz w:val="32"/>
          <w:szCs w:val="32"/>
          <w:lang w:eastAsia="zh-CN"/>
        </w:rPr>
        <w:t>（四）形成评价结论</w:t>
      </w:r>
      <w:bookmarkEnd w:id="10"/>
      <w:bookmarkEnd w:id="11"/>
    </w:p>
    <w:p>
      <w:pPr>
        <w:keepNext w:val="0"/>
        <w:keepLines w:val="0"/>
        <w:pageBreakBefore w:val="0"/>
        <w:widowControl w:val="0"/>
        <w:suppressLineNumbers w:val="0"/>
        <w:kinsoku/>
        <w:wordWrap/>
        <w:overflowPunct/>
        <w:topLinePunct w:val="0"/>
        <w:autoSpaceDE/>
        <w:autoSpaceDN/>
        <w:bidi w:val="0"/>
        <w:spacing w:beforeAutospacing="0" w:after="0" w:afterAutospacing="0" w:line="560" w:lineRule="exact"/>
        <w:ind w:left="0" w:right="0" w:firstLine="640" w:firstLineChars="200"/>
        <w:jc w:val="both"/>
        <w:textAlignment w:val="auto"/>
        <w:rPr>
          <w:rFonts w:ascii="仿宋" w:hAnsi="仿宋" w:eastAsia="仿宋" w:cs="仿宋"/>
          <w:spacing w:val="-11"/>
          <w:sz w:val="32"/>
          <w:szCs w:val="32"/>
        </w:rPr>
      </w:pPr>
      <w:r>
        <w:rPr>
          <w:rFonts w:hint="eastAsia" w:ascii="仿宋" w:hAnsi="仿宋" w:eastAsia="仿宋" w:cs="仿宋"/>
          <w:kern w:val="0"/>
          <w:sz w:val="32"/>
          <w:szCs w:val="32"/>
          <w:lang w:val="en-US" w:eastAsia="zh-CN" w:bidi="ar"/>
        </w:rPr>
        <w:t>认真总结分析自评和现场评价情况，形成了评价结论。</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596" w:firstLineChars="200"/>
        <w:jc w:val="both"/>
        <w:textAlignment w:val="auto"/>
        <w:rPr>
          <w:rFonts w:hint="default" w:eastAsia="宋体"/>
          <w:b/>
          <w:bCs/>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pacing w:val="-11"/>
          <w:sz w:val="32"/>
          <w:szCs w:val="32"/>
          <w14:textFill>
            <w14:solidFill>
              <w14:schemeClr w14:val="tx1"/>
            </w14:solidFill>
          </w14:textFill>
        </w:rPr>
        <w:t>（</w:t>
      </w:r>
      <w:r>
        <w:rPr>
          <w:rFonts w:hint="eastAsia" w:ascii="仿宋" w:hAnsi="仿宋" w:eastAsia="仿宋" w:cs="仿宋"/>
          <w:b w:val="0"/>
          <w:bCs w:val="0"/>
          <w:color w:val="000000" w:themeColor="text1"/>
          <w:spacing w:val="-11"/>
          <w:sz w:val="32"/>
          <w:szCs w:val="32"/>
          <w:lang w:eastAsia="zh-CN"/>
          <w14:textFill>
            <w14:solidFill>
              <w14:schemeClr w14:val="tx1"/>
            </w14:solidFill>
          </w14:textFill>
        </w:rPr>
        <w:t>二</w:t>
      </w:r>
      <w:r>
        <w:rPr>
          <w:rFonts w:hint="eastAsia" w:ascii="仿宋" w:hAnsi="仿宋" w:eastAsia="仿宋" w:cs="仿宋"/>
          <w:b w:val="0"/>
          <w:bCs w:val="0"/>
          <w:color w:val="000000" w:themeColor="text1"/>
          <w:spacing w:val="-11"/>
          <w:sz w:val="32"/>
          <w:szCs w:val="32"/>
          <w14:textFill>
            <w14:solidFill>
              <w14:schemeClr w14:val="tx1"/>
            </w14:solidFill>
          </w14:textFill>
        </w:rPr>
        <w:t>）</w:t>
      </w:r>
      <w:r>
        <w:rPr>
          <w:rFonts w:hint="eastAsia" w:ascii="仿宋" w:hAnsi="仿宋" w:eastAsia="仿宋" w:cs="仿宋"/>
          <w:b w:val="0"/>
          <w:bCs w:val="0"/>
          <w:color w:val="000000" w:themeColor="text1"/>
          <w:sz w:val="32"/>
          <w:szCs w:val="32"/>
          <w:lang w:val="en-US" w:eastAsia="zh-CN" w:bidi="ar-SA"/>
          <w14:textFill>
            <w14:solidFill>
              <w14:schemeClr w14:val="tx1"/>
            </w14:solidFill>
          </w14:textFill>
        </w:rPr>
        <w:t>绩效评价整体结果概况</w:t>
      </w:r>
      <w:r>
        <w:rPr>
          <w:rFonts w:hint="eastAsia" w:ascii="仿宋" w:hAnsi="仿宋" w:eastAsia="仿宋" w:cs="仿宋"/>
          <w:b w:val="0"/>
          <w:bCs w:val="0"/>
          <w:color w:val="000000" w:themeColor="text1"/>
          <w:sz w:val="32"/>
          <w:szCs w:val="32"/>
          <w14:textFill>
            <w14:solidFill>
              <w14:schemeClr w14:val="tx1"/>
            </w14:solidFill>
          </w14:textFill>
        </w:rPr>
        <w:t>，如：得分情况（或档次）、预算编制和执行情况、节能降耗情况、三公经费控制情况，项目支出管理规范和绩效情况等。</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color w:val="000000" w:themeColor="text1"/>
          <w:sz w:val="32"/>
          <w:szCs w:val="32"/>
          <w:shd w:val="clear" w:color="auto" w:fill="FFFFFF"/>
          <w:lang w:val="en-US" w:eastAsia="zh-CN" w:bidi="ar-SA"/>
          <w14:textFill>
            <w14:solidFill>
              <w14:schemeClr w14:val="tx1"/>
            </w14:solidFill>
          </w14:textFill>
        </w:rPr>
      </w:pPr>
      <w:r>
        <w:rPr>
          <w:rFonts w:hint="eastAsia" w:ascii="仿宋" w:hAnsi="仿宋" w:eastAsia="仿宋" w:cs="仿宋"/>
          <w:color w:val="000000" w:themeColor="text1"/>
          <w:sz w:val="32"/>
          <w:szCs w:val="32"/>
          <w:shd w:val="clear" w:color="auto" w:fill="FFFFFF"/>
          <w:lang w:val="en-US" w:eastAsia="zh-CN" w:bidi="ar-SA"/>
          <w14:textFill>
            <w14:solidFill>
              <w14:schemeClr w14:val="tx1"/>
            </w14:solidFill>
          </w14:textFill>
        </w:rPr>
        <w:t>根据中财绩【2024】174号文件的要求对照分析，我局2023年部门整体绩效自评得分89分，整体支出运行情况良好。本部门预算编制及时，预算执行率达到100%，预决算已在政府网站公开公示。“三公经费”预算批复6.5万元，决算支出2.96万元，较2022年决算下降1.56万元，下降34.56%。其中：公务用车运行批复的控制指标5万元，决算支出1.69万元，较2022年下降1.43万元，下降45.95%。公务接待批复的控制指标1.5万元，决算支出1.27万元，较2022年决算减少0.12万元，下降8.96%，进一步节能降耗。项目支出均实现了统筹规划、归口管理、规范运作，圆满完成了各项任务指标，</w:t>
      </w:r>
      <w:r>
        <w:rPr>
          <w:rFonts w:hint="eastAsia" w:ascii="仿宋" w:hAnsi="仿宋" w:eastAsia="仿宋" w:cs="仿宋"/>
          <w:color w:val="333333"/>
          <w:sz w:val="32"/>
          <w:szCs w:val="32"/>
        </w:rPr>
        <w:t>财政资金预算配置合理合规，预算执行严格有序，预算管理规范可控，资金效益合乎预期。</w:t>
      </w:r>
    </w:p>
    <w:p>
      <w:pPr>
        <w:pStyle w:val="5"/>
        <w:pageBreakBefore w:val="0"/>
        <w:numPr>
          <w:ilvl w:val="0"/>
          <w:numId w:val="2"/>
        </w:numPr>
        <w:kinsoku/>
        <w:wordWrap/>
        <w:overflowPunct/>
        <w:topLinePunct w:val="0"/>
        <w:autoSpaceDE/>
        <w:autoSpaceDN/>
        <w:bidi w:val="0"/>
        <w:jc w:val="both"/>
        <w:textAlignment w:val="auto"/>
        <w:rPr>
          <w:rFonts w:hint="eastAsia"/>
        </w:rPr>
      </w:pPr>
      <w:r>
        <w:rPr>
          <w:rFonts w:hint="eastAsia"/>
        </w:rPr>
        <w:t>部门整体支出绩效评价分析</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投入情况分析，包括预算编制、目标设定分析等；</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b w:val="0"/>
          <w:bCs w:val="0"/>
          <w:color w:val="FF0000"/>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eastAsia="zh-CN"/>
          <w14:textFill>
            <w14:solidFill>
              <w14:schemeClr w14:val="tx1"/>
            </w14:solidFill>
          </w14:textFill>
        </w:rPr>
        <w:t>年初预算</w:t>
      </w:r>
      <w:r>
        <w:rPr>
          <w:rFonts w:hint="eastAsia" w:ascii="仿宋" w:hAnsi="仿宋" w:eastAsia="仿宋" w:cs="仿宋"/>
          <w:color w:val="000000" w:themeColor="text1"/>
          <w:sz w:val="32"/>
          <w:szCs w:val="32"/>
          <w:lang w:val="en-US" w:eastAsia="zh-CN"/>
          <w14:textFill>
            <w14:solidFill>
              <w14:schemeClr w14:val="tx1"/>
            </w14:solidFill>
          </w14:textFill>
        </w:rPr>
        <w:t>2658.69万元</w:t>
      </w:r>
      <w:r>
        <w:rPr>
          <w:rFonts w:hint="eastAsia" w:ascii="仿宋" w:hAnsi="仿宋" w:eastAsia="仿宋" w:cs="仿宋"/>
          <w:b w:val="0"/>
          <w:bCs w:val="0"/>
          <w:color w:val="000000" w:themeColor="text1"/>
          <w:sz w:val="32"/>
          <w:szCs w:val="32"/>
          <w:lang w:val="en-US" w:eastAsia="zh-CN"/>
          <w14:textFill>
            <w14:solidFill>
              <w14:schemeClr w14:val="tx1"/>
            </w14:solidFill>
          </w14:textFill>
        </w:rPr>
        <w:t>。年初基本预算886.69万元，包括工资福利支出770.45万元、商品和服务支出75.6万元、对个人和家庭的补助支出40.64万元；年初项目预算1772万元，包括就业补助资金1762万元，基金监督专项工作经费10万元。在职人员控制率100%，三公经费预算总额严格控制在预算指标内，与上年相比减少3.9万元。目标设定符合国家法律法规、国民经济和社会发展总体规划，符合本单位“三定”方案确定的职责，符合本单位制定的中长期实施规划，预算配置科学合理。</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（二）执行管理情况分析，包括资金执行进度、调整情况、成本控制情况分析及项目完成进度情况等。</w:t>
      </w:r>
    </w:p>
    <w:p>
      <w:pPr>
        <w:pageBreakBefore w:val="0"/>
        <w:kinsoku/>
        <w:wordWrap/>
        <w:overflowPunct/>
        <w:topLinePunct w:val="0"/>
        <w:autoSpaceDE/>
        <w:autoSpaceDN/>
        <w:bidi w:val="0"/>
        <w:spacing w:after="0" w:line="560" w:lineRule="exact"/>
        <w:ind w:firstLine="640" w:firstLineChars="200"/>
        <w:jc w:val="both"/>
        <w:textAlignment w:val="auto"/>
        <w:rPr>
          <w:rFonts w:hint="default" w:eastAsia="仿宋"/>
          <w:color w:val="000000" w:themeColor="text1"/>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eastAsia="zh-CN"/>
          <w14:textFill>
            <w14:solidFill>
              <w14:schemeClr w14:val="tx1"/>
            </w14:solidFill>
          </w14:textFill>
        </w:rPr>
        <w:t>年初预算</w:t>
      </w:r>
      <w:r>
        <w:rPr>
          <w:rFonts w:hint="eastAsia" w:ascii="仿宋" w:hAnsi="仿宋" w:eastAsia="仿宋" w:cs="仿宋"/>
          <w:color w:val="000000" w:themeColor="text1"/>
          <w:sz w:val="32"/>
          <w:szCs w:val="32"/>
          <w:lang w:val="en-US" w:eastAsia="zh-CN"/>
          <w14:textFill>
            <w14:solidFill>
              <w14:schemeClr w14:val="tx1"/>
            </w14:solidFill>
          </w14:textFill>
        </w:rPr>
        <w:t>2658.69万元，年终预算执行1146.83万元，</w:t>
      </w:r>
      <w:r>
        <w:rPr>
          <w:rFonts w:hint="eastAsia" w:ascii="仿宋" w:hAnsi="仿宋" w:eastAsia="仿宋" w:cs="仿宋"/>
          <w:color w:val="000000" w:themeColor="text1"/>
          <w:sz w:val="32"/>
          <w:szCs w:val="32"/>
          <w14:textFill>
            <w14:solidFill>
              <w14:schemeClr w14:val="tx1"/>
            </w14:solidFill>
          </w14:textFill>
        </w:rPr>
        <w:t>预决算收入相差</w:t>
      </w:r>
      <w:r>
        <w:rPr>
          <w:rFonts w:hint="eastAsia" w:ascii="仿宋" w:hAnsi="仿宋" w:eastAsia="仿宋" w:cs="仿宋"/>
          <w:color w:val="000000" w:themeColor="text1"/>
          <w:sz w:val="32"/>
          <w:szCs w:val="32"/>
          <w:lang w:val="en-US" w:eastAsia="zh-CN"/>
          <w14:textFill>
            <w14:solidFill>
              <w14:schemeClr w14:val="tx1"/>
            </w14:solidFill>
          </w14:textFill>
        </w:rPr>
        <w:t>1511.86</w:t>
      </w:r>
      <w:r>
        <w:rPr>
          <w:rFonts w:hint="eastAsia" w:ascii="仿宋" w:hAnsi="仿宋" w:eastAsia="仿宋" w:cs="仿宋"/>
          <w:color w:val="000000" w:themeColor="text1"/>
          <w:sz w:val="32"/>
          <w:szCs w:val="32"/>
          <w14:textFill>
            <w14:solidFill>
              <w14:schemeClr w14:val="tx1"/>
            </w14:solidFill>
          </w14:textFill>
        </w:rPr>
        <w:t>万元</w:t>
      </w:r>
      <w:r>
        <w:rPr>
          <w:rFonts w:hint="eastAsia" w:ascii="仿宋" w:hAnsi="仿宋" w:eastAsia="仿宋" w:cs="仿宋"/>
          <w:color w:val="000000" w:themeColor="text1"/>
          <w:sz w:val="32"/>
          <w:szCs w:val="32"/>
          <w:lang w:eastAsia="zh-CN"/>
          <w14:textFill>
            <w14:solidFill>
              <w14:schemeClr w14:val="tx1"/>
            </w14:solidFill>
          </w14:textFill>
        </w:rPr>
        <w:t>，主要是今年就业补助专项资金支出不纳入决算，并且年中根据实际情况进行了其他特定类项目的预算增加。</w:t>
      </w:r>
      <w:r>
        <w:rPr>
          <w:rFonts w:hint="eastAsia" w:ascii="仿宋" w:hAnsi="仿宋" w:eastAsia="仿宋" w:cs="仿宋"/>
          <w:color w:val="000000" w:themeColor="text1"/>
          <w:sz w:val="32"/>
          <w:szCs w:val="32"/>
          <w:lang w:val="en-US" w:eastAsia="zh-CN"/>
          <w14:textFill>
            <w14:solidFill>
              <w14:schemeClr w14:val="tx1"/>
            </w14:solidFill>
          </w14:textFill>
        </w:rPr>
        <w:t>2023年度</w:t>
      </w:r>
      <w:r>
        <w:rPr>
          <w:rFonts w:hint="eastAsia" w:ascii="仿宋" w:hAnsi="仿宋" w:eastAsia="仿宋" w:cs="仿宋"/>
          <w:color w:val="000000" w:themeColor="text1"/>
          <w:sz w:val="32"/>
          <w:szCs w:val="32"/>
          <w14:textFill>
            <w14:solidFill>
              <w14:schemeClr w14:val="tx1"/>
            </w14:solidFill>
          </w14:textFill>
        </w:rPr>
        <w:t>一般公共预算财政拨款收入</w:t>
      </w:r>
      <w:r>
        <w:rPr>
          <w:rFonts w:hint="eastAsia" w:ascii="仿宋" w:hAnsi="仿宋" w:eastAsia="仿宋" w:cs="仿宋"/>
          <w:color w:val="000000" w:themeColor="text1"/>
          <w:sz w:val="32"/>
          <w:szCs w:val="32"/>
          <w:lang w:val="en-US" w:eastAsia="zh-CN"/>
          <w14:textFill>
            <w14:solidFill>
              <w14:schemeClr w14:val="tx1"/>
            </w14:solidFill>
          </w14:textFill>
        </w:rPr>
        <w:t>1146.18万元</w:t>
      </w:r>
      <w:r>
        <w:rPr>
          <w:rFonts w:hint="eastAsia" w:ascii="仿宋" w:hAnsi="仿宋" w:eastAsia="仿宋" w:cs="仿宋"/>
          <w:color w:val="000000" w:themeColor="text1"/>
          <w:sz w:val="32"/>
          <w:szCs w:val="32"/>
          <w14:textFill>
            <w14:solidFill>
              <w14:schemeClr w14:val="tx1"/>
            </w14:solidFill>
          </w14:textFill>
        </w:rPr>
        <w:t>占总收入的</w:t>
      </w:r>
      <w:r>
        <w:rPr>
          <w:rFonts w:hint="eastAsia" w:ascii="仿宋" w:hAnsi="仿宋" w:eastAsia="仿宋" w:cs="仿宋"/>
          <w:color w:val="000000" w:themeColor="text1"/>
          <w:sz w:val="32"/>
          <w:szCs w:val="32"/>
          <w:lang w:val="en-US" w:eastAsia="zh-CN"/>
          <w14:textFill>
            <w14:solidFill>
              <w14:schemeClr w14:val="tx1"/>
            </w14:solidFill>
          </w14:textFill>
        </w:rPr>
        <w:t>99.9</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其他收入</w:t>
      </w:r>
      <w:r>
        <w:rPr>
          <w:rFonts w:hint="eastAsia" w:ascii="仿宋" w:hAnsi="仿宋" w:eastAsia="仿宋" w:cs="仿宋"/>
          <w:color w:val="000000" w:themeColor="text1"/>
          <w:sz w:val="32"/>
          <w:szCs w:val="32"/>
          <w:lang w:val="en-US" w:eastAsia="zh-CN"/>
          <w14:textFill>
            <w14:solidFill>
              <w14:schemeClr w14:val="tx1"/>
            </w14:solidFill>
          </w14:textFill>
        </w:rPr>
        <w:t>0.65万元</w:t>
      </w:r>
      <w:r>
        <w:rPr>
          <w:rFonts w:hint="eastAsia" w:ascii="仿宋" w:hAnsi="仿宋" w:eastAsia="仿宋" w:cs="仿宋"/>
          <w:color w:val="000000" w:themeColor="text1"/>
          <w:sz w:val="32"/>
          <w:szCs w:val="32"/>
          <w:lang w:eastAsia="zh-CN"/>
          <w14:textFill>
            <w14:solidFill>
              <w14:schemeClr w14:val="tx1"/>
            </w14:solidFill>
          </w14:textFill>
        </w:rPr>
        <w:t>占总收入的</w:t>
      </w:r>
      <w:r>
        <w:rPr>
          <w:rFonts w:hint="eastAsia" w:ascii="仿宋" w:hAnsi="仿宋" w:eastAsia="仿宋" w:cs="仿宋"/>
          <w:color w:val="000000" w:themeColor="text1"/>
          <w:sz w:val="32"/>
          <w:szCs w:val="32"/>
          <w:lang w:val="en-US" w:eastAsia="zh-CN"/>
          <w14:textFill>
            <w14:solidFill>
              <w14:schemeClr w14:val="tx1"/>
            </w14:solidFill>
          </w14:textFill>
        </w:rPr>
        <w:t>0.1%，</w:t>
      </w:r>
      <w:r>
        <w:rPr>
          <w:rFonts w:hint="eastAsia" w:ascii="仿宋" w:hAnsi="仿宋" w:eastAsia="仿宋" w:cs="仿宋"/>
          <w:color w:val="000000" w:themeColor="text1"/>
          <w:sz w:val="32"/>
          <w:szCs w:val="32"/>
          <w:lang w:eastAsia="zh-CN"/>
          <w14:textFill>
            <w14:solidFill>
              <w14:schemeClr w14:val="tx1"/>
            </w14:solidFill>
          </w14:textFill>
        </w:rPr>
        <w:t>预算调整数与决算执行数一致，执行率</w:t>
      </w:r>
      <w:r>
        <w:rPr>
          <w:rFonts w:hint="eastAsia" w:ascii="仿宋" w:hAnsi="仿宋" w:eastAsia="仿宋" w:cs="仿宋"/>
          <w:color w:val="000000" w:themeColor="text1"/>
          <w:sz w:val="32"/>
          <w:szCs w:val="32"/>
          <w:lang w:val="en-US" w:eastAsia="zh-CN"/>
          <w14:textFill>
            <w14:solidFill>
              <w14:schemeClr w14:val="tx1"/>
            </w14:solidFill>
          </w14:textFill>
        </w:rPr>
        <w:t>100%。通过优化采购程序节约了采购成本，运行经费进一步减少，通过绩效评价本年度项目支出执行严格有序。从整体情况来看，我单位在各项资金使用和项目实施中，能够按照国家相关规定执行和实施，项目的管理、实施和效果均达到预期目标，管理较规范，实施进度快，最终效果好。</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（三）支出绩效情况分析，包括基本支出和项目支出的运行效果情况等。</w:t>
      </w:r>
    </w:p>
    <w:p>
      <w:pPr>
        <w:pageBreakBefore w:val="0"/>
        <w:kinsoku/>
        <w:wordWrap/>
        <w:overflowPunct/>
        <w:topLinePunct w:val="0"/>
        <w:autoSpaceDE/>
        <w:autoSpaceDN/>
        <w:bidi w:val="0"/>
        <w:spacing w:after="0"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1．收入支出结构分析。一般公共预算财政拨款收入1146.18万元占总收入的99.9%，其他收入0.65万元占总收入的0.1%。基本支出1015.59万元占总支出的88.56%，项目支出131.24万元占总支出的11.44%。</w:t>
      </w:r>
    </w:p>
    <w:p>
      <w:pPr>
        <w:pageBreakBefore w:val="0"/>
        <w:kinsoku/>
        <w:wordWrap/>
        <w:overflowPunct/>
        <w:topLinePunct w:val="0"/>
        <w:autoSpaceDE/>
        <w:autoSpaceDN/>
        <w:bidi w:val="0"/>
        <w:spacing w:after="0"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2.财政拨款收入、支出分析。2023年财政拨款收入1146.18万元、其他收入0.65万元。总支出1146.83万元，其中基本支出1015.59万元，包括人员经费980.24万元、公用经费35.35万元。项目支出131.24万元。</w:t>
      </w:r>
    </w:p>
    <w:p>
      <w:pPr>
        <w:pageBreakBefore w:val="0"/>
        <w:kinsoku/>
        <w:wordWrap/>
        <w:overflowPunct/>
        <w:topLinePunct w:val="0"/>
        <w:autoSpaceDE/>
        <w:autoSpaceDN/>
        <w:bidi w:val="0"/>
        <w:spacing w:after="0"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通过资金使用全面完成了上级交办的各项工作任务。</w:t>
      </w:r>
    </w:p>
    <w:p>
      <w:pPr>
        <w:pStyle w:val="5"/>
        <w:pageBreakBefore w:val="0"/>
        <w:kinsoku/>
        <w:wordWrap/>
        <w:overflowPunct/>
        <w:topLinePunct w:val="0"/>
        <w:autoSpaceDE/>
        <w:autoSpaceDN/>
        <w:bidi w:val="0"/>
        <w:jc w:val="both"/>
        <w:textAlignment w:val="auto"/>
        <w:rPr>
          <w:rFonts w:hint="eastAsia"/>
        </w:rPr>
      </w:pPr>
      <w:r>
        <w:rPr>
          <w:rFonts w:hint="eastAsia"/>
        </w:rPr>
        <w:t>四、存在的问题</w:t>
      </w:r>
    </w:p>
    <w:p>
      <w:pPr>
        <w:pStyle w:val="12"/>
        <w:pageBreakBefore w:val="0"/>
        <w:kinsoku/>
        <w:wordWrap/>
        <w:overflowPunct/>
        <w:topLinePunct w:val="0"/>
        <w:autoSpaceDE/>
        <w:autoSpaceDN/>
        <w:bidi w:val="0"/>
        <w:spacing w:before="0" w:after="0" w:line="560" w:lineRule="exact"/>
        <w:ind w:left="0" w:leftChars="0" w:firstLine="640" w:firstLineChars="200"/>
        <w:jc w:val="both"/>
        <w:textAlignment w:val="auto"/>
        <w:rPr>
          <w:rFonts w:hint="eastAsia" w:ascii="仿宋" w:hAnsi="仿宋" w:eastAsia="仿宋" w:cs="仿宋"/>
          <w:color w:val="000000" w:themeColor="text1"/>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bidi="ar-SA"/>
          <w14:textFill>
            <w14:solidFill>
              <w14:schemeClr w14:val="tx1"/>
            </w14:solidFill>
          </w14:textFill>
        </w:rPr>
        <w:t>1、预算绩效管理水平有待进一步提高。</w:t>
      </w:r>
    </w:p>
    <w:p>
      <w:pPr>
        <w:pStyle w:val="12"/>
        <w:pageBreakBefore w:val="0"/>
        <w:kinsoku/>
        <w:wordWrap/>
        <w:overflowPunct/>
        <w:topLinePunct w:val="0"/>
        <w:autoSpaceDE/>
        <w:autoSpaceDN/>
        <w:bidi w:val="0"/>
        <w:spacing w:before="0" w:after="0" w:line="560" w:lineRule="exact"/>
        <w:ind w:left="0" w:leftChars="0" w:firstLine="640" w:firstLineChars="200"/>
        <w:jc w:val="both"/>
        <w:textAlignment w:val="auto"/>
        <w:rPr>
          <w:rFonts w:hint="eastAsia" w:ascii="仿宋" w:hAnsi="仿宋" w:eastAsia="仿宋" w:cs="仿宋"/>
          <w:color w:val="000000" w:themeColor="text1"/>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bidi="ar-SA"/>
          <w14:textFill>
            <w14:solidFill>
              <w14:schemeClr w14:val="tx1"/>
            </w14:solidFill>
          </w14:textFill>
        </w:rPr>
        <w:t>2、政府采购预决算、部门整体支出基础数据表统计口径不明确。</w:t>
      </w:r>
    </w:p>
    <w:p>
      <w:pPr>
        <w:pStyle w:val="12"/>
        <w:pageBreakBefore w:val="0"/>
        <w:kinsoku/>
        <w:wordWrap/>
        <w:overflowPunct/>
        <w:topLinePunct w:val="0"/>
        <w:autoSpaceDE/>
        <w:autoSpaceDN/>
        <w:bidi w:val="0"/>
        <w:spacing w:before="0" w:after="0" w:line="560" w:lineRule="exact"/>
        <w:ind w:left="0" w:leftChars="0" w:firstLine="640" w:firstLineChars="200"/>
        <w:jc w:val="both"/>
        <w:textAlignment w:val="auto"/>
        <w:rPr>
          <w:rFonts w:hint="eastAsia" w:ascii="仿宋" w:hAnsi="仿宋" w:eastAsia="仿宋" w:cs="仿宋"/>
          <w:color w:val="000000" w:themeColor="text1"/>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bidi="ar-SA"/>
          <w14:textFill>
            <w14:solidFill>
              <w14:schemeClr w14:val="tx1"/>
            </w14:solidFill>
          </w14:textFill>
        </w:rPr>
        <w:t>3、全年预算支出不均衡，集中在下半年，尤其是年底支付。</w:t>
      </w:r>
    </w:p>
    <w:p>
      <w:pPr>
        <w:pStyle w:val="5"/>
        <w:pageBreakBefore w:val="0"/>
        <w:numPr>
          <w:ilvl w:val="0"/>
          <w:numId w:val="4"/>
        </w:numPr>
        <w:kinsoku/>
        <w:wordWrap/>
        <w:overflowPunct/>
        <w:topLinePunct w:val="0"/>
        <w:autoSpaceDE/>
        <w:autoSpaceDN/>
        <w:bidi w:val="0"/>
        <w:jc w:val="both"/>
        <w:textAlignment w:val="auto"/>
        <w:rPr>
          <w:rFonts w:hint="eastAsia"/>
        </w:rPr>
      </w:pPr>
      <w:r>
        <w:rPr>
          <w:rFonts w:hint="eastAsia"/>
        </w:rPr>
        <w:t>整改措施或建议</w:t>
      </w:r>
    </w:p>
    <w:p>
      <w:pPr>
        <w:pStyle w:val="12"/>
        <w:pageBreakBefore w:val="0"/>
        <w:kinsoku/>
        <w:wordWrap/>
        <w:overflowPunct/>
        <w:topLinePunct w:val="0"/>
        <w:autoSpaceDE/>
        <w:autoSpaceDN/>
        <w:bidi w:val="0"/>
        <w:spacing w:before="0" w:after="0" w:line="560" w:lineRule="exact"/>
        <w:ind w:left="0" w:leftChars="0" w:firstLine="640" w:firstLineChars="200"/>
        <w:jc w:val="both"/>
        <w:textAlignment w:val="auto"/>
        <w:rPr>
          <w:rFonts w:hint="default" w:ascii="仿宋" w:hAnsi="仿宋" w:eastAsia="仿宋" w:cs="仿宋"/>
          <w:color w:val="000000" w:themeColor="text1"/>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bidi="ar-SA"/>
          <w14:textFill>
            <w14:solidFill>
              <w14:schemeClr w14:val="tx1"/>
            </w14:solidFill>
          </w14:textFill>
        </w:rPr>
        <w:t>1、加强预算绩效管理知识学习，提升预算绩效管理水平。</w:t>
      </w:r>
    </w:p>
    <w:p>
      <w:pPr>
        <w:pStyle w:val="12"/>
        <w:pageBreakBefore w:val="0"/>
        <w:kinsoku/>
        <w:wordWrap/>
        <w:overflowPunct/>
        <w:topLinePunct w:val="0"/>
        <w:autoSpaceDE/>
        <w:autoSpaceDN/>
        <w:bidi w:val="0"/>
        <w:spacing w:before="0" w:after="0" w:line="560" w:lineRule="exact"/>
        <w:ind w:left="0" w:leftChars="0" w:firstLine="640" w:firstLineChars="200"/>
        <w:jc w:val="both"/>
        <w:textAlignment w:val="auto"/>
        <w:rPr>
          <w:rFonts w:hint="eastAsia" w:ascii="仿宋" w:hAnsi="仿宋" w:eastAsia="仿宋" w:cs="仿宋"/>
          <w:color w:val="000000" w:themeColor="text1"/>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bidi="ar-SA"/>
          <w14:textFill>
            <w14:solidFill>
              <w14:schemeClr w14:val="tx1"/>
            </w14:solidFill>
          </w14:textFill>
        </w:rPr>
        <w:t>2、进一步规范绩效目标编制。在编制项目资金绩效目标时，要求指向明确，细化量化、合理可行、相应匹配。以利于对工作的有效指导、过程的有效控制、结果的精确评价。</w:t>
      </w:r>
    </w:p>
    <w:p>
      <w:pPr>
        <w:pStyle w:val="12"/>
        <w:pageBreakBefore w:val="0"/>
        <w:kinsoku/>
        <w:wordWrap/>
        <w:overflowPunct/>
        <w:topLinePunct w:val="0"/>
        <w:autoSpaceDE/>
        <w:autoSpaceDN/>
        <w:bidi w:val="0"/>
        <w:spacing w:before="0" w:after="0" w:line="560" w:lineRule="exact"/>
        <w:ind w:left="0" w:leftChars="0" w:firstLine="640" w:firstLineChars="200"/>
        <w:jc w:val="both"/>
        <w:textAlignment w:val="auto"/>
        <w:rPr>
          <w:rFonts w:hint="eastAsia" w:ascii="仿宋" w:hAnsi="仿宋" w:eastAsia="仿宋" w:cs="仿宋"/>
          <w:color w:val="000000" w:themeColor="text1"/>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bidi="ar-SA"/>
          <w14:textFill>
            <w14:solidFill>
              <w14:schemeClr w14:val="tx1"/>
            </w14:solidFill>
          </w14:textFill>
        </w:rPr>
        <w:t>3、加快预算执行力度，强化预算约束。年初将预算尽量做细做实，年度中严格执行。</w:t>
      </w:r>
    </w:p>
    <w:p>
      <w:pPr>
        <w:pStyle w:val="5"/>
        <w:pageBreakBefore w:val="0"/>
        <w:numPr>
          <w:ilvl w:val="0"/>
          <w:numId w:val="0"/>
        </w:numPr>
        <w:kinsoku/>
        <w:wordWrap/>
        <w:overflowPunct/>
        <w:topLinePunct w:val="0"/>
        <w:autoSpaceDE/>
        <w:autoSpaceDN/>
        <w:bidi w:val="0"/>
        <w:ind w:firstLine="640" w:firstLineChars="200"/>
        <w:jc w:val="both"/>
        <w:textAlignment w:val="auto"/>
        <w:rPr>
          <w:rFonts w:hint="eastAsia"/>
        </w:rPr>
      </w:pPr>
      <w:r>
        <w:rPr>
          <w:rFonts w:hint="eastAsia"/>
          <w:lang w:eastAsia="zh-CN"/>
        </w:rPr>
        <w:t>六、</w:t>
      </w:r>
      <w:r>
        <w:rPr>
          <w:rFonts w:hint="eastAsia"/>
        </w:rPr>
        <w:t>其他需要说明的问题</w:t>
      </w:r>
    </w:p>
    <w:p>
      <w:pPr>
        <w:pStyle w:val="2"/>
        <w:pageBreakBefore w:val="0"/>
        <w:kinsoku/>
        <w:wordWrap/>
        <w:overflowPunct/>
        <w:topLinePunct w:val="0"/>
        <w:autoSpaceDE/>
        <w:autoSpaceDN/>
        <w:bidi w:val="0"/>
        <w:ind w:firstLine="1400" w:firstLineChars="500"/>
        <w:jc w:val="both"/>
        <w:textAlignment w:val="auto"/>
        <w:rPr>
          <w:rFonts w:hint="eastAsia" w:eastAsia="宋体"/>
          <w:lang w:eastAsia="zh-CN"/>
        </w:rPr>
        <w:sectPr>
          <w:footerReference r:id="rId3" w:type="default"/>
          <w:pgSz w:w="11906" w:h="16838"/>
          <w:pgMar w:top="1440" w:right="1800" w:bottom="1440" w:left="1800" w:header="708" w:footer="709" w:gutter="0"/>
          <w:pgNumType w:fmt="decimal"/>
          <w:cols w:space="0" w:num="1"/>
          <w:docGrid w:linePitch="360" w:charSpace="0"/>
        </w:sectPr>
      </w:pPr>
      <w:r>
        <w:rPr>
          <w:rFonts w:hint="eastAsia"/>
          <w:lang w:eastAsia="zh-CN"/>
        </w:rPr>
        <w:t>无</w:t>
      </w:r>
    </w:p>
    <w:p>
      <w:pPr>
        <w:spacing w:line="400" w:lineRule="exact"/>
        <w:rPr>
          <w:rFonts w:hint="default" w:ascii="黑体" w:hAnsi="仿宋_GB2312" w:eastAsia="黑体" w:cs="仿宋_GB2312"/>
          <w:sz w:val="22"/>
          <w:szCs w:val="22"/>
          <w:lang w:val="en-US" w:eastAsia="zh-CN"/>
        </w:rPr>
      </w:pPr>
      <w:r>
        <w:rPr>
          <w:rFonts w:hint="eastAsia" w:ascii="黑体" w:hAnsi="仿宋_GB2312" w:eastAsia="黑体" w:cs="仿宋_GB2312"/>
          <w:sz w:val="22"/>
          <w:szCs w:val="22"/>
          <w:lang w:eastAsia="zh-CN"/>
        </w:rPr>
        <w:t>附件</w:t>
      </w:r>
      <w:r>
        <w:rPr>
          <w:rFonts w:hint="eastAsia" w:ascii="黑体" w:hAnsi="仿宋_GB2312" w:eastAsia="黑体" w:cs="仿宋_GB2312"/>
          <w:sz w:val="22"/>
          <w:szCs w:val="22"/>
          <w:lang w:val="en-US" w:eastAsia="zh-CN"/>
        </w:rPr>
        <w:t>2</w:t>
      </w:r>
    </w:p>
    <w:p>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13"/>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b/>
                <w:bCs/>
                <w:kern w:val="2"/>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投入（15分）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投入（15分）</w:t>
            </w:r>
          </w:p>
        </w:tc>
        <w:tc>
          <w:tcPr>
            <w:tcW w:w="803" w:type="dxa"/>
            <w:vMerge w:val="restart"/>
            <w:tcBorders>
              <w:top w:val="single" w:color="000000" w:sz="4" w:space="0"/>
              <w:left w:val="single" w:color="000000" w:sz="4" w:space="0"/>
              <w:right w:val="single" w:color="000000" w:sz="4" w:space="0"/>
            </w:tcBorders>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目标设定</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（5分）</w:t>
            </w:r>
          </w:p>
        </w:tc>
        <w:tc>
          <w:tcPr>
            <w:tcW w:w="1182" w:type="dxa"/>
            <w:tcBorders>
              <w:top w:val="single" w:color="000000" w:sz="4" w:space="0"/>
              <w:left w:val="single" w:color="000000" w:sz="4" w:space="0"/>
              <w:bottom w:val="single" w:color="auto" w:sz="4" w:space="0"/>
              <w:right w:val="single" w:color="auto" w:sz="4" w:space="0"/>
            </w:tcBorders>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职责明确（1分）</w:t>
            </w:r>
          </w:p>
        </w:tc>
        <w:tc>
          <w:tcPr>
            <w:tcW w:w="6911" w:type="dxa"/>
            <w:tcBorders>
              <w:top w:val="single" w:color="000000"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不符合（0分）。</w:t>
            </w:r>
          </w:p>
        </w:tc>
        <w:tc>
          <w:tcPr>
            <w:tcW w:w="1090" w:type="dxa"/>
            <w:tcBorders>
              <w:top w:val="single" w:color="000000" w:sz="4" w:space="0"/>
              <w:left w:val="single" w:color="auto" w:sz="4" w:space="0"/>
              <w:bottom w:val="single" w:color="auto" w:sz="4" w:space="0"/>
              <w:right w:val="single" w:color="000000" w:sz="4" w:space="0"/>
            </w:tcBorders>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部门的活动是否在职责范围之内并符合部门中长期规划，用以反映和评价部门活动目标与部门履职、年度工作任务的相符性情况。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1.部门活动的设定在部门所确定的职责范围之内；</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部门所设立的活动是否明确合理、活动的关键性指标设置是否可衡量，用以反映和评价部门活动目标设定的合理性。</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1.活动目标的设定是可量化的，可通过清晰、可衡量的关键指标值予以体现；</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部门年度申报绩效目标项目资金额与部门项目预算资金总额的比率，用以反映部门落实财政部门绩效目标申报要求的资金覆盖情况。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部门编报整体绩效目标和申报项目绩效目标的数量超过规定的要求。用以反映和考核部门绩效目标管理创新工作情况。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部门本年度实际在职人员数与编制数的比率，用以反映和评价部门对人员成本的控制程度。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在职人员控制率=（在职人员数/编制数）×100%。</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在职人员数：部门实际在职人数，以财政部确定的部门决算编制口径为准，由编制部门和人劳部门批复同意的临聘人员除外。</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auto"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部门本年度“三公经费”预算数与上年度“三公经费”预算数的变动比率，用以反映和考核部门对控制重点行政成本的努力程度。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“三公经费”变动率=〔（本年度“三公经费”总额-上年度“三公经费”总额）/上年度“三公经费”总额〕×100%</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auto"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部门（单位）本年度预算安排的重点项目支出与部门项目总支出的比率，用以反映和考核部门（单位）对履行主要职责或完成重点任务的保障程度。重点支出安排率=（重点项目支出/项目总支出）×100%。</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重点项目支出：部门（单位）年度预算安排的，与本部门履职和发展密切相关、具有明显社会和经济影响、党委政府关心或社会比较关注的项目支出总额。具体由被评价部门提出后经对口部门预算管理处审核确定。</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kern w:val="2"/>
              </w:rPr>
              <w:t>过程(55分)</w:t>
            </w: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kern w:val="2"/>
              </w:rPr>
              <w:t>过程(55分)</w:t>
            </w: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kern w:val="2"/>
              </w:rPr>
              <w:t>过程(55分)</w:t>
            </w: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kern w:val="2"/>
              </w:rPr>
              <w:t>过程(55分)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通过对部门本年度预算完成数与预算数的比较，反映和评价部门预算的完成程度。</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目标值≥100%；</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达到目标值的得3分；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100%＞结果≥90%，得3分；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90%＞结果≥80%，得1分；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firstLine="220" w:firstLineChars="100"/>
              <w:rPr>
                <w:rFonts w:ascii="宋体" w:hAnsi="宋体" w:eastAsia="宋体" w:cs="宋体"/>
                <w:kern w:val="2"/>
              </w:rPr>
            </w:pPr>
            <w:r>
              <w:rPr>
                <w:rFonts w:hint="eastAsia" w:ascii="宋体" w:hAnsi="宋体" w:eastAsia="宋体" w:cs="宋体"/>
                <w:kern w:val="2"/>
                <w:lang w:val="en-US" w:eastAsia="zh-CN"/>
              </w:rPr>
              <w:t>3</w:t>
            </w:r>
            <w:r>
              <w:rPr>
                <w:rFonts w:hint="eastAsia" w:ascii="宋体" w:hAnsi="宋体" w:eastAsia="宋体" w:cs="宋体"/>
                <w:kern w:val="2"/>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部门本年度预算调整数与预算数的比率，用以反映和评价部门预算的调整程度。</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color w:val="000000"/>
                <w:kern w:val="2"/>
              </w:rPr>
              <w:t>支付进度率</w:t>
            </w:r>
            <w:r>
              <w:rPr>
                <w:rFonts w:hint="eastAsia" w:ascii="宋体" w:hAnsi="宋体" w:eastAsia="宋体" w:cs="宋体"/>
                <w:kern w:val="2"/>
              </w:rPr>
              <w:t>（6分）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部门年度支付数与年度预算（调整）数的比率，用以反映和评价部门预算执行的及时和均衡程度。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半年支付进度=部门上半年实际支出÷（上年结余结转+本年部门预算安排+上半年执行中追加追减）×100%</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半年进度：结果≥50%，得2分；50%＞结果≥40%，得1分；结果＜40%，得0分。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通过对部门本年度结转结余总额与支出预算数的比较，反映和评价部门对本年度结转结余资金的实际控制程度。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部门本年度结转结余资金总额与上年度结转结余资金总额的变动比率，用以反映和考核部门对控制结转结余资金的努力程度。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通过对部门本年度实际支出的公用经费总额与预算安排的公用经费总额的比率，反映和评价部门对机构运转成本的实际控制程度。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部门（单位）本年度“三公经费”实际支出数与预算安排数的比率，用以反映和考核部门（单位）对“三公经费”的实际控制程度。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通过对部门本年度实际政府采购预算项目个数与政府采购预算项目个数的比较，反映和评价部门政府采购预算执行情况。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政府采购执行率=（实际政府采购预算项目个数/政府采购预算项目个数）×100%。</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jc w:val="center"/>
              <w:rPr>
                <w:rFonts w:ascii="宋体" w:hAnsi="宋体" w:eastAsia="宋体" w:cs="宋体"/>
                <w:kern w:val="2"/>
              </w:rPr>
            </w:pPr>
            <w:r>
              <w:rPr>
                <w:rFonts w:hint="eastAsia" w:ascii="宋体" w:hAnsi="宋体" w:eastAsia="宋体" w:cs="宋体"/>
                <w:kern w:val="2"/>
              </w:rPr>
              <w:t>预算管理</w:t>
            </w:r>
          </w:p>
          <w:p>
            <w:pPr>
              <w:keepNext w:val="0"/>
              <w:keepLines w:val="0"/>
              <w:widowControl/>
              <w:suppressLineNumbers w:val="0"/>
              <w:spacing w:before="0" w:beforeAutospacing="0" w:after="0" w:afterAutospacing="0" w:line="68" w:lineRule="atLeast"/>
              <w:ind w:left="0" w:right="0"/>
              <w:jc w:val="center"/>
              <w:rPr>
                <w:rFonts w:ascii="宋体" w:hAnsi="宋体" w:eastAsia="宋体" w:cs="宋体"/>
                <w:kern w:val="2"/>
              </w:rPr>
            </w:pPr>
            <w:r>
              <w:rPr>
                <w:rFonts w:hint="eastAsia" w:ascii="宋体" w:hAnsi="宋体" w:eastAsia="宋体" w:cs="宋体"/>
                <w:kern w:val="2"/>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管理制度健全性</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部门为加强预算管理，规范财务行为而制定的管理制度是否健全完整，用以反映和考核部门预算管理制度对完成主要职责或促进事业发展的保障情况。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1．是否已制定或具有预算资金管理办法、内部财务管理制度、会计核算制度等管理制度；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2.相关管理制度是否合法、合规、完整；</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全部符合（2分）；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符合其中两项（1分）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240" w:lineRule="exac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资金使用合规性</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（9分）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部门使用预算资金是否符合相关的预算财务管理制度的规定，反映和评价部门预算资金的规范运行情况。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1.符合国家财经法规和财务管理制度规定以及有关部门资金管理办法的规定；</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2.资金的拨付有完整的审批过程和手续；</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3.项目的重大开支经过评估论证；</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4.符合部门预算批复的用途；</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5.不存在截留情况；6.不存在挤占情况；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全部符合（9分）；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符合其中七项（8分）；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符合其中六项（5分）；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符合其中五项（3分）；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部门是否按照政府信息公开有关规定公开相关预决算信息，用以反映和评价部门预决算管理的公开透明情况。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预决算信息是指与部门预算、执行、决算、监督、绩效等管理相关的信息。</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1.公开预决算信息；</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2.按规定内容公开预决算信息；</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全部符合（3分）；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符合其中两项（2分）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color w:val="000000"/>
                <w:kern w:val="2"/>
              </w:rPr>
            </w:pPr>
            <w:r>
              <w:rPr>
                <w:rFonts w:hint="eastAsia" w:ascii="宋体" w:hAnsi="宋体" w:eastAsia="宋体" w:cs="宋体"/>
                <w:color w:val="000000"/>
                <w:kern w:val="2"/>
              </w:rPr>
              <w:t>基础信息完善性</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（4分）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部门基础信息是否完善，用以反映和评价基础信息对预算管理工作的支撑情况。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1.基本财务管理制度健全；</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2.基础数据信息和会计信息资料真实；</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3.基础数据信息和会计信息资料完整；</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符合全部四项（4分）；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符合其中三项（2分）；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符合其中两项（1分）；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restart"/>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color w:val="000000"/>
                <w:kern w:val="2"/>
              </w:rPr>
            </w:pPr>
            <w:r>
              <w:rPr>
                <w:rFonts w:hint="eastAsia" w:ascii="宋体" w:hAnsi="宋体" w:eastAsia="宋体" w:cs="宋体"/>
                <w:color w:val="000000"/>
                <w:kern w:val="2"/>
              </w:rPr>
              <w:t>管理制度健全性</w:t>
            </w:r>
          </w:p>
          <w:p>
            <w:pPr>
              <w:keepNext w:val="0"/>
              <w:keepLines w:val="0"/>
              <w:widowControl/>
              <w:suppressLineNumbers w:val="0"/>
              <w:spacing w:before="0" w:beforeAutospacing="0" w:after="0" w:afterAutospacing="0" w:line="68" w:lineRule="atLeast"/>
              <w:ind w:left="0" w:right="0"/>
              <w:rPr>
                <w:rFonts w:ascii="宋体" w:hAnsi="宋体" w:eastAsia="宋体" w:cs="宋体"/>
                <w:color w:val="000000"/>
                <w:kern w:val="2"/>
              </w:rPr>
            </w:pPr>
            <w:r>
              <w:rPr>
                <w:rFonts w:hint="eastAsia" w:ascii="宋体" w:hAnsi="宋体" w:eastAsia="宋体" w:cs="宋体"/>
                <w:color w:val="000000"/>
                <w:kern w:val="2"/>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部门为加强资产管理、规范资产管理行为而制定的管理制度是否健全完整，用以反映和考核部门资产管理制度对完成主要职责或促进社会发展的保障情况。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1.是否已制定或具有资产管理制度；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2.相关资金管理制度是否合法、合规、完整；</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全部符合（2分）；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符合其中两项（1分）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1182" w:type="dxa"/>
            <w:tcBorders>
              <w:top w:val="single" w:color="auto"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资产管理完全性</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部门的资产是否保存完整、使用合规、收入及时足额上缴，用以反映和评价部门资产运行情况。</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1.资产保存完整；</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2.资产账务管理是否合规，帐实相符；</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符合全部三项（3分）；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符合其中两项（2分）；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符合其中一项（1分）；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auto"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固定资产利用率</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部门实际在用固定资产总额与所有固定资产总额的比率，用以反映和评价部门固定资产使用效率。</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r>
              <w:rPr>
                <w:rFonts w:hint="eastAsia" w:ascii="宋体" w:hAnsi="宋体" w:eastAsia="宋体" w:cs="宋体"/>
                <w:kern w:val="2"/>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部门（单位）纳入绩效监控的项目数量占实际申报绩效目标项目数量的比重，用以反映和考核部门（单位）在项目运行中实施绩效管理的水平和程度。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产出(15分)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产出(15分)</w:t>
            </w:r>
          </w:p>
        </w:tc>
        <w:tc>
          <w:tcPr>
            <w:tcW w:w="803"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部门履行职责而实际完成的项目数与计划完成的项目数的比率，用以反映和评价部门履职任务目标的实现程度。</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目标值为100%；</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达到目标值得4分；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100%＞结果≥95%，得3分；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95%＞结果≥90%，得2分；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90%＞结果≥85%，得1分；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部门已完成项目中质量达标项目个数占已完成项目个数的比率,用以反映和评价部门履职质量目标的实现程度。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项目质量达标率=（已完成项目中质量达标项目个数/已完成项目个数）×100%。</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部门年度重点工作实际完成数与交办或下达数的比率，用以反映部门对重点工作的办理落实程度。</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重点工作办结率=（重点工作实际完成数/交办或下达数）×100%。</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1182" w:type="dxa"/>
            <w:tcBorders>
              <w:top w:val="single" w:color="000000" w:sz="4" w:space="0"/>
              <w:left w:val="single" w:color="000000"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部门自评项目在所有项目中所占的份额，反映和评价部门对项目自评的重视程度。</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占比率=(自评项目资金量/项目支出资金量)×100%。</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效果（15）</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效果（15）</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监督发现问题</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部门存在违规问题的资金数量占部门预算支出资金总额的比重，用以反映和考核部门预算资金管理使用的合法、合规情况。</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eastAsia" w:ascii="宋体" w:hAnsi="宋体" w:eastAsia="宋体" w:cs="宋体"/>
                <w:kern w:val="2"/>
                <w:lang w:val="en-US" w:eastAsia="zh-CN"/>
              </w:rPr>
            </w:pPr>
            <w:r>
              <w:rPr>
                <w:rFonts w:hint="eastAsia" w:ascii="宋体" w:hAnsi="宋体" w:eastAsia="宋体" w:cs="宋体"/>
                <w:kern w:val="2"/>
              </w:rPr>
              <w:t> </w:t>
            </w:r>
            <w:r>
              <w:rPr>
                <w:rFonts w:hint="eastAsia" w:ascii="宋体" w:hAnsi="宋体" w:eastAsia="宋体" w:cs="宋体"/>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bCs/>
                <w:color w:val="000000"/>
                <w:kern w:val="2"/>
              </w:rPr>
              <w:t>部门预算绩效管理考核评价</w:t>
            </w:r>
            <w:r>
              <w:rPr>
                <w:rFonts w:hint="eastAsia" w:ascii="宋体" w:hAnsi="宋体" w:eastAsia="宋体" w:cs="宋体"/>
                <w:bCs/>
                <w:kern w:val="2"/>
              </w:rPr>
              <w:t>（5）</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color w:val="000000"/>
                <w:kern w:val="2"/>
              </w:rPr>
              <w:t>财政部门对部门开展预算绩效管理工作的评价结果，用以反映部门对预算绩效管理工作的重视程度和取得的成效。</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color w:val="000000"/>
                <w:kern w:val="2"/>
              </w:rPr>
              <w:t>1.财政部门对部门绩效管理工作开展情况进行核查评价，包括绩效目标管理、绩效执行监控、绩效自评和评价结果应用等情况，按百分制。</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color w:val="000000"/>
                <w:kern w:val="2"/>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color w:val="000000"/>
                <w:kern w:val="2"/>
              </w:rPr>
              <w:t>综合得分=（部门绩效管理工作评价结果/100）*5分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 </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评价结果应用</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部门应用绩效评价结果的项目数占绩效评价项目数的比重，用以反映和考核部门绩效评价结果的利用水平和程度。</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应用率=应用绩效评价结果的项目数量/部门实施绩效评价项目数量×100%。</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部门将绩效结果主动对外公开、预算绩效管理工作开展情况向同级政府、人大等部门报告，用以反映和考核部门在结果应用方面的创新情况。</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评价要点：</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1.部门是否按要求对社会公开绩效评价结果。</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全部符合（1分）；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符合其中两项（0.5分）</w:t>
            </w:r>
          </w:p>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ascii="宋体" w:hAnsi="宋体" w:eastAsia="宋体" w:cs="宋体"/>
                <w:kern w:val="2"/>
              </w:rPr>
            </w:pPr>
            <w:r>
              <w:rPr>
                <w:rFonts w:hint="eastAsia" w:ascii="宋体" w:hAnsi="宋体" w:eastAsia="宋体" w:cs="宋体"/>
                <w:kern w:val="2"/>
              </w:rPr>
              <w:t>按照满意度调查的优秀、良好、合格、不合格给予该项指标打分：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r>
              <w:rPr>
                <w:rFonts w:hint="eastAsia" w:ascii="宋体" w:hAnsi="宋体" w:eastAsia="宋体" w:cs="宋体"/>
                <w:kern w:val="2"/>
              </w:rPr>
              <w:t>小计</w:t>
            </w: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100</w:t>
            </w: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6911"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3423"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hint="default" w:ascii="宋体" w:hAnsi="宋体" w:eastAsia="宋体" w:cs="宋体"/>
                <w:kern w:val="2"/>
                <w:lang w:val="en-US" w:eastAsia="zh-CN"/>
              </w:rPr>
            </w:pPr>
            <w:r>
              <w:rPr>
                <w:rFonts w:hint="eastAsia" w:ascii="宋体" w:hAnsi="宋体" w:eastAsia="宋体" w:cs="宋体"/>
                <w:kern w:val="2"/>
                <w:lang w:val="en-US" w:eastAsia="zh-CN"/>
              </w:rPr>
              <w:t xml:space="preserve">  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rPr>
                <w:rFonts w:ascii="宋体" w:hAnsi="宋体" w:eastAsia="宋体" w:cs="宋体"/>
                <w:kern w:val="2"/>
              </w:rPr>
            </w:pPr>
            <w:r>
              <w:rPr>
                <w:rFonts w:hint="eastAsia" w:ascii="宋体" w:hAnsi="宋体" w:eastAsia="宋体" w:cs="宋体"/>
                <w:kern w:val="2"/>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1182"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 xml:space="preserve">□优秀  90分≤得分≤100分； </w:t>
            </w:r>
            <w:r>
              <w:rPr>
                <w:rFonts w:hint="eastAsia" w:ascii="宋体" w:hAnsi="宋体" w:eastAsia="宋体" w:cs="宋体"/>
                <w:kern w:val="2"/>
              </w:rPr>
              <w:sym w:font="Wingdings 2" w:char="0052"/>
            </w:r>
            <w:r>
              <w:rPr>
                <w:rFonts w:hint="eastAsia" w:ascii="宋体" w:hAnsi="宋体" w:eastAsia="宋体" w:cs="宋体"/>
                <w:kern w:val="2"/>
              </w:rPr>
              <w:t>良好  80分≤得分≤89分；</w:t>
            </w:r>
          </w:p>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r>
              <w:rPr>
                <w:rFonts w:hint="eastAsia" w:ascii="宋体" w:hAnsi="宋体" w:eastAsia="宋体" w:cs="宋体"/>
                <w:kern w:val="2"/>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68" w:lineRule="atLeast"/>
              <w:ind w:left="0" w:right="0"/>
              <w:rPr>
                <w:rFonts w:ascii="宋体" w:hAnsi="宋体" w:eastAsia="宋体" w:cs="宋体"/>
                <w:kern w:val="2"/>
              </w:rPr>
            </w:pPr>
          </w:p>
        </w:tc>
      </w:tr>
    </w:tbl>
    <w:p>
      <w:pPr>
        <w:spacing w:line="432" w:lineRule="auto"/>
      </w:pPr>
    </w:p>
    <w:p>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pPr>
        <w:spacing w:after="0" w:line="400" w:lineRule="exact"/>
        <w:jc w:val="center"/>
        <w:rPr>
          <w:rFonts w:ascii="方正小标宋简体" w:hAnsi="Times New Roman" w:eastAsia="方正小标宋简体"/>
          <w:sz w:val="44"/>
          <w:szCs w:val="44"/>
        </w:rPr>
      </w:pPr>
    </w:p>
    <w:p>
      <w:pPr>
        <w:rPr>
          <w:rFonts w:ascii="宋体" w:hAnsi="宋体" w:eastAsia="宋体" w:cs="宋体"/>
          <w:sz w:val="24"/>
          <w:szCs w:val="24"/>
        </w:rPr>
      </w:pPr>
      <w:r>
        <w:rPr>
          <w:rFonts w:hint="eastAsia" w:ascii="宋体" w:hAnsi="宋体" w:eastAsia="宋体" w:cs="宋体"/>
          <w:sz w:val="24"/>
          <w:szCs w:val="24"/>
        </w:rPr>
        <w:t>单位：                                                                                        年      月       日</w:t>
      </w:r>
    </w:p>
    <w:tbl>
      <w:tblPr>
        <w:tblStyle w:val="13"/>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0" w:line="500" w:lineRule="exact"/>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2383" w:type="dxa"/>
            <w:vAlign w:val="center"/>
          </w:tcPr>
          <w:p>
            <w:pPr>
              <w:spacing w:after="0" w:line="500" w:lineRule="exact"/>
              <w:jc w:val="center"/>
              <w:rPr>
                <w:rFonts w:hint="eastAsia" w:ascii="宋体" w:hAnsi="宋体" w:eastAsia="宋体" w:cs="宋体"/>
                <w:lang w:val="en-US" w:eastAsia="zh-CN"/>
              </w:rPr>
            </w:pPr>
            <w:r>
              <w:rPr>
                <w:rFonts w:hint="eastAsia" w:ascii="宋体" w:hAnsi="宋体" w:eastAsia="宋体" w:cs="宋体"/>
                <w:lang w:val="en-US" w:eastAsia="zh-CN"/>
              </w:rPr>
              <w:t>人社局部门整体绩效</w:t>
            </w:r>
          </w:p>
        </w:tc>
        <w:tc>
          <w:tcPr>
            <w:tcW w:w="3507" w:type="dxa"/>
            <w:vAlign w:val="center"/>
          </w:tcPr>
          <w:p>
            <w:pPr>
              <w:spacing w:after="0" w:line="500" w:lineRule="exact"/>
              <w:rPr>
                <w:rFonts w:ascii="宋体" w:hAnsi="宋体" w:eastAsia="宋体" w:cs="宋体"/>
              </w:rPr>
            </w:pPr>
            <w:r>
              <w:rPr>
                <w:rFonts w:hint="eastAsia" w:ascii="宋体" w:hAnsi="宋体" w:eastAsia="宋体" w:cs="宋体"/>
              </w:rPr>
              <w:t xml:space="preserve">本机关、单位制发  </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u w:val="single"/>
              </w:rPr>
            </w:pPr>
            <w:r>
              <w:rPr>
                <w:rFonts w:hint="eastAsia" w:ascii="宋体" w:hAnsi="宋体" w:eastAsia="宋体" w:cs="宋体"/>
                <w:u w:val="single"/>
              </w:rPr>
              <w:t xml:space="preserve">                           </w:t>
            </w: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jc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0" w:line="500" w:lineRule="exact"/>
              <w:jc w:val="center"/>
              <w:rPr>
                <w:rFonts w:ascii="宋体" w:hAnsi="宋体" w:eastAsia="宋体" w:cs="宋体"/>
              </w:rPr>
            </w:pPr>
          </w:p>
        </w:tc>
        <w:tc>
          <w:tcPr>
            <w:tcW w:w="2383" w:type="dxa"/>
            <w:vAlign w:val="center"/>
          </w:tcPr>
          <w:p>
            <w:pPr>
              <w:spacing w:after="0" w:line="500" w:lineRule="exact"/>
              <w:jc w:val="center"/>
              <w:rPr>
                <w:rFonts w:ascii="宋体" w:hAnsi="宋体" w:eastAsia="宋体" w:cs="宋体"/>
              </w:rPr>
            </w:pPr>
          </w:p>
        </w:tc>
        <w:tc>
          <w:tcPr>
            <w:tcW w:w="3507" w:type="dxa"/>
            <w:vAlign w:val="center"/>
          </w:tcPr>
          <w:p>
            <w:pPr>
              <w:spacing w:after="0" w:line="500" w:lineRule="exact"/>
              <w:rPr>
                <w:rFonts w:ascii="宋体" w:hAnsi="宋体" w:eastAsia="宋体" w:cs="宋体"/>
              </w:rPr>
            </w:pPr>
            <w:r>
              <w:rPr>
                <w:rFonts w:hint="eastAsia" w:ascii="宋体" w:hAnsi="宋体" w:eastAsia="宋体" w:cs="宋体"/>
              </w:rPr>
              <w:t>本机关、单位制发  □</w:t>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rPr>
            </w:pPr>
            <w:r>
              <w:rPr>
                <w:rFonts w:hint="eastAsia" w:ascii="宋体" w:hAnsi="宋体" w:eastAsia="宋体" w:cs="宋体"/>
                <w:u w:val="single"/>
              </w:rPr>
              <w:t xml:space="preserve">                            </w:t>
            </w: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依申请公开        □</w:t>
            </w:r>
          </w:p>
          <w:p>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jc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pPr>
              <w:spacing w:after="0" w:line="500" w:lineRule="exact"/>
              <w:rPr>
                <w:rFonts w:ascii="宋体" w:hAnsi="宋体" w:eastAsia="宋体" w:cs="宋体"/>
              </w:rPr>
            </w:pPr>
            <w:r>
              <w:rPr>
                <w:rFonts w:hint="eastAsia" w:ascii="宋体" w:hAnsi="宋体" w:eastAsia="宋体" w:cs="宋体"/>
              </w:rPr>
              <w:t>（签字）</w:t>
            </w:r>
          </w:p>
        </w:tc>
      </w:tr>
    </w:tbl>
    <w:p>
      <w:pPr>
        <w:spacing w:after="0" w:line="400" w:lineRule="exact"/>
        <w:ind w:firstLine="440" w:firstLineChars="200"/>
        <w:rPr>
          <w:rFonts w:ascii="宋体" w:hAnsi="宋体" w:eastAsia="宋体" w:cs="宋体"/>
        </w:rPr>
      </w:pPr>
    </w:p>
    <w:p>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p>
      <w:pPr>
        <w:rPr>
          <w:rFonts w:hint="eastAsia" w:ascii="宋体" w:hAnsi="宋体" w:eastAsia="宋体" w:cs="宋体"/>
        </w:rPr>
        <w:sectPr>
          <w:pgSz w:w="16838" w:h="11906" w:orient="landscape"/>
          <w:pgMar w:top="1587" w:right="1587" w:bottom="1587" w:left="1587" w:header="708" w:footer="709" w:gutter="0"/>
          <w:pgNumType w:fmt="decimal"/>
          <w:cols w:space="0" w:num="1"/>
          <w:docGrid w:linePitch="360" w:charSpace="0"/>
        </w:sectPr>
      </w:pPr>
      <w:r>
        <w:rPr>
          <w:rFonts w:hint="eastAsia" w:ascii="宋体" w:hAnsi="宋体" w:eastAsia="宋体" w:cs="宋体"/>
        </w:rPr>
        <w:br w:type="page"/>
      </w:r>
    </w:p>
    <w:p>
      <w:pPr>
        <w:keepNext w:val="0"/>
        <w:keepLines w:val="0"/>
        <w:pageBreakBefore w:val="0"/>
        <w:widowControl/>
        <w:kinsoku/>
        <w:wordWrap/>
        <w:overflowPunct/>
        <w:topLinePunct w:val="0"/>
        <w:autoSpaceDE/>
        <w:autoSpaceDN/>
        <w:bidi w:val="0"/>
        <w:adjustRightInd w:val="0"/>
        <w:snapToGrid w:val="0"/>
        <w:spacing w:after="0" w:line="560" w:lineRule="exact"/>
        <w:ind w:right="-328" w:rightChars="-149"/>
        <w:jc w:val="both"/>
        <w:textAlignment w:val="auto"/>
        <w:rPr>
          <w:rFonts w:hint="eastAsia" w:ascii="宋体" w:hAnsi="宋体" w:eastAsia="宋体" w:cs="宋体"/>
        </w:rPr>
      </w:pPr>
    </w:p>
    <w:sectPr>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 w:name="等线 Light">
    <w:altName w:val="永中仿宋"/>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Wingdings 2">
    <w:altName w:val="Standard Symbols PS"/>
    <w:panose1 w:val="05020102010507070707"/>
    <w:charset w:val="02"/>
    <w:family w:val="roman"/>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永中仿宋">
    <w:panose1 w:val="02010600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wrap="none" lIns="0" tIns="0" rIns="0" bIns="0" upright="false">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ZgoZa0AQAAUgMAAA4AAABkcnMv&#10;ZTJvRG9jLnhtbK1TzWobMRC+F/IOQvdYawe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LnJ7+hBr&#10;zHoKmJeGaz80NMFGjqGI/ix8UGDzFyURTMFe7079lUMiAp3T+Ww+rzAkMDZesAR7/T1ATHfSW5KN&#10;hgIOsPSVb7/EdEgdU3I152+1MWWIxv3jQMzsYZn+gWO20rAajppWvt2hpB5n31CHy0mJuXfY2rwm&#10;owGjsRqNTQC97pCa4ibm4XCEv9okJFL45SoH6GNxHFxReFyyvBl/30vW61NY/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dmChlrQBAABSAwAADgAAAAAAAAABACAAAAA0AQAAZHJzL2Uyb0Rv&#10;Yy54bWxQSwUGAAAAAAYABgBZAQAAWgUAAAAA&#10;">
              <v:fill on="f" focussize="0,0"/>
              <v:stroke on="f"/>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fill on="f" focussize="0,0"/>
              <v:stroke on="f"/>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313747"/>
    <w:multiLevelType w:val="singleLevel"/>
    <w:tmpl w:val="A9313747"/>
    <w:lvl w:ilvl="0" w:tentative="0">
      <w:start w:val="3"/>
      <w:numFmt w:val="chineseCounting"/>
      <w:suff w:val="nothing"/>
      <w:lvlText w:val="%1、"/>
      <w:lvlJc w:val="left"/>
      <w:rPr>
        <w:rFonts w:hint="eastAsia"/>
      </w:rPr>
    </w:lvl>
  </w:abstractNum>
  <w:abstractNum w:abstractNumId="1">
    <w:nsid w:val="C39309CA"/>
    <w:multiLevelType w:val="singleLevel"/>
    <w:tmpl w:val="C39309CA"/>
    <w:lvl w:ilvl="0" w:tentative="0">
      <w:start w:val="2"/>
      <w:numFmt w:val="chineseCounting"/>
      <w:suff w:val="nothing"/>
      <w:lvlText w:val="（%1）"/>
      <w:lvlJc w:val="left"/>
      <w:rPr>
        <w:rFonts w:hint="eastAsia"/>
      </w:rPr>
    </w:lvl>
  </w:abstractNum>
  <w:abstractNum w:abstractNumId="2">
    <w:nsid w:val="3F259E74"/>
    <w:multiLevelType w:val="singleLevel"/>
    <w:tmpl w:val="3F259E74"/>
    <w:lvl w:ilvl="0" w:tentative="0">
      <w:start w:val="1"/>
      <w:numFmt w:val="chineseCounting"/>
      <w:suff w:val="nothing"/>
      <w:lvlText w:val="（%1）"/>
      <w:lvlJc w:val="left"/>
      <w:rPr>
        <w:rFonts w:hint="eastAsia"/>
      </w:rPr>
    </w:lvl>
  </w:abstractNum>
  <w:abstractNum w:abstractNumId="3">
    <w:nsid w:val="6772DC3C"/>
    <w:multiLevelType w:val="singleLevel"/>
    <w:tmpl w:val="6772DC3C"/>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true"/>
  <w:bordersDoNotSurroundFooter w:val="true"/>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xZDMzZjU0NGQ0ZmEzNjU5NzE5MTkyYzhlYjJhMzA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A7D0C"/>
    <w:rsid w:val="00AF7382"/>
    <w:rsid w:val="00C04908"/>
    <w:rsid w:val="00CF5F8D"/>
    <w:rsid w:val="00D019E4"/>
    <w:rsid w:val="00D31D50"/>
    <w:rsid w:val="00E34B3B"/>
    <w:rsid w:val="00EA7D7A"/>
    <w:rsid w:val="00EB4495"/>
    <w:rsid w:val="00FA17E4"/>
    <w:rsid w:val="010D6B75"/>
    <w:rsid w:val="01972837"/>
    <w:rsid w:val="02225F9F"/>
    <w:rsid w:val="033A1D2B"/>
    <w:rsid w:val="03550139"/>
    <w:rsid w:val="03DA7441"/>
    <w:rsid w:val="047E2115"/>
    <w:rsid w:val="04CC3CDA"/>
    <w:rsid w:val="05BB4517"/>
    <w:rsid w:val="061411B6"/>
    <w:rsid w:val="06616317"/>
    <w:rsid w:val="078F1117"/>
    <w:rsid w:val="081C1BA7"/>
    <w:rsid w:val="08AC6A74"/>
    <w:rsid w:val="0968167E"/>
    <w:rsid w:val="09E813E1"/>
    <w:rsid w:val="0A26538C"/>
    <w:rsid w:val="0A50522F"/>
    <w:rsid w:val="0C9349D4"/>
    <w:rsid w:val="0D0920F3"/>
    <w:rsid w:val="0F192EEF"/>
    <w:rsid w:val="0FE4195A"/>
    <w:rsid w:val="109755EA"/>
    <w:rsid w:val="10BB784F"/>
    <w:rsid w:val="10C06BBF"/>
    <w:rsid w:val="11972B36"/>
    <w:rsid w:val="11C62AFD"/>
    <w:rsid w:val="121835B9"/>
    <w:rsid w:val="125D38B0"/>
    <w:rsid w:val="12855F2D"/>
    <w:rsid w:val="14903B58"/>
    <w:rsid w:val="14B57287"/>
    <w:rsid w:val="15B10408"/>
    <w:rsid w:val="15C84EE6"/>
    <w:rsid w:val="18787932"/>
    <w:rsid w:val="188B6ECE"/>
    <w:rsid w:val="19360FEA"/>
    <w:rsid w:val="199B2BC3"/>
    <w:rsid w:val="1A0E42EC"/>
    <w:rsid w:val="1A292D82"/>
    <w:rsid w:val="1AFA485A"/>
    <w:rsid w:val="1BA576B1"/>
    <w:rsid w:val="1BEC77CD"/>
    <w:rsid w:val="1C4F7811"/>
    <w:rsid w:val="1DC76363"/>
    <w:rsid w:val="1E0D06CB"/>
    <w:rsid w:val="1E6366E9"/>
    <w:rsid w:val="1E926D9A"/>
    <w:rsid w:val="1EE10A22"/>
    <w:rsid w:val="1EFB5B80"/>
    <w:rsid w:val="1F8919D6"/>
    <w:rsid w:val="1FA85DBF"/>
    <w:rsid w:val="1FF57DF9"/>
    <w:rsid w:val="211C4D76"/>
    <w:rsid w:val="21425C4E"/>
    <w:rsid w:val="22153E45"/>
    <w:rsid w:val="24964849"/>
    <w:rsid w:val="24B14FF2"/>
    <w:rsid w:val="253F5B68"/>
    <w:rsid w:val="27A15B23"/>
    <w:rsid w:val="27AF54E0"/>
    <w:rsid w:val="28336A06"/>
    <w:rsid w:val="283F0101"/>
    <w:rsid w:val="2876451C"/>
    <w:rsid w:val="29932CBF"/>
    <w:rsid w:val="2B410A44"/>
    <w:rsid w:val="2B504404"/>
    <w:rsid w:val="2B7D4B05"/>
    <w:rsid w:val="2C627F71"/>
    <w:rsid w:val="2CBF70FF"/>
    <w:rsid w:val="2E1E6E55"/>
    <w:rsid w:val="2F1A6C8E"/>
    <w:rsid w:val="2F697944"/>
    <w:rsid w:val="2FB93755"/>
    <w:rsid w:val="2FE82F8D"/>
    <w:rsid w:val="308C4979"/>
    <w:rsid w:val="31B75BA5"/>
    <w:rsid w:val="32332E03"/>
    <w:rsid w:val="335F7B31"/>
    <w:rsid w:val="350C5A51"/>
    <w:rsid w:val="352E3900"/>
    <w:rsid w:val="37393E6D"/>
    <w:rsid w:val="377A02E9"/>
    <w:rsid w:val="38406066"/>
    <w:rsid w:val="3A4E55A6"/>
    <w:rsid w:val="3A593159"/>
    <w:rsid w:val="3A9F783C"/>
    <w:rsid w:val="3ABE1B29"/>
    <w:rsid w:val="3B26754E"/>
    <w:rsid w:val="3C53606E"/>
    <w:rsid w:val="3C851525"/>
    <w:rsid w:val="3C983D24"/>
    <w:rsid w:val="3DD93B14"/>
    <w:rsid w:val="3ECC3BDF"/>
    <w:rsid w:val="3EEF0073"/>
    <w:rsid w:val="3F2533F6"/>
    <w:rsid w:val="3F887E09"/>
    <w:rsid w:val="3FFC25C9"/>
    <w:rsid w:val="404C4862"/>
    <w:rsid w:val="40FE4130"/>
    <w:rsid w:val="417D7802"/>
    <w:rsid w:val="42576EB2"/>
    <w:rsid w:val="42BB7663"/>
    <w:rsid w:val="42BC44FA"/>
    <w:rsid w:val="43090301"/>
    <w:rsid w:val="43B802BF"/>
    <w:rsid w:val="482D3307"/>
    <w:rsid w:val="482E79F6"/>
    <w:rsid w:val="48D923E5"/>
    <w:rsid w:val="48F5152D"/>
    <w:rsid w:val="49EF333E"/>
    <w:rsid w:val="49EF3EF5"/>
    <w:rsid w:val="4A4D7699"/>
    <w:rsid w:val="4B92367B"/>
    <w:rsid w:val="4C2E4B10"/>
    <w:rsid w:val="4C35078B"/>
    <w:rsid w:val="4C461844"/>
    <w:rsid w:val="4C847914"/>
    <w:rsid w:val="4CE01FA6"/>
    <w:rsid w:val="4CEC5E2B"/>
    <w:rsid w:val="4D685689"/>
    <w:rsid w:val="4DF06083"/>
    <w:rsid w:val="4E5A50BB"/>
    <w:rsid w:val="4E6B1A2A"/>
    <w:rsid w:val="4E834801"/>
    <w:rsid w:val="4F001E37"/>
    <w:rsid w:val="4F815739"/>
    <w:rsid w:val="4FC02318"/>
    <w:rsid w:val="50322995"/>
    <w:rsid w:val="526B70BF"/>
    <w:rsid w:val="54B322BC"/>
    <w:rsid w:val="54CA72E7"/>
    <w:rsid w:val="56BE0749"/>
    <w:rsid w:val="56CE5079"/>
    <w:rsid w:val="5721121C"/>
    <w:rsid w:val="57C6376F"/>
    <w:rsid w:val="57D9667D"/>
    <w:rsid w:val="57DC50EC"/>
    <w:rsid w:val="586F29A1"/>
    <w:rsid w:val="58AE663A"/>
    <w:rsid w:val="58ED6EF8"/>
    <w:rsid w:val="59C51631"/>
    <w:rsid w:val="5A7F3B40"/>
    <w:rsid w:val="5AAC46EF"/>
    <w:rsid w:val="5AD323A4"/>
    <w:rsid w:val="5AFD3965"/>
    <w:rsid w:val="5B796420"/>
    <w:rsid w:val="5B9A56E9"/>
    <w:rsid w:val="5BFDC158"/>
    <w:rsid w:val="5C3D4584"/>
    <w:rsid w:val="5D572E42"/>
    <w:rsid w:val="5ED74E21"/>
    <w:rsid w:val="5F120F08"/>
    <w:rsid w:val="5F153A8D"/>
    <w:rsid w:val="5F952C60"/>
    <w:rsid w:val="5FBD0848"/>
    <w:rsid w:val="62580D02"/>
    <w:rsid w:val="63A54498"/>
    <w:rsid w:val="63C31D1C"/>
    <w:rsid w:val="63E34AC3"/>
    <w:rsid w:val="66F0431A"/>
    <w:rsid w:val="67BA5D1E"/>
    <w:rsid w:val="6970123C"/>
    <w:rsid w:val="6BA204F9"/>
    <w:rsid w:val="6BEA7678"/>
    <w:rsid w:val="6BEC7865"/>
    <w:rsid w:val="6D1920F6"/>
    <w:rsid w:val="6D2A0A99"/>
    <w:rsid w:val="6DF041CE"/>
    <w:rsid w:val="6FA47A8A"/>
    <w:rsid w:val="6FB64E02"/>
    <w:rsid w:val="70AC6CA6"/>
    <w:rsid w:val="712F68E9"/>
    <w:rsid w:val="73856647"/>
    <w:rsid w:val="73975214"/>
    <w:rsid w:val="73C04E9D"/>
    <w:rsid w:val="73E019C6"/>
    <w:rsid w:val="73FF602A"/>
    <w:rsid w:val="767E206F"/>
    <w:rsid w:val="768B79D3"/>
    <w:rsid w:val="768F0540"/>
    <w:rsid w:val="769A6DF0"/>
    <w:rsid w:val="775B40AC"/>
    <w:rsid w:val="776E1AC8"/>
    <w:rsid w:val="782009BC"/>
    <w:rsid w:val="78831864"/>
    <w:rsid w:val="78F70298"/>
    <w:rsid w:val="79A429DF"/>
    <w:rsid w:val="7A252900"/>
    <w:rsid w:val="7A9B6F69"/>
    <w:rsid w:val="7B6273C9"/>
    <w:rsid w:val="7B755FE6"/>
    <w:rsid w:val="7BBF4D73"/>
    <w:rsid w:val="7C8C7339"/>
    <w:rsid w:val="7D4D12B5"/>
    <w:rsid w:val="7DB810CB"/>
    <w:rsid w:val="7DF072D4"/>
    <w:rsid w:val="7E1038B0"/>
    <w:rsid w:val="7E70BBB6"/>
    <w:rsid w:val="7ECA7A78"/>
    <w:rsid w:val="7ECE3FBA"/>
    <w:rsid w:val="9FA1D259"/>
    <w:rsid w:val="F7FE8F36"/>
    <w:rsid w:val="FFCBA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4">
    <w:name w:val="heading 2"/>
    <w:basedOn w:val="1"/>
    <w:next w:val="1"/>
    <w:qFormat/>
    <w:uiPriority w:val="9"/>
    <w:pPr>
      <w:keepNext/>
      <w:keepLines/>
      <w:ind w:firstLine="200" w:firstLineChars="200"/>
      <w:outlineLvl w:val="1"/>
    </w:pPr>
    <w:rPr>
      <w:rFonts w:ascii="等线 Light" w:hAnsi="等线 Light" w:cs="Times New Roman"/>
      <w:b/>
      <w:bCs/>
      <w:sz w:val="28"/>
      <w:szCs w:val="32"/>
    </w:rPr>
  </w:style>
  <w:style w:type="paragraph" w:styleId="5">
    <w:name w:val="heading 3"/>
    <w:basedOn w:val="1"/>
    <w:next w:val="1"/>
    <w:link w:val="21"/>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样式 文字 + 首行缩进:  2 字符3"/>
    <w:basedOn w:val="1"/>
    <w:qFormat/>
    <w:uiPriority w:val="0"/>
    <w:pPr>
      <w:spacing w:line="360" w:lineRule="auto"/>
      <w:jc w:val="left"/>
    </w:pPr>
    <w:rPr>
      <w:rFonts w:ascii="Times New Roman" w:hAnsi="Times New Roman" w:eastAsia="宋体" w:cs="Times New Roman"/>
      <w:sz w:val="28"/>
      <w:szCs w:val="28"/>
    </w:rPr>
  </w:style>
  <w:style w:type="paragraph" w:styleId="6">
    <w:name w:val="Body Text"/>
    <w:basedOn w:val="1"/>
    <w:qFormat/>
    <w:uiPriority w:val="0"/>
    <w:pPr>
      <w:jc w:val="center"/>
    </w:pPr>
    <w:rPr>
      <w:rFonts w:eastAsia="黑体"/>
      <w:sz w:val="44"/>
      <w:szCs w:val="44"/>
    </w:rPr>
  </w:style>
  <w:style w:type="paragraph" w:styleId="7">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8">
    <w:name w:val="footer"/>
    <w:basedOn w:val="1"/>
    <w:link w:val="18"/>
    <w:semiHidden/>
    <w:unhideWhenUsed/>
    <w:qFormat/>
    <w:uiPriority w:val="99"/>
    <w:pPr>
      <w:tabs>
        <w:tab w:val="center" w:pos="4153"/>
        <w:tab w:val="right" w:pos="8306"/>
      </w:tabs>
    </w:pPr>
    <w:rPr>
      <w:sz w:val="18"/>
      <w:szCs w:val="18"/>
    </w:rPr>
  </w:style>
  <w:style w:type="paragraph" w:styleId="9">
    <w:name w:val="header"/>
    <w:basedOn w:val="1"/>
    <w:link w:val="17"/>
    <w:semiHidden/>
    <w:unhideWhenUsed/>
    <w:qFormat/>
    <w:uiPriority w:val="99"/>
    <w:pPr>
      <w:pBdr>
        <w:bottom w:val="single" w:color="auto" w:sz="6" w:space="1"/>
      </w:pBdr>
      <w:tabs>
        <w:tab w:val="center" w:pos="4153"/>
        <w:tab w:val="right" w:pos="8306"/>
      </w:tabs>
      <w:jc w:val="center"/>
    </w:pPr>
    <w:rPr>
      <w:sz w:val="18"/>
      <w:szCs w:val="18"/>
    </w:rPr>
  </w:style>
  <w:style w:type="paragraph" w:styleId="10">
    <w:name w:val="toc 1"/>
    <w:basedOn w:val="1"/>
    <w:next w:val="1"/>
    <w:qFormat/>
    <w:uiPriority w:val="0"/>
    <w:pPr>
      <w:widowControl w:val="0"/>
      <w:jc w:val="both"/>
    </w:pPr>
    <w:rPr>
      <w:rFonts w:ascii="Calibri" w:hAnsi="Calibri" w:eastAsia="宋体" w:cs="Times New Roman"/>
      <w:kern w:val="2"/>
      <w:sz w:val="21"/>
      <w:szCs w:val="24"/>
      <w:lang w:val="en-US" w:eastAsia="zh-CN" w:bidi="ar-SA"/>
    </w:rPr>
  </w:style>
  <w:style w:type="paragraph" w:styleId="11">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2">
    <w:name w:val="Body Text First Indent 2"/>
    <w:basedOn w:val="7"/>
    <w:qFormat/>
    <w:uiPriority w:val="0"/>
    <w:pPr>
      <w:autoSpaceDE w:val="0"/>
      <w:autoSpaceDN w:val="0"/>
      <w:adjustRightInd w:val="0"/>
      <w:spacing w:after="0"/>
      <w:ind w:firstLine="420"/>
      <w:jc w:val="left"/>
    </w:pPr>
    <w:rPr>
      <w:rFonts w:ascii="Calibri" w:hAnsi="Calibri"/>
    </w:rPr>
  </w:style>
  <w:style w:type="character" w:styleId="15">
    <w:name w:val="page number"/>
    <w:basedOn w:val="14"/>
    <w:qFormat/>
    <w:uiPriority w:val="0"/>
  </w:style>
  <w:style w:type="character" w:styleId="16">
    <w:name w:val="Hyperlink"/>
    <w:basedOn w:val="14"/>
    <w:semiHidden/>
    <w:unhideWhenUsed/>
    <w:qFormat/>
    <w:uiPriority w:val="99"/>
    <w:rPr>
      <w:color w:val="333333"/>
      <w:u w:val="none"/>
    </w:rPr>
  </w:style>
  <w:style w:type="character" w:customStyle="1" w:styleId="17">
    <w:name w:val="页眉 Char"/>
    <w:basedOn w:val="14"/>
    <w:link w:val="9"/>
    <w:semiHidden/>
    <w:qFormat/>
    <w:uiPriority w:val="99"/>
    <w:rPr>
      <w:rFonts w:ascii="Tahoma" w:hAnsi="Tahoma"/>
      <w:sz w:val="18"/>
      <w:szCs w:val="18"/>
    </w:rPr>
  </w:style>
  <w:style w:type="character" w:customStyle="1" w:styleId="18">
    <w:name w:val="页脚 Char"/>
    <w:basedOn w:val="14"/>
    <w:link w:val="8"/>
    <w:semiHidden/>
    <w:qFormat/>
    <w:uiPriority w:val="99"/>
    <w:rPr>
      <w:rFonts w:ascii="Tahoma" w:hAnsi="Tahoma"/>
      <w:sz w:val="18"/>
      <w:szCs w:val="18"/>
    </w:rPr>
  </w:style>
  <w:style w:type="character" w:customStyle="1" w:styleId="19">
    <w:name w:val="NormalCharacter"/>
    <w:qFormat/>
    <w:uiPriority w:val="0"/>
  </w:style>
  <w:style w:type="paragraph" w:customStyle="1" w:styleId="20">
    <w:name w:val="正文文本1"/>
    <w:basedOn w:val="1"/>
    <w:qFormat/>
    <w:uiPriority w:val="0"/>
  </w:style>
  <w:style w:type="character" w:customStyle="1" w:styleId="21">
    <w:name w:val="标题 3 字符"/>
    <w:link w:val="5"/>
    <w:qFormat/>
    <w:uiPriority w:val="9"/>
    <w:rPr>
      <w:rFonts w:hint="eastAsia" w:ascii="宋体" w:hAnsi="宋体" w:eastAsia="黑体" w:cs="宋体"/>
      <w:bCs/>
      <w:snapToGrid w:val="0"/>
      <w:color w:val="000000"/>
      <w:kern w:val="2"/>
      <w:sz w:val="32"/>
      <w:szCs w:val="27"/>
      <w:lang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7981</Words>
  <Characters>8309</Characters>
  <Lines>66</Lines>
  <Paragraphs>18</Paragraphs>
  <TotalTime>2</TotalTime>
  <ScaleCrop>false</ScaleCrop>
  <LinksUpToDate>false</LinksUpToDate>
  <CharactersWithSpaces>8621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2008-09-13T17:20:00Z</dcterms:created>
  <dc:creator>Administrator</dc:creator>
  <cp:lastModifiedBy>thtf</cp:lastModifiedBy>
  <cp:lastPrinted>2024-08-01T09:19:00Z</cp:lastPrinted>
  <dcterms:modified xsi:type="dcterms:W3CDTF">2024-08-20T09:46:28Z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7080D7ECA65A4F1A9EEACB6D12C2DBA7_13</vt:lpwstr>
  </property>
</Properties>
</file>