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spacing w:line="510" w:lineRule="exact"/>
        <w:jc w:val="center"/>
        <w:rPr>
          <w:rFonts w:hint="eastAsia" w:ascii="Times New Roman" w:hAnsi="Times New Roman" w:eastAsia="黑体"/>
          <w:sz w:val="44"/>
          <w:szCs w:val="44"/>
          <w:lang w:val="en-US" w:eastAsia="zh-CN"/>
        </w:rPr>
      </w:pPr>
      <w:r>
        <w:rPr>
          <w:rFonts w:hint="eastAsia" w:ascii="Times New Roman" w:hAnsi="Times New Roman" w:eastAsia="黑体"/>
          <w:sz w:val="44"/>
          <w:szCs w:val="44"/>
          <w:lang w:eastAsia="zh-CN"/>
        </w:rPr>
        <w:t>中方县城市管理和综合执法局2023年</w:t>
      </w:r>
      <w:r>
        <w:rPr>
          <w:rFonts w:hint="eastAsia" w:ascii="Times New Roman" w:hAnsi="Times New Roman" w:eastAsia="黑体"/>
          <w:sz w:val="44"/>
          <w:szCs w:val="44"/>
          <w:lang w:val="en-US" w:eastAsia="zh-CN"/>
        </w:rPr>
        <w:t>度</w:t>
      </w:r>
    </w:p>
    <w:p>
      <w:pPr>
        <w:pStyle w:val="10"/>
        <w:spacing w:line="510" w:lineRule="exact"/>
        <w:jc w:val="center"/>
        <w:rPr>
          <w:rFonts w:ascii="Times New Roman" w:hAnsi="Times New Roman" w:eastAsia="黑体"/>
          <w:sz w:val="44"/>
          <w:szCs w:val="44"/>
        </w:rPr>
      </w:pPr>
      <w:r>
        <w:rPr>
          <w:rFonts w:hint="eastAsia" w:ascii="Times New Roman" w:hAnsi="Times New Roman" w:eastAsia="黑体"/>
          <w:sz w:val="44"/>
          <w:szCs w:val="44"/>
          <w:lang w:eastAsia="zh-CN"/>
        </w:rPr>
        <w:t>中方县城区生活垃圾分类</w:t>
      </w:r>
      <w:r>
        <w:rPr>
          <w:rFonts w:hint="eastAsia" w:ascii="Times New Roman" w:hAnsi="Times New Roman" w:eastAsia="黑体"/>
          <w:sz w:val="44"/>
          <w:szCs w:val="44"/>
          <w:lang w:val="en-US" w:eastAsia="zh-CN"/>
        </w:rPr>
        <w:t>项</w:t>
      </w:r>
      <w:r>
        <w:rPr>
          <w:rFonts w:hint="eastAsia" w:ascii="Times New Roman" w:hAnsi="Times New Roman" w:eastAsia="黑体"/>
          <w:sz w:val="44"/>
          <w:szCs w:val="44"/>
          <w:lang w:eastAsia="zh-CN"/>
        </w:rPr>
        <w:t>目</w:t>
      </w:r>
      <w:r>
        <w:rPr>
          <w:rFonts w:ascii="Times New Roman" w:hAnsi="Times New Roman" w:eastAsia="黑体"/>
          <w:sz w:val="44"/>
          <w:szCs w:val="44"/>
        </w:rPr>
        <w:t>支出绩效</w:t>
      </w:r>
    </w:p>
    <w:p>
      <w:pPr>
        <w:pStyle w:val="10"/>
        <w:spacing w:line="510" w:lineRule="exact"/>
        <w:jc w:val="center"/>
        <w:rPr>
          <w:rFonts w:ascii="Times New Roman" w:hAnsi="Times New Roman" w:eastAsia="楷体"/>
          <w:b/>
          <w:sz w:val="32"/>
          <w:szCs w:val="32"/>
        </w:rPr>
      </w:pPr>
      <w:r>
        <w:rPr>
          <w:rFonts w:hint="eastAsia" w:ascii="Times New Roman" w:hAnsi="Times New Roman" w:eastAsia="黑体"/>
          <w:sz w:val="44"/>
          <w:szCs w:val="44"/>
          <w:lang w:eastAsia="zh-CN"/>
        </w:rPr>
        <w:t>自评</w:t>
      </w:r>
      <w:r>
        <w:rPr>
          <w:rFonts w:ascii="Times New Roman" w:hAnsi="Times New Roman" w:eastAsia="黑体"/>
          <w:sz w:val="44"/>
          <w:szCs w:val="44"/>
        </w:rPr>
        <w:t>报告</w:t>
      </w:r>
    </w:p>
    <w:p>
      <w:pPr>
        <w:pStyle w:val="10"/>
        <w:spacing w:line="510" w:lineRule="exact"/>
        <w:ind w:firstLine="643" w:firstLineChars="200"/>
        <w:rPr>
          <w:rFonts w:ascii="Times New Roman" w:hAnsi="Times New Roman" w:eastAsia="楷体"/>
          <w:b/>
          <w:sz w:val="32"/>
          <w:szCs w:val="32"/>
        </w:rPr>
      </w:pPr>
      <w:r>
        <w:rPr>
          <w:rFonts w:ascii="Times New Roman" w:hAnsi="Times New Roman" w:eastAsia="楷体"/>
          <w:b/>
          <w:sz w:val="32"/>
          <w:szCs w:val="32"/>
        </w:rPr>
        <w:t>一、基本情况</w:t>
      </w:r>
    </w:p>
    <w:p>
      <w:pPr>
        <w:spacing w:line="500" w:lineRule="exact"/>
        <w:ind w:firstLine="660"/>
        <w:rPr>
          <w:rFonts w:ascii="Times New Roman" w:hAnsi="Times New Roman" w:eastAsia="仿宋"/>
          <w:sz w:val="32"/>
          <w:szCs w:val="32"/>
        </w:rPr>
      </w:pPr>
      <w:r>
        <w:rPr>
          <w:rFonts w:ascii="Times New Roman" w:hAnsi="Times New Roman" w:eastAsia="仿宋"/>
          <w:sz w:val="32"/>
          <w:szCs w:val="32"/>
        </w:rPr>
        <w:t>（一）项目概况。</w:t>
      </w:r>
    </w:p>
    <w:p>
      <w:pPr>
        <w:spacing w:line="500" w:lineRule="exact"/>
        <w:ind w:firstLine="660"/>
        <w:rPr>
          <w:rFonts w:hint="eastAsia" w:ascii="Times New Roman" w:hAnsi="Times New Roman" w:eastAsia="仿宋"/>
          <w:sz w:val="32"/>
          <w:szCs w:val="32"/>
          <w:lang w:eastAsia="zh-CN"/>
        </w:rPr>
      </w:pPr>
      <w:r>
        <w:rPr>
          <w:rFonts w:hint="eastAsia" w:ascii="仿宋" w:hAnsi="仿宋" w:eastAsia="仿宋" w:cs="仿宋"/>
          <w:b/>
          <w:kern w:val="0"/>
          <w:sz w:val="32"/>
          <w:szCs w:val="32"/>
          <w:lang w:val="en-US" w:eastAsia="zh-CN"/>
        </w:rPr>
        <w:t>1.</w:t>
      </w:r>
      <w:r>
        <w:rPr>
          <w:rFonts w:ascii="Times New Roman" w:hAnsi="Times New Roman" w:eastAsia="仿宋"/>
          <w:sz w:val="32"/>
          <w:szCs w:val="32"/>
        </w:rPr>
        <w:t>项目背景</w:t>
      </w:r>
      <w:r>
        <w:rPr>
          <w:rFonts w:hint="eastAsia" w:ascii="Times New Roman" w:hAnsi="Times New Roman" w:eastAsia="仿宋"/>
          <w:sz w:val="32"/>
          <w:szCs w:val="32"/>
          <w:lang w:eastAsia="zh-CN"/>
        </w:rPr>
        <w:t>：</w:t>
      </w:r>
      <w:r>
        <w:rPr>
          <w:rFonts w:ascii="Times New Roman" w:hAnsi="仿宋" w:eastAsia="仿宋" w:cs="Times New Roman"/>
          <w:sz w:val="32"/>
          <w:szCs w:val="32"/>
        </w:rPr>
        <w:t>根据《</w:t>
      </w:r>
      <w:r>
        <w:rPr>
          <w:rFonts w:hint="eastAsia" w:ascii="Times New Roman" w:hAnsi="仿宋" w:eastAsia="仿宋" w:cs="Times New Roman"/>
          <w:sz w:val="32"/>
          <w:szCs w:val="32"/>
          <w:lang w:eastAsia="zh-CN"/>
        </w:rPr>
        <w:t>怀化市</w:t>
      </w:r>
      <w:r>
        <w:rPr>
          <w:rFonts w:ascii="Times New Roman" w:hAnsi="仿宋" w:eastAsia="仿宋" w:cs="Times New Roman"/>
          <w:sz w:val="32"/>
          <w:szCs w:val="32"/>
        </w:rPr>
        <w:t>城市生活垃圾分类工作实施方案》（怀政办函</w:t>
      </w:r>
      <w:r>
        <w:rPr>
          <w:rFonts w:ascii="Times New Roman" w:hAnsi="微软雅黑" w:eastAsia="微软雅黑" w:cs="Times New Roman"/>
          <w:color w:val="333333"/>
          <w:sz w:val="32"/>
          <w:szCs w:val="32"/>
          <w:shd w:val="clear" w:color="auto" w:fill="FFFFFF"/>
        </w:rPr>
        <w:t>〔</w:t>
      </w:r>
      <w:r>
        <w:rPr>
          <w:rFonts w:ascii="Times New Roman" w:hAnsi="Times New Roman" w:eastAsia="微软雅黑" w:cs="Times New Roman"/>
          <w:color w:val="333333"/>
          <w:sz w:val="32"/>
          <w:szCs w:val="32"/>
          <w:shd w:val="clear" w:color="auto" w:fill="FFFFFF"/>
        </w:rPr>
        <w:t>2020</w:t>
      </w:r>
      <w:r>
        <w:rPr>
          <w:rFonts w:ascii="Times New Roman" w:hAnsi="微软雅黑" w:eastAsia="微软雅黑" w:cs="Times New Roman"/>
          <w:color w:val="333333"/>
          <w:sz w:val="32"/>
          <w:szCs w:val="32"/>
          <w:shd w:val="clear" w:color="auto" w:fill="FFFFFF"/>
        </w:rPr>
        <w:t>〕</w:t>
      </w:r>
      <w:r>
        <w:rPr>
          <w:rFonts w:ascii="Times New Roman" w:hAnsi="Times New Roman" w:eastAsia="微软雅黑" w:cs="Times New Roman"/>
          <w:color w:val="333333"/>
          <w:sz w:val="32"/>
          <w:szCs w:val="32"/>
          <w:shd w:val="clear" w:color="auto" w:fill="FFFFFF"/>
        </w:rPr>
        <w:t>41</w:t>
      </w:r>
      <w:r>
        <w:rPr>
          <w:rFonts w:ascii="Times New Roman" w:hAnsi="仿宋" w:eastAsia="仿宋" w:cs="Times New Roman"/>
          <w:sz w:val="32"/>
          <w:szCs w:val="32"/>
        </w:rPr>
        <w:t>号）文件精神及县委县政府工作安排</w:t>
      </w:r>
      <w:r>
        <w:rPr>
          <w:rFonts w:hint="eastAsia" w:ascii="Times New Roman" w:hAnsi="Times New Roman" w:eastAsia="仿宋"/>
          <w:sz w:val="32"/>
          <w:szCs w:val="32"/>
          <w:lang w:eastAsia="zh-CN"/>
        </w:rPr>
        <w:t>。</w:t>
      </w:r>
    </w:p>
    <w:p>
      <w:pPr>
        <w:pStyle w:val="10"/>
        <w:spacing w:line="510" w:lineRule="exact"/>
        <w:ind w:firstLine="640" w:firstLineChars="200"/>
        <w:rPr>
          <w:rFonts w:hint="eastAsia" w:ascii="仿宋" w:hAnsi="仿宋" w:eastAsia="仿宋" w:cs="仿宋"/>
          <w:color w:val="auto"/>
          <w:sz w:val="32"/>
          <w:szCs w:val="32"/>
          <w:lang w:val="en-US" w:eastAsia="zh-CN"/>
        </w:rPr>
      </w:pPr>
      <w:r>
        <w:rPr>
          <w:rFonts w:hint="eastAsia" w:ascii="Times New Roman" w:hAnsi="Times New Roman" w:eastAsia="仿宋"/>
          <w:sz w:val="32"/>
          <w:szCs w:val="32"/>
          <w:lang w:val="en-US" w:eastAsia="zh-CN"/>
        </w:rPr>
        <w:t>2.</w:t>
      </w:r>
      <w:r>
        <w:rPr>
          <w:rFonts w:ascii="Times New Roman" w:hAnsi="Times New Roman" w:eastAsia="仿宋"/>
          <w:sz w:val="32"/>
          <w:szCs w:val="32"/>
        </w:rPr>
        <w:t>主要内容及实施情况</w:t>
      </w:r>
      <w:r>
        <w:rPr>
          <w:rFonts w:hint="eastAsia" w:ascii="Times New Roman" w:hAnsi="Times New Roman" w:eastAsia="仿宋"/>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pacing w:line="700" w:lineRule="exact"/>
        <w:ind w:firstLine="640" w:firstLineChars="200"/>
        <w:jc w:val="left"/>
        <w:textAlignment w:val="auto"/>
        <w:rPr>
          <w:rFonts w:hint="eastAsia" w:ascii="Times New Roman" w:hAnsi="仿宋" w:eastAsia="仿宋" w:cs="Times New Roman"/>
          <w:sz w:val="32"/>
          <w:szCs w:val="32"/>
          <w:lang w:val="en-US" w:eastAsia="zh-CN"/>
        </w:rPr>
      </w:pPr>
      <w:r>
        <w:rPr>
          <w:rFonts w:hint="eastAsia" w:ascii="Times New Roman" w:hAnsi="仿宋" w:eastAsia="仿宋" w:cs="Times New Roman"/>
          <w:sz w:val="32"/>
          <w:szCs w:val="32"/>
          <w:lang w:val="en-US" w:eastAsia="zh-CN"/>
        </w:rPr>
        <w:t>中方县垃圾分办按照“在巩固已建成的示范小区、示范社区成果的基础上，今年再成功创建2个示范社区”的年度目标，在大力推进城市垃圾分类方面主要开展了以下工作。</w:t>
      </w:r>
    </w:p>
    <w:p>
      <w:pPr>
        <w:keepNext w:val="0"/>
        <w:keepLines w:val="0"/>
        <w:pageBreakBefore w:val="0"/>
        <w:widowControl w:val="0"/>
        <w:numPr>
          <w:ilvl w:val="0"/>
          <w:numId w:val="0"/>
        </w:numPr>
        <w:kinsoku/>
        <w:wordWrap/>
        <w:overflowPunct/>
        <w:topLinePunct w:val="0"/>
        <w:autoSpaceDE/>
        <w:autoSpaceDN/>
        <w:bidi w:val="0"/>
        <w:adjustRightInd/>
        <w:spacing w:line="700" w:lineRule="exact"/>
        <w:ind w:firstLine="643"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一是注重顶层设计，实施高位推进。</w:t>
      </w:r>
      <w:r>
        <w:rPr>
          <w:rFonts w:hint="eastAsia" w:ascii="仿宋" w:hAnsi="仿宋" w:eastAsia="仿宋" w:cs="仿宋"/>
          <w:sz w:val="32"/>
          <w:szCs w:val="32"/>
          <w:lang w:val="en-US" w:eastAsia="zh-CN"/>
        </w:rPr>
        <w:t>中方县</w:t>
      </w:r>
      <w:r>
        <w:rPr>
          <w:rFonts w:ascii="Times New Roman" w:hAnsi="仿宋" w:eastAsia="仿宋" w:cs="Times New Roman"/>
          <w:sz w:val="32"/>
          <w:szCs w:val="32"/>
        </w:rPr>
        <w:t>成立中方县城市生活垃圾分类工作领导小组，由县人民政府县长任组长，县人民政府常务副县长任常务副组长，县人民政府分管城市管理工作副县长任副组长</w:t>
      </w:r>
      <w:r>
        <w:rPr>
          <w:rFonts w:hint="eastAsia" w:ascii="Times New Roman" w:hAnsi="仿宋" w:eastAsia="仿宋" w:cs="Times New Roman"/>
          <w:sz w:val="32"/>
          <w:szCs w:val="32"/>
          <w:lang w:eastAsia="zh-CN"/>
        </w:rPr>
        <w:t>。中方县垃分办注重顶层设计，</w:t>
      </w:r>
      <w:r>
        <w:rPr>
          <w:rFonts w:hint="eastAsia" w:ascii="Times New Roman" w:hAnsi="仿宋" w:eastAsia="仿宋" w:cs="Times New Roman"/>
          <w:sz w:val="32"/>
          <w:szCs w:val="32"/>
          <w:lang w:val="en-US" w:eastAsia="zh-CN"/>
        </w:rPr>
        <w:t>29个县</w:t>
      </w:r>
      <w:r>
        <w:rPr>
          <w:rFonts w:hint="eastAsia" w:ascii="Times New Roman" w:hAnsi="仿宋" w:eastAsia="仿宋" w:cs="Times New Roman"/>
          <w:sz w:val="32"/>
          <w:szCs w:val="32"/>
          <w:lang w:eastAsia="zh-CN"/>
        </w:rPr>
        <w:t>直部门和中方镇人民政府为成员单位，明确了领导小组成员单位职责和责任分工，列出生活垃圾分类场所（单位）清单，以规范性文件形式统一下发至各责任单位和成员单位。制定出台了《中方县公共机构生活垃圾分类工作考核办法》《中方县城市生活垃圾分类示范小区考核评估细则》等文件，将垃圾分类工作纳入全县的绩效考评范围，实行每季一考评，每季一通报，确保了垃圾分类工作高质高效运行。</w:t>
      </w:r>
    </w:p>
    <w:p>
      <w:pPr>
        <w:keepNext w:val="0"/>
        <w:keepLines w:val="0"/>
        <w:pageBreakBefore w:val="0"/>
        <w:widowControl w:val="0"/>
        <w:numPr>
          <w:ilvl w:val="0"/>
          <w:numId w:val="0"/>
        </w:numPr>
        <w:kinsoku/>
        <w:wordWrap/>
        <w:overflowPunct/>
        <w:topLinePunct w:val="0"/>
        <w:autoSpaceDE/>
        <w:autoSpaceDN/>
        <w:bidi w:val="0"/>
        <w:adjustRightInd/>
        <w:spacing w:line="700" w:lineRule="exact"/>
        <w:ind w:firstLine="643" w:firstLineChars="200"/>
        <w:jc w:val="left"/>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二是完善设施建设，形成闭环处理。</w:t>
      </w:r>
    </w:p>
    <w:p>
      <w:pPr>
        <w:keepNext w:val="0"/>
        <w:keepLines w:val="0"/>
        <w:pageBreakBefore w:val="0"/>
        <w:widowControl w:val="0"/>
        <w:numPr>
          <w:ilvl w:val="0"/>
          <w:numId w:val="0"/>
        </w:numPr>
        <w:kinsoku/>
        <w:wordWrap/>
        <w:overflowPunct/>
        <w:topLinePunct w:val="0"/>
        <w:autoSpaceDE/>
        <w:autoSpaceDN/>
        <w:bidi w:val="0"/>
        <w:adjustRightInd/>
        <w:spacing w:line="700" w:lineRule="exact"/>
        <w:ind w:left="640" w:leftChars="0"/>
        <w:jc w:val="lef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1.其他垃圾分类设施的建设和处理。</w:t>
      </w:r>
    </w:p>
    <w:p>
      <w:pPr>
        <w:keepNext w:val="0"/>
        <w:keepLines w:val="0"/>
        <w:pageBreakBefore w:val="0"/>
        <w:widowControl w:val="0"/>
        <w:numPr>
          <w:ilvl w:val="0"/>
          <w:numId w:val="0"/>
        </w:numPr>
        <w:kinsoku/>
        <w:wordWrap/>
        <w:overflowPunct/>
        <w:topLinePunct w:val="0"/>
        <w:autoSpaceDE/>
        <w:autoSpaceDN/>
        <w:bidi w:val="0"/>
        <w:adjustRightInd/>
        <w:spacing w:line="700" w:lineRule="exact"/>
        <w:ind w:firstLine="640" w:firstLineChars="200"/>
        <w:jc w:val="left"/>
        <w:textAlignment w:val="auto"/>
        <w:rPr>
          <w:rFonts w:hint="eastAsia"/>
          <w:lang w:val="en-US" w:eastAsia="zh-CN"/>
        </w:rPr>
      </w:pPr>
      <w:r>
        <w:rPr>
          <w:rFonts w:hint="eastAsia" w:ascii="仿宋" w:hAnsi="仿宋" w:eastAsia="仿宋" w:cs="仿宋"/>
          <w:sz w:val="32"/>
          <w:szCs w:val="32"/>
          <w:lang w:val="en-US" w:eastAsia="zh-CN"/>
        </w:rPr>
        <w:t>（1）其他垃圾中转站的新建和提质：中方县城原来中转站只有5座，日转运能力只有42吨，不能满足其他生活垃圾的收集转运需求，通过争取上级老旧小区改造资金，于2023年上半年终于在城南路新建成了莉坪社区垃圾中转站，解决了设备短缺问题。根据省、市、县下发的安全隐患整改文件要求，对5座旧的垃圾中转站进行了安全隐患排查和整改维修，更换了老化管线；把原来的工具房重新进行了粉刷，安装风扇和防盗网，购置了饮水机和沙发，变成了垃圾分类值守室和环卫工作休息室。同时在每座垃圾中转站最显眼的墙壁或屋顶都安装了夜光巨型垃圾分类宣传标语。</w:t>
      </w:r>
    </w:p>
    <w:p>
      <w:pPr>
        <w:keepNext w:val="0"/>
        <w:keepLines w:val="0"/>
        <w:pageBreakBefore w:val="0"/>
        <w:widowControl w:val="0"/>
        <w:numPr>
          <w:ilvl w:val="0"/>
          <w:numId w:val="0"/>
        </w:numPr>
        <w:kinsoku/>
        <w:wordWrap/>
        <w:overflowPunct/>
        <w:topLinePunct w:val="0"/>
        <w:autoSpaceDE/>
        <w:autoSpaceDN/>
        <w:bidi w:val="0"/>
        <w:adjustRightInd/>
        <w:spacing w:line="70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机关单位和居住小区垃圾分类屋（亭、箱）等垃圾分类设施的设置：按照《怀化市城市生活垃圾分类作业范和设施设置标准》的要求，在机关单位每层楼放置四分类垃圾容器（可回收物、厨余垃圾、有害垃圾、其他垃圾）；电梯口或楼道口放置二分类垃圾分类容器（可回收物、其他垃圾）；洗手间（茶水间）内设置二分类垃圾容器（其他垃圾、厨余垃圾）；办公室（会议室、阅读室）设置二分类垃圾分类容器（可回收物、其他垃圾）；食堂餐厅内定点设置其他垃圾、厨余垃圾收集容器。有条件的单位，在单位院内设置了垃圾分类屋（亭），有的是几家相邻单位共建共用一座垃圾分类屋（亭）。在居住小区拆桶并点，根据小区面积的大小设置1-3处垃圾分类屋（亭），有条件的小区，设置专门的大件垃圾收集屋，并为每户配发2组分类垃圾桶，一组为其他垃圾和可回收物桶，另一组为厨余垃圾和其他垃圾桶。</w:t>
      </w:r>
    </w:p>
    <w:p>
      <w:pPr>
        <w:pStyle w:val="2"/>
        <w:keepNext w:val="0"/>
        <w:keepLines w:val="0"/>
        <w:pageBreakBefore w:val="0"/>
        <w:widowControl w:val="0"/>
        <w:kinsoku/>
        <w:wordWrap/>
        <w:overflowPunct/>
        <w:topLinePunct w:val="0"/>
        <w:autoSpaceDE/>
        <w:autoSpaceDN/>
        <w:bidi w:val="0"/>
        <w:adjustRightInd/>
        <w:spacing w:line="700" w:lineRule="exact"/>
        <w:textAlignment w:val="auto"/>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pacing w:line="700" w:lineRule="exact"/>
        <w:ind w:firstLine="640" w:firstLineChars="200"/>
        <w:jc w:val="left"/>
        <w:textAlignment w:val="auto"/>
        <w:rPr>
          <w:rFonts w:hint="default" w:ascii="Times New Roman" w:hAnsi="仿宋" w:eastAsia="仿宋" w:cs="Times New Roman"/>
          <w:sz w:val="32"/>
          <w:szCs w:val="32"/>
          <w:lang w:val="en-US" w:eastAsia="zh-CN"/>
        </w:rPr>
      </w:pPr>
      <w:r>
        <w:rPr>
          <w:rFonts w:hint="eastAsia" w:ascii="仿宋" w:hAnsi="仿宋" w:eastAsia="仿宋" w:cs="仿宋"/>
          <w:sz w:val="32"/>
          <w:szCs w:val="32"/>
          <w:lang w:val="en-US" w:eastAsia="zh-CN"/>
        </w:rPr>
        <w:t>（3）人行道和公共广场垃圾分类箱的设置：2023年把县城北区的旧果皮箱全部更换成了高标准的不锈钢垃圾分类箱，共有404个。金在地广场人员密集，旧式果皮箱既不</w:t>
      </w:r>
      <w:r>
        <w:rPr>
          <w:rFonts w:hint="eastAsia" w:ascii="Times New Roman" w:hAnsi="仿宋" w:eastAsia="仿宋" w:cs="Times New Roman"/>
          <w:sz w:val="32"/>
          <w:szCs w:val="32"/>
          <w:lang w:val="en-US" w:eastAsia="zh-CN"/>
        </w:rPr>
        <w:t>美观，也不能适应垃圾分类的需求，经反复论证，把旧果皮箱换成了市民投放方便、分类功能齐全、线条优美的豆芽型分类垃圾箱，更换数为22个。同时在金大地广场、建材市场和社区购置安装了3座带有电子显示屏的垃圾分类亭，代替了原有的勾臂箱、解决了又脏又臭的问题，深受市民喜欢。</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2.厨余垃圾处置设施的提质改造。</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firstLine="640"/>
        <w:jc w:val="lef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2019年年底，中方县城建成了餐厨垃圾处理厂并正式投入运营，县城300余家餐饮业产生的厨余垃圾，全部由政府采购的专业服务公司上门免费收集， 其他物业小区由物业公司负责，全都运到餐厨垃圾处理厂进行集中科学处理。2023年对该设备进行了改造升级，解决了冬季低温油多餐厨垃圾结块的问题。在原有1台5吨的餐厨垃圾收集专用车的基础上，今年又购置了1台8吨的餐厨垃圾收集专用车，从而中方县的餐厨垃圾收运处置更加科学规范高效。</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firstLine="643" w:firstLineChars="200"/>
        <w:jc w:val="left"/>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三是全面宣传发动，机关率先垂范。</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开发宣传阵地，多纬度全覆盖。由县垃分办统一设计、统一制作、统一安装，对县城内70余个居住小区，每一个小区都制作了1个以上宣传栏。对机关企事业单位，在每年召开城市生活垃圾分类工作推进会时，都下发《中方县生活垃圾分类指导手册》，基本确保各单位人手一册。今年共发放手册约8000册。对门店和县城内的住户，由网格单位上店入户分发《城市生活垃圾分类知识和城镇生活垃圾处理费征收政策宣传解读》折页，总计下发6000余份。在高架广告、公交站台和县城内所有果皮箱两侧等地，都制作了垃圾分类宣传标语。同时还利用各种场所的电子显示屏100余块进行滚动播放垃圾分类标语或小视频，利用手机报、抖音等新媒体进行宣传。</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firstLine="640" w:firstLineChars="200"/>
        <w:jc w:val="left"/>
        <w:textAlignment w:val="auto"/>
        <w:rPr>
          <w:rFonts w:hint="eastAsia"/>
          <w:lang w:val="en-US" w:eastAsia="zh-CN"/>
        </w:rPr>
      </w:pPr>
      <w:r>
        <w:rPr>
          <w:rFonts w:hint="eastAsia" w:ascii="仿宋" w:hAnsi="仿宋" w:eastAsia="仿宋" w:cs="仿宋"/>
          <w:sz w:val="32"/>
          <w:szCs w:val="32"/>
          <w:lang w:val="en-US" w:eastAsia="zh-CN"/>
        </w:rPr>
        <w:t>为了更好地巩固垃圾分类宣传阵地，</w:t>
      </w:r>
      <w:r>
        <w:rPr>
          <w:rFonts w:hint="eastAsia" w:ascii="Times New Roman" w:hAnsi="仿宋" w:eastAsia="仿宋" w:cs="Times New Roman"/>
          <w:sz w:val="32"/>
          <w:szCs w:val="32"/>
          <w:lang w:val="en-US" w:eastAsia="zh-CN"/>
        </w:rPr>
        <w:t>2023年1月，县政府投资11万余元，建设方案经过6次讨论定稿后，在县城内的景山园风光带建成了中方县垃圾分类主题公园。在公园的进门口和出门口分别建设了1个十分有艺术设计感的垃圾分类主题公园门牌，在公园内建设了11处独具匠心的垃圾分类小品，其内容主要是垃圾分类方法、意义的宣传栏或宣传标语。公园里随处可见的垃圾分类知识科普小品，具有很强的趣味性。广大市民在公园内健身、散步或娱乐时，就能愉快地学习到较为系统全面的生活垃圾分类知识。置身其中的广大市民通过游乐学习，对垃圾分类知识的了解进一步加深，提升了垃圾分类的意识和主动参与垃圾分类的积极性。</w:t>
      </w:r>
    </w:p>
    <w:p>
      <w:pPr>
        <w:keepNext w:val="0"/>
        <w:keepLines w:val="0"/>
        <w:pageBreakBefore w:val="0"/>
        <w:widowControl w:val="0"/>
        <w:numPr>
          <w:ilvl w:val="0"/>
          <w:numId w:val="1"/>
        </w:numPr>
        <w:kinsoku/>
        <w:wordWrap/>
        <w:overflowPunct/>
        <w:topLinePunct w:val="0"/>
        <w:autoSpaceDE/>
        <w:autoSpaceDN/>
        <w:bidi w:val="0"/>
        <w:adjustRightInd/>
        <w:snapToGrid/>
        <w:spacing w:line="70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与各级融媒体合作、精心制作短视频。年初，县垃分办领导与县融媒体负责人专门对接，要求在省、市、县官方媒体上全面宣传中方县的垃圾分类工作、城镇生活垃圾处理费征收政策等。2023年7月4日，市电视台对中方县的垃圾分类工作进行了专题采访，在怀化电视台播放《垃圾分类.文明你我--中方县：让垃圾分类成为新时尚》的节目约3分钟。2023年12月，请县融媒体制作了《垃圾处理费全面征收，读懂政策缴费无忧》的垃圾分类与城镇生活垃圾处理费征收的宣传片，此宣传片在全省应属第一个宣传城镇生活垃圾处理费征收的宣传片。</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firstLine="640" w:firstLineChars="200"/>
        <w:jc w:val="lef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3.机关身先士卒，干部示范引领。2023年由机关事务中心负责，在全县内首先按标准对四大家的办公室、楼道等场所进一步完善了垃圾分类收集设施，对各大县直机关印发了《中方县公共机构生活垃圾分类宣传指导手册》5000余份，指导干部职工从源头做好生活垃圾分类工作。</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firstLine="643" w:firstLineChars="200"/>
        <w:jc w:val="left"/>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四是片区示范创建，城区逐步全覆盖 。</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生活垃圾分类示范街的创建。经过县垃分办领导到长沙、武陵源区和慈利县等多地考察，并请淄博烧烤的总设计师来中方反复论证，准备在中方步行街做成美食娱乐城的同时，也把步行街打造成垃圾分类示范街。目前场地已全部硬化完毕，安装了垃圾分类收集桶和宣传栏，各项工作正在有序推进。</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生活垃圾分类示范单位（小区）的创建。在县财政局、教育局、天成院子和南湖花园等成功创建垃圾分类示范单位（小区）后，今年又把县自然资源局、县税务局、舞水家园和桃花源等24个单位（小区）成功创建成了垃圾分类示范单位（小区）。</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生活垃圾分类示范社区的创建。2022年根据怀化市年度垃圾分类实施方案要求，经过县垃分办领导小组反复讨论，最后确定硬件设施相比较好的同乐社区作为生活垃圾分类示范社区创建的目标社区。在制定完示范社区创建方案后，由社区牵头，县垃分办协助指导，对社区内的每个单位（小区）开始实施地毯式作战，直到按要求完成任务。2023年在巩固同乐社区垃圾分类成果的同时，按照之前的经验，通过攻坚克难，把县城的芙蓉社区和莉坪社区成功创建成了2个垃圾分类示范社区，圆满完成了上级的目标任务。</w:t>
      </w:r>
    </w:p>
    <w:p>
      <w:pPr>
        <w:pStyle w:val="2"/>
        <w:rPr>
          <w:rFonts w:hint="default"/>
          <w:lang w:val="en-US" w:eastAsia="zh-CN"/>
        </w:rPr>
      </w:pPr>
      <w:r>
        <w:rPr>
          <w:rFonts w:hint="default"/>
          <w:lang w:val="en-US" w:eastAsia="zh-CN"/>
        </w:rPr>
        <w:drawing>
          <wp:inline distT="0" distB="0" distL="114300" distR="114300">
            <wp:extent cx="5254625" cy="3901440"/>
            <wp:effectExtent l="0" t="0" r="3175" b="3810"/>
            <wp:docPr id="9" name="图片 9" descr="8C0A4007f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8C0A4007f2"/>
                    <pic:cNvPicPr>
                      <a:picLocks noChangeAspect="1"/>
                    </pic:cNvPicPr>
                  </pic:nvPicPr>
                  <pic:blipFill>
                    <a:blip r:embed="rId4"/>
                    <a:stretch>
                      <a:fillRect/>
                    </a:stretch>
                  </pic:blipFill>
                  <pic:spPr>
                    <a:xfrm>
                      <a:off x="0" y="0"/>
                      <a:ext cx="5254625" cy="3901440"/>
                    </a:xfrm>
                    <a:prstGeom prst="rect">
                      <a:avLst/>
                    </a:prstGeom>
                  </pic:spPr>
                </pic:pic>
              </a:graphicData>
            </a:graphic>
          </wp:inline>
        </w:drawing>
      </w:r>
    </w:p>
    <w:p>
      <w:pPr>
        <w:pStyle w:val="10"/>
        <w:spacing w:line="510" w:lineRule="exact"/>
        <w:ind w:firstLine="640" w:firstLineChars="200"/>
        <w:rPr>
          <w:rFonts w:ascii="Times New Roman" w:hAnsi="Times New Roman" w:eastAsia="仿宋"/>
          <w:sz w:val="32"/>
          <w:szCs w:val="32"/>
        </w:rPr>
      </w:pPr>
      <w:r>
        <w:rPr>
          <w:rFonts w:hint="eastAsia" w:ascii="Times New Roman" w:hAnsi="Times New Roman" w:eastAsia="仿宋"/>
          <w:sz w:val="32"/>
          <w:szCs w:val="32"/>
          <w:lang w:val="en-US" w:eastAsia="zh-CN"/>
        </w:rPr>
        <w:t>3.</w:t>
      </w:r>
      <w:r>
        <w:rPr>
          <w:rFonts w:ascii="Times New Roman" w:hAnsi="Times New Roman" w:eastAsia="仿宋"/>
          <w:sz w:val="32"/>
          <w:szCs w:val="32"/>
        </w:rPr>
        <w:t>资金投入和使用情况</w:t>
      </w:r>
      <w:r>
        <w:rPr>
          <w:rFonts w:hint="eastAsia" w:ascii="Times New Roman" w:hAnsi="Times New Roman" w:eastAsia="仿宋"/>
          <w:sz w:val="32"/>
          <w:szCs w:val="32"/>
          <w:lang w:eastAsia="zh-CN"/>
        </w:rPr>
        <w:t>：</w:t>
      </w:r>
      <w:r>
        <w:rPr>
          <w:rFonts w:hint="eastAsia" w:ascii="仿宋" w:hAnsi="仿宋" w:eastAsia="仿宋" w:cs="仿宋"/>
          <w:sz w:val="32"/>
          <w:szCs w:val="32"/>
          <w:highlight w:val="none"/>
          <w:lang w:eastAsia="zh-CN"/>
        </w:rPr>
        <w:t>2023年</w:t>
      </w:r>
      <w:r>
        <w:rPr>
          <w:rFonts w:hint="eastAsia" w:ascii="仿宋" w:hAnsi="仿宋" w:eastAsia="仿宋" w:cs="仿宋"/>
          <w:sz w:val="32"/>
          <w:szCs w:val="32"/>
          <w:highlight w:val="none"/>
        </w:rPr>
        <w:t>县财政共安排</w:t>
      </w:r>
      <w:r>
        <w:rPr>
          <w:rFonts w:hint="eastAsia" w:ascii="仿宋" w:hAnsi="仿宋" w:eastAsia="仿宋" w:cs="仿宋"/>
          <w:sz w:val="32"/>
          <w:szCs w:val="32"/>
          <w:highlight w:val="none"/>
          <w:lang w:eastAsia="zh-CN"/>
        </w:rPr>
        <w:t>垃圾分类经费</w:t>
      </w:r>
      <w:r>
        <w:rPr>
          <w:rFonts w:hint="eastAsia" w:ascii="仿宋" w:hAnsi="仿宋" w:eastAsia="仿宋" w:cs="仿宋"/>
          <w:sz w:val="32"/>
          <w:szCs w:val="32"/>
          <w:highlight w:val="none"/>
          <w:lang w:val="en-US" w:eastAsia="zh-CN"/>
        </w:rPr>
        <w:t>40</w:t>
      </w:r>
      <w:r>
        <w:rPr>
          <w:rFonts w:hint="eastAsia" w:ascii="仿宋" w:hAnsi="仿宋" w:eastAsia="仿宋" w:cs="仿宋"/>
          <w:sz w:val="32"/>
          <w:szCs w:val="32"/>
          <w:highlight w:val="none"/>
          <w:lang w:eastAsia="zh-CN"/>
        </w:rPr>
        <w:t>万元，本</w:t>
      </w:r>
      <w:r>
        <w:rPr>
          <w:rFonts w:hint="eastAsia" w:ascii="仿宋" w:hAnsi="仿宋" w:eastAsia="仿宋" w:cs="仿宋"/>
          <w:color w:val="auto"/>
          <w:sz w:val="32"/>
          <w:szCs w:val="32"/>
          <w:highlight w:val="none"/>
        </w:rPr>
        <w:t>年</w:t>
      </w:r>
      <w:r>
        <w:rPr>
          <w:rFonts w:hint="eastAsia" w:ascii="仿宋" w:hAnsi="仿宋" w:eastAsia="仿宋" w:cs="仿宋"/>
          <w:color w:val="auto"/>
          <w:sz w:val="32"/>
          <w:szCs w:val="32"/>
          <w:highlight w:val="none"/>
          <w:lang w:eastAsia="zh-CN"/>
        </w:rPr>
        <w:t>度</w:t>
      </w:r>
      <w:r>
        <w:rPr>
          <w:rFonts w:hint="eastAsia" w:ascii="仿宋" w:hAnsi="仿宋" w:eastAsia="仿宋" w:cs="仿宋"/>
          <w:color w:val="auto"/>
          <w:sz w:val="32"/>
          <w:szCs w:val="32"/>
          <w:highlight w:val="none"/>
        </w:rPr>
        <w:t>支付</w:t>
      </w:r>
      <w:r>
        <w:rPr>
          <w:rFonts w:hint="eastAsia" w:ascii="仿宋" w:hAnsi="仿宋" w:eastAsia="仿宋" w:cs="仿宋"/>
          <w:color w:val="auto"/>
          <w:sz w:val="32"/>
          <w:szCs w:val="32"/>
          <w:highlight w:val="none"/>
          <w:lang w:eastAsia="zh-CN"/>
        </w:rPr>
        <w:t>了</w:t>
      </w:r>
      <w:r>
        <w:rPr>
          <w:rFonts w:hint="eastAsia" w:ascii="仿宋" w:hAnsi="仿宋" w:eastAsia="仿宋" w:cs="仿宋"/>
          <w:sz w:val="32"/>
          <w:szCs w:val="32"/>
          <w:highlight w:val="none"/>
          <w:lang w:eastAsia="zh-CN"/>
        </w:rPr>
        <w:t>垃圾分类经费12.31万元</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lang w:eastAsia="zh-CN"/>
        </w:rPr>
        <w:t>未付经费计划在</w:t>
      </w:r>
      <w:r>
        <w:rPr>
          <w:rFonts w:hint="eastAsia" w:ascii="仿宋" w:hAnsi="仿宋" w:eastAsia="仿宋" w:cs="仿宋"/>
          <w:color w:val="auto"/>
          <w:sz w:val="32"/>
          <w:szCs w:val="32"/>
          <w:lang w:val="en-US" w:eastAsia="zh-CN"/>
        </w:rPr>
        <w:t>2024年支付到位</w:t>
      </w:r>
      <w:r>
        <w:rPr>
          <w:rFonts w:hint="eastAsia" w:ascii="仿宋" w:hAnsi="仿宋" w:eastAsia="仿宋" w:cs="仿宋"/>
          <w:color w:val="auto"/>
          <w:sz w:val="32"/>
          <w:szCs w:val="32"/>
        </w:rPr>
        <w:t>。</w:t>
      </w:r>
    </w:p>
    <w:p>
      <w:pPr>
        <w:pStyle w:val="10"/>
        <w:spacing w:line="510" w:lineRule="exact"/>
        <w:ind w:firstLine="640" w:firstLineChars="200"/>
        <w:rPr>
          <w:rFonts w:ascii="Times New Roman" w:hAnsi="Times New Roman" w:eastAsia="仿宋"/>
          <w:sz w:val="32"/>
          <w:szCs w:val="32"/>
        </w:rPr>
      </w:pPr>
      <w:r>
        <w:rPr>
          <w:rFonts w:ascii="Times New Roman" w:hAnsi="Times New Roman" w:eastAsia="仿宋"/>
          <w:sz w:val="32"/>
          <w:szCs w:val="32"/>
        </w:rPr>
        <w:t>（二）项目绩效目标。</w:t>
      </w:r>
    </w:p>
    <w:p>
      <w:pPr>
        <w:pStyle w:val="10"/>
        <w:spacing w:line="510" w:lineRule="exact"/>
        <w:ind w:firstLine="640" w:firstLineChars="200"/>
        <w:rPr>
          <w:rFonts w:hint="eastAsia" w:ascii="Times New Roman" w:hAnsi="Times New Roman" w:eastAsia="仿宋"/>
          <w:sz w:val="32"/>
          <w:szCs w:val="32"/>
          <w:lang w:eastAsia="zh-CN"/>
        </w:rPr>
      </w:pPr>
      <w:r>
        <w:rPr>
          <w:rFonts w:hint="eastAsia" w:ascii="Times New Roman" w:hAnsi="Times New Roman" w:eastAsia="仿宋"/>
          <w:sz w:val="32"/>
          <w:szCs w:val="32"/>
          <w:lang w:val="en-US" w:eastAsia="zh-CN"/>
        </w:rPr>
        <w:t>1.</w:t>
      </w:r>
      <w:r>
        <w:rPr>
          <w:rFonts w:ascii="Times New Roman" w:hAnsi="Times New Roman" w:eastAsia="仿宋"/>
          <w:sz w:val="32"/>
          <w:szCs w:val="32"/>
        </w:rPr>
        <w:t>总体目标</w:t>
      </w:r>
      <w:r>
        <w:rPr>
          <w:rFonts w:hint="eastAsia" w:ascii="Times New Roman" w:hAnsi="Times New Roman" w:eastAsia="仿宋"/>
          <w:sz w:val="32"/>
          <w:szCs w:val="32"/>
          <w:lang w:eastAsia="zh-CN"/>
        </w:rPr>
        <w:t>：</w:t>
      </w:r>
      <w:r>
        <w:rPr>
          <w:rFonts w:hint="eastAsia" w:ascii="仿宋" w:hAnsi="仿宋" w:eastAsia="仿宋" w:cs="仿宋"/>
          <w:color w:val="auto"/>
          <w:sz w:val="32"/>
          <w:szCs w:val="32"/>
        </w:rPr>
        <w:t>保持县城环境卫生干净整洁、舒适清爽。</w:t>
      </w:r>
    </w:p>
    <w:p>
      <w:pPr>
        <w:pStyle w:val="10"/>
        <w:spacing w:line="510" w:lineRule="exact"/>
        <w:ind w:firstLine="640" w:firstLineChars="200"/>
        <w:rPr>
          <w:rFonts w:ascii="Times New Roman" w:hAnsi="Times New Roman" w:eastAsia="仿宋"/>
          <w:sz w:val="32"/>
          <w:szCs w:val="32"/>
        </w:rPr>
      </w:pPr>
      <w:r>
        <w:rPr>
          <w:rFonts w:hint="eastAsia" w:ascii="Times New Roman" w:hAnsi="Times New Roman" w:eastAsia="仿宋"/>
          <w:sz w:val="32"/>
          <w:szCs w:val="32"/>
          <w:lang w:val="en-US" w:eastAsia="zh-CN"/>
        </w:rPr>
        <w:t>2.</w:t>
      </w:r>
      <w:r>
        <w:rPr>
          <w:rFonts w:ascii="Times New Roman" w:hAnsi="Times New Roman" w:eastAsia="仿宋"/>
          <w:sz w:val="32"/>
          <w:szCs w:val="32"/>
        </w:rPr>
        <w:t>阶段性目标</w:t>
      </w:r>
      <w:r>
        <w:rPr>
          <w:rFonts w:hint="eastAsia" w:ascii="Times New Roman" w:hAnsi="Times New Roman" w:eastAsia="仿宋"/>
          <w:sz w:val="32"/>
          <w:szCs w:val="32"/>
          <w:lang w:eastAsia="zh-CN"/>
        </w:rPr>
        <w:t>：</w:t>
      </w:r>
      <w:r>
        <w:rPr>
          <w:rFonts w:hint="eastAsia" w:ascii="仿宋" w:hAnsi="仿宋" w:eastAsia="仿宋" w:cs="仿宋"/>
          <w:color w:val="auto"/>
          <w:sz w:val="32"/>
          <w:szCs w:val="32"/>
        </w:rPr>
        <w:t>按年度预算，完成本年度</w:t>
      </w:r>
      <w:r>
        <w:rPr>
          <w:rFonts w:hint="eastAsia" w:ascii="仿宋" w:hAnsi="仿宋" w:eastAsia="仿宋" w:cs="仿宋"/>
          <w:color w:val="auto"/>
          <w:sz w:val="32"/>
          <w:szCs w:val="32"/>
          <w:lang w:eastAsia="zh-CN"/>
        </w:rPr>
        <w:t>县城区</w:t>
      </w:r>
      <w:r>
        <w:rPr>
          <w:rFonts w:hint="eastAsia" w:ascii="仿宋" w:hAnsi="仿宋" w:eastAsia="仿宋" w:cs="仿宋"/>
          <w:color w:val="auto"/>
          <w:sz w:val="32"/>
          <w:szCs w:val="32"/>
        </w:rPr>
        <w:t>的</w:t>
      </w:r>
      <w:r>
        <w:rPr>
          <w:rFonts w:hint="eastAsia" w:ascii="仿宋" w:hAnsi="仿宋" w:eastAsia="仿宋" w:cs="仿宋"/>
          <w:color w:val="auto"/>
          <w:sz w:val="32"/>
          <w:szCs w:val="32"/>
          <w:lang w:eastAsia="zh-CN"/>
        </w:rPr>
        <w:t>垃圾分类</w:t>
      </w:r>
      <w:r>
        <w:rPr>
          <w:rFonts w:hint="eastAsia" w:ascii="仿宋" w:hAnsi="仿宋" w:eastAsia="仿宋" w:cs="仿宋"/>
          <w:color w:val="auto"/>
          <w:sz w:val="32"/>
          <w:szCs w:val="32"/>
        </w:rPr>
        <w:t>任务。</w:t>
      </w:r>
    </w:p>
    <w:p>
      <w:pPr>
        <w:pStyle w:val="10"/>
        <w:spacing w:line="510" w:lineRule="exact"/>
        <w:ind w:firstLine="643" w:firstLineChars="200"/>
        <w:rPr>
          <w:rFonts w:ascii="Times New Roman" w:hAnsi="Times New Roman" w:eastAsia="楷体"/>
          <w:b/>
          <w:sz w:val="32"/>
          <w:szCs w:val="32"/>
        </w:rPr>
      </w:pPr>
      <w:r>
        <w:rPr>
          <w:rFonts w:ascii="Times New Roman" w:hAnsi="Times New Roman" w:eastAsia="楷体"/>
          <w:b/>
          <w:sz w:val="32"/>
          <w:szCs w:val="32"/>
        </w:rPr>
        <w:t>二、绩效评价工作开展情况</w:t>
      </w:r>
    </w:p>
    <w:p>
      <w:pPr>
        <w:pStyle w:val="10"/>
        <w:spacing w:line="510" w:lineRule="exact"/>
        <w:ind w:firstLine="640" w:firstLineChars="200"/>
        <w:rPr>
          <w:rFonts w:ascii="Times New Roman" w:hAnsi="Times New Roman" w:eastAsia="仿宋"/>
          <w:sz w:val="32"/>
          <w:szCs w:val="32"/>
        </w:rPr>
      </w:pPr>
      <w:r>
        <w:rPr>
          <w:rFonts w:ascii="Times New Roman" w:hAnsi="Times New Roman" w:eastAsia="仿宋"/>
          <w:sz w:val="32"/>
          <w:szCs w:val="32"/>
        </w:rPr>
        <w:t>（一）绩效评价目的、对象和范围。</w:t>
      </w:r>
    </w:p>
    <w:p>
      <w:pPr>
        <w:pStyle w:val="6"/>
        <w:widowControl/>
        <w:snapToGrid w:val="0"/>
        <w:spacing w:line="500" w:lineRule="exact"/>
        <w:ind w:firstLine="600"/>
        <w:jc w:val="both"/>
        <w:rPr>
          <w:rFonts w:ascii="Times New Roman" w:hAnsi="Times New Roman" w:eastAsia="仿宋"/>
          <w:sz w:val="32"/>
          <w:szCs w:val="32"/>
        </w:rPr>
      </w:pPr>
      <w:r>
        <w:rPr>
          <w:rFonts w:hint="eastAsia" w:ascii="仿宋" w:hAnsi="仿宋" w:eastAsia="仿宋" w:cs="仿宋"/>
          <w:color w:val="auto"/>
          <w:sz w:val="32"/>
          <w:szCs w:val="32"/>
        </w:rPr>
        <w:t>通过对县城</w:t>
      </w:r>
      <w:r>
        <w:rPr>
          <w:rFonts w:hint="eastAsia" w:ascii="仿宋" w:hAnsi="仿宋" w:eastAsia="仿宋" w:cs="仿宋"/>
          <w:color w:val="auto"/>
          <w:sz w:val="32"/>
          <w:szCs w:val="32"/>
          <w:lang w:eastAsia="zh-CN"/>
        </w:rPr>
        <w:t>垃圾分类</w:t>
      </w:r>
      <w:r>
        <w:rPr>
          <w:rFonts w:hint="eastAsia" w:ascii="仿宋" w:hAnsi="仿宋" w:eastAsia="仿宋" w:cs="仿宋"/>
          <w:color w:val="auto"/>
          <w:sz w:val="32"/>
          <w:szCs w:val="32"/>
        </w:rPr>
        <w:t>专项资金的绩效评价，全面摸清</w:t>
      </w:r>
      <w:r>
        <w:rPr>
          <w:rFonts w:hint="eastAsia" w:ascii="仿宋" w:hAnsi="仿宋" w:eastAsia="仿宋" w:cs="仿宋"/>
          <w:color w:val="auto"/>
          <w:sz w:val="32"/>
          <w:szCs w:val="32"/>
          <w:lang w:eastAsia="zh-CN"/>
        </w:rPr>
        <w:t>垃圾分类</w:t>
      </w:r>
      <w:r>
        <w:rPr>
          <w:rFonts w:hint="eastAsia" w:ascii="仿宋" w:hAnsi="仿宋" w:eastAsia="仿宋" w:cs="仿宋"/>
          <w:color w:val="auto"/>
          <w:sz w:val="32"/>
          <w:szCs w:val="32"/>
        </w:rPr>
        <w:t>资金的发放情况。收集反馈各环卫企业的意见和建议，为上级财政制定相关政策提供参考依据，最大限度发挥财政资金使用效益。</w:t>
      </w:r>
    </w:p>
    <w:p>
      <w:pPr>
        <w:pStyle w:val="10"/>
        <w:spacing w:line="510" w:lineRule="exact"/>
        <w:ind w:firstLine="640" w:firstLineChars="200"/>
        <w:rPr>
          <w:rFonts w:ascii="Times New Roman" w:hAnsi="Times New Roman" w:eastAsia="仿宋"/>
          <w:sz w:val="32"/>
          <w:szCs w:val="32"/>
        </w:rPr>
      </w:pPr>
      <w:r>
        <w:rPr>
          <w:rFonts w:ascii="Times New Roman" w:hAnsi="Times New Roman" w:eastAsia="仿宋"/>
          <w:sz w:val="32"/>
          <w:szCs w:val="32"/>
        </w:rPr>
        <w:t>（二）绩效评价原则、评价指标体系（附表说明）、评价方法、评价标准等。</w:t>
      </w:r>
    </w:p>
    <w:p>
      <w:pPr>
        <w:pStyle w:val="6"/>
        <w:widowControl/>
        <w:numPr>
          <w:ilvl w:val="0"/>
          <w:numId w:val="0"/>
        </w:numPr>
        <w:snapToGrid w:val="0"/>
        <w:spacing w:line="500" w:lineRule="exact"/>
        <w:ind w:firstLine="640" w:firstLineChars="200"/>
        <w:jc w:val="both"/>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评价原则</w:t>
      </w:r>
      <w:r>
        <w:rPr>
          <w:rFonts w:hint="eastAsia" w:ascii="仿宋" w:hAnsi="仿宋" w:eastAsia="仿宋" w:cs="仿宋"/>
          <w:color w:val="auto"/>
          <w:sz w:val="32"/>
          <w:szCs w:val="32"/>
          <w:lang w:eastAsia="zh-CN"/>
        </w:rPr>
        <w:t>：公开、公平、公正。</w:t>
      </w:r>
    </w:p>
    <w:p>
      <w:pPr>
        <w:pStyle w:val="6"/>
        <w:widowControl/>
        <w:numPr>
          <w:ilvl w:val="0"/>
          <w:numId w:val="0"/>
        </w:numPr>
        <w:snapToGrid w:val="0"/>
        <w:spacing w:line="500" w:lineRule="exact"/>
        <w:ind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lang w:eastAsia="zh-CN"/>
        </w:rPr>
        <w:t>评价指标体系、评价方法、评价标准：见附件</w:t>
      </w:r>
      <w:r>
        <w:rPr>
          <w:rFonts w:hint="eastAsia" w:ascii="仿宋" w:hAnsi="仿宋" w:eastAsia="仿宋" w:cs="仿宋"/>
          <w:color w:val="auto"/>
          <w:sz w:val="32"/>
          <w:szCs w:val="32"/>
          <w:lang w:val="en-US" w:eastAsia="zh-CN"/>
        </w:rPr>
        <w:t>1、2。</w:t>
      </w:r>
    </w:p>
    <w:p>
      <w:pPr>
        <w:spacing w:after="0" w:line="6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3.</w:t>
      </w:r>
      <w:r>
        <w:rPr>
          <w:rFonts w:hint="eastAsia" w:ascii="仿宋" w:hAnsi="仿宋" w:eastAsia="仿宋" w:cs="仿宋"/>
          <w:sz w:val="32"/>
          <w:szCs w:val="32"/>
        </w:rPr>
        <w:t>评价方法、评价标准：注重经费支出的经济性、效率性、和有效性，采用定量和定性相结合的方法</w:t>
      </w:r>
      <w:r>
        <w:rPr>
          <w:rFonts w:hint="eastAsia" w:ascii="仿宋" w:hAnsi="仿宋" w:eastAsia="仿宋" w:cs="仿宋"/>
          <w:sz w:val="32"/>
          <w:szCs w:val="32"/>
          <w:lang w:eastAsia="zh-CN"/>
        </w:rPr>
        <w:t>，</w:t>
      </w:r>
      <w:r>
        <w:rPr>
          <w:rFonts w:hint="eastAsia" w:ascii="仿宋" w:hAnsi="仿宋" w:eastAsia="仿宋" w:cs="仿宋"/>
          <w:sz w:val="32"/>
          <w:szCs w:val="32"/>
        </w:rPr>
        <w:t>客观、公正、数据资料真实可靠，并接受监督</w:t>
      </w:r>
      <w:r>
        <w:rPr>
          <w:rFonts w:hint="eastAsia" w:ascii="仿宋" w:hAnsi="仿宋" w:eastAsia="仿宋" w:cs="仿宋"/>
          <w:sz w:val="32"/>
          <w:szCs w:val="32"/>
          <w:lang w:eastAsia="zh-CN"/>
        </w:rPr>
        <w:t>，</w:t>
      </w:r>
      <w:r>
        <w:rPr>
          <w:rFonts w:hint="eastAsia" w:ascii="仿宋" w:hAnsi="仿宋" w:eastAsia="仿宋" w:cs="仿宋"/>
          <w:sz w:val="32"/>
          <w:szCs w:val="32"/>
        </w:rPr>
        <w:t>针对具体投入及其产出绩效进行，评价结果清晰反应投入和绩效之间的对应关系。</w:t>
      </w:r>
    </w:p>
    <w:p>
      <w:pPr>
        <w:pStyle w:val="10"/>
        <w:spacing w:line="510" w:lineRule="exact"/>
        <w:ind w:firstLine="640" w:firstLineChars="200"/>
        <w:rPr>
          <w:rFonts w:ascii="Times New Roman" w:hAnsi="Times New Roman" w:eastAsia="仿宋"/>
          <w:sz w:val="32"/>
          <w:szCs w:val="32"/>
        </w:rPr>
      </w:pPr>
      <w:r>
        <w:rPr>
          <w:rFonts w:ascii="Times New Roman" w:hAnsi="Times New Roman" w:eastAsia="仿宋"/>
          <w:sz w:val="32"/>
          <w:szCs w:val="32"/>
        </w:rPr>
        <w:t>（三）绩效评价工作过程。</w:t>
      </w:r>
    </w:p>
    <w:p>
      <w:pPr>
        <w:pStyle w:val="6"/>
        <w:widowControl/>
        <w:snapToGrid w:val="0"/>
        <w:spacing w:line="500" w:lineRule="exact"/>
        <w:ind w:firstLine="640"/>
        <w:jc w:val="both"/>
        <w:rPr>
          <w:rFonts w:ascii="仿宋" w:hAnsi="仿宋" w:eastAsia="仿宋" w:cs="仿宋"/>
          <w:color w:val="auto"/>
          <w:sz w:val="32"/>
          <w:szCs w:val="32"/>
        </w:rPr>
      </w:pPr>
      <w:r>
        <w:rPr>
          <w:rFonts w:hint="eastAsia" w:ascii="仿宋" w:hAnsi="仿宋" w:eastAsia="仿宋" w:cs="仿宋"/>
          <w:color w:val="auto"/>
          <w:sz w:val="32"/>
          <w:szCs w:val="32"/>
        </w:rPr>
        <w:t>根据县财政局绩效评价股对</w:t>
      </w:r>
      <w:r>
        <w:rPr>
          <w:rFonts w:hint="eastAsia" w:ascii="仿宋" w:hAnsi="仿宋" w:eastAsia="仿宋" w:cs="仿宋"/>
          <w:color w:val="auto"/>
          <w:sz w:val="32"/>
          <w:szCs w:val="32"/>
          <w:lang w:eastAsia="zh-CN"/>
        </w:rPr>
        <w:t>中方县城市管理和综合执法局</w:t>
      </w:r>
      <w:r>
        <w:rPr>
          <w:rFonts w:hint="eastAsia" w:ascii="仿宋" w:hAnsi="仿宋" w:eastAsia="仿宋" w:cs="仿宋"/>
          <w:color w:val="auto"/>
          <w:sz w:val="32"/>
          <w:szCs w:val="32"/>
        </w:rPr>
        <w:t>下达了绩效评价通知，我</w:t>
      </w:r>
      <w:r>
        <w:rPr>
          <w:rFonts w:hint="eastAsia" w:ascii="仿宋" w:hAnsi="仿宋" w:eastAsia="仿宋" w:cs="仿宋"/>
          <w:color w:val="auto"/>
          <w:sz w:val="32"/>
          <w:szCs w:val="32"/>
          <w:lang w:eastAsia="zh-CN"/>
        </w:rPr>
        <w:t>局</w:t>
      </w:r>
      <w:r>
        <w:rPr>
          <w:rFonts w:hint="eastAsia" w:ascii="仿宋" w:hAnsi="仿宋" w:eastAsia="仿宋" w:cs="仿宋"/>
          <w:color w:val="auto"/>
          <w:sz w:val="32"/>
          <w:szCs w:val="32"/>
        </w:rPr>
        <w:t>制定了对该项目的绩效评价工作方案。评价过程中听取了各环卫企业负责人的情况介绍，</w:t>
      </w:r>
      <w:r>
        <w:rPr>
          <w:rFonts w:hint="eastAsia" w:ascii="仿宋" w:hAnsi="仿宋" w:eastAsia="仿宋" w:cs="仿宋"/>
          <w:color w:val="auto"/>
          <w:sz w:val="32"/>
          <w:szCs w:val="32"/>
          <w:lang w:eastAsia="zh-CN"/>
        </w:rPr>
        <w:t>查</w:t>
      </w:r>
      <w:r>
        <w:rPr>
          <w:rFonts w:hint="eastAsia" w:ascii="仿宋" w:hAnsi="仿宋" w:eastAsia="仿宋" w:cs="仿宋"/>
          <w:color w:val="auto"/>
          <w:sz w:val="32"/>
          <w:szCs w:val="32"/>
        </w:rPr>
        <w:t>阅相关资料，了解了</w:t>
      </w:r>
      <w:r>
        <w:rPr>
          <w:rFonts w:hint="eastAsia" w:ascii="仿宋" w:hAnsi="仿宋" w:eastAsia="仿宋" w:cs="仿宋"/>
          <w:color w:val="auto"/>
          <w:sz w:val="32"/>
          <w:szCs w:val="32"/>
          <w:lang w:eastAsia="zh-CN"/>
        </w:rPr>
        <w:t>垃圾分类</w:t>
      </w:r>
      <w:r>
        <w:rPr>
          <w:rFonts w:hint="eastAsia" w:ascii="仿宋" w:hAnsi="仿宋" w:eastAsia="仿宋" w:cs="仿宋"/>
          <w:color w:val="auto"/>
          <w:sz w:val="32"/>
          <w:szCs w:val="32"/>
        </w:rPr>
        <w:t>经费的拨付和发放流程，侧重调查资金发放的真实性、公平性。具体工作过程</w:t>
      </w:r>
      <w:r>
        <w:rPr>
          <w:rFonts w:hint="eastAsia" w:ascii="仿宋" w:hAnsi="仿宋" w:eastAsia="仿宋" w:cs="仿宋"/>
          <w:color w:val="auto"/>
          <w:sz w:val="32"/>
          <w:szCs w:val="32"/>
          <w:lang w:eastAsia="zh-CN"/>
        </w:rPr>
        <w:t>如下</w:t>
      </w:r>
      <w:r>
        <w:rPr>
          <w:rFonts w:hint="eastAsia" w:ascii="仿宋" w:hAnsi="仿宋" w:eastAsia="仿宋" w:cs="仿宋"/>
          <w:color w:val="auto"/>
          <w:sz w:val="32"/>
          <w:szCs w:val="32"/>
        </w:rPr>
        <w:t>：</w:t>
      </w:r>
    </w:p>
    <w:p>
      <w:pPr>
        <w:pStyle w:val="6"/>
        <w:widowControl/>
        <w:snapToGrid w:val="0"/>
        <w:spacing w:line="500" w:lineRule="exact"/>
        <w:ind w:firstLine="600"/>
        <w:jc w:val="both"/>
        <w:rPr>
          <w:rFonts w:ascii="仿宋" w:hAnsi="仿宋" w:eastAsia="仿宋" w:cs="仿宋"/>
          <w:color w:val="auto"/>
          <w:sz w:val="32"/>
          <w:szCs w:val="32"/>
        </w:rPr>
      </w:pPr>
      <w:r>
        <w:rPr>
          <w:rFonts w:ascii="仿宋" w:hAnsi="仿宋" w:eastAsia="仿宋" w:cs="仿宋"/>
          <w:color w:val="auto"/>
          <w:sz w:val="32"/>
          <w:szCs w:val="32"/>
        </w:rPr>
        <w:t>1.</w:t>
      </w:r>
      <w:r>
        <w:rPr>
          <w:rFonts w:hint="eastAsia" w:ascii="仿宋" w:hAnsi="仿宋" w:eastAsia="仿宋" w:cs="仿宋"/>
          <w:color w:val="auto"/>
          <w:sz w:val="32"/>
          <w:szCs w:val="32"/>
        </w:rPr>
        <w:t>检查资料。通过对各种资料的查阅，了解该项资金是否及时拨付到位。</w:t>
      </w:r>
    </w:p>
    <w:p>
      <w:pPr>
        <w:pStyle w:val="6"/>
        <w:widowControl/>
        <w:snapToGrid w:val="0"/>
        <w:spacing w:line="500" w:lineRule="exact"/>
        <w:ind w:firstLine="643"/>
        <w:jc w:val="both"/>
        <w:rPr>
          <w:rFonts w:ascii="Times New Roman" w:hAnsi="Times New Roman" w:eastAsia="仿宋"/>
          <w:sz w:val="32"/>
          <w:szCs w:val="32"/>
        </w:rPr>
      </w:pPr>
      <w:r>
        <w:rPr>
          <w:rFonts w:ascii="仿宋" w:hAnsi="仿宋" w:eastAsia="仿宋" w:cs="仿宋"/>
          <w:color w:val="auto"/>
          <w:sz w:val="32"/>
          <w:szCs w:val="32"/>
        </w:rPr>
        <w:t>2</w:t>
      </w:r>
      <w:r>
        <w:rPr>
          <w:rFonts w:hint="eastAsia" w:ascii="仿宋" w:hAnsi="仿宋" w:eastAsia="仿宋" w:cs="仿宋"/>
          <w:color w:val="auto"/>
          <w:sz w:val="32"/>
          <w:szCs w:val="32"/>
        </w:rPr>
        <w:t>．座谈交流。召开环卫工人座谈会，听取他们工资发放的意见和建议。</w:t>
      </w:r>
    </w:p>
    <w:p>
      <w:pPr>
        <w:pStyle w:val="10"/>
        <w:spacing w:line="510" w:lineRule="exact"/>
        <w:ind w:firstLine="643" w:firstLineChars="200"/>
        <w:rPr>
          <w:rFonts w:ascii="Times New Roman" w:hAnsi="Times New Roman" w:eastAsia="楷体"/>
          <w:b/>
          <w:sz w:val="32"/>
          <w:szCs w:val="32"/>
        </w:rPr>
      </w:pPr>
      <w:r>
        <w:rPr>
          <w:rFonts w:ascii="Times New Roman" w:hAnsi="Times New Roman" w:eastAsia="楷体"/>
          <w:b/>
          <w:sz w:val="32"/>
          <w:szCs w:val="32"/>
        </w:rPr>
        <w:t>三、综合评价情况及评价结论（附相关评分表）</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N/>
        <w:bidi w:val="0"/>
        <w:adjustRightInd/>
        <w:spacing w:before="0" w:beforeAutospacing="0" w:after="0" w:afterAutospacing="0" w:line="560" w:lineRule="exact"/>
        <w:ind w:right="0" w:rightChars="0" w:firstLine="640" w:firstLineChars="200"/>
        <w:jc w:val="left"/>
        <w:textAlignment w:val="auto"/>
        <w:rPr>
          <w:rFonts w:ascii="Times New Roman" w:hAnsi="Times New Roman" w:eastAsia="仿宋"/>
          <w:sz w:val="32"/>
          <w:szCs w:val="32"/>
        </w:rPr>
      </w:pPr>
      <w:r>
        <w:rPr>
          <w:rFonts w:hint="eastAsia" w:ascii="仿宋" w:hAnsi="仿宋" w:eastAsia="仿宋" w:cs="仿宋"/>
          <w:color w:val="auto"/>
          <w:sz w:val="32"/>
          <w:szCs w:val="32"/>
        </w:rPr>
        <w:t>通过自我评价，认为</w:t>
      </w:r>
      <w:r>
        <w:rPr>
          <w:rFonts w:hint="eastAsia" w:ascii="仿宋" w:hAnsi="仿宋" w:eastAsia="仿宋" w:cs="仿宋"/>
          <w:color w:val="auto"/>
          <w:sz w:val="32"/>
          <w:szCs w:val="32"/>
          <w:lang w:eastAsia="zh-CN"/>
        </w:rPr>
        <w:t>2023年垃圾分类</w:t>
      </w:r>
      <w:r>
        <w:rPr>
          <w:rFonts w:hint="eastAsia" w:ascii="仿宋" w:hAnsi="仿宋" w:eastAsia="仿宋" w:cs="仿宋"/>
          <w:color w:val="auto"/>
          <w:sz w:val="32"/>
          <w:szCs w:val="32"/>
        </w:rPr>
        <w:t>专项资金的申报、发放材料规范齐全、评审程序公平公正，资金的发放与管理</w:t>
      </w:r>
      <w:r>
        <w:rPr>
          <w:rFonts w:hint="eastAsia" w:ascii="仿宋" w:hAnsi="仿宋" w:eastAsia="仿宋" w:cs="仿宋"/>
          <w:color w:val="auto"/>
          <w:sz w:val="32"/>
          <w:szCs w:val="32"/>
          <w:lang w:eastAsia="zh-CN"/>
        </w:rPr>
        <w:t>符合</w:t>
      </w:r>
      <w:r>
        <w:rPr>
          <w:rFonts w:hint="eastAsia" w:ascii="仿宋" w:hAnsi="仿宋" w:eastAsia="仿宋" w:cs="仿宋"/>
          <w:color w:val="auto"/>
          <w:sz w:val="32"/>
          <w:szCs w:val="32"/>
        </w:rPr>
        <w:t>规范</w:t>
      </w:r>
      <w:r>
        <w:rPr>
          <w:rFonts w:hint="eastAsia" w:ascii="仿宋" w:hAnsi="仿宋" w:eastAsia="仿宋" w:cs="仿宋"/>
          <w:color w:val="auto"/>
          <w:sz w:val="32"/>
          <w:szCs w:val="32"/>
          <w:highlight w:val="none"/>
        </w:rPr>
        <w:t>（县财政直接把资金拨付给了各环卫企业）</w:t>
      </w:r>
      <w:r>
        <w:rPr>
          <w:rFonts w:hint="eastAsia" w:ascii="仿宋" w:hAnsi="仿宋" w:eastAsia="仿宋" w:cs="仿宋"/>
          <w:color w:val="auto"/>
          <w:sz w:val="32"/>
          <w:szCs w:val="32"/>
          <w:highlight w:val="none"/>
          <w:lang w:eastAsia="zh-CN"/>
        </w:rPr>
        <w:t>，</w:t>
      </w:r>
      <w:r>
        <w:rPr>
          <w:rFonts w:hint="eastAsia" w:ascii="仿宋" w:hAnsi="仿宋" w:eastAsia="仿宋" w:cs="仿宋"/>
          <w:sz w:val="32"/>
          <w:szCs w:val="32"/>
          <w:lang w:val="en-US" w:eastAsia="zh-CN"/>
        </w:rPr>
        <w:t>本项目经费支出绩效评价综合得分</w:t>
      </w:r>
      <w:r>
        <w:rPr>
          <w:rFonts w:hint="eastAsia" w:ascii="仿宋" w:hAnsi="仿宋" w:eastAsia="仿宋" w:cs="仿宋"/>
          <w:sz w:val="32"/>
          <w:szCs w:val="32"/>
          <w:highlight w:val="none"/>
          <w:lang w:val="en-US" w:eastAsia="zh-CN"/>
        </w:rPr>
        <w:t>95</w:t>
      </w:r>
      <w:r>
        <w:rPr>
          <w:rFonts w:hint="eastAsia" w:ascii="仿宋" w:hAnsi="仿宋" w:eastAsia="仿宋" w:cs="仿宋"/>
          <w:sz w:val="32"/>
          <w:szCs w:val="32"/>
          <w:lang w:val="en-US" w:eastAsia="zh-CN"/>
        </w:rPr>
        <w:t>分，结果为优。</w:t>
      </w:r>
    </w:p>
    <w:p>
      <w:pPr>
        <w:pStyle w:val="10"/>
        <w:spacing w:line="510" w:lineRule="exact"/>
        <w:ind w:firstLine="643" w:firstLineChars="200"/>
        <w:rPr>
          <w:rFonts w:ascii="Times New Roman" w:hAnsi="Times New Roman" w:eastAsia="楷体"/>
          <w:b/>
          <w:sz w:val="32"/>
          <w:szCs w:val="32"/>
        </w:rPr>
      </w:pPr>
      <w:r>
        <w:rPr>
          <w:rFonts w:ascii="Times New Roman" w:hAnsi="Times New Roman" w:eastAsia="楷体"/>
          <w:b/>
          <w:sz w:val="32"/>
          <w:szCs w:val="32"/>
        </w:rPr>
        <w:t>四、绩效评价指标分析</w:t>
      </w:r>
    </w:p>
    <w:p>
      <w:pPr>
        <w:pStyle w:val="10"/>
        <w:spacing w:line="510" w:lineRule="exact"/>
        <w:ind w:firstLine="640" w:firstLineChars="200"/>
        <w:rPr>
          <w:rFonts w:hint="eastAsia" w:ascii="Times New Roman" w:hAnsi="Times New Roman" w:eastAsia="仿宋"/>
          <w:sz w:val="32"/>
          <w:szCs w:val="32"/>
          <w:lang w:eastAsia="zh-CN"/>
        </w:rPr>
      </w:pPr>
      <w:r>
        <w:rPr>
          <w:rFonts w:ascii="Times New Roman" w:hAnsi="Times New Roman" w:eastAsia="仿宋"/>
          <w:sz w:val="32"/>
          <w:szCs w:val="32"/>
        </w:rPr>
        <w:t>（一）项目决策情况</w:t>
      </w:r>
      <w:r>
        <w:rPr>
          <w:rFonts w:hint="eastAsia" w:ascii="Times New Roman" w:hAnsi="Times New Roman" w:eastAsia="仿宋"/>
          <w:sz w:val="32"/>
          <w:szCs w:val="32"/>
          <w:lang w:eastAsia="zh-CN"/>
        </w:rPr>
        <w:t>。</w:t>
      </w:r>
    </w:p>
    <w:p>
      <w:pPr>
        <w:pStyle w:val="10"/>
        <w:spacing w:line="510" w:lineRule="exact"/>
        <w:ind w:firstLine="640" w:firstLineChars="200"/>
        <w:rPr>
          <w:rFonts w:hint="eastAsia" w:ascii="Times New Roman" w:hAnsi="Times New Roman" w:eastAsia="仿宋"/>
          <w:sz w:val="32"/>
          <w:szCs w:val="32"/>
          <w:lang w:eastAsia="zh-CN"/>
        </w:rPr>
      </w:pPr>
      <w:r>
        <w:rPr>
          <w:rFonts w:hint="eastAsia" w:ascii="Times New Roman" w:hAnsi="Times New Roman" w:eastAsia="仿宋"/>
          <w:sz w:val="32"/>
          <w:szCs w:val="32"/>
          <w:lang w:eastAsia="zh-CN"/>
        </w:rPr>
        <w:t>《中方县</w:t>
      </w:r>
      <w:r>
        <w:rPr>
          <w:rFonts w:ascii="Times New Roman" w:hAnsi="仿宋" w:eastAsia="仿宋" w:cs="Times New Roman"/>
          <w:sz w:val="32"/>
          <w:szCs w:val="32"/>
        </w:rPr>
        <w:t>城市生活垃圾分类工作实施方案</w:t>
      </w:r>
      <w:r>
        <w:rPr>
          <w:rFonts w:hint="eastAsia" w:ascii="Times New Roman" w:hAnsi="Times New Roman" w:eastAsia="仿宋"/>
          <w:sz w:val="32"/>
          <w:szCs w:val="32"/>
          <w:lang w:eastAsia="zh-CN"/>
        </w:rPr>
        <w:t>》和上级政策文件要求：按照四分类要求，宣传教育和设施配套同步进行。</w:t>
      </w:r>
    </w:p>
    <w:p>
      <w:pPr>
        <w:pStyle w:val="10"/>
        <w:numPr>
          <w:ilvl w:val="0"/>
          <w:numId w:val="2"/>
        </w:numPr>
        <w:spacing w:line="510" w:lineRule="exact"/>
        <w:ind w:firstLine="640" w:firstLineChars="200"/>
        <w:rPr>
          <w:rFonts w:ascii="Times New Roman" w:hAnsi="Times New Roman" w:eastAsia="仿宋"/>
          <w:sz w:val="32"/>
          <w:szCs w:val="32"/>
        </w:rPr>
      </w:pPr>
      <w:r>
        <w:rPr>
          <w:rFonts w:ascii="Times New Roman" w:hAnsi="Times New Roman" w:eastAsia="仿宋"/>
          <w:sz w:val="32"/>
          <w:szCs w:val="32"/>
        </w:rPr>
        <w:t>项目过程情况</w:t>
      </w:r>
      <w:r>
        <w:rPr>
          <w:rFonts w:hint="eastAsia" w:ascii="Times New Roman" w:hAnsi="Times New Roman" w:eastAsia="仿宋"/>
          <w:sz w:val="32"/>
          <w:szCs w:val="32"/>
          <w:lang w:eastAsia="zh-CN"/>
        </w:rPr>
        <w:t>。</w:t>
      </w:r>
    </w:p>
    <w:p>
      <w:pPr>
        <w:pStyle w:val="10"/>
        <w:numPr>
          <w:ilvl w:val="0"/>
          <w:numId w:val="0"/>
        </w:numPr>
        <w:spacing w:line="510" w:lineRule="exact"/>
        <w:ind w:firstLine="640" w:firstLineChars="200"/>
        <w:rPr>
          <w:rFonts w:hint="eastAsia" w:ascii="Times New Roman" w:hAnsi="Times New Roman" w:eastAsia="仿宋"/>
          <w:sz w:val="32"/>
          <w:szCs w:val="32"/>
          <w:lang w:eastAsia="zh-CN"/>
        </w:rPr>
      </w:pPr>
      <w:r>
        <w:rPr>
          <w:rFonts w:hint="eastAsia" w:ascii="Times New Roman" w:hAnsi="Times New Roman" w:eastAsia="仿宋"/>
          <w:sz w:val="32"/>
          <w:szCs w:val="32"/>
          <w:lang w:eastAsia="zh-CN"/>
        </w:rPr>
        <w:t>开展了垃圾分类知识进学校、进课堂、进社区等系列活动，进行了多维度宣传，建成了</w:t>
      </w:r>
      <w:r>
        <w:rPr>
          <w:rFonts w:hint="eastAsia" w:ascii="Times New Roman" w:hAnsi="Times New Roman" w:eastAsia="仿宋"/>
          <w:sz w:val="32"/>
          <w:szCs w:val="32"/>
          <w:lang w:val="en-US" w:eastAsia="zh-CN"/>
        </w:rPr>
        <w:t>2个垃圾</w:t>
      </w:r>
      <w:r>
        <w:rPr>
          <w:rFonts w:hint="eastAsia" w:ascii="Times New Roman" w:hAnsi="Times New Roman" w:eastAsia="仿宋"/>
          <w:sz w:val="32"/>
          <w:szCs w:val="32"/>
          <w:lang w:eastAsia="zh-CN"/>
        </w:rPr>
        <w:t>示范社区。</w:t>
      </w:r>
    </w:p>
    <w:p>
      <w:pPr>
        <w:pStyle w:val="10"/>
        <w:numPr>
          <w:ilvl w:val="0"/>
          <w:numId w:val="2"/>
        </w:numPr>
        <w:spacing w:line="510" w:lineRule="exact"/>
        <w:ind w:left="0" w:leftChars="0" w:firstLine="640" w:firstLineChars="200"/>
        <w:rPr>
          <w:rFonts w:hint="eastAsia" w:ascii="Times New Roman" w:hAnsi="Times New Roman" w:eastAsia="仿宋"/>
          <w:sz w:val="32"/>
          <w:szCs w:val="32"/>
          <w:lang w:eastAsia="zh-CN"/>
        </w:rPr>
      </w:pPr>
      <w:r>
        <w:rPr>
          <w:rFonts w:ascii="Times New Roman" w:hAnsi="Times New Roman" w:eastAsia="仿宋"/>
          <w:sz w:val="32"/>
          <w:szCs w:val="32"/>
        </w:rPr>
        <w:t>项目产出情况</w:t>
      </w:r>
      <w:r>
        <w:rPr>
          <w:rFonts w:hint="eastAsia" w:ascii="Times New Roman" w:hAnsi="Times New Roman" w:eastAsia="仿宋"/>
          <w:sz w:val="32"/>
          <w:szCs w:val="32"/>
          <w:lang w:eastAsia="zh-CN"/>
        </w:rPr>
        <w:t>。</w:t>
      </w:r>
    </w:p>
    <w:p>
      <w:pPr>
        <w:pStyle w:val="10"/>
        <w:numPr>
          <w:ilvl w:val="0"/>
          <w:numId w:val="0"/>
        </w:numPr>
        <w:spacing w:line="510" w:lineRule="exact"/>
        <w:ind w:firstLine="640" w:firstLineChars="200"/>
        <w:rPr>
          <w:rFonts w:hint="eastAsia" w:ascii="Times New Roman" w:hAnsi="Times New Roman" w:eastAsia="仿宋"/>
          <w:sz w:val="32"/>
          <w:szCs w:val="32"/>
          <w:lang w:eastAsia="zh-CN"/>
        </w:rPr>
      </w:pPr>
      <w:r>
        <w:rPr>
          <w:rFonts w:hint="eastAsia" w:ascii="Times New Roman" w:hAnsi="Times New Roman" w:eastAsia="仿宋"/>
          <w:sz w:val="32"/>
          <w:szCs w:val="32"/>
          <w:lang w:eastAsia="zh-CN"/>
        </w:rPr>
        <w:t>县城环境卫生更加干净整洁，初步实现了垃圾无害化、资源化和减量化的目标。</w:t>
      </w:r>
    </w:p>
    <w:p>
      <w:pPr>
        <w:pStyle w:val="10"/>
        <w:numPr>
          <w:ilvl w:val="0"/>
          <w:numId w:val="2"/>
        </w:numPr>
        <w:spacing w:line="510" w:lineRule="exact"/>
        <w:ind w:left="0" w:leftChars="0" w:firstLine="640" w:firstLineChars="200"/>
        <w:rPr>
          <w:rFonts w:hint="eastAsia" w:ascii="Times New Roman" w:hAnsi="Times New Roman" w:eastAsia="仿宋"/>
          <w:sz w:val="32"/>
          <w:szCs w:val="32"/>
          <w:lang w:eastAsia="zh-CN"/>
        </w:rPr>
      </w:pPr>
      <w:r>
        <w:rPr>
          <w:rFonts w:ascii="Times New Roman" w:hAnsi="Times New Roman" w:eastAsia="仿宋"/>
          <w:sz w:val="32"/>
          <w:szCs w:val="32"/>
        </w:rPr>
        <w:t>项目效益情况</w:t>
      </w:r>
      <w:r>
        <w:rPr>
          <w:rFonts w:hint="eastAsia" w:ascii="Times New Roman" w:hAnsi="Times New Roman" w:eastAsia="仿宋"/>
          <w:sz w:val="32"/>
          <w:szCs w:val="32"/>
          <w:lang w:eastAsia="zh-CN"/>
        </w:rPr>
        <w:t>。</w:t>
      </w:r>
    </w:p>
    <w:p>
      <w:pPr>
        <w:pStyle w:val="10"/>
        <w:numPr>
          <w:ilvl w:val="0"/>
          <w:numId w:val="0"/>
        </w:numPr>
        <w:spacing w:line="510" w:lineRule="exact"/>
        <w:ind w:firstLine="640" w:firstLineChars="200"/>
        <w:rPr>
          <w:rFonts w:ascii="Times New Roman" w:hAnsi="Times New Roman" w:eastAsia="仿宋"/>
          <w:sz w:val="32"/>
          <w:szCs w:val="32"/>
        </w:rPr>
      </w:pPr>
      <w:r>
        <w:rPr>
          <w:rFonts w:hint="eastAsia" w:ascii="Times New Roman" w:hAnsi="Times New Roman" w:eastAsia="仿宋"/>
          <w:sz w:val="32"/>
          <w:szCs w:val="32"/>
          <w:lang w:eastAsia="zh-CN"/>
        </w:rPr>
        <w:t>为广大市民提供了优美舒适的生活环境，国家级“四城同创”各项检查如期通过。</w:t>
      </w:r>
    </w:p>
    <w:p>
      <w:pPr>
        <w:pStyle w:val="10"/>
        <w:spacing w:line="510" w:lineRule="exact"/>
        <w:ind w:firstLine="643" w:firstLineChars="200"/>
        <w:rPr>
          <w:rFonts w:ascii="Times New Roman" w:hAnsi="Times New Roman" w:eastAsia="楷体"/>
          <w:b/>
          <w:sz w:val="32"/>
          <w:szCs w:val="32"/>
        </w:rPr>
      </w:pPr>
      <w:r>
        <w:rPr>
          <w:rFonts w:ascii="Times New Roman" w:hAnsi="Times New Roman" w:eastAsia="楷体"/>
          <w:b/>
          <w:sz w:val="32"/>
          <w:szCs w:val="32"/>
        </w:rPr>
        <w:t>五、主要经验及做法、存在的问题及原因分析</w:t>
      </w:r>
    </w:p>
    <w:p>
      <w:pPr>
        <w:pStyle w:val="6"/>
        <w:widowControl/>
        <w:snapToGrid w:val="0"/>
        <w:spacing w:line="500" w:lineRule="exact"/>
        <w:ind w:firstLine="600"/>
        <w:jc w:val="both"/>
        <w:rPr>
          <w:rStyle w:val="9"/>
          <w:rFonts w:hint="eastAsia" w:ascii="仿宋" w:hAnsi="仿宋" w:eastAsia="仿宋" w:cs="仿宋"/>
          <w:b w:val="0"/>
          <w:bCs/>
          <w:color w:val="auto"/>
          <w:sz w:val="32"/>
          <w:szCs w:val="32"/>
          <w:lang w:eastAsia="zh-CN"/>
        </w:rPr>
      </w:pPr>
      <w:r>
        <w:rPr>
          <w:rStyle w:val="9"/>
          <w:rFonts w:hint="eastAsia" w:ascii="仿宋" w:hAnsi="仿宋" w:eastAsia="仿宋" w:cs="仿宋"/>
          <w:b w:val="0"/>
          <w:bCs/>
          <w:color w:val="auto"/>
          <w:sz w:val="32"/>
          <w:szCs w:val="32"/>
          <w:lang w:eastAsia="zh-CN"/>
        </w:rPr>
        <w:t>（一）主要</w:t>
      </w:r>
      <w:r>
        <w:rPr>
          <w:rStyle w:val="9"/>
          <w:rFonts w:hint="eastAsia" w:ascii="仿宋" w:hAnsi="仿宋" w:eastAsia="仿宋" w:cs="仿宋"/>
          <w:b w:val="0"/>
          <w:bCs/>
          <w:color w:val="auto"/>
          <w:sz w:val="32"/>
          <w:szCs w:val="32"/>
        </w:rPr>
        <w:t>经验及做法</w:t>
      </w:r>
      <w:r>
        <w:rPr>
          <w:rStyle w:val="9"/>
          <w:rFonts w:hint="eastAsia" w:ascii="仿宋" w:hAnsi="仿宋" w:eastAsia="仿宋" w:cs="仿宋"/>
          <w:b w:val="0"/>
          <w:bCs/>
          <w:color w:val="auto"/>
          <w:sz w:val="32"/>
          <w:szCs w:val="32"/>
          <w:lang w:eastAsia="zh-CN"/>
        </w:rPr>
        <w:t>。</w:t>
      </w:r>
    </w:p>
    <w:p>
      <w:pPr>
        <w:pStyle w:val="6"/>
        <w:widowControl/>
        <w:snapToGrid w:val="0"/>
        <w:spacing w:line="500" w:lineRule="exact"/>
        <w:ind w:firstLine="600"/>
        <w:jc w:val="both"/>
        <w:rPr>
          <w:rStyle w:val="9"/>
          <w:rFonts w:hint="eastAsia" w:ascii="仿宋" w:hAnsi="仿宋" w:eastAsia="仿宋" w:cs="仿宋"/>
          <w:b w:val="0"/>
          <w:bCs/>
          <w:color w:val="auto"/>
          <w:sz w:val="32"/>
          <w:szCs w:val="32"/>
          <w:lang w:eastAsia="zh-CN"/>
        </w:rPr>
      </w:pPr>
      <w:r>
        <w:rPr>
          <w:rFonts w:hint="eastAsia" w:ascii="仿宋" w:hAnsi="仿宋" w:eastAsia="仿宋" w:cs="仿宋"/>
          <w:b w:val="0"/>
          <w:bCs/>
          <w:color w:val="auto"/>
          <w:sz w:val="32"/>
          <w:szCs w:val="32"/>
          <w:lang w:eastAsia="zh-CN"/>
        </w:rPr>
        <w:t>以上级考核目标为导向，</w:t>
      </w:r>
      <w:r>
        <w:rPr>
          <w:rFonts w:hint="eastAsia" w:ascii="仿宋" w:hAnsi="仿宋" w:eastAsia="仿宋" w:cs="仿宋"/>
          <w:b w:val="0"/>
          <w:bCs/>
          <w:color w:val="auto"/>
          <w:sz w:val="32"/>
          <w:szCs w:val="32"/>
        </w:rPr>
        <w:t>制定了对该项目的绩效评价工作方案，结合实际情况，科学设置支出科目，规范财务核算，</w:t>
      </w:r>
      <w:r>
        <w:rPr>
          <w:rFonts w:hint="eastAsia" w:ascii="仿宋" w:hAnsi="仿宋" w:eastAsia="仿宋" w:cs="仿宋"/>
          <w:b w:val="0"/>
          <w:bCs/>
          <w:color w:val="auto"/>
          <w:sz w:val="32"/>
          <w:szCs w:val="32"/>
          <w:lang w:eastAsia="zh-CN"/>
        </w:rPr>
        <w:t>严格按照考核办法进行考核，让每一分钱都发挥好作，达到了既减少成本，又提高了垃圾分类效果的目的</w:t>
      </w:r>
      <w:r>
        <w:rPr>
          <w:rFonts w:hint="eastAsia" w:ascii="仿宋" w:hAnsi="仿宋" w:eastAsia="仿宋" w:cs="仿宋"/>
          <w:b w:val="0"/>
          <w:bCs/>
          <w:color w:val="auto"/>
          <w:sz w:val="32"/>
          <w:szCs w:val="32"/>
        </w:rPr>
        <w:t>。</w:t>
      </w:r>
    </w:p>
    <w:p>
      <w:pPr>
        <w:pStyle w:val="10"/>
        <w:numPr>
          <w:ilvl w:val="0"/>
          <w:numId w:val="3"/>
        </w:numPr>
        <w:spacing w:line="510" w:lineRule="exact"/>
        <w:ind w:firstLine="640" w:firstLineChars="200"/>
        <w:rPr>
          <w:rStyle w:val="9"/>
          <w:rFonts w:hint="eastAsia" w:ascii="仿宋" w:hAnsi="仿宋" w:eastAsia="仿宋" w:cs="仿宋"/>
          <w:b w:val="0"/>
          <w:bCs/>
          <w:color w:val="auto"/>
          <w:sz w:val="32"/>
          <w:szCs w:val="32"/>
          <w:lang w:eastAsia="zh-CN"/>
        </w:rPr>
      </w:pPr>
      <w:r>
        <w:rPr>
          <w:rStyle w:val="9"/>
          <w:rFonts w:hint="eastAsia" w:ascii="仿宋" w:hAnsi="仿宋" w:eastAsia="仿宋" w:cs="仿宋"/>
          <w:b w:val="0"/>
          <w:bCs/>
          <w:color w:val="auto"/>
          <w:sz w:val="32"/>
          <w:szCs w:val="32"/>
        </w:rPr>
        <w:t>存在的问题及原因分析</w:t>
      </w:r>
      <w:r>
        <w:rPr>
          <w:rStyle w:val="9"/>
          <w:rFonts w:hint="eastAsia" w:ascii="仿宋" w:hAnsi="仿宋" w:eastAsia="仿宋" w:cs="仿宋"/>
          <w:b w:val="0"/>
          <w:bCs/>
          <w:color w:val="auto"/>
          <w:sz w:val="32"/>
          <w:szCs w:val="32"/>
          <w:lang w:eastAsia="zh-CN"/>
        </w:rPr>
        <w:t>。</w:t>
      </w:r>
    </w:p>
    <w:p>
      <w:pPr>
        <w:pStyle w:val="10"/>
        <w:numPr>
          <w:ilvl w:val="0"/>
          <w:numId w:val="0"/>
        </w:numPr>
        <w:spacing w:line="510" w:lineRule="exact"/>
        <w:ind w:firstLine="643" w:firstLineChars="200"/>
        <w:rPr>
          <w:rFonts w:ascii="Times New Roman" w:hAnsi="Times New Roman" w:eastAsia="楷体"/>
          <w:b/>
          <w:sz w:val="32"/>
          <w:szCs w:val="32"/>
        </w:rPr>
      </w:pPr>
      <w:r>
        <w:rPr>
          <w:rFonts w:hint="eastAsia" w:ascii="仿宋" w:hAnsi="仿宋" w:eastAsia="仿宋" w:cs="仿宋"/>
          <w:b/>
          <w:bCs/>
          <w:kern w:val="2"/>
          <w:sz w:val="32"/>
          <w:szCs w:val="32"/>
          <w:lang w:val="en-US" w:eastAsia="zh-CN" w:bidi="ar-SA"/>
        </w:rPr>
        <w:t>一是</w:t>
      </w:r>
      <w:r>
        <w:rPr>
          <w:rFonts w:hint="eastAsia" w:ascii="仿宋" w:hAnsi="仿宋" w:eastAsia="仿宋" w:cs="仿宋"/>
          <w:kern w:val="2"/>
          <w:sz w:val="32"/>
          <w:szCs w:val="32"/>
          <w:lang w:val="en-US" w:eastAsia="zh-CN" w:bidi="ar-SA"/>
        </w:rPr>
        <w:t>县直各部门和社区未能履行相关工作职责，靠垃分办一个部门推动工作，效果不佳；</w:t>
      </w:r>
      <w:r>
        <w:rPr>
          <w:rFonts w:hint="eastAsia" w:ascii="仿宋" w:hAnsi="仿宋" w:eastAsia="仿宋" w:cs="仿宋"/>
          <w:b/>
          <w:bCs/>
          <w:kern w:val="2"/>
          <w:sz w:val="32"/>
          <w:szCs w:val="32"/>
          <w:lang w:val="en-US" w:eastAsia="zh-CN" w:bidi="ar-SA"/>
        </w:rPr>
        <w:t>二是</w:t>
      </w:r>
      <w:r>
        <w:rPr>
          <w:rFonts w:hint="eastAsia" w:ascii="仿宋" w:hAnsi="仿宋" w:eastAsia="仿宋" w:cs="仿宋"/>
          <w:kern w:val="2"/>
          <w:sz w:val="32"/>
          <w:szCs w:val="32"/>
          <w:lang w:val="en-US" w:eastAsia="zh-CN" w:bidi="ar-SA"/>
        </w:rPr>
        <w:t>财政投入有限，分类收运体系不完善，分类投放和末端分类处理终端未能实现闭环，</w:t>
      </w:r>
      <w:r>
        <w:rPr>
          <w:rFonts w:hint="eastAsia" w:ascii="仿宋" w:hAnsi="仿宋" w:eastAsia="仿宋" w:cs="仿宋"/>
          <w:b/>
          <w:bCs/>
          <w:kern w:val="2"/>
          <w:sz w:val="32"/>
          <w:szCs w:val="32"/>
          <w:lang w:val="en-US" w:eastAsia="zh-CN" w:bidi="ar-SA"/>
        </w:rPr>
        <w:t>三是</w:t>
      </w:r>
      <w:r>
        <w:rPr>
          <w:rFonts w:hint="eastAsia" w:ascii="仿宋" w:hAnsi="仿宋" w:eastAsia="仿宋" w:cs="仿宋"/>
          <w:kern w:val="2"/>
          <w:sz w:val="32"/>
          <w:szCs w:val="32"/>
          <w:lang w:val="en-US" w:eastAsia="zh-CN" w:bidi="ar-SA"/>
        </w:rPr>
        <w:t>专班工作人员未能定职定责，没有专项工作经费，很难推动工作</w:t>
      </w:r>
      <w:r>
        <w:rPr>
          <w:rFonts w:hint="eastAsia" w:ascii="仿宋" w:hAnsi="仿宋" w:eastAsia="仿宋" w:cs="仿宋"/>
          <w:color w:val="auto"/>
          <w:sz w:val="32"/>
          <w:szCs w:val="32"/>
          <w:lang w:eastAsia="zh-CN"/>
        </w:rPr>
        <w:t>。</w:t>
      </w:r>
    </w:p>
    <w:p>
      <w:pPr>
        <w:pStyle w:val="6"/>
        <w:widowControl/>
        <w:snapToGrid w:val="0"/>
        <w:spacing w:line="500" w:lineRule="exact"/>
        <w:ind w:firstLine="646"/>
        <w:jc w:val="both"/>
        <w:rPr>
          <w:rFonts w:ascii="Times New Roman" w:hAnsi="Times New Roman" w:eastAsia="楷体"/>
          <w:b/>
          <w:color w:val="auto"/>
          <w:sz w:val="32"/>
          <w:szCs w:val="32"/>
        </w:rPr>
      </w:pPr>
      <w:r>
        <w:rPr>
          <w:rFonts w:ascii="Times New Roman" w:hAnsi="Times New Roman" w:eastAsia="楷体"/>
          <w:b/>
          <w:color w:val="auto"/>
          <w:sz w:val="32"/>
          <w:szCs w:val="32"/>
        </w:rPr>
        <w:t>六、有关建议</w:t>
      </w:r>
    </w:p>
    <w:p>
      <w:pPr>
        <w:pStyle w:val="10"/>
        <w:numPr>
          <w:ilvl w:val="0"/>
          <w:numId w:val="0"/>
        </w:numPr>
        <w:spacing w:line="51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（一）提高思想认识，高位推动工作。深学笃用习近平总书记关于垃圾分类工作的重要论述，贯彻落实市垃圾分类工作要求，强化领导，加强对相关部门的指导建议和督导督查。完成</w:t>
      </w:r>
      <w:r>
        <w:rPr>
          <w:rFonts w:hint="eastAsia" w:ascii="仿宋" w:hAnsi="仿宋" w:eastAsia="仿宋" w:cs="仿宋"/>
          <w:color w:val="auto"/>
          <w:sz w:val="32"/>
          <w:szCs w:val="32"/>
          <w:lang w:eastAsia="zh-CN"/>
        </w:rPr>
        <w:t>本年度目标任务，积极与县财政部门对接汇报，加强</w:t>
      </w:r>
      <w:r>
        <w:rPr>
          <w:rFonts w:hint="eastAsia" w:ascii="仿宋" w:hAnsi="仿宋" w:eastAsia="仿宋" w:cs="仿宋"/>
          <w:color w:val="auto"/>
          <w:sz w:val="32"/>
          <w:szCs w:val="32"/>
          <w:lang w:val="en-US" w:eastAsia="zh-CN"/>
        </w:rPr>
        <w:t>2023年生活垃圾分类工作的保障措施</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同时加强学习交流，与杭州市富阳区生活垃圾分类工作“1对1”交流协作，学习先进经验，并邀请富阳区人员来中方指导，高位推动我县垃圾分类工作。</w:t>
      </w:r>
    </w:p>
    <w:p>
      <w:pPr>
        <w:pStyle w:val="10"/>
        <w:numPr>
          <w:ilvl w:val="0"/>
          <w:numId w:val="0"/>
        </w:numPr>
        <w:spacing w:line="51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（二）明确责任分工，党建示范社区。创建好示范社区后，</w:t>
      </w:r>
      <w:r>
        <w:rPr>
          <w:rFonts w:hint="default" w:ascii="仿宋" w:hAnsi="仿宋" w:eastAsia="仿宋" w:cs="仿宋"/>
          <w:color w:val="auto"/>
          <w:sz w:val="32"/>
          <w:szCs w:val="32"/>
          <w:lang w:val="en-US" w:eastAsia="zh-CN"/>
        </w:rPr>
        <w:t>将垃圾分类作为基层党建工作的一部分，进一步采取有力措施，让</w:t>
      </w:r>
      <w:r>
        <w:rPr>
          <w:rFonts w:hint="eastAsia" w:ascii="仿宋" w:hAnsi="仿宋" w:eastAsia="仿宋" w:cs="仿宋"/>
          <w:color w:val="auto"/>
          <w:sz w:val="32"/>
          <w:szCs w:val="32"/>
          <w:lang w:val="en-US" w:eastAsia="zh-CN"/>
        </w:rPr>
        <w:t>行业主管部门和社区</w:t>
      </w:r>
      <w:r>
        <w:rPr>
          <w:rFonts w:hint="default" w:ascii="仿宋" w:hAnsi="仿宋" w:eastAsia="仿宋" w:cs="仿宋"/>
          <w:color w:val="auto"/>
          <w:sz w:val="32"/>
          <w:szCs w:val="32"/>
          <w:lang w:val="en-US" w:eastAsia="zh-CN"/>
        </w:rPr>
        <w:t>将垃圾分类主体责任扛起来。同时按照“管行业必须管垃圾分类</w:t>
      </w:r>
      <w:r>
        <w:rPr>
          <w:rFonts w:hint="eastAsia" w:ascii="仿宋" w:hAnsi="仿宋" w:eastAsia="仿宋" w:cs="仿宋"/>
          <w:color w:val="auto"/>
          <w:sz w:val="32"/>
          <w:szCs w:val="32"/>
          <w:lang w:val="en-US" w:eastAsia="zh-CN"/>
        </w:rPr>
        <w:t>”</w:t>
      </w:r>
      <w:r>
        <w:rPr>
          <w:rFonts w:hint="default" w:ascii="仿宋" w:hAnsi="仿宋" w:eastAsia="仿宋" w:cs="仿宋"/>
          <w:color w:val="auto"/>
          <w:sz w:val="32"/>
          <w:szCs w:val="32"/>
          <w:lang w:val="en-US" w:eastAsia="zh-CN"/>
        </w:rPr>
        <w:t>的要求和</w:t>
      </w:r>
      <w:r>
        <w:rPr>
          <w:rFonts w:hint="eastAsia" w:ascii="仿宋" w:hAnsi="仿宋" w:eastAsia="仿宋" w:cs="仿宋"/>
          <w:color w:val="auto"/>
          <w:sz w:val="32"/>
          <w:szCs w:val="32"/>
          <w:lang w:val="en-US" w:eastAsia="zh-CN"/>
        </w:rPr>
        <w:t>“</w:t>
      </w:r>
      <w:r>
        <w:rPr>
          <w:rFonts w:hint="default" w:ascii="仿宋" w:hAnsi="仿宋" w:eastAsia="仿宋" w:cs="仿宋"/>
          <w:color w:val="auto"/>
          <w:sz w:val="32"/>
          <w:szCs w:val="32"/>
          <w:lang w:val="en-US" w:eastAsia="zh-CN"/>
        </w:rPr>
        <w:t>谁主管、谁负责</w:t>
      </w:r>
      <w:r>
        <w:rPr>
          <w:rFonts w:hint="eastAsia" w:ascii="仿宋" w:hAnsi="仿宋" w:eastAsia="仿宋" w:cs="仿宋"/>
          <w:color w:val="auto"/>
          <w:sz w:val="32"/>
          <w:szCs w:val="32"/>
          <w:lang w:val="en-US" w:eastAsia="zh-CN"/>
        </w:rPr>
        <w:t>”</w:t>
      </w:r>
      <w:r>
        <w:rPr>
          <w:rFonts w:hint="default" w:ascii="仿宋" w:hAnsi="仿宋" w:eastAsia="仿宋" w:cs="仿宋"/>
          <w:color w:val="auto"/>
          <w:sz w:val="32"/>
          <w:szCs w:val="32"/>
          <w:lang w:val="en-US" w:eastAsia="zh-CN"/>
        </w:rPr>
        <w:t>的原则，督促各主管单位做好行业领域内的垃圾分类工作，与各载体单位“形成合力”，有效推进生活垃圾分类</w:t>
      </w:r>
      <w:r>
        <w:rPr>
          <w:rFonts w:hint="eastAsia" w:ascii="仿宋" w:hAnsi="仿宋" w:eastAsia="仿宋" w:cs="仿宋"/>
          <w:color w:val="auto"/>
          <w:sz w:val="32"/>
          <w:szCs w:val="32"/>
          <w:lang w:val="en-US" w:eastAsia="zh-CN"/>
        </w:rPr>
        <w:t>示范社区的创建</w:t>
      </w:r>
      <w:r>
        <w:rPr>
          <w:rFonts w:hint="default" w:ascii="仿宋" w:hAnsi="仿宋" w:eastAsia="仿宋" w:cs="仿宋"/>
          <w:color w:val="auto"/>
          <w:sz w:val="32"/>
          <w:szCs w:val="32"/>
          <w:lang w:val="en-US" w:eastAsia="zh-CN"/>
        </w:rPr>
        <w:t>工作。</w:t>
      </w:r>
      <w:r>
        <w:rPr>
          <w:rFonts w:hint="eastAsia" w:ascii="仿宋" w:hAnsi="仿宋" w:eastAsia="仿宋" w:cs="仿宋"/>
          <w:color w:val="auto"/>
          <w:sz w:val="32"/>
          <w:szCs w:val="32"/>
          <w:lang w:val="en-US" w:eastAsia="zh-CN"/>
        </w:rPr>
        <w:t xml:space="preserve">  </w:t>
      </w:r>
    </w:p>
    <w:p>
      <w:pPr>
        <w:pStyle w:val="10"/>
        <w:numPr>
          <w:ilvl w:val="0"/>
          <w:numId w:val="0"/>
        </w:numPr>
        <w:spacing w:line="510" w:lineRule="exact"/>
        <w:ind w:firstLine="640" w:firstLineChars="200"/>
        <w:rPr>
          <w:rFonts w:hint="default"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 xml:space="preserve"> （三）</w:t>
      </w:r>
      <w:r>
        <w:rPr>
          <w:rFonts w:hint="eastAsia" w:ascii="仿宋" w:hAnsi="仿宋" w:eastAsia="仿宋" w:cs="仿宋"/>
          <w:color w:val="auto"/>
          <w:sz w:val="32"/>
          <w:szCs w:val="32"/>
          <w:lang w:eastAsia="zh-CN"/>
        </w:rPr>
        <w:t>加强培训力度，创新宣传方式。一</w:t>
      </w:r>
      <w:r>
        <w:rPr>
          <w:rFonts w:hint="default" w:ascii="仿宋" w:hAnsi="仿宋" w:eastAsia="仿宋" w:cs="仿宋"/>
          <w:color w:val="auto"/>
          <w:sz w:val="32"/>
          <w:szCs w:val="32"/>
          <w:lang w:eastAsia="zh-CN"/>
        </w:rPr>
        <w:t>是定期在居民小区内部开展垃圾分类主题宣传活动，增强居民分类意识</w:t>
      </w:r>
      <w:r>
        <w:rPr>
          <w:rFonts w:hint="eastAsia" w:ascii="仿宋" w:hAnsi="仿宋" w:eastAsia="仿宋" w:cs="仿宋"/>
          <w:color w:val="auto"/>
          <w:sz w:val="32"/>
          <w:szCs w:val="32"/>
          <w:lang w:eastAsia="zh-CN"/>
        </w:rPr>
        <w:t>。二</w:t>
      </w:r>
      <w:r>
        <w:rPr>
          <w:rFonts w:hint="default" w:ascii="仿宋" w:hAnsi="仿宋" w:eastAsia="仿宋" w:cs="仿宋"/>
          <w:color w:val="auto"/>
          <w:sz w:val="32"/>
          <w:szCs w:val="32"/>
          <w:lang w:eastAsia="zh-CN"/>
        </w:rPr>
        <w:t>是带上“三件套”、小礼品入户宣传，手把手、面对面做好宣传培训指导，引导源头正确分类、定点投放</w:t>
      </w:r>
      <w:r>
        <w:rPr>
          <w:rFonts w:hint="eastAsia" w:ascii="仿宋" w:hAnsi="仿宋" w:eastAsia="仿宋" w:cs="仿宋"/>
          <w:color w:val="auto"/>
          <w:sz w:val="32"/>
          <w:szCs w:val="32"/>
          <w:lang w:eastAsia="zh-CN"/>
        </w:rPr>
        <w:t>。三</w:t>
      </w:r>
      <w:r>
        <w:rPr>
          <w:rFonts w:hint="default" w:ascii="仿宋" w:hAnsi="仿宋" w:eastAsia="仿宋" w:cs="仿宋"/>
          <w:color w:val="auto"/>
          <w:sz w:val="32"/>
          <w:szCs w:val="32"/>
          <w:lang w:eastAsia="zh-CN"/>
        </w:rPr>
        <w:t>是发挥“小手拉大手”作用，把居民家中垃圾分类作为每周的一项绿色作业，由孩子、家长一起去完成，充分提高小区居民垃圾分类的主动性、自觉性和参与感。</w:t>
      </w:r>
    </w:p>
    <w:p>
      <w:pPr>
        <w:pStyle w:val="10"/>
        <w:numPr>
          <w:ilvl w:val="0"/>
          <w:numId w:val="0"/>
        </w:numPr>
        <w:spacing w:line="510" w:lineRule="exact"/>
        <w:ind w:firstLine="640" w:firstLineChars="2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 （四）</w:t>
      </w:r>
      <w:r>
        <w:rPr>
          <w:rFonts w:hint="default" w:ascii="仿宋" w:hAnsi="仿宋" w:eastAsia="仿宋" w:cs="仿宋"/>
          <w:color w:val="auto"/>
          <w:sz w:val="32"/>
          <w:szCs w:val="32"/>
          <w:lang w:val="en-US" w:eastAsia="zh-CN"/>
        </w:rPr>
        <w:t>强化执法保障，提高分类实效。组织开展生活垃圾分类执法攻坚活动，充分利用执法手段倒逼物业服务企业加强垃圾分类工作开展，确保居民小区生活垃圾从小区内完成分类收集、分类转运，从而提高</w:t>
      </w:r>
      <w:r>
        <w:rPr>
          <w:rFonts w:hint="eastAsia" w:ascii="仿宋" w:hAnsi="仿宋" w:eastAsia="仿宋" w:cs="仿宋"/>
          <w:color w:val="auto"/>
          <w:sz w:val="32"/>
          <w:szCs w:val="32"/>
          <w:lang w:val="en-US" w:eastAsia="zh-CN"/>
        </w:rPr>
        <w:t>县城区</w:t>
      </w:r>
      <w:r>
        <w:rPr>
          <w:rFonts w:hint="default" w:ascii="仿宋" w:hAnsi="仿宋" w:eastAsia="仿宋" w:cs="仿宋"/>
          <w:color w:val="auto"/>
          <w:sz w:val="32"/>
          <w:szCs w:val="32"/>
          <w:lang w:val="en-US" w:eastAsia="zh-CN"/>
        </w:rPr>
        <w:t>生活垃圾分拣处理能力，确保</w:t>
      </w:r>
      <w:r>
        <w:rPr>
          <w:rFonts w:hint="eastAsia" w:ascii="仿宋" w:hAnsi="仿宋" w:eastAsia="仿宋" w:cs="仿宋"/>
          <w:color w:val="auto"/>
          <w:sz w:val="32"/>
          <w:szCs w:val="32"/>
          <w:lang w:val="en-US" w:eastAsia="zh-CN"/>
        </w:rPr>
        <w:t>生活垃圾分类</w:t>
      </w:r>
      <w:r>
        <w:rPr>
          <w:rFonts w:hint="default" w:ascii="仿宋" w:hAnsi="仿宋" w:eastAsia="仿宋" w:cs="仿宋"/>
          <w:color w:val="auto"/>
          <w:sz w:val="32"/>
          <w:szCs w:val="32"/>
          <w:lang w:val="en-US" w:eastAsia="zh-CN"/>
        </w:rPr>
        <w:t>工作取得实质性进展。</w:t>
      </w:r>
    </w:p>
    <w:p>
      <w:pPr>
        <w:pStyle w:val="10"/>
        <w:numPr>
          <w:ilvl w:val="0"/>
          <w:numId w:val="4"/>
        </w:numPr>
        <w:spacing w:line="510" w:lineRule="exact"/>
        <w:ind w:firstLine="643" w:firstLineChars="200"/>
        <w:rPr>
          <w:rFonts w:ascii="Times New Roman" w:hAnsi="Times New Roman" w:eastAsia="楷体"/>
          <w:b/>
          <w:sz w:val="32"/>
          <w:szCs w:val="32"/>
        </w:rPr>
      </w:pPr>
      <w:r>
        <w:rPr>
          <w:rFonts w:ascii="Times New Roman" w:hAnsi="Times New Roman" w:eastAsia="楷体"/>
          <w:b/>
          <w:sz w:val="32"/>
          <w:szCs w:val="32"/>
        </w:rPr>
        <w:t>其他需要说明的问题</w:t>
      </w:r>
    </w:p>
    <w:p>
      <w:pPr>
        <w:pStyle w:val="10"/>
        <w:numPr>
          <w:ilvl w:val="0"/>
          <w:numId w:val="0"/>
        </w:numPr>
        <w:spacing w:line="510" w:lineRule="exact"/>
        <w:ind w:firstLine="640" w:firstLineChars="200"/>
        <w:rPr>
          <w:rFonts w:ascii="Times New Roman" w:hAnsi="Times New Roman" w:eastAsia="楷体"/>
          <w:b/>
          <w:sz w:val="32"/>
          <w:szCs w:val="32"/>
        </w:rPr>
      </w:pPr>
      <w:r>
        <w:rPr>
          <w:rFonts w:hint="eastAsia" w:ascii="仿宋" w:hAnsi="仿宋" w:eastAsia="仿宋" w:cs="仿宋"/>
          <w:color w:val="auto"/>
          <w:sz w:val="32"/>
          <w:szCs w:val="32"/>
          <w:lang w:eastAsia="zh-CN"/>
        </w:rPr>
        <w:t>政府应加大爱护环境卫生的宣教传力度，减少乱丢、乱倒垃圾现象，不断提高市民的素质，才能从源头上抓好垃圾分类工作。</w:t>
      </w:r>
    </w:p>
    <w:p>
      <w:pPr>
        <w:widowControl/>
        <w:spacing w:line="510" w:lineRule="exact"/>
        <w:ind w:firstLine="645"/>
        <w:jc w:val="left"/>
        <w:rPr>
          <w:rFonts w:ascii="Times New Roman" w:hAnsi="Times New Roman" w:eastAsia="仿宋_GB2312"/>
          <w:sz w:val="32"/>
          <w:szCs w:val="32"/>
        </w:rPr>
      </w:pPr>
      <w:r>
        <w:rPr>
          <w:rFonts w:ascii="Times New Roman" w:hAnsi="Times New Roman" w:eastAsia="仿宋_GB2312"/>
          <w:sz w:val="32"/>
          <w:szCs w:val="32"/>
        </w:rPr>
        <w:t>附件：1.项目支出绩效自评表</w:t>
      </w:r>
    </w:p>
    <w:p>
      <w:pPr>
        <w:widowControl/>
        <w:spacing w:line="510" w:lineRule="exact"/>
        <w:ind w:firstLine="1600" w:firstLineChars="500"/>
        <w:jc w:val="left"/>
        <w:rPr>
          <w:rFonts w:hint="eastAsia" w:ascii="Times New Roman" w:hAnsi="Times New Roman" w:eastAsia="仿宋"/>
          <w:sz w:val="32"/>
          <w:szCs w:val="32"/>
          <w:lang w:eastAsia="zh-CN"/>
        </w:rPr>
      </w:pPr>
      <w:r>
        <w:rPr>
          <w:rFonts w:ascii="Times New Roman" w:hAnsi="Times New Roman" w:eastAsia="仿宋_GB2312"/>
          <w:sz w:val="32"/>
          <w:szCs w:val="32"/>
        </w:rPr>
        <w:t>2.项目支出绩效评价指标</w:t>
      </w:r>
      <w:r>
        <w:rPr>
          <w:rFonts w:ascii="Times New Roman" w:hAnsi="Times New Roman" w:eastAsia="仿宋_GB2312"/>
          <w:bCs/>
          <w:color w:val="000000"/>
          <w:kern w:val="0"/>
          <w:sz w:val="32"/>
          <w:szCs w:val="32"/>
        </w:rPr>
        <w:t>评分表</w:t>
      </w:r>
    </w:p>
    <w:p>
      <w:pPr>
        <w:pStyle w:val="10"/>
        <w:spacing w:line="510" w:lineRule="exact"/>
        <w:jc w:val="left"/>
        <w:rPr>
          <w:rFonts w:hint="eastAsia" w:ascii="Times New Roman" w:hAnsi="Times New Roman" w:eastAsia="仿宋"/>
          <w:sz w:val="32"/>
          <w:szCs w:val="32"/>
          <w:lang w:eastAsia="zh-CN"/>
        </w:rPr>
      </w:pPr>
    </w:p>
    <w:p>
      <w:pPr>
        <w:rPr>
          <w:rFonts w:hint="eastAsia" w:ascii="Times New Roman" w:hAnsi="Times New Roman" w:eastAsia="仿宋"/>
          <w:sz w:val="32"/>
          <w:szCs w:val="32"/>
          <w:lang w:eastAsia="zh-CN"/>
        </w:rPr>
      </w:pPr>
      <w:r>
        <w:rPr>
          <w:rFonts w:hint="eastAsia" w:ascii="Times New Roman" w:hAnsi="Times New Roman" w:eastAsia="仿宋"/>
          <w:sz w:val="32"/>
          <w:szCs w:val="32"/>
          <w:lang w:eastAsia="zh-CN"/>
        </w:rPr>
        <w:br w:type="page"/>
      </w:r>
    </w:p>
    <w:p>
      <w:pPr>
        <w:pStyle w:val="10"/>
        <w:spacing w:line="510" w:lineRule="exact"/>
        <w:jc w:val="left"/>
        <w:rPr>
          <w:rFonts w:hint="eastAsia" w:ascii="Times New Roman" w:hAnsi="Times New Roman" w:eastAsia="仿宋"/>
          <w:sz w:val="32"/>
          <w:szCs w:val="32"/>
          <w:lang w:val="en-US" w:eastAsia="zh-CN"/>
        </w:rPr>
      </w:pPr>
      <w:r>
        <w:rPr>
          <w:rFonts w:hint="eastAsia" w:ascii="Times New Roman" w:hAnsi="Times New Roman" w:eastAsia="仿宋"/>
          <w:sz w:val="32"/>
          <w:szCs w:val="32"/>
          <w:lang w:eastAsia="zh-CN"/>
        </w:rPr>
        <w:t>附件</w:t>
      </w:r>
      <w:r>
        <w:rPr>
          <w:rFonts w:hint="eastAsia" w:ascii="Times New Roman" w:hAnsi="Times New Roman" w:eastAsia="仿宋"/>
          <w:sz w:val="32"/>
          <w:szCs w:val="32"/>
          <w:lang w:val="en-US" w:eastAsia="zh-CN"/>
        </w:rPr>
        <w:t>1</w:t>
      </w:r>
    </w:p>
    <w:p>
      <w:pPr>
        <w:pStyle w:val="10"/>
        <w:spacing w:line="510" w:lineRule="exact"/>
        <w:jc w:val="center"/>
        <w:rPr>
          <w:rFonts w:hint="eastAsia" w:ascii="Times New Roman" w:hAnsi="Times New Roman" w:eastAsia="宋体" w:cs="Times New Roman"/>
          <w:b/>
          <w:bCs/>
          <w:kern w:val="0"/>
          <w:sz w:val="32"/>
          <w:szCs w:val="32"/>
          <w:lang w:val="en-US" w:eastAsia="zh-CN" w:bidi="ar-SA"/>
        </w:rPr>
      </w:pPr>
      <w:r>
        <w:rPr>
          <w:rFonts w:hint="eastAsia" w:ascii="Times New Roman" w:hAnsi="Times New Roman" w:eastAsia="宋体" w:cs="Times New Roman"/>
          <w:b/>
          <w:bCs/>
          <w:kern w:val="0"/>
          <w:sz w:val="32"/>
          <w:szCs w:val="32"/>
          <w:lang w:val="en-US" w:eastAsia="zh-CN" w:bidi="ar-SA"/>
        </w:rPr>
        <w:t>项目支出绩效自评表</w:t>
      </w:r>
    </w:p>
    <w:tbl>
      <w:tblPr>
        <w:tblStyle w:val="7"/>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42"/>
        <w:gridCol w:w="709"/>
        <w:gridCol w:w="708"/>
      </w:tblGrid>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noWrap w:val="0"/>
            <w:vAlign w:val="top"/>
          </w:tcPr>
          <w:p>
            <w:pPr>
              <w:widowControl/>
              <w:jc w:val="center"/>
              <w:rPr>
                <w:rFonts w:ascii="Times New Roman" w:hAnsi="Times New Roman"/>
                <w:kern w:val="0"/>
                <w:sz w:val="22"/>
                <w:szCs w:val="22"/>
              </w:rPr>
            </w:pPr>
            <w:r>
              <w:rPr>
                <w:rFonts w:ascii="Times New Roman" w:hAnsi="Times New Roman"/>
                <w:kern w:val="0"/>
                <w:sz w:val="22"/>
                <w:szCs w:val="22"/>
              </w:rPr>
              <w:t>（</w:t>
            </w:r>
            <w:r>
              <w:rPr>
                <w:rFonts w:hint="eastAsia" w:ascii="Times New Roman" w:hAnsi="Times New Roman"/>
                <w:kern w:val="0"/>
                <w:sz w:val="22"/>
                <w:szCs w:val="22"/>
                <w:lang w:eastAsia="zh-CN"/>
              </w:rPr>
              <w:t>2023年</w:t>
            </w:r>
            <w:r>
              <w:rPr>
                <w:rFonts w:ascii="Times New Roman" w:hAnsi="Times New Roman"/>
                <w:kern w:val="0"/>
                <w:sz w:val="22"/>
                <w:szCs w:val="22"/>
              </w:rPr>
              <w:t>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项目名称</w:t>
            </w:r>
          </w:p>
        </w:tc>
        <w:tc>
          <w:tcPr>
            <w:tcW w:w="7512" w:type="dxa"/>
            <w:gridSpan w:val="1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中方县城区生活垃圾分类</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主管部门</w:t>
            </w:r>
          </w:p>
        </w:tc>
        <w:tc>
          <w:tcPr>
            <w:tcW w:w="4110"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eastAsia="zh-CN"/>
              </w:rPr>
              <w:t>中方县城市管理和综合执法局</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实施单位</w:t>
            </w:r>
          </w:p>
        </w:tc>
        <w:tc>
          <w:tcPr>
            <w:tcW w:w="2268"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政府采购中标企业</w:t>
            </w:r>
          </w:p>
        </w:tc>
      </w:tr>
      <w:tr>
        <w:tblPrEx>
          <w:tblCellMar>
            <w:top w:w="0" w:type="dxa"/>
            <w:left w:w="108" w:type="dxa"/>
            <w:bottom w:w="0" w:type="dxa"/>
            <w:right w:w="108" w:type="dxa"/>
          </w:tblCellMar>
        </w:tblPrEx>
        <w:trPr>
          <w:trHeight w:val="436"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项目资金</w:t>
            </w:r>
            <w:r>
              <w:rPr>
                <w:rFonts w:ascii="Times New Roman" w:hAnsi="Times New Roman"/>
                <w:kern w:val="0"/>
                <w:sz w:val="18"/>
                <w:szCs w:val="18"/>
              </w:rPr>
              <w:br w:type="textWrapping"/>
            </w:r>
            <w:r>
              <w:rPr>
                <w:rFonts w:ascii="Times New Roman" w:hAnsi="Times New Roman"/>
                <w:kern w:val="0"/>
                <w:sz w:val="18"/>
                <w:szCs w:val="18"/>
              </w:rPr>
              <w:t>（万元）</w:t>
            </w: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年初预算数</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全年预算数</w:t>
            </w:r>
            <w:r>
              <w:rPr>
                <w:rFonts w:ascii="Times New Roman" w:hAnsi="Times New Roman"/>
                <w:color w:val="000000"/>
                <w:kern w:val="0"/>
                <w:sz w:val="20"/>
                <w:szCs w:val="20"/>
              </w:rPr>
              <w:t>（A）</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highlight w:val="none"/>
              </w:rPr>
            </w:pPr>
            <w:r>
              <w:rPr>
                <w:rFonts w:ascii="Times New Roman" w:hAnsi="Times New Roman"/>
                <w:kern w:val="0"/>
                <w:sz w:val="18"/>
                <w:szCs w:val="18"/>
                <w:highlight w:val="none"/>
              </w:rPr>
              <w:t>全年执行数</w:t>
            </w:r>
            <w:r>
              <w:rPr>
                <w:rFonts w:ascii="Times New Roman" w:hAnsi="Times New Roman"/>
                <w:color w:val="000000"/>
                <w:kern w:val="0"/>
                <w:sz w:val="20"/>
                <w:szCs w:val="20"/>
                <w:highlight w:val="none"/>
              </w:rPr>
              <w:t>（B）</w:t>
            </w: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highlight w:val="none"/>
              </w:rPr>
            </w:pPr>
            <w:r>
              <w:rPr>
                <w:rFonts w:ascii="Times New Roman" w:hAnsi="Times New Roman"/>
                <w:kern w:val="0"/>
                <w:sz w:val="18"/>
                <w:szCs w:val="18"/>
                <w:highlight w:val="none"/>
              </w:rPr>
              <w:t>分值</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highlight w:val="none"/>
              </w:rPr>
            </w:pPr>
            <w:r>
              <w:rPr>
                <w:rFonts w:ascii="Times New Roman" w:hAnsi="Times New Roman"/>
                <w:kern w:val="0"/>
                <w:sz w:val="18"/>
                <w:szCs w:val="18"/>
                <w:highlight w:val="none"/>
              </w:rPr>
              <w:t>执行率</w:t>
            </w:r>
            <w:r>
              <w:rPr>
                <w:rFonts w:ascii="Times New Roman" w:hAnsi="Times New Roman"/>
                <w:color w:val="000000"/>
                <w:kern w:val="0"/>
                <w:sz w:val="20"/>
                <w:szCs w:val="20"/>
                <w:highlight w:val="none"/>
              </w:rPr>
              <w:t>（B/A)</w:t>
            </w: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highlight w:val="none"/>
              </w:rPr>
            </w:pPr>
            <w:r>
              <w:rPr>
                <w:rFonts w:ascii="Times New Roman" w:hAnsi="Times New Roman"/>
                <w:kern w:val="0"/>
                <w:sz w:val="18"/>
                <w:szCs w:val="18"/>
                <w:highlight w:val="none"/>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ascii="Times New Roman" w:hAnsi="Times New Roman"/>
                <w:kern w:val="0"/>
                <w:sz w:val="18"/>
                <w:szCs w:val="18"/>
              </w:rPr>
            </w:pPr>
            <w:r>
              <w:rPr>
                <w:rFonts w:ascii="Times New Roman" w:hAnsi="Times New Roman"/>
                <w:kern w:val="0"/>
                <w:sz w:val="18"/>
                <w:szCs w:val="18"/>
              </w:rPr>
              <w:t>年度资金总额</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40</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kern w:val="0"/>
                <w:sz w:val="18"/>
                <w:szCs w:val="18"/>
                <w:lang w:val="en-US"/>
              </w:rPr>
            </w:pPr>
            <w:r>
              <w:rPr>
                <w:rFonts w:hint="eastAsia" w:ascii="Times New Roman" w:hAnsi="Times New Roman"/>
                <w:kern w:val="0"/>
                <w:sz w:val="18"/>
                <w:szCs w:val="18"/>
                <w:lang w:val="en-US" w:eastAsia="zh-CN"/>
              </w:rPr>
              <w:t>40</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kern w:val="0"/>
                <w:sz w:val="18"/>
                <w:szCs w:val="18"/>
                <w:highlight w:val="none"/>
                <w:lang w:val="en-US"/>
              </w:rPr>
            </w:pPr>
            <w:r>
              <w:rPr>
                <w:rFonts w:hint="eastAsia" w:ascii="Times New Roman" w:hAnsi="Times New Roman"/>
                <w:kern w:val="0"/>
                <w:sz w:val="18"/>
                <w:szCs w:val="18"/>
                <w:highlight w:val="none"/>
                <w:lang w:val="en-US" w:eastAsia="zh-CN"/>
              </w:rPr>
              <w:t>12.31</w:t>
            </w: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highlight w:val="none"/>
              </w:rPr>
            </w:pPr>
            <w:r>
              <w:rPr>
                <w:rFonts w:ascii="Times New Roman" w:hAnsi="Times New Roman"/>
                <w:kern w:val="0"/>
                <w:sz w:val="18"/>
                <w:szCs w:val="18"/>
                <w:highlight w:val="none"/>
              </w:rPr>
              <w:t>10</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highlight w:val="none"/>
                <w:lang w:val="en-US" w:eastAsia="zh-CN"/>
              </w:rPr>
            </w:pPr>
            <w:r>
              <w:rPr>
                <w:rFonts w:hint="eastAsia" w:ascii="Times New Roman" w:hAnsi="Times New Roman"/>
                <w:kern w:val="0"/>
                <w:sz w:val="18"/>
                <w:szCs w:val="18"/>
                <w:highlight w:val="none"/>
                <w:lang w:val="en-US" w:eastAsia="zh-CN"/>
              </w:rPr>
              <w:t>30.77%</w:t>
            </w: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highlight w:val="none"/>
                <w:lang w:val="en-US" w:eastAsia="zh-CN"/>
              </w:rPr>
            </w:pPr>
            <w:r>
              <w:rPr>
                <w:rFonts w:hint="eastAsia" w:ascii="Times New Roman" w:hAnsi="Times New Roman"/>
                <w:kern w:val="0"/>
                <w:sz w:val="18"/>
                <w:szCs w:val="18"/>
                <w:highlight w:val="none"/>
                <w:lang w:val="en-US" w:eastAsia="zh-CN"/>
              </w:rPr>
              <w:t>8</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其中：当年财政拨款</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highlight w:val="none"/>
                <w:lang w:val="en-US" w:eastAsia="zh-CN"/>
              </w:rPr>
            </w:pPr>
            <w:r>
              <w:rPr>
                <w:rFonts w:hint="eastAsia" w:ascii="Times New Roman" w:hAnsi="Times New Roman"/>
                <w:kern w:val="0"/>
                <w:sz w:val="18"/>
                <w:szCs w:val="18"/>
                <w:highlight w:val="none"/>
                <w:lang w:val="en-US" w:eastAsia="zh-CN"/>
              </w:rPr>
              <w:t>12.31</w:t>
            </w: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highlight w:val="none"/>
              </w:rPr>
            </w:pPr>
            <w:r>
              <w:rPr>
                <w:rFonts w:ascii="Times New Roman" w:hAnsi="Times New Roman"/>
                <w:kern w:val="0"/>
                <w:sz w:val="18"/>
                <w:szCs w:val="18"/>
                <w:highlight w:val="none"/>
              </w:rPr>
              <w:t>—</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highlight w:val="none"/>
              </w:rPr>
            </w:pP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highlight w:val="none"/>
              </w:rPr>
            </w:pPr>
            <w:r>
              <w:rPr>
                <w:rFonts w:ascii="Times New Roman" w:hAnsi="Times New Roman"/>
                <w:kern w:val="0"/>
                <w:sz w:val="18"/>
                <w:szCs w:val="18"/>
                <w:highlight w:val="none"/>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 xml:space="preserve">      上年结转资金</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 xml:space="preserve">  其他资金</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预期目标</w:t>
            </w:r>
          </w:p>
        </w:tc>
        <w:tc>
          <w:tcPr>
            <w:tcW w:w="3402"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实际完成情况</w:t>
            </w:r>
          </w:p>
        </w:tc>
      </w:tr>
      <w:tr>
        <w:tblPrEx>
          <w:tblCellMar>
            <w:top w:w="0" w:type="dxa"/>
            <w:left w:w="108" w:type="dxa"/>
            <w:bottom w:w="0" w:type="dxa"/>
            <w:right w:w="108" w:type="dxa"/>
          </w:tblCellMar>
        </w:tblPrEx>
        <w:trPr>
          <w:trHeight w:val="570" w:hRule="exact"/>
          <w:jc w:val="center"/>
        </w:trPr>
        <w:tc>
          <w:tcPr>
            <w:tcW w:w="58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5090"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配合县“四城同创”工作，确保环境卫生干净整洁、环卫设施正常运行</w:t>
            </w:r>
          </w:p>
        </w:tc>
        <w:tc>
          <w:tcPr>
            <w:tcW w:w="3402"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eastAsia="zh-CN"/>
              </w:rPr>
              <w:t>全面完成</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绩</w:t>
            </w:r>
            <w:r>
              <w:rPr>
                <w:rFonts w:ascii="Times New Roman" w:hAnsi="Times New Roman"/>
                <w:kern w:val="0"/>
                <w:sz w:val="18"/>
                <w:szCs w:val="18"/>
              </w:rPr>
              <w:br w:type="textWrapping"/>
            </w:r>
            <w:r>
              <w:rPr>
                <w:rFonts w:ascii="Times New Roman" w:hAnsi="Times New Roman"/>
                <w:kern w:val="0"/>
                <w:sz w:val="18"/>
                <w:szCs w:val="18"/>
              </w:rPr>
              <w:t>效</w:t>
            </w:r>
            <w:r>
              <w:rPr>
                <w:rFonts w:ascii="Times New Roman" w:hAnsi="Times New Roman"/>
                <w:kern w:val="0"/>
                <w:sz w:val="18"/>
                <w:szCs w:val="18"/>
              </w:rPr>
              <w:br w:type="textWrapping"/>
            </w:r>
            <w:r>
              <w:rPr>
                <w:rFonts w:ascii="Times New Roman" w:hAnsi="Times New Roman"/>
                <w:kern w:val="0"/>
                <w:sz w:val="18"/>
                <w:szCs w:val="18"/>
              </w:rPr>
              <w:t>指</w:t>
            </w:r>
            <w:r>
              <w:rPr>
                <w:rFonts w:ascii="Times New Roman" w:hAnsi="Times New Roman"/>
                <w:kern w:val="0"/>
                <w:sz w:val="18"/>
                <w:szCs w:val="18"/>
              </w:rPr>
              <w:br w:type="textWrapping"/>
            </w:r>
            <w:r>
              <w:rPr>
                <w:rFonts w:ascii="Times New Roman" w:hAnsi="Times New Roman"/>
                <w:kern w:val="0"/>
                <w:sz w:val="18"/>
                <w:szCs w:val="18"/>
              </w:rPr>
              <w:t>标</w:t>
            </w:r>
          </w:p>
        </w:tc>
        <w:tc>
          <w:tcPr>
            <w:tcW w:w="980"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一级指标</w:t>
            </w:r>
          </w:p>
        </w:tc>
        <w:tc>
          <w:tcPr>
            <w:tcW w:w="1112"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二级指标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三级指标</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年度</w:t>
            </w:r>
          </w:p>
          <w:p>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指标值</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实际</w:t>
            </w:r>
          </w:p>
          <w:p>
            <w:pPr>
              <w:widowControl/>
              <w:spacing w:line="240" w:lineRule="exact"/>
              <w:jc w:val="center"/>
              <w:rPr>
                <w:rFonts w:ascii="Times New Roman" w:hAnsi="Times New Roman"/>
                <w:kern w:val="0"/>
                <w:sz w:val="18"/>
                <w:szCs w:val="18"/>
              </w:rPr>
            </w:pPr>
            <w:r>
              <w:rPr>
                <w:rFonts w:ascii="Times New Roman" w:hAnsi="Times New Roman"/>
                <w:kern w:val="0"/>
                <w:sz w:val="18"/>
                <w:szCs w:val="18"/>
              </w:rPr>
              <w:t>完成值</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分值</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得分</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偏差原因分析及改进措施</w:t>
            </w:r>
          </w:p>
        </w:tc>
      </w:tr>
      <w:tr>
        <w:tblPrEx>
          <w:tblCellMar>
            <w:top w:w="0" w:type="dxa"/>
            <w:left w:w="108" w:type="dxa"/>
            <w:bottom w:w="0" w:type="dxa"/>
            <w:right w:w="108" w:type="dxa"/>
          </w:tblCellMar>
        </w:tblPrEx>
        <w:trPr>
          <w:trHeight w:val="57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980"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产出指标</w:t>
            </w:r>
            <w:r>
              <w:rPr>
                <w:rFonts w:ascii="Times New Roman" w:hAnsi="Times New Roman"/>
                <w:kern w:val="0"/>
                <w:sz w:val="20"/>
                <w:szCs w:val="20"/>
              </w:rPr>
              <w:t>(50分)</w:t>
            </w: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数量指标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Times New Roman" w:hAnsi="Times New Roman"/>
                <w:color w:val="000000"/>
                <w:kern w:val="0"/>
                <w:sz w:val="18"/>
                <w:szCs w:val="18"/>
                <w:lang w:val="en-US"/>
              </w:rPr>
            </w:pPr>
            <w:r>
              <w:rPr>
                <w:rFonts w:hint="eastAsia" w:ascii="Times New Roman" w:hAnsi="Times New Roman"/>
                <w:color w:val="000000"/>
                <w:kern w:val="0"/>
                <w:sz w:val="18"/>
                <w:szCs w:val="18"/>
                <w:lang w:eastAsia="zh-CN"/>
              </w:rPr>
              <w:t>建设</w:t>
            </w:r>
            <w:r>
              <w:rPr>
                <w:rFonts w:hint="eastAsia" w:ascii="Times New Roman" w:hAnsi="Times New Roman"/>
                <w:color w:val="000000"/>
                <w:kern w:val="0"/>
                <w:sz w:val="18"/>
                <w:szCs w:val="18"/>
                <w:lang w:val="en-US" w:eastAsia="zh-CN"/>
              </w:rPr>
              <w:t>垃圾分类示范社区数</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kern w:val="0"/>
                <w:sz w:val="18"/>
                <w:szCs w:val="18"/>
                <w:lang w:val="en-US"/>
              </w:rPr>
            </w:pPr>
            <w:r>
              <w:rPr>
                <w:rFonts w:hint="eastAsia" w:ascii="Times New Roman" w:hAnsi="Times New Roman"/>
                <w:kern w:val="0"/>
                <w:sz w:val="18"/>
                <w:szCs w:val="18"/>
                <w:lang w:val="en-US" w:eastAsia="zh-CN"/>
              </w:rPr>
              <w:t>2个</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2个</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val="en-US" w:eastAsia="zh-CN"/>
              </w:rPr>
              <w:t>10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r>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Times New Roman" w:hAnsi="Times New Roman" w:eastAsia="宋体"/>
                <w:color w:val="000000"/>
                <w:kern w:val="0"/>
                <w:sz w:val="18"/>
                <w:szCs w:val="18"/>
                <w:lang w:val="en-US" w:eastAsia="zh-CN"/>
              </w:rPr>
            </w:pPr>
            <w:r>
              <w:rPr>
                <w:rFonts w:hint="eastAsia" w:ascii="Times New Roman" w:hAnsi="Times New Roman"/>
                <w:color w:val="000000"/>
                <w:kern w:val="0"/>
                <w:sz w:val="18"/>
                <w:szCs w:val="18"/>
                <w:lang w:eastAsia="zh-CN"/>
              </w:rPr>
              <w:t>提质建设垃圾分类主题公园</w:t>
            </w:r>
            <w:r>
              <w:rPr>
                <w:rFonts w:hint="eastAsia" w:ascii="Times New Roman" w:hAnsi="Times New Roman"/>
                <w:color w:val="000000"/>
                <w:kern w:val="0"/>
                <w:sz w:val="18"/>
                <w:szCs w:val="18"/>
                <w:lang w:val="en-US" w:eastAsia="zh-CN"/>
              </w:rPr>
              <w:t>数</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1座</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1座</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val="en-US" w:eastAsia="zh-CN"/>
              </w:rPr>
              <w:t>5</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r>
        <w:tblPrEx>
          <w:tblCellMar>
            <w:top w:w="0" w:type="dxa"/>
            <w:left w:w="108" w:type="dxa"/>
            <w:bottom w:w="0" w:type="dxa"/>
            <w:right w:w="108" w:type="dxa"/>
          </w:tblCellMar>
        </w:tblPrEx>
        <w:trPr>
          <w:trHeight w:val="6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1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质量指标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Times New Roman" w:hAnsi="Times New Roman"/>
                <w:color w:val="000000"/>
                <w:kern w:val="0"/>
                <w:sz w:val="18"/>
                <w:szCs w:val="18"/>
                <w:highlight w:val="none"/>
              </w:rPr>
            </w:pPr>
            <w:r>
              <w:rPr>
                <w:rFonts w:hint="eastAsia" w:ascii="Times New Roman" w:hAnsi="Times New Roman"/>
                <w:color w:val="000000"/>
                <w:kern w:val="0"/>
                <w:sz w:val="18"/>
                <w:szCs w:val="18"/>
                <w:highlight w:val="none"/>
                <w:lang w:eastAsia="zh-CN"/>
              </w:rPr>
              <w:t>居民生活垃圾分类知晓率</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highlight w:val="none"/>
              </w:rPr>
            </w:pPr>
            <w:r>
              <w:rPr>
                <w:rFonts w:hint="eastAsia" w:ascii="Times New Roman" w:hAnsi="Times New Roman"/>
                <w:kern w:val="0"/>
                <w:sz w:val="18"/>
                <w:szCs w:val="18"/>
                <w:highlight w:val="none"/>
                <w:lang w:val="en-US" w:eastAsia="zh-CN"/>
              </w:rPr>
              <w:t>≥90</w:t>
            </w:r>
            <w:r>
              <w:rPr>
                <w:rFonts w:hint="eastAsia" w:ascii="Times New Roman" w:hAnsi="Times New Roman"/>
                <w:kern w:val="0"/>
                <w:sz w:val="18"/>
                <w:szCs w:val="18"/>
                <w:highlight w:val="none"/>
              </w:rPr>
              <w:t>%</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highlight w:val="none"/>
              </w:rPr>
            </w:pPr>
            <w:r>
              <w:rPr>
                <w:rFonts w:hint="eastAsia" w:ascii="Times New Roman" w:hAnsi="Times New Roman"/>
                <w:kern w:val="0"/>
                <w:sz w:val="18"/>
                <w:szCs w:val="18"/>
                <w:highlight w:val="none"/>
                <w:lang w:val="en-US" w:eastAsia="zh-CN"/>
              </w:rPr>
              <w:t>80</w:t>
            </w:r>
            <w:r>
              <w:rPr>
                <w:rFonts w:hint="eastAsia" w:ascii="Times New Roman" w:hAnsi="Times New Roman"/>
                <w:kern w:val="0"/>
                <w:sz w:val="18"/>
                <w:szCs w:val="18"/>
                <w:highlight w:val="none"/>
              </w:rPr>
              <w:t>%</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highlight w:val="none"/>
              </w:rPr>
            </w:pPr>
            <w:r>
              <w:rPr>
                <w:rFonts w:hint="eastAsia" w:ascii="Times New Roman" w:hAnsi="Times New Roman"/>
                <w:kern w:val="0"/>
                <w:sz w:val="18"/>
                <w:szCs w:val="18"/>
                <w:highlight w:val="none"/>
                <w:lang w:val="en-US" w:eastAsia="zh-CN"/>
              </w:rPr>
              <w:t>15</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highlight w:val="none"/>
              </w:rPr>
            </w:pPr>
            <w:r>
              <w:rPr>
                <w:rFonts w:hint="eastAsia" w:ascii="Times New Roman" w:hAnsi="Times New Roman"/>
                <w:kern w:val="0"/>
                <w:sz w:val="18"/>
                <w:szCs w:val="18"/>
                <w:highlight w:val="none"/>
                <w:lang w:val="en-US" w:eastAsia="zh-CN"/>
              </w:rPr>
              <w:t>13</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宋体"/>
                <w:kern w:val="0"/>
                <w:sz w:val="18"/>
                <w:szCs w:val="18"/>
                <w:highlight w:val="none"/>
                <w:lang w:eastAsia="zh-CN"/>
              </w:rPr>
            </w:pPr>
          </w:p>
        </w:tc>
      </w:tr>
      <w:tr>
        <w:tblPrEx>
          <w:tblCellMar>
            <w:top w:w="0" w:type="dxa"/>
            <w:left w:w="108" w:type="dxa"/>
            <w:bottom w:w="0" w:type="dxa"/>
            <w:right w:w="108" w:type="dxa"/>
          </w:tblCellMar>
        </w:tblPrEx>
        <w:trPr>
          <w:trHeight w:val="795"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1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时效指标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Times New Roman" w:hAnsi="Times New Roman"/>
                <w:color w:val="000000"/>
                <w:kern w:val="0"/>
                <w:sz w:val="18"/>
                <w:szCs w:val="18"/>
              </w:rPr>
            </w:pPr>
            <w:r>
              <w:rPr>
                <w:rFonts w:hint="eastAsia" w:ascii="Times New Roman" w:hAnsi="Times New Roman"/>
                <w:color w:val="000000"/>
                <w:kern w:val="0"/>
                <w:sz w:val="18"/>
                <w:szCs w:val="18"/>
                <w:highlight w:val="none"/>
              </w:rPr>
              <w:t>按合同</w:t>
            </w:r>
            <w:r>
              <w:rPr>
                <w:rFonts w:hint="eastAsia" w:ascii="Times New Roman" w:hAnsi="Times New Roman"/>
                <w:color w:val="000000"/>
                <w:kern w:val="0"/>
                <w:sz w:val="18"/>
                <w:szCs w:val="18"/>
                <w:highlight w:val="none"/>
                <w:lang w:val="en-US" w:eastAsia="zh-CN"/>
              </w:rPr>
              <w:t>规定时间</w:t>
            </w:r>
            <w:r>
              <w:rPr>
                <w:rFonts w:hint="eastAsia" w:ascii="Times New Roman" w:hAnsi="Times New Roman"/>
                <w:color w:val="000000"/>
                <w:kern w:val="0"/>
                <w:sz w:val="18"/>
                <w:szCs w:val="18"/>
                <w:highlight w:val="none"/>
              </w:rPr>
              <w:t>完成</w:t>
            </w:r>
            <w:r>
              <w:rPr>
                <w:rFonts w:hint="eastAsia" w:ascii="Times New Roman" w:hAnsi="Times New Roman"/>
                <w:color w:val="000000"/>
                <w:kern w:val="0"/>
                <w:sz w:val="18"/>
                <w:szCs w:val="18"/>
                <w:highlight w:val="none"/>
                <w:lang w:val="en-US" w:eastAsia="zh-CN"/>
              </w:rPr>
              <w:t>情况</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val="en-US" w:eastAsia="zh-CN"/>
              </w:rPr>
              <w:t>2023年12月之前</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val="en-US" w:eastAsia="zh-CN"/>
              </w:rPr>
              <w:t>2023年12月</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val="en-US" w:eastAsia="zh-CN"/>
              </w:rPr>
              <w:t>10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r>
        <w:tblPrEx>
          <w:tblCellMar>
            <w:top w:w="0" w:type="dxa"/>
            <w:left w:w="108" w:type="dxa"/>
            <w:bottom w:w="0" w:type="dxa"/>
            <w:right w:w="108" w:type="dxa"/>
          </w:tblCellMar>
        </w:tblPrEx>
        <w:trPr>
          <w:trHeight w:val="54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1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成本指标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Times New Roman" w:hAnsi="Times New Roman"/>
                <w:color w:val="000000"/>
                <w:kern w:val="0"/>
                <w:sz w:val="18"/>
                <w:szCs w:val="18"/>
                <w:highlight w:val="none"/>
              </w:rPr>
            </w:pPr>
            <w:r>
              <w:rPr>
                <w:rFonts w:hint="eastAsia" w:ascii="Times New Roman" w:hAnsi="Times New Roman"/>
                <w:kern w:val="0"/>
                <w:sz w:val="18"/>
                <w:szCs w:val="18"/>
                <w:highlight w:val="none"/>
              </w:rPr>
              <w:t>垃圾分类</w:t>
            </w:r>
            <w:r>
              <w:rPr>
                <w:rFonts w:hint="eastAsia" w:ascii="Times New Roman" w:hAnsi="Times New Roman"/>
                <w:color w:val="000000"/>
                <w:kern w:val="0"/>
                <w:sz w:val="18"/>
                <w:szCs w:val="18"/>
                <w:highlight w:val="none"/>
              </w:rPr>
              <w:t>预算成本控制</w:t>
            </w:r>
          </w:p>
        </w:tc>
        <w:tc>
          <w:tcPr>
            <w:tcW w:w="850" w:type="dxa"/>
            <w:tcBorders>
              <w:top w:val="nil"/>
              <w:left w:val="nil"/>
              <w:bottom w:val="single" w:color="auto" w:sz="4" w:space="0"/>
              <w:right w:val="single" w:color="auto" w:sz="4" w:space="0"/>
            </w:tcBorders>
            <w:noWrap w:val="0"/>
            <w:vAlign w:val="center"/>
          </w:tcPr>
          <w:p>
            <w:pPr>
              <w:widowControl/>
              <w:spacing w:line="240" w:lineRule="exact"/>
              <w:jc w:val="both"/>
              <w:rPr>
                <w:rFonts w:hint="default" w:ascii="Times New Roman" w:hAnsi="Times New Roman"/>
                <w:kern w:val="0"/>
                <w:sz w:val="18"/>
                <w:szCs w:val="18"/>
                <w:highlight w:val="none"/>
                <w:lang w:val="en-US"/>
              </w:rPr>
            </w:pPr>
            <w:r>
              <w:rPr>
                <w:rFonts w:hint="eastAsia" w:ascii="Times New Roman" w:hAnsi="Times New Roman"/>
                <w:kern w:val="0"/>
                <w:sz w:val="18"/>
                <w:szCs w:val="18"/>
                <w:highlight w:val="none"/>
                <w:lang w:val="en-US" w:eastAsia="zh-CN"/>
              </w:rPr>
              <w:t>≤40</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highlight w:val="none"/>
                <w:lang w:val="en-US" w:eastAsia="zh-CN"/>
              </w:rPr>
            </w:pPr>
            <w:r>
              <w:rPr>
                <w:rFonts w:hint="eastAsia" w:ascii="Times New Roman" w:hAnsi="Times New Roman"/>
                <w:kern w:val="0"/>
                <w:sz w:val="18"/>
                <w:szCs w:val="18"/>
                <w:highlight w:val="none"/>
                <w:lang w:val="en-US" w:eastAsia="zh-CN"/>
              </w:rPr>
              <w:t>12.31</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highlight w:val="none"/>
                <w:lang w:val="en-US" w:eastAsia="zh-CN"/>
              </w:rPr>
            </w:pPr>
            <w:r>
              <w:rPr>
                <w:rFonts w:hint="eastAsia" w:ascii="Times New Roman" w:hAnsi="Times New Roman"/>
                <w:kern w:val="0"/>
                <w:sz w:val="18"/>
                <w:szCs w:val="18"/>
                <w:highlight w:val="none"/>
                <w:lang w:val="en-US" w:eastAsia="zh-CN"/>
              </w:rPr>
              <w:t>10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highlight w:val="none"/>
                <w:lang w:val="en-US" w:eastAsia="zh-CN"/>
              </w:rPr>
            </w:pPr>
            <w:r>
              <w:rPr>
                <w:rFonts w:hint="eastAsia" w:ascii="Times New Roman" w:hAnsi="Times New Roman"/>
                <w:kern w:val="0"/>
                <w:sz w:val="18"/>
                <w:szCs w:val="18"/>
                <w:highlight w:val="none"/>
                <w:lang w:val="en-US" w:eastAsia="zh-CN"/>
              </w:rPr>
              <w:t>10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宋体"/>
                <w:kern w:val="0"/>
                <w:sz w:val="18"/>
                <w:szCs w:val="18"/>
                <w:highlight w:val="none"/>
                <w:lang w:eastAsia="zh-CN"/>
              </w:rPr>
            </w:pPr>
          </w:p>
        </w:tc>
      </w:tr>
      <w:tr>
        <w:tblPrEx>
          <w:tblCellMar>
            <w:top w:w="0" w:type="dxa"/>
            <w:left w:w="108" w:type="dxa"/>
            <w:bottom w:w="0" w:type="dxa"/>
            <w:right w:w="108" w:type="dxa"/>
          </w:tblCellMar>
        </w:tblPrEx>
        <w:trPr>
          <w:trHeight w:val="66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980"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效益指标</w:t>
            </w:r>
            <w:r>
              <w:rPr>
                <w:rFonts w:ascii="Times New Roman" w:hAnsi="Times New Roman"/>
                <w:kern w:val="0"/>
                <w:sz w:val="20"/>
                <w:szCs w:val="20"/>
              </w:rPr>
              <w:t>(30分)</w:t>
            </w:r>
          </w:p>
        </w:tc>
        <w:tc>
          <w:tcPr>
            <w:tcW w:w="111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经济效益</w:t>
            </w:r>
          </w:p>
          <w:p>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Times New Roman" w:hAnsi="Times New Roman"/>
                <w:color w:val="000000"/>
                <w:kern w:val="0"/>
                <w:sz w:val="18"/>
                <w:szCs w:val="18"/>
              </w:rPr>
            </w:pPr>
            <w:r>
              <w:rPr>
                <w:rFonts w:hint="eastAsia" w:ascii="Times New Roman" w:hAnsi="Times New Roman"/>
                <w:color w:val="000000"/>
                <w:kern w:val="0"/>
                <w:sz w:val="18"/>
                <w:szCs w:val="18"/>
              </w:rPr>
              <w:t>经济效益情况</w:t>
            </w:r>
            <w:r>
              <w:rPr>
                <w:rFonts w:hint="eastAsia" w:ascii="Times New Roman" w:hAnsi="Times New Roman"/>
                <w:color w:val="000000"/>
                <w:kern w:val="0"/>
                <w:sz w:val="18"/>
                <w:szCs w:val="18"/>
                <w:lang w:eastAsia="zh-CN"/>
              </w:rPr>
              <w:t>：</w:t>
            </w:r>
            <w:r>
              <w:rPr>
                <w:rFonts w:hint="eastAsia" w:ascii="Times New Roman" w:hAnsi="Times New Roman"/>
                <w:color w:val="000000"/>
                <w:kern w:val="0"/>
                <w:sz w:val="18"/>
                <w:szCs w:val="18"/>
              </w:rPr>
              <w:t>改善县城环境，吸引投资商投资</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效果明显</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效果明显</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5</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kern w:val="0"/>
                <w:sz w:val="18"/>
                <w:szCs w:val="18"/>
                <w:lang w:eastAsia="zh-CN"/>
              </w:rPr>
            </w:pPr>
            <w:r>
              <w:rPr>
                <w:rFonts w:hint="eastAsia" w:ascii="Times New Roman" w:hAnsi="Times New Roman"/>
                <w:kern w:val="0"/>
                <w:sz w:val="18"/>
                <w:szCs w:val="18"/>
                <w:lang w:eastAsia="zh-CN"/>
              </w:rPr>
              <w:t>常住人口少，</w:t>
            </w:r>
          </w:p>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eastAsia="zh-CN"/>
              </w:rPr>
              <w:t>推进旺市融城</w:t>
            </w:r>
          </w:p>
        </w:tc>
      </w:tr>
      <w:tr>
        <w:tblPrEx>
          <w:tblCellMar>
            <w:top w:w="0" w:type="dxa"/>
            <w:left w:w="108" w:type="dxa"/>
            <w:bottom w:w="0" w:type="dxa"/>
            <w:right w:w="108" w:type="dxa"/>
          </w:tblCellMar>
        </w:tblPrEx>
        <w:trPr>
          <w:trHeight w:val="81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1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社会效益</w:t>
            </w:r>
          </w:p>
          <w:p>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Times New Roman" w:hAnsi="Times New Roman"/>
                <w:color w:val="000000"/>
                <w:kern w:val="0"/>
                <w:sz w:val="18"/>
                <w:szCs w:val="18"/>
              </w:rPr>
            </w:pPr>
            <w:r>
              <w:rPr>
                <w:rFonts w:hint="eastAsia" w:ascii="Times New Roman" w:hAnsi="Times New Roman"/>
                <w:color w:val="000000"/>
                <w:kern w:val="0"/>
                <w:sz w:val="18"/>
                <w:szCs w:val="18"/>
              </w:rPr>
              <w:t>不断改善县城人居环境卫生</w:t>
            </w:r>
            <w:r>
              <w:rPr>
                <w:rFonts w:hint="eastAsia" w:ascii="Times New Roman" w:hAnsi="Times New Roman"/>
                <w:color w:val="000000"/>
                <w:kern w:val="0"/>
                <w:sz w:val="18"/>
                <w:szCs w:val="18"/>
                <w:lang w:eastAsia="zh-CN"/>
              </w:rPr>
              <w:t>，</w:t>
            </w:r>
            <w:r>
              <w:rPr>
                <w:rFonts w:hint="eastAsia" w:ascii="Times New Roman" w:hAnsi="Times New Roman"/>
                <w:color w:val="000000"/>
                <w:kern w:val="0"/>
                <w:sz w:val="18"/>
                <w:szCs w:val="18"/>
              </w:rPr>
              <w:t>为县城广大市民提供宜居工作生活环境。</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明显提升</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有所提升</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val="en-US" w:eastAsia="zh-CN"/>
              </w:rPr>
              <w:t>10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kern w:val="0"/>
                <w:sz w:val="18"/>
                <w:szCs w:val="18"/>
                <w:lang w:val="en-US"/>
              </w:rPr>
            </w:pPr>
            <w:r>
              <w:rPr>
                <w:rFonts w:hint="eastAsia" w:ascii="Times New Roman" w:hAnsi="Times New Roman"/>
                <w:kern w:val="0"/>
                <w:sz w:val="18"/>
                <w:szCs w:val="18"/>
                <w:lang w:val="en-US" w:eastAsia="zh-CN"/>
              </w:rPr>
              <w:t>9.5</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r>
        <w:tblPrEx>
          <w:tblCellMar>
            <w:top w:w="0" w:type="dxa"/>
            <w:left w:w="108" w:type="dxa"/>
            <w:bottom w:w="0" w:type="dxa"/>
            <w:right w:w="108" w:type="dxa"/>
          </w:tblCellMar>
        </w:tblPrEx>
        <w:trPr>
          <w:trHeight w:val="825"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1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生态效益</w:t>
            </w:r>
          </w:p>
          <w:p>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Times New Roman" w:hAnsi="Times New Roman"/>
                <w:color w:val="000000"/>
                <w:kern w:val="0"/>
                <w:sz w:val="18"/>
                <w:szCs w:val="18"/>
              </w:rPr>
            </w:pPr>
            <w:r>
              <w:rPr>
                <w:rFonts w:hint="eastAsia" w:ascii="Times New Roman" w:hAnsi="Times New Roman"/>
                <w:color w:val="000000"/>
                <w:kern w:val="0"/>
                <w:sz w:val="18"/>
                <w:szCs w:val="18"/>
              </w:rPr>
              <w:t>生态效益情况</w:t>
            </w:r>
            <w:r>
              <w:rPr>
                <w:rFonts w:hint="eastAsia" w:ascii="Times New Roman" w:hAnsi="Times New Roman"/>
                <w:color w:val="000000"/>
                <w:kern w:val="0"/>
                <w:sz w:val="18"/>
                <w:szCs w:val="18"/>
                <w:lang w:eastAsia="zh-CN"/>
              </w:rPr>
              <w:t>：</w:t>
            </w:r>
            <w:r>
              <w:rPr>
                <w:rFonts w:hint="eastAsia" w:ascii="Times New Roman" w:hAnsi="Times New Roman"/>
                <w:color w:val="000000"/>
                <w:kern w:val="0"/>
                <w:sz w:val="18"/>
                <w:szCs w:val="18"/>
              </w:rPr>
              <w:t>环境卫生干净整洁</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效果明显</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效果明显</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val="en-US" w:eastAsia="zh-CN"/>
              </w:rPr>
              <w:t>10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9.5</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eastAsia="zh-CN"/>
              </w:rPr>
              <w:t>乱丢垃圾现象严重，提高市民素质</w:t>
            </w:r>
          </w:p>
        </w:tc>
      </w:tr>
      <w:tr>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1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Times New Roman" w:hAnsi="Times New Roman"/>
                <w:color w:val="000000"/>
                <w:kern w:val="0"/>
                <w:sz w:val="18"/>
                <w:szCs w:val="18"/>
              </w:rPr>
            </w:pPr>
            <w:r>
              <w:rPr>
                <w:rFonts w:hint="eastAsia" w:ascii="Times New Roman" w:hAnsi="Times New Roman"/>
                <w:color w:val="000000"/>
                <w:kern w:val="0"/>
                <w:sz w:val="18"/>
                <w:szCs w:val="18"/>
              </w:rPr>
              <w:t>生态文明建设，打造宜居城市</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效果明显</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效果明显</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5</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r>
        <w:tblPrEx>
          <w:tblCellMar>
            <w:top w:w="0" w:type="dxa"/>
            <w:left w:w="108" w:type="dxa"/>
            <w:bottom w:w="0" w:type="dxa"/>
            <w:right w:w="108" w:type="dxa"/>
          </w:tblCellMar>
        </w:tblPrEx>
        <w:trPr>
          <w:trHeight w:val="795"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980" w:type="dxa"/>
            <w:tcBorders>
              <w:top w:val="single" w:color="auto" w:sz="4" w:space="0"/>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满意度</w:t>
            </w:r>
          </w:p>
          <w:p>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w:t>
            </w:r>
            <w:r>
              <w:rPr>
                <w:rFonts w:ascii="Times New Roman" w:hAnsi="Times New Roman"/>
                <w:kern w:val="0"/>
                <w:sz w:val="20"/>
                <w:szCs w:val="20"/>
              </w:rPr>
              <w:t>(10分)</w:t>
            </w:r>
          </w:p>
        </w:tc>
        <w:tc>
          <w:tcPr>
            <w:tcW w:w="111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Times New Roman" w:hAnsi="Times New Roman"/>
                <w:color w:val="000000"/>
                <w:kern w:val="0"/>
                <w:sz w:val="18"/>
                <w:szCs w:val="18"/>
              </w:rPr>
            </w:pPr>
            <w:r>
              <w:rPr>
                <w:rFonts w:hint="eastAsia" w:ascii="Times New Roman" w:hAnsi="Times New Roman"/>
                <w:color w:val="000000"/>
                <w:kern w:val="0"/>
                <w:sz w:val="18"/>
                <w:szCs w:val="18"/>
              </w:rPr>
              <w:t>市民满意度</w:t>
            </w:r>
          </w:p>
        </w:tc>
        <w:tc>
          <w:tcPr>
            <w:tcW w:w="85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≥9</w:t>
            </w:r>
            <w:r>
              <w:rPr>
                <w:rFonts w:hint="eastAsia" w:ascii="Times New Roman" w:hAnsi="Times New Roman"/>
                <w:kern w:val="0"/>
                <w:sz w:val="18"/>
                <w:szCs w:val="18"/>
                <w:lang w:val="en-US" w:eastAsia="zh-CN"/>
              </w:rPr>
              <w:t>0</w:t>
            </w:r>
            <w:r>
              <w:rPr>
                <w:rFonts w:hint="eastAsia" w:ascii="Times New Roman" w:hAnsi="Times New Roman"/>
                <w:kern w:val="0"/>
                <w:sz w:val="18"/>
                <w:szCs w:val="18"/>
              </w:rPr>
              <w:t>%</w:t>
            </w:r>
          </w:p>
        </w:tc>
        <w:tc>
          <w:tcPr>
            <w:tcW w:w="85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9</w:t>
            </w:r>
            <w:r>
              <w:rPr>
                <w:rFonts w:hint="eastAsia" w:ascii="Times New Roman" w:hAnsi="Times New Roman"/>
                <w:kern w:val="0"/>
                <w:sz w:val="18"/>
                <w:szCs w:val="18"/>
                <w:lang w:val="en-US" w:eastAsia="zh-CN"/>
              </w:rPr>
              <w:t>5</w:t>
            </w:r>
            <w:r>
              <w:rPr>
                <w:rFonts w:hint="eastAsia" w:ascii="Times New Roman" w:hAnsi="Times New Roman"/>
                <w:kern w:val="0"/>
                <w:sz w:val="18"/>
                <w:szCs w:val="18"/>
              </w:rPr>
              <w:t>%</w:t>
            </w:r>
          </w:p>
        </w:tc>
        <w:tc>
          <w:tcPr>
            <w:tcW w:w="56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val="en-US" w:eastAsia="zh-CN"/>
              </w:rPr>
              <w:t>10</w:t>
            </w:r>
          </w:p>
        </w:tc>
        <w:tc>
          <w:tcPr>
            <w:tcW w:w="56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color w:val="000000"/>
                <w:kern w:val="0"/>
                <w:sz w:val="18"/>
                <w:szCs w:val="18"/>
              </w:rPr>
            </w:pPr>
            <w:r>
              <w:rPr>
                <w:rFonts w:ascii="Times New Roman" w:hAnsi="Times New Roman"/>
                <w:color w:val="000000"/>
                <w:kern w:val="0"/>
                <w:sz w:val="18"/>
                <w:szCs w:val="18"/>
              </w:rPr>
              <w:t>总分</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color w:val="000000"/>
                <w:kern w:val="0"/>
                <w:sz w:val="18"/>
                <w:szCs w:val="18"/>
              </w:rPr>
            </w:pPr>
            <w:r>
              <w:rPr>
                <w:rFonts w:ascii="Times New Roman" w:hAnsi="Times New Roman"/>
                <w:color w:val="000000"/>
                <w:kern w:val="0"/>
                <w:sz w:val="18"/>
                <w:szCs w:val="18"/>
              </w:rPr>
              <w:t>100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color w:val="000000"/>
                <w:kern w:val="0"/>
                <w:sz w:val="18"/>
                <w:szCs w:val="18"/>
                <w:lang w:val="en-US" w:eastAsia="zh-CN"/>
              </w:rPr>
            </w:pPr>
            <w:r>
              <w:rPr>
                <w:rFonts w:hint="eastAsia" w:ascii="Times New Roman" w:hAnsi="Times New Roman"/>
                <w:color w:val="000000"/>
                <w:kern w:val="0"/>
                <w:sz w:val="18"/>
                <w:szCs w:val="18"/>
                <w:lang w:val="en-US" w:eastAsia="zh-CN"/>
              </w:rPr>
              <w:t>95</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bl>
    <w:p>
      <w:pPr>
        <w:widowControl/>
        <w:spacing w:line="400" w:lineRule="exact"/>
        <w:jc w:val="left"/>
        <w:rPr>
          <w:rFonts w:ascii="Times New Roman" w:hAnsi="Times New Roman"/>
          <w:color w:val="000000"/>
          <w:kern w:val="0"/>
          <w:sz w:val="18"/>
          <w:szCs w:val="18"/>
        </w:rPr>
      </w:pPr>
    </w:p>
    <w:tbl>
      <w:tblPr>
        <w:tblStyle w:val="7"/>
        <w:tblW w:w="9540" w:type="dxa"/>
        <w:tblInd w:w="97" w:type="dxa"/>
        <w:tblLayout w:type="fixed"/>
        <w:tblCellMar>
          <w:top w:w="0" w:type="dxa"/>
          <w:left w:w="108" w:type="dxa"/>
          <w:bottom w:w="0" w:type="dxa"/>
          <w:right w:w="108" w:type="dxa"/>
        </w:tblCellMar>
      </w:tblPr>
      <w:tblGrid>
        <w:gridCol w:w="9540"/>
      </w:tblGrid>
      <w:tr>
        <w:tblPrEx>
          <w:tblCellMar>
            <w:top w:w="0" w:type="dxa"/>
            <w:left w:w="108" w:type="dxa"/>
            <w:bottom w:w="0" w:type="dxa"/>
            <w:right w:w="108" w:type="dxa"/>
          </w:tblCellMar>
        </w:tblPrEx>
        <w:trPr>
          <w:trHeight w:val="465" w:hRule="atLeast"/>
        </w:trPr>
        <w:tc>
          <w:tcPr>
            <w:tcW w:w="9540" w:type="dxa"/>
            <w:tcBorders>
              <w:top w:val="single" w:color="auto" w:sz="4" w:space="0"/>
              <w:left w:val="nil"/>
              <w:bottom w:val="nil"/>
              <w:right w:val="nil"/>
            </w:tcBorders>
            <w:noWrap w:val="0"/>
            <w:vAlign w:val="center"/>
          </w:tcPr>
          <w:p>
            <w:pPr>
              <w:widowControl/>
              <w:spacing w:line="400" w:lineRule="exact"/>
              <w:jc w:val="left"/>
              <w:rPr>
                <w:rFonts w:ascii="Times New Roman" w:hAnsi="Times New Roman"/>
                <w:color w:val="000000"/>
                <w:kern w:val="0"/>
                <w:sz w:val="18"/>
                <w:szCs w:val="18"/>
              </w:rPr>
            </w:pPr>
            <w:r>
              <w:rPr>
                <w:rFonts w:ascii="Times New Roman" w:hAnsi="Times New Roman"/>
                <w:color w:val="000000"/>
                <w:kern w:val="0"/>
                <w:sz w:val="18"/>
                <w:szCs w:val="18"/>
              </w:rPr>
              <w:t>注：1.一级指标分值统一设置为：产出指标50分、效益指标30分、服务对象满意度指标10分、预算资金执行率10分。如有特殊情况，上述权重可做适当调整，但加总后应等于100分。各部门根据各项指标重要程度确定三级指标的分值。得分一档最高不能超过该指标分值上限。</w:t>
            </w:r>
          </w:p>
        </w:tc>
      </w:tr>
      <w:tr>
        <w:tblPrEx>
          <w:tblCellMar>
            <w:top w:w="0" w:type="dxa"/>
            <w:left w:w="108" w:type="dxa"/>
            <w:bottom w:w="0" w:type="dxa"/>
            <w:right w:w="108" w:type="dxa"/>
          </w:tblCellMar>
        </w:tblPrEx>
        <w:trPr>
          <w:trHeight w:val="465" w:hRule="atLeast"/>
        </w:trPr>
        <w:tc>
          <w:tcPr>
            <w:tcW w:w="9540" w:type="dxa"/>
            <w:tcBorders>
              <w:top w:val="nil"/>
              <w:left w:val="nil"/>
              <w:bottom w:val="nil"/>
              <w:right w:val="nil"/>
            </w:tcBorders>
            <w:noWrap w:val="0"/>
            <w:vAlign w:val="center"/>
          </w:tcPr>
          <w:p>
            <w:pPr>
              <w:widowControl/>
              <w:spacing w:line="400" w:lineRule="exact"/>
              <w:jc w:val="left"/>
              <w:rPr>
                <w:rFonts w:ascii="Times New Roman" w:hAnsi="Times New Roman"/>
                <w:color w:val="000000"/>
                <w:kern w:val="0"/>
                <w:sz w:val="18"/>
                <w:szCs w:val="18"/>
              </w:rPr>
            </w:pPr>
            <w:r>
              <w:rPr>
                <w:rFonts w:ascii="Times New Roman" w:hAnsi="Times New Roman"/>
                <w:color w:val="000000"/>
                <w:kern w:val="0"/>
                <w:sz w:val="18"/>
                <w:szCs w:val="18"/>
              </w:rPr>
              <w:t xml:space="preserve">    2.定性指标根据指标完成情况分为：达成预期指标、部分达成预期指标并具有一定效果、未达成预期指标且效果较差三档，分别按照该指标对应分值区间100-80%(含80%)、80-50%(含50%)、50-0%合理确定分值。</w:t>
            </w:r>
          </w:p>
        </w:tc>
      </w:tr>
      <w:tr>
        <w:tblPrEx>
          <w:tblCellMar>
            <w:top w:w="0" w:type="dxa"/>
            <w:left w:w="108" w:type="dxa"/>
            <w:bottom w:w="0" w:type="dxa"/>
            <w:right w:w="108" w:type="dxa"/>
          </w:tblCellMar>
        </w:tblPrEx>
        <w:trPr>
          <w:trHeight w:val="465" w:hRule="atLeast"/>
        </w:trPr>
        <w:tc>
          <w:tcPr>
            <w:tcW w:w="9540" w:type="dxa"/>
            <w:tcBorders>
              <w:top w:val="nil"/>
              <w:left w:val="nil"/>
              <w:bottom w:val="nil"/>
              <w:right w:val="nil"/>
            </w:tcBorders>
            <w:noWrap w:val="0"/>
            <w:vAlign w:val="center"/>
          </w:tcPr>
          <w:p>
            <w:pPr>
              <w:widowControl/>
              <w:spacing w:line="400" w:lineRule="exact"/>
              <w:jc w:val="left"/>
              <w:rPr>
                <w:rFonts w:ascii="Times New Roman" w:hAnsi="Times New Roman"/>
                <w:color w:val="000000"/>
                <w:kern w:val="0"/>
                <w:sz w:val="18"/>
                <w:szCs w:val="18"/>
              </w:rPr>
            </w:pPr>
            <w:r>
              <w:rPr>
                <w:rFonts w:ascii="Times New Roman" w:hAnsi="Times New Roman"/>
                <w:color w:val="000000"/>
                <w:kern w:val="0"/>
                <w:sz w:val="18"/>
                <w:szCs w:val="18"/>
              </w:rPr>
              <w:t xml:space="preserve">    3.定量指标若为正向指标（即指标值为≥*），则得分计算方法应用全年实际值（B）/年度指标值（A）</w:t>
            </w:r>
            <w:r>
              <w:rPr>
                <w:rFonts w:ascii="Times New Roman" w:hAnsi="Times New Roman"/>
                <w:color w:val="000000"/>
                <w:kern w:val="0"/>
                <w:sz w:val="12"/>
                <w:szCs w:val="12"/>
              </w:rPr>
              <w:t>╳</w:t>
            </w:r>
            <w:r>
              <w:rPr>
                <w:rFonts w:ascii="Times New Roman" w:hAnsi="Times New Roman"/>
                <w:color w:val="000000"/>
                <w:kern w:val="0"/>
                <w:sz w:val="18"/>
                <w:szCs w:val="18"/>
              </w:rPr>
              <w:t>该指标分值；若定量指标为反向指标（即指标值为≤*），则得分计算方法应用年度指标值（A）/全年实际值（B）</w:t>
            </w:r>
            <w:r>
              <w:rPr>
                <w:rFonts w:ascii="Times New Roman" w:hAnsi="Times New Roman"/>
                <w:color w:val="000000"/>
                <w:kern w:val="0"/>
                <w:sz w:val="12"/>
                <w:szCs w:val="12"/>
              </w:rPr>
              <w:t>╳</w:t>
            </w:r>
            <w:r>
              <w:rPr>
                <w:rFonts w:ascii="Times New Roman" w:hAnsi="Times New Roman"/>
                <w:color w:val="000000"/>
                <w:kern w:val="0"/>
                <w:sz w:val="18"/>
                <w:szCs w:val="18"/>
              </w:rPr>
              <w:t>该指标分值。</w:t>
            </w:r>
          </w:p>
        </w:tc>
      </w:tr>
      <w:tr>
        <w:tblPrEx>
          <w:tblCellMar>
            <w:top w:w="0" w:type="dxa"/>
            <w:left w:w="108" w:type="dxa"/>
            <w:bottom w:w="0" w:type="dxa"/>
            <w:right w:w="108" w:type="dxa"/>
          </w:tblCellMar>
        </w:tblPrEx>
        <w:trPr>
          <w:trHeight w:val="210" w:hRule="atLeast"/>
        </w:trPr>
        <w:tc>
          <w:tcPr>
            <w:tcW w:w="9540" w:type="dxa"/>
            <w:tcBorders>
              <w:top w:val="nil"/>
              <w:left w:val="nil"/>
              <w:bottom w:val="nil"/>
              <w:right w:val="nil"/>
            </w:tcBorders>
            <w:noWrap/>
            <w:vAlign w:val="center"/>
          </w:tcPr>
          <w:p>
            <w:pPr>
              <w:widowControl/>
              <w:spacing w:line="400" w:lineRule="exact"/>
              <w:jc w:val="left"/>
              <w:rPr>
                <w:rFonts w:ascii="Times New Roman" w:hAnsi="Times New Roman"/>
                <w:color w:val="000000"/>
                <w:kern w:val="0"/>
                <w:sz w:val="18"/>
                <w:szCs w:val="18"/>
              </w:rPr>
            </w:pPr>
            <w:r>
              <w:rPr>
                <w:rFonts w:ascii="Times New Roman" w:hAnsi="Times New Roman"/>
                <w:color w:val="000000"/>
                <w:kern w:val="0"/>
                <w:sz w:val="18"/>
                <w:szCs w:val="18"/>
              </w:rPr>
              <w:t xml:space="preserve">    4.请在“</w:t>
            </w:r>
            <w:r>
              <w:rPr>
                <w:rFonts w:ascii="Times New Roman" w:hAnsi="Times New Roman"/>
                <w:kern w:val="0"/>
                <w:sz w:val="18"/>
                <w:szCs w:val="18"/>
              </w:rPr>
              <w:t>偏差原因分析及改进措施</w:t>
            </w:r>
            <w:r>
              <w:rPr>
                <w:rFonts w:ascii="Times New Roman" w:hAnsi="Times New Roman"/>
                <w:color w:val="000000"/>
                <w:kern w:val="0"/>
                <w:sz w:val="18"/>
                <w:szCs w:val="18"/>
              </w:rPr>
              <w:t>”中说明偏离目标、不能完成目标的原因及拟采取的措施。</w:t>
            </w:r>
          </w:p>
        </w:tc>
      </w:tr>
    </w:tbl>
    <w:p>
      <w:pPr>
        <w:widowControl/>
        <w:spacing w:line="400" w:lineRule="exact"/>
        <w:jc w:val="left"/>
        <w:rPr>
          <w:rFonts w:ascii="Times New Roman" w:hAnsi="Times New Roman"/>
          <w:color w:val="000000"/>
          <w:kern w:val="0"/>
          <w:sz w:val="18"/>
          <w:szCs w:val="18"/>
        </w:rPr>
      </w:pPr>
    </w:p>
    <w:p>
      <w:pPr>
        <w:rPr>
          <w:rFonts w:ascii="Times New Roman" w:hAnsi="Times New Roman"/>
        </w:rPr>
      </w:pPr>
    </w:p>
    <w:p>
      <w:pPr>
        <w:rPr>
          <w:rFonts w:ascii="Times New Roman" w:hAnsi="Times New Roman" w:eastAsia="黑体"/>
        </w:rPr>
        <w:sectPr>
          <w:pgSz w:w="11906" w:h="16838"/>
          <w:pgMar w:top="1587" w:right="1587" w:bottom="1587" w:left="1587" w:header="737" w:footer="850" w:gutter="0"/>
          <w:pgBorders>
            <w:top w:val="none" w:sz="0" w:space="0"/>
            <w:left w:val="none" w:sz="0" w:space="0"/>
            <w:bottom w:val="none" w:sz="0" w:space="0"/>
            <w:right w:val="none" w:sz="0" w:space="0"/>
          </w:pgBorders>
          <w:cols w:space="720" w:num="1"/>
          <w:docGrid w:type="lines" w:linePitch="408" w:charSpace="0"/>
        </w:sectPr>
      </w:pPr>
    </w:p>
    <w:p>
      <w:pPr>
        <w:pStyle w:val="10"/>
        <w:spacing w:line="510" w:lineRule="exact"/>
        <w:jc w:val="left"/>
        <w:rPr>
          <w:rFonts w:ascii="Times New Roman" w:hAnsi="Times New Roman" w:eastAsia="宋体"/>
          <w:bCs/>
          <w:color w:val="000000"/>
          <w:sz w:val="36"/>
          <w:szCs w:val="28"/>
        </w:rPr>
      </w:pPr>
      <w:r>
        <w:rPr>
          <w:rFonts w:hint="eastAsia" w:ascii="Times New Roman" w:hAnsi="Times New Roman" w:eastAsia="仿宋"/>
          <w:sz w:val="32"/>
          <w:szCs w:val="32"/>
          <w:lang w:eastAsia="zh-CN"/>
        </w:rPr>
        <w:t>附件</w:t>
      </w:r>
      <w:r>
        <w:rPr>
          <w:rFonts w:hint="eastAsia" w:ascii="Times New Roman" w:hAnsi="Times New Roman" w:eastAsia="仿宋"/>
          <w:sz w:val="32"/>
          <w:szCs w:val="32"/>
          <w:lang w:val="en-US" w:eastAsia="zh-CN"/>
        </w:rPr>
        <w:t>2</w:t>
      </w:r>
    </w:p>
    <w:p>
      <w:pPr>
        <w:widowControl/>
        <w:spacing w:line="510" w:lineRule="exact"/>
        <w:ind w:firstLine="1600" w:firstLineChars="500"/>
        <w:jc w:val="center"/>
        <w:rPr>
          <w:rFonts w:hint="eastAsia" w:ascii="黑体" w:hAnsi="黑体" w:eastAsia="黑体" w:cs="黑体"/>
          <w:bCs/>
          <w:color w:val="000000"/>
          <w:sz w:val="32"/>
          <w:szCs w:val="32"/>
        </w:rPr>
      </w:pPr>
      <w:r>
        <w:rPr>
          <w:rFonts w:hint="eastAsia" w:ascii="黑体" w:hAnsi="黑体" w:eastAsia="黑体" w:cs="黑体"/>
          <w:sz w:val="32"/>
          <w:szCs w:val="32"/>
        </w:rPr>
        <w:t>项目支出绩效评价指标</w:t>
      </w:r>
      <w:r>
        <w:rPr>
          <w:rFonts w:hint="eastAsia" w:ascii="黑体" w:hAnsi="黑体" w:eastAsia="黑体" w:cs="黑体"/>
          <w:bCs/>
          <w:color w:val="000000"/>
          <w:kern w:val="0"/>
          <w:sz w:val="32"/>
          <w:szCs w:val="32"/>
        </w:rPr>
        <w:t>评分表</w:t>
      </w:r>
    </w:p>
    <w:tbl>
      <w:tblPr>
        <w:tblStyle w:val="7"/>
        <w:tblW w:w="1258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82"/>
        <w:gridCol w:w="709"/>
        <w:gridCol w:w="1134"/>
        <w:gridCol w:w="567"/>
        <w:gridCol w:w="2835"/>
        <w:gridCol w:w="6096"/>
        <w:gridCol w:w="5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682" w:type="dxa"/>
            <w:shd w:val="clear" w:color="auto" w:fill="FFFFFF"/>
            <w:noWrap w:val="0"/>
            <w:vAlign w:val="center"/>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一级指标</w:t>
            </w:r>
          </w:p>
        </w:tc>
        <w:tc>
          <w:tcPr>
            <w:tcW w:w="709" w:type="dxa"/>
            <w:shd w:val="clear" w:color="auto" w:fill="FFFFFF"/>
            <w:noWrap w:val="0"/>
            <w:vAlign w:val="center"/>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二级指标</w:t>
            </w:r>
          </w:p>
        </w:tc>
        <w:tc>
          <w:tcPr>
            <w:tcW w:w="1134" w:type="dxa"/>
            <w:shd w:val="clear" w:color="auto" w:fill="FFFFFF"/>
            <w:noWrap w:val="0"/>
            <w:vAlign w:val="center"/>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三级指标</w:t>
            </w:r>
          </w:p>
        </w:tc>
        <w:tc>
          <w:tcPr>
            <w:tcW w:w="567" w:type="dxa"/>
            <w:shd w:val="clear" w:color="auto" w:fill="FFFFFF"/>
            <w:noWrap w:val="0"/>
            <w:vAlign w:val="top"/>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分</w:t>
            </w:r>
          </w:p>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值</w:t>
            </w:r>
          </w:p>
        </w:tc>
        <w:tc>
          <w:tcPr>
            <w:tcW w:w="2835" w:type="dxa"/>
            <w:shd w:val="clear" w:color="auto" w:fill="FFFFFF"/>
            <w:noWrap w:val="0"/>
            <w:vAlign w:val="center"/>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指标解释</w:t>
            </w:r>
          </w:p>
        </w:tc>
        <w:tc>
          <w:tcPr>
            <w:tcW w:w="6096" w:type="dxa"/>
            <w:shd w:val="clear" w:color="auto" w:fill="FFFFFF"/>
            <w:noWrap w:val="0"/>
            <w:vAlign w:val="center"/>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指标说明</w:t>
            </w:r>
          </w:p>
        </w:tc>
        <w:tc>
          <w:tcPr>
            <w:tcW w:w="566" w:type="dxa"/>
            <w:shd w:val="clear" w:color="auto" w:fill="FFFFFF"/>
            <w:noWrap w:val="0"/>
            <w:vAlign w:val="center"/>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682"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决策　</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p>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709"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项目立项　</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立项依据</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充分性</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项目立项是否符合法律法规、相关政策、发展规划以及部门职责，用以反映和考核项目立项依据情况。</w:t>
            </w:r>
          </w:p>
        </w:tc>
        <w:tc>
          <w:tcPr>
            <w:tcW w:w="6096" w:type="dxa"/>
            <w:shd w:val="clear" w:color="auto" w:fill="FFFFFF"/>
            <w:noWrap w:val="0"/>
            <w:vAlign w:val="center"/>
          </w:tcPr>
          <w:p>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ascii="Times New Roman" w:hAnsi="Times New Roman"/>
                <w:color w:val="000000"/>
                <w:kern w:val="0"/>
                <w:sz w:val="22"/>
                <w:szCs w:val="22"/>
              </w:rPr>
              <w:t>①项目立项是否符合国家法律法规、国民经济发展规划和相关政策；</w:t>
            </w:r>
            <w:r>
              <w:rPr>
                <w:rFonts w:ascii="Times New Roman" w:hAnsi="Times New Roman"/>
                <w:color w:val="000000"/>
                <w:kern w:val="0"/>
                <w:sz w:val="22"/>
                <w:szCs w:val="22"/>
              </w:rPr>
              <w:br w:type="textWrapping"/>
            </w:r>
            <w:r>
              <w:rPr>
                <w:rFonts w:ascii="Times New Roman" w:hAnsi="Times New Roman"/>
                <w:color w:val="000000"/>
                <w:kern w:val="0"/>
                <w:sz w:val="22"/>
                <w:szCs w:val="22"/>
              </w:rPr>
              <w:t>②项目立项是否符合行业发展规划和政策要求；</w:t>
            </w:r>
            <w:r>
              <w:rPr>
                <w:rFonts w:ascii="Times New Roman" w:hAnsi="Times New Roman"/>
                <w:color w:val="000000"/>
                <w:kern w:val="0"/>
                <w:sz w:val="22"/>
                <w:szCs w:val="22"/>
              </w:rPr>
              <w:br w:type="textWrapping"/>
            </w:r>
            <w:r>
              <w:rPr>
                <w:rFonts w:ascii="Times New Roman" w:hAnsi="Times New Roman"/>
                <w:color w:val="000000"/>
                <w:kern w:val="0"/>
                <w:sz w:val="22"/>
                <w:szCs w:val="22"/>
              </w:rPr>
              <w:t>③项目立项是否与部门职责范围相符，属于部门履职所需；</w:t>
            </w:r>
            <w:r>
              <w:rPr>
                <w:rFonts w:ascii="Times New Roman" w:hAnsi="Times New Roman"/>
                <w:color w:val="000000"/>
                <w:kern w:val="0"/>
                <w:sz w:val="22"/>
                <w:szCs w:val="22"/>
              </w:rPr>
              <w:br w:type="textWrapping"/>
            </w:r>
            <w:r>
              <w:rPr>
                <w:rFonts w:ascii="Times New Roman" w:hAnsi="Times New Roman"/>
                <w:color w:val="000000"/>
                <w:kern w:val="0"/>
                <w:sz w:val="22"/>
                <w:szCs w:val="22"/>
              </w:rPr>
              <w:t>④项目是否属于公共财政支持范围，是否符合中央、地方事权支出责任划分原则；</w:t>
            </w:r>
            <w:r>
              <w:rPr>
                <w:rFonts w:ascii="Times New Roman" w:hAnsi="Times New Roman"/>
                <w:color w:val="000000"/>
                <w:kern w:val="0"/>
                <w:sz w:val="22"/>
                <w:szCs w:val="22"/>
              </w:rPr>
              <w:br w:type="textWrapping"/>
            </w:r>
            <w:r>
              <w:rPr>
                <w:rFonts w:ascii="Times New Roman" w:hAnsi="Times New Roman"/>
                <w:color w:val="000000"/>
                <w:kern w:val="0"/>
                <w:sz w:val="22"/>
                <w:szCs w:val="22"/>
              </w:rPr>
              <w:t>⑤项目是否与相关部门同类项目或部门内部相关项目重复。</w:t>
            </w:r>
          </w:p>
        </w:tc>
        <w:tc>
          <w:tcPr>
            <w:tcW w:w="566" w:type="dxa"/>
            <w:shd w:val="clear" w:color="auto" w:fill="FFFFFF"/>
            <w:noWrap w:val="0"/>
            <w:vAlign w:val="center"/>
          </w:tcPr>
          <w:p>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10" w:hRule="atLeast"/>
          <w:jc w:val="center"/>
        </w:trPr>
        <w:tc>
          <w:tcPr>
            <w:tcW w:w="682" w:type="dxa"/>
            <w:vMerge w:val="continue"/>
            <w:shd w:val="clear" w:color="auto" w:fill="FFFFFF"/>
            <w:noWrap w:val="0"/>
            <w:vAlign w:val="center"/>
          </w:tcPr>
          <w:p>
            <w:pPr>
              <w:spacing w:line="0" w:lineRule="atLeast"/>
              <w:jc w:val="center"/>
              <w:rPr>
                <w:rFonts w:ascii="Times New Roman" w:hAnsi="Times New Roman"/>
                <w:color w:val="000000"/>
                <w:kern w:val="0"/>
                <w:sz w:val="22"/>
                <w:szCs w:val="22"/>
              </w:rPr>
            </w:pPr>
          </w:p>
        </w:tc>
        <w:tc>
          <w:tcPr>
            <w:tcW w:w="709"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立项程序</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规范性</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项目申请、设立过程是否符合相关要求，用以反映和考核项目立项的规范情况。</w:t>
            </w:r>
          </w:p>
        </w:tc>
        <w:tc>
          <w:tcPr>
            <w:tcW w:w="6096" w:type="dxa"/>
            <w:shd w:val="clear" w:color="auto" w:fill="FFFFFF"/>
            <w:noWrap w:val="0"/>
            <w:vAlign w:val="center"/>
          </w:tcPr>
          <w:p>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ascii="Times New Roman" w:hAnsi="Times New Roman"/>
                <w:color w:val="000000"/>
                <w:kern w:val="0"/>
                <w:sz w:val="22"/>
                <w:szCs w:val="22"/>
              </w:rPr>
              <w:t>①项目是否按照规定的程序申请设立；</w:t>
            </w:r>
            <w:r>
              <w:rPr>
                <w:rFonts w:ascii="Times New Roman" w:hAnsi="Times New Roman"/>
                <w:color w:val="000000"/>
                <w:kern w:val="0"/>
                <w:sz w:val="22"/>
                <w:szCs w:val="22"/>
              </w:rPr>
              <w:br w:type="textWrapping"/>
            </w:r>
            <w:r>
              <w:rPr>
                <w:rFonts w:ascii="Times New Roman" w:hAnsi="Times New Roman"/>
                <w:color w:val="000000"/>
                <w:kern w:val="0"/>
                <w:sz w:val="22"/>
                <w:szCs w:val="22"/>
              </w:rPr>
              <w:t>②审批文件、材料是否符合相关要求；</w:t>
            </w:r>
            <w:r>
              <w:rPr>
                <w:rFonts w:ascii="Times New Roman" w:hAnsi="Times New Roman"/>
                <w:color w:val="000000"/>
                <w:kern w:val="0"/>
                <w:sz w:val="22"/>
                <w:szCs w:val="22"/>
              </w:rPr>
              <w:br w:type="textWrapping"/>
            </w:r>
            <w:r>
              <w:rPr>
                <w:rFonts w:ascii="Times New Roman" w:hAnsi="Times New Roman"/>
                <w:color w:val="000000"/>
                <w:kern w:val="0"/>
                <w:sz w:val="22"/>
                <w:szCs w:val="22"/>
              </w:rPr>
              <w:t>③事前是否已经过必要的可行性研究、专家论证、风险评估、绩效评估、集体决策。</w:t>
            </w:r>
          </w:p>
        </w:tc>
        <w:tc>
          <w:tcPr>
            <w:tcW w:w="566" w:type="dxa"/>
            <w:shd w:val="clear" w:color="auto" w:fill="FFFFFF"/>
            <w:noWrap w:val="0"/>
            <w:vAlign w:val="center"/>
          </w:tcPr>
          <w:p>
            <w:pPr>
              <w:widowControl/>
              <w:spacing w:line="0" w:lineRule="atLeast"/>
              <w:jc w:val="center"/>
              <w:rPr>
                <w:rFonts w:hint="default"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9" w:hRule="atLeast"/>
          <w:jc w:val="center"/>
        </w:trPr>
        <w:tc>
          <w:tcPr>
            <w:tcW w:w="682" w:type="dxa"/>
            <w:vMerge w:val="continue"/>
            <w:shd w:val="clear" w:color="auto" w:fill="FFFFFF"/>
            <w:noWrap w:val="0"/>
            <w:vAlign w:val="center"/>
          </w:tcPr>
          <w:p>
            <w:pPr>
              <w:spacing w:line="0" w:lineRule="atLeast"/>
              <w:jc w:val="center"/>
              <w:rPr>
                <w:rFonts w:ascii="Times New Roman" w:hAnsi="Times New Roman"/>
                <w:color w:val="000000"/>
                <w:kern w:val="0"/>
                <w:sz w:val="22"/>
                <w:szCs w:val="22"/>
              </w:rPr>
            </w:pPr>
          </w:p>
        </w:tc>
        <w:tc>
          <w:tcPr>
            <w:tcW w:w="709"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　</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合理性</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项目所设定的绩效目标是否依据充分，是否符合客观实际，用以反映和考核项目绩效目标与项目实施的相符情况。</w:t>
            </w:r>
          </w:p>
        </w:tc>
        <w:tc>
          <w:tcPr>
            <w:tcW w:w="6096" w:type="dxa"/>
            <w:shd w:val="clear" w:color="auto" w:fill="FFFFFF"/>
            <w:noWrap w:val="0"/>
            <w:vAlign w:val="center"/>
          </w:tcPr>
          <w:p>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ascii="Times New Roman" w:hAnsi="Times New Roman"/>
                <w:color w:val="000000"/>
                <w:kern w:val="0"/>
                <w:sz w:val="22"/>
                <w:szCs w:val="22"/>
              </w:rPr>
              <w:t>（如未设定预算绩效目标，也可考核其他工作任务目标）</w:t>
            </w:r>
            <w:r>
              <w:rPr>
                <w:rFonts w:ascii="Times New Roman" w:hAnsi="Times New Roman"/>
                <w:color w:val="000000"/>
                <w:kern w:val="0"/>
                <w:sz w:val="22"/>
                <w:szCs w:val="22"/>
              </w:rPr>
              <w:br w:type="textWrapping"/>
            </w:r>
            <w:r>
              <w:rPr>
                <w:rFonts w:ascii="Times New Roman" w:hAnsi="Times New Roman"/>
                <w:color w:val="000000"/>
                <w:kern w:val="0"/>
                <w:sz w:val="22"/>
                <w:szCs w:val="22"/>
              </w:rPr>
              <w:t>①项目是否有绩效目标；</w:t>
            </w:r>
            <w:r>
              <w:rPr>
                <w:rFonts w:ascii="Times New Roman" w:hAnsi="Times New Roman"/>
                <w:color w:val="000000"/>
                <w:kern w:val="0"/>
                <w:sz w:val="22"/>
                <w:szCs w:val="22"/>
              </w:rPr>
              <w:br w:type="textWrapping"/>
            </w:r>
            <w:r>
              <w:rPr>
                <w:rFonts w:ascii="Times New Roman" w:hAnsi="Times New Roman"/>
                <w:color w:val="000000"/>
                <w:kern w:val="0"/>
                <w:sz w:val="22"/>
                <w:szCs w:val="22"/>
              </w:rPr>
              <w:t>②项目绩效目标与实际工作内容是否具有相关性；</w:t>
            </w:r>
            <w:r>
              <w:rPr>
                <w:rFonts w:ascii="Times New Roman" w:hAnsi="Times New Roman"/>
                <w:color w:val="000000"/>
                <w:kern w:val="0"/>
                <w:sz w:val="22"/>
                <w:szCs w:val="22"/>
              </w:rPr>
              <w:br w:type="textWrapping"/>
            </w:r>
            <w:r>
              <w:rPr>
                <w:rFonts w:ascii="Times New Roman" w:hAnsi="Times New Roman"/>
                <w:color w:val="000000"/>
                <w:kern w:val="0"/>
                <w:sz w:val="22"/>
                <w:szCs w:val="22"/>
              </w:rPr>
              <w:t>③项目预期产出效益和效果是否符合正常的业绩水平；</w:t>
            </w:r>
          </w:p>
          <w:p>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④是否与预算确定的项目投资额或资金量相匹配。</w:t>
            </w:r>
          </w:p>
        </w:tc>
        <w:tc>
          <w:tcPr>
            <w:tcW w:w="566" w:type="dxa"/>
            <w:shd w:val="clear" w:color="auto" w:fill="FFFFFF"/>
            <w:noWrap w:val="0"/>
            <w:vAlign w:val="center"/>
          </w:tcPr>
          <w:p>
            <w:pPr>
              <w:widowControl/>
              <w:spacing w:line="0" w:lineRule="atLeast"/>
              <w:jc w:val="center"/>
              <w:rPr>
                <w:rFonts w:hint="default"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3.5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682"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决策　</w:t>
            </w:r>
          </w:p>
        </w:tc>
        <w:tc>
          <w:tcPr>
            <w:tcW w:w="709"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绩效指标</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明确性</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依据绩效目标设定的绩效指标是否清晰、细化、可衡量等，用以反映和考核项目绩效目标的明细化情况。</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ascii="Times New Roman" w:hAnsi="Times New Roman"/>
                <w:color w:val="000000"/>
                <w:kern w:val="0"/>
                <w:sz w:val="22"/>
                <w:szCs w:val="22"/>
              </w:rPr>
              <w:t>①是否将项目绩效目标细化分解为具体的绩效指标；</w:t>
            </w:r>
            <w:r>
              <w:rPr>
                <w:rFonts w:ascii="Times New Roman" w:hAnsi="Times New Roman"/>
                <w:color w:val="000000"/>
                <w:kern w:val="0"/>
                <w:sz w:val="22"/>
                <w:szCs w:val="22"/>
              </w:rPr>
              <w:br w:type="textWrapping"/>
            </w:r>
            <w:r>
              <w:rPr>
                <w:rFonts w:ascii="Times New Roman" w:hAnsi="Times New Roman"/>
                <w:color w:val="000000"/>
                <w:kern w:val="0"/>
                <w:sz w:val="22"/>
                <w:szCs w:val="22"/>
              </w:rPr>
              <w:t>②是否通过清晰、可衡量的指标值予以体现；</w:t>
            </w:r>
            <w:r>
              <w:rPr>
                <w:rFonts w:ascii="Times New Roman" w:hAnsi="Times New Roman"/>
                <w:color w:val="000000"/>
                <w:kern w:val="0"/>
                <w:sz w:val="22"/>
                <w:szCs w:val="22"/>
              </w:rPr>
              <w:br w:type="textWrapping"/>
            </w:r>
            <w:r>
              <w:rPr>
                <w:rFonts w:ascii="Times New Roman" w:hAnsi="Times New Roman"/>
                <w:color w:val="000000"/>
                <w:kern w:val="0"/>
                <w:sz w:val="22"/>
                <w:szCs w:val="22"/>
              </w:rPr>
              <w:t>③是否与项目目标任务数或计划数相对应。</w:t>
            </w:r>
            <w:r>
              <w:rPr>
                <w:rFonts w:ascii="Times New Roman" w:hAnsi="Times New Roman"/>
                <w:color w:val="000000"/>
                <w:kern w:val="0"/>
                <w:sz w:val="22"/>
                <w:szCs w:val="22"/>
              </w:rPr>
              <w:br w:type="textWrapping"/>
            </w:r>
          </w:p>
        </w:tc>
        <w:tc>
          <w:tcPr>
            <w:tcW w:w="566" w:type="dxa"/>
            <w:shd w:val="clear" w:color="auto" w:fill="FFFFFF"/>
            <w:noWrap w:val="0"/>
            <w:vAlign w:val="center"/>
          </w:tcPr>
          <w:p>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682" w:type="dxa"/>
            <w:vMerge w:val="continue"/>
            <w:shd w:val="clear" w:color="auto" w:fill="FFFFFF"/>
            <w:noWrap w:val="0"/>
            <w:vAlign w:val="center"/>
          </w:tcPr>
          <w:p>
            <w:pPr>
              <w:spacing w:line="0" w:lineRule="atLeast"/>
              <w:jc w:val="center"/>
              <w:rPr>
                <w:rFonts w:ascii="Times New Roman" w:hAnsi="Times New Roman"/>
                <w:color w:val="000000"/>
                <w:kern w:val="0"/>
                <w:sz w:val="22"/>
                <w:szCs w:val="22"/>
              </w:rPr>
            </w:pPr>
          </w:p>
        </w:tc>
        <w:tc>
          <w:tcPr>
            <w:tcW w:w="709"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资金投入</w:t>
            </w:r>
          </w:p>
          <w:p>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预算编制</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科学性</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项目预算编制是否经过科学论证、有明确标准，资金额度与年度目标是否相适应，用以反映和考核项目预算编制的科学性、合理性情况。</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ascii="Times New Roman" w:hAnsi="Times New Roman"/>
                <w:color w:val="000000"/>
                <w:kern w:val="0"/>
                <w:sz w:val="22"/>
                <w:szCs w:val="22"/>
              </w:rPr>
              <w:t>①预算编制是否经过科学论证；</w:t>
            </w:r>
            <w:r>
              <w:rPr>
                <w:rFonts w:ascii="Times New Roman" w:hAnsi="Times New Roman"/>
                <w:color w:val="000000"/>
                <w:kern w:val="0"/>
                <w:sz w:val="22"/>
                <w:szCs w:val="22"/>
              </w:rPr>
              <w:br w:type="textWrapping"/>
            </w:r>
            <w:r>
              <w:rPr>
                <w:rFonts w:ascii="Times New Roman" w:hAnsi="Times New Roman"/>
                <w:color w:val="000000"/>
                <w:kern w:val="0"/>
                <w:sz w:val="22"/>
                <w:szCs w:val="22"/>
              </w:rPr>
              <w:t>②预算内容与项目内容是否匹配；</w:t>
            </w:r>
            <w:r>
              <w:rPr>
                <w:rFonts w:ascii="Times New Roman" w:hAnsi="Times New Roman"/>
                <w:color w:val="000000"/>
                <w:kern w:val="0"/>
                <w:sz w:val="22"/>
                <w:szCs w:val="22"/>
              </w:rPr>
              <w:br w:type="textWrapping"/>
            </w:r>
            <w:r>
              <w:rPr>
                <w:rFonts w:ascii="Times New Roman" w:hAnsi="Times New Roman"/>
                <w:color w:val="000000"/>
                <w:kern w:val="0"/>
                <w:sz w:val="22"/>
                <w:szCs w:val="22"/>
              </w:rPr>
              <w:t>③预算额度测算依据是否充分，是否按照标准编制；</w:t>
            </w:r>
            <w:r>
              <w:rPr>
                <w:rFonts w:ascii="Times New Roman" w:hAnsi="Times New Roman"/>
                <w:color w:val="000000"/>
                <w:kern w:val="0"/>
                <w:sz w:val="22"/>
                <w:szCs w:val="22"/>
              </w:rPr>
              <w:br w:type="textWrapping"/>
            </w:r>
            <w:r>
              <w:rPr>
                <w:rFonts w:ascii="Times New Roman" w:hAnsi="Times New Roman"/>
                <w:color w:val="000000"/>
                <w:kern w:val="0"/>
                <w:sz w:val="22"/>
                <w:szCs w:val="22"/>
              </w:rPr>
              <w:t>④预算确定的项目投资额或资金量是否与工作任务相匹配。</w:t>
            </w:r>
          </w:p>
        </w:tc>
        <w:tc>
          <w:tcPr>
            <w:tcW w:w="566" w:type="dxa"/>
            <w:shd w:val="clear" w:color="auto" w:fill="FFFFFF"/>
            <w:noWrap w:val="0"/>
            <w:vAlign w:val="center"/>
          </w:tcPr>
          <w:p>
            <w:pPr>
              <w:widowControl/>
              <w:spacing w:line="0" w:lineRule="atLeast"/>
              <w:jc w:val="center"/>
              <w:rPr>
                <w:rFonts w:hint="default" w:ascii="Times New Roman" w:hAnsi="Times New Roman" w:eastAsia="宋体"/>
                <w:color w:val="000000"/>
                <w:kern w:val="0"/>
                <w:sz w:val="22"/>
                <w:szCs w:val="22"/>
                <w:lang w:val="en-US" w:eastAsia="zh-CN"/>
              </w:rPr>
            </w:pPr>
            <w:r>
              <w:rPr>
                <w:rFonts w:hint="eastAsia" w:ascii="Times New Roman" w:hAnsi="Times New Roman"/>
                <w:color w:val="auto"/>
                <w:kern w:val="0"/>
                <w:sz w:val="22"/>
                <w:szCs w:val="22"/>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682"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709"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资金分配</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合理性</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项目预算资金分配是否有测算依据，与补助单位或地方实际是否相适应，用以反映和考核项目预算资金分配的科学性、合理性情况。</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ascii="Times New Roman" w:hAnsi="Times New Roman"/>
                <w:color w:val="000000"/>
                <w:kern w:val="0"/>
                <w:sz w:val="22"/>
                <w:szCs w:val="22"/>
              </w:rPr>
              <w:t>①预算资金分配依据是否充分；</w:t>
            </w:r>
            <w:r>
              <w:rPr>
                <w:rFonts w:ascii="Times New Roman" w:hAnsi="Times New Roman"/>
                <w:color w:val="000000"/>
                <w:kern w:val="0"/>
                <w:sz w:val="22"/>
                <w:szCs w:val="22"/>
              </w:rPr>
              <w:br w:type="textWrapping"/>
            </w:r>
            <w:r>
              <w:rPr>
                <w:rFonts w:ascii="Times New Roman" w:hAnsi="Times New Roman"/>
                <w:color w:val="000000"/>
                <w:kern w:val="0"/>
                <w:sz w:val="22"/>
                <w:szCs w:val="22"/>
              </w:rPr>
              <w:t>②资金分配额度是否合理，与项目单位或地方实际是否相适应。</w:t>
            </w:r>
          </w:p>
        </w:tc>
        <w:tc>
          <w:tcPr>
            <w:tcW w:w="566" w:type="dxa"/>
            <w:shd w:val="clear" w:color="auto" w:fill="FFFFFF"/>
            <w:noWrap w:val="0"/>
            <w:vAlign w:val="center"/>
          </w:tcPr>
          <w:p>
            <w:pPr>
              <w:widowControl/>
              <w:spacing w:line="0" w:lineRule="atLeast"/>
              <w:jc w:val="center"/>
              <w:rPr>
                <w:rFonts w:hint="default"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682" w:type="dxa"/>
            <w:vMerge w:val="restart"/>
            <w:shd w:val="clear" w:color="auto" w:fill="FFFFFF"/>
            <w:noWrap w:val="0"/>
            <w:vAlign w:val="center"/>
          </w:tcPr>
          <w:p>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过程</w:t>
            </w:r>
          </w:p>
        </w:tc>
        <w:tc>
          <w:tcPr>
            <w:tcW w:w="709"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资金管理</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资金到位率</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实际到位资金与预算资金的比率，用以反映和考核资金落实情况对项目实施的总体保障程度。</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资金到位率=（实际到位资金/预算资金）×100%。</w:t>
            </w:r>
          </w:p>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实际到位资金：一定时期（本年度或项目期）内落实到具体项目的资金。</w:t>
            </w:r>
          </w:p>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预算资金：一定时期（本年度或项目期）内预算安排到具体项目的资金。</w:t>
            </w:r>
          </w:p>
        </w:tc>
        <w:tc>
          <w:tcPr>
            <w:tcW w:w="566" w:type="dxa"/>
            <w:shd w:val="clear" w:color="auto" w:fill="FFFFFF"/>
            <w:noWrap w:val="0"/>
            <w:vAlign w:val="center"/>
          </w:tcPr>
          <w:p>
            <w:pPr>
              <w:widowControl/>
              <w:spacing w:line="0" w:lineRule="atLeast"/>
              <w:jc w:val="center"/>
              <w:rPr>
                <w:rFonts w:hint="default"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682" w:type="dxa"/>
            <w:vMerge w:val="continue"/>
            <w:shd w:val="clear" w:color="auto" w:fill="FFFFFF"/>
            <w:noWrap w:val="0"/>
            <w:vAlign w:val="center"/>
          </w:tcPr>
          <w:p>
            <w:pPr>
              <w:spacing w:line="0" w:lineRule="atLeast"/>
              <w:jc w:val="center"/>
              <w:rPr>
                <w:rFonts w:ascii="Times New Roman" w:hAnsi="Times New Roman"/>
                <w:color w:val="000000"/>
                <w:kern w:val="0"/>
                <w:sz w:val="22"/>
                <w:szCs w:val="22"/>
              </w:rPr>
            </w:pPr>
          </w:p>
        </w:tc>
        <w:tc>
          <w:tcPr>
            <w:tcW w:w="709" w:type="dxa"/>
            <w:vMerge w:val="continue"/>
            <w:shd w:val="clear" w:color="auto" w:fill="FFFFFF"/>
            <w:noWrap w:val="0"/>
            <w:vAlign w:val="center"/>
          </w:tcPr>
          <w:p>
            <w:pPr>
              <w:spacing w:line="0" w:lineRule="atLeast"/>
              <w:jc w:val="center"/>
              <w:rPr>
                <w:rFonts w:ascii="Times New Roman" w:hAnsi="Times New Roman"/>
                <w:color w:val="000000"/>
                <w:kern w:val="0"/>
                <w:sz w:val="22"/>
                <w:szCs w:val="22"/>
              </w:rPr>
            </w:pP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预算执行率</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项目预算资金是否按照计划执行，用以反映或考核项目预算执行情况。</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预算执行率=（实际支出资金/实际到位资金）×100%。</w:t>
            </w:r>
            <w:r>
              <w:rPr>
                <w:rFonts w:ascii="Times New Roman" w:hAnsi="Times New Roman"/>
                <w:color w:val="000000"/>
                <w:kern w:val="0"/>
                <w:sz w:val="22"/>
                <w:szCs w:val="22"/>
              </w:rPr>
              <w:br w:type="textWrapping"/>
            </w:r>
            <w:r>
              <w:rPr>
                <w:rFonts w:ascii="Times New Roman" w:hAnsi="Times New Roman"/>
                <w:color w:val="000000"/>
                <w:kern w:val="0"/>
                <w:sz w:val="22"/>
                <w:szCs w:val="22"/>
              </w:rPr>
              <w:t>实际支出资金：一定时期（本年度或项目期）内项目实际拨付的资金。</w:t>
            </w:r>
          </w:p>
        </w:tc>
        <w:tc>
          <w:tcPr>
            <w:tcW w:w="566" w:type="dxa"/>
            <w:shd w:val="clear" w:color="auto" w:fill="FFFFFF"/>
            <w:noWrap w:val="0"/>
            <w:vAlign w:val="center"/>
          </w:tcPr>
          <w:p>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682"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p>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过程　</w:t>
            </w:r>
          </w:p>
        </w:tc>
        <w:tc>
          <w:tcPr>
            <w:tcW w:w="709"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资金管理</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资金使用</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合规性</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项目资金使用是否符合相关的财务管理制度规定，用以反映和考核项目资金的规范运行情况。</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ascii="Times New Roman" w:hAnsi="Times New Roman"/>
                <w:color w:val="000000"/>
                <w:kern w:val="0"/>
                <w:sz w:val="22"/>
                <w:szCs w:val="22"/>
              </w:rPr>
              <w:t>①是否符合国家财经法规和财务管理制度以及有关专项资金管理办法的规定；</w:t>
            </w:r>
            <w:r>
              <w:rPr>
                <w:rFonts w:ascii="Times New Roman" w:hAnsi="Times New Roman"/>
                <w:color w:val="000000"/>
                <w:kern w:val="0"/>
                <w:sz w:val="22"/>
                <w:szCs w:val="22"/>
              </w:rPr>
              <w:br w:type="textWrapping"/>
            </w:r>
            <w:r>
              <w:rPr>
                <w:rFonts w:ascii="Times New Roman" w:hAnsi="Times New Roman"/>
                <w:color w:val="000000"/>
                <w:kern w:val="0"/>
                <w:sz w:val="22"/>
                <w:szCs w:val="22"/>
              </w:rPr>
              <w:t>②资金的拨付是否有完整的审批程序和手续；</w:t>
            </w:r>
            <w:r>
              <w:rPr>
                <w:rFonts w:ascii="Times New Roman" w:hAnsi="Times New Roman"/>
                <w:color w:val="000000"/>
                <w:kern w:val="0"/>
                <w:sz w:val="22"/>
                <w:szCs w:val="22"/>
              </w:rPr>
              <w:br w:type="textWrapping"/>
            </w:r>
            <w:r>
              <w:rPr>
                <w:rFonts w:ascii="Times New Roman" w:hAnsi="Times New Roman"/>
                <w:color w:val="000000"/>
                <w:kern w:val="0"/>
                <w:sz w:val="22"/>
                <w:szCs w:val="22"/>
              </w:rPr>
              <w:t>③是否符合项目预算批复或合同规定的用途；</w:t>
            </w:r>
            <w:r>
              <w:rPr>
                <w:rFonts w:ascii="Times New Roman" w:hAnsi="Times New Roman"/>
                <w:color w:val="000000"/>
                <w:kern w:val="0"/>
                <w:sz w:val="22"/>
                <w:szCs w:val="22"/>
              </w:rPr>
              <w:br w:type="textWrapping"/>
            </w:r>
            <w:r>
              <w:rPr>
                <w:rFonts w:ascii="Times New Roman" w:hAnsi="Times New Roman"/>
                <w:color w:val="000000"/>
                <w:kern w:val="0"/>
                <w:sz w:val="22"/>
                <w:szCs w:val="22"/>
              </w:rPr>
              <w:t>④是否存在截留、挤占、挪用、虚列支出等情况。</w:t>
            </w:r>
          </w:p>
        </w:tc>
        <w:tc>
          <w:tcPr>
            <w:tcW w:w="566" w:type="dxa"/>
            <w:shd w:val="clear" w:color="auto" w:fill="FFFFFF"/>
            <w:noWrap w:val="0"/>
            <w:vAlign w:val="center"/>
          </w:tcPr>
          <w:p>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682" w:type="dxa"/>
            <w:vMerge w:val="continue"/>
            <w:shd w:val="clear" w:color="auto" w:fill="FFFFFF"/>
            <w:noWrap w:val="0"/>
            <w:vAlign w:val="center"/>
          </w:tcPr>
          <w:p>
            <w:pPr>
              <w:spacing w:line="0" w:lineRule="atLeast"/>
              <w:jc w:val="center"/>
              <w:rPr>
                <w:rFonts w:ascii="Times New Roman" w:hAnsi="Times New Roman"/>
                <w:color w:val="000000"/>
                <w:kern w:val="0"/>
                <w:sz w:val="22"/>
                <w:szCs w:val="22"/>
              </w:rPr>
            </w:pPr>
          </w:p>
        </w:tc>
        <w:tc>
          <w:tcPr>
            <w:tcW w:w="709"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组织实施</w:t>
            </w:r>
          </w:p>
          <w:p>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管理制度</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健全性</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项目实施单位的财务和业务管理制度是否健全，用以反映和考核财务和业务管理制度对项目顺利实施的保障情况。</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ascii="Times New Roman" w:hAnsi="Times New Roman"/>
                <w:color w:val="000000"/>
                <w:kern w:val="0"/>
                <w:sz w:val="22"/>
                <w:szCs w:val="22"/>
              </w:rPr>
              <w:t>①是否已制定或具有相应的财务和业务管理制度；</w:t>
            </w:r>
            <w:r>
              <w:rPr>
                <w:rFonts w:ascii="Times New Roman" w:hAnsi="Times New Roman"/>
                <w:color w:val="000000"/>
                <w:kern w:val="0"/>
                <w:sz w:val="22"/>
                <w:szCs w:val="22"/>
              </w:rPr>
              <w:br w:type="textWrapping"/>
            </w:r>
            <w:r>
              <w:rPr>
                <w:rFonts w:ascii="Times New Roman" w:hAnsi="Times New Roman"/>
                <w:color w:val="000000"/>
                <w:kern w:val="0"/>
                <w:sz w:val="22"/>
                <w:szCs w:val="22"/>
              </w:rPr>
              <w:t>②财务和业务管理制度是否合法、合规、完整。</w:t>
            </w:r>
          </w:p>
        </w:tc>
        <w:tc>
          <w:tcPr>
            <w:tcW w:w="566" w:type="dxa"/>
            <w:shd w:val="clear" w:color="auto" w:fill="FFFFFF"/>
            <w:noWrap w:val="0"/>
            <w:vAlign w:val="center"/>
          </w:tcPr>
          <w:p>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682"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709"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制度执行</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有效性</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项目实施是否符合相关管理规定，用以反映和考核相关管理制度的有效执行情况。</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ascii="Times New Roman" w:hAnsi="Times New Roman"/>
                <w:color w:val="000000"/>
                <w:kern w:val="0"/>
                <w:sz w:val="22"/>
                <w:szCs w:val="22"/>
              </w:rPr>
              <w:t>①是否遵守相关法律法规和相关管理规定；</w:t>
            </w:r>
            <w:r>
              <w:rPr>
                <w:rFonts w:ascii="Times New Roman" w:hAnsi="Times New Roman"/>
                <w:color w:val="000000"/>
                <w:kern w:val="0"/>
                <w:sz w:val="22"/>
                <w:szCs w:val="22"/>
              </w:rPr>
              <w:br w:type="textWrapping"/>
            </w:r>
            <w:r>
              <w:rPr>
                <w:rFonts w:ascii="Times New Roman" w:hAnsi="Times New Roman"/>
                <w:color w:val="000000"/>
                <w:kern w:val="0"/>
                <w:sz w:val="22"/>
                <w:szCs w:val="22"/>
              </w:rPr>
              <w:t>②项目调整及支出调整手续是否完备；</w:t>
            </w:r>
            <w:r>
              <w:rPr>
                <w:rFonts w:ascii="Times New Roman" w:hAnsi="Times New Roman"/>
                <w:color w:val="000000"/>
                <w:kern w:val="0"/>
                <w:sz w:val="22"/>
                <w:szCs w:val="22"/>
              </w:rPr>
              <w:br w:type="textWrapping"/>
            </w:r>
            <w:r>
              <w:rPr>
                <w:rFonts w:ascii="Times New Roman" w:hAnsi="Times New Roman"/>
                <w:color w:val="000000"/>
                <w:kern w:val="0"/>
                <w:sz w:val="22"/>
                <w:szCs w:val="22"/>
              </w:rPr>
              <w:t>③项目合同书、验收报告、技术鉴定等资料是否齐全并及时归档；</w:t>
            </w:r>
            <w:r>
              <w:rPr>
                <w:rFonts w:ascii="Times New Roman" w:hAnsi="Times New Roman"/>
                <w:color w:val="000000"/>
                <w:kern w:val="0"/>
                <w:sz w:val="22"/>
                <w:szCs w:val="22"/>
              </w:rPr>
              <w:br w:type="textWrapping"/>
            </w:r>
            <w:r>
              <w:rPr>
                <w:rFonts w:ascii="Times New Roman" w:hAnsi="Times New Roman"/>
                <w:color w:val="000000"/>
                <w:kern w:val="0"/>
                <w:sz w:val="22"/>
                <w:szCs w:val="22"/>
              </w:rPr>
              <w:t>④项目实施的人员条件、场地设备、信息支撑等是否落实到位。</w:t>
            </w:r>
          </w:p>
        </w:tc>
        <w:tc>
          <w:tcPr>
            <w:tcW w:w="566" w:type="dxa"/>
            <w:shd w:val="clear" w:color="auto" w:fill="FFFFFF"/>
            <w:noWrap w:val="0"/>
            <w:vAlign w:val="center"/>
          </w:tcPr>
          <w:p>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682"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w:t>
            </w:r>
          </w:p>
        </w:tc>
        <w:tc>
          <w:tcPr>
            <w:tcW w:w="709"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产出数量</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实际完成率</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项目实施的实际产出数与计划产出数的比率，用以反映和考核项目产出数量目标的实现程度。</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实际完成率=（实际产出数/计划产出数）×100%。</w:t>
            </w:r>
            <w:r>
              <w:rPr>
                <w:rFonts w:ascii="Times New Roman" w:hAnsi="Times New Roman"/>
                <w:color w:val="000000"/>
                <w:kern w:val="0"/>
                <w:sz w:val="22"/>
                <w:szCs w:val="22"/>
              </w:rPr>
              <w:br w:type="textWrapping"/>
            </w:r>
            <w:r>
              <w:rPr>
                <w:rFonts w:ascii="Times New Roman" w:hAnsi="Times New Roman"/>
                <w:color w:val="000000"/>
                <w:kern w:val="0"/>
                <w:sz w:val="22"/>
                <w:szCs w:val="22"/>
              </w:rPr>
              <w:t>实际产出数：一定时期（本年度或项目期）内项目实际产出的产品或提供的服务数量。</w:t>
            </w:r>
            <w:r>
              <w:rPr>
                <w:rFonts w:ascii="Times New Roman" w:hAnsi="Times New Roman"/>
                <w:color w:val="000000"/>
                <w:kern w:val="0"/>
                <w:sz w:val="22"/>
                <w:szCs w:val="22"/>
              </w:rPr>
              <w:br w:type="textWrapping"/>
            </w:r>
            <w:r>
              <w:rPr>
                <w:rFonts w:ascii="Times New Roman" w:hAnsi="Times New Roman"/>
                <w:color w:val="000000"/>
                <w:kern w:val="0"/>
                <w:sz w:val="22"/>
                <w:szCs w:val="22"/>
              </w:rPr>
              <w:t>计划产出数：项目绩效目标确定的在一定时期（本年度或项目期）内计划产出的产品或提供的服务数量。</w:t>
            </w:r>
          </w:p>
        </w:tc>
        <w:tc>
          <w:tcPr>
            <w:tcW w:w="566" w:type="dxa"/>
            <w:shd w:val="clear" w:color="auto" w:fill="FFFFFF"/>
            <w:noWrap w:val="0"/>
            <w:vAlign w:val="center"/>
          </w:tcPr>
          <w:p>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682"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w:t>
            </w:r>
          </w:p>
        </w:tc>
        <w:tc>
          <w:tcPr>
            <w:tcW w:w="709"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产出质量</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质量达标率</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项目完成的质量达标产出数与实际产出数的比率，用以反映和考核项目产出质量目标的实现程度。</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质量达标率=（质量达标产出数/实际产出数）×100%。</w:t>
            </w:r>
          </w:p>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66" w:type="dxa"/>
            <w:shd w:val="clear" w:color="auto" w:fill="FFFFFF"/>
            <w:noWrap w:val="0"/>
            <w:vAlign w:val="center"/>
          </w:tcPr>
          <w:p>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682" w:type="dxa"/>
            <w:vMerge w:val="continue"/>
            <w:shd w:val="clear" w:color="auto" w:fill="FFFFFF"/>
            <w:noWrap w:val="0"/>
            <w:vAlign w:val="center"/>
          </w:tcPr>
          <w:p>
            <w:pPr>
              <w:spacing w:line="0" w:lineRule="atLeast"/>
              <w:jc w:val="center"/>
              <w:rPr>
                <w:rFonts w:ascii="Times New Roman" w:hAnsi="Times New Roman"/>
                <w:color w:val="000000"/>
                <w:kern w:val="0"/>
                <w:sz w:val="22"/>
                <w:szCs w:val="22"/>
              </w:rPr>
            </w:pPr>
          </w:p>
        </w:tc>
        <w:tc>
          <w:tcPr>
            <w:tcW w:w="709" w:type="dxa"/>
            <w:shd w:val="clear" w:color="auto" w:fill="FFFFFF"/>
            <w:noWrap w:val="0"/>
            <w:vAlign w:val="center"/>
          </w:tcPr>
          <w:p>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产出时效</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完成及时性</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项目实际完成时间与计划完成时间的比较，用以反映和考核项目产出时效目标的实现程度。</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实际完成时间：项目实施单位完成该项目实际所耗用的时间。</w:t>
            </w:r>
            <w:r>
              <w:rPr>
                <w:rFonts w:ascii="Times New Roman" w:hAnsi="Times New Roman"/>
                <w:color w:val="000000"/>
                <w:kern w:val="0"/>
                <w:sz w:val="22"/>
                <w:szCs w:val="22"/>
              </w:rPr>
              <w:br w:type="textWrapping"/>
            </w:r>
            <w:r>
              <w:rPr>
                <w:rFonts w:ascii="Times New Roman" w:hAnsi="Times New Roman"/>
                <w:color w:val="000000"/>
                <w:kern w:val="0"/>
                <w:sz w:val="22"/>
                <w:szCs w:val="22"/>
              </w:rPr>
              <w:t>计划完成时间：按照项目实施计划或相关规定完成该项目所需的时间。</w:t>
            </w:r>
          </w:p>
        </w:tc>
        <w:tc>
          <w:tcPr>
            <w:tcW w:w="566" w:type="dxa"/>
            <w:shd w:val="clear" w:color="auto" w:fill="FFFFFF"/>
            <w:noWrap w:val="0"/>
            <w:vAlign w:val="center"/>
          </w:tcPr>
          <w:p>
            <w:pPr>
              <w:widowControl/>
              <w:spacing w:line="0" w:lineRule="atLeast"/>
              <w:jc w:val="center"/>
              <w:rPr>
                <w:rFonts w:hint="default"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7.5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74" w:hRule="atLeast"/>
          <w:jc w:val="center"/>
        </w:trPr>
        <w:tc>
          <w:tcPr>
            <w:tcW w:w="682"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709"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产出成本</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成本节约率</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完成项目计划工作目标的实际节约成本与计划成本的比率，用以反映和考核项目的成本节约程度。</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br w:type="textWrapping"/>
            </w:r>
            <w:r>
              <w:rPr>
                <w:rFonts w:ascii="Times New Roman" w:hAnsi="Times New Roman"/>
                <w:color w:val="000000"/>
                <w:kern w:val="0"/>
                <w:sz w:val="22"/>
                <w:szCs w:val="22"/>
              </w:rPr>
              <w:t>成本节约率=[（计划成本-实际成本）/计划成本]×100%。</w:t>
            </w:r>
            <w:r>
              <w:rPr>
                <w:rFonts w:ascii="Times New Roman" w:hAnsi="Times New Roman"/>
                <w:color w:val="000000"/>
                <w:kern w:val="0"/>
                <w:sz w:val="22"/>
                <w:szCs w:val="22"/>
              </w:rPr>
              <w:br w:type="textWrapping"/>
            </w:r>
            <w:r>
              <w:rPr>
                <w:rFonts w:ascii="Times New Roman" w:hAnsi="Times New Roman"/>
                <w:color w:val="000000"/>
                <w:kern w:val="0"/>
                <w:sz w:val="22"/>
                <w:szCs w:val="22"/>
              </w:rPr>
              <w:t>实际成本：项目实施单位如期、保质、保量完成既定工作目标实际所耗费的支出。</w:t>
            </w:r>
            <w:r>
              <w:rPr>
                <w:rFonts w:ascii="Times New Roman" w:hAnsi="Times New Roman"/>
                <w:color w:val="000000"/>
                <w:kern w:val="0"/>
                <w:sz w:val="22"/>
                <w:szCs w:val="22"/>
              </w:rPr>
              <w:br w:type="textWrapping"/>
            </w:r>
            <w:r>
              <w:rPr>
                <w:rFonts w:ascii="Times New Roman" w:hAnsi="Times New Roman"/>
                <w:color w:val="000000"/>
                <w:kern w:val="0"/>
                <w:sz w:val="22"/>
                <w:szCs w:val="22"/>
              </w:rPr>
              <w:t>计划成本：项目实施单位为完成工作目标计划安排的支出，一般以项目预算为参考。</w:t>
            </w:r>
          </w:p>
        </w:tc>
        <w:tc>
          <w:tcPr>
            <w:tcW w:w="566" w:type="dxa"/>
            <w:shd w:val="clear" w:color="auto" w:fill="FFFFFF"/>
            <w:noWrap w:val="0"/>
            <w:vAlign w:val="center"/>
          </w:tcPr>
          <w:p>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3" w:hRule="atLeast"/>
          <w:jc w:val="center"/>
        </w:trPr>
        <w:tc>
          <w:tcPr>
            <w:tcW w:w="682"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效益　</w:t>
            </w:r>
          </w:p>
        </w:tc>
        <w:tc>
          <w:tcPr>
            <w:tcW w:w="709"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项目效益　</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实施效益</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20</w:t>
            </w:r>
          </w:p>
        </w:tc>
        <w:tc>
          <w:tcPr>
            <w:tcW w:w="2835" w:type="dxa"/>
            <w:shd w:val="clear" w:color="auto" w:fill="FFFFFF"/>
            <w:noWrap w:val="0"/>
            <w:vAlign w:val="center"/>
          </w:tcPr>
          <w:p>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项目实施所产生的效益。</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项目实施所产生的社会效益、经济效益、生态效益、可持续影响等。可根据项目实际情况有选择地设置和细化。</w:t>
            </w:r>
          </w:p>
        </w:tc>
        <w:tc>
          <w:tcPr>
            <w:tcW w:w="566" w:type="dxa"/>
            <w:shd w:val="clear" w:color="auto" w:fill="FFFFFF"/>
            <w:noWrap w:val="0"/>
            <w:vAlign w:val="center"/>
          </w:tcPr>
          <w:p>
            <w:pPr>
              <w:widowControl/>
              <w:spacing w:line="0" w:lineRule="atLeast"/>
              <w:jc w:val="center"/>
              <w:rPr>
                <w:rFonts w:hint="default" w:ascii="Times New Roman" w:hAnsi="Times New Roman" w:eastAsia="宋体"/>
                <w:color w:val="0000FF"/>
                <w:kern w:val="0"/>
                <w:sz w:val="22"/>
                <w:szCs w:val="22"/>
                <w:lang w:val="en-US" w:eastAsia="zh-CN"/>
              </w:rPr>
            </w:pPr>
            <w:r>
              <w:rPr>
                <w:rFonts w:hint="eastAsia" w:ascii="Times New Roman" w:hAnsi="Times New Roman"/>
                <w:color w:val="auto"/>
                <w:kern w:val="0"/>
                <w:sz w:val="22"/>
                <w:szCs w:val="22"/>
                <w:lang w:val="en-US" w:eastAsia="zh-CN"/>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29" w:hRule="atLeast"/>
          <w:jc w:val="center"/>
        </w:trPr>
        <w:tc>
          <w:tcPr>
            <w:tcW w:w="682"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709"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满意度</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社会公众或服务对象对项目实施效果的满意程度。</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社会公众或服务对象是指因该项目实施而受到影响的部门（单位）、群体或个人。一般采取社会调查的方式。</w:t>
            </w:r>
          </w:p>
        </w:tc>
        <w:tc>
          <w:tcPr>
            <w:tcW w:w="566" w:type="dxa"/>
            <w:shd w:val="clear" w:color="auto" w:fill="FFFFFF"/>
            <w:noWrap w:val="0"/>
            <w:vAlign w:val="center"/>
          </w:tcPr>
          <w:p>
            <w:pPr>
              <w:widowControl/>
              <w:spacing w:line="0" w:lineRule="atLeast"/>
              <w:jc w:val="center"/>
              <w:rPr>
                <w:rFonts w:hint="default" w:ascii="Times New Roman" w:hAnsi="Times New Roman"/>
                <w:color w:val="auto"/>
                <w:kern w:val="0"/>
                <w:sz w:val="22"/>
                <w:szCs w:val="22"/>
                <w:lang w:val="en-US" w:eastAsia="zh-CN"/>
              </w:rPr>
            </w:pPr>
            <w:r>
              <w:rPr>
                <w:rFonts w:hint="eastAsia" w:ascii="Times New Roman" w:hAnsi="Times New Roman"/>
                <w:color w:val="auto"/>
                <w:kern w:val="0"/>
                <w:sz w:val="22"/>
                <w:szCs w:val="22"/>
                <w:lang w:val="en-US" w:eastAsia="zh-CN"/>
              </w:rPr>
              <w:t>7.5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8" w:hRule="atLeast"/>
          <w:jc w:val="center"/>
        </w:trPr>
        <w:tc>
          <w:tcPr>
            <w:tcW w:w="2525" w:type="dxa"/>
            <w:gridSpan w:val="3"/>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总分</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100</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p>
        </w:tc>
        <w:tc>
          <w:tcPr>
            <w:tcW w:w="6096" w:type="dxa"/>
            <w:shd w:val="clear" w:color="auto" w:fill="FFFFFF"/>
            <w:noWrap w:val="0"/>
            <w:vAlign w:val="center"/>
          </w:tcPr>
          <w:p>
            <w:pPr>
              <w:widowControl/>
              <w:spacing w:line="0" w:lineRule="atLeast"/>
            </w:pPr>
          </w:p>
          <w:p>
            <w:pPr>
              <w:pStyle w:val="5"/>
            </w:pPr>
          </w:p>
        </w:tc>
        <w:tc>
          <w:tcPr>
            <w:tcW w:w="566" w:type="dxa"/>
            <w:shd w:val="clear" w:color="auto" w:fill="FFFFFF"/>
            <w:noWrap w:val="0"/>
            <w:vAlign w:val="center"/>
          </w:tcPr>
          <w:p>
            <w:pPr>
              <w:widowControl/>
              <w:spacing w:line="0" w:lineRule="atLeast"/>
              <w:jc w:val="center"/>
              <w:rPr>
                <w:rFonts w:hint="default"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94.5</w:t>
            </w:r>
          </w:p>
        </w:tc>
      </w:tr>
    </w:tbl>
    <w:p>
      <w:pPr>
        <w:spacing w:line="560" w:lineRule="exact"/>
        <w:ind w:firstLine="200" w:firstLineChars="100"/>
        <w:rPr>
          <w:rFonts w:ascii="Times New Roman" w:hAnsi="Times New Roman"/>
          <w:bCs/>
          <w:sz w:val="32"/>
          <w:szCs w:val="32"/>
        </w:rPr>
        <w:sectPr>
          <w:pgSz w:w="16838" w:h="11906" w:orient="landscape"/>
          <w:pgMar w:top="1531" w:right="1928" w:bottom="1531" w:left="1701" w:header="737" w:footer="851" w:gutter="0"/>
          <w:pgBorders>
            <w:top w:val="none" w:sz="0" w:space="0"/>
            <w:left w:val="none" w:sz="0" w:space="0"/>
            <w:bottom w:val="none" w:sz="0" w:space="0"/>
            <w:right w:val="none" w:sz="0" w:space="0"/>
          </w:pgBorders>
          <w:cols w:space="720" w:num="1"/>
          <w:docGrid w:type="lines" w:linePitch="408" w:charSpace="0"/>
        </w:sectPr>
      </w:pPr>
      <w:r>
        <w:rPr>
          <w:rFonts w:ascii="Times New Roman" w:hAnsi="Times New Roman" w:eastAsia="仿宋_GB2312"/>
          <w:sz w:val="20"/>
          <w:szCs w:val="20"/>
        </w:rPr>
        <w:t>注：单位可以根据专项资金的管理要求和绩效要求增设个性指标。</w:t>
      </w:r>
    </w:p>
    <w:p/>
    <w:sectPr>
      <w:pgSz w:w="11906" w:h="16838"/>
      <w:pgMar w:top="1474" w:right="1474" w:bottom="1474" w:left="1474" w:header="851" w:footer="1361" w:gutter="0"/>
      <w:pgBorders>
        <w:top w:val="none" w:sz="0" w:space="0"/>
        <w:left w:val="none" w:sz="0" w:space="0"/>
        <w:bottom w:val="none" w:sz="0" w:space="0"/>
        <w:right w:val="none" w:sz="0" w:space="0"/>
      </w:pgBorders>
      <w:cols w:space="720" w:num="1"/>
      <w:docGrid w:type="lines" w:linePitch="3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AEA085"/>
    <w:multiLevelType w:val="singleLevel"/>
    <w:tmpl w:val="98AEA085"/>
    <w:lvl w:ilvl="0" w:tentative="0">
      <w:start w:val="2"/>
      <w:numFmt w:val="chineseCounting"/>
      <w:suff w:val="nothing"/>
      <w:lvlText w:val="（%1）"/>
      <w:lvlJc w:val="left"/>
      <w:rPr>
        <w:rFonts w:hint="eastAsia"/>
      </w:rPr>
    </w:lvl>
  </w:abstractNum>
  <w:abstractNum w:abstractNumId="1">
    <w:nsid w:val="C755F13B"/>
    <w:multiLevelType w:val="singleLevel"/>
    <w:tmpl w:val="C755F13B"/>
    <w:lvl w:ilvl="0" w:tentative="0">
      <w:start w:val="2"/>
      <w:numFmt w:val="decimal"/>
      <w:lvlText w:val="%1."/>
      <w:lvlJc w:val="left"/>
      <w:pPr>
        <w:tabs>
          <w:tab w:val="left" w:pos="312"/>
        </w:tabs>
      </w:pPr>
    </w:lvl>
  </w:abstractNum>
  <w:abstractNum w:abstractNumId="2">
    <w:nsid w:val="0AF4614F"/>
    <w:multiLevelType w:val="singleLevel"/>
    <w:tmpl w:val="0AF4614F"/>
    <w:lvl w:ilvl="0" w:tentative="0">
      <w:start w:val="7"/>
      <w:numFmt w:val="chineseCounting"/>
      <w:suff w:val="nothing"/>
      <w:lvlText w:val="%1、"/>
      <w:lvlJc w:val="left"/>
      <w:rPr>
        <w:rFonts w:hint="eastAsia"/>
      </w:rPr>
    </w:lvl>
  </w:abstractNum>
  <w:abstractNum w:abstractNumId="3">
    <w:nsid w:val="3F4BE6A1"/>
    <w:multiLevelType w:val="singleLevel"/>
    <w:tmpl w:val="3F4BE6A1"/>
    <w:lvl w:ilvl="0" w:tentative="0">
      <w:start w:val="2"/>
      <w:numFmt w:val="chineseCounting"/>
      <w:suff w:val="nothing"/>
      <w:lvlText w:val="（%1）"/>
      <w:lvlJc w:val="left"/>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EzMTM3MmVkMjVkYjI0ZjU4ZmQyMmZkOTk1ODdlZDMifQ=="/>
  </w:docVars>
  <w:rsids>
    <w:rsidRoot w:val="517A605D"/>
    <w:rsid w:val="04D00868"/>
    <w:rsid w:val="068F0EE3"/>
    <w:rsid w:val="0B5F1172"/>
    <w:rsid w:val="0C3D68B1"/>
    <w:rsid w:val="10722AEB"/>
    <w:rsid w:val="1198581F"/>
    <w:rsid w:val="16284755"/>
    <w:rsid w:val="176877BE"/>
    <w:rsid w:val="17DA70AD"/>
    <w:rsid w:val="185B330B"/>
    <w:rsid w:val="19113681"/>
    <w:rsid w:val="1AD73F02"/>
    <w:rsid w:val="1D254286"/>
    <w:rsid w:val="1D3450AE"/>
    <w:rsid w:val="1EB40344"/>
    <w:rsid w:val="21B446F2"/>
    <w:rsid w:val="25D77CCD"/>
    <w:rsid w:val="28F71330"/>
    <w:rsid w:val="2B342E35"/>
    <w:rsid w:val="2B5535F6"/>
    <w:rsid w:val="304439EC"/>
    <w:rsid w:val="32711718"/>
    <w:rsid w:val="3379587C"/>
    <w:rsid w:val="3D495ACD"/>
    <w:rsid w:val="42A1670D"/>
    <w:rsid w:val="476D0F28"/>
    <w:rsid w:val="4BBD7AE4"/>
    <w:rsid w:val="4C8D13FC"/>
    <w:rsid w:val="4DAE6271"/>
    <w:rsid w:val="4E9B17FD"/>
    <w:rsid w:val="4ECA7D3A"/>
    <w:rsid w:val="517A605D"/>
    <w:rsid w:val="52E54233"/>
    <w:rsid w:val="5D765F13"/>
    <w:rsid w:val="5E136220"/>
    <w:rsid w:val="60B8496E"/>
    <w:rsid w:val="60DE6414"/>
    <w:rsid w:val="703A1673"/>
    <w:rsid w:val="70657541"/>
    <w:rsid w:val="70DE0D89"/>
    <w:rsid w:val="71F8133B"/>
    <w:rsid w:val="743C5DB2"/>
    <w:rsid w:val="74A4695E"/>
    <w:rsid w:val="797249E6"/>
    <w:rsid w:val="7CD55FED"/>
    <w:rsid w:val="7F510C6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autoRedefine/>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footnote text"/>
    <w:basedOn w:val="1"/>
    <w:autoRedefine/>
    <w:qFormat/>
    <w:uiPriority w:val="0"/>
    <w:pPr>
      <w:snapToGrid w:val="0"/>
      <w:jc w:val="left"/>
    </w:pPr>
    <w:rPr>
      <w:rFonts w:ascii="Calibri" w:hAnsi="Calibri" w:eastAsia="宋体" w:cs="Times New Roman"/>
      <w:sz w:val="18"/>
      <w:szCs w:val="18"/>
    </w:rPr>
  </w:style>
  <w:style w:type="paragraph" w:styleId="4">
    <w:name w:val="index 5"/>
    <w:basedOn w:val="1"/>
    <w:next w:val="1"/>
    <w:autoRedefine/>
    <w:qFormat/>
    <w:uiPriority w:val="0"/>
    <w:pPr>
      <w:ind w:left="1680"/>
    </w:pPr>
  </w:style>
  <w:style w:type="paragraph" w:styleId="5">
    <w:name w:val="Body Text"/>
    <w:basedOn w:val="1"/>
    <w:next w:val="4"/>
    <w:autoRedefine/>
    <w:qFormat/>
    <w:uiPriority w:val="0"/>
  </w:style>
  <w:style w:type="paragraph" w:styleId="6">
    <w:name w:val="Normal (Web)"/>
    <w:basedOn w:val="1"/>
    <w:autoRedefine/>
    <w:qFormat/>
    <w:uiPriority w:val="99"/>
    <w:pPr>
      <w:jc w:val="left"/>
    </w:pPr>
    <w:rPr>
      <w:rFonts w:ascii="微软雅黑" w:hAnsi="微软雅黑" w:eastAsia="微软雅黑"/>
      <w:color w:val="4C4C4C"/>
      <w:kern w:val="0"/>
      <w:szCs w:val="21"/>
    </w:rPr>
  </w:style>
  <w:style w:type="character" w:styleId="9">
    <w:name w:val="Strong"/>
    <w:basedOn w:val="8"/>
    <w:autoRedefine/>
    <w:qFormat/>
    <w:uiPriority w:val="99"/>
    <w:rPr>
      <w:rFonts w:cs="Times New Roman"/>
      <w:b/>
    </w:rPr>
  </w:style>
  <w:style w:type="paragraph" w:styleId="10">
    <w:name w:val="No Spacing"/>
    <w:autoRedefine/>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6086</Words>
  <Characters>6284</Characters>
  <Lines>0</Lines>
  <Paragraphs>0</Paragraphs>
  <TotalTime>11</TotalTime>
  <ScaleCrop>false</ScaleCrop>
  <LinksUpToDate>false</LinksUpToDate>
  <CharactersWithSpaces>6322</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2021-07-12T08:06:00Z</dcterms:created>
  <dc:creator>错错错愛</dc:creator>
  <cp:lastModifiedBy>Administrator</cp:lastModifiedBy>
  <dcterms:modified xsi:type="dcterms:W3CDTF">2024-04-09T01:27:54Z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D0175C9A4C6245FA81A4471B997BD504</vt:lpwstr>
  </property>
</Properties>
</file>