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519C6">
      <w:pPr>
        <w:pStyle w:val="7"/>
        <w:spacing w:line="510" w:lineRule="exact"/>
        <w:jc w:val="center"/>
        <w:rPr>
          <w:rFonts w:hint="eastAsia" w:ascii="Times New Roman" w:hAnsi="Times New Roman" w:eastAsia="黑体" w:cs="Times New Roman"/>
          <w:sz w:val="44"/>
          <w:szCs w:val="44"/>
          <w:lang w:eastAsia="zh-CN"/>
        </w:rPr>
      </w:pPr>
      <w:r>
        <w:rPr>
          <w:rFonts w:hint="eastAsia" w:ascii="Times New Roman" w:hAnsi="Times New Roman" w:eastAsia="黑体" w:cs="Times New Roman"/>
          <w:sz w:val="44"/>
          <w:szCs w:val="44"/>
          <w:lang w:eastAsia="zh-CN"/>
        </w:rPr>
        <w:t>中方县城市管理和综合执法局202</w:t>
      </w:r>
      <w:r>
        <w:rPr>
          <w:rFonts w:hint="eastAsia" w:ascii="Times New Roman" w:hAnsi="Times New Roman" w:eastAsia="黑体" w:cs="Times New Roman"/>
          <w:sz w:val="44"/>
          <w:szCs w:val="44"/>
          <w:lang w:val="en-US" w:eastAsia="zh-CN"/>
        </w:rPr>
        <w:t>3</w:t>
      </w:r>
      <w:r>
        <w:rPr>
          <w:rFonts w:hint="eastAsia" w:ascii="Times New Roman" w:hAnsi="Times New Roman" w:eastAsia="黑体" w:cs="Times New Roman"/>
          <w:sz w:val="44"/>
          <w:szCs w:val="44"/>
          <w:lang w:eastAsia="zh-CN"/>
        </w:rPr>
        <w:t>年度县城建筑垃圾清扫、清运及渣土扬尘污染清洗、县城建筑（装修）垃圾临时填埋场的租用与管理项目支出绩效自评报告</w:t>
      </w:r>
    </w:p>
    <w:p w14:paraId="5019522F">
      <w:pPr>
        <w:pStyle w:val="7"/>
        <w:spacing w:line="510" w:lineRule="exact"/>
        <w:ind w:firstLine="643" w:firstLineChars="200"/>
        <w:rPr>
          <w:rFonts w:hint="eastAsia" w:ascii="Times New Roman" w:hAnsi="Times New Roman" w:eastAsia="楷体" w:cs="Times New Roman"/>
          <w:b/>
          <w:sz w:val="32"/>
          <w:szCs w:val="32"/>
        </w:rPr>
      </w:pPr>
      <w:r>
        <w:rPr>
          <w:rFonts w:hint="eastAsia" w:ascii="Times New Roman" w:hAnsi="Times New Roman" w:eastAsia="楷体" w:cs="Times New Roman"/>
          <w:b/>
          <w:sz w:val="32"/>
          <w:szCs w:val="32"/>
        </w:rPr>
        <w:t>一、基本情况</w:t>
      </w:r>
    </w:p>
    <w:p w14:paraId="6F784C3C">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（一）项目概况。</w:t>
      </w:r>
    </w:p>
    <w:p w14:paraId="7272A1C2">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背景：依据中方县城市建筑垃圾管理办法（中政办发《2013》30号、城市建筑垃圾管理规定（建筑部令第139号），主要内容是县城内建筑装修垃圾的清理清运及渣土路面扬尘污染的清洗，和县委、县政府的相关规定及指示精神实施，属延续项目。</w:t>
      </w:r>
    </w:p>
    <w:p w14:paraId="0E444DD8">
      <w:pPr>
        <w:spacing w:after="0" w:line="600" w:lineRule="exact"/>
        <w:ind w:firstLine="640" w:firstLineChars="200"/>
        <w:outlineLvl w:val="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sz w:val="32"/>
          <w:szCs w:val="32"/>
        </w:rPr>
        <w:t>主要内容及实施情况：我县目前纳入县城日常清理清运县城周边乱倒、乱堆装修垃圾及渣土扬尘治理公共区域面积约为145.05万平方米。该局下设渣土扬尘执法中队，主要负责渣土运输管理、扬尘污染整治；清理清运和乱倒、乱堆装修垃圾。督促办理渣土车辆准运证，签订环境卫生责任书，严格按照工地周边100%围挡、物料堆放100%覆盖、出入车辆100%冲洗、施工现场地面100%硬化、拆迁工地100%湿法作业、渣土车辆100%密闭运输的“6个100%”内容规范落实，有效推进工地的净化运输和文明施工。清理建筑装修垃圾</w:t>
      </w:r>
      <w:r>
        <w:rPr>
          <w:rFonts w:hint="eastAsia" w:ascii="仿宋" w:hAnsi="仿宋" w:eastAsia="仿宋" w:cs="仿宋"/>
          <w:sz w:val="32"/>
          <w:szCs w:val="32"/>
          <w:lang w:val="en-US" w:eastAsia="zh-CN"/>
        </w:rPr>
        <w:t>80</w:t>
      </w:r>
      <w:r>
        <w:rPr>
          <w:rFonts w:hint="eastAsia" w:ascii="仿宋" w:hAnsi="仿宋" w:eastAsia="仿宋" w:cs="仿宋"/>
          <w:sz w:val="32"/>
          <w:szCs w:val="32"/>
        </w:rPr>
        <w:t>余吨，清洗渣土污染路面</w:t>
      </w:r>
      <w:r>
        <w:rPr>
          <w:rFonts w:hint="eastAsia" w:ascii="仿宋" w:hAnsi="仿宋" w:eastAsia="仿宋" w:cs="仿宋"/>
          <w:sz w:val="32"/>
          <w:szCs w:val="32"/>
          <w:lang w:val="en-US" w:eastAsia="zh-CN"/>
        </w:rPr>
        <w:t>40</w:t>
      </w:r>
      <w:r>
        <w:rPr>
          <w:rFonts w:hint="eastAsia" w:ascii="仿宋" w:hAnsi="仿宋" w:eastAsia="仿宋" w:cs="仿宋"/>
          <w:sz w:val="32"/>
          <w:szCs w:val="32"/>
        </w:rPr>
        <w:t>万平方米；组织洒水车（按400元一车）、机械，节省10余万元；共计完成</w:t>
      </w:r>
      <w:r>
        <w:rPr>
          <w:rFonts w:hint="eastAsia" w:ascii="仿宋" w:hAnsi="仿宋" w:eastAsia="仿宋" w:cs="仿宋"/>
          <w:color w:val="000000" w:themeColor="text1"/>
          <w:sz w:val="32"/>
          <w:szCs w:val="32"/>
          <w14:textFill>
            <w14:solidFill>
              <w14:schemeClr w14:val="tx1"/>
            </w14:solidFill>
          </w14:textFill>
        </w:rPr>
        <w:t>非税收入</w:t>
      </w:r>
      <w:r>
        <w:rPr>
          <w:rFonts w:hint="eastAsia" w:ascii="仿宋" w:hAnsi="仿宋" w:eastAsia="仿宋" w:cs="仿宋"/>
          <w:color w:val="000000" w:themeColor="text1"/>
          <w:sz w:val="32"/>
          <w:szCs w:val="32"/>
          <w:highlight w:val="none"/>
          <w:lang w:val="en-US" w:eastAsia="zh-CN"/>
          <w14:textFill>
            <w14:solidFill>
              <w14:schemeClr w14:val="tx1"/>
            </w14:solidFill>
          </w14:textFill>
        </w:rPr>
        <w:t>7.6万余</w:t>
      </w:r>
      <w:r>
        <w:rPr>
          <w:rFonts w:hint="eastAsia" w:ascii="仿宋" w:hAnsi="仿宋" w:eastAsia="仿宋" w:cs="仿宋"/>
          <w:color w:val="000000" w:themeColor="text1"/>
          <w:sz w:val="32"/>
          <w:szCs w:val="32"/>
          <w:highlight w:val="none"/>
          <w14:textFill>
            <w14:solidFill>
              <w14:schemeClr w14:val="tx1"/>
            </w14:solidFill>
          </w14:textFill>
        </w:rPr>
        <w:t>元。</w:t>
      </w:r>
    </w:p>
    <w:p w14:paraId="15D7D427">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资金投入和使用情况：</w:t>
      </w: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年县财政共安排建筑装修垃圾清运及渣土扬尘污染经费</w:t>
      </w:r>
      <w:r>
        <w:rPr>
          <w:rFonts w:hint="eastAsia" w:ascii="仿宋" w:hAnsi="仿宋" w:eastAsia="仿宋" w:cs="仿宋"/>
          <w:sz w:val="32"/>
          <w:szCs w:val="32"/>
          <w:highlight w:val="none"/>
          <w:lang w:val="en-US" w:eastAsia="zh-CN"/>
        </w:rPr>
        <w:t>18.00</w:t>
      </w:r>
      <w:r>
        <w:rPr>
          <w:rFonts w:hint="eastAsia" w:ascii="仿宋" w:hAnsi="仿宋" w:eastAsia="仿宋" w:cs="仿宋"/>
          <w:sz w:val="32"/>
          <w:szCs w:val="32"/>
          <w:highlight w:val="none"/>
        </w:rPr>
        <w:t>万元，本年度及时支付了经费</w:t>
      </w:r>
      <w:r>
        <w:rPr>
          <w:rFonts w:hint="eastAsia" w:ascii="仿宋" w:hAnsi="仿宋" w:eastAsia="仿宋" w:cs="仿宋"/>
          <w:sz w:val="32"/>
          <w:szCs w:val="32"/>
          <w:highlight w:val="none"/>
          <w:lang w:val="en-US" w:eastAsia="zh-CN"/>
        </w:rPr>
        <w:t>23.65</w:t>
      </w:r>
      <w:r>
        <w:rPr>
          <w:rFonts w:hint="eastAsia" w:ascii="仿宋" w:hAnsi="仿宋" w:eastAsia="仿宋" w:cs="仿宋"/>
          <w:sz w:val="32"/>
          <w:szCs w:val="32"/>
          <w:highlight w:val="none"/>
        </w:rPr>
        <w:t>万元</w:t>
      </w:r>
      <w:r>
        <w:rPr>
          <w:rFonts w:hint="eastAsia" w:ascii="仿宋" w:hAnsi="仿宋" w:eastAsia="仿宋" w:cs="仿宋"/>
          <w:sz w:val="32"/>
          <w:szCs w:val="32"/>
        </w:rPr>
        <w:t>，确保了工人的工资发放和建筑垃圾临时填埋场的基本运转，使我县的渣土扬尘工作得到正常有序地开展。</w:t>
      </w:r>
    </w:p>
    <w:p w14:paraId="780B2943">
      <w:pPr>
        <w:numPr>
          <w:ilvl w:val="0"/>
          <w:numId w:val="1"/>
        </w:num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项目绩效目标。</w:t>
      </w:r>
    </w:p>
    <w:p w14:paraId="4839363C">
      <w:pPr>
        <w:numPr>
          <w:ilvl w:val="0"/>
          <w:numId w:val="0"/>
        </w:num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总体目标：保持县城环境卫生干净整洁、舒适清爽。</w:t>
      </w:r>
    </w:p>
    <w:p w14:paraId="05CC28D7">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阶段性目标：按年度预算，完成本年度所属区域的建筑垃圾管理，清理清运县城周边乱倒、乱堆装修垃圾，及时清洗出现的渣土路面污染和降尘任务。</w:t>
      </w:r>
    </w:p>
    <w:p w14:paraId="1A2672E9">
      <w:pPr>
        <w:pStyle w:val="7"/>
        <w:spacing w:line="510" w:lineRule="exact"/>
        <w:ind w:firstLine="643" w:firstLineChars="200"/>
        <w:rPr>
          <w:rFonts w:hint="eastAsia" w:ascii="Times New Roman" w:hAnsi="Times New Roman" w:eastAsia="楷体" w:cs="Times New Roman"/>
          <w:b/>
          <w:sz w:val="32"/>
          <w:szCs w:val="32"/>
        </w:rPr>
      </w:pPr>
      <w:r>
        <w:rPr>
          <w:rFonts w:hint="eastAsia" w:ascii="Times New Roman" w:hAnsi="Times New Roman" w:eastAsia="楷体" w:cs="Times New Roman"/>
          <w:b/>
          <w:sz w:val="32"/>
          <w:szCs w:val="32"/>
        </w:rPr>
        <w:t>二、绩效评价工作开展情况</w:t>
      </w:r>
    </w:p>
    <w:p w14:paraId="385ADA78">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（一）绩效评价目的、对象和范围。</w:t>
      </w:r>
    </w:p>
    <w:p w14:paraId="34BBC9C2">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通过对县城建筑垃圾管理清理清运，清洗出现的渣土路面污染和降尘专项资金的绩效评价，全面摸清资金的发放情况。为上级财政制定相关政策提供参考依据，最大限度发挥财政资金使用效益。</w:t>
      </w:r>
    </w:p>
    <w:p w14:paraId="4B80CFC3">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14:paraId="3C38464E">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1.评价原则：公开、公平、公正。</w:t>
      </w:r>
    </w:p>
    <w:p w14:paraId="52FD4608">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2.评价指标体系：见附件1、2。</w:t>
      </w:r>
    </w:p>
    <w:p w14:paraId="74F00E54">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评价方法、评价标准：注重经费支出的经济性、效率性、和有效性，采用定量和定性相结合的方法，客观、公正、数据资料真实可靠，并接受监督，针对具体投入及其产出绩效进行，评价结果清晰反应投入和绩效之间的对应关系。</w:t>
      </w:r>
    </w:p>
    <w:p w14:paraId="72688BC4">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（三）绩效评价工作过程。</w:t>
      </w:r>
    </w:p>
    <w:p w14:paraId="67BA556E">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县财政局绩效评价股对县城市管理和综合执法局下达了绩效评价通知，制定了对该项目的绩效评价工作方案。评价过程中听取了企业负责人的情况介绍，翻阅了相关资料，了解经费的拨付和发放流程，侧重调查资金发放的真实性、公平性。具体工作过程如下：</w:t>
      </w:r>
    </w:p>
    <w:p w14:paraId="5C79B1F2">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1.检查资料。通过对各种资料的查阅，了解该项资金是否及时拨付到位。</w:t>
      </w:r>
    </w:p>
    <w:p w14:paraId="334F8DEC">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2.座谈交流。</w:t>
      </w:r>
    </w:p>
    <w:p w14:paraId="405BB646">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发放宣传资料，形成知法、懂法、依法运营的良好氛围。深入了解县城建筑（装修）垃圾清运及渣土扬尘污染清洗、填埋场租用资金的真实性、及时性、公平性，听取他们对这项资金提出的意见和建议。</w:t>
      </w:r>
    </w:p>
    <w:p w14:paraId="76285605">
      <w:pPr>
        <w:pStyle w:val="7"/>
        <w:spacing w:line="510" w:lineRule="exact"/>
        <w:ind w:firstLine="643" w:firstLineChars="200"/>
        <w:rPr>
          <w:rFonts w:hint="eastAsia" w:ascii="Times New Roman" w:hAnsi="Times New Roman" w:eastAsia="楷体" w:cs="Times New Roman"/>
          <w:b/>
          <w:sz w:val="32"/>
          <w:szCs w:val="32"/>
        </w:rPr>
      </w:pPr>
      <w:r>
        <w:rPr>
          <w:rFonts w:hint="eastAsia" w:ascii="Times New Roman" w:hAnsi="Times New Roman" w:eastAsia="楷体" w:cs="Times New Roman"/>
          <w:b/>
          <w:sz w:val="32"/>
          <w:szCs w:val="32"/>
        </w:rPr>
        <w:t>三、综合评价情况及评价结论（附相关评分表）</w:t>
      </w:r>
    </w:p>
    <w:p w14:paraId="2EEDB6FB">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通过自我评价，认为202</w:t>
      </w:r>
      <w:r>
        <w:rPr>
          <w:rFonts w:hint="eastAsia" w:ascii="仿宋" w:hAnsi="仿宋" w:eastAsia="仿宋" w:cs="仿宋"/>
          <w:sz w:val="32"/>
          <w:szCs w:val="32"/>
          <w:lang w:val="en-US" w:eastAsia="zh-CN"/>
        </w:rPr>
        <w:t>3</w:t>
      </w:r>
      <w:r>
        <w:rPr>
          <w:rFonts w:hint="eastAsia" w:ascii="仿宋" w:hAnsi="仿宋" w:eastAsia="仿宋" w:cs="仿宋"/>
          <w:sz w:val="32"/>
          <w:szCs w:val="32"/>
        </w:rPr>
        <w:t>年建筑装修垃圾清运、建筑垃圾临时填埋场及渣土扬尘污染专项资金的申报、发放材料规范齐全、评审程序公平公正，资金的发放与管理符合规范（县财政直接把资金拨付给了企业及村委会），本项目经费支出综合绩效评价得分：9</w:t>
      </w:r>
      <w:r>
        <w:rPr>
          <w:rFonts w:hint="eastAsia" w:ascii="仿宋" w:hAnsi="仿宋" w:eastAsia="仿宋" w:cs="仿宋"/>
          <w:sz w:val="32"/>
          <w:szCs w:val="32"/>
          <w:lang w:val="en-US" w:eastAsia="zh-CN"/>
        </w:rPr>
        <w:t>7</w:t>
      </w:r>
      <w:r>
        <w:rPr>
          <w:rFonts w:hint="eastAsia" w:ascii="仿宋" w:hAnsi="仿宋" w:eastAsia="仿宋" w:cs="仿宋"/>
          <w:sz w:val="32"/>
          <w:szCs w:val="32"/>
        </w:rPr>
        <w:t>分，结果为优。</w:t>
      </w:r>
    </w:p>
    <w:p w14:paraId="568A91C7">
      <w:pPr>
        <w:pStyle w:val="7"/>
        <w:spacing w:line="510" w:lineRule="exact"/>
        <w:ind w:firstLine="643" w:firstLineChars="200"/>
        <w:rPr>
          <w:rFonts w:hint="eastAsia" w:ascii="Times New Roman" w:hAnsi="Times New Roman" w:eastAsia="楷体" w:cs="Times New Roman"/>
          <w:b/>
          <w:sz w:val="32"/>
          <w:szCs w:val="32"/>
        </w:rPr>
      </w:pPr>
      <w:r>
        <w:rPr>
          <w:rFonts w:hint="eastAsia" w:ascii="Times New Roman" w:hAnsi="Times New Roman" w:eastAsia="楷体" w:cs="Times New Roman"/>
          <w:b/>
          <w:sz w:val="32"/>
          <w:szCs w:val="32"/>
        </w:rPr>
        <w:t>四、绩效评价指标分析</w:t>
      </w:r>
    </w:p>
    <w:p w14:paraId="2F350A02">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（一）项目决策情况。</w:t>
      </w:r>
    </w:p>
    <w:p w14:paraId="51B8C105">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《城市市容和环境卫生管理条例》和“四城同创”指标要求：保持环境卫生清洁，按照规定设置环境卫生设施，保持完好、整洁。</w:t>
      </w:r>
    </w:p>
    <w:p w14:paraId="613EFAF6">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（二）项目过程情况。</w:t>
      </w:r>
    </w:p>
    <w:p w14:paraId="5F1076A6">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对县城主次干道及人行道等进行渣土及建筑垃圾清理。</w:t>
      </w:r>
    </w:p>
    <w:p w14:paraId="66A1DEF3">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（三）项目产出情况。</w:t>
      </w:r>
    </w:p>
    <w:p w14:paraId="2531E2C1">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县城环境卫生干净整洁。</w:t>
      </w:r>
    </w:p>
    <w:p w14:paraId="78799F18">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（四）项目效益情况。</w:t>
      </w:r>
    </w:p>
    <w:p w14:paraId="5B2D5F9C">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为广大市民提供了优美舒适的生活环境，国家级“四城同创”各项检查如期通过。</w:t>
      </w:r>
    </w:p>
    <w:p w14:paraId="55B46C6F">
      <w:pPr>
        <w:pStyle w:val="7"/>
        <w:spacing w:line="510" w:lineRule="exact"/>
        <w:ind w:firstLine="643" w:firstLineChars="200"/>
        <w:rPr>
          <w:rFonts w:hint="eastAsia" w:ascii="Times New Roman" w:hAnsi="Times New Roman" w:eastAsia="楷体" w:cs="Times New Roman"/>
          <w:b/>
          <w:sz w:val="32"/>
          <w:szCs w:val="32"/>
        </w:rPr>
      </w:pPr>
      <w:r>
        <w:rPr>
          <w:rFonts w:hint="eastAsia" w:ascii="Times New Roman" w:hAnsi="Times New Roman" w:eastAsia="楷体" w:cs="Times New Roman"/>
          <w:b/>
          <w:sz w:val="32"/>
          <w:szCs w:val="32"/>
        </w:rPr>
        <w:t>五、主要经验及做法、存在的问题及原因分析</w:t>
      </w:r>
    </w:p>
    <w:p w14:paraId="4A97A74D">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经验及做法：建筑工地和道路交通产生的扬尘是造成大气污的主要原因之一</w:t>
      </w:r>
      <w:r>
        <w:rPr>
          <w:rFonts w:hint="eastAsia" w:ascii="仿宋" w:hAnsi="仿宋" w:eastAsia="仿宋" w:cs="仿宋"/>
          <w:sz w:val="32"/>
          <w:szCs w:val="32"/>
          <w:lang w:eastAsia="zh-CN"/>
        </w:rPr>
        <w:t>，</w:t>
      </w:r>
      <w:r>
        <w:rPr>
          <w:rFonts w:hint="eastAsia" w:ascii="仿宋" w:hAnsi="仿宋" w:eastAsia="仿宋" w:cs="仿宋"/>
          <w:sz w:val="32"/>
          <w:szCs w:val="32"/>
        </w:rPr>
        <w:t>文明施工管理是企业施工生产经营的综合反映，贯穿于施工管理的全过程，以便提高劳动生产率、降低物耗、消除污染、美化环境、防治大气污染、防尘、并在施工过程中，对现场进行全封闭、半封闭的管理。</w:t>
      </w:r>
    </w:p>
    <w:p w14:paraId="7653AC32">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存在的问题及原因分析：</w:t>
      </w:r>
    </w:p>
    <w:p w14:paraId="7B5C27EA">
      <w:pPr>
        <w:numPr>
          <w:ilvl w:val="0"/>
          <w:numId w:val="2"/>
        </w:numPr>
        <w:spacing w:after="0" w:line="600" w:lineRule="exact"/>
        <w:ind w:firstLine="640" w:firstLineChars="200"/>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多头执法渣土车治理监管困难。近年来，交管、市容、住建等部门都加强了对渣土车问题的管理，但由于各管一块，没有形成合力，容易形成管理盲点。</w:t>
      </w:r>
    </w:p>
    <w:p w14:paraId="24D96D2A">
      <w:pPr>
        <w:numPr>
          <w:ilvl w:val="0"/>
          <w:numId w:val="2"/>
        </w:numPr>
        <w:spacing w:after="0" w:line="600" w:lineRule="exact"/>
        <w:ind w:left="0" w:leftChars="0" w:firstLine="640" w:firstLineChars="200"/>
        <w:outlineLvl w:val="0"/>
        <w:rPr>
          <w:rFonts w:hint="eastAsia" w:ascii="仿宋" w:hAnsi="仿宋" w:eastAsia="仿宋" w:cs="仿宋"/>
          <w:sz w:val="32"/>
          <w:szCs w:val="32"/>
        </w:rPr>
      </w:pPr>
      <w:r>
        <w:rPr>
          <w:rFonts w:hint="eastAsia" w:ascii="仿宋" w:hAnsi="仿宋" w:eastAsia="仿宋" w:cs="仿宋"/>
          <w:sz w:val="32"/>
          <w:szCs w:val="32"/>
        </w:rPr>
        <w:t>施工现场道路未全部硬化导致运输车辆在行驶中产生的扬尘。</w:t>
      </w:r>
    </w:p>
    <w:p w14:paraId="7E18CD72">
      <w:pPr>
        <w:numPr>
          <w:ilvl w:val="0"/>
          <w:numId w:val="0"/>
        </w:numPr>
        <w:spacing w:after="0" w:line="600" w:lineRule="exact"/>
        <w:ind w:firstLine="640" w:firstLineChars="200"/>
        <w:outlineLvl w:val="0"/>
        <w:rPr>
          <w:rFonts w:hint="eastAsia" w:ascii="黑体" w:hAnsi="黑体" w:eastAsia="黑体" w:cs="黑体"/>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w:t>
      </w:r>
      <w:r>
        <w:rPr>
          <w:rFonts w:hint="eastAsia" w:ascii="仿宋" w:hAnsi="仿宋" w:eastAsia="仿宋" w:cs="仿宋"/>
          <w:sz w:val="32"/>
          <w:szCs w:val="32"/>
        </w:rPr>
        <w:t>建筑材料（如沙子、水泥、石灰）、建筑垃圾在装卸、堆放过程中产生的扬尘。</w:t>
      </w:r>
    </w:p>
    <w:p w14:paraId="11B09809">
      <w:pPr>
        <w:numPr>
          <w:ilvl w:val="0"/>
          <w:numId w:val="0"/>
        </w:num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四</w:t>
      </w:r>
      <w:r>
        <w:rPr>
          <w:rFonts w:hint="eastAsia" w:ascii="仿宋" w:hAnsi="仿宋" w:eastAsia="仿宋" w:cs="仿宋"/>
          <w:sz w:val="32"/>
          <w:szCs w:val="32"/>
        </w:rPr>
        <w:t>）渣土清运过程中由于装载过多等原因出现遗撒产生的扬尘。</w:t>
      </w:r>
    </w:p>
    <w:p w14:paraId="241A82B9">
      <w:pPr>
        <w:numPr>
          <w:ilvl w:val="0"/>
          <w:numId w:val="0"/>
        </w:numPr>
        <w:spacing w:after="0" w:line="600" w:lineRule="exact"/>
        <w:ind w:firstLine="640" w:firstLineChars="200"/>
        <w:outlineLvl w:val="0"/>
        <w:rPr>
          <w:rFonts w:hint="eastAsia" w:ascii="黑体" w:hAnsi="黑体" w:eastAsia="黑体" w:cs="黑体"/>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五</w:t>
      </w:r>
      <w:r>
        <w:rPr>
          <w:rFonts w:hint="eastAsia" w:ascii="仿宋" w:hAnsi="仿宋" w:eastAsia="仿宋" w:cs="仿宋"/>
          <w:sz w:val="32"/>
          <w:szCs w:val="32"/>
          <w:lang w:eastAsia="zh-CN"/>
        </w:rPr>
        <w:t>）</w:t>
      </w:r>
      <w:r>
        <w:rPr>
          <w:rFonts w:hint="eastAsia" w:ascii="仿宋" w:hAnsi="仿宋" w:eastAsia="仿宋" w:cs="仿宋"/>
          <w:sz w:val="32"/>
          <w:szCs w:val="32"/>
        </w:rPr>
        <w:t>运输车辆未及时冲洗，导致车辆带泥上路造成的污染。</w:t>
      </w:r>
    </w:p>
    <w:p w14:paraId="7B06F53F">
      <w:pPr>
        <w:pStyle w:val="7"/>
        <w:spacing w:line="510" w:lineRule="exact"/>
        <w:ind w:firstLine="643" w:firstLineChars="200"/>
        <w:rPr>
          <w:rFonts w:hint="eastAsia" w:ascii="Times New Roman" w:hAnsi="Times New Roman" w:eastAsia="楷体" w:cs="Times New Roman"/>
          <w:b/>
          <w:sz w:val="32"/>
          <w:szCs w:val="32"/>
        </w:rPr>
      </w:pPr>
      <w:r>
        <w:rPr>
          <w:rFonts w:hint="eastAsia" w:ascii="Times New Roman" w:hAnsi="Times New Roman" w:eastAsia="楷体" w:cs="Times New Roman"/>
          <w:b/>
          <w:sz w:val="32"/>
          <w:szCs w:val="32"/>
        </w:rPr>
        <w:t>六、有关建议</w:t>
      </w:r>
    </w:p>
    <w:p w14:paraId="303BAA63">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建议政府有关部门加强各执法部门的联动性，公安、交通、城市管理和综合执法部门应建立好渣土运输大数据平台，根据数据分析，加大城区重点时段、路段的监控布防，对工地、消纳场、运输线路实施多方位执法管理。设立监督举报电话，主动接受社会、舆论和公众监督，及时发现问题和解决突出问题。加大对渣土运输企业、驾驶员的安全宣传教育，提高从业人员的守法运营意识。</w:t>
      </w:r>
    </w:p>
    <w:p w14:paraId="48DC3865">
      <w:pPr>
        <w:pStyle w:val="7"/>
        <w:spacing w:line="510" w:lineRule="exact"/>
        <w:ind w:firstLine="643" w:firstLineChars="200"/>
        <w:rPr>
          <w:rFonts w:hint="eastAsia" w:ascii="Times New Roman" w:hAnsi="Times New Roman" w:eastAsia="楷体" w:cs="Times New Roman"/>
          <w:b/>
          <w:sz w:val="32"/>
          <w:szCs w:val="32"/>
        </w:rPr>
      </w:pPr>
      <w:r>
        <w:rPr>
          <w:rFonts w:hint="eastAsia" w:ascii="Times New Roman" w:hAnsi="Times New Roman" w:eastAsia="楷体" w:cs="Times New Roman"/>
          <w:b/>
          <w:sz w:val="32"/>
          <w:szCs w:val="32"/>
          <w:lang w:val="en-US" w:eastAsia="zh-CN"/>
        </w:rPr>
        <w:t>七、</w:t>
      </w:r>
      <w:r>
        <w:rPr>
          <w:rFonts w:hint="eastAsia" w:ascii="Times New Roman" w:hAnsi="Times New Roman" w:eastAsia="楷体" w:cs="Times New Roman"/>
          <w:b/>
          <w:sz w:val="32"/>
          <w:szCs w:val="32"/>
        </w:rPr>
        <w:t>其他需要说明的问题</w:t>
      </w:r>
    </w:p>
    <w:p w14:paraId="33F97F8D">
      <w:pPr>
        <w:pStyle w:val="7"/>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附件：1、项目支出绩效自评表</w:t>
      </w:r>
    </w:p>
    <w:p w14:paraId="0115209C">
      <w:pPr>
        <w:numPr>
          <w:ilvl w:val="0"/>
          <w:numId w:val="3"/>
        </w:numPr>
        <w:adjustRightInd w:val="0"/>
        <w:snapToGrid w:val="0"/>
        <w:spacing w:after="0" w:line="600" w:lineRule="exact"/>
        <w:ind w:firstLine="1600" w:firstLineChars="50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项目支出绩效评价共性指标表</w:t>
      </w:r>
    </w:p>
    <w:p w14:paraId="26A9E1A9">
      <w:pPr>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br w:type="page"/>
      </w:r>
    </w:p>
    <w:p w14:paraId="394708DA">
      <w:pPr>
        <w:pStyle w:val="7"/>
        <w:adjustRightInd/>
        <w:snapToGrid/>
        <w:spacing w:after="0" w:line="510" w:lineRule="exact"/>
        <w:jc w:val="left"/>
        <w:rPr>
          <w:rFonts w:hint="eastAsia" w:ascii="仿宋" w:hAnsi="仿宋" w:eastAsia="仿宋" w:cs="Times New Roman"/>
          <w:sz w:val="32"/>
          <w:szCs w:val="32"/>
        </w:rPr>
      </w:pPr>
      <w:r>
        <w:rPr>
          <w:rFonts w:hint="eastAsia" w:ascii="仿宋" w:hAnsi="仿宋" w:eastAsia="仿宋" w:cs="Times New Roman"/>
          <w:sz w:val="32"/>
          <w:szCs w:val="32"/>
        </w:rPr>
        <w:t>附件1：</w:t>
      </w:r>
    </w:p>
    <w:p w14:paraId="396E3C27">
      <w:pPr>
        <w:pStyle w:val="7"/>
        <w:widowControl w:val="0"/>
        <w:adjustRightInd/>
        <w:snapToGrid/>
        <w:spacing w:after="0" w:line="510" w:lineRule="exact"/>
        <w:jc w:val="center"/>
        <w:rPr>
          <w:rFonts w:hint="eastAsia" w:ascii="Times New Roman" w:hAnsi="Times New Roman" w:eastAsia="宋体" w:cs="Times New Roman"/>
          <w:b/>
          <w:bCs/>
          <w:kern w:val="0"/>
          <w:sz w:val="32"/>
          <w:szCs w:val="32"/>
          <w:lang w:val="en-US" w:eastAsia="zh-CN" w:bidi="ar-SA"/>
        </w:rPr>
      </w:pPr>
      <w:r>
        <w:rPr>
          <w:rFonts w:hint="eastAsia" w:ascii="Times New Roman" w:hAnsi="Times New Roman" w:eastAsia="宋体" w:cs="Times New Roman"/>
          <w:b/>
          <w:bCs/>
          <w:kern w:val="0"/>
          <w:sz w:val="32"/>
          <w:szCs w:val="32"/>
          <w:lang w:val="en-US" w:eastAsia="zh-CN" w:bidi="ar-SA"/>
        </w:rPr>
        <w:t>项目支出绩效自评表</w:t>
      </w:r>
    </w:p>
    <w:p w14:paraId="654A1672">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5"/>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1100"/>
        <w:gridCol w:w="601"/>
        <w:gridCol w:w="283"/>
        <w:gridCol w:w="284"/>
        <w:gridCol w:w="425"/>
        <w:gridCol w:w="142"/>
        <w:gridCol w:w="709"/>
        <w:gridCol w:w="708"/>
      </w:tblGrid>
      <w:tr w14:paraId="69BE3A78">
        <w:tblPrEx>
          <w:tblCellMar>
            <w:top w:w="0" w:type="dxa"/>
            <w:left w:w="108" w:type="dxa"/>
            <w:bottom w:w="0" w:type="dxa"/>
            <w:right w:w="108" w:type="dxa"/>
          </w:tblCellMar>
        </w:tblPrEx>
        <w:trPr>
          <w:trHeight w:val="55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0E0CC977">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0F4178D3">
            <w:pPr>
              <w:spacing w:line="240" w:lineRule="exact"/>
              <w:jc w:val="center"/>
              <w:rPr>
                <w:rFonts w:ascii="宋体" w:hAnsi="宋体" w:eastAsia="宋体" w:cs="宋体"/>
                <w:sz w:val="18"/>
                <w:szCs w:val="18"/>
              </w:rPr>
            </w:pPr>
            <w:r>
              <w:rPr>
                <w:rFonts w:hint="eastAsia" w:ascii="宋体" w:hAnsi="宋体" w:eastAsia="宋体" w:cs="宋体"/>
                <w:sz w:val="18"/>
                <w:szCs w:val="18"/>
              </w:rPr>
              <w:t>县城建筑垃圾清扫、清运及渣土扬尘污染清洗、县城建筑（装修）垃圾临时填埋场的租用与管理</w:t>
            </w:r>
          </w:p>
        </w:tc>
      </w:tr>
      <w:tr w14:paraId="5EE1AC2A">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1E4987E0">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360" w:type="dxa"/>
            <w:gridSpan w:val="5"/>
            <w:tcBorders>
              <w:top w:val="single" w:color="auto" w:sz="4" w:space="0"/>
              <w:left w:val="nil"/>
              <w:bottom w:val="single" w:color="auto" w:sz="4" w:space="0"/>
              <w:right w:val="single" w:color="auto" w:sz="4" w:space="0"/>
            </w:tcBorders>
            <w:vAlign w:val="center"/>
          </w:tcPr>
          <w:p w14:paraId="16B50A55">
            <w:pPr>
              <w:spacing w:line="240" w:lineRule="exact"/>
              <w:jc w:val="center"/>
              <w:rPr>
                <w:rFonts w:ascii="宋体" w:hAnsi="宋体" w:eastAsia="宋体" w:cs="宋体"/>
                <w:sz w:val="18"/>
                <w:szCs w:val="18"/>
              </w:rPr>
            </w:pPr>
            <w:r>
              <w:rPr>
                <w:rFonts w:hint="eastAsia" w:ascii="宋体" w:hAnsi="宋体" w:eastAsia="宋体" w:cs="宋体"/>
                <w:sz w:val="18"/>
                <w:szCs w:val="18"/>
                <w:lang w:eastAsia="zh-CN"/>
              </w:rPr>
              <w:t>中方县城市管理和综合执法局</w:t>
            </w:r>
          </w:p>
        </w:tc>
        <w:tc>
          <w:tcPr>
            <w:tcW w:w="884" w:type="dxa"/>
            <w:gridSpan w:val="2"/>
            <w:tcBorders>
              <w:top w:val="nil"/>
              <w:left w:val="nil"/>
              <w:bottom w:val="single" w:color="auto" w:sz="4" w:space="0"/>
              <w:right w:val="single" w:color="auto" w:sz="4" w:space="0"/>
            </w:tcBorders>
            <w:vAlign w:val="center"/>
          </w:tcPr>
          <w:p w14:paraId="4942DFD7">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6530027C">
            <w:pPr>
              <w:spacing w:line="240" w:lineRule="exact"/>
              <w:jc w:val="center"/>
              <w:rPr>
                <w:rFonts w:ascii="宋体" w:hAnsi="宋体" w:eastAsia="宋体" w:cs="宋体"/>
                <w:sz w:val="18"/>
                <w:szCs w:val="18"/>
              </w:rPr>
            </w:pPr>
            <w:r>
              <w:rPr>
                <w:rFonts w:hint="eastAsia" w:ascii="宋体" w:hAnsi="宋体" w:eastAsia="宋体" w:cs="宋体"/>
                <w:sz w:val="18"/>
                <w:szCs w:val="18"/>
              </w:rPr>
              <w:t>政府采购中标企业</w:t>
            </w:r>
          </w:p>
        </w:tc>
      </w:tr>
      <w:tr w14:paraId="585049D6">
        <w:tblPrEx>
          <w:tblCellMar>
            <w:top w:w="0" w:type="dxa"/>
            <w:left w:w="108" w:type="dxa"/>
            <w:bottom w:w="0" w:type="dxa"/>
            <w:right w:w="108" w:type="dxa"/>
          </w:tblCellMar>
        </w:tblPrEx>
        <w:trPr>
          <w:trHeight w:val="54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0D578089">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7A4CCE0E">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52FA1F09">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168E3250">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384" w:type="dxa"/>
            <w:gridSpan w:val="2"/>
            <w:tcBorders>
              <w:top w:val="nil"/>
              <w:left w:val="nil"/>
              <w:bottom w:val="single" w:color="auto" w:sz="4" w:space="0"/>
              <w:right w:val="single" w:color="auto" w:sz="4" w:space="0"/>
            </w:tcBorders>
            <w:vAlign w:val="center"/>
          </w:tcPr>
          <w:p w14:paraId="2CE4AB8C">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884" w:type="dxa"/>
            <w:gridSpan w:val="2"/>
            <w:tcBorders>
              <w:top w:val="nil"/>
              <w:left w:val="nil"/>
              <w:bottom w:val="single" w:color="auto" w:sz="4" w:space="0"/>
              <w:right w:val="single" w:color="auto" w:sz="4" w:space="0"/>
            </w:tcBorders>
            <w:vAlign w:val="center"/>
          </w:tcPr>
          <w:p w14:paraId="0569B4BF">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02E0F238">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5BADF395">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6CE89170">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49ADDE7D">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16D132B">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1D99DD3">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5FB9AB4C">
            <w:pPr>
              <w:spacing w:line="240" w:lineRule="exact"/>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18</w:t>
            </w:r>
          </w:p>
        </w:tc>
        <w:tc>
          <w:tcPr>
            <w:tcW w:w="1384" w:type="dxa"/>
            <w:gridSpan w:val="2"/>
            <w:tcBorders>
              <w:top w:val="nil"/>
              <w:left w:val="nil"/>
              <w:bottom w:val="single" w:color="auto" w:sz="4" w:space="0"/>
              <w:right w:val="single" w:color="auto" w:sz="4" w:space="0"/>
            </w:tcBorders>
            <w:vAlign w:val="center"/>
          </w:tcPr>
          <w:p w14:paraId="3F504B7D">
            <w:pPr>
              <w:spacing w:line="240" w:lineRule="exact"/>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23.65</w:t>
            </w:r>
          </w:p>
        </w:tc>
        <w:tc>
          <w:tcPr>
            <w:tcW w:w="884" w:type="dxa"/>
            <w:gridSpan w:val="2"/>
            <w:tcBorders>
              <w:top w:val="nil"/>
              <w:left w:val="nil"/>
              <w:bottom w:val="single" w:color="auto" w:sz="4" w:space="0"/>
              <w:right w:val="single" w:color="auto" w:sz="4" w:space="0"/>
            </w:tcBorders>
            <w:vAlign w:val="center"/>
          </w:tcPr>
          <w:p w14:paraId="2A9D87AA">
            <w:pPr>
              <w:spacing w:line="240" w:lineRule="exact"/>
              <w:jc w:val="center"/>
              <w:rPr>
                <w:rFonts w:hint="default" w:ascii="宋体" w:hAnsi="宋体" w:eastAsia="宋体" w:cs="宋体"/>
                <w:color w:val="auto"/>
                <w:sz w:val="18"/>
                <w:szCs w:val="18"/>
                <w:highlight w:val="none"/>
                <w:lang w:val="en-US"/>
              </w:rPr>
            </w:pPr>
            <w:r>
              <w:rPr>
                <w:rFonts w:hint="eastAsia" w:ascii="宋体" w:hAnsi="宋体" w:eastAsia="宋体" w:cs="宋体"/>
                <w:color w:val="auto"/>
                <w:sz w:val="18"/>
                <w:szCs w:val="18"/>
                <w:highlight w:val="none"/>
                <w:lang w:val="en-US" w:eastAsia="zh-CN"/>
              </w:rPr>
              <w:t>23.65</w:t>
            </w:r>
          </w:p>
        </w:tc>
        <w:tc>
          <w:tcPr>
            <w:tcW w:w="709" w:type="dxa"/>
            <w:gridSpan w:val="2"/>
            <w:tcBorders>
              <w:top w:val="nil"/>
              <w:left w:val="nil"/>
              <w:bottom w:val="single" w:color="auto" w:sz="4" w:space="0"/>
              <w:right w:val="single" w:color="auto" w:sz="4" w:space="0"/>
            </w:tcBorders>
            <w:vAlign w:val="center"/>
          </w:tcPr>
          <w:p w14:paraId="04B9AC7F">
            <w:pPr>
              <w:spacing w:line="240" w:lineRule="exact"/>
              <w:jc w:val="center"/>
              <w:rPr>
                <w:rFonts w:ascii="宋体" w:hAnsi="宋体" w:eastAsia="宋体" w:cs="宋体"/>
                <w:color w:val="auto"/>
                <w:sz w:val="18"/>
                <w:szCs w:val="18"/>
                <w:highlight w:val="none"/>
              </w:rPr>
            </w:pPr>
            <w:r>
              <w:rPr>
                <w:rFonts w:hint="eastAsia" w:ascii="宋体" w:hAnsi="宋体" w:eastAsia="宋体" w:cs="宋体"/>
                <w:color w:val="auto"/>
                <w:sz w:val="18"/>
                <w:szCs w:val="18"/>
                <w:highlight w:val="none"/>
              </w:rPr>
              <w:t>10</w:t>
            </w:r>
          </w:p>
        </w:tc>
        <w:tc>
          <w:tcPr>
            <w:tcW w:w="851" w:type="dxa"/>
            <w:gridSpan w:val="2"/>
            <w:tcBorders>
              <w:top w:val="single" w:color="auto" w:sz="4" w:space="0"/>
              <w:left w:val="nil"/>
              <w:bottom w:val="single" w:color="auto" w:sz="4" w:space="0"/>
              <w:right w:val="single" w:color="auto" w:sz="4" w:space="0"/>
            </w:tcBorders>
            <w:vAlign w:val="center"/>
          </w:tcPr>
          <w:p w14:paraId="5859849A">
            <w:pPr>
              <w:spacing w:line="240" w:lineRule="exact"/>
              <w:jc w:val="center"/>
              <w:rPr>
                <w:rFonts w:ascii="宋体" w:hAnsi="宋体" w:eastAsia="宋体" w:cs="宋体"/>
                <w:color w:val="auto"/>
                <w:sz w:val="18"/>
                <w:szCs w:val="18"/>
                <w:highlight w:val="none"/>
              </w:rPr>
            </w:pPr>
            <w:r>
              <w:rPr>
                <w:rFonts w:hint="eastAsia" w:ascii="宋体" w:hAnsi="宋体" w:eastAsia="宋体" w:cs="宋体"/>
                <w:color w:val="auto"/>
                <w:sz w:val="18"/>
                <w:szCs w:val="18"/>
                <w:highlight w:val="none"/>
                <w:lang w:val="en-US" w:eastAsia="zh-CN"/>
              </w:rPr>
              <w:t>100%</w:t>
            </w:r>
          </w:p>
        </w:tc>
        <w:tc>
          <w:tcPr>
            <w:tcW w:w="708" w:type="dxa"/>
            <w:tcBorders>
              <w:top w:val="nil"/>
              <w:left w:val="nil"/>
              <w:bottom w:val="single" w:color="auto" w:sz="4" w:space="0"/>
              <w:right w:val="single" w:color="auto" w:sz="4" w:space="0"/>
            </w:tcBorders>
            <w:vAlign w:val="center"/>
          </w:tcPr>
          <w:p w14:paraId="60D639E1">
            <w:pPr>
              <w:spacing w:line="240" w:lineRule="exact"/>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9</w:t>
            </w:r>
          </w:p>
        </w:tc>
      </w:tr>
      <w:tr w14:paraId="1039B827">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2A67035C">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C2CE754">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0F253323">
            <w:pPr>
              <w:spacing w:line="240" w:lineRule="exact"/>
              <w:jc w:val="center"/>
              <w:rPr>
                <w:rFonts w:hint="default" w:ascii="宋体" w:hAnsi="宋体" w:eastAsia="宋体" w:cs="宋体"/>
                <w:sz w:val="18"/>
                <w:szCs w:val="18"/>
                <w:lang w:val="en-US" w:eastAsia="zh-CN"/>
              </w:rPr>
            </w:pPr>
          </w:p>
        </w:tc>
        <w:tc>
          <w:tcPr>
            <w:tcW w:w="1384" w:type="dxa"/>
            <w:gridSpan w:val="2"/>
            <w:tcBorders>
              <w:top w:val="nil"/>
              <w:left w:val="nil"/>
              <w:bottom w:val="single" w:color="auto" w:sz="4" w:space="0"/>
              <w:right w:val="single" w:color="auto" w:sz="4" w:space="0"/>
            </w:tcBorders>
            <w:vAlign w:val="center"/>
          </w:tcPr>
          <w:p w14:paraId="63D9BFA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18</w:t>
            </w:r>
          </w:p>
        </w:tc>
        <w:tc>
          <w:tcPr>
            <w:tcW w:w="884" w:type="dxa"/>
            <w:gridSpan w:val="2"/>
            <w:tcBorders>
              <w:top w:val="nil"/>
              <w:left w:val="nil"/>
              <w:bottom w:val="single" w:color="auto" w:sz="4" w:space="0"/>
              <w:right w:val="single" w:color="auto" w:sz="4" w:space="0"/>
            </w:tcBorders>
            <w:vAlign w:val="center"/>
          </w:tcPr>
          <w:p w14:paraId="25EB78E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18</w:t>
            </w:r>
          </w:p>
        </w:tc>
        <w:tc>
          <w:tcPr>
            <w:tcW w:w="709" w:type="dxa"/>
            <w:gridSpan w:val="2"/>
            <w:tcBorders>
              <w:top w:val="nil"/>
              <w:left w:val="nil"/>
              <w:bottom w:val="single" w:color="auto" w:sz="4" w:space="0"/>
              <w:right w:val="single" w:color="auto" w:sz="4" w:space="0"/>
            </w:tcBorders>
            <w:vAlign w:val="center"/>
          </w:tcPr>
          <w:p w14:paraId="78F4391C">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F1C8E10">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6C4AD554">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3C4B959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853C27F">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A92612D">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7CC43B9B">
            <w:pPr>
              <w:spacing w:line="240" w:lineRule="exact"/>
              <w:jc w:val="center"/>
              <w:rPr>
                <w:rFonts w:ascii="宋体" w:hAnsi="宋体" w:eastAsia="宋体" w:cs="宋体"/>
                <w:sz w:val="18"/>
                <w:szCs w:val="18"/>
              </w:rPr>
            </w:pPr>
          </w:p>
        </w:tc>
        <w:tc>
          <w:tcPr>
            <w:tcW w:w="1384" w:type="dxa"/>
            <w:gridSpan w:val="2"/>
            <w:tcBorders>
              <w:top w:val="nil"/>
              <w:left w:val="nil"/>
              <w:bottom w:val="single" w:color="auto" w:sz="4" w:space="0"/>
              <w:right w:val="single" w:color="auto" w:sz="4" w:space="0"/>
            </w:tcBorders>
            <w:vAlign w:val="center"/>
          </w:tcPr>
          <w:p w14:paraId="13348BB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5.65</w:t>
            </w:r>
          </w:p>
        </w:tc>
        <w:tc>
          <w:tcPr>
            <w:tcW w:w="884" w:type="dxa"/>
            <w:gridSpan w:val="2"/>
            <w:tcBorders>
              <w:top w:val="nil"/>
              <w:left w:val="nil"/>
              <w:bottom w:val="single" w:color="auto" w:sz="4" w:space="0"/>
              <w:right w:val="single" w:color="auto" w:sz="4" w:space="0"/>
            </w:tcBorders>
            <w:vAlign w:val="center"/>
          </w:tcPr>
          <w:p w14:paraId="03838501">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5.65</w:t>
            </w:r>
          </w:p>
        </w:tc>
        <w:tc>
          <w:tcPr>
            <w:tcW w:w="709" w:type="dxa"/>
            <w:gridSpan w:val="2"/>
            <w:tcBorders>
              <w:top w:val="nil"/>
              <w:left w:val="nil"/>
              <w:bottom w:val="single" w:color="auto" w:sz="4" w:space="0"/>
              <w:right w:val="single" w:color="auto" w:sz="4" w:space="0"/>
            </w:tcBorders>
            <w:vAlign w:val="center"/>
          </w:tcPr>
          <w:p w14:paraId="05EAD032">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4CEDC8D1">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41D6D9A1">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042A8DF2">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8B91F1C">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73A72C4A">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680A4085">
            <w:pPr>
              <w:spacing w:line="240" w:lineRule="exact"/>
              <w:jc w:val="center"/>
              <w:rPr>
                <w:rFonts w:ascii="宋体" w:hAnsi="宋体" w:eastAsia="宋体" w:cs="宋体"/>
                <w:sz w:val="18"/>
                <w:szCs w:val="18"/>
              </w:rPr>
            </w:pPr>
          </w:p>
        </w:tc>
        <w:tc>
          <w:tcPr>
            <w:tcW w:w="1384" w:type="dxa"/>
            <w:gridSpan w:val="2"/>
            <w:tcBorders>
              <w:top w:val="nil"/>
              <w:left w:val="nil"/>
              <w:bottom w:val="single" w:color="auto" w:sz="4" w:space="0"/>
              <w:right w:val="single" w:color="auto" w:sz="4" w:space="0"/>
            </w:tcBorders>
            <w:vAlign w:val="center"/>
          </w:tcPr>
          <w:p w14:paraId="1C3FDD94">
            <w:pPr>
              <w:spacing w:line="240" w:lineRule="exact"/>
              <w:jc w:val="center"/>
              <w:rPr>
                <w:rFonts w:ascii="宋体" w:hAnsi="宋体" w:eastAsia="宋体" w:cs="宋体"/>
                <w:sz w:val="18"/>
                <w:szCs w:val="18"/>
              </w:rPr>
            </w:pPr>
          </w:p>
        </w:tc>
        <w:tc>
          <w:tcPr>
            <w:tcW w:w="884" w:type="dxa"/>
            <w:gridSpan w:val="2"/>
            <w:tcBorders>
              <w:top w:val="nil"/>
              <w:left w:val="nil"/>
              <w:bottom w:val="single" w:color="auto" w:sz="4" w:space="0"/>
              <w:right w:val="single" w:color="auto" w:sz="4" w:space="0"/>
            </w:tcBorders>
            <w:vAlign w:val="center"/>
          </w:tcPr>
          <w:p w14:paraId="0306E03A">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1320682D">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8FDDA71">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3181A211">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51DAB4C2">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75BD2A98">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340" w:type="dxa"/>
            <w:gridSpan w:val="6"/>
            <w:tcBorders>
              <w:top w:val="single" w:color="auto" w:sz="4" w:space="0"/>
              <w:left w:val="nil"/>
              <w:bottom w:val="single" w:color="auto" w:sz="4" w:space="0"/>
              <w:right w:val="single" w:color="auto" w:sz="4" w:space="0"/>
            </w:tcBorders>
            <w:vAlign w:val="center"/>
          </w:tcPr>
          <w:p w14:paraId="40BB210D">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152" w:type="dxa"/>
            <w:gridSpan w:val="7"/>
            <w:tcBorders>
              <w:top w:val="single" w:color="auto" w:sz="4" w:space="0"/>
              <w:left w:val="nil"/>
              <w:bottom w:val="single" w:color="auto" w:sz="4" w:space="0"/>
              <w:right w:val="single" w:color="auto" w:sz="4" w:space="0"/>
            </w:tcBorders>
            <w:vAlign w:val="center"/>
          </w:tcPr>
          <w:p w14:paraId="5E763EAD">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40666C86">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05069E44">
            <w:pPr>
              <w:spacing w:line="240" w:lineRule="exact"/>
              <w:jc w:val="center"/>
              <w:rPr>
                <w:rFonts w:ascii="宋体" w:hAnsi="宋体" w:eastAsia="宋体" w:cs="宋体"/>
                <w:sz w:val="18"/>
                <w:szCs w:val="18"/>
              </w:rPr>
            </w:pPr>
          </w:p>
        </w:tc>
        <w:tc>
          <w:tcPr>
            <w:tcW w:w="5340" w:type="dxa"/>
            <w:gridSpan w:val="6"/>
            <w:tcBorders>
              <w:top w:val="single" w:color="auto" w:sz="4" w:space="0"/>
              <w:left w:val="nil"/>
              <w:bottom w:val="single" w:color="auto" w:sz="4" w:space="0"/>
              <w:right w:val="single" w:color="auto" w:sz="4" w:space="0"/>
            </w:tcBorders>
            <w:vAlign w:val="center"/>
          </w:tcPr>
          <w:p w14:paraId="3BB0DB5D">
            <w:pPr>
              <w:spacing w:line="240" w:lineRule="exact"/>
              <w:jc w:val="center"/>
              <w:rPr>
                <w:rFonts w:ascii="宋体" w:hAnsi="宋体" w:eastAsia="宋体" w:cs="宋体"/>
                <w:sz w:val="18"/>
                <w:szCs w:val="18"/>
              </w:rPr>
            </w:pPr>
          </w:p>
        </w:tc>
        <w:tc>
          <w:tcPr>
            <w:tcW w:w="3152" w:type="dxa"/>
            <w:gridSpan w:val="7"/>
            <w:tcBorders>
              <w:top w:val="single" w:color="auto" w:sz="4" w:space="0"/>
              <w:left w:val="nil"/>
              <w:bottom w:val="single" w:color="auto" w:sz="4" w:space="0"/>
              <w:right w:val="single" w:color="auto" w:sz="4" w:space="0"/>
            </w:tcBorders>
            <w:vAlign w:val="center"/>
          </w:tcPr>
          <w:p w14:paraId="337BCD82">
            <w:pPr>
              <w:spacing w:line="240" w:lineRule="exact"/>
              <w:jc w:val="center"/>
              <w:rPr>
                <w:rFonts w:ascii="宋体" w:hAnsi="宋体" w:eastAsia="宋体" w:cs="宋体"/>
                <w:sz w:val="18"/>
                <w:szCs w:val="18"/>
              </w:rPr>
            </w:pPr>
          </w:p>
        </w:tc>
      </w:tr>
      <w:tr w14:paraId="073ED868">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5895E0C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0F9A42A4">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3811F92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24725050">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768A198A">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46A563B0">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7FD70D86">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1100" w:type="dxa"/>
            <w:tcBorders>
              <w:top w:val="nil"/>
              <w:left w:val="nil"/>
              <w:bottom w:val="single" w:color="auto" w:sz="4" w:space="0"/>
              <w:right w:val="single" w:color="auto" w:sz="4" w:space="0"/>
            </w:tcBorders>
            <w:vAlign w:val="center"/>
          </w:tcPr>
          <w:p w14:paraId="5F973A55">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40381F1D">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601" w:type="dxa"/>
            <w:tcBorders>
              <w:top w:val="nil"/>
              <w:left w:val="nil"/>
              <w:bottom w:val="single" w:color="auto" w:sz="4" w:space="0"/>
              <w:right w:val="single" w:color="auto" w:sz="4" w:space="0"/>
            </w:tcBorders>
            <w:vAlign w:val="center"/>
          </w:tcPr>
          <w:p w14:paraId="3A5F89A5">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31AAD970">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14:paraId="22FE037C">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14:paraId="3BD5006E">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14:paraId="60B1F2F0">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05274049">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14:paraId="14ADD4EE">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6AF1F8F4">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3CABF42D">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1CBE4FCC">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垃圾清运数</w:t>
            </w:r>
          </w:p>
        </w:tc>
        <w:tc>
          <w:tcPr>
            <w:tcW w:w="1100" w:type="dxa"/>
            <w:tcBorders>
              <w:top w:val="nil"/>
              <w:left w:val="nil"/>
              <w:bottom w:val="single" w:color="auto" w:sz="4" w:space="0"/>
              <w:right w:val="single" w:color="auto" w:sz="4" w:space="0"/>
            </w:tcBorders>
            <w:vAlign w:val="center"/>
          </w:tcPr>
          <w:p w14:paraId="2976D1D2">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1000吨</w:t>
            </w:r>
          </w:p>
        </w:tc>
        <w:tc>
          <w:tcPr>
            <w:tcW w:w="601" w:type="dxa"/>
            <w:tcBorders>
              <w:top w:val="nil"/>
              <w:left w:val="nil"/>
              <w:bottom w:val="single" w:color="auto" w:sz="4" w:space="0"/>
              <w:right w:val="single" w:color="auto" w:sz="4" w:space="0"/>
            </w:tcBorders>
            <w:vAlign w:val="center"/>
          </w:tcPr>
          <w:p w14:paraId="0FED4B52">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1200吨</w:t>
            </w:r>
          </w:p>
        </w:tc>
        <w:tc>
          <w:tcPr>
            <w:tcW w:w="567" w:type="dxa"/>
            <w:gridSpan w:val="2"/>
            <w:tcBorders>
              <w:top w:val="nil"/>
              <w:left w:val="nil"/>
              <w:bottom w:val="single" w:color="auto" w:sz="4" w:space="0"/>
              <w:right w:val="single" w:color="auto" w:sz="4" w:space="0"/>
            </w:tcBorders>
            <w:vAlign w:val="center"/>
          </w:tcPr>
          <w:p w14:paraId="29FD89FD">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5E5432A6">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14:paraId="2DA645D9">
            <w:pPr>
              <w:spacing w:line="240" w:lineRule="exact"/>
              <w:jc w:val="center"/>
              <w:rPr>
                <w:rFonts w:ascii="宋体" w:hAnsi="宋体" w:eastAsia="宋体" w:cs="宋体"/>
                <w:sz w:val="18"/>
                <w:szCs w:val="18"/>
              </w:rPr>
            </w:pPr>
          </w:p>
        </w:tc>
      </w:tr>
      <w:tr w14:paraId="662BA689">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7659C1E8">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B1CB6DF">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7B8902A5">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4F678050">
            <w:pPr>
              <w:spacing w:line="240" w:lineRule="exact"/>
              <w:rPr>
                <w:rFonts w:hint="eastAsia" w:ascii="宋体" w:hAnsi="宋体" w:eastAsia="宋体" w:cs="宋体"/>
                <w:color w:val="000000"/>
                <w:sz w:val="18"/>
                <w:szCs w:val="18"/>
                <w:lang w:val="en-US" w:eastAsia="zh-CN"/>
              </w:rPr>
            </w:pPr>
            <w:r>
              <w:rPr>
                <w:rFonts w:hint="eastAsia" w:ascii="宋体" w:hAnsi="宋体" w:eastAsia="宋体" w:cs="宋体"/>
                <w:i w:val="0"/>
                <w:iCs w:val="0"/>
                <w:color w:val="000000"/>
                <w:sz w:val="20"/>
                <w:szCs w:val="20"/>
                <w:u w:val="none"/>
              </w:rPr>
              <w:t>清洗渣土</w:t>
            </w:r>
            <w:r>
              <w:rPr>
                <w:rFonts w:hint="eastAsia" w:ascii="宋体" w:hAnsi="宋体" w:eastAsia="宋体" w:cs="宋体"/>
                <w:i w:val="0"/>
                <w:iCs w:val="0"/>
                <w:color w:val="000000"/>
                <w:sz w:val="20"/>
                <w:szCs w:val="20"/>
                <w:u w:val="none"/>
                <w:lang w:eastAsia="zh-CN"/>
              </w:rPr>
              <w:t>扬尘</w:t>
            </w:r>
            <w:r>
              <w:rPr>
                <w:rFonts w:hint="eastAsia" w:ascii="宋体" w:hAnsi="宋体" w:eastAsia="宋体" w:cs="宋体"/>
                <w:i w:val="0"/>
                <w:iCs w:val="0"/>
                <w:color w:val="000000"/>
                <w:sz w:val="20"/>
                <w:szCs w:val="20"/>
                <w:u w:val="none"/>
              </w:rPr>
              <w:t>污染路面</w:t>
            </w:r>
            <w:r>
              <w:rPr>
                <w:rFonts w:hint="eastAsia" w:ascii="宋体" w:hAnsi="宋体" w:eastAsia="宋体" w:cs="宋体"/>
                <w:i w:val="0"/>
                <w:iCs w:val="0"/>
                <w:color w:val="000000"/>
                <w:sz w:val="20"/>
                <w:szCs w:val="20"/>
                <w:u w:val="none"/>
                <w:lang w:val="en-US" w:eastAsia="zh-CN"/>
              </w:rPr>
              <w:t>面积</w:t>
            </w:r>
          </w:p>
        </w:tc>
        <w:tc>
          <w:tcPr>
            <w:tcW w:w="1100" w:type="dxa"/>
            <w:tcBorders>
              <w:top w:val="nil"/>
              <w:left w:val="nil"/>
              <w:bottom w:val="single" w:color="auto" w:sz="4" w:space="0"/>
              <w:right w:val="single" w:color="auto" w:sz="4" w:space="0"/>
            </w:tcBorders>
            <w:vAlign w:val="center"/>
          </w:tcPr>
          <w:p w14:paraId="7BFEE5A6">
            <w:pPr>
              <w:spacing w:line="240" w:lineRule="exact"/>
              <w:jc w:val="center"/>
              <w:rPr>
                <w:rFonts w:ascii="宋体" w:hAnsi="宋体" w:eastAsia="宋体" w:cs="宋体"/>
                <w:sz w:val="18"/>
                <w:szCs w:val="18"/>
              </w:rPr>
            </w:pPr>
            <w:r>
              <w:rPr>
                <w:rFonts w:hint="default" w:ascii="宋体" w:hAnsi="宋体" w:eastAsia="宋体" w:cs="宋体"/>
                <w:sz w:val="18"/>
                <w:szCs w:val="18"/>
                <w:lang w:val="en-US" w:eastAsia="zh-CN"/>
              </w:rPr>
              <w:t>50</w:t>
            </w:r>
            <w:r>
              <w:rPr>
                <w:rFonts w:hint="eastAsia" w:ascii="宋体" w:hAnsi="宋体" w:eastAsia="宋体" w:cs="宋体"/>
                <w:sz w:val="18"/>
                <w:szCs w:val="18"/>
                <w:lang w:val="en-US" w:eastAsia="zh-CN"/>
              </w:rPr>
              <w:t>万㎡</w:t>
            </w:r>
          </w:p>
        </w:tc>
        <w:tc>
          <w:tcPr>
            <w:tcW w:w="601" w:type="dxa"/>
            <w:tcBorders>
              <w:top w:val="nil"/>
              <w:left w:val="nil"/>
              <w:bottom w:val="single" w:color="auto" w:sz="4" w:space="0"/>
              <w:right w:val="single" w:color="auto" w:sz="4" w:space="0"/>
            </w:tcBorders>
            <w:vAlign w:val="center"/>
          </w:tcPr>
          <w:p w14:paraId="08106F00">
            <w:pPr>
              <w:spacing w:line="240" w:lineRule="exact"/>
              <w:jc w:val="center"/>
              <w:rPr>
                <w:rFonts w:hint="default" w:ascii="宋体" w:hAnsi="宋体" w:eastAsia="宋体" w:cs="宋体"/>
                <w:sz w:val="18"/>
                <w:szCs w:val="18"/>
                <w:lang w:val="en-US"/>
              </w:rPr>
            </w:pPr>
            <w:r>
              <w:rPr>
                <w:rFonts w:hint="eastAsia" w:ascii="宋体" w:hAnsi="宋体" w:eastAsia="宋体" w:cs="宋体"/>
                <w:sz w:val="18"/>
                <w:szCs w:val="18"/>
                <w:lang w:val="en-US" w:eastAsia="zh-CN"/>
              </w:rPr>
              <w:t>60万㎡</w:t>
            </w:r>
          </w:p>
        </w:tc>
        <w:tc>
          <w:tcPr>
            <w:tcW w:w="567" w:type="dxa"/>
            <w:gridSpan w:val="2"/>
            <w:tcBorders>
              <w:top w:val="nil"/>
              <w:left w:val="nil"/>
              <w:bottom w:val="single" w:color="auto" w:sz="4" w:space="0"/>
              <w:right w:val="single" w:color="auto" w:sz="4" w:space="0"/>
            </w:tcBorders>
            <w:vAlign w:val="center"/>
          </w:tcPr>
          <w:p w14:paraId="702E05F6">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2AE4BD69">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14:paraId="7E03B6B5">
            <w:pPr>
              <w:spacing w:line="240" w:lineRule="exact"/>
              <w:jc w:val="center"/>
              <w:rPr>
                <w:rFonts w:ascii="宋体" w:hAnsi="宋体" w:eastAsia="宋体" w:cs="宋体"/>
                <w:sz w:val="18"/>
                <w:szCs w:val="18"/>
              </w:rPr>
            </w:pPr>
          </w:p>
        </w:tc>
      </w:tr>
      <w:tr w14:paraId="5F80028E">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14:paraId="2E5C15DB">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096AEEF">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58B8945E">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35988896">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扬尘率</w:t>
            </w:r>
          </w:p>
        </w:tc>
        <w:tc>
          <w:tcPr>
            <w:tcW w:w="1100" w:type="dxa"/>
            <w:tcBorders>
              <w:top w:val="nil"/>
              <w:left w:val="nil"/>
              <w:bottom w:val="single" w:color="auto" w:sz="4" w:space="0"/>
              <w:right w:val="single" w:color="auto" w:sz="4" w:space="0"/>
            </w:tcBorders>
            <w:vAlign w:val="center"/>
          </w:tcPr>
          <w:p w14:paraId="3650A675">
            <w:pPr>
              <w:spacing w:line="240" w:lineRule="exact"/>
              <w:jc w:val="center"/>
              <w:rPr>
                <w:rFonts w:ascii="宋体" w:hAnsi="宋体" w:eastAsia="宋体" w:cs="宋体"/>
                <w:sz w:val="18"/>
                <w:szCs w:val="18"/>
              </w:rPr>
            </w:pPr>
            <w:r>
              <w:rPr>
                <w:rFonts w:hint="default" w:ascii="宋体" w:hAnsi="宋体" w:eastAsia="宋体" w:cs="宋体"/>
                <w:i w:val="0"/>
                <w:iCs w:val="0"/>
                <w:color w:val="000000"/>
                <w:sz w:val="20"/>
                <w:szCs w:val="20"/>
                <w:u w:val="none"/>
                <w:lang w:eastAsia="zh-CN"/>
              </w:rPr>
              <w:t>100%</w:t>
            </w:r>
          </w:p>
        </w:tc>
        <w:tc>
          <w:tcPr>
            <w:tcW w:w="601" w:type="dxa"/>
            <w:tcBorders>
              <w:top w:val="nil"/>
              <w:left w:val="nil"/>
              <w:bottom w:val="single" w:color="auto" w:sz="4" w:space="0"/>
              <w:right w:val="single" w:color="auto" w:sz="4" w:space="0"/>
            </w:tcBorders>
            <w:vAlign w:val="center"/>
          </w:tcPr>
          <w:p w14:paraId="61DAB989">
            <w:pPr>
              <w:spacing w:line="240" w:lineRule="exact"/>
              <w:jc w:val="center"/>
              <w:rPr>
                <w:rFonts w:ascii="宋体" w:hAnsi="宋体" w:eastAsia="宋体" w:cs="宋体"/>
                <w:sz w:val="18"/>
                <w:szCs w:val="18"/>
              </w:rPr>
            </w:pPr>
            <w:r>
              <w:rPr>
                <w:rFonts w:hint="default" w:ascii="宋体" w:hAnsi="宋体" w:eastAsia="宋体" w:cs="宋体"/>
                <w:i w:val="0"/>
                <w:iCs w:val="0"/>
                <w:color w:val="000000"/>
                <w:sz w:val="20"/>
                <w:szCs w:val="20"/>
                <w:u w:val="none"/>
                <w:lang w:eastAsia="zh-CN"/>
              </w:rPr>
              <w:t>100%</w:t>
            </w:r>
          </w:p>
        </w:tc>
        <w:tc>
          <w:tcPr>
            <w:tcW w:w="567" w:type="dxa"/>
            <w:gridSpan w:val="2"/>
            <w:tcBorders>
              <w:top w:val="nil"/>
              <w:left w:val="nil"/>
              <w:bottom w:val="single" w:color="auto" w:sz="4" w:space="0"/>
              <w:right w:val="single" w:color="auto" w:sz="4" w:space="0"/>
            </w:tcBorders>
            <w:vAlign w:val="center"/>
          </w:tcPr>
          <w:p w14:paraId="52AB65B3">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6E33BA79">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14:paraId="75542E7A">
            <w:pPr>
              <w:spacing w:line="240" w:lineRule="exact"/>
              <w:jc w:val="center"/>
              <w:rPr>
                <w:rFonts w:ascii="宋体" w:hAnsi="宋体" w:eastAsia="宋体" w:cs="宋体"/>
                <w:sz w:val="18"/>
                <w:szCs w:val="18"/>
              </w:rPr>
            </w:pPr>
          </w:p>
        </w:tc>
      </w:tr>
      <w:tr w14:paraId="31C9788E">
        <w:tblPrEx>
          <w:tblCellMar>
            <w:top w:w="0" w:type="dxa"/>
            <w:left w:w="108" w:type="dxa"/>
            <w:bottom w:w="0" w:type="dxa"/>
            <w:right w:w="108" w:type="dxa"/>
          </w:tblCellMar>
        </w:tblPrEx>
        <w:trPr>
          <w:trHeight w:val="1095" w:hRule="exact"/>
          <w:jc w:val="center"/>
        </w:trPr>
        <w:tc>
          <w:tcPr>
            <w:tcW w:w="588" w:type="dxa"/>
            <w:vMerge w:val="continue"/>
            <w:tcBorders>
              <w:left w:val="single" w:color="auto" w:sz="4" w:space="0"/>
              <w:right w:val="single" w:color="auto" w:sz="4" w:space="0"/>
            </w:tcBorders>
            <w:vAlign w:val="center"/>
          </w:tcPr>
          <w:p w14:paraId="261D8E89">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803290F">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44A33357">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39C9CC4A">
            <w:pPr>
              <w:spacing w:line="240" w:lineRule="exact"/>
              <w:rPr>
                <w:rFonts w:ascii="宋体" w:hAnsi="宋体" w:eastAsia="宋体" w:cs="宋体"/>
                <w:color w:val="000000"/>
                <w:sz w:val="18"/>
                <w:szCs w:val="18"/>
                <w:highlight w:val="none"/>
              </w:rPr>
            </w:pPr>
            <w:r>
              <w:rPr>
                <w:rFonts w:hint="eastAsia" w:ascii="宋体" w:hAnsi="宋体" w:eastAsia="宋体" w:cs="宋体"/>
                <w:color w:val="000000"/>
                <w:sz w:val="18"/>
                <w:szCs w:val="18"/>
                <w:highlight w:val="none"/>
                <w:lang w:eastAsia="zh-CN"/>
              </w:rPr>
              <w:t>按合同</w:t>
            </w:r>
            <w:r>
              <w:rPr>
                <w:rFonts w:hint="eastAsia" w:ascii="宋体" w:hAnsi="宋体" w:eastAsia="宋体" w:cs="宋体"/>
                <w:color w:val="000000"/>
                <w:sz w:val="18"/>
                <w:szCs w:val="18"/>
                <w:highlight w:val="none"/>
                <w:lang w:val="en-US" w:eastAsia="zh-CN"/>
              </w:rPr>
              <w:t>规定时间</w:t>
            </w:r>
            <w:r>
              <w:rPr>
                <w:rFonts w:hint="eastAsia" w:ascii="宋体" w:hAnsi="宋体" w:eastAsia="宋体" w:cs="宋体"/>
                <w:color w:val="000000"/>
                <w:sz w:val="18"/>
                <w:szCs w:val="18"/>
                <w:highlight w:val="none"/>
                <w:lang w:eastAsia="zh-CN"/>
              </w:rPr>
              <w:t>完成</w:t>
            </w:r>
            <w:r>
              <w:rPr>
                <w:rFonts w:hint="eastAsia" w:ascii="宋体" w:hAnsi="宋体" w:eastAsia="宋体" w:cs="宋体"/>
                <w:color w:val="000000"/>
                <w:sz w:val="18"/>
                <w:szCs w:val="18"/>
                <w:highlight w:val="none"/>
                <w:lang w:val="en-US" w:eastAsia="zh-CN"/>
              </w:rPr>
              <w:t>情况</w:t>
            </w:r>
          </w:p>
        </w:tc>
        <w:tc>
          <w:tcPr>
            <w:tcW w:w="1100" w:type="dxa"/>
            <w:tcBorders>
              <w:top w:val="nil"/>
              <w:left w:val="nil"/>
              <w:bottom w:val="single" w:color="auto" w:sz="4" w:space="0"/>
              <w:right w:val="single" w:color="auto" w:sz="4" w:space="0"/>
            </w:tcBorders>
            <w:vAlign w:val="center"/>
          </w:tcPr>
          <w:p w14:paraId="6D5E2BBB">
            <w:pPr>
              <w:spacing w:line="240" w:lineRule="exact"/>
              <w:jc w:val="center"/>
              <w:rPr>
                <w:rFonts w:ascii="宋体" w:hAnsi="宋体" w:eastAsia="宋体" w:cs="宋体"/>
                <w:sz w:val="18"/>
                <w:szCs w:val="18"/>
                <w:highlight w:val="none"/>
              </w:rPr>
            </w:pPr>
            <w:r>
              <w:rPr>
                <w:rFonts w:hint="default" w:ascii="宋体" w:hAnsi="宋体" w:eastAsia="宋体" w:cs="宋体"/>
                <w:i w:val="0"/>
                <w:iCs w:val="0"/>
                <w:color w:val="000000"/>
                <w:sz w:val="20"/>
                <w:szCs w:val="20"/>
                <w:highlight w:val="none"/>
                <w:u w:val="none"/>
                <w:lang w:eastAsia="zh-CN"/>
              </w:rPr>
              <w:t>202</w:t>
            </w:r>
            <w:r>
              <w:rPr>
                <w:rFonts w:hint="eastAsia" w:ascii="宋体" w:hAnsi="宋体" w:eastAsia="宋体" w:cs="宋体"/>
                <w:i w:val="0"/>
                <w:iCs w:val="0"/>
                <w:color w:val="000000"/>
                <w:sz w:val="20"/>
                <w:szCs w:val="20"/>
                <w:highlight w:val="none"/>
                <w:u w:val="none"/>
                <w:lang w:val="en-US" w:eastAsia="zh-CN"/>
              </w:rPr>
              <w:t>3</w:t>
            </w:r>
            <w:r>
              <w:rPr>
                <w:rFonts w:hint="default" w:ascii="宋体" w:hAnsi="宋体" w:eastAsia="宋体" w:cs="宋体"/>
                <w:i w:val="0"/>
                <w:iCs w:val="0"/>
                <w:color w:val="000000"/>
                <w:sz w:val="20"/>
                <w:szCs w:val="20"/>
                <w:highlight w:val="none"/>
                <w:u w:val="none"/>
                <w:lang w:eastAsia="zh-CN"/>
              </w:rPr>
              <w:t>年12月之前</w:t>
            </w:r>
          </w:p>
        </w:tc>
        <w:tc>
          <w:tcPr>
            <w:tcW w:w="601" w:type="dxa"/>
            <w:tcBorders>
              <w:top w:val="nil"/>
              <w:left w:val="nil"/>
              <w:bottom w:val="single" w:color="auto" w:sz="4" w:space="0"/>
              <w:right w:val="single" w:color="auto" w:sz="4" w:space="0"/>
            </w:tcBorders>
            <w:vAlign w:val="center"/>
          </w:tcPr>
          <w:p w14:paraId="4D242F2E">
            <w:pPr>
              <w:spacing w:line="240" w:lineRule="exact"/>
              <w:jc w:val="center"/>
              <w:rPr>
                <w:rFonts w:ascii="宋体" w:hAnsi="宋体" w:eastAsia="宋体" w:cs="宋体"/>
                <w:sz w:val="18"/>
                <w:szCs w:val="18"/>
                <w:highlight w:val="none"/>
              </w:rPr>
            </w:pPr>
            <w:r>
              <w:rPr>
                <w:rFonts w:hint="default" w:ascii="宋体" w:hAnsi="宋体" w:eastAsia="宋体" w:cs="宋体"/>
                <w:i w:val="0"/>
                <w:iCs w:val="0"/>
                <w:color w:val="000000"/>
                <w:sz w:val="20"/>
                <w:szCs w:val="20"/>
                <w:highlight w:val="none"/>
                <w:u w:val="none"/>
                <w:lang w:eastAsia="zh-CN"/>
              </w:rPr>
              <w:t>202</w:t>
            </w:r>
            <w:r>
              <w:rPr>
                <w:rFonts w:hint="eastAsia" w:ascii="宋体" w:hAnsi="宋体" w:eastAsia="宋体" w:cs="宋体"/>
                <w:i w:val="0"/>
                <w:iCs w:val="0"/>
                <w:color w:val="000000"/>
                <w:sz w:val="20"/>
                <w:szCs w:val="20"/>
                <w:highlight w:val="none"/>
                <w:u w:val="none"/>
                <w:lang w:val="en-US" w:eastAsia="zh-CN"/>
              </w:rPr>
              <w:t>3</w:t>
            </w:r>
            <w:r>
              <w:rPr>
                <w:rFonts w:hint="default" w:ascii="宋体" w:hAnsi="宋体" w:eastAsia="宋体" w:cs="宋体"/>
                <w:i w:val="0"/>
                <w:iCs w:val="0"/>
                <w:color w:val="000000"/>
                <w:sz w:val="20"/>
                <w:szCs w:val="20"/>
                <w:highlight w:val="none"/>
                <w:u w:val="none"/>
                <w:lang w:eastAsia="zh-CN"/>
              </w:rPr>
              <w:t>年12月</w:t>
            </w:r>
          </w:p>
        </w:tc>
        <w:tc>
          <w:tcPr>
            <w:tcW w:w="567" w:type="dxa"/>
            <w:gridSpan w:val="2"/>
            <w:tcBorders>
              <w:top w:val="nil"/>
              <w:left w:val="nil"/>
              <w:bottom w:val="single" w:color="auto" w:sz="4" w:space="0"/>
              <w:right w:val="single" w:color="auto" w:sz="4" w:space="0"/>
            </w:tcBorders>
            <w:vAlign w:val="center"/>
          </w:tcPr>
          <w:p w14:paraId="29D0596E">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lang w:val="en-US" w:eastAsia="zh-CN"/>
              </w:rPr>
              <w:t>10</w:t>
            </w:r>
          </w:p>
        </w:tc>
        <w:tc>
          <w:tcPr>
            <w:tcW w:w="567" w:type="dxa"/>
            <w:gridSpan w:val="2"/>
            <w:tcBorders>
              <w:top w:val="nil"/>
              <w:left w:val="nil"/>
              <w:bottom w:val="single" w:color="auto" w:sz="4" w:space="0"/>
              <w:right w:val="single" w:color="auto" w:sz="4" w:space="0"/>
            </w:tcBorders>
            <w:vAlign w:val="center"/>
          </w:tcPr>
          <w:p w14:paraId="5C0FF8A7">
            <w:pPr>
              <w:spacing w:line="240" w:lineRule="exact"/>
              <w:jc w:val="center"/>
              <w:rPr>
                <w:rFonts w:ascii="宋体" w:hAnsi="宋体" w:eastAsia="宋体" w:cs="宋体"/>
                <w:sz w:val="18"/>
                <w:szCs w:val="18"/>
                <w:highlight w:val="none"/>
              </w:rPr>
            </w:pPr>
            <w:r>
              <w:rPr>
                <w:rFonts w:hint="eastAsia" w:ascii="宋体" w:hAnsi="宋体" w:eastAsia="宋体" w:cs="宋体"/>
                <w:sz w:val="18"/>
                <w:szCs w:val="18"/>
                <w:highlight w:val="none"/>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14:paraId="44489FA8">
            <w:pPr>
              <w:spacing w:line="240" w:lineRule="exact"/>
              <w:jc w:val="center"/>
              <w:rPr>
                <w:rFonts w:ascii="宋体" w:hAnsi="宋体" w:eastAsia="宋体" w:cs="宋体"/>
                <w:sz w:val="18"/>
                <w:szCs w:val="18"/>
                <w:highlight w:val="none"/>
              </w:rPr>
            </w:pPr>
          </w:p>
        </w:tc>
      </w:tr>
      <w:tr w14:paraId="7B1C688E">
        <w:tblPrEx>
          <w:tblCellMar>
            <w:top w:w="0" w:type="dxa"/>
            <w:left w:w="108" w:type="dxa"/>
            <w:bottom w:w="0" w:type="dxa"/>
            <w:right w:w="108" w:type="dxa"/>
          </w:tblCellMar>
        </w:tblPrEx>
        <w:trPr>
          <w:trHeight w:val="840" w:hRule="exact"/>
          <w:jc w:val="center"/>
        </w:trPr>
        <w:tc>
          <w:tcPr>
            <w:tcW w:w="588" w:type="dxa"/>
            <w:vMerge w:val="continue"/>
            <w:tcBorders>
              <w:left w:val="single" w:color="auto" w:sz="4" w:space="0"/>
              <w:right w:val="single" w:color="auto" w:sz="4" w:space="0"/>
            </w:tcBorders>
            <w:vAlign w:val="center"/>
          </w:tcPr>
          <w:p w14:paraId="0C41385F">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99A737D">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1D6D95EA">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15343327">
            <w:pPr>
              <w:spacing w:line="240" w:lineRule="exact"/>
              <w:rPr>
                <w:rFonts w:ascii="宋体" w:hAnsi="宋体" w:eastAsia="宋体" w:cs="宋体"/>
                <w:color w:val="000000"/>
                <w:sz w:val="18"/>
                <w:szCs w:val="18"/>
              </w:rPr>
            </w:pPr>
            <w:r>
              <w:rPr>
                <w:rFonts w:hint="default" w:ascii="宋体" w:hAnsi="宋体" w:eastAsia="宋体" w:cs="宋体"/>
                <w:color w:val="000000"/>
                <w:sz w:val="18"/>
                <w:szCs w:val="18"/>
                <w:lang w:val="en-US" w:eastAsia="zh-CN"/>
              </w:rPr>
              <w:t>预算成本控制</w:t>
            </w:r>
          </w:p>
        </w:tc>
        <w:tc>
          <w:tcPr>
            <w:tcW w:w="1100" w:type="dxa"/>
            <w:tcBorders>
              <w:top w:val="nil"/>
              <w:left w:val="nil"/>
              <w:bottom w:val="single" w:color="auto" w:sz="4" w:space="0"/>
              <w:right w:val="single" w:color="auto" w:sz="4" w:space="0"/>
            </w:tcBorders>
            <w:vAlign w:val="center"/>
          </w:tcPr>
          <w:p w14:paraId="34742927">
            <w:pPr>
              <w:spacing w:line="240" w:lineRule="exact"/>
              <w:jc w:val="center"/>
              <w:rPr>
                <w:rFonts w:ascii="宋体" w:hAnsi="宋体" w:eastAsia="宋体" w:cs="宋体"/>
                <w:sz w:val="18"/>
                <w:szCs w:val="18"/>
              </w:rPr>
            </w:pPr>
            <w:r>
              <w:rPr>
                <w:rFonts w:hint="eastAsia" w:ascii="宋体" w:hAnsi="宋体" w:eastAsia="宋体" w:cs="宋体"/>
                <w:i w:val="0"/>
                <w:iCs w:val="0"/>
                <w:color w:val="000000"/>
                <w:sz w:val="20"/>
                <w:szCs w:val="20"/>
                <w:u w:val="none"/>
                <w:lang w:val="en-US" w:eastAsia="zh-CN"/>
              </w:rPr>
              <w:t>≤18</w:t>
            </w:r>
            <w:bookmarkStart w:id="0" w:name="_GoBack"/>
            <w:bookmarkEnd w:id="0"/>
            <w:r>
              <w:rPr>
                <w:rFonts w:hint="default" w:ascii="宋体" w:hAnsi="宋体" w:eastAsia="宋体" w:cs="宋体"/>
                <w:i w:val="0"/>
                <w:iCs w:val="0"/>
                <w:color w:val="000000"/>
                <w:sz w:val="20"/>
                <w:szCs w:val="20"/>
                <w:u w:val="none"/>
                <w:lang w:eastAsia="zh-CN"/>
              </w:rPr>
              <w:t>万元</w:t>
            </w:r>
          </w:p>
        </w:tc>
        <w:tc>
          <w:tcPr>
            <w:tcW w:w="601" w:type="dxa"/>
            <w:tcBorders>
              <w:top w:val="nil"/>
              <w:left w:val="nil"/>
              <w:bottom w:val="single" w:color="auto" w:sz="4" w:space="0"/>
              <w:right w:val="single" w:color="auto" w:sz="4" w:space="0"/>
            </w:tcBorders>
            <w:vAlign w:val="center"/>
          </w:tcPr>
          <w:p w14:paraId="2CFB6A27">
            <w:pPr>
              <w:spacing w:line="240" w:lineRule="exact"/>
              <w:jc w:val="center"/>
              <w:rPr>
                <w:rFonts w:hint="default" w:ascii="宋体" w:hAnsi="宋体" w:eastAsia="宋体" w:cs="宋体"/>
                <w:sz w:val="18"/>
                <w:szCs w:val="18"/>
                <w:lang w:val="en-US"/>
              </w:rPr>
            </w:pPr>
            <w:r>
              <w:rPr>
                <w:rFonts w:hint="eastAsia" w:ascii="宋体" w:hAnsi="宋体" w:eastAsia="宋体" w:cs="宋体"/>
                <w:sz w:val="18"/>
                <w:szCs w:val="18"/>
                <w:lang w:val="en-US" w:eastAsia="zh-CN"/>
              </w:rPr>
              <w:t>23.65万元</w:t>
            </w:r>
          </w:p>
        </w:tc>
        <w:tc>
          <w:tcPr>
            <w:tcW w:w="567" w:type="dxa"/>
            <w:gridSpan w:val="2"/>
            <w:tcBorders>
              <w:top w:val="nil"/>
              <w:left w:val="nil"/>
              <w:bottom w:val="single" w:color="auto" w:sz="4" w:space="0"/>
              <w:right w:val="single" w:color="auto" w:sz="4" w:space="0"/>
            </w:tcBorders>
            <w:vAlign w:val="center"/>
          </w:tcPr>
          <w:p w14:paraId="4680DF15">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734CE04C">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245E51D7">
            <w:pPr>
              <w:spacing w:line="240" w:lineRule="exact"/>
              <w:jc w:val="center"/>
              <w:rPr>
                <w:rFonts w:ascii="宋体" w:hAnsi="宋体" w:eastAsia="宋体" w:cs="宋体"/>
                <w:sz w:val="18"/>
                <w:szCs w:val="18"/>
              </w:rPr>
            </w:pPr>
          </w:p>
        </w:tc>
      </w:tr>
      <w:tr w14:paraId="55553870">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14:paraId="56311401">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56A511E3">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vMerge w:val="restart"/>
            <w:tcBorders>
              <w:top w:val="nil"/>
              <w:left w:val="single" w:color="auto" w:sz="4" w:space="0"/>
              <w:bottom w:val="single" w:color="auto" w:sz="4" w:space="0"/>
              <w:right w:val="single" w:color="auto" w:sz="4" w:space="0"/>
            </w:tcBorders>
            <w:vAlign w:val="center"/>
          </w:tcPr>
          <w:p w14:paraId="3A186DC7">
            <w:pPr>
              <w:spacing w:line="240" w:lineRule="exact"/>
              <w:jc w:val="center"/>
              <w:rPr>
                <w:rFonts w:ascii="宋体" w:hAnsi="宋体" w:eastAsia="宋体" w:cs="宋体"/>
                <w:sz w:val="18"/>
                <w:szCs w:val="18"/>
              </w:rPr>
            </w:pPr>
            <w:r>
              <w:rPr>
                <w:rFonts w:hint="eastAsia" w:ascii="宋体" w:hAnsi="宋体" w:eastAsia="宋体" w:cs="宋体"/>
                <w:sz w:val="18"/>
                <w:szCs w:val="18"/>
              </w:rPr>
              <w:t>经济效益指标</w:t>
            </w:r>
          </w:p>
        </w:tc>
        <w:tc>
          <w:tcPr>
            <w:tcW w:w="2065" w:type="dxa"/>
            <w:gridSpan w:val="3"/>
            <w:tcBorders>
              <w:top w:val="single" w:color="auto" w:sz="4" w:space="0"/>
              <w:left w:val="nil"/>
              <w:bottom w:val="single" w:color="auto" w:sz="4" w:space="0"/>
              <w:right w:val="single" w:color="auto" w:sz="4" w:space="0"/>
            </w:tcBorders>
            <w:vAlign w:val="center"/>
          </w:tcPr>
          <w:p w14:paraId="67C11B73">
            <w:pPr>
              <w:spacing w:line="240" w:lineRule="exact"/>
              <w:rPr>
                <w:rFonts w:ascii="宋体" w:hAnsi="宋体" w:eastAsia="宋体" w:cs="宋体"/>
                <w:color w:val="000000"/>
                <w:sz w:val="18"/>
                <w:szCs w:val="18"/>
              </w:rPr>
            </w:pPr>
            <w:r>
              <w:rPr>
                <w:rFonts w:hint="default" w:ascii="宋体" w:hAnsi="宋体" w:eastAsia="宋体" w:cs="宋体"/>
                <w:color w:val="000000"/>
                <w:sz w:val="18"/>
                <w:szCs w:val="18"/>
                <w:lang w:val="en-US" w:eastAsia="zh-CN"/>
              </w:rPr>
              <w:t>上缴非税金额</w:t>
            </w:r>
          </w:p>
        </w:tc>
        <w:tc>
          <w:tcPr>
            <w:tcW w:w="1100" w:type="dxa"/>
            <w:tcBorders>
              <w:top w:val="nil"/>
              <w:left w:val="nil"/>
              <w:bottom w:val="single" w:color="auto" w:sz="4" w:space="0"/>
              <w:right w:val="single" w:color="auto" w:sz="4" w:space="0"/>
            </w:tcBorders>
            <w:vAlign w:val="center"/>
          </w:tcPr>
          <w:p w14:paraId="14C360ED">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7.6万</w:t>
            </w:r>
          </w:p>
        </w:tc>
        <w:tc>
          <w:tcPr>
            <w:tcW w:w="601" w:type="dxa"/>
            <w:tcBorders>
              <w:top w:val="nil"/>
              <w:left w:val="nil"/>
              <w:bottom w:val="single" w:color="auto" w:sz="4" w:space="0"/>
              <w:right w:val="single" w:color="auto" w:sz="4" w:space="0"/>
            </w:tcBorders>
            <w:vAlign w:val="center"/>
          </w:tcPr>
          <w:p w14:paraId="3D143F9E">
            <w:pPr>
              <w:spacing w:line="240" w:lineRule="exact"/>
              <w:jc w:val="center"/>
              <w:rPr>
                <w:rFonts w:ascii="宋体" w:hAnsi="宋体" w:eastAsia="宋体" w:cs="宋体"/>
                <w:sz w:val="18"/>
                <w:szCs w:val="18"/>
              </w:rPr>
            </w:pPr>
            <w:r>
              <w:rPr>
                <w:rFonts w:hint="eastAsia" w:ascii="宋体" w:hAnsi="宋体" w:eastAsia="宋体" w:cs="宋体"/>
                <w:color w:val="000000"/>
                <w:sz w:val="18"/>
                <w:szCs w:val="18"/>
                <w:lang w:val="en-US" w:eastAsia="zh-CN"/>
              </w:rPr>
              <w:t>7.6万</w:t>
            </w:r>
          </w:p>
        </w:tc>
        <w:tc>
          <w:tcPr>
            <w:tcW w:w="567" w:type="dxa"/>
            <w:gridSpan w:val="2"/>
            <w:tcBorders>
              <w:top w:val="nil"/>
              <w:left w:val="nil"/>
              <w:bottom w:val="single" w:color="auto" w:sz="4" w:space="0"/>
              <w:right w:val="single" w:color="auto" w:sz="4" w:space="0"/>
            </w:tcBorders>
            <w:vAlign w:val="center"/>
          </w:tcPr>
          <w:p w14:paraId="5E22D9ED">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14:paraId="5333698C">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1417" w:type="dxa"/>
            <w:gridSpan w:val="2"/>
            <w:tcBorders>
              <w:top w:val="single" w:color="auto" w:sz="4" w:space="0"/>
              <w:left w:val="nil"/>
              <w:bottom w:val="single" w:color="auto" w:sz="4" w:space="0"/>
              <w:right w:val="single" w:color="auto" w:sz="4" w:space="0"/>
            </w:tcBorders>
            <w:vAlign w:val="center"/>
          </w:tcPr>
          <w:p w14:paraId="7BE4B484">
            <w:pPr>
              <w:spacing w:line="240" w:lineRule="exact"/>
              <w:jc w:val="center"/>
              <w:rPr>
                <w:rFonts w:ascii="宋体" w:hAnsi="宋体" w:eastAsia="宋体" w:cs="宋体"/>
                <w:sz w:val="18"/>
                <w:szCs w:val="18"/>
              </w:rPr>
            </w:pPr>
          </w:p>
        </w:tc>
      </w:tr>
      <w:tr w14:paraId="060C2F2A">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14:paraId="7C54A0F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CF5E7A3">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F17F996">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51B313E9">
            <w:pPr>
              <w:spacing w:line="240" w:lineRule="exact"/>
              <w:rPr>
                <w:rFonts w:ascii="宋体" w:hAnsi="宋体" w:eastAsia="宋体" w:cs="宋体"/>
                <w:color w:val="000000"/>
                <w:sz w:val="18"/>
                <w:szCs w:val="18"/>
              </w:rPr>
            </w:pPr>
            <w:r>
              <w:rPr>
                <w:rFonts w:hint="default" w:ascii="宋体" w:hAnsi="宋体" w:eastAsia="宋体" w:cs="宋体"/>
                <w:color w:val="000000"/>
                <w:sz w:val="18"/>
                <w:szCs w:val="18"/>
                <w:lang w:val="en-US" w:eastAsia="zh-CN"/>
              </w:rPr>
              <w:t>经济效益情况</w:t>
            </w:r>
          </w:p>
        </w:tc>
        <w:tc>
          <w:tcPr>
            <w:tcW w:w="1100" w:type="dxa"/>
            <w:tcBorders>
              <w:top w:val="nil"/>
              <w:left w:val="nil"/>
              <w:bottom w:val="single" w:color="auto" w:sz="4" w:space="0"/>
              <w:right w:val="single" w:color="auto" w:sz="4" w:space="0"/>
            </w:tcBorders>
            <w:vAlign w:val="center"/>
          </w:tcPr>
          <w:p w14:paraId="1E5ED3D6">
            <w:pPr>
              <w:spacing w:line="240" w:lineRule="exact"/>
              <w:jc w:val="center"/>
              <w:rPr>
                <w:rFonts w:ascii="宋体" w:hAnsi="宋体" w:eastAsia="宋体" w:cs="宋体"/>
                <w:sz w:val="18"/>
                <w:szCs w:val="18"/>
              </w:rPr>
            </w:pPr>
            <w:r>
              <w:rPr>
                <w:rFonts w:hint="eastAsia" w:ascii="宋体" w:hAnsi="宋体" w:eastAsia="宋体" w:cs="宋体"/>
                <w:sz w:val="18"/>
                <w:szCs w:val="18"/>
              </w:rPr>
              <w:t>效果明显</w:t>
            </w:r>
          </w:p>
        </w:tc>
        <w:tc>
          <w:tcPr>
            <w:tcW w:w="601" w:type="dxa"/>
            <w:tcBorders>
              <w:top w:val="nil"/>
              <w:left w:val="nil"/>
              <w:bottom w:val="single" w:color="auto" w:sz="4" w:space="0"/>
              <w:right w:val="single" w:color="auto" w:sz="4" w:space="0"/>
            </w:tcBorders>
            <w:vAlign w:val="center"/>
          </w:tcPr>
          <w:p w14:paraId="3A1CB7B7">
            <w:pPr>
              <w:spacing w:line="240" w:lineRule="exact"/>
              <w:jc w:val="center"/>
              <w:rPr>
                <w:rFonts w:ascii="宋体" w:hAnsi="宋体" w:eastAsia="宋体" w:cs="宋体"/>
                <w:sz w:val="18"/>
                <w:szCs w:val="18"/>
              </w:rPr>
            </w:pPr>
            <w:r>
              <w:rPr>
                <w:rFonts w:hint="eastAsia" w:ascii="宋体" w:hAnsi="宋体" w:eastAsia="宋体" w:cs="宋体"/>
                <w:sz w:val="18"/>
                <w:szCs w:val="18"/>
              </w:rPr>
              <w:t>效果明显</w:t>
            </w:r>
          </w:p>
        </w:tc>
        <w:tc>
          <w:tcPr>
            <w:tcW w:w="567" w:type="dxa"/>
            <w:gridSpan w:val="2"/>
            <w:tcBorders>
              <w:top w:val="nil"/>
              <w:left w:val="nil"/>
              <w:bottom w:val="single" w:color="auto" w:sz="4" w:space="0"/>
              <w:right w:val="single" w:color="auto" w:sz="4" w:space="0"/>
            </w:tcBorders>
            <w:vAlign w:val="center"/>
          </w:tcPr>
          <w:p w14:paraId="02F53C38">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14:paraId="65BD564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14:paraId="557681AD">
            <w:pPr>
              <w:spacing w:line="240" w:lineRule="exact"/>
              <w:jc w:val="center"/>
              <w:rPr>
                <w:rFonts w:ascii="宋体" w:hAnsi="宋体" w:eastAsia="宋体" w:cs="宋体"/>
                <w:sz w:val="18"/>
                <w:szCs w:val="18"/>
              </w:rPr>
            </w:pPr>
          </w:p>
        </w:tc>
      </w:tr>
      <w:tr w14:paraId="01B03475">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14:paraId="66D903F3">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25F6291">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3428C315">
            <w:pPr>
              <w:spacing w:line="240" w:lineRule="exact"/>
              <w:jc w:val="center"/>
              <w:rPr>
                <w:rFonts w:ascii="宋体" w:hAnsi="宋体" w:eastAsia="宋体" w:cs="宋体"/>
                <w:sz w:val="18"/>
                <w:szCs w:val="18"/>
              </w:rPr>
            </w:pPr>
            <w:r>
              <w:rPr>
                <w:rFonts w:hint="eastAsia" w:ascii="宋体" w:hAnsi="宋体" w:eastAsia="宋体" w:cs="宋体"/>
                <w:sz w:val="18"/>
                <w:szCs w:val="18"/>
              </w:rPr>
              <w:t>社会效益指标</w:t>
            </w:r>
          </w:p>
        </w:tc>
        <w:tc>
          <w:tcPr>
            <w:tcW w:w="2065" w:type="dxa"/>
            <w:gridSpan w:val="3"/>
            <w:tcBorders>
              <w:top w:val="single" w:color="auto" w:sz="4" w:space="0"/>
              <w:left w:val="nil"/>
              <w:bottom w:val="single" w:color="auto" w:sz="4" w:space="0"/>
              <w:right w:val="single" w:color="auto" w:sz="4" w:space="0"/>
            </w:tcBorders>
            <w:vAlign w:val="center"/>
          </w:tcPr>
          <w:p w14:paraId="182300CC">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lang w:val="en-US" w:eastAsia="zh-CN"/>
              </w:rPr>
              <w:t>有效提升县城居民生活幸福指数</w:t>
            </w:r>
          </w:p>
        </w:tc>
        <w:tc>
          <w:tcPr>
            <w:tcW w:w="1100" w:type="dxa"/>
            <w:tcBorders>
              <w:top w:val="nil"/>
              <w:left w:val="nil"/>
              <w:bottom w:val="single" w:color="auto" w:sz="4" w:space="0"/>
              <w:right w:val="single" w:color="auto" w:sz="4" w:space="0"/>
            </w:tcBorders>
            <w:vAlign w:val="center"/>
          </w:tcPr>
          <w:p w14:paraId="648D8214">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明显提高</w:t>
            </w:r>
          </w:p>
        </w:tc>
        <w:tc>
          <w:tcPr>
            <w:tcW w:w="601" w:type="dxa"/>
            <w:tcBorders>
              <w:top w:val="nil"/>
              <w:left w:val="nil"/>
              <w:bottom w:val="single" w:color="auto" w:sz="4" w:space="0"/>
              <w:right w:val="single" w:color="auto" w:sz="4" w:space="0"/>
            </w:tcBorders>
            <w:vAlign w:val="center"/>
          </w:tcPr>
          <w:p w14:paraId="1793667D">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明显提高</w:t>
            </w:r>
          </w:p>
        </w:tc>
        <w:tc>
          <w:tcPr>
            <w:tcW w:w="567" w:type="dxa"/>
            <w:gridSpan w:val="2"/>
            <w:tcBorders>
              <w:top w:val="nil"/>
              <w:left w:val="nil"/>
              <w:bottom w:val="single" w:color="auto" w:sz="4" w:space="0"/>
              <w:right w:val="single" w:color="auto" w:sz="4" w:space="0"/>
            </w:tcBorders>
            <w:vAlign w:val="center"/>
          </w:tcPr>
          <w:p w14:paraId="46EA94B7">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14:paraId="59A99538">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14:paraId="762D8948">
            <w:pPr>
              <w:spacing w:line="240" w:lineRule="exact"/>
              <w:jc w:val="center"/>
              <w:rPr>
                <w:rFonts w:ascii="宋体" w:hAnsi="宋体" w:eastAsia="宋体" w:cs="宋体"/>
                <w:sz w:val="18"/>
                <w:szCs w:val="18"/>
              </w:rPr>
            </w:pPr>
          </w:p>
        </w:tc>
      </w:tr>
      <w:tr w14:paraId="73CD4EB3">
        <w:tblPrEx>
          <w:tblCellMar>
            <w:top w:w="0" w:type="dxa"/>
            <w:left w:w="108" w:type="dxa"/>
            <w:bottom w:w="0" w:type="dxa"/>
            <w:right w:w="108" w:type="dxa"/>
          </w:tblCellMar>
        </w:tblPrEx>
        <w:trPr>
          <w:trHeight w:val="660" w:hRule="exact"/>
          <w:jc w:val="center"/>
        </w:trPr>
        <w:tc>
          <w:tcPr>
            <w:tcW w:w="588" w:type="dxa"/>
            <w:vMerge w:val="continue"/>
            <w:tcBorders>
              <w:left w:val="single" w:color="auto" w:sz="4" w:space="0"/>
              <w:right w:val="single" w:color="auto" w:sz="4" w:space="0"/>
            </w:tcBorders>
            <w:vAlign w:val="center"/>
          </w:tcPr>
          <w:p w14:paraId="6183A0F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B189A5E">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32EACE2F">
            <w:pPr>
              <w:spacing w:line="240" w:lineRule="exact"/>
              <w:jc w:val="center"/>
              <w:rPr>
                <w:rFonts w:ascii="宋体" w:hAnsi="宋体" w:eastAsia="宋体" w:cs="宋体"/>
                <w:sz w:val="18"/>
                <w:szCs w:val="18"/>
              </w:rPr>
            </w:pPr>
            <w:r>
              <w:rPr>
                <w:rFonts w:hint="eastAsia" w:ascii="宋体" w:hAnsi="宋体" w:eastAsia="宋体" w:cs="宋体"/>
                <w:sz w:val="18"/>
                <w:szCs w:val="18"/>
              </w:rPr>
              <w:t>生态效益指标</w:t>
            </w:r>
          </w:p>
        </w:tc>
        <w:tc>
          <w:tcPr>
            <w:tcW w:w="2065" w:type="dxa"/>
            <w:gridSpan w:val="3"/>
            <w:tcBorders>
              <w:top w:val="single" w:color="auto" w:sz="4" w:space="0"/>
              <w:left w:val="nil"/>
              <w:bottom w:val="single" w:color="auto" w:sz="4" w:space="0"/>
              <w:right w:val="single" w:color="auto" w:sz="4" w:space="0"/>
            </w:tcBorders>
            <w:vAlign w:val="center"/>
          </w:tcPr>
          <w:p w14:paraId="5C3D3129">
            <w:pPr>
              <w:spacing w:line="240" w:lineRule="exact"/>
              <w:rPr>
                <w:rFonts w:ascii="宋体" w:hAnsi="宋体" w:eastAsia="宋体" w:cs="宋体"/>
                <w:color w:val="000000"/>
                <w:sz w:val="18"/>
                <w:szCs w:val="18"/>
              </w:rPr>
            </w:pPr>
            <w:r>
              <w:rPr>
                <w:rFonts w:hint="eastAsia" w:ascii="宋体" w:hAnsi="宋体" w:eastAsia="宋体" w:cs="宋体"/>
                <w:i w:val="0"/>
                <w:iCs w:val="0"/>
                <w:color w:val="000000"/>
                <w:sz w:val="20"/>
                <w:szCs w:val="20"/>
                <w:u w:val="none"/>
              </w:rPr>
              <w:t>生态效益情况</w:t>
            </w:r>
            <w:r>
              <w:rPr>
                <w:rFonts w:hint="eastAsia" w:ascii="宋体" w:hAnsi="宋体" w:eastAsia="宋体" w:cs="宋体"/>
                <w:i w:val="0"/>
                <w:iCs w:val="0"/>
                <w:color w:val="000000"/>
                <w:sz w:val="20"/>
                <w:szCs w:val="20"/>
                <w:u w:val="none"/>
                <w:lang w:eastAsia="zh-CN"/>
              </w:rPr>
              <w:t>：</w:t>
            </w:r>
            <w:r>
              <w:rPr>
                <w:rFonts w:hint="eastAsia" w:ascii="宋体" w:hAnsi="宋体" w:eastAsia="宋体" w:cs="宋体"/>
                <w:i w:val="0"/>
                <w:iCs w:val="0"/>
                <w:color w:val="000000"/>
                <w:sz w:val="20"/>
                <w:szCs w:val="20"/>
                <w:u w:val="none"/>
              </w:rPr>
              <w:t>渣土扬尘污染有效控制</w:t>
            </w:r>
          </w:p>
        </w:tc>
        <w:tc>
          <w:tcPr>
            <w:tcW w:w="1100" w:type="dxa"/>
            <w:tcBorders>
              <w:top w:val="nil"/>
              <w:left w:val="nil"/>
              <w:bottom w:val="single" w:color="auto" w:sz="4" w:space="0"/>
              <w:right w:val="single" w:color="auto" w:sz="4" w:space="0"/>
            </w:tcBorders>
            <w:vAlign w:val="center"/>
          </w:tcPr>
          <w:p w14:paraId="6957904A">
            <w:pPr>
              <w:spacing w:line="240" w:lineRule="exact"/>
              <w:jc w:val="center"/>
              <w:rPr>
                <w:rFonts w:ascii="宋体" w:hAnsi="宋体" w:eastAsia="宋体" w:cs="宋体"/>
                <w:sz w:val="18"/>
                <w:szCs w:val="18"/>
              </w:rPr>
            </w:pPr>
            <w:r>
              <w:rPr>
                <w:rFonts w:hint="eastAsia" w:ascii="宋体" w:hAnsi="宋体" w:eastAsia="宋体" w:cs="宋体"/>
                <w:sz w:val="18"/>
                <w:szCs w:val="18"/>
              </w:rPr>
              <w:t>效果明显</w:t>
            </w:r>
          </w:p>
        </w:tc>
        <w:tc>
          <w:tcPr>
            <w:tcW w:w="601" w:type="dxa"/>
            <w:tcBorders>
              <w:top w:val="nil"/>
              <w:left w:val="nil"/>
              <w:bottom w:val="single" w:color="auto" w:sz="4" w:space="0"/>
              <w:right w:val="single" w:color="auto" w:sz="4" w:space="0"/>
            </w:tcBorders>
            <w:vAlign w:val="center"/>
          </w:tcPr>
          <w:p w14:paraId="271E1C1F">
            <w:pPr>
              <w:spacing w:line="240" w:lineRule="exact"/>
              <w:jc w:val="center"/>
              <w:rPr>
                <w:rFonts w:ascii="宋体" w:hAnsi="宋体" w:eastAsia="宋体" w:cs="宋体"/>
                <w:sz w:val="18"/>
                <w:szCs w:val="18"/>
              </w:rPr>
            </w:pPr>
            <w:r>
              <w:rPr>
                <w:rFonts w:hint="eastAsia" w:ascii="宋体" w:hAnsi="宋体" w:eastAsia="宋体" w:cs="宋体"/>
                <w:sz w:val="18"/>
                <w:szCs w:val="18"/>
              </w:rPr>
              <w:t>效果明显</w:t>
            </w:r>
          </w:p>
        </w:tc>
        <w:tc>
          <w:tcPr>
            <w:tcW w:w="567" w:type="dxa"/>
            <w:gridSpan w:val="2"/>
            <w:tcBorders>
              <w:top w:val="nil"/>
              <w:left w:val="nil"/>
              <w:bottom w:val="single" w:color="auto" w:sz="4" w:space="0"/>
              <w:right w:val="single" w:color="auto" w:sz="4" w:space="0"/>
            </w:tcBorders>
            <w:vAlign w:val="center"/>
          </w:tcPr>
          <w:p w14:paraId="365DE8FC">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69CF10B8">
            <w:pPr>
              <w:spacing w:line="240" w:lineRule="exact"/>
              <w:jc w:val="center"/>
              <w:rPr>
                <w:rFonts w:ascii="宋体" w:hAnsi="宋体" w:eastAsia="宋体" w:cs="宋体"/>
                <w:sz w:val="18"/>
                <w:szCs w:val="18"/>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14:paraId="65988319">
            <w:pPr>
              <w:spacing w:line="240" w:lineRule="exact"/>
              <w:jc w:val="center"/>
              <w:rPr>
                <w:rFonts w:ascii="宋体" w:hAnsi="宋体" w:eastAsia="宋体" w:cs="宋体"/>
                <w:sz w:val="18"/>
                <w:szCs w:val="18"/>
              </w:rPr>
            </w:pPr>
          </w:p>
        </w:tc>
      </w:tr>
      <w:tr w14:paraId="0C3C242B">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14:paraId="1D4948CC">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708E861">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1153139F">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171123A8">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lang w:val="en-US" w:eastAsia="zh-CN"/>
              </w:rPr>
              <w:t>持续改善县城空气环境质量</w:t>
            </w:r>
          </w:p>
        </w:tc>
        <w:tc>
          <w:tcPr>
            <w:tcW w:w="1100" w:type="dxa"/>
            <w:tcBorders>
              <w:top w:val="nil"/>
              <w:left w:val="nil"/>
              <w:bottom w:val="single" w:color="auto" w:sz="4" w:space="0"/>
              <w:right w:val="single" w:color="auto" w:sz="4" w:space="0"/>
            </w:tcBorders>
            <w:vAlign w:val="center"/>
          </w:tcPr>
          <w:p w14:paraId="49634201">
            <w:pPr>
              <w:spacing w:line="240" w:lineRule="exact"/>
              <w:jc w:val="center"/>
              <w:rPr>
                <w:rFonts w:ascii="宋体" w:hAnsi="宋体" w:eastAsia="宋体" w:cs="宋体"/>
                <w:sz w:val="18"/>
                <w:szCs w:val="18"/>
              </w:rPr>
            </w:pPr>
            <w:r>
              <w:rPr>
                <w:rFonts w:hint="eastAsia" w:ascii="宋体" w:hAnsi="宋体" w:eastAsia="宋体" w:cs="宋体"/>
                <w:sz w:val="18"/>
                <w:szCs w:val="18"/>
              </w:rPr>
              <w:t>效果明显</w:t>
            </w:r>
          </w:p>
        </w:tc>
        <w:tc>
          <w:tcPr>
            <w:tcW w:w="601" w:type="dxa"/>
            <w:tcBorders>
              <w:top w:val="nil"/>
              <w:left w:val="nil"/>
              <w:bottom w:val="single" w:color="auto" w:sz="4" w:space="0"/>
              <w:right w:val="single" w:color="auto" w:sz="4" w:space="0"/>
            </w:tcBorders>
            <w:vAlign w:val="center"/>
          </w:tcPr>
          <w:p w14:paraId="157672EE">
            <w:pPr>
              <w:spacing w:line="240" w:lineRule="exact"/>
              <w:jc w:val="center"/>
              <w:rPr>
                <w:rFonts w:ascii="宋体" w:hAnsi="宋体" w:eastAsia="宋体" w:cs="宋体"/>
                <w:sz w:val="18"/>
                <w:szCs w:val="18"/>
              </w:rPr>
            </w:pPr>
            <w:r>
              <w:rPr>
                <w:rFonts w:hint="eastAsia" w:ascii="宋体" w:hAnsi="宋体" w:eastAsia="宋体" w:cs="宋体"/>
                <w:sz w:val="18"/>
                <w:szCs w:val="18"/>
              </w:rPr>
              <w:t>效果明显</w:t>
            </w:r>
          </w:p>
        </w:tc>
        <w:tc>
          <w:tcPr>
            <w:tcW w:w="567" w:type="dxa"/>
            <w:gridSpan w:val="2"/>
            <w:tcBorders>
              <w:top w:val="nil"/>
              <w:left w:val="nil"/>
              <w:bottom w:val="single" w:color="auto" w:sz="4" w:space="0"/>
              <w:right w:val="single" w:color="auto" w:sz="4" w:space="0"/>
            </w:tcBorders>
            <w:vAlign w:val="center"/>
          </w:tcPr>
          <w:p w14:paraId="71A077DD">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14:paraId="6ABB2771">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14:paraId="6F5CF51F">
            <w:pPr>
              <w:spacing w:line="240" w:lineRule="exact"/>
              <w:jc w:val="center"/>
              <w:rPr>
                <w:rFonts w:ascii="宋体" w:hAnsi="宋体" w:eastAsia="宋体" w:cs="宋体"/>
                <w:sz w:val="18"/>
                <w:szCs w:val="18"/>
              </w:rPr>
            </w:pPr>
          </w:p>
        </w:tc>
      </w:tr>
      <w:tr w14:paraId="2327C856">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14:paraId="3D8E0DAB">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3CBBF67C">
            <w:pPr>
              <w:spacing w:line="240" w:lineRule="exact"/>
              <w:jc w:val="center"/>
              <w:rPr>
                <w:rFonts w:ascii="宋体" w:hAnsi="宋体" w:eastAsia="宋体" w:cs="宋体"/>
                <w:sz w:val="18"/>
                <w:szCs w:val="18"/>
              </w:rPr>
            </w:pPr>
            <w:r>
              <w:rPr>
                <w:rFonts w:hint="eastAsia" w:ascii="宋体" w:hAnsi="宋体" w:eastAsia="宋体" w:cs="宋体"/>
                <w:sz w:val="18"/>
                <w:szCs w:val="18"/>
              </w:rPr>
              <w:t>满意度指标</w:t>
            </w:r>
          </w:p>
        </w:tc>
        <w:tc>
          <w:tcPr>
            <w:tcW w:w="1195" w:type="dxa"/>
            <w:tcBorders>
              <w:top w:val="nil"/>
              <w:left w:val="single" w:color="auto" w:sz="4" w:space="0"/>
              <w:bottom w:val="single" w:color="auto" w:sz="4" w:space="0"/>
              <w:right w:val="single" w:color="auto" w:sz="4" w:space="0"/>
            </w:tcBorders>
            <w:vAlign w:val="center"/>
          </w:tcPr>
          <w:p w14:paraId="0347E2CE">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1C5842ED">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lang w:val="en-US" w:eastAsia="zh-CN"/>
              </w:rPr>
              <w:t>群众满意度</w:t>
            </w:r>
          </w:p>
        </w:tc>
        <w:tc>
          <w:tcPr>
            <w:tcW w:w="1100" w:type="dxa"/>
            <w:tcBorders>
              <w:top w:val="nil"/>
              <w:left w:val="nil"/>
              <w:bottom w:val="single" w:color="auto" w:sz="4" w:space="0"/>
              <w:right w:val="single" w:color="auto" w:sz="4" w:space="0"/>
            </w:tcBorders>
            <w:vAlign w:val="center"/>
          </w:tcPr>
          <w:p w14:paraId="00C82B96">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≥90%</w:t>
            </w:r>
          </w:p>
        </w:tc>
        <w:tc>
          <w:tcPr>
            <w:tcW w:w="601" w:type="dxa"/>
            <w:tcBorders>
              <w:top w:val="nil"/>
              <w:left w:val="nil"/>
              <w:bottom w:val="single" w:color="auto" w:sz="4" w:space="0"/>
              <w:right w:val="single" w:color="auto" w:sz="4" w:space="0"/>
            </w:tcBorders>
            <w:vAlign w:val="center"/>
          </w:tcPr>
          <w:p w14:paraId="5C83DBAC">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98</w:t>
            </w:r>
            <w:r>
              <w:rPr>
                <w:rFonts w:hint="default" w:ascii="宋体" w:hAnsi="宋体" w:eastAsia="宋体" w:cs="宋体"/>
                <w:sz w:val="18"/>
                <w:szCs w:val="18"/>
                <w:lang w:eastAsia="zh-CN"/>
              </w:rPr>
              <w:t>%</w:t>
            </w:r>
          </w:p>
        </w:tc>
        <w:tc>
          <w:tcPr>
            <w:tcW w:w="567" w:type="dxa"/>
            <w:gridSpan w:val="2"/>
            <w:tcBorders>
              <w:top w:val="nil"/>
              <w:left w:val="nil"/>
              <w:bottom w:val="single" w:color="auto" w:sz="4" w:space="0"/>
              <w:right w:val="single" w:color="auto" w:sz="4" w:space="0"/>
            </w:tcBorders>
            <w:vAlign w:val="center"/>
          </w:tcPr>
          <w:p w14:paraId="6E4B50E3">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1C67B877">
            <w:pPr>
              <w:spacing w:line="24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14:paraId="7B3E964A">
            <w:pPr>
              <w:spacing w:line="240" w:lineRule="exact"/>
              <w:jc w:val="center"/>
              <w:rPr>
                <w:rFonts w:ascii="宋体" w:hAnsi="宋体" w:eastAsia="宋体" w:cs="宋体"/>
                <w:sz w:val="18"/>
                <w:szCs w:val="18"/>
              </w:rPr>
            </w:pPr>
          </w:p>
        </w:tc>
      </w:tr>
      <w:tr w14:paraId="01F7A4D8">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14:paraId="751A0777">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696920E9">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567" w:type="dxa"/>
            <w:gridSpan w:val="2"/>
            <w:tcBorders>
              <w:top w:val="single" w:color="auto" w:sz="4" w:space="0"/>
              <w:left w:val="nil"/>
              <w:bottom w:val="single" w:color="auto" w:sz="4" w:space="0"/>
              <w:right w:val="single" w:color="auto" w:sz="4" w:space="0"/>
            </w:tcBorders>
            <w:vAlign w:val="center"/>
          </w:tcPr>
          <w:p w14:paraId="1A396AD8">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97</w:t>
            </w:r>
          </w:p>
        </w:tc>
        <w:tc>
          <w:tcPr>
            <w:tcW w:w="1417" w:type="dxa"/>
            <w:gridSpan w:val="2"/>
            <w:tcBorders>
              <w:top w:val="single" w:color="auto" w:sz="4" w:space="0"/>
              <w:left w:val="nil"/>
              <w:bottom w:val="single" w:color="auto" w:sz="4" w:space="0"/>
              <w:right w:val="single" w:color="auto" w:sz="4" w:space="0"/>
            </w:tcBorders>
            <w:vAlign w:val="center"/>
          </w:tcPr>
          <w:p w14:paraId="2985223A">
            <w:pPr>
              <w:spacing w:line="240" w:lineRule="exact"/>
              <w:jc w:val="center"/>
              <w:rPr>
                <w:rFonts w:ascii="宋体" w:hAnsi="宋体" w:eastAsia="宋体" w:cs="宋体"/>
                <w:sz w:val="18"/>
                <w:szCs w:val="18"/>
              </w:rPr>
            </w:pPr>
          </w:p>
        </w:tc>
      </w:tr>
    </w:tbl>
    <w:p w14:paraId="79C34373">
      <w:r>
        <w:br w:type="page"/>
      </w:r>
    </w:p>
    <w:tbl>
      <w:tblPr>
        <w:tblStyle w:val="5"/>
        <w:tblW w:w="9540" w:type="dxa"/>
        <w:jc w:val="center"/>
        <w:tblLayout w:type="fixed"/>
        <w:tblCellMar>
          <w:top w:w="0" w:type="dxa"/>
          <w:left w:w="108" w:type="dxa"/>
          <w:bottom w:w="0" w:type="dxa"/>
          <w:right w:w="108" w:type="dxa"/>
        </w:tblCellMar>
      </w:tblPr>
      <w:tblGrid>
        <w:gridCol w:w="9540"/>
      </w:tblGrid>
      <w:tr w14:paraId="6F04B8A0">
        <w:trPr>
          <w:trHeight w:val="465" w:hRule="atLeast"/>
          <w:jc w:val="center"/>
        </w:trPr>
        <w:tc>
          <w:tcPr>
            <w:tcW w:w="9540" w:type="dxa"/>
            <w:tcBorders>
              <w:top w:val="single" w:color="auto" w:sz="4" w:space="0"/>
              <w:left w:val="nil"/>
              <w:bottom w:val="nil"/>
              <w:right w:val="nil"/>
            </w:tcBorders>
            <w:noWrap w:val="0"/>
            <w:vAlign w:val="center"/>
          </w:tcPr>
          <w:p w14:paraId="22B3AD34">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056A13B7">
        <w:tblPrEx>
          <w:tblCellMar>
            <w:top w:w="0" w:type="dxa"/>
            <w:left w:w="108" w:type="dxa"/>
            <w:bottom w:w="0" w:type="dxa"/>
            <w:right w:w="108" w:type="dxa"/>
          </w:tblCellMar>
        </w:tblPrEx>
        <w:trPr>
          <w:trHeight w:val="465" w:hRule="atLeast"/>
          <w:jc w:val="center"/>
        </w:trPr>
        <w:tc>
          <w:tcPr>
            <w:tcW w:w="9540" w:type="dxa"/>
            <w:tcBorders>
              <w:top w:val="nil"/>
              <w:left w:val="nil"/>
              <w:bottom w:val="nil"/>
              <w:right w:val="nil"/>
            </w:tcBorders>
            <w:noWrap w:val="0"/>
            <w:vAlign w:val="center"/>
          </w:tcPr>
          <w:p w14:paraId="072E8F23">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14:paraId="0C8AD016">
        <w:tblPrEx>
          <w:tblCellMar>
            <w:top w:w="0" w:type="dxa"/>
            <w:left w:w="108" w:type="dxa"/>
            <w:bottom w:w="0" w:type="dxa"/>
            <w:right w:w="108" w:type="dxa"/>
          </w:tblCellMar>
        </w:tblPrEx>
        <w:trPr>
          <w:trHeight w:val="465" w:hRule="atLeast"/>
          <w:jc w:val="center"/>
        </w:trPr>
        <w:tc>
          <w:tcPr>
            <w:tcW w:w="9540" w:type="dxa"/>
            <w:tcBorders>
              <w:top w:val="nil"/>
              <w:left w:val="nil"/>
              <w:bottom w:val="nil"/>
              <w:right w:val="nil"/>
            </w:tcBorders>
            <w:noWrap w:val="0"/>
            <w:vAlign w:val="center"/>
          </w:tcPr>
          <w:p w14:paraId="5944DBC5">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3.定量指标若为正向指标（即指标值为≥*），则得分计算方法应用全年实际值（B）/年度指标值（A）</w:t>
            </w:r>
            <w:r>
              <w:rPr>
                <w:rFonts w:ascii="Times New Roman" w:hAnsi="Times New Roman"/>
                <w:color w:val="000000"/>
                <w:kern w:val="0"/>
                <w:sz w:val="12"/>
                <w:szCs w:val="12"/>
              </w:rPr>
              <w:t>╳</w:t>
            </w:r>
            <w:r>
              <w:rPr>
                <w:rFonts w:ascii="Times New Roman" w:hAnsi="Times New Roman"/>
                <w:color w:val="000000"/>
                <w:kern w:val="0"/>
                <w:sz w:val="18"/>
                <w:szCs w:val="18"/>
              </w:rPr>
              <w:t>该指标分值；若定量指标为反向指标（即指标值为≤*），则得分计算方法应用年度指标值（A）/全年实际值（B）</w:t>
            </w:r>
            <w:r>
              <w:rPr>
                <w:rFonts w:ascii="Times New Roman" w:hAnsi="Times New Roman"/>
                <w:color w:val="000000"/>
                <w:kern w:val="0"/>
                <w:sz w:val="12"/>
                <w:szCs w:val="12"/>
              </w:rPr>
              <w:t>╳</w:t>
            </w:r>
            <w:r>
              <w:rPr>
                <w:rFonts w:ascii="Times New Roman" w:hAnsi="Times New Roman"/>
                <w:color w:val="000000"/>
                <w:kern w:val="0"/>
                <w:sz w:val="18"/>
                <w:szCs w:val="18"/>
              </w:rPr>
              <w:t>该指标分值。</w:t>
            </w:r>
          </w:p>
        </w:tc>
      </w:tr>
      <w:tr w14:paraId="65BE5A73">
        <w:tblPrEx>
          <w:tblCellMar>
            <w:top w:w="0" w:type="dxa"/>
            <w:left w:w="108" w:type="dxa"/>
            <w:bottom w:w="0" w:type="dxa"/>
            <w:right w:w="108" w:type="dxa"/>
          </w:tblCellMar>
        </w:tblPrEx>
        <w:trPr>
          <w:trHeight w:val="210" w:hRule="atLeast"/>
          <w:jc w:val="center"/>
        </w:trPr>
        <w:tc>
          <w:tcPr>
            <w:tcW w:w="9540" w:type="dxa"/>
            <w:tcBorders>
              <w:top w:val="nil"/>
              <w:left w:val="nil"/>
              <w:bottom w:val="nil"/>
              <w:right w:val="nil"/>
            </w:tcBorders>
            <w:noWrap/>
            <w:vAlign w:val="center"/>
          </w:tcPr>
          <w:p w14:paraId="4039AC79">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4.请在“</w:t>
            </w:r>
            <w:r>
              <w:rPr>
                <w:rFonts w:ascii="Times New Roman" w:hAnsi="Times New Roman"/>
                <w:kern w:val="0"/>
                <w:sz w:val="18"/>
                <w:szCs w:val="18"/>
              </w:rPr>
              <w:t>偏差原因分析及改进措施</w:t>
            </w:r>
            <w:r>
              <w:rPr>
                <w:rFonts w:ascii="Times New Roman" w:hAnsi="Times New Roman"/>
                <w:color w:val="000000"/>
                <w:kern w:val="0"/>
                <w:sz w:val="18"/>
                <w:szCs w:val="18"/>
              </w:rPr>
              <w:t>”中说明偏离目标、不能完成目标的原因及拟采取的措施。</w:t>
            </w:r>
          </w:p>
        </w:tc>
      </w:tr>
    </w:tbl>
    <w:p w14:paraId="72800D40"/>
    <w:p w14:paraId="2236133E">
      <w:pPr>
        <w:sectPr>
          <w:pgSz w:w="11906" w:h="16838"/>
          <w:pgMar w:top="1440" w:right="1800" w:bottom="1440" w:left="1800" w:header="851" w:footer="992" w:gutter="0"/>
          <w:cols w:space="425" w:num="1"/>
          <w:docGrid w:type="lines" w:linePitch="312" w:charSpace="0"/>
        </w:sectPr>
      </w:pPr>
    </w:p>
    <w:p w14:paraId="0D8E9BE8">
      <w:pPr>
        <w:pStyle w:val="7"/>
        <w:adjustRightInd/>
        <w:snapToGrid/>
        <w:spacing w:after="0" w:line="510" w:lineRule="exact"/>
        <w:jc w:val="left"/>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附件2：</w:t>
      </w:r>
    </w:p>
    <w:p w14:paraId="168671B3">
      <w:pPr>
        <w:pStyle w:val="2"/>
        <w:spacing w:before="0" w:after="0" w:line="240" w:lineRule="auto"/>
        <w:jc w:val="center"/>
        <w:rPr>
          <w:rFonts w:ascii="Times New Roman" w:hAnsi="Times New Roman" w:eastAsia="宋体"/>
          <w:bCs/>
          <w:color w:val="000000"/>
          <w:sz w:val="36"/>
          <w:szCs w:val="28"/>
        </w:rPr>
      </w:pPr>
      <w:r>
        <w:rPr>
          <w:rFonts w:hint="eastAsia" w:ascii="方正小标宋简体" w:hAnsi="方正小标宋简体" w:eastAsia="方正小标宋简体" w:cs="方正小标宋简体"/>
          <w:b w:val="0"/>
          <w:color w:val="000000"/>
          <w:sz w:val="44"/>
          <w:szCs w:val="44"/>
          <w:lang w:val="en-US" w:eastAsia="zh-CN" w:bidi="ar-SA"/>
        </w:rPr>
        <w:t>项目支出绩效评价共性指标表</w:t>
      </w:r>
    </w:p>
    <w:tbl>
      <w:tblPr>
        <w:tblStyle w:val="5"/>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14:paraId="1FE99C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14:paraId="3B5D9BF2">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709" w:type="dxa"/>
            <w:shd w:val="clear" w:color="auto" w:fill="FFFFFF"/>
            <w:noWrap w:val="0"/>
            <w:vAlign w:val="center"/>
          </w:tcPr>
          <w:p w14:paraId="65C7D7FD">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1134" w:type="dxa"/>
            <w:shd w:val="clear" w:color="auto" w:fill="FFFFFF"/>
            <w:noWrap w:val="0"/>
            <w:vAlign w:val="center"/>
          </w:tcPr>
          <w:p w14:paraId="22F532C0">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567" w:type="dxa"/>
            <w:shd w:val="clear" w:color="auto" w:fill="FFFFFF"/>
            <w:noWrap w:val="0"/>
            <w:vAlign w:val="top"/>
          </w:tcPr>
          <w:p w14:paraId="64628163">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14:paraId="0D6634EB">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2835" w:type="dxa"/>
            <w:shd w:val="clear" w:color="auto" w:fill="FFFFFF"/>
            <w:noWrap w:val="0"/>
            <w:vAlign w:val="center"/>
          </w:tcPr>
          <w:p w14:paraId="507DF594">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6096" w:type="dxa"/>
            <w:shd w:val="clear" w:color="auto" w:fill="FFFFFF"/>
            <w:noWrap w:val="0"/>
            <w:vAlign w:val="center"/>
          </w:tcPr>
          <w:p w14:paraId="368A0408">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566" w:type="dxa"/>
            <w:shd w:val="clear" w:color="auto" w:fill="FFFFFF"/>
            <w:noWrap w:val="0"/>
            <w:vAlign w:val="center"/>
          </w:tcPr>
          <w:p w14:paraId="02083EB4">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14:paraId="0BCE1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14:paraId="3F3D896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14:paraId="5AC7D06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6329FE48">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709" w:type="dxa"/>
            <w:vMerge w:val="restart"/>
            <w:shd w:val="clear" w:color="auto" w:fill="FFFFFF"/>
            <w:noWrap w:val="0"/>
            <w:vAlign w:val="center"/>
          </w:tcPr>
          <w:p w14:paraId="690AD98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1134" w:type="dxa"/>
            <w:shd w:val="clear" w:color="auto" w:fill="FFFFFF"/>
            <w:noWrap w:val="0"/>
            <w:vAlign w:val="center"/>
          </w:tcPr>
          <w:p w14:paraId="17AE990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14:paraId="0D05989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567" w:type="dxa"/>
            <w:shd w:val="clear" w:color="auto" w:fill="FFFFFF"/>
            <w:noWrap w:val="0"/>
            <w:vAlign w:val="center"/>
          </w:tcPr>
          <w:p w14:paraId="6694ADC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57DF9E78">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6096" w:type="dxa"/>
            <w:shd w:val="clear" w:color="auto" w:fill="FFFFFF"/>
            <w:noWrap w:val="0"/>
            <w:vAlign w:val="center"/>
          </w:tcPr>
          <w:p w14:paraId="1B7C35BF">
            <w:pPr>
              <w:widowControl/>
              <w:spacing w:line="0" w:lineRule="atLeast"/>
              <w:jc w:val="lef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评价要点：</w:t>
            </w:r>
          </w:p>
          <w:p w14:paraId="67755E21">
            <w:pPr>
              <w:widowControl/>
              <w:spacing w:line="0" w:lineRule="atLeast"/>
              <w:jc w:val="lef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①项目立项是否符合国家法律法规、国民经济发展规划和相关政策；</w:t>
            </w:r>
          </w:p>
          <w:p w14:paraId="0D64423D">
            <w:pPr>
              <w:widowControl/>
              <w:spacing w:line="0" w:lineRule="atLeast"/>
              <w:jc w:val="lef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②项目立项是否符合行业发展规划和政策要求；</w:t>
            </w:r>
          </w:p>
          <w:p w14:paraId="24F26588">
            <w:pPr>
              <w:widowControl/>
              <w:spacing w:line="0" w:lineRule="atLeast"/>
              <w:jc w:val="lef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③项目立项是否与部门职责范围相符，属于部门履职所需；</w:t>
            </w:r>
          </w:p>
          <w:p w14:paraId="583F615B">
            <w:pPr>
              <w:widowControl/>
              <w:spacing w:line="0" w:lineRule="atLeast"/>
              <w:jc w:val="lef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④项目是否属于公共财政支持范围，是否符合中央、地方事权支出责任划分原则；</w:t>
            </w:r>
          </w:p>
          <w:p w14:paraId="60DA46C6">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566" w:type="dxa"/>
            <w:shd w:val="clear" w:color="auto" w:fill="FFFFFF"/>
            <w:noWrap w:val="0"/>
            <w:vAlign w:val="center"/>
          </w:tcPr>
          <w:p w14:paraId="27C78D20">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6AD74D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14:paraId="6D1077E4">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6E71F99F">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685FDCE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14:paraId="37399BB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567" w:type="dxa"/>
            <w:shd w:val="clear" w:color="auto" w:fill="FFFFFF"/>
            <w:noWrap w:val="0"/>
            <w:vAlign w:val="center"/>
          </w:tcPr>
          <w:p w14:paraId="1E2D365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47AEF08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6096" w:type="dxa"/>
            <w:shd w:val="clear" w:color="auto" w:fill="FFFFFF"/>
            <w:noWrap w:val="0"/>
            <w:vAlign w:val="center"/>
          </w:tcPr>
          <w:p w14:paraId="17922A00">
            <w:pPr>
              <w:widowControl/>
              <w:spacing w:line="0" w:lineRule="atLeast"/>
              <w:jc w:val="lef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评价要点：</w:t>
            </w:r>
          </w:p>
          <w:p w14:paraId="59A04F84">
            <w:pPr>
              <w:widowControl/>
              <w:spacing w:line="0" w:lineRule="atLeast"/>
              <w:jc w:val="lef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①项目是否按照规定的程序申请设立；</w:t>
            </w:r>
          </w:p>
          <w:p w14:paraId="52D4D252">
            <w:pPr>
              <w:widowControl/>
              <w:spacing w:line="0" w:lineRule="atLeast"/>
              <w:jc w:val="lef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②审批文件、材料是否符合相关要求；</w:t>
            </w:r>
          </w:p>
          <w:p w14:paraId="1BDAB8B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566" w:type="dxa"/>
            <w:shd w:val="clear" w:color="auto" w:fill="FFFFFF"/>
            <w:noWrap w:val="0"/>
            <w:vAlign w:val="center"/>
          </w:tcPr>
          <w:p w14:paraId="78F1FB9D">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5F4FBB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14:paraId="6CECDD5A">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14:paraId="6C69E59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1134" w:type="dxa"/>
            <w:shd w:val="clear" w:color="auto" w:fill="FFFFFF"/>
            <w:noWrap w:val="0"/>
            <w:vAlign w:val="center"/>
          </w:tcPr>
          <w:p w14:paraId="0F31D18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14:paraId="7C4603A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14:paraId="533EC26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3C38B37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noWrap w:val="0"/>
            <w:vAlign w:val="center"/>
          </w:tcPr>
          <w:p w14:paraId="6CBCAFB6">
            <w:pPr>
              <w:widowControl/>
              <w:spacing w:line="0" w:lineRule="atLeast"/>
              <w:jc w:val="lef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评价要点：</w:t>
            </w:r>
          </w:p>
          <w:p w14:paraId="220653D0">
            <w:pPr>
              <w:widowControl/>
              <w:spacing w:line="0" w:lineRule="atLeast"/>
              <w:jc w:val="lef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（如未设定预算绩效目标，也可考核其他工作任务目标）</w:t>
            </w:r>
          </w:p>
          <w:p w14:paraId="58E9C6DD">
            <w:pPr>
              <w:widowControl/>
              <w:spacing w:line="0" w:lineRule="atLeast"/>
              <w:jc w:val="lef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①项目是否有绩效目标；</w:t>
            </w:r>
          </w:p>
          <w:p w14:paraId="5788B5D8">
            <w:pPr>
              <w:widowControl/>
              <w:spacing w:line="0" w:lineRule="atLeast"/>
              <w:jc w:val="lef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②项目绩效目标与实际工作内容是否具有相关性；</w:t>
            </w:r>
          </w:p>
          <w:p w14:paraId="24F61E7F">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③项目预期产出效益和效果是否符合正常的业绩水平；</w:t>
            </w:r>
          </w:p>
          <w:p w14:paraId="7B5E8093">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566" w:type="dxa"/>
            <w:shd w:val="clear" w:color="auto" w:fill="FFFFFF"/>
            <w:noWrap w:val="0"/>
            <w:vAlign w:val="center"/>
          </w:tcPr>
          <w:p w14:paraId="68579EAB">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2FBEAB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14:paraId="4A55079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709" w:type="dxa"/>
            <w:shd w:val="clear" w:color="auto" w:fill="FFFFFF"/>
            <w:noWrap w:val="0"/>
            <w:vAlign w:val="center"/>
          </w:tcPr>
          <w:p w14:paraId="5F3954DD">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1134" w:type="dxa"/>
            <w:shd w:val="clear" w:color="auto" w:fill="FFFFFF"/>
            <w:noWrap w:val="0"/>
            <w:vAlign w:val="center"/>
          </w:tcPr>
          <w:p w14:paraId="6A3333F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14:paraId="2870829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567" w:type="dxa"/>
            <w:shd w:val="clear" w:color="auto" w:fill="FFFFFF"/>
            <w:noWrap w:val="0"/>
            <w:vAlign w:val="center"/>
          </w:tcPr>
          <w:p w14:paraId="19BF04A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5281C42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6096" w:type="dxa"/>
            <w:shd w:val="clear" w:color="auto" w:fill="FFFFFF"/>
            <w:noWrap w:val="0"/>
            <w:vAlign w:val="center"/>
          </w:tcPr>
          <w:p w14:paraId="525623E3">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评价要点：</w:t>
            </w:r>
          </w:p>
          <w:p w14:paraId="55272C38">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①是否将项目绩效目标细化分解为具体的绩效指标；</w:t>
            </w:r>
          </w:p>
          <w:p w14:paraId="6D362838">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②是否通过清晰、可衡量的指标值予以体现；</w:t>
            </w:r>
          </w:p>
          <w:p w14:paraId="3B3F64B6">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③是否与项目目标任务数或计划数相对应。</w:t>
            </w:r>
          </w:p>
          <w:p w14:paraId="73140478">
            <w:pPr>
              <w:widowControl/>
              <w:spacing w:line="0" w:lineRule="atLeast"/>
              <w:rPr>
                <w:rFonts w:hint="eastAsia" w:ascii="Times New Roman" w:hAnsi="Times New Roman" w:eastAsia="微软雅黑"/>
                <w:color w:val="000000"/>
                <w:kern w:val="0"/>
                <w:sz w:val="22"/>
                <w:szCs w:val="22"/>
                <w:lang w:eastAsia="zh-CN"/>
              </w:rPr>
            </w:pPr>
          </w:p>
        </w:tc>
        <w:tc>
          <w:tcPr>
            <w:tcW w:w="566" w:type="dxa"/>
            <w:shd w:val="clear" w:color="auto" w:fill="FFFFFF"/>
            <w:noWrap w:val="0"/>
            <w:vAlign w:val="center"/>
          </w:tcPr>
          <w:p w14:paraId="409A8E9C">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5ED382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14:paraId="2206BE64">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14:paraId="4AC6147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14:paraId="53BFD81A">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14:paraId="51AED56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14:paraId="4A3470E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567" w:type="dxa"/>
            <w:shd w:val="clear" w:color="auto" w:fill="FFFFFF"/>
            <w:noWrap w:val="0"/>
            <w:vAlign w:val="center"/>
          </w:tcPr>
          <w:p w14:paraId="12406C3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5856F3F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14:paraId="0F100097">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评价要点：</w:t>
            </w:r>
          </w:p>
          <w:p w14:paraId="4F984BE0">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①预算编制是否经过科学论证；</w:t>
            </w:r>
          </w:p>
          <w:p w14:paraId="411B8BDD">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②预算内容与项目内容是否匹配；</w:t>
            </w:r>
          </w:p>
          <w:p w14:paraId="575A4C1E">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③预算额度测算依据是否充分，是否按照标准编制；</w:t>
            </w:r>
          </w:p>
          <w:p w14:paraId="7C528F3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566" w:type="dxa"/>
            <w:shd w:val="clear" w:color="auto" w:fill="FFFFFF"/>
            <w:noWrap w:val="0"/>
            <w:vAlign w:val="center"/>
          </w:tcPr>
          <w:p w14:paraId="12135137">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599ED0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14:paraId="29F15DF5">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3F1B1E61">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5B3E9C6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14:paraId="01575F2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14:paraId="4EF3D27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3CE24E93">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14:paraId="5AF59C37">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评价要点：</w:t>
            </w:r>
          </w:p>
          <w:p w14:paraId="4AA72B46">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①预算资金分配依据是否充分；</w:t>
            </w:r>
          </w:p>
          <w:p w14:paraId="7690DA4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566" w:type="dxa"/>
            <w:shd w:val="clear" w:color="auto" w:fill="FFFFFF"/>
            <w:noWrap w:val="0"/>
            <w:vAlign w:val="center"/>
          </w:tcPr>
          <w:p w14:paraId="32172ED1">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04C837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14:paraId="443BF5E6">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709" w:type="dxa"/>
            <w:vMerge w:val="restart"/>
            <w:shd w:val="clear" w:color="auto" w:fill="FFFFFF"/>
            <w:noWrap w:val="0"/>
            <w:vAlign w:val="center"/>
          </w:tcPr>
          <w:p w14:paraId="091ED04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14:paraId="5C47103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567" w:type="dxa"/>
            <w:shd w:val="clear" w:color="auto" w:fill="FFFFFF"/>
            <w:noWrap w:val="0"/>
            <w:vAlign w:val="center"/>
          </w:tcPr>
          <w:p w14:paraId="27E8D0B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14:paraId="108878A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6096" w:type="dxa"/>
            <w:shd w:val="clear" w:color="auto" w:fill="FFFFFF"/>
            <w:noWrap w:val="0"/>
            <w:vAlign w:val="center"/>
          </w:tcPr>
          <w:p w14:paraId="2327D18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14:paraId="1EEAF9D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14:paraId="61D0E6A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566" w:type="dxa"/>
            <w:shd w:val="clear" w:color="auto" w:fill="FFFFFF"/>
            <w:noWrap w:val="0"/>
            <w:vAlign w:val="center"/>
          </w:tcPr>
          <w:p w14:paraId="40FD8A93">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14:paraId="270E32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14:paraId="3850063E">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674A1ABC">
            <w:pPr>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1472C11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567" w:type="dxa"/>
            <w:shd w:val="clear" w:color="auto" w:fill="FFFFFF"/>
            <w:noWrap w:val="0"/>
            <w:vAlign w:val="center"/>
          </w:tcPr>
          <w:p w14:paraId="549CE16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574C793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6096" w:type="dxa"/>
            <w:shd w:val="clear" w:color="auto" w:fill="FFFFFF"/>
            <w:noWrap w:val="0"/>
            <w:vAlign w:val="center"/>
          </w:tcPr>
          <w:p w14:paraId="4EC7E7B8">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预算执行率=（实际支出资金/实际到位资金）×100%。</w:t>
            </w:r>
          </w:p>
          <w:p w14:paraId="377DE58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566" w:type="dxa"/>
            <w:shd w:val="clear" w:color="auto" w:fill="FFFFFF"/>
            <w:noWrap w:val="0"/>
            <w:vAlign w:val="center"/>
          </w:tcPr>
          <w:p w14:paraId="76C4DBC9">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794056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14:paraId="751B6504">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14:paraId="6A112AF2">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709" w:type="dxa"/>
            <w:shd w:val="clear" w:color="auto" w:fill="FFFFFF"/>
            <w:noWrap w:val="0"/>
            <w:vAlign w:val="center"/>
          </w:tcPr>
          <w:p w14:paraId="2FFA4E2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14:paraId="432DEEC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14:paraId="7DD9794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567" w:type="dxa"/>
            <w:shd w:val="clear" w:color="auto" w:fill="FFFFFF"/>
            <w:noWrap w:val="0"/>
            <w:vAlign w:val="center"/>
          </w:tcPr>
          <w:p w14:paraId="3D73B70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5CDD8C30">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6096" w:type="dxa"/>
            <w:shd w:val="clear" w:color="auto" w:fill="FFFFFF"/>
            <w:noWrap w:val="0"/>
            <w:vAlign w:val="center"/>
          </w:tcPr>
          <w:p w14:paraId="2C4B413F">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评价要点：</w:t>
            </w:r>
          </w:p>
          <w:p w14:paraId="7B129A4A">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①是否符合国家财经法规和财务管理制度以及有关专项资金管理办法的规定；</w:t>
            </w:r>
          </w:p>
          <w:p w14:paraId="5257FF99">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②资金的拨付是否有完整的审批程序和手续；</w:t>
            </w:r>
          </w:p>
          <w:p w14:paraId="759B67D0">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③是否符合项目预算批复或合同规定的用途；</w:t>
            </w:r>
          </w:p>
          <w:p w14:paraId="6F5431A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566" w:type="dxa"/>
            <w:shd w:val="clear" w:color="auto" w:fill="FFFFFF"/>
            <w:noWrap w:val="0"/>
            <w:vAlign w:val="center"/>
          </w:tcPr>
          <w:p w14:paraId="77C30C8C">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2C3A14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14:paraId="582A8B58">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14:paraId="41488E9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14:paraId="0E737650">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14:paraId="14736A4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14:paraId="311A42C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567" w:type="dxa"/>
            <w:shd w:val="clear" w:color="auto" w:fill="FFFFFF"/>
            <w:noWrap w:val="0"/>
            <w:vAlign w:val="center"/>
          </w:tcPr>
          <w:p w14:paraId="2EF380F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308F430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noWrap w:val="0"/>
            <w:vAlign w:val="center"/>
          </w:tcPr>
          <w:p w14:paraId="61216200">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评价要点：</w:t>
            </w:r>
          </w:p>
          <w:p w14:paraId="68B8A13A">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①是否已制定或具有相应的财务和业务管理制度；</w:t>
            </w:r>
          </w:p>
          <w:p w14:paraId="7BC4CCA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566" w:type="dxa"/>
            <w:shd w:val="clear" w:color="auto" w:fill="FFFFFF"/>
            <w:noWrap w:val="0"/>
            <w:vAlign w:val="center"/>
          </w:tcPr>
          <w:p w14:paraId="0039162E">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440931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14:paraId="1582F921">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0EAAC22C">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6283E317">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14:paraId="77E1B5D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567" w:type="dxa"/>
            <w:shd w:val="clear" w:color="auto" w:fill="FFFFFF"/>
            <w:noWrap w:val="0"/>
            <w:vAlign w:val="center"/>
          </w:tcPr>
          <w:p w14:paraId="6F22A8DB">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14:paraId="595E3F6F">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6096" w:type="dxa"/>
            <w:shd w:val="clear" w:color="auto" w:fill="FFFFFF"/>
            <w:noWrap w:val="0"/>
            <w:vAlign w:val="center"/>
          </w:tcPr>
          <w:p w14:paraId="685B916B">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评价要点：</w:t>
            </w:r>
          </w:p>
          <w:p w14:paraId="4902FAD7">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①是否遵守相关法律法规和相关管理规定；</w:t>
            </w:r>
          </w:p>
          <w:p w14:paraId="35DAFEAD">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②项目调整及支出调整手续是否完备；</w:t>
            </w:r>
          </w:p>
          <w:p w14:paraId="4731C739">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③项目合同书、验收报告、技术鉴定等资料是否齐全并及时归档；</w:t>
            </w:r>
          </w:p>
          <w:p w14:paraId="44E4D27B">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566" w:type="dxa"/>
            <w:shd w:val="clear" w:color="auto" w:fill="FFFFFF"/>
            <w:noWrap w:val="0"/>
            <w:vAlign w:val="center"/>
          </w:tcPr>
          <w:p w14:paraId="73AC2EA7">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14:paraId="3C9CDB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14:paraId="7BFB820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14:paraId="2C03977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1134" w:type="dxa"/>
            <w:shd w:val="clear" w:color="auto" w:fill="FFFFFF"/>
            <w:noWrap w:val="0"/>
            <w:vAlign w:val="center"/>
          </w:tcPr>
          <w:p w14:paraId="668E3C4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567" w:type="dxa"/>
            <w:shd w:val="clear" w:color="auto" w:fill="FFFFFF"/>
            <w:noWrap w:val="0"/>
            <w:vAlign w:val="center"/>
          </w:tcPr>
          <w:p w14:paraId="6FB3329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158FF87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6096" w:type="dxa"/>
            <w:shd w:val="clear" w:color="auto" w:fill="FFFFFF"/>
            <w:noWrap w:val="0"/>
            <w:vAlign w:val="center"/>
          </w:tcPr>
          <w:p w14:paraId="59B7DADC">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实际完成率=（实际产出数/计划产出数）×100%。</w:t>
            </w:r>
          </w:p>
          <w:p w14:paraId="1D365CBD">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实际产出数：一定时期（本年度或项目期）内项目实际产出的产品或提供的服务数量。</w:t>
            </w:r>
          </w:p>
          <w:p w14:paraId="0E61D6C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566" w:type="dxa"/>
            <w:shd w:val="clear" w:color="auto" w:fill="FFFFFF"/>
            <w:noWrap w:val="0"/>
            <w:vAlign w:val="center"/>
          </w:tcPr>
          <w:p w14:paraId="373F77CF">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7</w:t>
            </w:r>
          </w:p>
        </w:tc>
      </w:tr>
      <w:tr w14:paraId="4E1159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14:paraId="52ADF349">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14:paraId="7291363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1134" w:type="dxa"/>
            <w:shd w:val="clear" w:color="auto" w:fill="FFFFFF"/>
            <w:noWrap w:val="0"/>
            <w:vAlign w:val="center"/>
          </w:tcPr>
          <w:p w14:paraId="2665B29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567" w:type="dxa"/>
            <w:shd w:val="clear" w:color="auto" w:fill="FFFFFF"/>
            <w:noWrap w:val="0"/>
            <w:vAlign w:val="center"/>
          </w:tcPr>
          <w:p w14:paraId="1BF0EEA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6984166C">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6096" w:type="dxa"/>
            <w:shd w:val="clear" w:color="auto" w:fill="FFFFFF"/>
            <w:noWrap w:val="0"/>
            <w:vAlign w:val="center"/>
          </w:tcPr>
          <w:p w14:paraId="68FAECAA">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14:paraId="4D7520F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14:paraId="3036AEB2">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14:paraId="5EE7B6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14:paraId="4D1DF79B">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14:paraId="4BAFE4AA">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1134" w:type="dxa"/>
            <w:shd w:val="clear" w:color="auto" w:fill="FFFFFF"/>
            <w:noWrap w:val="0"/>
            <w:vAlign w:val="center"/>
          </w:tcPr>
          <w:p w14:paraId="7DC7BA96">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567" w:type="dxa"/>
            <w:shd w:val="clear" w:color="auto" w:fill="FFFFFF"/>
            <w:noWrap w:val="0"/>
            <w:vAlign w:val="center"/>
          </w:tcPr>
          <w:p w14:paraId="694D72E5">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1692CE8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6096" w:type="dxa"/>
            <w:shd w:val="clear" w:color="auto" w:fill="FFFFFF"/>
            <w:noWrap w:val="0"/>
            <w:vAlign w:val="center"/>
          </w:tcPr>
          <w:p w14:paraId="5EF1BD3E">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实际完成时间：项目实施单位完成该项目实际所耗用的时间。</w:t>
            </w:r>
          </w:p>
          <w:p w14:paraId="4031E562">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566" w:type="dxa"/>
            <w:shd w:val="clear" w:color="auto" w:fill="FFFFFF"/>
            <w:noWrap w:val="0"/>
            <w:vAlign w:val="center"/>
          </w:tcPr>
          <w:p w14:paraId="1C2D4191">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14:paraId="156E02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14:paraId="39FC0AEA">
            <w:pPr>
              <w:widowControl/>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14:paraId="57CD9E9A">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1134" w:type="dxa"/>
            <w:shd w:val="clear" w:color="auto" w:fill="FFFFFF"/>
            <w:noWrap w:val="0"/>
            <w:vAlign w:val="center"/>
          </w:tcPr>
          <w:p w14:paraId="0C5123D1">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567" w:type="dxa"/>
            <w:shd w:val="clear" w:color="auto" w:fill="FFFFFF"/>
            <w:noWrap w:val="0"/>
            <w:vAlign w:val="center"/>
          </w:tcPr>
          <w:p w14:paraId="09D7D0B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6F90AA11">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6096" w:type="dxa"/>
            <w:shd w:val="clear" w:color="auto" w:fill="FFFFFF"/>
            <w:noWrap w:val="0"/>
            <w:vAlign w:val="center"/>
          </w:tcPr>
          <w:p w14:paraId="4267E8D5">
            <w:pPr>
              <w:widowControl/>
              <w:spacing w:line="0" w:lineRule="atLeast"/>
              <w:rPr>
                <w:rFonts w:hint="eastAsia" w:ascii="Times New Roman" w:hAnsi="Times New Roman" w:eastAsia="微软雅黑"/>
                <w:color w:val="000000"/>
                <w:kern w:val="0"/>
                <w:sz w:val="22"/>
                <w:szCs w:val="22"/>
                <w:lang w:eastAsia="zh-CN"/>
              </w:rPr>
            </w:pPr>
          </w:p>
          <w:p w14:paraId="1157BBE5">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成本节约率=[（计划成本-实际成本）/计划成本]×100%。</w:t>
            </w:r>
          </w:p>
          <w:p w14:paraId="78311F6A">
            <w:pPr>
              <w:widowControl/>
              <w:spacing w:line="0" w:lineRule="atLeast"/>
              <w:rPr>
                <w:rFonts w:hint="eastAsia" w:ascii="Times New Roman" w:hAnsi="Times New Roman" w:eastAsia="微软雅黑"/>
                <w:color w:val="000000"/>
                <w:kern w:val="0"/>
                <w:sz w:val="22"/>
                <w:szCs w:val="22"/>
                <w:lang w:eastAsia="zh-CN"/>
              </w:rPr>
            </w:pPr>
            <w:r>
              <w:rPr>
                <w:rFonts w:ascii="Times New Roman" w:hAnsi="Times New Roman"/>
                <w:color w:val="000000"/>
                <w:kern w:val="0"/>
                <w:sz w:val="22"/>
                <w:szCs w:val="22"/>
              </w:rPr>
              <w:t>实际成本：项目实施单位如期、保质、保量完成既定工作目标实际所耗费的支出。</w:t>
            </w:r>
          </w:p>
          <w:p w14:paraId="1ECA93A9">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566" w:type="dxa"/>
            <w:shd w:val="clear" w:color="auto" w:fill="FFFFFF"/>
            <w:noWrap w:val="0"/>
            <w:vAlign w:val="center"/>
          </w:tcPr>
          <w:p w14:paraId="6873167B">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14:paraId="39721C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14:paraId="5F7986B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709" w:type="dxa"/>
            <w:vMerge w:val="restart"/>
            <w:shd w:val="clear" w:color="auto" w:fill="FFFFFF"/>
            <w:noWrap w:val="0"/>
            <w:vAlign w:val="center"/>
          </w:tcPr>
          <w:p w14:paraId="48608EDE">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1134" w:type="dxa"/>
            <w:shd w:val="clear" w:color="auto" w:fill="FFFFFF"/>
            <w:noWrap w:val="0"/>
            <w:vAlign w:val="center"/>
          </w:tcPr>
          <w:p w14:paraId="5AE3682C">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567" w:type="dxa"/>
            <w:shd w:val="clear" w:color="auto" w:fill="FFFFFF"/>
            <w:noWrap w:val="0"/>
            <w:vAlign w:val="center"/>
          </w:tcPr>
          <w:p w14:paraId="4E7C8DB8">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2835" w:type="dxa"/>
            <w:shd w:val="clear" w:color="auto" w:fill="FFFFFF"/>
            <w:noWrap w:val="0"/>
            <w:vAlign w:val="center"/>
          </w:tcPr>
          <w:p w14:paraId="4829616A">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6096" w:type="dxa"/>
            <w:shd w:val="clear" w:color="auto" w:fill="FFFFFF"/>
            <w:noWrap w:val="0"/>
            <w:vAlign w:val="center"/>
          </w:tcPr>
          <w:p w14:paraId="08914815">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566" w:type="dxa"/>
            <w:shd w:val="clear" w:color="auto" w:fill="FFFFFF"/>
            <w:noWrap w:val="0"/>
            <w:vAlign w:val="center"/>
          </w:tcPr>
          <w:p w14:paraId="3F07D2FF">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20</w:t>
            </w:r>
          </w:p>
        </w:tc>
      </w:tr>
      <w:tr w14:paraId="246ACF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14:paraId="368EE03F">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14:paraId="26D1546C">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14:paraId="6C18CD32">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567" w:type="dxa"/>
            <w:shd w:val="clear" w:color="auto" w:fill="FFFFFF"/>
            <w:noWrap w:val="0"/>
            <w:vAlign w:val="center"/>
          </w:tcPr>
          <w:p w14:paraId="1B9A04B3">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14:paraId="75FEAF44">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6096" w:type="dxa"/>
            <w:shd w:val="clear" w:color="auto" w:fill="FFFFFF"/>
            <w:noWrap w:val="0"/>
            <w:vAlign w:val="center"/>
          </w:tcPr>
          <w:p w14:paraId="74E335B6">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566" w:type="dxa"/>
            <w:shd w:val="clear" w:color="auto" w:fill="FFFFFF"/>
            <w:noWrap w:val="0"/>
            <w:vAlign w:val="center"/>
          </w:tcPr>
          <w:p w14:paraId="28AE28FD">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7</w:t>
            </w:r>
          </w:p>
        </w:tc>
      </w:tr>
      <w:tr w14:paraId="33895D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14:paraId="5DE0E9D0">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567" w:type="dxa"/>
            <w:shd w:val="clear" w:color="auto" w:fill="FFFFFF"/>
            <w:noWrap w:val="0"/>
            <w:vAlign w:val="center"/>
          </w:tcPr>
          <w:p w14:paraId="36ADD57F">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2835" w:type="dxa"/>
            <w:shd w:val="clear" w:color="auto" w:fill="FFFFFF"/>
            <w:noWrap w:val="0"/>
            <w:vAlign w:val="center"/>
          </w:tcPr>
          <w:p w14:paraId="191B541E">
            <w:pPr>
              <w:widowControl/>
              <w:spacing w:line="0" w:lineRule="atLeast"/>
              <w:rPr>
                <w:rFonts w:ascii="Times New Roman" w:hAnsi="Times New Roman"/>
                <w:color w:val="000000"/>
                <w:kern w:val="0"/>
                <w:sz w:val="22"/>
                <w:szCs w:val="22"/>
              </w:rPr>
            </w:pPr>
          </w:p>
        </w:tc>
        <w:tc>
          <w:tcPr>
            <w:tcW w:w="6096" w:type="dxa"/>
            <w:shd w:val="clear" w:color="auto" w:fill="FFFFFF"/>
            <w:noWrap w:val="0"/>
            <w:vAlign w:val="center"/>
          </w:tcPr>
          <w:p w14:paraId="19329A66">
            <w:pPr>
              <w:widowControl/>
              <w:spacing w:line="0" w:lineRule="atLeast"/>
              <w:rPr>
                <w:rFonts w:ascii="Times New Roman" w:hAnsi="Times New Roman"/>
                <w:color w:val="000000"/>
                <w:kern w:val="0"/>
                <w:sz w:val="22"/>
                <w:szCs w:val="22"/>
              </w:rPr>
            </w:pPr>
          </w:p>
        </w:tc>
        <w:tc>
          <w:tcPr>
            <w:tcW w:w="566" w:type="dxa"/>
            <w:shd w:val="clear" w:color="auto" w:fill="FFFFFF"/>
            <w:noWrap w:val="0"/>
            <w:vAlign w:val="center"/>
          </w:tcPr>
          <w:p w14:paraId="6DA6C684">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98</w:t>
            </w:r>
          </w:p>
        </w:tc>
      </w:tr>
    </w:tbl>
    <w:p w14:paraId="59A1A45C">
      <w:pPr>
        <w:spacing w:after="0" w:line="600" w:lineRule="exact"/>
        <w:ind w:firstLine="3080" w:firstLineChars="700"/>
        <w:rPr>
          <w:rFonts w:hint="eastAsia" w:ascii="方正小标宋简体" w:hAnsi="方正小标宋简体" w:eastAsia="方正小标宋简体" w:cs="方正小标宋简体"/>
          <w:color w:val="000000"/>
          <w:sz w:val="44"/>
          <w:szCs w:val="4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027372"/>
    <w:multiLevelType w:val="singleLevel"/>
    <w:tmpl w:val="94027372"/>
    <w:lvl w:ilvl="0" w:tentative="0">
      <w:start w:val="2"/>
      <w:numFmt w:val="decimal"/>
      <w:suff w:val="nothing"/>
      <w:lvlText w:val="%1、"/>
      <w:lvlJc w:val="left"/>
    </w:lvl>
  </w:abstractNum>
  <w:abstractNum w:abstractNumId="1">
    <w:nsid w:val="966A15E2"/>
    <w:multiLevelType w:val="singleLevel"/>
    <w:tmpl w:val="966A15E2"/>
    <w:lvl w:ilvl="0" w:tentative="0">
      <w:start w:val="2"/>
      <w:numFmt w:val="chineseCounting"/>
      <w:suff w:val="nothing"/>
      <w:lvlText w:val="（%1）"/>
      <w:lvlJc w:val="left"/>
      <w:rPr>
        <w:rFonts w:hint="eastAsia"/>
      </w:rPr>
    </w:lvl>
  </w:abstractNum>
  <w:abstractNum w:abstractNumId="2">
    <w:nsid w:val="CD70C77A"/>
    <w:multiLevelType w:val="singleLevel"/>
    <w:tmpl w:val="CD70C77A"/>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zMTM3MmVkMjVkYjI0ZjU4ZmQyMmZkOTk1ODdlZDMifQ=="/>
  </w:docVars>
  <w:rsids>
    <w:rsidRoot w:val="00000000"/>
    <w:rsid w:val="035F3610"/>
    <w:rsid w:val="049D3B67"/>
    <w:rsid w:val="0667442D"/>
    <w:rsid w:val="07463EF1"/>
    <w:rsid w:val="095E54E0"/>
    <w:rsid w:val="0AE665E0"/>
    <w:rsid w:val="0C8C2C27"/>
    <w:rsid w:val="0DA448C1"/>
    <w:rsid w:val="12AB008B"/>
    <w:rsid w:val="140E6FE9"/>
    <w:rsid w:val="17D940FD"/>
    <w:rsid w:val="18A332EB"/>
    <w:rsid w:val="1A2C027D"/>
    <w:rsid w:val="1AC83ACC"/>
    <w:rsid w:val="1E17795F"/>
    <w:rsid w:val="1F9F6149"/>
    <w:rsid w:val="23325882"/>
    <w:rsid w:val="23496F3C"/>
    <w:rsid w:val="2391141E"/>
    <w:rsid w:val="26AF6262"/>
    <w:rsid w:val="2BA06AE2"/>
    <w:rsid w:val="2BE04364"/>
    <w:rsid w:val="30C01E76"/>
    <w:rsid w:val="33092244"/>
    <w:rsid w:val="360866A6"/>
    <w:rsid w:val="3C096FED"/>
    <w:rsid w:val="3E873AB3"/>
    <w:rsid w:val="424C6F9F"/>
    <w:rsid w:val="45CE5353"/>
    <w:rsid w:val="467179E0"/>
    <w:rsid w:val="4A552B46"/>
    <w:rsid w:val="4A825A9A"/>
    <w:rsid w:val="52927E60"/>
    <w:rsid w:val="53AD2B97"/>
    <w:rsid w:val="54FF5524"/>
    <w:rsid w:val="58510CCE"/>
    <w:rsid w:val="5C1F025F"/>
    <w:rsid w:val="5D1F428F"/>
    <w:rsid w:val="5D916F3A"/>
    <w:rsid w:val="5DED0651"/>
    <w:rsid w:val="61FB4269"/>
    <w:rsid w:val="6568024F"/>
    <w:rsid w:val="65BE523A"/>
    <w:rsid w:val="673E4378"/>
    <w:rsid w:val="6D983811"/>
    <w:rsid w:val="6DBE2FBC"/>
    <w:rsid w:val="6DC456D7"/>
    <w:rsid w:val="738A095B"/>
    <w:rsid w:val="73A44DC2"/>
    <w:rsid w:val="75A656C8"/>
    <w:rsid w:val="79311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5215</Words>
  <Characters>5417</Characters>
  <Lines>0</Lines>
  <Paragraphs>0</Paragraphs>
  <TotalTime>0</TotalTime>
  <ScaleCrop>false</ScaleCrop>
  <LinksUpToDate>false</LinksUpToDate>
  <CharactersWithSpaces>5451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2023-07-13T01:52:00Z</dcterms:created>
  <dc:creator>Administrator</dc:creator>
  <cp:lastModifiedBy>错错错愛</cp:lastModifiedBy>
  <dcterms:modified xsi:type="dcterms:W3CDTF">2024-08-22T10:00:09Z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03B6DF49DE8B49AB970C62C2467676C8_13</vt:lpwstr>
  </property>
</Properties>
</file>