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A84C34">
      <w:pPr>
        <w:keepNext w:val="0"/>
        <w:keepLines w:val="0"/>
        <w:pageBreakBefore w:val="0"/>
        <w:widowControl/>
        <w:kinsoku/>
        <w:wordWrap/>
        <w:overflowPunct/>
        <w:topLinePunct w:val="0"/>
        <w:autoSpaceDE/>
        <w:autoSpaceDN/>
        <w:bidi w:val="0"/>
        <w:adjustRightInd w:val="0"/>
        <w:snapToGrid w:val="0"/>
        <w:spacing w:after="0" w:line="700" w:lineRule="atLeast"/>
        <w:jc w:val="center"/>
        <w:textAlignment w:val="auto"/>
        <w:rPr>
          <w:rFonts w:hint="eastAsia" w:ascii="方正小标宋简体" w:hAnsi="仿宋" w:eastAsia="方正小标宋简体"/>
          <w:bCs/>
          <w:sz w:val="44"/>
          <w:szCs w:val="44"/>
        </w:rPr>
      </w:pPr>
      <w:r>
        <w:rPr>
          <w:rFonts w:hint="eastAsia" w:ascii="方正小标宋简体" w:hAnsi="仿宋" w:eastAsia="方正小标宋简体"/>
          <w:bCs/>
          <w:sz w:val="44"/>
          <w:szCs w:val="44"/>
        </w:rPr>
        <w:t>中方县</w:t>
      </w:r>
      <w:r>
        <w:rPr>
          <w:rFonts w:hint="eastAsia" w:ascii="方正小标宋简体" w:hAnsi="仿宋" w:eastAsia="方正小标宋简体"/>
          <w:bCs/>
          <w:sz w:val="44"/>
          <w:szCs w:val="44"/>
          <w:lang w:eastAsia="zh-CN"/>
        </w:rPr>
        <w:t>供销社202</w:t>
      </w:r>
      <w:r>
        <w:rPr>
          <w:rFonts w:hint="eastAsia" w:ascii="方正小标宋简体" w:hAnsi="仿宋" w:eastAsia="方正小标宋简体"/>
          <w:bCs/>
          <w:sz w:val="44"/>
          <w:szCs w:val="44"/>
          <w:lang w:val="en-US" w:eastAsia="zh-CN"/>
        </w:rPr>
        <w:t>3</w:t>
      </w:r>
      <w:r>
        <w:rPr>
          <w:rFonts w:hint="eastAsia" w:ascii="方正小标宋简体" w:hAnsi="仿宋" w:eastAsia="方正小标宋简体"/>
          <w:bCs/>
          <w:sz w:val="44"/>
          <w:szCs w:val="44"/>
        </w:rPr>
        <w:t>年度部门整体支出</w:t>
      </w:r>
    </w:p>
    <w:p w14:paraId="72D69E39">
      <w:pPr>
        <w:keepNext w:val="0"/>
        <w:keepLines w:val="0"/>
        <w:pageBreakBefore w:val="0"/>
        <w:widowControl/>
        <w:kinsoku/>
        <w:wordWrap/>
        <w:overflowPunct/>
        <w:topLinePunct w:val="0"/>
        <w:autoSpaceDE/>
        <w:autoSpaceDN/>
        <w:bidi w:val="0"/>
        <w:adjustRightInd w:val="0"/>
        <w:snapToGrid w:val="0"/>
        <w:spacing w:after="0" w:line="700" w:lineRule="atLeast"/>
        <w:jc w:val="center"/>
        <w:textAlignment w:val="auto"/>
        <w:rPr>
          <w:rFonts w:ascii="方正小标宋简体" w:hAnsi="仿宋" w:eastAsia="方正小标宋简体"/>
          <w:bCs/>
          <w:sz w:val="44"/>
          <w:szCs w:val="44"/>
        </w:rPr>
      </w:pPr>
      <w:r>
        <w:rPr>
          <w:rFonts w:hint="eastAsia" w:ascii="方正小标宋简体" w:hAnsi="仿宋" w:eastAsia="方正小标宋简体"/>
          <w:bCs/>
          <w:sz w:val="44"/>
          <w:szCs w:val="44"/>
        </w:rPr>
        <w:t>绩效自评报告</w:t>
      </w:r>
    </w:p>
    <w:p w14:paraId="1F2EF447">
      <w:pPr>
        <w:spacing w:after="0" w:line="560" w:lineRule="atLeast"/>
        <w:jc w:val="center"/>
        <w:rPr>
          <w:rFonts w:hint="eastAsia" w:ascii="楷体" w:hAnsi="楷体" w:eastAsia="楷体" w:cs="楷体"/>
          <w:bCs/>
          <w:sz w:val="36"/>
          <w:szCs w:val="36"/>
        </w:rPr>
      </w:pPr>
    </w:p>
    <w:p w14:paraId="4B699BC8">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ascii="黑体" w:hAnsi="黑体" w:eastAsia="黑体" w:cs="黑体"/>
          <w:bCs/>
          <w:sz w:val="32"/>
          <w:szCs w:val="32"/>
        </w:rPr>
      </w:pPr>
      <w:r>
        <w:rPr>
          <w:rFonts w:hint="eastAsia" w:ascii="黑体" w:hAnsi="黑体" w:eastAsia="黑体" w:cs="黑体"/>
          <w:bCs/>
          <w:sz w:val="32"/>
          <w:szCs w:val="32"/>
        </w:rPr>
        <w:t>一、部门基本情况</w:t>
      </w:r>
    </w:p>
    <w:p w14:paraId="0C3C8638">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（一）部门职能与机构设置</w:t>
      </w:r>
    </w:p>
    <w:p w14:paraId="710905B9">
      <w:pPr>
        <w:keepNext w:val="0"/>
        <w:keepLines w:val="0"/>
        <w:pageBreakBefore w:val="0"/>
        <w:widowControl w:val="0"/>
        <w:kinsoku/>
        <w:wordWrap/>
        <w:overflowPunct/>
        <w:topLinePunct w:val="0"/>
        <w:autoSpaceDE/>
        <w:autoSpaceDN/>
        <w:bidi w:val="0"/>
        <w:adjustRightInd/>
        <w:snapToGrid w:val="0"/>
        <w:spacing w:line="600" w:lineRule="exact"/>
        <w:ind w:left="0" w:leftChars="0" w:firstLine="640" w:firstLineChars="200"/>
        <w:textAlignment w:val="auto"/>
        <w:rPr>
          <w:rFonts w:hint="default" w:ascii="Times New Roman" w:hAnsi="Times New Roman" w:eastAsia="仿宋_GB2312" w:cs="Times New Roman"/>
          <w:bCs/>
          <w:color w:val="auto"/>
          <w:sz w:val="32"/>
          <w:szCs w:val="32"/>
        </w:rPr>
      </w:pPr>
      <w:r>
        <w:rPr>
          <w:rFonts w:hint="eastAsia" w:ascii="仿宋" w:hAnsi="仿宋" w:eastAsia="仿宋" w:cs="仿宋"/>
          <w:sz w:val="32"/>
          <w:szCs w:val="32"/>
          <w:lang w:eastAsia="zh-CN"/>
        </w:rPr>
        <w:t>部门职能：</w:t>
      </w:r>
      <w:r>
        <w:rPr>
          <w:rFonts w:hint="default" w:ascii="Times New Roman" w:hAnsi="Times New Roman" w:eastAsia="仿宋_GB2312" w:cs="Times New Roman"/>
          <w:bCs/>
          <w:color w:val="auto"/>
          <w:sz w:val="32"/>
          <w:szCs w:val="32"/>
        </w:rPr>
        <w:t>中方县供销合作社联合社是推动农村经济发展和社会进步的重要力量，是在县人民政府领导下的全县合作社及农村各类合作经济组织的联合组织，对全县农村现代物流服务体系和农村电子商务平台负有组织、指导、协调、监督和服务的职责。</w:t>
      </w:r>
    </w:p>
    <w:p w14:paraId="1C176739">
      <w:pPr>
        <w:keepNext w:val="0"/>
        <w:keepLines w:val="0"/>
        <w:pageBreakBefore w:val="0"/>
        <w:widowControl w:val="0"/>
        <w:kinsoku/>
        <w:wordWrap/>
        <w:overflowPunct/>
        <w:topLinePunct w:val="0"/>
        <w:autoSpaceDE/>
        <w:autoSpaceDN/>
        <w:bidi w:val="0"/>
        <w:adjustRightInd/>
        <w:snapToGrid w:val="0"/>
        <w:spacing w:line="600" w:lineRule="exact"/>
        <w:ind w:left="0" w:leftChars="0" w:firstLine="640" w:firstLineChars="200"/>
        <w:textAlignment w:val="auto"/>
        <w:rPr>
          <w:rFonts w:hint="eastAsia" w:ascii="Times New Roman" w:hAnsi="Times New Roman" w:eastAsia="仿宋_GB2312" w:cs="Times New Roman"/>
          <w:color w:val="auto"/>
          <w:sz w:val="32"/>
          <w:szCs w:val="32"/>
          <w:lang w:eastAsia="zh-CN"/>
        </w:rPr>
      </w:pPr>
      <w:r>
        <w:rPr>
          <w:rFonts w:hint="eastAsia" w:ascii="Times New Roman" w:hAnsi="Times New Roman" w:eastAsia="仿宋_GB2312" w:cs="Times New Roman"/>
          <w:bCs/>
          <w:color w:val="auto"/>
          <w:sz w:val="32"/>
          <w:szCs w:val="32"/>
          <w:lang w:eastAsia="zh-CN"/>
        </w:rPr>
        <w:t>机构设置：</w:t>
      </w:r>
      <w:r>
        <w:rPr>
          <w:rFonts w:hint="default" w:ascii="Times New Roman" w:hAnsi="Times New Roman" w:eastAsia="仿宋_GB2312" w:cs="Times New Roman"/>
          <w:color w:val="auto"/>
          <w:sz w:val="32"/>
          <w:szCs w:val="32"/>
        </w:rPr>
        <w:t>中方县供销合作社联合社是正科级全额拨款参照公务员管理单位，内设办公室、人事股、财会股、监督审计股、经贸发展股、合作安全股6个职能股室</w:t>
      </w:r>
      <w:r>
        <w:rPr>
          <w:rFonts w:hint="eastAsia" w:ascii="Times New Roman" w:hAnsi="Times New Roman" w:eastAsia="仿宋_GB2312" w:cs="Times New Roman"/>
          <w:color w:val="auto"/>
          <w:sz w:val="32"/>
          <w:szCs w:val="32"/>
          <w:lang w:eastAsia="zh-CN"/>
        </w:rPr>
        <w:t>。</w:t>
      </w:r>
    </w:p>
    <w:p w14:paraId="32CFB520">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ascii="仿宋" w:hAnsi="仿宋" w:eastAsia="仿宋" w:cs="仿宋"/>
          <w:sz w:val="32"/>
          <w:szCs w:val="32"/>
        </w:rPr>
      </w:pPr>
      <w:r>
        <w:rPr>
          <w:rFonts w:hint="eastAsia" w:ascii="仿宋" w:hAnsi="仿宋" w:eastAsia="仿宋" w:cs="仿宋"/>
          <w:sz w:val="32"/>
          <w:szCs w:val="32"/>
        </w:rPr>
        <w:t>（二）人员情况</w:t>
      </w:r>
      <w:r>
        <w:rPr>
          <w:rFonts w:hint="eastAsia" w:ascii="仿宋" w:hAnsi="仿宋" w:eastAsia="仿宋" w:cs="仿宋"/>
          <w:sz w:val="32"/>
          <w:szCs w:val="32"/>
          <w:lang w:eastAsia="zh-CN"/>
        </w:rPr>
        <w:t>：</w:t>
      </w:r>
      <w:r>
        <w:rPr>
          <w:rFonts w:hint="default" w:ascii="Times New Roman" w:hAnsi="Times New Roman" w:eastAsia="仿宋_GB2312" w:cs="Times New Roman"/>
          <w:color w:val="auto"/>
          <w:sz w:val="32"/>
          <w:szCs w:val="32"/>
        </w:rPr>
        <w:t>核定编制1</w:t>
      </w:r>
      <w:r>
        <w:rPr>
          <w:rFonts w:hint="eastAsia" w:ascii="Times New Roman" w:hAnsi="Times New Roman"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rPr>
        <w:t>人,其中参公编制1</w:t>
      </w:r>
      <w:r>
        <w:rPr>
          <w:rFonts w:hint="eastAsia" w:ascii="Times New Roman" w:hAnsi="Times New Roman"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rPr>
        <w:t>人。实有在职人员1</w:t>
      </w:r>
      <w:r>
        <w:rPr>
          <w:rFonts w:hint="eastAsia" w:ascii="Times New Roman" w:hAnsi="Times New Roman"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rPr>
        <w:t>人</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离退休人员1</w:t>
      </w:r>
      <w:r>
        <w:rPr>
          <w:rFonts w:hint="eastAsia"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人。</w:t>
      </w:r>
    </w:p>
    <w:p w14:paraId="27E96CA7">
      <w:pPr>
        <w:keepNext w:val="0"/>
        <w:keepLines w:val="0"/>
        <w:pageBreakBefore w:val="0"/>
        <w:widowControl/>
        <w:kinsoku/>
        <w:wordWrap/>
        <w:overflowPunct/>
        <w:topLinePunct w:val="0"/>
        <w:autoSpaceDE/>
        <w:autoSpaceDN/>
        <w:bidi w:val="0"/>
        <w:adjustRightInd w:val="0"/>
        <w:snapToGrid w:val="0"/>
        <w:spacing w:after="0" w:line="600" w:lineRule="atLeas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（三）部门年度总体工作任务和重点工作任务</w:t>
      </w:r>
      <w:r>
        <w:rPr>
          <w:rFonts w:hint="eastAsia" w:ascii="仿宋" w:hAnsi="仿宋" w:eastAsia="仿宋" w:cs="仿宋"/>
          <w:sz w:val="32"/>
          <w:szCs w:val="32"/>
          <w:lang w:eastAsia="zh-CN"/>
        </w:rPr>
        <w:t>：</w:t>
      </w:r>
    </w:p>
    <w:p w14:paraId="060070D8">
      <w:pPr>
        <w:snapToGrid w:val="0"/>
        <w:spacing w:line="520" w:lineRule="exact"/>
        <w:ind w:firstLine="640" w:firstLineChars="200"/>
        <w:rPr>
          <w:rFonts w:hint="eastAsia" w:ascii="仿宋" w:hAnsi="仿宋" w:eastAsia="仿宋" w:cs="仿宋"/>
          <w:b w:val="0"/>
          <w:bCs w:val="0"/>
          <w:color w:val="000000"/>
          <w:sz w:val="32"/>
          <w:szCs w:val="32"/>
          <w:lang w:val="en-US" w:eastAsia="zh-CN"/>
        </w:rPr>
      </w:pPr>
      <w:r>
        <w:rPr>
          <w:rFonts w:hint="eastAsia" w:ascii="仿宋" w:hAnsi="仿宋" w:eastAsia="仿宋"/>
          <w:color w:val="000000"/>
          <w:sz w:val="32"/>
          <w:szCs w:val="32"/>
          <w:lang w:val="en-US" w:eastAsia="zh-CN"/>
        </w:rPr>
        <w:t>围绕贯彻习近平新时代中国特色社会主义思想，以服务“三农”为宗旨，全面深化综合改革，着力构建为农服务体系</w:t>
      </w:r>
      <w:r>
        <w:rPr>
          <w:rFonts w:hint="eastAsia" w:ascii="仿宋" w:hAnsi="仿宋" w:eastAsia="仿宋"/>
          <w:sz w:val="32"/>
          <w:szCs w:val="32"/>
          <w:lang w:val="en-US" w:eastAsia="zh-CN"/>
        </w:rPr>
        <w:t>，对照年初县委、县人民政府提出的工作目标、任务，根据本单位工作实际，狠抓各项工作的落实，稳步推进供销社工作。</w:t>
      </w:r>
      <w:r>
        <w:rPr>
          <w:rFonts w:hint="eastAsia" w:ascii="仿宋" w:hAnsi="仿宋" w:eastAsia="仿宋" w:cs="仿宋"/>
          <w:b w:val="0"/>
          <w:bCs w:val="0"/>
          <w:sz w:val="32"/>
          <w:szCs w:val="32"/>
          <w:lang w:val="en-US" w:eastAsia="zh-CN"/>
        </w:rPr>
        <w:t>1.实施“强基强能”工程，</w:t>
      </w:r>
      <w:r>
        <w:rPr>
          <w:rFonts w:hint="eastAsia" w:ascii="仿宋" w:hAnsi="仿宋" w:eastAsia="仿宋" w:cs="仿宋"/>
          <w:b w:val="0"/>
          <w:bCs w:val="0"/>
          <w:sz w:val="32"/>
          <w:szCs w:val="32"/>
          <w:lang w:eastAsia="zh-CN"/>
        </w:rPr>
        <w:t>推进基层组织提质改造。</w:t>
      </w:r>
      <w:r>
        <w:rPr>
          <w:rFonts w:hint="eastAsia" w:ascii="仿宋" w:hAnsi="仿宋" w:eastAsia="仿宋" w:cs="仿宋"/>
          <w:b w:val="0"/>
          <w:bCs w:val="0"/>
          <w:sz w:val="32"/>
          <w:szCs w:val="32"/>
          <w:lang w:val="en-US" w:eastAsia="zh-CN"/>
        </w:rPr>
        <w:t>2.深化供销综合改革，推动供销工作高质量发展。</w:t>
      </w:r>
      <w:r>
        <w:rPr>
          <w:rFonts w:hint="eastAsia" w:ascii="仿宋" w:hAnsi="仿宋" w:eastAsia="仿宋" w:cs="仿宋"/>
          <w:b w:val="0"/>
          <w:bCs w:val="0"/>
          <w:kern w:val="2"/>
          <w:sz w:val="32"/>
          <w:szCs w:val="32"/>
          <w:lang w:val="en-US" w:eastAsia="zh-CN" w:bidi="ar-SA"/>
        </w:rPr>
        <w:t>3.引进社会资本，建成怀化农特产品展示展销中心。4.发挥线上销售优势，助力农特产品出山进城。5.坚持底线思维，积极做好历史遗留问题信访稳控工作。6.坚持党建引领，不断夯实党组织基础。7.坚持从严管党治党，全力抓好干部作风建设。</w:t>
      </w:r>
    </w:p>
    <w:p w14:paraId="74A3AE1E">
      <w:pPr>
        <w:keepLines/>
        <w:pageBreakBefore w:val="0"/>
        <w:kinsoku/>
        <w:wordWrap/>
        <w:overflowPunct/>
        <w:topLinePunct w:val="0"/>
        <w:autoSpaceDE/>
        <w:autoSpaceDN/>
        <w:bidi w:val="0"/>
        <w:snapToGrid w:val="0"/>
        <w:spacing w:line="520" w:lineRule="exact"/>
        <w:ind w:firstLine="643" w:firstLineChars="200"/>
        <w:textAlignment w:val="auto"/>
        <w:rPr>
          <w:rFonts w:hint="eastAsia" w:ascii="仿宋" w:hAnsi="仿宋" w:eastAsia="仿宋" w:cs="仿宋"/>
          <w:sz w:val="28"/>
          <w:szCs w:val="28"/>
        </w:rPr>
      </w:pPr>
      <w:r>
        <w:rPr>
          <w:rFonts w:hint="eastAsia" w:ascii="仿宋" w:hAnsi="仿宋" w:eastAsia="仿宋" w:cs="仿宋"/>
          <w:b/>
          <w:bCs/>
          <w:sz w:val="32"/>
          <w:szCs w:val="32"/>
        </w:rPr>
        <w:t>（四）部门年度整体收支情况</w:t>
      </w:r>
      <w:r>
        <w:rPr>
          <w:rFonts w:hint="eastAsia" w:ascii="仿宋" w:hAnsi="仿宋" w:eastAsia="仿宋" w:cs="仿宋"/>
          <w:sz w:val="32"/>
          <w:szCs w:val="32"/>
        </w:rPr>
        <w:t>，包括当年预算收入、预算支出和专项资金管理情况、“三公”经费支出情况以及政府采购情况等。</w:t>
      </w:r>
    </w:p>
    <w:p w14:paraId="72E8CF72">
      <w:pPr>
        <w:pageBreakBefore w:val="0"/>
        <w:numPr>
          <w:ilvl w:val="0"/>
          <w:numId w:val="1"/>
        </w:numPr>
        <w:kinsoku/>
        <w:wordWrap/>
        <w:topLinePunct w:val="0"/>
        <w:autoSpaceDE/>
        <w:autoSpaceDN/>
        <w:bidi w:val="0"/>
        <w:snapToGrid w:val="0"/>
        <w:spacing w:line="52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kern w:val="2"/>
          <w:sz w:val="32"/>
          <w:szCs w:val="32"/>
        </w:rPr>
        <w:t>收入预算：</w:t>
      </w:r>
      <w:r>
        <w:rPr>
          <w:rFonts w:hint="eastAsia" w:ascii="仿宋" w:hAnsi="仿宋" w:eastAsia="仿宋" w:cs="仿宋"/>
          <w:sz w:val="32"/>
        </w:rPr>
        <w:t xml:space="preserve"> 202</w:t>
      </w:r>
      <w:r>
        <w:rPr>
          <w:rFonts w:hint="eastAsia" w:ascii="仿宋" w:hAnsi="仿宋" w:eastAsia="仿宋" w:cs="仿宋"/>
          <w:sz w:val="32"/>
          <w:lang w:val="en-US" w:eastAsia="zh-CN"/>
        </w:rPr>
        <w:t>3</w:t>
      </w:r>
      <w:r>
        <w:rPr>
          <w:rFonts w:hint="eastAsia" w:ascii="仿宋" w:hAnsi="仿宋" w:eastAsia="仿宋" w:cs="仿宋"/>
          <w:sz w:val="32"/>
        </w:rPr>
        <w:t>年本单位收入预算</w:t>
      </w:r>
      <w:r>
        <w:rPr>
          <w:rFonts w:hint="eastAsia" w:ascii="仿宋" w:hAnsi="仿宋" w:eastAsia="仿宋" w:cs="仿宋"/>
          <w:sz w:val="32"/>
          <w:lang w:val="en-US" w:eastAsia="zh-CN"/>
        </w:rPr>
        <w:t>171.01</w:t>
      </w:r>
      <w:r>
        <w:rPr>
          <w:rFonts w:hint="eastAsia" w:ascii="仿宋" w:hAnsi="仿宋" w:eastAsia="仿宋" w:cs="仿宋"/>
          <w:sz w:val="32"/>
        </w:rPr>
        <w:t>万元，收入年末决算数</w:t>
      </w:r>
      <w:r>
        <w:rPr>
          <w:rFonts w:hint="eastAsia" w:ascii="仿宋" w:hAnsi="仿宋" w:eastAsia="仿宋" w:cs="仿宋"/>
          <w:sz w:val="32"/>
          <w:lang w:val="en-US" w:eastAsia="zh-CN"/>
        </w:rPr>
        <w:t>227.02</w:t>
      </w:r>
      <w:r>
        <w:rPr>
          <w:rFonts w:hint="eastAsia" w:ascii="仿宋" w:hAnsi="仿宋" w:eastAsia="仿宋" w:cs="仿宋"/>
          <w:sz w:val="32"/>
        </w:rPr>
        <w:t>万元，其中，一般公共预算拨款</w:t>
      </w:r>
      <w:r>
        <w:rPr>
          <w:rFonts w:hint="eastAsia" w:ascii="仿宋" w:hAnsi="仿宋" w:eastAsia="仿宋" w:cs="仿宋"/>
          <w:sz w:val="32"/>
          <w:lang w:val="en-US" w:eastAsia="zh-CN"/>
        </w:rPr>
        <w:t>227.02</w:t>
      </w:r>
      <w:r>
        <w:rPr>
          <w:rFonts w:hint="eastAsia" w:ascii="仿宋" w:hAnsi="仿宋" w:eastAsia="仿宋" w:cs="仿宋"/>
          <w:sz w:val="32"/>
        </w:rPr>
        <w:t>万元；政府性基金预算财政拨款</w:t>
      </w:r>
      <w:r>
        <w:rPr>
          <w:rFonts w:hint="eastAsia" w:ascii="仿宋" w:hAnsi="仿宋" w:eastAsia="仿宋" w:cs="仿宋"/>
          <w:sz w:val="32"/>
          <w:lang w:val="en-US" w:eastAsia="zh-CN"/>
        </w:rPr>
        <w:t>0</w:t>
      </w:r>
      <w:r>
        <w:rPr>
          <w:rFonts w:hint="eastAsia" w:ascii="仿宋" w:hAnsi="仿宋" w:eastAsia="仿宋" w:cs="仿宋"/>
          <w:sz w:val="32"/>
        </w:rPr>
        <w:t>万元。收入较上年</w:t>
      </w:r>
      <w:r>
        <w:rPr>
          <w:rFonts w:hint="eastAsia" w:ascii="仿宋" w:hAnsi="仿宋" w:eastAsia="仿宋" w:cs="仿宋"/>
          <w:sz w:val="32"/>
          <w:lang w:eastAsia="zh-CN"/>
        </w:rPr>
        <w:t>减少</w:t>
      </w:r>
      <w:r>
        <w:rPr>
          <w:rFonts w:hint="eastAsia" w:ascii="仿宋" w:hAnsi="仿宋" w:eastAsia="仿宋" w:cs="仿宋"/>
          <w:sz w:val="32"/>
          <w:lang w:val="en-US" w:eastAsia="zh-CN"/>
        </w:rPr>
        <w:t>20.11</w:t>
      </w:r>
      <w:r>
        <w:rPr>
          <w:rFonts w:hint="eastAsia" w:ascii="仿宋" w:hAnsi="仿宋" w:eastAsia="仿宋" w:cs="仿宋"/>
          <w:sz w:val="32"/>
        </w:rPr>
        <w:t>万元，</w:t>
      </w:r>
      <w:r>
        <w:rPr>
          <w:rFonts w:hint="eastAsia" w:ascii="仿宋" w:hAnsi="仿宋" w:eastAsia="仿宋" w:cs="仿宋"/>
          <w:sz w:val="32"/>
          <w:lang w:eastAsia="zh-CN"/>
        </w:rPr>
        <w:t>降低</w:t>
      </w:r>
      <w:r>
        <w:rPr>
          <w:rFonts w:hint="eastAsia" w:ascii="仿宋" w:hAnsi="仿宋" w:eastAsia="仿宋" w:cs="仿宋"/>
          <w:sz w:val="32"/>
          <w:lang w:val="en-US" w:eastAsia="zh-CN"/>
        </w:rPr>
        <w:t>8.14</w:t>
      </w:r>
      <w:r>
        <w:rPr>
          <w:rFonts w:hint="eastAsia" w:ascii="仿宋" w:hAnsi="仿宋" w:eastAsia="仿宋" w:cs="仿宋"/>
          <w:sz w:val="32"/>
        </w:rPr>
        <w:t>%</w:t>
      </w:r>
      <w:r>
        <w:rPr>
          <w:rFonts w:hint="eastAsia" w:ascii="仿宋" w:hAnsi="仿宋" w:eastAsia="仿宋" w:cs="仿宋"/>
          <w:sz w:val="32"/>
          <w:lang w:eastAsia="zh-CN"/>
        </w:rPr>
        <w:t>，减少</w:t>
      </w:r>
      <w:r>
        <w:rPr>
          <w:rFonts w:hint="eastAsia" w:ascii="仿宋" w:hAnsi="仿宋" w:eastAsia="仿宋" w:cs="仿宋"/>
          <w:sz w:val="32"/>
          <w:szCs w:val="32"/>
        </w:rPr>
        <w:t>的</w:t>
      </w:r>
      <w:r>
        <w:rPr>
          <w:rFonts w:hint="eastAsia" w:ascii="仿宋" w:hAnsi="仿宋" w:eastAsia="仿宋" w:cs="仿宋"/>
          <w:sz w:val="32"/>
          <w:szCs w:val="32"/>
          <w:lang w:eastAsia="zh-CN"/>
        </w:rPr>
        <w:t>主要</w:t>
      </w:r>
      <w:r>
        <w:rPr>
          <w:rFonts w:hint="eastAsia" w:ascii="仿宋" w:hAnsi="仿宋" w:eastAsia="仿宋" w:cs="仿宋"/>
          <w:sz w:val="32"/>
          <w:szCs w:val="32"/>
        </w:rPr>
        <w:t>原因是</w:t>
      </w:r>
      <w:r>
        <w:rPr>
          <w:rFonts w:hint="eastAsia" w:ascii="仿宋_GB2312" w:eastAsia="仿宋_GB2312"/>
          <w:sz w:val="32"/>
          <w:szCs w:val="32"/>
          <w:lang w:eastAsia="zh-CN"/>
        </w:rPr>
        <w:t>财政拨款收入减少导致全年收入和支出减少</w:t>
      </w:r>
      <w:r>
        <w:rPr>
          <w:rFonts w:hint="eastAsia" w:ascii="仿宋" w:hAnsi="仿宋" w:eastAsia="仿宋" w:cs="仿宋"/>
          <w:sz w:val="32"/>
          <w:szCs w:val="32"/>
          <w:lang w:eastAsia="zh-CN"/>
        </w:rPr>
        <w:t>。</w:t>
      </w:r>
    </w:p>
    <w:p w14:paraId="6437BE4C">
      <w:pPr>
        <w:pageBreakBefore w:val="0"/>
        <w:numPr>
          <w:ilvl w:val="0"/>
          <w:numId w:val="0"/>
        </w:numPr>
        <w:kinsoku/>
        <w:wordWrap/>
        <w:topLinePunct w:val="0"/>
        <w:autoSpaceDE/>
        <w:autoSpaceDN/>
        <w:bidi w:val="0"/>
        <w:snapToGrid w:val="0"/>
        <w:spacing w:line="520" w:lineRule="exact"/>
        <w:ind w:firstLine="321" w:firstLineChars="100"/>
        <w:textAlignment w:val="auto"/>
        <w:rPr>
          <w:rFonts w:hint="eastAsia" w:ascii="仿宋" w:hAnsi="仿宋" w:eastAsia="仿宋" w:cs="仿宋"/>
          <w:sz w:val="32"/>
        </w:rPr>
      </w:pPr>
      <w:r>
        <w:rPr>
          <w:rFonts w:hint="eastAsia" w:ascii="仿宋" w:hAnsi="仿宋" w:eastAsia="仿宋" w:cs="仿宋"/>
          <w:b/>
          <w:bCs/>
          <w:kern w:val="2"/>
          <w:sz w:val="32"/>
          <w:szCs w:val="32"/>
          <w:lang w:eastAsia="zh-CN"/>
        </w:rPr>
        <w:t>　</w:t>
      </w:r>
      <w:r>
        <w:rPr>
          <w:rFonts w:hint="eastAsia" w:ascii="仿宋" w:hAnsi="仿宋" w:eastAsia="仿宋" w:cs="仿宋"/>
          <w:b/>
          <w:bCs/>
          <w:kern w:val="2"/>
          <w:sz w:val="32"/>
          <w:szCs w:val="32"/>
        </w:rPr>
        <w:t>2</w:t>
      </w:r>
      <w:r>
        <w:rPr>
          <w:rFonts w:hint="eastAsia" w:ascii="仿宋" w:hAnsi="仿宋" w:eastAsia="仿宋" w:cs="仿宋"/>
          <w:b/>
          <w:bCs/>
          <w:kern w:val="2"/>
          <w:sz w:val="32"/>
          <w:szCs w:val="32"/>
          <w:lang w:val="en-US" w:eastAsia="zh-CN"/>
        </w:rPr>
        <w:t>、</w:t>
      </w:r>
      <w:r>
        <w:rPr>
          <w:rFonts w:hint="eastAsia" w:ascii="仿宋" w:hAnsi="仿宋" w:eastAsia="仿宋" w:cs="仿宋"/>
          <w:b/>
          <w:bCs/>
          <w:kern w:val="2"/>
          <w:sz w:val="32"/>
          <w:szCs w:val="32"/>
        </w:rPr>
        <w:t>支出预算：</w:t>
      </w:r>
      <w:r>
        <w:rPr>
          <w:rFonts w:hint="eastAsia" w:ascii="仿宋" w:hAnsi="仿宋" w:eastAsia="仿宋" w:cs="仿宋"/>
          <w:sz w:val="32"/>
        </w:rPr>
        <w:t>202</w:t>
      </w:r>
      <w:r>
        <w:rPr>
          <w:rFonts w:hint="eastAsia" w:ascii="仿宋" w:hAnsi="仿宋" w:eastAsia="仿宋" w:cs="仿宋"/>
          <w:sz w:val="32"/>
          <w:lang w:val="en-US" w:eastAsia="zh-CN"/>
        </w:rPr>
        <w:t>3</w:t>
      </w:r>
      <w:r>
        <w:rPr>
          <w:rFonts w:hint="eastAsia" w:ascii="仿宋" w:hAnsi="仿宋" w:eastAsia="仿宋" w:cs="仿宋"/>
          <w:sz w:val="32"/>
        </w:rPr>
        <w:t>年本单位预算支出</w:t>
      </w:r>
      <w:r>
        <w:rPr>
          <w:rFonts w:hint="eastAsia" w:ascii="仿宋" w:hAnsi="仿宋" w:eastAsia="仿宋" w:cs="仿宋"/>
          <w:sz w:val="32"/>
          <w:lang w:val="en-US" w:eastAsia="zh-CN"/>
        </w:rPr>
        <w:t>171.01</w:t>
      </w:r>
      <w:r>
        <w:rPr>
          <w:rFonts w:hint="eastAsia" w:ascii="仿宋" w:hAnsi="仿宋" w:eastAsia="仿宋" w:cs="仿宋"/>
          <w:sz w:val="32"/>
        </w:rPr>
        <w:t>万元，支出年末决算数</w:t>
      </w:r>
      <w:r>
        <w:rPr>
          <w:rFonts w:hint="eastAsia" w:ascii="仿宋" w:hAnsi="仿宋" w:eastAsia="仿宋" w:cs="仿宋"/>
          <w:sz w:val="32"/>
          <w:lang w:val="en-US" w:eastAsia="zh-CN"/>
        </w:rPr>
        <w:t>227.02</w:t>
      </w:r>
      <w:r>
        <w:rPr>
          <w:rFonts w:hint="eastAsia" w:ascii="仿宋" w:hAnsi="仿宋" w:eastAsia="仿宋" w:cs="仿宋"/>
          <w:sz w:val="32"/>
        </w:rPr>
        <w:t>万元，其中：人员经费</w:t>
      </w:r>
      <w:r>
        <w:rPr>
          <w:rFonts w:hint="eastAsia" w:ascii="仿宋" w:hAnsi="仿宋" w:eastAsia="仿宋" w:cs="仿宋"/>
          <w:sz w:val="32"/>
          <w:lang w:val="en-US" w:eastAsia="zh-CN"/>
        </w:rPr>
        <w:t>192.66</w:t>
      </w:r>
      <w:r>
        <w:rPr>
          <w:rFonts w:hint="eastAsia" w:ascii="仿宋" w:hAnsi="仿宋" w:eastAsia="仿宋" w:cs="仿宋"/>
          <w:sz w:val="32"/>
        </w:rPr>
        <w:t>万元；公用经费</w:t>
      </w:r>
      <w:r>
        <w:rPr>
          <w:rFonts w:hint="eastAsia" w:ascii="仿宋" w:hAnsi="仿宋" w:eastAsia="仿宋" w:cs="仿宋"/>
          <w:sz w:val="32"/>
          <w:lang w:val="en-US" w:eastAsia="zh-CN"/>
        </w:rPr>
        <w:t>34.36</w:t>
      </w:r>
      <w:r>
        <w:rPr>
          <w:rFonts w:hint="eastAsia" w:ascii="仿宋" w:hAnsi="仿宋" w:eastAsia="仿宋" w:cs="仿宋"/>
          <w:sz w:val="32"/>
        </w:rPr>
        <w:t>万元；项目支出</w:t>
      </w:r>
      <w:r>
        <w:rPr>
          <w:rFonts w:hint="eastAsia" w:ascii="仿宋" w:hAnsi="仿宋" w:eastAsia="仿宋" w:cs="仿宋"/>
          <w:sz w:val="32"/>
          <w:lang w:val="en-US" w:eastAsia="zh-CN"/>
        </w:rPr>
        <w:t>0</w:t>
      </w:r>
      <w:r>
        <w:rPr>
          <w:rFonts w:hint="eastAsia" w:ascii="仿宋" w:hAnsi="仿宋" w:eastAsia="仿宋" w:cs="仿宋"/>
          <w:sz w:val="32"/>
        </w:rPr>
        <w:t>万元。</w:t>
      </w:r>
      <w:r>
        <w:rPr>
          <w:rFonts w:hint="eastAsia" w:ascii="仿宋" w:hAnsi="仿宋" w:eastAsia="仿宋" w:cs="仿宋"/>
          <w:sz w:val="32"/>
          <w:lang w:eastAsia="zh-CN"/>
        </w:rPr>
        <w:t>支出</w:t>
      </w:r>
      <w:r>
        <w:rPr>
          <w:rFonts w:hint="eastAsia" w:ascii="仿宋" w:hAnsi="仿宋" w:eastAsia="仿宋" w:cs="仿宋"/>
          <w:sz w:val="32"/>
        </w:rPr>
        <w:t>较上年</w:t>
      </w:r>
      <w:r>
        <w:rPr>
          <w:rFonts w:hint="eastAsia" w:ascii="仿宋" w:hAnsi="仿宋" w:eastAsia="仿宋" w:cs="仿宋"/>
          <w:sz w:val="32"/>
          <w:lang w:eastAsia="zh-CN"/>
        </w:rPr>
        <w:t>减少</w:t>
      </w:r>
      <w:r>
        <w:rPr>
          <w:rFonts w:hint="eastAsia" w:ascii="仿宋" w:hAnsi="仿宋" w:eastAsia="仿宋" w:cs="仿宋"/>
          <w:sz w:val="32"/>
          <w:lang w:val="en-US" w:eastAsia="zh-CN"/>
        </w:rPr>
        <w:t>20.11</w:t>
      </w:r>
      <w:r>
        <w:rPr>
          <w:rFonts w:hint="eastAsia" w:ascii="仿宋" w:hAnsi="仿宋" w:eastAsia="仿宋" w:cs="仿宋"/>
          <w:sz w:val="32"/>
        </w:rPr>
        <w:t>万元，</w:t>
      </w:r>
      <w:r>
        <w:rPr>
          <w:rFonts w:hint="eastAsia" w:ascii="仿宋" w:hAnsi="仿宋" w:eastAsia="仿宋" w:cs="仿宋"/>
          <w:sz w:val="32"/>
          <w:lang w:eastAsia="zh-CN"/>
        </w:rPr>
        <w:t>降低</w:t>
      </w:r>
      <w:r>
        <w:rPr>
          <w:rFonts w:hint="eastAsia" w:ascii="仿宋" w:hAnsi="仿宋" w:eastAsia="仿宋" w:cs="仿宋"/>
          <w:sz w:val="32"/>
          <w:lang w:val="en-US" w:eastAsia="zh-CN"/>
        </w:rPr>
        <w:t>8.14</w:t>
      </w:r>
      <w:r>
        <w:rPr>
          <w:rFonts w:hint="eastAsia" w:ascii="仿宋" w:hAnsi="仿宋" w:eastAsia="仿宋" w:cs="仿宋"/>
          <w:sz w:val="32"/>
        </w:rPr>
        <w:t>%</w:t>
      </w:r>
      <w:r>
        <w:rPr>
          <w:rFonts w:hint="eastAsia" w:ascii="仿宋" w:hAnsi="仿宋" w:eastAsia="仿宋" w:cs="仿宋"/>
          <w:sz w:val="32"/>
          <w:lang w:eastAsia="zh-CN"/>
        </w:rPr>
        <w:t>，</w:t>
      </w:r>
      <w:r>
        <w:rPr>
          <w:rFonts w:hint="eastAsia" w:ascii="仿宋" w:hAnsi="仿宋" w:eastAsia="仿宋" w:cs="仿宋"/>
          <w:sz w:val="32"/>
          <w:szCs w:val="32"/>
          <w:lang w:eastAsia="zh-CN"/>
        </w:rPr>
        <w:t>减少</w:t>
      </w:r>
      <w:r>
        <w:rPr>
          <w:rFonts w:hint="eastAsia" w:ascii="仿宋" w:hAnsi="仿宋" w:eastAsia="仿宋" w:cs="仿宋"/>
          <w:sz w:val="32"/>
          <w:szCs w:val="32"/>
        </w:rPr>
        <w:t>的</w:t>
      </w:r>
      <w:r>
        <w:rPr>
          <w:rFonts w:hint="eastAsia" w:ascii="仿宋" w:hAnsi="仿宋" w:eastAsia="仿宋" w:cs="仿宋"/>
          <w:sz w:val="32"/>
          <w:szCs w:val="32"/>
          <w:lang w:eastAsia="zh-CN"/>
        </w:rPr>
        <w:t>主要</w:t>
      </w:r>
      <w:r>
        <w:rPr>
          <w:rFonts w:hint="eastAsia" w:ascii="仿宋" w:hAnsi="仿宋" w:eastAsia="仿宋" w:cs="仿宋"/>
          <w:sz w:val="32"/>
          <w:szCs w:val="32"/>
        </w:rPr>
        <w:t>原因是</w:t>
      </w:r>
      <w:r>
        <w:rPr>
          <w:rFonts w:hint="eastAsia" w:ascii="仿宋_GB2312" w:eastAsia="仿宋_GB2312"/>
          <w:sz w:val="32"/>
          <w:szCs w:val="32"/>
          <w:lang w:eastAsia="zh-CN"/>
        </w:rPr>
        <w:t>财政拨款收入减少导致全年收入和支出减少</w:t>
      </w:r>
      <w:r>
        <w:rPr>
          <w:rFonts w:hint="eastAsia" w:ascii="仿宋" w:hAnsi="仿宋" w:eastAsia="仿宋" w:cs="仿宋"/>
          <w:sz w:val="32"/>
          <w:szCs w:val="32"/>
          <w:lang w:eastAsia="zh-CN"/>
        </w:rPr>
        <w:t>。</w:t>
      </w:r>
    </w:p>
    <w:p w14:paraId="3940658B">
      <w:pPr>
        <w:pStyle w:val="3"/>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520" w:lineRule="exact"/>
        <w:ind w:right="420" w:firstLine="639" w:firstLineChars="199"/>
        <w:jc w:val="both"/>
        <w:textAlignment w:val="auto"/>
        <w:rPr>
          <w:rFonts w:hint="eastAsia" w:ascii="仿宋" w:hAnsi="仿宋" w:eastAsia="仿宋" w:cs="仿宋"/>
          <w:kern w:val="2"/>
          <w:sz w:val="32"/>
          <w:szCs w:val="32"/>
        </w:rPr>
      </w:pPr>
      <w:r>
        <w:rPr>
          <w:rFonts w:hint="eastAsia" w:ascii="仿宋" w:hAnsi="仿宋" w:eastAsia="仿宋" w:cs="仿宋"/>
          <w:b/>
          <w:bCs/>
          <w:kern w:val="2"/>
          <w:sz w:val="32"/>
          <w:szCs w:val="32"/>
        </w:rPr>
        <w:t>3</w:t>
      </w:r>
      <w:r>
        <w:rPr>
          <w:rFonts w:hint="eastAsia" w:ascii="仿宋" w:hAnsi="仿宋" w:eastAsia="仿宋" w:cs="仿宋"/>
          <w:b/>
          <w:bCs/>
          <w:kern w:val="2"/>
          <w:sz w:val="32"/>
          <w:szCs w:val="32"/>
          <w:lang w:val="en-US" w:eastAsia="zh-CN"/>
        </w:rPr>
        <w:t>、</w:t>
      </w:r>
      <w:r>
        <w:rPr>
          <w:rFonts w:hint="eastAsia" w:ascii="仿宋" w:hAnsi="仿宋" w:eastAsia="仿宋" w:cs="仿宋"/>
          <w:b/>
          <w:bCs/>
          <w:kern w:val="2"/>
          <w:sz w:val="32"/>
          <w:szCs w:val="32"/>
        </w:rPr>
        <w:t>“三公”经费预算：</w:t>
      </w:r>
      <w:r>
        <w:rPr>
          <w:rFonts w:hint="eastAsia" w:ascii="仿宋" w:hAnsi="仿宋" w:eastAsia="仿宋" w:cs="仿宋"/>
          <w:sz w:val="32"/>
        </w:rPr>
        <w:t>202</w:t>
      </w:r>
      <w:r>
        <w:rPr>
          <w:rFonts w:hint="eastAsia" w:ascii="仿宋" w:hAnsi="仿宋" w:eastAsia="仿宋" w:cs="仿宋"/>
          <w:sz w:val="32"/>
          <w:lang w:val="en-US" w:eastAsia="zh-CN"/>
        </w:rPr>
        <w:t>3</w:t>
      </w:r>
      <w:r>
        <w:rPr>
          <w:rFonts w:hint="eastAsia" w:ascii="仿宋" w:hAnsi="仿宋" w:eastAsia="仿宋" w:cs="仿宋"/>
          <w:sz w:val="32"/>
        </w:rPr>
        <w:t>年 “三公”经费预算数为</w:t>
      </w:r>
      <w:r>
        <w:rPr>
          <w:rFonts w:hint="eastAsia" w:ascii="仿宋" w:hAnsi="仿宋" w:eastAsia="仿宋" w:cs="仿宋"/>
          <w:sz w:val="32"/>
          <w:lang w:val="en-US" w:eastAsia="zh-CN"/>
        </w:rPr>
        <w:t>0</w:t>
      </w:r>
      <w:r>
        <w:rPr>
          <w:rFonts w:hint="eastAsia" w:ascii="仿宋" w:hAnsi="仿宋" w:eastAsia="仿宋" w:cs="仿宋"/>
          <w:sz w:val="32"/>
        </w:rPr>
        <w:t>万元，其中，公务接待费</w:t>
      </w:r>
      <w:r>
        <w:rPr>
          <w:rFonts w:hint="eastAsia" w:ascii="仿宋" w:hAnsi="仿宋" w:eastAsia="仿宋" w:cs="仿宋"/>
          <w:sz w:val="32"/>
          <w:lang w:val="en-US" w:eastAsia="zh-CN"/>
        </w:rPr>
        <w:t>0</w:t>
      </w:r>
      <w:r>
        <w:rPr>
          <w:rFonts w:hint="eastAsia" w:ascii="仿宋" w:hAnsi="仿宋" w:eastAsia="仿宋" w:cs="仿宋"/>
          <w:sz w:val="32"/>
        </w:rPr>
        <w:t>万元，公务用车购置及运行费0万元，因公出国（境）费0万元。202</w:t>
      </w:r>
      <w:r>
        <w:rPr>
          <w:rFonts w:hint="eastAsia" w:ascii="仿宋" w:hAnsi="仿宋" w:eastAsia="仿宋" w:cs="仿宋"/>
          <w:sz w:val="32"/>
          <w:lang w:val="en-US" w:eastAsia="zh-CN"/>
        </w:rPr>
        <w:t>3</w:t>
      </w:r>
      <w:r>
        <w:rPr>
          <w:rFonts w:hint="eastAsia" w:ascii="仿宋" w:hAnsi="仿宋" w:eastAsia="仿宋" w:cs="仿宋"/>
          <w:sz w:val="32"/>
        </w:rPr>
        <w:t>年“三公”经费实际支出0万元，其中，公务接待费0万元，公务用车购置及运行费0万元，因公出国（境）费0万元。。</w:t>
      </w:r>
    </w:p>
    <w:p w14:paraId="1DBFFDFE">
      <w:pPr>
        <w:pStyle w:val="3"/>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520" w:lineRule="exact"/>
        <w:ind w:right="420" w:firstLine="639" w:firstLineChars="199"/>
        <w:jc w:val="both"/>
        <w:textAlignment w:val="auto"/>
        <w:rPr>
          <w:rFonts w:hint="eastAsia" w:ascii="仿宋" w:hAnsi="仿宋" w:eastAsia="仿宋" w:cs="仿宋"/>
          <w:sz w:val="32"/>
          <w:szCs w:val="32"/>
        </w:rPr>
      </w:pPr>
      <w:r>
        <w:rPr>
          <w:rFonts w:hint="eastAsia" w:ascii="仿宋" w:hAnsi="仿宋" w:eastAsia="仿宋" w:cs="仿宋"/>
          <w:b/>
          <w:bCs/>
          <w:kern w:val="2"/>
          <w:sz w:val="32"/>
          <w:szCs w:val="32"/>
        </w:rPr>
        <w:t>4</w:t>
      </w:r>
      <w:r>
        <w:rPr>
          <w:rFonts w:hint="eastAsia" w:ascii="仿宋" w:hAnsi="仿宋" w:eastAsia="仿宋" w:cs="仿宋"/>
          <w:b/>
          <w:bCs/>
          <w:kern w:val="2"/>
          <w:sz w:val="32"/>
          <w:szCs w:val="32"/>
          <w:lang w:val="en-US" w:eastAsia="zh-CN"/>
        </w:rPr>
        <w:t>、</w:t>
      </w:r>
      <w:r>
        <w:rPr>
          <w:rFonts w:hint="eastAsia" w:ascii="仿宋" w:hAnsi="仿宋" w:eastAsia="仿宋" w:cs="仿宋"/>
          <w:b/>
          <w:bCs/>
          <w:kern w:val="2"/>
          <w:sz w:val="32"/>
          <w:szCs w:val="32"/>
        </w:rPr>
        <w:t>政府采购情况：</w:t>
      </w:r>
      <w:r>
        <w:rPr>
          <w:rFonts w:hint="eastAsia" w:ascii="仿宋" w:hAnsi="仿宋" w:eastAsia="仿宋" w:cs="仿宋"/>
          <w:sz w:val="32"/>
        </w:rPr>
        <w:t>202</w:t>
      </w:r>
      <w:r>
        <w:rPr>
          <w:rFonts w:hint="eastAsia" w:ascii="仿宋" w:hAnsi="仿宋" w:eastAsia="仿宋" w:cs="仿宋"/>
          <w:sz w:val="32"/>
          <w:lang w:val="en-US" w:eastAsia="zh-CN"/>
        </w:rPr>
        <w:t>3</w:t>
      </w:r>
      <w:r>
        <w:rPr>
          <w:rFonts w:hint="eastAsia" w:ascii="仿宋" w:hAnsi="仿宋" w:eastAsia="仿宋" w:cs="仿宋"/>
          <w:sz w:val="32"/>
        </w:rPr>
        <w:t>年本单位政府采购预算总额0万元，其中：货物类采购预算0万元；工程类采购预算0万元；服务类采购预算0万元。</w:t>
      </w:r>
    </w:p>
    <w:p w14:paraId="03FD69BB">
      <w:pPr>
        <w:keepNext w:val="0"/>
        <w:keepLines w:val="0"/>
        <w:pageBreakBefore w:val="0"/>
        <w:kinsoku/>
        <w:wordWrap/>
        <w:topLinePunct w:val="0"/>
        <w:autoSpaceDE/>
        <w:autoSpaceDN/>
        <w:bidi w:val="0"/>
        <w:adjustRightInd/>
        <w:snapToGrid/>
        <w:spacing w:line="520" w:lineRule="exact"/>
        <w:ind w:firstLine="643" w:firstLineChars="200"/>
        <w:textAlignment w:val="auto"/>
        <w:rPr>
          <w:rFonts w:hint="eastAsia" w:ascii="仿宋" w:hAnsi="仿宋" w:eastAsia="仿宋" w:cs="仿宋"/>
          <w:b/>
          <w:bCs w:val="0"/>
          <w:sz w:val="32"/>
          <w:szCs w:val="32"/>
        </w:rPr>
      </w:pPr>
      <w:r>
        <w:rPr>
          <w:rFonts w:hint="eastAsia" w:ascii="仿宋" w:hAnsi="仿宋" w:eastAsia="仿宋" w:cs="仿宋"/>
          <w:b/>
          <w:bCs w:val="0"/>
          <w:sz w:val="32"/>
          <w:szCs w:val="32"/>
        </w:rPr>
        <w:t>（五）部门年度整体工作目标任务完成情况</w:t>
      </w:r>
    </w:p>
    <w:p w14:paraId="43FC52F0">
      <w:pPr>
        <w:keepNext w:val="0"/>
        <w:keepLines w:val="0"/>
        <w:pageBreakBefore w:val="0"/>
        <w:kinsoku/>
        <w:wordWrap/>
        <w:topLinePunct w:val="0"/>
        <w:autoSpaceDE/>
        <w:autoSpaceDN/>
        <w:bidi w:val="0"/>
        <w:adjustRightInd/>
        <w:snapToGrid/>
        <w:spacing w:line="520" w:lineRule="exact"/>
        <w:ind w:firstLine="800" w:firstLineChars="250"/>
        <w:textAlignment w:val="auto"/>
        <w:rPr>
          <w:rFonts w:hint="eastAsia" w:ascii="仿宋" w:hAnsi="仿宋" w:eastAsia="仿宋" w:cs="仿宋"/>
          <w:sz w:val="32"/>
          <w:szCs w:val="32"/>
        </w:rPr>
      </w:pPr>
      <w:r>
        <w:rPr>
          <w:rFonts w:hint="eastAsia" w:ascii="仿宋" w:hAnsi="仿宋" w:eastAsia="仿宋"/>
          <w:color w:val="000000" w:themeColor="text1"/>
          <w:sz w:val="32"/>
          <w:szCs w:val="32"/>
          <w:lang w:val="en-US" w:eastAsia="zh-CN"/>
          <w14:textFill>
            <w14:solidFill>
              <w14:schemeClr w14:val="tx1"/>
            </w14:solidFill>
          </w14:textFill>
        </w:rPr>
        <w:t>我社在县委、县政府正确领导下，在市供销社和有关部门精心指导、帮助下，围绕贯彻习近平新时代中国特色社会主义思想，以服务“三农”为宗旨，全面深化综合改革，着力构建为农服务体系，</w:t>
      </w:r>
      <w:r>
        <w:rPr>
          <w:rFonts w:hint="eastAsia" w:ascii="仿宋" w:hAnsi="仿宋" w:eastAsia="仿宋" w:cs="仿宋"/>
          <w:sz w:val="32"/>
          <w:szCs w:val="32"/>
          <w:lang w:eastAsia="zh-CN"/>
        </w:rPr>
        <w:t>很</w:t>
      </w:r>
      <w:r>
        <w:rPr>
          <w:rFonts w:hint="eastAsia" w:ascii="仿宋" w:hAnsi="仿宋" w:eastAsia="仿宋" w:cs="仿宋"/>
          <w:sz w:val="32"/>
          <w:szCs w:val="32"/>
        </w:rPr>
        <w:t>好的完成了各项工作目标。</w:t>
      </w:r>
    </w:p>
    <w:p w14:paraId="756E34D0">
      <w:pPr>
        <w:keepNext w:val="0"/>
        <w:keepLines w:val="0"/>
        <w:pageBreakBefore w:val="0"/>
        <w:widowControl/>
        <w:kinsoku/>
        <w:wordWrap/>
        <w:overflowPunct/>
        <w:topLinePunct w:val="0"/>
        <w:autoSpaceDE/>
        <w:autoSpaceDN/>
        <w:bidi w:val="0"/>
        <w:adjustRightInd w:val="0"/>
        <w:snapToGrid w:val="0"/>
        <w:spacing w:before="181" w:beforeLines="50" w:after="181" w:afterLines="50" w:line="600" w:lineRule="atLeast"/>
        <w:ind w:firstLine="640" w:firstLineChars="200"/>
        <w:textAlignment w:val="auto"/>
        <w:rPr>
          <w:rFonts w:ascii="黑体" w:hAnsi="黑体" w:eastAsia="黑体" w:cs="黑体"/>
          <w:bCs/>
          <w:sz w:val="32"/>
          <w:szCs w:val="32"/>
        </w:rPr>
      </w:pPr>
      <w:r>
        <w:rPr>
          <w:rFonts w:hint="eastAsia" w:ascii="黑体" w:hAnsi="黑体" w:eastAsia="黑体" w:cs="黑体"/>
          <w:bCs/>
          <w:sz w:val="32"/>
          <w:szCs w:val="32"/>
        </w:rPr>
        <w:t>二、部门整体评价工作开展</w:t>
      </w:r>
    </w:p>
    <w:p w14:paraId="6F623CB3">
      <w:pPr>
        <w:keepNext w:val="0"/>
        <w:keepLines w:val="0"/>
        <w:pageBreakBefore w:val="0"/>
        <w:kinsoku/>
        <w:wordWrap/>
        <w:topLinePunct w:val="0"/>
        <w:autoSpaceDE/>
        <w:autoSpaceDN/>
        <w:bidi w:val="0"/>
        <w:adjustRightInd/>
        <w:snapToGrid/>
        <w:spacing w:line="52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（一）绩效评价实施过程情况</w:t>
      </w:r>
    </w:p>
    <w:p w14:paraId="70D33AD8">
      <w:pPr>
        <w:pStyle w:val="8"/>
        <w:keepNext w:val="0"/>
        <w:keepLines w:val="0"/>
        <w:pageBreakBefore w:val="0"/>
        <w:shd w:val="clear" w:color="auto" w:fill="FFFFFF"/>
        <w:kinsoku/>
        <w:wordWrap/>
        <w:overflowPunct/>
        <w:topLinePunct w:val="0"/>
        <w:autoSpaceDE/>
        <w:autoSpaceDN/>
        <w:bidi w:val="0"/>
        <w:adjustRightInd/>
        <w:snapToGrid/>
        <w:spacing w:before="0" w:beforeAutospacing="0" w:after="300" w:afterAutospacing="0" w:line="580" w:lineRule="exact"/>
        <w:ind w:firstLine="643" w:firstLineChars="200"/>
        <w:contextualSpacing/>
        <w:textAlignment w:val="auto"/>
        <w:rPr>
          <w:rFonts w:hint="eastAsia" w:ascii="仿宋" w:hAnsi="仿宋" w:eastAsia="仿宋" w:cs="仿宋"/>
          <w:kern w:val="2"/>
          <w:sz w:val="32"/>
          <w:szCs w:val="32"/>
        </w:rPr>
      </w:pPr>
      <w:r>
        <w:rPr>
          <w:rFonts w:hint="eastAsia" w:ascii="仿宋" w:hAnsi="仿宋" w:eastAsia="仿宋" w:cs="仿宋"/>
          <w:b/>
          <w:bCs/>
          <w:kern w:val="2"/>
          <w:sz w:val="32"/>
          <w:szCs w:val="32"/>
        </w:rPr>
        <w:t>1</w:t>
      </w:r>
      <w:r>
        <w:rPr>
          <w:rFonts w:hint="eastAsia" w:ascii="仿宋" w:hAnsi="仿宋" w:eastAsia="仿宋" w:cs="仿宋"/>
          <w:b/>
          <w:bCs/>
          <w:kern w:val="2"/>
          <w:sz w:val="32"/>
          <w:szCs w:val="32"/>
          <w:lang w:eastAsia="zh-CN"/>
        </w:rPr>
        <w:t>、</w:t>
      </w:r>
      <w:r>
        <w:rPr>
          <w:rFonts w:hint="eastAsia" w:ascii="仿宋" w:hAnsi="仿宋" w:eastAsia="仿宋" w:cs="仿宋"/>
          <w:b/>
          <w:bCs/>
          <w:kern w:val="2"/>
          <w:sz w:val="32"/>
          <w:szCs w:val="32"/>
        </w:rPr>
        <w:t>前期准备</w:t>
      </w:r>
      <w:r>
        <w:rPr>
          <w:rFonts w:hint="eastAsia" w:ascii="仿宋" w:hAnsi="仿宋" w:eastAsia="仿宋" w:cs="仿宋"/>
          <w:b/>
          <w:bCs/>
          <w:kern w:val="2"/>
          <w:sz w:val="32"/>
          <w:szCs w:val="32"/>
          <w:lang w:eastAsia="zh-CN"/>
        </w:rPr>
        <w:t>。</w:t>
      </w:r>
      <w:r>
        <w:rPr>
          <w:rFonts w:hint="eastAsia" w:ascii="仿宋" w:hAnsi="仿宋" w:eastAsia="仿宋" w:cs="仿宋"/>
          <w:kern w:val="2"/>
          <w:sz w:val="32"/>
          <w:szCs w:val="32"/>
        </w:rPr>
        <w:t>组建评价工作组,制定具体的绩效评价工作方案。评价工作组在与有关人员进行座谈、了解项目情况，结合本次绩效评价工作要求的基础上，制定绩效评价工作方案，明确评价对象和范围、评价目的、评价内容、评价方法、指标体系框架、组织形式、时间安排和工作要求等具体事项。</w:t>
      </w:r>
    </w:p>
    <w:p w14:paraId="4978C9AA">
      <w:pPr>
        <w:pStyle w:val="8"/>
        <w:keepNext w:val="0"/>
        <w:keepLines w:val="0"/>
        <w:pageBreakBefore w:val="0"/>
        <w:shd w:val="clear" w:color="auto" w:fill="FFFFFF"/>
        <w:kinsoku/>
        <w:wordWrap/>
        <w:overflowPunct/>
        <w:topLinePunct w:val="0"/>
        <w:autoSpaceDE/>
        <w:autoSpaceDN/>
        <w:bidi w:val="0"/>
        <w:adjustRightInd/>
        <w:snapToGrid/>
        <w:spacing w:before="0" w:beforeAutospacing="0" w:after="300" w:afterAutospacing="0" w:line="580" w:lineRule="exact"/>
        <w:contextualSpacing/>
        <w:textAlignment w:val="auto"/>
        <w:rPr>
          <w:rFonts w:ascii="仿宋_GB2312" w:hAnsi="Calibri" w:eastAsia="仿宋_GB2312" w:cs="Times New Roman"/>
          <w:kern w:val="2"/>
          <w:sz w:val="32"/>
          <w:szCs w:val="32"/>
        </w:rPr>
      </w:pPr>
      <w:r>
        <w:rPr>
          <w:rFonts w:hint="eastAsia" w:ascii="仿宋" w:hAnsi="仿宋" w:eastAsia="仿宋" w:cs="仿宋"/>
          <w:kern w:val="2"/>
          <w:sz w:val="32"/>
          <w:szCs w:val="32"/>
        </w:rPr>
        <w:t>　　</w:t>
      </w:r>
      <w:r>
        <w:rPr>
          <w:rFonts w:hint="eastAsia" w:ascii="仿宋" w:hAnsi="仿宋" w:eastAsia="仿宋" w:cs="仿宋"/>
          <w:b/>
          <w:bCs/>
          <w:kern w:val="2"/>
          <w:sz w:val="32"/>
          <w:szCs w:val="32"/>
        </w:rPr>
        <w:t>2</w:t>
      </w:r>
      <w:r>
        <w:rPr>
          <w:rFonts w:hint="eastAsia" w:ascii="仿宋" w:hAnsi="仿宋" w:eastAsia="仿宋" w:cs="仿宋"/>
          <w:b/>
          <w:bCs/>
          <w:kern w:val="2"/>
          <w:sz w:val="32"/>
          <w:szCs w:val="32"/>
          <w:lang w:eastAsia="zh-CN"/>
        </w:rPr>
        <w:t>、</w:t>
      </w:r>
      <w:r>
        <w:rPr>
          <w:rFonts w:hint="eastAsia" w:ascii="仿宋" w:hAnsi="仿宋" w:eastAsia="仿宋" w:cs="仿宋"/>
          <w:b/>
          <w:bCs/>
          <w:kern w:val="2"/>
          <w:sz w:val="32"/>
          <w:szCs w:val="32"/>
        </w:rPr>
        <w:t>现场调研及审核阶</w:t>
      </w:r>
      <w:r>
        <w:rPr>
          <w:rFonts w:hint="eastAsia" w:ascii="仿宋" w:hAnsi="仿宋" w:eastAsia="仿宋" w:cs="仿宋"/>
          <w:b/>
          <w:bCs/>
          <w:kern w:val="2"/>
          <w:sz w:val="32"/>
          <w:szCs w:val="32"/>
          <w:lang w:eastAsia="zh-CN"/>
        </w:rPr>
        <w:t>段。</w:t>
      </w:r>
      <w:r>
        <w:rPr>
          <w:rFonts w:hint="eastAsia" w:ascii="仿宋" w:hAnsi="仿宋" w:eastAsia="仿宋" w:cs="仿宋"/>
          <w:kern w:val="2"/>
          <w:sz w:val="32"/>
          <w:szCs w:val="32"/>
        </w:rPr>
        <w:t>主要工作包括：听取项目的介绍，核查、收集与项目实施有关的文件材料，了解项目资金使用及效益情况。对本项目资金使用情况项目情况进行调查了解，收集、</w:t>
      </w:r>
      <w:r>
        <w:rPr>
          <w:rFonts w:hint="eastAsia" w:ascii="仿宋_GB2312" w:hAnsi="Calibri" w:eastAsia="仿宋_GB2312" w:cs="Times New Roman"/>
          <w:kern w:val="2"/>
          <w:sz w:val="32"/>
          <w:szCs w:val="32"/>
        </w:rPr>
        <w:t>整理、填报评价基础数据资料，对有关内容进行审核，重点对评价基础数据的准确性、完整性及相应佐证材料的有效性进行审核，并将审核过程中发现的问题、审核意见记录清楚。在整理分析总体情况和项目资料之后，评价工作组根据现场调研情况，细化评价指标，明确指标权重和评分标准，制定评价指标体系。</w:t>
      </w:r>
    </w:p>
    <w:p w14:paraId="58DC9216">
      <w:pPr>
        <w:pStyle w:val="8"/>
        <w:keepNext w:val="0"/>
        <w:keepLines w:val="0"/>
        <w:pageBreakBefore w:val="0"/>
        <w:shd w:val="clear" w:color="auto" w:fill="FFFFFF"/>
        <w:kinsoku/>
        <w:wordWrap/>
        <w:overflowPunct/>
        <w:topLinePunct w:val="0"/>
        <w:autoSpaceDE/>
        <w:autoSpaceDN/>
        <w:bidi w:val="0"/>
        <w:adjustRightInd/>
        <w:snapToGrid/>
        <w:spacing w:before="0" w:beforeAutospacing="0" w:after="300" w:afterAutospacing="0" w:line="580" w:lineRule="exact"/>
        <w:ind w:firstLine="641"/>
        <w:contextualSpacing/>
        <w:textAlignment w:val="auto"/>
        <w:rPr>
          <w:rFonts w:hint="eastAsia" w:ascii="仿宋_GB2312" w:hAnsi="Calibri" w:eastAsia="仿宋_GB2312" w:cs="Times New Roman"/>
          <w:kern w:val="2"/>
          <w:sz w:val="32"/>
          <w:szCs w:val="32"/>
        </w:rPr>
      </w:pPr>
      <w:r>
        <w:rPr>
          <w:rFonts w:hint="eastAsia" w:ascii="楷体" w:hAnsi="楷体" w:eastAsia="楷体" w:cs="楷体"/>
          <w:b/>
          <w:bCs/>
          <w:kern w:val="2"/>
          <w:sz w:val="32"/>
          <w:szCs w:val="32"/>
        </w:rPr>
        <w:t>3</w:t>
      </w:r>
      <w:r>
        <w:rPr>
          <w:rFonts w:hint="eastAsia" w:ascii="楷体" w:hAnsi="楷体" w:eastAsia="楷体" w:cs="楷体"/>
          <w:b/>
          <w:bCs/>
          <w:kern w:val="2"/>
          <w:sz w:val="32"/>
          <w:szCs w:val="32"/>
          <w:lang w:eastAsia="zh-CN"/>
        </w:rPr>
        <w:t>、</w:t>
      </w:r>
      <w:r>
        <w:rPr>
          <w:rFonts w:hint="eastAsia" w:ascii="楷体" w:hAnsi="楷体" w:eastAsia="楷体" w:cs="楷体"/>
          <w:b/>
          <w:bCs/>
          <w:kern w:val="2"/>
          <w:sz w:val="32"/>
          <w:szCs w:val="32"/>
        </w:rPr>
        <w:t>评价总结阶</w:t>
      </w:r>
      <w:r>
        <w:rPr>
          <w:rFonts w:hint="eastAsia" w:ascii="楷体" w:hAnsi="楷体" w:eastAsia="楷体" w:cs="楷体"/>
          <w:b/>
          <w:bCs/>
          <w:kern w:val="2"/>
          <w:sz w:val="32"/>
          <w:szCs w:val="32"/>
          <w:lang w:eastAsia="zh-CN"/>
        </w:rPr>
        <w:t>段。</w:t>
      </w:r>
      <w:r>
        <w:rPr>
          <w:rFonts w:hint="eastAsia" w:ascii="仿宋_GB2312" w:hAnsi="Calibri" w:eastAsia="仿宋_GB2312" w:cs="Times New Roman"/>
          <w:kern w:val="2"/>
          <w:sz w:val="32"/>
          <w:szCs w:val="32"/>
        </w:rPr>
        <w:t>主要工作包括：撰写绩效评价报告；沟通初步评价意见；形成正式绩效评价报告；报送绩效评价报告；归档绩效评价资料。</w:t>
      </w:r>
    </w:p>
    <w:p w14:paraId="08ED1440">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300" w:afterAutospacing="0" w:line="580" w:lineRule="exact"/>
        <w:ind w:firstLine="641"/>
        <w:contextualSpacing/>
        <w:textAlignment w:val="auto"/>
        <w:rPr>
          <w:rFonts w:hint="eastAsia" w:ascii="新宋体" w:hAnsi="新宋体" w:eastAsia="新宋体" w:cs="新宋体"/>
          <w:b w:val="0"/>
          <w:bCs/>
          <w:kern w:val="2"/>
          <w:sz w:val="32"/>
          <w:szCs w:val="32"/>
          <w:lang w:val="en-US" w:eastAsia="zh-CN" w:bidi="ar-SA"/>
        </w:rPr>
      </w:pPr>
      <w:r>
        <w:rPr>
          <w:rFonts w:hint="eastAsia" w:ascii="新宋体" w:hAnsi="新宋体" w:eastAsia="新宋体" w:cs="新宋体"/>
          <w:b w:val="0"/>
          <w:bCs/>
          <w:kern w:val="2"/>
          <w:sz w:val="32"/>
          <w:szCs w:val="32"/>
          <w:lang w:val="en-US" w:eastAsia="zh-CN" w:bidi="ar-SA"/>
        </w:rPr>
        <w:t>（二）绩效评价整体结果概况</w:t>
      </w:r>
    </w:p>
    <w:p w14:paraId="7E4394F2">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300" w:afterAutospacing="0" w:line="580" w:lineRule="exact"/>
        <w:ind w:firstLine="641"/>
        <w:contextualSpacing/>
        <w:textAlignment w:val="auto"/>
        <w:rPr>
          <w:rFonts w:ascii="仿宋" w:hAnsi="仿宋" w:eastAsia="仿宋" w:cs="仿宋"/>
          <w:b/>
          <w:bCs/>
          <w:sz w:val="32"/>
          <w:szCs w:val="32"/>
        </w:rPr>
      </w:pPr>
      <w:r>
        <w:rPr>
          <w:rFonts w:hint="eastAsia" w:ascii="仿宋" w:hAnsi="仿宋" w:eastAsia="仿宋" w:cs="仿宋"/>
          <w:b/>
          <w:bCs/>
          <w:sz w:val="32"/>
          <w:szCs w:val="32"/>
        </w:rPr>
        <w:t>202</w:t>
      </w:r>
      <w:r>
        <w:rPr>
          <w:rFonts w:hint="eastAsia" w:ascii="仿宋" w:hAnsi="仿宋" w:eastAsia="仿宋" w:cs="仿宋"/>
          <w:b/>
          <w:bCs/>
          <w:sz w:val="32"/>
          <w:szCs w:val="32"/>
          <w:lang w:val="en-US" w:eastAsia="zh-CN"/>
        </w:rPr>
        <w:t>3</w:t>
      </w:r>
      <w:r>
        <w:rPr>
          <w:rFonts w:hint="eastAsia" w:ascii="仿宋" w:hAnsi="仿宋" w:eastAsia="仿宋" w:cs="仿宋"/>
          <w:b/>
          <w:bCs/>
          <w:sz w:val="32"/>
          <w:szCs w:val="32"/>
        </w:rPr>
        <w:t>年度整体支出绩效评价“ 优</w:t>
      </w:r>
      <w:r>
        <w:rPr>
          <w:rFonts w:ascii="仿宋" w:hAnsi="仿宋" w:eastAsia="仿宋" w:cs="仿宋"/>
          <w:b/>
          <w:bCs/>
          <w:sz w:val="32"/>
          <w:szCs w:val="32"/>
        </w:rPr>
        <w:t>”</w:t>
      </w:r>
      <w:r>
        <w:rPr>
          <w:rFonts w:hint="eastAsia" w:ascii="仿宋" w:hAnsi="仿宋" w:eastAsia="仿宋" w:cs="仿宋"/>
          <w:b/>
          <w:bCs/>
          <w:sz w:val="32"/>
          <w:szCs w:val="32"/>
        </w:rPr>
        <w:t>。</w:t>
      </w:r>
    </w:p>
    <w:p w14:paraId="0B6612C4">
      <w:pPr>
        <w:keepNext w:val="0"/>
        <w:keepLines w:val="0"/>
        <w:pageBreakBefore w:val="0"/>
        <w:widowControl w:val="0"/>
        <w:tabs>
          <w:tab w:val="left" w:pos="4004"/>
        </w:tabs>
        <w:kinsoku/>
        <w:wordWrap/>
        <w:overflowPunct/>
        <w:topLinePunct w:val="0"/>
        <w:autoSpaceDE/>
        <w:autoSpaceDN/>
        <w:bidi w:val="0"/>
        <w:adjustRightInd/>
        <w:snapToGrid/>
        <w:spacing w:line="580" w:lineRule="exact"/>
        <w:ind w:firstLine="643" w:firstLineChars="200"/>
        <w:textAlignment w:val="auto"/>
        <w:rPr>
          <w:rFonts w:hint="eastAsia"/>
          <w:sz w:val="20"/>
          <w:szCs w:val="20"/>
          <w:lang w:val="en-US" w:eastAsia="zh-CN"/>
        </w:rPr>
      </w:pPr>
      <w:r>
        <w:rPr>
          <w:rFonts w:hint="eastAsia" w:ascii="楷体" w:hAnsi="楷体" w:eastAsia="楷体" w:cs="楷体"/>
          <w:b/>
          <w:bCs/>
          <w:sz w:val="32"/>
          <w:szCs w:val="32"/>
        </w:rPr>
        <w:t>1</w:t>
      </w:r>
      <w:r>
        <w:rPr>
          <w:rFonts w:hint="eastAsia" w:ascii="楷体" w:hAnsi="楷体" w:eastAsia="楷体" w:cs="楷体"/>
          <w:b/>
          <w:bCs/>
          <w:sz w:val="32"/>
          <w:szCs w:val="32"/>
          <w:lang w:val="en-US" w:eastAsia="zh-CN"/>
        </w:rPr>
        <w:t>、</w:t>
      </w:r>
      <w:r>
        <w:rPr>
          <w:rFonts w:hint="eastAsia" w:ascii="楷体" w:hAnsi="楷体" w:eastAsia="楷体" w:cs="楷体"/>
          <w:b/>
          <w:bCs/>
          <w:sz w:val="32"/>
          <w:szCs w:val="32"/>
        </w:rPr>
        <w:t>“三公”经费的预决算执行及控制情况。</w:t>
      </w:r>
      <w:r>
        <w:rPr>
          <w:rFonts w:hint="eastAsia" w:ascii="仿宋_GB2312" w:hAnsi="仿宋_GB2312" w:eastAsia="仿宋_GB2312" w:cs="仿宋_GB2312"/>
          <w:bCs/>
          <w:sz w:val="32"/>
          <w:szCs w:val="32"/>
        </w:rPr>
        <w:t>202</w:t>
      </w: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年度“三公”经费预算数</w:t>
      </w:r>
      <w:r>
        <w:rPr>
          <w:rFonts w:hint="eastAsia" w:ascii="仿宋_GB2312" w:hAnsi="仿宋_GB2312" w:eastAsia="仿宋_GB2312" w:cs="仿宋_GB2312"/>
          <w:bCs/>
          <w:sz w:val="32"/>
          <w:szCs w:val="32"/>
          <w:lang w:val="en-US" w:eastAsia="zh-CN"/>
        </w:rPr>
        <w:t>0万</w:t>
      </w:r>
      <w:r>
        <w:rPr>
          <w:rFonts w:hint="eastAsia" w:ascii="仿宋_GB2312" w:hAnsi="仿宋_GB2312" w:eastAsia="仿宋_GB2312" w:cs="仿宋_GB2312"/>
          <w:bCs/>
          <w:sz w:val="32"/>
          <w:szCs w:val="32"/>
        </w:rPr>
        <w:t>元，决算数</w:t>
      </w:r>
      <w:r>
        <w:rPr>
          <w:rFonts w:hint="eastAsia" w:ascii="仿宋_GB2312" w:hAnsi="仿宋_GB2312" w:eastAsia="仿宋_GB2312" w:cs="仿宋_GB2312"/>
          <w:sz w:val="32"/>
          <w:szCs w:val="32"/>
        </w:rPr>
        <w:t>0</w:t>
      </w:r>
      <w:r>
        <w:rPr>
          <w:rFonts w:hint="eastAsia" w:ascii="仿宋_GB2312" w:hAnsi="仿宋_GB2312" w:eastAsia="仿宋_GB2312" w:cs="仿宋_GB2312"/>
          <w:bCs/>
          <w:sz w:val="32"/>
          <w:szCs w:val="32"/>
        </w:rPr>
        <w:t>元。具体明细如下：</w:t>
      </w:r>
      <w:r>
        <w:rPr>
          <w:rFonts w:eastAsia="仿宋"/>
          <w:sz w:val="30"/>
          <w:szCs w:val="30"/>
        </w:rPr>
        <w:t xml:space="preserve">                                </w:t>
      </w:r>
      <w:r>
        <w:rPr>
          <w:sz w:val="30"/>
          <w:szCs w:val="30"/>
        </w:rPr>
        <w:t xml:space="preserve"> </w:t>
      </w:r>
      <w:r>
        <w:rPr>
          <w:rFonts w:hint="eastAsia"/>
          <w:sz w:val="20"/>
          <w:szCs w:val="20"/>
          <w:lang w:val="en-US" w:eastAsia="zh-CN"/>
        </w:rPr>
        <w:t xml:space="preserve">                                                                </w:t>
      </w:r>
    </w:p>
    <w:p w14:paraId="75F514BD">
      <w:pPr>
        <w:keepNext w:val="0"/>
        <w:keepLines w:val="0"/>
        <w:pageBreakBefore w:val="0"/>
        <w:kinsoku/>
        <w:wordWrap/>
        <w:topLinePunct w:val="0"/>
        <w:autoSpaceDE/>
        <w:autoSpaceDN/>
        <w:bidi w:val="0"/>
        <w:adjustRightInd/>
        <w:snapToGrid/>
        <w:spacing w:line="520" w:lineRule="exact"/>
        <w:ind w:firstLine="400" w:firstLineChars="200"/>
        <w:jc w:val="both"/>
        <w:textAlignment w:val="auto"/>
      </w:pPr>
      <w:r>
        <w:rPr>
          <w:rFonts w:hint="eastAsia"/>
          <w:sz w:val="20"/>
          <w:szCs w:val="20"/>
          <w:lang w:val="en-US" w:eastAsia="zh-CN"/>
        </w:rPr>
        <w:t xml:space="preserve">  </w:t>
      </w:r>
      <w:r>
        <w:rPr>
          <w:sz w:val="20"/>
          <w:szCs w:val="20"/>
        </w:rPr>
        <w:t>单位：万元</w:t>
      </w:r>
    </w:p>
    <w:tbl>
      <w:tblPr>
        <w:tblStyle w:val="10"/>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55"/>
        <w:gridCol w:w="1966"/>
        <w:gridCol w:w="2040"/>
        <w:gridCol w:w="2236"/>
      </w:tblGrid>
      <w:tr w14:paraId="33031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655" w:type="dxa"/>
            <w:tcBorders>
              <w:top w:val="single" w:color="auto" w:sz="4" w:space="0"/>
              <w:left w:val="single" w:color="auto" w:sz="4" w:space="0"/>
              <w:bottom w:val="single" w:color="auto" w:sz="4" w:space="0"/>
              <w:right w:val="single" w:color="auto" w:sz="4" w:space="0"/>
            </w:tcBorders>
            <w:vAlign w:val="center"/>
          </w:tcPr>
          <w:p w14:paraId="712848E9">
            <w:pPr>
              <w:keepNext w:val="0"/>
              <w:keepLines w:val="0"/>
              <w:pageBreakBefore w:val="0"/>
              <w:kinsoku/>
              <w:wordWrap/>
              <w:topLinePunct w:val="0"/>
              <w:autoSpaceDE/>
              <w:autoSpaceDN/>
              <w:bidi w:val="0"/>
              <w:adjustRightInd/>
              <w:snapToGrid/>
              <w:spacing w:line="520" w:lineRule="exact"/>
              <w:jc w:val="center"/>
              <w:textAlignment w:val="auto"/>
              <w:rPr>
                <w:rFonts w:eastAsia="黑体"/>
                <w:b/>
              </w:rPr>
            </w:pPr>
            <w:r>
              <w:rPr>
                <w:rFonts w:eastAsia="黑体"/>
                <w:b/>
              </w:rPr>
              <w:t>项  目</w:t>
            </w:r>
          </w:p>
        </w:tc>
        <w:tc>
          <w:tcPr>
            <w:tcW w:w="1966" w:type="dxa"/>
            <w:tcBorders>
              <w:top w:val="single" w:color="auto" w:sz="4" w:space="0"/>
              <w:left w:val="single" w:color="auto" w:sz="4" w:space="0"/>
              <w:bottom w:val="single" w:color="auto" w:sz="4" w:space="0"/>
              <w:right w:val="single" w:color="auto" w:sz="4" w:space="0"/>
            </w:tcBorders>
            <w:vAlign w:val="center"/>
          </w:tcPr>
          <w:p w14:paraId="28906316">
            <w:pPr>
              <w:keepNext w:val="0"/>
              <w:keepLines w:val="0"/>
              <w:pageBreakBefore w:val="0"/>
              <w:kinsoku/>
              <w:wordWrap/>
              <w:topLinePunct w:val="0"/>
              <w:autoSpaceDE/>
              <w:autoSpaceDN/>
              <w:bidi w:val="0"/>
              <w:adjustRightInd/>
              <w:snapToGrid/>
              <w:spacing w:line="520" w:lineRule="exact"/>
              <w:jc w:val="center"/>
              <w:textAlignment w:val="auto"/>
              <w:rPr>
                <w:rFonts w:eastAsia="黑体"/>
                <w:b/>
              </w:rPr>
            </w:pPr>
            <w:r>
              <w:rPr>
                <w:rFonts w:eastAsia="黑体"/>
                <w:b/>
              </w:rPr>
              <w:t>预算数</w:t>
            </w:r>
          </w:p>
        </w:tc>
        <w:tc>
          <w:tcPr>
            <w:tcW w:w="2040" w:type="dxa"/>
            <w:tcBorders>
              <w:top w:val="single" w:color="auto" w:sz="4" w:space="0"/>
              <w:left w:val="single" w:color="auto" w:sz="4" w:space="0"/>
              <w:bottom w:val="single" w:color="auto" w:sz="4" w:space="0"/>
              <w:right w:val="single" w:color="auto" w:sz="4" w:space="0"/>
            </w:tcBorders>
            <w:vAlign w:val="center"/>
          </w:tcPr>
          <w:p w14:paraId="1AF22561">
            <w:pPr>
              <w:keepNext w:val="0"/>
              <w:keepLines w:val="0"/>
              <w:pageBreakBefore w:val="0"/>
              <w:kinsoku/>
              <w:wordWrap/>
              <w:topLinePunct w:val="0"/>
              <w:autoSpaceDE/>
              <w:autoSpaceDN/>
              <w:bidi w:val="0"/>
              <w:adjustRightInd/>
              <w:snapToGrid/>
              <w:spacing w:line="520" w:lineRule="exact"/>
              <w:jc w:val="center"/>
              <w:textAlignment w:val="auto"/>
              <w:rPr>
                <w:rFonts w:eastAsia="黑体"/>
                <w:b/>
              </w:rPr>
            </w:pPr>
            <w:r>
              <w:rPr>
                <w:rFonts w:eastAsia="黑体"/>
                <w:b/>
              </w:rPr>
              <w:t>决算数</w:t>
            </w:r>
          </w:p>
        </w:tc>
        <w:tc>
          <w:tcPr>
            <w:tcW w:w="2236" w:type="dxa"/>
            <w:tcBorders>
              <w:top w:val="single" w:color="auto" w:sz="4" w:space="0"/>
              <w:left w:val="single" w:color="auto" w:sz="4" w:space="0"/>
              <w:bottom w:val="single" w:color="auto" w:sz="4" w:space="0"/>
              <w:right w:val="single" w:color="auto" w:sz="4" w:space="0"/>
            </w:tcBorders>
            <w:vAlign w:val="center"/>
          </w:tcPr>
          <w:p w14:paraId="0D65F441">
            <w:pPr>
              <w:keepNext w:val="0"/>
              <w:keepLines w:val="0"/>
              <w:pageBreakBefore w:val="0"/>
              <w:kinsoku/>
              <w:wordWrap/>
              <w:topLinePunct w:val="0"/>
              <w:autoSpaceDE/>
              <w:autoSpaceDN/>
              <w:bidi w:val="0"/>
              <w:adjustRightInd/>
              <w:snapToGrid/>
              <w:spacing w:line="520" w:lineRule="exact"/>
              <w:jc w:val="center"/>
              <w:textAlignment w:val="auto"/>
              <w:rPr>
                <w:rFonts w:eastAsia="黑体"/>
                <w:b/>
              </w:rPr>
            </w:pPr>
            <w:r>
              <w:rPr>
                <w:rFonts w:eastAsia="黑体"/>
                <w:b/>
              </w:rPr>
              <w:t>差异</w:t>
            </w:r>
          </w:p>
        </w:tc>
      </w:tr>
      <w:tr w14:paraId="261D8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5" w:type="dxa"/>
            <w:tcBorders>
              <w:top w:val="single" w:color="auto" w:sz="4" w:space="0"/>
              <w:left w:val="single" w:color="auto" w:sz="4" w:space="0"/>
              <w:bottom w:val="single" w:color="auto" w:sz="4" w:space="0"/>
              <w:right w:val="single" w:color="auto" w:sz="4" w:space="0"/>
            </w:tcBorders>
            <w:vAlign w:val="center"/>
          </w:tcPr>
          <w:p w14:paraId="77FD6EA5">
            <w:pPr>
              <w:keepNext w:val="0"/>
              <w:keepLines w:val="0"/>
              <w:pageBreakBefore w:val="0"/>
              <w:kinsoku/>
              <w:wordWrap/>
              <w:topLinePunct w:val="0"/>
              <w:autoSpaceDE/>
              <w:autoSpaceDN/>
              <w:bidi w:val="0"/>
              <w:adjustRightInd/>
              <w:snapToGrid/>
              <w:spacing w:line="520" w:lineRule="exact"/>
              <w:textAlignment w:val="auto"/>
            </w:pPr>
            <w:r>
              <w:t>公务用车购置支出</w:t>
            </w:r>
          </w:p>
        </w:tc>
        <w:tc>
          <w:tcPr>
            <w:tcW w:w="1966" w:type="dxa"/>
            <w:tcBorders>
              <w:top w:val="single" w:color="auto" w:sz="4" w:space="0"/>
              <w:left w:val="single" w:color="auto" w:sz="4" w:space="0"/>
              <w:bottom w:val="single" w:color="auto" w:sz="4" w:space="0"/>
              <w:right w:val="single" w:color="auto" w:sz="4" w:space="0"/>
            </w:tcBorders>
            <w:vAlign w:val="center"/>
          </w:tcPr>
          <w:p w14:paraId="2F9021F4">
            <w:pPr>
              <w:keepNext w:val="0"/>
              <w:keepLines w:val="0"/>
              <w:pageBreakBefore w:val="0"/>
              <w:kinsoku/>
              <w:wordWrap/>
              <w:topLinePunct w:val="0"/>
              <w:autoSpaceDE/>
              <w:autoSpaceDN/>
              <w:bidi w:val="0"/>
              <w:adjustRightInd/>
              <w:snapToGrid/>
              <w:spacing w:line="520" w:lineRule="exact"/>
              <w:jc w:val="center"/>
              <w:textAlignment w:val="auto"/>
              <w:rPr>
                <w:sz w:val="22"/>
                <w:szCs w:val="22"/>
              </w:rPr>
            </w:pPr>
            <w:r>
              <w:rPr>
                <w:rFonts w:hint="eastAsia"/>
                <w:sz w:val="22"/>
                <w:szCs w:val="22"/>
              </w:rPr>
              <w:t>0</w:t>
            </w:r>
          </w:p>
        </w:tc>
        <w:tc>
          <w:tcPr>
            <w:tcW w:w="2040" w:type="dxa"/>
            <w:tcBorders>
              <w:top w:val="single" w:color="auto" w:sz="4" w:space="0"/>
              <w:left w:val="single" w:color="auto" w:sz="4" w:space="0"/>
              <w:bottom w:val="single" w:color="auto" w:sz="4" w:space="0"/>
              <w:right w:val="single" w:color="auto" w:sz="4" w:space="0"/>
            </w:tcBorders>
            <w:vAlign w:val="center"/>
          </w:tcPr>
          <w:p w14:paraId="01A560D0">
            <w:pPr>
              <w:keepNext w:val="0"/>
              <w:keepLines w:val="0"/>
              <w:pageBreakBefore w:val="0"/>
              <w:kinsoku/>
              <w:wordWrap/>
              <w:topLinePunct w:val="0"/>
              <w:autoSpaceDE/>
              <w:autoSpaceDN/>
              <w:bidi w:val="0"/>
              <w:adjustRightInd/>
              <w:snapToGrid/>
              <w:spacing w:line="520" w:lineRule="exact"/>
              <w:jc w:val="center"/>
              <w:textAlignment w:val="auto"/>
              <w:rPr>
                <w:sz w:val="22"/>
                <w:szCs w:val="22"/>
              </w:rPr>
            </w:pPr>
            <w:r>
              <w:rPr>
                <w:rFonts w:hint="eastAsia"/>
                <w:sz w:val="22"/>
                <w:szCs w:val="22"/>
              </w:rPr>
              <w:t>0</w:t>
            </w:r>
          </w:p>
        </w:tc>
        <w:tc>
          <w:tcPr>
            <w:tcW w:w="2236" w:type="dxa"/>
            <w:tcBorders>
              <w:top w:val="single" w:color="auto" w:sz="4" w:space="0"/>
              <w:left w:val="single" w:color="auto" w:sz="4" w:space="0"/>
              <w:bottom w:val="single" w:color="auto" w:sz="4" w:space="0"/>
              <w:right w:val="single" w:color="auto" w:sz="4" w:space="0"/>
            </w:tcBorders>
            <w:vAlign w:val="center"/>
          </w:tcPr>
          <w:p w14:paraId="07C08836">
            <w:pPr>
              <w:keepNext w:val="0"/>
              <w:keepLines w:val="0"/>
              <w:pageBreakBefore w:val="0"/>
              <w:kinsoku/>
              <w:wordWrap/>
              <w:topLinePunct w:val="0"/>
              <w:autoSpaceDE/>
              <w:autoSpaceDN/>
              <w:bidi w:val="0"/>
              <w:adjustRightInd/>
              <w:snapToGrid/>
              <w:spacing w:line="520" w:lineRule="exact"/>
              <w:jc w:val="center"/>
              <w:textAlignment w:val="auto"/>
              <w:rPr>
                <w:rFonts w:eastAsia="仿宋"/>
              </w:rPr>
            </w:pPr>
            <w:r>
              <w:rPr>
                <w:rFonts w:hint="eastAsia" w:eastAsia="仿宋"/>
              </w:rPr>
              <w:t>0</w:t>
            </w:r>
          </w:p>
        </w:tc>
      </w:tr>
      <w:tr w14:paraId="00655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2655" w:type="dxa"/>
            <w:tcBorders>
              <w:top w:val="single" w:color="auto" w:sz="4" w:space="0"/>
              <w:left w:val="single" w:color="auto" w:sz="4" w:space="0"/>
              <w:bottom w:val="single" w:color="auto" w:sz="4" w:space="0"/>
              <w:right w:val="single" w:color="auto" w:sz="4" w:space="0"/>
            </w:tcBorders>
            <w:vAlign w:val="center"/>
          </w:tcPr>
          <w:p w14:paraId="3EDA8298">
            <w:pPr>
              <w:keepNext w:val="0"/>
              <w:keepLines w:val="0"/>
              <w:pageBreakBefore w:val="0"/>
              <w:kinsoku/>
              <w:wordWrap/>
              <w:topLinePunct w:val="0"/>
              <w:autoSpaceDE/>
              <w:autoSpaceDN/>
              <w:bidi w:val="0"/>
              <w:adjustRightInd/>
              <w:snapToGrid/>
              <w:spacing w:line="520" w:lineRule="exact"/>
              <w:textAlignment w:val="auto"/>
            </w:pPr>
            <w:r>
              <w:t>公务用车运行维护费支出</w:t>
            </w:r>
          </w:p>
        </w:tc>
        <w:tc>
          <w:tcPr>
            <w:tcW w:w="1966" w:type="dxa"/>
            <w:tcBorders>
              <w:top w:val="single" w:color="auto" w:sz="4" w:space="0"/>
              <w:left w:val="single" w:color="auto" w:sz="4" w:space="0"/>
              <w:bottom w:val="single" w:color="auto" w:sz="4" w:space="0"/>
              <w:right w:val="single" w:color="auto" w:sz="4" w:space="0"/>
            </w:tcBorders>
            <w:vAlign w:val="center"/>
          </w:tcPr>
          <w:p w14:paraId="3DE18520">
            <w:pPr>
              <w:keepNext w:val="0"/>
              <w:keepLines w:val="0"/>
              <w:pageBreakBefore w:val="0"/>
              <w:kinsoku/>
              <w:wordWrap/>
              <w:topLinePunct w:val="0"/>
              <w:autoSpaceDE/>
              <w:autoSpaceDN/>
              <w:bidi w:val="0"/>
              <w:adjustRightInd/>
              <w:snapToGrid/>
              <w:spacing w:line="520" w:lineRule="exact"/>
              <w:jc w:val="center"/>
              <w:textAlignment w:val="auto"/>
              <w:rPr>
                <w:sz w:val="22"/>
                <w:szCs w:val="22"/>
              </w:rPr>
            </w:pPr>
            <w:r>
              <w:rPr>
                <w:rFonts w:hint="eastAsia"/>
                <w:sz w:val="22"/>
                <w:szCs w:val="22"/>
              </w:rPr>
              <w:t>0</w:t>
            </w:r>
          </w:p>
        </w:tc>
        <w:tc>
          <w:tcPr>
            <w:tcW w:w="2040" w:type="dxa"/>
            <w:tcBorders>
              <w:top w:val="single" w:color="auto" w:sz="4" w:space="0"/>
              <w:left w:val="single" w:color="auto" w:sz="4" w:space="0"/>
              <w:bottom w:val="single" w:color="auto" w:sz="4" w:space="0"/>
              <w:right w:val="single" w:color="auto" w:sz="4" w:space="0"/>
            </w:tcBorders>
            <w:vAlign w:val="center"/>
          </w:tcPr>
          <w:p w14:paraId="1BF656F0">
            <w:pPr>
              <w:keepNext w:val="0"/>
              <w:keepLines w:val="0"/>
              <w:pageBreakBefore w:val="0"/>
              <w:kinsoku/>
              <w:wordWrap/>
              <w:topLinePunct w:val="0"/>
              <w:autoSpaceDE/>
              <w:autoSpaceDN/>
              <w:bidi w:val="0"/>
              <w:adjustRightInd/>
              <w:snapToGrid/>
              <w:spacing w:line="520" w:lineRule="exact"/>
              <w:jc w:val="center"/>
              <w:textAlignment w:val="auto"/>
              <w:rPr>
                <w:sz w:val="22"/>
                <w:szCs w:val="22"/>
              </w:rPr>
            </w:pPr>
            <w:r>
              <w:rPr>
                <w:rFonts w:hint="eastAsia"/>
                <w:sz w:val="22"/>
                <w:szCs w:val="22"/>
              </w:rPr>
              <w:t>0</w:t>
            </w:r>
          </w:p>
        </w:tc>
        <w:tc>
          <w:tcPr>
            <w:tcW w:w="2236" w:type="dxa"/>
            <w:tcBorders>
              <w:top w:val="single" w:color="auto" w:sz="4" w:space="0"/>
              <w:left w:val="single" w:color="auto" w:sz="4" w:space="0"/>
              <w:bottom w:val="single" w:color="auto" w:sz="4" w:space="0"/>
              <w:right w:val="single" w:color="auto" w:sz="4" w:space="0"/>
            </w:tcBorders>
            <w:vAlign w:val="center"/>
          </w:tcPr>
          <w:p w14:paraId="53CEEECF">
            <w:pPr>
              <w:keepNext w:val="0"/>
              <w:keepLines w:val="0"/>
              <w:pageBreakBefore w:val="0"/>
              <w:kinsoku/>
              <w:wordWrap/>
              <w:topLinePunct w:val="0"/>
              <w:autoSpaceDE/>
              <w:autoSpaceDN/>
              <w:bidi w:val="0"/>
              <w:adjustRightInd/>
              <w:snapToGrid/>
              <w:spacing w:line="520" w:lineRule="exact"/>
              <w:jc w:val="center"/>
              <w:textAlignment w:val="auto"/>
              <w:rPr>
                <w:rFonts w:eastAsia="仿宋"/>
              </w:rPr>
            </w:pPr>
            <w:r>
              <w:rPr>
                <w:rFonts w:hint="eastAsia" w:eastAsia="仿宋"/>
              </w:rPr>
              <w:t>0</w:t>
            </w:r>
          </w:p>
        </w:tc>
      </w:tr>
      <w:tr w14:paraId="08BAD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5" w:type="dxa"/>
            <w:tcBorders>
              <w:top w:val="single" w:color="auto" w:sz="4" w:space="0"/>
              <w:left w:val="single" w:color="auto" w:sz="4" w:space="0"/>
              <w:bottom w:val="single" w:color="auto" w:sz="4" w:space="0"/>
              <w:right w:val="single" w:color="auto" w:sz="4" w:space="0"/>
            </w:tcBorders>
            <w:vAlign w:val="center"/>
          </w:tcPr>
          <w:p w14:paraId="548376E1">
            <w:pPr>
              <w:keepNext w:val="0"/>
              <w:keepLines w:val="0"/>
              <w:pageBreakBefore w:val="0"/>
              <w:kinsoku/>
              <w:wordWrap/>
              <w:topLinePunct w:val="0"/>
              <w:autoSpaceDE/>
              <w:autoSpaceDN/>
              <w:bidi w:val="0"/>
              <w:adjustRightInd/>
              <w:snapToGrid/>
              <w:spacing w:line="520" w:lineRule="exact"/>
              <w:textAlignment w:val="auto"/>
            </w:pPr>
            <w:r>
              <w:t>因公出国支出</w:t>
            </w:r>
          </w:p>
        </w:tc>
        <w:tc>
          <w:tcPr>
            <w:tcW w:w="1966" w:type="dxa"/>
            <w:tcBorders>
              <w:top w:val="single" w:color="auto" w:sz="4" w:space="0"/>
              <w:left w:val="single" w:color="auto" w:sz="4" w:space="0"/>
              <w:bottom w:val="single" w:color="auto" w:sz="4" w:space="0"/>
              <w:right w:val="single" w:color="auto" w:sz="4" w:space="0"/>
            </w:tcBorders>
            <w:vAlign w:val="center"/>
          </w:tcPr>
          <w:p w14:paraId="1547BD70">
            <w:pPr>
              <w:keepNext w:val="0"/>
              <w:keepLines w:val="0"/>
              <w:pageBreakBefore w:val="0"/>
              <w:kinsoku/>
              <w:wordWrap/>
              <w:topLinePunct w:val="0"/>
              <w:autoSpaceDE/>
              <w:autoSpaceDN/>
              <w:bidi w:val="0"/>
              <w:adjustRightInd/>
              <w:snapToGrid/>
              <w:spacing w:line="520" w:lineRule="exact"/>
              <w:jc w:val="center"/>
              <w:textAlignment w:val="auto"/>
              <w:rPr>
                <w:sz w:val="22"/>
                <w:szCs w:val="22"/>
              </w:rPr>
            </w:pPr>
            <w:r>
              <w:rPr>
                <w:rFonts w:hint="eastAsia"/>
                <w:sz w:val="22"/>
                <w:szCs w:val="22"/>
              </w:rPr>
              <w:t>0</w:t>
            </w:r>
          </w:p>
        </w:tc>
        <w:tc>
          <w:tcPr>
            <w:tcW w:w="2040" w:type="dxa"/>
            <w:tcBorders>
              <w:top w:val="single" w:color="auto" w:sz="4" w:space="0"/>
              <w:left w:val="single" w:color="auto" w:sz="4" w:space="0"/>
              <w:bottom w:val="single" w:color="auto" w:sz="4" w:space="0"/>
              <w:right w:val="single" w:color="auto" w:sz="4" w:space="0"/>
            </w:tcBorders>
            <w:vAlign w:val="center"/>
          </w:tcPr>
          <w:p w14:paraId="33802A9E">
            <w:pPr>
              <w:keepNext w:val="0"/>
              <w:keepLines w:val="0"/>
              <w:pageBreakBefore w:val="0"/>
              <w:kinsoku/>
              <w:wordWrap/>
              <w:topLinePunct w:val="0"/>
              <w:autoSpaceDE/>
              <w:autoSpaceDN/>
              <w:bidi w:val="0"/>
              <w:adjustRightInd/>
              <w:snapToGrid/>
              <w:spacing w:line="520" w:lineRule="exact"/>
              <w:jc w:val="center"/>
              <w:textAlignment w:val="auto"/>
              <w:rPr>
                <w:sz w:val="22"/>
                <w:szCs w:val="22"/>
              </w:rPr>
            </w:pPr>
            <w:r>
              <w:rPr>
                <w:rFonts w:hint="eastAsia"/>
                <w:sz w:val="22"/>
                <w:szCs w:val="22"/>
              </w:rPr>
              <w:t>0</w:t>
            </w:r>
          </w:p>
        </w:tc>
        <w:tc>
          <w:tcPr>
            <w:tcW w:w="2236" w:type="dxa"/>
            <w:tcBorders>
              <w:top w:val="single" w:color="auto" w:sz="4" w:space="0"/>
              <w:left w:val="single" w:color="auto" w:sz="4" w:space="0"/>
              <w:bottom w:val="single" w:color="auto" w:sz="4" w:space="0"/>
              <w:right w:val="single" w:color="auto" w:sz="4" w:space="0"/>
            </w:tcBorders>
            <w:vAlign w:val="center"/>
          </w:tcPr>
          <w:p w14:paraId="1EC05999">
            <w:pPr>
              <w:keepNext w:val="0"/>
              <w:keepLines w:val="0"/>
              <w:pageBreakBefore w:val="0"/>
              <w:kinsoku/>
              <w:wordWrap/>
              <w:topLinePunct w:val="0"/>
              <w:autoSpaceDE/>
              <w:autoSpaceDN/>
              <w:bidi w:val="0"/>
              <w:adjustRightInd/>
              <w:snapToGrid/>
              <w:spacing w:line="520" w:lineRule="exact"/>
              <w:jc w:val="center"/>
              <w:textAlignment w:val="auto"/>
              <w:rPr>
                <w:rFonts w:eastAsia="仿宋"/>
              </w:rPr>
            </w:pPr>
            <w:r>
              <w:rPr>
                <w:rFonts w:hint="eastAsia" w:eastAsia="仿宋"/>
              </w:rPr>
              <w:t>0</w:t>
            </w:r>
          </w:p>
        </w:tc>
      </w:tr>
      <w:tr w14:paraId="4576F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5" w:type="dxa"/>
            <w:tcBorders>
              <w:top w:val="single" w:color="auto" w:sz="4" w:space="0"/>
              <w:left w:val="single" w:color="auto" w:sz="4" w:space="0"/>
              <w:bottom w:val="single" w:color="auto" w:sz="4" w:space="0"/>
              <w:right w:val="single" w:color="auto" w:sz="4" w:space="0"/>
            </w:tcBorders>
            <w:vAlign w:val="center"/>
          </w:tcPr>
          <w:p w14:paraId="34E6BBE1">
            <w:pPr>
              <w:keepNext w:val="0"/>
              <w:keepLines w:val="0"/>
              <w:pageBreakBefore w:val="0"/>
              <w:kinsoku/>
              <w:wordWrap/>
              <w:topLinePunct w:val="0"/>
              <w:autoSpaceDE/>
              <w:autoSpaceDN/>
              <w:bidi w:val="0"/>
              <w:adjustRightInd/>
              <w:snapToGrid/>
              <w:spacing w:line="520" w:lineRule="exact"/>
              <w:textAlignment w:val="auto"/>
            </w:pPr>
            <w:r>
              <w:t xml:space="preserve">公务接待费支出  </w:t>
            </w:r>
          </w:p>
        </w:tc>
        <w:tc>
          <w:tcPr>
            <w:tcW w:w="1966" w:type="dxa"/>
            <w:tcBorders>
              <w:top w:val="single" w:color="auto" w:sz="4" w:space="0"/>
              <w:left w:val="single" w:color="auto" w:sz="4" w:space="0"/>
              <w:bottom w:val="single" w:color="auto" w:sz="4" w:space="0"/>
              <w:right w:val="single" w:color="auto" w:sz="4" w:space="0"/>
            </w:tcBorders>
            <w:vAlign w:val="center"/>
          </w:tcPr>
          <w:p w14:paraId="672C937F">
            <w:pPr>
              <w:keepNext w:val="0"/>
              <w:keepLines w:val="0"/>
              <w:pageBreakBefore w:val="0"/>
              <w:kinsoku/>
              <w:wordWrap/>
              <w:topLinePunct w:val="0"/>
              <w:autoSpaceDE/>
              <w:autoSpaceDN/>
              <w:bidi w:val="0"/>
              <w:adjustRightInd/>
              <w:snapToGrid/>
              <w:spacing w:line="520" w:lineRule="exact"/>
              <w:jc w:val="center"/>
              <w:textAlignment w:val="auto"/>
              <w:rPr>
                <w:rFonts w:hint="default" w:eastAsia="微软雅黑"/>
                <w:sz w:val="22"/>
                <w:szCs w:val="22"/>
                <w:lang w:val="en-US" w:eastAsia="zh-CN"/>
              </w:rPr>
            </w:pPr>
            <w:r>
              <w:rPr>
                <w:rFonts w:hint="eastAsia"/>
                <w:sz w:val="22"/>
                <w:szCs w:val="22"/>
                <w:lang w:val="en-US" w:eastAsia="zh-CN"/>
              </w:rPr>
              <w:t>0</w:t>
            </w:r>
          </w:p>
        </w:tc>
        <w:tc>
          <w:tcPr>
            <w:tcW w:w="2040" w:type="dxa"/>
            <w:tcBorders>
              <w:top w:val="single" w:color="auto" w:sz="4" w:space="0"/>
              <w:left w:val="single" w:color="auto" w:sz="4" w:space="0"/>
              <w:bottom w:val="single" w:color="auto" w:sz="4" w:space="0"/>
              <w:right w:val="single" w:color="auto" w:sz="4" w:space="0"/>
            </w:tcBorders>
            <w:vAlign w:val="center"/>
          </w:tcPr>
          <w:p w14:paraId="35AA79B7">
            <w:pPr>
              <w:keepNext w:val="0"/>
              <w:keepLines w:val="0"/>
              <w:pageBreakBefore w:val="0"/>
              <w:kinsoku/>
              <w:wordWrap/>
              <w:topLinePunct w:val="0"/>
              <w:autoSpaceDE/>
              <w:autoSpaceDN/>
              <w:bidi w:val="0"/>
              <w:adjustRightInd/>
              <w:snapToGrid/>
              <w:spacing w:line="520" w:lineRule="exact"/>
              <w:jc w:val="center"/>
              <w:textAlignment w:val="auto"/>
              <w:rPr>
                <w:sz w:val="22"/>
                <w:szCs w:val="22"/>
              </w:rPr>
            </w:pPr>
            <w:r>
              <w:rPr>
                <w:rFonts w:hint="eastAsia"/>
                <w:sz w:val="22"/>
                <w:szCs w:val="22"/>
              </w:rPr>
              <w:t>0</w:t>
            </w:r>
          </w:p>
        </w:tc>
        <w:tc>
          <w:tcPr>
            <w:tcW w:w="2236" w:type="dxa"/>
            <w:tcBorders>
              <w:top w:val="single" w:color="auto" w:sz="4" w:space="0"/>
              <w:left w:val="single" w:color="auto" w:sz="4" w:space="0"/>
              <w:bottom w:val="single" w:color="auto" w:sz="4" w:space="0"/>
              <w:right w:val="single" w:color="auto" w:sz="4" w:space="0"/>
            </w:tcBorders>
            <w:vAlign w:val="center"/>
          </w:tcPr>
          <w:p w14:paraId="2D0B199B">
            <w:pPr>
              <w:keepNext w:val="0"/>
              <w:keepLines w:val="0"/>
              <w:pageBreakBefore w:val="0"/>
              <w:kinsoku/>
              <w:wordWrap/>
              <w:topLinePunct w:val="0"/>
              <w:autoSpaceDE/>
              <w:autoSpaceDN/>
              <w:bidi w:val="0"/>
              <w:adjustRightInd/>
              <w:snapToGrid/>
              <w:spacing w:line="520" w:lineRule="exact"/>
              <w:jc w:val="center"/>
              <w:textAlignment w:val="auto"/>
              <w:rPr>
                <w:rFonts w:hint="default" w:eastAsia="仿宋"/>
                <w:lang w:val="en-US" w:eastAsia="zh-CN"/>
              </w:rPr>
            </w:pPr>
            <w:r>
              <w:rPr>
                <w:rFonts w:hint="eastAsia" w:eastAsia="仿宋"/>
                <w:lang w:val="en-US" w:eastAsia="zh-CN"/>
              </w:rPr>
              <w:t>0</w:t>
            </w:r>
          </w:p>
        </w:tc>
      </w:tr>
      <w:tr w14:paraId="255DC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5" w:type="dxa"/>
            <w:tcBorders>
              <w:top w:val="single" w:color="auto" w:sz="4" w:space="0"/>
              <w:left w:val="single" w:color="auto" w:sz="4" w:space="0"/>
              <w:bottom w:val="single" w:color="auto" w:sz="4" w:space="0"/>
              <w:right w:val="single" w:color="auto" w:sz="4" w:space="0"/>
            </w:tcBorders>
            <w:vAlign w:val="center"/>
          </w:tcPr>
          <w:p w14:paraId="6097EC2E">
            <w:pPr>
              <w:keepNext w:val="0"/>
              <w:keepLines w:val="0"/>
              <w:pageBreakBefore w:val="0"/>
              <w:kinsoku/>
              <w:wordWrap/>
              <w:topLinePunct w:val="0"/>
              <w:autoSpaceDE/>
              <w:autoSpaceDN/>
              <w:bidi w:val="0"/>
              <w:adjustRightInd/>
              <w:snapToGrid/>
              <w:spacing w:line="520" w:lineRule="exact"/>
              <w:textAlignment w:val="auto"/>
            </w:pPr>
            <w:r>
              <w:t xml:space="preserve">   合  计</w:t>
            </w:r>
          </w:p>
        </w:tc>
        <w:tc>
          <w:tcPr>
            <w:tcW w:w="1966" w:type="dxa"/>
            <w:tcBorders>
              <w:top w:val="single" w:color="auto" w:sz="4" w:space="0"/>
              <w:left w:val="single" w:color="auto" w:sz="4" w:space="0"/>
              <w:bottom w:val="single" w:color="auto" w:sz="4" w:space="0"/>
              <w:right w:val="single" w:color="auto" w:sz="4" w:space="0"/>
            </w:tcBorders>
            <w:vAlign w:val="center"/>
          </w:tcPr>
          <w:p w14:paraId="50955759">
            <w:pPr>
              <w:keepNext w:val="0"/>
              <w:keepLines w:val="0"/>
              <w:pageBreakBefore w:val="0"/>
              <w:kinsoku/>
              <w:wordWrap/>
              <w:topLinePunct w:val="0"/>
              <w:autoSpaceDE/>
              <w:autoSpaceDN/>
              <w:bidi w:val="0"/>
              <w:adjustRightInd/>
              <w:snapToGrid/>
              <w:spacing w:line="520" w:lineRule="exact"/>
              <w:jc w:val="center"/>
              <w:textAlignment w:val="auto"/>
              <w:rPr>
                <w:rFonts w:hint="default" w:eastAsia="微软雅黑"/>
                <w:sz w:val="22"/>
                <w:szCs w:val="22"/>
                <w:lang w:val="en-US" w:eastAsia="zh-CN"/>
              </w:rPr>
            </w:pPr>
            <w:r>
              <w:rPr>
                <w:rFonts w:hint="eastAsia"/>
                <w:sz w:val="22"/>
                <w:szCs w:val="22"/>
                <w:lang w:val="en-US" w:eastAsia="zh-CN"/>
              </w:rPr>
              <w:t>0</w:t>
            </w:r>
          </w:p>
        </w:tc>
        <w:tc>
          <w:tcPr>
            <w:tcW w:w="2040" w:type="dxa"/>
            <w:tcBorders>
              <w:top w:val="single" w:color="auto" w:sz="4" w:space="0"/>
              <w:left w:val="single" w:color="auto" w:sz="4" w:space="0"/>
              <w:bottom w:val="single" w:color="auto" w:sz="4" w:space="0"/>
              <w:right w:val="single" w:color="auto" w:sz="4" w:space="0"/>
            </w:tcBorders>
            <w:vAlign w:val="center"/>
          </w:tcPr>
          <w:p w14:paraId="19FC5126">
            <w:pPr>
              <w:keepNext w:val="0"/>
              <w:keepLines w:val="0"/>
              <w:pageBreakBefore w:val="0"/>
              <w:kinsoku/>
              <w:wordWrap/>
              <w:topLinePunct w:val="0"/>
              <w:autoSpaceDE/>
              <w:autoSpaceDN/>
              <w:bidi w:val="0"/>
              <w:adjustRightInd/>
              <w:snapToGrid/>
              <w:spacing w:line="520" w:lineRule="exact"/>
              <w:jc w:val="center"/>
              <w:textAlignment w:val="auto"/>
              <w:rPr>
                <w:sz w:val="22"/>
                <w:szCs w:val="22"/>
              </w:rPr>
            </w:pPr>
            <w:r>
              <w:rPr>
                <w:rFonts w:hint="eastAsia"/>
                <w:sz w:val="22"/>
                <w:szCs w:val="22"/>
              </w:rPr>
              <w:t>0</w:t>
            </w:r>
          </w:p>
        </w:tc>
        <w:tc>
          <w:tcPr>
            <w:tcW w:w="2236" w:type="dxa"/>
            <w:tcBorders>
              <w:top w:val="single" w:color="auto" w:sz="4" w:space="0"/>
              <w:left w:val="single" w:color="auto" w:sz="4" w:space="0"/>
              <w:bottom w:val="single" w:color="auto" w:sz="4" w:space="0"/>
              <w:right w:val="single" w:color="auto" w:sz="4" w:space="0"/>
            </w:tcBorders>
            <w:vAlign w:val="center"/>
          </w:tcPr>
          <w:p w14:paraId="3CF7936B">
            <w:pPr>
              <w:keepNext w:val="0"/>
              <w:keepLines w:val="0"/>
              <w:pageBreakBefore w:val="0"/>
              <w:kinsoku/>
              <w:wordWrap/>
              <w:topLinePunct w:val="0"/>
              <w:autoSpaceDE/>
              <w:autoSpaceDN/>
              <w:bidi w:val="0"/>
              <w:adjustRightInd/>
              <w:snapToGrid/>
              <w:spacing w:line="520" w:lineRule="exact"/>
              <w:jc w:val="center"/>
              <w:textAlignment w:val="auto"/>
              <w:rPr>
                <w:rFonts w:hint="default" w:eastAsia="仿宋"/>
                <w:lang w:val="en-US" w:eastAsia="zh-CN"/>
              </w:rPr>
            </w:pPr>
            <w:r>
              <w:rPr>
                <w:rFonts w:hint="eastAsia" w:eastAsia="仿宋"/>
                <w:lang w:val="en-US" w:eastAsia="zh-CN"/>
              </w:rPr>
              <w:t>0</w:t>
            </w:r>
          </w:p>
        </w:tc>
      </w:tr>
    </w:tbl>
    <w:p w14:paraId="465D206F">
      <w:pPr>
        <w:keepNext w:val="0"/>
        <w:keepLines w:val="0"/>
        <w:pageBreakBefore w:val="0"/>
        <w:kinsoku/>
        <w:wordWrap/>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Cs/>
          <w:sz w:val="32"/>
          <w:szCs w:val="32"/>
        </w:rPr>
        <w:t>202</w:t>
      </w: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年度“三公经费”决算数</w:t>
      </w:r>
      <w:r>
        <w:rPr>
          <w:rFonts w:hint="eastAsia" w:ascii="仿宋_GB2312" w:hAnsi="仿宋_GB2312" w:eastAsia="仿宋_GB2312" w:cs="仿宋_GB2312"/>
          <w:sz w:val="32"/>
          <w:szCs w:val="32"/>
        </w:rPr>
        <w:t>0</w:t>
      </w:r>
      <w:r>
        <w:rPr>
          <w:rFonts w:hint="eastAsia" w:ascii="仿宋_GB2312" w:hAnsi="仿宋_GB2312" w:eastAsia="仿宋_GB2312" w:cs="仿宋_GB2312"/>
          <w:bCs/>
          <w:sz w:val="32"/>
          <w:szCs w:val="32"/>
        </w:rPr>
        <w:t>万元比202</w:t>
      </w:r>
      <w:r>
        <w:rPr>
          <w:rFonts w:hint="eastAsia" w:ascii="仿宋_GB2312" w:hAnsi="仿宋_GB2312" w:eastAsia="仿宋_GB2312" w:cs="仿宋_GB2312"/>
          <w:bCs/>
          <w:sz w:val="32"/>
          <w:szCs w:val="32"/>
          <w:lang w:val="en-US" w:eastAsia="zh-CN"/>
        </w:rPr>
        <w:t>2</w:t>
      </w:r>
      <w:r>
        <w:rPr>
          <w:rFonts w:hint="eastAsia" w:ascii="仿宋_GB2312" w:hAnsi="仿宋_GB2312" w:eastAsia="仿宋_GB2312" w:cs="仿宋_GB2312"/>
          <w:bCs/>
          <w:sz w:val="32"/>
          <w:szCs w:val="32"/>
        </w:rPr>
        <w:t>年度“三公经费”决算数</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bCs/>
          <w:sz w:val="32"/>
          <w:szCs w:val="32"/>
        </w:rPr>
        <w:t>万元</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减少了</w:t>
      </w:r>
      <w:r>
        <w:rPr>
          <w:rFonts w:hint="eastAsia" w:ascii="仿宋_GB2312" w:hAnsi="仿宋_GB2312" w:eastAsia="仿宋_GB2312" w:cs="仿宋_GB2312"/>
          <w:bCs/>
          <w:sz w:val="32"/>
          <w:szCs w:val="32"/>
          <w:lang w:val="en-US" w:eastAsia="zh-CN"/>
        </w:rPr>
        <w:t>0</w:t>
      </w:r>
      <w:r>
        <w:rPr>
          <w:rFonts w:hint="eastAsia" w:ascii="仿宋_GB2312" w:hAnsi="仿宋_GB2312" w:eastAsia="仿宋_GB2312" w:cs="仿宋_GB2312"/>
          <w:bCs/>
          <w:sz w:val="32"/>
          <w:szCs w:val="32"/>
        </w:rPr>
        <w:t>万元，三公经费</w:t>
      </w:r>
      <w:r>
        <w:rPr>
          <w:rFonts w:hint="eastAsia" w:ascii="仿宋_GB2312" w:hAnsi="仿宋_GB2312" w:eastAsia="仿宋_GB2312" w:cs="仿宋_GB2312"/>
          <w:bCs/>
          <w:sz w:val="32"/>
          <w:szCs w:val="32"/>
          <w:lang w:eastAsia="zh-CN"/>
        </w:rPr>
        <w:t>无增减</w:t>
      </w:r>
      <w:r>
        <w:rPr>
          <w:rFonts w:hint="eastAsia" w:ascii="仿宋_GB2312" w:hAnsi="仿宋_GB2312" w:eastAsia="仿宋_GB2312" w:cs="仿宋_GB2312"/>
          <w:bCs/>
          <w:sz w:val="32"/>
          <w:szCs w:val="32"/>
        </w:rPr>
        <w:t>的主要原因：是</w:t>
      </w:r>
      <w:r>
        <w:rPr>
          <w:rFonts w:hint="eastAsia" w:ascii="仿宋_GB2312" w:hAnsi="仿宋_GB2312" w:eastAsia="仿宋_GB2312" w:cs="仿宋_GB2312"/>
          <w:bCs/>
          <w:sz w:val="32"/>
          <w:szCs w:val="32"/>
          <w:lang w:eastAsia="zh-CN"/>
        </w:rPr>
        <w:t>单位</w:t>
      </w:r>
      <w:r>
        <w:rPr>
          <w:rFonts w:hint="eastAsia" w:ascii="仿宋_GB2312" w:hAnsi="仿宋_GB2312" w:eastAsia="仿宋_GB2312" w:cs="仿宋_GB2312"/>
          <w:bCs/>
          <w:sz w:val="32"/>
          <w:szCs w:val="32"/>
        </w:rPr>
        <w:t>严格执行《关于进一步加强三公经费的管理意见》，认真贯彻落实</w:t>
      </w:r>
      <w:r>
        <w:rPr>
          <w:rFonts w:hint="eastAsia" w:ascii="仿宋_GB2312" w:hAnsi="仿宋_GB2312" w:eastAsia="仿宋_GB2312" w:cs="仿宋_GB2312"/>
          <w:bCs/>
          <w:sz w:val="32"/>
          <w:szCs w:val="32"/>
          <w:lang w:eastAsia="zh-CN"/>
        </w:rPr>
        <w:t>中央</w:t>
      </w:r>
      <w:r>
        <w:rPr>
          <w:rFonts w:hint="eastAsia" w:ascii="仿宋_GB2312" w:hAnsi="仿宋_GB2312" w:eastAsia="仿宋_GB2312" w:cs="仿宋_GB2312"/>
          <w:bCs/>
          <w:sz w:val="32"/>
          <w:szCs w:val="32"/>
        </w:rPr>
        <w:t>八项规定要求，厉行节约，规范公务接待活动</w:t>
      </w:r>
      <w:r>
        <w:rPr>
          <w:rFonts w:hint="eastAsia" w:ascii="仿宋_GB2312" w:hAnsi="仿宋_GB2312" w:eastAsia="仿宋_GB2312" w:cs="仿宋_GB2312"/>
          <w:bCs/>
          <w:sz w:val="32"/>
          <w:szCs w:val="32"/>
          <w:lang w:eastAsia="zh-CN"/>
        </w:rPr>
        <w:t>，严格</w:t>
      </w:r>
      <w:r>
        <w:rPr>
          <w:rFonts w:hint="eastAsia" w:ascii="仿宋_GB2312" w:hAnsi="仿宋_GB2312" w:eastAsia="仿宋_GB2312" w:cs="仿宋_GB2312"/>
          <w:bCs/>
          <w:sz w:val="32"/>
          <w:szCs w:val="32"/>
        </w:rPr>
        <w:t>控制三公经费支出</w:t>
      </w:r>
      <w:r>
        <w:rPr>
          <w:rFonts w:hint="eastAsia" w:ascii="仿宋_GB2312" w:hAnsi="仿宋_GB2312" w:eastAsia="仿宋_GB2312" w:cs="仿宋_GB2312"/>
          <w:bCs/>
          <w:sz w:val="32"/>
          <w:szCs w:val="32"/>
          <w:lang w:eastAsia="zh-CN"/>
        </w:rPr>
        <w:t>。</w:t>
      </w:r>
    </w:p>
    <w:p w14:paraId="138AFCA7">
      <w:pPr>
        <w:keepNext w:val="0"/>
        <w:keepLines w:val="0"/>
        <w:pageBreakBefore w:val="0"/>
        <w:numPr>
          <w:ilvl w:val="0"/>
          <w:numId w:val="1"/>
        </w:numPr>
        <w:kinsoku/>
        <w:wordWrap/>
        <w:topLinePunct w:val="0"/>
        <w:autoSpaceDE/>
        <w:autoSpaceDN/>
        <w:bidi w:val="0"/>
        <w:adjustRightInd/>
        <w:snapToGrid/>
        <w:spacing w:line="520" w:lineRule="exact"/>
        <w:ind w:left="0" w:leftChars="0" w:firstLine="643" w:firstLineChars="200"/>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rPr>
        <w:t>高度重视绩效评价</w:t>
      </w:r>
      <w:r>
        <w:rPr>
          <w:rFonts w:hint="eastAsia" w:ascii="楷体" w:hAnsi="楷体" w:eastAsia="楷体" w:cs="楷体"/>
          <w:b/>
          <w:bCs/>
          <w:sz w:val="32"/>
          <w:szCs w:val="32"/>
          <w:lang w:eastAsia="zh-CN"/>
        </w:rPr>
        <w:t>工作</w:t>
      </w:r>
    </w:p>
    <w:p w14:paraId="5A38B4A6">
      <w:pPr>
        <w:keepNext w:val="0"/>
        <w:keepLines w:val="0"/>
        <w:pageBreakBefore w:val="0"/>
        <w:numPr>
          <w:ilvl w:val="0"/>
          <w:numId w:val="0"/>
        </w:numPr>
        <w:kinsoku/>
        <w:wordWrap/>
        <w:topLinePunct w:val="0"/>
        <w:autoSpaceDE/>
        <w:autoSpaceDN/>
        <w:bidi w:val="0"/>
        <w:adjustRightInd/>
        <w:snapToGrid/>
        <w:spacing w:line="520" w:lineRule="exact"/>
        <w:ind w:leftChars="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积极探索和建立一套与预算管理相结合、多渠道应用评价结果的有效机制，着力提高绩效意识和财政资金使用效益。同时，按照县财政部门统一部署，我</w:t>
      </w:r>
      <w:r>
        <w:rPr>
          <w:rFonts w:hint="eastAsia" w:ascii="仿宋_GB2312" w:hAnsi="仿宋_GB2312" w:eastAsia="仿宋_GB2312" w:cs="仿宋_GB2312"/>
          <w:sz w:val="32"/>
          <w:szCs w:val="32"/>
          <w:lang w:eastAsia="zh-CN"/>
        </w:rPr>
        <w:t>社</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年度部门整体支出绩效自评情况将在中方县政府门户网站公开，接受社会监督。</w:t>
      </w:r>
      <w:r>
        <w:rPr>
          <w:rFonts w:hint="eastAsia" w:ascii="仿宋_GB2312" w:eastAsia="仿宋_GB2312"/>
          <w:sz w:val="32"/>
          <w:szCs w:val="32"/>
        </w:rPr>
        <w:t>根据部门整体支出绩效评价要求，设定评分标准，202</w:t>
      </w:r>
      <w:r>
        <w:rPr>
          <w:rFonts w:hint="eastAsia" w:ascii="仿宋_GB2312" w:eastAsia="仿宋_GB2312"/>
          <w:sz w:val="32"/>
          <w:szCs w:val="32"/>
          <w:lang w:val="en-US" w:eastAsia="zh-CN"/>
        </w:rPr>
        <w:t>3</w:t>
      </w:r>
      <w:r>
        <w:rPr>
          <w:rFonts w:hint="eastAsia" w:ascii="仿宋_GB2312" w:eastAsia="仿宋_GB2312"/>
          <w:sz w:val="32"/>
          <w:szCs w:val="32"/>
        </w:rPr>
        <w:t>年度我</w:t>
      </w:r>
      <w:r>
        <w:rPr>
          <w:rFonts w:hint="eastAsia" w:ascii="仿宋_GB2312" w:eastAsia="仿宋_GB2312"/>
          <w:sz w:val="32"/>
          <w:szCs w:val="32"/>
          <w:lang w:eastAsia="zh-CN"/>
        </w:rPr>
        <w:t>会</w:t>
      </w:r>
      <w:r>
        <w:rPr>
          <w:rFonts w:hint="eastAsia" w:ascii="仿宋_GB2312" w:eastAsia="仿宋_GB2312"/>
          <w:sz w:val="32"/>
          <w:szCs w:val="32"/>
        </w:rPr>
        <w:t>综合得分为9</w:t>
      </w:r>
      <w:r>
        <w:rPr>
          <w:rFonts w:hint="eastAsia" w:ascii="仿宋_GB2312" w:eastAsia="仿宋_GB2312"/>
          <w:sz w:val="32"/>
          <w:szCs w:val="32"/>
          <w:lang w:val="en-US" w:eastAsia="zh-CN"/>
        </w:rPr>
        <w:t>2</w:t>
      </w:r>
      <w:bookmarkStart w:id="0" w:name="_GoBack"/>
      <w:bookmarkEnd w:id="0"/>
      <w:r>
        <w:rPr>
          <w:rFonts w:hint="eastAsia" w:ascii="仿宋_GB2312" w:eastAsia="仿宋_GB2312"/>
          <w:sz w:val="32"/>
          <w:szCs w:val="32"/>
        </w:rPr>
        <w:t>分。</w:t>
      </w:r>
    </w:p>
    <w:p w14:paraId="424F554B">
      <w:pPr>
        <w:keepNext w:val="0"/>
        <w:keepLines w:val="0"/>
        <w:pageBreakBefore w:val="0"/>
        <w:kinsoku/>
        <w:wordWrap/>
        <w:topLinePunct w:val="0"/>
        <w:autoSpaceDE/>
        <w:autoSpaceDN/>
        <w:bidi w:val="0"/>
        <w:adjustRightInd/>
        <w:snapToGrid/>
        <w:spacing w:line="520" w:lineRule="exact"/>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3</w:t>
      </w:r>
      <w:r>
        <w:rPr>
          <w:rFonts w:hint="eastAsia" w:ascii="楷体" w:hAnsi="楷体" w:eastAsia="楷体" w:cs="楷体"/>
          <w:b/>
          <w:bCs/>
          <w:sz w:val="32"/>
          <w:szCs w:val="32"/>
          <w:lang w:val="en-US" w:eastAsia="zh-CN"/>
        </w:rPr>
        <w:t>、</w:t>
      </w:r>
      <w:r>
        <w:rPr>
          <w:rFonts w:hint="eastAsia" w:ascii="楷体" w:hAnsi="楷体" w:eastAsia="楷体" w:cs="楷体"/>
          <w:b/>
          <w:bCs/>
          <w:sz w:val="32"/>
          <w:szCs w:val="32"/>
        </w:rPr>
        <w:t>项目支出的管理情况</w:t>
      </w:r>
    </w:p>
    <w:p w14:paraId="21F76734">
      <w:pPr>
        <w:keepNext w:val="0"/>
        <w:keepLines w:val="0"/>
        <w:pageBreakBefore w:val="0"/>
        <w:kinsoku/>
        <w:wordWrap/>
        <w:topLinePunct w:val="0"/>
        <w:autoSpaceDE/>
        <w:autoSpaceDN/>
        <w:bidi w:val="0"/>
        <w:adjustRightInd/>
        <w:snapToGrid/>
        <w:spacing w:line="520" w:lineRule="exact"/>
        <w:ind w:firstLine="640" w:firstLineChars="200"/>
        <w:textAlignment w:val="auto"/>
        <w:rPr>
          <w:rFonts w:hint="eastAsia" w:ascii="楷体" w:hAnsi="楷体" w:eastAsia="仿宋" w:cs="楷体"/>
          <w:b/>
          <w:bCs/>
          <w:sz w:val="32"/>
          <w:szCs w:val="32"/>
          <w:lang w:eastAsia="zh-CN"/>
        </w:rPr>
      </w:pPr>
      <w:r>
        <w:rPr>
          <w:rFonts w:hint="eastAsia" w:ascii="仿宋" w:hAnsi="仿宋" w:eastAsia="仿宋" w:cs="仿宋"/>
          <w:sz w:val="32"/>
          <w:szCs w:val="32"/>
        </w:rPr>
        <w:t>本单位20</w:t>
      </w:r>
      <w:r>
        <w:rPr>
          <w:rFonts w:hint="eastAsia" w:ascii="仿宋" w:hAnsi="仿宋" w:eastAsia="仿宋" w:cs="仿宋"/>
          <w:sz w:val="32"/>
          <w:szCs w:val="32"/>
          <w:lang w:val="en-US" w:eastAsia="zh-CN"/>
        </w:rPr>
        <w:t>23</w:t>
      </w:r>
      <w:r>
        <w:rPr>
          <w:rFonts w:hint="eastAsia" w:ascii="仿宋" w:hAnsi="仿宋" w:eastAsia="仿宋" w:cs="仿宋"/>
          <w:sz w:val="32"/>
          <w:szCs w:val="32"/>
        </w:rPr>
        <w:t>年无项目支出</w:t>
      </w:r>
      <w:r>
        <w:rPr>
          <w:rFonts w:hint="eastAsia" w:ascii="仿宋" w:hAnsi="仿宋" w:eastAsia="仿宋" w:cs="仿宋"/>
          <w:sz w:val="32"/>
          <w:szCs w:val="32"/>
          <w:lang w:eastAsia="zh-CN"/>
        </w:rPr>
        <w:t>。</w:t>
      </w:r>
    </w:p>
    <w:p w14:paraId="4A3DC3C8">
      <w:pPr>
        <w:keepNext w:val="0"/>
        <w:keepLines w:val="0"/>
        <w:pageBreakBefore w:val="0"/>
        <w:widowControl/>
        <w:kinsoku/>
        <w:wordWrap/>
        <w:overflowPunct/>
        <w:topLinePunct w:val="0"/>
        <w:autoSpaceDE/>
        <w:autoSpaceDN/>
        <w:bidi w:val="0"/>
        <w:adjustRightInd w:val="0"/>
        <w:snapToGrid w:val="0"/>
        <w:spacing w:before="181" w:beforeLines="50" w:after="181" w:afterLines="50" w:line="600" w:lineRule="atLeas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三、部门整体支出绩效评价分析</w:t>
      </w:r>
    </w:p>
    <w:p w14:paraId="5D3C78FC">
      <w:pPr>
        <w:snapToGrid w:val="0"/>
        <w:spacing w:line="520" w:lineRule="exact"/>
        <w:ind w:firstLine="640" w:firstLineChars="200"/>
        <w:rPr>
          <w:rFonts w:hint="eastAsia" w:ascii="仿宋" w:hAnsi="仿宋" w:eastAsia="仿宋"/>
          <w:sz w:val="32"/>
          <w:szCs w:val="32"/>
          <w:lang w:val="en-US" w:eastAsia="zh-CN"/>
        </w:rPr>
      </w:pPr>
      <w:r>
        <w:rPr>
          <w:rFonts w:hint="eastAsia" w:ascii="仿宋" w:hAnsi="仿宋" w:eastAsia="仿宋"/>
          <w:color w:val="000000"/>
          <w:sz w:val="32"/>
          <w:szCs w:val="32"/>
          <w:lang w:val="en-US" w:eastAsia="zh-CN"/>
        </w:rPr>
        <w:t>我社围绕贯彻习近平新时代中国特色社会主义思想，以服务“三农”为宗旨，全面深化综合改革，着力构建为农服务体系</w:t>
      </w:r>
      <w:r>
        <w:rPr>
          <w:rFonts w:hint="eastAsia" w:ascii="仿宋" w:hAnsi="仿宋" w:eastAsia="仿宋"/>
          <w:sz w:val="32"/>
          <w:szCs w:val="32"/>
          <w:lang w:val="en-US" w:eastAsia="zh-CN"/>
        </w:rPr>
        <w:t>，对照年初县委、县人民政府提出的工作目标、任务，根据本单位工作实际，狠抓各项工作的落实，稳步推进供销社工作。</w:t>
      </w:r>
    </w:p>
    <w:p w14:paraId="4E8EE87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olor w:val="000000"/>
          <w:sz w:val="32"/>
          <w:szCs w:val="32"/>
          <w:lang w:val="en-US" w:eastAsia="zh-CN"/>
        </w:rPr>
      </w:pPr>
      <w:r>
        <w:rPr>
          <w:rFonts w:hint="eastAsia" w:ascii="楷体" w:hAnsi="楷体" w:eastAsia="楷体" w:cs="楷体"/>
          <w:b/>
          <w:bCs/>
          <w:sz w:val="32"/>
          <w:szCs w:val="32"/>
          <w:lang w:val="en-US" w:eastAsia="zh-CN"/>
        </w:rPr>
        <w:t>1.实施“强基强能”工程，</w:t>
      </w:r>
      <w:r>
        <w:rPr>
          <w:rFonts w:hint="eastAsia" w:ascii="楷体" w:hAnsi="楷体" w:eastAsia="楷体" w:cs="楷体"/>
          <w:b/>
          <w:bCs/>
          <w:sz w:val="32"/>
          <w:szCs w:val="32"/>
          <w:lang w:eastAsia="zh-CN"/>
        </w:rPr>
        <w:t>推进基层组织提质改造。</w:t>
      </w:r>
      <w:r>
        <w:rPr>
          <w:rFonts w:hint="eastAsia" w:ascii="仿宋" w:hAnsi="仿宋" w:eastAsia="仿宋" w:cs="仿宋"/>
          <w:sz w:val="32"/>
          <w:szCs w:val="32"/>
          <w:lang w:eastAsia="zh-CN"/>
        </w:rPr>
        <w:t>在恢复乡村两级基层供销社组织体系的基础上，因地制宜对</w:t>
      </w:r>
      <w:r>
        <w:rPr>
          <w:rFonts w:hint="eastAsia" w:ascii="仿宋" w:hAnsi="仿宋" w:eastAsia="仿宋" w:cs="仿宋"/>
          <w:sz w:val="32"/>
          <w:szCs w:val="32"/>
          <w:lang w:val="en-US" w:eastAsia="zh-CN"/>
        </w:rPr>
        <w:t>12个乡镇、130个</w:t>
      </w:r>
      <w:r>
        <w:rPr>
          <w:rFonts w:hint="eastAsia" w:ascii="仿宋" w:hAnsi="仿宋" w:eastAsia="仿宋" w:cs="仿宋"/>
          <w:sz w:val="32"/>
          <w:szCs w:val="32"/>
          <w:lang w:eastAsia="zh-CN"/>
        </w:rPr>
        <w:t>村的基层供销社进行了提质改造，建好了花桥镇、铁坡镇、接龙镇、大松坡村、下坪村、竹元头村、白沙溪、培丰村等</w:t>
      </w:r>
      <w:r>
        <w:rPr>
          <w:rFonts w:hint="eastAsia" w:ascii="仿宋" w:hAnsi="仿宋" w:eastAsia="仿宋" w:cs="仿宋"/>
          <w:sz w:val="32"/>
          <w:szCs w:val="32"/>
          <w:lang w:val="en-US" w:eastAsia="zh-CN"/>
        </w:rPr>
        <w:t>8个基层规范社，创建了花桥镇、大松坡村2个基层示范社，</w:t>
      </w:r>
      <w:r>
        <w:rPr>
          <w:rFonts w:hint="eastAsia" w:ascii="仿宋" w:hAnsi="仿宋" w:eastAsia="仿宋"/>
          <w:color w:val="000000"/>
          <w:sz w:val="32"/>
          <w:szCs w:val="32"/>
          <w:lang w:val="en-US" w:eastAsia="zh-CN"/>
        </w:rPr>
        <w:t>各经营主体完成了</w:t>
      </w:r>
      <w:r>
        <w:rPr>
          <w:rFonts w:hint="eastAsia" w:ascii="仿宋" w:hAnsi="仿宋" w:eastAsia="仿宋" w:cs="仿宋"/>
          <w:sz w:val="32"/>
          <w:szCs w:val="32"/>
          <w:lang w:val="en-US" w:eastAsia="zh-CN"/>
        </w:rPr>
        <w:t>统一标识和编码认证，</w:t>
      </w:r>
      <w:r>
        <w:rPr>
          <w:rFonts w:hint="eastAsia" w:ascii="仿宋" w:hAnsi="仿宋" w:eastAsia="仿宋"/>
          <w:color w:val="000000"/>
          <w:sz w:val="32"/>
          <w:szCs w:val="32"/>
          <w:lang w:val="en-US" w:eastAsia="zh-CN"/>
        </w:rPr>
        <w:t>进一步提升了县乡村三级供销合作社组织服务三农的能力和水平。</w:t>
      </w:r>
    </w:p>
    <w:p w14:paraId="24AED72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val="en-US" w:eastAsia="zh-CN"/>
        </w:rPr>
      </w:pPr>
      <w:r>
        <w:rPr>
          <w:rFonts w:hint="eastAsia" w:ascii="楷体" w:hAnsi="楷体" w:eastAsia="楷体" w:cs="楷体"/>
          <w:b/>
          <w:bCs/>
          <w:sz w:val="32"/>
          <w:szCs w:val="32"/>
          <w:lang w:val="en-US" w:eastAsia="zh-CN"/>
        </w:rPr>
        <w:t>2.深化供销综合改革，推动供销工作高质量发展。</w:t>
      </w:r>
      <w:r>
        <w:rPr>
          <w:rFonts w:hint="eastAsia" w:ascii="仿宋" w:hAnsi="仿宋" w:eastAsia="仿宋" w:cs="仿宋"/>
          <w:sz w:val="32"/>
          <w:szCs w:val="32"/>
          <w:lang w:val="en-US" w:eastAsia="zh-CN"/>
        </w:rPr>
        <w:t>一是规范县级供销运营平台管理，在县供销惠农公司建立了公司制的董事会、监事会，并在公司申报注册了“供销货郎”抖音号，成为全县首个销售农特产品的官方线上平台；二是加强与基层社合作，投资入股花桥镇供销社，实施了500亩制种基地和火马塘烘干中心两个项目；三是大力拓展农业社会化服务，对接融入“湖南省供销合作社农业社会化服务大联盟”平台，将233家农业生产组织、农业服务组织、农资生产商纳入农业社会化服务大联盟管理，产品上架61个，全年农业社会化服务规模达10万亩次；四是创新开放办社模式，县供销惠农公司与湖南德凌物流有限责任公司合作，在县城建成县域集采集配中心，新增冷冻库容4500吨，冷链车12台，自动化分拣中心1200平米。</w:t>
      </w:r>
    </w:p>
    <w:p w14:paraId="10C41B37">
      <w:pPr>
        <w:pStyle w:val="7"/>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3" w:firstLineChars="200"/>
        <w:textAlignment w:val="auto"/>
        <w:rPr>
          <w:rFonts w:hint="default" w:ascii="仿宋" w:hAnsi="仿宋" w:eastAsia="仿宋" w:cs="仿宋"/>
          <w:b w:val="0"/>
          <w:bCs w:val="0"/>
          <w:sz w:val="32"/>
          <w:szCs w:val="32"/>
          <w:lang w:val="en-US" w:eastAsia="zh-CN"/>
        </w:rPr>
      </w:pPr>
      <w:r>
        <w:rPr>
          <w:rFonts w:hint="eastAsia" w:ascii="楷体" w:hAnsi="楷体" w:eastAsia="楷体" w:cs="楷体"/>
          <w:b/>
          <w:bCs/>
          <w:kern w:val="2"/>
          <w:sz w:val="32"/>
          <w:szCs w:val="32"/>
          <w:lang w:val="en-US" w:eastAsia="zh-CN" w:bidi="ar-SA"/>
        </w:rPr>
        <w:t>3.引进社会资本，建成怀化农特产品展示展销中心。</w:t>
      </w:r>
      <w:r>
        <w:rPr>
          <w:rFonts w:hint="eastAsia" w:ascii="仿宋" w:hAnsi="仿宋" w:eastAsia="仿宋" w:cs="仿宋"/>
          <w:sz w:val="32"/>
          <w:szCs w:val="32"/>
          <w:lang w:val="en-US" w:eastAsia="zh-CN"/>
        </w:rPr>
        <w:t>为克服自身基础薄弱、财力不足的困难，</w:t>
      </w:r>
      <w:r>
        <w:rPr>
          <w:rFonts w:hint="eastAsia" w:ascii="仿宋" w:hAnsi="仿宋" w:eastAsia="仿宋" w:cs="仿宋"/>
          <w:b w:val="0"/>
          <w:bCs w:val="0"/>
          <w:sz w:val="32"/>
          <w:szCs w:val="32"/>
          <w:lang w:val="en-US" w:eastAsia="zh-CN"/>
        </w:rPr>
        <w:t>中方供销惠农综合服务有限公司与湖南丰谷农业发展有限公司合作组建怀化乐毅品牌管理有限公司，投入180万元在泸阳镇桥上村蓝莓基地建成了怀化首个农特产品展示展销中心，该中心分为展销馆、直播区、洽谈区、仓储区等功能区，分区展示了全市13个县（市、区）的120多个农特产品，目前已正开展试运营。</w:t>
      </w:r>
    </w:p>
    <w:p w14:paraId="18687863">
      <w:pPr>
        <w:pStyle w:val="7"/>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3" w:firstLineChars="200"/>
        <w:textAlignment w:val="auto"/>
        <w:rPr>
          <w:rFonts w:hint="eastAsia" w:ascii="仿宋" w:hAnsi="仿宋" w:eastAsia="仿宋" w:cs="仿宋"/>
          <w:b w:val="0"/>
          <w:bCs w:val="0"/>
          <w:sz w:val="32"/>
          <w:szCs w:val="32"/>
          <w:lang w:val="en-US" w:eastAsia="zh-CN"/>
        </w:rPr>
      </w:pPr>
      <w:r>
        <w:rPr>
          <w:rFonts w:hint="eastAsia" w:ascii="楷体" w:hAnsi="楷体" w:eastAsia="楷体" w:cs="楷体"/>
          <w:b/>
          <w:bCs/>
          <w:kern w:val="2"/>
          <w:sz w:val="32"/>
          <w:szCs w:val="32"/>
          <w:lang w:val="en-US" w:eastAsia="zh-CN" w:bidi="ar-SA"/>
        </w:rPr>
        <w:t>4.发挥线上销售优势，助力农特产品出山进城。</w:t>
      </w:r>
      <w:r>
        <w:rPr>
          <w:rFonts w:hint="eastAsia" w:ascii="仿宋" w:hAnsi="仿宋" w:eastAsia="仿宋" w:cs="仿宋"/>
          <w:sz w:val="32"/>
          <w:szCs w:val="32"/>
          <w:lang w:val="en-US" w:eastAsia="zh-CN"/>
        </w:rPr>
        <w:t>在帮助群众做好农特产品线下销售的同时，加强与专业运营团队合作，充分利用抖</w:t>
      </w:r>
      <w:r>
        <w:rPr>
          <w:rFonts w:hint="eastAsia" w:ascii="仿宋" w:hAnsi="仿宋" w:eastAsia="仿宋" w:cs="仿宋"/>
          <w:b w:val="0"/>
          <w:bCs w:val="0"/>
          <w:sz w:val="32"/>
          <w:szCs w:val="32"/>
          <w:lang w:val="en-US" w:eastAsia="zh-CN"/>
        </w:rPr>
        <w:t>音号、视频号、小程序等线上平台，举办了一系列线上销售活动。</w:t>
      </w:r>
    </w:p>
    <w:p w14:paraId="0C428250">
      <w:pPr>
        <w:pStyle w:val="7"/>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3" w:firstLineChars="200"/>
        <w:textAlignment w:val="auto"/>
        <w:rPr>
          <w:rFonts w:hint="eastAsia" w:ascii="仿宋" w:hAnsi="仿宋" w:eastAsia="仿宋" w:cs="仿宋"/>
          <w:b w:val="0"/>
          <w:bCs w:val="0"/>
          <w:sz w:val="32"/>
          <w:szCs w:val="32"/>
          <w:lang w:val="en-US" w:eastAsia="zh-CN"/>
        </w:rPr>
      </w:pPr>
      <w:r>
        <w:rPr>
          <w:rFonts w:hint="eastAsia" w:ascii="楷体" w:hAnsi="楷体" w:eastAsia="楷体" w:cs="楷体"/>
          <w:b/>
          <w:bCs/>
          <w:kern w:val="2"/>
          <w:sz w:val="32"/>
          <w:szCs w:val="32"/>
          <w:lang w:val="en-US" w:eastAsia="zh-CN" w:bidi="ar-SA"/>
        </w:rPr>
        <w:t>5.坚持底线思维，积极做好历史遗留问题信访稳控工作。</w:t>
      </w:r>
      <w:r>
        <w:rPr>
          <w:rFonts w:hint="eastAsia" w:ascii="仿宋" w:hAnsi="仿宋" w:eastAsia="仿宋" w:cs="仿宋"/>
          <w:b w:val="0"/>
          <w:bCs w:val="0"/>
          <w:sz w:val="32"/>
          <w:szCs w:val="32"/>
          <w:lang w:val="en-US" w:eastAsia="zh-CN"/>
        </w:rPr>
        <w:t>针对泸阳镇、花桥镇未改制乡镇供销社职工的社保遗留问题，保持与职工代表的经常性沟通交流，掌握思想动态，做好思想疏导，确保不发生群访和越级上访。积极启动泸阳供销社改制工作，摸清全县供销系统资产和欠缴社保医保底数，为实施改制做好前期准备工作。向县委县政府领导汇报，争取县规委会研究同意，解决了泸阳供销社12名退休职工危房改造的土地出让、报建手续等问题。</w:t>
      </w:r>
    </w:p>
    <w:p w14:paraId="67299CEB">
      <w:pPr>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 w:hAnsi="仿宋" w:eastAsia="仿宋"/>
          <w:color w:val="000000"/>
          <w:sz w:val="32"/>
          <w:szCs w:val="32"/>
          <w:lang w:val="en-US" w:eastAsia="zh-CN"/>
        </w:rPr>
      </w:pPr>
      <w:r>
        <w:rPr>
          <w:rFonts w:hint="eastAsia" w:ascii="楷体" w:hAnsi="楷体" w:eastAsia="楷体" w:cs="楷体"/>
          <w:b/>
          <w:bCs/>
          <w:kern w:val="2"/>
          <w:sz w:val="32"/>
          <w:szCs w:val="32"/>
          <w:lang w:val="en-US" w:eastAsia="zh-CN" w:bidi="ar-SA"/>
        </w:rPr>
        <w:t>6.坚持党建引领，不断夯实党组织基础。</w:t>
      </w:r>
      <w:r>
        <w:rPr>
          <w:rFonts w:hint="eastAsia" w:ascii="仿宋" w:hAnsi="仿宋" w:eastAsia="仿宋"/>
          <w:color w:val="000000"/>
          <w:sz w:val="32"/>
          <w:szCs w:val="32"/>
          <w:lang w:val="en-US" w:eastAsia="zh-CN"/>
        </w:rPr>
        <w:t>抓实学习贯彻习近平新时代中国特色社会主义思想主题教育，坚持自学与集中学习研讨结合，积极开展“走找想促”、“四下基层”和“献一策、办一事、解一难”活动，切实达到了学以“铸魂、增智、正风、促干”效果。抓实党组理论中心组学习，落实党组会议“第一议题”制度，不断用党的最新理论成果武装头脑、指导工作。抓实机关党支部工作，开展好“三会一课”和主题党日活动，组织干部职工观影，接受红色教育，促使全社党员干部永葆共产党员本色。</w:t>
      </w:r>
    </w:p>
    <w:p w14:paraId="30AE9687">
      <w:pPr>
        <w:snapToGrid/>
        <w:spacing w:line="600" w:lineRule="exact"/>
        <w:ind w:firstLine="643" w:firstLineChars="200"/>
        <w:rPr>
          <w:rFonts w:hint="eastAsia" w:ascii="仿宋" w:hAnsi="仿宋" w:eastAsia="仿宋" w:cs="仿宋"/>
          <w:b/>
          <w:bCs/>
          <w:sz w:val="32"/>
          <w:szCs w:val="32"/>
        </w:rPr>
      </w:pPr>
      <w:r>
        <w:rPr>
          <w:rFonts w:hint="eastAsia" w:ascii="楷体" w:hAnsi="楷体" w:eastAsia="楷体" w:cs="楷体"/>
          <w:b/>
          <w:bCs/>
          <w:kern w:val="2"/>
          <w:sz w:val="32"/>
          <w:szCs w:val="32"/>
          <w:lang w:val="en-US" w:eastAsia="zh-CN" w:bidi="ar-SA"/>
        </w:rPr>
        <w:t>7.坚持从严管党治党，全力抓好干部作风建设。</w:t>
      </w:r>
      <w:r>
        <w:rPr>
          <w:rFonts w:hint="eastAsia" w:ascii="仿宋" w:hAnsi="仿宋" w:eastAsia="仿宋" w:cs="仿宋"/>
          <w:b w:val="0"/>
          <w:bCs w:val="0"/>
          <w:sz w:val="32"/>
          <w:szCs w:val="32"/>
          <w:lang w:eastAsia="zh-CN"/>
        </w:rPr>
        <w:t>切实</w:t>
      </w:r>
      <w:r>
        <w:rPr>
          <w:rFonts w:hint="eastAsia" w:ascii="仿宋" w:hAnsi="仿宋" w:eastAsia="仿宋" w:cs="仿宋"/>
          <w:b w:val="0"/>
          <w:bCs w:val="0"/>
          <w:sz w:val="32"/>
          <w:szCs w:val="32"/>
        </w:rPr>
        <w:t>履行</w:t>
      </w:r>
      <w:r>
        <w:rPr>
          <w:rFonts w:hint="eastAsia" w:ascii="仿宋" w:hAnsi="仿宋" w:eastAsia="仿宋" w:cs="仿宋"/>
          <w:b w:val="0"/>
          <w:bCs w:val="0"/>
          <w:sz w:val="32"/>
          <w:szCs w:val="32"/>
          <w:lang w:eastAsia="zh-CN"/>
        </w:rPr>
        <w:t>管党治党“两个责任”、第一责任人责任和“一岗双责”，以抓干部作风转变促工作效能提升。抓好干部日常教育管理。以“三整顿两提升”活动和“两带头五整顿”活动为契机，抓实工作纪律、能力提升、业绩考核，确保人人心中有敬畏、个个肩上有责任，提振了干部精气神</w:t>
      </w:r>
      <w:r>
        <w:rPr>
          <w:rFonts w:hint="eastAsia" w:ascii="仿宋" w:hAnsi="仿宋" w:eastAsia="仿宋"/>
          <w:color w:val="000000"/>
          <w:sz w:val="32"/>
          <w:szCs w:val="32"/>
          <w:lang w:val="en-US" w:eastAsia="zh-CN"/>
        </w:rPr>
        <w:t>。</w:t>
      </w:r>
    </w:p>
    <w:p w14:paraId="0D562B84">
      <w:pPr>
        <w:keepNext w:val="0"/>
        <w:keepLines w:val="0"/>
        <w:pageBreakBefore w:val="0"/>
        <w:widowControl/>
        <w:kinsoku/>
        <w:wordWrap/>
        <w:overflowPunct/>
        <w:topLinePunct w:val="0"/>
        <w:autoSpaceDE/>
        <w:autoSpaceDN/>
        <w:bidi w:val="0"/>
        <w:adjustRightInd w:val="0"/>
        <w:snapToGrid w:val="0"/>
        <w:spacing w:before="181" w:beforeLines="50" w:after="181" w:afterLines="50" w:line="600" w:lineRule="atLeas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四、存在的问题</w:t>
      </w:r>
    </w:p>
    <w:p w14:paraId="7BA7ACDB">
      <w:pPr>
        <w:keepNext w:val="0"/>
        <w:keepLines w:val="0"/>
        <w:pageBreakBefore w:val="0"/>
        <w:widowControl/>
        <w:kinsoku/>
        <w:wordWrap/>
        <w:overflowPunct/>
        <w:topLinePunct w:val="0"/>
        <w:autoSpaceDE/>
        <w:autoSpaceDN/>
        <w:bidi w:val="0"/>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1、预算管理方面，制度执行总体较为有效，仍需进一步强化。</w:t>
      </w:r>
    </w:p>
    <w:p w14:paraId="0741A961">
      <w:pPr>
        <w:keepNext w:val="0"/>
        <w:keepLines w:val="0"/>
        <w:pageBreakBefore w:val="0"/>
        <w:widowControl/>
        <w:kinsoku/>
        <w:wordWrap/>
        <w:overflowPunct/>
        <w:topLinePunct w:val="0"/>
        <w:autoSpaceDE/>
        <w:autoSpaceDN/>
        <w:bidi w:val="0"/>
        <w:adjustRightInd w:val="0"/>
        <w:snapToGrid w:val="0"/>
        <w:spacing w:before="181" w:beforeLines="50" w:after="181" w:afterLines="50" w:line="600" w:lineRule="atLeas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五、整改措施或建议</w:t>
      </w:r>
    </w:p>
    <w:p w14:paraId="7EAB6825">
      <w:pPr>
        <w:keepNext w:val="0"/>
        <w:keepLines w:val="0"/>
        <w:pageBreakBefore w:val="0"/>
        <w:widowControl/>
        <w:kinsoku/>
        <w:wordWrap/>
        <w:overflowPunct/>
        <w:topLinePunct w:val="0"/>
        <w:autoSpaceDE/>
        <w:autoSpaceDN/>
        <w:bidi w:val="0"/>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按照财政支出绩效管理的要求，建立科学的财政资金效益考评体系，牢固树立行政成本意识，不断提高财政资金使用管理的水平和效率。</w:t>
      </w:r>
    </w:p>
    <w:p w14:paraId="18D1A616">
      <w:pPr>
        <w:pStyle w:val="2"/>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2</w:t>
      </w:r>
      <w:r>
        <w:rPr>
          <w:rFonts w:hint="eastAsia" w:ascii="仿宋" w:hAnsi="仿宋" w:eastAsia="仿宋" w:cs="仿宋"/>
          <w:b w:val="0"/>
          <w:bCs/>
          <w:sz w:val="32"/>
          <w:szCs w:val="32"/>
        </w:rPr>
        <w:t>、完善预算审核机制，细化、准确编制预算，合理安排预算。</w:t>
      </w:r>
    </w:p>
    <w:p w14:paraId="17AF83E4">
      <w:pPr>
        <w:keepNext w:val="0"/>
        <w:keepLines w:val="0"/>
        <w:pageBreakBefore w:val="0"/>
        <w:widowControl/>
        <w:kinsoku/>
        <w:wordWrap/>
        <w:overflowPunct/>
        <w:topLinePunct w:val="0"/>
        <w:autoSpaceDE/>
        <w:autoSpaceDN/>
        <w:bidi w:val="0"/>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、进一步完善</w:t>
      </w:r>
      <w:r>
        <w:rPr>
          <w:rFonts w:hint="eastAsia" w:ascii="仿宋" w:hAnsi="仿宋" w:eastAsia="仿宋" w:cs="仿宋"/>
          <w:sz w:val="32"/>
          <w:szCs w:val="32"/>
          <w:lang w:eastAsia="zh-CN"/>
        </w:rPr>
        <w:t>供销社</w:t>
      </w:r>
      <w:r>
        <w:rPr>
          <w:rFonts w:hint="eastAsia" w:ascii="仿宋" w:hAnsi="仿宋" w:eastAsia="仿宋" w:cs="仿宋"/>
          <w:sz w:val="32"/>
          <w:szCs w:val="32"/>
        </w:rPr>
        <w:t>基层组织体系</w:t>
      </w:r>
      <w:r>
        <w:rPr>
          <w:rFonts w:hint="eastAsia" w:ascii="仿宋" w:hAnsi="仿宋" w:eastAsia="仿宋" w:cs="仿宋"/>
          <w:sz w:val="32"/>
          <w:szCs w:val="32"/>
          <w:lang w:eastAsia="zh-CN"/>
        </w:rPr>
        <w:t>建设</w:t>
      </w:r>
      <w:r>
        <w:rPr>
          <w:rFonts w:hint="eastAsia" w:ascii="仿宋" w:hAnsi="仿宋" w:eastAsia="仿宋" w:cs="仿宋"/>
          <w:sz w:val="32"/>
          <w:szCs w:val="32"/>
        </w:rPr>
        <w:t>，</w:t>
      </w:r>
      <w:r>
        <w:rPr>
          <w:rFonts w:hint="eastAsia" w:ascii="仿宋" w:hAnsi="仿宋" w:eastAsia="仿宋" w:cs="仿宋"/>
          <w:sz w:val="32"/>
          <w:szCs w:val="32"/>
          <w:lang w:eastAsia="zh-CN"/>
        </w:rPr>
        <w:t>服务三农。</w:t>
      </w:r>
    </w:p>
    <w:p w14:paraId="5AF6F8FF">
      <w:pPr>
        <w:keepNext w:val="0"/>
        <w:keepLines w:val="0"/>
        <w:pageBreakBefore w:val="0"/>
        <w:widowControl/>
        <w:numPr>
          <w:ilvl w:val="0"/>
          <w:numId w:val="2"/>
        </w:numPr>
        <w:kinsoku/>
        <w:wordWrap/>
        <w:overflowPunct/>
        <w:topLinePunct w:val="0"/>
        <w:autoSpaceDE/>
        <w:autoSpaceDN/>
        <w:bidi w:val="0"/>
        <w:adjustRightInd w:val="0"/>
        <w:snapToGrid w:val="0"/>
        <w:spacing w:before="181" w:beforeLines="50" w:after="181" w:afterLines="50" w:line="600" w:lineRule="atLeas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其他需要说明的问题</w:t>
      </w:r>
    </w:p>
    <w:p w14:paraId="697A76CB">
      <w:pPr>
        <w:keepNext w:val="0"/>
        <w:keepLines w:val="0"/>
        <w:pageBreakBefore w:val="0"/>
        <w:widowControl/>
        <w:kinsoku/>
        <w:wordWrap/>
        <w:overflowPunct/>
        <w:topLinePunct w:val="0"/>
        <w:autoSpaceDE/>
        <w:autoSpaceDN/>
        <w:bidi w:val="0"/>
        <w:adjustRightInd/>
        <w:snapToGrid/>
        <w:spacing w:line="500" w:lineRule="exact"/>
        <w:ind w:firstLine="660" w:firstLineChars="300"/>
        <w:textAlignment w:val="auto"/>
        <w:rPr>
          <w:rFonts w:ascii="Times New Roman" w:hAnsi="Times New Roman" w:eastAsia="仿宋_GB2312"/>
          <w:sz w:val="32"/>
          <w:szCs w:val="32"/>
        </w:rPr>
      </w:pPr>
      <w:r>
        <w:rPr>
          <w:rFonts w:hint="eastAsia" w:eastAsia="黑体"/>
          <w:b w:val="0"/>
          <w:bCs/>
          <w:lang w:eastAsia="zh-CN"/>
        </w:rPr>
        <w:t>无</w:t>
      </w:r>
    </w:p>
    <w:p w14:paraId="4E0E9A7F">
      <w:pPr>
        <w:keepNext w:val="0"/>
        <w:keepLines w:val="0"/>
        <w:pageBreakBefore w:val="0"/>
        <w:widowControl/>
        <w:kinsoku/>
        <w:wordWrap/>
        <w:overflowPunct/>
        <w:topLinePunct w:val="0"/>
        <w:autoSpaceDE/>
        <w:autoSpaceDN/>
        <w:bidi w:val="0"/>
        <w:adjustRightInd/>
        <w:snapToGrid/>
        <w:spacing w:line="500" w:lineRule="exact"/>
        <w:ind w:firstLine="960" w:firstLineChars="300"/>
        <w:textAlignment w:val="auto"/>
        <w:rPr>
          <w:rFonts w:hint="eastAsia" w:ascii="仿宋" w:hAnsi="仿宋" w:eastAsia="仿宋" w:cs="仿宋"/>
          <w:sz w:val="32"/>
          <w:szCs w:val="32"/>
        </w:rPr>
      </w:pPr>
      <w:r>
        <w:rPr>
          <w:rFonts w:ascii="Times New Roman" w:hAnsi="Times New Roman" w:eastAsia="仿宋_GB2312"/>
          <w:sz w:val="32"/>
          <w:szCs w:val="32"/>
        </w:rPr>
        <w:t>附件：</w:t>
      </w:r>
      <w:r>
        <w:rPr>
          <w:rFonts w:hint="eastAsia" w:ascii="仿宋" w:hAnsi="仿宋" w:eastAsia="仿宋" w:cs="仿宋"/>
          <w:sz w:val="32"/>
          <w:szCs w:val="32"/>
        </w:rPr>
        <w:t>1.</w:t>
      </w:r>
      <w:r>
        <w:rPr>
          <w:rFonts w:hint="eastAsia" w:ascii="仿宋" w:hAnsi="仿宋" w:eastAsia="仿宋" w:cs="仿宋"/>
          <w:bCs/>
          <w:sz w:val="44"/>
          <w:szCs w:val="44"/>
        </w:rPr>
        <w:t xml:space="preserve"> </w:t>
      </w:r>
      <w:r>
        <w:rPr>
          <w:rFonts w:hint="eastAsia" w:ascii="仿宋" w:hAnsi="仿宋" w:eastAsia="仿宋" w:cs="仿宋"/>
          <w:sz w:val="32"/>
          <w:szCs w:val="32"/>
        </w:rPr>
        <w:t>部门整体支出绩效评价指标体系评分表</w:t>
      </w:r>
    </w:p>
    <w:p w14:paraId="5A14BB81">
      <w:pPr>
        <w:keepNext w:val="0"/>
        <w:keepLines w:val="0"/>
        <w:pageBreakBefore w:val="0"/>
        <w:widowControl/>
        <w:kinsoku/>
        <w:wordWrap/>
        <w:overflowPunct/>
        <w:topLinePunct w:val="0"/>
        <w:autoSpaceDE/>
        <w:autoSpaceDN/>
        <w:bidi w:val="0"/>
        <w:adjustRightInd/>
        <w:snapToGrid/>
        <w:spacing w:line="500" w:lineRule="exact"/>
        <w:jc w:val="both"/>
        <w:textAlignment w:val="auto"/>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　</w:t>
      </w:r>
      <w:r>
        <w:rPr>
          <w:rFonts w:hint="eastAsia" w:ascii="仿宋" w:hAnsi="仿宋" w:eastAsia="仿宋" w:cs="仿宋"/>
          <w:sz w:val="32"/>
          <w:szCs w:val="32"/>
        </w:rPr>
        <w:t>2.</w:t>
      </w:r>
      <w:r>
        <w:rPr>
          <w:rFonts w:hint="eastAsia" w:ascii="仿宋" w:hAnsi="仿宋" w:eastAsia="仿宋" w:cs="仿宋"/>
          <w:sz w:val="44"/>
          <w:szCs w:val="44"/>
        </w:rPr>
        <w:t xml:space="preserve"> </w:t>
      </w:r>
      <w:r>
        <w:rPr>
          <w:rFonts w:hint="eastAsia" w:ascii="仿宋" w:hAnsi="仿宋" w:eastAsia="仿宋" w:cs="仿宋"/>
          <w:sz w:val="32"/>
          <w:szCs w:val="32"/>
        </w:rPr>
        <w:t>中方县政府网站及政务新媒体信息发布审查表</w:t>
      </w:r>
    </w:p>
    <w:p w14:paraId="02450959">
      <w:pPr>
        <w:keepNext/>
        <w:keepLines w:val="0"/>
        <w:pageBreakBefore w:val="0"/>
        <w:widowControl/>
        <w:kinsoku/>
        <w:wordWrap/>
        <w:overflowPunct/>
        <w:topLinePunct w:val="0"/>
        <w:autoSpaceDE/>
        <w:autoSpaceDN/>
        <w:bidi w:val="0"/>
        <w:adjustRightInd/>
        <w:snapToGrid/>
        <w:spacing w:after="0" w:line="600" w:lineRule="exact"/>
        <w:ind w:firstLine="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p>
    <w:p w14:paraId="3351D681">
      <w:pPr>
        <w:keepNext/>
        <w:keepLines w:val="0"/>
        <w:pageBreakBefore w:val="0"/>
        <w:widowControl/>
        <w:kinsoku/>
        <w:wordWrap/>
        <w:overflowPunct/>
        <w:topLinePunct w:val="0"/>
        <w:autoSpaceDE/>
        <w:autoSpaceDN/>
        <w:bidi w:val="0"/>
        <w:adjustRightInd/>
        <w:snapToGrid/>
        <w:spacing w:after="0" w:line="600" w:lineRule="exact"/>
        <w:ind w:firstLine="5760" w:firstLineChars="1600"/>
        <w:textAlignment w:val="auto"/>
        <w:rPr>
          <w:rFonts w:hint="eastAsia" w:ascii="仿宋_GB2312" w:hAnsi="仿宋_GB2312" w:eastAsia="仿宋_GB2312" w:cs="仿宋_GB2312"/>
          <w:sz w:val="36"/>
          <w:szCs w:val="36"/>
          <w:lang w:eastAsia="zh-CN"/>
        </w:rPr>
      </w:pPr>
      <w:r>
        <w:rPr>
          <w:rFonts w:hint="eastAsia" w:ascii="仿宋_GB2312" w:hAnsi="仿宋_GB2312" w:eastAsia="仿宋_GB2312" w:cs="仿宋_GB2312"/>
          <w:sz w:val="36"/>
          <w:szCs w:val="36"/>
          <w:lang w:eastAsia="zh-CN"/>
        </w:rPr>
        <w:t>中方县供销社</w:t>
      </w:r>
    </w:p>
    <w:p w14:paraId="53788ABE">
      <w:pPr>
        <w:keepNext/>
        <w:keepLines w:val="0"/>
        <w:pageBreakBefore w:val="0"/>
        <w:widowControl/>
        <w:kinsoku/>
        <w:wordWrap/>
        <w:overflowPunct/>
        <w:topLinePunct w:val="0"/>
        <w:autoSpaceDE/>
        <w:autoSpaceDN/>
        <w:bidi w:val="0"/>
        <w:adjustRightInd/>
        <w:snapToGrid/>
        <w:spacing w:after="0" w:line="600" w:lineRule="exact"/>
        <w:ind w:firstLine="5400" w:firstLineChars="1500"/>
        <w:textAlignment w:val="auto"/>
        <w:rPr>
          <w:rFonts w:hint="eastAsia"/>
        </w:rPr>
      </w:pPr>
      <w:r>
        <w:rPr>
          <w:rFonts w:hint="eastAsia" w:ascii="仿宋_GB2312" w:hAnsi="仿宋_GB2312" w:eastAsia="仿宋_GB2312" w:cs="仿宋_GB2312"/>
          <w:sz w:val="36"/>
          <w:szCs w:val="36"/>
        </w:rPr>
        <w:t>202</w:t>
      </w:r>
      <w:r>
        <w:rPr>
          <w:rFonts w:hint="eastAsia" w:ascii="仿宋_GB2312" w:hAnsi="仿宋_GB2312" w:eastAsia="仿宋_GB2312" w:cs="仿宋_GB2312"/>
          <w:sz w:val="36"/>
          <w:szCs w:val="36"/>
          <w:lang w:val="en-US" w:eastAsia="zh-CN"/>
        </w:rPr>
        <w:t>4</w:t>
      </w:r>
      <w:r>
        <w:rPr>
          <w:rFonts w:hint="eastAsia" w:ascii="仿宋_GB2312" w:hAnsi="仿宋_GB2312" w:eastAsia="仿宋_GB2312" w:cs="仿宋_GB2312"/>
          <w:sz w:val="36"/>
          <w:szCs w:val="36"/>
        </w:rPr>
        <w:t>年</w:t>
      </w:r>
      <w:r>
        <w:rPr>
          <w:rFonts w:hint="eastAsia" w:ascii="仿宋_GB2312" w:hAnsi="仿宋_GB2312" w:eastAsia="仿宋_GB2312" w:cs="仿宋_GB2312"/>
          <w:sz w:val="36"/>
          <w:szCs w:val="36"/>
          <w:lang w:val="en-US" w:eastAsia="zh-CN"/>
        </w:rPr>
        <w:t>8</w:t>
      </w:r>
      <w:r>
        <w:rPr>
          <w:rFonts w:hint="eastAsia" w:ascii="仿宋_GB2312" w:hAnsi="仿宋_GB2312" w:eastAsia="仿宋_GB2312" w:cs="仿宋_GB2312"/>
          <w:sz w:val="36"/>
          <w:szCs w:val="36"/>
        </w:rPr>
        <w:t>月</w:t>
      </w:r>
      <w:r>
        <w:rPr>
          <w:rFonts w:hint="eastAsia" w:ascii="仿宋_GB2312" w:hAnsi="仿宋_GB2312" w:eastAsia="仿宋_GB2312" w:cs="仿宋_GB2312"/>
          <w:sz w:val="36"/>
          <w:szCs w:val="36"/>
          <w:lang w:val="en-US" w:eastAsia="zh-CN"/>
        </w:rPr>
        <w:t>12</w:t>
      </w:r>
      <w:r>
        <w:rPr>
          <w:rFonts w:hint="eastAsia" w:ascii="仿宋_GB2312" w:hAnsi="仿宋_GB2312" w:eastAsia="仿宋_GB2312" w:cs="仿宋_GB2312"/>
          <w:sz w:val="36"/>
          <w:szCs w:val="36"/>
        </w:rPr>
        <w:t>日</w:t>
      </w:r>
    </w:p>
    <w:p w14:paraId="17CB84C5">
      <w:pPr>
        <w:pStyle w:val="2"/>
        <w:ind w:firstLine="560" w:firstLineChars="200"/>
        <w:rPr>
          <w:rFonts w:hint="eastAsia" w:eastAsia="黑体"/>
          <w:b w:val="0"/>
          <w:bCs/>
          <w:lang w:eastAsia="zh-CN"/>
        </w:rPr>
      </w:pPr>
    </w:p>
    <w:p w14:paraId="53582980">
      <w:pPr>
        <w:pStyle w:val="2"/>
        <w:keepNext w:val="0"/>
        <w:keepLines w:val="0"/>
        <w:widowControl w:val="0"/>
        <w:numPr>
          <w:ilvl w:val="0"/>
          <w:numId w:val="0"/>
        </w:numPr>
        <w:suppressLineNumbers w:val="0"/>
        <w:adjustRightInd w:val="0"/>
        <w:snapToGrid w:val="0"/>
        <w:spacing w:before="0" w:beforeLines="0" w:beforeAutospacing="0" w:after="0" w:afterLines="0" w:afterAutospacing="0"/>
        <w:ind w:right="0" w:rightChars="0"/>
        <w:jc w:val="both"/>
        <w:rPr>
          <w:rFonts w:hint="eastAsia"/>
        </w:rPr>
      </w:pPr>
    </w:p>
    <w:p w14:paraId="715C9DD4">
      <w:pPr>
        <w:rPr>
          <w:rFonts w:hint="default" w:eastAsia="微软雅黑"/>
          <w:lang w:val="en-US" w:eastAsia="zh-CN"/>
        </w:rPr>
        <w:sectPr>
          <w:footerReference r:id="rId4" w:type="default"/>
          <w:pgSz w:w="11906" w:h="16838"/>
          <w:pgMar w:top="1587" w:right="1587" w:bottom="1587" w:left="1587" w:header="708" w:footer="709" w:gutter="0"/>
          <w:cols w:space="0" w:num="1"/>
          <w:docGrid w:linePitch="360" w:charSpace="0"/>
        </w:sectPr>
      </w:pPr>
    </w:p>
    <w:p w14:paraId="6483BBC4">
      <w:pPr>
        <w:spacing w:line="400" w:lineRule="exact"/>
        <w:rPr>
          <w:rFonts w:ascii="黑体" w:hAnsi="仿宋_GB2312" w:eastAsia="黑体" w:cs="仿宋_GB2312"/>
          <w:sz w:val="32"/>
          <w:szCs w:val="32"/>
        </w:rPr>
      </w:pPr>
      <w:r>
        <w:rPr>
          <w:rFonts w:hint="eastAsia" w:ascii="黑体" w:hAnsi="仿宋_GB2312" w:eastAsia="黑体" w:cs="仿宋_GB2312"/>
          <w:sz w:val="28"/>
          <w:szCs w:val="28"/>
        </w:rPr>
        <w:t>附件</w:t>
      </w:r>
      <w:r>
        <w:rPr>
          <w:rFonts w:ascii="黑体" w:hAnsi="仿宋_GB2312" w:eastAsia="黑体" w:cs="仿宋_GB2312"/>
          <w:sz w:val="28"/>
          <w:szCs w:val="28"/>
        </w:rPr>
        <w:t>2</w:t>
      </w:r>
      <w:r>
        <w:rPr>
          <w:rFonts w:hint="eastAsia" w:ascii="黑体" w:hAnsi="仿宋_GB2312" w:eastAsia="黑体" w:cs="仿宋_GB2312"/>
          <w:sz w:val="32"/>
          <w:szCs w:val="32"/>
        </w:rPr>
        <w:t>：</w:t>
      </w:r>
    </w:p>
    <w:p w14:paraId="5919B161">
      <w:pPr>
        <w:spacing w:after="0" w:line="700" w:lineRule="atLeas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color w:val="000000"/>
          <w:sz w:val="44"/>
          <w:szCs w:val="44"/>
        </w:rPr>
        <w:t>部门整体支出绩效评价指标体系评分表</w:t>
      </w:r>
    </w:p>
    <w:tbl>
      <w:tblPr>
        <w:tblStyle w:val="10"/>
        <w:tblW w:w="1414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3"/>
        <w:gridCol w:w="803"/>
        <w:gridCol w:w="1182"/>
        <w:gridCol w:w="6911"/>
        <w:gridCol w:w="3423"/>
        <w:gridCol w:w="1090"/>
      </w:tblGrid>
      <w:tr w14:paraId="646FF0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tblHeader/>
          <w:jc w:val="center"/>
        </w:trPr>
        <w:tc>
          <w:tcPr>
            <w:tcW w:w="733" w:type="dxa"/>
            <w:vMerge w:val="restart"/>
            <w:tcBorders>
              <w:top w:val="single" w:color="000000" w:sz="4" w:space="0"/>
              <w:left w:val="single" w:color="000000" w:sz="4" w:space="0"/>
              <w:bottom w:val="single" w:color="000000" w:sz="4" w:space="0"/>
              <w:right w:val="single" w:color="000000" w:sz="4" w:space="0"/>
            </w:tcBorders>
            <w:vAlign w:val="center"/>
          </w:tcPr>
          <w:p w14:paraId="4E3D3679">
            <w:pPr>
              <w:spacing w:after="0" w:line="68" w:lineRule="atLeast"/>
              <w:jc w:val="center"/>
              <w:rPr>
                <w:rFonts w:ascii="宋体" w:hAnsi="宋体" w:eastAsia="宋体" w:cs="宋体"/>
              </w:rPr>
            </w:pPr>
            <w:r>
              <w:rPr>
                <w:rFonts w:hint="eastAsia" w:ascii="宋体" w:hAnsi="宋体" w:eastAsia="宋体" w:cs="宋体"/>
                <w:b/>
                <w:bCs/>
              </w:rPr>
              <w:t>一级指标</w:t>
            </w:r>
          </w:p>
        </w:tc>
        <w:tc>
          <w:tcPr>
            <w:tcW w:w="803" w:type="dxa"/>
            <w:vMerge w:val="restart"/>
            <w:tcBorders>
              <w:top w:val="single" w:color="000000" w:sz="4" w:space="0"/>
              <w:left w:val="single" w:color="000000" w:sz="4" w:space="0"/>
              <w:bottom w:val="single" w:color="000000" w:sz="4" w:space="0"/>
              <w:right w:val="single" w:color="000000" w:sz="4" w:space="0"/>
            </w:tcBorders>
            <w:vAlign w:val="center"/>
          </w:tcPr>
          <w:p w14:paraId="52FB42FD">
            <w:pPr>
              <w:spacing w:after="0" w:line="68" w:lineRule="atLeast"/>
              <w:jc w:val="center"/>
              <w:rPr>
                <w:rFonts w:ascii="宋体" w:hAnsi="宋体" w:eastAsia="宋体" w:cs="宋体"/>
              </w:rPr>
            </w:pPr>
            <w:r>
              <w:rPr>
                <w:rFonts w:hint="eastAsia" w:ascii="宋体" w:hAnsi="宋体" w:eastAsia="宋体" w:cs="宋体"/>
                <w:b/>
                <w:bCs/>
              </w:rPr>
              <w:t>二级指标</w:t>
            </w:r>
          </w:p>
        </w:tc>
        <w:tc>
          <w:tcPr>
            <w:tcW w:w="8093" w:type="dxa"/>
            <w:gridSpan w:val="2"/>
            <w:tcBorders>
              <w:top w:val="single" w:color="000000" w:sz="4" w:space="0"/>
              <w:left w:val="single" w:color="000000" w:sz="4" w:space="0"/>
              <w:bottom w:val="single" w:color="000000" w:sz="4" w:space="0"/>
              <w:right w:val="single" w:color="auto" w:sz="4" w:space="0"/>
            </w:tcBorders>
            <w:vAlign w:val="center"/>
          </w:tcPr>
          <w:p w14:paraId="3D57E506">
            <w:pPr>
              <w:spacing w:after="0" w:line="68" w:lineRule="atLeast"/>
              <w:jc w:val="center"/>
              <w:rPr>
                <w:rFonts w:ascii="宋体" w:hAnsi="宋体" w:eastAsia="宋体" w:cs="宋体"/>
              </w:rPr>
            </w:pPr>
            <w:r>
              <w:rPr>
                <w:rFonts w:hint="eastAsia" w:ascii="宋体" w:hAnsi="宋体" w:eastAsia="宋体" w:cs="宋体"/>
                <w:b/>
                <w:bCs/>
              </w:rPr>
              <w:t>三级指标</w:t>
            </w:r>
          </w:p>
        </w:tc>
        <w:tc>
          <w:tcPr>
            <w:tcW w:w="3423" w:type="dxa"/>
            <w:vMerge w:val="restart"/>
            <w:tcBorders>
              <w:top w:val="single" w:color="000000" w:sz="4" w:space="0"/>
              <w:left w:val="single" w:color="auto" w:sz="4" w:space="0"/>
              <w:bottom w:val="single" w:color="000000" w:sz="4" w:space="0"/>
              <w:right w:val="single" w:color="auto" w:sz="4" w:space="0"/>
            </w:tcBorders>
            <w:vAlign w:val="center"/>
          </w:tcPr>
          <w:p w14:paraId="330D2486">
            <w:pPr>
              <w:spacing w:after="0" w:line="68" w:lineRule="atLeast"/>
              <w:jc w:val="center"/>
              <w:rPr>
                <w:rFonts w:ascii="宋体" w:hAnsi="宋体" w:eastAsia="宋体" w:cs="宋体"/>
              </w:rPr>
            </w:pPr>
            <w:r>
              <w:rPr>
                <w:rFonts w:hint="eastAsia" w:ascii="宋体" w:hAnsi="宋体" w:eastAsia="宋体" w:cs="宋体"/>
                <w:b/>
                <w:bCs/>
              </w:rPr>
              <w:t>评分标准</w:t>
            </w:r>
          </w:p>
        </w:tc>
        <w:tc>
          <w:tcPr>
            <w:tcW w:w="1090" w:type="dxa"/>
            <w:vMerge w:val="restart"/>
            <w:tcBorders>
              <w:top w:val="single" w:color="000000" w:sz="4" w:space="0"/>
              <w:left w:val="single" w:color="auto" w:sz="4" w:space="0"/>
              <w:bottom w:val="single" w:color="000000" w:sz="4" w:space="0"/>
              <w:right w:val="single" w:color="auto" w:sz="4" w:space="0"/>
            </w:tcBorders>
            <w:vAlign w:val="center"/>
          </w:tcPr>
          <w:p w14:paraId="0E23931A">
            <w:pPr>
              <w:spacing w:after="0" w:line="68" w:lineRule="atLeast"/>
              <w:jc w:val="center"/>
              <w:rPr>
                <w:rFonts w:ascii="宋体" w:hAnsi="宋体" w:eastAsia="宋体" w:cs="宋体"/>
              </w:rPr>
            </w:pPr>
            <w:r>
              <w:rPr>
                <w:rFonts w:hint="eastAsia" w:ascii="宋体" w:hAnsi="宋体" w:eastAsia="宋体" w:cs="宋体"/>
                <w:b/>
                <w:bCs/>
              </w:rPr>
              <w:t>得分</w:t>
            </w:r>
          </w:p>
        </w:tc>
      </w:tr>
      <w:tr w14:paraId="1D3CB3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tblHeader/>
          <w:jc w:val="center"/>
        </w:trPr>
        <w:tc>
          <w:tcPr>
            <w:tcW w:w="733" w:type="dxa"/>
            <w:vMerge w:val="continue"/>
            <w:tcBorders>
              <w:top w:val="single" w:color="000000" w:sz="4" w:space="0"/>
              <w:left w:val="single" w:color="000000" w:sz="4" w:space="0"/>
              <w:bottom w:val="single" w:color="000000" w:sz="4" w:space="0"/>
              <w:right w:val="single" w:color="000000" w:sz="4" w:space="0"/>
            </w:tcBorders>
            <w:vAlign w:val="center"/>
          </w:tcPr>
          <w:p w14:paraId="5CB57E47">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1C3FF14B">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7D015000">
            <w:pPr>
              <w:spacing w:after="0" w:line="68" w:lineRule="atLeast"/>
              <w:jc w:val="center"/>
              <w:rPr>
                <w:rFonts w:ascii="宋体" w:hAnsi="宋体" w:eastAsia="宋体" w:cs="宋体"/>
              </w:rPr>
            </w:pPr>
            <w:r>
              <w:rPr>
                <w:rFonts w:hint="eastAsia" w:ascii="宋体" w:hAnsi="宋体" w:eastAsia="宋体" w:cs="宋体"/>
                <w:b/>
                <w:bCs/>
              </w:rPr>
              <w:t>指标名称</w:t>
            </w:r>
          </w:p>
        </w:tc>
        <w:tc>
          <w:tcPr>
            <w:tcW w:w="6911" w:type="dxa"/>
            <w:tcBorders>
              <w:top w:val="single" w:color="000000" w:sz="4" w:space="0"/>
              <w:left w:val="single" w:color="auto" w:sz="4" w:space="0"/>
              <w:bottom w:val="single" w:color="000000" w:sz="4" w:space="0"/>
              <w:right w:val="single" w:color="auto" w:sz="4" w:space="0"/>
            </w:tcBorders>
            <w:vAlign w:val="center"/>
          </w:tcPr>
          <w:p w14:paraId="1889D344">
            <w:pPr>
              <w:spacing w:after="0" w:line="68" w:lineRule="atLeast"/>
              <w:jc w:val="center"/>
              <w:rPr>
                <w:rFonts w:ascii="宋体" w:hAnsi="宋体" w:eastAsia="宋体" w:cs="宋体"/>
              </w:rPr>
            </w:pPr>
            <w:r>
              <w:rPr>
                <w:rFonts w:hint="eastAsia" w:ascii="宋体" w:hAnsi="宋体" w:eastAsia="宋体" w:cs="宋体"/>
                <w:b/>
                <w:bCs/>
              </w:rPr>
              <w:t>指标解释说明</w:t>
            </w:r>
          </w:p>
        </w:tc>
        <w:tc>
          <w:tcPr>
            <w:tcW w:w="3423" w:type="dxa"/>
            <w:vMerge w:val="continue"/>
            <w:tcBorders>
              <w:top w:val="single" w:color="000000" w:sz="4" w:space="0"/>
              <w:left w:val="single" w:color="auto" w:sz="4" w:space="0"/>
              <w:bottom w:val="single" w:color="000000" w:sz="4" w:space="0"/>
              <w:right w:val="single" w:color="auto" w:sz="4" w:space="0"/>
            </w:tcBorders>
            <w:vAlign w:val="center"/>
          </w:tcPr>
          <w:p w14:paraId="3FD07A64">
            <w:pPr>
              <w:spacing w:after="0"/>
              <w:rPr>
                <w:rFonts w:ascii="宋体" w:hAnsi="宋体" w:eastAsia="宋体" w:cs="宋体"/>
              </w:rPr>
            </w:pPr>
          </w:p>
        </w:tc>
        <w:tc>
          <w:tcPr>
            <w:tcW w:w="1090" w:type="dxa"/>
            <w:vMerge w:val="continue"/>
            <w:tcBorders>
              <w:top w:val="single" w:color="000000" w:sz="4" w:space="0"/>
              <w:left w:val="single" w:color="auto" w:sz="4" w:space="0"/>
              <w:bottom w:val="single" w:color="000000" w:sz="4" w:space="0"/>
              <w:right w:val="single" w:color="auto" w:sz="4" w:space="0"/>
            </w:tcBorders>
            <w:vAlign w:val="center"/>
          </w:tcPr>
          <w:p w14:paraId="2CEB3094">
            <w:pPr>
              <w:spacing w:after="0"/>
              <w:rPr>
                <w:rFonts w:ascii="宋体" w:hAnsi="宋体" w:eastAsia="宋体" w:cs="宋体"/>
              </w:rPr>
            </w:pPr>
          </w:p>
        </w:tc>
      </w:tr>
      <w:tr w14:paraId="52612B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0" w:hRule="atLeast"/>
          <w:jc w:val="center"/>
        </w:trPr>
        <w:tc>
          <w:tcPr>
            <w:tcW w:w="733" w:type="dxa"/>
            <w:vMerge w:val="restart"/>
            <w:tcBorders>
              <w:top w:val="single" w:color="000000" w:sz="4" w:space="0"/>
              <w:left w:val="single" w:color="000000" w:sz="4" w:space="0"/>
              <w:right w:val="single" w:color="000000" w:sz="4" w:space="0"/>
            </w:tcBorders>
          </w:tcPr>
          <w:p w14:paraId="5A236307">
            <w:pPr>
              <w:spacing w:after="0" w:line="68" w:lineRule="atLeast"/>
              <w:rPr>
                <w:rFonts w:ascii="宋体" w:hAnsi="宋体" w:eastAsia="宋体" w:cs="宋体"/>
              </w:rPr>
            </w:pPr>
          </w:p>
          <w:p w14:paraId="2C30D7D7">
            <w:pPr>
              <w:spacing w:after="0" w:line="68" w:lineRule="atLeast"/>
              <w:rPr>
                <w:rFonts w:ascii="宋体" w:hAnsi="宋体" w:eastAsia="宋体" w:cs="宋体"/>
              </w:rPr>
            </w:pPr>
          </w:p>
          <w:p w14:paraId="6AD058F3">
            <w:pPr>
              <w:spacing w:after="0" w:line="68" w:lineRule="atLeast"/>
              <w:rPr>
                <w:rFonts w:ascii="宋体" w:hAnsi="宋体" w:eastAsia="宋体" w:cs="宋体"/>
              </w:rPr>
            </w:pPr>
          </w:p>
          <w:p w14:paraId="43B70344">
            <w:pPr>
              <w:spacing w:after="0" w:line="68" w:lineRule="atLeast"/>
              <w:rPr>
                <w:rFonts w:ascii="宋体" w:hAnsi="宋体" w:eastAsia="宋体" w:cs="宋体"/>
              </w:rPr>
            </w:pPr>
          </w:p>
          <w:p w14:paraId="073C751F">
            <w:pPr>
              <w:spacing w:after="0" w:line="68" w:lineRule="atLeast"/>
              <w:rPr>
                <w:rFonts w:ascii="宋体" w:hAnsi="宋体" w:eastAsia="宋体" w:cs="宋体"/>
              </w:rPr>
            </w:pPr>
          </w:p>
          <w:p w14:paraId="28498D58">
            <w:pPr>
              <w:spacing w:after="0" w:line="68" w:lineRule="atLeast"/>
              <w:rPr>
                <w:rFonts w:ascii="宋体" w:hAnsi="宋体" w:eastAsia="宋体" w:cs="宋体"/>
              </w:rPr>
            </w:pPr>
          </w:p>
          <w:p w14:paraId="53039498">
            <w:pPr>
              <w:spacing w:after="0" w:line="68" w:lineRule="atLeast"/>
              <w:rPr>
                <w:rFonts w:ascii="宋体" w:hAnsi="宋体" w:eastAsia="宋体" w:cs="宋体"/>
              </w:rPr>
            </w:pPr>
          </w:p>
          <w:p w14:paraId="504CBE8C">
            <w:pPr>
              <w:spacing w:after="0" w:line="68" w:lineRule="atLeast"/>
              <w:rPr>
                <w:rFonts w:ascii="宋体" w:hAnsi="宋体" w:eastAsia="宋体" w:cs="宋体"/>
              </w:rPr>
            </w:pPr>
          </w:p>
          <w:p w14:paraId="6B16DF16">
            <w:pPr>
              <w:spacing w:after="0" w:line="68" w:lineRule="atLeast"/>
              <w:rPr>
                <w:rFonts w:ascii="宋体" w:hAnsi="宋体" w:eastAsia="宋体" w:cs="宋体"/>
              </w:rPr>
            </w:pPr>
          </w:p>
          <w:p w14:paraId="414EC668">
            <w:pPr>
              <w:spacing w:after="0" w:line="68" w:lineRule="atLeast"/>
              <w:rPr>
                <w:rFonts w:ascii="宋体" w:hAnsi="宋体" w:eastAsia="宋体" w:cs="宋体"/>
              </w:rPr>
            </w:pPr>
          </w:p>
          <w:p w14:paraId="03C39B18">
            <w:pPr>
              <w:spacing w:after="0" w:line="68" w:lineRule="atLeast"/>
              <w:rPr>
                <w:rFonts w:ascii="宋体" w:hAnsi="宋体" w:eastAsia="宋体" w:cs="宋体"/>
              </w:rPr>
            </w:pPr>
            <w:r>
              <w:rPr>
                <w:rFonts w:hint="eastAsia" w:ascii="宋体" w:hAnsi="宋体" w:eastAsia="宋体" w:cs="宋体"/>
              </w:rPr>
              <w:t>投入（15分）</w:t>
            </w:r>
          </w:p>
          <w:p w14:paraId="4C19D8A1">
            <w:pPr>
              <w:spacing w:after="0" w:line="68" w:lineRule="atLeast"/>
              <w:rPr>
                <w:rFonts w:ascii="宋体" w:hAnsi="宋体" w:eastAsia="宋体" w:cs="宋体"/>
              </w:rPr>
            </w:pPr>
          </w:p>
          <w:p w14:paraId="7A84DF17">
            <w:pPr>
              <w:spacing w:after="0" w:line="68" w:lineRule="atLeast"/>
              <w:rPr>
                <w:rFonts w:ascii="宋体" w:hAnsi="宋体" w:eastAsia="宋体" w:cs="宋体"/>
              </w:rPr>
            </w:pPr>
          </w:p>
          <w:p w14:paraId="2886259D">
            <w:pPr>
              <w:spacing w:after="0" w:line="68" w:lineRule="atLeast"/>
              <w:rPr>
                <w:rFonts w:ascii="宋体" w:hAnsi="宋体" w:eastAsia="宋体" w:cs="宋体"/>
              </w:rPr>
            </w:pPr>
          </w:p>
          <w:p w14:paraId="026453E8">
            <w:pPr>
              <w:spacing w:after="0" w:line="68" w:lineRule="atLeast"/>
              <w:rPr>
                <w:rFonts w:ascii="宋体" w:hAnsi="宋体" w:eastAsia="宋体" w:cs="宋体"/>
              </w:rPr>
            </w:pPr>
          </w:p>
          <w:p w14:paraId="4F8725D0">
            <w:pPr>
              <w:spacing w:after="0" w:line="68" w:lineRule="atLeast"/>
              <w:rPr>
                <w:rFonts w:ascii="宋体" w:hAnsi="宋体" w:eastAsia="宋体" w:cs="宋体"/>
              </w:rPr>
            </w:pPr>
          </w:p>
          <w:p w14:paraId="029E06EC">
            <w:pPr>
              <w:spacing w:after="0" w:line="68" w:lineRule="atLeast"/>
              <w:rPr>
                <w:rFonts w:ascii="宋体" w:hAnsi="宋体" w:eastAsia="宋体" w:cs="宋体"/>
              </w:rPr>
            </w:pPr>
          </w:p>
          <w:p w14:paraId="651DB2A2">
            <w:pPr>
              <w:spacing w:after="0" w:line="68" w:lineRule="atLeast"/>
              <w:rPr>
                <w:rFonts w:ascii="宋体" w:hAnsi="宋体" w:eastAsia="宋体" w:cs="宋体"/>
              </w:rPr>
            </w:pPr>
          </w:p>
          <w:p w14:paraId="78B3EE1F">
            <w:pPr>
              <w:spacing w:after="0" w:line="68" w:lineRule="atLeast"/>
              <w:rPr>
                <w:rFonts w:ascii="宋体" w:hAnsi="宋体" w:eastAsia="宋体" w:cs="宋体"/>
              </w:rPr>
            </w:pPr>
          </w:p>
          <w:p w14:paraId="1535E4B3">
            <w:pPr>
              <w:spacing w:after="0" w:line="68" w:lineRule="atLeast"/>
              <w:rPr>
                <w:rFonts w:ascii="宋体" w:hAnsi="宋体" w:eastAsia="宋体" w:cs="宋体"/>
              </w:rPr>
            </w:pPr>
          </w:p>
          <w:p w14:paraId="27F42626">
            <w:pPr>
              <w:spacing w:after="0" w:line="68" w:lineRule="atLeast"/>
              <w:rPr>
                <w:rFonts w:ascii="宋体" w:hAnsi="宋体" w:eastAsia="宋体" w:cs="宋体"/>
              </w:rPr>
            </w:pPr>
          </w:p>
          <w:p w14:paraId="2E9125FE">
            <w:pPr>
              <w:spacing w:after="0" w:line="68" w:lineRule="atLeast"/>
              <w:rPr>
                <w:rFonts w:ascii="宋体" w:hAnsi="宋体" w:eastAsia="宋体" w:cs="宋体"/>
              </w:rPr>
            </w:pPr>
          </w:p>
          <w:p w14:paraId="157C407D">
            <w:pPr>
              <w:spacing w:after="0" w:line="68" w:lineRule="atLeast"/>
              <w:rPr>
                <w:rFonts w:ascii="宋体" w:hAnsi="宋体" w:eastAsia="宋体" w:cs="宋体"/>
              </w:rPr>
            </w:pPr>
          </w:p>
          <w:p w14:paraId="7B596585">
            <w:pPr>
              <w:spacing w:after="0" w:line="68" w:lineRule="atLeast"/>
              <w:rPr>
                <w:rFonts w:ascii="宋体" w:hAnsi="宋体" w:eastAsia="宋体" w:cs="宋体"/>
              </w:rPr>
            </w:pPr>
          </w:p>
          <w:p w14:paraId="09D9E9BE">
            <w:pPr>
              <w:spacing w:after="0" w:line="68" w:lineRule="atLeast"/>
              <w:rPr>
                <w:rFonts w:ascii="宋体" w:hAnsi="宋体" w:eastAsia="宋体" w:cs="宋体"/>
              </w:rPr>
            </w:pPr>
          </w:p>
          <w:p w14:paraId="2F4BD367">
            <w:pPr>
              <w:spacing w:after="0" w:line="68" w:lineRule="atLeast"/>
              <w:rPr>
                <w:rFonts w:ascii="宋体" w:hAnsi="宋体" w:eastAsia="宋体" w:cs="宋体"/>
              </w:rPr>
            </w:pPr>
          </w:p>
          <w:p w14:paraId="4A17F669">
            <w:pPr>
              <w:spacing w:after="0" w:line="68" w:lineRule="atLeast"/>
              <w:rPr>
                <w:rFonts w:ascii="宋体" w:hAnsi="宋体" w:eastAsia="宋体" w:cs="宋体"/>
              </w:rPr>
            </w:pPr>
          </w:p>
          <w:p w14:paraId="68AA1CA7">
            <w:pPr>
              <w:spacing w:after="0" w:line="68" w:lineRule="atLeast"/>
              <w:rPr>
                <w:rFonts w:ascii="宋体" w:hAnsi="宋体" w:eastAsia="宋体" w:cs="宋体"/>
              </w:rPr>
            </w:pPr>
          </w:p>
          <w:p w14:paraId="233B5B91">
            <w:pPr>
              <w:spacing w:after="0" w:line="68" w:lineRule="atLeast"/>
              <w:rPr>
                <w:rFonts w:ascii="宋体" w:hAnsi="宋体" w:eastAsia="宋体" w:cs="宋体"/>
              </w:rPr>
            </w:pPr>
          </w:p>
          <w:p w14:paraId="7B7B661B">
            <w:pPr>
              <w:spacing w:after="0" w:line="68" w:lineRule="atLeast"/>
              <w:rPr>
                <w:rFonts w:ascii="宋体" w:hAnsi="宋体" w:eastAsia="宋体" w:cs="宋体"/>
              </w:rPr>
            </w:pPr>
          </w:p>
          <w:p w14:paraId="069FF040">
            <w:pPr>
              <w:spacing w:after="0" w:line="68" w:lineRule="atLeast"/>
              <w:rPr>
                <w:rFonts w:ascii="宋体" w:hAnsi="宋体" w:eastAsia="宋体" w:cs="宋体"/>
              </w:rPr>
            </w:pPr>
            <w:r>
              <w:rPr>
                <w:rFonts w:hint="eastAsia" w:ascii="宋体" w:hAnsi="宋体" w:eastAsia="宋体" w:cs="宋体"/>
              </w:rPr>
              <w:t>投入（15分）</w:t>
            </w:r>
          </w:p>
        </w:tc>
        <w:tc>
          <w:tcPr>
            <w:tcW w:w="803" w:type="dxa"/>
            <w:vMerge w:val="restart"/>
            <w:tcBorders>
              <w:top w:val="single" w:color="000000" w:sz="4" w:space="0"/>
              <w:left w:val="single" w:color="000000" w:sz="4" w:space="0"/>
              <w:right w:val="single" w:color="000000" w:sz="4" w:space="0"/>
            </w:tcBorders>
          </w:tcPr>
          <w:p w14:paraId="3AC79553">
            <w:pPr>
              <w:spacing w:after="0" w:line="240" w:lineRule="exact"/>
              <w:rPr>
                <w:rFonts w:ascii="宋体" w:hAnsi="宋体" w:eastAsia="宋体" w:cs="宋体"/>
              </w:rPr>
            </w:pPr>
          </w:p>
          <w:p w14:paraId="78F6D9FC">
            <w:pPr>
              <w:spacing w:after="0" w:line="240" w:lineRule="exact"/>
              <w:rPr>
                <w:rFonts w:ascii="宋体" w:hAnsi="宋体" w:eastAsia="宋体" w:cs="宋体"/>
              </w:rPr>
            </w:pPr>
          </w:p>
          <w:p w14:paraId="43C90135">
            <w:pPr>
              <w:spacing w:after="0" w:line="240" w:lineRule="exact"/>
              <w:rPr>
                <w:rFonts w:ascii="宋体" w:hAnsi="宋体" w:eastAsia="宋体" w:cs="宋体"/>
              </w:rPr>
            </w:pPr>
          </w:p>
          <w:p w14:paraId="0D77D71C">
            <w:pPr>
              <w:spacing w:after="0" w:line="240" w:lineRule="exact"/>
              <w:rPr>
                <w:rFonts w:ascii="宋体" w:hAnsi="宋体" w:eastAsia="宋体" w:cs="宋体"/>
              </w:rPr>
            </w:pPr>
          </w:p>
          <w:p w14:paraId="17BCF5C8">
            <w:pPr>
              <w:spacing w:after="0" w:line="240" w:lineRule="exact"/>
              <w:rPr>
                <w:rFonts w:ascii="宋体" w:hAnsi="宋体" w:eastAsia="宋体" w:cs="宋体"/>
              </w:rPr>
            </w:pPr>
          </w:p>
          <w:p w14:paraId="019A22F0">
            <w:pPr>
              <w:spacing w:after="0" w:line="240" w:lineRule="exact"/>
              <w:rPr>
                <w:rFonts w:ascii="宋体" w:hAnsi="宋体" w:eastAsia="宋体" w:cs="宋体"/>
              </w:rPr>
            </w:pPr>
          </w:p>
          <w:p w14:paraId="5D6FE97A">
            <w:pPr>
              <w:spacing w:after="0" w:line="240" w:lineRule="exact"/>
              <w:rPr>
                <w:rFonts w:ascii="宋体" w:hAnsi="宋体" w:eastAsia="宋体" w:cs="宋体"/>
              </w:rPr>
            </w:pPr>
          </w:p>
          <w:p w14:paraId="0375A0D1">
            <w:pPr>
              <w:spacing w:after="0" w:line="240" w:lineRule="exact"/>
              <w:rPr>
                <w:rFonts w:ascii="宋体" w:hAnsi="宋体" w:eastAsia="宋体" w:cs="宋体"/>
              </w:rPr>
            </w:pPr>
          </w:p>
          <w:p w14:paraId="617360F0">
            <w:pPr>
              <w:spacing w:after="0" w:line="240" w:lineRule="exact"/>
              <w:rPr>
                <w:rFonts w:ascii="宋体" w:hAnsi="宋体" w:eastAsia="宋体" w:cs="宋体"/>
              </w:rPr>
            </w:pPr>
          </w:p>
          <w:p w14:paraId="7D16F888">
            <w:pPr>
              <w:spacing w:after="0" w:line="240" w:lineRule="exact"/>
              <w:rPr>
                <w:rFonts w:ascii="宋体" w:hAnsi="宋体" w:eastAsia="宋体" w:cs="宋体"/>
              </w:rPr>
            </w:pPr>
          </w:p>
          <w:p w14:paraId="239704CE">
            <w:pPr>
              <w:spacing w:after="0" w:line="240" w:lineRule="exact"/>
              <w:rPr>
                <w:rFonts w:ascii="宋体" w:hAnsi="宋体" w:eastAsia="宋体" w:cs="宋体"/>
              </w:rPr>
            </w:pPr>
          </w:p>
          <w:p w14:paraId="6D52B0B9">
            <w:pPr>
              <w:spacing w:after="0" w:line="240" w:lineRule="exact"/>
              <w:rPr>
                <w:rFonts w:ascii="宋体" w:hAnsi="宋体" w:eastAsia="宋体" w:cs="宋体"/>
              </w:rPr>
            </w:pPr>
          </w:p>
          <w:p w14:paraId="32D8EB19">
            <w:pPr>
              <w:spacing w:after="0" w:line="240" w:lineRule="exact"/>
              <w:rPr>
                <w:rFonts w:ascii="宋体" w:hAnsi="宋体" w:eastAsia="宋体" w:cs="宋体"/>
              </w:rPr>
            </w:pPr>
          </w:p>
          <w:p w14:paraId="038A576C">
            <w:pPr>
              <w:spacing w:after="0" w:line="240" w:lineRule="exact"/>
              <w:rPr>
                <w:rFonts w:ascii="宋体" w:hAnsi="宋体" w:eastAsia="宋体" w:cs="宋体"/>
              </w:rPr>
            </w:pPr>
            <w:r>
              <w:rPr>
                <w:rFonts w:hint="eastAsia" w:ascii="宋体" w:hAnsi="宋体" w:eastAsia="宋体" w:cs="宋体"/>
              </w:rPr>
              <w:t>目标设定</w:t>
            </w:r>
          </w:p>
          <w:p w14:paraId="27724C3D">
            <w:pPr>
              <w:spacing w:after="0" w:line="68" w:lineRule="atLeast"/>
              <w:rPr>
                <w:rFonts w:ascii="宋体" w:hAnsi="宋体" w:eastAsia="宋体" w:cs="宋体"/>
              </w:rPr>
            </w:pPr>
            <w:r>
              <w:rPr>
                <w:rFonts w:hint="eastAsia" w:ascii="宋体" w:hAnsi="宋体" w:eastAsia="宋体" w:cs="宋体"/>
              </w:rPr>
              <w:t>（5分）</w:t>
            </w:r>
          </w:p>
        </w:tc>
        <w:tc>
          <w:tcPr>
            <w:tcW w:w="1182" w:type="dxa"/>
            <w:tcBorders>
              <w:top w:val="single" w:color="000000" w:sz="4" w:space="0"/>
              <w:left w:val="single" w:color="000000" w:sz="4" w:space="0"/>
              <w:bottom w:val="single" w:color="auto" w:sz="4" w:space="0"/>
              <w:right w:val="single" w:color="auto" w:sz="4" w:space="0"/>
            </w:tcBorders>
          </w:tcPr>
          <w:p w14:paraId="14ACDF90">
            <w:pPr>
              <w:spacing w:after="0" w:line="68" w:lineRule="atLeast"/>
              <w:rPr>
                <w:rFonts w:ascii="宋体" w:hAnsi="宋体" w:eastAsia="宋体" w:cs="宋体"/>
              </w:rPr>
            </w:pPr>
            <w:r>
              <w:rPr>
                <w:rFonts w:hint="eastAsia" w:ascii="宋体" w:hAnsi="宋体" w:eastAsia="宋体" w:cs="宋体"/>
              </w:rPr>
              <w:t>职责明确（1分）</w:t>
            </w:r>
          </w:p>
        </w:tc>
        <w:tc>
          <w:tcPr>
            <w:tcW w:w="6911" w:type="dxa"/>
            <w:tcBorders>
              <w:top w:val="single" w:color="000000" w:sz="4" w:space="0"/>
              <w:left w:val="single" w:color="auto" w:sz="4" w:space="0"/>
              <w:bottom w:val="single" w:color="auto" w:sz="4" w:space="0"/>
              <w:right w:val="single" w:color="auto" w:sz="4" w:space="0"/>
            </w:tcBorders>
          </w:tcPr>
          <w:p w14:paraId="19671038">
            <w:pPr>
              <w:spacing w:after="0" w:line="68" w:lineRule="atLeast"/>
              <w:rPr>
                <w:rFonts w:ascii="宋体" w:hAnsi="宋体" w:eastAsia="宋体" w:cs="宋体"/>
              </w:rPr>
            </w:pPr>
            <w:r>
              <w:rPr>
                <w:rFonts w:hint="eastAsia" w:ascii="宋体" w:hAnsi="宋体" w:eastAsia="宋体" w:cs="宋体"/>
              </w:rPr>
              <w:t>部门的职责设定是否符合“三定”方案中所赋予的职责和年度承担的重点工作，用以反映和评价部门工作的目的性与计划性。</w:t>
            </w:r>
          </w:p>
        </w:tc>
        <w:tc>
          <w:tcPr>
            <w:tcW w:w="3423" w:type="dxa"/>
            <w:tcBorders>
              <w:top w:val="single" w:color="000000" w:sz="4" w:space="0"/>
              <w:left w:val="single" w:color="auto" w:sz="4" w:space="0"/>
              <w:bottom w:val="single" w:color="auto" w:sz="4" w:space="0"/>
              <w:right w:val="single" w:color="auto" w:sz="4" w:space="0"/>
            </w:tcBorders>
          </w:tcPr>
          <w:p w14:paraId="0331CCB1">
            <w:pPr>
              <w:spacing w:after="0" w:line="240" w:lineRule="exact"/>
              <w:rPr>
                <w:rFonts w:ascii="宋体" w:hAnsi="宋体" w:eastAsia="宋体" w:cs="宋体"/>
              </w:rPr>
            </w:pPr>
            <w:r>
              <w:rPr>
                <w:rFonts w:hint="eastAsia" w:ascii="宋体" w:hAnsi="宋体" w:eastAsia="宋体" w:cs="宋体"/>
              </w:rPr>
              <w:t>符合（1分）；</w:t>
            </w:r>
          </w:p>
          <w:p w14:paraId="121C9742">
            <w:pPr>
              <w:spacing w:after="0" w:line="68" w:lineRule="atLeast"/>
              <w:rPr>
                <w:rFonts w:ascii="宋体" w:hAnsi="宋体" w:eastAsia="宋体" w:cs="宋体"/>
              </w:rPr>
            </w:pPr>
            <w:r>
              <w:rPr>
                <w:rFonts w:hint="eastAsia" w:ascii="宋体" w:hAnsi="宋体" w:eastAsia="宋体" w:cs="宋体"/>
              </w:rPr>
              <w:t>不符合（0分）。</w:t>
            </w:r>
          </w:p>
        </w:tc>
        <w:tc>
          <w:tcPr>
            <w:tcW w:w="1090" w:type="dxa"/>
            <w:tcBorders>
              <w:top w:val="single" w:color="000000" w:sz="4" w:space="0"/>
              <w:left w:val="single" w:color="auto" w:sz="4" w:space="0"/>
              <w:bottom w:val="single" w:color="auto" w:sz="4" w:space="0"/>
              <w:right w:val="single" w:color="000000" w:sz="4" w:space="0"/>
            </w:tcBorders>
          </w:tcPr>
          <w:p w14:paraId="2EC31B85">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14:paraId="064976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4" w:hRule="atLeast"/>
          <w:jc w:val="center"/>
        </w:trPr>
        <w:tc>
          <w:tcPr>
            <w:tcW w:w="733" w:type="dxa"/>
            <w:vMerge w:val="continue"/>
            <w:tcBorders>
              <w:left w:val="single" w:color="000000" w:sz="4" w:space="0"/>
              <w:right w:val="single" w:color="000000" w:sz="4" w:space="0"/>
            </w:tcBorders>
            <w:vAlign w:val="center"/>
          </w:tcPr>
          <w:p w14:paraId="3EEDD102">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548D6145">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5188A36C">
            <w:pPr>
              <w:spacing w:after="0" w:line="68" w:lineRule="atLeast"/>
              <w:rPr>
                <w:rFonts w:ascii="宋体" w:hAnsi="宋体" w:eastAsia="宋体" w:cs="宋体"/>
              </w:rPr>
            </w:pPr>
            <w:r>
              <w:rPr>
                <w:rFonts w:hint="eastAsia" w:ascii="宋体" w:hAnsi="宋体" w:eastAsia="宋体" w:cs="宋体"/>
              </w:rPr>
              <w:t>活动合规性（1分）</w:t>
            </w:r>
          </w:p>
        </w:tc>
        <w:tc>
          <w:tcPr>
            <w:tcW w:w="6911" w:type="dxa"/>
            <w:tcBorders>
              <w:top w:val="single" w:color="000000" w:sz="4" w:space="0"/>
              <w:left w:val="single" w:color="auto" w:sz="4" w:space="0"/>
              <w:bottom w:val="single" w:color="auto" w:sz="4" w:space="0"/>
              <w:right w:val="single" w:color="auto" w:sz="4" w:space="0"/>
            </w:tcBorders>
            <w:vAlign w:val="center"/>
          </w:tcPr>
          <w:p w14:paraId="4A32139E">
            <w:pPr>
              <w:spacing w:after="0" w:line="240" w:lineRule="exact"/>
              <w:rPr>
                <w:rFonts w:ascii="宋体" w:hAnsi="宋体" w:eastAsia="宋体" w:cs="宋体"/>
              </w:rPr>
            </w:pPr>
            <w:r>
              <w:rPr>
                <w:rFonts w:hint="eastAsia" w:ascii="宋体" w:hAnsi="宋体" w:eastAsia="宋体" w:cs="宋体"/>
              </w:rPr>
              <w:t>部门的活动是否在职责范围之内并符合部门中长期规划，用以反映和评价部门活动目标与部门履职、年度工作任务的相符性情况。</w:t>
            </w:r>
          </w:p>
          <w:p w14:paraId="2DC52158">
            <w:pPr>
              <w:spacing w:after="0" w:line="240" w:lineRule="exact"/>
              <w:rPr>
                <w:rFonts w:ascii="宋体" w:hAnsi="宋体" w:eastAsia="宋体" w:cs="宋体"/>
              </w:rPr>
            </w:pPr>
            <w:r>
              <w:rPr>
                <w:rFonts w:hint="eastAsia" w:ascii="宋体" w:hAnsi="宋体" w:eastAsia="宋体" w:cs="宋体"/>
              </w:rPr>
              <w:t>评价要点：</w:t>
            </w:r>
          </w:p>
          <w:p w14:paraId="77ADDF22">
            <w:pPr>
              <w:spacing w:after="0" w:line="240" w:lineRule="exact"/>
              <w:rPr>
                <w:rFonts w:ascii="宋体" w:hAnsi="宋体" w:eastAsia="宋体" w:cs="宋体"/>
              </w:rPr>
            </w:pPr>
            <w:r>
              <w:rPr>
                <w:rFonts w:hint="eastAsia" w:ascii="宋体" w:hAnsi="宋体" w:eastAsia="宋体" w:cs="宋体"/>
              </w:rPr>
              <w:t>1.部门活动的设定在部门所确定的职责范围之内；</w:t>
            </w:r>
          </w:p>
          <w:p w14:paraId="65E2B3FA">
            <w:pPr>
              <w:spacing w:after="0" w:line="68" w:lineRule="atLeast"/>
              <w:rPr>
                <w:rFonts w:ascii="宋体" w:hAnsi="宋体" w:eastAsia="宋体" w:cs="宋体"/>
              </w:rPr>
            </w:pPr>
            <w:r>
              <w:rPr>
                <w:rFonts w:hint="eastAsia" w:ascii="宋体" w:hAnsi="宋体" w:eastAsia="宋体" w:cs="宋体"/>
              </w:rPr>
              <w:t>2.部门活动符合市委、市政府的发展规划及本部门的年度工作安排与发展规划。</w:t>
            </w:r>
          </w:p>
        </w:tc>
        <w:tc>
          <w:tcPr>
            <w:tcW w:w="3423" w:type="dxa"/>
            <w:tcBorders>
              <w:top w:val="single" w:color="000000" w:sz="4" w:space="0"/>
              <w:left w:val="single" w:color="auto" w:sz="4" w:space="0"/>
              <w:bottom w:val="single" w:color="auto" w:sz="4" w:space="0"/>
              <w:right w:val="single" w:color="auto" w:sz="4" w:space="0"/>
            </w:tcBorders>
            <w:vAlign w:val="center"/>
          </w:tcPr>
          <w:p w14:paraId="4E2D8F9F">
            <w:pPr>
              <w:spacing w:after="0" w:line="240" w:lineRule="exact"/>
              <w:rPr>
                <w:rFonts w:ascii="宋体" w:hAnsi="宋体" w:eastAsia="宋体" w:cs="宋体"/>
              </w:rPr>
            </w:pPr>
            <w:r>
              <w:rPr>
                <w:rFonts w:hint="eastAsia" w:ascii="宋体" w:hAnsi="宋体" w:eastAsia="宋体" w:cs="宋体"/>
              </w:rPr>
              <w:t>全部符合（1分）；</w:t>
            </w:r>
          </w:p>
          <w:p w14:paraId="3AB0BA02">
            <w:pPr>
              <w:spacing w:after="0" w:line="68" w:lineRule="atLeast"/>
              <w:rPr>
                <w:rFonts w:ascii="宋体" w:hAnsi="宋体" w:eastAsia="宋体" w:cs="宋体"/>
              </w:rPr>
            </w:pPr>
            <w:r>
              <w:rPr>
                <w:rFonts w:hint="eastAsia" w:ascii="宋体" w:hAnsi="宋体" w:eastAsia="宋体" w:cs="宋体"/>
              </w:rPr>
              <w:t>其中一项不符合（0分）。</w:t>
            </w:r>
          </w:p>
        </w:tc>
        <w:tc>
          <w:tcPr>
            <w:tcW w:w="1090" w:type="dxa"/>
            <w:tcBorders>
              <w:top w:val="single" w:color="000000" w:sz="4" w:space="0"/>
              <w:left w:val="single" w:color="auto" w:sz="4" w:space="0"/>
              <w:bottom w:val="single" w:color="auto" w:sz="4" w:space="0"/>
              <w:right w:val="single" w:color="000000" w:sz="4" w:space="0"/>
            </w:tcBorders>
            <w:vAlign w:val="center"/>
          </w:tcPr>
          <w:p w14:paraId="472A50F2">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14:paraId="572BBE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2" w:hRule="atLeast"/>
          <w:jc w:val="center"/>
        </w:trPr>
        <w:tc>
          <w:tcPr>
            <w:tcW w:w="733" w:type="dxa"/>
            <w:vMerge w:val="continue"/>
            <w:tcBorders>
              <w:left w:val="single" w:color="000000" w:sz="4" w:space="0"/>
              <w:right w:val="single" w:color="000000" w:sz="4" w:space="0"/>
            </w:tcBorders>
            <w:vAlign w:val="center"/>
          </w:tcPr>
          <w:p w14:paraId="0B8217FE">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47AAA343">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2A2B5EDB">
            <w:pPr>
              <w:spacing w:after="0" w:line="68" w:lineRule="atLeast"/>
              <w:rPr>
                <w:rFonts w:ascii="宋体" w:hAnsi="宋体" w:eastAsia="宋体" w:cs="宋体"/>
              </w:rPr>
            </w:pPr>
            <w:r>
              <w:rPr>
                <w:rFonts w:hint="eastAsia" w:ascii="宋体" w:hAnsi="宋体" w:eastAsia="宋体" w:cs="宋体"/>
              </w:rPr>
              <w:t>活动合理性（1分）</w:t>
            </w:r>
          </w:p>
        </w:tc>
        <w:tc>
          <w:tcPr>
            <w:tcW w:w="6911" w:type="dxa"/>
            <w:tcBorders>
              <w:top w:val="single" w:color="000000" w:sz="4" w:space="0"/>
              <w:left w:val="single" w:color="auto" w:sz="4" w:space="0"/>
              <w:bottom w:val="single" w:color="auto" w:sz="4" w:space="0"/>
              <w:right w:val="single" w:color="auto" w:sz="4" w:space="0"/>
            </w:tcBorders>
            <w:vAlign w:val="center"/>
          </w:tcPr>
          <w:p w14:paraId="5D0EBE40">
            <w:pPr>
              <w:spacing w:after="0" w:line="240" w:lineRule="exact"/>
              <w:rPr>
                <w:rFonts w:ascii="宋体" w:hAnsi="宋体" w:eastAsia="宋体" w:cs="宋体"/>
              </w:rPr>
            </w:pPr>
            <w:r>
              <w:rPr>
                <w:rFonts w:hint="eastAsia" w:ascii="宋体" w:hAnsi="宋体" w:eastAsia="宋体" w:cs="宋体"/>
              </w:rPr>
              <w:t>部门所设立的活动是否明确合理、活动的关键性指标设置是否可衡量，用以反映和评价部门活动目标设定的合理性。</w:t>
            </w:r>
          </w:p>
          <w:p w14:paraId="32A98104">
            <w:pPr>
              <w:spacing w:after="0" w:line="240" w:lineRule="exact"/>
              <w:rPr>
                <w:rFonts w:ascii="宋体" w:hAnsi="宋体" w:eastAsia="宋体" w:cs="宋体"/>
              </w:rPr>
            </w:pPr>
            <w:r>
              <w:rPr>
                <w:rFonts w:hint="eastAsia" w:ascii="宋体" w:hAnsi="宋体" w:eastAsia="宋体" w:cs="宋体"/>
              </w:rPr>
              <w:t>评价要点：</w:t>
            </w:r>
          </w:p>
          <w:p w14:paraId="05E5EE4A">
            <w:pPr>
              <w:spacing w:after="0" w:line="240" w:lineRule="exact"/>
              <w:rPr>
                <w:rFonts w:ascii="宋体" w:hAnsi="宋体" w:eastAsia="宋体" w:cs="宋体"/>
              </w:rPr>
            </w:pPr>
            <w:r>
              <w:rPr>
                <w:rFonts w:hint="eastAsia" w:ascii="宋体" w:hAnsi="宋体" w:eastAsia="宋体" w:cs="宋体"/>
              </w:rPr>
              <w:t>1.活动目标的设定是可量化的，可通过清晰、可衡量的关键指标值予以体现；</w:t>
            </w:r>
          </w:p>
          <w:p w14:paraId="48348F7A">
            <w:pPr>
              <w:spacing w:after="0" w:line="68" w:lineRule="atLeast"/>
              <w:rPr>
                <w:rFonts w:ascii="宋体" w:hAnsi="宋体" w:eastAsia="宋体" w:cs="宋体"/>
              </w:rPr>
            </w:pPr>
            <w:r>
              <w:rPr>
                <w:rFonts w:hint="eastAsia" w:ascii="宋体" w:hAnsi="宋体" w:eastAsia="宋体" w:cs="宋体"/>
              </w:rPr>
              <w:t>2.在活动目标设定时，将关键指标明细分解为具体的达成目标与工作任务。</w:t>
            </w:r>
          </w:p>
        </w:tc>
        <w:tc>
          <w:tcPr>
            <w:tcW w:w="3423" w:type="dxa"/>
            <w:tcBorders>
              <w:top w:val="single" w:color="000000" w:sz="4" w:space="0"/>
              <w:left w:val="single" w:color="auto" w:sz="4" w:space="0"/>
              <w:bottom w:val="single" w:color="auto" w:sz="4" w:space="0"/>
              <w:right w:val="single" w:color="auto" w:sz="4" w:space="0"/>
            </w:tcBorders>
            <w:vAlign w:val="center"/>
          </w:tcPr>
          <w:p w14:paraId="09E64BD5">
            <w:pPr>
              <w:spacing w:after="0" w:line="240" w:lineRule="exact"/>
              <w:rPr>
                <w:rFonts w:ascii="宋体" w:hAnsi="宋体" w:eastAsia="宋体" w:cs="宋体"/>
              </w:rPr>
            </w:pPr>
            <w:r>
              <w:rPr>
                <w:rFonts w:hint="eastAsia" w:ascii="宋体" w:hAnsi="宋体" w:eastAsia="宋体" w:cs="宋体"/>
              </w:rPr>
              <w:t>全部符合（1分）；</w:t>
            </w:r>
          </w:p>
          <w:p w14:paraId="257BD8B6">
            <w:pPr>
              <w:spacing w:after="0" w:line="68" w:lineRule="atLeast"/>
              <w:rPr>
                <w:rFonts w:ascii="宋体" w:hAnsi="宋体" w:eastAsia="宋体" w:cs="宋体"/>
              </w:rPr>
            </w:pPr>
            <w:r>
              <w:rPr>
                <w:rFonts w:hint="eastAsia" w:ascii="宋体" w:hAnsi="宋体" w:eastAsia="宋体" w:cs="宋体"/>
              </w:rPr>
              <w:t>其中一项不符合（0分）。</w:t>
            </w:r>
          </w:p>
        </w:tc>
        <w:tc>
          <w:tcPr>
            <w:tcW w:w="1090" w:type="dxa"/>
            <w:tcBorders>
              <w:top w:val="single" w:color="000000" w:sz="4" w:space="0"/>
              <w:left w:val="single" w:color="auto" w:sz="4" w:space="0"/>
              <w:bottom w:val="single" w:color="auto" w:sz="4" w:space="0"/>
              <w:right w:val="single" w:color="000000" w:sz="4" w:space="0"/>
            </w:tcBorders>
            <w:vAlign w:val="center"/>
          </w:tcPr>
          <w:p w14:paraId="2FE612C5">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14:paraId="15C91D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4" w:hRule="atLeast"/>
          <w:jc w:val="center"/>
        </w:trPr>
        <w:tc>
          <w:tcPr>
            <w:tcW w:w="733" w:type="dxa"/>
            <w:vMerge w:val="continue"/>
            <w:tcBorders>
              <w:left w:val="single" w:color="000000" w:sz="4" w:space="0"/>
              <w:right w:val="single" w:color="000000" w:sz="4" w:space="0"/>
            </w:tcBorders>
            <w:vAlign w:val="center"/>
          </w:tcPr>
          <w:p w14:paraId="44EB00D9">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36BCD379">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5954CC1D">
            <w:pPr>
              <w:spacing w:after="0" w:line="68" w:lineRule="atLeast"/>
              <w:rPr>
                <w:rFonts w:ascii="宋体" w:hAnsi="宋体" w:eastAsia="宋体" w:cs="宋体"/>
              </w:rPr>
            </w:pPr>
            <w:r>
              <w:rPr>
                <w:rFonts w:hint="eastAsia" w:ascii="宋体" w:hAnsi="宋体" w:eastAsia="宋体" w:cs="宋体"/>
              </w:rPr>
              <w:t>目标覆盖率（1分）</w:t>
            </w:r>
          </w:p>
        </w:tc>
        <w:tc>
          <w:tcPr>
            <w:tcW w:w="6911" w:type="dxa"/>
            <w:tcBorders>
              <w:top w:val="single" w:color="000000" w:sz="4" w:space="0"/>
              <w:left w:val="single" w:color="auto" w:sz="4" w:space="0"/>
              <w:bottom w:val="single" w:color="auto" w:sz="4" w:space="0"/>
              <w:right w:val="single" w:color="auto" w:sz="4" w:space="0"/>
            </w:tcBorders>
            <w:vAlign w:val="center"/>
          </w:tcPr>
          <w:p w14:paraId="2161BDFD">
            <w:pPr>
              <w:spacing w:after="0" w:line="240" w:lineRule="exact"/>
              <w:rPr>
                <w:rFonts w:ascii="宋体" w:hAnsi="宋体" w:eastAsia="宋体" w:cs="宋体"/>
              </w:rPr>
            </w:pPr>
            <w:r>
              <w:rPr>
                <w:rFonts w:hint="eastAsia" w:ascii="宋体" w:hAnsi="宋体" w:eastAsia="宋体" w:cs="宋体"/>
              </w:rPr>
              <w:t>部门年度申报绩效目标项目资金额与部门项目预算资金总额的比率，用以反映部门落实财政部门绩效目标申报要求的资金覆盖情况。</w:t>
            </w:r>
          </w:p>
          <w:p w14:paraId="0E4D75A1">
            <w:pPr>
              <w:spacing w:after="0" w:line="240" w:lineRule="exact"/>
              <w:rPr>
                <w:rFonts w:ascii="宋体" w:hAnsi="宋体" w:eastAsia="宋体" w:cs="宋体"/>
              </w:rPr>
            </w:pPr>
            <w:r>
              <w:rPr>
                <w:rFonts w:hint="eastAsia" w:ascii="宋体" w:hAnsi="宋体" w:eastAsia="宋体" w:cs="宋体"/>
              </w:rPr>
              <w:t>覆盖率=实际申报绩效目标项目资金总额/部门项目预算资金总额×100%</w:t>
            </w:r>
          </w:p>
        </w:tc>
        <w:tc>
          <w:tcPr>
            <w:tcW w:w="3423" w:type="dxa"/>
            <w:tcBorders>
              <w:top w:val="single" w:color="000000" w:sz="4" w:space="0"/>
              <w:left w:val="single" w:color="auto" w:sz="4" w:space="0"/>
              <w:bottom w:val="single" w:color="auto" w:sz="4" w:space="0"/>
              <w:right w:val="single" w:color="auto" w:sz="4" w:space="0"/>
            </w:tcBorders>
            <w:vAlign w:val="center"/>
          </w:tcPr>
          <w:p w14:paraId="14A3009E">
            <w:pPr>
              <w:spacing w:after="0" w:line="240" w:lineRule="exact"/>
              <w:rPr>
                <w:rFonts w:ascii="宋体" w:hAnsi="宋体" w:eastAsia="宋体" w:cs="宋体"/>
              </w:rPr>
            </w:pPr>
            <w:r>
              <w:rPr>
                <w:rFonts w:hint="eastAsia" w:ascii="宋体" w:hAnsi="宋体" w:eastAsia="宋体" w:cs="宋体"/>
              </w:rPr>
              <w:t>达到目标值得1分，未达到目标值采用完成比率法计分：得分=覆盖率/目标值×1，超过目标值不加分。</w:t>
            </w:r>
          </w:p>
        </w:tc>
        <w:tc>
          <w:tcPr>
            <w:tcW w:w="1090" w:type="dxa"/>
            <w:tcBorders>
              <w:top w:val="single" w:color="000000" w:sz="4" w:space="0"/>
              <w:left w:val="single" w:color="auto" w:sz="4" w:space="0"/>
              <w:bottom w:val="single" w:color="auto" w:sz="4" w:space="0"/>
              <w:right w:val="single" w:color="000000" w:sz="4" w:space="0"/>
            </w:tcBorders>
            <w:vAlign w:val="center"/>
          </w:tcPr>
          <w:p w14:paraId="5D349423">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14:paraId="120D8A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2" w:hRule="atLeast"/>
          <w:jc w:val="center"/>
        </w:trPr>
        <w:tc>
          <w:tcPr>
            <w:tcW w:w="733" w:type="dxa"/>
            <w:vMerge w:val="continue"/>
            <w:tcBorders>
              <w:left w:val="single" w:color="000000" w:sz="4" w:space="0"/>
              <w:right w:val="single" w:color="000000" w:sz="4" w:space="0"/>
            </w:tcBorders>
            <w:vAlign w:val="center"/>
          </w:tcPr>
          <w:p w14:paraId="0E66615A">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4CE3DCB9">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6C4B6E03">
            <w:pPr>
              <w:spacing w:after="0" w:line="68" w:lineRule="atLeast"/>
              <w:rPr>
                <w:rFonts w:ascii="宋体" w:hAnsi="宋体" w:eastAsia="宋体" w:cs="宋体"/>
              </w:rPr>
            </w:pPr>
            <w:r>
              <w:rPr>
                <w:rFonts w:hint="eastAsia" w:ascii="宋体" w:hAnsi="宋体" w:eastAsia="宋体" w:cs="宋体"/>
              </w:rPr>
              <w:t>目标管理创新（1分）</w:t>
            </w:r>
          </w:p>
        </w:tc>
        <w:tc>
          <w:tcPr>
            <w:tcW w:w="6911" w:type="dxa"/>
            <w:tcBorders>
              <w:top w:val="single" w:color="000000" w:sz="4" w:space="0"/>
              <w:left w:val="single" w:color="auto" w:sz="4" w:space="0"/>
              <w:bottom w:val="single" w:color="auto" w:sz="4" w:space="0"/>
              <w:right w:val="single" w:color="auto" w:sz="4" w:space="0"/>
            </w:tcBorders>
            <w:vAlign w:val="center"/>
          </w:tcPr>
          <w:p w14:paraId="7C17D042">
            <w:pPr>
              <w:spacing w:after="0" w:line="240" w:lineRule="exact"/>
              <w:rPr>
                <w:rFonts w:ascii="宋体" w:hAnsi="宋体" w:eastAsia="宋体" w:cs="宋体"/>
              </w:rPr>
            </w:pPr>
            <w:r>
              <w:rPr>
                <w:rFonts w:hint="eastAsia" w:ascii="宋体" w:hAnsi="宋体" w:eastAsia="宋体" w:cs="宋体"/>
              </w:rPr>
              <w:t>部门编报整体绩效目标和申报项目绩效目标的数量超过规定的要求。用以反映和考核部门绩效目标管理创新工作情况。</w:t>
            </w:r>
          </w:p>
          <w:p w14:paraId="10AFA0D1">
            <w:pPr>
              <w:spacing w:after="0" w:line="240" w:lineRule="exact"/>
              <w:rPr>
                <w:rFonts w:ascii="宋体" w:hAnsi="宋体" w:eastAsia="宋体" w:cs="宋体"/>
              </w:rPr>
            </w:pPr>
            <w:r>
              <w:rPr>
                <w:rFonts w:hint="eastAsia" w:ascii="宋体" w:hAnsi="宋体" w:eastAsia="宋体" w:cs="宋体"/>
              </w:rPr>
              <w:t>项目绩效目标创新=部门绩效目标编报数量-按财政部门要求的绩效目标填报数量</w:t>
            </w:r>
          </w:p>
        </w:tc>
        <w:tc>
          <w:tcPr>
            <w:tcW w:w="3423" w:type="dxa"/>
            <w:tcBorders>
              <w:top w:val="single" w:color="000000" w:sz="4" w:space="0"/>
              <w:left w:val="single" w:color="auto" w:sz="4" w:space="0"/>
              <w:bottom w:val="single" w:color="auto" w:sz="4" w:space="0"/>
              <w:right w:val="single" w:color="auto" w:sz="4" w:space="0"/>
            </w:tcBorders>
            <w:vAlign w:val="center"/>
          </w:tcPr>
          <w:p w14:paraId="5C6DF0C6">
            <w:pPr>
              <w:spacing w:after="0" w:line="240" w:lineRule="exact"/>
              <w:rPr>
                <w:rFonts w:ascii="宋体" w:hAnsi="宋体" w:eastAsia="宋体" w:cs="宋体"/>
              </w:rPr>
            </w:pPr>
            <w:r>
              <w:rPr>
                <w:rFonts w:hint="eastAsia" w:ascii="宋体" w:hAnsi="宋体" w:eastAsia="宋体" w:cs="宋体"/>
              </w:rPr>
              <w:t>每超过1项得0.1分，满分1分。</w:t>
            </w:r>
          </w:p>
        </w:tc>
        <w:tc>
          <w:tcPr>
            <w:tcW w:w="1090" w:type="dxa"/>
            <w:tcBorders>
              <w:top w:val="single" w:color="000000" w:sz="4" w:space="0"/>
              <w:left w:val="single" w:color="auto" w:sz="4" w:space="0"/>
              <w:bottom w:val="single" w:color="auto" w:sz="4" w:space="0"/>
              <w:right w:val="single" w:color="000000" w:sz="4" w:space="0"/>
            </w:tcBorders>
            <w:vAlign w:val="center"/>
          </w:tcPr>
          <w:p w14:paraId="4993FCF5">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0</w:t>
            </w:r>
          </w:p>
        </w:tc>
      </w:tr>
      <w:tr w14:paraId="1719D0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95" w:hRule="atLeast"/>
          <w:jc w:val="center"/>
        </w:trPr>
        <w:tc>
          <w:tcPr>
            <w:tcW w:w="733" w:type="dxa"/>
            <w:vMerge w:val="continue"/>
            <w:tcBorders>
              <w:left w:val="single" w:color="000000" w:sz="4" w:space="0"/>
              <w:right w:val="single" w:color="000000" w:sz="4" w:space="0"/>
            </w:tcBorders>
            <w:vAlign w:val="center"/>
          </w:tcPr>
          <w:p w14:paraId="69C276EE">
            <w:pPr>
              <w:spacing w:after="0"/>
              <w:rPr>
                <w:rFonts w:ascii="宋体" w:hAnsi="宋体" w:eastAsia="宋体" w:cs="宋体"/>
              </w:rPr>
            </w:pPr>
          </w:p>
        </w:tc>
        <w:tc>
          <w:tcPr>
            <w:tcW w:w="803" w:type="dxa"/>
            <w:vMerge w:val="restart"/>
            <w:tcBorders>
              <w:top w:val="single" w:color="000000" w:sz="4" w:space="0"/>
              <w:left w:val="single" w:color="000000" w:sz="4" w:space="0"/>
              <w:right w:val="single" w:color="000000" w:sz="4" w:space="0"/>
            </w:tcBorders>
            <w:vAlign w:val="center"/>
          </w:tcPr>
          <w:p w14:paraId="39FDE1FE">
            <w:pPr>
              <w:spacing w:after="0" w:line="68" w:lineRule="atLeast"/>
              <w:rPr>
                <w:rFonts w:ascii="宋体" w:hAnsi="宋体" w:eastAsia="宋体" w:cs="宋体"/>
              </w:rPr>
            </w:pPr>
            <w:r>
              <w:rPr>
                <w:rFonts w:hint="eastAsia" w:ascii="宋体" w:hAnsi="宋体" w:eastAsia="宋体" w:cs="宋体"/>
              </w:rPr>
              <w:t>预算配置(10分)</w:t>
            </w:r>
          </w:p>
        </w:tc>
        <w:tc>
          <w:tcPr>
            <w:tcW w:w="1182" w:type="dxa"/>
            <w:tcBorders>
              <w:top w:val="single" w:color="auto" w:sz="4" w:space="0"/>
              <w:left w:val="single" w:color="000000" w:sz="4" w:space="0"/>
              <w:bottom w:val="single" w:color="000000" w:sz="4" w:space="0"/>
              <w:right w:val="single" w:color="auto" w:sz="4" w:space="0"/>
            </w:tcBorders>
            <w:vAlign w:val="center"/>
          </w:tcPr>
          <w:p w14:paraId="13DDC496">
            <w:pPr>
              <w:spacing w:after="0" w:line="68" w:lineRule="atLeast"/>
              <w:rPr>
                <w:rFonts w:ascii="宋体" w:hAnsi="宋体" w:eastAsia="宋体" w:cs="宋体"/>
              </w:rPr>
            </w:pPr>
            <w:r>
              <w:rPr>
                <w:rFonts w:hint="eastAsia" w:ascii="宋体" w:hAnsi="宋体" w:eastAsia="宋体" w:cs="宋体"/>
              </w:rPr>
              <w:t>财政供养人员控制率（3分）</w:t>
            </w:r>
          </w:p>
        </w:tc>
        <w:tc>
          <w:tcPr>
            <w:tcW w:w="6911" w:type="dxa"/>
            <w:tcBorders>
              <w:top w:val="single" w:color="auto" w:sz="4" w:space="0"/>
              <w:left w:val="single" w:color="auto" w:sz="4" w:space="0"/>
              <w:bottom w:val="single" w:color="000000" w:sz="4" w:space="0"/>
              <w:right w:val="single" w:color="auto" w:sz="4" w:space="0"/>
            </w:tcBorders>
            <w:vAlign w:val="center"/>
          </w:tcPr>
          <w:p w14:paraId="3B573BA1">
            <w:pPr>
              <w:spacing w:after="0" w:line="240" w:lineRule="exact"/>
              <w:rPr>
                <w:rFonts w:ascii="宋体" w:hAnsi="宋体" w:eastAsia="宋体" w:cs="宋体"/>
              </w:rPr>
            </w:pPr>
            <w:r>
              <w:rPr>
                <w:rFonts w:hint="eastAsia" w:ascii="宋体" w:hAnsi="宋体" w:eastAsia="宋体" w:cs="宋体"/>
              </w:rPr>
              <w:t>部门本年度实际在职人员数与编制数的比率，用以反映和评价部门对人员成本的控制程度。</w:t>
            </w:r>
          </w:p>
          <w:p w14:paraId="7AEC9E2D">
            <w:pPr>
              <w:spacing w:after="0" w:line="240" w:lineRule="exact"/>
              <w:rPr>
                <w:rFonts w:ascii="宋体" w:hAnsi="宋体" w:eastAsia="宋体" w:cs="宋体"/>
              </w:rPr>
            </w:pPr>
            <w:r>
              <w:rPr>
                <w:rFonts w:hint="eastAsia" w:ascii="宋体" w:hAnsi="宋体" w:eastAsia="宋体" w:cs="宋体"/>
              </w:rPr>
              <w:t>在职人员控制率=（在职人员数/编制数）×100%。</w:t>
            </w:r>
          </w:p>
          <w:p w14:paraId="4846BE4A">
            <w:pPr>
              <w:spacing w:after="0" w:line="240" w:lineRule="exact"/>
              <w:rPr>
                <w:rFonts w:ascii="宋体" w:hAnsi="宋体" w:eastAsia="宋体" w:cs="宋体"/>
              </w:rPr>
            </w:pPr>
            <w:r>
              <w:rPr>
                <w:rFonts w:hint="eastAsia" w:ascii="宋体" w:hAnsi="宋体" w:eastAsia="宋体" w:cs="宋体"/>
              </w:rPr>
              <w:t>在职人员数：部门实际在职人数，以财政部确定的部门决算编制口径为准，由编制部门和人劳部门批复同意的临聘人员除外。</w:t>
            </w:r>
          </w:p>
          <w:p w14:paraId="3F411B12">
            <w:pPr>
              <w:spacing w:after="0" w:line="68" w:lineRule="atLeast"/>
              <w:rPr>
                <w:rFonts w:ascii="宋体" w:hAnsi="宋体" w:eastAsia="宋体" w:cs="宋体"/>
              </w:rPr>
            </w:pPr>
            <w:r>
              <w:rPr>
                <w:rFonts w:hint="eastAsia" w:ascii="宋体" w:hAnsi="宋体" w:eastAsia="宋体" w:cs="宋体"/>
              </w:rPr>
              <w:t>编制数：机构编制部门核定批复的部门人员编制数。</w:t>
            </w:r>
          </w:p>
        </w:tc>
        <w:tc>
          <w:tcPr>
            <w:tcW w:w="3423" w:type="dxa"/>
            <w:tcBorders>
              <w:top w:val="single" w:color="auto" w:sz="4" w:space="0"/>
              <w:left w:val="single" w:color="auto" w:sz="4" w:space="0"/>
              <w:bottom w:val="single" w:color="000000" w:sz="4" w:space="0"/>
              <w:right w:val="single" w:color="auto" w:sz="4" w:space="0"/>
            </w:tcBorders>
            <w:vAlign w:val="center"/>
          </w:tcPr>
          <w:p w14:paraId="5B00DE72">
            <w:pPr>
              <w:spacing w:after="0" w:line="68" w:lineRule="atLeast"/>
              <w:rPr>
                <w:rFonts w:ascii="宋体" w:hAnsi="宋体" w:eastAsia="宋体" w:cs="宋体"/>
              </w:rPr>
            </w:pPr>
            <w:r>
              <w:rPr>
                <w:rFonts w:hint="eastAsia" w:ascii="宋体" w:hAnsi="宋体" w:eastAsia="宋体" w:cs="宋体"/>
              </w:rPr>
              <w:t>目标值≤100%；达到目标值得3分，每超出1人扣0.1分，扣完为止。</w:t>
            </w:r>
          </w:p>
        </w:tc>
        <w:tc>
          <w:tcPr>
            <w:tcW w:w="1090" w:type="dxa"/>
            <w:tcBorders>
              <w:top w:val="single" w:color="auto" w:sz="4" w:space="0"/>
              <w:left w:val="single" w:color="auto" w:sz="4" w:space="0"/>
              <w:bottom w:val="single" w:color="000000" w:sz="4" w:space="0"/>
              <w:right w:val="single" w:color="000000" w:sz="4" w:space="0"/>
            </w:tcBorders>
            <w:vAlign w:val="center"/>
          </w:tcPr>
          <w:p w14:paraId="7F8FA885">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0FADB4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75" w:hRule="atLeast"/>
          <w:jc w:val="center"/>
        </w:trPr>
        <w:tc>
          <w:tcPr>
            <w:tcW w:w="733" w:type="dxa"/>
            <w:vMerge w:val="continue"/>
            <w:tcBorders>
              <w:left w:val="single" w:color="000000" w:sz="4" w:space="0"/>
              <w:right w:val="single" w:color="000000" w:sz="4" w:space="0"/>
            </w:tcBorders>
            <w:vAlign w:val="center"/>
          </w:tcPr>
          <w:p w14:paraId="7168B935">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14049C9E">
            <w:pPr>
              <w:spacing w:after="0"/>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7E10ACC7">
            <w:pPr>
              <w:spacing w:after="0" w:line="68" w:lineRule="atLeast"/>
              <w:rPr>
                <w:rFonts w:ascii="宋体" w:hAnsi="宋体" w:eastAsia="宋体" w:cs="宋体"/>
              </w:rPr>
            </w:pPr>
            <w:r>
              <w:rPr>
                <w:rFonts w:hint="eastAsia" w:ascii="宋体" w:hAnsi="宋体" w:eastAsia="宋体" w:cs="宋体"/>
              </w:rPr>
              <w:t>“三公经费”变动率（4分）</w:t>
            </w:r>
          </w:p>
        </w:tc>
        <w:tc>
          <w:tcPr>
            <w:tcW w:w="6911" w:type="dxa"/>
            <w:tcBorders>
              <w:top w:val="single" w:color="auto" w:sz="4" w:space="0"/>
              <w:left w:val="single" w:color="auto" w:sz="4" w:space="0"/>
              <w:bottom w:val="single" w:color="000000" w:sz="4" w:space="0"/>
              <w:right w:val="single" w:color="auto" w:sz="4" w:space="0"/>
            </w:tcBorders>
            <w:vAlign w:val="center"/>
          </w:tcPr>
          <w:p w14:paraId="1538D05E">
            <w:pPr>
              <w:spacing w:after="0" w:line="240" w:lineRule="exact"/>
              <w:rPr>
                <w:rFonts w:ascii="宋体" w:hAnsi="宋体" w:eastAsia="宋体" w:cs="宋体"/>
              </w:rPr>
            </w:pPr>
            <w:r>
              <w:rPr>
                <w:rFonts w:hint="eastAsia" w:ascii="宋体" w:hAnsi="宋体" w:eastAsia="宋体" w:cs="宋体"/>
              </w:rPr>
              <w:t>部门本年度“三公经费”预算数与上年度“三公经费”预算数的变动比率，用以反映和考核部门对控制重点行政成本的努力程度。</w:t>
            </w:r>
          </w:p>
          <w:p w14:paraId="6B11F8B1">
            <w:pPr>
              <w:spacing w:after="0" w:line="240" w:lineRule="exact"/>
              <w:rPr>
                <w:rFonts w:ascii="宋体" w:hAnsi="宋体" w:eastAsia="宋体" w:cs="宋体"/>
              </w:rPr>
            </w:pPr>
            <w:r>
              <w:rPr>
                <w:rFonts w:hint="eastAsia" w:ascii="宋体" w:hAnsi="宋体" w:eastAsia="宋体" w:cs="宋体"/>
              </w:rPr>
              <w:t>“三公经费”变动率=〔（本年度“三公经费”总额-上年度“三公经费”总额）/上年度“三公经费”总额〕×100%</w:t>
            </w:r>
          </w:p>
          <w:p w14:paraId="085865D7">
            <w:pPr>
              <w:spacing w:after="0" w:line="240" w:lineRule="exact"/>
              <w:rPr>
                <w:rFonts w:ascii="宋体" w:hAnsi="宋体" w:eastAsia="宋体" w:cs="宋体"/>
              </w:rPr>
            </w:pPr>
            <w:r>
              <w:rPr>
                <w:rFonts w:hint="eastAsia" w:ascii="宋体" w:hAnsi="宋体" w:eastAsia="宋体" w:cs="宋体"/>
              </w:rPr>
              <w:t>“三公经费”：年度预算安排的因公出国（境）费、公务车辆购置及运行费和公务招待费。</w:t>
            </w:r>
          </w:p>
        </w:tc>
        <w:tc>
          <w:tcPr>
            <w:tcW w:w="3423" w:type="dxa"/>
            <w:tcBorders>
              <w:top w:val="single" w:color="auto" w:sz="4" w:space="0"/>
              <w:left w:val="single" w:color="auto" w:sz="4" w:space="0"/>
              <w:bottom w:val="single" w:color="000000" w:sz="4" w:space="0"/>
              <w:right w:val="single" w:color="auto" w:sz="4" w:space="0"/>
            </w:tcBorders>
            <w:vAlign w:val="center"/>
          </w:tcPr>
          <w:p w14:paraId="7113441E">
            <w:pPr>
              <w:spacing w:after="0" w:line="240" w:lineRule="exact"/>
              <w:rPr>
                <w:rFonts w:ascii="宋体" w:hAnsi="宋体" w:eastAsia="宋体" w:cs="宋体"/>
              </w:rPr>
            </w:pPr>
            <w:r>
              <w:rPr>
                <w:rFonts w:hint="eastAsia" w:ascii="宋体" w:hAnsi="宋体" w:eastAsia="宋体" w:cs="宋体"/>
              </w:rPr>
              <w:t>目标值≤0；达到目标值得4分，未达到目标值的采用比率扣分法：扣分值=“三公经费”变动率×4×10，变动率达10%以上的扣4分。</w:t>
            </w:r>
          </w:p>
        </w:tc>
        <w:tc>
          <w:tcPr>
            <w:tcW w:w="1090" w:type="dxa"/>
            <w:tcBorders>
              <w:top w:val="single" w:color="auto" w:sz="4" w:space="0"/>
              <w:left w:val="single" w:color="auto" w:sz="4" w:space="0"/>
              <w:bottom w:val="single" w:color="000000" w:sz="4" w:space="0"/>
              <w:right w:val="single" w:color="000000" w:sz="4" w:space="0"/>
            </w:tcBorders>
            <w:vAlign w:val="center"/>
          </w:tcPr>
          <w:p w14:paraId="2856FBE3">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4</w:t>
            </w:r>
          </w:p>
        </w:tc>
      </w:tr>
      <w:tr w14:paraId="4EAF20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07" w:hRule="atLeast"/>
          <w:jc w:val="center"/>
        </w:trPr>
        <w:tc>
          <w:tcPr>
            <w:tcW w:w="733" w:type="dxa"/>
            <w:vMerge w:val="continue"/>
            <w:tcBorders>
              <w:left w:val="single" w:color="000000" w:sz="4" w:space="0"/>
              <w:bottom w:val="single" w:color="000000" w:sz="4" w:space="0"/>
              <w:right w:val="single" w:color="000000" w:sz="4" w:space="0"/>
            </w:tcBorders>
            <w:vAlign w:val="center"/>
          </w:tcPr>
          <w:p w14:paraId="1591C6B8">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02498702">
            <w:pPr>
              <w:spacing w:after="0"/>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631CD3AB">
            <w:pPr>
              <w:spacing w:after="0" w:line="68" w:lineRule="atLeast"/>
              <w:rPr>
                <w:rFonts w:ascii="宋体" w:hAnsi="宋体" w:eastAsia="宋体" w:cs="宋体"/>
              </w:rPr>
            </w:pPr>
            <w:r>
              <w:rPr>
                <w:rFonts w:hint="eastAsia" w:ascii="宋体" w:hAnsi="宋体" w:eastAsia="宋体" w:cs="宋体"/>
              </w:rPr>
              <w:t>重点支出安排率（3分）</w:t>
            </w:r>
          </w:p>
        </w:tc>
        <w:tc>
          <w:tcPr>
            <w:tcW w:w="6911" w:type="dxa"/>
            <w:tcBorders>
              <w:top w:val="single" w:color="auto" w:sz="4" w:space="0"/>
              <w:left w:val="single" w:color="auto" w:sz="4" w:space="0"/>
              <w:bottom w:val="single" w:color="000000" w:sz="4" w:space="0"/>
              <w:right w:val="single" w:color="auto" w:sz="4" w:space="0"/>
            </w:tcBorders>
            <w:vAlign w:val="center"/>
          </w:tcPr>
          <w:p w14:paraId="735330E7">
            <w:pPr>
              <w:spacing w:after="0" w:line="240" w:lineRule="exact"/>
              <w:rPr>
                <w:rFonts w:ascii="宋体" w:hAnsi="宋体" w:eastAsia="宋体" w:cs="宋体"/>
              </w:rPr>
            </w:pPr>
            <w:r>
              <w:rPr>
                <w:rFonts w:hint="eastAsia" w:ascii="宋体" w:hAnsi="宋体" w:eastAsia="宋体" w:cs="宋体"/>
              </w:rPr>
              <w:t>部门（单位）本年度预算安排的重点项目支出与部门项目总支出的比率，用以反映和考核部门（单位）对履行主要职责或完成重点任务的保障程度。重点支出安排率=（重点项目支出/项目总支出）×100%。</w:t>
            </w:r>
          </w:p>
          <w:p w14:paraId="134AB097">
            <w:pPr>
              <w:spacing w:after="0" w:line="240" w:lineRule="exact"/>
              <w:rPr>
                <w:rFonts w:ascii="宋体" w:hAnsi="宋体" w:eastAsia="宋体" w:cs="宋体"/>
              </w:rPr>
            </w:pPr>
            <w:r>
              <w:rPr>
                <w:rFonts w:hint="eastAsia" w:ascii="宋体" w:hAnsi="宋体" w:eastAsia="宋体" w:cs="宋体"/>
              </w:rPr>
              <w:t>重点项目支出：部门（单位）年度预算安排的，与本部门履职和发展密切相关、具有明显社会和经济影响、党委政府关心或社会比较关注的项目支出总额。具体由被评价部门提出后经对口部门预算管理处审核确定。</w:t>
            </w:r>
          </w:p>
          <w:p w14:paraId="1F3BFC0C">
            <w:pPr>
              <w:spacing w:after="0" w:line="240" w:lineRule="exact"/>
              <w:rPr>
                <w:rFonts w:ascii="宋体" w:hAnsi="宋体" w:eastAsia="宋体" w:cs="宋体"/>
              </w:rPr>
            </w:pPr>
            <w:r>
              <w:rPr>
                <w:rFonts w:hint="eastAsia" w:ascii="宋体" w:hAnsi="宋体" w:eastAsia="宋体" w:cs="宋体"/>
              </w:rPr>
              <w:t>项目总支出：部门（单位）年度预算安排的项目支出总额。</w:t>
            </w:r>
          </w:p>
        </w:tc>
        <w:tc>
          <w:tcPr>
            <w:tcW w:w="3423" w:type="dxa"/>
            <w:tcBorders>
              <w:top w:val="single" w:color="auto" w:sz="4" w:space="0"/>
              <w:left w:val="single" w:color="auto" w:sz="4" w:space="0"/>
              <w:bottom w:val="single" w:color="000000" w:sz="4" w:space="0"/>
              <w:right w:val="single" w:color="auto" w:sz="4" w:space="0"/>
            </w:tcBorders>
            <w:vAlign w:val="center"/>
          </w:tcPr>
          <w:p w14:paraId="497325F3">
            <w:pPr>
              <w:spacing w:after="0" w:line="240" w:lineRule="exact"/>
              <w:rPr>
                <w:rFonts w:ascii="宋体" w:hAnsi="宋体" w:eastAsia="宋体" w:cs="宋体"/>
              </w:rPr>
            </w:pPr>
            <w:r>
              <w:rPr>
                <w:rFonts w:hint="eastAsia" w:ascii="宋体" w:hAnsi="宋体" w:eastAsia="宋体" w:cs="宋体"/>
              </w:rPr>
              <w:t>目标值≥70%；以3分为上限，采用完成比率法计分：得分=重点支出安排率/70%×100%×3，超出目标值不加分。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14:paraId="0EFD5D6B">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6256CE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96" w:hRule="atLeast"/>
          <w:jc w:val="center"/>
        </w:trPr>
        <w:tc>
          <w:tcPr>
            <w:tcW w:w="733" w:type="dxa"/>
            <w:vMerge w:val="restart"/>
            <w:tcBorders>
              <w:top w:val="single" w:color="000000" w:sz="4" w:space="0"/>
              <w:left w:val="single" w:color="000000" w:sz="4" w:space="0"/>
              <w:right w:val="single" w:color="000000" w:sz="4" w:space="0"/>
            </w:tcBorders>
            <w:vAlign w:val="center"/>
          </w:tcPr>
          <w:p w14:paraId="6D700019">
            <w:pPr>
              <w:spacing w:after="0" w:line="68" w:lineRule="atLeast"/>
              <w:jc w:val="center"/>
              <w:rPr>
                <w:rFonts w:ascii="宋体" w:hAnsi="宋体" w:eastAsia="宋体" w:cs="宋体"/>
              </w:rPr>
            </w:pPr>
          </w:p>
          <w:p w14:paraId="45D7AA88">
            <w:pPr>
              <w:spacing w:after="0" w:line="68" w:lineRule="atLeast"/>
              <w:jc w:val="center"/>
              <w:rPr>
                <w:rFonts w:ascii="宋体" w:hAnsi="宋体" w:eastAsia="宋体" w:cs="宋体"/>
              </w:rPr>
            </w:pPr>
          </w:p>
          <w:p w14:paraId="697B70F7">
            <w:pPr>
              <w:spacing w:after="0" w:line="68" w:lineRule="atLeast"/>
              <w:jc w:val="center"/>
              <w:rPr>
                <w:rFonts w:ascii="宋体" w:hAnsi="宋体" w:eastAsia="宋体" w:cs="宋体"/>
              </w:rPr>
            </w:pPr>
          </w:p>
          <w:p w14:paraId="5978CECA">
            <w:pPr>
              <w:spacing w:after="0" w:line="68" w:lineRule="atLeast"/>
              <w:jc w:val="center"/>
              <w:rPr>
                <w:rFonts w:ascii="宋体" w:hAnsi="宋体" w:eastAsia="宋体" w:cs="宋体"/>
              </w:rPr>
            </w:pPr>
          </w:p>
          <w:p w14:paraId="4A1AF02C">
            <w:pPr>
              <w:spacing w:after="0" w:line="68" w:lineRule="atLeast"/>
              <w:jc w:val="center"/>
              <w:rPr>
                <w:rFonts w:ascii="宋体" w:hAnsi="宋体" w:eastAsia="宋体" w:cs="宋体"/>
              </w:rPr>
            </w:pPr>
          </w:p>
          <w:p w14:paraId="075CF0C0">
            <w:pPr>
              <w:spacing w:after="0" w:line="68" w:lineRule="atLeast"/>
              <w:jc w:val="center"/>
              <w:rPr>
                <w:rFonts w:ascii="宋体" w:hAnsi="宋体" w:eastAsia="宋体" w:cs="宋体"/>
              </w:rPr>
            </w:pPr>
          </w:p>
          <w:p w14:paraId="1EB335BF">
            <w:pPr>
              <w:spacing w:after="0" w:line="68" w:lineRule="atLeast"/>
              <w:jc w:val="center"/>
              <w:rPr>
                <w:rFonts w:ascii="宋体" w:hAnsi="宋体" w:eastAsia="宋体" w:cs="宋体"/>
              </w:rPr>
            </w:pPr>
          </w:p>
          <w:p w14:paraId="1B261509">
            <w:pPr>
              <w:spacing w:after="0" w:line="68" w:lineRule="atLeast"/>
              <w:jc w:val="center"/>
              <w:rPr>
                <w:rFonts w:ascii="宋体" w:hAnsi="宋体" w:eastAsia="宋体" w:cs="宋体"/>
              </w:rPr>
            </w:pPr>
          </w:p>
          <w:p w14:paraId="466E4421">
            <w:pPr>
              <w:spacing w:after="0" w:line="68" w:lineRule="atLeast"/>
              <w:jc w:val="center"/>
              <w:rPr>
                <w:rFonts w:ascii="宋体" w:hAnsi="宋体" w:eastAsia="宋体" w:cs="宋体"/>
              </w:rPr>
            </w:pPr>
          </w:p>
          <w:p w14:paraId="4EF297A9">
            <w:pPr>
              <w:spacing w:after="0" w:line="68" w:lineRule="atLeast"/>
              <w:jc w:val="center"/>
              <w:rPr>
                <w:rFonts w:ascii="宋体" w:hAnsi="宋体" w:eastAsia="宋体" w:cs="宋体"/>
              </w:rPr>
            </w:pPr>
          </w:p>
          <w:p w14:paraId="40F176EC">
            <w:pPr>
              <w:spacing w:after="0" w:line="68" w:lineRule="atLeast"/>
              <w:jc w:val="center"/>
              <w:rPr>
                <w:rFonts w:ascii="宋体" w:hAnsi="宋体" w:eastAsia="宋体" w:cs="宋体"/>
              </w:rPr>
            </w:pPr>
          </w:p>
          <w:p w14:paraId="1B17B78B">
            <w:pPr>
              <w:spacing w:after="0" w:line="68" w:lineRule="atLeast"/>
              <w:jc w:val="center"/>
              <w:rPr>
                <w:rFonts w:ascii="宋体" w:hAnsi="宋体" w:eastAsia="宋体" w:cs="宋体"/>
              </w:rPr>
            </w:pPr>
          </w:p>
          <w:p w14:paraId="4DB2E95B">
            <w:pPr>
              <w:spacing w:after="0" w:line="68" w:lineRule="atLeast"/>
              <w:jc w:val="center"/>
              <w:rPr>
                <w:rFonts w:ascii="宋体" w:hAnsi="宋体" w:eastAsia="宋体" w:cs="宋体"/>
              </w:rPr>
            </w:pPr>
          </w:p>
          <w:p w14:paraId="007932FD">
            <w:pPr>
              <w:spacing w:after="0" w:line="68" w:lineRule="atLeast"/>
              <w:jc w:val="center"/>
              <w:rPr>
                <w:rFonts w:ascii="宋体" w:hAnsi="宋体" w:eastAsia="宋体" w:cs="宋体"/>
              </w:rPr>
            </w:pPr>
          </w:p>
          <w:p w14:paraId="474468EE">
            <w:pPr>
              <w:spacing w:after="0" w:line="68" w:lineRule="atLeast"/>
              <w:jc w:val="center"/>
              <w:rPr>
                <w:rFonts w:ascii="宋体" w:hAnsi="宋体" w:eastAsia="宋体" w:cs="宋体"/>
              </w:rPr>
            </w:pPr>
          </w:p>
          <w:p w14:paraId="3D281FD4">
            <w:pPr>
              <w:spacing w:after="0" w:line="68" w:lineRule="atLeast"/>
              <w:jc w:val="center"/>
              <w:rPr>
                <w:rFonts w:ascii="宋体" w:hAnsi="宋体" w:eastAsia="宋体" w:cs="宋体"/>
              </w:rPr>
            </w:pPr>
          </w:p>
          <w:p w14:paraId="27B0CBD4">
            <w:pPr>
              <w:spacing w:after="0" w:line="68" w:lineRule="atLeast"/>
              <w:jc w:val="center"/>
              <w:rPr>
                <w:rFonts w:ascii="宋体" w:hAnsi="宋体" w:eastAsia="宋体" w:cs="宋体"/>
              </w:rPr>
            </w:pPr>
            <w:r>
              <w:rPr>
                <w:rFonts w:hint="eastAsia" w:ascii="宋体" w:hAnsi="宋体" w:eastAsia="宋体" w:cs="宋体"/>
              </w:rPr>
              <w:t>过程(55分)</w:t>
            </w:r>
          </w:p>
          <w:p w14:paraId="7B411691">
            <w:pPr>
              <w:spacing w:after="0" w:line="68" w:lineRule="atLeast"/>
              <w:jc w:val="center"/>
              <w:rPr>
                <w:rFonts w:ascii="宋体" w:hAnsi="宋体" w:eastAsia="宋体" w:cs="宋体"/>
              </w:rPr>
            </w:pPr>
          </w:p>
          <w:p w14:paraId="31A1F6EF">
            <w:pPr>
              <w:spacing w:after="0" w:line="68" w:lineRule="atLeast"/>
              <w:jc w:val="center"/>
              <w:rPr>
                <w:rFonts w:ascii="宋体" w:hAnsi="宋体" w:eastAsia="宋体" w:cs="宋体"/>
              </w:rPr>
            </w:pPr>
          </w:p>
          <w:p w14:paraId="512E2A05">
            <w:pPr>
              <w:spacing w:after="0" w:line="68" w:lineRule="atLeast"/>
              <w:jc w:val="center"/>
              <w:rPr>
                <w:rFonts w:ascii="宋体" w:hAnsi="宋体" w:eastAsia="宋体" w:cs="宋体"/>
              </w:rPr>
            </w:pPr>
          </w:p>
          <w:p w14:paraId="5D0ADCFC">
            <w:pPr>
              <w:spacing w:after="0" w:line="68" w:lineRule="atLeast"/>
              <w:jc w:val="center"/>
              <w:rPr>
                <w:rFonts w:ascii="宋体" w:hAnsi="宋体" w:eastAsia="宋体" w:cs="宋体"/>
              </w:rPr>
            </w:pPr>
          </w:p>
          <w:p w14:paraId="3EF0CE90">
            <w:pPr>
              <w:spacing w:after="0" w:line="68" w:lineRule="atLeast"/>
              <w:jc w:val="center"/>
              <w:rPr>
                <w:rFonts w:ascii="宋体" w:hAnsi="宋体" w:eastAsia="宋体" w:cs="宋体"/>
              </w:rPr>
            </w:pPr>
          </w:p>
          <w:p w14:paraId="1F09E7FC">
            <w:pPr>
              <w:spacing w:after="0" w:line="68" w:lineRule="atLeast"/>
              <w:jc w:val="center"/>
              <w:rPr>
                <w:rFonts w:ascii="宋体" w:hAnsi="宋体" w:eastAsia="宋体" w:cs="宋体"/>
              </w:rPr>
            </w:pPr>
          </w:p>
          <w:p w14:paraId="1ABF3424">
            <w:pPr>
              <w:spacing w:after="0" w:line="68" w:lineRule="atLeast"/>
              <w:jc w:val="center"/>
              <w:rPr>
                <w:rFonts w:ascii="宋体" w:hAnsi="宋体" w:eastAsia="宋体" w:cs="宋体"/>
              </w:rPr>
            </w:pPr>
          </w:p>
          <w:p w14:paraId="3D0FCC58">
            <w:pPr>
              <w:spacing w:after="0" w:line="68" w:lineRule="atLeast"/>
              <w:jc w:val="center"/>
              <w:rPr>
                <w:rFonts w:ascii="宋体" w:hAnsi="宋体" w:eastAsia="宋体" w:cs="宋体"/>
              </w:rPr>
            </w:pPr>
          </w:p>
          <w:p w14:paraId="17A7823B">
            <w:pPr>
              <w:spacing w:after="0" w:line="68" w:lineRule="atLeast"/>
              <w:jc w:val="center"/>
              <w:rPr>
                <w:rFonts w:ascii="宋体" w:hAnsi="宋体" w:eastAsia="宋体" w:cs="宋体"/>
              </w:rPr>
            </w:pPr>
          </w:p>
          <w:p w14:paraId="3D56193D">
            <w:pPr>
              <w:spacing w:after="0" w:line="68" w:lineRule="atLeast"/>
              <w:jc w:val="center"/>
              <w:rPr>
                <w:rFonts w:ascii="宋体" w:hAnsi="宋体" w:eastAsia="宋体" w:cs="宋体"/>
              </w:rPr>
            </w:pPr>
          </w:p>
          <w:p w14:paraId="24EC81CC">
            <w:pPr>
              <w:spacing w:after="0" w:line="68" w:lineRule="atLeast"/>
              <w:jc w:val="center"/>
              <w:rPr>
                <w:rFonts w:ascii="宋体" w:hAnsi="宋体" w:eastAsia="宋体" w:cs="宋体"/>
              </w:rPr>
            </w:pPr>
          </w:p>
          <w:p w14:paraId="639D6CB7">
            <w:pPr>
              <w:spacing w:after="0" w:line="68" w:lineRule="atLeast"/>
              <w:jc w:val="center"/>
              <w:rPr>
                <w:rFonts w:ascii="宋体" w:hAnsi="宋体" w:eastAsia="宋体" w:cs="宋体"/>
              </w:rPr>
            </w:pPr>
          </w:p>
          <w:p w14:paraId="294D0CD0">
            <w:pPr>
              <w:spacing w:after="0" w:line="68" w:lineRule="atLeast"/>
              <w:jc w:val="center"/>
              <w:rPr>
                <w:rFonts w:ascii="宋体" w:hAnsi="宋体" w:eastAsia="宋体" w:cs="宋体"/>
              </w:rPr>
            </w:pPr>
          </w:p>
          <w:p w14:paraId="68150B4C">
            <w:pPr>
              <w:spacing w:after="0" w:line="68" w:lineRule="atLeast"/>
              <w:jc w:val="center"/>
              <w:rPr>
                <w:rFonts w:ascii="宋体" w:hAnsi="宋体" w:eastAsia="宋体" w:cs="宋体"/>
              </w:rPr>
            </w:pPr>
          </w:p>
          <w:p w14:paraId="226F4339">
            <w:pPr>
              <w:spacing w:after="0" w:line="68" w:lineRule="atLeast"/>
              <w:jc w:val="center"/>
              <w:rPr>
                <w:rFonts w:ascii="宋体" w:hAnsi="宋体" w:eastAsia="宋体" w:cs="宋体"/>
              </w:rPr>
            </w:pPr>
          </w:p>
          <w:p w14:paraId="0EBB0947">
            <w:pPr>
              <w:spacing w:after="0" w:line="68" w:lineRule="atLeast"/>
              <w:jc w:val="center"/>
              <w:rPr>
                <w:rFonts w:ascii="宋体" w:hAnsi="宋体" w:eastAsia="宋体" w:cs="宋体"/>
              </w:rPr>
            </w:pPr>
          </w:p>
          <w:p w14:paraId="06D5B606">
            <w:pPr>
              <w:spacing w:after="0" w:line="68" w:lineRule="atLeast"/>
              <w:jc w:val="center"/>
              <w:rPr>
                <w:rFonts w:ascii="宋体" w:hAnsi="宋体" w:eastAsia="宋体" w:cs="宋体"/>
              </w:rPr>
            </w:pPr>
          </w:p>
          <w:p w14:paraId="5A684FCE">
            <w:pPr>
              <w:spacing w:after="0" w:line="68" w:lineRule="atLeast"/>
              <w:jc w:val="center"/>
              <w:rPr>
                <w:rFonts w:ascii="宋体" w:hAnsi="宋体" w:eastAsia="宋体" w:cs="宋体"/>
              </w:rPr>
            </w:pPr>
          </w:p>
          <w:p w14:paraId="38074370">
            <w:pPr>
              <w:spacing w:after="0" w:line="68" w:lineRule="atLeast"/>
              <w:jc w:val="center"/>
              <w:rPr>
                <w:rFonts w:ascii="宋体" w:hAnsi="宋体" w:eastAsia="宋体" w:cs="宋体"/>
              </w:rPr>
            </w:pPr>
          </w:p>
          <w:p w14:paraId="6196A135">
            <w:pPr>
              <w:spacing w:after="0" w:line="68" w:lineRule="atLeast"/>
              <w:jc w:val="center"/>
              <w:rPr>
                <w:rFonts w:ascii="宋体" w:hAnsi="宋体" w:eastAsia="宋体" w:cs="宋体"/>
              </w:rPr>
            </w:pPr>
          </w:p>
          <w:p w14:paraId="012EB0FE">
            <w:pPr>
              <w:spacing w:after="0" w:line="68" w:lineRule="atLeast"/>
              <w:jc w:val="center"/>
              <w:rPr>
                <w:rFonts w:ascii="宋体" w:hAnsi="宋体" w:eastAsia="宋体" w:cs="宋体"/>
              </w:rPr>
            </w:pPr>
          </w:p>
          <w:p w14:paraId="3ADFB416">
            <w:pPr>
              <w:spacing w:after="0" w:line="68" w:lineRule="atLeast"/>
              <w:jc w:val="center"/>
              <w:rPr>
                <w:rFonts w:ascii="宋体" w:hAnsi="宋体" w:eastAsia="宋体" w:cs="宋体"/>
              </w:rPr>
            </w:pPr>
          </w:p>
          <w:p w14:paraId="49D29D8B">
            <w:pPr>
              <w:spacing w:after="0" w:line="68" w:lineRule="atLeast"/>
              <w:jc w:val="center"/>
              <w:rPr>
                <w:rFonts w:ascii="宋体" w:hAnsi="宋体" w:eastAsia="宋体" w:cs="宋体"/>
              </w:rPr>
            </w:pPr>
          </w:p>
          <w:p w14:paraId="0BD80835">
            <w:pPr>
              <w:spacing w:after="0" w:line="68" w:lineRule="atLeast"/>
              <w:jc w:val="center"/>
              <w:rPr>
                <w:rFonts w:ascii="宋体" w:hAnsi="宋体" w:eastAsia="宋体" w:cs="宋体"/>
              </w:rPr>
            </w:pPr>
          </w:p>
          <w:p w14:paraId="70DC871D">
            <w:pPr>
              <w:spacing w:after="0" w:line="68" w:lineRule="atLeast"/>
              <w:jc w:val="center"/>
              <w:rPr>
                <w:rFonts w:ascii="宋体" w:hAnsi="宋体" w:eastAsia="宋体" w:cs="宋体"/>
              </w:rPr>
            </w:pPr>
            <w:r>
              <w:rPr>
                <w:rFonts w:hint="eastAsia" w:ascii="宋体" w:hAnsi="宋体" w:eastAsia="宋体" w:cs="宋体"/>
              </w:rPr>
              <w:t>过程(55分)</w:t>
            </w:r>
          </w:p>
          <w:p w14:paraId="520B5236">
            <w:pPr>
              <w:spacing w:after="0" w:line="68" w:lineRule="atLeast"/>
              <w:jc w:val="center"/>
              <w:rPr>
                <w:rFonts w:ascii="宋体" w:hAnsi="宋体" w:eastAsia="宋体" w:cs="宋体"/>
              </w:rPr>
            </w:pPr>
          </w:p>
          <w:p w14:paraId="78CED638">
            <w:pPr>
              <w:spacing w:after="0" w:line="68" w:lineRule="atLeast"/>
              <w:jc w:val="center"/>
              <w:rPr>
                <w:rFonts w:ascii="宋体" w:hAnsi="宋体" w:eastAsia="宋体" w:cs="宋体"/>
              </w:rPr>
            </w:pPr>
          </w:p>
          <w:p w14:paraId="5952BD19">
            <w:pPr>
              <w:spacing w:after="0" w:line="68" w:lineRule="atLeast"/>
              <w:jc w:val="center"/>
              <w:rPr>
                <w:rFonts w:ascii="宋体" w:hAnsi="宋体" w:eastAsia="宋体" w:cs="宋体"/>
              </w:rPr>
            </w:pPr>
          </w:p>
          <w:p w14:paraId="63FF3D60">
            <w:pPr>
              <w:spacing w:after="0" w:line="68" w:lineRule="atLeast"/>
              <w:jc w:val="center"/>
              <w:rPr>
                <w:rFonts w:ascii="宋体" w:hAnsi="宋体" w:eastAsia="宋体" w:cs="宋体"/>
              </w:rPr>
            </w:pPr>
          </w:p>
          <w:p w14:paraId="3008242A">
            <w:pPr>
              <w:spacing w:after="0" w:line="68" w:lineRule="atLeast"/>
              <w:jc w:val="center"/>
              <w:rPr>
                <w:rFonts w:ascii="宋体" w:hAnsi="宋体" w:eastAsia="宋体" w:cs="宋体"/>
              </w:rPr>
            </w:pPr>
          </w:p>
          <w:p w14:paraId="6C0F7223">
            <w:pPr>
              <w:spacing w:after="0" w:line="68" w:lineRule="atLeast"/>
              <w:jc w:val="center"/>
              <w:rPr>
                <w:rFonts w:ascii="宋体" w:hAnsi="宋体" w:eastAsia="宋体" w:cs="宋体"/>
              </w:rPr>
            </w:pPr>
          </w:p>
          <w:p w14:paraId="4AF1D519">
            <w:pPr>
              <w:spacing w:after="0" w:line="68" w:lineRule="atLeast"/>
              <w:jc w:val="center"/>
              <w:rPr>
                <w:rFonts w:ascii="宋体" w:hAnsi="宋体" w:eastAsia="宋体" w:cs="宋体"/>
              </w:rPr>
            </w:pPr>
          </w:p>
          <w:p w14:paraId="2A8B43E9">
            <w:pPr>
              <w:spacing w:after="0" w:line="68" w:lineRule="atLeast"/>
              <w:jc w:val="center"/>
              <w:rPr>
                <w:rFonts w:ascii="宋体" w:hAnsi="宋体" w:eastAsia="宋体" w:cs="宋体"/>
              </w:rPr>
            </w:pPr>
          </w:p>
          <w:p w14:paraId="286AEC47">
            <w:pPr>
              <w:spacing w:after="0" w:line="68" w:lineRule="atLeast"/>
              <w:jc w:val="center"/>
              <w:rPr>
                <w:rFonts w:ascii="宋体" w:hAnsi="宋体" w:eastAsia="宋体" w:cs="宋体"/>
              </w:rPr>
            </w:pPr>
          </w:p>
          <w:p w14:paraId="573C972A">
            <w:pPr>
              <w:spacing w:after="0" w:line="68" w:lineRule="atLeast"/>
              <w:jc w:val="center"/>
              <w:rPr>
                <w:rFonts w:ascii="宋体" w:hAnsi="宋体" w:eastAsia="宋体" w:cs="宋体"/>
              </w:rPr>
            </w:pPr>
          </w:p>
          <w:p w14:paraId="4070FF53">
            <w:pPr>
              <w:spacing w:after="0" w:line="68" w:lineRule="atLeast"/>
              <w:jc w:val="center"/>
              <w:rPr>
                <w:rFonts w:ascii="宋体" w:hAnsi="宋体" w:eastAsia="宋体" w:cs="宋体"/>
              </w:rPr>
            </w:pPr>
          </w:p>
          <w:p w14:paraId="69F68D2C">
            <w:pPr>
              <w:spacing w:after="0" w:line="68" w:lineRule="atLeast"/>
              <w:jc w:val="center"/>
              <w:rPr>
                <w:rFonts w:ascii="宋体" w:hAnsi="宋体" w:eastAsia="宋体" w:cs="宋体"/>
              </w:rPr>
            </w:pPr>
          </w:p>
          <w:p w14:paraId="284DB0F8">
            <w:pPr>
              <w:spacing w:after="0" w:line="68" w:lineRule="atLeast"/>
              <w:jc w:val="center"/>
              <w:rPr>
                <w:rFonts w:ascii="宋体" w:hAnsi="宋体" w:eastAsia="宋体" w:cs="宋体"/>
              </w:rPr>
            </w:pPr>
          </w:p>
          <w:p w14:paraId="7D5039D1">
            <w:pPr>
              <w:spacing w:after="0" w:line="68" w:lineRule="atLeast"/>
              <w:jc w:val="center"/>
              <w:rPr>
                <w:rFonts w:ascii="宋体" w:hAnsi="宋体" w:eastAsia="宋体" w:cs="宋体"/>
              </w:rPr>
            </w:pPr>
          </w:p>
          <w:p w14:paraId="2C4E5414">
            <w:pPr>
              <w:spacing w:after="0" w:line="68" w:lineRule="atLeast"/>
              <w:jc w:val="center"/>
              <w:rPr>
                <w:rFonts w:ascii="宋体" w:hAnsi="宋体" w:eastAsia="宋体" w:cs="宋体"/>
              </w:rPr>
            </w:pPr>
          </w:p>
          <w:p w14:paraId="58116CFB">
            <w:pPr>
              <w:spacing w:after="0" w:line="68" w:lineRule="atLeast"/>
              <w:jc w:val="center"/>
              <w:rPr>
                <w:rFonts w:ascii="宋体" w:hAnsi="宋体" w:eastAsia="宋体" w:cs="宋体"/>
              </w:rPr>
            </w:pPr>
          </w:p>
          <w:p w14:paraId="76CDBD01">
            <w:pPr>
              <w:spacing w:after="0" w:line="68" w:lineRule="atLeast"/>
              <w:jc w:val="center"/>
              <w:rPr>
                <w:rFonts w:ascii="宋体" w:hAnsi="宋体" w:eastAsia="宋体" w:cs="宋体"/>
              </w:rPr>
            </w:pPr>
          </w:p>
          <w:p w14:paraId="2CD31749">
            <w:pPr>
              <w:spacing w:after="0" w:line="68" w:lineRule="atLeast"/>
              <w:jc w:val="center"/>
              <w:rPr>
                <w:rFonts w:ascii="宋体" w:hAnsi="宋体" w:eastAsia="宋体" w:cs="宋体"/>
              </w:rPr>
            </w:pPr>
          </w:p>
          <w:p w14:paraId="349A12C1">
            <w:pPr>
              <w:spacing w:after="0" w:line="68" w:lineRule="atLeast"/>
              <w:jc w:val="center"/>
              <w:rPr>
                <w:rFonts w:ascii="宋体" w:hAnsi="宋体" w:eastAsia="宋体" w:cs="宋体"/>
              </w:rPr>
            </w:pPr>
          </w:p>
          <w:p w14:paraId="28AE988D">
            <w:pPr>
              <w:spacing w:after="0" w:line="68" w:lineRule="atLeast"/>
              <w:jc w:val="center"/>
              <w:rPr>
                <w:rFonts w:ascii="宋体" w:hAnsi="宋体" w:eastAsia="宋体" w:cs="宋体"/>
              </w:rPr>
            </w:pPr>
          </w:p>
          <w:p w14:paraId="4CE9FA7C">
            <w:pPr>
              <w:spacing w:after="0" w:line="68" w:lineRule="atLeast"/>
              <w:jc w:val="center"/>
              <w:rPr>
                <w:rFonts w:ascii="宋体" w:hAnsi="宋体" w:eastAsia="宋体" w:cs="宋体"/>
              </w:rPr>
            </w:pPr>
          </w:p>
          <w:p w14:paraId="2C64160D">
            <w:pPr>
              <w:spacing w:after="0" w:line="68" w:lineRule="atLeast"/>
              <w:jc w:val="center"/>
              <w:rPr>
                <w:rFonts w:ascii="宋体" w:hAnsi="宋体" w:eastAsia="宋体" w:cs="宋体"/>
              </w:rPr>
            </w:pPr>
          </w:p>
          <w:p w14:paraId="215FDAEE">
            <w:pPr>
              <w:spacing w:after="0" w:line="68" w:lineRule="atLeast"/>
              <w:jc w:val="center"/>
              <w:rPr>
                <w:rFonts w:ascii="宋体" w:hAnsi="宋体" w:eastAsia="宋体" w:cs="宋体"/>
              </w:rPr>
            </w:pPr>
          </w:p>
          <w:p w14:paraId="5887BCD6">
            <w:pPr>
              <w:spacing w:after="0" w:line="68" w:lineRule="atLeast"/>
              <w:jc w:val="center"/>
              <w:rPr>
                <w:rFonts w:ascii="宋体" w:hAnsi="宋体" w:eastAsia="宋体" w:cs="宋体"/>
              </w:rPr>
            </w:pPr>
          </w:p>
          <w:p w14:paraId="3080B972">
            <w:pPr>
              <w:spacing w:after="0" w:line="68" w:lineRule="atLeast"/>
              <w:jc w:val="center"/>
              <w:rPr>
                <w:rFonts w:ascii="宋体" w:hAnsi="宋体" w:eastAsia="宋体" w:cs="宋体"/>
              </w:rPr>
            </w:pPr>
          </w:p>
          <w:p w14:paraId="38DBE234">
            <w:pPr>
              <w:spacing w:after="0" w:line="68" w:lineRule="atLeast"/>
              <w:jc w:val="center"/>
              <w:rPr>
                <w:rFonts w:ascii="宋体" w:hAnsi="宋体" w:eastAsia="宋体" w:cs="宋体"/>
              </w:rPr>
            </w:pPr>
            <w:r>
              <w:rPr>
                <w:rFonts w:hint="eastAsia" w:ascii="宋体" w:hAnsi="宋体" w:eastAsia="宋体" w:cs="宋体"/>
              </w:rPr>
              <w:t>过程(55分)</w:t>
            </w:r>
          </w:p>
          <w:p w14:paraId="72CE3B48">
            <w:pPr>
              <w:spacing w:after="0" w:line="68" w:lineRule="atLeast"/>
              <w:jc w:val="center"/>
              <w:rPr>
                <w:rFonts w:ascii="宋体" w:hAnsi="宋体" w:eastAsia="宋体" w:cs="宋体"/>
              </w:rPr>
            </w:pPr>
          </w:p>
          <w:p w14:paraId="277E8904">
            <w:pPr>
              <w:spacing w:after="0" w:line="68" w:lineRule="atLeast"/>
              <w:jc w:val="center"/>
              <w:rPr>
                <w:rFonts w:ascii="宋体" w:hAnsi="宋体" w:eastAsia="宋体" w:cs="宋体"/>
              </w:rPr>
            </w:pPr>
          </w:p>
          <w:p w14:paraId="3A5F858C">
            <w:pPr>
              <w:spacing w:after="0" w:line="68" w:lineRule="atLeast"/>
              <w:jc w:val="center"/>
              <w:rPr>
                <w:rFonts w:ascii="宋体" w:hAnsi="宋体" w:eastAsia="宋体" w:cs="宋体"/>
              </w:rPr>
            </w:pPr>
          </w:p>
          <w:p w14:paraId="716E7FBA">
            <w:pPr>
              <w:spacing w:after="0" w:line="68" w:lineRule="atLeast"/>
              <w:jc w:val="center"/>
              <w:rPr>
                <w:rFonts w:ascii="宋体" w:hAnsi="宋体" w:eastAsia="宋体" w:cs="宋体"/>
              </w:rPr>
            </w:pPr>
          </w:p>
          <w:p w14:paraId="6486CCCE">
            <w:pPr>
              <w:spacing w:after="0" w:line="68" w:lineRule="atLeast"/>
              <w:jc w:val="center"/>
              <w:rPr>
                <w:rFonts w:ascii="宋体" w:hAnsi="宋体" w:eastAsia="宋体" w:cs="宋体"/>
              </w:rPr>
            </w:pPr>
          </w:p>
          <w:p w14:paraId="0443EB60">
            <w:pPr>
              <w:spacing w:after="0" w:line="68" w:lineRule="atLeast"/>
              <w:jc w:val="center"/>
              <w:rPr>
                <w:rFonts w:ascii="宋体" w:hAnsi="宋体" w:eastAsia="宋体" w:cs="宋体"/>
              </w:rPr>
            </w:pPr>
          </w:p>
          <w:p w14:paraId="61B6D589">
            <w:pPr>
              <w:spacing w:after="0" w:line="68" w:lineRule="atLeast"/>
              <w:jc w:val="center"/>
              <w:rPr>
                <w:rFonts w:ascii="宋体" w:hAnsi="宋体" w:eastAsia="宋体" w:cs="宋体"/>
              </w:rPr>
            </w:pPr>
          </w:p>
          <w:p w14:paraId="4B95C61A">
            <w:pPr>
              <w:spacing w:after="0" w:line="68" w:lineRule="atLeast"/>
              <w:jc w:val="center"/>
              <w:rPr>
                <w:rFonts w:ascii="宋体" w:hAnsi="宋体" w:eastAsia="宋体" w:cs="宋体"/>
              </w:rPr>
            </w:pPr>
          </w:p>
          <w:p w14:paraId="300DDF7F">
            <w:pPr>
              <w:spacing w:after="0" w:line="68" w:lineRule="atLeast"/>
              <w:rPr>
                <w:rFonts w:ascii="宋体" w:hAnsi="宋体" w:eastAsia="宋体" w:cs="宋体"/>
              </w:rPr>
            </w:pPr>
          </w:p>
          <w:p w14:paraId="68B06DAB">
            <w:pPr>
              <w:spacing w:after="0" w:line="68" w:lineRule="atLeast"/>
              <w:rPr>
                <w:rFonts w:ascii="宋体" w:hAnsi="宋体" w:eastAsia="宋体" w:cs="宋体"/>
              </w:rPr>
            </w:pPr>
          </w:p>
          <w:p w14:paraId="4CF1CD34">
            <w:pPr>
              <w:spacing w:after="0" w:line="68" w:lineRule="atLeast"/>
              <w:rPr>
                <w:rFonts w:ascii="宋体" w:hAnsi="宋体" w:eastAsia="宋体" w:cs="宋体"/>
              </w:rPr>
            </w:pPr>
          </w:p>
          <w:p w14:paraId="639EBDE1">
            <w:pPr>
              <w:spacing w:after="0" w:line="68" w:lineRule="atLeast"/>
              <w:rPr>
                <w:rFonts w:ascii="宋体" w:hAnsi="宋体" w:eastAsia="宋体" w:cs="宋体"/>
              </w:rPr>
            </w:pPr>
          </w:p>
          <w:p w14:paraId="5C46C258">
            <w:pPr>
              <w:spacing w:after="0" w:line="68" w:lineRule="atLeast"/>
              <w:rPr>
                <w:rFonts w:ascii="宋体" w:hAnsi="宋体" w:eastAsia="宋体" w:cs="宋体"/>
              </w:rPr>
            </w:pPr>
          </w:p>
          <w:p w14:paraId="7560F531">
            <w:pPr>
              <w:spacing w:after="0" w:line="68" w:lineRule="atLeast"/>
              <w:rPr>
                <w:rFonts w:ascii="宋体" w:hAnsi="宋体" w:eastAsia="宋体" w:cs="宋体"/>
              </w:rPr>
            </w:pPr>
          </w:p>
          <w:p w14:paraId="268AFE46">
            <w:pPr>
              <w:spacing w:after="0" w:line="68" w:lineRule="atLeast"/>
              <w:rPr>
                <w:rFonts w:ascii="宋体" w:hAnsi="宋体" w:eastAsia="宋体" w:cs="宋体"/>
              </w:rPr>
            </w:pPr>
          </w:p>
          <w:p w14:paraId="32A3D927">
            <w:pPr>
              <w:spacing w:after="0" w:line="68" w:lineRule="atLeast"/>
              <w:jc w:val="center"/>
              <w:rPr>
                <w:rFonts w:ascii="宋体" w:hAnsi="宋体" w:eastAsia="宋体" w:cs="宋体"/>
              </w:rPr>
            </w:pPr>
            <w:r>
              <w:rPr>
                <w:rFonts w:hint="eastAsia" w:ascii="宋体" w:hAnsi="宋体" w:eastAsia="宋体" w:cs="宋体"/>
              </w:rPr>
              <w:t>过程(55分)</w:t>
            </w:r>
          </w:p>
          <w:p w14:paraId="1484A402">
            <w:pPr>
              <w:spacing w:after="0" w:line="68" w:lineRule="atLeast"/>
              <w:rPr>
                <w:rFonts w:ascii="宋体" w:hAnsi="宋体" w:eastAsia="宋体" w:cs="宋体"/>
              </w:rPr>
            </w:pPr>
          </w:p>
        </w:tc>
        <w:tc>
          <w:tcPr>
            <w:tcW w:w="803" w:type="dxa"/>
            <w:vMerge w:val="restart"/>
            <w:tcBorders>
              <w:top w:val="single" w:color="000000" w:sz="4" w:space="0"/>
              <w:left w:val="single" w:color="000000" w:sz="4" w:space="0"/>
              <w:bottom w:val="single" w:color="000000" w:sz="4" w:space="0"/>
              <w:right w:val="single" w:color="000000" w:sz="4" w:space="0"/>
            </w:tcBorders>
            <w:vAlign w:val="center"/>
          </w:tcPr>
          <w:p w14:paraId="75F5644F">
            <w:pPr>
              <w:spacing w:after="0" w:line="68" w:lineRule="atLeast"/>
              <w:rPr>
                <w:rFonts w:ascii="宋体" w:hAnsi="宋体" w:eastAsia="宋体" w:cs="宋体"/>
              </w:rPr>
            </w:pPr>
            <w:r>
              <w:rPr>
                <w:rFonts w:hint="eastAsia" w:ascii="宋体" w:hAnsi="宋体" w:eastAsia="宋体" w:cs="宋体"/>
              </w:rPr>
              <w:t>预算执行(27分)</w:t>
            </w:r>
          </w:p>
        </w:tc>
        <w:tc>
          <w:tcPr>
            <w:tcW w:w="1182" w:type="dxa"/>
            <w:tcBorders>
              <w:top w:val="single" w:color="000000" w:sz="4" w:space="0"/>
              <w:left w:val="single" w:color="000000" w:sz="4" w:space="0"/>
              <w:bottom w:val="single" w:color="000000" w:sz="4" w:space="0"/>
              <w:right w:val="single" w:color="auto" w:sz="4" w:space="0"/>
            </w:tcBorders>
            <w:vAlign w:val="center"/>
          </w:tcPr>
          <w:p w14:paraId="7885B316">
            <w:pPr>
              <w:spacing w:after="0" w:line="68" w:lineRule="atLeast"/>
              <w:rPr>
                <w:rFonts w:ascii="宋体" w:hAnsi="宋体" w:eastAsia="宋体" w:cs="宋体"/>
              </w:rPr>
            </w:pPr>
            <w:r>
              <w:rPr>
                <w:rFonts w:hint="eastAsia" w:ascii="宋体" w:hAnsi="宋体" w:eastAsia="宋体" w:cs="宋体"/>
              </w:rPr>
              <w:t>预算完成率（3分）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29B87747">
            <w:pPr>
              <w:spacing w:after="0" w:line="240" w:lineRule="exact"/>
              <w:rPr>
                <w:rFonts w:ascii="宋体" w:hAnsi="宋体" w:eastAsia="宋体" w:cs="宋体"/>
              </w:rPr>
            </w:pPr>
            <w:r>
              <w:rPr>
                <w:rFonts w:hint="eastAsia" w:ascii="宋体" w:hAnsi="宋体" w:eastAsia="宋体" w:cs="宋体"/>
              </w:rPr>
              <w:t>通过对部门本年度预算完成数与预算数的比较，反映和评价部门预算的完成程度。</w:t>
            </w:r>
          </w:p>
          <w:p w14:paraId="54D8A16E">
            <w:pPr>
              <w:spacing w:after="0" w:line="68" w:lineRule="atLeast"/>
              <w:rPr>
                <w:rFonts w:ascii="宋体" w:hAnsi="宋体" w:eastAsia="宋体" w:cs="宋体"/>
              </w:rPr>
            </w:pPr>
            <w:r>
              <w:rPr>
                <w:rFonts w:hint="eastAsia" w:ascii="宋体" w:hAnsi="宋体" w:eastAsia="宋体" w:cs="宋体"/>
              </w:rPr>
              <w:t>预算完成率=（预算完成数/预算数）×100%。</w:t>
            </w:r>
          </w:p>
        </w:tc>
        <w:tc>
          <w:tcPr>
            <w:tcW w:w="3423" w:type="dxa"/>
            <w:tcBorders>
              <w:top w:val="single" w:color="000000" w:sz="4" w:space="0"/>
              <w:left w:val="single" w:color="auto" w:sz="4" w:space="0"/>
              <w:bottom w:val="single" w:color="000000" w:sz="4" w:space="0"/>
              <w:right w:val="single" w:color="auto" w:sz="4" w:space="0"/>
            </w:tcBorders>
            <w:vAlign w:val="center"/>
          </w:tcPr>
          <w:p w14:paraId="141DAF43">
            <w:pPr>
              <w:spacing w:after="0" w:line="68" w:lineRule="atLeast"/>
              <w:rPr>
                <w:rFonts w:ascii="宋体" w:hAnsi="宋体" w:eastAsia="宋体" w:cs="宋体"/>
              </w:rPr>
            </w:pPr>
            <w:r>
              <w:rPr>
                <w:rFonts w:hint="eastAsia" w:ascii="宋体" w:hAnsi="宋体" w:eastAsia="宋体" w:cs="宋体"/>
              </w:rPr>
              <w:t>目标值≥100%；</w:t>
            </w:r>
          </w:p>
          <w:p w14:paraId="5521F98C">
            <w:pPr>
              <w:spacing w:after="0" w:line="68" w:lineRule="atLeast"/>
              <w:rPr>
                <w:rFonts w:ascii="宋体" w:hAnsi="宋体" w:eastAsia="宋体" w:cs="宋体"/>
              </w:rPr>
            </w:pPr>
            <w:r>
              <w:rPr>
                <w:rFonts w:hint="eastAsia" w:ascii="宋体" w:hAnsi="宋体" w:eastAsia="宋体" w:cs="宋体"/>
              </w:rPr>
              <w:t>达到目标值的得3分；</w:t>
            </w:r>
          </w:p>
          <w:p w14:paraId="1CAA6081">
            <w:pPr>
              <w:spacing w:after="0" w:line="68" w:lineRule="atLeast"/>
              <w:rPr>
                <w:rFonts w:ascii="宋体" w:hAnsi="宋体" w:eastAsia="宋体" w:cs="宋体"/>
              </w:rPr>
            </w:pPr>
            <w:r>
              <w:rPr>
                <w:rFonts w:hint="eastAsia" w:ascii="宋体" w:hAnsi="宋体" w:eastAsia="宋体" w:cs="宋体"/>
              </w:rPr>
              <w:t>100%＞结果≥90%，得3分；</w:t>
            </w:r>
          </w:p>
          <w:p w14:paraId="7F43767E">
            <w:pPr>
              <w:spacing w:after="0" w:line="68" w:lineRule="atLeast"/>
              <w:rPr>
                <w:rFonts w:ascii="宋体" w:hAnsi="宋体" w:eastAsia="宋体" w:cs="宋体"/>
              </w:rPr>
            </w:pPr>
            <w:r>
              <w:rPr>
                <w:rFonts w:hint="eastAsia" w:ascii="宋体" w:hAnsi="宋体" w:eastAsia="宋体" w:cs="宋体"/>
              </w:rPr>
              <w:t>90%＞结果≥80%，得1分；</w:t>
            </w:r>
          </w:p>
          <w:p w14:paraId="09E3156A">
            <w:pPr>
              <w:spacing w:after="0" w:line="68" w:lineRule="atLeast"/>
              <w:rPr>
                <w:rFonts w:ascii="宋体" w:hAnsi="宋体" w:eastAsia="宋体" w:cs="宋体"/>
              </w:rPr>
            </w:pPr>
            <w:r>
              <w:rPr>
                <w:rFonts w:hint="eastAsia" w:ascii="宋体" w:hAnsi="宋体" w:eastAsia="宋体" w:cs="宋体"/>
              </w:rPr>
              <w:t>结果＜80%得0分。</w:t>
            </w:r>
          </w:p>
        </w:tc>
        <w:tc>
          <w:tcPr>
            <w:tcW w:w="1090" w:type="dxa"/>
            <w:tcBorders>
              <w:top w:val="single" w:color="000000" w:sz="4" w:space="0"/>
              <w:left w:val="single" w:color="auto" w:sz="4" w:space="0"/>
              <w:bottom w:val="single" w:color="000000" w:sz="4" w:space="0"/>
              <w:right w:val="single" w:color="000000" w:sz="4" w:space="0"/>
            </w:tcBorders>
            <w:vAlign w:val="center"/>
          </w:tcPr>
          <w:p w14:paraId="0581FD7E">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4A3BAE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5" w:hRule="atLeast"/>
          <w:jc w:val="center"/>
        </w:trPr>
        <w:tc>
          <w:tcPr>
            <w:tcW w:w="733" w:type="dxa"/>
            <w:vMerge w:val="continue"/>
            <w:tcBorders>
              <w:left w:val="single" w:color="000000" w:sz="4" w:space="0"/>
              <w:right w:val="single" w:color="000000" w:sz="4" w:space="0"/>
            </w:tcBorders>
            <w:vAlign w:val="center"/>
          </w:tcPr>
          <w:p w14:paraId="79D9D893">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08CDB5D5">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4D6DE59C">
            <w:pPr>
              <w:spacing w:after="0" w:line="68" w:lineRule="atLeast"/>
              <w:rPr>
                <w:rFonts w:ascii="宋体" w:hAnsi="宋体" w:eastAsia="宋体" w:cs="宋体"/>
              </w:rPr>
            </w:pPr>
            <w:r>
              <w:rPr>
                <w:rFonts w:hint="eastAsia" w:ascii="宋体" w:hAnsi="宋体" w:eastAsia="宋体" w:cs="宋体"/>
              </w:rPr>
              <w:t>预算调整率（3分）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0BC8BDB1">
            <w:pPr>
              <w:spacing w:after="0" w:line="240" w:lineRule="exact"/>
              <w:rPr>
                <w:rFonts w:ascii="宋体" w:hAnsi="宋体" w:eastAsia="宋体" w:cs="宋体"/>
              </w:rPr>
            </w:pPr>
            <w:r>
              <w:rPr>
                <w:rFonts w:hint="eastAsia" w:ascii="宋体" w:hAnsi="宋体" w:eastAsia="宋体" w:cs="宋体"/>
              </w:rPr>
              <w:t>部门本年度预算调整数与预算数的比率，用以反映和评价部门预算的调整程度。</w:t>
            </w:r>
          </w:p>
          <w:p w14:paraId="29C79EE5">
            <w:pPr>
              <w:spacing w:after="0" w:line="68" w:lineRule="atLeast"/>
              <w:rPr>
                <w:rFonts w:ascii="宋体" w:hAnsi="宋体" w:eastAsia="宋体" w:cs="宋体"/>
              </w:rPr>
            </w:pPr>
            <w:r>
              <w:rPr>
                <w:rFonts w:hint="eastAsia" w:ascii="宋体" w:hAnsi="宋体" w:eastAsia="宋体" w:cs="宋体"/>
              </w:rPr>
              <w:t>预算调整率=（预算调整数/预算数）×100%。</w:t>
            </w:r>
          </w:p>
        </w:tc>
        <w:tc>
          <w:tcPr>
            <w:tcW w:w="3423" w:type="dxa"/>
            <w:tcBorders>
              <w:top w:val="single" w:color="000000" w:sz="4" w:space="0"/>
              <w:left w:val="single" w:color="auto" w:sz="4" w:space="0"/>
              <w:bottom w:val="single" w:color="000000" w:sz="4" w:space="0"/>
              <w:right w:val="single" w:color="auto" w:sz="4" w:space="0"/>
            </w:tcBorders>
            <w:vAlign w:val="center"/>
          </w:tcPr>
          <w:p w14:paraId="3971A4E4">
            <w:pPr>
              <w:spacing w:after="0" w:line="68" w:lineRule="atLeast"/>
              <w:rPr>
                <w:rFonts w:ascii="宋体" w:hAnsi="宋体" w:eastAsia="宋体" w:cs="宋体"/>
              </w:rPr>
            </w:pPr>
            <w:r>
              <w:rPr>
                <w:rFonts w:hint="eastAsia" w:ascii="宋体" w:hAnsi="宋体" w:eastAsia="宋体" w:cs="宋体"/>
              </w:rPr>
              <w:t>目标值为10%；达到目标值得3分，未达到目标值的每增加0.1个百分点扣0.1分，扣完为止。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1DF16E06">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0</w:t>
            </w:r>
          </w:p>
        </w:tc>
      </w:tr>
      <w:tr w14:paraId="5C7909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0" w:hRule="atLeast"/>
          <w:jc w:val="center"/>
        </w:trPr>
        <w:tc>
          <w:tcPr>
            <w:tcW w:w="733" w:type="dxa"/>
            <w:vMerge w:val="continue"/>
            <w:tcBorders>
              <w:left w:val="single" w:color="000000" w:sz="4" w:space="0"/>
              <w:right w:val="single" w:color="000000" w:sz="4" w:space="0"/>
            </w:tcBorders>
            <w:vAlign w:val="center"/>
          </w:tcPr>
          <w:p w14:paraId="2FF177CB">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58723268">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7A87F6C4">
            <w:pPr>
              <w:spacing w:after="0" w:line="240" w:lineRule="exact"/>
              <w:rPr>
                <w:rFonts w:ascii="宋体" w:hAnsi="宋体" w:eastAsia="宋体" w:cs="宋体"/>
              </w:rPr>
            </w:pPr>
            <w:r>
              <w:rPr>
                <w:rFonts w:hint="eastAsia" w:ascii="宋体" w:hAnsi="宋体" w:eastAsia="宋体" w:cs="宋体"/>
                <w:color w:val="000000"/>
              </w:rPr>
              <w:t>支付进度率</w:t>
            </w:r>
            <w:r>
              <w:rPr>
                <w:rFonts w:hint="eastAsia" w:ascii="宋体" w:hAnsi="宋体" w:eastAsia="宋体" w:cs="宋体"/>
              </w:rPr>
              <w:t>（6分）</w:t>
            </w:r>
          </w:p>
        </w:tc>
        <w:tc>
          <w:tcPr>
            <w:tcW w:w="6911" w:type="dxa"/>
            <w:tcBorders>
              <w:top w:val="single" w:color="000000" w:sz="4" w:space="0"/>
              <w:left w:val="single" w:color="auto" w:sz="4" w:space="0"/>
              <w:bottom w:val="single" w:color="000000" w:sz="4" w:space="0"/>
              <w:right w:val="single" w:color="auto" w:sz="4" w:space="0"/>
            </w:tcBorders>
            <w:vAlign w:val="center"/>
          </w:tcPr>
          <w:p w14:paraId="701156C1">
            <w:pPr>
              <w:spacing w:after="0" w:line="240" w:lineRule="exact"/>
              <w:rPr>
                <w:rFonts w:ascii="宋体" w:hAnsi="宋体" w:eastAsia="宋体" w:cs="宋体"/>
              </w:rPr>
            </w:pPr>
            <w:r>
              <w:rPr>
                <w:rFonts w:hint="eastAsia" w:ascii="宋体" w:hAnsi="宋体" w:eastAsia="宋体" w:cs="宋体"/>
              </w:rPr>
              <w:t>部门年度支付数与年度预算（调整）数的比率，用以反映和评价部门预算执行的及时和均衡程度。</w:t>
            </w:r>
          </w:p>
          <w:p w14:paraId="74AFA0CA">
            <w:pPr>
              <w:spacing w:after="0" w:line="240" w:lineRule="exact"/>
              <w:rPr>
                <w:rFonts w:ascii="宋体" w:hAnsi="宋体" w:eastAsia="宋体" w:cs="宋体"/>
              </w:rPr>
            </w:pPr>
            <w:r>
              <w:rPr>
                <w:rFonts w:hint="eastAsia" w:ascii="宋体" w:hAnsi="宋体" w:eastAsia="宋体" w:cs="宋体"/>
              </w:rPr>
              <w:t>半年支付进度=部门上半年实际支出÷（上年结余结转+本年部门预算安排+上半年执行中追加追减）×100%</w:t>
            </w:r>
          </w:p>
          <w:p w14:paraId="2BFC864B">
            <w:pPr>
              <w:spacing w:after="0" w:line="240" w:lineRule="exact"/>
              <w:rPr>
                <w:rFonts w:ascii="宋体" w:hAnsi="宋体" w:eastAsia="宋体" w:cs="宋体"/>
              </w:rPr>
            </w:pPr>
            <w:r>
              <w:rPr>
                <w:rFonts w:hint="eastAsia" w:ascii="宋体" w:hAnsi="宋体" w:eastAsia="宋体" w:cs="宋体"/>
              </w:rPr>
              <w:t>全年支付进度=部门全年实际支出÷（上年结余结转+本年部门预算安排+全年执行中追加追减）×100%</w:t>
            </w:r>
          </w:p>
        </w:tc>
        <w:tc>
          <w:tcPr>
            <w:tcW w:w="3423" w:type="dxa"/>
            <w:tcBorders>
              <w:top w:val="single" w:color="000000" w:sz="4" w:space="0"/>
              <w:left w:val="single" w:color="auto" w:sz="4" w:space="0"/>
              <w:bottom w:val="single" w:color="000000" w:sz="4" w:space="0"/>
              <w:right w:val="single" w:color="auto" w:sz="4" w:space="0"/>
            </w:tcBorders>
            <w:vAlign w:val="center"/>
          </w:tcPr>
          <w:p w14:paraId="04C32748">
            <w:pPr>
              <w:spacing w:after="0" w:line="240" w:lineRule="exact"/>
              <w:rPr>
                <w:rFonts w:ascii="宋体" w:hAnsi="宋体" w:eastAsia="宋体" w:cs="宋体"/>
              </w:rPr>
            </w:pPr>
            <w:r>
              <w:rPr>
                <w:rFonts w:hint="eastAsia" w:ascii="宋体" w:hAnsi="宋体" w:eastAsia="宋体" w:cs="宋体"/>
              </w:rPr>
              <w:t>半年进度：结果≥50%，得2分；50%＞结果≥40%，得1分；结果＜40%，得0分。</w:t>
            </w:r>
          </w:p>
          <w:p w14:paraId="695963C1">
            <w:pPr>
              <w:spacing w:after="0" w:line="240" w:lineRule="exact"/>
              <w:rPr>
                <w:rFonts w:ascii="宋体" w:hAnsi="宋体" w:eastAsia="宋体" w:cs="宋体"/>
              </w:rPr>
            </w:pPr>
            <w:r>
              <w:rPr>
                <w:rFonts w:hint="eastAsia" w:ascii="宋体" w:hAnsi="宋体" w:eastAsia="宋体" w:cs="宋体"/>
              </w:rPr>
              <w:t>全年进度：结果≥100%，得4分；100%＞结果≥95%，得3分；95%＞结果≥90%，得2分；90%＞结果≥85%，得2分；结果＜85%，得0分。</w:t>
            </w:r>
          </w:p>
        </w:tc>
        <w:tc>
          <w:tcPr>
            <w:tcW w:w="1090" w:type="dxa"/>
            <w:tcBorders>
              <w:top w:val="single" w:color="000000" w:sz="4" w:space="0"/>
              <w:left w:val="single" w:color="auto" w:sz="4" w:space="0"/>
              <w:bottom w:val="single" w:color="000000" w:sz="4" w:space="0"/>
              <w:right w:val="single" w:color="000000" w:sz="4" w:space="0"/>
            </w:tcBorders>
            <w:vAlign w:val="center"/>
          </w:tcPr>
          <w:p w14:paraId="247510E4">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5</w:t>
            </w:r>
          </w:p>
        </w:tc>
      </w:tr>
      <w:tr w14:paraId="58ED73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8" w:hRule="atLeast"/>
          <w:jc w:val="center"/>
        </w:trPr>
        <w:tc>
          <w:tcPr>
            <w:tcW w:w="733" w:type="dxa"/>
            <w:vMerge w:val="continue"/>
            <w:tcBorders>
              <w:left w:val="single" w:color="000000" w:sz="4" w:space="0"/>
              <w:right w:val="single" w:color="000000" w:sz="4" w:space="0"/>
            </w:tcBorders>
            <w:vAlign w:val="center"/>
          </w:tcPr>
          <w:p w14:paraId="4E98BB82">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7E69D8C3">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2394D7AD">
            <w:pPr>
              <w:spacing w:after="0" w:line="240" w:lineRule="exact"/>
              <w:rPr>
                <w:rFonts w:ascii="宋体" w:hAnsi="宋体" w:eastAsia="宋体" w:cs="宋体"/>
              </w:rPr>
            </w:pPr>
            <w:r>
              <w:rPr>
                <w:rFonts w:hint="eastAsia" w:ascii="宋体" w:hAnsi="宋体" w:eastAsia="宋体" w:cs="宋体"/>
              </w:rPr>
              <w:t>结转结余率（3分）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63ADC458">
            <w:pPr>
              <w:spacing w:after="0" w:line="240" w:lineRule="exact"/>
              <w:rPr>
                <w:rFonts w:ascii="宋体" w:hAnsi="宋体" w:eastAsia="宋体" w:cs="宋体"/>
              </w:rPr>
            </w:pPr>
            <w:r>
              <w:rPr>
                <w:rFonts w:hint="eastAsia" w:ascii="宋体" w:hAnsi="宋体" w:eastAsia="宋体" w:cs="宋体"/>
              </w:rPr>
              <w:t>通过对部门本年度结转结余总额与支出预算数的比较，反映和评价部门对本年度结转结余资金的实际控制程度。</w:t>
            </w:r>
          </w:p>
          <w:p w14:paraId="6B8800D5">
            <w:pPr>
              <w:spacing w:after="0" w:line="240" w:lineRule="exact"/>
              <w:rPr>
                <w:rFonts w:ascii="宋体" w:hAnsi="宋体" w:eastAsia="宋体" w:cs="宋体"/>
              </w:rPr>
            </w:pPr>
            <w:r>
              <w:rPr>
                <w:rFonts w:hint="eastAsia" w:ascii="宋体" w:hAnsi="宋体" w:eastAsia="宋体" w:cs="宋体"/>
              </w:rPr>
              <w:t>结转结余率=（结转结余总额/支出预算数）×100%。</w:t>
            </w:r>
          </w:p>
        </w:tc>
        <w:tc>
          <w:tcPr>
            <w:tcW w:w="3423" w:type="dxa"/>
            <w:tcBorders>
              <w:top w:val="single" w:color="000000" w:sz="4" w:space="0"/>
              <w:left w:val="single" w:color="auto" w:sz="4" w:space="0"/>
              <w:bottom w:val="single" w:color="000000" w:sz="4" w:space="0"/>
              <w:right w:val="single" w:color="auto" w:sz="4" w:space="0"/>
            </w:tcBorders>
            <w:vAlign w:val="center"/>
          </w:tcPr>
          <w:p w14:paraId="378D9966">
            <w:pPr>
              <w:spacing w:after="0" w:line="240" w:lineRule="exact"/>
              <w:rPr>
                <w:rFonts w:ascii="宋体" w:hAnsi="宋体" w:eastAsia="宋体" w:cs="宋体"/>
              </w:rPr>
            </w:pPr>
            <w:r>
              <w:rPr>
                <w:rFonts w:hint="eastAsia" w:ascii="宋体" w:hAnsi="宋体" w:eastAsia="宋体" w:cs="宋体"/>
              </w:rPr>
              <w:t>目标值为0；达到目标值得3分，未达到目标值的每增加0.1个百分点扣0.1分，扣完为止。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2F196CE5">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7262B6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7" w:hRule="atLeast"/>
          <w:jc w:val="center"/>
        </w:trPr>
        <w:tc>
          <w:tcPr>
            <w:tcW w:w="733" w:type="dxa"/>
            <w:vMerge w:val="continue"/>
            <w:tcBorders>
              <w:left w:val="single" w:color="000000" w:sz="4" w:space="0"/>
              <w:right w:val="single" w:color="000000" w:sz="4" w:space="0"/>
            </w:tcBorders>
            <w:vAlign w:val="center"/>
          </w:tcPr>
          <w:p w14:paraId="1C285318">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3D35390D">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5480E45A">
            <w:pPr>
              <w:spacing w:after="0" w:line="240" w:lineRule="exact"/>
              <w:rPr>
                <w:rFonts w:ascii="宋体" w:hAnsi="宋体" w:eastAsia="宋体" w:cs="宋体"/>
              </w:rPr>
            </w:pPr>
            <w:r>
              <w:rPr>
                <w:rFonts w:hint="eastAsia" w:ascii="宋体" w:hAnsi="宋体" w:eastAsia="宋体" w:cs="宋体"/>
              </w:rPr>
              <w:t>结转结余变动率(3分）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4BC6DDAC">
            <w:pPr>
              <w:spacing w:after="0" w:line="240" w:lineRule="exact"/>
              <w:rPr>
                <w:rFonts w:ascii="宋体" w:hAnsi="宋体" w:eastAsia="宋体" w:cs="宋体"/>
              </w:rPr>
            </w:pPr>
            <w:r>
              <w:rPr>
                <w:rFonts w:hint="eastAsia" w:ascii="宋体" w:hAnsi="宋体" w:eastAsia="宋体" w:cs="宋体"/>
              </w:rPr>
              <w:t>部门本年度结转结余资金总额与上年度结转结余资金总额的变动比率，用以反映和考核部门对控制结转结余资金的努力程度。</w:t>
            </w:r>
          </w:p>
          <w:p w14:paraId="7B5197AD">
            <w:pPr>
              <w:spacing w:after="0" w:line="240" w:lineRule="exact"/>
              <w:rPr>
                <w:rFonts w:ascii="宋体" w:hAnsi="宋体" w:eastAsia="宋体" w:cs="宋体"/>
              </w:rPr>
            </w:pPr>
            <w:r>
              <w:rPr>
                <w:rFonts w:hint="eastAsia" w:ascii="宋体" w:hAnsi="宋体" w:eastAsia="宋体" w:cs="宋体"/>
              </w:rPr>
              <w:t>结转结余变动率=〔（本年度累计结转结余资金总额-上年度累计结转结余资金总额）/上年度累计结转结余资金总额〕×100%。</w:t>
            </w:r>
          </w:p>
        </w:tc>
        <w:tc>
          <w:tcPr>
            <w:tcW w:w="3423" w:type="dxa"/>
            <w:tcBorders>
              <w:top w:val="single" w:color="000000" w:sz="4" w:space="0"/>
              <w:left w:val="single" w:color="auto" w:sz="4" w:space="0"/>
              <w:bottom w:val="single" w:color="000000" w:sz="4" w:space="0"/>
              <w:right w:val="single" w:color="auto" w:sz="4" w:space="0"/>
            </w:tcBorders>
            <w:vAlign w:val="center"/>
          </w:tcPr>
          <w:p w14:paraId="4F718E2A">
            <w:pPr>
              <w:spacing w:after="0" w:line="240" w:lineRule="exact"/>
              <w:rPr>
                <w:rFonts w:ascii="宋体" w:hAnsi="宋体" w:eastAsia="宋体" w:cs="宋体"/>
              </w:rPr>
            </w:pPr>
            <w:r>
              <w:rPr>
                <w:rFonts w:hint="eastAsia" w:ascii="宋体" w:hAnsi="宋体" w:eastAsia="宋体" w:cs="宋体"/>
              </w:rPr>
              <w:t>目标值为≤0%；达到目标值得3分，未达到目标值的采用比率扣分法：扣分值=结转结余变动率×2×10，变动率达10%以上的扣2分。</w:t>
            </w:r>
          </w:p>
        </w:tc>
        <w:tc>
          <w:tcPr>
            <w:tcW w:w="1090" w:type="dxa"/>
            <w:tcBorders>
              <w:top w:val="single" w:color="000000" w:sz="4" w:space="0"/>
              <w:left w:val="single" w:color="auto" w:sz="4" w:space="0"/>
              <w:bottom w:val="single" w:color="000000" w:sz="4" w:space="0"/>
              <w:right w:val="single" w:color="000000" w:sz="4" w:space="0"/>
            </w:tcBorders>
            <w:vAlign w:val="center"/>
          </w:tcPr>
          <w:p w14:paraId="307F6896">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4757F9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5" w:hRule="atLeast"/>
          <w:jc w:val="center"/>
        </w:trPr>
        <w:tc>
          <w:tcPr>
            <w:tcW w:w="733" w:type="dxa"/>
            <w:vMerge w:val="continue"/>
            <w:tcBorders>
              <w:left w:val="single" w:color="000000" w:sz="4" w:space="0"/>
              <w:right w:val="single" w:color="000000" w:sz="4" w:space="0"/>
            </w:tcBorders>
            <w:vAlign w:val="center"/>
          </w:tcPr>
          <w:p w14:paraId="5F5C302E">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6A10E095">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6AA5072E">
            <w:pPr>
              <w:spacing w:after="0" w:line="240" w:lineRule="exact"/>
              <w:rPr>
                <w:rFonts w:ascii="宋体" w:hAnsi="宋体" w:eastAsia="宋体" w:cs="宋体"/>
              </w:rPr>
            </w:pPr>
            <w:r>
              <w:rPr>
                <w:rFonts w:hint="eastAsia" w:ascii="宋体" w:hAnsi="宋体" w:eastAsia="宋体" w:cs="宋体"/>
              </w:rPr>
              <w:t>公用经费控制率（3分）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37D78C71">
            <w:pPr>
              <w:spacing w:after="0" w:line="240" w:lineRule="exact"/>
              <w:rPr>
                <w:rFonts w:ascii="宋体" w:hAnsi="宋体" w:eastAsia="宋体" w:cs="宋体"/>
              </w:rPr>
            </w:pPr>
            <w:r>
              <w:rPr>
                <w:rFonts w:hint="eastAsia" w:ascii="宋体" w:hAnsi="宋体" w:eastAsia="宋体" w:cs="宋体"/>
              </w:rPr>
              <w:t>通过对部门本年度实际支出的公用经费总额与预算安排的公用经费总额的比率，反映和评价部门对机构运转成本的实际控制程度。</w:t>
            </w:r>
          </w:p>
          <w:p w14:paraId="79481C9A">
            <w:pPr>
              <w:spacing w:after="0" w:line="240" w:lineRule="exact"/>
              <w:rPr>
                <w:rFonts w:ascii="宋体" w:hAnsi="宋体" w:eastAsia="宋体" w:cs="宋体"/>
              </w:rPr>
            </w:pPr>
            <w:r>
              <w:rPr>
                <w:rFonts w:hint="eastAsia" w:ascii="宋体" w:hAnsi="宋体" w:eastAsia="宋体" w:cs="宋体"/>
              </w:rPr>
              <w:t>公用经费控制率=（实际支出公用经费总额/预算安排公用经费总额）×100%。</w:t>
            </w:r>
          </w:p>
        </w:tc>
        <w:tc>
          <w:tcPr>
            <w:tcW w:w="3423" w:type="dxa"/>
            <w:tcBorders>
              <w:top w:val="single" w:color="000000" w:sz="4" w:space="0"/>
              <w:left w:val="single" w:color="auto" w:sz="4" w:space="0"/>
              <w:bottom w:val="single" w:color="000000" w:sz="4" w:space="0"/>
              <w:right w:val="single" w:color="auto" w:sz="4" w:space="0"/>
            </w:tcBorders>
            <w:vAlign w:val="center"/>
          </w:tcPr>
          <w:p w14:paraId="1BFFA4D9">
            <w:pPr>
              <w:spacing w:after="0" w:line="240" w:lineRule="exact"/>
              <w:rPr>
                <w:rFonts w:ascii="宋体" w:hAnsi="宋体" w:eastAsia="宋体" w:cs="宋体"/>
              </w:rPr>
            </w:pPr>
            <w:r>
              <w:rPr>
                <w:rFonts w:hint="eastAsia" w:ascii="宋体" w:hAnsi="宋体" w:eastAsia="宋体" w:cs="宋体"/>
              </w:rPr>
              <w:t>目标值为≤100%；达到目标值得3分，未达到目标值的每增加0.1个百分点扣0.1分，扣完为止。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0A58DD2D">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0</w:t>
            </w:r>
          </w:p>
        </w:tc>
      </w:tr>
      <w:tr w14:paraId="03BA9E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3" w:hRule="atLeast"/>
          <w:jc w:val="center"/>
        </w:trPr>
        <w:tc>
          <w:tcPr>
            <w:tcW w:w="733" w:type="dxa"/>
            <w:vMerge w:val="continue"/>
            <w:tcBorders>
              <w:left w:val="single" w:color="000000" w:sz="4" w:space="0"/>
              <w:right w:val="single" w:color="000000" w:sz="4" w:space="0"/>
            </w:tcBorders>
            <w:vAlign w:val="center"/>
          </w:tcPr>
          <w:p w14:paraId="6E839245">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517EDBFB">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714F5793">
            <w:pPr>
              <w:spacing w:after="0" w:line="240" w:lineRule="exact"/>
              <w:rPr>
                <w:rFonts w:ascii="宋体" w:hAnsi="宋体" w:eastAsia="宋体" w:cs="宋体"/>
              </w:rPr>
            </w:pPr>
            <w:r>
              <w:rPr>
                <w:rFonts w:hint="eastAsia" w:ascii="宋体" w:hAnsi="宋体" w:eastAsia="宋体" w:cs="宋体"/>
              </w:rPr>
              <w:t>“三公经费”控制率（3分）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787E3ACE">
            <w:pPr>
              <w:spacing w:after="0" w:line="240" w:lineRule="exact"/>
              <w:rPr>
                <w:rFonts w:ascii="宋体" w:hAnsi="宋体" w:eastAsia="宋体" w:cs="宋体"/>
              </w:rPr>
            </w:pPr>
            <w:r>
              <w:rPr>
                <w:rFonts w:hint="eastAsia" w:ascii="宋体" w:hAnsi="宋体" w:eastAsia="宋体" w:cs="宋体"/>
              </w:rPr>
              <w:t>部门（单位）本年度“三公经费”实际支出数与预算安排数的比率，用以反映和考核部门（单位）对“三公经费”的实际控制程度。</w:t>
            </w:r>
          </w:p>
          <w:p w14:paraId="2BDFB082">
            <w:pPr>
              <w:spacing w:after="0" w:line="240" w:lineRule="exact"/>
              <w:rPr>
                <w:rFonts w:ascii="宋体" w:hAnsi="宋体" w:eastAsia="宋体" w:cs="宋体"/>
              </w:rPr>
            </w:pPr>
            <w:r>
              <w:rPr>
                <w:rFonts w:hint="eastAsia" w:ascii="宋体" w:hAnsi="宋体" w:eastAsia="宋体" w:cs="宋体"/>
              </w:rPr>
              <w:t>“三公经费”控制率=（“三公经费”实际支出/“三公经费”预算安排数）×100%</w:t>
            </w:r>
          </w:p>
        </w:tc>
        <w:tc>
          <w:tcPr>
            <w:tcW w:w="3423" w:type="dxa"/>
            <w:tcBorders>
              <w:top w:val="single" w:color="000000" w:sz="4" w:space="0"/>
              <w:left w:val="single" w:color="auto" w:sz="4" w:space="0"/>
              <w:bottom w:val="single" w:color="000000" w:sz="4" w:space="0"/>
              <w:right w:val="single" w:color="auto" w:sz="4" w:space="0"/>
            </w:tcBorders>
            <w:vAlign w:val="center"/>
          </w:tcPr>
          <w:p w14:paraId="3D860198">
            <w:pPr>
              <w:spacing w:after="0" w:line="240" w:lineRule="exact"/>
              <w:rPr>
                <w:rFonts w:ascii="宋体" w:hAnsi="宋体" w:eastAsia="宋体" w:cs="宋体"/>
              </w:rPr>
            </w:pPr>
            <w:r>
              <w:rPr>
                <w:rFonts w:hint="eastAsia" w:ascii="宋体" w:hAnsi="宋体" w:eastAsia="宋体" w:cs="宋体"/>
              </w:rPr>
              <w:t>目标值为≤100%；达到目标值得3分，未达到目标值的每增加0.1个百分点扣0.1分，扣完为止。</w:t>
            </w:r>
          </w:p>
        </w:tc>
        <w:tc>
          <w:tcPr>
            <w:tcW w:w="1090" w:type="dxa"/>
            <w:tcBorders>
              <w:top w:val="single" w:color="000000" w:sz="4" w:space="0"/>
              <w:left w:val="single" w:color="auto" w:sz="4" w:space="0"/>
              <w:bottom w:val="single" w:color="000000" w:sz="4" w:space="0"/>
              <w:right w:val="single" w:color="000000" w:sz="4" w:space="0"/>
            </w:tcBorders>
            <w:vAlign w:val="center"/>
          </w:tcPr>
          <w:p w14:paraId="412DD070">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30DC8C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1" w:hRule="atLeast"/>
          <w:jc w:val="center"/>
        </w:trPr>
        <w:tc>
          <w:tcPr>
            <w:tcW w:w="733" w:type="dxa"/>
            <w:vMerge w:val="continue"/>
            <w:tcBorders>
              <w:left w:val="single" w:color="000000" w:sz="4" w:space="0"/>
              <w:right w:val="single" w:color="000000" w:sz="4" w:space="0"/>
            </w:tcBorders>
            <w:vAlign w:val="center"/>
          </w:tcPr>
          <w:p w14:paraId="657E7866">
            <w:pPr>
              <w:spacing w:after="0"/>
              <w:rPr>
                <w:rFonts w:ascii="宋体" w:hAnsi="宋体" w:eastAsia="宋体" w:cs="宋体"/>
              </w:rPr>
            </w:pPr>
          </w:p>
        </w:tc>
        <w:tc>
          <w:tcPr>
            <w:tcW w:w="803" w:type="dxa"/>
            <w:vMerge w:val="continue"/>
            <w:tcBorders>
              <w:top w:val="single" w:color="000000" w:sz="4" w:space="0"/>
              <w:left w:val="single" w:color="000000" w:sz="4" w:space="0"/>
              <w:bottom w:val="single" w:color="000000" w:sz="4" w:space="0"/>
              <w:right w:val="single" w:color="000000" w:sz="4" w:space="0"/>
            </w:tcBorders>
            <w:vAlign w:val="center"/>
          </w:tcPr>
          <w:p w14:paraId="4EE0A97B">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655F2FE0">
            <w:pPr>
              <w:spacing w:after="0" w:line="240" w:lineRule="exact"/>
              <w:rPr>
                <w:rFonts w:ascii="宋体" w:hAnsi="宋体" w:eastAsia="宋体" w:cs="宋体"/>
              </w:rPr>
            </w:pPr>
            <w:r>
              <w:rPr>
                <w:rFonts w:hint="eastAsia" w:ascii="宋体" w:hAnsi="宋体" w:eastAsia="宋体" w:cs="宋体"/>
              </w:rPr>
              <w:t>政府采购执行率（3分）</w:t>
            </w:r>
          </w:p>
        </w:tc>
        <w:tc>
          <w:tcPr>
            <w:tcW w:w="6911" w:type="dxa"/>
            <w:tcBorders>
              <w:top w:val="single" w:color="000000" w:sz="4" w:space="0"/>
              <w:left w:val="single" w:color="auto" w:sz="4" w:space="0"/>
              <w:bottom w:val="single" w:color="000000" w:sz="4" w:space="0"/>
              <w:right w:val="single" w:color="auto" w:sz="4" w:space="0"/>
            </w:tcBorders>
            <w:vAlign w:val="center"/>
          </w:tcPr>
          <w:p w14:paraId="0E50D49D">
            <w:pPr>
              <w:spacing w:after="0" w:line="240" w:lineRule="exact"/>
              <w:rPr>
                <w:rFonts w:ascii="宋体" w:hAnsi="宋体" w:eastAsia="宋体" w:cs="宋体"/>
              </w:rPr>
            </w:pPr>
            <w:r>
              <w:rPr>
                <w:rFonts w:hint="eastAsia" w:ascii="宋体" w:hAnsi="宋体" w:eastAsia="宋体" w:cs="宋体"/>
              </w:rPr>
              <w:t>通过对部门本年度实际政府采购预算项目个数与政府采购预算项目个数的比较，反映和评价部门政府采购预算执行情况。</w:t>
            </w:r>
          </w:p>
          <w:p w14:paraId="76FAEA41">
            <w:pPr>
              <w:spacing w:after="0" w:line="240" w:lineRule="exact"/>
              <w:rPr>
                <w:rFonts w:ascii="宋体" w:hAnsi="宋体" w:eastAsia="宋体" w:cs="宋体"/>
              </w:rPr>
            </w:pPr>
            <w:r>
              <w:rPr>
                <w:rFonts w:hint="eastAsia" w:ascii="宋体" w:hAnsi="宋体" w:eastAsia="宋体" w:cs="宋体"/>
              </w:rPr>
              <w:t>政府采购执行率=（实际政府采购预算项目个数/政府采购预算项目个数）×100%。</w:t>
            </w:r>
          </w:p>
          <w:p w14:paraId="2E66DBF1">
            <w:pPr>
              <w:spacing w:after="0" w:line="240" w:lineRule="exact"/>
              <w:rPr>
                <w:rFonts w:ascii="宋体" w:hAnsi="宋体" w:eastAsia="宋体" w:cs="宋体"/>
              </w:rPr>
            </w:pPr>
            <w:r>
              <w:rPr>
                <w:rFonts w:hint="eastAsia" w:ascii="宋体" w:hAnsi="宋体" w:eastAsia="宋体" w:cs="宋体"/>
              </w:rPr>
              <w:t>政府采购项目中非预算内安排的项目除外。</w:t>
            </w:r>
          </w:p>
        </w:tc>
        <w:tc>
          <w:tcPr>
            <w:tcW w:w="3423" w:type="dxa"/>
            <w:tcBorders>
              <w:top w:val="single" w:color="000000" w:sz="4" w:space="0"/>
              <w:left w:val="single" w:color="auto" w:sz="4" w:space="0"/>
              <w:bottom w:val="single" w:color="000000" w:sz="4" w:space="0"/>
              <w:right w:val="single" w:color="auto" w:sz="4" w:space="0"/>
            </w:tcBorders>
            <w:vAlign w:val="center"/>
          </w:tcPr>
          <w:p w14:paraId="297E0E4A">
            <w:pPr>
              <w:spacing w:after="0" w:line="240" w:lineRule="exact"/>
              <w:rPr>
                <w:rFonts w:ascii="宋体" w:hAnsi="宋体" w:eastAsia="宋体" w:cs="宋体"/>
              </w:rPr>
            </w:pPr>
            <w:r>
              <w:rPr>
                <w:rFonts w:hint="eastAsia" w:ascii="宋体" w:hAnsi="宋体" w:eastAsia="宋体" w:cs="宋体"/>
              </w:rPr>
              <w:t>目标值为100%；以3分为上限，采用完成比率法计分：得分=政府采购执行率×3。</w:t>
            </w:r>
          </w:p>
        </w:tc>
        <w:tc>
          <w:tcPr>
            <w:tcW w:w="1090" w:type="dxa"/>
            <w:tcBorders>
              <w:top w:val="single" w:color="000000" w:sz="4" w:space="0"/>
              <w:left w:val="single" w:color="auto" w:sz="4" w:space="0"/>
              <w:bottom w:val="single" w:color="000000" w:sz="4" w:space="0"/>
              <w:right w:val="single" w:color="000000" w:sz="4" w:space="0"/>
            </w:tcBorders>
            <w:vAlign w:val="center"/>
          </w:tcPr>
          <w:p w14:paraId="6BDED19D">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47AC8D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4" w:hRule="atLeast"/>
          <w:jc w:val="center"/>
        </w:trPr>
        <w:tc>
          <w:tcPr>
            <w:tcW w:w="733" w:type="dxa"/>
            <w:vMerge w:val="continue"/>
            <w:tcBorders>
              <w:left w:val="single" w:color="000000" w:sz="4" w:space="0"/>
              <w:right w:val="single" w:color="000000" w:sz="4" w:space="0"/>
            </w:tcBorders>
            <w:vAlign w:val="center"/>
          </w:tcPr>
          <w:p w14:paraId="5295D557">
            <w:pPr>
              <w:spacing w:after="0"/>
              <w:rPr>
                <w:rFonts w:ascii="宋体" w:hAnsi="宋体" w:eastAsia="宋体" w:cs="宋体"/>
              </w:rPr>
            </w:pPr>
          </w:p>
        </w:tc>
        <w:tc>
          <w:tcPr>
            <w:tcW w:w="803" w:type="dxa"/>
            <w:vMerge w:val="restart"/>
            <w:tcBorders>
              <w:top w:val="single" w:color="000000" w:sz="4" w:space="0"/>
              <w:left w:val="single" w:color="000000" w:sz="4" w:space="0"/>
              <w:right w:val="single" w:color="000000" w:sz="4" w:space="0"/>
            </w:tcBorders>
            <w:vAlign w:val="center"/>
          </w:tcPr>
          <w:p w14:paraId="1E972783">
            <w:pPr>
              <w:spacing w:after="0" w:line="240" w:lineRule="exact"/>
              <w:jc w:val="center"/>
              <w:rPr>
                <w:rFonts w:ascii="宋体" w:hAnsi="宋体" w:eastAsia="宋体" w:cs="宋体"/>
              </w:rPr>
            </w:pPr>
            <w:r>
              <w:rPr>
                <w:rFonts w:hint="eastAsia" w:ascii="宋体" w:hAnsi="宋体" w:eastAsia="宋体" w:cs="宋体"/>
              </w:rPr>
              <w:t>预算管理</w:t>
            </w:r>
          </w:p>
          <w:p w14:paraId="215E5037">
            <w:pPr>
              <w:spacing w:after="0" w:line="68" w:lineRule="atLeast"/>
              <w:jc w:val="center"/>
              <w:rPr>
                <w:rFonts w:ascii="宋体" w:hAnsi="宋体" w:eastAsia="宋体" w:cs="宋体"/>
              </w:rPr>
            </w:pPr>
            <w:r>
              <w:rPr>
                <w:rFonts w:hint="eastAsia" w:ascii="宋体" w:hAnsi="宋体" w:eastAsia="宋体" w:cs="宋体"/>
              </w:rPr>
              <w:t>（18分）</w:t>
            </w:r>
          </w:p>
        </w:tc>
        <w:tc>
          <w:tcPr>
            <w:tcW w:w="1182" w:type="dxa"/>
            <w:tcBorders>
              <w:top w:val="single" w:color="000000" w:sz="4" w:space="0"/>
              <w:left w:val="single" w:color="000000" w:sz="4" w:space="0"/>
              <w:bottom w:val="single" w:color="000000" w:sz="4" w:space="0"/>
              <w:right w:val="single" w:color="auto" w:sz="4" w:space="0"/>
            </w:tcBorders>
            <w:vAlign w:val="center"/>
          </w:tcPr>
          <w:p w14:paraId="611A6C56">
            <w:pPr>
              <w:spacing w:after="0" w:line="240" w:lineRule="exact"/>
              <w:rPr>
                <w:rFonts w:ascii="宋体" w:hAnsi="宋体" w:eastAsia="宋体" w:cs="宋体"/>
              </w:rPr>
            </w:pPr>
            <w:r>
              <w:rPr>
                <w:rFonts w:hint="eastAsia" w:ascii="宋体" w:hAnsi="宋体" w:eastAsia="宋体" w:cs="宋体"/>
              </w:rPr>
              <w:t>管理制度健全性</w:t>
            </w:r>
          </w:p>
          <w:p w14:paraId="546B28AE">
            <w:pPr>
              <w:spacing w:after="0" w:line="240" w:lineRule="exact"/>
              <w:rPr>
                <w:rFonts w:ascii="宋体" w:hAnsi="宋体" w:eastAsia="宋体" w:cs="宋体"/>
              </w:rPr>
            </w:pPr>
            <w:r>
              <w:rPr>
                <w:rFonts w:hint="eastAsia" w:ascii="宋体" w:hAnsi="宋体" w:eastAsia="宋体" w:cs="宋体"/>
              </w:rPr>
              <w:t>（2分）</w:t>
            </w:r>
          </w:p>
        </w:tc>
        <w:tc>
          <w:tcPr>
            <w:tcW w:w="6911" w:type="dxa"/>
            <w:tcBorders>
              <w:top w:val="single" w:color="000000" w:sz="4" w:space="0"/>
              <w:left w:val="single" w:color="auto" w:sz="4" w:space="0"/>
              <w:bottom w:val="single" w:color="000000" w:sz="4" w:space="0"/>
              <w:right w:val="single" w:color="auto" w:sz="4" w:space="0"/>
            </w:tcBorders>
            <w:vAlign w:val="center"/>
          </w:tcPr>
          <w:p w14:paraId="1206317E">
            <w:pPr>
              <w:spacing w:after="0" w:line="240" w:lineRule="exact"/>
              <w:rPr>
                <w:rFonts w:ascii="宋体" w:hAnsi="宋体" w:eastAsia="宋体" w:cs="宋体"/>
              </w:rPr>
            </w:pPr>
            <w:r>
              <w:rPr>
                <w:rFonts w:hint="eastAsia" w:ascii="宋体" w:hAnsi="宋体" w:eastAsia="宋体" w:cs="宋体"/>
              </w:rPr>
              <w:t>部门为加强预算管理，规范财务行为而制定的管理制度是否健全完整，用以反映和考核部门预算管理制度对完成主要职责或促进事业发展的保障情况。</w:t>
            </w:r>
          </w:p>
          <w:p w14:paraId="573E4500">
            <w:pPr>
              <w:spacing w:after="0" w:line="240" w:lineRule="exact"/>
              <w:rPr>
                <w:rFonts w:ascii="宋体" w:hAnsi="宋体" w:eastAsia="宋体" w:cs="宋体"/>
              </w:rPr>
            </w:pPr>
            <w:r>
              <w:rPr>
                <w:rFonts w:hint="eastAsia" w:ascii="宋体" w:hAnsi="宋体" w:eastAsia="宋体" w:cs="宋体"/>
              </w:rPr>
              <w:t>评价要点：</w:t>
            </w:r>
          </w:p>
          <w:p w14:paraId="43F68DEB">
            <w:pPr>
              <w:spacing w:after="0" w:line="240" w:lineRule="exact"/>
              <w:rPr>
                <w:rFonts w:ascii="宋体" w:hAnsi="宋体" w:eastAsia="宋体" w:cs="宋体"/>
              </w:rPr>
            </w:pPr>
            <w:r>
              <w:rPr>
                <w:rFonts w:hint="eastAsia" w:ascii="宋体" w:hAnsi="宋体" w:eastAsia="宋体" w:cs="宋体"/>
              </w:rPr>
              <w:t>1．是否已制定或具有预算资金管理办法、内部财务管理制度、会计核算制度等管理制度；</w:t>
            </w:r>
          </w:p>
          <w:p w14:paraId="2630E4CA">
            <w:pPr>
              <w:spacing w:after="0" w:line="240" w:lineRule="exact"/>
              <w:rPr>
                <w:rFonts w:ascii="宋体" w:hAnsi="宋体" w:eastAsia="宋体" w:cs="宋体"/>
              </w:rPr>
            </w:pPr>
            <w:r>
              <w:rPr>
                <w:rFonts w:hint="eastAsia" w:ascii="宋体" w:hAnsi="宋体" w:eastAsia="宋体" w:cs="宋体"/>
              </w:rPr>
              <w:t>2.相关管理制度是否合法、合规、完整；</w:t>
            </w:r>
          </w:p>
          <w:p w14:paraId="316EB2D3">
            <w:pPr>
              <w:spacing w:after="0" w:line="240" w:lineRule="exact"/>
              <w:rPr>
                <w:rFonts w:ascii="宋体" w:hAnsi="宋体" w:eastAsia="宋体" w:cs="宋体"/>
              </w:rPr>
            </w:pPr>
            <w:r>
              <w:rPr>
                <w:rFonts w:hint="eastAsia" w:ascii="宋体" w:hAnsi="宋体" w:eastAsia="宋体" w:cs="宋体"/>
              </w:rPr>
              <w:t>3.相关管理制度是否得到有效执行。</w:t>
            </w:r>
          </w:p>
        </w:tc>
        <w:tc>
          <w:tcPr>
            <w:tcW w:w="3423" w:type="dxa"/>
            <w:tcBorders>
              <w:top w:val="single" w:color="000000" w:sz="4" w:space="0"/>
              <w:left w:val="single" w:color="auto" w:sz="4" w:space="0"/>
              <w:bottom w:val="single" w:color="000000" w:sz="4" w:space="0"/>
              <w:right w:val="single" w:color="auto" w:sz="4" w:space="0"/>
            </w:tcBorders>
            <w:vAlign w:val="center"/>
          </w:tcPr>
          <w:p w14:paraId="4524CFEC">
            <w:pPr>
              <w:spacing w:after="0" w:line="240" w:lineRule="exact"/>
              <w:rPr>
                <w:rFonts w:ascii="宋体" w:hAnsi="宋体" w:eastAsia="宋体" w:cs="宋体"/>
              </w:rPr>
            </w:pPr>
            <w:r>
              <w:rPr>
                <w:rFonts w:hint="eastAsia" w:ascii="宋体" w:hAnsi="宋体" w:eastAsia="宋体" w:cs="宋体"/>
              </w:rPr>
              <w:t>全部符合（2分）；</w:t>
            </w:r>
          </w:p>
          <w:p w14:paraId="5D8D11E3">
            <w:pPr>
              <w:spacing w:after="0" w:line="240" w:lineRule="exact"/>
              <w:rPr>
                <w:rFonts w:ascii="宋体" w:hAnsi="宋体" w:eastAsia="宋体" w:cs="宋体"/>
              </w:rPr>
            </w:pPr>
            <w:r>
              <w:rPr>
                <w:rFonts w:hint="eastAsia" w:ascii="宋体" w:hAnsi="宋体" w:eastAsia="宋体" w:cs="宋体"/>
              </w:rPr>
              <w:t>符合其中两项（1分）</w:t>
            </w:r>
          </w:p>
          <w:p w14:paraId="0B23575D">
            <w:pPr>
              <w:spacing w:after="0" w:line="24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0C540DA8">
            <w:pPr>
              <w:spacing w:after="0" w:line="240" w:lineRule="exact"/>
              <w:jc w:val="center"/>
              <w:rPr>
                <w:rFonts w:hint="eastAsia" w:ascii="宋体" w:hAnsi="宋体" w:eastAsia="宋体" w:cs="宋体"/>
                <w:lang w:val="en-US" w:eastAsia="zh-CN"/>
              </w:rPr>
            </w:pPr>
            <w:r>
              <w:rPr>
                <w:rFonts w:hint="eastAsia" w:ascii="宋体" w:hAnsi="宋体" w:eastAsia="宋体" w:cs="宋体"/>
                <w:lang w:val="en-US" w:eastAsia="zh-CN"/>
              </w:rPr>
              <w:t>2</w:t>
            </w:r>
          </w:p>
        </w:tc>
      </w:tr>
      <w:tr w14:paraId="301D67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65" w:hRule="atLeast"/>
          <w:jc w:val="center"/>
        </w:trPr>
        <w:tc>
          <w:tcPr>
            <w:tcW w:w="733" w:type="dxa"/>
            <w:vMerge w:val="continue"/>
            <w:tcBorders>
              <w:left w:val="single" w:color="000000" w:sz="4" w:space="0"/>
              <w:right w:val="single" w:color="000000" w:sz="4" w:space="0"/>
            </w:tcBorders>
            <w:vAlign w:val="center"/>
          </w:tcPr>
          <w:p w14:paraId="035E6742">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1B2DC2E6">
            <w:pPr>
              <w:spacing w:after="0" w:line="68" w:lineRule="atLeas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316620A6">
            <w:pPr>
              <w:spacing w:after="0" w:line="68" w:lineRule="atLeast"/>
              <w:rPr>
                <w:rFonts w:ascii="宋体" w:hAnsi="宋体" w:eastAsia="宋体" w:cs="宋体"/>
              </w:rPr>
            </w:pPr>
            <w:r>
              <w:rPr>
                <w:rFonts w:hint="eastAsia" w:ascii="宋体" w:hAnsi="宋体" w:eastAsia="宋体" w:cs="宋体"/>
              </w:rPr>
              <w:t>资金使用合规性</w:t>
            </w:r>
          </w:p>
          <w:p w14:paraId="29DD939F">
            <w:pPr>
              <w:spacing w:after="0" w:line="68" w:lineRule="atLeast"/>
              <w:rPr>
                <w:rFonts w:ascii="宋体" w:hAnsi="宋体" w:eastAsia="宋体" w:cs="宋体"/>
              </w:rPr>
            </w:pPr>
            <w:r>
              <w:rPr>
                <w:rFonts w:hint="eastAsia" w:ascii="宋体" w:hAnsi="宋体" w:eastAsia="宋体" w:cs="宋体"/>
              </w:rPr>
              <w:t>（9分）</w:t>
            </w:r>
          </w:p>
        </w:tc>
        <w:tc>
          <w:tcPr>
            <w:tcW w:w="6911" w:type="dxa"/>
            <w:tcBorders>
              <w:top w:val="single" w:color="000000" w:sz="4" w:space="0"/>
              <w:left w:val="single" w:color="auto" w:sz="4" w:space="0"/>
              <w:bottom w:val="single" w:color="000000" w:sz="4" w:space="0"/>
              <w:right w:val="single" w:color="auto" w:sz="4" w:space="0"/>
            </w:tcBorders>
            <w:vAlign w:val="center"/>
          </w:tcPr>
          <w:p w14:paraId="66A0117F">
            <w:pPr>
              <w:spacing w:after="0" w:line="240" w:lineRule="exact"/>
              <w:rPr>
                <w:rFonts w:ascii="宋体" w:hAnsi="宋体" w:eastAsia="宋体" w:cs="宋体"/>
              </w:rPr>
            </w:pPr>
            <w:r>
              <w:rPr>
                <w:rFonts w:hint="eastAsia" w:ascii="宋体" w:hAnsi="宋体" w:eastAsia="宋体" w:cs="宋体"/>
              </w:rPr>
              <w:t>部门使用预算资金是否符合相关的预算财务管理制度的规定，反映和评价部门预算资金的规范运行情况。</w:t>
            </w:r>
          </w:p>
          <w:p w14:paraId="2109BD8B">
            <w:pPr>
              <w:spacing w:after="0" w:line="240" w:lineRule="exact"/>
              <w:rPr>
                <w:rFonts w:ascii="宋体" w:hAnsi="宋体" w:eastAsia="宋体" w:cs="宋体"/>
              </w:rPr>
            </w:pPr>
            <w:r>
              <w:rPr>
                <w:rFonts w:hint="eastAsia" w:ascii="宋体" w:hAnsi="宋体" w:eastAsia="宋体" w:cs="宋体"/>
              </w:rPr>
              <w:t>评价要点：</w:t>
            </w:r>
          </w:p>
          <w:p w14:paraId="24DD7F21">
            <w:pPr>
              <w:spacing w:after="0" w:line="240" w:lineRule="exact"/>
              <w:rPr>
                <w:rFonts w:ascii="宋体" w:hAnsi="宋体" w:eastAsia="宋体" w:cs="宋体"/>
              </w:rPr>
            </w:pPr>
            <w:r>
              <w:rPr>
                <w:rFonts w:hint="eastAsia" w:ascii="宋体" w:hAnsi="宋体" w:eastAsia="宋体" w:cs="宋体"/>
              </w:rPr>
              <w:t>1.符合国家财经法规和财务管理制度规定以及有关部门资金管理办法的规定；</w:t>
            </w:r>
          </w:p>
          <w:p w14:paraId="710869D8">
            <w:pPr>
              <w:spacing w:after="0" w:line="240" w:lineRule="exact"/>
              <w:rPr>
                <w:rFonts w:ascii="宋体" w:hAnsi="宋体" w:eastAsia="宋体" w:cs="宋体"/>
              </w:rPr>
            </w:pPr>
            <w:r>
              <w:rPr>
                <w:rFonts w:hint="eastAsia" w:ascii="宋体" w:hAnsi="宋体" w:eastAsia="宋体" w:cs="宋体"/>
              </w:rPr>
              <w:t>2.资金的拨付有完整的审批过程和手续；</w:t>
            </w:r>
          </w:p>
          <w:p w14:paraId="3150E60E">
            <w:pPr>
              <w:spacing w:after="0" w:line="240" w:lineRule="exact"/>
              <w:rPr>
                <w:rFonts w:ascii="宋体" w:hAnsi="宋体" w:eastAsia="宋体" w:cs="宋体"/>
              </w:rPr>
            </w:pPr>
            <w:r>
              <w:rPr>
                <w:rFonts w:hint="eastAsia" w:ascii="宋体" w:hAnsi="宋体" w:eastAsia="宋体" w:cs="宋体"/>
              </w:rPr>
              <w:t>3.项目的重大开支经过评估论证；</w:t>
            </w:r>
          </w:p>
          <w:p w14:paraId="3AB097C8">
            <w:pPr>
              <w:spacing w:after="0" w:line="240" w:lineRule="exact"/>
              <w:rPr>
                <w:rFonts w:ascii="宋体" w:hAnsi="宋体" w:eastAsia="宋体" w:cs="宋体"/>
              </w:rPr>
            </w:pPr>
            <w:r>
              <w:rPr>
                <w:rFonts w:hint="eastAsia" w:ascii="宋体" w:hAnsi="宋体" w:eastAsia="宋体" w:cs="宋体"/>
              </w:rPr>
              <w:t>4.符合部门预算批复的用途；</w:t>
            </w:r>
          </w:p>
          <w:p w14:paraId="5CE2ADB3">
            <w:pPr>
              <w:spacing w:after="0" w:line="240" w:lineRule="exact"/>
              <w:rPr>
                <w:rFonts w:ascii="宋体" w:hAnsi="宋体" w:eastAsia="宋体" w:cs="宋体"/>
              </w:rPr>
            </w:pPr>
            <w:r>
              <w:rPr>
                <w:rFonts w:hint="eastAsia" w:ascii="宋体" w:hAnsi="宋体" w:eastAsia="宋体" w:cs="宋体"/>
              </w:rPr>
              <w:t>5.不存在截留情况；6.不存在挤占情况；</w:t>
            </w:r>
          </w:p>
          <w:p w14:paraId="14A8581D">
            <w:pPr>
              <w:spacing w:after="0" w:line="240" w:lineRule="exact"/>
              <w:rPr>
                <w:rFonts w:ascii="宋体" w:hAnsi="宋体" w:eastAsia="宋体" w:cs="宋体"/>
              </w:rPr>
            </w:pPr>
            <w:r>
              <w:rPr>
                <w:rFonts w:hint="eastAsia" w:ascii="宋体" w:hAnsi="宋体" w:eastAsia="宋体" w:cs="宋体"/>
              </w:rPr>
              <w:t>7.不存在挪用情况；8.不存在虚列支出情况。</w:t>
            </w:r>
          </w:p>
        </w:tc>
        <w:tc>
          <w:tcPr>
            <w:tcW w:w="3423" w:type="dxa"/>
            <w:tcBorders>
              <w:top w:val="single" w:color="000000" w:sz="4" w:space="0"/>
              <w:left w:val="single" w:color="auto" w:sz="4" w:space="0"/>
              <w:bottom w:val="single" w:color="000000" w:sz="4" w:space="0"/>
              <w:right w:val="single" w:color="auto" w:sz="4" w:space="0"/>
            </w:tcBorders>
            <w:vAlign w:val="center"/>
          </w:tcPr>
          <w:p w14:paraId="133AAB86">
            <w:pPr>
              <w:spacing w:after="0" w:line="240" w:lineRule="exact"/>
              <w:rPr>
                <w:rFonts w:ascii="宋体" w:hAnsi="宋体" w:eastAsia="宋体" w:cs="宋体"/>
              </w:rPr>
            </w:pPr>
            <w:r>
              <w:rPr>
                <w:rFonts w:hint="eastAsia" w:ascii="宋体" w:hAnsi="宋体" w:eastAsia="宋体" w:cs="宋体"/>
              </w:rPr>
              <w:t>全部符合（9分）；</w:t>
            </w:r>
          </w:p>
          <w:p w14:paraId="4225410A">
            <w:pPr>
              <w:spacing w:after="0" w:line="240" w:lineRule="exact"/>
              <w:rPr>
                <w:rFonts w:ascii="宋体" w:hAnsi="宋体" w:eastAsia="宋体" w:cs="宋体"/>
              </w:rPr>
            </w:pPr>
            <w:r>
              <w:rPr>
                <w:rFonts w:hint="eastAsia" w:ascii="宋体" w:hAnsi="宋体" w:eastAsia="宋体" w:cs="宋体"/>
              </w:rPr>
              <w:t>符合其中七项（8分）；</w:t>
            </w:r>
          </w:p>
          <w:p w14:paraId="21AFC889">
            <w:pPr>
              <w:spacing w:after="0" w:line="240" w:lineRule="exact"/>
              <w:rPr>
                <w:rFonts w:ascii="宋体" w:hAnsi="宋体" w:eastAsia="宋体" w:cs="宋体"/>
              </w:rPr>
            </w:pPr>
            <w:r>
              <w:rPr>
                <w:rFonts w:hint="eastAsia" w:ascii="宋体" w:hAnsi="宋体" w:eastAsia="宋体" w:cs="宋体"/>
              </w:rPr>
              <w:t>符合其中六项（5分）；</w:t>
            </w:r>
          </w:p>
          <w:p w14:paraId="3F7BF8A9">
            <w:pPr>
              <w:spacing w:after="0" w:line="240" w:lineRule="exact"/>
              <w:rPr>
                <w:rFonts w:ascii="宋体" w:hAnsi="宋体" w:eastAsia="宋体" w:cs="宋体"/>
              </w:rPr>
            </w:pPr>
            <w:r>
              <w:rPr>
                <w:rFonts w:hint="eastAsia" w:ascii="宋体" w:hAnsi="宋体" w:eastAsia="宋体" w:cs="宋体"/>
              </w:rPr>
              <w:t>符合其中五项（3分）；</w:t>
            </w:r>
          </w:p>
          <w:p w14:paraId="4B8FFA3E">
            <w:pPr>
              <w:spacing w:after="0" w:line="68" w:lineRule="atLeast"/>
              <w:rPr>
                <w:rFonts w:ascii="宋体" w:hAnsi="宋体" w:eastAsia="宋体" w:cs="宋体"/>
              </w:rPr>
            </w:pPr>
            <w:r>
              <w:rPr>
                <w:rFonts w:hint="eastAsia" w:ascii="宋体" w:hAnsi="宋体" w:eastAsia="宋体" w:cs="宋体"/>
              </w:rPr>
              <w:t>符合其中四项及以下（0分）。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74A0381A">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9</w:t>
            </w:r>
          </w:p>
        </w:tc>
      </w:tr>
      <w:tr w14:paraId="39B1C9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63" w:hRule="atLeast"/>
          <w:jc w:val="center"/>
        </w:trPr>
        <w:tc>
          <w:tcPr>
            <w:tcW w:w="733" w:type="dxa"/>
            <w:vMerge w:val="continue"/>
            <w:tcBorders>
              <w:left w:val="single" w:color="000000" w:sz="4" w:space="0"/>
              <w:right w:val="single" w:color="000000" w:sz="4" w:space="0"/>
            </w:tcBorders>
            <w:vAlign w:val="center"/>
          </w:tcPr>
          <w:p w14:paraId="7BCF9DF9">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2CD798A7">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1A1A9492">
            <w:pPr>
              <w:spacing w:after="0" w:line="68" w:lineRule="atLeast"/>
              <w:rPr>
                <w:rFonts w:ascii="宋体" w:hAnsi="宋体" w:eastAsia="宋体" w:cs="宋体"/>
              </w:rPr>
            </w:pPr>
            <w:r>
              <w:rPr>
                <w:rFonts w:hint="eastAsia" w:ascii="宋体" w:hAnsi="宋体" w:eastAsia="宋体" w:cs="宋体"/>
              </w:rPr>
              <w:t>预决算信息公开性（3分）</w:t>
            </w:r>
          </w:p>
        </w:tc>
        <w:tc>
          <w:tcPr>
            <w:tcW w:w="6911" w:type="dxa"/>
            <w:tcBorders>
              <w:top w:val="single" w:color="000000" w:sz="4" w:space="0"/>
              <w:left w:val="single" w:color="auto" w:sz="4" w:space="0"/>
              <w:bottom w:val="single" w:color="000000" w:sz="4" w:space="0"/>
              <w:right w:val="single" w:color="auto" w:sz="4" w:space="0"/>
            </w:tcBorders>
            <w:vAlign w:val="center"/>
          </w:tcPr>
          <w:p w14:paraId="06C576B1">
            <w:pPr>
              <w:spacing w:after="0" w:line="240" w:lineRule="exact"/>
              <w:rPr>
                <w:rFonts w:ascii="宋体" w:hAnsi="宋体" w:eastAsia="宋体" w:cs="宋体"/>
              </w:rPr>
            </w:pPr>
            <w:r>
              <w:rPr>
                <w:rFonts w:hint="eastAsia" w:ascii="宋体" w:hAnsi="宋体" w:eastAsia="宋体" w:cs="宋体"/>
              </w:rPr>
              <w:t>部门是否按照政府信息公开有关规定公开相关预决算信息，用以反映和评价部门预决算管理的公开透明情况。</w:t>
            </w:r>
          </w:p>
          <w:p w14:paraId="0FD60E60">
            <w:pPr>
              <w:spacing w:after="0" w:line="240" w:lineRule="exact"/>
              <w:rPr>
                <w:rFonts w:ascii="宋体" w:hAnsi="宋体" w:eastAsia="宋体" w:cs="宋体"/>
              </w:rPr>
            </w:pPr>
            <w:r>
              <w:rPr>
                <w:rFonts w:hint="eastAsia" w:ascii="宋体" w:hAnsi="宋体" w:eastAsia="宋体" w:cs="宋体"/>
              </w:rPr>
              <w:t>预决算信息是指与部门预算、执行、决算、监督、绩效等管理相关的信息。</w:t>
            </w:r>
          </w:p>
          <w:p w14:paraId="4ABB5A73">
            <w:pPr>
              <w:spacing w:after="0" w:line="240" w:lineRule="exact"/>
              <w:rPr>
                <w:rFonts w:ascii="宋体" w:hAnsi="宋体" w:eastAsia="宋体" w:cs="宋体"/>
              </w:rPr>
            </w:pPr>
            <w:r>
              <w:rPr>
                <w:rFonts w:hint="eastAsia" w:ascii="宋体" w:hAnsi="宋体" w:eastAsia="宋体" w:cs="宋体"/>
              </w:rPr>
              <w:t>评价要点：</w:t>
            </w:r>
          </w:p>
          <w:p w14:paraId="4076BA38">
            <w:pPr>
              <w:spacing w:after="0" w:line="240" w:lineRule="exact"/>
              <w:rPr>
                <w:rFonts w:ascii="宋体" w:hAnsi="宋体" w:eastAsia="宋体" w:cs="宋体"/>
              </w:rPr>
            </w:pPr>
            <w:r>
              <w:rPr>
                <w:rFonts w:hint="eastAsia" w:ascii="宋体" w:hAnsi="宋体" w:eastAsia="宋体" w:cs="宋体"/>
              </w:rPr>
              <w:t>1.公开预决算信息；</w:t>
            </w:r>
          </w:p>
          <w:p w14:paraId="54966DC3">
            <w:pPr>
              <w:spacing w:after="0" w:line="240" w:lineRule="exact"/>
              <w:rPr>
                <w:rFonts w:ascii="宋体" w:hAnsi="宋体" w:eastAsia="宋体" w:cs="宋体"/>
              </w:rPr>
            </w:pPr>
            <w:r>
              <w:rPr>
                <w:rFonts w:hint="eastAsia" w:ascii="宋体" w:hAnsi="宋体" w:eastAsia="宋体" w:cs="宋体"/>
              </w:rPr>
              <w:t>2.按规定内容公开预决算信息；</w:t>
            </w:r>
          </w:p>
          <w:p w14:paraId="61F7A58F">
            <w:pPr>
              <w:spacing w:after="0" w:line="68" w:lineRule="atLeast"/>
              <w:rPr>
                <w:rFonts w:ascii="宋体" w:hAnsi="宋体" w:eastAsia="宋体" w:cs="宋体"/>
              </w:rPr>
            </w:pPr>
            <w:r>
              <w:rPr>
                <w:rFonts w:hint="eastAsia" w:ascii="宋体" w:hAnsi="宋体" w:eastAsia="宋体" w:cs="宋体"/>
              </w:rPr>
              <w:t>3.按规定时限公开预决算信息。</w:t>
            </w:r>
          </w:p>
        </w:tc>
        <w:tc>
          <w:tcPr>
            <w:tcW w:w="3423" w:type="dxa"/>
            <w:tcBorders>
              <w:top w:val="single" w:color="000000" w:sz="4" w:space="0"/>
              <w:left w:val="single" w:color="auto" w:sz="4" w:space="0"/>
              <w:bottom w:val="single" w:color="000000" w:sz="4" w:space="0"/>
              <w:right w:val="single" w:color="auto" w:sz="4" w:space="0"/>
            </w:tcBorders>
            <w:vAlign w:val="center"/>
          </w:tcPr>
          <w:p w14:paraId="5E809F18">
            <w:pPr>
              <w:spacing w:after="0" w:line="240" w:lineRule="exact"/>
              <w:rPr>
                <w:rFonts w:ascii="宋体" w:hAnsi="宋体" w:eastAsia="宋体" w:cs="宋体"/>
              </w:rPr>
            </w:pPr>
            <w:r>
              <w:rPr>
                <w:rFonts w:hint="eastAsia" w:ascii="宋体" w:hAnsi="宋体" w:eastAsia="宋体" w:cs="宋体"/>
              </w:rPr>
              <w:t>全部符合（3分）；</w:t>
            </w:r>
          </w:p>
          <w:p w14:paraId="2D422DA6">
            <w:pPr>
              <w:spacing w:after="0" w:line="240" w:lineRule="exact"/>
              <w:rPr>
                <w:rFonts w:ascii="宋体" w:hAnsi="宋体" w:eastAsia="宋体" w:cs="宋体"/>
              </w:rPr>
            </w:pPr>
            <w:r>
              <w:rPr>
                <w:rFonts w:hint="eastAsia" w:ascii="宋体" w:hAnsi="宋体" w:eastAsia="宋体" w:cs="宋体"/>
              </w:rPr>
              <w:t>符合其中两项（2分）</w:t>
            </w:r>
          </w:p>
          <w:p w14:paraId="4AB7940E">
            <w:pPr>
              <w:spacing w:after="0" w:line="68" w:lineRule="atLeas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673FA1C9">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7AD4C1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74" w:hRule="atLeast"/>
          <w:jc w:val="center"/>
        </w:trPr>
        <w:tc>
          <w:tcPr>
            <w:tcW w:w="733" w:type="dxa"/>
            <w:vMerge w:val="continue"/>
            <w:tcBorders>
              <w:left w:val="single" w:color="000000" w:sz="4" w:space="0"/>
              <w:right w:val="single" w:color="000000" w:sz="4" w:space="0"/>
            </w:tcBorders>
            <w:vAlign w:val="center"/>
          </w:tcPr>
          <w:p w14:paraId="3736D14D">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6F1DE57D">
            <w:pPr>
              <w:spacing w:after="0"/>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4381CDB7">
            <w:pPr>
              <w:spacing w:after="0" w:line="68" w:lineRule="atLeast"/>
              <w:rPr>
                <w:rFonts w:ascii="宋体" w:hAnsi="宋体" w:eastAsia="宋体" w:cs="宋体"/>
                <w:color w:val="000000"/>
              </w:rPr>
            </w:pPr>
            <w:r>
              <w:rPr>
                <w:rFonts w:hint="eastAsia" w:ascii="宋体" w:hAnsi="宋体" w:eastAsia="宋体" w:cs="宋体"/>
                <w:color w:val="000000"/>
              </w:rPr>
              <w:t>基础信息完善性</w:t>
            </w:r>
          </w:p>
          <w:p w14:paraId="1EB6799D">
            <w:pPr>
              <w:spacing w:after="0" w:line="68" w:lineRule="atLeast"/>
              <w:rPr>
                <w:rFonts w:ascii="宋体" w:hAnsi="宋体" w:eastAsia="宋体" w:cs="宋体"/>
              </w:rPr>
            </w:pPr>
            <w:r>
              <w:rPr>
                <w:rFonts w:hint="eastAsia" w:ascii="宋体" w:hAnsi="宋体" w:eastAsia="宋体" w:cs="宋体"/>
              </w:rPr>
              <w:t>（4分）</w:t>
            </w:r>
          </w:p>
        </w:tc>
        <w:tc>
          <w:tcPr>
            <w:tcW w:w="6911" w:type="dxa"/>
            <w:tcBorders>
              <w:top w:val="single" w:color="000000" w:sz="4" w:space="0"/>
              <w:left w:val="single" w:color="auto" w:sz="4" w:space="0"/>
              <w:bottom w:val="single" w:color="000000" w:sz="4" w:space="0"/>
              <w:right w:val="single" w:color="auto" w:sz="4" w:space="0"/>
            </w:tcBorders>
            <w:vAlign w:val="center"/>
          </w:tcPr>
          <w:p w14:paraId="427602A7">
            <w:pPr>
              <w:spacing w:after="0" w:line="240" w:lineRule="exact"/>
              <w:rPr>
                <w:rFonts w:ascii="宋体" w:hAnsi="宋体" w:eastAsia="宋体" w:cs="宋体"/>
              </w:rPr>
            </w:pPr>
            <w:r>
              <w:rPr>
                <w:rFonts w:hint="eastAsia" w:ascii="宋体" w:hAnsi="宋体" w:eastAsia="宋体" w:cs="宋体"/>
              </w:rPr>
              <w:t>部门基础信息是否完善，用以反映和评价基础信息对预算管理工作的支撑情况。</w:t>
            </w:r>
          </w:p>
          <w:p w14:paraId="7F87DBFA">
            <w:pPr>
              <w:spacing w:after="0" w:line="240" w:lineRule="exact"/>
              <w:rPr>
                <w:rFonts w:ascii="宋体" w:hAnsi="宋体" w:eastAsia="宋体" w:cs="宋体"/>
              </w:rPr>
            </w:pPr>
            <w:r>
              <w:rPr>
                <w:rFonts w:hint="eastAsia" w:ascii="宋体" w:hAnsi="宋体" w:eastAsia="宋体" w:cs="宋体"/>
              </w:rPr>
              <w:t>评价要点：</w:t>
            </w:r>
          </w:p>
          <w:p w14:paraId="0285E282">
            <w:pPr>
              <w:spacing w:after="0" w:line="240" w:lineRule="exact"/>
              <w:rPr>
                <w:rFonts w:ascii="宋体" w:hAnsi="宋体" w:eastAsia="宋体" w:cs="宋体"/>
              </w:rPr>
            </w:pPr>
            <w:r>
              <w:rPr>
                <w:rFonts w:hint="eastAsia" w:ascii="宋体" w:hAnsi="宋体" w:eastAsia="宋体" w:cs="宋体"/>
              </w:rPr>
              <w:t>1.基本财务管理制度健全；</w:t>
            </w:r>
          </w:p>
          <w:p w14:paraId="4648B07E">
            <w:pPr>
              <w:spacing w:after="0" w:line="240" w:lineRule="exact"/>
              <w:rPr>
                <w:rFonts w:ascii="宋体" w:hAnsi="宋体" w:eastAsia="宋体" w:cs="宋体"/>
              </w:rPr>
            </w:pPr>
            <w:r>
              <w:rPr>
                <w:rFonts w:hint="eastAsia" w:ascii="宋体" w:hAnsi="宋体" w:eastAsia="宋体" w:cs="宋体"/>
              </w:rPr>
              <w:t>2.基础数据信息和会计信息资料真实；</w:t>
            </w:r>
          </w:p>
          <w:p w14:paraId="62F9CF26">
            <w:pPr>
              <w:spacing w:after="0" w:line="240" w:lineRule="exact"/>
              <w:rPr>
                <w:rFonts w:ascii="宋体" w:hAnsi="宋体" w:eastAsia="宋体" w:cs="宋体"/>
              </w:rPr>
            </w:pPr>
            <w:r>
              <w:rPr>
                <w:rFonts w:hint="eastAsia" w:ascii="宋体" w:hAnsi="宋体" w:eastAsia="宋体" w:cs="宋体"/>
              </w:rPr>
              <w:t>3.基础数据信息和会计信息资料完整；</w:t>
            </w:r>
          </w:p>
          <w:p w14:paraId="0F37A93D">
            <w:pPr>
              <w:spacing w:after="0" w:line="68" w:lineRule="atLeast"/>
              <w:rPr>
                <w:rFonts w:ascii="宋体" w:hAnsi="宋体" w:eastAsia="宋体" w:cs="宋体"/>
              </w:rPr>
            </w:pPr>
            <w:r>
              <w:rPr>
                <w:rFonts w:hint="eastAsia" w:ascii="宋体" w:hAnsi="宋体" w:eastAsia="宋体" w:cs="宋体"/>
              </w:rPr>
              <w:t>4.基础数据信息和会计信息资料准确。</w:t>
            </w:r>
          </w:p>
        </w:tc>
        <w:tc>
          <w:tcPr>
            <w:tcW w:w="3423" w:type="dxa"/>
            <w:tcBorders>
              <w:top w:val="single" w:color="000000" w:sz="4" w:space="0"/>
              <w:left w:val="single" w:color="auto" w:sz="4" w:space="0"/>
              <w:bottom w:val="single" w:color="000000" w:sz="4" w:space="0"/>
              <w:right w:val="single" w:color="auto" w:sz="4" w:space="0"/>
            </w:tcBorders>
            <w:vAlign w:val="center"/>
          </w:tcPr>
          <w:p w14:paraId="360117E9">
            <w:pPr>
              <w:spacing w:after="0" w:line="240" w:lineRule="exact"/>
              <w:rPr>
                <w:rFonts w:ascii="宋体" w:hAnsi="宋体" w:eastAsia="宋体" w:cs="宋体"/>
              </w:rPr>
            </w:pPr>
            <w:r>
              <w:rPr>
                <w:rFonts w:hint="eastAsia" w:ascii="宋体" w:hAnsi="宋体" w:eastAsia="宋体" w:cs="宋体"/>
              </w:rPr>
              <w:t>符合全部四项（4分）；</w:t>
            </w:r>
          </w:p>
          <w:p w14:paraId="60C2A74B">
            <w:pPr>
              <w:spacing w:after="0" w:line="240" w:lineRule="exact"/>
              <w:rPr>
                <w:rFonts w:ascii="宋体" w:hAnsi="宋体" w:eastAsia="宋体" w:cs="宋体"/>
              </w:rPr>
            </w:pPr>
            <w:r>
              <w:rPr>
                <w:rFonts w:hint="eastAsia" w:ascii="宋体" w:hAnsi="宋体" w:eastAsia="宋体" w:cs="宋体"/>
              </w:rPr>
              <w:t>符合其中三项（2分）；</w:t>
            </w:r>
          </w:p>
          <w:p w14:paraId="02900D23">
            <w:pPr>
              <w:spacing w:after="0" w:line="240" w:lineRule="exact"/>
              <w:rPr>
                <w:rFonts w:ascii="宋体" w:hAnsi="宋体" w:eastAsia="宋体" w:cs="宋体"/>
              </w:rPr>
            </w:pPr>
            <w:r>
              <w:rPr>
                <w:rFonts w:hint="eastAsia" w:ascii="宋体" w:hAnsi="宋体" w:eastAsia="宋体" w:cs="宋体"/>
              </w:rPr>
              <w:t>符合其中两项（1分）；</w:t>
            </w:r>
          </w:p>
          <w:p w14:paraId="0A204D47">
            <w:pPr>
              <w:spacing w:after="0" w:line="68" w:lineRule="atLeas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3D021242">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4</w:t>
            </w:r>
          </w:p>
        </w:tc>
      </w:tr>
      <w:tr w14:paraId="15B3F8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5" w:hRule="atLeast"/>
          <w:jc w:val="center"/>
        </w:trPr>
        <w:tc>
          <w:tcPr>
            <w:tcW w:w="733" w:type="dxa"/>
            <w:vMerge w:val="continue"/>
            <w:tcBorders>
              <w:left w:val="single" w:color="000000" w:sz="4" w:space="0"/>
              <w:right w:val="single" w:color="000000" w:sz="4" w:space="0"/>
            </w:tcBorders>
            <w:vAlign w:val="center"/>
          </w:tcPr>
          <w:p w14:paraId="204EE5D9">
            <w:pPr>
              <w:spacing w:after="0"/>
              <w:rPr>
                <w:rFonts w:ascii="宋体" w:hAnsi="宋体" w:eastAsia="宋体" w:cs="宋体"/>
              </w:rPr>
            </w:pPr>
          </w:p>
        </w:tc>
        <w:tc>
          <w:tcPr>
            <w:tcW w:w="803" w:type="dxa"/>
            <w:vMerge w:val="restart"/>
            <w:tcBorders>
              <w:left w:val="single" w:color="000000" w:sz="4" w:space="0"/>
              <w:right w:val="single" w:color="000000" w:sz="4" w:space="0"/>
            </w:tcBorders>
            <w:vAlign w:val="center"/>
          </w:tcPr>
          <w:p w14:paraId="06F34BDD">
            <w:pPr>
              <w:spacing w:after="0" w:line="68" w:lineRule="atLeast"/>
              <w:rPr>
                <w:rFonts w:ascii="宋体" w:hAnsi="宋体" w:eastAsia="宋体" w:cs="宋体"/>
              </w:rPr>
            </w:pPr>
            <w:r>
              <w:rPr>
                <w:rFonts w:hint="eastAsia" w:ascii="宋体" w:hAnsi="宋体" w:eastAsia="宋体" w:cs="宋体"/>
              </w:rPr>
              <w:t>资产管理（8分）</w:t>
            </w:r>
          </w:p>
        </w:tc>
        <w:tc>
          <w:tcPr>
            <w:tcW w:w="1182" w:type="dxa"/>
            <w:tcBorders>
              <w:top w:val="single" w:color="000000" w:sz="4" w:space="0"/>
              <w:left w:val="single" w:color="000000" w:sz="4" w:space="0"/>
              <w:bottom w:val="single" w:color="000000" w:sz="4" w:space="0"/>
              <w:right w:val="single" w:color="auto" w:sz="4" w:space="0"/>
            </w:tcBorders>
            <w:vAlign w:val="center"/>
          </w:tcPr>
          <w:p w14:paraId="573AA7F5">
            <w:pPr>
              <w:spacing w:after="0" w:line="68" w:lineRule="atLeast"/>
              <w:rPr>
                <w:rFonts w:ascii="宋体" w:hAnsi="宋体" w:eastAsia="宋体" w:cs="宋体"/>
                <w:color w:val="000000"/>
              </w:rPr>
            </w:pPr>
            <w:r>
              <w:rPr>
                <w:rFonts w:hint="eastAsia" w:ascii="宋体" w:hAnsi="宋体" w:eastAsia="宋体" w:cs="宋体"/>
                <w:color w:val="000000"/>
              </w:rPr>
              <w:t>管理制度健全性</w:t>
            </w:r>
          </w:p>
          <w:p w14:paraId="3C928F29">
            <w:pPr>
              <w:spacing w:after="0" w:line="68" w:lineRule="atLeast"/>
              <w:rPr>
                <w:rFonts w:ascii="宋体" w:hAnsi="宋体" w:eastAsia="宋体" w:cs="宋体"/>
                <w:color w:val="000000"/>
              </w:rPr>
            </w:pPr>
            <w:r>
              <w:rPr>
                <w:rFonts w:hint="eastAsia" w:ascii="宋体" w:hAnsi="宋体" w:eastAsia="宋体" w:cs="宋体"/>
                <w:color w:val="000000"/>
              </w:rPr>
              <w:t>（2分）</w:t>
            </w:r>
          </w:p>
        </w:tc>
        <w:tc>
          <w:tcPr>
            <w:tcW w:w="6911" w:type="dxa"/>
            <w:tcBorders>
              <w:top w:val="single" w:color="000000" w:sz="4" w:space="0"/>
              <w:left w:val="single" w:color="auto" w:sz="4" w:space="0"/>
              <w:bottom w:val="single" w:color="000000" w:sz="4" w:space="0"/>
              <w:right w:val="single" w:color="auto" w:sz="4" w:space="0"/>
            </w:tcBorders>
            <w:vAlign w:val="center"/>
          </w:tcPr>
          <w:p w14:paraId="21ED0283">
            <w:pPr>
              <w:spacing w:after="0" w:line="240" w:lineRule="exact"/>
              <w:rPr>
                <w:rFonts w:ascii="宋体" w:hAnsi="宋体" w:eastAsia="宋体" w:cs="宋体"/>
              </w:rPr>
            </w:pPr>
            <w:r>
              <w:rPr>
                <w:rFonts w:hint="eastAsia" w:ascii="宋体" w:hAnsi="宋体" w:eastAsia="宋体" w:cs="宋体"/>
              </w:rPr>
              <w:t>部门为加强资产管理、规范资产管理行为而制定的管理制度是否健全完整，用以反映和考核部门资产管理制度对完成主要职责或促进社会发展的保障情况。</w:t>
            </w:r>
          </w:p>
          <w:p w14:paraId="4D0610BC">
            <w:pPr>
              <w:spacing w:after="0" w:line="240" w:lineRule="exact"/>
              <w:rPr>
                <w:rFonts w:ascii="宋体" w:hAnsi="宋体" w:eastAsia="宋体" w:cs="宋体"/>
              </w:rPr>
            </w:pPr>
            <w:r>
              <w:rPr>
                <w:rFonts w:hint="eastAsia" w:ascii="宋体" w:hAnsi="宋体" w:eastAsia="宋体" w:cs="宋体"/>
              </w:rPr>
              <w:t>评价要点：</w:t>
            </w:r>
          </w:p>
          <w:p w14:paraId="610E75DB">
            <w:pPr>
              <w:spacing w:after="0" w:line="240" w:lineRule="exact"/>
              <w:rPr>
                <w:rFonts w:ascii="宋体" w:hAnsi="宋体" w:eastAsia="宋体" w:cs="宋体"/>
              </w:rPr>
            </w:pPr>
            <w:r>
              <w:rPr>
                <w:rFonts w:hint="eastAsia" w:ascii="宋体" w:hAnsi="宋体" w:eastAsia="宋体" w:cs="宋体"/>
              </w:rPr>
              <w:t>1.是否已制定或具有资产管理制度；</w:t>
            </w:r>
          </w:p>
          <w:p w14:paraId="1633108F">
            <w:pPr>
              <w:spacing w:after="0" w:line="240" w:lineRule="exact"/>
              <w:rPr>
                <w:rFonts w:ascii="宋体" w:hAnsi="宋体" w:eastAsia="宋体" w:cs="宋体"/>
              </w:rPr>
            </w:pPr>
            <w:r>
              <w:rPr>
                <w:rFonts w:hint="eastAsia" w:ascii="宋体" w:hAnsi="宋体" w:eastAsia="宋体" w:cs="宋体"/>
              </w:rPr>
              <w:t>2.相关资金管理制度是否合法、合规、完整；</w:t>
            </w:r>
          </w:p>
          <w:p w14:paraId="64BBBA03">
            <w:pPr>
              <w:spacing w:after="0" w:line="240" w:lineRule="exact"/>
              <w:rPr>
                <w:rFonts w:ascii="宋体" w:hAnsi="宋体" w:eastAsia="宋体" w:cs="宋体"/>
              </w:rPr>
            </w:pPr>
            <w:r>
              <w:rPr>
                <w:rFonts w:hint="eastAsia" w:ascii="宋体" w:hAnsi="宋体" w:eastAsia="宋体" w:cs="宋体"/>
              </w:rPr>
              <w:t>3.相关资产管理制度是否得到有效执行。</w:t>
            </w:r>
          </w:p>
        </w:tc>
        <w:tc>
          <w:tcPr>
            <w:tcW w:w="3423" w:type="dxa"/>
            <w:tcBorders>
              <w:top w:val="single" w:color="000000" w:sz="4" w:space="0"/>
              <w:left w:val="single" w:color="auto" w:sz="4" w:space="0"/>
              <w:bottom w:val="single" w:color="000000" w:sz="4" w:space="0"/>
              <w:right w:val="single" w:color="auto" w:sz="4" w:space="0"/>
            </w:tcBorders>
            <w:vAlign w:val="center"/>
          </w:tcPr>
          <w:p w14:paraId="05183E23">
            <w:pPr>
              <w:spacing w:after="0" w:line="240" w:lineRule="exact"/>
              <w:rPr>
                <w:rFonts w:ascii="宋体" w:hAnsi="宋体" w:eastAsia="宋体" w:cs="宋体"/>
              </w:rPr>
            </w:pPr>
            <w:r>
              <w:rPr>
                <w:rFonts w:hint="eastAsia" w:ascii="宋体" w:hAnsi="宋体" w:eastAsia="宋体" w:cs="宋体"/>
              </w:rPr>
              <w:t>全部符合（2分）；</w:t>
            </w:r>
          </w:p>
          <w:p w14:paraId="6984040B">
            <w:pPr>
              <w:spacing w:after="0" w:line="240" w:lineRule="exact"/>
              <w:rPr>
                <w:rFonts w:ascii="宋体" w:hAnsi="宋体" w:eastAsia="宋体" w:cs="宋体"/>
              </w:rPr>
            </w:pPr>
            <w:r>
              <w:rPr>
                <w:rFonts w:hint="eastAsia" w:ascii="宋体" w:hAnsi="宋体" w:eastAsia="宋体" w:cs="宋体"/>
              </w:rPr>
              <w:t>符合其中两项（1分）</w:t>
            </w:r>
          </w:p>
          <w:p w14:paraId="17218368">
            <w:pPr>
              <w:spacing w:after="0" w:line="24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23E19F5A">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2</w:t>
            </w:r>
          </w:p>
        </w:tc>
      </w:tr>
      <w:tr w14:paraId="0CD944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86" w:hRule="atLeast"/>
          <w:jc w:val="center"/>
        </w:trPr>
        <w:tc>
          <w:tcPr>
            <w:tcW w:w="733" w:type="dxa"/>
            <w:vMerge w:val="continue"/>
            <w:tcBorders>
              <w:left w:val="single" w:color="000000" w:sz="4" w:space="0"/>
              <w:right w:val="single" w:color="000000" w:sz="4" w:space="0"/>
            </w:tcBorders>
            <w:vAlign w:val="center"/>
          </w:tcPr>
          <w:p w14:paraId="5E898711">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119855F4">
            <w:pPr>
              <w:spacing w:after="0" w:line="68" w:lineRule="atLeast"/>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4BD35FA2">
            <w:pPr>
              <w:spacing w:after="0" w:line="68" w:lineRule="atLeast"/>
              <w:rPr>
                <w:rFonts w:ascii="宋体" w:hAnsi="宋体" w:eastAsia="宋体" w:cs="宋体"/>
              </w:rPr>
            </w:pPr>
            <w:r>
              <w:rPr>
                <w:rFonts w:hint="eastAsia" w:ascii="宋体" w:hAnsi="宋体" w:eastAsia="宋体" w:cs="宋体"/>
              </w:rPr>
              <w:t>资产管理完全性</w:t>
            </w:r>
          </w:p>
          <w:p w14:paraId="3D64E55A">
            <w:pPr>
              <w:spacing w:after="0" w:line="68" w:lineRule="atLeast"/>
              <w:rPr>
                <w:rFonts w:ascii="宋体" w:hAnsi="宋体" w:eastAsia="宋体" w:cs="宋体"/>
              </w:rPr>
            </w:pPr>
            <w:r>
              <w:rPr>
                <w:rFonts w:hint="eastAsia" w:ascii="宋体" w:hAnsi="宋体" w:eastAsia="宋体" w:cs="宋体"/>
              </w:rPr>
              <w:t>（3分）</w:t>
            </w:r>
          </w:p>
        </w:tc>
        <w:tc>
          <w:tcPr>
            <w:tcW w:w="6911" w:type="dxa"/>
            <w:tcBorders>
              <w:top w:val="single" w:color="auto" w:sz="4" w:space="0"/>
              <w:left w:val="single" w:color="auto" w:sz="4" w:space="0"/>
              <w:bottom w:val="single" w:color="000000" w:sz="4" w:space="0"/>
              <w:right w:val="single" w:color="auto" w:sz="4" w:space="0"/>
            </w:tcBorders>
            <w:vAlign w:val="center"/>
          </w:tcPr>
          <w:p w14:paraId="1634552D">
            <w:pPr>
              <w:spacing w:after="0" w:line="240" w:lineRule="exact"/>
              <w:rPr>
                <w:rFonts w:ascii="宋体" w:hAnsi="宋体" w:eastAsia="宋体" w:cs="宋体"/>
              </w:rPr>
            </w:pPr>
            <w:r>
              <w:rPr>
                <w:rFonts w:hint="eastAsia" w:ascii="宋体" w:hAnsi="宋体" w:eastAsia="宋体" w:cs="宋体"/>
              </w:rPr>
              <w:t>部门的资产是否保存完整、使用合规、收入及时足额上缴，用以反映和评价部门资产运行情况。</w:t>
            </w:r>
          </w:p>
          <w:p w14:paraId="727A8A85">
            <w:pPr>
              <w:spacing w:after="0" w:line="240" w:lineRule="exact"/>
              <w:rPr>
                <w:rFonts w:ascii="宋体" w:hAnsi="宋体" w:eastAsia="宋体" w:cs="宋体"/>
              </w:rPr>
            </w:pPr>
            <w:r>
              <w:rPr>
                <w:rFonts w:hint="eastAsia" w:ascii="宋体" w:hAnsi="宋体" w:eastAsia="宋体" w:cs="宋体"/>
              </w:rPr>
              <w:t>评价要点：</w:t>
            </w:r>
          </w:p>
          <w:p w14:paraId="312B4897">
            <w:pPr>
              <w:spacing w:after="0" w:line="240" w:lineRule="exact"/>
              <w:rPr>
                <w:rFonts w:ascii="宋体" w:hAnsi="宋体" w:eastAsia="宋体" w:cs="宋体"/>
              </w:rPr>
            </w:pPr>
            <w:r>
              <w:rPr>
                <w:rFonts w:hint="eastAsia" w:ascii="宋体" w:hAnsi="宋体" w:eastAsia="宋体" w:cs="宋体"/>
              </w:rPr>
              <w:t>1.资产保存完整；</w:t>
            </w:r>
          </w:p>
          <w:p w14:paraId="2DD97174">
            <w:pPr>
              <w:spacing w:after="0" w:line="240" w:lineRule="exact"/>
              <w:rPr>
                <w:rFonts w:ascii="宋体" w:hAnsi="宋体" w:eastAsia="宋体" w:cs="宋体"/>
              </w:rPr>
            </w:pPr>
            <w:r>
              <w:rPr>
                <w:rFonts w:hint="eastAsia" w:ascii="宋体" w:hAnsi="宋体" w:eastAsia="宋体" w:cs="宋体"/>
              </w:rPr>
              <w:t>2.资产账务管理是否合规，帐实相符；</w:t>
            </w:r>
          </w:p>
          <w:p w14:paraId="53216FED">
            <w:pPr>
              <w:spacing w:after="0" w:line="68" w:lineRule="atLeast"/>
              <w:rPr>
                <w:rFonts w:ascii="宋体" w:hAnsi="宋体" w:eastAsia="宋体" w:cs="宋体"/>
              </w:rPr>
            </w:pPr>
            <w:r>
              <w:rPr>
                <w:rFonts w:hint="eastAsia" w:ascii="宋体" w:hAnsi="宋体" w:eastAsia="宋体" w:cs="宋体"/>
              </w:rPr>
              <w:t>3.资产有偿使用及处置收入及时足额上缴。</w:t>
            </w:r>
          </w:p>
        </w:tc>
        <w:tc>
          <w:tcPr>
            <w:tcW w:w="3423" w:type="dxa"/>
            <w:tcBorders>
              <w:top w:val="single" w:color="auto" w:sz="4" w:space="0"/>
              <w:left w:val="single" w:color="auto" w:sz="4" w:space="0"/>
              <w:bottom w:val="single" w:color="000000" w:sz="4" w:space="0"/>
              <w:right w:val="single" w:color="auto" w:sz="4" w:space="0"/>
            </w:tcBorders>
            <w:vAlign w:val="center"/>
          </w:tcPr>
          <w:p w14:paraId="594FF8CD">
            <w:pPr>
              <w:spacing w:after="0" w:line="240" w:lineRule="exact"/>
              <w:rPr>
                <w:rFonts w:ascii="宋体" w:hAnsi="宋体" w:eastAsia="宋体" w:cs="宋体"/>
              </w:rPr>
            </w:pPr>
            <w:r>
              <w:rPr>
                <w:rFonts w:hint="eastAsia" w:ascii="宋体" w:hAnsi="宋体" w:eastAsia="宋体" w:cs="宋体"/>
              </w:rPr>
              <w:t>符合全部三项（3分）；</w:t>
            </w:r>
          </w:p>
          <w:p w14:paraId="227DB241">
            <w:pPr>
              <w:spacing w:after="0" w:line="240" w:lineRule="exact"/>
              <w:rPr>
                <w:rFonts w:ascii="宋体" w:hAnsi="宋体" w:eastAsia="宋体" w:cs="宋体"/>
              </w:rPr>
            </w:pPr>
            <w:r>
              <w:rPr>
                <w:rFonts w:hint="eastAsia" w:ascii="宋体" w:hAnsi="宋体" w:eastAsia="宋体" w:cs="宋体"/>
              </w:rPr>
              <w:t>符合其中两项（2分）；</w:t>
            </w:r>
          </w:p>
          <w:p w14:paraId="4386F164">
            <w:pPr>
              <w:spacing w:after="0" w:line="240" w:lineRule="exact"/>
              <w:rPr>
                <w:rFonts w:ascii="宋体" w:hAnsi="宋体" w:eastAsia="宋体" w:cs="宋体"/>
              </w:rPr>
            </w:pPr>
            <w:r>
              <w:rPr>
                <w:rFonts w:hint="eastAsia" w:ascii="宋体" w:hAnsi="宋体" w:eastAsia="宋体" w:cs="宋体"/>
              </w:rPr>
              <w:t>符合其中一项（1分）；</w:t>
            </w:r>
          </w:p>
          <w:p w14:paraId="5700A2CF">
            <w:pPr>
              <w:spacing w:after="0" w:line="68" w:lineRule="atLeast"/>
              <w:rPr>
                <w:rFonts w:ascii="宋体" w:hAnsi="宋体" w:eastAsia="宋体" w:cs="宋体"/>
              </w:rPr>
            </w:pPr>
            <w:r>
              <w:rPr>
                <w:rFonts w:hint="eastAsia" w:ascii="宋体" w:hAnsi="宋体" w:eastAsia="宋体" w:cs="宋体"/>
              </w:rPr>
              <w:t>符合零项（0分）。</w:t>
            </w:r>
          </w:p>
        </w:tc>
        <w:tc>
          <w:tcPr>
            <w:tcW w:w="1090" w:type="dxa"/>
            <w:tcBorders>
              <w:top w:val="single" w:color="auto" w:sz="4" w:space="0"/>
              <w:left w:val="single" w:color="auto" w:sz="4" w:space="0"/>
              <w:bottom w:val="single" w:color="000000" w:sz="4" w:space="0"/>
              <w:right w:val="single" w:color="000000" w:sz="4" w:space="0"/>
            </w:tcBorders>
            <w:vAlign w:val="center"/>
          </w:tcPr>
          <w:p w14:paraId="7EA6DB8A">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5C65B2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9" w:hRule="atLeast"/>
          <w:jc w:val="center"/>
        </w:trPr>
        <w:tc>
          <w:tcPr>
            <w:tcW w:w="733" w:type="dxa"/>
            <w:vMerge w:val="continue"/>
            <w:tcBorders>
              <w:left w:val="single" w:color="000000" w:sz="4" w:space="0"/>
              <w:right w:val="single" w:color="000000" w:sz="4" w:space="0"/>
            </w:tcBorders>
            <w:vAlign w:val="center"/>
          </w:tcPr>
          <w:p w14:paraId="5292D8B7">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18DCC75F">
            <w:pPr>
              <w:spacing w:after="0"/>
              <w:rPr>
                <w:rFonts w:ascii="宋体" w:hAnsi="宋体" w:eastAsia="宋体" w:cs="宋体"/>
              </w:rPr>
            </w:pPr>
          </w:p>
        </w:tc>
        <w:tc>
          <w:tcPr>
            <w:tcW w:w="1182" w:type="dxa"/>
            <w:tcBorders>
              <w:top w:val="single" w:color="auto" w:sz="4" w:space="0"/>
              <w:left w:val="single" w:color="000000" w:sz="4" w:space="0"/>
              <w:bottom w:val="single" w:color="000000" w:sz="4" w:space="0"/>
              <w:right w:val="single" w:color="auto" w:sz="4" w:space="0"/>
            </w:tcBorders>
            <w:vAlign w:val="center"/>
          </w:tcPr>
          <w:p w14:paraId="315A1E74">
            <w:pPr>
              <w:spacing w:after="0" w:line="68" w:lineRule="atLeast"/>
              <w:rPr>
                <w:rFonts w:ascii="宋体" w:hAnsi="宋体" w:eastAsia="宋体" w:cs="宋体"/>
              </w:rPr>
            </w:pPr>
            <w:r>
              <w:rPr>
                <w:rFonts w:hint="eastAsia" w:ascii="宋体" w:hAnsi="宋体" w:eastAsia="宋体" w:cs="宋体"/>
              </w:rPr>
              <w:t>固定资产利用率</w:t>
            </w:r>
          </w:p>
          <w:p w14:paraId="3F244BB7">
            <w:pPr>
              <w:spacing w:after="0" w:line="68" w:lineRule="atLeast"/>
              <w:rPr>
                <w:rFonts w:ascii="宋体" w:hAnsi="宋体" w:eastAsia="宋体" w:cs="宋体"/>
              </w:rPr>
            </w:pPr>
            <w:r>
              <w:rPr>
                <w:rFonts w:hint="eastAsia" w:ascii="宋体" w:hAnsi="宋体" w:eastAsia="宋体" w:cs="宋体"/>
              </w:rPr>
              <w:t>（3分）</w:t>
            </w:r>
          </w:p>
        </w:tc>
        <w:tc>
          <w:tcPr>
            <w:tcW w:w="6911" w:type="dxa"/>
            <w:tcBorders>
              <w:top w:val="single" w:color="auto" w:sz="4" w:space="0"/>
              <w:left w:val="single" w:color="auto" w:sz="4" w:space="0"/>
              <w:bottom w:val="single" w:color="000000" w:sz="4" w:space="0"/>
              <w:right w:val="single" w:color="auto" w:sz="4" w:space="0"/>
            </w:tcBorders>
            <w:vAlign w:val="center"/>
          </w:tcPr>
          <w:p w14:paraId="5A7EC37D">
            <w:pPr>
              <w:spacing w:after="0" w:line="240" w:lineRule="exact"/>
              <w:rPr>
                <w:rFonts w:ascii="宋体" w:hAnsi="宋体" w:eastAsia="宋体" w:cs="宋体"/>
              </w:rPr>
            </w:pPr>
            <w:r>
              <w:rPr>
                <w:rFonts w:hint="eastAsia" w:ascii="宋体" w:hAnsi="宋体" w:eastAsia="宋体" w:cs="宋体"/>
              </w:rPr>
              <w:t>部门实际在用固定资产总额与所有固定资产总额的比率，用以反映和评价部门固定资产使用效率。</w:t>
            </w:r>
          </w:p>
          <w:p w14:paraId="0F5B643C">
            <w:pPr>
              <w:spacing w:after="0" w:line="68" w:lineRule="atLeast"/>
              <w:rPr>
                <w:rFonts w:ascii="宋体" w:hAnsi="宋体" w:eastAsia="宋体" w:cs="宋体"/>
              </w:rPr>
            </w:pPr>
            <w:r>
              <w:rPr>
                <w:rFonts w:hint="eastAsia" w:ascii="宋体" w:hAnsi="宋体" w:eastAsia="宋体" w:cs="宋体"/>
              </w:rPr>
              <w:t>固定资产利用率=（实际在用固定资产总额/所有固定资产总额）×100%。</w:t>
            </w:r>
          </w:p>
        </w:tc>
        <w:tc>
          <w:tcPr>
            <w:tcW w:w="3423" w:type="dxa"/>
            <w:tcBorders>
              <w:top w:val="single" w:color="auto" w:sz="4" w:space="0"/>
              <w:left w:val="single" w:color="auto" w:sz="4" w:space="0"/>
              <w:bottom w:val="single" w:color="000000" w:sz="4" w:space="0"/>
              <w:right w:val="single" w:color="auto" w:sz="4" w:space="0"/>
            </w:tcBorders>
            <w:vAlign w:val="center"/>
          </w:tcPr>
          <w:p w14:paraId="3C2B3124">
            <w:pPr>
              <w:spacing w:after="0" w:line="68" w:lineRule="atLeast"/>
              <w:rPr>
                <w:rFonts w:ascii="宋体" w:hAnsi="宋体" w:eastAsia="宋体" w:cs="宋体"/>
              </w:rPr>
            </w:pPr>
            <w:r>
              <w:rPr>
                <w:rFonts w:hint="eastAsia" w:ascii="宋体" w:hAnsi="宋体" w:eastAsia="宋体" w:cs="宋体"/>
              </w:rPr>
              <w:t>目标值为80%；以3分为上限，采用完成比率法计分：得分=固定资产利用率/80%×100%×3，超出目标值不加分。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14:paraId="58FA7EAA">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4FE5EC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6" w:hRule="atLeast"/>
          <w:jc w:val="center"/>
        </w:trPr>
        <w:tc>
          <w:tcPr>
            <w:tcW w:w="733" w:type="dxa"/>
            <w:vMerge w:val="continue"/>
            <w:tcBorders>
              <w:left w:val="single" w:color="000000" w:sz="4" w:space="0"/>
              <w:bottom w:val="single" w:color="000000" w:sz="4" w:space="0"/>
              <w:right w:val="single" w:color="000000" w:sz="4" w:space="0"/>
            </w:tcBorders>
            <w:vAlign w:val="center"/>
          </w:tcPr>
          <w:p w14:paraId="11EC2CCA">
            <w:pPr>
              <w:spacing w:after="0"/>
              <w:rPr>
                <w:rFonts w:ascii="宋体" w:hAnsi="宋体" w:eastAsia="宋体" w:cs="宋体"/>
              </w:rPr>
            </w:pPr>
          </w:p>
        </w:tc>
        <w:tc>
          <w:tcPr>
            <w:tcW w:w="803" w:type="dxa"/>
            <w:tcBorders>
              <w:left w:val="single" w:color="000000" w:sz="4" w:space="0"/>
              <w:bottom w:val="single" w:color="000000" w:sz="4" w:space="0"/>
              <w:right w:val="single" w:color="000000" w:sz="4" w:space="0"/>
            </w:tcBorders>
            <w:vAlign w:val="center"/>
          </w:tcPr>
          <w:p w14:paraId="4823BC81">
            <w:pPr>
              <w:spacing w:after="0"/>
              <w:rPr>
                <w:rFonts w:ascii="宋体" w:hAnsi="宋体" w:eastAsia="宋体" w:cs="宋体"/>
              </w:rPr>
            </w:pPr>
            <w:r>
              <w:rPr>
                <w:rFonts w:hint="eastAsia" w:ascii="宋体" w:hAnsi="宋体" w:eastAsia="宋体" w:cs="宋体"/>
              </w:rPr>
              <w:t>预算绩效监控管理（2分）</w:t>
            </w:r>
          </w:p>
        </w:tc>
        <w:tc>
          <w:tcPr>
            <w:tcW w:w="1182" w:type="dxa"/>
            <w:tcBorders>
              <w:top w:val="single" w:color="auto" w:sz="4" w:space="0"/>
              <w:left w:val="single" w:color="000000" w:sz="4" w:space="0"/>
              <w:bottom w:val="single" w:color="000000" w:sz="4" w:space="0"/>
              <w:right w:val="single" w:color="auto" w:sz="4" w:space="0"/>
            </w:tcBorders>
            <w:vAlign w:val="center"/>
          </w:tcPr>
          <w:p w14:paraId="0F2E6730">
            <w:pPr>
              <w:spacing w:after="0" w:line="68" w:lineRule="atLeast"/>
              <w:rPr>
                <w:rFonts w:ascii="宋体" w:hAnsi="宋体" w:eastAsia="宋体" w:cs="宋体"/>
              </w:rPr>
            </w:pPr>
            <w:r>
              <w:rPr>
                <w:rFonts w:hint="eastAsia" w:ascii="宋体" w:hAnsi="宋体" w:eastAsia="宋体" w:cs="宋体"/>
              </w:rPr>
              <w:t>监控率（2分）</w:t>
            </w:r>
          </w:p>
        </w:tc>
        <w:tc>
          <w:tcPr>
            <w:tcW w:w="6911" w:type="dxa"/>
            <w:tcBorders>
              <w:top w:val="single" w:color="auto" w:sz="4" w:space="0"/>
              <w:left w:val="single" w:color="auto" w:sz="4" w:space="0"/>
              <w:bottom w:val="single" w:color="000000" w:sz="4" w:space="0"/>
              <w:right w:val="single" w:color="auto" w:sz="4" w:space="0"/>
            </w:tcBorders>
            <w:vAlign w:val="center"/>
          </w:tcPr>
          <w:p w14:paraId="6F6188F2">
            <w:pPr>
              <w:spacing w:after="0" w:line="240" w:lineRule="exact"/>
              <w:rPr>
                <w:rFonts w:ascii="宋体" w:hAnsi="宋体" w:eastAsia="宋体" w:cs="宋体"/>
              </w:rPr>
            </w:pPr>
            <w:r>
              <w:rPr>
                <w:rFonts w:hint="eastAsia" w:ascii="宋体" w:hAnsi="宋体" w:eastAsia="宋体" w:cs="宋体"/>
              </w:rPr>
              <w:t>部门（单位）纳入绩效监控的项目数量占实际申报绩效目标项目数量的比重，用以反映和考核部门（单位）在项目运行中实施绩效管理的水平和程度。</w:t>
            </w:r>
          </w:p>
          <w:p w14:paraId="4FED3D1F">
            <w:pPr>
              <w:spacing w:after="0" w:line="240" w:lineRule="exact"/>
              <w:rPr>
                <w:rFonts w:ascii="宋体" w:hAnsi="宋体" w:eastAsia="宋体" w:cs="宋体"/>
              </w:rPr>
            </w:pPr>
            <w:r>
              <w:rPr>
                <w:rFonts w:hint="eastAsia" w:ascii="宋体" w:hAnsi="宋体" w:eastAsia="宋体" w:cs="宋体"/>
              </w:rPr>
              <w:t>监控率=实施绩效监控项目数/实际申报绩效目标项目数×100%</w:t>
            </w:r>
          </w:p>
        </w:tc>
        <w:tc>
          <w:tcPr>
            <w:tcW w:w="3423" w:type="dxa"/>
            <w:tcBorders>
              <w:top w:val="single" w:color="auto" w:sz="4" w:space="0"/>
              <w:left w:val="single" w:color="auto" w:sz="4" w:space="0"/>
              <w:bottom w:val="single" w:color="000000" w:sz="4" w:space="0"/>
              <w:right w:val="single" w:color="auto" w:sz="4" w:space="0"/>
            </w:tcBorders>
            <w:vAlign w:val="center"/>
          </w:tcPr>
          <w:p w14:paraId="00127CA8">
            <w:pPr>
              <w:spacing w:after="0" w:line="68" w:lineRule="atLeast"/>
              <w:rPr>
                <w:rFonts w:ascii="宋体" w:hAnsi="宋体" w:eastAsia="宋体" w:cs="宋体"/>
              </w:rPr>
            </w:pPr>
            <w:r>
              <w:rPr>
                <w:rFonts w:hint="eastAsia" w:ascii="宋体" w:hAnsi="宋体" w:eastAsia="宋体" w:cs="宋体"/>
              </w:rPr>
              <w:t>目标值为90%；以2分为上限，采用完成比率法计分：得分=监控率×2，超出目标值不加分。</w:t>
            </w:r>
          </w:p>
        </w:tc>
        <w:tc>
          <w:tcPr>
            <w:tcW w:w="1090" w:type="dxa"/>
            <w:tcBorders>
              <w:top w:val="single" w:color="auto" w:sz="4" w:space="0"/>
              <w:left w:val="single" w:color="auto" w:sz="4" w:space="0"/>
              <w:bottom w:val="single" w:color="000000" w:sz="4" w:space="0"/>
              <w:right w:val="single" w:color="000000" w:sz="4" w:space="0"/>
            </w:tcBorders>
            <w:vAlign w:val="center"/>
          </w:tcPr>
          <w:p w14:paraId="457A320C">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2</w:t>
            </w:r>
          </w:p>
        </w:tc>
      </w:tr>
      <w:tr w14:paraId="62925F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 w:hRule="atLeast"/>
          <w:jc w:val="center"/>
        </w:trPr>
        <w:tc>
          <w:tcPr>
            <w:tcW w:w="733" w:type="dxa"/>
            <w:vMerge w:val="restart"/>
            <w:tcBorders>
              <w:top w:val="single" w:color="000000" w:sz="4" w:space="0"/>
              <w:left w:val="single" w:color="000000" w:sz="4" w:space="0"/>
              <w:right w:val="single" w:color="000000" w:sz="4" w:space="0"/>
            </w:tcBorders>
            <w:vAlign w:val="center"/>
          </w:tcPr>
          <w:p w14:paraId="1200E402">
            <w:pPr>
              <w:spacing w:after="0" w:line="68" w:lineRule="atLeast"/>
              <w:rPr>
                <w:rFonts w:ascii="宋体" w:hAnsi="宋体" w:eastAsia="宋体" w:cs="宋体"/>
              </w:rPr>
            </w:pPr>
          </w:p>
          <w:p w14:paraId="11FCF0B0">
            <w:pPr>
              <w:spacing w:after="0" w:line="68" w:lineRule="atLeast"/>
              <w:rPr>
                <w:rFonts w:ascii="宋体" w:hAnsi="宋体" w:eastAsia="宋体" w:cs="宋体"/>
              </w:rPr>
            </w:pPr>
          </w:p>
          <w:p w14:paraId="12FE9819">
            <w:pPr>
              <w:spacing w:after="0" w:line="68" w:lineRule="atLeast"/>
              <w:rPr>
                <w:rFonts w:ascii="宋体" w:hAnsi="宋体" w:eastAsia="宋体" w:cs="宋体"/>
              </w:rPr>
            </w:pPr>
          </w:p>
          <w:p w14:paraId="585F66EB">
            <w:pPr>
              <w:spacing w:after="0" w:line="68" w:lineRule="atLeast"/>
              <w:rPr>
                <w:rFonts w:ascii="宋体" w:hAnsi="宋体" w:eastAsia="宋体" w:cs="宋体"/>
              </w:rPr>
            </w:pPr>
          </w:p>
          <w:p w14:paraId="7C956D4A">
            <w:pPr>
              <w:spacing w:after="0" w:line="68" w:lineRule="atLeast"/>
              <w:rPr>
                <w:rFonts w:ascii="宋体" w:hAnsi="宋体" w:eastAsia="宋体" w:cs="宋体"/>
              </w:rPr>
            </w:pPr>
          </w:p>
          <w:p w14:paraId="6FCF2866">
            <w:pPr>
              <w:spacing w:after="0" w:line="68" w:lineRule="atLeast"/>
              <w:rPr>
                <w:rFonts w:ascii="宋体" w:hAnsi="宋体" w:eastAsia="宋体" w:cs="宋体"/>
              </w:rPr>
            </w:pPr>
          </w:p>
          <w:p w14:paraId="08C6D580">
            <w:pPr>
              <w:spacing w:after="0" w:line="68" w:lineRule="atLeast"/>
              <w:rPr>
                <w:rFonts w:ascii="宋体" w:hAnsi="宋体" w:eastAsia="宋体" w:cs="宋体"/>
              </w:rPr>
            </w:pPr>
            <w:r>
              <w:rPr>
                <w:rFonts w:hint="eastAsia" w:ascii="宋体" w:hAnsi="宋体" w:eastAsia="宋体" w:cs="宋体"/>
              </w:rPr>
              <w:t>产出(15分)</w:t>
            </w:r>
          </w:p>
          <w:p w14:paraId="0DACC8E9">
            <w:pPr>
              <w:spacing w:after="0" w:line="68" w:lineRule="atLeast"/>
              <w:rPr>
                <w:rFonts w:ascii="宋体" w:hAnsi="宋体" w:eastAsia="宋体" w:cs="宋体"/>
              </w:rPr>
            </w:pPr>
          </w:p>
          <w:p w14:paraId="3544B022">
            <w:pPr>
              <w:spacing w:after="0" w:line="68" w:lineRule="atLeast"/>
              <w:rPr>
                <w:rFonts w:ascii="宋体" w:hAnsi="宋体" w:eastAsia="宋体" w:cs="宋体"/>
              </w:rPr>
            </w:pPr>
          </w:p>
          <w:p w14:paraId="64B67426">
            <w:pPr>
              <w:spacing w:after="0" w:line="68" w:lineRule="atLeast"/>
              <w:rPr>
                <w:rFonts w:ascii="宋体" w:hAnsi="宋体" w:eastAsia="宋体" w:cs="宋体"/>
              </w:rPr>
            </w:pPr>
          </w:p>
          <w:p w14:paraId="62B4AB0B">
            <w:pPr>
              <w:spacing w:after="0" w:line="68" w:lineRule="atLeast"/>
              <w:rPr>
                <w:rFonts w:ascii="宋体" w:hAnsi="宋体" w:eastAsia="宋体" w:cs="宋体"/>
              </w:rPr>
            </w:pPr>
          </w:p>
          <w:p w14:paraId="5D36A472">
            <w:pPr>
              <w:spacing w:after="0" w:line="68" w:lineRule="atLeast"/>
              <w:rPr>
                <w:rFonts w:ascii="宋体" w:hAnsi="宋体" w:eastAsia="宋体" w:cs="宋体"/>
              </w:rPr>
            </w:pPr>
          </w:p>
          <w:p w14:paraId="17A22A8F">
            <w:pPr>
              <w:spacing w:after="0" w:line="68" w:lineRule="atLeast"/>
              <w:rPr>
                <w:rFonts w:ascii="宋体" w:hAnsi="宋体" w:eastAsia="宋体" w:cs="宋体"/>
              </w:rPr>
            </w:pPr>
          </w:p>
          <w:p w14:paraId="37664825">
            <w:pPr>
              <w:spacing w:after="0" w:line="68" w:lineRule="atLeast"/>
              <w:rPr>
                <w:rFonts w:ascii="宋体" w:hAnsi="宋体" w:eastAsia="宋体" w:cs="宋体"/>
              </w:rPr>
            </w:pPr>
          </w:p>
          <w:p w14:paraId="1BDD3CC7">
            <w:pPr>
              <w:spacing w:after="0" w:line="68" w:lineRule="atLeast"/>
              <w:rPr>
                <w:rFonts w:ascii="宋体" w:hAnsi="宋体" w:eastAsia="宋体" w:cs="宋体"/>
              </w:rPr>
            </w:pPr>
          </w:p>
          <w:p w14:paraId="4A43AF3B">
            <w:pPr>
              <w:spacing w:after="0" w:line="68" w:lineRule="atLeast"/>
              <w:rPr>
                <w:rFonts w:ascii="宋体" w:hAnsi="宋体" w:eastAsia="宋体" w:cs="宋体"/>
              </w:rPr>
            </w:pPr>
          </w:p>
          <w:p w14:paraId="5A81A91A">
            <w:pPr>
              <w:spacing w:after="0" w:line="68" w:lineRule="atLeast"/>
              <w:rPr>
                <w:rFonts w:ascii="宋体" w:hAnsi="宋体" w:eastAsia="宋体" w:cs="宋体"/>
              </w:rPr>
            </w:pPr>
            <w:r>
              <w:rPr>
                <w:rFonts w:hint="eastAsia" w:ascii="宋体" w:hAnsi="宋体" w:eastAsia="宋体" w:cs="宋体"/>
              </w:rPr>
              <w:t>产出(15分)</w:t>
            </w:r>
          </w:p>
        </w:tc>
        <w:tc>
          <w:tcPr>
            <w:tcW w:w="803" w:type="dxa"/>
            <w:vMerge w:val="restart"/>
            <w:tcBorders>
              <w:top w:val="single" w:color="000000" w:sz="4" w:space="0"/>
              <w:left w:val="single" w:color="000000" w:sz="4" w:space="0"/>
              <w:right w:val="single" w:color="000000" w:sz="4" w:space="0"/>
            </w:tcBorders>
            <w:vAlign w:val="center"/>
          </w:tcPr>
          <w:p w14:paraId="15A2E9FE">
            <w:pPr>
              <w:spacing w:after="0" w:line="68" w:lineRule="atLeast"/>
              <w:rPr>
                <w:rFonts w:ascii="宋体" w:hAnsi="宋体" w:eastAsia="宋体" w:cs="宋体"/>
              </w:rPr>
            </w:pPr>
            <w:r>
              <w:rPr>
                <w:rFonts w:hint="eastAsia" w:ascii="宋体" w:hAnsi="宋体" w:eastAsia="宋体" w:cs="宋体"/>
              </w:rPr>
              <w:t>职责履行（15分）</w:t>
            </w:r>
          </w:p>
        </w:tc>
        <w:tc>
          <w:tcPr>
            <w:tcW w:w="1182" w:type="dxa"/>
            <w:tcBorders>
              <w:top w:val="single" w:color="000000" w:sz="4" w:space="0"/>
              <w:left w:val="single" w:color="000000" w:sz="4" w:space="0"/>
              <w:bottom w:val="single" w:color="auto" w:sz="4" w:space="0"/>
              <w:right w:val="single" w:color="auto" w:sz="4" w:space="0"/>
            </w:tcBorders>
            <w:vAlign w:val="center"/>
          </w:tcPr>
          <w:p w14:paraId="2033C483">
            <w:pPr>
              <w:spacing w:after="0" w:line="68" w:lineRule="atLeast"/>
              <w:rPr>
                <w:rFonts w:ascii="宋体" w:hAnsi="宋体" w:eastAsia="宋体" w:cs="宋体"/>
              </w:rPr>
            </w:pPr>
            <w:r>
              <w:rPr>
                <w:rFonts w:hint="eastAsia" w:ascii="宋体" w:hAnsi="宋体" w:eastAsia="宋体" w:cs="宋体"/>
              </w:rPr>
              <w:t>项目实际完成率（4分）</w:t>
            </w:r>
          </w:p>
        </w:tc>
        <w:tc>
          <w:tcPr>
            <w:tcW w:w="6911" w:type="dxa"/>
            <w:tcBorders>
              <w:top w:val="single" w:color="000000" w:sz="4" w:space="0"/>
              <w:left w:val="single" w:color="auto" w:sz="4" w:space="0"/>
              <w:bottom w:val="single" w:color="auto" w:sz="4" w:space="0"/>
              <w:right w:val="single" w:color="auto" w:sz="4" w:space="0"/>
            </w:tcBorders>
            <w:vAlign w:val="center"/>
          </w:tcPr>
          <w:p w14:paraId="5D8AA36D">
            <w:pPr>
              <w:spacing w:after="0" w:line="240" w:lineRule="exact"/>
              <w:rPr>
                <w:rFonts w:ascii="宋体" w:hAnsi="宋体" w:eastAsia="宋体" w:cs="宋体"/>
              </w:rPr>
            </w:pPr>
            <w:r>
              <w:rPr>
                <w:rFonts w:hint="eastAsia" w:ascii="宋体" w:hAnsi="宋体" w:eastAsia="宋体" w:cs="宋体"/>
              </w:rPr>
              <w:t>部门履行职责而实际完成的项目数与计划完成的项目数的比率，用以反映和评价部门履职任务目标的实现程度。</w:t>
            </w:r>
          </w:p>
          <w:p w14:paraId="322787AD">
            <w:pPr>
              <w:spacing w:after="0" w:line="68" w:lineRule="atLeast"/>
              <w:rPr>
                <w:rFonts w:ascii="宋体" w:hAnsi="宋体" w:eastAsia="宋体" w:cs="宋体"/>
              </w:rPr>
            </w:pPr>
            <w:r>
              <w:rPr>
                <w:rFonts w:hint="eastAsia" w:ascii="宋体" w:hAnsi="宋体" w:eastAsia="宋体" w:cs="宋体"/>
              </w:rPr>
              <w:t>项目实际完成率=（实际完成项目数/计划完成项目数）×100%。</w:t>
            </w:r>
          </w:p>
        </w:tc>
        <w:tc>
          <w:tcPr>
            <w:tcW w:w="3423" w:type="dxa"/>
            <w:tcBorders>
              <w:top w:val="single" w:color="000000" w:sz="4" w:space="0"/>
              <w:left w:val="single" w:color="auto" w:sz="4" w:space="0"/>
              <w:bottom w:val="single" w:color="auto" w:sz="4" w:space="0"/>
              <w:right w:val="single" w:color="auto" w:sz="4" w:space="0"/>
            </w:tcBorders>
            <w:vAlign w:val="center"/>
          </w:tcPr>
          <w:p w14:paraId="0B2F80B2">
            <w:pPr>
              <w:spacing w:after="0" w:line="68" w:lineRule="atLeast"/>
              <w:rPr>
                <w:rFonts w:ascii="宋体" w:hAnsi="宋体" w:eastAsia="宋体" w:cs="宋体"/>
              </w:rPr>
            </w:pPr>
            <w:r>
              <w:rPr>
                <w:rFonts w:hint="eastAsia" w:ascii="宋体" w:hAnsi="宋体" w:eastAsia="宋体" w:cs="宋体"/>
              </w:rPr>
              <w:t>目标值为100%；</w:t>
            </w:r>
          </w:p>
          <w:p w14:paraId="7B01F7B1">
            <w:pPr>
              <w:spacing w:after="0" w:line="68" w:lineRule="atLeast"/>
              <w:rPr>
                <w:rFonts w:ascii="宋体" w:hAnsi="宋体" w:eastAsia="宋体" w:cs="宋体"/>
              </w:rPr>
            </w:pPr>
            <w:r>
              <w:rPr>
                <w:rFonts w:hint="eastAsia" w:ascii="宋体" w:hAnsi="宋体" w:eastAsia="宋体" w:cs="宋体"/>
              </w:rPr>
              <w:t>达到目标值得4分；</w:t>
            </w:r>
          </w:p>
          <w:p w14:paraId="0C23A466">
            <w:pPr>
              <w:spacing w:after="0" w:line="68" w:lineRule="atLeast"/>
              <w:rPr>
                <w:rFonts w:ascii="宋体" w:hAnsi="宋体" w:eastAsia="宋体" w:cs="宋体"/>
              </w:rPr>
            </w:pPr>
            <w:r>
              <w:rPr>
                <w:rFonts w:hint="eastAsia" w:ascii="宋体" w:hAnsi="宋体" w:eastAsia="宋体" w:cs="宋体"/>
              </w:rPr>
              <w:t>100%＞结果≥95%，得3分；</w:t>
            </w:r>
          </w:p>
          <w:p w14:paraId="0B6C7040">
            <w:pPr>
              <w:spacing w:after="0" w:line="68" w:lineRule="atLeast"/>
              <w:rPr>
                <w:rFonts w:ascii="宋体" w:hAnsi="宋体" w:eastAsia="宋体" w:cs="宋体"/>
              </w:rPr>
            </w:pPr>
            <w:r>
              <w:rPr>
                <w:rFonts w:hint="eastAsia" w:ascii="宋体" w:hAnsi="宋体" w:eastAsia="宋体" w:cs="宋体"/>
              </w:rPr>
              <w:t>95%＞结果≥90%，得2分；</w:t>
            </w:r>
          </w:p>
          <w:p w14:paraId="063C6D64">
            <w:pPr>
              <w:spacing w:after="0" w:line="68" w:lineRule="atLeast"/>
              <w:rPr>
                <w:rFonts w:ascii="宋体" w:hAnsi="宋体" w:eastAsia="宋体" w:cs="宋体"/>
              </w:rPr>
            </w:pPr>
            <w:r>
              <w:rPr>
                <w:rFonts w:hint="eastAsia" w:ascii="宋体" w:hAnsi="宋体" w:eastAsia="宋体" w:cs="宋体"/>
              </w:rPr>
              <w:t>90%＞结果≥85%，得1分；</w:t>
            </w:r>
          </w:p>
          <w:p w14:paraId="5DB4A34A">
            <w:pPr>
              <w:spacing w:after="0" w:line="68" w:lineRule="atLeast"/>
              <w:rPr>
                <w:rFonts w:ascii="宋体" w:hAnsi="宋体" w:eastAsia="宋体" w:cs="宋体"/>
              </w:rPr>
            </w:pPr>
            <w:r>
              <w:rPr>
                <w:rFonts w:hint="eastAsia" w:ascii="宋体" w:hAnsi="宋体" w:eastAsia="宋体" w:cs="宋体"/>
              </w:rPr>
              <w:t>结果＜85%得0分。</w:t>
            </w:r>
          </w:p>
        </w:tc>
        <w:tc>
          <w:tcPr>
            <w:tcW w:w="1090" w:type="dxa"/>
            <w:tcBorders>
              <w:top w:val="single" w:color="000000" w:sz="4" w:space="0"/>
              <w:left w:val="single" w:color="auto" w:sz="4" w:space="0"/>
              <w:bottom w:val="single" w:color="auto" w:sz="4" w:space="0"/>
              <w:right w:val="single" w:color="000000" w:sz="4" w:space="0"/>
            </w:tcBorders>
            <w:vAlign w:val="center"/>
          </w:tcPr>
          <w:p w14:paraId="2E7A3524">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4</w:t>
            </w:r>
          </w:p>
        </w:tc>
      </w:tr>
      <w:tr w14:paraId="281544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19" w:hRule="atLeast"/>
          <w:jc w:val="center"/>
        </w:trPr>
        <w:tc>
          <w:tcPr>
            <w:tcW w:w="733" w:type="dxa"/>
            <w:vMerge w:val="continue"/>
            <w:tcBorders>
              <w:left w:val="single" w:color="000000" w:sz="4" w:space="0"/>
              <w:right w:val="single" w:color="000000" w:sz="4" w:space="0"/>
            </w:tcBorders>
            <w:vAlign w:val="center"/>
          </w:tcPr>
          <w:p w14:paraId="5155928D">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6389F56D">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26890F63">
            <w:pPr>
              <w:spacing w:after="0" w:line="68" w:lineRule="atLeast"/>
              <w:rPr>
                <w:rFonts w:ascii="宋体" w:hAnsi="宋体" w:eastAsia="宋体" w:cs="宋体"/>
              </w:rPr>
            </w:pPr>
            <w:r>
              <w:rPr>
                <w:rFonts w:hint="eastAsia" w:ascii="宋体" w:hAnsi="宋体" w:eastAsia="宋体" w:cs="宋体"/>
              </w:rPr>
              <w:t>项目质量达标率（4分）</w:t>
            </w:r>
          </w:p>
        </w:tc>
        <w:tc>
          <w:tcPr>
            <w:tcW w:w="6911" w:type="dxa"/>
            <w:tcBorders>
              <w:top w:val="single" w:color="000000" w:sz="4" w:space="0"/>
              <w:left w:val="single" w:color="auto" w:sz="4" w:space="0"/>
              <w:bottom w:val="single" w:color="auto" w:sz="4" w:space="0"/>
              <w:right w:val="single" w:color="auto" w:sz="4" w:space="0"/>
            </w:tcBorders>
            <w:vAlign w:val="center"/>
          </w:tcPr>
          <w:p w14:paraId="07CB5525">
            <w:pPr>
              <w:spacing w:after="0" w:line="240" w:lineRule="exact"/>
              <w:rPr>
                <w:rFonts w:ascii="宋体" w:hAnsi="宋体" w:eastAsia="宋体" w:cs="宋体"/>
              </w:rPr>
            </w:pPr>
            <w:r>
              <w:rPr>
                <w:rFonts w:hint="eastAsia" w:ascii="宋体" w:hAnsi="宋体" w:eastAsia="宋体" w:cs="宋体"/>
              </w:rPr>
              <w:t>部门已完成项目中质量达标项目个数占已完成项目个数的比率,用以反映和评价部门履职质量目标的实现程度。</w:t>
            </w:r>
          </w:p>
          <w:p w14:paraId="47808240">
            <w:pPr>
              <w:spacing w:after="0" w:line="240" w:lineRule="exact"/>
              <w:rPr>
                <w:rFonts w:ascii="宋体" w:hAnsi="宋体" w:eastAsia="宋体" w:cs="宋体"/>
              </w:rPr>
            </w:pPr>
            <w:r>
              <w:rPr>
                <w:rFonts w:hint="eastAsia" w:ascii="宋体" w:hAnsi="宋体" w:eastAsia="宋体" w:cs="宋体"/>
              </w:rPr>
              <w:t>项目质量达标率=（已完成项目中质量达标项目个数/已完成项目个数）×100%。</w:t>
            </w:r>
          </w:p>
          <w:p w14:paraId="6F85E0AA">
            <w:pPr>
              <w:spacing w:after="0" w:line="68" w:lineRule="atLeast"/>
              <w:rPr>
                <w:rFonts w:ascii="宋体" w:hAnsi="宋体" w:eastAsia="宋体" w:cs="宋体"/>
              </w:rPr>
            </w:pPr>
            <w:r>
              <w:rPr>
                <w:rFonts w:hint="eastAsia" w:ascii="宋体" w:hAnsi="宋体" w:eastAsia="宋体" w:cs="宋体"/>
              </w:rPr>
              <w:t>项目质量达标是指项目决算验收合格。</w:t>
            </w:r>
          </w:p>
        </w:tc>
        <w:tc>
          <w:tcPr>
            <w:tcW w:w="3423" w:type="dxa"/>
            <w:tcBorders>
              <w:top w:val="single" w:color="000000" w:sz="4" w:space="0"/>
              <w:left w:val="single" w:color="auto" w:sz="4" w:space="0"/>
              <w:bottom w:val="single" w:color="auto" w:sz="4" w:space="0"/>
              <w:right w:val="single" w:color="auto" w:sz="4" w:space="0"/>
            </w:tcBorders>
            <w:vAlign w:val="center"/>
          </w:tcPr>
          <w:p w14:paraId="647E469C">
            <w:pPr>
              <w:spacing w:after="0" w:line="68" w:lineRule="atLeast"/>
              <w:rPr>
                <w:rFonts w:ascii="宋体" w:hAnsi="宋体" w:eastAsia="宋体" w:cs="宋体"/>
              </w:rPr>
            </w:pPr>
            <w:r>
              <w:rPr>
                <w:rFonts w:hint="eastAsia" w:ascii="宋体" w:hAnsi="宋体" w:eastAsia="宋体" w:cs="宋体"/>
              </w:rPr>
              <w:t>目标值100%；以4分为上限，采用完成比率法计分：得分=项目质量达标率×4，≤95%的扣4分。</w:t>
            </w:r>
          </w:p>
        </w:tc>
        <w:tc>
          <w:tcPr>
            <w:tcW w:w="1090" w:type="dxa"/>
            <w:tcBorders>
              <w:top w:val="single" w:color="000000" w:sz="4" w:space="0"/>
              <w:left w:val="single" w:color="auto" w:sz="4" w:space="0"/>
              <w:bottom w:val="single" w:color="auto" w:sz="4" w:space="0"/>
              <w:right w:val="single" w:color="000000" w:sz="4" w:space="0"/>
            </w:tcBorders>
            <w:vAlign w:val="center"/>
          </w:tcPr>
          <w:p w14:paraId="7FE9325E">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4</w:t>
            </w:r>
          </w:p>
        </w:tc>
      </w:tr>
      <w:tr w14:paraId="42A6A8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1" w:hRule="atLeast"/>
          <w:jc w:val="center"/>
        </w:trPr>
        <w:tc>
          <w:tcPr>
            <w:tcW w:w="733" w:type="dxa"/>
            <w:vMerge w:val="continue"/>
            <w:tcBorders>
              <w:left w:val="single" w:color="000000" w:sz="4" w:space="0"/>
              <w:right w:val="single" w:color="000000" w:sz="4" w:space="0"/>
            </w:tcBorders>
            <w:vAlign w:val="center"/>
          </w:tcPr>
          <w:p w14:paraId="36FC84AC">
            <w:pPr>
              <w:spacing w:after="0"/>
              <w:rPr>
                <w:rFonts w:ascii="宋体" w:hAnsi="宋体" w:eastAsia="宋体" w:cs="宋体"/>
              </w:rPr>
            </w:pPr>
          </w:p>
        </w:tc>
        <w:tc>
          <w:tcPr>
            <w:tcW w:w="803" w:type="dxa"/>
            <w:vMerge w:val="continue"/>
            <w:tcBorders>
              <w:left w:val="single" w:color="000000" w:sz="4" w:space="0"/>
              <w:right w:val="single" w:color="000000" w:sz="4" w:space="0"/>
            </w:tcBorders>
            <w:vAlign w:val="center"/>
          </w:tcPr>
          <w:p w14:paraId="2BADAACA">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602266B8">
            <w:pPr>
              <w:spacing w:after="0" w:line="68" w:lineRule="atLeast"/>
              <w:rPr>
                <w:rFonts w:ascii="宋体" w:hAnsi="宋体" w:eastAsia="宋体" w:cs="宋体"/>
              </w:rPr>
            </w:pPr>
            <w:r>
              <w:rPr>
                <w:rFonts w:hint="eastAsia" w:ascii="宋体" w:hAnsi="宋体" w:eastAsia="宋体" w:cs="宋体"/>
              </w:rPr>
              <w:t>重点工作办结率（4分）</w:t>
            </w:r>
          </w:p>
        </w:tc>
        <w:tc>
          <w:tcPr>
            <w:tcW w:w="6911" w:type="dxa"/>
            <w:tcBorders>
              <w:top w:val="single" w:color="000000" w:sz="4" w:space="0"/>
              <w:left w:val="single" w:color="auto" w:sz="4" w:space="0"/>
              <w:bottom w:val="single" w:color="auto" w:sz="4" w:space="0"/>
              <w:right w:val="single" w:color="auto" w:sz="4" w:space="0"/>
            </w:tcBorders>
            <w:vAlign w:val="center"/>
          </w:tcPr>
          <w:p w14:paraId="5455DBBA">
            <w:pPr>
              <w:spacing w:after="0" w:line="68" w:lineRule="atLeast"/>
              <w:rPr>
                <w:rFonts w:ascii="宋体" w:hAnsi="宋体" w:eastAsia="宋体" w:cs="宋体"/>
              </w:rPr>
            </w:pPr>
            <w:r>
              <w:rPr>
                <w:rFonts w:hint="eastAsia" w:ascii="宋体" w:hAnsi="宋体" w:eastAsia="宋体" w:cs="宋体"/>
              </w:rPr>
              <w:t>部门年度重点工作实际完成数与交办或下达数的比率，用以反映部门对重点工作的办理落实程度。</w:t>
            </w:r>
          </w:p>
          <w:p w14:paraId="23D3F94D">
            <w:pPr>
              <w:spacing w:after="0" w:line="68" w:lineRule="atLeast"/>
              <w:rPr>
                <w:rFonts w:ascii="宋体" w:hAnsi="宋体" w:eastAsia="宋体" w:cs="宋体"/>
              </w:rPr>
            </w:pPr>
            <w:r>
              <w:rPr>
                <w:rFonts w:hint="eastAsia" w:ascii="宋体" w:hAnsi="宋体" w:eastAsia="宋体" w:cs="宋体"/>
              </w:rPr>
              <w:t>重点工作办结率=（重点工作实际完成数/交办或下达数）×100%。</w:t>
            </w:r>
          </w:p>
          <w:p w14:paraId="31D39BF1">
            <w:pPr>
              <w:spacing w:after="0" w:line="68" w:lineRule="atLeast"/>
              <w:rPr>
                <w:rFonts w:ascii="宋体" w:hAnsi="宋体" w:eastAsia="宋体" w:cs="宋体"/>
              </w:rPr>
            </w:pPr>
            <w:r>
              <w:rPr>
                <w:rFonts w:hint="eastAsia" w:ascii="宋体" w:hAnsi="宋体" w:eastAsia="宋体" w:cs="宋体"/>
              </w:rPr>
              <w:t>重点工作是指党委、政府、人大、相关部门交办或下达的工作任务。</w:t>
            </w:r>
          </w:p>
        </w:tc>
        <w:tc>
          <w:tcPr>
            <w:tcW w:w="3423" w:type="dxa"/>
            <w:tcBorders>
              <w:top w:val="single" w:color="000000" w:sz="4" w:space="0"/>
              <w:left w:val="single" w:color="auto" w:sz="4" w:space="0"/>
              <w:bottom w:val="single" w:color="auto" w:sz="4" w:space="0"/>
              <w:right w:val="single" w:color="auto" w:sz="4" w:space="0"/>
            </w:tcBorders>
            <w:vAlign w:val="center"/>
          </w:tcPr>
          <w:p w14:paraId="2878FDAF">
            <w:pPr>
              <w:spacing w:after="0" w:line="68" w:lineRule="atLeast"/>
              <w:rPr>
                <w:rFonts w:ascii="宋体" w:hAnsi="宋体" w:eastAsia="宋体" w:cs="宋体"/>
              </w:rPr>
            </w:pPr>
            <w:r>
              <w:rPr>
                <w:rFonts w:hint="eastAsia" w:ascii="宋体" w:hAnsi="宋体" w:eastAsia="宋体" w:cs="宋体"/>
              </w:rPr>
              <w:t>目标值100%；以4分为上限，采用完成比率法计分：得分=重点工作办结率×4，≤90%的扣4分。</w:t>
            </w:r>
          </w:p>
        </w:tc>
        <w:tc>
          <w:tcPr>
            <w:tcW w:w="1090" w:type="dxa"/>
            <w:tcBorders>
              <w:top w:val="single" w:color="000000" w:sz="4" w:space="0"/>
              <w:left w:val="single" w:color="auto" w:sz="4" w:space="0"/>
              <w:bottom w:val="single" w:color="auto" w:sz="4" w:space="0"/>
              <w:right w:val="single" w:color="000000" w:sz="4" w:space="0"/>
            </w:tcBorders>
            <w:vAlign w:val="center"/>
          </w:tcPr>
          <w:p w14:paraId="344CED3C">
            <w:pPr>
              <w:spacing w:after="0" w:line="68" w:lineRule="atLeast"/>
              <w:jc w:val="center"/>
              <w:rPr>
                <w:rFonts w:hint="default" w:ascii="宋体" w:hAnsi="宋体" w:eastAsia="宋体" w:cs="宋体"/>
                <w:lang w:val="en-US" w:eastAsia="zh-CN"/>
              </w:rPr>
            </w:pPr>
            <w:r>
              <w:rPr>
                <w:rFonts w:hint="eastAsia" w:ascii="宋体" w:hAnsi="宋体" w:eastAsia="宋体" w:cs="宋体"/>
                <w:lang w:val="en-US" w:eastAsia="zh-CN"/>
              </w:rPr>
              <w:t>4</w:t>
            </w:r>
          </w:p>
        </w:tc>
      </w:tr>
      <w:tr w14:paraId="15DEBB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39" w:hRule="atLeast"/>
          <w:jc w:val="center"/>
        </w:trPr>
        <w:tc>
          <w:tcPr>
            <w:tcW w:w="733" w:type="dxa"/>
            <w:vMerge w:val="continue"/>
            <w:tcBorders>
              <w:left w:val="single" w:color="000000" w:sz="4" w:space="0"/>
              <w:bottom w:val="single" w:color="000000" w:sz="4" w:space="0"/>
              <w:right w:val="single" w:color="000000" w:sz="4" w:space="0"/>
            </w:tcBorders>
            <w:vAlign w:val="center"/>
          </w:tcPr>
          <w:p w14:paraId="70C020E3">
            <w:pPr>
              <w:spacing w:after="0"/>
              <w:rPr>
                <w:rFonts w:ascii="宋体" w:hAnsi="宋体" w:eastAsia="宋体" w:cs="宋体"/>
              </w:rPr>
            </w:pPr>
          </w:p>
        </w:tc>
        <w:tc>
          <w:tcPr>
            <w:tcW w:w="803" w:type="dxa"/>
            <w:vMerge w:val="continue"/>
            <w:tcBorders>
              <w:left w:val="single" w:color="000000" w:sz="4" w:space="0"/>
              <w:bottom w:val="single" w:color="000000" w:sz="4" w:space="0"/>
              <w:right w:val="single" w:color="000000" w:sz="4" w:space="0"/>
            </w:tcBorders>
            <w:vAlign w:val="center"/>
          </w:tcPr>
          <w:p w14:paraId="644E7021">
            <w:pPr>
              <w:spacing w:after="0"/>
              <w:rPr>
                <w:rFonts w:ascii="宋体" w:hAnsi="宋体" w:eastAsia="宋体" w:cs="宋体"/>
              </w:rPr>
            </w:pPr>
          </w:p>
        </w:tc>
        <w:tc>
          <w:tcPr>
            <w:tcW w:w="1182" w:type="dxa"/>
            <w:tcBorders>
              <w:top w:val="single" w:color="000000" w:sz="4" w:space="0"/>
              <w:left w:val="single" w:color="000000" w:sz="4" w:space="0"/>
              <w:bottom w:val="single" w:color="auto" w:sz="4" w:space="0"/>
              <w:right w:val="single" w:color="auto" w:sz="4" w:space="0"/>
            </w:tcBorders>
            <w:vAlign w:val="center"/>
          </w:tcPr>
          <w:p w14:paraId="44F63EC8">
            <w:pPr>
              <w:spacing w:after="0" w:line="68" w:lineRule="atLeast"/>
              <w:rPr>
                <w:rFonts w:ascii="宋体" w:hAnsi="宋体" w:eastAsia="宋体" w:cs="宋体"/>
              </w:rPr>
            </w:pPr>
            <w:r>
              <w:rPr>
                <w:rFonts w:hint="eastAsia" w:ascii="宋体" w:hAnsi="宋体" w:eastAsia="宋体" w:cs="宋体"/>
              </w:rPr>
              <w:t>部门绩效自评项目占比率（3分）</w:t>
            </w:r>
          </w:p>
        </w:tc>
        <w:tc>
          <w:tcPr>
            <w:tcW w:w="6911" w:type="dxa"/>
            <w:tcBorders>
              <w:top w:val="single" w:color="000000" w:sz="4" w:space="0"/>
              <w:left w:val="single" w:color="auto" w:sz="4" w:space="0"/>
              <w:bottom w:val="single" w:color="auto" w:sz="4" w:space="0"/>
              <w:right w:val="single" w:color="auto" w:sz="4" w:space="0"/>
            </w:tcBorders>
            <w:vAlign w:val="center"/>
          </w:tcPr>
          <w:p w14:paraId="337066AA">
            <w:pPr>
              <w:spacing w:after="0" w:line="240" w:lineRule="exact"/>
              <w:rPr>
                <w:rFonts w:ascii="宋体" w:hAnsi="宋体" w:eastAsia="宋体" w:cs="宋体"/>
              </w:rPr>
            </w:pPr>
            <w:r>
              <w:rPr>
                <w:rFonts w:hint="eastAsia" w:ascii="宋体" w:hAnsi="宋体" w:eastAsia="宋体" w:cs="宋体"/>
              </w:rPr>
              <w:t>部门自评项目在所有项目中所占的份额，反映和评价部门对项目自评的重视程度。</w:t>
            </w:r>
          </w:p>
          <w:p w14:paraId="4D096849">
            <w:pPr>
              <w:spacing w:after="0" w:line="240" w:lineRule="exact"/>
              <w:rPr>
                <w:rFonts w:ascii="宋体" w:hAnsi="宋体" w:eastAsia="宋体" w:cs="宋体"/>
              </w:rPr>
            </w:pPr>
            <w:r>
              <w:rPr>
                <w:rFonts w:hint="eastAsia" w:ascii="宋体" w:hAnsi="宋体" w:eastAsia="宋体" w:cs="宋体"/>
              </w:rPr>
              <w:t>占比率=(自评项目资金量/项目支出资金量)×100%。</w:t>
            </w:r>
          </w:p>
          <w:p w14:paraId="0E589C4A">
            <w:pPr>
              <w:spacing w:after="0" w:line="68" w:lineRule="atLeast"/>
              <w:rPr>
                <w:rFonts w:ascii="宋体" w:hAnsi="宋体" w:eastAsia="宋体" w:cs="宋体"/>
              </w:rPr>
            </w:pPr>
            <w:r>
              <w:rPr>
                <w:rFonts w:hint="eastAsia" w:ascii="宋体" w:hAnsi="宋体" w:eastAsia="宋体" w:cs="宋体"/>
              </w:rPr>
              <w:t>部门支出项目绩效自评范围：本年度列入本级财政预算安排的项目。</w:t>
            </w:r>
          </w:p>
        </w:tc>
        <w:tc>
          <w:tcPr>
            <w:tcW w:w="3423" w:type="dxa"/>
            <w:tcBorders>
              <w:top w:val="single" w:color="000000" w:sz="4" w:space="0"/>
              <w:left w:val="single" w:color="auto" w:sz="4" w:space="0"/>
              <w:bottom w:val="single" w:color="auto" w:sz="4" w:space="0"/>
              <w:right w:val="single" w:color="auto" w:sz="4" w:space="0"/>
            </w:tcBorders>
            <w:vAlign w:val="center"/>
          </w:tcPr>
          <w:p w14:paraId="309963EA">
            <w:pPr>
              <w:spacing w:after="0" w:line="68" w:lineRule="atLeast"/>
              <w:rPr>
                <w:rFonts w:ascii="宋体" w:hAnsi="宋体" w:eastAsia="宋体" w:cs="宋体"/>
              </w:rPr>
            </w:pPr>
            <w:r>
              <w:rPr>
                <w:rFonts w:hint="eastAsia" w:ascii="宋体" w:hAnsi="宋体" w:eastAsia="宋体" w:cs="宋体"/>
              </w:rPr>
              <w:t>达到目标值得3分，未达到目标值采用完成比率法计分：得分=占比率/目标值×3，超过目标值不加分。</w:t>
            </w:r>
          </w:p>
        </w:tc>
        <w:tc>
          <w:tcPr>
            <w:tcW w:w="1090" w:type="dxa"/>
            <w:tcBorders>
              <w:top w:val="single" w:color="000000" w:sz="4" w:space="0"/>
              <w:left w:val="single" w:color="auto" w:sz="4" w:space="0"/>
              <w:bottom w:val="single" w:color="auto" w:sz="4" w:space="0"/>
              <w:right w:val="single" w:color="000000" w:sz="4" w:space="0"/>
            </w:tcBorders>
            <w:vAlign w:val="center"/>
          </w:tcPr>
          <w:p w14:paraId="5FDF421F">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3</w:t>
            </w:r>
          </w:p>
        </w:tc>
      </w:tr>
      <w:tr w14:paraId="2C8400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38" w:hRule="atLeast"/>
          <w:jc w:val="center"/>
        </w:trPr>
        <w:tc>
          <w:tcPr>
            <w:tcW w:w="733" w:type="dxa"/>
            <w:vMerge w:val="restart"/>
            <w:tcBorders>
              <w:top w:val="single" w:color="000000" w:sz="4" w:space="0"/>
              <w:left w:val="single" w:color="000000" w:sz="4" w:space="0"/>
              <w:right w:val="single" w:color="000000" w:sz="4" w:space="0"/>
            </w:tcBorders>
            <w:vAlign w:val="center"/>
          </w:tcPr>
          <w:p w14:paraId="71C46620">
            <w:pPr>
              <w:spacing w:after="0" w:line="68" w:lineRule="atLeast"/>
              <w:rPr>
                <w:rFonts w:ascii="宋体" w:hAnsi="宋体" w:eastAsia="宋体" w:cs="宋体"/>
              </w:rPr>
            </w:pPr>
          </w:p>
          <w:p w14:paraId="079F486C">
            <w:pPr>
              <w:spacing w:after="0" w:line="68" w:lineRule="atLeast"/>
              <w:rPr>
                <w:rFonts w:ascii="宋体" w:hAnsi="宋体" w:eastAsia="宋体" w:cs="宋体"/>
              </w:rPr>
            </w:pPr>
          </w:p>
          <w:p w14:paraId="4BFF0B5E">
            <w:pPr>
              <w:spacing w:after="0" w:line="68" w:lineRule="atLeast"/>
              <w:rPr>
                <w:rFonts w:ascii="宋体" w:hAnsi="宋体" w:eastAsia="宋体" w:cs="宋体"/>
              </w:rPr>
            </w:pPr>
          </w:p>
          <w:p w14:paraId="3D54533D">
            <w:pPr>
              <w:spacing w:after="0" w:line="68" w:lineRule="atLeast"/>
              <w:rPr>
                <w:rFonts w:ascii="宋体" w:hAnsi="宋体" w:eastAsia="宋体" w:cs="宋体"/>
              </w:rPr>
            </w:pPr>
          </w:p>
          <w:p w14:paraId="7F2FFCA7">
            <w:pPr>
              <w:spacing w:after="0" w:line="68" w:lineRule="atLeast"/>
              <w:rPr>
                <w:rFonts w:ascii="宋体" w:hAnsi="宋体" w:eastAsia="宋体" w:cs="宋体"/>
              </w:rPr>
            </w:pPr>
          </w:p>
          <w:p w14:paraId="6EB9FEB9">
            <w:pPr>
              <w:spacing w:after="0" w:line="68" w:lineRule="atLeast"/>
              <w:rPr>
                <w:rFonts w:ascii="宋体" w:hAnsi="宋体" w:eastAsia="宋体" w:cs="宋体"/>
              </w:rPr>
            </w:pPr>
          </w:p>
          <w:p w14:paraId="4D335C72">
            <w:pPr>
              <w:spacing w:after="0" w:line="68" w:lineRule="atLeast"/>
              <w:rPr>
                <w:rFonts w:ascii="宋体" w:hAnsi="宋体" w:eastAsia="宋体" w:cs="宋体"/>
              </w:rPr>
            </w:pPr>
          </w:p>
          <w:p w14:paraId="77C390C6">
            <w:pPr>
              <w:spacing w:after="0" w:line="68" w:lineRule="atLeast"/>
              <w:rPr>
                <w:rFonts w:ascii="宋体" w:hAnsi="宋体" w:eastAsia="宋体" w:cs="宋体"/>
              </w:rPr>
            </w:pPr>
            <w:r>
              <w:rPr>
                <w:rFonts w:hint="eastAsia" w:ascii="宋体" w:hAnsi="宋体" w:eastAsia="宋体" w:cs="宋体"/>
              </w:rPr>
              <w:t>效果（15）</w:t>
            </w:r>
          </w:p>
          <w:p w14:paraId="71D98289">
            <w:pPr>
              <w:spacing w:after="0" w:line="68" w:lineRule="atLeast"/>
              <w:rPr>
                <w:rFonts w:ascii="宋体" w:hAnsi="宋体" w:eastAsia="宋体" w:cs="宋体"/>
              </w:rPr>
            </w:pPr>
          </w:p>
          <w:p w14:paraId="29146444">
            <w:pPr>
              <w:spacing w:after="0" w:line="68" w:lineRule="atLeast"/>
              <w:rPr>
                <w:rFonts w:ascii="宋体" w:hAnsi="宋体" w:eastAsia="宋体" w:cs="宋体"/>
              </w:rPr>
            </w:pPr>
          </w:p>
          <w:p w14:paraId="584AD2CB">
            <w:pPr>
              <w:spacing w:after="0" w:line="68" w:lineRule="atLeast"/>
              <w:rPr>
                <w:rFonts w:ascii="宋体" w:hAnsi="宋体" w:eastAsia="宋体" w:cs="宋体"/>
              </w:rPr>
            </w:pPr>
          </w:p>
          <w:p w14:paraId="7E0E826F">
            <w:pPr>
              <w:spacing w:after="0" w:line="68" w:lineRule="atLeast"/>
              <w:rPr>
                <w:rFonts w:ascii="宋体" w:hAnsi="宋体" w:eastAsia="宋体" w:cs="宋体"/>
              </w:rPr>
            </w:pPr>
          </w:p>
          <w:p w14:paraId="4CE00652">
            <w:pPr>
              <w:spacing w:after="0" w:line="68" w:lineRule="atLeast"/>
              <w:rPr>
                <w:rFonts w:ascii="宋体" w:hAnsi="宋体" w:eastAsia="宋体" w:cs="宋体"/>
              </w:rPr>
            </w:pPr>
          </w:p>
          <w:p w14:paraId="024C26F3">
            <w:pPr>
              <w:spacing w:after="0" w:line="68" w:lineRule="atLeast"/>
              <w:rPr>
                <w:rFonts w:ascii="宋体" w:hAnsi="宋体" w:eastAsia="宋体" w:cs="宋体"/>
              </w:rPr>
            </w:pPr>
          </w:p>
          <w:p w14:paraId="7EDFF4DE">
            <w:pPr>
              <w:spacing w:after="0" w:line="68" w:lineRule="atLeast"/>
              <w:rPr>
                <w:rFonts w:ascii="宋体" w:hAnsi="宋体" w:eastAsia="宋体" w:cs="宋体"/>
              </w:rPr>
            </w:pPr>
          </w:p>
          <w:p w14:paraId="5D715439">
            <w:pPr>
              <w:spacing w:after="0" w:line="68" w:lineRule="atLeast"/>
              <w:rPr>
                <w:rFonts w:ascii="宋体" w:hAnsi="宋体" w:eastAsia="宋体" w:cs="宋体"/>
              </w:rPr>
            </w:pPr>
          </w:p>
          <w:p w14:paraId="3F5C86EC">
            <w:pPr>
              <w:spacing w:after="0" w:line="68" w:lineRule="atLeast"/>
              <w:rPr>
                <w:rFonts w:ascii="宋体" w:hAnsi="宋体" w:eastAsia="宋体" w:cs="宋体"/>
              </w:rPr>
            </w:pPr>
          </w:p>
          <w:p w14:paraId="339A180F">
            <w:pPr>
              <w:spacing w:after="0" w:line="68" w:lineRule="atLeast"/>
              <w:rPr>
                <w:rFonts w:ascii="宋体" w:hAnsi="宋体" w:eastAsia="宋体" w:cs="宋体"/>
              </w:rPr>
            </w:pPr>
          </w:p>
          <w:p w14:paraId="0A78EF4F">
            <w:pPr>
              <w:spacing w:after="0" w:line="68" w:lineRule="atLeast"/>
              <w:rPr>
                <w:rFonts w:ascii="宋体" w:hAnsi="宋体" w:eastAsia="宋体" w:cs="宋体"/>
              </w:rPr>
            </w:pPr>
          </w:p>
          <w:p w14:paraId="5895DF1D">
            <w:pPr>
              <w:spacing w:after="0" w:line="68" w:lineRule="atLeast"/>
              <w:rPr>
                <w:rFonts w:ascii="宋体" w:hAnsi="宋体" w:eastAsia="宋体" w:cs="宋体"/>
              </w:rPr>
            </w:pPr>
          </w:p>
          <w:p w14:paraId="0FE243C9">
            <w:pPr>
              <w:spacing w:after="0" w:line="68" w:lineRule="atLeast"/>
              <w:rPr>
                <w:rFonts w:ascii="宋体" w:hAnsi="宋体" w:eastAsia="宋体" w:cs="宋体"/>
              </w:rPr>
            </w:pPr>
          </w:p>
          <w:p w14:paraId="70D4C977">
            <w:pPr>
              <w:spacing w:after="0" w:line="68" w:lineRule="atLeast"/>
              <w:rPr>
                <w:rFonts w:ascii="宋体" w:hAnsi="宋体" w:eastAsia="宋体" w:cs="宋体"/>
              </w:rPr>
            </w:pPr>
          </w:p>
          <w:p w14:paraId="734E2D57">
            <w:pPr>
              <w:spacing w:after="0" w:line="68" w:lineRule="atLeast"/>
              <w:rPr>
                <w:rFonts w:ascii="宋体" w:hAnsi="宋体" w:eastAsia="宋体" w:cs="宋体"/>
              </w:rPr>
            </w:pPr>
          </w:p>
          <w:p w14:paraId="6073740A">
            <w:pPr>
              <w:spacing w:after="0" w:line="68" w:lineRule="atLeast"/>
              <w:rPr>
                <w:rFonts w:ascii="宋体" w:hAnsi="宋体" w:eastAsia="宋体" w:cs="宋体"/>
              </w:rPr>
            </w:pPr>
          </w:p>
          <w:p w14:paraId="46EA7CFF">
            <w:pPr>
              <w:spacing w:after="0" w:line="68" w:lineRule="atLeast"/>
              <w:rPr>
                <w:rFonts w:ascii="宋体" w:hAnsi="宋体" w:eastAsia="宋体" w:cs="宋体"/>
              </w:rPr>
            </w:pPr>
            <w:r>
              <w:rPr>
                <w:rFonts w:hint="eastAsia" w:ascii="宋体" w:hAnsi="宋体" w:eastAsia="宋体" w:cs="宋体"/>
              </w:rPr>
              <w:t>效果（15）</w:t>
            </w:r>
          </w:p>
          <w:p w14:paraId="360C6CAA">
            <w:pPr>
              <w:spacing w:after="0" w:line="68" w:lineRule="atLeast"/>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7A1B525B">
            <w:pPr>
              <w:spacing w:after="0" w:line="68" w:lineRule="atLeast"/>
              <w:rPr>
                <w:rFonts w:ascii="宋体" w:hAnsi="宋体" w:eastAsia="宋体" w:cs="宋体"/>
              </w:rPr>
            </w:pPr>
            <w:r>
              <w:rPr>
                <w:rFonts w:hint="eastAsia" w:ascii="宋体" w:hAnsi="宋体" w:eastAsia="宋体" w:cs="宋体"/>
              </w:rPr>
              <w:t>监督发现问题</w:t>
            </w:r>
          </w:p>
          <w:p w14:paraId="7580725C">
            <w:pPr>
              <w:spacing w:after="0" w:line="68" w:lineRule="atLeast"/>
              <w:rPr>
                <w:rFonts w:ascii="宋体" w:hAnsi="宋体" w:eastAsia="宋体" w:cs="宋体"/>
              </w:rPr>
            </w:pPr>
            <w:r>
              <w:rPr>
                <w:rFonts w:hint="eastAsia" w:ascii="宋体" w:hAnsi="宋体" w:eastAsia="宋体" w:cs="宋体"/>
              </w:rPr>
              <w:t>（2分）</w:t>
            </w:r>
          </w:p>
        </w:tc>
        <w:tc>
          <w:tcPr>
            <w:tcW w:w="1182" w:type="dxa"/>
            <w:tcBorders>
              <w:top w:val="single" w:color="000000" w:sz="4" w:space="0"/>
              <w:left w:val="single" w:color="000000" w:sz="4" w:space="0"/>
              <w:bottom w:val="single" w:color="000000" w:sz="4" w:space="0"/>
              <w:right w:val="single" w:color="auto" w:sz="4" w:space="0"/>
            </w:tcBorders>
            <w:vAlign w:val="center"/>
          </w:tcPr>
          <w:p w14:paraId="07D35E9C">
            <w:pPr>
              <w:spacing w:after="0" w:line="68" w:lineRule="atLeast"/>
              <w:rPr>
                <w:rFonts w:ascii="宋体" w:hAnsi="宋体" w:eastAsia="宋体" w:cs="宋体"/>
              </w:rPr>
            </w:pPr>
            <w:r>
              <w:rPr>
                <w:rFonts w:hint="eastAsia" w:ascii="宋体" w:hAnsi="宋体" w:eastAsia="宋体" w:cs="宋体"/>
              </w:rPr>
              <w:t>违规率（2分）</w:t>
            </w:r>
          </w:p>
        </w:tc>
        <w:tc>
          <w:tcPr>
            <w:tcW w:w="6911" w:type="dxa"/>
            <w:tcBorders>
              <w:top w:val="single" w:color="000000" w:sz="4" w:space="0"/>
              <w:left w:val="single" w:color="auto" w:sz="4" w:space="0"/>
              <w:bottom w:val="single" w:color="000000" w:sz="4" w:space="0"/>
              <w:right w:val="single" w:color="auto" w:sz="4" w:space="0"/>
            </w:tcBorders>
            <w:vAlign w:val="center"/>
          </w:tcPr>
          <w:p w14:paraId="7EC25D25">
            <w:pPr>
              <w:spacing w:after="0" w:line="68" w:lineRule="atLeast"/>
              <w:rPr>
                <w:rFonts w:ascii="宋体" w:hAnsi="宋体" w:eastAsia="宋体" w:cs="宋体"/>
              </w:rPr>
            </w:pPr>
            <w:r>
              <w:rPr>
                <w:rFonts w:hint="eastAsia" w:ascii="宋体" w:hAnsi="宋体" w:eastAsia="宋体" w:cs="宋体"/>
              </w:rPr>
              <w:t>部门存在违规问题的资金数量占部门预算支出资金总额的比重，用以反映和考核部门预算资金管理使用的合法、合规情况。</w:t>
            </w:r>
          </w:p>
          <w:p w14:paraId="4BB49E0B">
            <w:pPr>
              <w:spacing w:after="0" w:line="68" w:lineRule="atLeast"/>
              <w:rPr>
                <w:rFonts w:ascii="宋体" w:hAnsi="宋体" w:eastAsia="宋体" w:cs="宋体"/>
              </w:rPr>
            </w:pPr>
            <w:r>
              <w:rPr>
                <w:rFonts w:hint="eastAsia" w:ascii="宋体" w:hAnsi="宋体" w:eastAsia="宋体" w:cs="宋体"/>
              </w:rPr>
              <w:t>违规率=存在违规问题的资金额/部门预算支出资金总额×100%</w:t>
            </w:r>
          </w:p>
        </w:tc>
        <w:tc>
          <w:tcPr>
            <w:tcW w:w="3423" w:type="dxa"/>
            <w:tcBorders>
              <w:top w:val="single" w:color="000000" w:sz="4" w:space="0"/>
              <w:left w:val="single" w:color="auto" w:sz="4" w:space="0"/>
              <w:bottom w:val="single" w:color="000000" w:sz="4" w:space="0"/>
              <w:right w:val="single" w:color="auto" w:sz="4" w:space="0"/>
            </w:tcBorders>
            <w:vAlign w:val="center"/>
          </w:tcPr>
          <w:p w14:paraId="4F0277BD">
            <w:pPr>
              <w:spacing w:after="0" w:line="240" w:lineRule="exact"/>
              <w:rPr>
                <w:rFonts w:ascii="宋体" w:hAnsi="宋体" w:eastAsia="宋体" w:cs="宋体"/>
              </w:rPr>
            </w:pPr>
            <w:r>
              <w:rPr>
                <w:rFonts w:hint="eastAsia" w:ascii="宋体" w:hAnsi="宋体" w:eastAsia="宋体" w:cs="宋体"/>
              </w:rPr>
              <w:t>目标值0，达到目标值得2分，未达到目标值的每增加0.1个百分点扣0.1分</w:t>
            </w:r>
          </w:p>
        </w:tc>
        <w:tc>
          <w:tcPr>
            <w:tcW w:w="1090" w:type="dxa"/>
            <w:tcBorders>
              <w:top w:val="single" w:color="000000" w:sz="4" w:space="0"/>
              <w:left w:val="single" w:color="auto" w:sz="4" w:space="0"/>
              <w:bottom w:val="single" w:color="000000" w:sz="4" w:space="0"/>
              <w:right w:val="single" w:color="000000" w:sz="4" w:space="0"/>
            </w:tcBorders>
            <w:vAlign w:val="center"/>
          </w:tcPr>
          <w:p w14:paraId="03042EA7">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2</w:t>
            </w:r>
          </w:p>
        </w:tc>
      </w:tr>
      <w:tr w14:paraId="41DA60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15" w:hRule="atLeast"/>
          <w:jc w:val="center"/>
        </w:trPr>
        <w:tc>
          <w:tcPr>
            <w:tcW w:w="733" w:type="dxa"/>
            <w:vMerge w:val="continue"/>
            <w:tcBorders>
              <w:left w:val="single" w:color="000000" w:sz="4" w:space="0"/>
              <w:right w:val="single" w:color="000000" w:sz="4" w:space="0"/>
            </w:tcBorders>
            <w:vAlign w:val="center"/>
          </w:tcPr>
          <w:p w14:paraId="6448520B">
            <w:pPr>
              <w:spacing w:after="0" w:line="68" w:lineRule="atLeast"/>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60507BDA">
            <w:pPr>
              <w:spacing w:after="0" w:line="68" w:lineRule="atLeast"/>
              <w:rPr>
                <w:rFonts w:ascii="宋体" w:hAnsi="宋体" w:eastAsia="宋体" w:cs="宋体"/>
              </w:rPr>
            </w:pPr>
            <w:r>
              <w:rPr>
                <w:rFonts w:hint="eastAsia" w:ascii="宋体" w:hAnsi="宋体" w:eastAsia="宋体" w:cs="宋体"/>
              </w:rPr>
              <w:t>工作成效（5）</w:t>
            </w:r>
          </w:p>
        </w:tc>
        <w:tc>
          <w:tcPr>
            <w:tcW w:w="1182" w:type="dxa"/>
            <w:tcBorders>
              <w:top w:val="single" w:color="000000" w:sz="4" w:space="0"/>
              <w:left w:val="single" w:color="000000" w:sz="4" w:space="0"/>
              <w:bottom w:val="single" w:color="000000" w:sz="4" w:space="0"/>
              <w:right w:val="single" w:color="auto" w:sz="4" w:space="0"/>
            </w:tcBorders>
            <w:vAlign w:val="center"/>
          </w:tcPr>
          <w:p w14:paraId="0F233522">
            <w:pPr>
              <w:spacing w:after="0" w:line="68" w:lineRule="atLeast"/>
              <w:rPr>
                <w:rFonts w:ascii="宋体" w:hAnsi="宋体" w:eastAsia="宋体" w:cs="宋体"/>
              </w:rPr>
            </w:pPr>
            <w:r>
              <w:rPr>
                <w:rFonts w:hint="eastAsia" w:ascii="宋体" w:hAnsi="宋体" w:eastAsia="宋体" w:cs="宋体"/>
                <w:bCs/>
                <w:color w:val="000000"/>
              </w:rPr>
              <w:t>部门预算绩效管理考核评价</w:t>
            </w:r>
            <w:r>
              <w:rPr>
                <w:rFonts w:hint="eastAsia" w:ascii="宋体" w:hAnsi="宋体" w:eastAsia="宋体" w:cs="宋体"/>
                <w:bCs/>
              </w:rPr>
              <w:t>（5）</w:t>
            </w:r>
          </w:p>
        </w:tc>
        <w:tc>
          <w:tcPr>
            <w:tcW w:w="6911" w:type="dxa"/>
            <w:tcBorders>
              <w:top w:val="single" w:color="000000" w:sz="4" w:space="0"/>
              <w:left w:val="single" w:color="auto" w:sz="4" w:space="0"/>
              <w:bottom w:val="single" w:color="000000" w:sz="4" w:space="0"/>
              <w:right w:val="single" w:color="auto" w:sz="4" w:space="0"/>
            </w:tcBorders>
            <w:vAlign w:val="center"/>
          </w:tcPr>
          <w:p w14:paraId="199E2724">
            <w:pPr>
              <w:spacing w:after="0" w:line="240" w:lineRule="exact"/>
              <w:rPr>
                <w:rFonts w:ascii="宋体" w:hAnsi="宋体" w:eastAsia="宋体" w:cs="宋体"/>
              </w:rPr>
            </w:pPr>
            <w:r>
              <w:rPr>
                <w:rFonts w:hint="eastAsia" w:ascii="宋体" w:hAnsi="宋体" w:eastAsia="宋体" w:cs="宋体"/>
                <w:color w:val="000000"/>
              </w:rPr>
              <w:t>财政部门对部门开展预算绩效管理工作的评价结果，用以反映部门对预算绩效管理工作的重视程度和取得的成效。</w:t>
            </w:r>
          </w:p>
          <w:p w14:paraId="39A91A5D">
            <w:pPr>
              <w:spacing w:after="0" w:line="240" w:lineRule="exact"/>
              <w:rPr>
                <w:rFonts w:ascii="宋体" w:hAnsi="宋体" w:eastAsia="宋体" w:cs="宋体"/>
              </w:rPr>
            </w:pPr>
            <w:r>
              <w:rPr>
                <w:rFonts w:hint="eastAsia" w:ascii="宋体" w:hAnsi="宋体" w:eastAsia="宋体" w:cs="宋体"/>
                <w:color w:val="000000"/>
              </w:rPr>
              <w:t>1.财政部门对部门绩效管理工作开展情况进行核查评价，包括绩效目标管理、绩效执行监控、绩效自评和评价结果应用等情况，按百分制。</w:t>
            </w:r>
          </w:p>
          <w:p w14:paraId="2E833D08">
            <w:pPr>
              <w:spacing w:after="0" w:line="68" w:lineRule="atLeast"/>
              <w:rPr>
                <w:rFonts w:ascii="宋体" w:hAnsi="宋体" w:eastAsia="宋体" w:cs="宋体"/>
              </w:rPr>
            </w:pPr>
            <w:r>
              <w:rPr>
                <w:rFonts w:hint="eastAsia" w:ascii="宋体" w:hAnsi="宋体" w:eastAsia="宋体" w:cs="宋体"/>
                <w:color w:val="000000"/>
              </w:rPr>
              <w:t>2.以部门为单位进行综合计算，得出各部门绩效管理工作评价结果。</w:t>
            </w:r>
          </w:p>
        </w:tc>
        <w:tc>
          <w:tcPr>
            <w:tcW w:w="3423" w:type="dxa"/>
            <w:tcBorders>
              <w:top w:val="single" w:color="000000" w:sz="4" w:space="0"/>
              <w:left w:val="single" w:color="auto" w:sz="4" w:space="0"/>
              <w:bottom w:val="single" w:color="000000" w:sz="4" w:space="0"/>
              <w:right w:val="single" w:color="auto" w:sz="4" w:space="0"/>
            </w:tcBorders>
            <w:vAlign w:val="center"/>
          </w:tcPr>
          <w:p w14:paraId="44B1399D">
            <w:pPr>
              <w:spacing w:after="0" w:line="240" w:lineRule="exact"/>
              <w:rPr>
                <w:rFonts w:ascii="宋体" w:hAnsi="宋体" w:eastAsia="宋体" w:cs="宋体"/>
              </w:rPr>
            </w:pPr>
            <w:r>
              <w:rPr>
                <w:rFonts w:hint="eastAsia" w:ascii="宋体" w:hAnsi="宋体" w:eastAsia="宋体" w:cs="宋体"/>
                <w:color w:val="000000"/>
              </w:rPr>
              <w:t>综合得分=（部门绩效管理工作评价结果/100）*5分</w:t>
            </w:r>
          </w:p>
          <w:p w14:paraId="06F12C6F">
            <w:pPr>
              <w:spacing w:after="0" w:line="68" w:lineRule="atLeast"/>
              <w:rPr>
                <w:rFonts w:ascii="宋体" w:hAnsi="宋体" w:eastAsia="宋体" w:cs="宋体"/>
              </w:rPr>
            </w:pPr>
            <w:r>
              <w:rPr>
                <w:rFonts w:hint="eastAsia" w:ascii="宋体" w:hAnsi="宋体" w:eastAsia="宋体" w:cs="宋体"/>
              </w:rPr>
              <w:t> </w:t>
            </w:r>
          </w:p>
        </w:tc>
        <w:tc>
          <w:tcPr>
            <w:tcW w:w="1090" w:type="dxa"/>
            <w:tcBorders>
              <w:top w:val="single" w:color="000000" w:sz="4" w:space="0"/>
              <w:left w:val="single" w:color="auto" w:sz="4" w:space="0"/>
              <w:bottom w:val="single" w:color="000000" w:sz="4" w:space="0"/>
              <w:right w:val="single" w:color="000000" w:sz="4" w:space="0"/>
            </w:tcBorders>
            <w:vAlign w:val="center"/>
          </w:tcPr>
          <w:p w14:paraId="7CA0E8AF">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5</w:t>
            </w:r>
          </w:p>
        </w:tc>
      </w:tr>
      <w:tr w14:paraId="54CA4C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67" w:hRule="atLeast"/>
          <w:jc w:val="center"/>
        </w:trPr>
        <w:tc>
          <w:tcPr>
            <w:tcW w:w="733" w:type="dxa"/>
            <w:vMerge w:val="continue"/>
            <w:tcBorders>
              <w:left w:val="single" w:color="000000" w:sz="4" w:space="0"/>
              <w:right w:val="single" w:color="000000" w:sz="4" w:space="0"/>
            </w:tcBorders>
            <w:vAlign w:val="center"/>
          </w:tcPr>
          <w:p w14:paraId="5861DFB8">
            <w:pPr>
              <w:spacing w:after="0"/>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26716F76">
            <w:pPr>
              <w:spacing w:after="0" w:line="68" w:lineRule="atLeast"/>
              <w:rPr>
                <w:rFonts w:ascii="宋体" w:hAnsi="宋体" w:eastAsia="宋体" w:cs="宋体"/>
              </w:rPr>
            </w:pPr>
            <w:r>
              <w:rPr>
                <w:rFonts w:hint="eastAsia" w:ascii="宋体" w:hAnsi="宋体" w:eastAsia="宋体" w:cs="宋体"/>
              </w:rPr>
              <w:t>评价结果应用</w:t>
            </w:r>
          </w:p>
          <w:p w14:paraId="3F515953">
            <w:pPr>
              <w:spacing w:after="0" w:line="68" w:lineRule="atLeast"/>
              <w:rPr>
                <w:rFonts w:ascii="宋体" w:hAnsi="宋体" w:eastAsia="宋体" w:cs="宋体"/>
              </w:rPr>
            </w:pPr>
            <w:r>
              <w:rPr>
                <w:rFonts w:hint="eastAsia" w:ascii="宋体" w:hAnsi="宋体" w:eastAsia="宋体" w:cs="宋体"/>
              </w:rPr>
              <w:t>（2分）</w:t>
            </w:r>
          </w:p>
        </w:tc>
        <w:tc>
          <w:tcPr>
            <w:tcW w:w="1182" w:type="dxa"/>
            <w:tcBorders>
              <w:top w:val="single" w:color="000000" w:sz="4" w:space="0"/>
              <w:left w:val="single" w:color="000000" w:sz="4" w:space="0"/>
              <w:bottom w:val="single" w:color="000000" w:sz="4" w:space="0"/>
              <w:right w:val="single" w:color="auto" w:sz="4" w:space="0"/>
            </w:tcBorders>
            <w:vAlign w:val="center"/>
          </w:tcPr>
          <w:p w14:paraId="167E88C3">
            <w:pPr>
              <w:spacing w:after="0" w:line="68" w:lineRule="atLeast"/>
              <w:rPr>
                <w:rFonts w:ascii="宋体" w:hAnsi="宋体" w:eastAsia="宋体" w:cs="宋体"/>
              </w:rPr>
            </w:pPr>
            <w:r>
              <w:rPr>
                <w:rFonts w:hint="eastAsia" w:ascii="宋体" w:hAnsi="宋体" w:eastAsia="宋体" w:cs="宋体"/>
              </w:rPr>
              <w:t>应用率（2分）</w:t>
            </w:r>
          </w:p>
        </w:tc>
        <w:tc>
          <w:tcPr>
            <w:tcW w:w="6911" w:type="dxa"/>
            <w:tcBorders>
              <w:top w:val="single" w:color="000000" w:sz="4" w:space="0"/>
              <w:left w:val="single" w:color="auto" w:sz="4" w:space="0"/>
              <w:bottom w:val="single" w:color="000000" w:sz="4" w:space="0"/>
              <w:right w:val="single" w:color="auto" w:sz="4" w:space="0"/>
            </w:tcBorders>
            <w:vAlign w:val="center"/>
          </w:tcPr>
          <w:p w14:paraId="1A794A4C">
            <w:pPr>
              <w:spacing w:after="0" w:line="68" w:lineRule="atLeast"/>
              <w:rPr>
                <w:rFonts w:ascii="宋体" w:hAnsi="宋体" w:eastAsia="宋体" w:cs="宋体"/>
              </w:rPr>
            </w:pPr>
            <w:r>
              <w:rPr>
                <w:rFonts w:hint="eastAsia" w:ascii="宋体" w:hAnsi="宋体" w:eastAsia="宋体" w:cs="宋体"/>
              </w:rPr>
              <w:t>部门应用绩效评价结果的项目数占绩效评价项目数的比重，用以反映和考核部门绩效评价结果的利用水平和程度。</w:t>
            </w:r>
          </w:p>
          <w:p w14:paraId="03DEB67C">
            <w:pPr>
              <w:spacing w:after="0" w:line="68" w:lineRule="atLeast"/>
              <w:rPr>
                <w:rFonts w:ascii="宋体" w:hAnsi="宋体" w:eastAsia="宋体" w:cs="宋体"/>
              </w:rPr>
            </w:pPr>
            <w:r>
              <w:rPr>
                <w:rFonts w:hint="eastAsia" w:ascii="宋体" w:hAnsi="宋体" w:eastAsia="宋体" w:cs="宋体"/>
              </w:rPr>
              <w:t>应用率=应用绩效评价结果的项目数量/部门实施绩效评价项目数量×100%。</w:t>
            </w:r>
          </w:p>
          <w:p w14:paraId="7E36E91F">
            <w:pPr>
              <w:spacing w:after="0" w:line="68" w:lineRule="atLeast"/>
              <w:rPr>
                <w:rFonts w:ascii="宋体" w:hAnsi="宋体" w:eastAsia="宋体" w:cs="宋体"/>
              </w:rPr>
            </w:pPr>
            <w:r>
              <w:rPr>
                <w:rFonts w:hint="eastAsia" w:ascii="宋体" w:hAnsi="宋体" w:eastAsia="宋体" w:cs="宋体"/>
              </w:rPr>
              <w:t>应用绩效评价结果包括向财政部门报告绩效评价结果、向被评价单位反馈绩效评价结果、内部公开绩效评价结果和落实整改措施等方面，其中，落实整改措施包括调整预算结构、改革预算管理、整改发现问题、健全制度措施和实施绩效问责。</w:t>
            </w:r>
          </w:p>
        </w:tc>
        <w:tc>
          <w:tcPr>
            <w:tcW w:w="3423" w:type="dxa"/>
            <w:tcBorders>
              <w:top w:val="single" w:color="000000" w:sz="4" w:space="0"/>
              <w:left w:val="single" w:color="auto" w:sz="4" w:space="0"/>
              <w:bottom w:val="single" w:color="000000" w:sz="4" w:space="0"/>
              <w:right w:val="single" w:color="auto" w:sz="4" w:space="0"/>
            </w:tcBorders>
            <w:vAlign w:val="center"/>
          </w:tcPr>
          <w:p w14:paraId="3EE60A4D">
            <w:pPr>
              <w:spacing w:after="0" w:line="240" w:lineRule="exact"/>
              <w:rPr>
                <w:rFonts w:ascii="宋体" w:hAnsi="宋体" w:eastAsia="宋体" w:cs="宋体"/>
              </w:rPr>
            </w:pPr>
            <w:r>
              <w:rPr>
                <w:rFonts w:hint="eastAsia" w:ascii="宋体" w:hAnsi="宋体" w:eastAsia="宋体" w:cs="宋体"/>
              </w:rPr>
              <w:t>目标值为100%；以2分为上限，采用完成比率法计分：得分=应用率×2，超出目标值不加分。</w:t>
            </w:r>
          </w:p>
        </w:tc>
        <w:tc>
          <w:tcPr>
            <w:tcW w:w="1090" w:type="dxa"/>
            <w:tcBorders>
              <w:top w:val="single" w:color="000000" w:sz="4" w:space="0"/>
              <w:left w:val="single" w:color="auto" w:sz="4" w:space="0"/>
              <w:bottom w:val="single" w:color="000000" w:sz="4" w:space="0"/>
              <w:right w:val="single" w:color="000000" w:sz="4" w:space="0"/>
            </w:tcBorders>
            <w:vAlign w:val="center"/>
          </w:tcPr>
          <w:p w14:paraId="6A3593AD">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2</w:t>
            </w:r>
          </w:p>
        </w:tc>
      </w:tr>
      <w:tr w14:paraId="6432DD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79" w:hRule="atLeast"/>
          <w:jc w:val="center"/>
        </w:trPr>
        <w:tc>
          <w:tcPr>
            <w:tcW w:w="733" w:type="dxa"/>
            <w:vMerge w:val="continue"/>
            <w:tcBorders>
              <w:left w:val="single" w:color="000000" w:sz="4" w:space="0"/>
              <w:right w:val="single" w:color="000000" w:sz="4" w:space="0"/>
            </w:tcBorders>
            <w:vAlign w:val="center"/>
          </w:tcPr>
          <w:p w14:paraId="743B2471">
            <w:pPr>
              <w:spacing w:after="0"/>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3C130FEF">
            <w:pPr>
              <w:spacing w:after="0" w:line="68" w:lineRule="atLeast"/>
              <w:rPr>
                <w:rFonts w:ascii="宋体" w:hAnsi="宋体" w:eastAsia="宋体" w:cs="宋体"/>
              </w:rPr>
            </w:pPr>
            <w:r>
              <w:rPr>
                <w:rFonts w:hint="eastAsia" w:ascii="宋体" w:hAnsi="宋体" w:eastAsia="宋体" w:cs="宋体"/>
              </w:rPr>
              <w:t>结果应用创新（1分）</w:t>
            </w:r>
          </w:p>
        </w:tc>
        <w:tc>
          <w:tcPr>
            <w:tcW w:w="1182" w:type="dxa"/>
            <w:tcBorders>
              <w:top w:val="single" w:color="000000" w:sz="4" w:space="0"/>
              <w:left w:val="single" w:color="000000" w:sz="4" w:space="0"/>
              <w:bottom w:val="single" w:color="000000" w:sz="4" w:space="0"/>
              <w:right w:val="single" w:color="auto" w:sz="4" w:space="0"/>
            </w:tcBorders>
            <w:vAlign w:val="center"/>
          </w:tcPr>
          <w:p w14:paraId="1B14125C">
            <w:pPr>
              <w:spacing w:after="0" w:line="68" w:lineRule="atLeast"/>
              <w:rPr>
                <w:rFonts w:ascii="宋体" w:hAnsi="宋体" w:eastAsia="宋体" w:cs="宋体"/>
              </w:rPr>
            </w:pPr>
            <w:r>
              <w:rPr>
                <w:rFonts w:hint="eastAsia" w:ascii="宋体" w:hAnsi="宋体" w:eastAsia="宋体" w:cs="宋体"/>
              </w:rPr>
              <w:t>结果应用创新（1分）</w:t>
            </w:r>
          </w:p>
        </w:tc>
        <w:tc>
          <w:tcPr>
            <w:tcW w:w="6911" w:type="dxa"/>
            <w:tcBorders>
              <w:top w:val="single" w:color="000000" w:sz="4" w:space="0"/>
              <w:left w:val="single" w:color="auto" w:sz="4" w:space="0"/>
              <w:bottom w:val="single" w:color="000000" w:sz="4" w:space="0"/>
              <w:right w:val="single" w:color="auto" w:sz="4" w:space="0"/>
            </w:tcBorders>
            <w:vAlign w:val="center"/>
          </w:tcPr>
          <w:p w14:paraId="123CD004">
            <w:pPr>
              <w:spacing w:after="0" w:line="68" w:lineRule="atLeast"/>
              <w:rPr>
                <w:rFonts w:ascii="宋体" w:hAnsi="宋体" w:eastAsia="宋体" w:cs="宋体"/>
              </w:rPr>
            </w:pPr>
            <w:r>
              <w:rPr>
                <w:rFonts w:hint="eastAsia" w:ascii="宋体" w:hAnsi="宋体" w:eastAsia="宋体" w:cs="宋体"/>
              </w:rPr>
              <w:t>部门将绩效结果主动对外公开、预算绩效管理工作开展情况向同级政府、人大等部门报告，用以反映和考核部门在结果应用方面的创新情况。</w:t>
            </w:r>
          </w:p>
          <w:p w14:paraId="6A18EEFA">
            <w:pPr>
              <w:spacing w:after="0" w:line="68" w:lineRule="atLeast"/>
              <w:rPr>
                <w:rFonts w:ascii="宋体" w:hAnsi="宋体" w:eastAsia="宋体" w:cs="宋体"/>
              </w:rPr>
            </w:pPr>
            <w:r>
              <w:rPr>
                <w:rFonts w:hint="eastAsia" w:ascii="宋体" w:hAnsi="宋体" w:eastAsia="宋体" w:cs="宋体"/>
              </w:rPr>
              <w:t>评价要点：</w:t>
            </w:r>
          </w:p>
          <w:p w14:paraId="09834793">
            <w:pPr>
              <w:spacing w:after="0" w:line="68" w:lineRule="atLeast"/>
              <w:rPr>
                <w:rFonts w:ascii="宋体" w:hAnsi="宋体" w:eastAsia="宋体" w:cs="宋体"/>
              </w:rPr>
            </w:pPr>
            <w:r>
              <w:rPr>
                <w:rFonts w:hint="eastAsia" w:ascii="宋体" w:hAnsi="宋体" w:eastAsia="宋体" w:cs="宋体"/>
              </w:rPr>
              <w:t>1.部门是否按要求对社会公开绩效评价结果。</w:t>
            </w:r>
          </w:p>
          <w:p w14:paraId="6E6FB2E5">
            <w:pPr>
              <w:spacing w:after="0" w:line="68" w:lineRule="atLeast"/>
              <w:rPr>
                <w:rFonts w:ascii="宋体" w:hAnsi="宋体" w:eastAsia="宋体" w:cs="宋体"/>
              </w:rPr>
            </w:pPr>
            <w:r>
              <w:rPr>
                <w:rFonts w:hint="eastAsia" w:ascii="宋体" w:hAnsi="宋体" w:eastAsia="宋体" w:cs="宋体"/>
              </w:rPr>
              <w:t>2.部门是否将预算绩效管理工作开展情况向同级政府、人大等部门报告。</w:t>
            </w:r>
          </w:p>
        </w:tc>
        <w:tc>
          <w:tcPr>
            <w:tcW w:w="3423" w:type="dxa"/>
            <w:tcBorders>
              <w:top w:val="single" w:color="000000" w:sz="4" w:space="0"/>
              <w:left w:val="single" w:color="auto" w:sz="4" w:space="0"/>
              <w:bottom w:val="single" w:color="000000" w:sz="4" w:space="0"/>
              <w:right w:val="single" w:color="auto" w:sz="4" w:space="0"/>
            </w:tcBorders>
            <w:vAlign w:val="center"/>
          </w:tcPr>
          <w:p w14:paraId="5B8DDD19">
            <w:pPr>
              <w:spacing w:after="0" w:line="240" w:lineRule="exact"/>
              <w:rPr>
                <w:rFonts w:ascii="宋体" w:hAnsi="宋体" w:eastAsia="宋体" w:cs="宋体"/>
              </w:rPr>
            </w:pPr>
            <w:r>
              <w:rPr>
                <w:rFonts w:hint="eastAsia" w:ascii="宋体" w:hAnsi="宋体" w:eastAsia="宋体" w:cs="宋体"/>
              </w:rPr>
              <w:t>全部符合（1分）；</w:t>
            </w:r>
          </w:p>
          <w:p w14:paraId="4A3BAA5E">
            <w:pPr>
              <w:spacing w:after="0" w:line="240" w:lineRule="exact"/>
              <w:rPr>
                <w:rFonts w:ascii="宋体" w:hAnsi="宋体" w:eastAsia="宋体" w:cs="宋体"/>
              </w:rPr>
            </w:pPr>
            <w:r>
              <w:rPr>
                <w:rFonts w:hint="eastAsia" w:ascii="宋体" w:hAnsi="宋体" w:eastAsia="宋体" w:cs="宋体"/>
              </w:rPr>
              <w:t>符合其中两项（0.5分）</w:t>
            </w:r>
          </w:p>
          <w:p w14:paraId="49342ADB">
            <w:pPr>
              <w:spacing w:after="0" w:line="240" w:lineRule="exact"/>
              <w:rPr>
                <w:rFonts w:ascii="宋体" w:hAnsi="宋体" w:eastAsia="宋体" w:cs="宋体"/>
              </w:rPr>
            </w:pPr>
            <w:r>
              <w:rPr>
                <w:rFonts w:hint="eastAsia" w:ascii="宋体" w:hAnsi="宋体" w:eastAsia="宋体" w:cs="宋体"/>
              </w:rPr>
              <w:t>符合其中一项及以下（0分）。</w:t>
            </w:r>
          </w:p>
        </w:tc>
        <w:tc>
          <w:tcPr>
            <w:tcW w:w="1090" w:type="dxa"/>
            <w:tcBorders>
              <w:top w:val="single" w:color="000000" w:sz="4" w:space="0"/>
              <w:left w:val="single" w:color="auto" w:sz="4" w:space="0"/>
              <w:bottom w:val="single" w:color="000000" w:sz="4" w:space="0"/>
              <w:right w:val="single" w:color="000000" w:sz="4" w:space="0"/>
            </w:tcBorders>
            <w:vAlign w:val="center"/>
          </w:tcPr>
          <w:p w14:paraId="52546B20">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1</w:t>
            </w:r>
          </w:p>
        </w:tc>
      </w:tr>
      <w:tr w14:paraId="3A3711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78" w:hRule="atLeast"/>
          <w:jc w:val="center"/>
        </w:trPr>
        <w:tc>
          <w:tcPr>
            <w:tcW w:w="733" w:type="dxa"/>
            <w:vMerge w:val="continue"/>
            <w:tcBorders>
              <w:left w:val="single" w:color="000000" w:sz="4" w:space="0"/>
              <w:right w:val="single" w:color="000000" w:sz="4" w:space="0"/>
            </w:tcBorders>
            <w:vAlign w:val="center"/>
          </w:tcPr>
          <w:p w14:paraId="6EF5F09A">
            <w:pPr>
              <w:spacing w:after="0"/>
              <w:rPr>
                <w:rFonts w:ascii="宋体" w:hAnsi="宋体" w:eastAsia="宋体" w:cs="宋体"/>
              </w:rPr>
            </w:pPr>
          </w:p>
        </w:tc>
        <w:tc>
          <w:tcPr>
            <w:tcW w:w="803" w:type="dxa"/>
            <w:tcBorders>
              <w:top w:val="single" w:color="auto" w:sz="4" w:space="0"/>
              <w:left w:val="single" w:color="000000" w:sz="4" w:space="0"/>
              <w:bottom w:val="single" w:color="auto" w:sz="4" w:space="0"/>
              <w:right w:val="single" w:color="000000" w:sz="4" w:space="0"/>
            </w:tcBorders>
            <w:vAlign w:val="center"/>
          </w:tcPr>
          <w:p w14:paraId="1C01BDF9">
            <w:pPr>
              <w:spacing w:after="0" w:line="68" w:lineRule="atLeast"/>
              <w:rPr>
                <w:rFonts w:ascii="宋体" w:hAnsi="宋体" w:eastAsia="宋体" w:cs="宋体"/>
              </w:rPr>
            </w:pPr>
            <w:r>
              <w:rPr>
                <w:rFonts w:hint="eastAsia" w:ascii="宋体" w:hAnsi="宋体" w:eastAsia="宋体" w:cs="宋体"/>
              </w:rPr>
              <w:t>社会效益（5分）</w:t>
            </w:r>
          </w:p>
        </w:tc>
        <w:tc>
          <w:tcPr>
            <w:tcW w:w="1182" w:type="dxa"/>
            <w:tcBorders>
              <w:top w:val="single" w:color="000000" w:sz="4" w:space="0"/>
              <w:left w:val="single" w:color="000000" w:sz="4" w:space="0"/>
              <w:bottom w:val="single" w:color="000000" w:sz="4" w:space="0"/>
              <w:right w:val="single" w:color="auto" w:sz="4" w:space="0"/>
            </w:tcBorders>
            <w:vAlign w:val="center"/>
          </w:tcPr>
          <w:p w14:paraId="598CF7C0">
            <w:pPr>
              <w:spacing w:after="0" w:line="68" w:lineRule="atLeast"/>
              <w:rPr>
                <w:rFonts w:ascii="宋体" w:hAnsi="宋体" w:eastAsia="宋体" w:cs="宋体"/>
              </w:rPr>
            </w:pPr>
            <w:r>
              <w:rPr>
                <w:rFonts w:hint="eastAsia" w:ascii="宋体" w:hAnsi="宋体" w:eastAsia="宋体" w:cs="宋体"/>
              </w:rPr>
              <w:t>社会公众满意度（5分）</w:t>
            </w:r>
          </w:p>
        </w:tc>
        <w:tc>
          <w:tcPr>
            <w:tcW w:w="6911" w:type="dxa"/>
            <w:tcBorders>
              <w:top w:val="single" w:color="000000" w:sz="4" w:space="0"/>
              <w:left w:val="single" w:color="auto" w:sz="4" w:space="0"/>
              <w:bottom w:val="single" w:color="000000" w:sz="4" w:space="0"/>
              <w:right w:val="single" w:color="auto" w:sz="4" w:space="0"/>
            </w:tcBorders>
            <w:vAlign w:val="center"/>
          </w:tcPr>
          <w:p w14:paraId="153299B7">
            <w:pPr>
              <w:spacing w:after="0" w:line="68" w:lineRule="atLeast"/>
              <w:rPr>
                <w:rFonts w:ascii="宋体" w:hAnsi="宋体" w:eastAsia="宋体" w:cs="宋体"/>
              </w:rPr>
            </w:pPr>
            <w:r>
              <w:rPr>
                <w:rFonts w:hint="eastAsia" w:ascii="宋体" w:hAnsi="宋体" w:eastAsia="宋体" w:cs="宋体"/>
              </w:rPr>
              <w:t>通过问卷调查了解社会公众对部门履职效果、解决民众关心的热点问题、厉行节约等方面的满意程度，反映和评价部门支出所带来的社会效益。</w:t>
            </w:r>
          </w:p>
        </w:tc>
        <w:tc>
          <w:tcPr>
            <w:tcW w:w="3423" w:type="dxa"/>
            <w:tcBorders>
              <w:top w:val="single" w:color="000000" w:sz="4" w:space="0"/>
              <w:left w:val="single" w:color="auto" w:sz="4" w:space="0"/>
              <w:bottom w:val="single" w:color="000000" w:sz="4" w:space="0"/>
              <w:right w:val="single" w:color="auto" w:sz="4" w:space="0"/>
            </w:tcBorders>
            <w:vAlign w:val="center"/>
          </w:tcPr>
          <w:p w14:paraId="216F68A5">
            <w:pPr>
              <w:spacing w:after="0" w:line="240" w:lineRule="exact"/>
              <w:rPr>
                <w:rFonts w:ascii="宋体" w:hAnsi="宋体" w:eastAsia="宋体" w:cs="宋体"/>
              </w:rPr>
            </w:pPr>
            <w:r>
              <w:rPr>
                <w:rFonts w:hint="eastAsia" w:ascii="宋体" w:hAnsi="宋体" w:eastAsia="宋体" w:cs="宋体"/>
              </w:rPr>
              <w:t>按照满意度调查的优秀、良好、合格、不合格给予该项指标打分：</w:t>
            </w:r>
          </w:p>
          <w:p w14:paraId="0E6806C7">
            <w:pPr>
              <w:spacing w:after="0" w:line="68" w:lineRule="atLeast"/>
              <w:rPr>
                <w:rFonts w:ascii="宋体" w:hAnsi="宋体" w:eastAsia="宋体" w:cs="宋体"/>
              </w:rPr>
            </w:pPr>
            <w:r>
              <w:rPr>
                <w:rFonts w:hint="eastAsia" w:ascii="宋体" w:hAnsi="宋体" w:eastAsia="宋体" w:cs="宋体"/>
              </w:rPr>
              <w:t>优秀（5分）；良好（3分）；合格（1分）；不合格（0分）。</w:t>
            </w:r>
          </w:p>
        </w:tc>
        <w:tc>
          <w:tcPr>
            <w:tcW w:w="1090" w:type="dxa"/>
            <w:tcBorders>
              <w:top w:val="single" w:color="000000" w:sz="4" w:space="0"/>
              <w:left w:val="single" w:color="auto" w:sz="4" w:space="0"/>
              <w:bottom w:val="single" w:color="000000" w:sz="4" w:space="0"/>
              <w:right w:val="single" w:color="000000" w:sz="4" w:space="0"/>
            </w:tcBorders>
            <w:vAlign w:val="center"/>
          </w:tcPr>
          <w:p w14:paraId="1AA5D866">
            <w:pPr>
              <w:spacing w:after="0" w:line="68" w:lineRule="atLeast"/>
              <w:jc w:val="center"/>
              <w:rPr>
                <w:rFonts w:hint="eastAsia" w:ascii="宋体" w:hAnsi="宋体" w:eastAsia="宋体" w:cs="宋体"/>
                <w:lang w:val="en-US" w:eastAsia="zh-CN"/>
              </w:rPr>
            </w:pPr>
            <w:r>
              <w:rPr>
                <w:rFonts w:hint="eastAsia" w:ascii="宋体" w:hAnsi="宋体" w:eastAsia="宋体" w:cs="宋体"/>
                <w:lang w:val="en-US" w:eastAsia="zh-CN"/>
              </w:rPr>
              <w:t>5</w:t>
            </w:r>
          </w:p>
        </w:tc>
      </w:tr>
      <w:tr w14:paraId="1731C1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733" w:type="dxa"/>
            <w:tcBorders>
              <w:left w:val="single" w:color="000000" w:sz="4" w:space="0"/>
              <w:right w:val="single" w:color="000000" w:sz="4" w:space="0"/>
            </w:tcBorders>
            <w:vAlign w:val="center"/>
          </w:tcPr>
          <w:p w14:paraId="1FE50B24">
            <w:pPr>
              <w:spacing w:after="0"/>
              <w:rPr>
                <w:rFonts w:ascii="宋体" w:hAnsi="宋体" w:eastAsia="宋体" w:cs="宋体"/>
              </w:rPr>
            </w:pPr>
            <w:r>
              <w:rPr>
                <w:rFonts w:hint="eastAsia" w:ascii="宋体" w:hAnsi="宋体" w:eastAsia="宋体" w:cs="宋体"/>
              </w:rPr>
              <w:t>小计</w:t>
            </w:r>
          </w:p>
        </w:tc>
        <w:tc>
          <w:tcPr>
            <w:tcW w:w="803" w:type="dxa"/>
            <w:tcBorders>
              <w:top w:val="single" w:color="auto" w:sz="4" w:space="0"/>
              <w:left w:val="single" w:color="000000" w:sz="4" w:space="0"/>
              <w:bottom w:val="single" w:color="auto" w:sz="4" w:space="0"/>
              <w:right w:val="single" w:color="000000" w:sz="4" w:space="0"/>
            </w:tcBorders>
            <w:vAlign w:val="center"/>
          </w:tcPr>
          <w:p w14:paraId="544CE012">
            <w:pPr>
              <w:spacing w:after="0" w:line="68" w:lineRule="atLeast"/>
              <w:rPr>
                <w:rFonts w:ascii="宋体" w:hAnsi="宋体" w:eastAsia="宋体" w:cs="宋体"/>
              </w:rPr>
            </w:pPr>
            <w:r>
              <w:rPr>
                <w:rFonts w:hint="eastAsia" w:ascii="宋体" w:hAnsi="宋体" w:eastAsia="宋体" w:cs="宋体"/>
              </w:rPr>
              <w:t>100</w:t>
            </w:r>
          </w:p>
        </w:tc>
        <w:tc>
          <w:tcPr>
            <w:tcW w:w="1182" w:type="dxa"/>
            <w:tcBorders>
              <w:top w:val="single" w:color="000000" w:sz="4" w:space="0"/>
              <w:left w:val="single" w:color="000000" w:sz="4" w:space="0"/>
              <w:bottom w:val="single" w:color="000000" w:sz="4" w:space="0"/>
              <w:right w:val="single" w:color="auto" w:sz="4" w:space="0"/>
            </w:tcBorders>
            <w:vAlign w:val="center"/>
          </w:tcPr>
          <w:p w14:paraId="3E19F1C8">
            <w:pPr>
              <w:spacing w:after="0" w:line="68" w:lineRule="atLeast"/>
              <w:rPr>
                <w:rFonts w:ascii="宋体" w:hAnsi="宋体" w:eastAsia="宋体" w:cs="宋体"/>
              </w:rPr>
            </w:pPr>
          </w:p>
        </w:tc>
        <w:tc>
          <w:tcPr>
            <w:tcW w:w="6911" w:type="dxa"/>
            <w:tcBorders>
              <w:top w:val="single" w:color="000000" w:sz="4" w:space="0"/>
              <w:left w:val="single" w:color="auto" w:sz="4" w:space="0"/>
              <w:bottom w:val="single" w:color="000000" w:sz="4" w:space="0"/>
              <w:right w:val="single" w:color="auto" w:sz="4" w:space="0"/>
            </w:tcBorders>
            <w:vAlign w:val="center"/>
          </w:tcPr>
          <w:p w14:paraId="78C4E5DE">
            <w:pPr>
              <w:spacing w:after="0" w:line="68" w:lineRule="atLeast"/>
              <w:rPr>
                <w:rFonts w:ascii="宋体" w:hAnsi="宋体" w:eastAsia="宋体" w:cs="宋体"/>
              </w:rPr>
            </w:pPr>
          </w:p>
        </w:tc>
        <w:tc>
          <w:tcPr>
            <w:tcW w:w="3423" w:type="dxa"/>
            <w:tcBorders>
              <w:top w:val="single" w:color="000000" w:sz="4" w:space="0"/>
              <w:left w:val="single" w:color="auto" w:sz="4" w:space="0"/>
              <w:bottom w:val="single" w:color="000000" w:sz="4" w:space="0"/>
              <w:right w:val="single" w:color="auto" w:sz="4" w:space="0"/>
            </w:tcBorders>
            <w:vAlign w:val="center"/>
          </w:tcPr>
          <w:p w14:paraId="2C8A414B">
            <w:pPr>
              <w:spacing w:after="0" w:line="68" w:lineRule="atLeast"/>
              <w:rPr>
                <w:rFonts w:ascii="宋体" w:hAnsi="宋体" w:eastAsia="宋体" w:cs="宋体"/>
              </w:rPr>
            </w:pPr>
          </w:p>
        </w:tc>
        <w:tc>
          <w:tcPr>
            <w:tcW w:w="1090" w:type="dxa"/>
            <w:tcBorders>
              <w:top w:val="single" w:color="000000" w:sz="4" w:space="0"/>
              <w:left w:val="single" w:color="auto" w:sz="4" w:space="0"/>
              <w:bottom w:val="single" w:color="000000" w:sz="4" w:space="0"/>
              <w:right w:val="single" w:color="000000" w:sz="4" w:space="0"/>
            </w:tcBorders>
            <w:vAlign w:val="center"/>
          </w:tcPr>
          <w:p w14:paraId="6486528F">
            <w:pPr>
              <w:spacing w:after="0" w:line="68" w:lineRule="atLeast"/>
              <w:jc w:val="center"/>
              <w:rPr>
                <w:rFonts w:hint="default" w:ascii="宋体" w:hAnsi="宋体" w:eastAsia="宋体" w:cs="宋体"/>
                <w:lang w:val="en-US" w:eastAsia="zh-CN"/>
              </w:rPr>
            </w:pPr>
            <w:r>
              <w:rPr>
                <w:rFonts w:hint="eastAsia" w:ascii="宋体" w:hAnsi="宋体" w:eastAsia="宋体" w:cs="宋体"/>
                <w:lang w:val="en-US" w:eastAsia="zh-CN"/>
              </w:rPr>
              <w:t>92</w:t>
            </w:r>
          </w:p>
        </w:tc>
      </w:tr>
      <w:tr w14:paraId="729153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8" w:hRule="atLeast"/>
          <w:jc w:val="center"/>
        </w:trPr>
        <w:tc>
          <w:tcPr>
            <w:tcW w:w="733" w:type="dxa"/>
            <w:tcBorders>
              <w:left w:val="single" w:color="000000" w:sz="4" w:space="0"/>
              <w:bottom w:val="single" w:color="000000" w:sz="4" w:space="0"/>
              <w:right w:val="single" w:color="000000" w:sz="4" w:space="0"/>
            </w:tcBorders>
            <w:vAlign w:val="center"/>
          </w:tcPr>
          <w:p w14:paraId="09A41E2F">
            <w:pPr>
              <w:spacing w:after="0"/>
              <w:rPr>
                <w:rFonts w:ascii="宋体" w:hAnsi="宋体" w:eastAsia="宋体" w:cs="宋体"/>
              </w:rPr>
            </w:pPr>
            <w:r>
              <w:rPr>
                <w:rFonts w:hint="eastAsia" w:ascii="宋体" w:hAnsi="宋体" w:eastAsia="宋体" w:cs="宋体"/>
              </w:rPr>
              <w:t>评价结果</w:t>
            </w:r>
          </w:p>
        </w:tc>
        <w:tc>
          <w:tcPr>
            <w:tcW w:w="803" w:type="dxa"/>
            <w:tcBorders>
              <w:top w:val="single" w:color="auto" w:sz="4" w:space="0"/>
              <w:left w:val="single" w:color="000000" w:sz="4" w:space="0"/>
              <w:bottom w:val="single" w:color="auto" w:sz="4" w:space="0"/>
              <w:right w:val="single" w:color="000000" w:sz="4" w:space="0"/>
            </w:tcBorders>
            <w:vAlign w:val="center"/>
          </w:tcPr>
          <w:p w14:paraId="50886723">
            <w:pPr>
              <w:spacing w:after="0" w:line="68" w:lineRule="atLeast"/>
              <w:rPr>
                <w:rFonts w:ascii="宋体" w:hAnsi="宋体" w:eastAsia="宋体" w:cs="宋体"/>
              </w:rPr>
            </w:pPr>
          </w:p>
        </w:tc>
        <w:tc>
          <w:tcPr>
            <w:tcW w:w="1182" w:type="dxa"/>
            <w:tcBorders>
              <w:top w:val="single" w:color="000000" w:sz="4" w:space="0"/>
              <w:left w:val="single" w:color="000000" w:sz="4" w:space="0"/>
              <w:bottom w:val="single" w:color="000000" w:sz="4" w:space="0"/>
              <w:right w:val="single" w:color="auto" w:sz="4" w:space="0"/>
            </w:tcBorders>
            <w:vAlign w:val="center"/>
          </w:tcPr>
          <w:p w14:paraId="381C1375">
            <w:pPr>
              <w:spacing w:after="0" w:line="68" w:lineRule="atLeast"/>
              <w:rPr>
                <w:rFonts w:ascii="宋体" w:hAnsi="宋体" w:eastAsia="宋体" w:cs="宋体"/>
              </w:rPr>
            </w:pPr>
          </w:p>
        </w:tc>
        <w:tc>
          <w:tcPr>
            <w:tcW w:w="10334" w:type="dxa"/>
            <w:gridSpan w:val="2"/>
            <w:tcBorders>
              <w:top w:val="single" w:color="000000" w:sz="4" w:space="0"/>
              <w:left w:val="single" w:color="auto" w:sz="4" w:space="0"/>
              <w:bottom w:val="single" w:color="000000" w:sz="4" w:space="0"/>
              <w:right w:val="single" w:color="auto" w:sz="4" w:space="0"/>
            </w:tcBorders>
            <w:vAlign w:val="center"/>
          </w:tcPr>
          <w:p w14:paraId="157A797F">
            <w:pPr>
              <w:spacing w:after="0" w:line="68" w:lineRule="atLeast"/>
              <w:rPr>
                <w:rFonts w:ascii="宋体" w:hAnsi="宋体" w:eastAsia="宋体" w:cs="宋体"/>
              </w:rPr>
            </w:pPr>
            <w:r>
              <w:rPr>
                <w:rFonts w:hint="eastAsia" w:ascii="宋体" w:hAnsi="宋体" w:eastAsia="宋体" w:cs="宋体"/>
                <w:lang w:eastAsia="zh-CN"/>
              </w:rPr>
              <w:t>☑</w:t>
            </w:r>
            <w:r>
              <w:rPr>
                <w:rFonts w:hint="eastAsia" w:ascii="宋体" w:hAnsi="宋体" w:eastAsia="宋体" w:cs="宋体"/>
              </w:rPr>
              <w:t xml:space="preserve">优秀  90分≤得分≤100分； </w:t>
            </w:r>
            <w:r>
              <w:rPr>
                <w:rFonts w:hint="eastAsia" w:ascii="宋体" w:hAnsi="宋体" w:eastAsia="宋体" w:cs="宋体"/>
              </w:rPr>
              <w:sym w:font="Wingdings 2" w:char="0052"/>
            </w:r>
            <w:r>
              <w:rPr>
                <w:rFonts w:hint="eastAsia" w:ascii="宋体" w:hAnsi="宋体" w:eastAsia="宋体" w:cs="宋体"/>
              </w:rPr>
              <w:t>良好  80分≤得分≤89分；</w:t>
            </w:r>
          </w:p>
          <w:p w14:paraId="602C4C0B">
            <w:pPr>
              <w:spacing w:after="0" w:line="68" w:lineRule="atLeast"/>
              <w:rPr>
                <w:rFonts w:ascii="宋体" w:hAnsi="宋体" w:eastAsia="宋体" w:cs="宋体"/>
              </w:rPr>
            </w:pPr>
            <w:r>
              <w:rPr>
                <w:rFonts w:hint="eastAsia" w:ascii="宋体" w:hAnsi="宋体" w:eastAsia="宋体" w:cs="宋体"/>
              </w:rPr>
              <w:t xml:space="preserve">  □中  60分≤得分≤79分；  □较差  0≤得分≤59分</w:t>
            </w:r>
          </w:p>
        </w:tc>
        <w:tc>
          <w:tcPr>
            <w:tcW w:w="1090" w:type="dxa"/>
            <w:tcBorders>
              <w:top w:val="single" w:color="000000" w:sz="4" w:space="0"/>
              <w:left w:val="single" w:color="auto" w:sz="4" w:space="0"/>
              <w:bottom w:val="single" w:color="000000" w:sz="4" w:space="0"/>
              <w:right w:val="single" w:color="000000" w:sz="4" w:space="0"/>
            </w:tcBorders>
            <w:vAlign w:val="center"/>
          </w:tcPr>
          <w:p w14:paraId="21599D41">
            <w:pPr>
              <w:spacing w:after="0" w:line="68" w:lineRule="atLeast"/>
              <w:jc w:val="center"/>
              <w:rPr>
                <w:rFonts w:ascii="宋体" w:hAnsi="宋体" w:eastAsia="宋体" w:cs="宋体"/>
              </w:rPr>
            </w:pPr>
          </w:p>
        </w:tc>
      </w:tr>
    </w:tbl>
    <w:p w14:paraId="1BCCE576">
      <w:pPr>
        <w:spacing w:line="432" w:lineRule="auto"/>
      </w:pPr>
    </w:p>
    <w:p w14:paraId="0B2631CE">
      <w:pPr>
        <w:rPr>
          <w:rFonts w:ascii="黑体" w:hAnsi="黑体" w:eastAsia="黑体"/>
          <w:sz w:val="32"/>
          <w:szCs w:val="32"/>
        </w:rPr>
      </w:pPr>
      <w:r>
        <w:rPr>
          <w:rFonts w:hint="eastAsia" w:ascii="黑体" w:hAnsi="黑体" w:eastAsia="黑体"/>
          <w:sz w:val="32"/>
          <w:szCs w:val="32"/>
        </w:rPr>
        <w:br w:type="page"/>
      </w:r>
      <w:r>
        <w:rPr>
          <w:rFonts w:hint="eastAsia" w:ascii="黑体" w:hAnsi="黑体" w:eastAsia="黑体"/>
          <w:sz w:val="28"/>
          <w:szCs w:val="28"/>
        </w:rPr>
        <w:t>附件3</w:t>
      </w:r>
    </w:p>
    <w:p w14:paraId="70762244">
      <w:pPr>
        <w:spacing w:after="0" w:line="700" w:lineRule="exact"/>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中方县政府网站及政务新媒体信息发布审查表</w:t>
      </w:r>
    </w:p>
    <w:p w14:paraId="367F6873">
      <w:pPr>
        <w:spacing w:after="0" w:line="400" w:lineRule="exact"/>
        <w:jc w:val="center"/>
        <w:rPr>
          <w:rFonts w:ascii="方正小标宋简体" w:hAnsi="Times New Roman" w:eastAsia="方正小标宋简体"/>
          <w:sz w:val="44"/>
          <w:szCs w:val="44"/>
        </w:rPr>
      </w:pPr>
    </w:p>
    <w:p w14:paraId="731DAA12">
      <w:pPr>
        <w:rPr>
          <w:rFonts w:ascii="宋体" w:hAnsi="宋体" w:eastAsia="宋体" w:cs="宋体"/>
          <w:sz w:val="24"/>
          <w:szCs w:val="24"/>
        </w:rPr>
      </w:pPr>
      <w:r>
        <w:rPr>
          <w:rFonts w:hint="eastAsia" w:ascii="宋体" w:hAnsi="宋体" w:eastAsia="宋体" w:cs="宋体"/>
          <w:sz w:val="24"/>
          <w:szCs w:val="24"/>
        </w:rPr>
        <w:t>单位：                                                                                        年      月       日</w:t>
      </w:r>
    </w:p>
    <w:tbl>
      <w:tblPr>
        <w:tblStyle w:val="10"/>
        <w:tblW w:w="147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383"/>
        <w:gridCol w:w="3507"/>
        <w:gridCol w:w="2781"/>
        <w:gridCol w:w="3277"/>
        <w:gridCol w:w="2081"/>
      </w:tblGrid>
      <w:tr w14:paraId="238AEE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tcW w:w="709" w:type="dxa"/>
            <w:vAlign w:val="bottom"/>
          </w:tcPr>
          <w:p w14:paraId="5815753A">
            <w:pPr>
              <w:spacing w:after="0"/>
              <w:jc w:val="center"/>
              <w:rPr>
                <w:rFonts w:ascii="宋体" w:hAnsi="宋体" w:eastAsia="宋体" w:cs="宋体"/>
                <w:b/>
                <w:bCs/>
                <w:sz w:val="24"/>
                <w:szCs w:val="24"/>
              </w:rPr>
            </w:pPr>
            <w:r>
              <w:rPr>
                <w:rFonts w:hint="eastAsia" w:ascii="宋体" w:hAnsi="宋体" w:eastAsia="宋体" w:cs="宋体"/>
                <w:b/>
                <w:bCs/>
                <w:sz w:val="24"/>
                <w:szCs w:val="24"/>
              </w:rPr>
              <w:t>序号</w:t>
            </w:r>
          </w:p>
        </w:tc>
        <w:tc>
          <w:tcPr>
            <w:tcW w:w="2383" w:type="dxa"/>
            <w:vAlign w:val="bottom"/>
          </w:tcPr>
          <w:p w14:paraId="768C0894">
            <w:pPr>
              <w:spacing w:after="0"/>
              <w:jc w:val="center"/>
              <w:rPr>
                <w:rFonts w:ascii="宋体" w:hAnsi="宋体" w:eastAsia="宋体" w:cs="宋体"/>
                <w:b/>
                <w:bCs/>
                <w:sz w:val="24"/>
                <w:szCs w:val="24"/>
              </w:rPr>
            </w:pPr>
            <w:r>
              <w:rPr>
                <w:rFonts w:hint="eastAsia" w:ascii="宋体" w:hAnsi="宋体" w:eastAsia="宋体" w:cs="宋体"/>
                <w:b/>
                <w:bCs/>
                <w:sz w:val="24"/>
                <w:szCs w:val="24"/>
              </w:rPr>
              <w:t>信息名称</w:t>
            </w:r>
          </w:p>
        </w:tc>
        <w:tc>
          <w:tcPr>
            <w:tcW w:w="3507" w:type="dxa"/>
            <w:vAlign w:val="bottom"/>
          </w:tcPr>
          <w:p w14:paraId="26BFE3BE">
            <w:pPr>
              <w:spacing w:after="0"/>
              <w:jc w:val="center"/>
              <w:rPr>
                <w:rFonts w:ascii="宋体" w:hAnsi="宋体" w:eastAsia="宋体" w:cs="宋体"/>
                <w:b/>
                <w:bCs/>
                <w:sz w:val="24"/>
                <w:szCs w:val="24"/>
              </w:rPr>
            </w:pPr>
            <w:r>
              <w:rPr>
                <w:rFonts w:hint="eastAsia" w:ascii="宋体" w:hAnsi="宋体" w:eastAsia="宋体" w:cs="宋体"/>
                <w:b/>
                <w:bCs/>
                <w:sz w:val="24"/>
                <w:szCs w:val="24"/>
              </w:rPr>
              <w:t>信息来源</w:t>
            </w:r>
          </w:p>
        </w:tc>
        <w:tc>
          <w:tcPr>
            <w:tcW w:w="2781" w:type="dxa"/>
            <w:vAlign w:val="bottom"/>
          </w:tcPr>
          <w:p w14:paraId="5FF2A9C4">
            <w:pPr>
              <w:spacing w:after="0"/>
              <w:jc w:val="center"/>
              <w:rPr>
                <w:rFonts w:ascii="宋体" w:hAnsi="宋体" w:eastAsia="宋体" w:cs="宋体"/>
                <w:b/>
                <w:bCs/>
                <w:sz w:val="24"/>
                <w:szCs w:val="24"/>
              </w:rPr>
            </w:pPr>
            <w:r>
              <w:rPr>
                <w:rFonts w:hint="eastAsia" w:ascii="宋体" w:hAnsi="宋体" w:eastAsia="宋体" w:cs="宋体"/>
                <w:b/>
                <w:bCs/>
                <w:sz w:val="24"/>
                <w:szCs w:val="24"/>
              </w:rPr>
              <w:t>发布形式</w:t>
            </w:r>
          </w:p>
        </w:tc>
        <w:tc>
          <w:tcPr>
            <w:tcW w:w="3277" w:type="dxa"/>
            <w:vAlign w:val="bottom"/>
          </w:tcPr>
          <w:p w14:paraId="4C0FC76A">
            <w:pPr>
              <w:spacing w:after="0"/>
              <w:jc w:val="center"/>
              <w:rPr>
                <w:rFonts w:ascii="宋体" w:hAnsi="宋体" w:eastAsia="宋体" w:cs="宋体"/>
                <w:b/>
                <w:bCs/>
                <w:sz w:val="24"/>
                <w:szCs w:val="24"/>
              </w:rPr>
            </w:pPr>
            <w:r>
              <w:rPr>
                <w:rFonts w:hint="eastAsia" w:ascii="宋体" w:hAnsi="宋体" w:eastAsia="宋体" w:cs="宋体"/>
                <w:b/>
                <w:bCs/>
                <w:sz w:val="24"/>
                <w:szCs w:val="24"/>
              </w:rPr>
              <w:t>保密机构或保密员</w:t>
            </w:r>
            <w:r>
              <w:rPr>
                <w:rFonts w:hint="eastAsia" w:ascii="宋体" w:hAnsi="宋体" w:eastAsia="宋体" w:cs="宋体"/>
                <w:b/>
                <w:bCs/>
                <w:sz w:val="24"/>
                <w:szCs w:val="24"/>
                <w:u w:val="single"/>
              </w:rPr>
              <w:t>复审</w:t>
            </w:r>
          </w:p>
        </w:tc>
        <w:tc>
          <w:tcPr>
            <w:tcW w:w="2081" w:type="dxa"/>
            <w:vAlign w:val="bottom"/>
          </w:tcPr>
          <w:p w14:paraId="4A35812F">
            <w:pPr>
              <w:spacing w:after="0"/>
              <w:jc w:val="center"/>
              <w:rPr>
                <w:rFonts w:ascii="宋体" w:hAnsi="宋体" w:eastAsia="宋体" w:cs="宋体"/>
                <w:b/>
                <w:bCs/>
                <w:sz w:val="24"/>
                <w:szCs w:val="24"/>
              </w:rPr>
            </w:pPr>
            <w:r>
              <w:rPr>
                <w:rFonts w:hint="eastAsia" w:ascii="宋体" w:hAnsi="宋体" w:eastAsia="宋体" w:cs="宋体"/>
                <w:b/>
                <w:bCs/>
                <w:sz w:val="24"/>
                <w:szCs w:val="24"/>
              </w:rPr>
              <w:t>主管领导</w:t>
            </w:r>
            <w:r>
              <w:rPr>
                <w:rFonts w:hint="eastAsia" w:ascii="宋体" w:hAnsi="宋体" w:eastAsia="宋体" w:cs="宋体"/>
                <w:b/>
                <w:bCs/>
                <w:sz w:val="24"/>
                <w:szCs w:val="24"/>
                <w:u w:val="single"/>
              </w:rPr>
              <w:t>终审</w:t>
            </w:r>
          </w:p>
        </w:tc>
      </w:tr>
      <w:tr w14:paraId="0A79D4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3992E6E2">
            <w:pPr>
              <w:spacing w:after="0" w:line="500" w:lineRule="exact"/>
              <w:jc w:val="center"/>
              <w:rPr>
                <w:rFonts w:ascii="宋体" w:hAnsi="宋体" w:eastAsia="宋体" w:cs="宋体"/>
              </w:rPr>
            </w:pPr>
          </w:p>
        </w:tc>
        <w:tc>
          <w:tcPr>
            <w:tcW w:w="2383" w:type="dxa"/>
            <w:vAlign w:val="center"/>
          </w:tcPr>
          <w:p w14:paraId="1F40691C">
            <w:pPr>
              <w:spacing w:after="0" w:line="500" w:lineRule="exact"/>
              <w:jc w:val="center"/>
              <w:rPr>
                <w:rFonts w:ascii="宋体" w:hAnsi="宋体" w:eastAsia="宋体" w:cs="宋体"/>
              </w:rPr>
            </w:pPr>
          </w:p>
        </w:tc>
        <w:tc>
          <w:tcPr>
            <w:tcW w:w="3507" w:type="dxa"/>
            <w:vAlign w:val="center"/>
          </w:tcPr>
          <w:p w14:paraId="44C91567">
            <w:pPr>
              <w:spacing w:after="0" w:line="500" w:lineRule="exact"/>
              <w:rPr>
                <w:rFonts w:ascii="宋体" w:hAnsi="宋体" w:eastAsia="宋体" w:cs="宋体"/>
              </w:rPr>
            </w:pPr>
            <w:r>
              <w:rPr>
                <w:rFonts w:hint="eastAsia" w:ascii="宋体" w:hAnsi="宋体" w:eastAsia="宋体" w:cs="宋体"/>
              </w:rPr>
              <w:t>本机关、单位制发  □</w:t>
            </w:r>
          </w:p>
          <w:p w14:paraId="4483DF1C">
            <w:pPr>
              <w:spacing w:after="0" w:line="500" w:lineRule="exact"/>
              <w:rPr>
                <w:rFonts w:ascii="宋体" w:hAnsi="宋体" w:eastAsia="宋体" w:cs="宋体"/>
              </w:rPr>
            </w:pPr>
            <w:r>
              <w:rPr>
                <w:rFonts w:hint="eastAsia" w:ascii="宋体" w:hAnsi="宋体" w:eastAsia="宋体" w:cs="宋体"/>
              </w:rPr>
              <w:t>转载（注明转载来源）：</w:t>
            </w:r>
          </w:p>
          <w:p w14:paraId="0338EC4E">
            <w:pPr>
              <w:spacing w:after="0" w:line="500" w:lineRule="exact"/>
              <w:rPr>
                <w:rFonts w:ascii="宋体" w:hAnsi="宋体" w:eastAsia="宋体" w:cs="宋体"/>
                <w:u w:val="single"/>
              </w:rPr>
            </w:pPr>
            <w:r>
              <w:rPr>
                <w:rFonts w:hint="eastAsia" w:ascii="宋体" w:hAnsi="宋体" w:eastAsia="宋体" w:cs="宋体"/>
                <w:u w:val="single"/>
              </w:rPr>
              <w:t xml:space="preserve">                           </w:t>
            </w:r>
          </w:p>
        </w:tc>
        <w:tc>
          <w:tcPr>
            <w:tcW w:w="2781" w:type="dxa"/>
            <w:vAlign w:val="center"/>
          </w:tcPr>
          <w:p w14:paraId="6FA8416F">
            <w:pPr>
              <w:spacing w:after="0" w:line="500" w:lineRule="exact"/>
              <w:rPr>
                <w:rFonts w:ascii="宋体" w:hAnsi="宋体" w:eastAsia="宋体" w:cs="宋体"/>
              </w:rPr>
            </w:pPr>
            <w:r>
              <w:rPr>
                <w:rFonts w:hint="eastAsia" w:ascii="宋体" w:hAnsi="宋体" w:eastAsia="宋体" w:cs="宋体"/>
              </w:rPr>
              <w:t>政府网站主动公开  □</w:t>
            </w:r>
          </w:p>
          <w:p w14:paraId="5D6E0E5A">
            <w:pPr>
              <w:spacing w:after="0" w:line="500" w:lineRule="exact"/>
              <w:rPr>
                <w:rFonts w:ascii="宋体" w:hAnsi="宋体" w:eastAsia="宋体" w:cs="宋体"/>
              </w:rPr>
            </w:pPr>
            <w:r>
              <w:rPr>
                <w:rFonts w:hint="eastAsia" w:ascii="宋体" w:hAnsi="宋体" w:eastAsia="宋体" w:cs="宋体"/>
              </w:rPr>
              <w:t xml:space="preserve">依申请公开        </w:t>
            </w:r>
            <w:r>
              <w:rPr>
                <w:rFonts w:hint="eastAsia" w:ascii="宋体" w:hAnsi="宋体" w:eastAsia="宋体" w:cs="宋体"/>
              </w:rPr>
              <w:sym w:font="Wingdings 2" w:char="0052"/>
            </w:r>
          </w:p>
          <w:p w14:paraId="438154A7">
            <w:pPr>
              <w:spacing w:after="0" w:line="500" w:lineRule="exact"/>
              <w:rPr>
                <w:rFonts w:ascii="宋体" w:hAnsi="宋体" w:eastAsia="宋体" w:cs="宋体"/>
              </w:rPr>
            </w:pPr>
            <w:r>
              <w:rPr>
                <w:rFonts w:hint="eastAsia" w:ascii="宋体" w:hAnsi="宋体" w:eastAsia="宋体" w:cs="宋体"/>
              </w:rPr>
              <w:t>其他</w:t>
            </w:r>
            <w:r>
              <w:rPr>
                <w:rFonts w:hint="eastAsia" w:ascii="宋体" w:hAnsi="宋体" w:eastAsia="宋体" w:cs="宋体"/>
                <w:u w:val="single"/>
              </w:rPr>
              <w:t xml:space="preserve">                </w:t>
            </w:r>
          </w:p>
        </w:tc>
        <w:tc>
          <w:tcPr>
            <w:tcW w:w="3277" w:type="dxa"/>
            <w:vAlign w:val="center"/>
          </w:tcPr>
          <w:p w14:paraId="5E7BB0BB">
            <w:pPr>
              <w:spacing w:after="0" w:line="500" w:lineRule="exact"/>
              <w:rPr>
                <w:rFonts w:ascii="宋体" w:hAnsi="宋体" w:eastAsia="宋体" w:cs="宋体"/>
              </w:rPr>
            </w:pPr>
            <w:r>
              <w:rPr>
                <w:rFonts w:hint="eastAsia" w:ascii="宋体" w:hAnsi="宋体" w:eastAsia="宋体" w:cs="宋体"/>
              </w:rPr>
              <w:t>非涉密，同意公开□</w:t>
            </w:r>
          </w:p>
          <w:p w14:paraId="4CA6B9DA">
            <w:pPr>
              <w:spacing w:after="0" w:line="500" w:lineRule="exact"/>
              <w:rPr>
                <w:rFonts w:ascii="宋体" w:hAnsi="宋体" w:eastAsia="宋体" w:cs="宋体"/>
              </w:rPr>
            </w:pPr>
            <w:r>
              <w:rPr>
                <w:rFonts w:hint="eastAsia" w:ascii="宋体" w:hAnsi="宋体" w:eastAsia="宋体" w:cs="宋体"/>
              </w:rPr>
              <w:t>不同意，</w:t>
            </w:r>
            <w:r>
              <w:rPr>
                <w:rFonts w:hint="eastAsia" w:ascii="宋体" w:hAnsi="宋体" w:eastAsia="宋体" w:cs="宋体"/>
                <w:u w:val="single"/>
              </w:rPr>
              <w:t xml:space="preserve">        </w:t>
            </w:r>
            <w:r>
              <w:rPr>
                <w:rFonts w:hint="eastAsia" w:ascii="宋体" w:hAnsi="宋体" w:eastAsia="宋体" w:cs="宋体"/>
              </w:rPr>
              <w:t>□</w:t>
            </w:r>
          </w:p>
        </w:tc>
        <w:tc>
          <w:tcPr>
            <w:tcW w:w="2081" w:type="dxa"/>
            <w:vAlign w:val="center"/>
          </w:tcPr>
          <w:p w14:paraId="3A75B36F">
            <w:pPr>
              <w:spacing w:after="0" w:line="500" w:lineRule="exact"/>
              <w:jc w:val="center"/>
              <w:rPr>
                <w:rFonts w:ascii="宋体" w:hAnsi="宋体" w:eastAsia="宋体" w:cs="宋体"/>
              </w:rPr>
            </w:pPr>
          </w:p>
        </w:tc>
      </w:tr>
      <w:tr w14:paraId="32DF45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14:paraId="4B6A6E84">
            <w:pPr>
              <w:spacing w:after="0" w:line="500" w:lineRule="exact"/>
              <w:jc w:val="center"/>
              <w:rPr>
                <w:rFonts w:ascii="宋体" w:hAnsi="宋体" w:eastAsia="宋体" w:cs="宋体"/>
              </w:rPr>
            </w:pPr>
          </w:p>
        </w:tc>
        <w:tc>
          <w:tcPr>
            <w:tcW w:w="2383" w:type="dxa"/>
            <w:vAlign w:val="center"/>
          </w:tcPr>
          <w:p w14:paraId="7D9720C2">
            <w:pPr>
              <w:spacing w:after="0" w:line="500" w:lineRule="exact"/>
              <w:jc w:val="center"/>
              <w:rPr>
                <w:rFonts w:ascii="宋体" w:hAnsi="宋体" w:eastAsia="宋体" w:cs="宋体"/>
              </w:rPr>
            </w:pPr>
          </w:p>
        </w:tc>
        <w:tc>
          <w:tcPr>
            <w:tcW w:w="3507" w:type="dxa"/>
            <w:vAlign w:val="center"/>
          </w:tcPr>
          <w:p w14:paraId="5490D84B">
            <w:pPr>
              <w:spacing w:after="0" w:line="500" w:lineRule="exact"/>
              <w:rPr>
                <w:rFonts w:ascii="宋体" w:hAnsi="宋体" w:eastAsia="宋体" w:cs="宋体"/>
              </w:rPr>
            </w:pPr>
            <w:r>
              <w:rPr>
                <w:rFonts w:hint="eastAsia" w:ascii="宋体" w:hAnsi="宋体" w:eastAsia="宋体" w:cs="宋体"/>
              </w:rPr>
              <w:t>本机关、单位制发  □</w:t>
            </w:r>
          </w:p>
          <w:p w14:paraId="7DBBF960">
            <w:pPr>
              <w:spacing w:after="0" w:line="500" w:lineRule="exact"/>
              <w:rPr>
                <w:rFonts w:ascii="宋体" w:hAnsi="宋体" w:eastAsia="宋体" w:cs="宋体"/>
              </w:rPr>
            </w:pPr>
            <w:r>
              <w:rPr>
                <w:rFonts w:hint="eastAsia" w:ascii="宋体" w:hAnsi="宋体" w:eastAsia="宋体" w:cs="宋体"/>
              </w:rPr>
              <w:t>转载（注明转载来源）：</w:t>
            </w:r>
          </w:p>
          <w:p w14:paraId="1923DF47">
            <w:pPr>
              <w:spacing w:after="0" w:line="500" w:lineRule="exact"/>
              <w:rPr>
                <w:rFonts w:ascii="宋体" w:hAnsi="宋体" w:eastAsia="宋体" w:cs="宋体"/>
              </w:rPr>
            </w:pPr>
            <w:r>
              <w:rPr>
                <w:rFonts w:hint="eastAsia" w:ascii="宋体" w:hAnsi="宋体" w:eastAsia="宋体" w:cs="宋体"/>
                <w:u w:val="single"/>
              </w:rPr>
              <w:t xml:space="preserve">                            </w:t>
            </w:r>
          </w:p>
        </w:tc>
        <w:tc>
          <w:tcPr>
            <w:tcW w:w="2781" w:type="dxa"/>
            <w:vAlign w:val="center"/>
          </w:tcPr>
          <w:p w14:paraId="2F6B8D06">
            <w:pPr>
              <w:spacing w:after="0" w:line="500" w:lineRule="exact"/>
              <w:rPr>
                <w:rFonts w:ascii="宋体" w:hAnsi="宋体" w:eastAsia="宋体" w:cs="宋体"/>
              </w:rPr>
            </w:pPr>
            <w:r>
              <w:rPr>
                <w:rFonts w:hint="eastAsia" w:ascii="宋体" w:hAnsi="宋体" w:eastAsia="宋体" w:cs="宋体"/>
              </w:rPr>
              <w:t>政府网站主动公开  □</w:t>
            </w:r>
          </w:p>
          <w:p w14:paraId="0F3C25DC">
            <w:pPr>
              <w:spacing w:after="0" w:line="500" w:lineRule="exact"/>
              <w:rPr>
                <w:rFonts w:ascii="宋体" w:hAnsi="宋体" w:eastAsia="宋体" w:cs="宋体"/>
              </w:rPr>
            </w:pPr>
            <w:r>
              <w:rPr>
                <w:rFonts w:hint="eastAsia" w:ascii="宋体" w:hAnsi="宋体" w:eastAsia="宋体" w:cs="宋体"/>
              </w:rPr>
              <w:t>依申请公开        □</w:t>
            </w:r>
          </w:p>
          <w:p w14:paraId="7CD7EFBB">
            <w:pPr>
              <w:spacing w:after="0" w:line="500" w:lineRule="exact"/>
              <w:rPr>
                <w:rFonts w:ascii="宋体" w:hAnsi="宋体" w:eastAsia="宋体" w:cs="宋体"/>
              </w:rPr>
            </w:pPr>
            <w:r>
              <w:rPr>
                <w:rFonts w:hint="eastAsia" w:ascii="宋体" w:hAnsi="宋体" w:eastAsia="宋体" w:cs="宋体"/>
              </w:rPr>
              <w:t>其他</w:t>
            </w:r>
            <w:r>
              <w:rPr>
                <w:rFonts w:hint="eastAsia" w:ascii="宋体" w:hAnsi="宋体" w:eastAsia="宋体" w:cs="宋体"/>
                <w:u w:val="single"/>
              </w:rPr>
              <w:t xml:space="preserve">                </w:t>
            </w:r>
          </w:p>
        </w:tc>
        <w:tc>
          <w:tcPr>
            <w:tcW w:w="3277" w:type="dxa"/>
            <w:vAlign w:val="center"/>
          </w:tcPr>
          <w:p w14:paraId="41CBAF20">
            <w:pPr>
              <w:spacing w:after="0" w:line="500" w:lineRule="exact"/>
              <w:rPr>
                <w:rFonts w:ascii="宋体" w:hAnsi="宋体" w:eastAsia="宋体" w:cs="宋体"/>
              </w:rPr>
            </w:pPr>
            <w:r>
              <w:rPr>
                <w:rFonts w:hint="eastAsia" w:ascii="宋体" w:hAnsi="宋体" w:eastAsia="宋体" w:cs="宋体"/>
              </w:rPr>
              <w:t>非涉密，同意公开□</w:t>
            </w:r>
          </w:p>
          <w:p w14:paraId="06572D2C">
            <w:pPr>
              <w:spacing w:after="0" w:line="500" w:lineRule="exact"/>
              <w:rPr>
                <w:rFonts w:ascii="宋体" w:hAnsi="宋体" w:eastAsia="宋体" w:cs="宋体"/>
              </w:rPr>
            </w:pPr>
            <w:r>
              <w:rPr>
                <w:rFonts w:hint="eastAsia" w:ascii="宋体" w:hAnsi="宋体" w:eastAsia="宋体" w:cs="宋体"/>
              </w:rPr>
              <w:t>不同意，</w:t>
            </w:r>
            <w:r>
              <w:rPr>
                <w:rFonts w:hint="eastAsia" w:ascii="宋体" w:hAnsi="宋体" w:eastAsia="宋体" w:cs="宋体"/>
                <w:u w:val="single"/>
              </w:rPr>
              <w:t xml:space="preserve">        </w:t>
            </w:r>
            <w:r>
              <w:rPr>
                <w:rFonts w:hint="eastAsia" w:ascii="宋体" w:hAnsi="宋体" w:eastAsia="宋体" w:cs="宋体"/>
              </w:rPr>
              <w:t>□</w:t>
            </w:r>
          </w:p>
        </w:tc>
        <w:tc>
          <w:tcPr>
            <w:tcW w:w="2081" w:type="dxa"/>
            <w:vAlign w:val="center"/>
          </w:tcPr>
          <w:p w14:paraId="67197E45">
            <w:pPr>
              <w:spacing w:after="0" w:line="500" w:lineRule="exact"/>
              <w:jc w:val="center"/>
              <w:rPr>
                <w:rFonts w:ascii="宋体" w:hAnsi="宋体" w:eastAsia="宋体" w:cs="宋体"/>
              </w:rPr>
            </w:pPr>
          </w:p>
        </w:tc>
      </w:tr>
      <w:tr w14:paraId="4B0E51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9380" w:type="dxa"/>
            <w:gridSpan w:val="4"/>
            <w:vAlign w:val="center"/>
          </w:tcPr>
          <w:p w14:paraId="4328728B">
            <w:pPr>
              <w:spacing w:after="0" w:line="500" w:lineRule="exact"/>
              <w:rPr>
                <w:rFonts w:ascii="宋体" w:hAnsi="宋体" w:eastAsia="宋体" w:cs="宋体"/>
              </w:rPr>
            </w:pPr>
            <w:r>
              <w:rPr>
                <w:rFonts w:hint="eastAsia" w:ascii="宋体" w:hAnsi="宋体" w:eastAsia="宋体" w:cs="宋体"/>
              </w:rPr>
              <w:t>承办人</w:t>
            </w:r>
            <w:r>
              <w:rPr>
                <w:rFonts w:hint="eastAsia" w:ascii="宋体" w:hAnsi="宋体" w:eastAsia="宋体" w:cs="宋体"/>
                <w:u w:val="single"/>
              </w:rPr>
              <w:t>初审</w:t>
            </w:r>
            <w:r>
              <w:rPr>
                <w:rFonts w:hint="eastAsia" w:ascii="宋体" w:hAnsi="宋体" w:eastAsia="宋体" w:cs="宋体"/>
              </w:rPr>
              <w:t>（签字）</w:t>
            </w:r>
          </w:p>
        </w:tc>
        <w:tc>
          <w:tcPr>
            <w:tcW w:w="3277" w:type="dxa"/>
            <w:vAlign w:val="center"/>
          </w:tcPr>
          <w:p w14:paraId="408EE727">
            <w:pPr>
              <w:spacing w:after="0" w:line="500" w:lineRule="exact"/>
              <w:rPr>
                <w:rFonts w:ascii="宋体" w:hAnsi="宋体" w:eastAsia="宋体" w:cs="宋体"/>
              </w:rPr>
            </w:pPr>
            <w:r>
              <w:rPr>
                <w:rFonts w:hint="eastAsia" w:ascii="宋体" w:hAnsi="宋体" w:eastAsia="宋体" w:cs="宋体"/>
              </w:rPr>
              <w:t>（签字）</w:t>
            </w:r>
          </w:p>
        </w:tc>
        <w:tc>
          <w:tcPr>
            <w:tcW w:w="2081" w:type="dxa"/>
            <w:vAlign w:val="center"/>
          </w:tcPr>
          <w:p w14:paraId="3F921261">
            <w:pPr>
              <w:spacing w:after="0" w:line="500" w:lineRule="exact"/>
              <w:rPr>
                <w:rFonts w:ascii="宋体" w:hAnsi="宋体" w:eastAsia="宋体" w:cs="宋体"/>
              </w:rPr>
            </w:pPr>
            <w:r>
              <w:rPr>
                <w:rFonts w:hint="eastAsia" w:ascii="宋体" w:hAnsi="宋体" w:eastAsia="宋体" w:cs="宋体"/>
              </w:rPr>
              <w:t>（签字）</w:t>
            </w:r>
          </w:p>
        </w:tc>
      </w:tr>
    </w:tbl>
    <w:p w14:paraId="636DEB10">
      <w:pPr>
        <w:spacing w:after="0" w:line="400" w:lineRule="exact"/>
        <w:ind w:firstLine="440" w:firstLineChars="200"/>
        <w:rPr>
          <w:rFonts w:ascii="宋体" w:hAnsi="宋体" w:eastAsia="宋体" w:cs="宋体"/>
        </w:rPr>
      </w:pPr>
    </w:p>
    <w:p w14:paraId="62CDAF84">
      <w:pPr>
        <w:spacing w:after="0" w:line="400" w:lineRule="exact"/>
        <w:ind w:firstLine="440" w:firstLineChars="200"/>
        <w:rPr>
          <w:rFonts w:ascii="宋体" w:hAnsi="宋体" w:eastAsia="宋体" w:cs="宋体"/>
        </w:rPr>
      </w:pPr>
      <w:r>
        <w:rPr>
          <w:rFonts w:hint="eastAsia" w:ascii="宋体" w:hAnsi="宋体" w:eastAsia="宋体" w:cs="宋体"/>
        </w:rPr>
        <w:t>注：1.机关、单位政府网站及政务新媒体发布信息前要认真填写本表；</w:t>
      </w:r>
    </w:p>
    <w:p w14:paraId="7281B8F5">
      <w:pPr>
        <w:spacing w:after="0" w:line="400" w:lineRule="exact"/>
        <w:ind w:firstLine="880" w:firstLineChars="400"/>
        <w:rPr>
          <w:rFonts w:ascii="宋体" w:hAnsi="宋体" w:eastAsia="宋体" w:cs="宋体"/>
        </w:rPr>
      </w:pPr>
      <w:r>
        <w:rPr>
          <w:rFonts w:hint="eastAsia" w:ascii="宋体" w:hAnsi="宋体" w:eastAsia="宋体" w:cs="宋体"/>
        </w:rPr>
        <w:t>2.严格落实信息发布保密审查制度和“三审制”，请在相应的“□”打“√”或填写意见；</w:t>
      </w:r>
    </w:p>
    <w:p w14:paraId="464C3028">
      <w:pPr>
        <w:spacing w:after="0" w:line="400" w:lineRule="exact"/>
        <w:ind w:firstLine="880" w:firstLineChars="400"/>
        <w:rPr>
          <w:rFonts w:ascii="宋体" w:hAnsi="宋体" w:eastAsia="宋体" w:cs="宋体"/>
        </w:rPr>
      </w:pPr>
      <w:r>
        <w:rPr>
          <w:rFonts w:hint="eastAsia" w:ascii="宋体" w:hAnsi="宋体" w:eastAsia="宋体" w:cs="宋体"/>
        </w:rPr>
        <w:t>3.信息发布要严把文字、保密、政治关，不能确定信息是否可以公开时，要组织保密审查并报上级部门确认；</w:t>
      </w:r>
    </w:p>
    <w:p w14:paraId="36806578">
      <w:pPr>
        <w:spacing w:after="0" w:line="400" w:lineRule="exact"/>
        <w:ind w:firstLine="880" w:firstLineChars="400"/>
        <w:rPr>
          <w:rFonts w:hint="eastAsia" w:ascii="宋体" w:hAnsi="宋体" w:eastAsia="宋体" w:cs="宋体"/>
        </w:rPr>
      </w:pPr>
      <w:r>
        <w:rPr>
          <w:rFonts w:hint="eastAsia" w:ascii="宋体" w:hAnsi="宋体" w:eastAsia="宋体" w:cs="宋体"/>
        </w:rPr>
        <w:t>4.本表由本机关、单位负责组织填写和保管</w:t>
      </w:r>
    </w:p>
    <w:p w14:paraId="59EA9FAC">
      <w:pPr>
        <w:rPr>
          <w:rFonts w:ascii="宋体" w:hAnsi="宋体" w:eastAsia="宋体" w:cs="宋体"/>
        </w:rPr>
      </w:pPr>
    </w:p>
    <w:sectPr>
      <w:pgSz w:w="16838" w:h="11906" w:orient="landscape"/>
      <w:pgMar w:top="1587" w:right="1587" w:bottom="1587" w:left="1587" w:header="708" w:footer="709" w:gutter="0"/>
      <w:cols w:space="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华文中宋">
    <w:altName w:val="宋体"/>
    <w:panose1 w:val="02010600040101010101"/>
    <w:charset w:val="86"/>
    <w:family w:val="auto"/>
    <w:pitch w:val="default"/>
    <w:sig w:usb0="00000000" w:usb1="00000000" w:usb2="00000010" w:usb3="00000000" w:csb0="0004009F"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FADF4">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64CD954">
                          <w:pPr>
                            <w:pStyle w:val="5"/>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ihY+ckBAACZ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mUOG5x4OefP86/Hs8P38mb&#10;LE8foMasu4B5aXjvh5w6+QGdmfWgos1f5EMwjuKeLuLKIRGRH62Wq1WFIYGx+YI47Ol5iJA+SG9J&#10;NhoacXpFVH78BGlMnVNyNedvtTHo57VxfzkQM3tY7n3sMVtp2A1T4zvfnpBPj4NvqMM9p8R8dKhr&#10;3pHZiLOxm41DiHrflSXK9SC8OyRsovSWK4ywU2GcWGE3bVdeiT/vJevpj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mKFj5yQEAAJkDAAAOAAAAAAAAAAEAIAAAAB4BAABkcnMvZTJvRG9j&#10;LnhtbFBLBQYAAAAABgAGAFkBAABZBQAAAAA=&#10;">
              <v:fill on="f" focussize="0,0"/>
              <v:stroke on="f"/>
              <v:imagedata o:title=""/>
              <o:lock v:ext="edit" aspectratio="f"/>
              <v:textbox inset="0mm,0mm,0mm,0mm" style="mso-fit-shape-to-text:t;">
                <w:txbxContent>
                  <w:p w14:paraId="664CD954">
                    <w:pPr>
                      <w:pStyle w:val="5"/>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3086C7"/>
    <w:multiLevelType w:val="singleLevel"/>
    <w:tmpl w:val="963086C7"/>
    <w:lvl w:ilvl="0" w:tentative="0">
      <w:start w:val="1"/>
      <w:numFmt w:val="decimal"/>
      <w:suff w:val="nothing"/>
      <w:lvlText w:val="%1、"/>
      <w:lvlJc w:val="left"/>
    </w:lvl>
  </w:abstractNum>
  <w:abstractNum w:abstractNumId="1">
    <w:nsid w:val="22949A0C"/>
    <w:multiLevelType w:val="singleLevel"/>
    <w:tmpl w:val="22949A0C"/>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1"/>
  <w:bordersDoNotSurroundHeader w:val="1"/>
  <w:bordersDoNotSurroundFooter w:val="1"/>
  <w:documentProtection w:enforcement="0"/>
  <w:defaultTabStop w:val="720"/>
  <w:characterSpacingControl w:val="doNotCompress"/>
  <w:footnotePr>
    <w:footnote w:id="0"/>
    <w:footnote w:id="1"/>
  </w:foot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kMWExODliM2U0Mzc4ZDQ1ZjAyNTJjOTg5OGRhOTAifQ=="/>
  </w:docVars>
  <w:rsids>
    <w:rsidRoot w:val="00D31D50"/>
    <w:rsid w:val="000B540C"/>
    <w:rsid w:val="00135CB9"/>
    <w:rsid w:val="001F1A2E"/>
    <w:rsid w:val="00323B43"/>
    <w:rsid w:val="0036742F"/>
    <w:rsid w:val="0038315F"/>
    <w:rsid w:val="003D37D8"/>
    <w:rsid w:val="00415CE5"/>
    <w:rsid w:val="00426133"/>
    <w:rsid w:val="004358AB"/>
    <w:rsid w:val="004C6566"/>
    <w:rsid w:val="00542C4C"/>
    <w:rsid w:val="006B50E7"/>
    <w:rsid w:val="00782012"/>
    <w:rsid w:val="00807C6D"/>
    <w:rsid w:val="008B7726"/>
    <w:rsid w:val="00A90A9C"/>
    <w:rsid w:val="00AA2BB6"/>
    <w:rsid w:val="00AF7382"/>
    <w:rsid w:val="00C04908"/>
    <w:rsid w:val="00CF5F8D"/>
    <w:rsid w:val="00D31D50"/>
    <w:rsid w:val="00EA7D7A"/>
    <w:rsid w:val="00EB4495"/>
    <w:rsid w:val="00FA17E4"/>
    <w:rsid w:val="010D6B75"/>
    <w:rsid w:val="01972837"/>
    <w:rsid w:val="033A1D2B"/>
    <w:rsid w:val="03424294"/>
    <w:rsid w:val="03550139"/>
    <w:rsid w:val="03B66504"/>
    <w:rsid w:val="056A5DCB"/>
    <w:rsid w:val="05FE0BE6"/>
    <w:rsid w:val="09E813E1"/>
    <w:rsid w:val="0E3E1F17"/>
    <w:rsid w:val="0ED05125"/>
    <w:rsid w:val="0FA51A1F"/>
    <w:rsid w:val="10BB784F"/>
    <w:rsid w:val="123F1DBA"/>
    <w:rsid w:val="12855F2D"/>
    <w:rsid w:val="1C4F7811"/>
    <w:rsid w:val="1E926D9A"/>
    <w:rsid w:val="1EE10A22"/>
    <w:rsid w:val="1FF57DF9"/>
    <w:rsid w:val="20E56222"/>
    <w:rsid w:val="246D5C4F"/>
    <w:rsid w:val="27AF54E0"/>
    <w:rsid w:val="283F0101"/>
    <w:rsid w:val="28E62B38"/>
    <w:rsid w:val="29932CBF"/>
    <w:rsid w:val="2A091F98"/>
    <w:rsid w:val="2B8F5B2A"/>
    <w:rsid w:val="2D9F0B21"/>
    <w:rsid w:val="2E0E569B"/>
    <w:rsid w:val="2E5F43CA"/>
    <w:rsid w:val="2F1A6C8E"/>
    <w:rsid w:val="2F2D2758"/>
    <w:rsid w:val="2FB93755"/>
    <w:rsid w:val="2FC51875"/>
    <w:rsid w:val="352E3900"/>
    <w:rsid w:val="3655688A"/>
    <w:rsid w:val="375A7974"/>
    <w:rsid w:val="38263C5E"/>
    <w:rsid w:val="387D6291"/>
    <w:rsid w:val="3A9F783C"/>
    <w:rsid w:val="3D084D4F"/>
    <w:rsid w:val="3DCA01BF"/>
    <w:rsid w:val="3E2905AA"/>
    <w:rsid w:val="3F2533F6"/>
    <w:rsid w:val="3FFC25C9"/>
    <w:rsid w:val="417D7802"/>
    <w:rsid w:val="42BB7663"/>
    <w:rsid w:val="43B802BF"/>
    <w:rsid w:val="43D617A7"/>
    <w:rsid w:val="46357180"/>
    <w:rsid w:val="47070DC3"/>
    <w:rsid w:val="47811F51"/>
    <w:rsid w:val="482E79F6"/>
    <w:rsid w:val="48661705"/>
    <w:rsid w:val="4A4D7699"/>
    <w:rsid w:val="4BA1067F"/>
    <w:rsid w:val="4C150FBA"/>
    <w:rsid w:val="4DF06083"/>
    <w:rsid w:val="4E6B1A2A"/>
    <w:rsid w:val="5176593F"/>
    <w:rsid w:val="526B70BF"/>
    <w:rsid w:val="529A32E6"/>
    <w:rsid w:val="540B63BE"/>
    <w:rsid w:val="54CA72E7"/>
    <w:rsid w:val="58AE663A"/>
    <w:rsid w:val="5AE02BA5"/>
    <w:rsid w:val="5AF27EFF"/>
    <w:rsid w:val="5AFD3965"/>
    <w:rsid w:val="5B5176BC"/>
    <w:rsid w:val="5BEF091F"/>
    <w:rsid w:val="5ED74E21"/>
    <w:rsid w:val="614D07AD"/>
    <w:rsid w:val="62881815"/>
    <w:rsid w:val="6374713E"/>
    <w:rsid w:val="68F1501C"/>
    <w:rsid w:val="6A0821C4"/>
    <w:rsid w:val="6BA204F9"/>
    <w:rsid w:val="6BEC7865"/>
    <w:rsid w:val="6D1920F6"/>
    <w:rsid w:val="6D2A0A99"/>
    <w:rsid w:val="6D8A457D"/>
    <w:rsid w:val="6E5F44BF"/>
    <w:rsid w:val="6F571D16"/>
    <w:rsid w:val="70AC6CA6"/>
    <w:rsid w:val="70D132D8"/>
    <w:rsid w:val="73076CB1"/>
    <w:rsid w:val="739F6935"/>
    <w:rsid w:val="768B79D3"/>
    <w:rsid w:val="768F0540"/>
    <w:rsid w:val="79A429DF"/>
    <w:rsid w:val="7A252900"/>
    <w:rsid w:val="7B6273C9"/>
    <w:rsid w:val="7C8C7339"/>
    <w:rsid w:val="7DB810CB"/>
    <w:rsid w:val="7ECE3F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11">
    <w:name w:val="Default Paragraph Font"/>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39"/>
    <w:pPr>
      <w:keepNext w:val="0"/>
      <w:keepLines w:val="0"/>
      <w:widowControl w:val="0"/>
      <w:suppressLineNumbers w:val="0"/>
      <w:spacing w:before="0" w:beforeLines="0" w:beforeAutospacing="0" w:after="0" w:afterLines="0" w:afterAutospacing="0"/>
      <w:ind w:left="0" w:right="0"/>
      <w:jc w:val="both"/>
    </w:pPr>
    <w:rPr>
      <w:rFonts w:hint="eastAsia" w:ascii="华文中宋" w:hAnsi="华文中宋" w:eastAsia="华文中宋" w:cs="Times New Roman"/>
      <w:b/>
      <w:kern w:val="2"/>
      <w:sz w:val="28"/>
      <w:szCs w:val="28"/>
      <w:lang w:val="en-US" w:eastAsia="zh-CN"/>
    </w:rPr>
  </w:style>
  <w:style w:type="paragraph" w:styleId="3">
    <w:name w:val="Body Text"/>
    <w:basedOn w:val="1"/>
    <w:qFormat/>
    <w:uiPriority w:val="0"/>
    <w:pPr>
      <w:widowControl/>
      <w:adjustRightInd w:val="0"/>
      <w:snapToGrid w:val="0"/>
      <w:spacing w:after="200"/>
      <w:jc w:val="left"/>
    </w:pPr>
    <w:rPr>
      <w:rFonts w:ascii="Tahoma" w:hAnsi="Tahoma" w:eastAsia="微软雅黑" w:cstheme="minorBidi"/>
      <w:kern w:val="0"/>
      <w:sz w:val="22"/>
      <w:szCs w:val="22"/>
    </w:rPr>
  </w:style>
  <w:style w:type="paragraph" w:styleId="4">
    <w:name w:val="Body Text Indent"/>
    <w:basedOn w:val="1"/>
    <w:unhideWhenUsed/>
    <w:qFormat/>
    <w:uiPriority w:val="0"/>
    <w:pPr>
      <w:spacing w:before="0" w:beforeAutospacing="0" w:after="120" w:afterAutospacing="0" w:line="240" w:lineRule="auto"/>
      <w:ind w:left="420" w:leftChars="200" w:firstLine="0" w:firstLineChars="0"/>
    </w:pPr>
    <w:rPr>
      <w:sz w:val="21"/>
    </w:rPr>
  </w:style>
  <w:style w:type="paragraph" w:styleId="5">
    <w:name w:val="footer"/>
    <w:basedOn w:val="1"/>
    <w:link w:val="15"/>
    <w:semiHidden/>
    <w:unhideWhenUsed/>
    <w:qFormat/>
    <w:uiPriority w:val="99"/>
    <w:pPr>
      <w:tabs>
        <w:tab w:val="center" w:pos="4153"/>
        <w:tab w:val="right" w:pos="8306"/>
      </w:tabs>
    </w:pPr>
    <w:rPr>
      <w:sz w:val="18"/>
      <w:szCs w:val="18"/>
    </w:rPr>
  </w:style>
  <w:style w:type="paragraph" w:styleId="6">
    <w:name w:val="header"/>
    <w:basedOn w:val="1"/>
    <w:link w:val="14"/>
    <w:semiHidden/>
    <w:unhideWhenUsed/>
    <w:qFormat/>
    <w:uiPriority w:val="99"/>
    <w:pPr>
      <w:pBdr>
        <w:bottom w:val="single" w:color="auto" w:sz="6" w:space="1"/>
      </w:pBdr>
      <w:tabs>
        <w:tab w:val="center" w:pos="4153"/>
        <w:tab w:val="right" w:pos="8306"/>
      </w:tabs>
      <w:jc w:val="center"/>
    </w:pPr>
    <w:rPr>
      <w:sz w:val="18"/>
      <w:szCs w:val="18"/>
    </w:rPr>
  </w:style>
  <w:style w:type="paragraph" w:styleId="7">
    <w:name w:val="footnote text"/>
    <w:basedOn w:val="1"/>
    <w:qFormat/>
    <w:uiPriority w:val="0"/>
    <w:pPr>
      <w:snapToGrid w:val="0"/>
      <w:jc w:val="left"/>
    </w:pPr>
    <w:rPr>
      <w:sz w:val="18"/>
    </w:rPr>
  </w:style>
  <w:style w:type="paragraph" w:styleId="8">
    <w:name w:val="Normal (Web)"/>
    <w:basedOn w:val="1"/>
    <w:semiHidden/>
    <w:unhideWhenUsed/>
    <w:qFormat/>
    <w:uiPriority w:val="99"/>
    <w:pPr>
      <w:adjustRightInd/>
      <w:snapToGrid/>
      <w:spacing w:before="100" w:beforeAutospacing="1" w:after="100" w:afterAutospacing="1"/>
    </w:pPr>
    <w:rPr>
      <w:rFonts w:ascii="宋体" w:hAnsi="宋体" w:eastAsia="宋体" w:cs="宋体"/>
      <w:sz w:val="24"/>
      <w:szCs w:val="24"/>
    </w:rPr>
  </w:style>
  <w:style w:type="paragraph" w:styleId="9">
    <w:name w:val="Body Text First Indent 2"/>
    <w:basedOn w:val="4"/>
    <w:qFormat/>
    <w:uiPriority w:val="0"/>
    <w:pPr>
      <w:autoSpaceDE w:val="0"/>
      <w:autoSpaceDN w:val="0"/>
      <w:adjustRightInd w:val="0"/>
      <w:spacing w:after="0"/>
      <w:ind w:firstLine="420"/>
      <w:jc w:val="left"/>
    </w:pPr>
    <w:rPr>
      <w:rFonts w:ascii="Calibri" w:hAnsi="Calibri"/>
    </w:rPr>
  </w:style>
  <w:style w:type="character" w:styleId="12">
    <w:name w:val="page number"/>
    <w:basedOn w:val="11"/>
    <w:qFormat/>
    <w:uiPriority w:val="0"/>
  </w:style>
  <w:style w:type="character" w:styleId="13">
    <w:name w:val="Hyperlink"/>
    <w:basedOn w:val="11"/>
    <w:semiHidden/>
    <w:unhideWhenUsed/>
    <w:qFormat/>
    <w:uiPriority w:val="99"/>
    <w:rPr>
      <w:color w:val="333333"/>
      <w:u w:val="none"/>
    </w:rPr>
  </w:style>
  <w:style w:type="character" w:customStyle="1" w:styleId="14">
    <w:name w:val="页眉 Char"/>
    <w:basedOn w:val="11"/>
    <w:link w:val="6"/>
    <w:semiHidden/>
    <w:qFormat/>
    <w:uiPriority w:val="99"/>
    <w:rPr>
      <w:rFonts w:ascii="Tahoma" w:hAnsi="Tahoma"/>
      <w:sz w:val="18"/>
      <w:szCs w:val="18"/>
    </w:rPr>
  </w:style>
  <w:style w:type="character" w:customStyle="1" w:styleId="15">
    <w:name w:val="页脚 Char"/>
    <w:basedOn w:val="11"/>
    <w:link w:val="5"/>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9184</Words>
  <Characters>9602</Characters>
  <Lines>66</Lines>
  <Paragraphs>18</Paragraphs>
  <TotalTime>10</TotalTime>
  <ScaleCrop>false</ScaleCrop>
  <LinksUpToDate>false</LinksUpToDate>
  <CharactersWithSpaces>10000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雨季</cp:lastModifiedBy>
  <cp:lastPrinted>2023-06-19T03:14:00Z</cp:lastPrinted>
  <dcterms:modified xsi:type="dcterms:W3CDTF">2024-08-12T02:55:31Z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1B98F6B80F9D4737AC1A879EEC08E15B_13</vt:lpwstr>
  </property>
</Properties>
</file>