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9A4D8A">
      <w:pPr>
        <w:spacing w:line="580" w:lineRule="exact"/>
        <w:rPr>
          <w:rFonts w:hint="eastAsia" w:ascii="黑体" w:hAnsi="黑体" w:eastAsia="黑体" w:cs="黑体"/>
          <w:sz w:val="28"/>
          <w:szCs w:val="28"/>
        </w:rPr>
      </w:pPr>
    </w:p>
    <w:p w14:paraId="215207ED">
      <w:pPr>
        <w:spacing w:after="0" w:line="700" w:lineRule="atLeast"/>
        <w:jc w:val="center"/>
        <w:rPr>
          <w:rFonts w:hint="eastAsia" w:ascii="方正小标宋简体" w:hAnsi="仿宋" w:eastAsia="方正小标宋简体"/>
          <w:bCs/>
          <w:sz w:val="44"/>
          <w:szCs w:val="44"/>
          <w:lang w:val="en-US" w:eastAsia="zh-CN"/>
        </w:rPr>
      </w:pPr>
      <w:r>
        <w:rPr>
          <w:rFonts w:hint="eastAsia" w:ascii="方正小标宋简体" w:hAnsi="仿宋" w:eastAsia="方正小标宋简体"/>
          <w:bCs/>
          <w:sz w:val="44"/>
          <w:szCs w:val="44"/>
        </w:rPr>
        <w:t>中方县交通建设质量安全监督管理</w:t>
      </w:r>
      <w:r>
        <w:rPr>
          <w:rFonts w:hint="eastAsia" w:ascii="方正小标宋简体" w:hAnsi="仿宋" w:eastAsia="方正小标宋简体"/>
          <w:bCs/>
          <w:sz w:val="44"/>
          <w:szCs w:val="44"/>
          <w:lang w:val="en-US" w:eastAsia="zh-CN"/>
        </w:rPr>
        <w:t>站</w:t>
      </w:r>
    </w:p>
    <w:p w14:paraId="4063D53E">
      <w:pPr>
        <w:spacing w:after="0" w:line="560" w:lineRule="atLeast"/>
        <w:jc w:val="center"/>
        <w:rPr>
          <w:rFonts w:hint="eastAsia" w:ascii="楷体" w:hAnsi="楷体" w:eastAsia="楷体" w:cs="楷体"/>
          <w:bCs/>
          <w:sz w:val="36"/>
          <w:szCs w:val="36"/>
        </w:rPr>
      </w:pPr>
      <w:r>
        <w:rPr>
          <w:rFonts w:hint="eastAsia" w:ascii="方正小标宋简体" w:hAnsi="仿宋" w:eastAsia="方正小标宋简体"/>
          <w:bCs/>
          <w:sz w:val="44"/>
          <w:szCs w:val="44"/>
          <w:lang w:eastAsia="zh-CN"/>
        </w:rPr>
        <w:t>2023</w:t>
      </w:r>
      <w:r>
        <w:rPr>
          <w:rFonts w:hint="eastAsia" w:ascii="方正小标宋简体" w:hAnsi="仿宋" w:eastAsia="方正小标宋简体"/>
          <w:bCs/>
          <w:sz w:val="44"/>
          <w:szCs w:val="44"/>
        </w:rPr>
        <w:t>年度部门整体支出绩效自评报告</w:t>
      </w:r>
    </w:p>
    <w:p w14:paraId="638078B4">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ascii="黑体" w:hAnsi="黑体" w:eastAsia="黑体" w:cs="黑体"/>
          <w:bCs/>
          <w:sz w:val="32"/>
          <w:szCs w:val="32"/>
        </w:rPr>
      </w:pPr>
      <w:r>
        <w:rPr>
          <w:rFonts w:hint="eastAsia" w:ascii="黑体" w:hAnsi="黑体" w:eastAsia="黑体" w:cs="黑体"/>
          <w:bCs/>
          <w:sz w:val="32"/>
          <w:szCs w:val="32"/>
        </w:rPr>
        <w:t>一、部门基本情况</w:t>
      </w:r>
    </w:p>
    <w:p w14:paraId="76E88D1D">
      <w:pPr>
        <w:spacing w:after="0" w:line="540" w:lineRule="exact"/>
        <w:rPr>
          <w:rFonts w:hint="eastAsia" w:ascii="仿宋" w:hAnsi="仿宋" w:eastAsia="仿宋" w:cs="仿宋"/>
          <w:sz w:val="32"/>
          <w:szCs w:val="32"/>
        </w:rPr>
      </w:pPr>
      <w:r>
        <w:rPr>
          <w:rFonts w:hint="eastAsia" w:ascii="仿宋" w:hAnsi="仿宋" w:eastAsia="仿宋" w:cs="仿宋"/>
          <w:sz w:val="32"/>
          <w:szCs w:val="32"/>
        </w:rPr>
        <w:t>（一）部门职能与机构设置；</w:t>
      </w:r>
    </w:p>
    <w:p w14:paraId="09F9C693">
      <w:pPr>
        <w:spacing w:after="0" w:line="54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中方县交通建设质量安全监督站为副科级全额拨款事业单位。负责全县交通建设市场监督管理；全县交通建设项目、渡改桥中的小桥、危桥改造中的小桥拆除重建项目及加固项目、连续10公里以下的大中修工程、100万元以下的安保工程的施工质量和生产安全监督；按照管理权限参与全县交通建设项目交（竣）工验收；受监工程质量检查和质量评定、鉴定；按照管理权限组织公路、水路工程安全生产事故调查并依法对参建单位质量安全违规行为进行处罚；全县交通建设项目的定额与造价及建设材料价格信息管理；全县交通建设工程监理、造价、试验检测机构从业行为与人员资质管理；负责全县受监的交通建设质量、造价争议的调解和仲裁。</w:t>
      </w:r>
    </w:p>
    <w:p w14:paraId="28A94978">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ascii="仿宋" w:hAnsi="仿宋" w:eastAsia="仿宋" w:cs="仿宋"/>
          <w:sz w:val="32"/>
          <w:szCs w:val="32"/>
        </w:rPr>
      </w:pPr>
      <w:r>
        <w:rPr>
          <w:rFonts w:hint="eastAsia" w:ascii="仿宋" w:hAnsi="仿宋" w:eastAsia="仿宋" w:cs="仿宋_GB2312"/>
          <w:sz w:val="32"/>
          <w:szCs w:val="32"/>
        </w:rPr>
        <w:t>内设机构:办公室、安全生产股、质监股、造价股等4个职能股室。</w:t>
      </w:r>
    </w:p>
    <w:p w14:paraId="01E20681">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ascii="仿宋" w:hAnsi="仿宋" w:eastAsia="仿宋" w:cs="仿宋"/>
          <w:sz w:val="32"/>
          <w:szCs w:val="32"/>
        </w:rPr>
      </w:pPr>
      <w:r>
        <w:rPr>
          <w:rFonts w:hint="eastAsia" w:ascii="仿宋" w:hAnsi="仿宋" w:eastAsia="仿宋" w:cs="仿宋"/>
          <w:sz w:val="32"/>
          <w:szCs w:val="32"/>
        </w:rPr>
        <w:t>（二）人员情况；</w:t>
      </w:r>
      <w:r>
        <w:rPr>
          <w:rFonts w:hint="eastAsia" w:ascii="仿宋" w:hAnsi="仿宋" w:eastAsia="仿宋" w:cs="仿宋_GB2312"/>
          <w:sz w:val="32"/>
          <w:szCs w:val="32"/>
        </w:rPr>
        <w:t>核定编制9人，实有在职人员</w:t>
      </w:r>
      <w:r>
        <w:rPr>
          <w:rFonts w:hint="eastAsia" w:ascii="仿宋" w:hAnsi="仿宋" w:eastAsia="仿宋" w:cs="仿宋_GB2312"/>
          <w:sz w:val="32"/>
          <w:szCs w:val="32"/>
          <w:lang w:val="en-US" w:eastAsia="zh-CN"/>
        </w:rPr>
        <w:t>7</w:t>
      </w:r>
      <w:r>
        <w:rPr>
          <w:rFonts w:hint="eastAsia" w:ascii="仿宋" w:hAnsi="仿宋" w:eastAsia="仿宋" w:cs="仿宋_GB2312"/>
          <w:sz w:val="32"/>
          <w:szCs w:val="32"/>
        </w:rPr>
        <w:t>人。</w:t>
      </w:r>
    </w:p>
    <w:p w14:paraId="4A4CABBB">
      <w:pPr>
        <w:pStyle w:val="13"/>
        <w:spacing w:after="0" w:line="540" w:lineRule="exact"/>
        <w:ind w:firstLine="640"/>
        <w:rPr>
          <w:rFonts w:hint="eastAsia" w:ascii="仿宋" w:hAnsi="仿宋" w:eastAsia="仿宋" w:cs="仿宋"/>
          <w:sz w:val="32"/>
          <w:szCs w:val="32"/>
        </w:rPr>
      </w:pPr>
      <w:r>
        <w:rPr>
          <w:rFonts w:hint="eastAsia" w:ascii="仿宋" w:hAnsi="仿宋" w:eastAsia="仿宋" w:cs="仿宋"/>
          <w:sz w:val="32"/>
          <w:szCs w:val="32"/>
        </w:rPr>
        <w:t>（三）部门年度总体工作任务和重点工作任务；</w:t>
      </w:r>
    </w:p>
    <w:p w14:paraId="2E594C36">
      <w:pPr>
        <w:pStyle w:val="13"/>
        <w:spacing w:after="0" w:line="540" w:lineRule="exact"/>
        <w:ind w:firstLine="640"/>
        <w:rPr>
          <w:rFonts w:ascii="仿宋" w:hAnsi="仿宋" w:eastAsia="仿宋" w:cs="仿宋_GB2312"/>
          <w:sz w:val="32"/>
          <w:szCs w:val="32"/>
        </w:rPr>
      </w:pPr>
      <w:r>
        <w:rPr>
          <w:rFonts w:hint="eastAsia" w:ascii="仿宋" w:hAnsi="仿宋" w:eastAsia="仿宋" w:cs="仿宋_GB2312"/>
          <w:sz w:val="32"/>
          <w:szCs w:val="32"/>
        </w:rPr>
        <w:t>1．加强重点工程质量监管，特别是保障性工程建设，这些工程一般都是时间紧、任务重、社会关注度高。</w:t>
      </w:r>
    </w:p>
    <w:p w14:paraId="71C69BB5">
      <w:pPr>
        <w:pStyle w:val="13"/>
        <w:spacing w:after="0" w:line="540" w:lineRule="exact"/>
        <w:ind w:firstLine="640"/>
        <w:rPr>
          <w:rFonts w:ascii="仿宋" w:hAnsi="仿宋" w:eastAsia="仿宋" w:cs="仿宋_GB2312"/>
          <w:sz w:val="32"/>
          <w:szCs w:val="32"/>
        </w:rPr>
      </w:pPr>
      <w:r>
        <w:rPr>
          <w:rFonts w:hint="eastAsia" w:ascii="仿宋" w:hAnsi="仿宋" w:eastAsia="仿宋" w:cs="仿宋_GB2312"/>
          <w:sz w:val="32"/>
          <w:szCs w:val="32"/>
        </w:rPr>
        <w:t>2．继续加大监管力度，严格贯彻执行公路建设项目的相关规范规程，减少公路工程的质量安全隐患。</w:t>
      </w:r>
    </w:p>
    <w:p w14:paraId="61E72214">
      <w:pPr>
        <w:pStyle w:val="13"/>
        <w:spacing w:after="0" w:line="540" w:lineRule="exact"/>
        <w:ind w:firstLine="659" w:firstLineChars="206"/>
        <w:rPr>
          <w:rFonts w:ascii="仿宋" w:hAnsi="仿宋" w:eastAsia="仿宋" w:cs="仿宋_GB2312"/>
          <w:sz w:val="32"/>
          <w:szCs w:val="32"/>
        </w:rPr>
      </w:pPr>
      <w:r>
        <w:rPr>
          <w:rFonts w:hint="eastAsia" w:ascii="仿宋" w:hAnsi="仿宋" w:eastAsia="仿宋" w:cs="仿宋_GB2312"/>
          <w:sz w:val="32"/>
          <w:szCs w:val="32"/>
        </w:rPr>
        <w:t>3．加大工程质量抽查、巡查力度，创新工程质量监管模式，继续加强质量安全监管，加大对违法、违规现象的处罚力度。</w:t>
      </w:r>
    </w:p>
    <w:p w14:paraId="50698014">
      <w:pPr>
        <w:pStyle w:val="13"/>
        <w:spacing w:after="0" w:line="540" w:lineRule="exact"/>
        <w:ind w:firstLine="659" w:firstLineChars="206"/>
        <w:rPr>
          <w:rFonts w:ascii="仿宋" w:hAnsi="仿宋" w:eastAsia="仿宋" w:cs="仿宋_GB2312"/>
          <w:sz w:val="32"/>
          <w:szCs w:val="32"/>
        </w:rPr>
      </w:pPr>
      <w:r>
        <w:rPr>
          <w:rFonts w:hint="eastAsia" w:ascii="仿宋" w:hAnsi="仿宋" w:eastAsia="仿宋" w:cs="仿宋_GB2312"/>
          <w:sz w:val="32"/>
          <w:szCs w:val="32"/>
        </w:rPr>
        <w:t>4．深入开展作风效能建设，提高廉政意识，从思想源头上杜绝违规、违纪事件的发生，提高服务质量。</w:t>
      </w:r>
    </w:p>
    <w:p w14:paraId="472BBA21">
      <w:pPr>
        <w:pStyle w:val="13"/>
        <w:spacing w:after="0" w:line="540" w:lineRule="exact"/>
        <w:ind w:firstLine="659" w:firstLineChars="206"/>
        <w:rPr>
          <w:rFonts w:ascii="仿宋" w:hAnsi="仿宋" w:eastAsia="仿宋" w:cs="仿宋_GB2312"/>
          <w:sz w:val="32"/>
          <w:szCs w:val="32"/>
        </w:rPr>
      </w:pPr>
      <w:r>
        <w:rPr>
          <w:rFonts w:hint="eastAsia" w:ascii="仿宋" w:hAnsi="仿宋" w:eastAsia="仿宋" w:cs="仿宋_GB2312"/>
          <w:sz w:val="32"/>
          <w:szCs w:val="32"/>
        </w:rPr>
        <w:t>5．</w:t>
      </w:r>
      <w:r>
        <w:rPr>
          <w:rFonts w:hint="eastAsia" w:ascii="仿宋" w:hAnsi="仿宋" w:eastAsia="仿宋" w:cs="仿宋_GB2312"/>
          <w:color w:val="333333"/>
          <w:sz w:val="32"/>
          <w:szCs w:val="32"/>
        </w:rPr>
        <w:t>重视党建工作，发挥党支部在推动质监站中心工作中的战斗堡垒作用，推进党建工作与业务工作齐头并进，助推行政、业务工作。</w:t>
      </w:r>
    </w:p>
    <w:p w14:paraId="2373CCF3">
      <w:pPr>
        <w:pStyle w:val="13"/>
        <w:spacing w:after="0" w:line="540" w:lineRule="exact"/>
        <w:ind w:firstLine="659" w:firstLineChars="206"/>
        <w:rPr>
          <w:rFonts w:ascii="仿宋" w:hAnsi="仿宋" w:eastAsia="仿宋" w:cs="仿宋"/>
          <w:sz w:val="32"/>
          <w:szCs w:val="32"/>
        </w:rPr>
      </w:pPr>
      <w:r>
        <w:rPr>
          <w:rFonts w:hint="eastAsia" w:ascii="仿宋" w:hAnsi="仿宋" w:eastAsia="仿宋" w:cs="仿宋_GB2312"/>
          <w:sz w:val="32"/>
          <w:szCs w:val="32"/>
        </w:rPr>
        <w:t>6．做好县交通局安排的其他工作。</w:t>
      </w:r>
    </w:p>
    <w:p w14:paraId="19A8D3F5">
      <w:pPr>
        <w:spacing w:line="30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（四）部门年度整体收支情况，包括当年预算收入、预算支出和专项资金管理情况、“三公”经费支出情况以及政府采购情况等。</w:t>
      </w:r>
    </w:p>
    <w:p w14:paraId="635E3E54">
      <w:pPr>
        <w:spacing w:line="300" w:lineRule="auto"/>
        <w:ind w:firstLine="640" w:firstLineChars="200"/>
        <w:rPr>
          <w:rFonts w:hint="eastAsia" w:ascii="仿宋" w:hAnsi="仿宋" w:eastAsia="仿宋" w:cs="仿宋"/>
          <w:sz w:val="32"/>
          <w:szCs w:val="32"/>
        </w:rPr>
      </w:pPr>
      <w:r>
        <w:rPr>
          <w:rFonts w:hint="eastAsia" w:ascii="仿宋" w:hAnsi="仿宋" w:eastAsia="仿宋" w:cs="仿宋"/>
          <w:bCs/>
          <w:sz w:val="32"/>
          <w:szCs w:val="32"/>
          <w:lang w:val="en-US" w:eastAsia="zh-CN"/>
        </w:rPr>
        <w:t>1.</w:t>
      </w:r>
      <w:r>
        <w:rPr>
          <w:rFonts w:hint="eastAsia" w:ascii="仿宋" w:hAnsi="仿宋" w:eastAsia="仿宋" w:cs="仿宋"/>
          <w:bCs/>
          <w:sz w:val="32"/>
          <w:szCs w:val="32"/>
        </w:rPr>
        <w:t>收入预算：包括一般公共预算、政府性基金、国有资本经营预算等财政</w:t>
      </w:r>
      <w:r>
        <w:rPr>
          <w:rFonts w:hint="eastAsia" w:ascii="仿宋" w:hAnsi="仿宋" w:eastAsia="仿宋" w:cs="仿宋"/>
          <w:sz w:val="32"/>
          <w:szCs w:val="32"/>
        </w:rPr>
        <w:t>拨款收入，以及经营收入、事业收入等单位资金。</w:t>
      </w:r>
      <w:r>
        <w:rPr>
          <w:rFonts w:hint="eastAsia" w:ascii="仿宋" w:hAnsi="仿宋" w:eastAsia="仿宋" w:cs="仿宋"/>
          <w:sz w:val="32"/>
          <w:szCs w:val="32"/>
          <w:lang w:eastAsia="zh-CN"/>
        </w:rPr>
        <w:t>2023</w:t>
      </w:r>
      <w:r>
        <w:rPr>
          <w:rFonts w:hint="eastAsia" w:ascii="仿宋" w:hAnsi="仿宋" w:eastAsia="仿宋" w:cs="仿宋"/>
          <w:sz w:val="32"/>
          <w:szCs w:val="32"/>
        </w:rPr>
        <w:t>年本部门收入预算</w:t>
      </w:r>
      <w:r>
        <w:rPr>
          <w:rFonts w:hint="eastAsia" w:ascii="仿宋" w:hAnsi="仿宋" w:eastAsia="仿宋" w:cs="仿宋"/>
          <w:sz w:val="32"/>
          <w:szCs w:val="32"/>
          <w:lang w:eastAsia="zh-CN"/>
        </w:rPr>
        <w:t>138.91</w:t>
      </w:r>
      <w:r>
        <w:rPr>
          <w:rFonts w:hint="eastAsia" w:ascii="仿宋" w:hAnsi="仿宋" w:eastAsia="仿宋" w:cs="仿宋"/>
          <w:sz w:val="32"/>
          <w:szCs w:val="32"/>
        </w:rPr>
        <w:t>万元，其中，一般公共预算拨款</w:t>
      </w:r>
      <w:r>
        <w:rPr>
          <w:rFonts w:hint="eastAsia" w:ascii="仿宋" w:hAnsi="仿宋" w:eastAsia="仿宋" w:cs="仿宋"/>
          <w:sz w:val="32"/>
          <w:szCs w:val="32"/>
          <w:lang w:eastAsia="zh-CN"/>
        </w:rPr>
        <w:t>138.91</w:t>
      </w:r>
      <w:r>
        <w:rPr>
          <w:rFonts w:hint="eastAsia" w:ascii="仿宋" w:hAnsi="仿宋" w:eastAsia="仿宋" w:cs="仿宋"/>
          <w:sz w:val="32"/>
          <w:szCs w:val="32"/>
        </w:rPr>
        <w:t xml:space="preserve"> 万元。</w:t>
      </w:r>
      <w:r>
        <w:rPr>
          <w:rFonts w:hint="eastAsia" w:ascii="仿宋" w:hAnsi="仿宋" w:eastAsia="仿宋" w:cs="仿宋"/>
          <w:bCs/>
          <w:sz w:val="32"/>
          <w:szCs w:val="32"/>
        </w:rPr>
        <w:t>收入较去年</w:t>
      </w:r>
      <w:r>
        <w:rPr>
          <w:rFonts w:hint="eastAsia" w:ascii="仿宋" w:hAnsi="仿宋" w:eastAsia="仿宋" w:cs="仿宋"/>
          <w:bCs/>
          <w:sz w:val="32"/>
          <w:szCs w:val="32"/>
          <w:lang w:eastAsia="zh-CN"/>
        </w:rPr>
        <w:t>增加4</w:t>
      </w:r>
      <w:r>
        <w:rPr>
          <w:rFonts w:hint="eastAsia" w:ascii="仿宋" w:hAnsi="仿宋" w:eastAsia="仿宋" w:cs="仿宋"/>
          <w:bCs/>
          <w:sz w:val="32"/>
          <w:szCs w:val="32"/>
        </w:rPr>
        <w:t>万元，</w:t>
      </w:r>
      <w:r>
        <w:rPr>
          <w:rFonts w:hint="eastAsia" w:ascii="仿宋" w:hAnsi="仿宋" w:eastAsia="仿宋" w:cs="仿宋"/>
          <w:bCs/>
          <w:sz w:val="32"/>
          <w:szCs w:val="32"/>
          <w:lang w:eastAsia="zh-CN"/>
        </w:rPr>
        <w:t>增加2.96</w:t>
      </w:r>
      <w:r>
        <w:rPr>
          <w:rFonts w:hint="eastAsia" w:ascii="仿宋" w:hAnsi="仿宋" w:eastAsia="仿宋" w:cs="仿宋"/>
          <w:bCs/>
          <w:sz w:val="32"/>
          <w:szCs w:val="32"/>
        </w:rPr>
        <w:t>%。</w:t>
      </w:r>
      <w:r>
        <w:rPr>
          <w:rFonts w:hint="eastAsia" w:ascii="仿宋" w:hAnsi="仿宋" w:eastAsia="仿宋" w:cs="仿宋_GB2312"/>
          <w:bCs/>
          <w:color w:val="000000"/>
          <w:sz w:val="32"/>
          <w:szCs w:val="32"/>
        </w:rPr>
        <w:t>主要是</w:t>
      </w:r>
      <w:r>
        <w:rPr>
          <w:rFonts w:hint="eastAsia" w:ascii="仿宋" w:hAnsi="仿宋" w:eastAsia="仿宋" w:cs="仿宋_GB2312"/>
          <w:bCs/>
          <w:color w:val="000000"/>
          <w:sz w:val="32"/>
          <w:szCs w:val="32"/>
          <w:lang w:val="en-US" w:eastAsia="zh-CN"/>
        </w:rPr>
        <w:t>公用</w:t>
      </w:r>
      <w:r>
        <w:rPr>
          <w:rFonts w:hint="eastAsia" w:ascii="仿宋" w:hAnsi="仿宋" w:eastAsia="仿宋" w:cs="仿宋_GB2312"/>
          <w:bCs/>
          <w:color w:val="000000"/>
          <w:sz w:val="32"/>
          <w:szCs w:val="32"/>
        </w:rPr>
        <w:t>经费</w:t>
      </w:r>
      <w:r>
        <w:rPr>
          <w:rFonts w:hint="eastAsia" w:ascii="仿宋" w:hAnsi="仿宋" w:eastAsia="仿宋" w:cs="仿宋_GB2312"/>
          <w:bCs/>
          <w:color w:val="000000"/>
          <w:sz w:val="32"/>
          <w:szCs w:val="32"/>
          <w:lang w:val="en-US" w:eastAsia="zh-CN"/>
        </w:rPr>
        <w:t>中扶贫经费增加</w:t>
      </w:r>
      <w:r>
        <w:rPr>
          <w:rFonts w:hint="eastAsia" w:ascii="仿宋" w:hAnsi="仿宋" w:eastAsia="仿宋" w:cs="仿宋"/>
          <w:sz w:val="32"/>
          <w:szCs w:val="32"/>
        </w:rPr>
        <w:t>。</w:t>
      </w:r>
    </w:p>
    <w:p w14:paraId="7A35DF41">
      <w:pPr>
        <w:spacing w:line="300" w:lineRule="auto"/>
        <w:ind w:firstLine="640" w:firstLineChars="200"/>
        <w:rPr>
          <w:rFonts w:ascii="仿宋" w:hAnsi="仿宋" w:eastAsia="仿宋" w:cs="仿宋"/>
          <w:b/>
          <w:sz w:val="32"/>
          <w:szCs w:val="32"/>
        </w:rPr>
      </w:pPr>
      <w:r>
        <w:rPr>
          <w:rFonts w:hint="eastAsia" w:ascii="仿宋" w:hAnsi="仿宋" w:eastAsia="仿宋"/>
          <w:sz w:val="32"/>
          <w:lang w:eastAsia="zh-CN"/>
        </w:rPr>
        <w:t>2023</w:t>
      </w:r>
      <w:r>
        <w:rPr>
          <w:rFonts w:hint="eastAsia" w:ascii="仿宋" w:hAnsi="仿宋" w:eastAsia="仿宋"/>
          <w:sz w:val="32"/>
        </w:rPr>
        <w:t>年收入实际执行</w:t>
      </w:r>
      <w:r>
        <w:rPr>
          <w:rFonts w:hint="eastAsia" w:ascii="仿宋" w:hAnsi="仿宋" w:eastAsia="仿宋"/>
          <w:sz w:val="32"/>
          <w:szCs w:val="32"/>
          <w:lang w:eastAsia="zh-CN"/>
        </w:rPr>
        <w:t>134.04</w:t>
      </w:r>
      <w:r>
        <w:rPr>
          <w:rFonts w:hint="eastAsia" w:ascii="仿宋" w:hAnsi="仿宋" w:eastAsia="仿宋"/>
          <w:sz w:val="32"/>
        </w:rPr>
        <w:t>万元，比上年度</w:t>
      </w:r>
      <w:r>
        <w:rPr>
          <w:rFonts w:hint="eastAsia" w:ascii="仿宋" w:hAnsi="仿宋" w:eastAsia="仿宋"/>
          <w:sz w:val="32"/>
          <w:lang w:val="en-US" w:eastAsia="zh-CN"/>
        </w:rPr>
        <w:t>减少</w:t>
      </w:r>
      <w:r>
        <w:rPr>
          <w:rFonts w:hint="eastAsia" w:ascii="仿宋" w:hAnsi="仿宋" w:eastAsia="仿宋"/>
          <w:sz w:val="32"/>
          <w:lang w:eastAsia="zh-CN"/>
        </w:rPr>
        <w:t>10</w:t>
      </w:r>
      <w:r>
        <w:rPr>
          <w:rFonts w:hint="eastAsia" w:ascii="仿宋" w:hAnsi="仿宋" w:eastAsia="仿宋"/>
          <w:sz w:val="32"/>
        </w:rPr>
        <w:t>万元</w:t>
      </w:r>
      <w:r>
        <w:rPr>
          <w:rFonts w:hint="eastAsia" w:ascii="仿宋" w:hAnsi="仿宋" w:eastAsia="仿宋"/>
          <w:sz w:val="32"/>
          <w:lang w:eastAsia="zh-CN"/>
        </w:rPr>
        <w:t>，</w:t>
      </w:r>
      <w:r>
        <w:rPr>
          <w:rFonts w:hint="eastAsia" w:ascii="仿宋" w:hAnsi="仿宋" w:eastAsia="仿宋"/>
          <w:sz w:val="32"/>
          <w:lang w:val="en-US" w:eastAsia="zh-CN"/>
        </w:rPr>
        <w:t>减少</w:t>
      </w:r>
      <w:r>
        <w:rPr>
          <w:rFonts w:hint="eastAsia" w:ascii="仿宋" w:hAnsi="仿宋" w:eastAsia="仿宋"/>
          <w:sz w:val="32"/>
          <w:lang w:eastAsia="zh-CN"/>
        </w:rPr>
        <w:t>6.94</w:t>
      </w:r>
      <w:r>
        <w:rPr>
          <w:rFonts w:hint="eastAsia" w:ascii="仿宋" w:hAnsi="仿宋" w:eastAsia="仿宋"/>
          <w:sz w:val="32"/>
        </w:rPr>
        <w:t>%。主要原因是本年度人员经费开支</w:t>
      </w:r>
      <w:r>
        <w:rPr>
          <w:rFonts w:hint="eastAsia" w:ascii="仿宋" w:hAnsi="仿宋" w:eastAsia="仿宋"/>
          <w:sz w:val="32"/>
          <w:lang w:val="en-US" w:eastAsia="zh-CN"/>
        </w:rPr>
        <w:t>减少</w:t>
      </w:r>
      <w:r>
        <w:rPr>
          <w:rFonts w:hint="eastAsia" w:ascii="仿宋" w:hAnsi="仿宋" w:eastAsia="仿宋"/>
          <w:sz w:val="32"/>
        </w:rPr>
        <w:t>，</w:t>
      </w:r>
      <w:r>
        <w:rPr>
          <w:rFonts w:hint="eastAsia" w:ascii="仿宋" w:hAnsi="仿宋" w:eastAsia="仿宋"/>
          <w:sz w:val="32"/>
          <w:lang w:val="en-US" w:eastAsia="zh-CN"/>
        </w:rPr>
        <w:t>本年度退休人员增加，</w:t>
      </w:r>
      <w:r>
        <w:rPr>
          <w:rFonts w:hint="eastAsia" w:ascii="仿宋" w:hAnsi="仿宋" w:eastAsia="仿宋"/>
          <w:sz w:val="32"/>
        </w:rPr>
        <w:t>财政拨款收入相应</w:t>
      </w:r>
      <w:r>
        <w:rPr>
          <w:rFonts w:hint="eastAsia" w:ascii="仿宋" w:hAnsi="仿宋" w:eastAsia="仿宋"/>
          <w:sz w:val="32"/>
          <w:lang w:val="en-US" w:eastAsia="zh-CN"/>
        </w:rPr>
        <w:t>减少</w:t>
      </w:r>
      <w:r>
        <w:rPr>
          <w:rFonts w:hint="eastAsia" w:ascii="仿宋" w:hAnsi="仿宋" w:eastAsia="仿宋"/>
          <w:sz w:val="32"/>
        </w:rPr>
        <w:t>。</w:t>
      </w:r>
    </w:p>
    <w:p w14:paraId="69958560">
      <w:pPr>
        <w:spacing w:line="520" w:lineRule="exact"/>
        <w:ind w:firstLine="640"/>
        <w:rPr>
          <w:rFonts w:hint="eastAsia" w:ascii="仿宋" w:hAnsi="仿宋" w:eastAsia="仿宋" w:cs="仿宋"/>
          <w:sz w:val="32"/>
          <w:szCs w:val="32"/>
        </w:rPr>
      </w:pPr>
      <w:r>
        <w:rPr>
          <w:rFonts w:hint="eastAsia" w:ascii="仿宋" w:hAnsi="仿宋" w:eastAsia="仿宋" w:cs="仿宋"/>
          <w:b/>
          <w:sz w:val="32"/>
          <w:szCs w:val="32"/>
          <w:lang w:val="en-US" w:eastAsia="zh-CN"/>
        </w:rPr>
        <w:t>2.</w:t>
      </w:r>
      <w:r>
        <w:rPr>
          <w:rFonts w:hint="eastAsia" w:ascii="仿宋" w:hAnsi="仿宋" w:eastAsia="仿宋" w:cs="仿宋"/>
          <w:bCs/>
          <w:sz w:val="32"/>
          <w:szCs w:val="32"/>
        </w:rPr>
        <w:t>支出预算：</w:t>
      </w:r>
      <w:r>
        <w:rPr>
          <w:rFonts w:hint="eastAsia" w:ascii="仿宋" w:hAnsi="仿宋" w:eastAsia="仿宋" w:cs="仿宋"/>
          <w:bCs/>
          <w:sz w:val="32"/>
          <w:szCs w:val="32"/>
          <w:lang w:eastAsia="zh-CN"/>
        </w:rPr>
        <w:t>2023</w:t>
      </w:r>
      <w:r>
        <w:rPr>
          <w:rFonts w:hint="eastAsia" w:ascii="仿宋" w:hAnsi="仿宋" w:eastAsia="仿宋" w:cs="仿宋"/>
          <w:bCs/>
          <w:sz w:val="32"/>
          <w:szCs w:val="32"/>
        </w:rPr>
        <w:t>年本部门支出预算</w:t>
      </w:r>
      <w:r>
        <w:rPr>
          <w:rFonts w:hint="eastAsia" w:ascii="仿宋" w:hAnsi="仿宋" w:eastAsia="仿宋" w:cs="仿宋"/>
          <w:bCs/>
          <w:sz w:val="32"/>
          <w:szCs w:val="32"/>
          <w:lang w:eastAsia="zh-CN"/>
        </w:rPr>
        <w:t>138.91</w:t>
      </w:r>
      <w:r>
        <w:rPr>
          <w:rFonts w:hint="eastAsia" w:ascii="仿宋" w:hAnsi="仿宋" w:eastAsia="仿宋" w:cs="仿宋"/>
          <w:bCs/>
          <w:sz w:val="32"/>
          <w:szCs w:val="32"/>
        </w:rPr>
        <w:t xml:space="preserve"> 万元，其中，交通运输支出 1</w:t>
      </w:r>
      <w:r>
        <w:rPr>
          <w:rFonts w:hint="eastAsia" w:ascii="仿宋" w:hAnsi="仿宋" w:eastAsia="仿宋" w:cs="仿宋"/>
          <w:bCs/>
          <w:sz w:val="32"/>
          <w:szCs w:val="32"/>
          <w:lang w:val="en-US" w:eastAsia="zh-CN"/>
        </w:rPr>
        <w:t>09.67</w:t>
      </w:r>
      <w:r>
        <w:rPr>
          <w:rFonts w:hint="eastAsia" w:ascii="仿宋" w:hAnsi="仿宋" w:eastAsia="仿宋" w:cs="仿宋"/>
          <w:bCs/>
          <w:sz w:val="32"/>
          <w:szCs w:val="32"/>
        </w:rPr>
        <w:t>万元，社会保障和就业 1</w:t>
      </w:r>
      <w:r>
        <w:rPr>
          <w:rFonts w:hint="eastAsia" w:ascii="仿宋" w:hAnsi="仿宋" w:eastAsia="仿宋" w:cs="仿宋"/>
          <w:bCs/>
          <w:sz w:val="32"/>
          <w:szCs w:val="32"/>
          <w:lang w:val="en-US" w:eastAsia="zh-CN"/>
        </w:rPr>
        <w:t>4.43</w:t>
      </w:r>
      <w:r>
        <w:rPr>
          <w:rFonts w:hint="eastAsia" w:ascii="仿宋" w:hAnsi="仿宋" w:eastAsia="仿宋" w:cs="仿宋"/>
          <w:bCs/>
          <w:sz w:val="32"/>
          <w:szCs w:val="32"/>
        </w:rPr>
        <w:t>万元，卫生健康6.</w:t>
      </w:r>
      <w:r>
        <w:rPr>
          <w:rFonts w:hint="eastAsia" w:ascii="仿宋" w:hAnsi="仿宋" w:eastAsia="仿宋" w:cs="仿宋"/>
          <w:bCs/>
          <w:sz w:val="32"/>
          <w:szCs w:val="32"/>
          <w:lang w:val="en-US" w:eastAsia="zh-CN"/>
        </w:rPr>
        <w:t>14</w:t>
      </w:r>
      <w:r>
        <w:rPr>
          <w:rFonts w:hint="eastAsia" w:ascii="仿宋" w:hAnsi="仿宋" w:eastAsia="仿宋" w:cs="仿宋"/>
          <w:bCs/>
          <w:sz w:val="32"/>
          <w:szCs w:val="32"/>
        </w:rPr>
        <w:t>万元</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住房保障支出8.67</w:t>
      </w:r>
      <w:r>
        <w:rPr>
          <w:rFonts w:hint="eastAsia" w:ascii="仿宋" w:hAnsi="仿宋" w:eastAsia="仿宋" w:cs="仿宋"/>
          <w:sz w:val="32"/>
          <w:szCs w:val="32"/>
        </w:rPr>
        <w:t>。</w:t>
      </w:r>
      <w:r>
        <w:rPr>
          <w:rFonts w:hint="eastAsia" w:ascii="仿宋" w:hAnsi="仿宋" w:eastAsia="仿宋" w:cs="仿宋"/>
          <w:bCs/>
          <w:sz w:val="32"/>
          <w:szCs w:val="32"/>
        </w:rPr>
        <w:t>收入较去年</w:t>
      </w:r>
      <w:r>
        <w:rPr>
          <w:rFonts w:hint="eastAsia" w:ascii="仿宋" w:hAnsi="仿宋" w:eastAsia="仿宋" w:cs="仿宋"/>
          <w:bCs/>
          <w:sz w:val="32"/>
          <w:szCs w:val="32"/>
          <w:lang w:eastAsia="zh-CN"/>
        </w:rPr>
        <w:t>增加4</w:t>
      </w:r>
      <w:r>
        <w:rPr>
          <w:rFonts w:hint="eastAsia" w:ascii="仿宋" w:hAnsi="仿宋" w:eastAsia="仿宋" w:cs="仿宋"/>
          <w:bCs/>
          <w:sz w:val="32"/>
          <w:szCs w:val="32"/>
        </w:rPr>
        <w:t>万元，</w:t>
      </w:r>
      <w:r>
        <w:rPr>
          <w:rFonts w:hint="eastAsia" w:ascii="仿宋" w:hAnsi="仿宋" w:eastAsia="仿宋" w:cs="仿宋"/>
          <w:bCs/>
          <w:sz w:val="32"/>
          <w:szCs w:val="32"/>
          <w:lang w:eastAsia="zh-CN"/>
        </w:rPr>
        <w:t>增加2.96</w:t>
      </w:r>
      <w:r>
        <w:rPr>
          <w:rFonts w:hint="eastAsia" w:ascii="仿宋" w:hAnsi="仿宋" w:eastAsia="仿宋" w:cs="仿宋"/>
          <w:bCs/>
          <w:sz w:val="32"/>
          <w:szCs w:val="32"/>
        </w:rPr>
        <w:t>%。</w:t>
      </w:r>
      <w:r>
        <w:rPr>
          <w:rFonts w:hint="eastAsia" w:ascii="仿宋" w:hAnsi="仿宋" w:eastAsia="仿宋" w:cs="仿宋_GB2312"/>
          <w:bCs/>
          <w:color w:val="000000"/>
          <w:sz w:val="32"/>
          <w:szCs w:val="32"/>
        </w:rPr>
        <w:t>主要是</w:t>
      </w:r>
      <w:r>
        <w:rPr>
          <w:rFonts w:hint="eastAsia" w:ascii="仿宋" w:hAnsi="仿宋" w:eastAsia="仿宋" w:cs="仿宋_GB2312"/>
          <w:bCs/>
          <w:color w:val="000000"/>
          <w:sz w:val="32"/>
          <w:szCs w:val="32"/>
          <w:lang w:val="en-US" w:eastAsia="zh-CN"/>
        </w:rPr>
        <w:t>公用</w:t>
      </w:r>
      <w:r>
        <w:rPr>
          <w:rFonts w:hint="eastAsia" w:ascii="仿宋" w:hAnsi="仿宋" w:eastAsia="仿宋" w:cs="仿宋_GB2312"/>
          <w:bCs/>
          <w:color w:val="000000"/>
          <w:sz w:val="32"/>
          <w:szCs w:val="32"/>
        </w:rPr>
        <w:t>经费</w:t>
      </w:r>
      <w:r>
        <w:rPr>
          <w:rFonts w:hint="eastAsia" w:ascii="仿宋" w:hAnsi="仿宋" w:eastAsia="仿宋" w:cs="仿宋_GB2312"/>
          <w:bCs/>
          <w:color w:val="000000"/>
          <w:sz w:val="32"/>
          <w:szCs w:val="32"/>
          <w:lang w:val="en-US" w:eastAsia="zh-CN"/>
        </w:rPr>
        <w:t>中扶贫经费增加</w:t>
      </w:r>
      <w:r>
        <w:rPr>
          <w:rFonts w:hint="eastAsia" w:ascii="仿宋" w:hAnsi="仿宋" w:eastAsia="仿宋" w:cs="仿宋"/>
          <w:sz w:val="32"/>
          <w:szCs w:val="32"/>
        </w:rPr>
        <w:t>。</w:t>
      </w:r>
    </w:p>
    <w:p w14:paraId="5A31FAF9">
      <w:pPr>
        <w:spacing w:line="520" w:lineRule="exact"/>
        <w:ind w:firstLine="640"/>
        <w:rPr>
          <w:rFonts w:ascii="仿宋" w:hAnsi="仿宋" w:eastAsia="仿宋" w:cs="仿宋"/>
          <w:sz w:val="32"/>
          <w:szCs w:val="32"/>
        </w:rPr>
      </w:pPr>
      <w:r>
        <w:rPr>
          <w:rFonts w:hint="eastAsia" w:ascii="仿宋" w:hAnsi="仿宋" w:eastAsia="仿宋"/>
          <w:sz w:val="32"/>
          <w:lang w:eastAsia="zh-CN"/>
        </w:rPr>
        <w:t>2023</w:t>
      </w:r>
      <w:r>
        <w:rPr>
          <w:rFonts w:hint="eastAsia" w:ascii="仿宋" w:hAnsi="仿宋" w:eastAsia="仿宋"/>
          <w:sz w:val="32"/>
        </w:rPr>
        <w:t>年收入实际执行</w:t>
      </w:r>
      <w:r>
        <w:rPr>
          <w:rFonts w:hint="eastAsia" w:ascii="仿宋" w:hAnsi="仿宋" w:eastAsia="仿宋"/>
          <w:sz w:val="32"/>
          <w:szCs w:val="32"/>
          <w:lang w:eastAsia="zh-CN"/>
        </w:rPr>
        <w:t>134.04</w:t>
      </w:r>
      <w:r>
        <w:rPr>
          <w:rFonts w:hint="eastAsia" w:ascii="仿宋" w:hAnsi="仿宋" w:eastAsia="仿宋"/>
          <w:sz w:val="32"/>
        </w:rPr>
        <w:t>万元，比上年度</w:t>
      </w:r>
      <w:r>
        <w:rPr>
          <w:rFonts w:hint="eastAsia" w:ascii="仿宋" w:hAnsi="仿宋" w:eastAsia="仿宋"/>
          <w:sz w:val="32"/>
          <w:lang w:val="en-US" w:eastAsia="zh-CN"/>
        </w:rPr>
        <w:t>减少</w:t>
      </w:r>
      <w:r>
        <w:rPr>
          <w:rFonts w:hint="eastAsia" w:ascii="仿宋" w:hAnsi="仿宋" w:eastAsia="仿宋"/>
          <w:sz w:val="32"/>
          <w:lang w:eastAsia="zh-CN"/>
        </w:rPr>
        <w:t>10</w:t>
      </w:r>
      <w:r>
        <w:rPr>
          <w:rFonts w:hint="eastAsia" w:ascii="仿宋" w:hAnsi="仿宋" w:eastAsia="仿宋"/>
          <w:sz w:val="32"/>
        </w:rPr>
        <w:t>万元</w:t>
      </w:r>
      <w:r>
        <w:rPr>
          <w:rFonts w:hint="eastAsia" w:ascii="仿宋" w:hAnsi="仿宋" w:eastAsia="仿宋"/>
          <w:sz w:val="32"/>
          <w:lang w:eastAsia="zh-CN"/>
        </w:rPr>
        <w:t>，</w:t>
      </w:r>
      <w:r>
        <w:rPr>
          <w:rFonts w:hint="eastAsia" w:ascii="仿宋" w:hAnsi="仿宋" w:eastAsia="仿宋"/>
          <w:sz w:val="32"/>
          <w:lang w:val="en-US" w:eastAsia="zh-CN"/>
        </w:rPr>
        <w:t>减少</w:t>
      </w:r>
      <w:r>
        <w:rPr>
          <w:rFonts w:hint="eastAsia" w:ascii="仿宋" w:hAnsi="仿宋" w:eastAsia="仿宋"/>
          <w:sz w:val="32"/>
          <w:lang w:eastAsia="zh-CN"/>
        </w:rPr>
        <w:t>6.94</w:t>
      </w:r>
      <w:r>
        <w:rPr>
          <w:rFonts w:hint="eastAsia" w:ascii="仿宋" w:hAnsi="仿宋" w:eastAsia="仿宋"/>
          <w:sz w:val="32"/>
        </w:rPr>
        <w:t>%。主要原因是</w:t>
      </w:r>
      <w:r>
        <w:rPr>
          <w:rFonts w:hint="eastAsia" w:ascii="仿宋" w:hAnsi="仿宋" w:eastAsia="仿宋"/>
          <w:sz w:val="32"/>
          <w:lang w:val="en-US" w:eastAsia="zh-CN"/>
        </w:rPr>
        <w:t>本年度退休人员增加，</w:t>
      </w:r>
      <w:r>
        <w:rPr>
          <w:rFonts w:hint="eastAsia" w:ascii="仿宋" w:hAnsi="仿宋" w:eastAsia="仿宋"/>
          <w:sz w:val="32"/>
        </w:rPr>
        <w:t>财政拨款支出相应</w:t>
      </w:r>
      <w:r>
        <w:rPr>
          <w:rFonts w:hint="eastAsia" w:ascii="仿宋" w:hAnsi="仿宋" w:eastAsia="仿宋"/>
          <w:sz w:val="32"/>
          <w:lang w:val="en-US" w:eastAsia="zh-CN"/>
        </w:rPr>
        <w:t>减少</w:t>
      </w:r>
      <w:r>
        <w:rPr>
          <w:rFonts w:hint="eastAsia" w:ascii="仿宋" w:hAnsi="仿宋" w:eastAsia="仿宋"/>
          <w:sz w:val="32"/>
        </w:rPr>
        <w:t>。</w:t>
      </w:r>
    </w:p>
    <w:p w14:paraId="13F6CBB6">
      <w:pPr>
        <w:adjustRightInd/>
        <w:snapToGrid/>
        <w:spacing w:line="300" w:lineRule="auto"/>
        <w:ind w:firstLine="660"/>
        <w:rPr>
          <w:rFonts w:hint="default" w:ascii="仿宋" w:hAnsi="仿宋" w:eastAsia="仿宋" w:cs="仿宋"/>
          <w:sz w:val="32"/>
          <w:szCs w:val="32"/>
          <w:lang w:val="en-US" w:eastAsia="zh-CN"/>
        </w:rPr>
      </w:pPr>
      <w:r>
        <w:rPr>
          <w:rFonts w:hint="eastAsia" w:ascii="仿宋" w:hAnsi="仿宋" w:eastAsia="仿宋" w:cs="仿宋"/>
          <w:bCs/>
          <w:sz w:val="32"/>
          <w:szCs w:val="32"/>
          <w:lang w:val="en-US" w:eastAsia="zh-CN"/>
        </w:rPr>
        <w:t>3.</w:t>
      </w:r>
      <w:r>
        <w:rPr>
          <w:rFonts w:hint="eastAsia" w:ascii="仿宋" w:hAnsi="仿宋" w:eastAsia="仿宋" w:cs="仿宋"/>
          <w:bCs/>
          <w:sz w:val="32"/>
          <w:szCs w:val="32"/>
        </w:rPr>
        <w:t>项目支出：</w:t>
      </w:r>
      <w:r>
        <w:rPr>
          <w:rFonts w:hint="eastAsia" w:ascii="仿宋" w:hAnsi="仿宋" w:eastAsia="仿宋" w:cs="仿宋"/>
          <w:sz w:val="32"/>
          <w:szCs w:val="32"/>
          <w:lang w:eastAsia="zh-CN"/>
        </w:rPr>
        <w:t>2023</w:t>
      </w:r>
      <w:r>
        <w:rPr>
          <w:rFonts w:hint="eastAsia" w:ascii="仿宋" w:hAnsi="仿宋" w:eastAsia="仿宋" w:cs="仿宋"/>
          <w:sz w:val="32"/>
          <w:szCs w:val="32"/>
        </w:rPr>
        <w:t>年本部门项目支出预算0万元，主要是部门为完成特定行政工作任务或事业发展目标而发生的支出，包括有关事业发展专项、专项业务费、基本建设支出等。</w:t>
      </w:r>
      <w:r>
        <w:rPr>
          <w:rFonts w:hint="eastAsia" w:ascii="仿宋" w:hAnsi="仿宋" w:eastAsia="仿宋" w:cs="仿宋"/>
          <w:sz w:val="32"/>
          <w:szCs w:val="32"/>
          <w:lang w:val="en-US" w:eastAsia="zh-CN"/>
        </w:rPr>
        <w:t>本年度实际项目支出1万元，是县交通局拨入工作经费开支。</w:t>
      </w:r>
    </w:p>
    <w:p w14:paraId="6A0F9602">
      <w:pPr>
        <w:spacing w:line="300" w:lineRule="auto"/>
        <w:ind w:firstLine="640" w:firstLineChars="200"/>
        <w:rPr>
          <w:rFonts w:hint="eastAsia" w:ascii="仿宋" w:hAnsi="仿宋" w:eastAsia="仿宋" w:cs="仿宋"/>
          <w:bCs/>
          <w:sz w:val="32"/>
          <w:szCs w:val="32"/>
        </w:rPr>
      </w:pPr>
      <w:r>
        <w:rPr>
          <w:rFonts w:hint="eastAsia" w:ascii="仿宋" w:hAnsi="仿宋" w:eastAsia="仿宋" w:cs="仿宋"/>
          <w:bCs/>
          <w:sz w:val="32"/>
          <w:szCs w:val="32"/>
          <w:lang w:val="en-US" w:eastAsia="zh-CN"/>
        </w:rPr>
        <w:t>4</w:t>
      </w:r>
      <w:r>
        <w:rPr>
          <w:rFonts w:hint="eastAsia" w:ascii="仿宋" w:hAnsi="仿宋" w:eastAsia="仿宋" w:cs="仿宋"/>
          <w:bCs/>
          <w:sz w:val="32"/>
          <w:szCs w:val="32"/>
        </w:rPr>
        <w:t>.“三公”经费预算：</w:t>
      </w:r>
      <w:r>
        <w:rPr>
          <w:rFonts w:hint="eastAsia" w:ascii="仿宋" w:hAnsi="仿宋" w:eastAsia="仿宋" w:cs="仿宋"/>
          <w:bCs/>
          <w:sz w:val="32"/>
          <w:szCs w:val="32"/>
          <w:lang w:eastAsia="zh-CN"/>
        </w:rPr>
        <w:t>2023</w:t>
      </w:r>
      <w:r>
        <w:rPr>
          <w:rFonts w:hint="eastAsia" w:ascii="仿宋" w:hAnsi="仿宋" w:eastAsia="仿宋" w:cs="仿宋"/>
          <w:bCs/>
          <w:sz w:val="32"/>
          <w:szCs w:val="32"/>
        </w:rPr>
        <w:t>年本部门“三公”经费预算数为 0</w:t>
      </w:r>
      <w:r>
        <w:rPr>
          <w:rFonts w:hint="eastAsia" w:ascii="仿宋" w:hAnsi="仿宋" w:eastAsia="仿宋" w:cs="仿宋"/>
          <w:bCs/>
          <w:sz w:val="32"/>
          <w:szCs w:val="32"/>
          <w:lang w:val="en-US" w:eastAsia="zh-CN"/>
        </w:rPr>
        <w:t>.117</w:t>
      </w:r>
      <w:r>
        <w:rPr>
          <w:rFonts w:hint="eastAsia" w:ascii="仿宋" w:hAnsi="仿宋" w:eastAsia="仿宋" w:cs="仿宋"/>
          <w:bCs/>
          <w:sz w:val="32"/>
          <w:szCs w:val="32"/>
        </w:rPr>
        <w:t>万元，其中，公务接待费0万元，公务用车购置及运行费</w:t>
      </w:r>
      <w:r>
        <w:rPr>
          <w:rFonts w:hint="eastAsia" w:ascii="仿宋" w:hAnsi="仿宋" w:eastAsia="仿宋" w:cs="仿宋"/>
          <w:bCs/>
          <w:sz w:val="32"/>
          <w:szCs w:val="32"/>
          <w:lang w:val="en-US" w:eastAsia="zh-CN"/>
        </w:rPr>
        <w:t>0.117</w:t>
      </w:r>
      <w:r>
        <w:rPr>
          <w:rFonts w:hint="eastAsia" w:ascii="仿宋" w:hAnsi="仿宋" w:eastAsia="仿宋" w:cs="仿宋"/>
          <w:bCs/>
          <w:sz w:val="32"/>
          <w:szCs w:val="32"/>
        </w:rPr>
        <w:t>万元（其中，公务用车购置费0万元，公务用车运行费0</w:t>
      </w:r>
      <w:r>
        <w:rPr>
          <w:rFonts w:hint="eastAsia" w:ascii="仿宋" w:hAnsi="仿宋" w:eastAsia="仿宋" w:cs="仿宋"/>
          <w:bCs/>
          <w:sz w:val="32"/>
          <w:szCs w:val="32"/>
          <w:lang w:val="en-US" w:eastAsia="zh-CN"/>
        </w:rPr>
        <w:t>.117</w:t>
      </w:r>
      <w:r>
        <w:rPr>
          <w:rFonts w:hint="eastAsia" w:ascii="仿宋" w:hAnsi="仿宋" w:eastAsia="仿宋" w:cs="仿宋"/>
          <w:bCs/>
          <w:sz w:val="32"/>
          <w:szCs w:val="32"/>
        </w:rPr>
        <w:t>万元），因公出国（境）费0 万元。</w:t>
      </w:r>
      <w:r>
        <w:rPr>
          <w:rFonts w:hint="eastAsia" w:ascii="仿宋" w:hAnsi="仿宋" w:eastAsia="仿宋" w:cs="仿宋"/>
          <w:bCs/>
          <w:sz w:val="32"/>
          <w:szCs w:val="32"/>
          <w:lang w:eastAsia="zh-CN"/>
        </w:rPr>
        <w:t>2023</w:t>
      </w:r>
      <w:r>
        <w:rPr>
          <w:rFonts w:hint="eastAsia" w:ascii="仿宋" w:hAnsi="仿宋" w:eastAsia="仿宋" w:cs="仿宋"/>
          <w:bCs/>
          <w:sz w:val="32"/>
          <w:szCs w:val="32"/>
        </w:rPr>
        <w:t>年“三公”经费预算较202</w:t>
      </w:r>
      <w:r>
        <w:rPr>
          <w:rFonts w:hint="eastAsia" w:ascii="仿宋" w:hAnsi="仿宋" w:eastAsia="仿宋" w:cs="仿宋"/>
          <w:bCs/>
          <w:sz w:val="32"/>
          <w:szCs w:val="32"/>
          <w:lang w:val="en-US" w:eastAsia="zh-CN"/>
        </w:rPr>
        <w:t>2</w:t>
      </w:r>
      <w:r>
        <w:rPr>
          <w:rFonts w:hint="eastAsia" w:ascii="仿宋" w:hAnsi="仿宋" w:eastAsia="仿宋" w:cs="仿宋"/>
          <w:bCs/>
          <w:sz w:val="32"/>
          <w:szCs w:val="32"/>
        </w:rPr>
        <w:t>年减少</w:t>
      </w:r>
      <w:r>
        <w:rPr>
          <w:rFonts w:hint="eastAsia" w:ascii="仿宋" w:hAnsi="仿宋" w:eastAsia="仿宋" w:cs="仿宋"/>
          <w:bCs/>
          <w:sz w:val="32"/>
          <w:szCs w:val="32"/>
          <w:lang w:val="en-US" w:eastAsia="zh-CN"/>
        </w:rPr>
        <w:t>0.583</w:t>
      </w:r>
      <w:r>
        <w:rPr>
          <w:rFonts w:hint="eastAsia" w:ascii="仿宋" w:hAnsi="仿宋" w:eastAsia="仿宋" w:cs="仿宋"/>
          <w:bCs/>
          <w:sz w:val="32"/>
          <w:szCs w:val="32"/>
        </w:rPr>
        <w:t>万元，主要是因为</w:t>
      </w:r>
      <w:r>
        <w:rPr>
          <w:rFonts w:hint="eastAsia" w:ascii="仿宋" w:hAnsi="仿宋" w:eastAsia="仿宋" w:cs="仿宋"/>
          <w:bCs/>
          <w:color w:val="333333"/>
          <w:sz w:val="32"/>
          <w:szCs w:val="32"/>
          <w:shd w:val="clear" w:color="auto" w:fill="FFFFFF"/>
        </w:rPr>
        <w:t>压缩开支，厉行节约</w:t>
      </w:r>
      <w:r>
        <w:rPr>
          <w:rFonts w:hint="eastAsia" w:ascii="仿宋" w:hAnsi="仿宋" w:eastAsia="仿宋" w:cs="仿宋"/>
          <w:bCs/>
          <w:sz w:val="32"/>
          <w:szCs w:val="32"/>
        </w:rPr>
        <w:t>。</w:t>
      </w:r>
    </w:p>
    <w:p w14:paraId="157E3C36">
      <w:pPr>
        <w:spacing w:line="300" w:lineRule="auto"/>
        <w:ind w:firstLine="640" w:firstLineChars="200"/>
        <w:rPr>
          <w:rFonts w:ascii="仿宋" w:hAnsi="仿宋" w:eastAsia="仿宋" w:cs="仿宋"/>
          <w:bCs/>
          <w:sz w:val="32"/>
          <w:szCs w:val="32"/>
        </w:rPr>
      </w:pPr>
      <w:r>
        <w:rPr>
          <w:rFonts w:hint="eastAsia" w:ascii="仿宋" w:hAnsi="仿宋" w:eastAsia="仿宋"/>
          <w:sz w:val="32"/>
          <w:lang w:eastAsia="zh-CN"/>
        </w:rPr>
        <w:t>2023</w:t>
      </w:r>
      <w:r>
        <w:rPr>
          <w:rFonts w:hint="eastAsia" w:ascii="仿宋" w:hAnsi="仿宋" w:eastAsia="仿宋"/>
          <w:sz w:val="32"/>
        </w:rPr>
        <w:t>年，</w:t>
      </w:r>
      <w:r>
        <w:rPr>
          <w:rFonts w:eastAsia="Times New Roman"/>
          <w:sz w:val="32"/>
        </w:rPr>
        <w:t>“</w:t>
      </w:r>
      <w:r>
        <w:rPr>
          <w:rFonts w:hint="eastAsia" w:ascii="仿宋" w:hAnsi="仿宋" w:eastAsia="仿宋"/>
          <w:sz w:val="32"/>
        </w:rPr>
        <w:t>三公</w:t>
      </w:r>
      <w:r>
        <w:rPr>
          <w:rFonts w:eastAsia="Times New Roman"/>
          <w:sz w:val="32"/>
        </w:rPr>
        <w:t>”</w:t>
      </w:r>
      <w:r>
        <w:rPr>
          <w:rFonts w:hint="eastAsia" w:ascii="仿宋" w:hAnsi="仿宋" w:eastAsia="仿宋"/>
          <w:sz w:val="32"/>
        </w:rPr>
        <w:t>经费</w:t>
      </w:r>
      <w:r>
        <w:rPr>
          <w:rFonts w:hint="eastAsia" w:ascii="仿宋" w:hAnsi="仿宋" w:eastAsia="仿宋"/>
          <w:sz w:val="32"/>
          <w:lang w:val="en-US" w:eastAsia="zh-CN"/>
        </w:rPr>
        <w:t>支出0.117</w:t>
      </w:r>
      <w:r>
        <w:rPr>
          <w:rFonts w:hint="eastAsia" w:ascii="仿宋" w:hAnsi="仿宋" w:eastAsia="仿宋"/>
          <w:sz w:val="32"/>
        </w:rPr>
        <w:t>元，比上年</w:t>
      </w:r>
      <w:r>
        <w:rPr>
          <w:rFonts w:hint="eastAsia" w:ascii="仿宋" w:hAnsi="仿宋" w:eastAsia="仿宋"/>
          <w:sz w:val="32"/>
          <w:lang w:val="en-US" w:eastAsia="zh-CN"/>
        </w:rPr>
        <w:t>减少0.583万</w:t>
      </w:r>
      <w:r>
        <w:rPr>
          <w:rFonts w:hint="eastAsia" w:ascii="仿宋" w:hAnsi="仿宋" w:eastAsia="仿宋"/>
          <w:sz w:val="32"/>
        </w:rPr>
        <w:t>元，</w:t>
      </w:r>
      <w:r>
        <w:rPr>
          <w:rFonts w:hint="eastAsia" w:ascii="仿宋" w:hAnsi="仿宋" w:eastAsia="仿宋"/>
          <w:sz w:val="32"/>
          <w:lang w:val="en-US" w:eastAsia="zh-CN"/>
        </w:rPr>
        <w:t>减少83.29</w:t>
      </w:r>
      <w:r>
        <w:rPr>
          <w:rFonts w:hint="eastAsia" w:ascii="仿宋" w:hAnsi="仿宋" w:eastAsia="仿宋"/>
          <w:sz w:val="32"/>
        </w:rPr>
        <w:t>%，变化的主要原因是：三公经费公务用车运行维护费开支，</w:t>
      </w:r>
      <w:r>
        <w:rPr>
          <w:rFonts w:hint="eastAsia" w:ascii="仿宋" w:hAnsi="仿宋" w:eastAsia="仿宋" w:cs="仿宋"/>
          <w:bCs/>
          <w:color w:val="333333"/>
          <w:sz w:val="32"/>
          <w:szCs w:val="32"/>
          <w:shd w:val="clear" w:color="auto" w:fill="FFFFFF"/>
        </w:rPr>
        <w:t>压缩开支，厉行节约</w:t>
      </w:r>
      <w:r>
        <w:rPr>
          <w:rFonts w:hint="eastAsia" w:ascii="仿宋" w:hAnsi="仿宋" w:eastAsia="仿宋" w:cs="仿宋"/>
          <w:bCs/>
          <w:sz w:val="32"/>
          <w:szCs w:val="32"/>
        </w:rPr>
        <w:t>。</w:t>
      </w:r>
    </w:p>
    <w:p w14:paraId="237A05BF">
      <w:pPr>
        <w:adjustRightInd/>
        <w:snapToGrid/>
        <w:spacing w:line="300" w:lineRule="auto"/>
        <w:ind w:firstLine="660"/>
        <w:rPr>
          <w:rFonts w:ascii="仿宋" w:hAnsi="仿宋" w:eastAsia="仿宋" w:cs="仿宋"/>
          <w:sz w:val="32"/>
          <w:szCs w:val="32"/>
        </w:rPr>
      </w:pPr>
      <w:r>
        <w:rPr>
          <w:rFonts w:hint="eastAsia" w:ascii="仿宋" w:hAnsi="仿宋" w:eastAsia="仿宋" w:cs="仿宋"/>
          <w:bCs/>
          <w:sz w:val="32"/>
          <w:szCs w:val="32"/>
          <w:lang w:val="en-US" w:eastAsia="zh-CN"/>
        </w:rPr>
        <w:t>5</w:t>
      </w:r>
      <w:r>
        <w:rPr>
          <w:rFonts w:hint="eastAsia" w:ascii="仿宋" w:hAnsi="仿宋" w:eastAsia="仿宋" w:cs="仿宋"/>
          <w:bCs/>
          <w:sz w:val="32"/>
          <w:szCs w:val="32"/>
        </w:rPr>
        <w:t>.政府采购情况：</w:t>
      </w:r>
      <w:r>
        <w:rPr>
          <w:rFonts w:hint="eastAsia" w:ascii="仿宋" w:hAnsi="仿宋" w:eastAsia="仿宋" w:cs="仿宋"/>
          <w:sz w:val="32"/>
          <w:szCs w:val="32"/>
          <w:lang w:eastAsia="zh-CN"/>
        </w:rPr>
        <w:t>2023</w:t>
      </w:r>
      <w:r>
        <w:rPr>
          <w:rFonts w:hint="eastAsia" w:ascii="仿宋" w:hAnsi="仿宋" w:eastAsia="仿宋" w:cs="仿宋"/>
          <w:sz w:val="32"/>
          <w:szCs w:val="32"/>
        </w:rPr>
        <w:t>年本部门政府采购预算总额 0万元，其中，货物类采购预算 0 万元；工程类采购预算 0 万元；服务类采购预算0 万元。</w:t>
      </w:r>
      <w:r>
        <w:rPr>
          <w:rFonts w:hint="eastAsia" w:ascii="仿宋" w:hAnsi="仿宋" w:eastAsia="仿宋" w:cs="仿宋"/>
          <w:sz w:val="32"/>
          <w:szCs w:val="32"/>
          <w:lang w:val="en-US" w:eastAsia="zh-CN"/>
        </w:rPr>
        <w:t>无采购支出。</w:t>
      </w:r>
    </w:p>
    <w:p w14:paraId="36BF80B4">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（五）部门年度整体工作目标任务完成情况，包括：财政资金支出达到的效果情况、社会满意度认可情况等。</w:t>
      </w:r>
    </w:p>
    <w:p w14:paraId="28E96BC6">
      <w:pPr>
        <w:spacing w:line="520" w:lineRule="exact"/>
        <w:ind w:firstLine="640"/>
        <w:rPr>
          <w:rFonts w:ascii="仿宋" w:hAnsi="仿宋" w:eastAsia="仿宋" w:cs="仿宋"/>
          <w:sz w:val="32"/>
          <w:szCs w:val="32"/>
        </w:rPr>
      </w:pPr>
      <w:r>
        <w:rPr>
          <w:rFonts w:hint="eastAsia" w:ascii="仿宋" w:hAnsi="仿宋" w:eastAsia="仿宋" w:cs="仿宋"/>
          <w:sz w:val="32"/>
          <w:szCs w:val="32"/>
          <w:lang w:eastAsia="zh-CN"/>
        </w:rPr>
        <w:t>2023</w:t>
      </w:r>
      <w:r>
        <w:rPr>
          <w:rFonts w:hint="eastAsia" w:ascii="仿宋" w:hAnsi="仿宋" w:eastAsia="仿宋" w:cs="仿宋"/>
          <w:sz w:val="32"/>
          <w:szCs w:val="32"/>
        </w:rPr>
        <w:t>年本部门收入预算</w:t>
      </w:r>
      <w:r>
        <w:rPr>
          <w:rFonts w:hint="eastAsia" w:ascii="仿宋" w:hAnsi="仿宋" w:eastAsia="仿宋" w:cs="仿宋"/>
          <w:sz w:val="32"/>
          <w:szCs w:val="32"/>
          <w:lang w:eastAsia="zh-CN"/>
        </w:rPr>
        <w:t>138.91</w:t>
      </w:r>
      <w:r>
        <w:rPr>
          <w:rFonts w:hint="eastAsia" w:ascii="仿宋" w:hAnsi="仿宋" w:eastAsia="仿宋" w:cs="仿宋"/>
          <w:sz w:val="32"/>
          <w:szCs w:val="32"/>
        </w:rPr>
        <w:t>万元，其中，一般公共预算拨款</w:t>
      </w:r>
      <w:r>
        <w:rPr>
          <w:rFonts w:hint="eastAsia" w:ascii="仿宋" w:hAnsi="仿宋" w:eastAsia="仿宋" w:cs="仿宋"/>
          <w:sz w:val="32"/>
          <w:szCs w:val="32"/>
          <w:lang w:eastAsia="zh-CN"/>
        </w:rPr>
        <w:t>138.91</w:t>
      </w:r>
      <w:r>
        <w:rPr>
          <w:rFonts w:hint="eastAsia" w:ascii="仿宋" w:hAnsi="仿宋" w:eastAsia="仿宋" w:cs="仿宋"/>
          <w:sz w:val="32"/>
          <w:szCs w:val="32"/>
        </w:rPr>
        <w:t>万元，上级财政补助0万元。其中基本支出</w:t>
      </w:r>
      <w:r>
        <w:rPr>
          <w:rFonts w:hint="eastAsia" w:ascii="仿宋" w:hAnsi="仿宋" w:eastAsia="仿宋" w:cs="仿宋"/>
          <w:sz w:val="32"/>
          <w:szCs w:val="32"/>
          <w:lang w:eastAsia="zh-CN"/>
        </w:rPr>
        <w:t>138.91</w:t>
      </w:r>
      <w:r>
        <w:rPr>
          <w:rFonts w:hint="eastAsia" w:ascii="仿宋" w:hAnsi="仿宋" w:eastAsia="仿宋" w:cs="仿宋"/>
          <w:sz w:val="32"/>
          <w:szCs w:val="32"/>
        </w:rPr>
        <w:t>万元 ，项目支出0万元。</w:t>
      </w:r>
      <w:r>
        <w:rPr>
          <w:rFonts w:hint="eastAsia" w:ascii="仿宋" w:hAnsi="仿宋" w:eastAsia="仿宋"/>
          <w:sz w:val="32"/>
          <w:lang w:eastAsia="zh-CN"/>
        </w:rPr>
        <w:t>2023</w:t>
      </w:r>
      <w:r>
        <w:rPr>
          <w:rFonts w:hint="eastAsia" w:ascii="仿宋" w:hAnsi="仿宋" w:eastAsia="仿宋"/>
          <w:sz w:val="32"/>
        </w:rPr>
        <w:t>年支出实际执行</w:t>
      </w:r>
      <w:r>
        <w:rPr>
          <w:rFonts w:hint="eastAsia" w:ascii="仿宋" w:hAnsi="仿宋" w:eastAsia="仿宋"/>
          <w:sz w:val="32"/>
          <w:szCs w:val="32"/>
          <w:lang w:eastAsia="zh-CN"/>
        </w:rPr>
        <w:t>134.04</w:t>
      </w:r>
      <w:r>
        <w:rPr>
          <w:rFonts w:hint="eastAsia" w:ascii="仿宋" w:hAnsi="仿宋" w:eastAsia="仿宋"/>
          <w:sz w:val="32"/>
        </w:rPr>
        <w:t>万元，比上年度</w:t>
      </w:r>
      <w:r>
        <w:rPr>
          <w:rFonts w:hint="eastAsia" w:ascii="仿宋" w:hAnsi="仿宋" w:eastAsia="仿宋"/>
          <w:sz w:val="32"/>
          <w:lang w:val="en-US" w:eastAsia="zh-CN"/>
        </w:rPr>
        <w:t>减少</w:t>
      </w:r>
      <w:r>
        <w:rPr>
          <w:rFonts w:hint="eastAsia" w:ascii="仿宋" w:hAnsi="仿宋" w:eastAsia="仿宋"/>
          <w:sz w:val="32"/>
          <w:lang w:eastAsia="zh-CN"/>
        </w:rPr>
        <w:t>10</w:t>
      </w:r>
      <w:r>
        <w:rPr>
          <w:rFonts w:hint="eastAsia" w:ascii="仿宋" w:hAnsi="仿宋" w:eastAsia="仿宋"/>
          <w:sz w:val="32"/>
        </w:rPr>
        <w:t>万元，</w:t>
      </w:r>
      <w:r>
        <w:rPr>
          <w:rFonts w:hint="eastAsia" w:ascii="仿宋" w:hAnsi="仿宋" w:eastAsia="仿宋"/>
          <w:sz w:val="32"/>
          <w:lang w:val="en-US" w:eastAsia="zh-CN"/>
        </w:rPr>
        <w:t>减少6.94</w:t>
      </w:r>
      <w:r>
        <w:rPr>
          <w:rFonts w:hint="eastAsia" w:ascii="仿宋" w:hAnsi="仿宋" w:eastAsia="仿宋"/>
          <w:sz w:val="32"/>
        </w:rPr>
        <w:t>%。主要原因是</w:t>
      </w:r>
      <w:r>
        <w:rPr>
          <w:rFonts w:hint="eastAsia" w:ascii="仿宋" w:hAnsi="仿宋" w:eastAsia="仿宋"/>
          <w:sz w:val="32"/>
          <w:lang w:val="en-US" w:eastAsia="zh-CN"/>
        </w:rPr>
        <w:t>本年度退休人员增加，</w:t>
      </w:r>
      <w:r>
        <w:rPr>
          <w:rFonts w:hint="eastAsia" w:ascii="仿宋" w:hAnsi="仿宋" w:eastAsia="仿宋"/>
          <w:sz w:val="32"/>
        </w:rPr>
        <w:t>财政拨款支出相应</w:t>
      </w:r>
      <w:r>
        <w:rPr>
          <w:rFonts w:hint="eastAsia" w:ascii="仿宋" w:hAnsi="仿宋" w:eastAsia="仿宋"/>
          <w:sz w:val="32"/>
          <w:lang w:val="en-US" w:eastAsia="zh-CN"/>
        </w:rPr>
        <w:t>减少</w:t>
      </w:r>
      <w:r>
        <w:rPr>
          <w:rFonts w:hint="eastAsia" w:ascii="仿宋" w:hAnsi="仿宋" w:eastAsia="仿宋"/>
          <w:sz w:val="32"/>
        </w:rPr>
        <w:t>。</w:t>
      </w:r>
    </w:p>
    <w:p w14:paraId="7FDE9A3F">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lang w:eastAsia="zh-CN"/>
        </w:rPr>
        <w:t>2023</w:t>
      </w:r>
      <w:r>
        <w:rPr>
          <w:rFonts w:hint="eastAsia" w:ascii="仿宋" w:hAnsi="仿宋" w:eastAsia="仿宋" w:cs="仿宋"/>
          <w:sz w:val="32"/>
          <w:szCs w:val="32"/>
        </w:rPr>
        <w:t>年</w:t>
      </w:r>
      <w:r>
        <w:rPr>
          <w:rFonts w:hint="eastAsia" w:ascii="仿宋" w:hAnsi="仿宋" w:eastAsia="仿宋" w:cs="Times New Roman"/>
          <w:color w:val="000000"/>
          <w:sz w:val="32"/>
          <w:szCs w:val="32"/>
        </w:rPr>
        <w:t>开展全县交通建设市场监督管理；对</w:t>
      </w:r>
      <w:r>
        <w:rPr>
          <w:rFonts w:hint="eastAsia" w:ascii="仿宋" w:hAnsi="仿宋" w:eastAsia="仿宋" w:cs="Times New Roman"/>
          <w:sz w:val="32"/>
          <w:szCs w:val="32"/>
        </w:rPr>
        <w:t>全县交通建设项目、渡改桥中的小桥、危桥改造中的小桥拆除重建项目及加固项目、连续</w:t>
      </w:r>
      <w:r>
        <w:rPr>
          <w:rFonts w:ascii="仿宋" w:hAnsi="仿宋" w:eastAsia="仿宋" w:cs="Times New Roman"/>
          <w:sz w:val="32"/>
          <w:szCs w:val="32"/>
        </w:rPr>
        <w:t>10</w:t>
      </w:r>
      <w:r>
        <w:rPr>
          <w:rFonts w:hint="eastAsia" w:ascii="仿宋" w:hAnsi="仿宋" w:eastAsia="仿宋" w:cs="Times New Roman"/>
          <w:sz w:val="32"/>
          <w:szCs w:val="32"/>
        </w:rPr>
        <w:t>公里以下的大中修工程、</w:t>
      </w:r>
      <w:r>
        <w:rPr>
          <w:rFonts w:ascii="仿宋" w:hAnsi="仿宋" w:eastAsia="仿宋" w:cs="Times New Roman"/>
          <w:sz w:val="32"/>
          <w:szCs w:val="32"/>
        </w:rPr>
        <w:t>100</w:t>
      </w:r>
      <w:r>
        <w:rPr>
          <w:rFonts w:hint="eastAsia" w:ascii="仿宋" w:hAnsi="仿宋" w:eastAsia="仿宋" w:cs="Times New Roman"/>
          <w:sz w:val="32"/>
          <w:szCs w:val="32"/>
        </w:rPr>
        <w:t>万元以下的安保工程的施工质量和生产安全监督；</w:t>
      </w:r>
      <w:r>
        <w:rPr>
          <w:rFonts w:hint="eastAsia" w:ascii="仿宋" w:hAnsi="仿宋" w:eastAsia="仿宋" w:cs="Times New Roman"/>
          <w:color w:val="000000"/>
          <w:sz w:val="32"/>
          <w:szCs w:val="32"/>
        </w:rPr>
        <w:t>对全县交通建设项目的定额与造价及建设材料价格信息管理；全县交通建设工程监理、造价、试验检测机构从业行为与人员资质管理；负责全县受监的交通建设质量、造价争议的调解和仲裁。</w:t>
      </w:r>
    </w:p>
    <w:p w14:paraId="7B314FF6">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ascii="黑体" w:hAnsi="黑体" w:eastAsia="黑体" w:cs="黑体"/>
          <w:bCs/>
          <w:sz w:val="32"/>
          <w:szCs w:val="32"/>
        </w:rPr>
      </w:pPr>
      <w:r>
        <w:rPr>
          <w:rFonts w:hint="eastAsia" w:ascii="黑体" w:hAnsi="黑体" w:eastAsia="黑体" w:cs="黑体"/>
          <w:bCs/>
          <w:sz w:val="32"/>
          <w:szCs w:val="32"/>
        </w:rPr>
        <w:t>二、部门整体评价工作开展</w:t>
      </w:r>
    </w:p>
    <w:p w14:paraId="009F9E02">
      <w:pPr>
        <w:keepNext w:val="0"/>
        <w:keepLines w:val="0"/>
        <w:pageBreakBefore w:val="0"/>
        <w:widowControl/>
        <w:kinsoku/>
        <w:wordWrap/>
        <w:overflowPunct/>
        <w:topLinePunct w:val="0"/>
        <w:autoSpaceDE/>
        <w:autoSpaceDN/>
        <w:bidi w:val="0"/>
        <w:adjustRightInd w:val="0"/>
        <w:snapToGrid w:val="0"/>
        <w:spacing w:after="0" w:line="600" w:lineRule="atLeast"/>
        <w:ind w:firstLine="596" w:firstLineChars="200"/>
        <w:textAlignment w:val="auto"/>
        <w:rPr>
          <w:rFonts w:hint="eastAsia" w:ascii="仿宋" w:hAnsi="仿宋" w:eastAsia="仿宋" w:cs="仿宋"/>
          <w:bCs/>
          <w:spacing w:val="-11"/>
          <w:sz w:val="32"/>
          <w:szCs w:val="32"/>
        </w:rPr>
      </w:pPr>
      <w:r>
        <w:rPr>
          <w:rFonts w:hint="eastAsia" w:ascii="仿宋" w:hAnsi="仿宋" w:eastAsia="仿宋" w:cs="仿宋"/>
          <w:spacing w:val="-11"/>
          <w:sz w:val="32"/>
          <w:szCs w:val="32"/>
        </w:rPr>
        <w:t>（一）绩效评价实施过程情况，</w:t>
      </w:r>
      <w:r>
        <w:rPr>
          <w:rFonts w:hint="eastAsia" w:ascii="仿宋" w:hAnsi="仿宋" w:eastAsia="仿宋" w:cs="仿宋"/>
          <w:bCs/>
          <w:spacing w:val="-11"/>
          <w:sz w:val="32"/>
          <w:szCs w:val="32"/>
        </w:rPr>
        <w:t>包括评价方法、工作程序等；</w:t>
      </w:r>
    </w:p>
    <w:p w14:paraId="369639A2">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bCs/>
          <w:spacing w:val="-11"/>
          <w:sz w:val="32"/>
          <w:szCs w:val="32"/>
        </w:rPr>
      </w:pPr>
      <w:r>
        <w:rPr>
          <w:rFonts w:hint="eastAsia" w:ascii="仿宋" w:hAnsi="仿宋" w:eastAsia="仿宋" w:cs="仿宋_GB2312"/>
          <w:sz w:val="32"/>
          <w:szCs w:val="32"/>
        </w:rPr>
        <w:t>我单位建立健全了内部控制制度，有完善的经费管理制度，并能有效地执行，从而保证了资金的合理使用。</w:t>
      </w:r>
    </w:p>
    <w:p w14:paraId="7D2FAE07">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bCs/>
          <w:sz w:val="32"/>
          <w:szCs w:val="32"/>
        </w:rPr>
      </w:pPr>
      <w:r>
        <w:rPr>
          <w:rFonts w:hint="eastAsia" w:ascii="仿宋" w:hAnsi="仿宋" w:eastAsia="仿宋" w:cs="仿宋"/>
          <w:sz w:val="32"/>
          <w:szCs w:val="32"/>
        </w:rPr>
        <w:t>（二）绩效评价整体结果概况，</w:t>
      </w:r>
      <w:r>
        <w:rPr>
          <w:rFonts w:hint="eastAsia" w:ascii="仿宋" w:hAnsi="仿宋" w:eastAsia="仿宋" w:cs="仿宋"/>
          <w:bCs/>
          <w:sz w:val="32"/>
          <w:szCs w:val="32"/>
        </w:rPr>
        <w:t>如：得分情况（或档次）、预算编制和执行情况、节能降耗情况、三公经费控制情况，项目支出管理规范和绩效情况等。</w:t>
      </w:r>
    </w:p>
    <w:p w14:paraId="19A5C8CC">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
          <w:color w:val="333333"/>
          <w:sz w:val="32"/>
          <w:szCs w:val="32"/>
          <w:shd w:val="clear" w:color="auto" w:fill="FFFFFF"/>
        </w:rPr>
        <w:t>采取自评的方式，由本单位管理部门对</w:t>
      </w:r>
      <w:r>
        <w:rPr>
          <w:rFonts w:hint="eastAsia" w:ascii="仿宋" w:hAnsi="仿宋" w:eastAsia="仿宋" w:cs="仿宋"/>
          <w:color w:val="333333"/>
          <w:sz w:val="32"/>
          <w:szCs w:val="32"/>
          <w:shd w:val="clear" w:color="auto" w:fill="FFFFFF"/>
          <w:lang w:eastAsia="zh-CN"/>
        </w:rPr>
        <w:t>2023</w:t>
      </w:r>
      <w:r>
        <w:rPr>
          <w:rFonts w:hint="eastAsia" w:ascii="仿宋" w:hAnsi="仿宋" w:eastAsia="仿宋" w:cs="仿宋"/>
          <w:color w:val="333333"/>
          <w:sz w:val="32"/>
          <w:szCs w:val="32"/>
          <w:shd w:val="clear" w:color="auto" w:fill="FFFFFF"/>
        </w:rPr>
        <w:t>年部门整体绩效评价工作开展自我评价。评价基础数据收集工作由主任李洪波同志牵头，刘艳琳同志具体抓落实、汇总。资料来源主要依据</w:t>
      </w:r>
      <w:r>
        <w:rPr>
          <w:rFonts w:hint="eastAsia" w:ascii="仿宋" w:hAnsi="仿宋" w:eastAsia="仿宋" w:cs="仿宋"/>
          <w:color w:val="333333"/>
          <w:sz w:val="32"/>
          <w:szCs w:val="32"/>
          <w:shd w:val="clear" w:color="auto" w:fill="FFFFFF"/>
          <w:lang w:eastAsia="zh-CN"/>
        </w:rPr>
        <w:t>2023</w:t>
      </w:r>
      <w:r>
        <w:rPr>
          <w:rFonts w:hint="eastAsia" w:ascii="仿宋" w:hAnsi="仿宋" w:eastAsia="仿宋" w:cs="仿宋"/>
          <w:color w:val="333333"/>
          <w:sz w:val="32"/>
          <w:szCs w:val="32"/>
          <w:shd w:val="clear" w:color="auto" w:fill="FFFFFF"/>
        </w:rPr>
        <w:t>年度财务资料及相关的文件资料。</w:t>
      </w:r>
      <w:r>
        <w:rPr>
          <w:rFonts w:hint="eastAsia" w:ascii="仿宋" w:hAnsi="仿宋" w:eastAsia="仿宋" w:cs="仿宋_GB2312"/>
          <w:color w:val="000000" w:themeColor="text1"/>
          <w:sz w:val="32"/>
          <w:szCs w:val="32"/>
          <w14:textFill>
            <w14:solidFill>
              <w14:schemeClr w14:val="tx1"/>
            </w14:solidFill>
          </w14:textFill>
        </w:rPr>
        <w:t>自我填报《</w:t>
      </w:r>
      <w:r>
        <w:rPr>
          <w:rFonts w:hint="eastAsia" w:ascii="仿宋" w:hAnsi="仿宋" w:eastAsia="仿宋" w:cs="仿宋_GB2312"/>
          <w:bCs/>
          <w:color w:val="000000" w:themeColor="text1"/>
          <w:sz w:val="32"/>
          <w:szCs w:val="32"/>
          <w14:textFill>
            <w14:solidFill>
              <w14:schemeClr w14:val="tx1"/>
            </w14:solidFill>
          </w14:textFill>
        </w:rPr>
        <w:t>部门整体支出绩效评价指标体系评分表</w:t>
      </w:r>
      <w:r>
        <w:rPr>
          <w:rFonts w:hint="eastAsia" w:ascii="仿宋" w:hAnsi="仿宋" w:eastAsia="仿宋" w:cs="仿宋_GB2312"/>
          <w:color w:val="000000" w:themeColor="text1"/>
          <w:sz w:val="32"/>
          <w:szCs w:val="32"/>
          <w14:textFill>
            <w14:solidFill>
              <w14:schemeClr w14:val="tx1"/>
            </w14:solidFill>
          </w14:textFill>
        </w:rPr>
        <w:t>》，得分</w:t>
      </w:r>
      <w:r>
        <w:rPr>
          <w:rFonts w:hint="eastAsia" w:ascii="仿宋" w:hAnsi="仿宋" w:eastAsia="仿宋" w:cs="仿宋_GB2312"/>
          <w:color w:val="000000" w:themeColor="text1"/>
          <w:sz w:val="32"/>
          <w:szCs w:val="32"/>
          <w:lang w:val="en-US" w:eastAsia="zh-CN"/>
          <w14:textFill>
            <w14:solidFill>
              <w14:schemeClr w14:val="tx1"/>
            </w14:solidFill>
          </w14:textFill>
        </w:rPr>
        <w:t>100</w:t>
      </w:r>
      <w:r>
        <w:rPr>
          <w:rFonts w:hint="eastAsia" w:ascii="仿宋" w:hAnsi="仿宋" w:eastAsia="仿宋" w:cs="仿宋_GB2312"/>
          <w:color w:val="000000" w:themeColor="text1"/>
          <w:sz w:val="32"/>
          <w:szCs w:val="32"/>
          <w14:textFill>
            <w14:solidFill>
              <w14:schemeClr w14:val="tx1"/>
            </w14:solidFill>
          </w14:textFill>
        </w:rPr>
        <w:t>分。</w:t>
      </w:r>
    </w:p>
    <w:p w14:paraId="10B966BB">
      <w:pPr>
        <w:spacing w:line="520" w:lineRule="exact"/>
        <w:ind w:firstLine="640"/>
        <w:rPr>
          <w:rFonts w:ascii="仿宋" w:hAnsi="仿宋" w:eastAsia="仿宋" w:cs="仿宋"/>
          <w:sz w:val="32"/>
          <w:szCs w:val="32"/>
        </w:rPr>
      </w:pPr>
      <w:r>
        <w:rPr>
          <w:rFonts w:hint="eastAsia" w:ascii="仿宋" w:hAnsi="仿宋" w:eastAsia="仿宋" w:cs="仿宋_GB2312"/>
          <w:bCs/>
          <w:color w:val="000000"/>
          <w:sz w:val="32"/>
          <w:szCs w:val="32"/>
        </w:rPr>
        <w:t>本单位</w:t>
      </w:r>
      <w:r>
        <w:rPr>
          <w:rFonts w:hint="eastAsia" w:ascii="仿宋" w:hAnsi="仿宋" w:eastAsia="仿宋" w:cs="仿宋_GB2312"/>
          <w:bCs/>
          <w:color w:val="000000"/>
          <w:sz w:val="32"/>
          <w:szCs w:val="32"/>
          <w:lang w:eastAsia="zh-CN"/>
        </w:rPr>
        <w:t>2023</w:t>
      </w:r>
      <w:r>
        <w:rPr>
          <w:rFonts w:hint="eastAsia" w:ascii="仿宋" w:hAnsi="仿宋" w:eastAsia="仿宋" w:cs="仿宋_GB2312"/>
          <w:bCs/>
          <w:color w:val="000000"/>
          <w:sz w:val="32"/>
          <w:szCs w:val="32"/>
        </w:rPr>
        <w:t>年基本支出的预算数是</w:t>
      </w:r>
      <w:r>
        <w:rPr>
          <w:rFonts w:hint="eastAsia" w:ascii="仿宋" w:hAnsi="仿宋" w:eastAsia="仿宋" w:cs="仿宋_GB2312"/>
          <w:bCs/>
          <w:color w:val="000000"/>
          <w:sz w:val="32"/>
          <w:szCs w:val="32"/>
          <w:lang w:eastAsia="zh-CN"/>
        </w:rPr>
        <w:t>138.91</w:t>
      </w:r>
      <w:r>
        <w:rPr>
          <w:rFonts w:hint="eastAsia" w:ascii="仿宋" w:hAnsi="仿宋" w:eastAsia="仿宋" w:cs="仿宋_GB2312"/>
          <w:bCs/>
          <w:color w:val="000000"/>
          <w:sz w:val="32"/>
          <w:szCs w:val="32"/>
        </w:rPr>
        <w:t>万元，</w:t>
      </w:r>
      <w:r>
        <w:rPr>
          <w:rFonts w:hint="eastAsia" w:ascii="仿宋" w:hAnsi="仿宋" w:eastAsia="仿宋" w:cs="仿宋"/>
          <w:bCs/>
          <w:sz w:val="32"/>
          <w:szCs w:val="32"/>
        </w:rPr>
        <w:t>收入较去年</w:t>
      </w:r>
      <w:r>
        <w:rPr>
          <w:rFonts w:hint="eastAsia" w:ascii="仿宋" w:hAnsi="仿宋" w:eastAsia="仿宋" w:cs="仿宋"/>
          <w:bCs/>
          <w:sz w:val="32"/>
          <w:szCs w:val="32"/>
          <w:lang w:eastAsia="zh-CN"/>
        </w:rPr>
        <w:t>增加4</w:t>
      </w:r>
      <w:r>
        <w:rPr>
          <w:rFonts w:hint="eastAsia" w:ascii="仿宋" w:hAnsi="仿宋" w:eastAsia="仿宋" w:cs="仿宋"/>
          <w:bCs/>
          <w:sz w:val="32"/>
          <w:szCs w:val="32"/>
        </w:rPr>
        <w:t>万元，</w:t>
      </w:r>
      <w:r>
        <w:rPr>
          <w:rFonts w:hint="eastAsia" w:ascii="仿宋" w:hAnsi="仿宋" w:eastAsia="仿宋" w:cs="仿宋"/>
          <w:bCs/>
          <w:sz w:val="32"/>
          <w:szCs w:val="32"/>
          <w:lang w:eastAsia="zh-CN"/>
        </w:rPr>
        <w:t>增加2.96</w:t>
      </w:r>
      <w:r>
        <w:rPr>
          <w:rFonts w:hint="eastAsia" w:ascii="仿宋" w:hAnsi="仿宋" w:eastAsia="仿宋" w:cs="仿宋"/>
          <w:bCs/>
          <w:sz w:val="32"/>
          <w:szCs w:val="32"/>
        </w:rPr>
        <w:t>%，</w:t>
      </w:r>
      <w:r>
        <w:rPr>
          <w:rFonts w:hint="eastAsia" w:ascii="仿宋" w:hAnsi="仿宋" w:eastAsia="仿宋" w:cs="仿宋_GB2312"/>
          <w:bCs/>
          <w:color w:val="000000"/>
          <w:sz w:val="32"/>
          <w:szCs w:val="32"/>
        </w:rPr>
        <w:t>主要是</w:t>
      </w:r>
      <w:r>
        <w:rPr>
          <w:rFonts w:hint="eastAsia" w:ascii="仿宋" w:hAnsi="仿宋" w:eastAsia="仿宋" w:cs="仿宋_GB2312"/>
          <w:bCs/>
          <w:color w:val="000000"/>
          <w:sz w:val="32"/>
          <w:szCs w:val="32"/>
          <w:lang w:val="en-US" w:eastAsia="zh-CN"/>
        </w:rPr>
        <w:t>公用</w:t>
      </w:r>
      <w:r>
        <w:rPr>
          <w:rFonts w:hint="eastAsia" w:ascii="仿宋" w:hAnsi="仿宋" w:eastAsia="仿宋" w:cs="仿宋_GB2312"/>
          <w:bCs/>
          <w:color w:val="000000"/>
          <w:sz w:val="32"/>
          <w:szCs w:val="32"/>
        </w:rPr>
        <w:t>经费</w:t>
      </w:r>
      <w:r>
        <w:rPr>
          <w:rFonts w:hint="eastAsia" w:ascii="仿宋" w:hAnsi="仿宋" w:eastAsia="仿宋" w:cs="仿宋_GB2312"/>
          <w:bCs/>
          <w:color w:val="000000"/>
          <w:sz w:val="32"/>
          <w:szCs w:val="32"/>
          <w:lang w:val="en-US" w:eastAsia="zh-CN"/>
        </w:rPr>
        <w:t>中扶贫经费增加</w:t>
      </w:r>
      <w:r>
        <w:rPr>
          <w:rFonts w:hint="eastAsia" w:ascii="仿宋" w:hAnsi="仿宋" w:eastAsia="仿宋" w:cs="仿宋"/>
          <w:sz w:val="32"/>
          <w:szCs w:val="32"/>
        </w:rPr>
        <w:t>。</w:t>
      </w:r>
      <w:r>
        <w:rPr>
          <w:rFonts w:hint="eastAsia" w:ascii="仿宋" w:hAnsi="仿宋" w:eastAsia="仿宋"/>
          <w:sz w:val="32"/>
          <w:lang w:eastAsia="zh-CN"/>
        </w:rPr>
        <w:t>2023</w:t>
      </w:r>
      <w:r>
        <w:rPr>
          <w:rFonts w:hint="eastAsia" w:ascii="仿宋" w:hAnsi="仿宋" w:eastAsia="仿宋"/>
          <w:sz w:val="32"/>
        </w:rPr>
        <w:t>年支出实际执行</w:t>
      </w:r>
      <w:r>
        <w:rPr>
          <w:rFonts w:hint="eastAsia" w:ascii="仿宋" w:hAnsi="仿宋" w:eastAsia="仿宋"/>
          <w:sz w:val="32"/>
          <w:szCs w:val="32"/>
          <w:lang w:eastAsia="zh-CN"/>
        </w:rPr>
        <w:t>134.04</w:t>
      </w:r>
      <w:r>
        <w:rPr>
          <w:rFonts w:hint="eastAsia" w:ascii="仿宋" w:hAnsi="仿宋" w:eastAsia="仿宋"/>
          <w:sz w:val="32"/>
        </w:rPr>
        <w:t>万元，比上年度</w:t>
      </w:r>
      <w:r>
        <w:rPr>
          <w:rFonts w:hint="eastAsia" w:ascii="仿宋" w:hAnsi="仿宋" w:eastAsia="仿宋"/>
          <w:sz w:val="32"/>
          <w:lang w:val="en-US" w:eastAsia="zh-CN"/>
        </w:rPr>
        <w:t>减少</w:t>
      </w:r>
      <w:r>
        <w:rPr>
          <w:rFonts w:hint="eastAsia" w:ascii="仿宋" w:hAnsi="仿宋" w:eastAsia="仿宋"/>
          <w:sz w:val="32"/>
          <w:lang w:eastAsia="zh-CN"/>
        </w:rPr>
        <w:t>10</w:t>
      </w:r>
      <w:r>
        <w:rPr>
          <w:rFonts w:hint="eastAsia" w:ascii="仿宋" w:hAnsi="仿宋" w:eastAsia="仿宋"/>
          <w:sz w:val="32"/>
        </w:rPr>
        <w:t>万元，</w:t>
      </w:r>
      <w:r>
        <w:rPr>
          <w:rFonts w:hint="eastAsia" w:ascii="仿宋" w:hAnsi="仿宋" w:eastAsia="仿宋"/>
          <w:sz w:val="32"/>
          <w:lang w:val="en-US" w:eastAsia="zh-CN"/>
        </w:rPr>
        <w:t>减少6.94</w:t>
      </w:r>
      <w:r>
        <w:rPr>
          <w:rFonts w:hint="eastAsia" w:ascii="仿宋" w:hAnsi="仿宋" w:eastAsia="仿宋"/>
          <w:sz w:val="32"/>
        </w:rPr>
        <w:t>%。主要原因是</w:t>
      </w:r>
      <w:r>
        <w:rPr>
          <w:rFonts w:hint="eastAsia" w:ascii="仿宋" w:hAnsi="仿宋" w:eastAsia="仿宋"/>
          <w:sz w:val="32"/>
          <w:lang w:val="en-US" w:eastAsia="zh-CN"/>
        </w:rPr>
        <w:t>本年度退休人员增加，</w:t>
      </w:r>
      <w:r>
        <w:rPr>
          <w:rFonts w:hint="eastAsia" w:ascii="仿宋" w:hAnsi="仿宋" w:eastAsia="仿宋"/>
          <w:sz w:val="32"/>
        </w:rPr>
        <w:t>财政拨款支出相应</w:t>
      </w:r>
      <w:r>
        <w:rPr>
          <w:rFonts w:hint="eastAsia" w:ascii="仿宋" w:hAnsi="仿宋" w:eastAsia="仿宋"/>
          <w:sz w:val="32"/>
          <w:lang w:val="en-US" w:eastAsia="zh-CN"/>
        </w:rPr>
        <w:t>减少</w:t>
      </w:r>
      <w:r>
        <w:rPr>
          <w:rFonts w:hint="eastAsia" w:ascii="仿宋" w:hAnsi="仿宋" w:eastAsia="仿宋"/>
          <w:sz w:val="32"/>
        </w:rPr>
        <w:t>。</w:t>
      </w:r>
    </w:p>
    <w:p w14:paraId="2CA01A0A">
      <w:pPr>
        <w:spacing w:after="0" w:line="540" w:lineRule="exact"/>
        <w:ind w:firstLine="640" w:firstLineChars="200"/>
        <w:rPr>
          <w:rFonts w:hint="default" w:ascii="仿宋" w:hAnsi="仿宋" w:eastAsia="仿宋" w:cs="仿宋_GB2312"/>
          <w:color w:val="000000" w:themeColor="text1"/>
          <w:sz w:val="32"/>
          <w:szCs w:val="32"/>
          <w:lang w:val="en-US" w:eastAsia="zh-CN"/>
          <w14:textFill>
            <w14:solidFill>
              <w14:schemeClr w14:val="tx1"/>
            </w14:solidFill>
          </w14:textFill>
        </w:rPr>
      </w:pPr>
      <w:r>
        <w:rPr>
          <w:rFonts w:hint="eastAsia" w:ascii="仿宋" w:hAnsi="仿宋" w:eastAsia="仿宋" w:cs="仿宋"/>
          <w:bCs/>
          <w:sz w:val="32"/>
          <w:szCs w:val="32"/>
          <w:lang w:eastAsia="zh-CN"/>
        </w:rPr>
        <w:t>2023</w:t>
      </w:r>
      <w:r>
        <w:rPr>
          <w:rFonts w:hint="eastAsia" w:ascii="仿宋" w:hAnsi="仿宋" w:eastAsia="仿宋" w:cs="仿宋"/>
          <w:bCs/>
          <w:sz w:val="32"/>
          <w:szCs w:val="32"/>
        </w:rPr>
        <w:t>年本部门“三公”经费预算数为 0万元，其中，公务接待费0万元，公务用车购置及运行费0万元。</w:t>
      </w:r>
      <w:r>
        <w:rPr>
          <w:rFonts w:hint="eastAsia" w:ascii="仿宋" w:hAnsi="仿宋" w:eastAsia="仿宋" w:cs="仿宋"/>
          <w:bCs/>
          <w:sz w:val="32"/>
          <w:szCs w:val="32"/>
          <w:lang w:eastAsia="zh-CN"/>
        </w:rPr>
        <w:t>2023</w:t>
      </w:r>
      <w:r>
        <w:rPr>
          <w:rFonts w:hint="eastAsia" w:ascii="仿宋" w:hAnsi="仿宋" w:eastAsia="仿宋" w:cs="仿宋"/>
          <w:bCs/>
          <w:sz w:val="32"/>
          <w:szCs w:val="32"/>
        </w:rPr>
        <w:t>年“三公”经费预算较202</w:t>
      </w:r>
      <w:r>
        <w:rPr>
          <w:rFonts w:hint="eastAsia" w:ascii="仿宋" w:hAnsi="仿宋" w:eastAsia="仿宋" w:cs="仿宋"/>
          <w:bCs/>
          <w:sz w:val="32"/>
          <w:szCs w:val="32"/>
          <w:lang w:val="en-US" w:eastAsia="zh-CN"/>
        </w:rPr>
        <w:t>2</w:t>
      </w:r>
      <w:r>
        <w:rPr>
          <w:rFonts w:hint="eastAsia" w:ascii="仿宋" w:hAnsi="仿宋" w:eastAsia="仿宋" w:cs="仿宋"/>
          <w:bCs/>
          <w:sz w:val="32"/>
          <w:szCs w:val="32"/>
        </w:rPr>
        <w:t>年减少</w:t>
      </w:r>
      <w:r>
        <w:rPr>
          <w:rFonts w:hint="eastAsia" w:ascii="仿宋" w:hAnsi="仿宋" w:eastAsia="仿宋" w:cs="仿宋"/>
          <w:bCs/>
          <w:sz w:val="32"/>
          <w:szCs w:val="32"/>
          <w:lang w:val="en-US" w:eastAsia="zh-CN"/>
        </w:rPr>
        <w:t>0.583</w:t>
      </w:r>
      <w:r>
        <w:rPr>
          <w:rFonts w:hint="eastAsia" w:ascii="仿宋" w:hAnsi="仿宋" w:eastAsia="仿宋" w:cs="仿宋"/>
          <w:bCs/>
          <w:sz w:val="32"/>
          <w:szCs w:val="32"/>
        </w:rPr>
        <w:t>万元，主要是因为</w:t>
      </w:r>
      <w:r>
        <w:rPr>
          <w:rFonts w:hint="eastAsia" w:ascii="仿宋" w:hAnsi="仿宋" w:eastAsia="仿宋" w:cs="仿宋"/>
          <w:bCs/>
          <w:color w:val="333333"/>
          <w:sz w:val="32"/>
          <w:szCs w:val="32"/>
          <w:shd w:val="clear" w:color="auto" w:fill="FFFFFF"/>
        </w:rPr>
        <w:t>压缩开支，厉行节约</w:t>
      </w:r>
      <w:r>
        <w:rPr>
          <w:rFonts w:hint="eastAsia" w:ascii="仿宋" w:hAnsi="仿宋" w:eastAsia="仿宋" w:cs="仿宋"/>
          <w:bCs/>
          <w:sz w:val="32"/>
          <w:szCs w:val="32"/>
        </w:rPr>
        <w:t>。</w:t>
      </w:r>
      <w:r>
        <w:rPr>
          <w:rFonts w:hint="eastAsia" w:ascii="仿宋" w:hAnsi="仿宋" w:eastAsia="仿宋"/>
          <w:sz w:val="32"/>
          <w:lang w:eastAsia="zh-CN"/>
        </w:rPr>
        <w:t>2023</w:t>
      </w:r>
      <w:r>
        <w:rPr>
          <w:rFonts w:hint="eastAsia" w:ascii="仿宋" w:hAnsi="仿宋" w:eastAsia="仿宋"/>
          <w:sz w:val="32"/>
        </w:rPr>
        <w:t>年，</w:t>
      </w:r>
      <w:r>
        <w:rPr>
          <w:rFonts w:eastAsia="Times New Roman"/>
          <w:sz w:val="32"/>
        </w:rPr>
        <w:t>“</w:t>
      </w:r>
      <w:r>
        <w:rPr>
          <w:rFonts w:hint="eastAsia" w:ascii="仿宋" w:hAnsi="仿宋" w:eastAsia="仿宋"/>
          <w:sz w:val="32"/>
        </w:rPr>
        <w:t>三公</w:t>
      </w:r>
      <w:r>
        <w:rPr>
          <w:rFonts w:eastAsia="Times New Roman"/>
          <w:sz w:val="32"/>
        </w:rPr>
        <w:t>”</w:t>
      </w:r>
      <w:r>
        <w:rPr>
          <w:rFonts w:hint="eastAsia" w:ascii="仿宋" w:hAnsi="仿宋" w:eastAsia="仿宋"/>
          <w:sz w:val="32"/>
        </w:rPr>
        <w:t>经费</w:t>
      </w:r>
      <w:r>
        <w:rPr>
          <w:rFonts w:hint="eastAsia" w:ascii="仿宋" w:hAnsi="仿宋" w:eastAsia="仿宋"/>
          <w:sz w:val="32"/>
          <w:lang w:val="en-US" w:eastAsia="zh-CN"/>
        </w:rPr>
        <w:t>支出1170</w:t>
      </w:r>
      <w:r>
        <w:rPr>
          <w:rFonts w:hint="eastAsia" w:ascii="仿宋" w:hAnsi="仿宋" w:eastAsia="仿宋"/>
          <w:sz w:val="32"/>
        </w:rPr>
        <w:t>元，比上年</w:t>
      </w:r>
      <w:r>
        <w:rPr>
          <w:rFonts w:hint="eastAsia" w:ascii="仿宋" w:hAnsi="仿宋" w:eastAsia="仿宋" w:cs="仿宋"/>
          <w:bCs/>
          <w:sz w:val="32"/>
          <w:szCs w:val="32"/>
        </w:rPr>
        <w:t>减少</w:t>
      </w:r>
      <w:r>
        <w:rPr>
          <w:rFonts w:hint="eastAsia" w:ascii="仿宋" w:hAnsi="仿宋" w:eastAsia="仿宋" w:cs="仿宋"/>
          <w:bCs/>
          <w:sz w:val="32"/>
          <w:szCs w:val="32"/>
          <w:lang w:val="en-US" w:eastAsia="zh-CN"/>
        </w:rPr>
        <w:t>0.583</w:t>
      </w:r>
      <w:r>
        <w:rPr>
          <w:rFonts w:hint="eastAsia" w:ascii="仿宋" w:hAnsi="仿宋" w:eastAsia="仿宋" w:cs="仿宋"/>
          <w:bCs/>
          <w:sz w:val="32"/>
          <w:szCs w:val="32"/>
        </w:rPr>
        <w:t>万元，主要是因为</w:t>
      </w:r>
      <w:r>
        <w:rPr>
          <w:rFonts w:hint="eastAsia" w:ascii="仿宋" w:hAnsi="仿宋" w:eastAsia="仿宋" w:cs="仿宋"/>
          <w:bCs/>
          <w:color w:val="333333"/>
          <w:sz w:val="32"/>
          <w:szCs w:val="32"/>
          <w:shd w:val="clear" w:color="auto" w:fill="FFFFFF"/>
        </w:rPr>
        <w:t>压缩开支，厉行节约</w:t>
      </w:r>
      <w:r>
        <w:rPr>
          <w:rFonts w:hint="eastAsia" w:ascii="仿宋" w:hAnsi="仿宋" w:eastAsia="仿宋" w:cs="仿宋"/>
          <w:bCs/>
          <w:sz w:val="32"/>
          <w:szCs w:val="32"/>
        </w:rPr>
        <w:t>。</w:t>
      </w:r>
      <w:r>
        <w:rPr>
          <w:rFonts w:hint="eastAsia" w:ascii="仿宋" w:hAnsi="仿宋" w:eastAsia="仿宋" w:cs="仿宋_GB2312"/>
          <w:bCs/>
          <w:color w:val="000000"/>
          <w:sz w:val="32"/>
          <w:szCs w:val="32"/>
        </w:rPr>
        <w:t>本单位</w:t>
      </w:r>
      <w:r>
        <w:rPr>
          <w:rFonts w:hint="eastAsia" w:ascii="仿宋" w:hAnsi="仿宋" w:eastAsia="仿宋" w:cs="仿宋_GB2312"/>
          <w:bCs/>
          <w:color w:val="000000"/>
          <w:sz w:val="32"/>
          <w:szCs w:val="32"/>
          <w:lang w:eastAsia="zh-CN"/>
        </w:rPr>
        <w:t>2023</w:t>
      </w:r>
      <w:r>
        <w:rPr>
          <w:rFonts w:hint="eastAsia" w:ascii="仿宋" w:hAnsi="仿宋" w:eastAsia="仿宋" w:cs="仿宋_GB2312"/>
          <w:bCs/>
          <w:color w:val="000000"/>
          <w:sz w:val="32"/>
          <w:szCs w:val="32"/>
        </w:rPr>
        <w:t>年项目支出的预算数是0万元，决算数是</w:t>
      </w:r>
      <w:r>
        <w:rPr>
          <w:rFonts w:hint="eastAsia" w:ascii="仿宋" w:hAnsi="仿宋" w:eastAsia="仿宋" w:cs="仿宋_GB2312"/>
          <w:bCs/>
          <w:color w:val="000000"/>
          <w:sz w:val="32"/>
          <w:szCs w:val="32"/>
          <w:lang w:val="en-US" w:eastAsia="zh-CN"/>
        </w:rPr>
        <w:t>1</w:t>
      </w:r>
      <w:r>
        <w:rPr>
          <w:rFonts w:hint="eastAsia" w:ascii="仿宋" w:hAnsi="仿宋" w:eastAsia="仿宋" w:cs="仿宋_GB2312"/>
          <w:bCs/>
          <w:color w:val="000000"/>
          <w:sz w:val="32"/>
          <w:szCs w:val="32"/>
        </w:rPr>
        <w:t>万元，</w:t>
      </w:r>
      <w:r>
        <w:rPr>
          <w:rFonts w:hint="eastAsia" w:ascii="仿宋" w:hAnsi="仿宋" w:eastAsia="仿宋" w:cs="仿宋_GB2312"/>
          <w:bCs/>
          <w:color w:val="000000"/>
          <w:sz w:val="32"/>
          <w:szCs w:val="32"/>
          <w:lang w:val="en-US" w:eastAsia="zh-CN"/>
        </w:rPr>
        <w:t>拨入工作经费专项。</w:t>
      </w:r>
    </w:p>
    <w:p w14:paraId="1DC7E9B6">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ascii="黑体" w:hAnsi="黑体" w:eastAsia="黑体" w:cs="黑体"/>
          <w:bCs/>
          <w:sz w:val="32"/>
          <w:szCs w:val="32"/>
        </w:rPr>
      </w:pPr>
      <w:r>
        <w:rPr>
          <w:rFonts w:hint="eastAsia" w:ascii="黑体" w:hAnsi="黑体" w:eastAsia="黑体" w:cs="黑体"/>
          <w:bCs/>
          <w:sz w:val="32"/>
          <w:szCs w:val="32"/>
        </w:rPr>
        <w:t>三、部门整体支出绩效评价分析</w:t>
      </w:r>
    </w:p>
    <w:p w14:paraId="11C15016">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（一）投入情况分析，包括预算编制、目标设定分析等；</w:t>
      </w:r>
    </w:p>
    <w:p w14:paraId="0B7F688D">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
          <w:sz w:val="32"/>
          <w:szCs w:val="32"/>
          <w:lang w:eastAsia="zh-CN"/>
        </w:rPr>
        <w:t>2023</w:t>
      </w:r>
      <w:r>
        <w:rPr>
          <w:rFonts w:hint="eastAsia" w:ascii="仿宋" w:hAnsi="仿宋" w:eastAsia="仿宋" w:cs="仿宋"/>
          <w:sz w:val="32"/>
          <w:szCs w:val="32"/>
        </w:rPr>
        <w:t>年本部门收入预算</w:t>
      </w:r>
      <w:r>
        <w:rPr>
          <w:rFonts w:hint="eastAsia" w:ascii="仿宋" w:hAnsi="仿宋" w:eastAsia="仿宋" w:cs="仿宋"/>
          <w:sz w:val="32"/>
          <w:szCs w:val="32"/>
          <w:lang w:eastAsia="zh-CN"/>
        </w:rPr>
        <w:t>138.91</w:t>
      </w:r>
      <w:r>
        <w:rPr>
          <w:rFonts w:hint="eastAsia" w:ascii="仿宋" w:hAnsi="仿宋" w:eastAsia="仿宋" w:cs="仿宋"/>
          <w:sz w:val="32"/>
          <w:szCs w:val="32"/>
        </w:rPr>
        <w:t>万元，资金均在本年度执行到位。其中，一般公共预算拨款</w:t>
      </w:r>
      <w:r>
        <w:rPr>
          <w:rFonts w:hint="eastAsia" w:ascii="仿宋" w:hAnsi="仿宋" w:eastAsia="仿宋" w:cs="仿宋"/>
          <w:sz w:val="32"/>
          <w:szCs w:val="32"/>
          <w:lang w:eastAsia="zh-CN"/>
        </w:rPr>
        <w:t>138.91</w:t>
      </w:r>
      <w:r>
        <w:rPr>
          <w:rFonts w:hint="eastAsia" w:ascii="仿宋" w:hAnsi="仿宋" w:eastAsia="仿宋" w:cs="仿宋"/>
          <w:sz w:val="32"/>
          <w:szCs w:val="32"/>
        </w:rPr>
        <w:t>万元，上级财政补助0 万元。其中基本支</w:t>
      </w:r>
      <w:r>
        <w:rPr>
          <w:rFonts w:hint="eastAsia" w:ascii="仿宋" w:hAnsi="仿宋" w:eastAsia="仿宋" w:cs="仿宋"/>
          <w:sz w:val="32"/>
          <w:szCs w:val="32"/>
          <w:lang w:eastAsia="zh-CN"/>
        </w:rPr>
        <w:t>138.91</w:t>
      </w:r>
      <w:r>
        <w:rPr>
          <w:rFonts w:hint="eastAsia" w:ascii="仿宋" w:hAnsi="仿宋" w:eastAsia="仿宋" w:cs="仿宋"/>
          <w:sz w:val="32"/>
          <w:szCs w:val="32"/>
        </w:rPr>
        <w:t>万元 ，主要用于基本人员开支及公用支出；</w:t>
      </w:r>
      <w:r>
        <w:rPr>
          <w:rFonts w:hint="eastAsia" w:ascii="仿宋" w:hAnsi="仿宋" w:eastAsia="仿宋" w:cs="仿宋_GB2312"/>
          <w:color w:val="000000" w:themeColor="text1"/>
          <w:sz w:val="32"/>
          <w:szCs w:val="32"/>
          <w14:textFill>
            <w14:solidFill>
              <w14:schemeClr w14:val="tx1"/>
            </w14:solidFill>
          </w14:textFill>
        </w:rPr>
        <w:t>项目支出0万元。</w:t>
      </w:r>
    </w:p>
    <w:p w14:paraId="529959BD">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（二）执行管理情况分析，包括资金执行进度、调整情况、成本控制情况分析及项目完成进度情况等。</w:t>
      </w:r>
    </w:p>
    <w:p w14:paraId="3C7860BD">
      <w:pPr>
        <w:autoSpaceDE w:val="0"/>
        <w:autoSpaceDN w:val="0"/>
        <w:spacing w:after="0" w:line="540" w:lineRule="exact"/>
        <w:ind w:firstLine="640" w:firstLineChars="200"/>
        <w:rPr>
          <w:rFonts w:ascii="仿宋" w:hAnsi="仿宋" w:eastAsia="仿宋" w:cs="仿宋_GB2312"/>
          <w:color w:val="000000" w:themeColor="text1"/>
          <w:sz w:val="32"/>
          <w:szCs w:val="32"/>
          <w14:textFill>
            <w14:solidFill>
              <w14:schemeClr w14:val="tx1"/>
            </w14:solidFill>
          </w14:textFill>
        </w:rPr>
      </w:pPr>
    </w:p>
    <w:p w14:paraId="1DA37BDB">
      <w:pPr>
        <w:spacing w:line="520" w:lineRule="exact"/>
        <w:ind w:firstLine="640"/>
        <w:rPr>
          <w:rFonts w:ascii="仿宋" w:hAnsi="仿宋" w:eastAsia="仿宋" w:cs="仿宋"/>
          <w:sz w:val="32"/>
          <w:szCs w:val="32"/>
        </w:rPr>
      </w:pPr>
      <w:r>
        <w:rPr>
          <w:rFonts w:hint="eastAsia" w:ascii="仿宋" w:hAnsi="仿宋" w:eastAsia="仿宋"/>
          <w:sz w:val="32"/>
          <w:lang w:eastAsia="zh-CN"/>
        </w:rPr>
        <w:t>2023</w:t>
      </w:r>
      <w:r>
        <w:rPr>
          <w:rFonts w:hint="eastAsia" w:ascii="仿宋" w:hAnsi="仿宋" w:eastAsia="仿宋"/>
          <w:sz w:val="32"/>
        </w:rPr>
        <w:t>年支出实际执行</w:t>
      </w:r>
      <w:r>
        <w:rPr>
          <w:rFonts w:hint="eastAsia" w:ascii="仿宋" w:hAnsi="仿宋" w:eastAsia="仿宋"/>
          <w:sz w:val="32"/>
          <w:szCs w:val="32"/>
          <w:lang w:eastAsia="zh-CN"/>
        </w:rPr>
        <w:t>134.04</w:t>
      </w:r>
      <w:r>
        <w:rPr>
          <w:rFonts w:hint="eastAsia" w:ascii="仿宋" w:hAnsi="仿宋" w:eastAsia="仿宋"/>
          <w:sz w:val="32"/>
        </w:rPr>
        <w:t>万元，比上年度</w:t>
      </w:r>
      <w:r>
        <w:rPr>
          <w:rFonts w:hint="eastAsia" w:ascii="仿宋" w:hAnsi="仿宋" w:eastAsia="仿宋"/>
          <w:sz w:val="32"/>
          <w:lang w:val="en-US" w:eastAsia="zh-CN"/>
        </w:rPr>
        <w:t>减少</w:t>
      </w:r>
      <w:r>
        <w:rPr>
          <w:rFonts w:hint="eastAsia" w:ascii="仿宋" w:hAnsi="仿宋" w:eastAsia="仿宋"/>
          <w:sz w:val="32"/>
          <w:lang w:eastAsia="zh-CN"/>
        </w:rPr>
        <w:t>10</w:t>
      </w:r>
      <w:r>
        <w:rPr>
          <w:rFonts w:hint="eastAsia" w:ascii="仿宋" w:hAnsi="仿宋" w:eastAsia="仿宋"/>
          <w:sz w:val="32"/>
        </w:rPr>
        <w:t>万元，</w:t>
      </w:r>
      <w:r>
        <w:rPr>
          <w:rFonts w:hint="eastAsia" w:ascii="仿宋" w:hAnsi="仿宋" w:eastAsia="仿宋"/>
          <w:sz w:val="32"/>
          <w:lang w:val="en-US" w:eastAsia="zh-CN"/>
        </w:rPr>
        <w:t>减少6.94</w:t>
      </w:r>
      <w:r>
        <w:rPr>
          <w:rFonts w:hint="eastAsia" w:ascii="仿宋" w:hAnsi="仿宋" w:eastAsia="仿宋"/>
          <w:sz w:val="32"/>
        </w:rPr>
        <w:t>%。主要原因是</w:t>
      </w:r>
      <w:r>
        <w:rPr>
          <w:rFonts w:hint="eastAsia" w:ascii="仿宋" w:hAnsi="仿宋" w:eastAsia="仿宋"/>
          <w:sz w:val="32"/>
          <w:lang w:val="en-US" w:eastAsia="zh-CN"/>
        </w:rPr>
        <w:t>本年度退休人员增加，</w:t>
      </w:r>
      <w:r>
        <w:rPr>
          <w:rFonts w:hint="eastAsia" w:ascii="仿宋" w:hAnsi="仿宋" w:eastAsia="仿宋"/>
          <w:sz w:val="32"/>
        </w:rPr>
        <w:t>财政拨款支出相应</w:t>
      </w:r>
      <w:r>
        <w:rPr>
          <w:rFonts w:hint="eastAsia" w:ascii="仿宋" w:hAnsi="仿宋" w:eastAsia="仿宋"/>
          <w:sz w:val="32"/>
          <w:lang w:val="en-US" w:eastAsia="zh-CN"/>
        </w:rPr>
        <w:t>减少</w:t>
      </w:r>
      <w:r>
        <w:rPr>
          <w:rFonts w:hint="eastAsia" w:ascii="仿宋" w:hAnsi="仿宋" w:eastAsia="仿宋"/>
          <w:sz w:val="32"/>
        </w:rPr>
        <w:t>。</w:t>
      </w:r>
    </w:p>
    <w:p w14:paraId="0928AD33">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（三）支出绩效情况分析，包括基本支出和项目支出的运行效果情况等。</w:t>
      </w:r>
    </w:p>
    <w:p w14:paraId="7C0B4EC9">
      <w:pPr>
        <w:spacing w:line="520" w:lineRule="exact"/>
        <w:ind w:firstLine="640"/>
        <w:rPr>
          <w:rFonts w:ascii="仿宋" w:hAnsi="仿宋" w:eastAsia="仿宋" w:cs="仿宋"/>
          <w:sz w:val="32"/>
          <w:szCs w:val="32"/>
        </w:rPr>
      </w:pPr>
      <w:r>
        <w:rPr>
          <w:rFonts w:hint="eastAsia" w:ascii="仿宋" w:hAnsi="仿宋" w:eastAsia="仿宋" w:cs="仿宋_GB2312"/>
          <w:sz w:val="32"/>
          <w:szCs w:val="32"/>
          <w:lang w:eastAsia="zh-CN"/>
        </w:rPr>
        <w:t>2023</w:t>
      </w:r>
      <w:r>
        <w:rPr>
          <w:rFonts w:hint="eastAsia" w:ascii="仿宋" w:hAnsi="仿宋" w:eastAsia="仿宋" w:cs="仿宋_GB2312"/>
          <w:sz w:val="32"/>
          <w:szCs w:val="32"/>
        </w:rPr>
        <w:t>年一年来，我站共办理工程质量安全监督受理9个项目，出具工程交竣工质量认定意见书6份。全年开展质量大检查6次，开展质量抽查、巡查40余次，发出抽查、巡查记录9份，全年监管的工程未发生工程质量事故。除日常监督工作外，对上级布置的任务，均能及时完成。</w:t>
      </w:r>
      <w:r>
        <w:rPr>
          <w:rFonts w:hint="eastAsia" w:ascii="仿宋" w:hAnsi="仿宋" w:eastAsia="仿宋"/>
          <w:sz w:val="32"/>
          <w:lang w:eastAsia="zh-CN"/>
        </w:rPr>
        <w:t>2023</w:t>
      </w:r>
      <w:r>
        <w:rPr>
          <w:rFonts w:hint="eastAsia" w:ascii="仿宋" w:hAnsi="仿宋" w:eastAsia="仿宋"/>
          <w:sz w:val="32"/>
        </w:rPr>
        <w:t>年支出实际执行</w:t>
      </w:r>
      <w:r>
        <w:rPr>
          <w:rFonts w:hint="eastAsia" w:ascii="仿宋" w:hAnsi="仿宋" w:eastAsia="仿宋"/>
          <w:sz w:val="32"/>
          <w:szCs w:val="32"/>
          <w:lang w:eastAsia="zh-CN"/>
        </w:rPr>
        <w:t>134.04</w:t>
      </w:r>
      <w:r>
        <w:rPr>
          <w:rFonts w:hint="eastAsia" w:ascii="仿宋" w:hAnsi="仿宋" w:eastAsia="仿宋"/>
          <w:sz w:val="32"/>
        </w:rPr>
        <w:t>万元，，比上年度</w:t>
      </w:r>
      <w:r>
        <w:rPr>
          <w:rFonts w:hint="eastAsia" w:ascii="仿宋" w:hAnsi="仿宋" w:eastAsia="仿宋"/>
          <w:sz w:val="32"/>
          <w:lang w:val="en-US" w:eastAsia="zh-CN"/>
        </w:rPr>
        <w:t>减少</w:t>
      </w:r>
      <w:r>
        <w:rPr>
          <w:rFonts w:hint="eastAsia" w:ascii="仿宋" w:hAnsi="仿宋" w:eastAsia="仿宋"/>
          <w:sz w:val="32"/>
          <w:lang w:eastAsia="zh-CN"/>
        </w:rPr>
        <w:t>10</w:t>
      </w:r>
      <w:r>
        <w:rPr>
          <w:rFonts w:hint="eastAsia" w:ascii="仿宋" w:hAnsi="仿宋" w:eastAsia="仿宋"/>
          <w:sz w:val="32"/>
        </w:rPr>
        <w:t>万元，</w:t>
      </w:r>
      <w:r>
        <w:rPr>
          <w:rFonts w:hint="eastAsia" w:ascii="仿宋" w:hAnsi="仿宋" w:eastAsia="仿宋"/>
          <w:sz w:val="32"/>
          <w:lang w:val="en-US" w:eastAsia="zh-CN"/>
        </w:rPr>
        <w:t>减少6.94</w:t>
      </w:r>
      <w:r>
        <w:rPr>
          <w:rFonts w:hint="eastAsia" w:ascii="仿宋" w:hAnsi="仿宋" w:eastAsia="仿宋"/>
          <w:sz w:val="32"/>
        </w:rPr>
        <w:t>%。主要原因是</w:t>
      </w:r>
      <w:r>
        <w:rPr>
          <w:rFonts w:hint="eastAsia" w:ascii="仿宋" w:hAnsi="仿宋" w:eastAsia="仿宋"/>
          <w:sz w:val="32"/>
          <w:lang w:val="en-US" w:eastAsia="zh-CN"/>
        </w:rPr>
        <w:t>本年度退休人员增加，</w:t>
      </w:r>
      <w:r>
        <w:rPr>
          <w:rFonts w:hint="eastAsia" w:ascii="仿宋" w:hAnsi="仿宋" w:eastAsia="仿宋"/>
          <w:sz w:val="32"/>
        </w:rPr>
        <w:t>财政拨款支出相应</w:t>
      </w:r>
      <w:r>
        <w:rPr>
          <w:rFonts w:hint="eastAsia" w:ascii="仿宋" w:hAnsi="仿宋" w:eastAsia="仿宋"/>
          <w:sz w:val="32"/>
          <w:lang w:val="en-US" w:eastAsia="zh-CN"/>
        </w:rPr>
        <w:t>减少</w:t>
      </w:r>
      <w:r>
        <w:rPr>
          <w:rFonts w:hint="eastAsia" w:ascii="仿宋" w:hAnsi="仿宋" w:eastAsia="仿宋"/>
          <w:sz w:val="32"/>
        </w:rPr>
        <w:t>。</w:t>
      </w:r>
    </w:p>
    <w:p w14:paraId="5877A773">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sz w:val="32"/>
          <w:szCs w:val="32"/>
        </w:rPr>
      </w:pPr>
      <w:r>
        <w:rPr>
          <w:rFonts w:hint="eastAsia" w:ascii="仿宋" w:hAnsi="仿宋" w:eastAsia="仿宋"/>
          <w:sz w:val="32"/>
          <w:lang w:val="en-US" w:eastAsia="zh-CN"/>
        </w:rPr>
        <w:t>本年项目支出1万元，是县交通局拨入用于办公经费开支。</w:t>
      </w:r>
    </w:p>
    <w:p w14:paraId="198402E1">
      <w:pPr>
        <w:pStyle w:val="5"/>
        <w:shd w:val="clear" w:color="auto" w:fill="FFFFFF"/>
        <w:spacing w:before="0" w:beforeAutospacing="0" w:after="0" w:afterAutospacing="0" w:line="540" w:lineRule="exact"/>
        <w:ind w:firstLine="640" w:firstLineChars="200"/>
        <w:jc w:val="both"/>
        <w:rPr>
          <w:rFonts w:hint="eastAsia" w:ascii="黑体" w:hAnsi="黑体" w:eastAsia="黑体" w:cs="黑体"/>
          <w:bCs/>
          <w:sz w:val="32"/>
          <w:szCs w:val="32"/>
        </w:rPr>
      </w:pPr>
      <w:r>
        <w:rPr>
          <w:rFonts w:hint="eastAsia" w:ascii="黑体" w:hAnsi="黑体" w:eastAsia="黑体" w:cs="黑体"/>
          <w:bCs/>
          <w:sz w:val="32"/>
          <w:szCs w:val="32"/>
        </w:rPr>
        <w:t>四、存在的问题</w:t>
      </w:r>
    </w:p>
    <w:p w14:paraId="2F086062">
      <w:pPr>
        <w:pStyle w:val="5"/>
        <w:shd w:val="clear" w:color="auto" w:fill="FFFFFF"/>
        <w:spacing w:before="0" w:beforeAutospacing="0" w:after="0" w:afterAutospacing="0" w:line="540" w:lineRule="exact"/>
        <w:ind w:firstLine="640" w:firstLineChars="200"/>
        <w:jc w:val="both"/>
        <w:rPr>
          <w:rFonts w:ascii="仿宋" w:hAnsi="仿宋" w:eastAsia="仿宋" w:cs="仿宋_GB2312"/>
          <w:color w:val="000000"/>
          <w:sz w:val="32"/>
          <w:szCs w:val="32"/>
        </w:rPr>
      </w:pPr>
      <w:r>
        <w:rPr>
          <w:rFonts w:hint="eastAsia" w:ascii="仿宋" w:hAnsi="仿宋" w:eastAsia="仿宋" w:cs="仿宋_GB2312"/>
          <w:color w:val="484848"/>
          <w:sz w:val="32"/>
          <w:szCs w:val="32"/>
          <w:shd w:val="clear" w:color="auto" w:fill="FFFFFF"/>
        </w:rPr>
        <w:t>（一）预算绩效观念不强，工作质量待提高</w:t>
      </w:r>
    </w:p>
    <w:p w14:paraId="58A3B7E3">
      <w:pPr>
        <w:pStyle w:val="5"/>
        <w:shd w:val="clear" w:color="auto" w:fill="FFFFFF"/>
        <w:spacing w:before="0" w:beforeAutospacing="0" w:after="0" w:afterAutospacing="0" w:line="540" w:lineRule="exact"/>
        <w:ind w:firstLine="640" w:firstLineChars="200"/>
        <w:jc w:val="both"/>
        <w:rPr>
          <w:rFonts w:ascii="仿宋" w:hAnsi="仿宋" w:eastAsia="仿宋" w:cs="仿宋_GB2312"/>
          <w:color w:val="484848"/>
          <w:sz w:val="32"/>
          <w:szCs w:val="32"/>
          <w:shd w:val="clear" w:color="auto" w:fill="FFFFFF"/>
        </w:rPr>
      </w:pPr>
      <w:r>
        <w:rPr>
          <w:rFonts w:hint="eastAsia" w:ascii="仿宋" w:hAnsi="仿宋" w:eastAsia="仿宋" w:cs="仿宋_GB2312"/>
          <w:color w:val="484848"/>
          <w:sz w:val="32"/>
          <w:szCs w:val="32"/>
          <w:shd w:val="clear" w:color="auto" w:fill="FFFFFF"/>
        </w:rPr>
        <w:t>部分职能部门对预算绩效管理工作重视程度还不足，缺乏主动性；对预算绩效管理工作的意义、框架、思路、操作规程认识不够深入，申报绩效目标不够明确，设计的评价指标体系不科学、不严谨。</w:t>
      </w:r>
    </w:p>
    <w:p w14:paraId="49D14444">
      <w:pPr>
        <w:pStyle w:val="5"/>
        <w:shd w:val="clear" w:color="auto" w:fill="FFFFFF"/>
        <w:spacing w:before="0" w:beforeAutospacing="0" w:after="0" w:afterAutospacing="0" w:line="540" w:lineRule="exact"/>
        <w:ind w:firstLine="640" w:firstLineChars="200"/>
        <w:jc w:val="both"/>
        <w:rPr>
          <w:rFonts w:ascii="仿宋" w:hAnsi="仿宋" w:eastAsia="仿宋" w:cs="仿宋_GB2312"/>
          <w:color w:val="000000"/>
          <w:sz w:val="32"/>
          <w:szCs w:val="32"/>
        </w:rPr>
      </w:pPr>
      <w:r>
        <w:rPr>
          <w:rFonts w:hint="eastAsia" w:ascii="仿宋" w:hAnsi="仿宋" w:eastAsia="仿宋" w:cs="仿宋_GB2312"/>
          <w:color w:val="484848"/>
          <w:sz w:val="32"/>
          <w:szCs w:val="32"/>
          <w:shd w:val="clear" w:color="auto" w:fill="FFFFFF"/>
        </w:rPr>
        <w:t>（二）预算编制工作有待细化</w:t>
      </w:r>
    </w:p>
    <w:p w14:paraId="3E77DF19">
      <w:pPr>
        <w:pStyle w:val="5"/>
        <w:shd w:val="clear" w:color="auto" w:fill="FFFFFF"/>
        <w:spacing w:before="0" w:beforeAutospacing="0" w:after="0" w:afterAutospacing="0" w:line="540" w:lineRule="exact"/>
        <w:ind w:firstLine="640" w:firstLineChars="200"/>
        <w:jc w:val="both"/>
        <w:rPr>
          <w:rFonts w:ascii="仿宋" w:hAnsi="仿宋" w:eastAsia="仿宋" w:cs="仿宋_GB2312"/>
          <w:sz w:val="32"/>
          <w:szCs w:val="32"/>
        </w:rPr>
      </w:pPr>
      <w:r>
        <w:rPr>
          <w:rFonts w:hint="eastAsia" w:ascii="仿宋" w:hAnsi="仿宋" w:eastAsia="仿宋" w:cs="仿宋_GB2312"/>
          <w:color w:val="484848"/>
          <w:sz w:val="32"/>
          <w:szCs w:val="32"/>
          <w:shd w:val="clear" w:color="auto" w:fill="FFFFFF"/>
        </w:rPr>
        <w:t>预算编制不够明确和细化，预算编制的合理性需要提高，预算执行力度还要进一步加强。今后工作中将细化预算编制工作，认真做好预算的编制。进一步加强单位内部机构各股室的预算管理意识，严格按照预算编制的相关制度和要求进行预算编制，优先保障固定性的、相对刚性的费用支出项目，尽量压缩变动性的、有控制空间的费用项目，进一步提高预算编制的科学性、严谨性和可控性；加强内部预算编制的审核和预算控制指标的下达。</w:t>
      </w:r>
    </w:p>
    <w:p w14:paraId="6D5DD7FF">
      <w:pPr>
        <w:spacing w:after="0" w:line="540" w:lineRule="exact"/>
        <w:ind w:firstLine="640" w:firstLineChars="200"/>
        <w:rPr>
          <w:rFonts w:hint="eastAsia" w:ascii="黑体" w:hAnsi="黑体" w:eastAsia="黑体" w:cs="黑体"/>
          <w:bCs/>
          <w:sz w:val="32"/>
          <w:szCs w:val="32"/>
        </w:rPr>
      </w:pPr>
      <w:r>
        <w:rPr>
          <w:rFonts w:hint="eastAsia" w:ascii="黑体" w:hAnsi="黑体" w:eastAsia="黑体" w:cs="黑体"/>
          <w:bCs/>
          <w:sz w:val="32"/>
          <w:szCs w:val="32"/>
        </w:rPr>
        <w:t>五、整改措施或建议</w:t>
      </w:r>
    </w:p>
    <w:p w14:paraId="469C0EBE">
      <w:pPr>
        <w:pStyle w:val="5"/>
        <w:shd w:val="clear" w:color="auto" w:fill="FFFFFF"/>
        <w:spacing w:before="0" w:beforeAutospacing="0" w:after="0" w:afterAutospacing="0" w:line="540" w:lineRule="exact"/>
        <w:ind w:firstLine="640" w:firstLineChars="200"/>
        <w:jc w:val="both"/>
        <w:rPr>
          <w:rFonts w:ascii="仿宋" w:hAnsi="仿宋" w:eastAsia="仿宋" w:cs="仿宋_GB2312"/>
          <w:color w:val="000000"/>
          <w:sz w:val="32"/>
          <w:szCs w:val="32"/>
        </w:rPr>
      </w:pPr>
      <w:r>
        <w:rPr>
          <w:rFonts w:hint="eastAsia" w:ascii="仿宋_GB2312" w:hAnsi="仿宋_GB2312" w:eastAsia="仿宋" w:cs="仿宋_GB2312"/>
          <w:color w:val="484848"/>
          <w:sz w:val="32"/>
          <w:szCs w:val="32"/>
          <w:shd w:val="clear" w:color="auto" w:fill="FFFFFF"/>
        </w:rPr>
        <w:t> </w:t>
      </w:r>
      <w:r>
        <w:rPr>
          <w:rFonts w:hint="eastAsia" w:ascii="仿宋" w:hAnsi="仿宋" w:eastAsia="仿宋" w:cs="仿宋_GB2312"/>
          <w:color w:val="484848"/>
          <w:sz w:val="32"/>
          <w:szCs w:val="32"/>
          <w:shd w:val="clear" w:color="auto" w:fill="FFFFFF"/>
        </w:rPr>
        <w:t>1.加强财务管理，严格财务审核。加强单位财务管理，健全单位财务管理制度体系，规范单位财务行为。在费用报账支付时，按照预算规定的费用项目和用途进行资金使用审核、列报支付、财务核算，杜绝超支现象的发生。</w:t>
      </w:r>
    </w:p>
    <w:p w14:paraId="052C44EF">
      <w:pPr>
        <w:pStyle w:val="5"/>
        <w:shd w:val="clear" w:color="auto" w:fill="FFFFFF"/>
        <w:spacing w:before="0" w:beforeAutospacing="0" w:after="0" w:afterAutospacing="0" w:line="540" w:lineRule="exact"/>
        <w:ind w:firstLine="640" w:firstLineChars="200"/>
        <w:jc w:val="both"/>
        <w:rPr>
          <w:rFonts w:ascii="仿宋" w:hAnsi="仿宋" w:eastAsia="仿宋" w:cs="仿宋_GB2312"/>
          <w:color w:val="000000"/>
          <w:sz w:val="32"/>
          <w:szCs w:val="32"/>
        </w:rPr>
      </w:pPr>
      <w:r>
        <w:rPr>
          <w:rFonts w:hint="eastAsia" w:ascii="仿宋" w:hAnsi="仿宋" w:eastAsia="仿宋" w:cs="仿宋_GB2312"/>
          <w:color w:val="484848"/>
          <w:sz w:val="32"/>
          <w:szCs w:val="32"/>
          <w:shd w:val="clear" w:color="auto" w:fill="FFFFFF"/>
        </w:rPr>
        <w:t>2.完善资产管理，抓好“三公”经费控制。严格编制政府采购年初预算和计划，加强单位内部的资产管理工作。严格控制“三公”经费的规模和比例，把关“三公”经费支出的审核、审批，杜绝挪用和挤占其他预算资金行为；进一步细化“三公”经费的管理，合理压缩“三公”经费支出。</w:t>
      </w:r>
    </w:p>
    <w:p w14:paraId="528742A4">
      <w:pPr>
        <w:pStyle w:val="5"/>
        <w:shd w:val="clear" w:color="auto" w:fill="FFFFFF"/>
        <w:spacing w:before="0" w:beforeAutospacing="0" w:after="0" w:afterAutospacing="0" w:line="540" w:lineRule="exact"/>
        <w:ind w:firstLine="640" w:firstLineChars="200"/>
        <w:jc w:val="both"/>
        <w:rPr>
          <w:rFonts w:ascii="仿宋" w:hAnsi="仿宋" w:eastAsia="仿宋" w:cs="仿宋_GB2312"/>
          <w:color w:val="000000"/>
          <w:sz w:val="32"/>
          <w:szCs w:val="32"/>
        </w:rPr>
      </w:pPr>
      <w:r>
        <w:rPr>
          <w:rFonts w:hint="eastAsia" w:ascii="仿宋" w:hAnsi="仿宋" w:eastAsia="仿宋" w:cs="仿宋_GB2312"/>
          <w:color w:val="484848"/>
          <w:sz w:val="32"/>
          <w:szCs w:val="32"/>
          <w:shd w:val="clear" w:color="auto" w:fill="FFFFFF"/>
        </w:rPr>
        <w:t>3.对相关人员加强培训，特别是针对《预算法》《政府会计制度》等学习培训，规范部门预算收支核算，切实提高部门预算收支管理水平。</w:t>
      </w:r>
    </w:p>
    <w:p w14:paraId="0B43C682">
      <w:pPr>
        <w:spacing w:after="0" w:line="540" w:lineRule="exact"/>
        <w:ind w:firstLine="640" w:firstLineChars="200"/>
        <w:rPr>
          <w:rFonts w:hint="eastAsia" w:ascii="黑体" w:hAnsi="黑体" w:eastAsia="黑体" w:cs="黑体"/>
          <w:bCs/>
          <w:sz w:val="32"/>
          <w:szCs w:val="32"/>
        </w:rPr>
      </w:pPr>
      <w:r>
        <w:rPr>
          <w:rFonts w:hint="eastAsia" w:ascii="黑体" w:hAnsi="黑体" w:eastAsia="黑体" w:cs="黑体"/>
          <w:bCs/>
          <w:sz w:val="32"/>
          <w:szCs w:val="32"/>
        </w:rPr>
        <w:t>六、其他需要说明的问题</w:t>
      </w:r>
    </w:p>
    <w:p w14:paraId="569F319D">
      <w:pPr>
        <w:pStyle w:val="6"/>
        <w:spacing w:line="540" w:lineRule="exact"/>
        <w:ind w:left="0" w:leftChars="0" w:firstLine="0" w:firstLineChars="0"/>
        <w:rPr>
          <w:rFonts w:ascii="仿宋" w:hAnsi="仿宋" w:eastAsia="仿宋" w:cs="仿宋_GB2312"/>
          <w:sz w:val="32"/>
          <w:szCs w:val="32"/>
        </w:rPr>
        <w:sectPr>
          <w:footerReference r:id="rId4" w:type="default"/>
          <w:pgSz w:w="11906" w:h="16838"/>
          <w:pgMar w:top="1701" w:right="1587" w:bottom="1587" w:left="1587" w:header="708" w:footer="709" w:gutter="0"/>
          <w:cols w:space="0" w:num="1"/>
          <w:docGrid w:linePitch="360" w:charSpace="0"/>
        </w:sectPr>
      </w:pPr>
      <w:r>
        <w:rPr>
          <w:rFonts w:hint="eastAsia" w:ascii="仿宋" w:hAnsi="仿宋" w:eastAsia="仿宋" w:cs="仿宋_GB2312"/>
          <w:sz w:val="32"/>
          <w:szCs w:val="32"/>
        </w:rPr>
        <w:t xml:space="preserve">   无。</w:t>
      </w:r>
    </w:p>
    <w:p w14:paraId="07A12313">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ascii="黑体" w:hAnsi="黑体" w:eastAsia="黑体" w:cs="黑体"/>
          <w:bCs/>
          <w:sz w:val="32"/>
          <w:szCs w:val="32"/>
        </w:rPr>
      </w:pPr>
    </w:p>
    <w:p w14:paraId="4A309C12">
      <w:pPr>
        <w:spacing w:line="400" w:lineRule="exact"/>
        <w:rPr>
          <w:rFonts w:ascii="黑体" w:hAnsi="仿宋_GB2312" w:eastAsia="黑体" w:cs="仿宋_GB2312"/>
          <w:sz w:val="32"/>
          <w:szCs w:val="32"/>
        </w:rPr>
      </w:pPr>
      <w:r>
        <w:rPr>
          <w:rFonts w:hint="eastAsia" w:ascii="黑体" w:hAnsi="仿宋_GB2312" w:eastAsia="黑体" w:cs="仿宋_GB2312"/>
          <w:sz w:val="28"/>
          <w:szCs w:val="28"/>
        </w:rPr>
        <w:t>附件</w:t>
      </w:r>
      <w:r>
        <w:rPr>
          <w:rFonts w:ascii="黑体" w:hAnsi="仿宋_GB2312" w:eastAsia="黑体" w:cs="仿宋_GB2312"/>
          <w:sz w:val="28"/>
          <w:szCs w:val="28"/>
        </w:rPr>
        <w:t>2</w:t>
      </w:r>
      <w:r>
        <w:rPr>
          <w:rFonts w:hint="eastAsia" w:ascii="黑体" w:hAnsi="仿宋_GB2312" w:eastAsia="黑体" w:cs="仿宋_GB2312"/>
          <w:sz w:val="32"/>
          <w:szCs w:val="32"/>
        </w:rPr>
        <w:t>：</w:t>
      </w:r>
    </w:p>
    <w:p w14:paraId="3C2AFF12">
      <w:pPr>
        <w:spacing w:after="0" w:line="700" w:lineRule="atLeas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color w:val="000000"/>
          <w:sz w:val="44"/>
          <w:szCs w:val="44"/>
        </w:rPr>
        <w:t>部门整体支出绩效评价指标体系评分表</w:t>
      </w:r>
    </w:p>
    <w:tbl>
      <w:tblPr>
        <w:tblStyle w:val="7"/>
        <w:tblW w:w="1414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3"/>
        <w:gridCol w:w="803"/>
        <w:gridCol w:w="1182"/>
        <w:gridCol w:w="6911"/>
        <w:gridCol w:w="3423"/>
        <w:gridCol w:w="1090"/>
      </w:tblGrid>
      <w:tr w14:paraId="21C4BC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tblHeader/>
          <w:jc w:val="center"/>
        </w:trPr>
        <w:tc>
          <w:tcPr>
            <w:tcW w:w="733" w:type="dxa"/>
            <w:vMerge w:val="restart"/>
            <w:tcBorders>
              <w:top w:val="single" w:color="000000" w:sz="4" w:space="0"/>
              <w:left w:val="single" w:color="000000" w:sz="4" w:space="0"/>
              <w:bottom w:val="single" w:color="000000" w:sz="4" w:space="0"/>
              <w:right w:val="single" w:color="000000" w:sz="4" w:space="0"/>
            </w:tcBorders>
            <w:vAlign w:val="center"/>
          </w:tcPr>
          <w:p w14:paraId="5798BA04">
            <w:pPr>
              <w:spacing w:after="0" w:line="68" w:lineRule="atLeast"/>
              <w:jc w:val="center"/>
              <w:rPr>
                <w:rFonts w:ascii="宋体" w:hAnsi="宋体" w:eastAsia="宋体" w:cs="宋体"/>
              </w:rPr>
            </w:pPr>
            <w:r>
              <w:rPr>
                <w:rFonts w:hint="eastAsia" w:ascii="宋体" w:hAnsi="宋体" w:eastAsia="宋体" w:cs="宋体"/>
                <w:b/>
                <w:bCs/>
              </w:rPr>
              <w:t>一级指标</w:t>
            </w: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14:paraId="06489747">
            <w:pPr>
              <w:spacing w:after="0" w:line="68" w:lineRule="atLeast"/>
              <w:jc w:val="center"/>
              <w:rPr>
                <w:rFonts w:ascii="宋体" w:hAnsi="宋体" w:eastAsia="宋体" w:cs="宋体"/>
              </w:rPr>
            </w:pPr>
            <w:r>
              <w:rPr>
                <w:rFonts w:hint="eastAsia" w:ascii="宋体" w:hAnsi="宋体" w:eastAsia="宋体" w:cs="宋体"/>
                <w:b/>
                <w:bCs/>
              </w:rPr>
              <w:t>二级指标</w:t>
            </w:r>
          </w:p>
        </w:tc>
        <w:tc>
          <w:tcPr>
            <w:tcW w:w="8093" w:type="dxa"/>
            <w:gridSpan w:val="2"/>
            <w:tcBorders>
              <w:top w:val="single" w:color="000000" w:sz="4" w:space="0"/>
              <w:left w:val="single" w:color="000000" w:sz="4" w:space="0"/>
              <w:bottom w:val="single" w:color="000000" w:sz="4" w:space="0"/>
              <w:right w:val="single" w:color="auto" w:sz="4" w:space="0"/>
            </w:tcBorders>
            <w:vAlign w:val="center"/>
          </w:tcPr>
          <w:p w14:paraId="727B3D4D">
            <w:pPr>
              <w:spacing w:after="0" w:line="68" w:lineRule="atLeast"/>
              <w:jc w:val="center"/>
              <w:rPr>
                <w:rFonts w:ascii="宋体" w:hAnsi="宋体" w:eastAsia="宋体" w:cs="宋体"/>
              </w:rPr>
            </w:pPr>
            <w:r>
              <w:rPr>
                <w:rFonts w:hint="eastAsia" w:ascii="宋体" w:hAnsi="宋体" w:eastAsia="宋体" w:cs="宋体"/>
                <w:b/>
                <w:bCs/>
              </w:rPr>
              <w:t>三级指标</w:t>
            </w:r>
          </w:p>
        </w:tc>
        <w:tc>
          <w:tcPr>
            <w:tcW w:w="3423" w:type="dxa"/>
            <w:vMerge w:val="restart"/>
            <w:tcBorders>
              <w:top w:val="single" w:color="000000" w:sz="4" w:space="0"/>
              <w:left w:val="single" w:color="auto" w:sz="4" w:space="0"/>
              <w:bottom w:val="single" w:color="000000" w:sz="4" w:space="0"/>
              <w:right w:val="single" w:color="auto" w:sz="4" w:space="0"/>
            </w:tcBorders>
            <w:vAlign w:val="center"/>
          </w:tcPr>
          <w:p w14:paraId="76F31E32">
            <w:pPr>
              <w:spacing w:after="0" w:line="68" w:lineRule="atLeast"/>
              <w:jc w:val="center"/>
              <w:rPr>
                <w:rFonts w:ascii="宋体" w:hAnsi="宋体" w:eastAsia="宋体" w:cs="宋体"/>
              </w:rPr>
            </w:pPr>
            <w:r>
              <w:rPr>
                <w:rFonts w:hint="eastAsia" w:ascii="宋体" w:hAnsi="宋体" w:eastAsia="宋体" w:cs="宋体"/>
                <w:b/>
                <w:bCs/>
              </w:rPr>
              <w:t>评分标准</w:t>
            </w:r>
          </w:p>
        </w:tc>
        <w:tc>
          <w:tcPr>
            <w:tcW w:w="1090" w:type="dxa"/>
            <w:vMerge w:val="restart"/>
            <w:tcBorders>
              <w:top w:val="single" w:color="000000" w:sz="4" w:space="0"/>
              <w:left w:val="single" w:color="auto" w:sz="4" w:space="0"/>
              <w:bottom w:val="single" w:color="000000" w:sz="4" w:space="0"/>
              <w:right w:val="single" w:color="auto" w:sz="4" w:space="0"/>
            </w:tcBorders>
            <w:vAlign w:val="center"/>
          </w:tcPr>
          <w:p w14:paraId="0A61A594">
            <w:pPr>
              <w:spacing w:after="0" w:line="68" w:lineRule="atLeast"/>
              <w:jc w:val="center"/>
              <w:rPr>
                <w:rFonts w:ascii="宋体" w:hAnsi="宋体" w:eastAsia="宋体" w:cs="宋体"/>
              </w:rPr>
            </w:pPr>
            <w:r>
              <w:rPr>
                <w:rFonts w:hint="eastAsia" w:ascii="宋体" w:hAnsi="宋体" w:eastAsia="宋体" w:cs="宋体"/>
                <w:b/>
                <w:bCs/>
              </w:rPr>
              <w:t>得分</w:t>
            </w:r>
          </w:p>
        </w:tc>
      </w:tr>
      <w:tr w14:paraId="650988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tblHeader/>
          <w:jc w:val="center"/>
        </w:trPr>
        <w:tc>
          <w:tcPr>
            <w:tcW w:w="733" w:type="dxa"/>
            <w:vMerge w:val="continue"/>
            <w:tcBorders>
              <w:top w:val="single" w:color="000000" w:sz="4" w:space="0"/>
              <w:left w:val="single" w:color="000000" w:sz="4" w:space="0"/>
              <w:bottom w:val="single" w:color="000000" w:sz="4" w:space="0"/>
              <w:right w:val="single" w:color="000000" w:sz="4" w:space="0"/>
            </w:tcBorders>
            <w:vAlign w:val="center"/>
          </w:tcPr>
          <w:p w14:paraId="6CD2D43F">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409391A4">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585FD988">
            <w:pPr>
              <w:spacing w:after="0" w:line="68" w:lineRule="atLeast"/>
              <w:jc w:val="center"/>
              <w:rPr>
                <w:rFonts w:ascii="宋体" w:hAnsi="宋体" w:eastAsia="宋体" w:cs="宋体"/>
              </w:rPr>
            </w:pPr>
            <w:r>
              <w:rPr>
                <w:rFonts w:hint="eastAsia" w:ascii="宋体" w:hAnsi="宋体" w:eastAsia="宋体" w:cs="宋体"/>
                <w:b/>
                <w:bCs/>
              </w:rPr>
              <w:t>指标名称</w:t>
            </w:r>
          </w:p>
        </w:tc>
        <w:tc>
          <w:tcPr>
            <w:tcW w:w="6911" w:type="dxa"/>
            <w:tcBorders>
              <w:top w:val="single" w:color="000000" w:sz="4" w:space="0"/>
              <w:left w:val="single" w:color="auto" w:sz="4" w:space="0"/>
              <w:bottom w:val="single" w:color="000000" w:sz="4" w:space="0"/>
              <w:right w:val="single" w:color="auto" w:sz="4" w:space="0"/>
            </w:tcBorders>
            <w:vAlign w:val="center"/>
          </w:tcPr>
          <w:p w14:paraId="435348E3">
            <w:pPr>
              <w:spacing w:after="0" w:line="68" w:lineRule="atLeast"/>
              <w:jc w:val="center"/>
              <w:rPr>
                <w:rFonts w:ascii="宋体" w:hAnsi="宋体" w:eastAsia="宋体" w:cs="宋体"/>
              </w:rPr>
            </w:pPr>
            <w:r>
              <w:rPr>
                <w:rFonts w:hint="eastAsia" w:ascii="宋体" w:hAnsi="宋体" w:eastAsia="宋体" w:cs="宋体"/>
                <w:b/>
                <w:bCs/>
              </w:rPr>
              <w:t>指标解释说明</w:t>
            </w:r>
          </w:p>
        </w:tc>
        <w:tc>
          <w:tcPr>
            <w:tcW w:w="3423" w:type="dxa"/>
            <w:vMerge w:val="continue"/>
            <w:tcBorders>
              <w:top w:val="single" w:color="000000" w:sz="4" w:space="0"/>
              <w:left w:val="single" w:color="auto" w:sz="4" w:space="0"/>
              <w:bottom w:val="single" w:color="000000" w:sz="4" w:space="0"/>
              <w:right w:val="single" w:color="auto" w:sz="4" w:space="0"/>
            </w:tcBorders>
            <w:vAlign w:val="center"/>
          </w:tcPr>
          <w:p w14:paraId="25A4D3C8">
            <w:pPr>
              <w:spacing w:after="0"/>
              <w:rPr>
                <w:rFonts w:ascii="宋体" w:hAnsi="宋体" w:eastAsia="宋体" w:cs="宋体"/>
              </w:rPr>
            </w:pPr>
          </w:p>
        </w:tc>
        <w:tc>
          <w:tcPr>
            <w:tcW w:w="1090" w:type="dxa"/>
            <w:vMerge w:val="continue"/>
            <w:tcBorders>
              <w:top w:val="single" w:color="000000" w:sz="4" w:space="0"/>
              <w:left w:val="single" w:color="auto" w:sz="4" w:space="0"/>
              <w:bottom w:val="single" w:color="000000" w:sz="4" w:space="0"/>
              <w:right w:val="single" w:color="auto" w:sz="4" w:space="0"/>
            </w:tcBorders>
            <w:vAlign w:val="center"/>
          </w:tcPr>
          <w:p w14:paraId="17CC7875">
            <w:pPr>
              <w:spacing w:after="0"/>
              <w:rPr>
                <w:rFonts w:ascii="宋体" w:hAnsi="宋体" w:eastAsia="宋体" w:cs="宋体"/>
              </w:rPr>
            </w:pPr>
          </w:p>
        </w:tc>
      </w:tr>
      <w:tr w14:paraId="1C04B0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0" w:hRule="atLeast"/>
          <w:jc w:val="center"/>
        </w:trPr>
        <w:tc>
          <w:tcPr>
            <w:tcW w:w="733" w:type="dxa"/>
            <w:vMerge w:val="restart"/>
            <w:tcBorders>
              <w:top w:val="single" w:color="000000" w:sz="4" w:space="0"/>
              <w:left w:val="single" w:color="000000" w:sz="4" w:space="0"/>
              <w:right w:val="single" w:color="000000" w:sz="4" w:space="0"/>
            </w:tcBorders>
          </w:tcPr>
          <w:p w14:paraId="7A9B3D58">
            <w:pPr>
              <w:spacing w:after="0" w:line="68" w:lineRule="atLeast"/>
              <w:rPr>
                <w:rFonts w:ascii="宋体" w:hAnsi="宋体" w:eastAsia="宋体" w:cs="宋体"/>
              </w:rPr>
            </w:pPr>
          </w:p>
          <w:p w14:paraId="2DFB491F">
            <w:pPr>
              <w:spacing w:after="0" w:line="68" w:lineRule="atLeast"/>
              <w:rPr>
                <w:rFonts w:ascii="宋体" w:hAnsi="宋体" w:eastAsia="宋体" w:cs="宋体"/>
              </w:rPr>
            </w:pPr>
          </w:p>
          <w:p w14:paraId="5E949ADD">
            <w:pPr>
              <w:spacing w:after="0" w:line="68" w:lineRule="atLeast"/>
              <w:rPr>
                <w:rFonts w:ascii="宋体" w:hAnsi="宋体" w:eastAsia="宋体" w:cs="宋体"/>
              </w:rPr>
            </w:pPr>
          </w:p>
          <w:p w14:paraId="7E2DFD77">
            <w:pPr>
              <w:spacing w:after="0" w:line="68" w:lineRule="atLeast"/>
              <w:rPr>
                <w:rFonts w:ascii="宋体" w:hAnsi="宋体" w:eastAsia="宋体" w:cs="宋体"/>
              </w:rPr>
            </w:pPr>
          </w:p>
          <w:p w14:paraId="2B97F0F1">
            <w:pPr>
              <w:spacing w:after="0" w:line="68" w:lineRule="atLeast"/>
              <w:rPr>
                <w:rFonts w:ascii="宋体" w:hAnsi="宋体" w:eastAsia="宋体" w:cs="宋体"/>
              </w:rPr>
            </w:pPr>
          </w:p>
          <w:p w14:paraId="7FD2F403">
            <w:pPr>
              <w:spacing w:after="0" w:line="68" w:lineRule="atLeast"/>
              <w:rPr>
                <w:rFonts w:ascii="宋体" w:hAnsi="宋体" w:eastAsia="宋体" w:cs="宋体"/>
              </w:rPr>
            </w:pPr>
          </w:p>
          <w:p w14:paraId="52BE2D9E">
            <w:pPr>
              <w:spacing w:after="0" w:line="68" w:lineRule="atLeast"/>
              <w:rPr>
                <w:rFonts w:ascii="宋体" w:hAnsi="宋体" w:eastAsia="宋体" w:cs="宋体"/>
              </w:rPr>
            </w:pPr>
          </w:p>
          <w:p w14:paraId="41A10EC4">
            <w:pPr>
              <w:spacing w:after="0" w:line="68" w:lineRule="atLeast"/>
              <w:rPr>
                <w:rFonts w:ascii="宋体" w:hAnsi="宋体" w:eastAsia="宋体" w:cs="宋体"/>
              </w:rPr>
            </w:pPr>
          </w:p>
          <w:p w14:paraId="0AC42000">
            <w:pPr>
              <w:spacing w:after="0" w:line="68" w:lineRule="atLeast"/>
              <w:rPr>
                <w:rFonts w:ascii="宋体" w:hAnsi="宋体" w:eastAsia="宋体" w:cs="宋体"/>
              </w:rPr>
            </w:pPr>
          </w:p>
          <w:p w14:paraId="7338FA2D">
            <w:pPr>
              <w:spacing w:after="0" w:line="68" w:lineRule="atLeast"/>
              <w:rPr>
                <w:rFonts w:ascii="宋体" w:hAnsi="宋体" w:eastAsia="宋体" w:cs="宋体"/>
              </w:rPr>
            </w:pPr>
          </w:p>
          <w:p w14:paraId="45D4E454">
            <w:pPr>
              <w:spacing w:after="0" w:line="68" w:lineRule="atLeast"/>
              <w:rPr>
                <w:rFonts w:ascii="宋体" w:hAnsi="宋体" w:eastAsia="宋体" w:cs="宋体"/>
              </w:rPr>
            </w:pPr>
            <w:r>
              <w:rPr>
                <w:rFonts w:hint="eastAsia" w:ascii="宋体" w:hAnsi="宋体" w:eastAsia="宋体" w:cs="宋体"/>
              </w:rPr>
              <w:t>投入（15分）</w:t>
            </w:r>
          </w:p>
          <w:p w14:paraId="626FA0CA">
            <w:pPr>
              <w:spacing w:after="0" w:line="68" w:lineRule="atLeast"/>
              <w:rPr>
                <w:rFonts w:ascii="宋体" w:hAnsi="宋体" w:eastAsia="宋体" w:cs="宋体"/>
              </w:rPr>
            </w:pPr>
          </w:p>
          <w:p w14:paraId="56FB3869">
            <w:pPr>
              <w:spacing w:after="0" w:line="68" w:lineRule="atLeast"/>
              <w:rPr>
                <w:rFonts w:ascii="宋体" w:hAnsi="宋体" w:eastAsia="宋体" w:cs="宋体"/>
              </w:rPr>
            </w:pPr>
          </w:p>
          <w:p w14:paraId="0B5ADBF6">
            <w:pPr>
              <w:spacing w:after="0" w:line="68" w:lineRule="atLeast"/>
              <w:rPr>
                <w:rFonts w:ascii="宋体" w:hAnsi="宋体" w:eastAsia="宋体" w:cs="宋体"/>
              </w:rPr>
            </w:pPr>
          </w:p>
          <w:p w14:paraId="085A2E45">
            <w:pPr>
              <w:spacing w:after="0" w:line="68" w:lineRule="atLeast"/>
              <w:rPr>
                <w:rFonts w:ascii="宋体" w:hAnsi="宋体" w:eastAsia="宋体" w:cs="宋体"/>
              </w:rPr>
            </w:pPr>
          </w:p>
          <w:p w14:paraId="0FCC8C95">
            <w:pPr>
              <w:spacing w:after="0" w:line="68" w:lineRule="atLeast"/>
              <w:rPr>
                <w:rFonts w:ascii="宋体" w:hAnsi="宋体" w:eastAsia="宋体" w:cs="宋体"/>
              </w:rPr>
            </w:pPr>
          </w:p>
          <w:p w14:paraId="0785632A">
            <w:pPr>
              <w:spacing w:after="0" w:line="68" w:lineRule="atLeast"/>
              <w:rPr>
                <w:rFonts w:ascii="宋体" w:hAnsi="宋体" w:eastAsia="宋体" w:cs="宋体"/>
              </w:rPr>
            </w:pPr>
          </w:p>
          <w:p w14:paraId="7A96C227">
            <w:pPr>
              <w:spacing w:after="0" w:line="68" w:lineRule="atLeast"/>
              <w:rPr>
                <w:rFonts w:ascii="宋体" w:hAnsi="宋体" w:eastAsia="宋体" w:cs="宋体"/>
              </w:rPr>
            </w:pPr>
          </w:p>
          <w:p w14:paraId="5AD3970F">
            <w:pPr>
              <w:spacing w:after="0" w:line="68" w:lineRule="atLeast"/>
              <w:rPr>
                <w:rFonts w:ascii="宋体" w:hAnsi="宋体" w:eastAsia="宋体" w:cs="宋体"/>
              </w:rPr>
            </w:pPr>
          </w:p>
          <w:p w14:paraId="10CFDF75">
            <w:pPr>
              <w:spacing w:after="0" w:line="68" w:lineRule="atLeast"/>
              <w:rPr>
                <w:rFonts w:ascii="宋体" w:hAnsi="宋体" w:eastAsia="宋体" w:cs="宋体"/>
              </w:rPr>
            </w:pPr>
          </w:p>
          <w:p w14:paraId="2C3350D1">
            <w:pPr>
              <w:spacing w:after="0" w:line="68" w:lineRule="atLeast"/>
              <w:rPr>
                <w:rFonts w:ascii="宋体" w:hAnsi="宋体" w:eastAsia="宋体" w:cs="宋体"/>
              </w:rPr>
            </w:pPr>
          </w:p>
          <w:p w14:paraId="09D6CF01">
            <w:pPr>
              <w:spacing w:after="0" w:line="68" w:lineRule="atLeast"/>
              <w:rPr>
                <w:rFonts w:ascii="宋体" w:hAnsi="宋体" w:eastAsia="宋体" w:cs="宋体"/>
              </w:rPr>
            </w:pPr>
          </w:p>
          <w:p w14:paraId="1046F75C">
            <w:pPr>
              <w:spacing w:after="0" w:line="68" w:lineRule="atLeast"/>
              <w:rPr>
                <w:rFonts w:ascii="宋体" w:hAnsi="宋体" w:eastAsia="宋体" w:cs="宋体"/>
              </w:rPr>
            </w:pPr>
          </w:p>
          <w:p w14:paraId="008154EF">
            <w:pPr>
              <w:spacing w:after="0" w:line="68" w:lineRule="atLeast"/>
              <w:rPr>
                <w:rFonts w:ascii="宋体" w:hAnsi="宋体" w:eastAsia="宋体" w:cs="宋体"/>
              </w:rPr>
            </w:pPr>
          </w:p>
          <w:p w14:paraId="706F659B">
            <w:pPr>
              <w:spacing w:after="0" w:line="68" w:lineRule="atLeast"/>
              <w:rPr>
                <w:rFonts w:ascii="宋体" w:hAnsi="宋体" w:eastAsia="宋体" w:cs="宋体"/>
              </w:rPr>
            </w:pPr>
          </w:p>
          <w:p w14:paraId="02364688">
            <w:pPr>
              <w:spacing w:after="0" w:line="68" w:lineRule="atLeast"/>
              <w:rPr>
                <w:rFonts w:ascii="宋体" w:hAnsi="宋体" w:eastAsia="宋体" w:cs="宋体"/>
              </w:rPr>
            </w:pPr>
          </w:p>
          <w:p w14:paraId="4260F16E">
            <w:pPr>
              <w:spacing w:after="0" w:line="68" w:lineRule="atLeast"/>
              <w:rPr>
                <w:rFonts w:ascii="宋体" w:hAnsi="宋体" w:eastAsia="宋体" w:cs="宋体"/>
              </w:rPr>
            </w:pPr>
          </w:p>
          <w:p w14:paraId="56F2B188">
            <w:pPr>
              <w:spacing w:after="0" w:line="68" w:lineRule="atLeast"/>
              <w:rPr>
                <w:rFonts w:ascii="宋体" w:hAnsi="宋体" w:eastAsia="宋体" w:cs="宋体"/>
              </w:rPr>
            </w:pPr>
          </w:p>
          <w:p w14:paraId="57F8F8D6">
            <w:pPr>
              <w:spacing w:after="0" w:line="68" w:lineRule="atLeast"/>
              <w:rPr>
                <w:rFonts w:ascii="宋体" w:hAnsi="宋体" w:eastAsia="宋体" w:cs="宋体"/>
              </w:rPr>
            </w:pPr>
          </w:p>
          <w:p w14:paraId="54BE0FB4">
            <w:pPr>
              <w:spacing w:after="0" w:line="68" w:lineRule="atLeast"/>
              <w:rPr>
                <w:rFonts w:ascii="宋体" w:hAnsi="宋体" w:eastAsia="宋体" w:cs="宋体"/>
              </w:rPr>
            </w:pPr>
          </w:p>
          <w:p w14:paraId="2A8FB82A">
            <w:pPr>
              <w:spacing w:after="0" w:line="68" w:lineRule="atLeast"/>
              <w:rPr>
                <w:rFonts w:ascii="宋体" w:hAnsi="宋体" w:eastAsia="宋体" w:cs="宋体"/>
              </w:rPr>
            </w:pPr>
            <w:r>
              <w:rPr>
                <w:rFonts w:hint="eastAsia" w:ascii="宋体" w:hAnsi="宋体" w:eastAsia="宋体" w:cs="宋体"/>
              </w:rPr>
              <w:t>投入（15分）</w:t>
            </w:r>
          </w:p>
        </w:tc>
        <w:tc>
          <w:tcPr>
            <w:tcW w:w="803" w:type="dxa"/>
            <w:vMerge w:val="restart"/>
            <w:tcBorders>
              <w:top w:val="single" w:color="000000" w:sz="4" w:space="0"/>
              <w:left w:val="single" w:color="000000" w:sz="4" w:space="0"/>
              <w:right w:val="single" w:color="000000" w:sz="4" w:space="0"/>
            </w:tcBorders>
          </w:tcPr>
          <w:p w14:paraId="37AC172F">
            <w:pPr>
              <w:spacing w:after="0" w:line="240" w:lineRule="exact"/>
              <w:rPr>
                <w:rFonts w:ascii="宋体" w:hAnsi="宋体" w:eastAsia="宋体" w:cs="宋体"/>
              </w:rPr>
            </w:pPr>
          </w:p>
          <w:p w14:paraId="61023CF8">
            <w:pPr>
              <w:spacing w:after="0" w:line="240" w:lineRule="exact"/>
              <w:rPr>
                <w:rFonts w:ascii="宋体" w:hAnsi="宋体" w:eastAsia="宋体" w:cs="宋体"/>
              </w:rPr>
            </w:pPr>
          </w:p>
          <w:p w14:paraId="54112150">
            <w:pPr>
              <w:spacing w:after="0" w:line="240" w:lineRule="exact"/>
              <w:rPr>
                <w:rFonts w:ascii="宋体" w:hAnsi="宋体" w:eastAsia="宋体" w:cs="宋体"/>
              </w:rPr>
            </w:pPr>
          </w:p>
          <w:p w14:paraId="0D7C33C2">
            <w:pPr>
              <w:spacing w:after="0" w:line="240" w:lineRule="exact"/>
              <w:rPr>
                <w:rFonts w:ascii="宋体" w:hAnsi="宋体" w:eastAsia="宋体" w:cs="宋体"/>
              </w:rPr>
            </w:pPr>
          </w:p>
          <w:p w14:paraId="085D2E78">
            <w:pPr>
              <w:spacing w:after="0" w:line="240" w:lineRule="exact"/>
              <w:rPr>
                <w:rFonts w:ascii="宋体" w:hAnsi="宋体" w:eastAsia="宋体" w:cs="宋体"/>
              </w:rPr>
            </w:pPr>
          </w:p>
          <w:p w14:paraId="7FC72F58">
            <w:pPr>
              <w:spacing w:after="0" w:line="240" w:lineRule="exact"/>
              <w:rPr>
                <w:rFonts w:ascii="宋体" w:hAnsi="宋体" w:eastAsia="宋体" w:cs="宋体"/>
              </w:rPr>
            </w:pPr>
          </w:p>
          <w:p w14:paraId="3826297E">
            <w:pPr>
              <w:spacing w:after="0" w:line="240" w:lineRule="exact"/>
              <w:rPr>
                <w:rFonts w:ascii="宋体" w:hAnsi="宋体" w:eastAsia="宋体" w:cs="宋体"/>
              </w:rPr>
            </w:pPr>
          </w:p>
          <w:p w14:paraId="7648B405">
            <w:pPr>
              <w:spacing w:after="0" w:line="240" w:lineRule="exact"/>
              <w:rPr>
                <w:rFonts w:ascii="宋体" w:hAnsi="宋体" w:eastAsia="宋体" w:cs="宋体"/>
              </w:rPr>
            </w:pPr>
          </w:p>
          <w:p w14:paraId="505B46E1">
            <w:pPr>
              <w:spacing w:after="0" w:line="240" w:lineRule="exact"/>
              <w:rPr>
                <w:rFonts w:ascii="宋体" w:hAnsi="宋体" w:eastAsia="宋体" w:cs="宋体"/>
              </w:rPr>
            </w:pPr>
          </w:p>
          <w:p w14:paraId="3823D93A">
            <w:pPr>
              <w:spacing w:after="0" w:line="240" w:lineRule="exact"/>
              <w:rPr>
                <w:rFonts w:ascii="宋体" w:hAnsi="宋体" w:eastAsia="宋体" w:cs="宋体"/>
              </w:rPr>
            </w:pPr>
          </w:p>
          <w:p w14:paraId="4D89CF58">
            <w:pPr>
              <w:spacing w:after="0" w:line="240" w:lineRule="exact"/>
              <w:rPr>
                <w:rFonts w:ascii="宋体" w:hAnsi="宋体" w:eastAsia="宋体" w:cs="宋体"/>
              </w:rPr>
            </w:pPr>
          </w:p>
          <w:p w14:paraId="1B951121">
            <w:pPr>
              <w:spacing w:after="0" w:line="240" w:lineRule="exact"/>
              <w:rPr>
                <w:rFonts w:ascii="宋体" w:hAnsi="宋体" w:eastAsia="宋体" w:cs="宋体"/>
              </w:rPr>
            </w:pPr>
          </w:p>
          <w:p w14:paraId="44ADA208">
            <w:pPr>
              <w:spacing w:after="0" w:line="240" w:lineRule="exact"/>
              <w:rPr>
                <w:rFonts w:ascii="宋体" w:hAnsi="宋体" w:eastAsia="宋体" w:cs="宋体"/>
              </w:rPr>
            </w:pPr>
          </w:p>
          <w:p w14:paraId="06781ABA">
            <w:pPr>
              <w:spacing w:after="0" w:line="240" w:lineRule="exact"/>
              <w:rPr>
                <w:rFonts w:ascii="宋体" w:hAnsi="宋体" w:eastAsia="宋体" w:cs="宋体"/>
              </w:rPr>
            </w:pPr>
            <w:r>
              <w:rPr>
                <w:rFonts w:hint="eastAsia" w:ascii="宋体" w:hAnsi="宋体" w:eastAsia="宋体" w:cs="宋体"/>
              </w:rPr>
              <w:t>目标设定</w:t>
            </w:r>
          </w:p>
          <w:p w14:paraId="51B4C518">
            <w:pPr>
              <w:spacing w:after="0" w:line="68" w:lineRule="atLeast"/>
              <w:rPr>
                <w:rFonts w:ascii="宋体" w:hAnsi="宋体" w:eastAsia="宋体" w:cs="宋体"/>
              </w:rPr>
            </w:pPr>
            <w:r>
              <w:rPr>
                <w:rFonts w:hint="eastAsia" w:ascii="宋体" w:hAnsi="宋体" w:eastAsia="宋体" w:cs="宋体"/>
              </w:rPr>
              <w:t>（5分）</w:t>
            </w:r>
          </w:p>
        </w:tc>
        <w:tc>
          <w:tcPr>
            <w:tcW w:w="1182" w:type="dxa"/>
            <w:tcBorders>
              <w:top w:val="single" w:color="000000" w:sz="4" w:space="0"/>
              <w:left w:val="single" w:color="000000" w:sz="4" w:space="0"/>
              <w:bottom w:val="single" w:color="auto" w:sz="4" w:space="0"/>
              <w:right w:val="single" w:color="auto" w:sz="4" w:space="0"/>
            </w:tcBorders>
          </w:tcPr>
          <w:p w14:paraId="70512996">
            <w:pPr>
              <w:spacing w:after="0" w:line="68" w:lineRule="atLeast"/>
              <w:rPr>
                <w:rFonts w:ascii="宋体" w:hAnsi="宋体" w:eastAsia="宋体" w:cs="宋体"/>
              </w:rPr>
            </w:pPr>
            <w:r>
              <w:rPr>
                <w:rFonts w:hint="eastAsia" w:ascii="宋体" w:hAnsi="宋体" w:eastAsia="宋体" w:cs="宋体"/>
              </w:rPr>
              <w:t>职责明确（1分）</w:t>
            </w:r>
          </w:p>
        </w:tc>
        <w:tc>
          <w:tcPr>
            <w:tcW w:w="6911" w:type="dxa"/>
            <w:tcBorders>
              <w:top w:val="single" w:color="000000" w:sz="4" w:space="0"/>
              <w:left w:val="single" w:color="auto" w:sz="4" w:space="0"/>
              <w:bottom w:val="single" w:color="auto" w:sz="4" w:space="0"/>
              <w:right w:val="single" w:color="auto" w:sz="4" w:space="0"/>
            </w:tcBorders>
          </w:tcPr>
          <w:p w14:paraId="357A8B19">
            <w:pPr>
              <w:spacing w:after="0" w:line="68" w:lineRule="atLeast"/>
              <w:rPr>
                <w:rFonts w:ascii="宋体" w:hAnsi="宋体" w:eastAsia="宋体" w:cs="宋体"/>
              </w:rPr>
            </w:pPr>
            <w:r>
              <w:rPr>
                <w:rFonts w:hint="eastAsia" w:ascii="宋体" w:hAnsi="宋体" w:eastAsia="宋体" w:cs="宋体"/>
              </w:rPr>
              <w:t>部门的职责设定是否符合“三定”方案中所赋予的职责和年度承担的重点工作，用以反映和评价部门工作的目的性与计划性。</w:t>
            </w:r>
          </w:p>
        </w:tc>
        <w:tc>
          <w:tcPr>
            <w:tcW w:w="3423" w:type="dxa"/>
            <w:tcBorders>
              <w:top w:val="single" w:color="000000" w:sz="4" w:space="0"/>
              <w:left w:val="single" w:color="auto" w:sz="4" w:space="0"/>
              <w:bottom w:val="single" w:color="auto" w:sz="4" w:space="0"/>
              <w:right w:val="single" w:color="auto" w:sz="4" w:space="0"/>
            </w:tcBorders>
          </w:tcPr>
          <w:p w14:paraId="68B2D22A">
            <w:pPr>
              <w:spacing w:after="0" w:line="240" w:lineRule="exact"/>
              <w:rPr>
                <w:rFonts w:ascii="宋体" w:hAnsi="宋体" w:eastAsia="宋体" w:cs="宋体"/>
              </w:rPr>
            </w:pPr>
            <w:r>
              <w:rPr>
                <w:rFonts w:hint="eastAsia" w:ascii="宋体" w:hAnsi="宋体" w:eastAsia="宋体" w:cs="宋体"/>
              </w:rPr>
              <w:t>符合（1分）；</w:t>
            </w:r>
          </w:p>
          <w:p w14:paraId="26A0742A">
            <w:pPr>
              <w:spacing w:after="0" w:line="68" w:lineRule="atLeast"/>
              <w:rPr>
                <w:rFonts w:ascii="宋体" w:hAnsi="宋体" w:eastAsia="宋体" w:cs="宋体"/>
              </w:rPr>
            </w:pPr>
            <w:r>
              <w:rPr>
                <w:rFonts w:hint="eastAsia" w:ascii="宋体" w:hAnsi="宋体" w:eastAsia="宋体" w:cs="宋体"/>
              </w:rPr>
              <w:t>不符合（0分）。</w:t>
            </w:r>
          </w:p>
        </w:tc>
        <w:tc>
          <w:tcPr>
            <w:tcW w:w="1090" w:type="dxa"/>
            <w:tcBorders>
              <w:top w:val="single" w:color="000000" w:sz="4" w:space="0"/>
              <w:left w:val="single" w:color="auto" w:sz="4" w:space="0"/>
              <w:bottom w:val="single" w:color="auto" w:sz="4" w:space="0"/>
              <w:right w:val="single" w:color="000000" w:sz="4" w:space="0"/>
            </w:tcBorders>
          </w:tcPr>
          <w:p w14:paraId="693A9873">
            <w:pPr>
              <w:spacing w:after="0" w:line="68" w:lineRule="atLeast"/>
              <w:rPr>
                <w:rFonts w:ascii="宋体" w:hAnsi="宋体" w:eastAsia="宋体" w:cs="宋体"/>
              </w:rPr>
            </w:pPr>
            <w:r>
              <w:rPr>
                <w:rFonts w:hint="eastAsia" w:ascii="宋体" w:hAnsi="宋体" w:eastAsia="宋体" w:cs="宋体"/>
              </w:rPr>
              <w:t> </w:t>
            </w:r>
          </w:p>
        </w:tc>
      </w:tr>
      <w:tr w14:paraId="5AED27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4" w:hRule="atLeast"/>
          <w:jc w:val="center"/>
        </w:trPr>
        <w:tc>
          <w:tcPr>
            <w:tcW w:w="733" w:type="dxa"/>
            <w:vMerge w:val="continue"/>
            <w:tcBorders>
              <w:left w:val="single" w:color="000000" w:sz="4" w:space="0"/>
              <w:right w:val="single" w:color="000000" w:sz="4" w:space="0"/>
            </w:tcBorders>
            <w:vAlign w:val="center"/>
          </w:tcPr>
          <w:p w14:paraId="14CAB251">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490EA44B">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745344D4">
            <w:pPr>
              <w:spacing w:after="0" w:line="68" w:lineRule="atLeast"/>
              <w:rPr>
                <w:rFonts w:ascii="宋体" w:hAnsi="宋体" w:eastAsia="宋体" w:cs="宋体"/>
              </w:rPr>
            </w:pPr>
            <w:r>
              <w:rPr>
                <w:rFonts w:hint="eastAsia" w:ascii="宋体" w:hAnsi="宋体" w:eastAsia="宋体" w:cs="宋体"/>
              </w:rPr>
              <w:t>活动合规性（1分）</w:t>
            </w:r>
          </w:p>
        </w:tc>
        <w:tc>
          <w:tcPr>
            <w:tcW w:w="6911" w:type="dxa"/>
            <w:tcBorders>
              <w:top w:val="single" w:color="000000" w:sz="4" w:space="0"/>
              <w:left w:val="single" w:color="auto" w:sz="4" w:space="0"/>
              <w:bottom w:val="single" w:color="auto" w:sz="4" w:space="0"/>
              <w:right w:val="single" w:color="auto" w:sz="4" w:space="0"/>
            </w:tcBorders>
            <w:vAlign w:val="center"/>
          </w:tcPr>
          <w:p w14:paraId="51753984">
            <w:pPr>
              <w:spacing w:after="0" w:line="240" w:lineRule="exact"/>
              <w:rPr>
                <w:rFonts w:ascii="宋体" w:hAnsi="宋体" w:eastAsia="宋体" w:cs="宋体"/>
              </w:rPr>
            </w:pPr>
            <w:r>
              <w:rPr>
                <w:rFonts w:hint="eastAsia" w:ascii="宋体" w:hAnsi="宋体" w:eastAsia="宋体" w:cs="宋体"/>
              </w:rPr>
              <w:t>部门的活动是否在职责范围之内并符合部门中长期规划，用以反映和评价部门活动目标与部门履职、年度工作任务的相符性情况。</w:t>
            </w:r>
          </w:p>
          <w:p w14:paraId="0F9BEB5F">
            <w:pPr>
              <w:spacing w:after="0" w:line="240" w:lineRule="exact"/>
              <w:rPr>
                <w:rFonts w:ascii="宋体" w:hAnsi="宋体" w:eastAsia="宋体" w:cs="宋体"/>
              </w:rPr>
            </w:pPr>
            <w:r>
              <w:rPr>
                <w:rFonts w:hint="eastAsia" w:ascii="宋体" w:hAnsi="宋体" w:eastAsia="宋体" w:cs="宋体"/>
              </w:rPr>
              <w:t>评价要点：</w:t>
            </w:r>
          </w:p>
          <w:p w14:paraId="41FD82FA">
            <w:pPr>
              <w:spacing w:after="0" w:line="240" w:lineRule="exact"/>
              <w:rPr>
                <w:rFonts w:ascii="宋体" w:hAnsi="宋体" w:eastAsia="宋体" w:cs="宋体"/>
              </w:rPr>
            </w:pPr>
            <w:r>
              <w:rPr>
                <w:rFonts w:hint="eastAsia" w:ascii="宋体" w:hAnsi="宋体" w:eastAsia="宋体" w:cs="宋体"/>
              </w:rPr>
              <w:t>1.部门活动的设定在部门所确定的职责范围之内；</w:t>
            </w:r>
          </w:p>
          <w:p w14:paraId="5F51A371">
            <w:pPr>
              <w:spacing w:after="0" w:line="68" w:lineRule="atLeast"/>
              <w:rPr>
                <w:rFonts w:ascii="宋体" w:hAnsi="宋体" w:eastAsia="宋体" w:cs="宋体"/>
              </w:rPr>
            </w:pPr>
            <w:r>
              <w:rPr>
                <w:rFonts w:hint="eastAsia" w:ascii="宋体" w:hAnsi="宋体" w:eastAsia="宋体" w:cs="宋体"/>
              </w:rPr>
              <w:t>2.部门活动符合市委、市政府的发展规划及本部门的年度工作安排与发展规划。</w:t>
            </w:r>
          </w:p>
        </w:tc>
        <w:tc>
          <w:tcPr>
            <w:tcW w:w="3423" w:type="dxa"/>
            <w:tcBorders>
              <w:top w:val="single" w:color="000000" w:sz="4" w:space="0"/>
              <w:left w:val="single" w:color="auto" w:sz="4" w:space="0"/>
              <w:bottom w:val="single" w:color="auto" w:sz="4" w:space="0"/>
              <w:right w:val="single" w:color="auto" w:sz="4" w:space="0"/>
            </w:tcBorders>
            <w:vAlign w:val="center"/>
          </w:tcPr>
          <w:p w14:paraId="33B01475">
            <w:pPr>
              <w:spacing w:after="0" w:line="240" w:lineRule="exact"/>
              <w:rPr>
                <w:rFonts w:ascii="宋体" w:hAnsi="宋体" w:eastAsia="宋体" w:cs="宋体"/>
              </w:rPr>
            </w:pPr>
            <w:r>
              <w:rPr>
                <w:rFonts w:hint="eastAsia" w:ascii="宋体" w:hAnsi="宋体" w:eastAsia="宋体" w:cs="宋体"/>
              </w:rPr>
              <w:t>全部符合（1分）；</w:t>
            </w:r>
          </w:p>
          <w:p w14:paraId="7C1C4740">
            <w:pPr>
              <w:spacing w:after="0" w:line="68" w:lineRule="atLeast"/>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14:paraId="3F743C5B">
            <w:pPr>
              <w:spacing w:after="0" w:line="68" w:lineRule="atLeast"/>
              <w:rPr>
                <w:rFonts w:ascii="宋体" w:hAnsi="宋体" w:eastAsia="宋体" w:cs="宋体"/>
              </w:rPr>
            </w:pPr>
            <w:r>
              <w:rPr>
                <w:rFonts w:hint="eastAsia" w:ascii="宋体" w:hAnsi="宋体" w:eastAsia="宋体" w:cs="宋体"/>
              </w:rPr>
              <w:t> </w:t>
            </w:r>
          </w:p>
        </w:tc>
      </w:tr>
      <w:tr w14:paraId="72AFC1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2" w:hRule="atLeast"/>
          <w:jc w:val="center"/>
        </w:trPr>
        <w:tc>
          <w:tcPr>
            <w:tcW w:w="733" w:type="dxa"/>
            <w:vMerge w:val="continue"/>
            <w:tcBorders>
              <w:left w:val="single" w:color="000000" w:sz="4" w:space="0"/>
              <w:right w:val="single" w:color="000000" w:sz="4" w:space="0"/>
            </w:tcBorders>
            <w:vAlign w:val="center"/>
          </w:tcPr>
          <w:p w14:paraId="4BE5ED04">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41BD7A47">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720718B7">
            <w:pPr>
              <w:spacing w:after="0" w:line="68" w:lineRule="atLeast"/>
              <w:rPr>
                <w:rFonts w:ascii="宋体" w:hAnsi="宋体" w:eastAsia="宋体" w:cs="宋体"/>
              </w:rPr>
            </w:pPr>
            <w:r>
              <w:rPr>
                <w:rFonts w:hint="eastAsia" w:ascii="宋体" w:hAnsi="宋体" w:eastAsia="宋体" w:cs="宋体"/>
              </w:rPr>
              <w:t>活动合理性（1分）</w:t>
            </w:r>
          </w:p>
        </w:tc>
        <w:tc>
          <w:tcPr>
            <w:tcW w:w="6911" w:type="dxa"/>
            <w:tcBorders>
              <w:top w:val="single" w:color="000000" w:sz="4" w:space="0"/>
              <w:left w:val="single" w:color="auto" w:sz="4" w:space="0"/>
              <w:bottom w:val="single" w:color="auto" w:sz="4" w:space="0"/>
              <w:right w:val="single" w:color="auto" w:sz="4" w:space="0"/>
            </w:tcBorders>
            <w:vAlign w:val="center"/>
          </w:tcPr>
          <w:p w14:paraId="35D94714">
            <w:pPr>
              <w:spacing w:after="0" w:line="240" w:lineRule="exact"/>
              <w:rPr>
                <w:rFonts w:ascii="宋体" w:hAnsi="宋体" w:eastAsia="宋体" w:cs="宋体"/>
              </w:rPr>
            </w:pPr>
            <w:r>
              <w:rPr>
                <w:rFonts w:hint="eastAsia" w:ascii="宋体" w:hAnsi="宋体" w:eastAsia="宋体" w:cs="宋体"/>
              </w:rPr>
              <w:t>部门所设立的活动是否明确合理、活动的关键性指标设置是否可衡量，用以反映和评价部门活动目标设定的合理性。</w:t>
            </w:r>
          </w:p>
          <w:p w14:paraId="33C5F7B3">
            <w:pPr>
              <w:spacing w:after="0" w:line="240" w:lineRule="exact"/>
              <w:rPr>
                <w:rFonts w:ascii="宋体" w:hAnsi="宋体" w:eastAsia="宋体" w:cs="宋体"/>
              </w:rPr>
            </w:pPr>
            <w:r>
              <w:rPr>
                <w:rFonts w:hint="eastAsia" w:ascii="宋体" w:hAnsi="宋体" w:eastAsia="宋体" w:cs="宋体"/>
              </w:rPr>
              <w:t>评价要点：</w:t>
            </w:r>
          </w:p>
          <w:p w14:paraId="1F372D97">
            <w:pPr>
              <w:spacing w:after="0" w:line="240" w:lineRule="exact"/>
              <w:rPr>
                <w:rFonts w:ascii="宋体" w:hAnsi="宋体" w:eastAsia="宋体" w:cs="宋体"/>
              </w:rPr>
            </w:pPr>
            <w:r>
              <w:rPr>
                <w:rFonts w:hint="eastAsia" w:ascii="宋体" w:hAnsi="宋体" w:eastAsia="宋体" w:cs="宋体"/>
              </w:rPr>
              <w:t>1.活动目标的设定是可量化的，可通过清晰、可衡量的关键指标值予以体现；</w:t>
            </w:r>
          </w:p>
          <w:p w14:paraId="1DD2AE42">
            <w:pPr>
              <w:spacing w:after="0" w:line="68" w:lineRule="atLeast"/>
              <w:rPr>
                <w:rFonts w:ascii="宋体" w:hAnsi="宋体" w:eastAsia="宋体" w:cs="宋体"/>
              </w:rPr>
            </w:pPr>
            <w:r>
              <w:rPr>
                <w:rFonts w:hint="eastAsia" w:ascii="宋体" w:hAnsi="宋体" w:eastAsia="宋体" w:cs="宋体"/>
              </w:rPr>
              <w:t>2.在活动目标设定时，将关键指标明细分解为具体的达成目标与工作任务。</w:t>
            </w:r>
          </w:p>
        </w:tc>
        <w:tc>
          <w:tcPr>
            <w:tcW w:w="3423" w:type="dxa"/>
            <w:tcBorders>
              <w:top w:val="single" w:color="000000" w:sz="4" w:space="0"/>
              <w:left w:val="single" w:color="auto" w:sz="4" w:space="0"/>
              <w:bottom w:val="single" w:color="auto" w:sz="4" w:space="0"/>
              <w:right w:val="single" w:color="auto" w:sz="4" w:space="0"/>
            </w:tcBorders>
            <w:vAlign w:val="center"/>
          </w:tcPr>
          <w:p w14:paraId="4C62D7E5">
            <w:pPr>
              <w:spacing w:after="0" w:line="240" w:lineRule="exact"/>
              <w:rPr>
                <w:rFonts w:ascii="宋体" w:hAnsi="宋体" w:eastAsia="宋体" w:cs="宋体"/>
              </w:rPr>
            </w:pPr>
            <w:r>
              <w:rPr>
                <w:rFonts w:hint="eastAsia" w:ascii="宋体" w:hAnsi="宋体" w:eastAsia="宋体" w:cs="宋体"/>
              </w:rPr>
              <w:t>全部符合（1分）；</w:t>
            </w:r>
          </w:p>
          <w:p w14:paraId="5123A34F">
            <w:pPr>
              <w:spacing w:after="0" w:line="68" w:lineRule="atLeast"/>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14:paraId="317AB0E1">
            <w:pPr>
              <w:spacing w:after="0" w:line="68" w:lineRule="atLeast"/>
              <w:rPr>
                <w:rFonts w:ascii="宋体" w:hAnsi="宋体" w:eastAsia="宋体" w:cs="宋体"/>
              </w:rPr>
            </w:pPr>
            <w:r>
              <w:rPr>
                <w:rFonts w:hint="eastAsia" w:ascii="宋体" w:hAnsi="宋体" w:eastAsia="宋体" w:cs="宋体"/>
              </w:rPr>
              <w:t> </w:t>
            </w:r>
          </w:p>
        </w:tc>
      </w:tr>
      <w:tr w14:paraId="4BB5F2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4" w:hRule="atLeast"/>
          <w:jc w:val="center"/>
        </w:trPr>
        <w:tc>
          <w:tcPr>
            <w:tcW w:w="733" w:type="dxa"/>
            <w:vMerge w:val="continue"/>
            <w:tcBorders>
              <w:left w:val="single" w:color="000000" w:sz="4" w:space="0"/>
              <w:right w:val="single" w:color="000000" w:sz="4" w:space="0"/>
            </w:tcBorders>
            <w:vAlign w:val="center"/>
          </w:tcPr>
          <w:p w14:paraId="0CADC124">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74D30640">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165548AF">
            <w:pPr>
              <w:spacing w:after="0" w:line="68" w:lineRule="atLeast"/>
              <w:rPr>
                <w:rFonts w:ascii="宋体" w:hAnsi="宋体" w:eastAsia="宋体" w:cs="宋体"/>
              </w:rPr>
            </w:pPr>
            <w:r>
              <w:rPr>
                <w:rFonts w:hint="eastAsia" w:ascii="宋体" w:hAnsi="宋体" w:eastAsia="宋体" w:cs="宋体"/>
              </w:rPr>
              <w:t>目标覆盖率（1分）</w:t>
            </w:r>
          </w:p>
        </w:tc>
        <w:tc>
          <w:tcPr>
            <w:tcW w:w="6911" w:type="dxa"/>
            <w:tcBorders>
              <w:top w:val="single" w:color="000000" w:sz="4" w:space="0"/>
              <w:left w:val="single" w:color="auto" w:sz="4" w:space="0"/>
              <w:bottom w:val="single" w:color="auto" w:sz="4" w:space="0"/>
              <w:right w:val="single" w:color="auto" w:sz="4" w:space="0"/>
            </w:tcBorders>
            <w:vAlign w:val="center"/>
          </w:tcPr>
          <w:p w14:paraId="3056AE62">
            <w:pPr>
              <w:spacing w:after="0" w:line="240" w:lineRule="exact"/>
              <w:rPr>
                <w:rFonts w:ascii="宋体" w:hAnsi="宋体" w:eastAsia="宋体" w:cs="宋体"/>
              </w:rPr>
            </w:pPr>
            <w:r>
              <w:rPr>
                <w:rFonts w:hint="eastAsia" w:ascii="宋体" w:hAnsi="宋体" w:eastAsia="宋体" w:cs="宋体"/>
              </w:rPr>
              <w:t>部门年度申报绩效目标项目资金额与部门项目预算资金总额的比率，用以反映部门落实财政部门绩效目标申报要求的资金覆盖情况。</w:t>
            </w:r>
          </w:p>
          <w:p w14:paraId="00AA1D29">
            <w:pPr>
              <w:spacing w:after="0" w:line="240" w:lineRule="exact"/>
              <w:rPr>
                <w:rFonts w:ascii="宋体" w:hAnsi="宋体" w:eastAsia="宋体" w:cs="宋体"/>
              </w:rPr>
            </w:pPr>
            <w:r>
              <w:rPr>
                <w:rFonts w:hint="eastAsia" w:ascii="宋体" w:hAnsi="宋体" w:eastAsia="宋体" w:cs="宋体"/>
              </w:rPr>
              <w:t>覆盖率=实际申报绩效目标项目资金总额/部门项目预算资金总额×100%</w:t>
            </w:r>
          </w:p>
        </w:tc>
        <w:tc>
          <w:tcPr>
            <w:tcW w:w="3423" w:type="dxa"/>
            <w:tcBorders>
              <w:top w:val="single" w:color="000000" w:sz="4" w:space="0"/>
              <w:left w:val="single" w:color="auto" w:sz="4" w:space="0"/>
              <w:bottom w:val="single" w:color="auto" w:sz="4" w:space="0"/>
              <w:right w:val="single" w:color="auto" w:sz="4" w:space="0"/>
            </w:tcBorders>
            <w:vAlign w:val="center"/>
          </w:tcPr>
          <w:p w14:paraId="2C57482F">
            <w:pPr>
              <w:spacing w:after="0" w:line="240" w:lineRule="exact"/>
              <w:rPr>
                <w:rFonts w:ascii="宋体" w:hAnsi="宋体" w:eastAsia="宋体" w:cs="宋体"/>
              </w:rPr>
            </w:pPr>
            <w:r>
              <w:rPr>
                <w:rFonts w:hint="eastAsia" w:ascii="宋体" w:hAnsi="宋体" w:eastAsia="宋体" w:cs="宋体"/>
              </w:rPr>
              <w:t>达到目标值得1分，未达到目标值采用完成比率法计分：得分=覆盖率/目标值×1，超过目标值不加分。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14:paraId="7A495282">
            <w:pPr>
              <w:spacing w:after="0" w:line="68" w:lineRule="atLeast"/>
              <w:rPr>
                <w:rFonts w:ascii="宋体" w:hAnsi="宋体" w:eastAsia="宋体" w:cs="宋体"/>
              </w:rPr>
            </w:pPr>
          </w:p>
        </w:tc>
      </w:tr>
      <w:tr w14:paraId="79157C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2" w:hRule="atLeast"/>
          <w:jc w:val="center"/>
        </w:trPr>
        <w:tc>
          <w:tcPr>
            <w:tcW w:w="733" w:type="dxa"/>
            <w:vMerge w:val="continue"/>
            <w:tcBorders>
              <w:left w:val="single" w:color="000000" w:sz="4" w:space="0"/>
              <w:right w:val="single" w:color="000000" w:sz="4" w:space="0"/>
            </w:tcBorders>
            <w:vAlign w:val="center"/>
          </w:tcPr>
          <w:p w14:paraId="2AECFD13">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7E502BC2">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16A90D8D">
            <w:pPr>
              <w:spacing w:after="0" w:line="68" w:lineRule="atLeast"/>
              <w:rPr>
                <w:rFonts w:ascii="宋体" w:hAnsi="宋体" w:eastAsia="宋体" w:cs="宋体"/>
              </w:rPr>
            </w:pPr>
            <w:r>
              <w:rPr>
                <w:rFonts w:hint="eastAsia" w:ascii="宋体" w:hAnsi="宋体" w:eastAsia="宋体" w:cs="宋体"/>
              </w:rPr>
              <w:t>目标管理创新（1分）</w:t>
            </w:r>
          </w:p>
        </w:tc>
        <w:tc>
          <w:tcPr>
            <w:tcW w:w="6911" w:type="dxa"/>
            <w:tcBorders>
              <w:top w:val="single" w:color="000000" w:sz="4" w:space="0"/>
              <w:left w:val="single" w:color="auto" w:sz="4" w:space="0"/>
              <w:bottom w:val="single" w:color="auto" w:sz="4" w:space="0"/>
              <w:right w:val="single" w:color="auto" w:sz="4" w:space="0"/>
            </w:tcBorders>
            <w:vAlign w:val="center"/>
          </w:tcPr>
          <w:p w14:paraId="7AE32288">
            <w:pPr>
              <w:spacing w:after="0" w:line="240" w:lineRule="exact"/>
              <w:rPr>
                <w:rFonts w:ascii="宋体" w:hAnsi="宋体" w:eastAsia="宋体" w:cs="宋体"/>
              </w:rPr>
            </w:pPr>
            <w:r>
              <w:rPr>
                <w:rFonts w:hint="eastAsia" w:ascii="宋体" w:hAnsi="宋体" w:eastAsia="宋体" w:cs="宋体"/>
              </w:rPr>
              <w:t>部门编报整体绩效目标和申报项目绩效目标的数量超过规定的要求。用以反映和考核部门绩效目标管理创新工作情况。</w:t>
            </w:r>
          </w:p>
          <w:p w14:paraId="4C52FD62">
            <w:pPr>
              <w:spacing w:after="0" w:line="240" w:lineRule="exact"/>
              <w:rPr>
                <w:rFonts w:ascii="宋体" w:hAnsi="宋体" w:eastAsia="宋体" w:cs="宋体"/>
              </w:rPr>
            </w:pPr>
            <w:r>
              <w:rPr>
                <w:rFonts w:hint="eastAsia" w:ascii="宋体" w:hAnsi="宋体" w:eastAsia="宋体" w:cs="宋体"/>
              </w:rPr>
              <w:t>项目绩效目标创新=部门绩效目标编报数量-按财政部门要求的绩效目标填报数量</w:t>
            </w:r>
          </w:p>
        </w:tc>
        <w:tc>
          <w:tcPr>
            <w:tcW w:w="3423" w:type="dxa"/>
            <w:tcBorders>
              <w:top w:val="single" w:color="000000" w:sz="4" w:space="0"/>
              <w:left w:val="single" w:color="auto" w:sz="4" w:space="0"/>
              <w:bottom w:val="single" w:color="auto" w:sz="4" w:space="0"/>
              <w:right w:val="single" w:color="auto" w:sz="4" w:space="0"/>
            </w:tcBorders>
            <w:vAlign w:val="center"/>
          </w:tcPr>
          <w:p w14:paraId="36481E55">
            <w:pPr>
              <w:spacing w:after="0" w:line="240" w:lineRule="exact"/>
              <w:rPr>
                <w:rFonts w:ascii="宋体" w:hAnsi="宋体" w:eastAsia="宋体" w:cs="宋体"/>
              </w:rPr>
            </w:pPr>
            <w:r>
              <w:rPr>
                <w:rFonts w:hint="eastAsia" w:ascii="宋体" w:hAnsi="宋体" w:eastAsia="宋体" w:cs="宋体"/>
              </w:rPr>
              <w:t>每超过1项得0.1分，满分1分。</w:t>
            </w:r>
          </w:p>
        </w:tc>
        <w:tc>
          <w:tcPr>
            <w:tcW w:w="1090" w:type="dxa"/>
            <w:tcBorders>
              <w:top w:val="single" w:color="000000" w:sz="4" w:space="0"/>
              <w:left w:val="single" w:color="auto" w:sz="4" w:space="0"/>
              <w:bottom w:val="single" w:color="auto" w:sz="4" w:space="0"/>
              <w:right w:val="single" w:color="000000" w:sz="4" w:space="0"/>
            </w:tcBorders>
            <w:vAlign w:val="center"/>
          </w:tcPr>
          <w:p w14:paraId="36992E38">
            <w:pPr>
              <w:spacing w:after="0" w:line="68" w:lineRule="atLeast"/>
              <w:rPr>
                <w:rFonts w:ascii="宋体" w:hAnsi="宋体" w:eastAsia="宋体" w:cs="宋体"/>
              </w:rPr>
            </w:pPr>
          </w:p>
        </w:tc>
      </w:tr>
      <w:tr w14:paraId="506679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95" w:hRule="atLeast"/>
          <w:jc w:val="center"/>
        </w:trPr>
        <w:tc>
          <w:tcPr>
            <w:tcW w:w="733" w:type="dxa"/>
            <w:vMerge w:val="continue"/>
            <w:tcBorders>
              <w:left w:val="single" w:color="000000" w:sz="4" w:space="0"/>
              <w:right w:val="single" w:color="000000" w:sz="4" w:space="0"/>
            </w:tcBorders>
            <w:vAlign w:val="center"/>
          </w:tcPr>
          <w:p w14:paraId="62B1EB9B">
            <w:pPr>
              <w:spacing w:after="0"/>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14:paraId="13A6E166">
            <w:pPr>
              <w:spacing w:after="0" w:line="68" w:lineRule="atLeast"/>
              <w:rPr>
                <w:rFonts w:ascii="宋体" w:hAnsi="宋体" w:eastAsia="宋体" w:cs="宋体"/>
              </w:rPr>
            </w:pPr>
            <w:r>
              <w:rPr>
                <w:rFonts w:hint="eastAsia" w:ascii="宋体" w:hAnsi="宋体" w:eastAsia="宋体" w:cs="宋体"/>
              </w:rPr>
              <w:t>预算配置(10分)</w:t>
            </w:r>
          </w:p>
        </w:tc>
        <w:tc>
          <w:tcPr>
            <w:tcW w:w="1182" w:type="dxa"/>
            <w:tcBorders>
              <w:top w:val="single" w:color="auto" w:sz="4" w:space="0"/>
              <w:left w:val="single" w:color="000000" w:sz="4" w:space="0"/>
              <w:bottom w:val="single" w:color="000000" w:sz="4" w:space="0"/>
              <w:right w:val="single" w:color="auto" w:sz="4" w:space="0"/>
            </w:tcBorders>
            <w:vAlign w:val="center"/>
          </w:tcPr>
          <w:p w14:paraId="3A3A6143">
            <w:pPr>
              <w:spacing w:after="0" w:line="68" w:lineRule="atLeast"/>
              <w:rPr>
                <w:rFonts w:ascii="宋体" w:hAnsi="宋体" w:eastAsia="宋体" w:cs="宋体"/>
              </w:rPr>
            </w:pPr>
            <w:r>
              <w:rPr>
                <w:rFonts w:hint="eastAsia" w:ascii="宋体" w:hAnsi="宋体" w:eastAsia="宋体" w:cs="宋体"/>
              </w:rPr>
              <w:t>财政供养人员控制率（3分）</w:t>
            </w:r>
          </w:p>
        </w:tc>
        <w:tc>
          <w:tcPr>
            <w:tcW w:w="6911" w:type="dxa"/>
            <w:tcBorders>
              <w:top w:val="single" w:color="auto" w:sz="4" w:space="0"/>
              <w:left w:val="single" w:color="auto" w:sz="4" w:space="0"/>
              <w:bottom w:val="single" w:color="000000" w:sz="4" w:space="0"/>
              <w:right w:val="single" w:color="auto" w:sz="4" w:space="0"/>
            </w:tcBorders>
            <w:vAlign w:val="center"/>
          </w:tcPr>
          <w:p w14:paraId="36BA7D8A">
            <w:pPr>
              <w:spacing w:after="0" w:line="240" w:lineRule="exact"/>
              <w:rPr>
                <w:rFonts w:ascii="宋体" w:hAnsi="宋体" w:eastAsia="宋体" w:cs="宋体"/>
              </w:rPr>
            </w:pPr>
            <w:r>
              <w:rPr>
                <w:rFonts w:hint="eastAsia" w:ascii="宋体" w:hAnsi="宋体" w:eastAsia="宋体" w:cs="宋体"/>
              </w:rPr>
              <w:t>部门本年度实际在职人员数与编制数的比率，用以反映和评价部门对人员成本的控制程度。</w:t>
            </w:r>
          </w:p>
          <w:p w14:paraId="15394FE8">
            <w:pPr>
              <w:spacing w:after="0" w:line="240" w:lineRule="exact"/>
              <w:rPr>
                <w:rFonts w:ascii="宋体" w:hAnsi="宋体" w:eastAsia="宋体" w:cs="宋体"/>
              </w:rPr>
            </w:pPr>
            <w:r>
              <w:rPr>
                <w:rFonts w:hint="eastAsia" w:ascii="宋体" w:hAnsi="宋体" w:eastAsia="宋体" w:cs="宋体"/>
              </w:rPr>
              <w:t>在职人员控制率=（在职人员数/编制数）×100%。</w:t>
            </w:r>
          </w:p>
          <w:p w14:paraId="2DA9E395">
            <w:pPr>
              <w:spacing w:after="0" w:line="240" w:lineRule="exact"/>
              <w:rPr>
                <w:rFonts w:ascii="宋体" w:hAnsi="宋体" w:eastAsia="宋体" w:cs="宋体"/>
              </w:rPr>
            </w:pPr>
            <w:r>
              <w:rPr>
                <w:rFonts w:hint="eastAsia" w:ascii="宋体" w:hAnsi="宋体" w:eastAsia="宋体" w:cs="宋体"/>
              </w:rPr>
              <w:t>在职人员数：部门实际在职人数，以财政部确定的部门决算编制口径为准，由编制部门和人劳部门批复同意的临聘人员除外。</w:t>
            </w:r>
          </w:p>
          <w:p w14:paraId="667E2CE5">
            <w:pPr>
              <w:spacing w:after="0" w:line="68" w:lineRule="atLeast"/>
              <w:rPr>
                <w:rFonts w:ascii="宋体" w:hAnsi="宋体" w:eastAsia="宋体" w:cs="宋体"/>
              </w:rPr>
            </w:pPr>
            <w:r>
              <w:rPr>
                <w:rFonts w:hint="eastAsia" w:ascii="宋体" w:hAnsi="宋体" w:eastAsia="宋体" w:cs="宋体"/>
              </w:rPr>
              <w:t>编制数：机构编制部门核定批复的部门人员编制数。</w:t>
            </w:r>
          </w:p>
        </w:tc>
        <w:tc>
          <w:tcPr>
            <w:tcW w:w="3423" w:type="dxa"/>
            <w:tcBorders>
              <w:top w:val="single" w:color="auto" w:sz="4" w:space="0"/>
              <w:left w:val="single" w:color="auto" w:sz="4" w:space="0"/>
              <w:bottom w:val="single" w:color="000000" w:sz="4" w:space="0"/>
              <w:right w:val="single" w:color="auto" w:sz="4" w:space="0"/>
            </w:tcBorders>
            <w:vAlign w:val="center"/>
          </w:tcPr>
          <w:p w14:paraId="45E966A6">
            <w:pPr>
              <w:spacing w:after="0" w:line="68" w:lineRule="atLeast"/>
              <w:rPr>
                <w:rFonts w:ascii="宋体" w:hAnsi="宋体" w:eastAsia="宋体" w:cs="宋体"/>
              </w:rPr>
            </w:pPr>
            <w:r>
              <w:rPr>
                <w:rFonts w:hint="eastAsia" w:ascii="宋体" w:hAnsi="宋体" w:eastAsia="宋体" w:cs="宋体"/>
              </w:rPr>
              <w:t>目标值≤100%；达到目标值得3分，每超出1人扣0.1分，扣完为止。</w:t>
            </w:r>
          </w:p>
        </w:tc>
        <w:tc>
          <w:tcPr>
            <w:tcW w:w="1090" w:type="dxa"/>
            <w:tcBorders>
              <w:top w:val="single" w:color="auto" w:sz="4" w:space="0"/>
              <w:left w:val="single" w:color="auto" w:sz="4" w:space="0"/>
              <w:bottom w:val="single" w:color="000000" w:sz="4" w:space="0"/>
              <w:right w:val="single" w:color="000000" w:sz="4" w:space="0"/>
            </w:tcBorders>
            <w:vAlign w:val="center"/>
          </w:tcPr>
          <w:p w14:paraId="1056B11A">
            <w:pPr>
              <w:spacing w:after="0" w:line="68" w:lineRule="atLeast"/>
              <w:rPr>
                <w:rFonts w:ascii="宋体" w:hAnsi="宋体" w:eastAsia="宋体" w:cs="宋体"/>
              </w:rPr>
            </w:pPr>
            <w:r>
              <w:rPr>
                <w:rFonts w:hint="eastAsia" w:ascii="宋体" w:hAnsi="宋体" w:eastAsia="宋体" w:cs="宋体"/>
              </w:rPr>
              <w:t> </w:t>
            </w:r>
          </w:p>
        </w:tc>
      </w:tr>
      <w:tr w14:paraId="5E934C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75" w:hRule="atLeast"/>
          <w:jc w:val="center"/>
        </w:trPr>
        <w:tc>
          <w:tcPr>
            <w:tcW w:w="733" w:type="dxa"/>
            <w:vMerge w:val="continue"/>
            <w:tcBorders>
              <w:left w:val="single" w:color="000000" w:sz="4" w:space="0"/>
              <w:right w:val="single" w:color="000000" w:sz="4" w:space="0"/>
            </w:tcBorders>
            <w:vAlign w:val="center"/>
          </w:tcPr>
          <w:p w14:paraId="051B4868">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02E75548">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3470F189">
            <w:pPr>
              <w:spacing w:after="0" w:line="68" w:lineRule="atLeast"/>
              <w:rPr>
                <w:rFonts w:ascii="宋体" w:hAnsi="宋体" w:eastAsia="宋体" w:cs="宋体"/>
              </w:rPr>
            </w:pPr>
            <w:r>
              <w:rPr>
                <w:rFonts w:hint="eastAsia" w:ascii="宋体" w:hAnsi="宋体" w:eastAsia="宋体" w:cs="宋体"/>
              </w:rPr>
              <w:t>“三公经费”变动率（4分）</w:t>
            </w:r>
          </w:p>
        </w:tc>
        <w:tc>
          <w:tcPr>
            <w:tcW w:w="6911" w:type="dxa"/>
            <w:tcBorders>
              <w:top w:val="single" w:color="auto" w:sz="4" w:space="0"/>
              <w:left w:val="single" w:color="auto" w:sz="4" w:space="0"/>
              <w:bottom w:val="single" w:color="000000" w:sz="4" w:space="0"/>
              <w:right w:val="single" w:color="auto" w:sz="4" w:space="0"/>
            </w:tcBorders>
            <w:vAlign w:val="center"/>
          </w:tcPr>
          <w:p w14:paraId="508AC17F">
            <w:pPr>
              <w:spacing w:after="0" w:line="240" w:lineRule="exact"/>
              <w:rPr>
                <w:rFonts w:ascii="宋体" w:hAnsi="宋体" w:eastAsia="宋体" w:cs="宋体"/>
              </w:rPr>
            </w:pPr>
            <w:r>
              <w:rPr>
                <w:rFonts w:hint="eastAsia" w:ascii="宋体" w:hAnsi="宋体" w:eastAsia="宋体" w:cs="宋体"/>
              </w:rPr>
              <w:t>部门本年度“三公经费”预算数与上年度“三公经费”预算数的变动比率，用以反映和考核部门对控制重点行政成本的努力程度。</w:t>
            </w:r>
          </w:p>
          <w:p w14:paraId="1FD6DCB4">
            <w:pPr>
              <w:spacing w:after="0" w:line="240" w:lineRule="exact"/>
              <w:rPr>
                <w:rFonts w:ascii="宋体" w:hAnsi="宋体" w:eastAsia="宋体" w:cs="宋体"/>
              </w:rPr>
            </w:pPr>
            <w:r>
              <w:rPr>
                <w:rFonts w:hint="eastAsia" w:ascii="宋体" w:hAnsi="宋体" w:eastAsia="宋体" w:cs="宋体"/>
              </w:rPr>
              <w:t>“三公经费”变动率=〔（本年度“三公经费”总额-上年度“三公经费”总额）/上年度“三公经费”总额〕×100%</w:t>
            </w:r>
          </w:p>
          <w:p w14:paraId="701D3DCB">
            <w:pPr>
              <w:spacing w:after="0" w:line="240" w:lineRule="exact"/>
              <w:rPr>
                <w:rFonts w:ascii="宋体" w:hAnsi="宋体" w:eastAsia="宋体" w:cs="宋体"/>
              </w:rPr>
            </w:pPr>
            <w:r>
              <w:rPr>
                <w:rFonts w:hint="eastAsia" w:ascii="宋体" w:hAnsi="宋体" w:eastAsia="宋体" w:cs="宋体"/>
              </w:rPr>
              <w:t>“三公经费”：年度预算安排的因公出国（境）费、公务车辆购置及运行费和公务招待费。</w:t>
            </w:r>
          </w:p>
        </w:tc>
        <w:tc>
          <w:tcPr>
            <w:tcW w:w="3423" w:type="dxa"/>
            <w:tcBorders>
              <w:top w:val="single" w:color="auto" w:sz="4" w:space="0"/>
              <w:left w:val="single" w:color="auto" w:sz="4" w:space="0"/>
              <w:bottom w:val="single" w:color="000000" w:sz="4" w:space="0"/>
              <w:right w:val="single" w:color="auto" w:sz="4" w:space="0"/>
            </w:tcBorders>
            <w:vAlign w:val="center"/>
          </w:tcPr>
          <w:p w14:paraId="577B201B">
            <w:pPr>
              <w:spacing w:after="0" w:line="240" w:lineRule="exact"/>
              <w:rPr>
                <w:rFonts w:ascii="宋体" w:hAnsi="宋体" w:eastAsia="宋体" w:cs="宋体"/>
              </w:rPr>
            </w:pPr>
            <w:r>
              <w:rPr>
                <w:rFonts w:hint="eastAsia" w:ascii="宋体" w:hAnsi="宋体" w:eastAsia="宋体" w:cs="宋体"/>
              </w:rPr>
              <w:t>目标值≤0；达到目标值得4分，未达到目标值的采用比率扣分法：扣分值=“三公经费”变动率×4×10，变动率达10%以上的扣4分。</w:t>
            </w:r>
          </w:p>
        </w:tc>
        <w:tc>
          <w:tcPr>
            <w:tcW w:w="1090" w:type="dxa"/>
            <w:tcBorders>
              <w:top w:val="single" w:color="auto" w:sz="4" w:space="0"/>
              <w:left w:val="single" w:color="auto" w:sz="4" w:space="0"/>
              <w:bottom w:val="single" w:color="000000" w:sz="4" w:space="0"/>
              <w:right w:val="single" w:color="000000" w:sz="4" w:space="0"/>
            </w:tcBorders>
            <w:vAlign w:val="center"/>
          </w:tcPr>
          <w:p w14:paraId="28E96075">
            <w:pPr>
              <w:spacing w:after="0" w:line="68" w:lineRule="atLeast"/>
              <w:rPr>
                <w:rFonts w:ascii="宋体" w:hAnsi="宋体" w:eastAsia="宋体" w:cs="宋体"/>
              </w:rPr>
            </w:pPr>
            <w:r>
              <w:rPr>
                <w:rFonts w:hint="eastAsia" w:ascii="宋体" w:hAnsi="宋体" w:eastAsia="宋体" w:cs="宋体"/>
              </w:rPr>
              <w:t> </w:t>
            </w:r>
          </w:p>
        </w:tc>
      </w:tr>
      <w:tr w14:paraId="693FA8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07" w:hRule="atLeast"/>
          <w:jc w:val="center"/>
        </w:trPr>
        <w:tc>
          <w:tcPr>
            <w:tcW w:w="733" w:type="dxa"/>
            <w:vMerge w:val="continue"/>
            <w:tcBorders>
              <w:left w:val="single" w:color="000000" w:sz="4" w:space="0"/>
              <w:bottom w:val="single" w:color="000000" w:sz="4" w:space="0"/>
              <w:right w:val="single" w:color="000000" w:sz="4" w:space="0"/>
            </w:tcBorders>
            <w:vAlign w:val="center"/>
          </w:tcPr>
          <w:p w14:paraId="08C2BDB9">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0D31B9F9">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7C5A8444">
            <w:pPr>
              <w:spacing w:after="0" w:line="68" w:lineRule="atLeast"/>
              <w:rPr>
                <w:rFonts w:ascii="宋体" w:hAnsi="宋体" w:eastAsia="宋体" w:cs="宋体"/>
              </w:rPr>
            </w:pPr>
            <w:r>
              <w:rPr>
                <w:rFonts w:hint="eastAsia" w:ascii="宋体" w:hAnsi="宋体" w:eastAsia="宋体" w:cs="宋体"/>
              </w:rPr>
              <w:t>重点支出安排率（3分）</w:t>
            </w:r>
          </w:p>
        </w:tc>
        <w:tc>
          <w:tcPr>
            <w:tcW w:w="6911" w:type="dxa"/>
            <w:tcBorders>
              <w:top w:val="single" w:color="auto" w:sz="4" w:space="0"/>
              <w:left w:val="single" w:color="auto" w:sz="4" w:space="0"/>
              <w:bottom w:val="single" w:color="000000" w:sz="4" w:space="0"/>
              <w:right w:val="single" w:color="auto" w:sz="4" w:space="0"/>
            </w:tcBorders>
            <w:vAlign w:val="center"/>
          </w:tcPr>
          <w:p w14:paraId="7CB1D57E">
            <w:pPr>
              <w:spacing w:after="0" w:line="240" w:lineRule="exact"/>
              <w:rPr>
                <w:rFonts w:ascii="宋体" w:hAnsi="宋体" w:eastAsia="宋体" w:cs="宋体"/>
              </w:rPr>
            </w:pPr>
            <w:r>
              <w:rPr>
                <w:rFonts w:hint="eastAsia" w:ascii="宋体" w:hAnsi="宋体" w:eastAsia="宋体" w:cs="宋体"/>
              </w:rPr>
              <w:t>部门（单位）本年度预算安排的重点项目支出与部门项目总支出的比率，用以反映和考核部门（单位）对履行主要职责或完成重点任务的保障程度。重点支出安排率=（重点项目支出/项目总支出）×100%。</w:t>
            </w:r>
          </w:p>
          <w:p w14:paraId="40F1E441">
            <w:pPr>
              <w:spacing w:after="0" w:line="240" w:lineRule="exact"/>
              <w:rPr>
                <w:rFonts w:ascii="宋体" w:hAnsi="宋体" w:eastAsia="宋体" w:cs="宋体"/>
              </w:rPr>
            </w:pPr>
            <w:r>
              <w:rPr>
                <w:rFonts w:hint="eastAsia" w:ascii="宋体" w:hAnsi="宋体" w:eastAsia="宋体" w:cs="宋体"/>
              </w:rPr>
              <w:t>重点项目支出：部门（单位）年度预算安排的，与本部门履职和发展密切相关、具有明显社会和经济影响、党委政府关心或社会比较关注的项目支出总额。具体由被评价部门提出后经对口部门预算管理处审核确定。</w:t>
            </w:r>
          </w:p>
          <w:p w14:paraId="71470410">
            <w:pPr>
              <w:spacing w:after="0" w:line="240" w:lineRule="exact"/>
              <w:rPr>
                <w:rFonts w:ascii="宋体" w:hAnsi="宋体" w:eastAsia="宋体" w:cs="宋体"/>
              </w:rPr>
            </w:pPr>
            <w:r>
              <w:rPr>
                <w:rFonts w:hint="eastAsia" w:ascii="宋体" w:hAnsi="宋体" w:eastAsia="宋体" w:cs="宋体"/>
              </w:rPr>
              <w:t>项目总支出：部门（单位）年度预算安排的项目支出总额。</w:t>
            </w:r>
          </w:p>
        </w:tc>
        <w:tc>
          <w:tcPr>
            <w:tcW w:w="3423" w:type="dxa"/>
            <w:tcBorders>
              <w:top w:val="single" w:color="auto" w:sz="4" w:space="0"/>
              <w:left w:val="single" w:color="auto" w:sz="4" w:space="0"/>
              <w:bottom w:val="single" w:color="000000" w:sz="4" w:space="0"/>
              <w:right w:val="single" w:color="auto" w:sz="4" w:space="0"/>
            </w:tcBorders>
            <w:vAlign w:val="center"/>
          </w:tcPr>
          <w:p w14:paraId="093A5B0A">
            <w:pPr>
              <w:spacing w:after="0" w:line="240" w:lineRule="exact"/>
              <w:rPr>
                <w:rFonts w:ascii="宋体" w:hAnsi="宋体" w:eastAsia="宋体" w:cs="宋体"/>
              </w:rPr>
            </w:pPr>
            <w:r>
              <w:rPr>
                <w:rFonts w:hint="eastAsia" w:ascii="宋体" w:hAnsi="宋体" w:eastAsia="宋体" w:cs="宋体"/>
              </w:rPr>
              <w:t>目标值≥70%；以3分为上限，采用完成比率法计分：得分=重点支出安排率/70%×100%×3，超出目标值不加分。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5780A083">
            <w:pPr>
              <w:spacing w:after="0" w:line="68" w:lineRule="atLeast"/>
              <w:rPr>
                <w:rFonts w:ascii="宋体" w:hAnsi="宋体" w:eastAsia="宋体" w:cs="宋体"/>
              </w:rPr>
            </w:pPr>
          </w:p>
        </w:tc>
      </w:tr>
      <w:tr w14:paraId="0C5DC0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6" w:hRule="atLeast"/>
          <w:jc w:val="center"/>
        </w:trPr>
        <w:tc>
          <w:tcPr>
            <w:tcW w:w="733" w:type="dxa"/>
            <w:vMerge w:val="restart"/>
            <w:tcBorders>
              <w:top w:val="single" w:color="000000" w:sz="4" w:space="0"/>
              <w:left w:val="single" w:color="000000" w:sz="4" w:space="0"/>
              <w:right w:val="single" w:color="000000" w:sz="4" w:space="0"/>
            </w:tcBorders>
            <w:vAlign w:val="center"/>
          </w:tcPr>
          <w:p w14:paraId="4A1A4C96">
            <w:pPr>
              <w:spacing w:after="0" w:line="68" w:lineRule="atLeast"/>
              <w:jc w:val="center"/>
              <w:rPr>
                <w:rFonts w:ascii="宋体" w:hAnsi="宋体" w:eastAsia="宋体" w:cs="宋体"/>
              </w:rPr>
            </w:pPr>
          </w:p>
          <w:p w14:paraId="285C5ED2">
            <w:pPr>
              <w:spacing w:after="0" w:line="68" w:lineRule="atLeast"/>
              <w:jc w:val="center"/>
              <w:rPr>
                <w:rFonts w:ascii="宋体" w:hAnsi="宋体" w:eastAsia="宋体" w:cs="宋体"/>
              </w:rPr>
            </w:pPr>
          </w:p>
          <w:p w14:paraId="40191134">
            <w:pPr>
              <w:spacing w:after="0" w:line="68" w:lineRule="atLeast"/>
              <w:jc w:val="center"/>
              <w:rPr>
                <w:rFonts w:ascii="宋体" w:hAnsi="宋体" w:eastAsia="宋体" w:cs="宋体"/>
              </w:rPr>
            </w:pPr>
          </w:p>
          <w:p w14:paraId="2C1DEF9E">
            <w:pPr>
              <w:spacing w:after="0" w:line="68" w:lineRule="atLeast"/>
              <w:jc w:val="center"/>
              <w:rPr>
                <w:rFonts w:ascii="宋体" w:hAnsi="宋体" w:eastAsia="宋体" w:cs="宋体"/>
              </w:rPr>
            </w:pPr>
          </w:p>
          <w:p w14:paraId="1D74222E">
            <w:pPr>
              <w:spacing w:after="0" w:line="68" w:lineRule="atLeast"/>
              <w:jc w:val="center"/>
              <w:rPr>
                <w:rFonts w:ascii="宋体" w:hAnsi="宋体" w:eastAsia="宋体" w:cs="宋体"/>
              </w:rPr>
            </w:pPr>
          </w:p>
          <w:p w14:paraId="6DCB3918">
            <w:pPr>
              <w:spacing w:after="0" w:line="68" w:lineRule="atLeast"/>
              <w:jc w:val="center"/>
              <w:rPr>
                <w:rFonts w:ascii="宋体" w:hAnsi="宋体" w:eastAsia="宋体" w:cs="宋体"/>
              </w:rPr>
            </w:pPr>
          </w:p>
          <w:p w14:paraId="1F5E3527">
            <w:pPr>
              <w:spacing w:after="0" w:line="68" w:lineRule="atLeast"/>
              <w:jc w:val="center"/>
              <w:rPr>
                <w:rFonts w:ascii="宋体" w:hAnsi="宋体" w:eastAsia="宋体" w:cs="宋体"/>
              </w:rPr>
            </w:pPr>
          </w:p>
          <w:p w14:paraId="326DB458">
            <w:pPr>
              <w:spacing w:after="0" w:line="68" w:lineRule="atLeast"/>
              <w:jc w:val="center"/>
              <w:rPr>
                <w:rFonts w:ascii="宋体" w:hAnsi="宋体" w:eastAsia="宋体" w:cs="宋体"/>
              </w:rPr>
            </w:pPr>
          </w:p>
          <w:p w14:paraId="792E6DF0">
            <w:pPr>
              <w:spacing w:after="0" w:line="68" w:lineRule="atLeast"/>
              <w:jc w:val="center"/>
              <w:rPr>
                <w:rFonts w:ascii="宋体" w:hAnsi="宋体" w:eastAsia="宋体" w:cs="宋体"/>
              </w:rPr>
            </w:pPr>
          </w:p>
          <w:p w14:paraId="1C78DE8F">
            <w:pPr>
              <w:spacing w:after="0" w:line="68" w:lineRule="atLeast"/>
              <w:jc w:val="center"/>
              <w:rPr>
                <w:rFonts w:ascii="宋体" w:hAnsi="宋体" w:eastAsia="宋体" w:cs="宋体"/>
              </w:rPr>
            </w:pPr>
          </w:p>
          <w:p w14:paraId="2051E8AC">
            <w:pPr>
              <w:spacing w:after="0" w:line="68" w:lineRule="atLeast"/>
              <w:jc w:val="center"/>
              <w:rPr>
                <w:rFonts w:ascii="宋体" w:hAnsi="宋体" w:eastAsia="宋体" w:cs="宋体"/>
              </w:rPr>
            </w:pPr>
            <w:r>
              <w:rPr>
                <w:rFonts w:hint="eastAsia" w:ascii="宋体" w:hAnsi="宋体" w:eastAsia="宋体" w:cs="宋体"/>
              </w:rPr>
              <w:t>过程(55分)</w:t>
            </w:r>
          </w:p>
          <w:p w14:paraId="6BA770E7">
            <w:pPr>
              <w:spacing w:after="0" w:line="68" w:lineRule="atLeast"/>
              <w:jc w:val="center"/>
              <w:rPr>
                <w:rFonts w:ascii="宋体" w:hAnsi="宋体" w:eastAsia="宋体" w:cs="宋体"/>
              </w:rPr>
            </w:pPr>
          </w:p>
          <w:p w14:paraId="1FE5BBA5">
            <w:pPr>
              <w:spacing w:after="0" w:line="68" w:lineRule="atLeast"/>
              <w:jc w:val="center"/>
              <w:rPr>
                <w:rFonts w:ascii="宋体" w:hAnsi="宋体" w:eastAsia="宋体" w:cs="宋体"/>
              </w:rPr>
            </w:pPr>
          </w:p>
          <w:p w14:paraId="424C348F">
            <w:pPr>
              <w:spacing w:after="0" w:line="68" w:lineRule="atLeast"/>
              <w:jc w:val="center"/>
              <w:rPr>
                <w:rFonts w:ascii="宋体" w:hAnsi="宋体" w:eastAsia="宋体" w:cs="宋体"/>
              </w:rPr>
            </w:pPr>
          </w:p>
          <w:p w14:paraId="7BE664FD">
            <w:pPr>
              <w:spacing w:after="0" w:line="68" w:lineRule="atLeast"/>
              <w:jc w:val="center"/>
              <w:rPr>
                <w:rFonts w:ascii="宋体" w:hAnsi="宋体" w:eastAsia="宋体" w:cs="宋体"/>
              </w:rPr>
            </w:pPr>
          </w:p>
          <w:p w14:paraId="792034F7">
            <w:pPr>
              <w:spacing w:after="0" w:line="68" w:lineRule="atLeast"/>
              <w:jc w:val="center"/>
              <w:rPr>
                <w:rFonts w:ascii="宋体" w:hAnsi="宋体" w:eastAsia="宋体" w:cs="宋体"/>
              </w:rPr>
            </w:pPr>
          </w:p>
          <w:p w14:paraId="46B369B2">
            <w:pPr>
              <w:spacing w:after="0" w:line="68" w:lineRule="atLeast"/>
              <w:jc w:val="center"/>
              <w:rPr>
                <w:rFonts w:ascii="宋体" w:hAnsi="宋体" w:eastAsia="宋体" w:cs="宋体"/>
              </w:rPr>
            </w:pPr>
          </w:p>
          <w:p w14:paraId="36016227">
            <w:pPr>
              <w:spacing w:after="0" w:line="68" w:lineRule="atLeast"/>
              <w:jc w:val="center"/>
              <w:rPr>
                <w:rFonts w:ascii="宋体" w:hAnsi="宋体" w:eastAsia="宋体" w:cs="宋体"/>
              </w:rPr>
            </w:pPr>
          </w:p>
          <w:p w14:paraId="504B6701">
            <w:pPr>
              <w:spacing w:after="0" w:line="68" w:lineRule="atLeast"/>
              <w:jc w:val="center"/>
              <w:rPr>
                <w:rFonts w:ascii="宋体" w:hAnsi="宋体" w:eastAsia="宋体" w:cs="宋体"/>
              </w:rPr>
            </w:pPr>
          </w:p>
          <w:p w14:paraId="3F551BDD">
            <w:pPr>
              <w:spacing w:after="0" w:line="68" w:lineRule="atLeast"/>
              <w:jc w:val="center"/>
              <w:rPr>
                <w:rFonts w:ascii="宋体" w:hAnsi="宋体" w:eastAsia="宋体" w:cs="宋体"/>
              </w:rPr>
            </w:pPr>
          </w:p>
          <w:p w14:paraId="38AB2112">
            <w:pPr>
              <w:spacing w:after="0" w:line="68" w:lineRule="atLeast"/>
              <w:jc w:val="center"/>
              <w:rPr>
                <w:rFonts w:ascii="宋体" w:hAnsi="宋体" w:eastAsia="宋体" w:cs="宋体"/>
              </w:rPr>
            </w:pPr>
          </w:p>
          <w:p w14:paraId="2A11F217">
            <w:pPr>
              <w:spacing w:after="0" w:line="68" w:lineRule="atLeast"/>
              <w:jc w:val="center"/>
              <w:rPr>
                <w:rFonts w:ascii="宋体" w:hAnsi="宋体" w:eastAsia="宋体" w:cs="宋体"/>
              </w:rPr>
            </w:pPr>
          </w:p>
          <w:p w14:paraId="4F429243">
            <w:pPr>
              <w:spacing w:after="0" w:line="68" w:lineRule="atLeast"/>
              <w:jc w:val="center"/>
              <w:rPr>
                <w:rFonts w:ascii="宋体" w:hAnsi="宋体" w:eastAsia="宋体" w:cs="宋体"/>
              </w:rPr>
            </w:pPr>
          </w:p>
          <w:p w14:paraId="6C840511">
            <w:pPr>
              <w:spacing w:after="0" w:line="68" w:lineRule="atLeast"/>
              <w:jc w:val="center"/>
              <w:rPr>
                <w:rFonts w:ascii="宋体" w:hAnsi="宋体" w:eastAsia="宋体" w:cs="宋体"/>
              </w:rPr>
            </w:pPr>
          </w:p>
          <w:p w14:paraId="4AEAA11A">
            <w:pPr>
              <w:spacing w:after="0" w:line="68" w:lineRule="atLeast"/>
              <w:jc w:val="center"/>
              <w:rPr>
                <w:rFonts w:ascii="宋体" w:hAnsi="宋体" w:eastAsia="宋体" w:cs="宋体"/>
              </w:rPr>
            </w:pPr>
          </w:p>
          <w:p w14:paraId="4CC24D8A">
            <w:pPr>
              <w:spacing w:after="0" w:line="68" w:lineRule="atLeast"/>
              <w:jc w:val="center"/>
              <w:rPr>
                <w:rFonts w:ascii="宋体" w:hAnsi="宋体" w:eastAsia="宋体" w:cs="宋体"/>
              </w:rPr>
            </w:pPr>
          </w:p>
          <w:p w14:paraId="503C590F">
            <w:pPr>
              <w:spacing w:after="0" w:line="68" w:lineRule="atLeast"/>
              <w:jc w:val="center"/>
              <w:rPr>
                <w:rFonts w:ascii="宋体" w:hAnsi="宋体" w:eastAsia="宋体" w:cs="宋体"/>
              </w:rPr>
            </w:pPr>
          </w:p>
          <w:p w14:paraId="040E491D">
            <w:pPr>
              <w:spacing w:after="0" w:line="68" w:lineRule="atLeast"/>
              <w:jc w:val="center"/>
              <w:rPr>
                <w:rFonts w:ascii="宋体" w:hAnsi="宋体" w:eastAsia="宋体" w:cs="宋体"/>
              </w:rPr>
            </w:pPr>
          </w:p>
          <w:p w14:paraId="4224F001">
            <w:pPr>
              <w:spacing w:after="0" w:line="68" w:lineRule="atLeast"/>
              <w:jc w:val="center"/>
              <w:rPr>
                <w:rFonts w:ascii="宋体" w:hAnsi="宋体" w:eastAsia="宋体" w:cs="宋体"/>
              </w:rPr>
            </w:pPr>
          </w:p>
          <w:p w14:paraId="4C769ED2">
            <w:pPr>
              <w:spacing w:after="0" w:line="68" w:lineRule="atLeast"/>
              <w:jc w:val="center"/>
              <w:rPr>
                <w:rFonts w:ascii="宋体" w:hAnsi="宋体" w:eastAsia="宋体" w:cs="宋体"/>
              </w:rPr>
            </w:pPr>
          </w:p>
          <w:p w14:paraId="6D8B5BD3">
            <w:pPr>
              <w:spacing w:after="0" w:line="68" w:lineRule="atLeast"/>
              <w:jc w:val="center"/>
              <w:rPr>
                <w:rFonts w:ascii="宋体" w:hAnsi="宋体" w:eastAsia="宋体" w:cs="宋体"/>
              </w:rPr>
            </w:pPr>
            <w:r>
              <w:rPr>
                <w:rFonts w:hint="eastAsia" w:ascii="宋体" w:hAnsi="宋体" w:eastAsia="宋体" w:cs="宋体"/>
              </w:rPr>
              <w:t>过程(55分)</w:t>
            </w:r>
          </w:p>
          <w:p w14:paraId="2775CC89">
            <w:pPr>
              <w:spacing w:after="0" w:line="68" w:lineRule="atLeast"/>
              <w:jc w:val="center"/>
              <w:rPr>
                <w:rFonts w:ascii="宋体" w:hAnsi="宋体" w:eastAsia="宋体" w:cs="宋体"/>
              </w:rPr>
            </w:pPr>
          </w:p>
          <w:p w14:paraId="644CC79D">
            <w:pPr>
              <w:spacing w:after="0" w:line="68" w:lineRule="atLeast"/>
              <w:jc w:val="center"/>
              <w:rPr>
                <w:rFonts w:ascii="宋体" w:hAnsi="宋体" w:eastAsia="宋体" w:cs="宋体"/>
              </w:rPr>
            </w:pPr>
          </w:p>
          <w:p w14:paraId="42A3B0BF">
            <w:pPr>
              <w:spacing w:after="0" w:line="68" w:lineRule="atLeast"/>
              <w:jc w:val="center"/>
              <w:rPr>
                <w:rFonts w:ascii="宋体" w:hAnsi="宋体" w:eastAsia="宋体" w:cs="宋体"/>
              </w:rPr>
            </w:pPr>
          </w:p>
          <w:p w14:paraId="321A5509">
            <w:pPr>
              <w:spacing w:after="0" w:line="68" w:lineRule="atLeast"/>
              <w:jc w:val="center"/>
              <w:rPr>
                <w:rFonts w:ascii="宋体" w:hAnsi="宋体" w:eastAsia="宋体" w:cs="宋体"/>
              </w:rPr>
            </w:pPr>
          </w:p>
          <w:p w14:paraId="526DAE3E">
            <w:pPr>
              <w:spacing w:after="0" w:line="68" w:lineRule="atLeast"/>
              <w:jc w:val="center"/>
              <w:rPr>
                <w:rFonts w:ascii="宋体" w:hAnsi="宋体" w:eastAsia="宋体" w:cs="宋体"/>
              </w:rPr>
            </w:pPr>
          </w:p>
          <w:p w14:paraId="26FD5482">
            <w:pPr>
              <w:spacing w:after="0" w:line="68" w:lineRule="atLeast"/>
              <w:jc w:val="center"/>
              <w:rPr>
                <w:rFonts w:ascii="宋体" w:hAnsi="宋体" w:eastAsia="宋体" w:cs="宋体"/>
              </w:rPr>
            </w:pPr>
          </w:p>
          <w:p w14:paraId="15415BEC">
            <w:pPr>
              <w:spacing w:after="0" w:line="68" w:lineRule="atLeast"/>
              <w:jc w:val="center"/>
              <w:rPr>
                <w:rFonts w:ascii="宋体" w:hAnsi="宋体" w:eastAsia="宋体" w:cs="宋体"/>
              </w:rPr>
            </w:pPr>
          </w:p>
          <w:p w14:paraId="09CE8318">
            <w:pPr>
              <w:spacing w:after="0" w:line="68" w:lineRule="atLeast"/>
              <w:jc w:val="center"/>
              <w:rPr>
                <w:rFonts w:ascii="宋体" w:hAnsi="宋体" w:eastAsia="宋体" w:cs="宋体"/>
              </w:rPr>
            </w:pPr>
          </w:p>
          <w:p w14:paraId="4D4D7B13">
            <w:pPr>
              <w:spacing w:after="0" w:line="68" w:lineRule="atLeast"/>
              <w:jc w:val="center"/>
              <w:rPr>
                <w:rFonts w:ascii="宋体" w:hAnsi="宋体" w:eastAsia="宋体" w:cs="宋体"/>
              </w:rPr>
            </w:pPr>
          </w:p>
          <w:p w14:paraId="288E1232">
            <w:pPr>
              <w:spacing w:after="0" w:line="68" w:lineRule="atLeast"/>
              <w:jc w:val="center"/>
              <w:rPr>
                <w:rFonts w:ascii="宋体" w:hAnsi="宋体" w:eastAsia="宋体" w:cs="宋体"/>
              </w:rPr>
            </w:pPr>
          </w:p>
          <w:p w14:paraId="0CB769CA">
            <w:pPr>
              <w:spacing w:after="0" w:line="68" w:lineRule="atLeast"/>
              <w:jc w:val="center"/>
              <w:rPr>
                <w:rFonts w:ascii="宋体" w:hAnsi="宋体" w:eastAsia="宋体" w:cs="宋体"/>
              </w:rPr>
            </w:pPr>
          </w:p>
          <w:p w14:paraId="3C38E569">
            <w:pPr>
              <w:spacing w:after="0" w:line="68" w:lineRule="atLeast"/>
              <w:jc w:val="center"/>
              <w:rPr>
                <w:rFonts w:ascii="宋体" w:hAnsi="宋体" w:eastAsia="宋体" w:cs="宋体"/>
              </w:rPr>
            </w:pPr>
          </w:p>
          <w:p w14:paraId="6446F3CC">
            <w:pPr>
              <w:spacing w:after="0" w:line="68" w:lineRule="atLeast"/>
              <w:jc w:val="center"/>
              <w:rPr>
                <w:rFonts w:ascii="宋体" w:hAnsi="宋体" w:eastAsia="宋体" w:cs="宋体"/>
              </w:rPr>
            </w:pPr>
          </w:p>
          <w:p w14:paraId="7EBBE9DD">
            <w:pPr>
              <w:spacing w:after="0" w:line="68" w:lineRule="atLeast"/>
              <w:jc w:val="center"/>
              <w:rPr>
                <w:rFonts w:ascii="宋体" w:hAnsi="宋体" w:eastAsia="宋体" w:cs="宋体"/>
              </w:rPr>
            </w:pPr>
          </w:p>
          <w:p w14:paraId="7C4CE8C8">
            <w:pPr>
              <w:spacing w:after="0" w:line="68" w:lineRule="atLeast"/>
              <w:jc w:val="center"/>
              <w:rPr>
                <w:rFonts w:ascii="宋体" w:hAnsi="宋体" w:eastAsia="宋体" w:cs="宋体"/>
              </w:rPr>
            </w:pPr>
          </w:p>
          <w:p w14:paraId="25F8AA99">
            <w:pPr>
              <w:spacing w:after="0" w:line="68" w:lineRule="atLeast"/>
              <w:jc w:val="center"/>
              <w:rPr>
                <w:rFonts w:ascii="宋体" w:hAnsi="宋体" w:eastAsia="宋体" w:cs="宋体"/>
              </w:rPr>
            </w:pPr>
          </w:p>
          <w:p w14:paraId="078F514D">
            <w:pPr>
              <w:spacing w:after="0" w:line="68" w:lineRule="atLeast"/>
              <w:jc w:val="center"/>
              <w:rPr>
                <w:rFonts w:ascii="宋体" w:hAnsi="宋体" w:eastAsia="宋体" w:cs="宋体"/>
              </w:rPr>
            </w:pPr>
          </w:p>
          <w:p w14:paraId="538AB991">
            <w:pPr>
              <w:spacing w:after="0" w:line="68" w:lineRule="atLeast"/>
              <w:jc w:val="center"/>
              <w:rPr>
                <w:rFonts w:ascii="宋体" w:hAnsi="宋体" w:eastAsia="宋体" w:cs="宋体"/>
              </w:rPr>
            </w:pPr>
          </w:p>
          <w:p w14:paraId="7188A370">
            <w:pPr>
              <w:spacing w:after="0" w:line="68" w:lineRule="atLeast"/>
              <w:jc w:val="center"/>
              <w:rPr>
                <w:rFonts w:ascii="宋体" w:hAnsi="宋体" w:eastAsia="宋体" w:cs="宋体"/>
              </w:rPr>
            </w:pPr>
          </w:p>
          <w:p w14:paraId="4E136A5A">
            <w:pPr>
              <w:spacing w:after="0" w:line="68" w:lineRule="atLeast"/>
              <w:jc w:val="center"/>
              <w:rPr>
                <w:rFonts w:ascii="宋体" w:hAnsi="宋体" w:eastAsia="宋体" w:cs="宋体"/>
              </w:rPr>
            </w:pPr>
          </w:p>
          <w:p w14:paraId="286349D4">
            <w:pPr>
              <w:spacing w:after="0" w:line="68" w:lineRule="atLeast"/>
              <w:jc w:val="center"/>
              <w:rPr>
                <w:rFonts w:ascii="宋体" w:hAnsi="宋体" w:eastAsia="宋体" w:cs="宋体"/>
              </w:rPr>
            </w:pPr>
          </w:p>
          <w:p w14:paraId="32248BF4">
            <w:pPr>
              <w:spacing w:after="0" w:line="68" w:lineRule="atLeast"/>
              <w:jc w:val="center"/>
              <w:rPr>
                <w:rFonts w:ascii="宋体" w:hAnsi="宋体" w:eastAsia="宋体" w:cs="宋体"/>
              </w:rPr>
            </w:pPr>
          </w:p>
          <w:p w14:paraId="52128985">
            <w:pPr>
              <w:spacing w:after="0" w:line="68" w:lineRule="atLeast"/>
              <w:jc w:val="center"/>
              <w:rPr>
                <w:rFonts w:ascii="宋体" w:hAnsi="宋体" w:eastAsia="宋体" w:cs="宋体"/>
              </w:rPr>
            </w:pPr>
          </w:p>
          <w:p w14:paraId="31A8B31C">
            <w:pPr>
              <w:spacing w:after="0" w:line="68" w:lineRule="atLeast"/>
              <w:jc w:val="center"/>
              <w:rPr>
                <w:rFonts w:ascii="宋体" w:hAnsi="宋体" w:eastAsia="宋体" w:cs="宋体"/>
              </w:rPr>
            </w:pPr>
          </w:p>
          <w:p w14:paraId="097111DF">
            <w:pPr>
              <w:spacing w:after="0" w:line="68" w:lineRule="atLeast"/>
              <w:jc w:val="center"/>
              <w:rPr>
                <w:rFonts w:ascii="宋体" w:hAnsi="宋体" w:eastAsia="宋体" w:cs="宋体"/>
              </w:rPr>
            </w:pPr>
          </w:p>
          <w:p w14:paraId="1B7A7FD1">
            <w:pPr>
              <w:spacing w:after="0" w:line="68" w:lineRule="atLeast"/>
              <w:jc w:val="center"/>
              <w:rPr>
                <w:rFonts w:ascii="宋体" w:hAnsi="宋体" w:eastAsia="宋体" w:cs="宋体"/>
              </w:rPr>
            </w:pPr>
            <w:r>
              <w:rPr>
                <w:rFonts w:hint="eastAsia" w:ascii="宋体" w:hAnsi="宋体" w:eastAsia="宋体" w:cs="宋体"/>
              </w:rPr>
              <w:t>过程(55分)</w:t>
            </w:r>
          </w:p>
          <w:p w14:paraId="719B11B2">
            <w:pPr>
              <w:spacing w:after="0" w:line="68" w:lineRule="atLeast"/>
              <w:jc w:val="center"/>
              <w:rPr>
                <w:rFonts w:ascii="宋体" w:hAnsi="宋体" w:eastAsia="宋体" w:cs="宋体"/>
              </w:rPr>
            </w:pPr>
          </w:p>
          <w:p w14:paraId="7A09BE61">
            <w:pPr>
              <w:spacing w:after="0" w:line="68" w:lineRule="atLeast"/>
              <w:jc w:val="center"/>
              <w:rPr>
                <w:rFonts w:ascii="宋体" w:hAnsi="宋体" w:eastAsia="宋体" w:cs="宋体"/>
              </w:rPr>
            </w:pPr>
          </w:p>
          <w:p w14:paraId="738CD491">
            <w:pPr>
              <w:spacing w:after="0" w:line="68" w:lineRule="atLeast"/>
              <w:jc w:val="center"/>
              <w:rPr>
                <w:rFonts w:ascii="宋体" w:hAnsi="宋体" w:eastAsia="宋体" w:cs="宋体"/>
              </w:rPr>
            </w:pPr>
          </w:p>
          <w:p w14:paraId="4D1C1D25">
            <w:pPr>
              <w:spacing w:after="0" w:line="68" w:lineRule="atLeast"/>
              <w:jc w:val="center"/>
              <w:rPr>
                <w:rFonts w:ascii="宋体" w:hAnsi="宋体" w:eastAsia="宋体" w:cs="宋体"/>
              </w:rPr>
            </w:pPr>
          </w:p>
          <w:p w14:paraId="65441300">
            <w:pPr>
              <w:spacing w:after="0" w:line="68" w:lineRule="atLeast"/>
              <w:jc w:val="center"/>
              <w:rPr>
                <w:rFonts w:ascii="宋体" w:hAnsi="宋体" w:eastAsia="宋体" w:cs="宋体"/>
              </w:rPr>
            </w:pPr>
          </w:p>
          <w:p w14:paraId="455DB238">
            <w:pPr>
              <w:spacing w:after="0" w:line="68" w:lineRule="atLeast"/>
              <w:jc w:val="center"/>
              <w:rPr>
                <w:rFonts w:ascii="宋体" w:hAnsi="宋体" w:eastAsia="宋体" w:cs="宋体"/>
              </w:rPr>
            </w:pPr>
          </w:p>
          <w:p w14:paraId="70ABF5FF">
            <w:pPr>
              <w:spacing w:after="0" w:line="68" w:lineRule="atLeast"/>
              <w:jc w:val="center"/>
              <w:rPr>
                <w:rFonts w:ascii="宋体" w:hAnsi="宋体" w:eastAsia="宋体" w:cs="宋体"/>
              </w:rPr>
            </w:pPr>
          </w:p>
          <w:p w14:paraId="376A5D6B">
            <w:pPr>
              <w:spacing w:after="0" w:line="68" w:lineRule="atLeast"/>
              <w:jc w:val="center"/>
              <w:rPr>
                <w:rFonts w:ascii="宋体" w:hAnsi="宋体" w:eastAsia="宋体" w:cs="宋体"/>
              </w:rPr>
            </w:pPr>
          </w:p>
          <w:p w14:paraId="39F43517">
            <w:pPr>
              <w:spacing w:after="0" w:line="68" w:lineRule="atLeast"/>
              <w:rPr>
                <w:rFonts w:ascii="宋体" w:hAnsi="宋体" w:eastAsia="宋体" w:cs="宋体"/>
              </w:rPr>
            </w:pPr>
          </w:p>
          <w:p w14:paraId="5DEA5993">
            <w:pPr>
              <w:spacing w:after="0" w:line="68" w:lineRule="atLeast"/>
              <w:rPr>
                <w:rFonts w:ascii="宋体" w:hAnsi="宋体" w:eastAsia="宋体" w:cs="宋体"/>
              </w:rPr>
            </w:pPr>
          </w:p>
          <w:p w14:paraId="3D1648A6">
            <w:pPr>
              <w:spacing w:after="0" w:line="68" w:lineRule="atLeast"/>
              <w:rPr>
                <w:rFonts w:ascii="宋体" w:hAnsi="宋体" w:eastAsia="宋体" w:cs="宋体"/>
              </w:rPr>
            </w:pPr>
          </w:p>
          <w:p w14:paraId="561465D0">
            <w:pPr>
              <w:spacing w:after="0" w:line="68" w:lineRule="atLeast"/>
              <w:rPr>
                <w:rFonts w:ascii="宋体" w:hAnsi="宋体" w:eastAsia="宋体" w:cs="宋体"/>
              </w:rPr>
            </w:pPr>
          </w:p>
          <w:p w14:paraId="79EC2FF2">
            <w:pPr>
              <w:spacing w:after="0" w:line="68" w:lineRule="atLeast"/>
              <w:rPr>
                <w:rFonts w:ascii="宋体" w:hAnsi="宋体" w:eastAsia="宋体" w:cs="宋体"/>
              </w:rPr>
            </w:pPr>
          </w:p>
          <w:p w14:paraId="0FAE6DB2">
            <w:pPr>
              <w:spacing w:after="0" w:line="68" w:lineRule="atLeast"/>
              <w:jc w:val="center"/>
              <w:rPr>
                <w:rFonts w:ascii="宋体" w:hAnsi="宋体" w:eastAsia="宋体" w:cs="宋体"/>
              </w:rPr>
            </w:pPr>
            <w:r>
              <w:rPr>
                <w:rFonts w:hint="eastAsia" w:ascii="宋体" w:hAnsi="宋体" w:eastAsia="宋体" w:cs="宋体"/>
              </w:rPr>
              <w:t>过程(55分)</w:t>
            </w:r>
          </w:p>
          <w:p w14:paraId="124990D6">
            <w:pPr>
              <w:spacing w:after="0" w:line="68" w:lineRule="atLeast"/>
              <w:rPr>
                <w:rFonts w:ascii="宋体" w:hAnsi="宋体" w:eastAsia="宋体" w:cs="宋体"/>
              </w:rPr>
            </w:pP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14:paraId="401947D4">
            <w:pPr>
              <w:spacing w:after="0" w:line="68" w:lineRule="atLeast"/>
              <w:rPr>
                <w:rFonts w:ascii="宋体" w:hAnsi="宋体" w:eastAsia="宋体" w:cs="宋体"/>
              </w:rPr>
            </w:pPr>
            <w:r>
              <w:rPr>
                <w:rFonts w:hint="eastAsia" w:ascii="宋体" w:hAnsi="宋体" w:eastAsia="宋体" w:cs="宋体"/>
              </w:rPr>
              <w:t>预算执行(27分)</w:t>
            </w:r>
          </w:p>
        </w:tc>
        <w:tc>
          <w:tcPr>
            <w:tcW w:w="1182" w:type="dxa"/>
            <w:tcBorders>
              <w:top w:val="single" w:color="000000" w:sz="4" w:space="0"/>
              <w:left w:val="single" w:color="000000" w:sz="4" w:space="0"/>
              <w:bottom w:val="single" w:color="000000" w:sz="4" w:space="0"/>
              <w:right w:val="single" w:color="auto" w:sz="4" w:space="0"/>
            </w:tcBorders>
            <w:vAlign w:val="center"/>
          </w:tcPr>
          <w:p w14:paraId="201A0C99">
            <w:pPr>
              <w:spacing w:after="0" w:line="68" w:lineRule="atLeast"/>
              <w:rPr>
                <w:rFonts w:ascii="宋体" w:hAnsi="宋体" w:eastAsia="宋体" w:cs="宋体"/>
              </w:rPr>
            </w:pPr>
            <w:r>
              <w:rPr>
                <w:rFonts w:hint="eastAsia" w:ascii="宋体" w:hAnsi="宋体" w:eastAsia="宋体" w:cs="宋体"/>
              </w:rPr>
              <w:t>预算完成率（3分）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147ECDC7">
            <w:pPr>
              <w:spacing w:after="0" w:line="240" w:lineRule="exact"/>
              <w:rPr>
                <w:rFonts w:ascii="宋体" w:hAnsi="宋体" w:eastAsia="宋体" w:cs="宋体"/>
              </w:rPr>
            </w:pPr>
            <w:r>
              <w:rPr>
                <w:rFonts w:hint="eastAsia" w:ascii="宋体" w:hAnsi="宋体" w:eastAsia="宋体" w:cs="宋体"/>
              </w:rPr>
              <w:t>通过对部门本年度预算完成数与预算数的比较，反映和评价部门预算的完成程度。</w:t>
            </w:r>
          </w:p>
          <w:p w14:paraId="4A2C8D30">
            <w:pPr>
              <w:spacing w:after="0" w:line="68" w:lineRule="atLeast"/>
              <w:rPr>
                <w:rFonts w:ascii="宋体" w:hAnsi="宋体" w:eastAsia="宋体" w:cs="宋体"/>
              </w:rPr>
            </w:pPr>
            <w:r>
              <w:rPr>
                <w:rFonts w:hint="eastAsia" w:ascii="宋体" w:hAnsi="宋体" w:eastAsia="宋体" w:cs="宋体"/>
              </w:rPr>
              <w:t>预算完成率=（预算完成数/预算数）×100%。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64C68C19">
            <w:pPr>
              <w:spacing w:after="0" w:line="68" w:lineRule="atLeast"/>
              <w:rPr>
                <w:rFonts w:ascii="宋体" w:hAnsi="宋体" w:eastAsia="宋体" w:cs="宋体"/>
              </w:rPr>
            </w:pPr>
            <w:r>
              <w:rPr>
                <w:rFonts w:hint="eastAsia" w:ascii="宋体" w:hAnsi="宋体" w:eastAsia="宋体" w:cs="宋体"/>
              </w:rPr>
              <w:t>目标值≥100%；</w:t>
            </w:r>
          </w:p>
          <w:p w14:paraId="19B5F31D">
            <w:pPr>
              <w:spacing w:after="0" w:line="68" w:lineRule="atLeast"/>
              <w:rPr>
                <w:rFonts w:ascii="宋体" w:hAnsi="宋体" w:eastAsia="宋体" w:cs="宋体"/>
              </w:rPr>
            </w:pPr>
            <w:r>
              <w:rPr>
                <w:rFonts w:hint="eastAsia" w:ascii="宋体" w:hAnsi="宋体" w:eastAsia="宋体" w:cs="宋体"/>
              </w:rPr>
              <w:t>达到目标值的得3分；</w:t>
            </w:r>
          </w:p>
          <w:p w14:paraId="0DB79894">
            <w:pPr>
              <w:spacing w:after="0" w:line="68" w:lineRule="atLeast"/>
              <w:rPr>
                <w:rFonts w:ascii="宋体" w:hAnsi="宋体" w:eastAsia="宋体" w:cs="宋体"/>
              </w:rPr>
            </w:pPr>
            <w:r>
              <w:rPr>
                <w:rFonts w:hint="eastAsia" w:ascii="宋体" w:hAnsi="宋体" w:eastAsia="宋体" w:cs="宋体"/>
              </w:rPr>
              <w:t>100%＞结果≥90%，得3分；</w:t>
            </w:r>
          </w:p>
          <w:p w14:paraId="4B257941">
            <w:pPr>
              <w:spacing w:after="0" w:line="68" w:lineRule="atLeast"/>
              <w:rPr>
                <w:rFonts w:ascii="宋体" w:hAnsi="宋体" w:eastAsia="宋体" w:cs="宋体"/>
              </w:rPr>
            </w:pPr>
            <w:r>
              <w:rPr>
                <w:rFonts w:hint="eastAsia" w:ascii="宋体" w:hAnsi="宋体" w:eastAsia="宋体" w:cs="宋体"/>
              </w:rPr>
              <w:t>90%＞结果≥80%，得1分；</w:t>
            </w:r>
          </w:p>
          <w:p w14:paraId="41ADDB3A">
            <w:pPr>
              <w:spacing w:after="0" w:line="68" w:lineRule="atLeast"/>
              <w:rPr>
                <w:rFonts w:ascii="宋体" w:hAnsi="宋体" w:eastAsia="宋体" w:cs="宋体"/>
              </w:rPr>
            </w:pPr>
            <w:r>
              <w:rPr>
                <w:rFonts w:hint="eastAsia" w:ascii="宋体" w:hAnsi="宋体" w:eastAsia="宋体" w:cs="宋体"/>
              </w:rPr>
              <w:t>结果＜80%得0分。</w:t>
            </w:r>
          </w:p>
        </w:tc>
        <w:tc>
          <w:tcPr>
            <w:tcW w:w="1090" w:type="dxa"/>
            <w:tcBorders>
              <w:top w:val="single" w:color="000000" w:sz="4" w:space="0"/>
              <w:left w:val="single" w:color="auto" w:sz="4" w:space="0"/>
              <w:bottom w:val="single" w:color="000000" w:sz="4" w:space="0"/>
              <w:right w:val="single" w:color="000000" w:sz="4" w:space="0"/>
            </w:tcBorders>
            <w:vAlign w:val="center"/>
          </w:tcPr>
          <w:p w14:paraId="2C036048">
            <w:pPr>
              <w:spacing w:after="0" w:line="68" w:lineRule="atLeast"/>
              <w:rPr>
                <w:rFonts w:ascii="宋体" w:hAnsi="宋体" w:eastAsia="宋体" w:cs="宋体"/>
              </w:rPr>
            </w:pPr>
            <w:r>
              <w:rPr>
                <w:rFonts w:hint="eastAsia" w:ascii="宋体" w:hAnsi="宋体" w:eastAsia="宋体" w:cs="宋体"/>
              </w:rPr>
              <w:t> </w:t>
            </w:r>
          </w:p>
        </w:tc>
      </w:tr>
      <w:tr w14:paraId="6DD6D8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5" w:hRule="atLeast"/>
          <w:jc w:val="center"/>
        </w:trPr>
        <w:tc>
          <w:tcPr>
            <w:tcW w:w="733" w:type="dxa"/>
            <w:vMerge w:val="continue"/>
            <w:tcBorders>
              <w:left w:val="single" w:color="000000" w:sz="4" w:space="0"/>
              <w:right w:val="single" w:color="000000" w:sz="4" w:space="0"/>
            </w:tcBorders>
            <w:vAlign w:val="center"/>
          </w:tcPr>
          <w:p w14:paraId="4DFD9069">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566AAC26">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23E2D9D6">
            <w:pPr>
              <w:spacing w:after="0" w:line="68" w:lineRule="atLeast"/>
              <w:rPr>
                <w:rFonts w:ascii="宋体" w:hAnsi="宋体" w:eastAsia="宋体" w:cs="宋体"/>
              </w:rPr>
            </w:pPr>
            <w:r>
              <w:rPr>
                <w:rFonts w:hint="eastAsia" w:ascii="宋体" w:hAnsi="宋体" w:eastAsia="宋体" w:cs="宋体"/>
              </w:rPr>
              <w:t>预算调整率（3分）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6FA7F99D">
            <w:pPr>
              <w:spacing w:after="0" w:line="240" w:lineRule="exact"/>
              <w:rPr>
                <w:rFonts w:ascii="宋体" w:hAnsi="宋体" w:eastAsia="宋体" w:cs="宋体"/>
              </w:rPr>
            </w:pPr>
            <w:r>
              <w:rPr>
                <w:rFonts w:hint="eastAsia" w:ascii="宋体" w:hAnsi="宋体" w:eastAsia="宋体" w:cs="宋体"/>
              </w:rPr>
              <w:t>部门本年度预算调整数与预算数的比率，用以反映和评价部门预算的调整程度。</w:t>
            </w:r>
          </w:p>
          <w:p w14:paraId="3E8EBDE1">
            <w:pPr>
              <w:spacing w:after="0" w:line="68" w:lineRule="atLeast"/>
              <w:rPr>
                <w:rFonts w:ascii="宋体" w:hAnsi="宋体" w:eastAsia="宋体" w:cs="宋体"/>
              </w:rPr>
            </w:pPr>
            <w:r>
              <w:rPr>
                <w:rFonts w:hint="eastAsia" w:ascii="宋体" w:hAnsi="宋体" w:eastAsia="宋体" w:cs="宋体"/>
              </w:rPr>
              <w:t>预算调整率=（预算调整数/预算数）×100%。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35BD858D">
            <w:pPr>
              <w:spacing w:after="0" w:line="68" w:lineRule="atLeast"/>
              <w:rPr>
                <w:rFonts w:ascii="宋体" w:hAnsi="宋体" w:eastAsia="宋体" w:cs="宋体"/>
              </w:rPr>
            </w:pPr>
            <w:r>
              <w:rPr>
                <w:rFonts w:hint="eastAsia" w:ascii="宋体" w:hAnsi="宋体" w:eastAsia="宋体" w:cs="宋体"/>
              </w:rPr>
              <w:t>目标值为10%；达到目标值得3分，未达到目标值的每增加0.1个百分点扣0.1分，扣完为止。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5F0B04B6">
            <w:pPr>
              <w:spacing w:after="0" w:line="68" w:lineRule="atLeast"/>
              <w:rPr>
                <w:rFonts w:ascii="宋体" w:hAnsi="宋体" w:eastAsia="宋体" w:cs="宋体"/>
              </w:rPr>
            </w:pPr>
            <w:r>
              <w:rPr>
                <w:rFonts w:hint="eastAsia" w:ascii="宋体" w:hAnsi="宋体" w:eastAsia="宋体" w:cs="宋体"/>
              </w:rPr>
              <w:t> </w:t>
            </w:r>
          </w:p>
        </w:tc>
      </w:tr>
      <w:tr w14:paraId="1D0FF3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0" w:hRule="atLeast"/>
          <w:jc w:val="center"/>
        </w:trPr>
        <w:tc>
          <w:tcPr>
            <w:tcW w:w="733" w:type="dxa"/>
            <w:vMerge w:val="continue"/>
            <w:tcBorders>
              <w:left w:val="single" w:color="000000" w:sz="4" w:space="0"/>
              <w:right w:val="single" w:color="000000" w:sz="4" w:space="0"/>
            </w:tcBorders>
            <w:vAlign w:val="center"/>
          </w:tcPr>
          <w:p w14:paraId="7C1C51F5">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0FD5E2DF">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2E496A98">
            <w:pPr>
              <w:spacing w:after="0" w:line="240" w:lineRule="exact"/>
              <w:rPr>
                <w:rFonts w:ascii="宋体" w:hAnsi="宋体" w:eastAsia="宋体" w:cs="宋体"/>
              </w:rPr>
            </w:pPr>
            <w:r>
              <w:rPr>
                <w:rFonts w:hint="eastAsia" w:ascii="宋体" w:hAnsi="宋体" w:eastAsia="宋体" w:cs="宋体"/>
                <w:color w:val="000000"/>
              </w:rPr>
              <w:t>支付进度率</w:t>
            </w:r>
            <w:r>
              <w:rPr>
                <w:rFonts w:hint="eastAsia" w:ascii="宋体" w:hAnsi="宋体" w:eastAsia="宋体" w:cs="宋体"/>
              </w:rPr>
              <w:t>（6分）</w:t>
            </w:r>
          </w:p>
        </w:tc>
        <w:tc>
          <w:tcPr>
            <w:tcW w:w="6911" w:type="dxa"/>
            <w:tcBorders>
              <w:top w:val="single" w:color="000000" w:sz="4" w:space="0"/>
              <w:left w:val="single" w:color="auto" w:sz="4" w:space="0"/>
              <w:bottom w:val="single" w:color="000000" w:sz="4" w:space="0"/>
              <w:right w:val="single" w:color="auto" w:sz="4" w:space="0"/>
            </w:tcBorders>
            <w:vAlign w:val="center"/>
          </w:tcPr>
          <w:p w14:paraId="2C52C7DF">
            <w:pPr>
              <w:spacing w:after="0" w:line="240" w:lineRule="exact"/>
              <w:rPr>
                <w:rFonts w:ascii="宋体" w:hAnsi="宋体" w:eastAsia="宋体" w:cs="宋体"/>
              </w:rPr>
            </w:pPr>
            <w:r>
              <w:rPr>
                <w:rFonts w:hint="eastAsia" w:ascii="宋体" w:hAnsi="宋体" w:eastAsia="宋体" w:cs="宋体"/>
              </w:rPr>
              <w:t>部门年度支付数与年度预算（调整）数的比率，用以反映和评价部门预算执行的及时和均衡程度。</w:t>
            </w:r>
          </w:p>
          <w:p w14:paraId="6D717A5A">
            <w:pPr>
              <w:spacing w:after="0" w:line="240" w:lineRule="exact"/>
              <w:rPr>
                <w:rFonts w:ascii="宋体" w:hAnsi="宋体" w:eastAsia="宋体" w:cs="宋体"/>
              </w:rPr>
            </w:pPr>
            <w:r>
              <w:rPr>
                <w:rFonts w:hint="eastAsia" w:ascii="宋体" w:hAnsi="宋体" w:eastAsia="宋体" w:cs="宋体"/>
              </w:rPr>
              <w:t>半年支付进度=部门上半年实际支出÷（上年结余结转+本年部门预算安排+上半年执行中追加追减）×100%</w:t>
            </w:r>
          </w:p>
          <w:p w14:paraId="2DC370B9">
            <w:pPr>
              <w:spacing w:after="0" w:line="240" w:lineRule="exact"/>
              <w:rPr>
                <w:rFonts w:ascii="宋体" w:hAnsi="宋体" w:eastAsia="宋体" w:cs="宋体"/>
              </w:rPr>
            </w:pPr>
            <w:r>
              <w:rPr>
                <w:rFonts w:hint="eastAsia" w:ascii="宋体" w:hAnsi="宋体" w:eastAsia="宋体" w:cs="宋体"/>
              </w:rPr>
              <w:t>全年支付进度=部门全年实际支出÷（上年结余结转+本年部门预算安排+全年执行中追加追减）×100%</w:t>
            </w:r>
          </w:p>
        </w:tc>
        <w:tc>
          <w:tcPr>
            <w:tcW w:w="3423" w:type="dxa"/>
            <w:tcBorders>
              <w:top w:val="single" w:color="000000" w:sz="4" w:space="0"/>
              <w:left w:val="single" w:color="auto" w:sz="4" w:space="0"/>
              <w:bottom w:val="single" w:color="000000" w:sz="4" w:space="0"/>
              <w:right w:val="single" w:color="auto" w:sz="4" w:space="0"/>
            </w:tcBorders>
            <w:vAlign w:val="center"/>
          </w:tcPr>
          <w:p w14:paraId="14683FAF">
            <w:pPr>
              <w:spacing w:after="0" w:line="240" w:lineRule="exact"/>
              <w:rPr>
                <w:rFonts w:ascii="宋体" w:hAnsi="宋体" w:eastAsia="宋体" w:cs="宋体"/>
              </w:rPr>
            </w:pPr>
            <w:r>
              <w:rPr>
                <w:rFonts w:hint="eastAsia" w:ascii="宋体" w:hAnsi="宋体" w:eastAsia="宋体" w:cs="宋体"/>
              </w:rPr>
              <w:t>半年进度：结果≥50%，得2分；50%＞结果≥40%，得1分；结果＜40%，得0分。</w:t>
            </w:r>
          </w:p>
          <w:p w14:paraId="1FBAB756">
            <w:pPr>
              <w:spacing w:after="0" w:line="240" w:lineRule="exact"/>
              <w:rPr>
                <w:rFonts w:ascii="宋体" w:hAnsi="宋体" w:eastAsia="宋体" w:cs="宋体"/>
              </w:rPr>
            </w:pPr>
            <w:r>
              <w:rPr>
                <w:rFonts w:hint="eastAsia" w:ascii="宋体" w:hAnsi="宋体" w:eastAsia="宋体" w:cs="宋体"/>
              </w:rPr>
              <w:t>全年进度：结果≥100%，得4分；100%＞结果≥95%，得3分；95%＞结果≥90%，得2分；90%＞结果≥85%，得2分；结果＜85%，得0分。</w:t>
            </w:r>
          </w:p>
        </w:tc>
        <w:tc>
          <w:tcPr>
            <w:tcW w:w="1090" w:type="dxa"/>
            <w:tcBorders>
              <w:top w:val="single" w:color="000000" w:sz="4" w:space="0"/>
              <w:left w:val="single" w:color="auto" w:sz="4" w:space="0"/>
              <w:bottom w:val="single" w:color="000000" w:sz="4" w:space="0"/>
              <w:right w:val="single" w:color="000000" w:sz="4" w:space="0"/>
            </w:tcBorders>
            <w:vAlign w:val="center"/>
          </w:tcPr>
          <w:p w14:paraId="499DB295">
            <w:pPr>
              <w:spacing w:after="0" w:line="240" w:lineRule="exact"/>
              <w:rPr>
                <w:rFonts w:ascii="宋体" w:hAnsi="宋体" w:eastAsia="宋体" w:cs="宋体"/>
              </w:rPr>
            </w:pPr>
            <w:r>
              <w:rPr>
                <w:rFonts w:hint="eastAsia" w:ascii="宋体" w:hAnsi="宋体" w:eastAsia="宋体" w:cs="宋体"/>
              </w:rPr>
              <w:t> </w:t>
            </w:r>
          </w:p>
        </w:tc>
      </w:tr>
      <w:tr w14:paraId="274036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8" w:hRule="atLeast"/>
          <w:jc w:val="center"/>
        </w:trPr>
        <w:tc>
          <w:tcPr>
            <w:tcW w:w="733" w:type="dxa"/>
            <w:vMerge w:val="continue"/>
            <w:tcBorders>
              <w:left w:val="single" w:color="000000" w:sz="4" w:space="0"/>
              <w:right w:val="single" w:color="000000" w:sz="4" w:space="0"/>
            </w:tcBorders>
            <w:vAlign w:val="center"/>
          </w:tcPr>
          <w:p w14:paraId="4CB18EDC">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26E05415">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2DE99B4C">
            <w:pPr>
              <w:spacing w:after="0" w:line="240" w:lineRule="exact"/>
              <w:rPr>
                <w:rFonts w:ascii="宋体" w:hAnsi="宋体" w:eastAsia="宋体" w:cs="宋体"/>
              </w:rPr>
            </w:pPr>
            <w:r>
              <w:rPr>
                <w:rFonts w:hint="eastAsia" w:ascii="宋体" w:hAnsi="宋体" w:eastAsia="宋体" w:cs="宋体"/>
              </w:rPr>
              <w:t>结转结余率（3分）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57615A9D">
            <w:pPr>
              <w:spacing w:after="0" w:line="240" w:lineRule="exact"/>
              <w:rPr>
                <w:rFonts w:ascii="宋体" w:hAnsi="宋体" w:eastAsia="宋体" w:cs="宋体"/>
              </w:rPr>
            </w:pPr>
            <w:r>
              <w:rPr>
                <w:rFonts w:hint="eastAsia" w:ascii="宋体" w:hAnsi="宋体" w:eastAsia="宋体" w:cs="宋体"/>
              </w:rPr>
              <w:t>通过对部门本年度结转结余总额与支出预算数的比较，反映和评价部门对本年度结转结余资金的实际控制程度。</w:t>
            </w:r>
          </w:p>
          <w:p w14:paraId="00069617">
            <w:pPr>
              <w:spacing w:after="0" w:line="240" w:lineRule="exact"/>
              <w:rPr>
                <w:rFonts w:ascii="宋体" w:hAnsi="宋体" w:eastAsia="宋体" w:cs="宋体"/>
              </w:rPr>
            </w:pPr>
            <w:r>
              <w:rPr>
                <w:rFonts w:hint="eastAsia" w:ascii="宋体" w:hAnsi="宋体" w:eastAsia="宋体" w:cs="宋体"/>
              </w:rPr>
              <w:t>结转结余率=（结转结余总额/支出预算数）×100%。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3732F3B6">
            <w:pPr>
              <w:spacing w:after="0" w:line="240" w:lineRule="exact"/>
              <w:rPr>
                <w:rFonts w:ascii="宋体" w:hAnsi="宋体" w:eastAsia="宋体" w:cs="宋体"/>
              </w:rPr>
            </w:pPr>
            <w:r>
              <w:rPr>
                <w:rFonts w:hint="eastAsia" w:ascii="宋体" w:hAnsi="宋体" w:eastAsia="宋体" w:cs="宋体"/>
              </w:rPr>
              <w:t>目标值为0；达到目标值得3分，未达到目标值的每增加0.1个百分点扣0.1分，扣完为止。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5DCCCD36">
            <w:pPr>
              <w:spacing w:after="0" w:line="240" w:lineRule="exact"/>
              <w:rPr>
                <w:rFonts w:ascii="宋体" w:hAnsi="宋体" w:eastAsia="宋体" w:cs="宋体"/>
              </w:rPr>
            </w:pPr>
            <w:r>
              <w:rPr>
                <w:rFonts w:hint="eastAsia" w:ascii="宋体" w:hAnsi="宋体" w:eastAsia="宋体" w:cs="宋体"/>
              </w:rPr>
              <w:t> </w:t>
            </w:r>
          </w:p>
        </w:tc>
      </w:tr>
      <w:tr w14:paraId="0CAF84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7" w:hRule="atLeast"/>
          <w:jc w:val="center"/>
        </w:trPr>
        <w:tc>
          <w:tcPr>
            <w:tcW w:w="733" w:type="dxa"/>
            <w:vMerge w:val="continue"/>
            <w:tcBorders>
              <w:left w:val="single" w:color="000000" w:sz="4" w:space="0"/>
              <w:right w:val="single" w:color="000000" w:sz="4" w:space="0"/>
            </w:tcBorders>
            <w:vAlign w:val="center"/>
          </w:tcPr>
          <w:p w14:paraId="6DCC45B0">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5FF7308A">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292A7256">
            <w:pPr>
              <w:spacing w:after="0" w:line="240" w:lineRule="exact"/>
              <w:rPr>
                <w:rFonts w:ascii="宋体" w:hAnsi="宋体" w:eastAsia="宋体" w:cs="宋体"/>
              </w:rPr>
            </w:pPr>
            <w:r>
              <w:rPr>
                <w:rFonts w:hint="eastAsia" w:ascii="宋体" w:hAnsi="宋体" w:eastAsia="宋体" w:cs="宋体"/>
              </w:rPr>
              <w:t>结转结余变动率(3分）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0964FA7A">
            <w:pPr>
              <w:spacing w:after="0" w:line="240" w:lineRule="exact"/>
              <w:rPr>
                <w:rFonts w:ascii="宋体" w:hAnsi="宋体" w:eastAsia="宋体" w:cs="宋体"/>
              </w:rPr>
            </w:pPr>
            <w:r>
              <w:rPr>
                <w:rFonts w:hint="eastAsia" w:ascii="宋体" w:hAnsi="宋体" w:eastAsia="宋体" w:cs="宋体"/>
              </w:rPr>
              <w:t>部门本年度结转结余资金总额与上年度结转结余资金总额的变动比率，用以反映和考核部门对控制结转结余资金的努力程度。</w:t>
            </w:r>
          </w:p>
          <w:p w14:paraId="453BD73E">
            <w:pPr>
              <w:spacing w:after="0" w:line="240" w:lineRule="exact"/>
              <w:rPr>
                <w:rFonts w:ascii="宋体" w:hAnsi="宋体" w:eastAsia="宋体" w:cs="宋体"/>
              </w:rPr>
            </w:pPr>
            <w:r>
              <w:rPr>
                <w:rFonts w:hint="eastAsia" w:ascii="宋体" w:hAnsi="宋体" w:eastAsia="宋体" w:cs="宋体"/>
              </w:rPr>
              <w:t>结转结余变动率=〔（本年度累计结转结余资金总额-上年度累计结转结余资金总额）/上年度累计结转结余资金总额〕×100%。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27927C14">
            <w:pPr>
              <w:spacing w:after="0" w:line="240" w:lineRule="exact"/>
              <w:rPr>
                <w:rFonts w:ascii="宋体" w:hAnsi="宋体" w:eastAsia="宋体" w:cs="宋体"/>
              </w:rPr>
            </w:pPr>
            <w:r>
              <w:rPr>
                <w:rFonts w:hint="eastAsia" w:ascii="宋体" w:hAnsi="宋体" w:eastAsia="宋体" w:cs="宋体"/>
              </w:rPr>
              <w:t>目标值为≤0%；达到目标值得3分，未达到目标值的采用比率扣分法：扣分值=结转结余变动率×2×10，变动率达10%以上的扣2分。</w:t>
            </w:r>
          </w:p>
        </w:tc>
        <w:tc>
          <w:tcPr>
            <w:tcW w:w="1090" w:type="dxa"/>
            <w:tcBorders>
              <w:top w:val="single" w:color="000000" w:sz="4" w:space="0"/>
              <w:left w:val="single" w:color="auto" w:sz="4" w:space="0"/>
              <w:bottom w:val="single" w:color="000000" w:sz="4" w:space="0"/>
              <w:right w:val="single" w:color="000000" w:sz="4" w:space="0"/>
            </w:tcBorders>
            <w:vAlign w:val="center"/>
          </w:tcPr>
          <w:p w14:paraId="699FB0F6">
            <w:pPr>
              <w:spacing w:after="0" w:line="240" w:lineRule="exact"/>
              <w:rPr>
                <w:rFonts w:ascii="宋体" w:hAnsi="宋体" w:eastAsia="宋体" w:cs="宋体"/>
              </w:rPr>
            </w:pPr>
          </w:p>
        </w:tc>
      </w:tr>
      <w:tr w14:paraId="0D5EEB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5" w:hRule="atLeast"/>
          <w:jc w:val="center"/>
        </w:trPr>
        <w:tc>
          <w:tcPr>
            <w:tcW w:w="733" w:type="dxa"/>
            <w:vMerge w:val="continue"/>
            <w:tcBorders>
              <w:left w:val="single" w:color="000000" w:sz="4" w:space="0"/>
              <w:right w:val="single" w:color="000000" w:sz="4" w:space="0"/>
            </w:tcBorders>
            <w:vAlign w:val="center"/>
          </w:tcPr>
          <w:p w14:paraId="1C2A98ED">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4E84190E">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7B5EDFA0">
            <w:pPr>
              <w:spacing w:after="0" w:line="240" w:lineRule="exact"/>
              <w:rPr>
                <w:rFonts w:ascii="宋体" w:hAnsi="宋体" w:eastAsia="宋体" w:cs="宋体"/>
              </w:rPr>
            </w:pPr>
            <w:r>
              <w:rPr>
                <w:rFonts w:hint="eastAsia" w:ascii="宋体" w:hAnsi="宋体" w:eastAsia="宋体" w:cs="宋体"/>
              </w:rPr>
              <w:t>公用经费控制率（3分）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3285636D">
            <w:pPr>
              <w:spacing w:after="0" w:line="240" w:lineRule="exact"/>
              <w:rPr>
                <w:rFonts w:ascii="宋体" w:hAnsi="宋体" w:eastAsia="宋体" w:cs="宋体"/>
              </w:rPr>
            </w:pPr>
            <w:r>
              <w:rPr>
                <w:rFonts w:hint="eastAsia" w:ascii="宋体" w:hAnsi="宋体" w:eastAsia="宋体" w:cs="宋体"/>
              </w:rPr>
              <w:t>通过对部门本年度实际支出的公用经费总额与预算安排的公用经费总额的比率，反映和评价部门对机构运转成本的实际控制程度。</w:t>
            </w:r>
          </w:p>
          <w:p w14:paraId="0F18095E">
            <w:pPr>
              <w:spacing w:after="0" w:line="240" w:lineRule="exact"/>
              <w:rPr>
                <w:rFonts w:ascii="宋体" w:hAnsi="宋体" w:eastAsia="宋体" w:cs="宋体"/>
              </w:rPr>
            </w:pPr>
            <w:r>
              <w:rPr>
                <w:rFonts w:hint="eastAsia" w:ascii="宋体" w:hAnsi="宋体" w:eastAsia="宋体" w:cs="宋体"/>
              </w:rPr>
              <w:t>公用经费控制率=（实际支出公用经费总额/预算安排公用经费总额）×100%。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586618DB">
            <w:pPr>
              <w:spacing w:after="0" w:line="240" w:lineRule="exact"/>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0430D7C2">
            <w:pPr>
              <w:spacing w:after="0" w:line="240" w:lineRule="exact"/>
              <w:rPr>
                <w:rFonts w:ascii="宋体" w:hAnsi="宋体" w:eastAsia="宋体" w:cs="宋体"/>
              </w:rPr>
            </w:pPr>
            <w:r>
              <w:rPr>
                <w:rFonts w:hint="eastAsia" w:ascii="宋体" w:hAnsi="宋体" w:eastAsia="宋体" w:cs="宋体"/>
              </w:rPr>
              <w:t> </w:t>
            </w:r>
          </w:p>
        </w:tc>
      </w:tr>
      <w:tr w14:paraId="40CDC1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3" w:hRule="atLeast"/>
          <w:jc w:val="center"/>
        </w:trPr>
        <w:tc>
          <w:tcPr>
            <w:tcW w:w="733" w:type="dxa"/>
            <w:vMerge w:val="continue"/>
            <w:tcBorders>
              <w:left w:val="single" w:color="000000" w:sz="4" w:space="0"/>
              <w:right w:val="single" w:color="000000" w:sz="4" w:space="0"/>
            </w:tcBorders>
            <w:vAlign w:val="center"/>
          </w:tcPr>
          <w:p w14:paraId="358811A2">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2E2530FE">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0259D47B">
            <w:pPr>
              <w:spacing w:after="0" w:line="240" w:lineRule="exact"/>
              <w:rPr>
                <w:rFonts w:ascii="宋体" w:hAnsi="宋体" w:eastAsia="宋体" w:cs="宋体"/>
              </w:rPr>
            </w:pPr>
            <w:r>
              <w:rPr>
                <w:rFonts w:hint="eastAsia" w:ascii="宋体" w:hAnsi="宋体" w:eastAsia="宋体" w:cs="宋体"/>
              </w:rPr>
              <w:t>“三公经费”控制率（3分）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33F3CEDB">
            <w:pPr>
              <w:spacing w:after="0" w:line="240" w:lineRule="exact"/>
              <w:rPr>
                <w:rFonts w:ascii="宋体" w:hAnsi="宋体" w:eastAsia="宋体" w:cs="宋体"/>
              </w:rPr>
            </w:pPr>
            <w:r>
              <w:rPr>
                <w:rFonts w:hint="eastAsia" w:ascii="宋体" w:hAnsi="宋体" w:eastAsia="宋体" w:cs="宋体"/>
              </w:rPr>
              <w:t>部门（单位）本年度“三公经费”实际支出数与预算安排数的比率，用以反映和考核部门（单位）对“三公经费”的实际控制程度。</w:t>
            </w:r>
          </w:p>
          <w:p w14:paraId="5C73EB5A">
            <w:pPr>
              <w:spacing w:after="0" w:line="240" w:lineRule="exact"/>
              <w:rPr>
                <w:rFonts w:ascii="宋体" w:hAnsi="宋体" w:eastAsia="宋体" w:cs="宋体"/>
              </w:rPr>
            </w:pPr>
            <w:r>
              <w:rPr>
                <w:rFonts w:hint="eastAsia" w:ascii="宋体" w:hAnsi="宋体" w:eastAsia="宋体" w:cs="宋体"/>
              </w:rPr>
              <w:t>“三公经费”控制率=（“三公经费”实际支出/“三公经费”预算安排数）×100%</w:t>
            </w:r>
          </w:p>
        </w:tc>
        <w:tc>
          <w:tcPr>
            <w:tcW w:w="3423" w:type="dxa"/>
            <w:tcBorders>
              <w:top w:val="single" w:color="000000" w:sz="4" w:space="0"/>
              <w:left w:val="single" w:color="auto" w:sz="4" w:space="0"/>
              <w:bottom w:val="single" w:color="000000" w:sz="4" w:space="0"/>
              <w:right w:val="single" w:color="auto" w:sz="4" w:space="0"/>
            </w:tcBorders>
            <w:vAlign w:val="center"/>
          </w:tcPr>
          <w:p w14:paraId="43A3B6AA">
            <w:pPr>
              <w:spacing w:after="0" w:line="240" w:lineRule="exact"/>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45EEDFCB">
            <w:pPr>
              <w:spacing w:after="0" w:line="240" w:lineRule="exact"/>
              <w:rPr>
                <w:rFonts w:ascii="宋体" w:hAnsi="宋体" w:eastAsia="宋体" w:cs="宋体"/>
              </w:rPr>
            </w:pPr>
          </w:p>
        </w:tc>
      </w:tr>
      <w:tr w14:paraId="5F8B5A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1" w:hRule="atLeast"/>
          <w:jc w:val="center"/>
        </w:trPr>
        <w:tc>
          <w:tcPr>
            <w:tcW w:w="733" w:type="dxa"/>
            <w:vMerge w:val="continue"/>
            <w:tcBorders>
              <w:left w:val="single" w:color="000000" w:sz="4" w:space="0"/>
              <w:right w:val="single" w:color="000000" w:sz="4" w:space="0"/>
            </w:tcBorders>
            <w:vAlign w:val="center"/>
          </w:tcPr>
          <w:p w14:paraId="2427D829">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41AF519F">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2E99A4F4">
            <w:pPr>
              <w:spacing w:after="0" w:line="240" w:lineRule="exact"/>
              <w:rPr>
                <w:rFonts w:ascii="宋体" w:hAnsi="宋体" w:eastAsia="宋体" w:cs="宋体"/>
              </w:rPr>
            </w:pPr>
            <w:r>
              <w:rPr>
                <w:rFonts w:hint="eastAsia" w:ascii="宋体" w:hAnsi="宋体" w:eastAsia="宋体" w:cs="宋体"/>
              </w:rPr>
              <w:t>政府采购执行率（3分）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72FE2662">
            <w:pPr>
              <w:spacing w:after="0" w:line="240" w:lineRule="exact"/>
              <w:rPr>
                <w:rFonts w:ascii="宋体" w:hAnsi="宋体" w:eastAsia="宋体" w:cs="宋体"/>
              </w:rPr>
            </w:pPr>
            <w:r>
              <w:rPr>
                <w:rFonts w:hint="eastAsia" w:ascii="宋体" w:hAnsi="宋体" w:eastAsia="宋体" w:cs="宋体"/>
              </w:rPr>
              <w:t>通过对部门本年度实际政府采购预算项目个数与政府采购预算项目个数的比较，反映和评价部门政府采购预算执行情况。</w:t>
            </w:r>
          </w:p>
          <w:p w14:paraId="34CFE484">
            <w:pPr>
              <w:spacing w:after="0" w:line="240" w:lineRule="exact"/>
              <w:rPr>
                <w:rFonts w:ascii="宋体" w:hAnsi="宋体" w:eastAsia="宋体" w:cs="宋体"/>
              </w:rPr>
            </w:pPr>
            <w:r>
              <w:rPr>
                <w:rFonts w:hint="eastAsia" w:ascii="宋体" w:hAnsi="宋体" w:eastAsia="宋体" w:cs="宋体"/>
              </w:rPr>
              <w:t>政府采购执行率=（实际政府采购预算项目个数/政府采购预算项目个数）×100%。</w:t>
            </w:r>
          </w:p>
          <w:p w14:paraId="6A62AF8F">
            <w:pPr>
              <w:spacing w:after="0" w:line="240" w:lineRule="exact"/>
              <w:rPr>
                <w:rFonts w:ascii="宋体" w:hAnsi="宋体" w:eastAsia="宋体" w:cs="宋体"/>
              </w:rPr>
            </w:pPr>
            <w:r>
              <w:rPr>
                <w:rFonts w:hint="eastAsia" w:ascii="宋体" w:hAnsi="宋体" w:eastAsia="宋体" w:cs="宋体"/>
              </w:rPr>
              <w:t>政府采购项目中非预算内安排的项目除外。</w:t>
            </w:r>
          </w:p>
        </w:tc>
        <w:tc>
          <w:tcPr>
            <w:tcW w:w="3423" w:type="dxa"/>
            <w:tcBorders>
              <w:top w:val="single" w:color="000000" w:sz="4" w:space="0"/>
              <w:left w:val="single" w:color="auto" w:sz="4" w:space="0"/>
              <w:bottom w:val="single" w:color="000000" w:sz="4" w:space="0"/>
              <w:right w:val="single" w:color="auto" w:sz="4" w:space="0"/>
            </w:tcBorders>
            <w:vAlign w:val="center"/>
          </w:tcPr>
          <w:p w14:paraId="7A445207">
            <w:pPr>
              <w:spacing w:after="0" w:line="240" w:lineRule="exact"/>
              <w:rPr>
                <w:rFonts w:ascii="宋体" w:hAnsi="宋体" w:eastAsia="宋体" w:cs="宋体"/>
              </w:rPr>
            </w:pPr>
            <w:r>
              <w:rPr>
                <w:rFonts w:hint="eastAsia" w:ascii="宋体" w:hAnsi="宋体" w:eastAsia="宋体" w:cs="宋体"/>
              </w:rPr>
              <w:t>目标值为100%；以3分为上限，采用完成比率法计分：得分=政府采购执行率×3。</w:t>
            </w:r>
          </w:p>
        </w:tc>
        <w:tc>
          <w:tcPr>
            <w:tcW w:w="1090" w:type="dxa"/>
            <w:tcBorders>
              <w:top w:val="single" w:color="000000" w:sz="4" w:space="0"/>
              <w:left w:val="single" w:color="auto" w:sz="4" w:space="0"/>
              <w:bottom w:val="single" w:color="000000" w:sz="4" w:space="0"/>
              <w:right w:val="single" w:color="000000" w:sz="4" w:space="0"/>
            </w:tcBorders>
            <w:vAlign w:val="center"/>
          </w:tcPr>
          <w:p w14:paraId="30B3DB43">
            <w:pPr>
              <w:spacing w:after="0" w:line="240" w:lineRule="exact"/>
              <w:rPr>
                <w:rFonts w:ascii="宋体" w:hAnsi="宋体" w:eastAsia="宋体" w:cs="宋体"/>
              </w:rPr>
            </w:pPr>
            <w:r>
              <w:rPr>
                <w:rFonts w:hint="eastAsia" w:ascii="宋体" w:hAnsi="宋体" w:eastAsia="宋体" w:cs="宋体"/>
              </w:rPr>
              <w:t> </w:t>
            </w:r>
          </w:p>
        </w:tc>
      </w:tr>
      <w:tr w14:paraId="0EE64A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4" w:hRule="atLeast"/>
          <w:jc w:val="center"/>
        </w:trPr>
        <w:tc>
          <w:tcPr>
            <w:tcW w:w="733" w:type="dxa"/>
            <w:vMerge w:val="continue"/>
            <w:tcBorders>
              <w:left w:val="single" w:color="000000" w:sz="4" w:space="0"/>
              <w:right w:val="single" w:color="000000" w:sz="4" w:space="0"/>
            </w:tcBorders>
            <w:vAlign w:val="center"/>
          </w:tcPr>
          <w:p w14:paraId="2090FAA1">
            <w:pPr>
              <w:spacing w:after="0"/>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14:paraId="33870422">
            <w:pPr>
              <w:spacing w:after="0" w:line="240" w:lineRule="exact"/>
              <w:jc w:val="center"/>
              <w:rPr>
                <w:rFonts w:ascii="宋体" w:hAnsi="宋体" w:eastAsia="宋体" w:cs="宋体"/>
              </w:rPr>
            </w:pPr>
            <w:r>
              <w:rPr>
                <w:rFonts w:hint="eastAsia" w:ascii="宋体" w:hAnsi="宋体" w:eastAsia="宋体" w:cs="宋体"/>
              </w:rPr>
              <w:t>预算管理</w:t>
            </w:r>
          </w:p>
          <w:p w14:paraId="34C76611">
            <w:pPr>
              <w:spacing w:after="0" w:line="68" w:lineRule="atLeast"/>
              <w:jc w:val="center"/>
              <w:rPr>
                <w:rFonts w:ascii="宋体" w:hAnsi="宋体" w:eastAsia="宋体" w:cs="宋体"/>
              </w:rPr>
            </w:pPr>
            <w:r>
              <w:rPr>
                <w:rFonts w:hint="eastAsia" w:ascii="宋体" w:hAnsi="宋体" w:eastAsia="宋体" w:cs="宋体"/>
              </w:rPr>
              <w:t>（18分）</w:t>
            </w:r>
          </w:p>
        </w:tc>
        <w:tc>
          <w:tcPr>
            <w:tcW w:w="1182" w:type="dxa"/>
            <w:tcBorders>
              <w:top w:val="single" w:color="000000" w:sz="4" w:space="0"/>
              <w:left w:val="single" w:color="000000" w:sz="4" w:space="0"/>
              <w:bottom w:val="single" w:color="000000" w:sz="4" w:space="0"/>
              <w:right w:val="single" w:color="auto" w:sz="4" w:space="0"/>
            </w:tcBorders>
            <w:vAlign w:val="center"/>
          </w:tcPr>
          <w:p w14:paraId="490CF63E">
            <w:pPr>
              <w:spacing w:after="0" w:line="240" w:lineRule="exact"/>
              <w:rPr>
                <w:rFonts w:ascii="宋体" w:hAnsi="宋体" w:eastAsia="宋体" w:cs="宋体"/>
              </w:rPr>
            </w:pPr>
            <w:r>
              <w:rPr>
                <w:rFonts w:hint="eastAsia" w:ascii="宋体" w:hAnsi="宋体" w:eastAsia="宋体" w:cs="宋体"/>
              </w:rPr>
              <w:t>管理制度健全性</w:t>
            </w:r>
          </w:p>
          <w:p w14:paraId="5F53E97F">
            <w:pPr>
              <w:spacing w:after="0" w:line="240" w:lineRule="exact"/>
              <w:rPr>
                <w:rFonts w:ascii="宋体" w:hAnsi="宋体" w:eastAsia="宋体" w:cs="宋体"/>
              </w:rPr>
            </w:pPr>
            <w:r>
              <w:rPr>
                <w:rFonts w:hint="eastAsia" w:ascii="宋体" w:hAnsi="宋体" w:eastAsia="宋体" w:cs="宋体"/>
              </w:rPr>
              <w:t>（2分）</w:t>
            </w:r>
          </w:p>
        </w:tc>
        <w:tc>
          <w:tcPr>
            <w:tcW w:w="6911" w:type="dxa"/>
            <w:tcBorders>
              <w:top w:val="single" w:color="000000" w:sz="4" w:space="0"/>
              <w:left w:val="single" w:color="auto" w:sz="4" w:space="0"/>
              <w:bottom w:val="single" w:color="000000" w:sz="4" w:space="0"/>
              <w:right w:val="single" w:color="auto" w:sz="4" w:space="0"/>
            </w:tcBorders>
            <w:vAlign w:val="center"/>
          </w:tcPr>
          <w:p w14:paraId="47284AD4">
            <w:pPr>
              <w:spacing w:after="0" w:line="240" w:lineRule="exact"/>
              <w:rPr>
                <w:rFonts w:ascii="宋体" w:hAnsi="宋体" w:eastAsia="宋体" w:cs="宋体"/>
              </w:rPr>
            </w:pPr>
            <w:r>
              <w:rPr>
                <w:rFonts w:hint="eastAsia" w:ascii="宋体" w:hAnsi="宋体" w:eastAsia="宋体" w:cs="宋体"/>
              </w:rPr>
              <w:t>部门为加强预算管理，规范财务行为而制定的管理制度是否健全完整，用以反映和考核部门预算管理制度对完成主要职责或促进事业发展的保障情况。</w:t>
            </w:r>
          </w:p>
          <w:p w14:paraId="57FD657D">
            <w:pPr>
              <w:spacing w:after="0" w:line="240" w:lineRule="exact"/>
              <w:rPr>
                <w:rFonts w:ascii="宋体" w:hAnsi="宋体" w:eastAsia="宋体" w:cs="宋体"/>
              </w:rPr>
            </w:pPr>
            <w:r>
              <w:rPr>
                <w:rFonts w:hint="eastAsia" w:ascii="宋体" w:hAnsi="宋体" w:eastAsia="宋体" w:cs="宋体"/>
              </w:rPr>
              <w:t>评价要点：</w:t>
            </w:r>
          </w:p>
          <w:p w14:paraId="61F483D6">
            <w:pPr>
              <w:spacing w:after="0" w:line="240" w:lineRule="exact"/>
              <w:rPr>
                <w:rFonts w:ascii="宋体" w:hAnsi="宋体" w:eastAsia="宋体" w:cs="宋体"/>
              </w:rPr>
            </w:pPr>
            <w:r>
              <w:rPr>
                <w:rFonts w:hint="eastAsia" w:ascii="宋体" w:hAnsi="宋体" w:eastAsia="宋体" w:cs="宋体"/>
              </w:rPr>
              <w:t>1．是否已制定或具有预算资金管理办法、内部财务管理制度、会计核算制度等管理制度；</w:t>
            </w:r>
          </w:p>
          <w:p w14:paraId="229D3DD8">
            <w:pPr>
              <w:spacing w:after="0" w:line="240" w:lineRule="exact"/>
              <w:rPr>
                <w:rFonts w:ascii="宋体" w:hAnsi="宋体" w:eastAsia="宋体" w:cs="宋体"/>
              </w:rPr>
            </w:pPr>
            <w:r>
              <w:rPr>
                <w:rFonts w:hint="eastAsia" w:ascii="宋体" w:hAnsi="宋体" w:eastAsia="宋体" w:cs="宋体"/>
              </w:rPr>
              <w:t>2.相关管理制度是否合法、合规、完整；</w:t>
            </w:r>
          </w:p>
          <w:p w14:paraId="5C506E70">
            <w:pPr>
              <w:spacing w:after="0" w:line="240" w:lineRule="exact"/>
              <w:rPr>
                <w:rFonts w:ascii="宋体" w:hAnsi="宋体" w:eastAsia="宋体" w:cs="宋体"/>
              </w:rPr>
            </w:pPr>
            <w:r>
              <w:rPr>
                <w:rFonts w:hint="eastAsia" w:ascii="宋体" w:hAnsi="宋体" w:eastAsia="宋体" w:cs="宋体"/>
              </w:rPr>
              <w:t>3.相关管理制度是否得到有效执行。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14:paraId="68B07D5B">
            <w:pPr>
              <w:spacing w:after="0" w:line="240" w:lineRule="exact"/>
              <w:rPr>
                <w:rFonts w:ascii="宋体" w:hAnsi="宋体" w:eastAsia="宋体" w:cs="宋体"/>
              </w:rPr>
            </w:pPr>
            <w:r>
              <w:rPr>
                <w:rFonts w:hint="eastAsia" w:ascii="宋体" w:hAnsi="宋体" w:eastAsia="宋体" w:cs="宋体"/>
              </w:rPr>
              <w:t>全部符合（2分）；</w:t>
            </w:r>
          </w:p>
          <w:p w14:paraId="34FFA854">
            <w:pPr>
              <w:spacing w:after="0" w:line="240" w:lineRule="exact"/>
              <w:rPr>
                <w:rFonts w:ascii="宋体" w:hAnsi="宋体" w:eastAsia="宋体" w:cs="宋体"/>
              </w:rPr>
            </w:pPr>
            <w:r>
              <w:rPr>
                <w:rFonts w:hint="eastAsia" w:ascii="宋体" w:hAnsi="宋体" w:eastAsia="宋体" w:cs="宋体"/>
              </w:rPr>
              <w:t>符合其中两项（1分）</w:t>
            </w:r>
          </w:p>
          <w:p w14:paraId="5EDA2AB7">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78A30199">
            <w:pPr>
              <w:spacing w:after="0" w:line="240" w:lineRule="exact"/>
              <w:rPr>
                <w:rFonts w:ascii="宋体" w:hAnsi="宋体" w:eastAsia="宋体" w:cs="宋体"/>
              </w:rPr>
            </w:pPr>
          </w:p>
        </w:tc>
      </w:tr>
      <w:tr w14:paraId="25A0A6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65" w:hRule="atLeast"/>
          <w:jc w:val="center"/>
        </w:trPr>
        <w:tc>
          <w:tcPr>
            <w:tcW w:w="733" w:type="dxa"/>
            <w:vMerge w:val="continue"/>
            <w:tcBorders>
              <w:left w:val="single" w:color="000000" w:sz="4" w:space="0"/>
              <w:right w:val="single" w:color="000000" w:sz="4" w:space="0"/>
            </w:tcBorders>
            <w:vAlign w:val="center"/>
          </w:tcPr>
          <w:p w14:paraId="54DCD51D">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7C956FCD">
            <w:pPr>
              <w:spacing w:after="0" w:line="68" w:lineRule="atLeas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1C184E04">
            <w:pPr>
              <w:spacing w:after="0" w:line="68" w:lineRule="atLeast"/>
              <w:rPr>
                <w:rFonts w:ascii="宋体" w:hAnsi="宋体" w:eastAsia="宋体" w:cs="宋体"/>
              </w:rPr>
            </w:pPr>
            <w:r>
              <w:rPr>
                <w:rFonts w:hint="eastAsia" w:ascii="宋体" w:hAnsi="宋体" w:eastAsia="宋体" w:cs="宋体"/>
              </w:rPr>
              <w:t>资金使用合规性</w:t>
            </w:r>
          </w:p>
          <w:p w14:paraId="5A4C3BEA">
            <w:pPr>
              <w:spacing w:after="0" w:line="68" w:lineRule="atLeast"/>
              <w:rPr>
                <w:rFonts w:ascii="宋体" w:hAnsi="宋体" w:eastAsia="宋体" w:cs="宋体"/>
              </w:rPr>
            </w:pPr>
            <w:r>
              <w:rPr>
                <w:rFonts w:hint="eastAsia" w:ascii="宋体" w:hAnsi="宋体" w:eastAsia="宋体" w:cs="宋体"/>
              </w:rPr>
              <w:t>（9分）</w:t>
            </w:r>
          </w:p>
        </w:tc>
        <w:tc>
          <w:tcPr>
            <w:tcW w:w="6911" w:type="dxa"/>
            <w:tcBorders>
              <w:top w:val="single" w:color="000000" w:sz="4" w:space="0"/>
              <w:left w:val="single" w:color="auto" w:sz="4" w:space="0"/>
              <w:bottom w:val="single" w:color="000000" w:sz="4" w:space="0"/>
              <w:right w:val="single" w:color="auto" w:sz="4" w:space="0"/>
            </w:tcBorders>
            <w:vAlign w:val="center"/>
          </w:tcPr>
          <w:p w14:paraId="0C32E30F">
            <w:pPr>
              <w:spacing w:after="0" w:line="240" w:lineRule="exact"/>
              <w:rPr>
                <w:rFonts w:ascii="宋体" w:hAnsi="宋体" w:eastAsia="宋体" w:cs="宋体"/>
              </w:rPr>
            </w:pPr>
            <w:r>
              <w:rPr>
                <w:rFonts w:hint="eastAsia" w:ascii="宋体" w:hAnsi="宋体" w:eastAsia="宋体" w:cs="宋体"/>
              </w:rPr>
              <w:t>部门使用预算资金是否符合相关的预算财务管理制度的规定，反映和评价部门预算资金的规范运行情况。</w:t>
            </w:r>
          </w:p>
          <w:p w14:paraId="3750B28B">
            <w:pPr>
              <w:spacing w:after="0" w:line="240" w:lineRule="exact"/>
              <w:rPr>
                <w:rFonts w:ascii="宋体" w:hAnsi="宋体" w:eastAsia="宋体" w:cs="宋体"/>
              </w:rPr>
            </w:pPr>
            <w:r>
              <w:rPr>
                <w:rFonts w:hint="eastAsia" w:ascii="宋体" w:hAnsi="宋体" w:eastAsia="宋体" w:cs="宋体"/>
              </w:rPr>
              <w:t>评价要点：</w:t>
            </w:r>
          </w:p>
          <w:p w14:paraId="03F2E728">
            <w:pPr>
              <w:spacing w:after="0" w:line="240" w:lineRule="exact"/>
              <w:rPr>
                <w:rFonts w:ascii="宋体" w:hAnsi="宋体" w:eastAsia="宋体" w:cs="宋体"/>
              </w:rPr>
            </w:pPr>
            <w:r>
              <w:rPr>
                <w:rFonts w:hint="eastAsia" w:ascii="宋体" w:hAnsi="宋体" w:eastAsia="宋体" w:cs="宋体"/>
              </w:rPr>
              <w:t>1.符合国家财经法规和财务管理制度规定以及有关部门资金管理办法的规定；</w:t>
            </w:r>
          </w:p>
          <w:p w14:paraId="0E4EE617">
            <w:pPr>
              <w:spacing w:after="0" w:line="240" w:lineRule="exact"/>
              <w:rPr>
                <w:rFonts w:ascii="宋体" w:hAnsi="宋体" w:eastAsia="宋体" w:cs="宋体"/>
              </w:rPr>
            </w:pPr>
            <w:r>
              <w:rPr>
                <w:rFonts w:hint="eastAsia" w:ascii="宋体" w:hAnsi="宋体" w:eastAsia="宋体" w:cs="宋体"/>
              </w:rPr>
              <w:t>2.资金的拨付有完整的审批过程和手续；</w:t>
            </w:r>
          </w:p>
          <w:p w14:paraId="010B3C59">
            <w:pPr>
              <w:spacing w:after="0" w:line="240" w:lineRule="exact"/>
              <w:rPr>
                <w:rFonts w:ascii="宋体" w:hAnsi="宋体" w:eastAsia="宋体" w:cs="宋体"/>
              </w:rPr>
            </w:pPr>
            <w:r>
              <w:rPr>
                <w:rFonts w:hint="eastAsia" w:ascii="宋体" w:hAnsi="宋体" w:eastAsia="宋体" w:cs="宋体"/>
              </w:rPr>
              <w:t>3.项目的重大开支经过评估论证；</w:t>
            </w:r>
          </w:p>
          <w:p w14:paraId="53EAD6D3">
            <w:pPr>
              <w:spacing w:after="0" w:line="240" w:lineRule="exact"/>
              <w:rPr>
                <w:rFonts w:ascii="宋体" w:hAnsi="宋体" w:eastAsia="宋体" w:cs="宋体"/>
              </w:rPr>
            </w:pPr>
            <w:r>
              <w:rPr>
                <w:rFonts w:hint="eastAsia" w:ascii="宋体" w:hAnsi="宋体" w:eastAsia="宋体" w:cs="宋体"/>
              </w:rPr>
              <w:t>4.符合部门预算批复的用途；</w:t>
            </w:r>
          </w:p>
          <w:p w14:paraId="4D14E34F">
            <w:pPr>
              <w:spacing w:after="0" w:line="240" w:lineRule="exact"/>
              <w:rPr>
                <w:rFonts w:ascii="宋体" w:hAnsi="宋体" w:eastAsia="宋体" w:cs="宋体"/>
              </w:rPr>
            </w:pPr>
            <w:r>
              <w:rPr>
                <w:rFonts w:hint="eastAsia" w:ascii="宋体" w:hAnsi="宋体" w:eastAsia="宋体" w:cs="宋体"/>
              </w:rPr>
              <w:t>5.不存在截留情况；6.不存在挤占情况；</w:t>
            </w:r>
          </w:p>
          <w:p w14:paraId="7D0CA787">
            <w:pPr>
              <w:spacing w:after="0" w:line="240" w:lineRule="exact"/>
              <w:rPr>
                <w:rFonts w:ascii="宋体" w:hAnsi="宋体" w:eastAsia="宋体" w:cs="宋体"/>
              </w:rPr>
            </w:pPr>
            <w:r>
              <w:rPr>
                <w:rFonts w:hint="eastAsia" w:ascii="宋体" w:hAnsi="宋体" w:eastAsia="宋体" w:cs="宋体"/>
              </w:rPr>
              <w:t>7.不存在挪用情况；8.不存在虚列支出情况。</w:t>
            </w:r>
          </w:p>
        </w:tc>
        <w:tc>
          <w:tcPr>
            <w:tcW w:w="3423" w:type="dxa"/>
            <w:tcBorders>
              <w:top w:val="single" w:color="000000" w:sz="4" w:space="0"/>
              <w:left w:val="single" w:color="auto" w:sz="4" w:space="0"/>
              <w:bottom w:val="single" w:color="000000" w:sz="4" w:space="0"/>
              <w:right w:val="single" w:color="auto" w:sz="4" w:space="0"/>
            </w:tcBorders>
            <w:vAlign w:val="center"/>
          </w:tcPr>
          <w:p w14:paraId="0A8F78C9">
            <w:pPr>
              <w:spacing w:after="0" w:line="240" w:lineRule="exact"/>
              <w:rPr>
                <w:rFonts w:ascii="宋体" w:hAnsi="宋体" w:eastAsia="宋体" w:cs="宋体"/>
              </w:rPr>
            </w:pPr>
            <w:r>
              <w:rPr>
                <w:rFonts w:hint="eastAsia" w:ascii="宋体" w:hAnsi="宋体" w:eastAsia="宋体" w:cs="宋体"/>
              </w:rPr>
              <w:t>全部符合（9分）；</w:t>
            </w:r>
          </w:p>
          <w:p w14:paraId="4B517A97">
            <w:pPr>
              <w:spacing w:after="0" w:line="240" w:lineRule="exact"/>
              <w:rPr>
                <w:rFonts w:ascii="宋体" w:hAnsi="宋体" w:eastAsia="宋体" w:cs="宋体"/>
              </w:rPr>
            </w:pPr>
            <w:r>
              <w:rPr>
                <w:rFonts w:hint="eastAsia" w:ascii="宋体" w:hAnsi="宋体" w:eastAsia="宋体" w:cs="宋体"/>
              </w:rPr>
              <w:t>符合其中七项（8分）；</w:t>
            </w:r>
          </w:p>
          <w:p w14:paraId="32B3A176">
            <w:pPr>
              <w:spacing w:after="0" w:line="240" w:lineRule="exact"/>
              <w:rPr>
                <w:rFonts w:ascii="宋体" w:hAnsi="宋体" w:eastAsia="宋体" w:cs="宋体"/>
              </w:rPr>
            </w:pPr>
            <w:r>
              <w:rPr>
                <w:rFonts w:hint="eastAsia" w:ascii="宋体" w:hAnsi="宋体" w:eastAsia="宋体" w:cs="宋体"/>
              </w:rPr>
              <w:t>符合其中六项（5分）；</w:t>
            </w:r>
          </w:p>
          <w:p w14:paraId="15410C46">
            <w:pPr>
              <w:spacing w:after="0" w:line="240" w:lineRule="exact"/>
              <w:rPr>
                <w:rFonts w:ascii="宋体" w:hAnsi="宋体" w:eastAsia="宋体" w:cs="宋体"/>
              </w:rPr>
            </w:pPr>
            <w:r>
              <w:rPr>
                <w:rFonts w:hint="eastAsia" w:ascii="宋体" w:hAnsi="宋体" w:eastAsia="宋体" w:cs="宋体"/>
              </w:rPr>
              <w:t>符合其中五项（3分）；</w:t>
            </w:r>
          </w:p>
          <w:p w14:paraId="056DC03D">
            <w:pPr>
              <w:spacing w:after="0" w:line="68" w:lineRule="atLeast"/>
              <w:rPr>
                <w:rFonts w:ascii="宋体" w:hAnsi="宋体" w:eastAsia="宋体" w:cs="宋体"/>
              </w:rPr>
            </w:pPr>
            <w:r>
              <w:rPr>
                <w:rFonts w:hint="eastAsia" w:ascii="宋体" w:hAnsi="宋体" w:eastAsia="宋体" w:cs="宋体"/>
              </w:rPr>
              <w:t>符合其中四项及以下（0分）。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24C0F767">
            <w:pPr>
              <w:spacing w:after="0" w:line="68" w:lineRule="atLeast"/>
              <w:rPr>
                <w:rFonts w:ascii="宋体" w:hAnsi="宋体" w:eastAsia="宋体" w:cs="宋体"/>
              </w:rPr>
            </w:pPr>
            <w:r>
              <w:rPr>
                <w:rFonts w:hint="eastAsia" w:ascii="宋体" w:hAnsi="宋体" w:eastAsia="宋体" w:cs="宋体"/>
              </w:rPr>
              <w:t> </w:t>
            </w:r>
          </w:p>
        </w:tc>
      </w:tr>
      <w:tr w14:paraId="64A620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63" w:hRule="atLeast"/>
          <w:jc w:val="center"/>
        </w:trPr>
        <w:tc>
          <w:tcPr>
            <w:tcW w:w="733" w:type="dxa"/>
            <w:vMerge w:val="continue"/>
            <w:tcBorders>
              <w:left w:val="single" w:color="000000" w:sz="4" w:space="0"/>
              <w:right w:val="single" w:color="000000" w:sz="4" w:space="0"/>
            </w:tcBorders>
            <w:vAlign w:val="center"/>
          </w:tcPr>
          <w:p w14:paraId="69B7DD7F">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10CACDD8">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159BC508">
            <w:pPr>
              <w:spacing w:after="0" w:line="68" w:lineRule="atLeast"/>
              <w:rPr>
                <w:rFonts w:ascii="宋体" w:hAnsi="宋体" w:eastAsia="宋体" w:cs="宋体"/>
              </w:rPr>
            </w:pPr>
            <w:r>
              <w:rPr>
                <w:rFonts w:hint="eastAsia" w:ascii="宋体" w:hAnsi="宋体" w:eastAsia="宋体" w:cs="宋体"/>
              </w:rPr>
              <w:t>预决算信息公开性（3分）</w:t>
            </w:r>
          </w:p>
        </w:tc>
        <w:tc>
          <w:tcPr>
            <w:tcW w:w="6911" w:type="dxa"/>
            <w:tcBorders>
              <w:top w:val="single" w:color="000000" w:sz="4" w:space="0"/>
              <w:left w:val="single" w:color="auto" w:sz="4" w:space="0"/>
              <w:bottom w:val="single" w:color="000000" w:sz="4" w:space="0"/>
              <w:right w:val="single" w:color="auto" w:sz="4" w:space="0"/>
            </w:tcBorders>
            <w:vAlign w:val="center"/>
          </w:tcPr>
          <w:p w14:paraId="0C043929">
            <w:pPr>
              <w:spacing w:after="0" w:line="240" w:lineRule="exact"/>
              <w:rPr>
                <w:rFonts w:ascii="宋体" w:hAnsi="宋体" w:eastAsia="宋体" w:cs="宋体"/>
              </w:rPr>
            </w:pPr>
            <w:r>
              <w:rPr>
                <w:rFonts w:hint="eastAsia" w:ascii="宋体" w:hAnsi="宋体" w:eastAsia="宋体" w:cs="宋体"/>
              </w:rPr>
              <w:t>部门是否按照政府信息公开有关规定公开相关预决算信息，用以反映和评价部门预决算管理的公开透明情况。</w:t>
            </w:r>
          </w:p>
          <w:p w14:paraId="706A20AF">
            <w:pPr>
              <w:spacing w:after="0" w:line="240" w:lineRule="exact"/>
              <w:rPr>
                <w:rFonts w:ascii="宋体" w:hAnsi="宋体" w:eastAsia="宋体" w:cs="宋体"/>
              </w:rPr>
            </w:pPr>
            <w:r>
              <w:rPr>
                <w:rFonts w:hint="eastAsia" w:ascii="宋体" w:hAnsi="宋体" w:eastAsia="宋体" w:cs="宋体"/>
              </w:rPr>
              <w:t>预决算信息是指与部门预算、执行、决算、监督、绩效等管理相关的信息。</w:t>
            </w:r>
          </w:p>
          <w:p w14:paraId="269B73FD">
            <w:pPr>
              <w:spacing w:after="0" w:line="240" w:lineRule="exact"/>
              <w:rPr>
                <w:rFonts w:ascii="宋体" w:hAnsi="宋体" w:eastAsia="宋体" w:cs="宋体"/>
              </w:rPr>
            </w:pPr>
            <w:r>
              <w:rPr>
                <w:rFonts w:hint="eastAsia" w:ascii="宋体" w:hAnsi="宋体" w:eastAsia="宋体" w:cs="宋体"/>
              </w:rPr>
              <w:t>评价要点：</w:t>
            </w:r>
          </w:p>
          <w:p w14:paraId="7DAE8805">
            <w:pPr>
              <w:spacing w:after="0" w:line="240" w:lineRule="exact"/>
              <w:rPr>
                <w:rFonts w:ascii="宋体" w:hAnsi="宋体" w:eastAsia="宋体" w:cs="宋体"/>
              </w:rPr>
            </w:pPr>
            <w:r>
              <w:rPr>
                <w:rFonts w:hint="eastAsia" w:ascii="宋体" w:hAnsi="宋体" w:eastAsia="宋体" w:cs="宋体"/>
              </w:rPr>
              <w:t>1.公开预决算信息；</w:t>
            </w:r>
          </w:p>
          <w:p w14:paraId="2836E9EE">
            <w:pPr>
              <w:spacing w:after="0" w:line="240" w:lineRule="exact"/>
              <w:rPr>
                <w:rFonts w:ascii="宋体" w:hAnsi="宋体" w:eastAsia="宋体" w:cs="宋体"/>
              </w:rPr>
            </w:pPr>
            <w:r>
              <w:rPr>
                <w:rFonts w:hint="eastAsia" w:ascii="宋体" w:hAnsi="宋体" w:eastAsia="宋体" w:cs="宋体"/>
              </w:rPr>
              <w:t>2.按规定内容公开预决算信息；</w:t>
            </w:r>
          </w:p>
          <w:p w14:paraId="67A34322">
            <w:pPr>
              <w:spacing w:after="0" w:line="68" w:lineRule="atLeast"/>
              <w:rPr>
                <w:rFonts w:ascii="宋体" w:hAnsi="宋体" w:eastAsia="宋体" w:cs="宋体"/>
              </w:rPr>
            </w:pPr>
            <w:r>
              <w:rPr>
                <w:rFonts w:hint="eastAsia" w:ascii="宋体" w:hAnsi="宋体" w:eastAsia="宋体" w:cs="宋体"/>
              </w:rPr>
              <w:t>3.按规定时限公开预决算信息。</w:t>
            </w:r>
          </w:p>
        </w:tc>
        <w:tc>
          <w:tcPr>
            <w:tcW w:w="3423" w:type="dxa"/>
            <w:tcBorders>
              <w:top w:val="single" w:color="000000" w:sz="4" w:space="0"/>
              <w:left w:val="single" w:color="auto" w:sz="4" w:space="0"/>
              <w:bottom w:val="single" w:color="000000" w:sz="4" w:space="0"/>
              <w:right w:val="single" w:color="auto" w:sz="4" w:space="0"/>
            </w:tcBorders>
            <w:vAlign w:val="center"/>
          </w:tcPr>
          <w:p w14:paraId="079D43C1">
            <w:pPr>
              <w:spacing w:after="0" w:line="240" w:lineRule="exact"/>
              <w:rPr>
                <w:rFonts w:ascii="宋体" w:hAnsi="宋体" w:eastAsia="宋体" w:cs="宋体"/>
              </w:rPr>
            </w:pPr>
            <w:r>
              <w:rPr>
                <w:rFonts w:hint="eastAsia" w:ascii="宋体" w:hAnsi="宋体" w:eastAsia="宋体" w:cs="宋体"/>
              </w:rPr>
              <w:t>全部符合（3分）；</w:t>
            </w:r>
          </w:p>
          <w:p w14:paraId="4BFB69B4">
            <w:pPr>
              <w:spacing w:after="0" w:line="240" w:lineRule="exact"/>
              <w:rPr>
                <w:rFonts w:ascii="宋体" w:hAnsi="宋体" w:eastAsia="宋体" w:cs="宋体"/>
              </w:rPr>
            </w:pPr>
            <w:r>
              <w:rPr>
                <w:rFonts w:hint="eastAsia" w:ascii="宋体" w:hAnsi="宋体" w:eastAsia="宋体" w:cs="宋体"/>
              </w:rPr>
              <w:t>符合其中两项（2分）</w:t>
            </w:r>
          </w:p>
          <w:p w14:paraId="6CBEF88D">
            <w:pPr>
              <w:spacing w:after="0" w:line="68" w:lineRule="atLeas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1A702F4F">
            <w:pPr>
              <w:spacing w:after="0" w:line="68" w:lineRule="atLeast"/>
              <w:rPr>
                <w:rFonts w:ascii="宋体" w:hAnsi="宋体" w:eastAsia="宋体" w:cs="宋体"/>
              </w:rPr>
            </w:pPr>
            <w:r>
              <w:rPr>
                <w:rFonts w:hint="eastAsia" w:ascii="宋体" w:hAnsi="宋体" w:eastAsia="宋体" w:cs="宋体"/>
              </w:rPr>
              <w:t> </w:t>
            </w:r>
          </w:p>
        </w:tc>
      </w:tr>
      <w:tr w14:paraId="1DF236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4" w:hRule="atLeast"/>
          <w:jc w:val="center"/>
        </w:trPr>
        <w:tc>
          <w:tcPr>
            <w:tcW w:w="733" w:type="dxa"/>
            <w:vMerge w:val="continue"/>
            <w:tcBorders>
              <w:left w:val="single" w:color="000000" w:sz="4" w:space="0"/>
              <w:right w:val="single" w:color="000000" w:sz="4" w:space="0"/>
            </w:tcBorders>
            <w:vAlign w:val="center"/>
          </w:tcPr>
          <w:p w14:paraId="05E30115">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77CAD7DF">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1B69930A">
            <w:pPr>
              <w:spacing w:after="0" w:line="68" w:lineRule="atLeast"/>
              <w:rPr>
                <w:rFonts w:ascii="宋体" w:hAnsi="宋体" w:eastAsia="宋体" w:cs="宋体"/>
                <w:color w:val="000000"/>
              </w:rPr>
            </w:pPr>
            <w:r>
              <w:rPr>
                <w:rFonts w:hint="eastAsia" w:ascii="宋体" w:hAnsi="宋体" w:eastAsia="宋体" w:cs="宋体"/>
                <w:color w:val="000000"/>
              </w:rPr>
              <w:t>基础信息完善性</w:t>
            </w:r>
          </w:p>
          <w:p w14:paraId="1E93F16B">
            <w:pPr>
              <w:spacing w:after="0" w:line="68" w:lineRule="atLeast"/>
              <w:rPr>
                <w:rFonts w:ascii="宋体" w:hAnsi="宋体" w:eastAsia="宋体" w:cs="宋体"/>
              </w:rPr>
            </w:pPr>
            <w:r>
              <w:rPr>
                <w:rFonts w:hint="eastAsia" w:ascii="宋体" w:hAnsi="宋体" w:eastAsia="宋体" w:cs="宋体"/>
              </w:rPr>
              <w:t>（4分）</w:t>
            </w:r>
          </w:p>
        </w:tc>
        <w:tc>
          <w:tcPr>
            <w:tcW w:w="6911" w:type="dxa"/>
            <w:tcBorders>
              <w:top w:val="single" w:color="000000" w:sz="4" w:space="0"/>
              <w:left w:val="single" w:color="auto" w:sz="4" w:space="0"/>
              <w:bottom w:val="single" w:color="000000" w:sz="4" w:space="0"/>
              <w:right w:val="single" w:color="auto" w:sz="4" w:space="0"/>
            </w:tcBorders>
            <w:vAlign w:val="center"/>
          </w:tcPr>
          <w:p w14:paraId="567607DE">
            <w:pPr>
              <w:spacing w:after="0" w:line="240" w:lineRule="exact"/>
              <w:rPr>
                <w:rFonts w:ascii="宋体" w:hAnsi="宋体" w:eastAsia="宋体" w:cs="宋体"/>
              </w:rPr>
            </w:pPr>
            <w:r>
              <w:rPr>
                <w:rFonts w:hint="eastAsia" w:ascii="宋体" w:hAnsi="宋体" w:eastAsia="宋体" w:cs="宋体"/>
              </w:rPr>
              <w:t>部门基础信息是否完善，用以反映和评价基础信息对预算管理工作的支撑情况。</w:t>
            </w:r>
          </w:p>
          <w:p w14:paraId="7BE5E037">
            <w:pPr>
              <w:spacing w:after="0" w:line="240" w:lineRule="exact"/>
              <w:rPr>
                <w:rFonts w:ascii="宋体" w:hAnsi="宋体" w:eastAsia="宋体" w:cs="宋体"/>
              </w:rPr>
            </w:pPr>
            <w:r>
              <w:rPr>
                <w:rFonts w:hint="eastAsia" w:ascii="宋体" w:hAnsi="宋体" w:eastAsia="宋体" w:cs="宋体"/>
              </w:rPr>
              <w:t>评价要点：</w:t>
            </w:r>
          </w:p>
          <w:p w14:paraId="451F02AB">
            <w:pPr>
              <w:spacing w:after="0" w:line="240" w:lineRule="exact"/>
              <w:rPr>
                <w:rFonts w:ascii="宋体" w:hAnsi="宋体" w:eastAsia="宋体" w:cs="宋体"/>
              </w:rPr>
            </w:pPr>
            <w:r>
              <w:rPr>
                <w:rFonts w:hint="eastAsia" w:ascii="宋体" w:hAnsi="宋体" w:eastAsia="宋体" w:cs="宋体"/>
              </w:rPr>
              <w:t>1.基本财务管理制度健全；</w:t>
            </w:r>
          </w:p>
          <w:p w14:paraId="525B1826">
            <w:pPr>
              <w:spacing w:after="0" w:line="240" w:lineRule="exact"/>
              <w:rPr>
                <w:rFonts w:ascii="宋体" w:hAnsi="宋体" w:eastAsia="宋体" w:cs="宋体"/>
              </w:rPr>
            </w:pPr>
            <w:r>
              <w:rPr>
                <w:rFonts w:hint="eastAsia" w:ascii="宋体" w:hAnsi="宋体" w:eastAsia="宋体" w:cs="宋体"/>
              </w:rPr>
              <w:t>2.基础数据信息和会计信息资料真实；</w:t>
            </w:r>
          </w:p>
          <w:p w14:paraId="626A392C">
            <w:pPr>
              <w:spacing w:after="0" w:line="240" w:lineRule="exact"/>
              <w:rPr>
                <w:rFonts w:ascii="宋体" w:hAnsi="宋体" w:eastAsia="宋体" w:cs="宋体"/>
              </w:rPr>
            </w:pPr>
            <w:r>
              <w:rPr>
                <w:rFonts w:hint="eastAsia" w:ascii="宋体" w:hAnsi="宋体" w:eastAsia="宋体" w:cs="宋体"/>
              </w:rPr>
              <w:t>3.基础数据信息和会计信息资料完整；</w:t>
            </w:r>
          </w:p>
          <w:p w14:paraId="770E5A55">
            <w:pPr>
              <w:spacing w:after="0" w:line="68" w:lineRule="atLeast"/>
              <w:rPr>
                <w:rFonts w:ascii="宋体" w:hAnsi="宋体" w:eastAsia="宋体" w:cs="宋体"/>
              </w:rPr>
            </w:pPr>
            <w:r>
              <w:rPr>
                <w:rFonts w:hint="eastAsia" w:ascii="宋体" w:hAnsi="宋体" w:eastAsia="宋体" w:cs="宋体"/>
              </w:rPr>
              <w:t>4.基础数据信息和会计信息资料准确。</w:t>
            </w:r>
          </w:p>
        </w:tc>
        <w:tc>
          <w:tcPr>
            <w:tcW w:w="3423" w:type="dxa"/>
            <w:tcBorders>
              <w:top w:val="single" w:color="000000" w:sz="4" w:space="0"/>
              <w:left w:val="single" w:color="auto" w:sz="4" w:space="0"/>
              <w:bottom w:val="single" w:color="000000" w:sz="4" w:space="0"/>
              <w:right w:val="single" w:color="auto" w:sz="4" w:space="0"/>
            </w:tcBorders>
            <w:vAlign w:val="center"/>
          </w:tcPr>
          <w:p w14:paraId="5C389726">
            <w:pPr>
              <w:spacing w:after="0" w:line="240" w:lineRule="exact"/>
              <w:rPr>
                <w:rFonts w:ascii="宋体" w:hAnsi="宋体" w:eastAsia="宋体" w:cs="宋体"/>
              </w:rPr>
            </w:pPr>
            <w:r>
              <w:rPr>
                <w:rFonts w:hint="eastAsia" w:ascii="宋体" w:hAnsi="宋体" w:eastAsia="宋体" w:cs="宋体"/>
              </w:rPr>
              <w:t>符合全部四项（4分）；</w:t>
            </w:r>
          </w:p>
          <w:p w14:paraId="271331FF">
            <w:pPr>
              <w:spacing w:after="0" w:line="240" w:lineRule="exact"/>
              <w:rPr>
                <w:rFonts w:ascii="宋体" w:hAnsi="宋体" w:eastAsia="宋体" w:cs="宋体"/>
              </w:rPr>
            </w:pPr>
            <w:r>
              <w:rPr>
                <w:rFonts w:hint="eastAsia" w:ascii="宋体" w:hAnsi="宋体" w:eastAsia="宋体" w:cs="宋体"/>
              </w:rPr>
              <w:t>符合其中三项（2分）；</w:t>
            </w:r>
          </w:p>
          <w:p w14:paraId="052BD4B5">
            <w:pPr>
              <w:spacing w:after="0" w:line="240" w:lineRule="exact"/>
              <w:rPr>
                <w:rFonts w:ascii="宋体" w:hAnsi="宋体" w:eastAsia="宋体" w:cs="宋体"/>
              </w:rPr>
            </w:pPr>
            <w:r>
              <w:rPr>
                <w:rFonts w:hint="eastAsia" w:ascii="宋体" w:hAnsi="宋体" w:eastAsia="宋体" w:cs="宋体"/>
              </w:rPr>
              <w:t>符合其中两项（1分）；</w:t>
            </w:r>
          </w:p>
          <w:p w14:paraId="7788A7BF">
            <w:pPr>
              <w:spacing w:after="0" w:line="68" w:lineRule="atLeas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07BCCA27">
            <w:pPr>
              <w:spacing w:after="0" w:line="68" w:lineRule="atLeast"/>
              <w:rPr>
                <w:rFonts w:ascii="宋体" w:hAnsi="宋体" w:eastAsia="宋体" w:cs="宋体"/>
              </w:rPr>
            </w:pPr>
            <w:r>
              <w:rPr>
                <w:rFonts w:hint="eastAsia" w:ascii="宋体" w:hAnsi="宋体" w:eastAsia="宋体" w:cs="宋体"/>
              </w:rPr>
              <w:t> </w:t>
            </w:r>
          </w:p>
        </w:tc>
      </w:tr>
      <w:tr w14:paraId="1CA24D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5" w:hRule="atLeast"/>
          <w:jc w:val="center"/>
        </w:trPr>
        <w:tc>
          <w:tcPr>
            <w:tcW w:w="733" w:type="dxa"/>
            <w:vMerge w:val="continue"/>
            <w:tcBorders>
              <w:left w:val="single" w:color="000000" w:sz="4" w:space="0"/>
              <w:right w:val="single" w:color="000000" w:sz="4" w:space="0"/>
            </w:tcBorders>
            <w:vAlign w:val="center"/>
          </w:tcPr>
          <w:p w14:paraId="6B19CE57">
            <w:pPr>
              <w:spacing w:after="0"/>
              <w:rPr>
                <w:rFonts w:ascii="宋体" w:hAnsi="宋体" w:eastAsia="宋体" w:cs="宋体"/>
              </w:rPr>
            </w:pPr>
          </w:p>
        </w:tc>
        <w:tc>
          <w:tcPr>
            <w:tcW w:w="803" w:type="dxa"/>
            <w:vMerge w:val="restart"/>
            <w:tcBorders>
              <w:left w:val="single" w:color="000000" w:sz="4" w:space="0"/>
              <w:right w:val="single" w:color="000000" w:sz="4" w:space="0"/>
            </w:tcBorders>
            <w:vAlign w:val="center"/>
          </w:tcPr>
          <w:p w14:paraId="2B1D0BCC">
            <w:pPr>
              <w:spacing w:after="0" w:line="68" w:lineRule="atLeast"/>
              <w:rPr>
                <w:rFonts w:ascii="宋体" w:hAnsi="宋体" w:eastAsia="宋体" w:cs="宋体"/>
              </w:rPr>
            </w:pPr>
            <w:r>
              <w:rPr>
                <w:rFonts w:hint="eastAsia" w:ascii="宋体" w:hAnsi="宋体" w:eastAsia="宋体" w:cs="宋体"/>
              </w:rPr>
              <w:t>资产管理（8分）</w:t>
            </w:r>
          </w:p>
        </w:tc>
        <w:tc>
          <w:tcPr>
            <w:tcW w:w="1182" w:type="dxa"/>
            <w:tcBorders>
              <w:top w:val="single" w:color="000000" w:sz="4" w:space="0"/>
              <w:left w:val="single" w:color="000000" w:sz="4" w:space="0"/>
              <w:bottom w:val="single" w:color="000000" w:sz="4" w:space="0"/>
              <w:right w:val="single" w:color="auto" w:sz="4" w:space="0"/>
            </w:tcBorders>
            <w:vAlign w:val="center"/>
          </w:tcPr>
          <w:p w14:paraId="096B3FD4">
            <w:pPr>
              <w:spacing w:after="0" w:line="68" w:lineRule="atLeast"/>
              <w:rPr>
                <w:rFonts w:ascii="宋体" w:hAnsi="宋体" w:eastAsia="宋体" w:cs="宋体"/>
                <w:color w:val="000000"/>
              </w:rPr>
            </w:pPr>
            <w:r>
              <w:rPr>
                <w:rFonts w:hint="eastAsia" w:ascii="宋体" w:hAnsi="宋体" w:eastAsia="宋体" w:cs="宋体"/>
                <w:color w:val="000000"/>
              </w:rPr>
              <w:t>管理制度健全性</w:t>
            </w:r>
          </w:p>
          <w:p w14:paraId="6181B2E8">
            <w:pPr>
              <w:spacing w:after="0" w:line="68" w:lineRule="atLeast"/>
              <w:rPr>
                <w:rFonts w:ascii="宋体" w:hAnsi="宋体" w:eastAsia="宋体" w:cs="宋体"/>
                <w:color w:val="000000"/>
              </w:rPr>
            </w:pPr>
            <w:r>
              <w:rPr>
                <w:rFonts w:hint="eastAsia" w:ascii="宋体" w:hAnsi="宋体" w:eastAsia="宋体" w:cs="宋体"/>
                <w:color w:val="000000"/>
              </w:rPr>
              <w:t>（2分）</w:t>
            </w:r>
          </w:p>
        </w:tc>
        <w:tc>
          <w:tcPr>
            <w:tcW w:w="6911" w:type="dxa"/>
            <w:tcBorders>
              <w:top w:val="single" w:color="000000" w:sz="4" w:space="0"/>
              <w:left w:val="single" w:color="auto" w:sz="4" w:space="0"/>
              <w:bottom w:val="single" w:color="000000" w:sz="4" w:space="0"/>
              <w:right w:val="single" w:color="auto" w:sz="4" w:space="0"/>
            </w:tcBorders>
            <w:vAlign w:val="center"/>
          </w:tcPr>
          <w:p w14:paraId="6907B6A0">
            <w:pPr>
              <w:spacing w:after="0" w:line="240" w:lineRule="exact"/>
              <w:rPr>
                <w:rFonts w:ascii="宋体" w:hAnsi="宋体" w:eastAsia="宋体" w:cs="宋体"/>
              </w:rPr>
            </w:pPr>
            <w:r>
              <w:rPr>
                <w:rFonts w:hint="eastAsia" w:ascii="宋体" w:hAnsi="宋体" w:eastAsia="宋体" w:cs="宋体"/>
              </w:rPr>
              <w:t>部门为加强资产管理、规范资产管理行为而制定的管理制度是否健全完整，用以反映和考核部门资产管理制度对完成主要职责或促进社会发展的保障情况。</w:t>
            </w:r>
          </w:p>
          <w:p w14:paraId="79823130">
            <w:pPr>
              <w:spacing w:after="0" w:line="240" w:lineRule="exact"/>
              <w:rPr>
                <w:rFonts w:ascii="宋体" w:hAnsi="宋体" w:eastAsia="宋体" w:cs="宋体"/>
              </w:rPr>
            </w:pPr>
            <w:r>
              <w:rPr>
                <w:rFonts w:hint="eastAsia" w:ascii="宋体" w:hAnsi="宋体" w:eastAsia="宋体" w:cs="宋体"/>
              </w:rPr>
              <w:t>评价要点：</w:t>
            </w:r>
          </w:p>
          <w:p w14:paraId="331A8FC6">
            <w:pPr>
              <w:spacing w:after="0" w:line="240" w:lineRule="exact"/>
              <w:rPr>
                <w:rFonts w:ascii="宋体" w:hAnsi="宋体" w:eastAsia="宋体" w:cs="宋体"/>
              </w:rPr>
            </w:pPr>
            <w:r>
              <w:rPr>
                <w:rFonts w:hint="eastAsia" w:ascii="宋体" w:hAnsi="宋体" w:eastAsia="宋体" w:cs="宋体"/>
              </w:rPr>
              <w:t>1.是否已制定或具有资产管理制度；</w:t>
            </w:r>
          </w:p>
          <w:p w14:paraId="4606178F">
            <w:pPr>
              <w:spacing w:after="0" w:line="240" w:lineRule="exact"/>
              <w:rPr>
                <w:rFonts w:ascii="宋体" w:hAnsi="宋体" w:eastAsia="宋体" w:cs="宋体"/>
              </w:rPr>
            </w:pPr>
            <w:r>
              <w:rPr>
                <w:rFonts w:hint="eastAsia" w:ascii="宋体" w:hAnsi="宋体" w:eastAsia="宋体" w:cs="宋体"/>
              </w:rPr>
              <w:t>2.相关资金管理制度是否合法、合规、完整；</w:t>
            </w:r>
          </w:p>
          <w:p w14:paraId="31A60E17">
            <w:pPr>
              <w:spacing w:after="0" w:line="240" w:lineRule="exact"/>
              <w:rPr>
                <w:rFonts w:ascii="宋体" w:hAnsi="宋体" w:eastAsia="宋体" w:cs="宋体"/>
              </w:rPr>
            </w:pPr>
            <w:r>
              <w:rPr>
                <w:rFonts w:hint="eastAsia" w:ascii="宋体" w:hAnsi="宋体" w:eastAsia="宋体" w:cs="宋体"/>
              </w:rPr>
              <w:t>3.相关资产管理制度是否得到有效执行。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14:paraId="2D5E8A46">
            <w:pPr>
              <w:spacing w:after="0" w:line="240" w:lineRule="exact"/>
              <w:rPr>
                <w:rFonts w:ascii="宋体" w:hAnsi="宋体" w:eastAsia="宋体" w:cs="宋体"/>
              </w:rPr>
            </w:pPr>
            <w:r>
              <w:rPr>
                <w:rFonts w:hint="eastAsia" w:ascii="宋体" w:hAnsi="宋体" w:eastAsia="宋体" w:cs="宋体"/>
              </w:rPr>
              <w:t>全部符合（2分）；</w:t>
            </w:r>
          </w:p>
          <w:p w14:paraId="1D79B85C">
            <w:pPr>
              <w:spacing w:after="0" w:line="240" w:lineRule="exact"/>
              <w:rPr>
                <w:rFonts w:ascii="宋体" w:hAnsi="宋体" w:eastAsia="宋体" w:cs="宋体"/>
              </w:rPr>
            </w:pPr>
            <w:r>
              <w:rPr>
                <w:rFonts w:hint="eastAsia" w:ascii="宋体" w:hAnsi="宋体" w:eastAsia="宋体" w:cs="宋体"/>
              </w:rPr>
              <w:t>符合其中两项（1分）</w:t>
            </w:r>
          </w:p>
          <w:p w14:paraId="32BC0A28">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35CD7D17">
            <w:pPr>
              <w:spacing w:after="0" w:line="68" w:lineRule="atLeast"/>
              <w:rPr>
                <w:rFonts w:ascii="宋体" w:hAnsi="宋体" w:eastAsia="宋体" w:cs="宋体"/>
              </w:rPr>
            </w:pPr>
          </w:p>
        </w:tc>
      </w:tr>
      <w:tr w14:paraId="063E07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86" w:hRule="atLeast"/>
          <w:jc w:val="center"/>
        </w:trPr>
        <w:tc>
          <w:tcPr>
            <w:tcW w:w="733" w:type="dxa"/>
            <w:vMerge w:val="continue"/>
            <w:tcBorders>
              <w:left w:val="single" w:color="000000" w:sz="4" w:space="0"/>
              <w:right w:val="single" w:color="000000" w:sz="4" w:space="0"/>
            </w:tcBorders>
            <w:vAlign w:val="center"/>
          </w:tcPr>
          <w:p w14:paraId="596999A3">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5665332C">
            <w:pPr>
              <w:spacing w:after="0" w:line="68" w:lineRule="atLeast"/>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5895F166">
            <w:pPr>
              <w:spacing w:after="0" w:line="68" w:lineRule="atLeast"/>
              <w:rPr>
                <w:rFonts w:ascii="宋体" w:hAnsi="宋体" w:eastAsia="宋体" w:cs="宋体"/>
              </w:rPr>
            </w:pPr>
            <w:r>
              <w:rPr>
                <w:rFonts w:hint="eastAsia" w:ascii="宋体" w:hAnsi="宋体" w:eastAsia="宋体" w:cs="宋体"/>
              </w:rPr>
              <w:t>资产管理完全性</w:t>
            </w:r>
          </w:p>
          <w:p w14:paraId="6A68FD2A">
            <w:pPr>
              <w:spacing w:after="0" w:line="68" w:lineRule="atLeast"/>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14:paraId="52509F74">
            <w:pPr>
              <w:spacing w:after="0" w:line="240" w:lineRule="exact"/>
              <w:rPr>
                <w:rFonts w:ascii="宋体" w:hAnsi="宋体" w:eastAsia="宋体" w:cs="宋体"/>
              </w:rPr>
            </w:pPr>
            <w:r>
              <w:rPr>
                <w:rFonts w:hint="eastAsia" w:ascii="宋体" w:hAnsi="宋体" w:eastAsia="宋体" w:cs="宋体"/>
              </w:rPr>
              <w:t>部门的资产是否保存完整、使用合规、收入及时足额上缴，用以反映和评价部门资产运行情况。</w:t>
            </w:r>
          </w:p>
          <w:p w14:paraId="3E178BEC">
            <w:pPr>
              <w:spacing w:after="0" w:line="240" w:lineRule="exact"/>
              <w:rPr>
                <w:rFonts w:ascii="宋体" w:hAnsi="宋体" w:eastAsia="宋体" w:cs="宋体"/>
              </w:rPr>
            </w:pPr>
            <w:r>
              <w:rPr>
                <w:rFonts w:hint="eastAsia" w:ascii="宋体" w:hAnsi="宋体" w:eastAsia="宋体" w:cs="宋体"/>
              </w:rPr>
              <w:t>评价要点：</w:t>
            </w:r>
          </w:p>
          <w:p w14:paraId="0DED8884">
            <w:pPr>
              <w:spacing w:after="0" w:line="240" w:lineRule="exact"/>
              <w:rPr>
                <w:rFonts w:ascii="宋体" w:hAnsi="宋体" w:eastAsia="宋体" w:cs="宋体"/>
              </w:rPr>
            </w:pPr>
            <w:r>
              <w:rPr>
                <w:rFonts w:hint="eastAsia" w:ascii="宋体" w:hAnsi="宋体" w:eastAsia="宋体" w:cs="宋体"/>
              </w:rPr>
              <w:t>1.资产保存完整；</w:t>
            </w:r>
          </w:p>
          <w:p w14:paraId="3AA5866A">
            <w:pPr>
              <w:spacing w:after="0" w:line="240" w:lineRule="exact"/>
              <w:rPr>
                <w:rFonts w:ascii="宋体" w:hAnsi="宋体" w:eastAsia="宋体" w:cs="宋体"/>
              </w:rPr>
            </w:pPr>
            <w:r>
              <w:rPr>
                <w:rFonts w:hint="eastAsia" w:ascii="宋体" w:hAnsi="宋体" w:eastAsia="宋体" w:cs="宋体"/>
              </w:rPr>
              <w:t>2.资产账务管理是否合规，帐实相符；</w:t>
            </w:r>
          </w:p>
          <w:p w14:paraId="100C98B6">
            <w:pPr>
              <w:spacing w:after="0" w:line="68" w:lineRule="atLeast"/>
              <w:rPr>
                <w:rFonts w:ascii="宋体" w:hAnsi="宋体" w:eastAsia="宋体" w:cs="宋体"/>
              </w:rPr>
            </w:pPr>
            <w:r>
              <w:rPr>
                <w:rFonts w:hint="eastAsia" w:ascii="宋体" w:hAnsi="宋体" w:eastAsia="宋体" w:cs="宋体"/>
              </w:rPr>
              <w:t>3.资产有偿使用及处置收入及时足额上缴。</w:t>
            </w:r>
          </w:p>
        </w:tc>
        <w:tc>
          <w:tcPr>
            <w:tcW w:w="3423" w:type="dxa"/>
            <w:tcBorders>
              <w:top w:val="single" w:color="auto" w:sz="4" w:space="0"/>
              <w:left w:val="single" w:color="auto" w:sz="4" w:space="0"/>
              <w:bottom w:val="single" w:color="000000" w:sz="4" w:space="0"/>
              <w:right w:val="single" w:color="auto" w:sz="4" w:space="0"/>
            </w:tcBorders>
            <w:vAlign w:val="center"/>
          </w:tcPr>
          <w:p w14:paraId="4617B196">
            <w:pPr>
              <w:spacing w:after="0" w:line="240" w:lineRule="exact"/>
              <w:rPr>
                <w:rFonts w:ascii="宋体" w:hAnsi="宋体" w:eastAsia="宋体" w:cs="宋体"/>
              </w:rPr>
            </w:pPr>
            <w:r>
              <w:rPr>
                <w:rFonts w:hint="eastAsia" w:ascii="宋体" w:hAnsi="宋体" w:eastAsia="宋体" w:cs="宋体"/>
              </w:rPr>
              <w:t>符合全部三项（3分）；</w:t>
            </w:r>
          </w:p>
          <w:p w14:paraId="27853C28">
            <w:pPr>
              <w:spacing w:after="0" w:line="240" w:lineRule="exact"/>
              <w:rPr>
                <w:rFonts w:ascii="宋体" w:hAnsi="宋体" w:eastAsia="宋体" w:cs="宋体"/>
              </w:rPr>
            </w:pPr>
            <w:r>
              <w:rPr>
                <w:rFonts w:hint="eastAsia" w:ascii="宋体" w:hAnsi="宋体" w:eastAsia="宋体" w:cs="宋体"/>
              </w:rPr>
              <w:t>符合其中两项（2分）；</w:t>
            </w:r>
          </w:p>
          <w:p w14:paraId="6A28F233">
            <w:pPr>
              <w:spacing w:after="0" w:line="240" w:lineRule="exact"/>
              <w:rPr>
                <w:rFonts w:ascii="宋体" w:hAnsi="宋体" w:eastAsia="宋体" w:cs="宋体"/>
              </w:rPr>
            </w:pPr>
            <w:r>
              <w:rPr>
                <w:rFonts w:hint="eastAsia" w:ascii="宋体" w:hAnsi="宋体" w:eastAsia="宋体" w:cs="宋体"/>
              </w:rPr>
              <w:t>符合其中一项（1分）；</w:t>
            </w:r>
          </w:p>
          <w:p w14:paraId="5E55DFB7">
            <w:pPr>
              <w:spacing w:after="0" w:line="68" w:lineRule="atLeast"/>
              <w:rPr>
                <w:rFonts w:ascii="宋体" w:hAnsi="宋体" w:eastAsia="宋体" w:cs="宋体"/>
              </w:rPr>
            </w:pPr>
            <w:r>
              <w:rPr>
                <w:rFonts w:hint="eastAsia" w:ascii="宋体" w:hAnsi="宋体" w:eastAsia="宋体" w:cs="宋体"/>
              </w:rPr>
              <w:t>符合零项（0分）。</w:t>
            </w:r>
          </w:p>
        </w:tc>
        <w:tc>
          <w:tcPr>
            <w:tcW w:w="1090" w:type="dxa"/>
            <w:tcBorders>
              <w:top w:val="single" w:color="auto" w:sz="4" w:space="0"/>
              <w:left w:val="single" w:color="auto" w:sz="4" w:space="0"/>
              <w:bottom w:val="single" w:color="000000" w:sz="4" w:space="0"/>
              <w:right w:val="single" w:color="000000" w:sz="4" w:space="0"/>
            </w:tcBorders>
            <w:vAlign w:val="center"/>
          </w:tcPr>
          <w:p w14:paraId="44A0E73D">
            <w:pPr>
              <w:spacing w:after="0" w:line="68" w:lineRule="atLeast"/>
              <w:rPr>
                <w:rFonts w:ascii="宋体" w:hAnsi="宋体" w:eastAsia="宋体" w:cs="宋体"/>
              </w:rPr>
            </w:pPr>
            <w:r>
              <w:rPr>
                <w:rFonts w:hint="eastAsia" w:ascii="宋体" w:hAnsi="宋体" w:eastAsia="宋体" w:cs="宋体"/>
              </w:rPr>
              <w:t> </w:t>
            </w:r>
          </w:p>
        </w:tc>
      </w:tr>
      <w:tr w14:paraId="61E930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9" w:hRule="atLeast"/>
          <w:jc w:val="center"/>
        </w:trPr>
        <w:tc>
          <w:tcPr>
            <w:tcW w:w="733" w:type="dxa"/>
            <w:vMerge w:val="continue"/>
            <w:tcBorders>
              <w:left w:val="single" w:color="000000" w:sz="4" w:space="0"/>
              <w:right w:val="single" w:color="000000" w:sz="4" w:space="0"/>
            </w:tcBorders>
            <w:vAlign w:val="center"/>
          </w:tcPr>
          <w:p w14:paraId="3B48DA27">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024AB30B">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720A0CFB">
            <w:pPr>
              <w:spacing w:after="0" w:line="68" w:lineRule="atLeast"/>
              <w:rPr>
                <w:rFonts w:ascii="宋体" w:hAnsi="宋体" w:eastAsia="宋体" w:cs="宋体"/>
              </w:rPr>
            </w:pPr>
            <w:r>
              <w:rPr>
                <w:rFonts w:hint="eastAsia" w:ascii="宋体" w:hAnsi="宋体" w:eastAsia="宋体" w:cs="宋体"/>
              </w:rPr>
              <w:t>固定资产利用率</w:t>
            </w:r>
          </w:p>
          <w:p w14:paraId="5AFE14B7">
            <w:pPr>
              <w:spacing w:after="0" w:line="68" w:lineRule="atLeast"/>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14:paraId="3F8F1F83">
            <w:pPr>
              <w:spacing w:after="0" w:line="240" w:lineRule="exact"/>
              <w:rPr>
                <w:rFonts w:ascii="宋体" w:hAnsi="宋体" w:eastAsia="宋体" w:cs="宋体"/>
              </w:rPr>
            </w:pPr>
            <w:r>
              <w:rPr>
                <w:rFonts w:hint="eastAsia" w:ascii="宋体" w:hAnsi="宋体" w:eastAsia="宋体" w:cs="宋体"/>
              </w:rPr>
              <w:t>部门实际在用固定资产总额与所有固定资产总额的比率，用以反映和评价部门固定资产使用效率。</w:t>
            </w:r>
          </w:p>
          <w:p w14:paraId="506EC7FA">
            <w:pPr>
              <w:spacing w:after="0" w:line="68" w:lineRule="atLeast"/>
              <w:rPr>
                <w:rFonts w:ascii="宋体" w:hAnsi="宋体" w:eastAsia="宋体" w:cs="宋体"/>
              </w:rPr>
            </w:pPr>
            <w:r>
              <w:rPr>
                <w:rFonts w:hint="eastAsia" w:ascii="宋体" w:hAnsi="宋体" w:eastAsia="宋体" w:cs="宋体"/>
              </w:rPr>
              <w:t>固定资产利用率=（实际在用固定资产总额/所有固定资产总额）×100%。</w:t>
            </w:r>
          </w:p>
        </w:tc>
        <w:tc>
          <w:tcPr>
            <w:tcW w:w="3423" w:type="dxa"/>
            <w:tcBorders>
              <w:top w:val="single" w:color="auto" w:sz="4" w:space="0"/>
              <w:left w:val="single" w:color="auto" w:sz="4" w:space="0"/>
              <w:bottom w:val="single" w:color="000000" w:sz="4" w:space="0"/>
              <w:right w:val="single" w:color="auto" w:sz="4" w:space="0"/>
            </w:tcBorders>
            <w:vAlign w:val="center"/>
          </w:tcPr>
          <w:p w14:paraId="7B6893C7">
            <w:pPr>
              <w:spacing w:after="0" w:line="68" w:lineRule="atLeast"/>
              <w:rPr>
                <w:rFonts w:ascii="宋体" w:hAnsi="宋体" w:eastAsia="宋体" w:cs="宋体"/>
              </w:rPr>
            </w:pPr>
            <w:r>
              <w:rPr>
                <w:rFonts w:hint="eastAsia" w:ascii="宋体" w:hAnsi="宋体" w:eastAsia="宋体" w:cs="宋体"/>
              </w:rPr>
              <w:t>目标值为80%；以3分为上限，采用完成比率法计分：得分=固定资产利用率/80%×100%×3，超出目标值不加分。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3F08AA58">
            <w:pPr>
              <w:spacing w:after="0" w:line="68" w:lineRule="atLeast"/>
              <w:rPr>
                <w:rFonts w:ascii="宋体" w:hAnsi="宋体" w:eastAsia="宋体" w:cs="宋体"/>
              </w:rPr>
            </w:pPr>
            <w:r>
              <w:rPr>
                <w:rFonts w:hint="eastAsia" w:ascii="宋体" w:hAnsi="宋体" w:eastAsia="宋体" w:cs="宋体"/>
              </w:rPr>
              <w:t> </w:t>
            </w:r>
          </w:p>
        </w:tc>
      </w:tr>
      <w:tr w14:paraId="52BA56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6" w:hRule="atLeast"/>
          <w:jc w:val="center"/>
        </w:trPr>
        <w:tc>
          <w:tcPr>
            <w:tcW w:w="733" w:type="dxa"/>
            <w:vMerge w:val="continue"/>
            <w:tcBorders>
              <w:left w:val="single" w:color="000000" w:sz="4" w:space="0"/>
              <w:bottom w:val="single" w:color="000000" w:sz="4" w:space="0"/>
              <w:right w:val="single" w:color="000000" w:sz="4" w:space="0"/>
            </w:tcBorders>
            <w:vAlign w:val="center"/>
          </w:tcPr>
          <w:p w14:paraId="0BA0C2A6">
            <w:pPr>
              <w:spacing w:after="0"/>
              <w:rPr>
                <w:rFonts w:ascii="宋体" w:hAnsi="宋体" w:eastAsia="宋体" w:cs="宋体"/>
              </w:rPr>
            </w:pPr>
          </w:p>
        </w:tc>
        <w:tc>
          <w:tcPr>
            <w:tcW w:w="803" w:type="dxa"/>
            <w:tcBorders>
              <w:left w:val="single" w:color="000000" w:sz="4" w:space="0"/>
              <w:bottom w:val="single" w:color="000000" w:sz="4" w:space="0"/>
              <w:right w:val="single" w:color="000000" w:sz="4" w:space="0"/>
            </w:tcBorders>
            <w:vAlign w:val="center"/>
          </w:tcPr>
          <w:p w14:paraId="3FB0AAC5">
            <w:pPr>
              <w:spacing w:after="0"/>
              <w:rPr>
                <w:rFonts w:ascii="宋体" w:hAnsi="宋体" w:eastAsia="宋体" w:cs="宋体"/>
              </w:rPr>
            </w:pPr>
            <w:r>
              <w:rPr>
                <w:rFonts w:hint="eastAsia" w:ascii="宋体" w:hAnsi="宋体" w:eastAsia="宋体" w:cs="宋体"/>
              </w:rPr>
              <w:t>预算绩效监控管理（2分）</w:t>
            </w:r>
          </w:p>
        </w:tc>
        <w:tc>
          <w:tcPr>
            <w:tcW w:w="1182" w:type="dxa"/>
            <w:tcBorders>
              <w:top w:val="single" w:color="auto" w:sz="4" w:space="0"/>
              <w:left w:val="single" w:color="000000" w:sz="4" w:space="0"/>
              <w:bottom w:val="single" w:color="000000" w:sz="4" w:space="0"/>
              <w:right w:val="single" w:color="auto" w:sz="4" w:space="0"/>
            </w:tcBorders>
            <w:vAlign w:val="center"/>
          </w:tcPr>
          <w:p w14:paraId="38CC02D1">
            <w:pPr>
              <w:spacing w:after="0" w:line="68" w:lineRule="atLeast"/>
              <w:rPr>
                <w:rFonts w:ascii="宋体" w:hAnsi="宋体" w:eastAsia="宋体" w:cs="宋体"/>
              </w:rPr>
            </w:pPr>
            <w:r>
              <w:rPr>
                <w:rFonts w:hint="eastAsia" w:ascii="宋体" w:hAnsi="宋体" w:eastAsia="宋体" w:cs="宋体"/>
              </w:rPr>
              <w:t>监控率（2分）</w:t>
            </w:r>
          </w:p>
        </w:tc>
        <w:tc>
          <w:tcPr>
            <w:tcW w:w="6911" w:type="dxa"/>
            <w:tcBorders>
              <w:top w:val="single" w:color="auto" w:sz="4" w:space="0"/>
              <w:left w:val="single" w:color="auto" w:sz="4" w:space="0"/>
              <w:bottom w:val="single" w:color="000000" w:sz="4" w:space="0"/>
              <w:right w:val="single" w:color="auto" w:sz="4" w:space="0"/>
            </w:tcBorders>
            <w:vAlign w:val="center"/>
          </w:tcPr>
          <w:p w14:paraId="01D13B93">
            <w:pPr>
              <w:spacing w:after="0" w:line="240" w:lineRule="exact"/>
              <w:rPr>
                <w:rFonts w:ascii="宋体" w:hAnsi="宋体" w:eastAsia="宋体" w:cs="宋体"/>
              </w:rPr>
            </w:pPr>
            <w:r>
              <w:rPr>
                <w:rFonts w:hint="eastAsia" w:ascii="宋体" w:hAnsi="宋体" w:eastAsia="宋体" w:cs="宋体"/>
              </w:rPr>
              <w:t>部门（单位）纳入绩效监控的项目数量占实际申报绩效目标项目数量的比重，用以反映和考核部门（单位）在项目运行中实施绩效管理的水平和程度。</w:t>
            </w:r>
          </w:p>
          <w:p w14:paraId="4EE216CF">
            <w:pPr>
              <w:spacing w:after="0" w:line="240" w:lineRule="exact"/>
              <w:rPr>
                <w:rFonts w:ascii="宋体" w:hAnsi="宋体" w:eastAsia="宋体" w:cs="宋体"/>
              </w:rPr>
            </w:pPr>
            <w:r>
              <w:rPr>
                <w:rFonts w:hint="eastAsia" w:ascii="宋体" w:hAnsi="宋体" w:eastAsia="宋体" w:cs="宋体"/>
              </w:rPr>
              <w:t>监控率=实施绩效监控项目数/实际申报绩效目标项目数×100%</w:t>
            </w:r>
          </w:p>
        </w:tc>
        <w:tc>
          <w:tcPr>
            <w:tcW w:w="3423" w:type="dxa"/>
            <w:tcBorders>
              <w:top w:val="single" w:color="auto" w:sz="4" w:space="0"/>
              <w:left w:val="single" w:color="auto" w:sz="4" w:space="0"/>
              <w:bottom w:val="single" w:color="000000" w:sz="4" w:space="0"/>
              <w:right w:val="single" w:color="auto" w:sz="4" w:space="0"/>
            </w:tcBorders>
            <w:vAlign w:val="center"/>
          </w:tcPr>
          <w:p w14:paraId="0EC77081">
            <w:pPr>
              <w:spacing w:after="0" w:line="68" w:lineRule="atLeast"/>
              <w:rPr>
                <w:rFonts w:ascii="宋体" w:hAnsi="宋体" w:eastAsia="宋体" w:cs="宋体"/>
              </w:rPr>
            </w:pPr>
            <w:r>
              <w:rPr>
                <w:rFonts w:hint="eastAsia" w:ascii="宋体" w:hAnsi="宋体" w:eastAsia="宋体" w:cs="宋体"/>
              </w:rPr>
              <w:t>目标值为90%；以2分为上限，采用完成比率法计分：得分=监控率×2，超出目标值不加分。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735EB410">
            <w:pPr>
              <w:spacing w:after="0" w:line="68" w:lineRule="atLeast"/>
              <w:rPr>
                <w:rFonts w:ascii="宋体" w:hAnsi="宋体" w:eastAsia="宋体" w:cs="宋体"/>
              </w:rPr>
            </w:pPr>
          </w:p>
        </w:tc>
      </w:tr>
      <w:tr w14:paraId="1D15BD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jc w:val="center"/>
        </w:trPr>
        <w:tc>
          <w:tcPr>
            <w:tcW w:w="733" w:type="dxa"/>
            <w:vMerge w:val="restart"/>
            <w:tcBorders>
              <w:top w:val="single" w:color="000000" w:sz="4" w:space="0"/>
              <w:left w:val="single" w:color="000000" w:sz="4" w:space="0"/>
              <w:right w:val="single" w:color="000000" w:sz="4" w:space="0"/>
            </w:tcBorders>
            <w:vAlign w:val="center"/>
          </w:tcPr>
          <w:p w14:paraId="68403FA3">
            <w:pPr>
              <w:spacing w:after="0" w:line="68" w:lineRule="atLeast"/>
              <w:rPr>
                <w:rFonts w:ascii="宋体" w:hAnsi="宋体" w:eastAsia="宋体" w:cs="宋体"/>
              </w:rPr>
            </w:pPr>
          </w:p>
          <w:p w14:paraId="523C5552">
            <w:pPr>
              <w:spacing w:after="0" w:line="68" w:lineRule="atLeast"/>
              <w:rPr>
                <w:rFonts w:ascii="宋体" w:hAnsi="宋体" w:eastAsia="宋体" w:cs="宋体"/>
              </w:rPr>
            </w:pPr>
            <w:r>
              <w:rPr>
                <w:rFonts w:hint="eastAsia" w:ascii="宋体" w:hAnsi="宋体" w:eastAsia="宋体" w:cs="宋体"/>
              </w:rPr>
              <w:t>产出(15分)</w:t>
            </w:r>
          </w:p>
          <w:p w14:paraId="4DD40F5E">
            <w:pPr>
              <w:spacing w:after="0" w:line="68" w:lineRule="atLeast"/>
              <w:rPr>
                <w:rFonts w:ascii="宋体" w:hAnsi="宋体" w:eastAsia="宋体" w:cs="宋体"/>
              </w:rPr>
            </w:pPr>
          </w:p>
          <w:p w14:paraId="2D64AFF7">
            <w:pPr>
              <w:spacing w:after="0" w:line="68" w:lineRule="atLeast"/>
              <w:rPr>
                <w:rFonts w:ascii="宋体" w:hAnsi="宋体" w:eastAsia="宋体" w:cs="宋体"/>
              </w:rPr>
            </w:pPr>
          </w:p>
          <w:p w14:paraId="6E9C1EE0">
            <w:pPr>
              <w:spacing w:after="0" w:line="68" w:lineRule="atLeast"/>
              <w:rPr>
                <w:rFonts w:ascii="宋体" w:hAnsi="宋体" w:eastAsia="宋体" w:cs="宋体"/>
              </w:rPr>
            </w:pPr>
          </w:p>
          <w:p w14:paraId="134EBE35">
            <w:pPr>
              <w:spacing w:after="0" w:line="68" w:lineRule="atLeast"/>
              <w:rPr>
                <w:rFonts w:ascii="宋体" w:hAnsi="宋体" w:eastAsia="宋体" w:cs="宋体"/>
              </w:rPr>
            </w:pPr>
          </w:p>
          <w:p w14:paraId="20257BE0">
            <w:pPr>
              <w:spacing w:after="0" w:line="68" w:lineRule="atLeast"/>
              <w:rPr>
                <w:rFonts w:ascii="宋体" w:hAnsi="宋体" w:eastAsia="宋体" w:cs="宋体"/>
              </w:rPr>
            </w:pPr>
          </w:p>
          <w:p w14:paraId="532AEE19">
            <w:pPr>
              <w:spacing w:after="0" w:line="68" w:lineRule="atLeast"/>
              <w:rPr>
                <w:rFonts w:ascii="宋体" w:hAnsi="宋体" w:eastAsia="宋体" w:cs="宋体"/>
              </w:rPr>
            </w:pPr>
          </w:p>
          <w:p w14:paraId="63BA14F5">
            <w:pPr>
              <w:spacing w:after="0" w:line="68" w:lineRule="atLeast"/>
              <w:rPr>
                <w:rFonts w:ascii="宋体" w:hAnsi="宋体" w:eastAsia="宋体" w:cs="宋体"/>
              </w:rPr>
            </w:pPr>
          </w:p>
          <w:p w14:paraId="023430CF">
            <w:pPr>
              <w:spacing w:after="0" w:line="68" w:lineRule="atLeast"/>
              <w:rPr>
                <w:rFonts w:ascii="宋体" w:hAnsi="宋体" w:eastAsia="宋体" w:cs="宋体"/>
              </w:rPr>
            </w:pPr>
          </w:p>
          <w:p w14:paraId="2E243130">
            <w:pPr>
              <w:spacing w:after="0" w:line="68" w:lineRule="atLeast"/>
              <w:rPr>
                <w:rFonts w:ascii="宋体" w:hAnsi="宋体" w:eastAsia="宋体" w:cs="宋体"/>
              </w:rPr>
            </w:pPr>
          </w:p>
          <w:p w14:paraId="22D36E7E">
            <w:pPr>
              <w:spacing w:after="0" w:line="68" w:lineRule="atLeast"/>
              <w:rPr>
                <w:rFonts w:ascii="宋体" w:hAnsi="宋体" w:eastAsia="宋体" w:cs="宋体"/>
              </w:rPr>
            </w:pPr>
          </w:p>
          <w:p w14:paraId="5E80D2CA">
            <w:pPr>
              <w:spacing w:after="0" w:line="68" w:lineRule="atLeast"/>
              <w:rPr>
                <w:rFonts w:ascii="宋体" w:hAnsi="宋体" w:eastAsia="宋体" w:cs="宋体"/>
              </w:rPr>
            </w:pPr>
          </w:p>
          <w:p w14:paraId="500B45FE">
            <w:pPr>
              <w:spacing w:after="0" w:line="68" w:lineRule="atLeast"/>
              <w:rPr>
                <w:rFonts w:ascii="宋体" w:hAnsi="宋体" w:eastAsia="宋体" w:cs="宋体"/>
              </w:rPr>
            </w:pPr>
          </w:p>
          <w:p w14:paraId="2C0A3000">
            <w:pPr>
              <w:spacing w:after="0" w:line="68" w:lineRule="atLeast"/>
              <w:rPr>
                <w:rFonts w:ascii="宋体" w:hAnsi="宋体" w:eastAsia="宋体" w:cs="宋体"/>
              </w:rPr>
            </w:pPr>
          </w:p>
          <w:p w14:paraId="2E4FD6EB">
            <w:pPr>
              <w:spacing w:after="0" w:line="68" w:lineRule="atLeast"/>
              <w:rPr>
                <w:rFonts w:ascii="宋体" w:hAnsi="宋体" w:eastAsia="宋体" w:cs="宋体"/>
              </w:rPr>
            </w:pPr>
            <w:r>
              <w:rPr>
                <w:rFonts w:hint="eastAsia" w:ascii="宋体" w:hAnsi="宋体" w:eastAsia="宋体" w:cs="宋体"/>
              </w:rPr>
              <w:t>产出(15分)</w:t>
            </w:r>
          </w:p>
        </w:tc>
        <w:tc>
          <w:tcPr>
            <w:tcW w:w="803" w:type="dxa"/>
            <w:vMerge w:val="restart"/>
            <w:tcBorders>
              <w:top w:val="single" w:color="000000" w:sz="4" w:space="0"/>
              <w:left w:val="single" w:color="000000" w:sz="4" w:space="0"/>
              <w:right w:val="single" w:color="000000" w:sz="4" w:space="0"/>
            </w:tcBorders>
            <w:vAlign w:val="center"/>
          </w:tcPr>
          <w:p w14:paraId="71E77B97">
            <w:pPr>
              <w:spacing w:after="0" w:line="68" w:lineRule="atLeast"/>
              <w:rPr>
                <w:rFonts w:ascii="宋体" w:hAnsi="宋体" w:eastAsia="宋体" w:cs="宋体"/>
              </w:rPr>
            </w:pPr>
            <w:r>
              <w:rPr>
                <w:rFonts w:hint="eastAsia" w:ascii="宋体" w:hAnsi="宋体" w:eastAsia="宋体" w:cs="宋体"/>
              </w:rPr>
              <w:t>职责履行（15分）</w:t>
            </w:r>
          </w:p>
        </w:tc>
        <w:tc>
          <w:tcPr>
            <w:tcW w:w="1182" w:type="dxa"/>
            <w:tcBorders>
              <w:top w:val="single" w:color="000000" w:sz="4" w:space="0"/>
              <w:left w:val="single" w:color="000000" w:sz="4" w:space="0"/>
              <w:bottom w:val="single" w:color="auto" w:sz="4" w:space="0"/>
              <w:right w:val="single" w:color="auto" w:sz="4" w:space="0"/>
            </w:tcBorders>
            <w:vAlign w:val="center"/>
          </w:tcPr>
          <w:p w14:paraId="478351D1">
            <w:pPr>
              <w:spacing w:after="0" w:line="68" w:lineRule="atLeast"/>
              <w:rPr>
                <w:rFonts w:ascii="宋体" w:hAnsi="宋体" w:eastAsia="宋体" w:cs="宋体"/>
              </w:rPr>
            </w:pPr>
            <w:r>
              <w:rPr>
                <w:rFonts w:hint="eastAsia" w:ascii="宋体" w:hAnsi="宋体" w:eastAsia="宋体" w:cs="宋体"/>
              </w:rPr>
              <w:t>项目实际完成率（4分）</w:t>
            </w:r>
          </w:p>
        </w:tc>
        <w:tc>
          <w:tcPr>
            <w:tcW w:w="6911" w:type="dxa"/>
            <w:tcBorders>
              <w:top w:val="single" w:color="000000" w:sz="4" w:space="0"/>
              <w:left w:val="single" w:color="auto" w:sz="4" w:space="0"/>
              <w:bottom w:val="single" w:color="auto" w:sz="4" w:space="0"/>
              <w:right w:val="single" w:color="auto" w:sz="4" w:space="0"/>
            </w:tcBorders>
            <w:vAlign w:val="center"/>
          </w:tcPr>
          <w:p w14:paraId="79BED4F4">
            <w:pPr>
              <w:spacing w:after="0" w:line="240" w:lineRule="exact"/>
              <w:rPr>
                <w:rFonts w:ascii="宋体" w:hAnsi="宋体" w:eastAsia="宋体" w:cs="宋体"/>
              </w:rPr>
            </w:pPr>
            <w:r>
              <w:rPr>
                <w:rFonts w:hint="eastAsia" w:ascii="宋体" w:hAnsi="宋体" w:eastAsia="宋体" w:cs="宋体"/>
              </w:rPr>
              <w:t>部门履行职责而实际完成的项目数与计划完成的项目数的比率，用以反映和评价部门履职任务目标的实现程度。</w:t>
            </w:r>
          </w:p>
          <w:p w14:paraId="7E433845">
            <w:pPr>
              <w:spacing w:after="0" w:line="68" w:lineRule="atLeast"/>
              <w:rPr>
                <w:rFonts w:ascii="宋体" w:hAnsi="宋体" w:eastAsia="宋体" w:cs="宋体"/>
              </w:rPr>
            </w:pPr>
            <w:r>
              <w:rPr>
                <w:rFonts w:hint="eastAsia" w:ascii="宋体" w:hAnsi="宋体" w:eastAsia="宋体" w:cs="宋体"/>
              </w:rPr>
              <w:t>项目实际完成率=（实际完成项目数/计划完成项目数）×100%。</w:t>
            </w:r>
          </w:p>
        </w:tc>
        <w:tc>
          <w:tcPr>
            <w:tcW w:w="3423" w:type="dxa"/>
            <w:tcBorders>
              <w:top w:val="single" w:color="000000" w:sz="4" w:space="0"/>
              <w:left w:val="single" w:color="auto" w:sz="4" w:space="0"/>
              <w:bottom w:val="single" w:color="auto" w:sz="4" w:space="0"/>
              <w:right w:val="single" w:color="auto" w:sz="4" w:space="0"/>
            </w:tcBorders>
            <w:vAlign w:val="center"/>
          </w:tcPr>
          <w:p w14:paraId="25C3E540">
            <w:pPr>
              <w:spacing w:after="0" w:line="68" w:lineRule="atLeast"/>
              <w:rPr>
                <w:rFonts w:ascii="宋体" w:hAnsi="宋体" w:eastAsia="宋体" w:cs="宋体"/>
              </w:rPr>
            </w:pPr>
            <w:r>
              <w:rPr>
                <w:rFonts w:hint="eastAsia" w:ascii="宋体" w:hAnsi="宋体" w:eastAsia="宋体" w:cs="宋体"/>
              </w:rPr>
              <w:t>目标值为100%；</w:t>
            </w:r>
          </w:p>
          <w:p w14:paraId="684E9A8C">
            <w:pPr>
              <w:spacing w:after="0" w:line="68" w:lineRule="atLeast"/>
              <w:rPr>
                <w:rFonts w:ascii="宋体" w:hAnsi="宋体" w:eastAsia="宋体" w:cs="宋体"/>
              </w:rPr>
            </w:pPr>
            <w:r>
              <w:rPr>
                <w:rFonts w:hint="eastAsia" w:ascii="宋体" w:hAnsi="宋体" w:eastAsia="宋体" w:cs="宋体"/>
              </w:rPr>
              <w:t>达到目标值得4分；</w:t>
            </w:r>
          </w:p>
          <w:p w14:paraId="1A0DDEB9">
            <w:pPr>
              <w:spacing w:after="0" w:line="68" w:lineRule="atLeast"/>
              <w:rPr>
                <w:rFonts w:ascii="宋体" w:hAnsi="宋体" w:eastAsia="宋体" w:cs="宋体"/>
              </w:rPr>
            </w:pPr>
            <w:r>
              <w:rPr>
                <w:rFonts w:hint="eastAsia" w:ascii="宋体" w:hAnsi="宋体" w:eastAsia="宋体" w:cs="宋体"/>
              </w:rPr>
              <w:t>100%＞结果≥95%，得3分；</w:t>
            </w:r>
          </w:p>
          <w:p w14:paraId="270F2110">
            <w:pPr>
              <w:spacing w:after="0" w:line="68" w:lineRule="atLeast"/>
              <w:rPr>
                <w:rFonts w:ascii="宋体" w:hAnsi="宋体" w:eastAsia="宋体" w:cs="宋体"/>
              </w:rPr>
            </w:pPr>
            <w:r>
              <w:rPr>
                <w:rFonts w:hint="eastAsia" w:ascii="宋体" w:hAnsi="宋体" w:eastAsia="宋体" w:cs="宋体"/>
              </w:rPr>
              <w:t>95%＞结果≥90%，得2分；</w:t>
            </w:r>
          </w:p>
          <w:p w14:paraId="772CC5B9">
            <w:pPr>
              <w:spacing w:after="0" w:line="68" w:lineRule="atLeast"/>
              <w:rPr>
                <w:rFonts w:ascii="宋体" w:hAnsi="宋体" w:eastAsia="宋体" w:cs="宋体"/>
              </w:rPr>
            </w:pPr>
            <w:r>
              <w:rPr>
                <w:rFonts w:hint="eastAsia" w:ascii="宋体" w:hAnsi="宋体" w:eastAsia="宋体" w:cs="宋体"/>
              </w:rPr>
              <w:t>90%＞结果≥85%，得1分；</w:t>
            </w:r>
          </w:p>
          <w:p w14:paraId="0B6C29C9">
            <w:pPr>
              <w:spacing w:after="0" w:line="68" w:lineRule="atLeast"/>
              <w:rPr>
                <w:rFonts w:ascii="宋体" w:hAnsi="宋体" w:eastAsia="宋体" w:cs="宋体"/>
              </w:rPr>
            </w:pPr>
            <w:r>
              <w:rPr>
                <w:rFonts w:hint="eastAsia" w:ascii="宋体" w:hAnsi="宋体" w:eastAsia="宋体" w:cs="宋体"/>
              </w:rPr>
              <w:t>结果＜85%得0分。</w:t>
            </w:r>
          </w:p>
        </w:tc>
        <w:tc>
          <w:tcPr>
            <w:tcW w:w="1090" w:type="dxa"/>
            <w:tcBorders>
              <w:top w:val="single" w:color="000000" w:sz="4" w:space="0"/>
              <w:left w:val="single" w:color="auto" w:sz="4" w:space="0"/>
              <w:bottom w:val="single" w:color="auto" w:sz="4" w:space="0"/>
              <w:right w:val="single" w:color="000000" w:sz="4" w:space="0"/>
            </w:tcBorders>
            <w:vAlign w:val="center"/>
          </w:tcPr>
          <w:p w14:paraId="4829841B">
            <w:pPr>
              <w:spacing w:after="0" w:line="68" w:lineRule="atLeast"/>
              <w:rPr>
                <w:rFonts w:ascii="宋体" w:hAnsi="宋体" w:eastAsia="宋体" w:cs="宋体"/>
              </w:rPr>
            </w:pPr>
            <w:r>
              <w:rPr>
                <w:rFonts w:hint="eastAsia" w:ascii="宋体" w:hAnsi="宋体" w:eastAsia="宋体" w:cs="宋体"/>
              </w:rPr>
              <w:t> </w:t>
            </w:r>
          </w:p>
        </w:tc>
      </w:tr>
      <w:tr w14:paraId="7D94D4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9" w:hRule="atLeast"/>
          <w:jc w:val="center"/>
        </w:trPr>
        <w:tc>
          <w:tcPr>
            <w:tcW w:w="733" w:type="dxa"/>
            <w:vMerge w:val="continue"/>
            <w:tcBorders>
              <w:left w:val="single" w:color="000000" w:sz="4" w:space="0"/>
              <w:right w:val="single" w:color="000000" w:sz="4" w:space="0"/>
            </w:tcBorders>
            <w:vAlign w:val="center"/>
          </w:tcPr>
          <w:p w14:paraId="209737D3">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7F76545F">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6A577549">
            <w:pPr>
              <w:spacing w:after="0" w:line="68" w:lineRule="atLeast"/>
              <w:rPr>
                <w:rFonts w:ascii="宋体" w:hAnsi="宋体" w:eastAsia="宋体" w:cs="宋体"/>
              </w:rPr>
            </w:pPr>
            <w:r>
              <w:rPr>
                <w:rFonts w:hint="eastAsia" w:ascii="宋体" w:hAnsi="宋体" w:eastAsia="宋体" w:cs="宋体"/>
              </w:rPr>
              <w:t>项目质量达标率（4分）</w:t>
            </w:r>
          </w:p>
        </w:tc>
        <w:tc>
          <w:tcPr>
            <w:tcW w:w="6911" w:type="dxa"/>
            <w:tcBorders>
              <w:top w:val="single" w:color="000000" w:sz="4" w:space="0"/>
              <w:left w:val="single" w:color="auto" w:sz="4" w:space="0"/>
              <w:bottom w:val="single" w:color="auto" w:sz="4" w:space="0"/>
              <w:right w:val="single" w:color="auto" w:sz="4" w:space="0"/>
            </w:tcBorders>
            <w:vAlign w:val="center"/>
          </w:tcPr>
          <w:p w14:paraId="42807ADC">
            <w:pPr>
              <w:spacing w:after="0" w:line="240" w:lineRule="exact"/>
              <w:rPr>
                <w:rFonts w:ascii="宋体" w:hAnsi="宋体" w:eastAsia="宋体" w:cs="宋体"/>
              </w:rPr>
            </w:pPr>
            <w:r>
              <w:rPr>
                <w:rFonts w:hint="eastAsia" w:ascii="宋体" w:hAnsi="宋体" w:eastAsia="宋体" w:cs="宋体"/>
              </w:rPr>
              <w:t>部门已完成项目中质量达标项目个数占已完成项目个数的比率,用以反映和评价部门履职质量目标的实现程度。</w:t>
            </w:r>
          </w:p>
          <w:p w14:paraId="06B00573">
            <w:pPr>
              <w:spacing w:after="0" w:line="240" w:lineRule="exact"/>
              <w:rPr>
                <w:rFonts w:ascii="宋体" w:hAnsi="宋体" w:eastAsia="宋体" w:cs="宋体"/>
              </w:rPr>
            </w:pPr>
            <w:r>
              <w:rPr>
                <w:rFonts w:hint="eastAsia" w:ascii="宋体" w:hAnsi="宋体" w:eastAsia="宋体" w:cs="宋体"/>
              </w:rPr>
              <w:t>项目质量达标率=（已完成项目中质量达标项目个数/已完成项目个数）×100%。</w:t>
            </w:r>
          </w:p>
          <w:p w14:paraId="3336EDAE">
            <w:pPr>
              <w:spacing w:after="0" w:line="68" w:lineRule="atLeast"/>
              <w:rPr>
                <w:rFonts w:ascii="宋体" w:hAnsi="宋体" w:eastAsia="宋体" w:cs="宋体"/>
              </w:rPr>
            </w:pPr>
            <w:r>
              <w:rPr>
                <w:rFonts w:hint="eastAsia" w:ascii="宋体" w:hAnsi="宋体" w:eastAsia="宋体" w:cs="宋体"/>
              </w:rPr>
              <w:t>项目质量达标是指项目决算验收合格。</w:t>
            </w:r>
          </w:p>
        </w:tc>
        <w:tc>
          <w:tcPr>
            <w:tcW w:w="3423" w:type="dxa"/>
            <w:tcBorders>
              <w:top w:val="single" w:color="000000" w:sz="4" w:space="0"/>
              <w:left w:val="single" w:color="auto" w:sz="4" w:space="0"/>
              <w:bottom w:val="single" w:color="auto" w:sz="4" w:space="0"/>
              <w:right w:val="single" w:color="auto" w:sz="4" w:space="0"/>
            </w:tcBorders>
            <w:vAlign w:val="center"/>
          </w:tcPr>
          <w:p w14:paraId="1153B5AC">
            <w:pPr>
              <w:spacing w:after="0" w:line="68" w:lineRule="atLeast"/>
              <w:rPr>
                <w:rFonts w:ascii="宋体" w:hAnsi="宋体" w:eastAsia="宋体" w:cs="宋体"/>
              </w:rPr>
            </w:pPr>
            <w:r>
              <w:rPr>
                <w:rFonts w:hint="eastAsia" w:ascii="宋体" w:hAnsi="宋体" w:eastAsia="宋体" w:cs="宋体"/>
              </w:rPr>
              <w:t>目标值100%；以4分为上限，采用完成比率法计分：得分=项目质量达标率×4，≤95%的扣4分。</w:t>
            </w:r>
          </w:p>
        </w:tc>
        <w:tc>
          <w:tcPr>
            <w:tcW w:w="1090" w:type="dxa"/>
            <w:tcBorders>
              <w:top w:val="single" w:color="000000" w:sz="4" w:space="0"/>
              <w:left w:val="single" w:color="auto" w:sz="4" w:space="0"/>
              <w:bottom w:val="single" w:color="auto" w:sz="4" w:space="0"/>
              <w:right w:val="single" w:color="000000" w:sz="4" w:space="0"/>
            </w:tcBorders>
            <w:vAlign w:val="center"/>
          </w:tcPr>
          <w:p w14:paraId="54A8C842">
            <w:pPr>
              <w:spacing w:after="0" w:line="68" w:lineRule="atLeast"/>
              <w:rPr>
                <w:rFonts w:ascii="宋体" w:hAnsi="宋体" w:eastAsia="宋体" w:cs="宋体"/>
              </w:rPr>
            </w:pPr>
            <w:r>
              <w:rPr>
                <w:rFonts w:hint="eastAsia" w:ascii="宋体" w:hAnsi="宋体" w:eastAsia="宋体" w:cs="宋体"/>
              </w:rPr>
              <w:t> </w:t>
            </w:r>
          </w:p>
        </w:tc>
      </w:tr>
      <w:tr w14:paraId="04DFFE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1" w:hRule="atLeast"/>
          <w:jc w:val="center"/>
        </w:trPr>
        <w:tc>
          <w:tcPr>
            <w:tcW w:w="733" w:type="dxa"/>
            <w:vMerge w:val="continue"/>
            <w:tcBorders>
              <w:left w:val="single" w:color="000000" w:sz="4" w:space="0"/>
              <w:right w:val="single" w:color="000000" w:sz="4" w:space="0"/>
            </w:tcBorders>
            <w:vAlign w:val="center"/>
          </w:tcPr>
          <w:p w14:paraId="069E3724">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5A701543">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03F82040">
            <w:pPr>
              <w:spacing w:after="0" w:line="68" w:lineRule="atLeast"/>
              <w:rPr>
                <w:rFonts w:ascii="宋体" w:hAnsi="宋体" w:eastAsia="宋体" w:cs="宋体"/>
              </w:rPr>
            </w:pPr>
            <w:r>
              <w:rPr>
                <w:rFonts w:hint="eastAsia" w:ascii="宋体" w:hAnsi="宋体" w:eastAsia="宋体" w:cs="宋体"/>
              </w:rPr>
              <w:t>重点工作办结率（4分）</w:t>
            </w:r>
          </w:p>
        </w:tc>
        <w:tc>
          <w:tcPr>
            <w:tcW w:w="6911" w:type="dxa"/>
            <w:tcBorders>
              <w:top w:val="single" w:color="000000" w:sz="4" w:space="0"/>
              <w:left w:val="single" w:color="auto" w:sz="4" w:space="0"/>
              <w:bottom w:val="single" w:color="auto" w:sz="4" w:space="0"/>
              <w:right w:val="single" w:color="auto" w:sz="4" w:space="0"/>
            </w:tcBorders>
            <w:vAlign w:val="center"/>
          </w:tcPr>
          <w:p w14:paraId="039141B1">
            <w:pPr>
              <w:spacing w:after="0" w:line="68" w:lineRule="atLeast"/>
              <w:rPr>
                <w:rFonts w:ascii="宋体" w:hAnsi="宋体" w:eastAsia="宋体" w:cs="宋体"/>
              </w:rPr>
            </w:pPr>
            <w:r>
              <w:rPr>
                <w:rFonts w:hint="eastAsia" w:ascii="宋体" w:hAnsi="宋体" w:eastAsia="宋体" w:cs="宋体"/>
              </w:rPr>
              <w:t>部门年度重点工作实际完成数与交办或下达数的比率，用以反映部门对重点工作的办理落实程度。</w:t>
            </w:r>
          </w:p>
          <w:p w14:paraId="6950B11B">
            <w:pPr>
              <w:spacing w:after="0" w:line="68" w:lineRule="atLeast"/>
              <w:rPr>
                <w:rFonts w:ascii="宋体" w:hAnsi="宋体" w:eastAsia="宋体" w:cs="宋体"/>
              </w:rPr>
            </w:pPr>
            <w:r>
              <w:rPr>
                <w:rFonts w:hint="eastAsia" w:ascii="宋体" w:hAnsi="宋体" w:eastAsia="宋体" w:cs="宋体"/>
              </w:rPr>
              <w:t>重点工作办结率=（重点工作实际完成数/交办或下达数）×100%。</w:t>
            </w:r>
          </w:p>
          <w:p w14:paraId="51991ADD">
            <w:pPr>
              <w:spacing w:after="0" w:line="68" w:lineRule="atLeast"/>
              <w:rPr>
                <w:rFonts w:ascii="宋体" w:hAnsi="宋体" w:eastAsia="宋体" w:cs="宋体"/>
              </w:rPr>
            </w:pPr>
            <w:r>
              <w:rPr>
                <w:rFonts w:hint="eastAsia" w:ascii="宋体" w:hAnsi="宋体" w:eastAsia="宋体" w:cs="宋体"/>
              </w:rPr>
              <w:t>重点工作是指党委、政府、人大、相关部门交办或下达的工作任务。</w:t>
            </w:r>
          </w:p>
        </w:tc>
        <w:tc>
          <w:tcPr>
            <w:tcW w:w="3423" w:type="dxa"/>
            <w:tcBorders>
              <w:top w:val="single" w:color="000000" w:sz="4" w:space="0"/>
              <w:left w:val="single" w:color="auto" w:sz="4" w:space="0"/>
              <w:bottom w:val="single" w:color="auto" w:sz="4" w:space="0"/>
              <w:right w:val="single" w:color="auto" w:sz="4" w:space="0"/>
            </w:tcBorders>
            <w:vAlign w:val="center"/>
          </w:tcPr>
          <w:p w14:paraId="5C8B9EF3">
            <w:pPr>
              <w:spacing w:after="0" w:line="68" w:lineRule="atLeast"/>
              <w:rPr>
                <w:rFonts w:ascii="宋体" w:hAnsi="宋体" w:eastAsia="宋体" w:cs="宋体"/>
              </w:rPr>
            </w:pPr>
            <w:r>
              <w:rPr>
                <w:rFonts w:hint="eastAsia" w:ascii="宋体" w:hAnsi="宋体" w:eastAsia="宋体" w:cs="宋体"/>
              </w:rPr>
              <w:t>目标值100%；以4分为上限，采用完成比率法计分：得分=重点工作办结率×4，≤90%的扣4分。</w:t>
            </w:r>
          </w:p>
        </w:tc>
        <w:tc>
          <w:tcPr>
            <w:tcW w:w="1090" w:type="dxa"/>
            <w:tcBorders>
              <w:top w:val="single" w:color="000000" w:sz="4" w:space="0"/>
              <w:left w:val="single" w:color="auto" w:sz="4" w:space="0"/>
              <w:bottom w:val="single" w:color="auto" w:sz="4" w:space="0"/>
              <w:right w:val="single" w:color="000000" w:sz="4" w:space="0"/>
            </w:tcBorders>
            <w:vAlign w:val="center"/>
          </w:tcPr>
          <w:p w14:paraId="0EF35CAE">
            <w:pPr>
              <w:spacing w:after="0" w:line="68" w:lineRule="atLeast"/>
              <w:rPr>
                <w:rFonts w:ascii="宋体" w:hAnsi="宋体" w:eastAsia="宋体" w:cs="宋体"/>
              </w:rPr>
            </w:pPr>
            <w:r>
              <w:rPr>
                <w:rFonts w:hint="eastAsia" w:ascii="宋体" w:hAnsi="宋体" w:eastAsia="宋体" w:cs="宋体"/>
              </w:rPr>
              <w:t> </w:t>
            </w:r>
          </w:p>
        </w:tc>
      </w:tr>
      <w:tr w14:paraId="1D5E77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9" w:hRule="atLeast"/>
          <w:jc w:val="center"/>
        </w:trPr>
        <w:tc>
          <w:tcPr>
            <w:tcW w:w="733" w:type="dxa"/>
            <w:vMerge w:val="continue"/>
            <w:tcBorders>
              <w:left w:val="single" w:color="000000" w:sz="4" w:space="0"/>
              <w:bottom w:val="single" w:color="000000" w:sz="4" w:space="0"/>
              <w:right w:val="single" w:color="000000" w:sz="4" w:space="0"/>
            </w:tcBorders>
            <w:vAlign w:val="center"/>
          </w:tcPr>
          <w:p w14:paraId="492D7462">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63535138">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3ECBC1BB">
            <w:pPr>
              <w:spacing w:after="0" w:line="68" w:lineRule="atLeast"/>
              <w:rPr>
                <w:rFonts w:ascii="宋体" w:hAnsi="宋体" w:eastAsia="宋体" w:cs="宋体"/>
              </w:rPr>
            </w:pPr>
            <w:r>
              <w:rPr>
                <w:rFonts w:hint="eastAsia" w:ascii="宋体" w:hAnsi="宋体" w:eastAsia="宋体" w:cs="宋体"/>
              </w:rPr>
              <w:t>部门绩效自评项目占比率（3分）</w:t>
            </w:r>
          </w:p>
        </w:tc>
        <w:tc>
          <w:tcPr>
            <w:tcW w:w="6911" w:type="dxa"/>
            <w:tcBorders>
              <w:top w:val="single" w:color="000000" w:sz="4" w:space="0"/>
              <w:left w:val="single" w:color="auto" w:sz="4" w:space="0"/>
              <w:bottom w:val="single" w:color="auto" w:sz="4" w:space="0"/>
              <w:right w:val="single" w:color="auto" w:sz="4" w:space="0"/>
            </w:tcBorders>
            <w:vAlign w:val="center"/>
          </w:tcPr>
          <w:p w14:paraId="597ECA72">
            <w:pPr>
              <w:spacing w:after="0" w:line="240" w:lineRule="exact"/>
              <w:rPr>
                <w:rFonts w:ascii="宋体" w:hAnsi="宋体" w:eastAsia="宋体" w:cs="宋体"/>
              </w:rPr>
            </w:pPr>
            <w:r>
              <w:rPr>
                <w:rFonts w:hint="eastAsia" w:ascii="宋体" w:hAnsi="宋体" w:eastAsia="宋体" w:cs="宋体"/>
              </w:rPr>
              <w:t>部门自评项目在所有项目中所占的份额，反映和评价部门对项目自评的重视程度。</w:t>
            </w:r>
          </w:p>
          <w:p w14:paraId="5E56F94F">
            <w:pPr>
              <w:spacing w:after="0" w:line="240" w:lineRule="exact"/>
              <w:rPr>
                <w:rFonts w:ascii="宋体" w:hAnsi="宋体" w:eastAsia="宋体" w:cs="宋体"/>
              </w:rPr>
            </w:pPr>
            <w:r>
              <w:rPr>
                <w:rFonts w:hint="eastAsia" w:ascii="宋体" w:hAnsi="宋体" w:eastAsia="宋体" w:cs="宋体"/>
              </w:rPr>
              <w:t>占比率=(自评项目资金量/项目支出资金量)×100%。</w:t>
            </w:r>
          </w:p>
          <w:p w14:paraId="67C43174">
            <w:pPr>
              <w:spacing w:after="0" w:line="68" w:lineRule="atLeast"/>
              <w:rPr>
                <w:rFonts w:ascii="宋体" w:hAnsi="宋体" w:eastAsia="宋体" w:cs="宋体"/>
              </w:rPr>
            </w:pPr>
            <w:r>
              <w:rPr>
                <w:rFonts w:hint="eastAsia" w:ascii="宋体" w:hAnsi="宋体" w:eastAsia="宋体" w:cs="宋体"/>
              </w:rPr>
              <w:t>部门支出项目绩效自评范围：本年度列入本级财政预算安排的项目。</w:t>
            </w:r>
          </w:p>
        </w:tc>
        <w:tc>
          <w:tcPr>
            <w:tcW w:w="3423" w:type="dxa"/>
            <w:tcBorders>
              <w:top w:val="single" w:color="000000" w:sz="4" w:space="0"/>
              <w:left w:val="single" w:color="auto" w:sz="4" w:space="0"/>
              <w:bottom w:val="single" w:color="auto" w:sz="4" w:space="0"/>
              <w:right w:val="single" w:color="auto" w:sz="4" w:space="0"/>
            </w:tcBorders>
            <w:vAlign w:val="center"/>
          </w:tcPr>
          <w:p w14:paraId="4548521A">
            <w:pPr>
              <w:spacing w:after="0" w:line="68" w:lineRule="atLeast"/>
              <w:rPr>
                <w:rFonts w:ascii="宋体" w:hAnsi="宋体" w:eastAsia="宋体" w:cs="宋体"/>
              </w:rPr>
            </w:pPr>
            <w:r>
              <w:rPr>
                <w:rFonts w:hint="eastAsia" w:ascii="宋体" w:hAnsi="宋体" w:eastAsia="宋体" w:cs="宋体"/>
              </w:rPr>
              <w:t>达到目标值得3分，未达到目标值采用完成比率法计分：得分=占比率/目标值×3，超过目标值不加分。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14:paraId="5E1A8D80">
            <w:pPr>
              <w:spacing w:after="0" w:line="68" w:lineRule="atLeast"/>
              <w:rPr>
                <w:rFonts w:ascii="宋体" w:hAnsi="宋体" w:eastAsia="宋体" w:cs="宋体"/>
              </w:rPr>
            </w:pPr>
          </w:p>
        </w:tc>
      </w:tr>
      <w:tr w14:paraId="5B7B4C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38" w:hRule="atLeast"/>
          <w:jc w:val="center"/>
        </w:trPr>
        <w:tc>
          <w:tcPr>
            <w:tcW w:w="733" w:type="dxa"/>
            <w:vMerge w:val="restart"/>
            <w:tcBorders>
              <w:top w:val="single" w:color="000000" w:sz="4" w:space="0"/>
              <w:left w:val="single" w:color="000000" w:sz="4" w:space="0"/>
              <w:right w:val="single" w:color="000000" w:sz="4" w:space="0"/>
            </w:tcBorders>
            <w:vAlign w:val="center"/>
          </w:tcPr>
          <w:p w14:paraId="086B7CCD">
            <w:pPr>
              <w:spacing w:after="0" w:line="68" w:lineRule="atLeast"/>
              <w:rPr>
                <w:rFonts w:ascii="宋体" w:hAnsi="宋体" w:eastAsia="宋体" w:cs="宋体"/>
              </w:rPr>
            </w:pPr>
          </w:p>
          <w:p w14:paraId="0A1AA87C">
            <w:pPr>
              <w:spacing w:after="0" w:line="68" w:lineRule="atLeast"/>
              <w:rPr>
                <w:rFonts w:ascii="宋体" w:hAnsi="宋体" w:eastAsia="宋体" w:cs="宋体"/>
              </w:rPr>
            </w:pPr>
          </w:p>
          <w:p w14:paraId="2F1E8909">
            <w:pPr>
              <w:spacing w:after="0" w:line="68" w:lineRule="atLeast"/>
              <w:rPr>
                <w:rFonts w:ascii="宋体" w:hAnsi="宋体" w:eastAsia="宋体" w:cs="宋体"/>
              </w:rPr>
            </w:pPr>
          </w:p>
          <w:p w14:paraId="3BB7CFD8">
            <w:pPr>
              <w:spacing w:after="0" w:line="68" w:lineRule="atLeast"/>
              <w:rPr>
                <w:rFonts w:ascii="宋体" w:hAnsi="宋体" w:eastAsia="宋体" w:cs="宋体"/>
              </w:rPr>
            </w:pPr>
          </w:p>
          <w:p w14:paraId="3769D710">
            <w:pPr>
              <w:spacing w:after="0" w:line="68" w:lineRule="atLeast"/>
              <w:rPr>
                <w:rFonts w:ascii="宋体" w:hAnsi="宋体" w:eastAsia="宋体" w:cs="宋体"/>
              </w:rPr>
            </w:pPr>
          </w:p>
          <w:p w14:paraId="0E8E5FD6">
            <w:pPr>
              <w:spacing w:after="0" w:line="68" w:lineRule="atLeast"/>
              <w:rPr>
                <w:rFonts w:ascii="宋体" w:hAnsi="宋体" w:eastAsia="宋体" w:cs="宋体"/>
              </w:rPr>
            </w:pPr>
          </w:p>
          <w:p w14:paraId="0971AA37">
            <w:pPr>
              <w:spacing w:after="0" w:line="68" w:lineRule="atLeast"/>
              <w:rPr>
                <w:rFonts w:ascii="宋体" w:hAnsi="宋体" w:eastAsia="宋体" w:cs="宋体"/>
              </w:rPr>
            </w:pPr>
          </w:p>
          <w:p w14:paraId="2CFC1E5C">
            <w:pPr>
              <w:spacing w:after="0" w:line="68" w:lineRule="atLeast"/>
              <w:rPr>
                <w:rFonts w:ascii="宋体" w:hAnsi="宋体" w:eastAsia="宋体" w:cs="宋体"/>
              </w:rPr>
            </w:pPr>
            <w:r>
              <w:rPr>
                <w:rFonts w:hint="eastAsia" w:ascii="宋体" w:hAnsi="宋体" w:eastAsia="宋体" w:cs="宋体"/>
              </w:rPr>
              <w:t>效果（15）</w:t>
            </w:r>
          </w:p>
          <w:p w14:paraId="1EA05101">
            <w:pPr>
              <w:spacing w:after="0" w:line="68" w:lineRule="atLeast"/>
              <w:rPr>
                <w:rFonts w:ascii="宋体" w:hAnsi="宋体" w:eastAsia="宋体" w:cs="宋体"/>
              </w:rPr>
            </w:pPr>
          </w:p>
          <w:p w14:paraId="4743EE1C">
            <w:pPr>
              <w:spacing w:after="0" w:line="68" w:lineRule="atLeast"/>
              <w:rPr>
                <w:rFonts w:ascii="宋体" w:hAnsi="宋体" w:eastAsia="宋体" w:cs="宋体"/>
              </w:rPr>
            </w:pPr>
          </w:p>
          <w:p w14:paraId="6365997A">
            <w:pPr>
              <w:spacing w:after="0" w:line="68" w:lineRule="atLeast"/>
              <w:rPr>
                <w:rFonts w:ascii="宋体" w:hAnsi="宋体" w:eastAsia="宋体" w:cs="宋体"/>
              </w:rPr>
            </w:pPr>
          </w:p>
          <w:p w14:paraId="6FD2F159">
            <w:pPr>
              <w:spacing w:after="0" w:line="68" w:lineRule="atLeast"/>
              <w:rPr>
                <w:rFonts w:ascii="宋体" w:hAnsi="宋体" w:eastAsia="宋体" w:cs="宋体"/>
              </w:rPr>
            </w:pPr>
          </w:p>
          <w:p w14:paraId="3213D8F7">
            <w:pPr>
              <w:spacing w:after="0" w:line="68" w:lineRule="atLeast"/>
              <w:rPr>
                <w:rFonts w:ascii="宋体" w:hAnsi="宋体" w:eastAsia="宋体" w:cs="宋体"/>
              </w:rPr>
            </w:pPr>
          </w:p>
          <w:p w14:paraId="1501EAE2">
            <w:pPr>
              <w:spacing w:after="0" w:line="68" w:lineRule="atLeast"/>
              <w:rPr>
                <w:rFonts w:ascii="宋体" w:hAnsi="宋体" w:eastAsia="宋体" w:cs="宋体"/>
              </w:rPr>
            </w:pPr>
          </w:p>
          <w:p w14:paraId="29A904DF">
            <w:pPr>
              <w:spacing w:after="0" w:line="68" w:lineRule="atLeast"/>
              <w:rPr>
                <w:rFonts w:ascii="宋体" w:hAnsi="宋体" w:eastAsia="宋体" w:cs="宋体"/>
              </w:rPr>
            </w:pPr>
          </w:p>
          <w:p w14:paraId="790FCB50">
            <w:pPr>
              <w:spacing w:after="0" w:line="68" w:lineRule="atLeast"/>
              <w:rPr>
                <w:rFonts w:ascii="宋体" w:hAnsi="宋体" w:eastAsia="宋体" w:cs="宋体"/>
              </w:rPr>
            </w:pPr>
          </w:p>
          <w:p w14:paraId="4A4F632D">
            <w:pPr>
              <w:spacing w:after="0" w:line="68" w:lineRule="atLeast"/>
              <w:rPr>
                <w:rFonts w:ascii="宋体" w:hAnsi="宋体" w:eastAsia="宋体" w:cs="宋体"/>
              </w:rPr>
            </w:pPr>
          </w:p>
          <w:p w14:paraId="0080D5AE">
            <w:pPr>
              <w:spacing w:after="0" w:line="68" w:lineRule="atLeast"/>
              <w:rPr>
                <w:rFonts w:ascii="宋体" w:hAnsi="宋体" w:eastAsia="宋体" w:cs="宋体"/>
              </w:rPr>
            </w:pPr>
          </w:p>
          <w:p w14:paraId="476C6D9D">
            <w:pPr>
              <w:spacing w:after="0" w:line="68" w:lineRule="atLeast"/>
              <w:rPr>
                <w:rFonts w:ascii="宋体" w:hAnsi="宋体" w:eastAsia="宋体" w:cs="宋体"/>
              </w:rPr>
            </w:pPr>
          </w:p>
          <w:p w14:paraId="5C088035">
            <w:pPr>
              <w:spacing w:after="0" w:line="68" w:lineRule="atLeast"/>
              <w:rPr>
                <w:rFonts w:ascii="宋体" w:hAnsi="宋体" w:eastAsia="宋体" w:cs="宋体"/>
              </w:rPr>
            </w:pPr>
          </w:p>
          <w:p w14:paraId="3A33CEDB">
            <w:pPr>
              <w:spacing w:after="0" w:line="68" w:lineRule="atLeast"/>
              <w:rPr>
                <w:rFonts w:ascii="宋体" w:hAnsi="宋体" w:eastAsia="宋体" w:cs="宋体"/>
              </w:rPr>
            </w:pPr>
          </w:p>
          <w:p w14:paraId="353C492C">
            <w:pPr>
              <w:spacing w:after="0" w:line="68" w:lineRule="atLeast"/>
              <w:rPr>
                <w:rFonts w:ascii="宋体" w:hAnsi="宋体" w:eastAsia="宋体" w:cs="宋体"/>
              </w:rPr>
            </w:pPr>
          </w:p>
          <w:p w14:paraId="562ADC5A">
            <w:pPr>
              <w:spacing w:after="0" w:line="68" w:lineRule="atLeast"/>
              <w:rPr>
                <w:rFonts w:ascii="宋体" w:hAnsi="宋体" w:eastAsia="宋体" w:cs="宋体"/>
              </w:rPr>
            </w:pPr>
          </w:p>
          <w:p w14:paraId="756CCCAE">
            <w:pPr>
              <w:spacing w:after="0" w:line="68" w:lineRule="atLeast"/>
              <w:rPr>
                <w:rFonts w:ascii="宋体" w:hAnsi="宋体" w:eastAsia="宋体" w:cs="宋体"/>
              </w:rPr>
            </w:pPr>
          </w:p>
          <w:p w14:paraId="12C7AD57">
            <w:pPr>
              <w:spacing w:after="0" w:line="68" w:lineRule="atLeast"/>
              <w:rPr>
                <w:rFonts w:ascii="宋体" w:hAnsi="宋体" w:eastAsia="宋体" w:cs="宋体"/>
              </w:rPr>
            </w:pPr>
            <w:r>
              <w:rPr>
                <w:rFonts w:hint="eastAsia" w:ascii="宋体" w:hAnsi="宋体" w:eastAsia="宋体" w:cs="宋体"/>
              </w:rPr>
              <w:t>效果（15）</w:t>
            </w:r>
          </w:p>
          <w:p w14:paraId="5299C23A">
            <w:pPr>
              <w:spacing w:after="0" w:line="68" w:lineRule="atLeas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64720ED5">
            <w:pPr>
              <w:spacing w:after="0" w:line="68" w:lineRule="atLeast"/>
              <w:rPr>
                <w:rFonts w:ascii="宋体" w:hAnsi="宋体" w:eastAsia="宋体" w:cs="宋体"/>
              </w:rPr>
            </w:pPr>
            <w:r>
              <w:rPr>
                <w:rFonts w:hint="eastAsia" w:ascii="宋体" w:hAnsi="宋体" w:eastAsia="宋体" w:cs="宋体"/>
              </w:rPr>
              <w:t>监督发现问题</w:t>
            </w:r>
          </w:p>
          <w:p w14:paraId="45A358AF">
            <w:pPr>
              <w:spacing w:after="0" w:line="68" w:lineRule="atLeast"/>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14:paraId="4698425E">
            <w:pPr>
              <w:spacing w:after="0" w:line="68" w:lineRule="atLeast"/>
              <w:rPr>
                <w:rFonts w:ascii="宋体" w:hAnsi="宋体" w:eastAsia="宋体" w:cs="宋体"/>
              </w:rPr>
            </w:pPr>
            <w:r>
              <w:rPr>
                <w:rFonts w:hint="eastAsia" w:ascii="宋体" w:hAnsi="宋体" w:eastAsia="宋体" w:cs="宋体"/>
              </w:rPr>
              <w:t>违规率（2分）</w:t>
            </w:r>
          </w:p>
        </w:tc>
        <w:tc>
          <w:tcPr>
            <w:tcW w:w="6911" w:type="dxa"/>
            <w:tcBorders>
              <w:top w:val="single" w:color="000000" w:sz="4" w:space="0"/>
              <w:left w:val="single" w:color="auto" w:sz="4" w:space="0"/>
              <w:bottom w:val="single" w:color="000000" w:sz="4" w:space="0"/>
              <w:right w:val="single" w:color="auto" w:sz="4" w:space="0"/>
            </w:tcBorders>
            <w:vAlign w:val="center"/>
          </w:tcPr>
          <w:p w14:paraId="47DE6405">
            <w:pPr>
              <w:spacing w:after="0" w:line="68" w:lineRule="atLeast"/>
              <w:rPr>
                <w:rFonts w:ascii="宋体" w:hAnsi="宋体" w:eastAsia="宋体" w:cs="宋体"/>
              </w:rPr>
            </w:pPr>
            <w:r>
              <w:rPr>
                <w:rFonts w:hint="eastAsia" w:ascii="宋体" w:hAnsi="宋体" w:eastAsia="宋体" w:cs="宋体"/>
              </w:rPr>
              <w:t>部门存在违规问题的资金数量占部门预算支出资金总额的比重，用以反映和考核部门预算资金管理使用的合法、合规情况。</w:t>
            </w:r>
          </w:p>
          <w:p w14:paraId="2A6E69F8">
            <w:pPr>
              <w:spacing w:after="0" w:line="68" w:lineRule="atLeast"/>
              <w:rPr>
                <w:rFonts w:ascii="宋体" w:hAnsi="宋体" w:eastAsia="宋体" w:cs="宋体"/>
              </w:rPr>
            </w:pPr>
            <w:r>
              <w:rPr>
                <w:rFonts w:hint="eastAsia" w:ascii="宋体" w:hAnsi="宋体" w:eastAsia="宋体" w:cs="宋体"/>
              </w:rPr>
              <w:t>违规率=存在违规问题的资金额/部门预算支出资金总额×100%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107798E6">
            <w:pPr>
              <w:spacing w:after="0" w:line="240" w:lineRule="exact"/>
              <w:rPr>
                <w:rFonts w:ascii="宋体" w:hAnsi="宋体" w:eastAsia="宋体" w:cs="宋体"/>
              </w:rPr>
            </w:pPr>
            <w:r>
              <w:rPr>
                <w:rFonts w:hint="eastAsia" w:ascii="宋体" w:hAnsi="宋体" w:eastAsia="宋体" w:cs="宋体"/>
              </w:rPr>
              <w:t>目标值0，达到目标值得2分，未达到目标值的每增加0.1个百分点扣0.1分</w:t>
            </w:r>
          </w:p>
        </w:tc>
        <w:tc>
          <w:tcPr>
            <w:tcW w:w="1090" w:type="dxa"/>
            <w:tcBorders>
              <w:top w:val="single" w:color="000000" w:sz="4" w:space="0"/>
              <w:left w:val="single" w:color="auto" w:sz="4" w:space="0"/>
              <w:bottom w:val="single" w:color="000000" w:sz="4" w:space="0"/>
              <w:right w:val="single" w:color="000000" w:sz="4" w:space="0"/>
            </w:tcBorders>
            <w:vAlign w:val="center"/>
          </w:tcPr>
          <w:p w14:paraId="0714C960">
            <w:pPr>
              <w:spacing w:after="0" w:line="68" w:lineRule="atLeast"/>
              <w:rPr>
                <w:rFonts w:ascii="宋体" w:hAnsi="宋体" w:eastAsia="宋体" w:cs="宋体"/>
              </w:rPr>
            </w:pPr>
            <w:r>
              <w:rPr>
                <w:rFonts w:hint="eastAsia" w:ascii="宋体" w:hAnsi="宋体" w:eastAsia="宋体" w:cs="宋体"/>
              </w:rPr>
              <w:t> </w:t>
            </w:r>
          </w:p>
        </w:tc>
      </w:tr>
      <w:tr w14:paraId="64B8F9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5" w:hRule="atLeast"/>
          <w:jc w:val="center"/>
        </w:trPr>
        <w:tc>
          <w:tcPr>
            <w:tcW w:w="733" w:type="dxa"/>
            <w:vMerge w:val="continue"/>
            <w:tcBorders>
              <w:left w:val="single" w:color="000000" w:sz="4" w:space="0"/>
              <w:right w:val="single" w:color="000000" w:sz="4" w:space="0"/>
            </w:tcBorders>
            <w:vAlign w:val="center"/>
          </w:tcPr>
          <w:p w14:paraId="37EA1075">
            <w:pPr>
              <w:spacing w:after="0" w:line="68" w:lineRule="atLeas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36F9A2E6">
            <w:pPr>
              <w:spacing w:after="0" w:line="68" w:lineRule="atLeast"/>
              <w:rPr>
                <w:rFonts w:ascii="宋体" w:hAnsi="宋体" w:eastAsia="宋体" w:cs="宋体"/>
              </w:rPr>
            </w:pPr>
            <w:r>
              <w:rPr>
                <w:rFonts w:hint="eastAsia" w:ascii="宋体" w:hAnsi="宋体" w:eastAsia="宋体" w:cs="宋体"/>
              </w:rPr>
              <w:t>工作成效（5）</w:t>
            </w:r>
          </w:p>
        </w:tc>
        <w:tc>
          <w:tcPr>
            <w:tcW w:w="1182" w:type="dxa"/>
            <w:tcBorders>
              <w:top w:val="single" w:color="000000" w:sz="4" w:space="0"/>
              <w:left w:val="single" w:color="000000" w:sz="4" w:space="0"/>
              <w:bottom w:val="single" w:color="000000" w:sz="4" w:space="0"/>
              <w:right w:val="single" w:color="auto" w:sz="4" w:space="0"/>
            </w:tcBorders>
            <w:vAlign w:val="center"/>
          </w:tcPr>
          <w:p w14:paraId="45C5D298">
            <w:pPr>
              <w:spacing w:after="0" w:line="68" w:lineRule="atLeast"/>
              <w:rPr>
                <w:rFonts w:ascii="宋体" w:hAnsi="宋体" w:eastAsia="宋体" w:cs="宋体"/>
              </w:rPr>
            </w:pPr>
            <w:r>
              <w:rPr>
                <w:rFonts w:hint="eastAsia" w:ascii="宋体" w:hAnsi="宋体" w:eastAsia="宋体" w:cs="宋体"/>
                <w:bCs/>
                <w:color w:val="000000"/>
              </w:rPr>
              <w:t>部门预算绩效管理考核评价</w:t>
            </w:r>
            <w:r>
              <w:rPr>
                <w:rFonts w:hint="eastAsia" w:ascii="宋体" w:hAnsi="宋体" w:eastAsia="宋体" w:cs="宋体"/>
                <w:bCs/>
              </w:rPr>
              <w:t>（5）</w:t>
            </w:r>
          </w:p>
        </w:tc>
        <w:tc>
          <w:tcPr>
            <w:tcW w:w="6911" w:type="dxa"/>
            <w:tcBorders>
              <w:top w:val="single" w:color="000000" w:sz="4" w:space="0"/>
              <w:left w:val="single" w:color="auto" w:sz="4" w:space="0"/>
              <w:bottom w:val="single" w:color="000000" w:sz="4" w:space="0"/>
              <w:right w:val="single" w:color="auto" w:sz="4" w:space="0"/>
            </w:tcBorders>
            <w:vAlign w:val="center"/>
          </w:tcPr>
          <w:p w14:paraId="02CCF89C">
            <w:pPr>
              <w:spacing w:after="0" w:line="240" w:lineRule="exact"/>
              <w:rPr>
                <w:rFonts w:ascii="宋体" w:hAnsi="宋体" w:eastAsia="宋体" w:cs="宋体"/>
              </w:rPr>
            </w:pPr>
            <w:r>
              <w:rPr>
                <w:rFonts w:hint="eastAsia" w:ascii="宋体" w:hAnsi="宋体" w:eastAsia="宋体" w:cs="宋体"/>
                <w:color w:val="000000"/>
              </w:rPr>
              <w:t>财政部门对部门开展预算绩效管理工作的评价结果，用以反映部门对预算绩效管理工作的重视程度和取得的成效。</w:t>
            </w:r>
          </w:p>
          <w:p w14:paraId="13AC5514">
            <w:pPr>
              <w:spacing w:after="0" w:line="240" w:lineRule="exact"/>
              <w:rPr>
                <w:rFonts w:ascii="宋体" w:hAnsi="宋体" w:eastAsia="宋体" w:cs="宋体"/>
              </w:rPr>
            </w:pPr>
            <w:r>
              <w:rPr>
                <w:rFonts w:hint="eastAsia" w:ascii="宋体" w:hAnsi="宋体" w:eastAsia="宋体" w:cs="宋体"/>
                <w:color w:val="000000"/>
              </w:rPr>
              <w:t>1.财政部门对部门绩效管理工作开展情况进行核查评价，包括绩效目标管理、绩效执行监控、绩效自评和评价结果应用等情况，按百分制。</w:t>
            </w:r>
          </w:p>
          <w:p w14:paraId="0FD64FE6">
            <w:pPr>
              <w:spacing w:after="0" w:line="68" w:lineRule="atLeast"/>
              <w:rPr>
                <w:rFonts w:ascii="宋体" w:hAnsi="宋体" w:eastAsia="宋体" w:cs="宋体"/>
              </w:rPr>
            </w:pPr>
            <w:r>
              <w:rPr>
                <w:rFonts w:hint="eastAsia" w:ascii="宋体" w:hAnsi="宋体" w:eastAsia="宋体" w:cs="宋体"/>
                <w:color w:val="000000"/>
              </w:rPr>
              <w:t>2.以部门为单位进行综合计算，得出各部门绩效管理工作评价结果。</w:t>
            </w:r>
          </w:p>
        </w:tc>
        <w:tc>
          <w:tcPr>
            <w:tcW w:w="3423" w:type="dxa"/>
            <w:tcBorders>
              <w:top w:val="single" w:color="000000" w:sz="4" w:space="0"/>
              <w:left w:val="single" w:color="auto" w:sz="4" w:space="0"/>
              <w:bottom w:val="single" w:color="000000" w:sz="4" w:space="0"/>
              <w:right w:val="single" w:color="auto" w:sz="4" w:space="0"/>
            </w:tcBorders>
            <w:vAlign w:val="center"/>
          </w:tcPr>
          <w:p w14:paraId="54547393">
            <w:pPr>
              <w:spacing w:after="0" w:line="240" w:lineRule="exact"/>
              <w:rPr>
                <w:rFonts w:ascii="宋体" w:hAnsi="宋体" w:eastAsia="宋体" w:cs="宋体"/>
              </w:rPr>
            </w:pPr>
            <w:r>
              <w:rPr>
                <w:rFonts w:hint="eastAsia" w:ascii="宋体" w:hAnsi="宋体" w:eastAsia="宋体" w:cs="宋体"/>
                <w:color w:val="000000"/>
              </w:rPr>
              <w:t>综合得分=（部门绩效管理工作评价结果/100）*5分</w:t>
            </w:r>
          </w:p>
          <w:p w14:paraId="3C6AAD9B">
            <w:pPr>
              <w:spacing w:after="0" w:line="68" w:lineRule="atLeast"/>
              <w:rPr>
                <w:rFonts w:ascii="宋体" w:hAnsi="宋体" w:eastAsia="宋体" w:cs="宋体"/>
              </w:rPr>
            </w:pPr>
            <w:r>
              <w:rPr>
                <w:rFonts w:hint="eastAsia" w:ascii="宋体" w:hAnsi="宋体" w:eastAsia="宋体" w:cs="宋体"/>
              </w:rPr>
              <w:t> </w:t>
            </w:r>
          </w:p>
        </w:tc>
        <w:tc>
          <w:tcPr>
            <w:tcW w:w="1090" w:type="dxa"/>
            <w:tcBorders>
              <w:top w:val="single" w:color="000000" w:sz="4" w:space="0"/>
              <w:left w:val="single" w:color="auto" w:sz="4" w:space="0"/>
              <w:bottom w:val="single" w:color="000000" w:sz="4" w:space="0"/>
              <w:right w:val="single" w:color="000000" w:sz="4" w:space="0"/>
            </w:tcBorders>
            <w:vAlign w:val="center"/>
          </w:tcPr>
          <w:p w14:paraId="0CA85CDD">
            <w:pPr>
              <w:spacing w:after="0" w:line="68" w:lineRule="atLeast"/>
              <w:rPr>
                <w:rFonts w:ascii="宋体" w:hAnsi="宋体" w:eastAsia="宋体" w:cs="宋体"/>
              </w:rPr>
            </w:pPr>
          </w:p>
        </w:tc>
      </w:tr>
      <w:tr w14:paraId="6F9A12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67" w:hRule="atLeast"/>
          <w:jc w:val="center"/>
        </w:trPr>
        <w:tc>
          <w:tcPr>
            <w:tcW w:w="733" w:type="dxa"/>
            <w:vMerge w:val="continue"/>
            <w:tcBorders>
              <w:left w:val="single" w:color="000000" w:sz="4" w:space="0"/>
              <w:right w:val="single" w:color="000000" w:sz="4" w:space="0"/>
            </w:tcBorders>
            <w:vAlign w:val="center"/>
          </w:tcPr>
          <w:p w14:paraId="051654F8">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23EA6103">
            <w:pPr>
              <w:spacing w:after="0" w:line="68" w:lineRule="atLeast"/>
              <w:rPr>
                <w:rFonts w:ascii="宋体" w:hAnsi="宋体" w:eastAsia="宋体" w:cs="宋体"/>
              </w:rPr>
            </w:pPr>
            <w:r>
              <w:rPr>
                <w:rFonts w:hint="eastAsia" w:ascii="宋体" w:hAnsi="宋体" w:eastAsia="宋体" w:cs="宋体"/>
              </w:rPr>
              <w:t>评价结果应用</w:t>
            </w:r>
          </w:p>
          <w:p w14:paraId="7D2D0346">
            <w:pPr>
              <w:spacing w:after="0" w:line="68" w:lineRule="atLeast"/>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14:paraId="713135D4">
            <w:pPr>
              <w:spacing w:after="0" w:line="68" w:lineRule="atLeast"/>
              <w:rPr>
                <w:rFonts w:ascii="宋体" w:hAnsi="宋体" w:eastAsia="宋体" w:cs="宋体"/>
              </w:rPr>
            </w:pPr>
            <w:r>
              <w:rPr>
                <w:rFonts w:hint="eastAsia" w:ascii="宋体" w:hAnsi="宋体" w:eastAsia="宋体" w:cs="宋体"/>
              </w:rPr>
              <w:t>应用率（2分）</w:t>
            </w:r>
          </w:p>
        </w:tc>
        <w:tc>
          <w:tcPr>
            <w:tcW w:w="6911" w:type="dxa"/>
            <w:tcBorders>
              <w:top w:val="single" w:color="000000" w:sz="4" w:space="0"/>
              <w:left w:val="single" w:color="auto" w:sz="4" w:space="0"/>
              <w:bottom w:val="single" w:color="000000" w:sz="4" w:space="0"/>
              <w:right w:val="single" w:color="auto" w:sz="4" w:space="0"/>
            </w:tcBorders>
            <w:vAlign w:val="center"/>
          </w:tcPr>
          <w:p w14:paraId="22E2B195">
            <w:pPr>
              <w:spacing w:after="0" w:line="68" w:lineRule="atLeast"/>
              <w:rPr>
                <w:rFonts w:ascii="宋体" w:hAnsi="宋体" w:eastAsia="宋体" w:cs="宋体"/>
              </w:rPr>
            </w:pPr>
            <w:r>
              <w:rPr>
                <w:rFonts w:hint="eastAsia" w:ascii="宋体" w:hAnsi="宋体" w:eastAsia="宋体" w:cs="宋体"/>
              </w:rPr>
              <w:t>部门应用绩效评价结果的项目数占绩效评价项目数的比重，用以反映和考核部门绩效评价结果的利用水平和程度。</w:t>
            </w:r>
          </w:p>
          <w:p w14:paraId="170C5CB8">
            <w:pPr>
              <w:spacing w:after="0" w:line="68" w:lineRule="atLeast"/>
              <w:rPr>
                <w:rFonts w:ascii="宋体" w:hAnsi="宋体" w:eastAsia="宋体" w:cs="宋体"/>
              </w:rPr>
            </w:pPr>
            <w:r>
              <w:rPr>
                <w:rFonts w:hint="eastAsia" w:ascii="宋体" w:hAnsi="宋体" w:eastAsia="宋体" w:cs="宋体"/>
              </w:rPr>
              <w:t>应用率=应用绩效评价结果的项目数量/部门实施绩效评价项目数量×100%。</w:t>
            </w:r>
          </w:p>
          <w:p w14:paraId="69AB3064">
            <w:pPr>
              <w:spacing w:after="0" w:line="68" w:lineRule="atLeast"/>
              <w:rPr>
                <w:rFonts w:ascii="宋体" w:hAnsi="宋体" w:eastAsia="宋体" w:cs="宋体"/>
              </w:rPr>
            </w:pPr>
            <w:r>
              <w:rPr>
                <w:rFonts w:hint="eastAsia" w:ascii="宋体" w:hAnsi="宋体" w:eastAsia="宋体" w:cs="宋体"/>
              </w:rPr>
              <w:t>应用绩效评价结果包括向财政部门报告绩效评价结果、向被评价单位反馈绩效评价结果、内部公开绩效评价结果和落实整改措施等方面，其中，落实整改措施包括调整预算结构、改革预算管理、整改发现问题、健全制度措施和实施绩效问责。</w:t>
            </w:r>
          </w:p>
        </w:tc>
        <w:tc>
          <w:tcPr>
            <w:tcW w:w="3423" w:type="dxa"/>
            <w:tcBorders>
              <w:top w:val="single" w:color="000000" w:sz="4" w:space="0"/>
              <w:left w:val="single" w:color="auto" w:sz="4" w:space="0"/>
              <w:bottom w:val="single" w:color="000000" w:sz="4" w:space="0"/>
              <w:right w:val="single" w:color="auto" w:sz="4" w:space="0"/>
            </w:tcBorders>
            <w:vAlign w:val="center"/>
          </w:tcPr>
          <w:p w14:paraId="15867694">
            <w:pPr>
              <w:spacing w:after="0" w:line="240" w:lineRule="exact"/>
              <w:rPr>
                <w:rFonts w:ascii="宋体" w:hAnsi="宋体" w:eastAsia="宋体" w:cs="宋体"/>
              </w:rPr>
            </w:pPr>
            <w:r>
              <w:rPr>
                <w:rFonts w:hint="eastAsia" w:ascii="宋体" w:hAnsi="宋体" w:eastAsia="宋体" w:cs="宋体"/>
              </w:rPr>
              <w:t>目标值为100%；以2分为上限，采用完成比率法计分：得分=应用率×2，超出目标值不加分。</w:t>
            </w:r>
          </w:p>
        </w:tc>
        <w:tc>
          <w:tcPr>
            <w:tcW w:w="1090" w:type="dxa"/>
            <w:tcBorders>
              <w:top w:val="single" w:color="000000" w:sz="4" w:space="0"/>
              <w:left w:val="single" w:color="auto" w:sz="4" w:space="0"/>
              <w:bottom w:val="single" w:color="000000" w:sz="4" w:space="0"/>
              <w:right w:val="single" w:color="000000" w:sz="4" w:space="0"/>
            </w:tcBorders>
            <w:vAlign w:val="center"/>
          </w:tcPr>
          <w:p w14:paraId="37950F25">
            <w:pPr>
              <w:spacing w:after="0" w:line="68" w:lineRule="atLeast"/>
              <w:rPr>
                <w:rFonts w:ascii="宋体" w:hAnsi="宋体" w:eastAsia="宋体" w:cs="宋体"/>
              </w:rPr>
            </w:pPr>
          </w:p>
        </w:tc>
      </w:tr>
      <w:tr w14:paraId="4E1151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79" w:hRule="atLeast"/>
          <w:jc w:val="center"/>
        </w:trPr>
        <w:tc>
          <w:tcPr>
            <w:tcW w:w="733" w:type="dxa"/>
            <w:vMerge w:val="continue"/>
            <w:tcBorders>
              <w:left w:val="single" w:color="000000" w:sz="4" w:space="0"/>
              <w:right w:val="single" w:color="000000" w:sz="4" w:space="0"/>
            </w:tcBorders>
            <w:vAlign w:val="center"/>
          </w:tcPr>
          <w:p w14:paraId="3AC250EA">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178327F8">
            <w:pPr>
              <w:spacing w:after="0" w:line="68" w:lineRule="atLeast"/>
              <w:rPr>
                <w:rFonts w:ascii="宋体" w:hAnsi="宋体" w:eastAsia="宋体" w:cs="宋体"/>
              </w:rPr>
            </w:pPr>
            <w:r>
              <w:rPr>
                <w:rFonts w:hint="eastAsia" w:ascii="宋体" w:hAnsi="宋体" w:eastAsia="宋体" w:cs="宋体"/>
              </w:rPr>
              <w:t>结果应用创新（1分）</w:t>
            </w:r>
          </w:p>
        </w:tc>
        <w:tc>
          <w:tcPr>
            <w:tcW w:w="1182" w:type="dxa"/>
            <w:tcBorders>
              <w:top w:val="single" w:color="000000" w:sz="4" w:space="0"/>
              <w:left w:val="single" w:color="000000" w:sz="4" w:space="0"/>
              <w:bottom w:val="single" w:color="000000" w:sz="4" w:space="0"/>
              <w:right w:val="single" w:color="auto" w:sz="4" w:space="0"/>
            </w:tcBorders>
            <w:vAlign w:val="center"/>
          </w:tcPr>
          <w:p w14:paraId="466AD371">
            <w:pPr>
              <w:spacing w:after="0" w:line="68" w:lineRule="atLeast"/>
              <w:rPr>
                <w:rFonts w:ascii="宋体" w:hAnsi="宋体" w:eastAsia="宋体" w:cs="宋体"/>
              </w:rPr>
            </w:pPr>
            <w:r>
              <w:rPr>
                <w:rFonts w:hint="eastAsia" w:ascii="宋体" w:hAnsi="宋体" w:eastAsia="宋体" w:cs="宋体"/>
              </w:rPr>
              <w:t>结果应用创新（1分）</w:t>
            </w:r>
          </w:p>
        </w:tc>
        <w:tc>
          <w:tcPr>
            <w:tcW w:w="6911" w:type="dxa"/>
            <w:tcBorders>
              <w:top w:val="single" w:color="000000" w:sz="4" w:space="0"/>
              <w:left w:val="single" w:color="auto" w:sz="4" w:space="0"/>
              <w:bottom w:val="single" w:color="000000" w:sz="4" w:space="0"/>
              <w:right w:val="single" w:color="auto" w:sz="4" w:space="0"/>
            </w:tcBorders>
            <w:vAlign w:val="center"/>
          </w:tcPr>
          <w:p w14:paraId="6791BA09">
            <w:pPr>
              <w:spacing w:after="0" w:line="68" w:lineRule="atLeast"/>
              <w:rPr>
                <w:rFonts w:ascii="宋体" w:hAnsi="宋体" w:eastAsia="宋体" w:cs="宋体"/>
              </w:rPr>
            </w:pPr>
            <w:r>
              <w:rPr>
                <w:rFonts w:hint="eastAsia" w:ascii="宋体" w:hAnsi="宋体" w:eastAsia="宋体" w:cs="宋体"/>
              </w:rPr>
              <w:t>部门将绩效结果主动对外公开、预算绩效管理工作开展情况向同级政府、人大等部门报告，用以反映和考核部门在结果应用方面的创新情况。</w:t>
            </w:r>
          </w:p>
          <w:p w14:paraId="0DF63D02">
            <w:pPr>
              <w:spacing w:after="0" w:line="68" w:lineRule="atLeast"/>
              <w:rPr>
                <w:rFonts w:ascii="宋体" w:hAnsi="宋体" w:eastAsia="宋体" w:cs="宋体"/>
              </w:rPr>
            </w:pPr>
            <w:r>
              <w:rPr>
                <w:rFonts w:hint="eastAsia" w:ascii="宋体" w:hAnsi="宋体" w:eastAsia="宋体" w:cs="宋体"/>
              </w:rPr>
              <w:t>评价要点：</w:t>
            </w:r>
          </w:p>
          <w:p w14:paraId="63B9B4CC">
            <w:pPr>
              <w:spacing w:after="0" w:line="68" w:lineRule="atLeast"/>
              <w:rPr>
                <w:rFonts w:ascii="宋体" w:hAnsi="宋体" w:eastAsia="宋体" w:cs="宋体"/>
              </w:rPr>
            </w:pPr>
            <w:r>
              <w:rPr>
                <w:rFonts w:hint="eastAsia" w:ascii="宋体" w:hAnsi="宋体" w:eastAsia="宋体" w:cs="宋体"/>
              </w:rPr>
              <w:t>1.部门是否按要求对社会公开绩效评价结果。</w:t>
            </w:r>
          </w:p>
          <w:p w14:paraId="17B23667">
            <w:pPr>
              <w:spacing w:after="0" w:line="68" w:lineRule="atLeast"/>
              <w:rPr>
                <w:rFonts w:ascii="宋体" w:hAnsi="宋体" w:eastAsia="宋体" w:cs="宋体"/>
              </w:rPr>
            </w:pPr>
            <w:r>
              <w:rPr>
                <w:rFonts w:hint="eastAsia" w:ascii="宋体" w:hAnsi="宋体" w:eastAsia="宋体" w:cs="宋体"/>
              </w:rPr>
              <w:t>2.部门是否将预算绩效管理工作开展情况向同级政府、人大等部门报告。</w:t>
            </w:r>
          </w:p>
        </w:tc>
        <w:tc>
          <w:tcPr>
            <w:tcW w:w="3423" w:type="dxa"/>
            <w:tcBorders>
              <w:top w:val="single" w:color="000000" w:sz="4" w:space="0"/>
              <w:left w:val="single" w:color="auto" w:sz="4" w:space="0"/>
              <w:bottom w:val="single" w:color="000000" w:sz="4" w:space="0"/>
              <w:right w:val="single" w:color="auto" w:sz="4" w:space="0"/>
            </w:tcBorders>
            <w:vAlign w:val="center"/>
          </w:tcPr>
          <w:p w14:paraId="353BDB63">
            <w:pPr>
              <w:spacing w:after="0" w:line="240" w:lineRule="exact"/>
              <w:rPr>
                <w:rFonts w:ascii="宋体" w:hAnsi="宋体" w:eastAsia="宋体" w:cs="宋体"/>
              </w:rPr>
            </w:pPr>
            <w:r>
              <w:rPr>
                <w:rFonts w:hint="eastAsia" w:ascii="宋体" w:hAnsi="宋体" w:eastAsia="宋体" w:cs="宋体"/>
              </w:rPr>
              <w:t>全部符合（1分）；</w:t>
            </w:r>
          </w:p>
          <w:p w14:paraId="3CF3C4A3">
            <w:pPr>
              <w:spacing w:after="0" w:line="240" w:lineRule="exact"/>
              <w:rPr>
                <w:rFonts w:ascii="宋体" w:hAnsi="宋体" w:eastAsia="宋体" w:cs="宋体"/>
              </w:rPr>
            </w:pPr>
            <w:r>
              <w:rPr>
                <w:rFonts w:hint="eastAsia" w:ascii="宋体" w:hAnsi="宋体" w:eastAsia="宋体" w:cs="宋体"/>
              </w:rPr>
              <w:t>符合其中两项（0.5分）</w:t>
            </w:r>
          </w:p>
          <w:p w14:paraId="6C7FE577">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47273304">
            <w:pPr>
              <w:spacing w:after="0" w:line="68" w:lineRule="atLeast"/>
              <w:rPr>
                <w:rFonts w:ascii="宋体" w:hAnsi="宋体" w:eastAsia="宋体" w:cs="宋体"/>
              </w:rPr>
            </w:pPr>
          </w:p>
        </w:tc>
      </w:tr>
      <w:tr w14:paraId="1F85D7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78" w:hRule="atLeast"/>
          <w:jc w:val="center"/>
        </w:trPr>
        <w:tc>
          <w:tcPr>
            <w:tcW w:w="733" w:type="dxa"/>
            <w:vMerge w:val="continue"/>
            <w:tcBorders>
              <w:left w:val="single" w:color="000000" w:sz="4" w:space="0"/>
              <w:right w:val="single" w:color="000000" w:sz="4" w:space="0"/>
            </w:tcBorders>
            <w:vAlign w:val="center"/>
          </w:tcPr>
          <w:p w14:paraId="1CE09E3C">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41D5F3AF">
            <w:pPr>
              <w:spacing w:after="0" w:line="68" w:lineRule="atLeast"/>
              <w:rPr>
                <w:rFonts w:ascii="宋体" w:hAnsi="宋体" w:eastAsia="宋体" w:cs="宋体"/>
              </w:rPr>
            </w:pPr>
            <w:r>
              <w:rPr>
                <w:rFonts w:hint="eastAsia" w:ascii="宋体" w:hAnsi="宋体" w:eastAsia="宋体" w:cs="宋体"/>
              </w:rPr>
              <w:t>社会效益（5分）</w:t>
            </w:r>
          </w:p>
        </w:tc>
        <w:tc>
          <w:tcPr>
            <w:tcW w:w="1182" w:type="dxa"/>
            <w:tcBorders>
              <w:top w:val="single" w:color="000000" w:sz="4" w:space="0"/>
              <w:left w:val="single" w:color="000000" w:sz="4" w:space="0"/>
              <w:bottom w:val="single" w:color="000000" w:sz="4" w:space="0"/>
              <w:right w:val="single" w:color="auto" w:sz="4" w:space="0"/>
            </w:tcBorders>
            <w:vAlign w:val="center"/>
          </w:tcPr>
          <w:p w14:paraId="75A743EC">
            <w:pPr>
              <w:spacing w:after="0" w:line="68" w:lineRule="atLeast"/>
              <w:rPr>
                <w:rFonts w:ascii="宋体" w:hAnsi="宋体" w:eastAsia="宋体" w:cs="宋体"/>
              </w:rPr>
            </w:pPr>
            <w:r>
              <w:rPr>
                <w:rFonts w:hint="eastAsia" w:ascii="宋体" w:hAnsi="宋体" w:eastAsia="宋体" w:cs="宋体"/>
              </w:rPr>
              <w:t>社会公众满意度（5分）</w:t>
            </w:r>
          </w:p>
        </w:tc>
        <w:tc>
          <w:tcPr>
            <w:tcW w:w="6911" w:type="dxa"/>
            <w:tcBorders>
              <w:top w:val="single" w:color="000000" w:sz="4" w:space="0"/>
              <w:left w:val="single" w:color="auto" w:sz="4" w:space="0"/>
              <w:bottom w:val="single" w:color="000000" w:sz="4" w:space="0"/>
              <w:right w:val="single" w:color="auto" w:sz="4" w:space="0"/>
            </w:tcBorders>
            <w:vAlign w:val="center"/>
          </w:tcPr>
          <w:p w14:paraId="0D65958E">
            <w:pPr>
              <w:spacing w:after="0" w:line="68" w:lineRule="atLeast"/>
              <w:rPr>
                <w:rFonts w:ascii="宋体" w:hAnsi="宋体" w:eastAsia="宋体" w:cs="宋体"/>
              </w:rPr>
            </w:pPr>
            <w:r>
              <w:rPr>
                <w:rFonts w:hint="eastAsia" w:ascii="宋体" w:hAnsi="宋体" w:eastAsia="宋体" w:cs="宋体"/>
              </w:rPr>
              <w:t>通过问卷调查了解社会公众对部门履职效果、解决民众关心的热点问题、厉行节约等方面的满意程度，反映和评价部门支出所带来的社会效益。</w:t>
            </w:r>
          </w:p>
        </w:tc>
        <w:tc>
          <w:tcPr>
            <w:tcW w:w="3423" w:type="dxa"/>
            <w:tcBorders>
              <w:top w:val="single" w:color="000000" w:sz="4" w:space="0"/>
              <w:left w:val="single" w:color="auto" w:sz="4" w:space="0"/>
              <w:bottom w:val="single" w:color="000000" w:sz="4" w:space="0"/>
              <w:right w:val="single" w:color="auto" w:sz="4" w:space="0"/>
            </w:tcBorders>
            <w:vAlign w:val="center"/>
          </w:tcPr>
          <w:p w14:paraId="5F484DE1">
            <w:pPr>
              <w:spacing w:after="0" w:line="240" w:lineRule="exact"/>
              <w:rPr>
                <w:rFonts w:ascii="宋体" w:hAnsi="宋体" w:eastAsia="宋体" w:cs="宋体"/>
              </w:rPr>
            </w:pPr>
            <w:r>
              <w:rPr>
                <w:rFonts w:hint="eastAsia" w:ascii="宋体" w:hAnsi="宋体" w:eastAsia="宋体" w:cs="宋体"/>
              </w:rPr>
              <w:t>按照满意度调查的优秀、良好、合格、不合格给予该项指标打分：</w:t>
            </w:r>
          </w:p>
          <w:p w14:paraId="00EF5EAD">
            <w:pPr>
              <w:spacing w:after="0" w:line="68" w:lineRule="atLeast"/>
              <w:rPr>
                <w:rFonts w:ascii="宋体" w:hAnsi="宋体" w:eastAsia="宋体" w:cs="宋体"/>
              </w:rPr>
            </w:pPr>
            <w:r>
              <w:rPr>
                <w:rFonts w:hint="eastAsia" w:ascii="宋体" w:hAnsi="宋体" w:eastAsia="宋体" w:cs="宋体"/>
              </w:rPr>
              <w:t>优秀（5分）；良好（3分）；合格（1分）；不合格（0分）。</w:t>
            </w:r>
          </w:p>
        </w:tc>
        <w:tc>
          <w:tcPr>
            <w:tcW w:w="1090" w:type="dxa"/>
            <w:tcBorders>
              <w:top w:val="single" w:color="000000" w:sz="4" w:space="0"/>
              <w:left w:val="single" w:color="auto" w:sz="4" w:space="0"/>
              <w:bottom w:val="single" w:color="000000" w:sz="4" w:space="0"/>
              <w:right w:val="single" w:color="000000" w:sz="4" w:space="0"/>
            </w:tcBorders>
            <w:vAlign w:val="center"/>
          </w:tcPr>
          <w:p w14:paraId="67911CE2">
            <w:pPr>
              <w:spacing w:after="0" w:line="68" w:lineRule="atLeast"/>
              <w:rPr>
                <w:rFonts w:ascii="宋体" w:hAnsi="宋体" w:eastAsia="宋体" w:cs="宋体"/>
              </w:rPr>
            </w:pPr>
          </w:p>
        </w:tc>
      </w:tr>
      <w:tr w14:paraId="598327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733" w:type="dxa"/>
            <w:tcBorders>
              <w:left w:val="single" w:color="000000" w:sz="4" w:space="0"/>
              <w:right w:val="single" w:color="000000" w:sz="4" w:space="0"/>
            </w:tcBorders>
            <w:vAlign w:val="center"/>
          </w:tcPr>
          <w:p w14:paraId="0C540739">
            <w:pPr>
              <w:spacing w:after="0"/>
              <w:rPr>
                <w:rFonts w:ascii="宋体" w:hAnsi="宋体" w:eastAsia="宋体" w:cs="宋体"/>
              </w:rPr>
            </w:pPr>
            <w:r>
              <w:rPr>
                <w:rFonts w:hint="eastAsia" w:ascii="宋体" w:hAnsi="宋体" w:eastAsia="宋体" w:cs="宋体"/>
              </w:rPr>
              <w:t>小计</w:t>
            </w:r>
          </w:p>
        </w:tc>
        <w:tc>
          <w:tcPr>
            <w:tcW w:w="803" w:type="dxa"/>
            <w:tcBorders>
              <w:top w:val="single" w:color="auto" w:sz="4" w:space="0"/>
              <w:left w:val="single" w:color="000000" w:sz="4" w:space="0"/>
              <w:bottom w:val="single" w:color="auto" w:sz="4" w:space="0"/>
              <w:right w:val="single" w:color="000000" w:sz="4" w:space="0"/>
            </w:tcBorders>
            <w:vAlign w:val="center"/>
          </w:tcPr>
          <w:p w14:paraId="0D48FA43">
            <w:pPr>
              <w:spacing w:after="0" w:line="68" w:lineRule="atLeast"/>
              <w:rPr>
                <w:rFonts w:ascii="宋体" w:hAnsi="宋体" w:eastAsia="宋体" w:cs="宋体"/>
              </w:rPr>
            </w:pPr>
            <w:r>
              <w:rPr>
                <w:rFonts w:hint="eastAsia" w:ascii="宋体" w:hAnsi="宋体" w:eastAsia="宋体" w:cs="宋体"/>
              </w:rPr>
              <w:t>100</w:t>
            </w:r>
          </w:p>
        </w:tc>
        <w:tc>
          <w:tcPr>
            <w:tcW w:w="1182" w:type="dxa"/>
            <w:tcBorders>
              <w:top w:val="single" w:color="000000" w:sz="4" w:space="0"/>
              <w:left w:val="single" w:color="000000" w:sz="4" w:space="0"/>
              <w:bottom w:val="single" w:color="000000" w:sz="4" w:space="0"/>
              <w:right w:val="single" w:color="auto" w:sz="4" w:space="0"/>
            </w:tcBorders>
            <w:vAlign w:val="center"/>
          </w:tcPr>
          <w:p w14:paraId="48C0DB9C">
            <w:pPr>
              <w:spacing w:after="0" w:line="68" w:lineRule="atLeast"/>
              <w:rPr>
                <w:rFonts w:ascii="宋体" w:hAnsi="宋体" w:eastAsia="宋体" w:cs="宋体"/>
              </w:rPr>
            </w:pPr>
          </w:p>
        </w:tc>
        <w:tc>
          <w:tcPr>
            <w:tcW w:w="6911" w:type="dxa"/>
            <w:tcBorders>
              <w:top w:val="single" w:color="000000" w:sz="4" w:space="0"/>
              <w:left w:val="single" w:color="auto" w:sz="4" w:space="0"/>
              <w:bottom w:val="single" w:color="000000" w:sz="4" w:space="0"/>
              <w:right w:val="single" w:color="auto" w:sz="4" w:space="0"/>
            </w:tcBorders>
            <w:vAlign w:val="center"/>
          </w:tcPr>
          <w:p w14:paraId="3EF5908D">
            <w:pPr>
              <w:spacing w:after="0" w:line="68" w:lineRule="atLeast"/>
              <w:rPr>
                <w:rFonts w:ascii="宋体" w:hAnsi="宋体" w:eastAsia="宋体" w:cs="宋体"/>
              </w:rPr>
            </w:pPr>
          </w:p>
        </w:tc>
        <w:tc>
          <w:tcPr>
            <w:tcW w:w="3423" w:type="dxa"/>
            <w:tcBorders>
              <w:top w:val="single" w:color="000000" w:sz="4" w:space="0"/>
              <w:left w:val="single" w:color="auto" w:sz="4" w:space="0"/>
              <w:bottom w:val="single" w:color="000000" w:sz="4" w:space="0"/>
              <w:right w:val="single" w:color="auto" w:sz="4" w:space="0"/>
            </w:tcBorders>
            <w:vAlign w:val="center"/>
          </w:tcPr>
          <w:p w14:paraId="4051A574">
            <w:pPr>
              <w:spacing w:after="0" w:line="68" w:lineRule="atLeast"/>
              <w:rPr>
                <w:rFonts w:ascii="宋体" w:hAnsi="宋体" w:eastAsia="宋体" w:cs="宋体"/>
              </w:rPr>
            </w:pPr>
          </w:p>
        </w:tc>
        <w:tc>
          <w:tcPr>
            <w:tcW w:w="1090" w:type="dxa"/>
            <w:tcBorders>
              <w:top w:val="single" w:color="000000" w:sz="4" w:space="0"/>
              <w:left w:val="single" w:color="auto" w:sz="4" w:space="0"/>
              <w:bottom w:val="single" w:color="000000" w:sz="4" w:space="0"/>
              <w:right w:val="single" w:color="000000" w:sz="4" w:space="0"/>
            </w:tcBorders>
            <w:vAlign w:val="center"/>
          </w:tcPr>
          <w:p w14:paraId="5C3DAD72">
            <w:pPr>
              <w:spacing w:after="0" w:line="68" w:lineRule="atLeast"/>
              <w:rPr>
                <w:rFonts w:ascii="宋体" w:hAnsi="宋体" w:eastAsia="宋体" w:cs="宋体"/>
              </w:rPr>
            </w:pPr>
          </w:p>
        </w:tc>
      </w:tr>
      <w:tr w14:paraId="17E309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8" w:hRule="atLeast"/>
          <w:jc w:val="center"/>
        </w:trPr>
        <w:tc>
          <w:tcPr>
            <w:tcW w:w="733" w:type="dxa"/>
            <w:tcBorders>
              <w:left w:val="single" w:color="000000" w:sz="4" w:space="0"/>
              <w:bottom w:val="single" w:color="000000" w:sz="4" w:space="0"/>
              <w:right w:val="single" w:color="000000" w:sz="4" w:space="0"/>
            </w:tcBorders>
            <w:vAlign w:val="center"/>
          </w:tcPr>
          <w:p w14:paraId="06F1649F">
            <w:pPr>
              <w:spacing w:after="0"/>
              <w:rPr>
                <w:rFonts w:ascii="宋体" w:hAnsi="宋体" w:eastAsia="宋体" w:cs="宋体"/>
              </w:rPr>
            </w:pPr>
            <w:r>
              <w:rPr>
                <w:rFonts w:hint="eastAsia" w:ascii="宋体" w:hAnsi="宋体" w:eastAsia="宋体" w:cs="宋体"/>
              </w:rPr>
              <w:t>评价结果</w:t>
            </w:r>
          </w:p>
        </w:tc>
        <w:tc>
          <w:tcPr>
            <w:tcW w:w="803" w:type="dxa"/>
            <w:tcBorders>
              <w:top w:val="single" w:color="auto" w:sz="4" w:space="0"/>
              <w:left w:val="single" w:color="000000" w:sz="4" w:space="0"/>
              <w:bottom w:val="single" w:color="auto" w:sz="4" w:space="0"/>
              <w:right w:val="single" w:color="000000" w:sz="4" w:space="0"/>
            </w:tcBorders>
            <w:vAlign w:val="center"/>
          </w:tcPr>
          <w:p w14:paraId="6CC52F06">
            <w:pPr>
              <w:spacing w:after="0" w:line="68" w:lineRule="atLeas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7E716588">
            <w:pPr>
              <w:spacing w:after="0" w:line="68" w:lineRule="atLeast"/>
              <w:rPr>
                <w:rFonts w:ascii="宋体" w:hAnsi="宋体" w:eastAsia="宋体" w:cs="宋体"/>
              </w:rPr>
            </w:pPr>
          </w:p>
        </w:tc>
        <w:tc>
          <w:tcPr>
            <w:tcW w:w="10334" w:type="dxa"/>
            <w:gridSpan w:val="2"/>
            <w:tcBorders>
              <w:top w:val="single" w:color="000000" w:sz="4" w:space="0"/>
              <w:left w:val="single" w:color="auto" w:sz="4" w:space="0"/>
              <w:bottom w:val="single" w:color="000000" w:sz="4" w:space="0"/>
              <w:right w:val="single" w:color="auto" w:sz="4" w:space="0"/>
            </w:tcBorders>
            <w:vAlign w:val="center"/>
          </w:tcPr>
          <w:p w14:paraId="4A357CEA">
            <w:pPr>
              <w:spacing w:after="0" w:line="68" w:lineRule="atLeast"/>
              <w:rPr>
                <w:rFonts w:ascii="宋体" w:hAnsi="宋体" w:eastAsia="宋体" w:cs="宋体"/>
              </w:rPr>
            </w:pPr>
            <w:r>
              <w:rPr>
                <w:rFonts w:hint="eastAsia" w:ascii="宋体" w:hAnsi="宋体" w:eastAsia="宋体" w:cs="宋体"/>
              </w:rPr>
              <w:t xml:space="preserve">□优秀  90分≤得分≤100分； </w:t>
            </w:r>
            <w:r>
              <w:rPr>
                <w:rFonts w:hint="eastAsia" w:ascii="宋体" w:hAnsi="宋体" w:eastAsia="宋体" w:cs="宋体"/>
              </w:rPr>
              <w:sym w:font="Wingdings 2" w:char="0052"/>
            </w:r>
            <w:r>
              <w:rPr>
                <w:rFonts w:hint="eastAsia" w:ascii="宋体" w:hAnsi="宋体" w:eastAsia="宋体" w:cs="宋体"/>
              </w:rPr>
              <w:t>良好  80分≤得分≤89分；</w:t>
            </w:r>
          </w:p>
          <w:p w14:paraId="020DFE06">
            <w:pPr>
              <w:spacing w:after="0" w:line="68" w:lineRule="atLeast"/>
              <w:rPr>
                <w:rFonts w:ascii="宋体" w:hAnsi="宋体" w:eastAsia="宋体" w:cs="宋体"/>
              </w:rPr>
            </w:pPr>
            <w:r>
              <w:rPr>
                <w:rFonts w:hint="eastAsia" w:ascii="宋体" w:hAnsi="宋体" w:eastAsia="宋体" w:cs="宋体"/>
              </w:rPr>
              <w:t xml:space="preserve">  □中  60分≤得分≤79分；  □较差  0≤得分≤59分</w:t>
            </w:r>
          </w:p>
        </w:tc>
        <w:tc>
          <w:tcPr>
            <w:tcW w:w="1090" w:type="dxa"/>
            <w:tcBorders>
              <w:top w:val="single" w:color="000000" w:sz="4" w:space="0"/>
              <w:left w:val="single" w:color="auto" w:sz="4" w:space="0"/>
              <w:bottom w:val="single" w:color="000000" w:sz="4" w:space="0"/>
              <w:right w:val="single" w:color="000000" w:sz="4" w:space="0"/>
            </w:tcBorders>
            <w:vAlign w:val="center"/>
          </w:tcPr>
          <w:p w14:paraId="09889B78">
            <w:pPr>
              <w:spacing w:after="0" w:line="68" w:lineRule="atLeast"/>
              <w:rPr>
                <w:rFonts w:ascii="宋体" w:hAnsi="宋体" w:eastAsia="宋体" w:cs="宋体"/>
              </w:rPr>
            </w:pPr>
          </w:p>
        </w:tc>
      </w:tr>
    </w:tbl>
    <w:p w14:paraId="1838053E">
      <w:pPr>
        <w:spacing w:line="432" w:lineRule="auto"/>
      </w:pPr>
    </w:p>
    <w:p w14:paraId="61FE3445">
      <w:pPr>
        <w:rPr>
          <w:rFonts w:ascii="黑体" w:hAnsi="黑体" w:eastAsia="黑体"/>
          <w:sz w:val="32"/>
          <w:szCs w:val="32"/>
        </w:rPr>
      </w:pPr>
      <w:r>
        <w:rPr>
          <w:rFonts w:hint="eastAsia" w:ascii="黑体" w:hAnsi="黑体" w:eastAsia="黑体"/>
          <w:sz w:val="32"/>
          <w:szCs w:val="32"/>
        </w:rPr>
        <w:br w:type="page"/>
      </w:r>
      <w:r>
        <w:rPr>
          <w:rFonts w:hint="eastAsia" w:ascii="黑体" w:hAnsi="黑体" w:eastAsia="黑体"/>
          <w:sz w:val="28"/>
          <w:szCs w:val="28"/>
        </w:rPr>
        <w:t>附件3</w:t>
      </w:r>
    </w:p>
    <w:p w14:paraId="1A9DB2B4">
      <w:pPr>
        <w:spacing w:after="0"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中方县政府网站及政务新媒体信息发布审查表</w:t>
      </w:r>
    </w:p>
    <w:p w14:paraId="4667C948">
      <w:pPr>
        <w:spacing w:after="0" w:line="400" w:lineRule="exact"/>
        <w:jc w:val="center"/>
        <w:rPr>
          <w:rFonts w:ascii="方正小标宋简体" w:hAnsi="Times New Roman" w:eastAsia="方正小标宋简体"/>
          <w:sz w:val="44"/>
          <w:szCs w:val="44"/>
        </w:rPr>
      </w:pPr>
    </w:p>
    <w:p w14:paraId="425CEE3B">
      <w:pPr>
        <w:rPr>
          <w:rFonts w:ascii="宋体" w:hAnsi="宋体" w:eastAsia="宋体" w:cs="宋体"/>
          <w:sz w:val="24"/>
          <w:szCs w:val="24"/>
        </w:rPr>
      </w:pPr>
      <w:r>
        <w:rPr>
          <w:rFonts w:hint="eastAsia" w:ascii="宋体" w:hAnsi="宋体" w:eastAsia="宋体" w:cs="宋体"/>
          <w:sz w:val="24"/>
          <w:szCs w:val="24"/>
        </w:rPr>
        <w:t>单位：</w:t>
      </w:r>
      <w:r>
        <w:rPr>
          <w:rFonts w:hint="eastAsia" w:ascii="宋体" w:hAnsi="宋体" w:eastAsia="宋体" w:cs="宋体"/>
          <w:sz w:val="24"/>
          <w:szCs w:val="24"/>
          <w:lang w:eastAsia="zh-CN"/>
        </w:rPr>
        <w:t>中方县交通建设质量安全监督站</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2024</w:t>
      </w:r>
      <w:r>
        <w:rPr>
          <w:rFonts w:hint="eastAsia" w:ascii="宋体" w:hAnsi="宋体" w:eastAsia="宋体" w:cs="宋体"/>
          <w:sz w:val="24"/>
          <w:szCs w:val="24"/>
        </w:rPr>
        <w:t xml:space="preserve"> 年  </w:t>
      </w:r>
      <w:r>
        <w:rPr>
          <w:rFonts w:hint="eastAsia" w:ascii="宋体" w:hAnsi="宋体" w:eastAsia="宋体" w:cs="宋体"/>
          <w:sz w:val="24"/>
          <w:szCs w:val="24"/>
          <w:lang w:val="en-US" w:eastAsia="zh-CN"/>
        </w:rPr>
        <w:t>8</w:t>
      </w:r>
      <w:r>
        <w:rPr>
          <w:rFonts w:hint="eastAsia" w:ascii="宋体" w:hAnsi="宋体" w:eastAsia="宋体" w:cs="宋体"/>
          <w:sz w:val="24"/>
          <w:szCs w:val="24"/>
        </w:rPr>
        <w:t xml:space="preserve"> 月  </w:t>
      </w:r>
      <w:r>
        <w:rPr>
          <w:rFonts w:hint="eastAsia" w:ascii="宋体" w:hAnsi="宋体" w:eastAsia="宋体" w:cs="宋体"/>
          <w:sz w:val="24"/>
          <w:szCs w:val="24"/>
          <w:lang w:val="en-US" w:eastAsia="zh-CN"/>
        </w:rPr>
        <w:t>12</w:t>
      </w:r>
      <w:r>
        <w:rPr>
          <w:rFonts w:hint="eastAsia" w:ascii="宋体" w:hAnsi="宋体" w:eastAsia="宋体" w:cs="宋体"/>
          <w:sz w:val="24"/>
          <w:szCs w:val="24"/>
        </w:rPr>
        <w:t xml:space="preserve"> 日</w:t>
      </w:r>
    </w:p>
    <w:tbl>
      <w:tblPr>
        <w:tblStyle w:val="7"/>
        <w:tblW w:w="14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383"/>
        <w:gridCol w:w="3507"/>
        <w:gridCol w:w="2781"/>
        <w:gridCol w:w="3277"/>
        <w:gridCol w:w="2081"/>
      </w:tblGrid>
      <w:tr w14:paraId="1630EF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W w:w="709" w:type="dxa"/>
            <w:vAlign w:val="bottom"/>
          </w:tcPr>
          <w:p w14:paraId="7A700060">
            <w:pPr>
              <w:spacing w:after="0"/>
              <w:jc w:val="center"/>
              <w:rPr>
                <w:rFonts w:ascii="宋体" w:hAnsi="宋体" w:eastAsia="宋体" w:cs="宋体"/>
                <w:b/>
                <w:bCs/>
                <w:sz w:val="24"/>
                <w:szCs w:val="24"/>
              </w:rPr>
            </w:pPr>
            <w:r>
              <w:rPr>
                <w:rFonts w:hint="eastAsia" w:ascii="宋体" w:hAnsi="宋体" w:eastAsia="宋体" w:cs="宋体"/>
                <w:b/>
                <w:bCs/>
                <w:sz w:val="24"/>
                <w:szCs w:val="24"/>
              </w:rPr>
              <w:t>序号</w:t>
            </w:r>
          </w:p>
        </w:tc>
        <w:tc>
          <w:tcPr>
            <w:tcW w:w="2383" w:type="dxa"/>
            <w:vAlign w:val="bottom"/>
          </w:tcPr>
          <w:p w14:paraId="338DE862">
            <w:pPr>
              <w:spacing w:after="0"/>
              <w:jc w:val="center"/>
              <w:rPr>
                <w:rFonts w:ascii="宋体" w:hAnsi="宋体" w:eastAsia="宋体" w:cs="宋体"/>
                <w:b/>
                <w:bCs/>
                <w:sz w:val="24"/>
                <w:szCs w:val="24"/>
              </w:rPr>
            </w:pPr>
            <w:r>
              <w:rPr>
                <w:rFonts w:hint="eastAsia" w:ascii="宋体" w:hAnsi="宋体" w:eastAsia="宋体" w:cs="宋体"/>
                <w:b/>
                <w:bCs/>
                <w:sz w:val="24"/>
                <w:szCs w:val="24"/>
              </w:rPr>
              <w:t>信息名称</w:t>
            </w:r>
          </w:p>
        </w:tc>
        <w:tc>
          <w:tcPr>
            <w:tcW w:w="3507" w:type="dxa"/>
            <w:vAlign w:val="bottom"/>
          </w:tcPr>
          <w:p w14:paraId="6D61B8C4">
            <w:pPr>
              <w:spacing w:after="0"/>
              <w:jc w:val="center"/>
              <w:rPr>
                <w:rFonts w:ascii="宋体" w:hAnsi="宋体" w:eastAsia="宋体" w:cs="宋体"/>
                <w:b/>
                <w:bCs/>
                <w:sz w:val="24"/>
                <w:szCs w:val="24"/>
              </w:rPr>
            </w:pPr>
            <w:r>
              <w:rPr>
                <w:rFonts w:hint="eastAsia" w:ascii="宋体" w:hAnsi="宋体" w:eastAsia="宋体" w:cs="宋体"/>
                <w:b/>
                <w:bCs/>
                <w:sz w:val="24"/>
                <w:szCs w:val="24"/>
              </w:rPr>
              <w:t>信息来源</w:t>
            </w:r>
          </w:p>
        </w:tc>
        <w:tc>
          <w:tcPr>
            <w:tcW w:w="2781" w:type="dxa"/>
            <w:vAlign w:val="bottom"/>
          </w:tcPr>
          <w:p w14:paraId="033E4128">
            <w:pPr>
              <w:spacing w:after="0"/>
              <w:jc w:val="center"/>
              <w:rPr>
                <w:rFonts w:ascii="宋体" w:hAnsi="宋体" w:eastAsia="宋体" w:cs="宋体"/>
                <w:b/>
                <w:bCs/>
                <w:sz w:val="24"/>
                <w:szCs w:val="24"/>
              </w:rPr>
            </w:pPr>
            <w:r>
              <w:rPr>
                <w:rFonts w:hint="eastAsia" w:ascii="宋体" w:hAnsi="宋体" w:eastAsia="宋体" w:cs="宋体"/>
                <w:b/>
                <w:bCs/>
                <w:sz w:val="24"/>
                <w:szCs w:val="24"/>
              </w:rPr>
              <w:t>发布形式</w:t>
            </w:r>
          </w:p>
        </w:tc>
        <w:tc>
          <w:tcPr>
            <w:tcW w:w="3277" w:type="dxa"/>
            <w:vAlign w:val="bottom"/>
          </w:tcPr>
          <w:p w14:paraId="3FE7BC30">
            <w:pPr>
              <w:spacing w:after="0"/>
              <w:jc w:val="center"/>
              <w:rPr>
                <w:rFonts w:ascii="宋体" w:hAnsi="宋体" w:eastAsia="宋体" w:cs="宋体"/>
                <w:b/>
                <w:bCs/>
                <w:sz w:val="24"/>
                <w:szCs w:val="24"/>
              </w:rPr>
            </w:pPr>
            <w:r>
              <w:rPr>
                <w:rFonts w:hint="eastAsia" w:ascii="宋体" w:hAnsi="宋体" w:eastAsia="宋体" w:cs="宋体"/>
                <w:b/>
                <w:bCs/>
                <w:sz w:val="24"/>
                <w:szCs w:val="24"/>
              </w:rPr>
              <w:t>保密机构或保密员</w:t>
            </w:r>
            <w:r>
              <w:rPr>
                <w:rFonts w:hint="eastAsia" w:ascii="宋体" w:hAnsi="宋体" w:eastAsia="宋体" w:cs="宋体"/>
                <w:b/>
                <w:bCs/>
                <w:sz w:val="24"/>
                <w:szCs w:val="24"/>
                <w:u w:val="single"/>
              </w:rPr>
              <w:t>复审</w:t>
            </w:r>
          </w:p>
        </w:tc>
        <w:tc>
          <w:tcPr>
            <w:tcW w:w="2081" w:type="dxa"/>
            <w:vAlign w:val="bottom"/>
          </w:tcPr>
          <w:p w14:paraId="5A9CBC83">
            <w:pPr>
              <w:spacing w:after="0"/>
              <w:jc w:val="center"/>
              <w:rPr>
                <w:rFonts w:ascii="宋体" w:hAnsi="宋体" w:eastAsia="宋体" w:cs="宋体"/>
                <w:b/>
                <w:bCs/>
                <w:sz w:val="24"/>
                <w:szCs w:val="24"/>
              </w:rPr>
            </w:pPr>
            <w:r>
              <w:rPr>
                <w:rFonts w:hint="eastAsia" w:ascii="宋体" w:hAnsi="宋体" w:eastAsia="宋体" w:cs="宋体"/>
                <w:b/>
                <w:bCs/>
                <w:sz w:val="24"/>
                <w:szCs w:val="24"/>
              </w:rPr>
              <w:t>主管领导</w:t>
            </w:r>
            <w:r>
              <w:rPr>
                <w:rFonts w:hint="eastAsia" w:ascii="宋体" w:hAnsi="宋体" w:eastAsia="宋体" w:cs="宋体"/>
                <w:b/>
                <w:bCs/>
                <w:sz w:val="24"/>
                <w:szCs w:val="24"/>
                <w:u w:val="single"/>
              </w:rPr>
              <w:t>终审</w:t>
            </w:r>
          </w:p>
        </w:tc>
      </w:tr>
      <w:tr w14:paraId="4B9610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7EF68B64">
            <w:pPr>
              <w:spacing w:after="0" w:line="500" w:lineRule="exact"/>
              <w:jc w:val="center"/>
              <w:rPr>
                <w:rFonts w:hint="eastAsia" w:ascii="宋体" w:hAnsi="宋体" w:eastAsia="宋体" w:cs="宋体"/>
                <w:lang w:val="en-US" w:eastAsia="zh-CN"/>
              </w:rPr>
            </w:pPr>
            <w:r>
              <w:rPr>
                <w:rFonts w:hint="eastAsia" w:ascii="宋体" w:hAnsi="宋体" w:eastAsia="宋体" w:cs="宋体"/>
                <w:lang w:val="en-US" w:eastAsia="zh-CN"/>
              </w:rPr>
              <w:t>1</w:t>
            </w:r>
          </w:p>
        </w:tc>
        <w:tc>
          <w:tcPr>
            <w:tcW w:w="2383" w:type="dxa"/>
            <w:vAlign w:val="center"/>
          </w:tcPr>
          <w:p w14:paraId="7932B178">
            <w:pPr>
              <w:spacing w:after="0" w:line="500" w:lineRule="exact"/>
              <w:jc w:val="center"/>
              <w:rPr>
                <w:rFonts w:hint="default" w:ascii="宋体" w:hAnsi="宋体" w:eastAsia="宋体" w:cs="宋体"/>
                <w:lang w:val="en-US" w:eastAsia="zh-CN"/>
              </w:rPr>
            </w:pPr>
            <w:r>
              <w:rPr>
                <w:rFonts w:hint="eastAsia" w:ascii="宋体" w:hAnsi="宋体" w:eastAsia="宋体" w:cs="宋体"/>
                <w:lang w:eastAsia="zh-CN"/>
              </w:rPr>
              <w:t>交通质安站</w:t>
            </w:r>
            <w:r>
              <w:rPr>
                <w:rFonts w:hint="eastAsia" w:ascii="宋体" w:hAnsi="宋体" w:eastAsia="宋体" w:cs="宋体"/>
                <w:lang w:val="en-US" w:eastAsia="zh-CN"/>
              </w:rPr>
              <w:t>2023年部门整体支出绩效自评报告</w:t>
            </w:r>
            <w:bookmarkStart w:id="0" w:name="_GoBack"/>
            <w:bookmarkEnd w:id="0"/>
          </w:p>
        </w:tc>
        <w:tc>
          <w:tcPr>
            <w:tcW w:w="3507" w:type="dxa"/>
            <w:vAlign w:val="center"/>
          </w:tcPr>
          <w:p w14:paraId="545ACC71">
            <w:pPr>
              <w:spacing w:after="0" w:line="500" w:lineRule="exact"/>
              <w:rPr>
                <w:rFonts w:ascii="宋体" w:hAnsi="宋体" w:eastAsia="宋体" w:cs="宋体"/>
              </w:rPr>
            </w:pPr>
            <w:r>
              <w:rPr>
                <w:rFonts w:hint="eastAsia" w:ascii="宋体" w:hAnsi="宋体" w:eastAsia="宋体" w:cs="宋体"/>
              </w:rPr>
              <w:t>本机关、单位制发  □</w:t>
            </w:r>
          </w:p>
          <w:p w14:paraId="5D4B95EB">
            <w:pPr>
              <w:spacing w:after="0" w:line="500" w:lineRule="exact"/>
              <w:rPr>
                <w:rFonts w:ascii="宋体" w:hAnsi="宋体" w:eastAsia="宋体" w:cs="宋体"/>
              </w:rPr>
            </w:pPr>
            <w:r>
              <w:rPr>
                <w:rFonts w:hint="eastAsia" w:ascii="宋体" w:hAnsi="宋体" w:eastAsia="宋体" w:cs="宋体"/>
              </w:rPr>
              <w:t>转载（注明转载来源）：</w:t>
            </w:r>
          </w:p>
          <w:p w14:paraId="30D08DFE">
            <w:pPr>
              <w:spacing w:after="0" w:line="500" w:lineRule="exact"/>
              <w:rPr>
                <w:rFonts w:ascii="宋体" w:hAnsi="宋体" w:eastAsia="宋体" w:cs="宋体"/>
                <w:u w:val="single"/>
              </w:rPr>
            </w:pPr>
            <w:r>
              <w:rPr>
                <w:rFonts w:hint="eastAsia" w:ascii="宋体" w:hAnsi="宋体" w:eastAsia="宋体" w:cs="宋体"/>
                <w:u w:val="single"/>
              </w:rPr>
              <w:t xml:space="preserve">                           </w:t>
            </w:r>
          </w:p>
        </w:tc>
        <w:tc>
          <w:tcPr>
            <w:tcW w:w="2781" w:type="dxa"/>
            <w:vAlign w:val="center"/>
          </w:tcPr>
          <w:p w14:paraId="188C2B79">
            <w:pPr>
              <w:spacing w:after="0" w:line="500" w:lineRule="exact"/>
              <w:rPr>
                <w:rFonts w:ascii="宋体" w:hAnsi="宋体" w:eastAsia="宋体" w:cs="宋体"/>
              </w:rPr>
            </w:pPr>
            <w:r>
              <w:rPr>
                <w:rFonts w:hint="eastAsia" w:ascii="宋体" w:hAnsi="宋体" w:eastAsia="宋体" w:cs="宋体"/>
              </w:rPr>
              <w:t>政府网站主动公开  □</w:t>
            </w:r>
          </w:p>
          <w:p w14:paraId="1E2DDD58">
            <w:pPr>
              <w:spacing w:after="0" w:line="500" w:lineRule="exact"/>
              <w:rPr>
                <w:rFonts w:ascii="宋体" w:hAnsi="宋体" w:eastAsia="宋体" w:cs="宋体"/>
              </w:rPr>
            </w:pPr>
            <w:r>
              <w:rPr>
                <w:rFonts w:hint="eastAsia" w:ascii="宋体" w:hAnsi="宋体" w:eastAsia="宋体" w:cs="宋体"/>
              </w:rPr>
              <w:t xml:space="preserve">依申请公开        </w:t>
            </w:r>
            <w:r>
              <w:rPr>
                <w:rFonts w:hint="eastAsia" w:ascii="宋体" w:hAnsi="宋体" w:eastAsia="宋体" w:cs="宋体"/>
              </w:rPr>
              <w:sym w:font="Wingdings 2" w:char="0052"/>
            </w:r>
          </w:p>
          <w:p w14:paraId="71A64363">
            <w:pPr>
              <w:spacing w:after="0" w:line="500" w:lineRule="exact"/>
              <w:rPr>
                <w:rFonts w:ascii="宋体" w:hAnsi="宋体" w:eastAsia="宋体" w:cs="宋体"/>
              </w:rPr>
            </w:pPr>
            <w:r>
              <w:rPr>
                <w:rFonts w:hint="eastAsia" w:ascii="宋体" w:hAnsi="宋体" w:eastAsia="宋体" w:cs="宋体"/>
              </w:rPr>
              <w:t>其他</w:t>
            </w:r>
            <w:r>
              <w:rPr>
                <w:rFonts w:hint="eastAsia" w:ascii="宋体" w:hAnsi="宋体" w:eastAsia="宋体" w:cs="宋体"/>
                <w:u w:val="single"/>
              </w:rPr>
              <w:t xml:space="preserve">                </w:t>
            </w:r>
          </w:p>
        </w:tc>
        <w:tc>
          <w:tcPr>
            <w:tcW w:w="3277" w:type="dxa"/>
            <w:vAlign w:val="center"/>
          </w:tcPr>
          <w:p w14:paraId="55B60073">
            <w:pPr>
              <w:spacing w:after="0" w:line="500" w:lineRule="exact"/>
              <w:rPr>
                <w:rFonts w:ascii="宋体" w:hAnsi="宋体" w:eastAsia="宋体" w:cs="宋体"/>
              </w:rPr>
            </w:pPr>
            <w:r>
              <w:rPr>
                <w:rFonts w:hint="eastAsia" w:ascii="宋体" w:hAnsi="宋体" w:eastAsia="宋体" w:cs="宋体"/>
              </w:rPr>
              <w:t>非涉密，同意公开□</w:t>
            </w:r>
          </w:p>
          <w:p w14:paraId="404B349F">
            <w:pPr>
              <w:spacing w:after="0" w:line="500" w:lineRule="exact"/>
              <w:rPr>
                <w:rFonts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14:paraId="3483E6F2">
            <w:pPr>
              <w:spacing w:after="0" w:line="500" w:lineRule="exact"/>
              <w:jc w:val="center"/>
              <w:rPr>
                <w:rFonts w:ascii="宋体" w:hAnsi="宋体" w:eastAsia="宋体" w:cs="宋体"/>
              </w:rPr>
            </w:pPr>
          </w:p>
        </w:tc>
      </w:tr>
      <w:tr w14:paraId="0646BF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17022AAD">
            <w:pPr>
              <w:spacing w:after="0" w:line="500" w:lineRule="exact"/>
              <w:jc w:val="center"/>
              <w:rPr>
                <w:rFonts w:ascii="宋体" w:hAnsi="宋体" w:eastAsia="宋体" w:cs="宋体"/>
              </w:rPr>
            </w:pPr>
          </w:p>
        </w:tc>
        <w:tc>
          <w:tcPr>
            <w:tcW w:w="2383" w:type="dxa"/>
            <w:vAlign w:val="center"/>
          </w:tcPr>
          <w:p w14:paraId="164E6ED8">
            <w:pPr>
              <w:spacing w:after="0" w:line="500" w:lineRule="exact"/>
              <w:jc w:val="center"/>
              <w:rPr>
                <w:rFonts w:ascii="宋体" w:hAnsi="宋体" w:eastAsia="宋体" w:cs="宋体"/>
              </w:rPr>
            </w:pPr>
          </w:p>
        </w:tc>
        <w:tc>
          <w:tcPr>
            <w:tcW w:w="3507" w:type="dxa"/>
            <w:vAlign w:val="center"/>
          </w:tcPr>
          <w:p w14:paraId="58257457">
            <w:pPr>
              <w:spacing w:after="0" w:line="500" w:lineRule="exact"/>
              <w:rPr>
                <w:rFonts w:ascii="宋体" w:hAnsi="宋体" w:eastAsia="宋体" w:cs="宋体"/>
              </w:rPr>
            </w:pPr>
            <w:r>
              <w:rPr>
                <w:rFonts w:hint="eastAsia" w:ascii="宋体" w:hAnsi="宋体" w:eastAsia="宋体" w:cs="宋体"/>
              </w:rPr>
              <w:t>本机关、单位制发  □</w:t>
            </w:r>
          </w:p>
          <w:p w14:paraId="0F9A478D">
            <w:pPr>
              <w:spacing w:after="0" w:line="500" w:lineRule="exact"/>
              <w:rPr>
                <w:rFonts w:ascii="宋体" w:hAnsi="宋体" w:eastAsia="宋体" w:cs="宋体"/>
              </w:rPr>
            </w:pPr>
            <w:r>
              <w:rPr>
                <w:rFonts w:hint="eastAsia" w:ascii="宋体" w:hAnsi="宋体" w:eastAsia="宋体" w:cs="宋体"/>
              </w:rPr>
              <w:t>转载（注明转载来源）：</w:t>
            </w:r>
          </w:p>
          <w:p w14:paraId="4272ACDE">
            <w:pPr>
              <w:spacing w:after="0" w:line="500" w:lineRule="exact"/>
              <w:rPr>
                <w:rFonts w:ascii="宋体" w:hAnsi="宋体" w:eastAsia="宋体" w:cs="宋体"/>
              </w:rPr>
            </w:pPr>
            <w:r>
              <w:rPr>
                <w:rFonts w:hint="eastAsia" w:ascii="宋体" w:hAnsi="宋体" w:eastAsia="宋体" w:cs="宋体"/>
                <w:u w:val="single"/>
              </w:rPr>
              <w:t xml:space="preserve">                            </w:t>
            </w:r>
          </w:p>
        </w:tc>
        <w:tc>
          <w:tcPr>
            <w:tcW w:w="2781" w:type="dxa"/>
            <w:vAlign w:val="center"/>
          </w:tcPr>
          <w:p w14:paraId="3825FCE9">
            <w:pPr>
              <w:spacing w:after="0" w:line="500" w:lineRule="exact"/>
              <w:rPr>
                <w:rFonts w:ascii="宋体" w:hAnsi="宋体" w:eastAsia="宋体" w:cs="宋体"/>
              </w:rPr>
            </w:pPr>
            <w:r>
              <w:rPr>
                <w:rFonts w:hint="eastAsia" w:ascii="宋体" w:hAnsi="宋体" w:eastAsia="宋体" w:cs="宋体"/>
              </w:rPr>
              <w:t>政府网站主动公开  □</w:t>
            </w:r>
          </w:p>
          <w:p w14:paraId="75B0D172">
            <w:pPr>
              <w:spacing w:after="0" w:line="500" w:lineRule="exact"/>
              <w:rPr>
                <w:rFonts w:ascii="宋体" w:hAnsi="宋体" w:eastAsia="宋体" w:cs="宋体"/>
              </w:rPr>
            </w:pPr>
            <w:r>
              <w:rPr>
                <w:rFonts w:hint="eastAsia" w:ascii="宋体" w:hAnsi="宋体" w:eastAsia="宋体" w:cs="宋体"/>
              </w:rPr>
              <w:t>依申请公开        □</w:t>
            </w:r>
          </w:p>
          <w:p w14:paraId="0A8A25D7">
            <w:pPr>
              <w:spacing w:after="0" w:line="500" w:lineRule="exact"/>
              <w:rPr>
                <w:rFonts w:ascii="宋体" w:hAnsi="宋体" w:eastAsia="宋体" w:cs="宋体"/>
              </w:rPr>
            </w:pPr>
            <w:r>
              <w:rPr>
                <w:rFonts w:hint="eastAsia" w:ascii="宋体" w:hAnsi="宋体" w:eastAsia="宋体" w:cs="宋体"/>
              </w:rPr>
              <w:t>其他</w:t>
            </w:r>
            <w:r>
              <w:rPr>
                <w:rFonts w:hint="eastAsia" w:ascii="宋体" w:hAnsi="宋体" w:eastAsia="宋体" w:cs="宋体"/>
                <w:u w:val="single"/>
              </w:rPr>
              <w:t xml:space="preserve">                </w:t>
            </w:r>
          </w:p>
        </w:tc>
        <w:tc>
          <w:tcPr>
            <w:tcW w:w="3277" w:type="dxa"/>
            <w:vAlign w:val="center"/>
          </w:tcPr>
          <w:p w14:paraId="57DFB7B5">
            <w:pPr>
              <w:spacing w:after="0" w:line="500" w:lineRule="exact"/>
              <w:rPr>
                <w:rFonts w:ascii="宋体" w:hAnsi="宋体" w:eastAsia="宋体" w:cs="宋体"/>
              </w:rPr>
            </w:pPr>
            <w:r>
              <w:rPr>
                <w:rFonts w:hint="eastAsia" w:ascii="宋体" w:hAnsi="宋体" w:eastAsia="宋体" w:cs="宋体"/>
              </w:rPr>
              <w:t>非涉密，同意公开□</w:t>
            </w:r>
          </w:p>
          <w:p w14:paraId="1698289B">
            <w:pPr>
              <w:spacing w:after="0" w:line="500" w:lineRule="exact"/>
              <w:rPr>
                <w:rFonts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14:paraId="3EF68072">
            <w:pPr>
              <w:spacing w:after="0" w:line="500" w:lineRule="exact"/>
              <w:jc w:val="center"/>
              <w:rPr>
                <w:rFonts w:ascii="宋体" w:hAnsi="宋体" w:eastAsia="宋体" w:cs="宋体"/>
              </w:rPr>
            </w:pPr>
          </w:p>
        </w:tc>
      </w:tr>
      <w:tr w14:paraId="6C644E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9380" w:type="dxa"/>
            <w:gridSpan w:val="4"/>
            <w:vAlign w:val="center"/>
          </w:tcPr>
          <w:p w14:paraId="79B5A6CE">
            <w:pPr>
              <w:spacing w:after="0" w:line="500" w:lineRule="exact"/>
              <w:rPr>
                <w:rFonts w:ascii="宋体" w:hAnsi="宋体" w:eastAsia="宋体" w:cs="宋体"/>
              </w:rPr>
            </w:pPr>
            <w:r>
              <w:rPr>
                <w:rFonts w:hint="eastAsia" w:ascii="宋体" w:hAnsi="宋体" w:eastAsia="宋体" w:cs="宋体"/>
              </w:rPr>
              <w:t>承办人</w:t>
            </w:r>
            <w:r>
              <w:rPr>
                <w:rFonts w:hint="eastAsia" w:ascii="宋体" w:hAnsi="宋体" w:eastAsia="宋体" w:cs="宋体"/>
                <w:u w:val="single"/>
              </w:rPr>
              <w:t>初审</w:t>
            </w:r>
            <w:r>
              <w:rPr>
                <w:rFonts w:hint="eastAsia" w:ascii="宋体" w:hAnsi="宋体" w:eastAsia="宋体" w:cs="宋体"/>
              </w:rPr>
              <w:t>（签字）</w:t>
            </w:r>
          </w:p>
        </w:tc>
        <w:tc>
          <w:tcPr>
            <w:tcW w:w="3277" w:type="dxa"/>
            <w:vAlign w:val="center"/>
          </w:tcPr>
          <w:p w14:paraId="21AF85F8">
            <w:pPr>
              <w:spacing w:after="0" w:line="500" w:lineRule="exact"/>
              <w:rPr>
                <w:rFonts w:ascii="宋体" w:hAnsi="宋体" w:eastAsia="宋体" w:cs="宋体"/>
              </w:rPr>
            </w:pPr>
            <w:r>
              <w:rPr>
                <w:rFonts w:hint="eastAsia" w:ascii="宋体" w:hAnsi="宋体" w:eastAsia="宋体" w:cs="宋体"/>
              </w:rPr>
              <w:t>（签字）</w:t>
            </w:r>
          </w:p>
        </w:tc>
        <w:tc>
          <w:tcPr>
            <w:tcW w:w="2081" w:type="dxa"/>
            <w:vAlign w:val="center"/>
          </w:tcPr>
          <w:p w14:paraId="053FD874">
            <w:pPr>
              <w:spacing w:after="0" w:line="500" w:lineRule="exact"/>
              <w:rPr>
                <w:rFonts w:ascii="宋体" w:hAnsi="宋体" w:eastAsia="宋体" w:cs="宋体"/>
              </w:rPr>
            </w:pPr>
            <w:r>
              <w:rPr>
                <w:rFonts w:hint="eastAsia" w:ascii="宋体" w:hAnsi="宋体" w:eastAsia="宋体" w:cs="宋体"/>
              </w:rPr>
              <w:t>（签字）</w:t>
            </w:r>
          </w:p>
        </w:tc>
      </w:tr>
    </w:tbl>
    <w:p w14:paraId="47397BBF">
      <w:pPr>
        <w:spacing w:after="0" w:line="400" w:lineRule="exact"/>
        <w:ind w:firstLine="440" w:firstLineChars="200"/>
        <w:rPr>
          <w:rFonts w:ascii="宋体" w:hAnsi="宋体" w:eastAsia="宋体" w:cs="宋体"/>
        </w:rPr>
      </w:pPr>
    </w:p>
    <w:p w14:paraId="03BC4131">
      <w:pPr>
        <w:spacing w:after="0" w:line="400" w:lineRule="exact"/>
        <w:ind w:firstLine="440" w:firstLineChars="200"/>
        <w:rPr>
          <w:rFonts w:ascii="宋体" w:hAnsi="宋体" w:eastAsia="宋体" w:cs="宋体"/>
        </w:rPr>
      </w:pPr>
      <w:r>
        <w:rPr>
          <w:rFonts w:hint="eastAsia" w:ascii="宋体" w:hAnsi="宋体" w:eastAsia="宋体" w:cs="宋体"/>
        </w:rPr>
        <w:t>注：1.机关、单位政府网站及政务新媒体发布信息前要认真填写本表；</w:t>
      </w:r>
    </w:p>
    <w:p w14:paraId="093C429D">
      <w:pPr>
        <w:spacing w:after="0" w:line="400" w:lineRule="exact"/>
        <w:ind w:firstLine="880" w:firstLineChars="400"/>
        <w:rPr>
          <w:rFonts w:ascii="宋体" w:hAnsi="宋体" w:eastAsia="宋体" w:cs="宋体"/>
        </w:rPr>
      </w:pPr>
      <w:r>
        <w:rPr>
          <w:rFonts w:hint="eastAsia" w:ascii="宋体" w:hAnsi="宋体" w:eastAsia="宋体" w:cs="宋体"/>
        </w:rPr>
        <w:t>2.严格落实信息发布保密审查制度和“三审制”，请在相应的“□”打“√”或填写意见；</w:t>
      </w:r>
    </w:p>
    <w:p w14:paraId="17E05767">
      <w:pPr>
        <w:spacing w:after="0" w:line="400" w:lineRule="exact"/>
        <w:ind w:firstLine="880" w:firstLineChars="400"/>
        <w:rPr>
          <w:rFonts w:ascii="宋体" w:hAnsi="宋体" w:eastAsia="宋体" w:cs="宋体"/>
        </w:rPr>
      </w:pPr>
      <w:r>
        <w:rPr>
          <w:rFonts w:hint="eastAsia" w:ascii="宋体" w:hAnsi="宋体" w:eastAsia="宋体" w:cs="宋体"/>
        </w:rPr>
        <w:t>3.信息发布要严把文字、保密、政治关，不能确定信息是否可以公开时，要组织保密审查并报上级部门确认；</w:t>
      </w:r>
    </w:p>
    <w:p w14:paraId="521D89C1">
      <w:pPr>
        <w:spacing w:after="0" w:line="400" w:lineRule="exact"/>
        <w:ind w:firstLine="880" w:firstLineChars="400"/>
        <w:rPr>
          <w:rFonts w:ascii="宋体" w:hAnsi="宋体" w:eastAsia="宋体" w:cs="宋体"/>
        </w:rPr>
      </w:pPr>
      <w:r>
        <w:rPr>
          <w:rFonts w:hint="eastAsia" w:ascii="宋体" w:hAnsi="宋体" w:eastAsia="宋体" w:cs="宋体"/>
        </w:rPr>
        <w:t>4.本表由本机关、单位负责组织填写和保管</w:t>
      </w:r>
    </w:p>
    <w:sectPr>
      <w:footerReference r:id="rId5" w:type="default"/>
      <w:pgSz w:w="16838" w:h="11906" w:orient="landscape"/>
      <w:pgMar w:top="1587" w:right="1587" w:bottom="1587" w:left="1587" w:header="708" w:footer="709" w:gutter="0"/>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Kingsoft Symbol">
    <w:panose1 w:val="0500010001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C9588">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3E77A1B">
                          <w:pPr>
                            <w:pStyle w:val="3"/>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5</w:t>
                          </w:r>
                          <w:r>
                            <w:rPr>
                              <w:sz w:val="21"/>
                              <w:szCs w:val="21"/>
                            </w:rP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m58Mj80BAACnAwAADgAAAAAAAAABACAAAAAeAQAAZHJzL2Uy&#10;b0RvYy54bWxQSwUGAAAAAAYABgBZAQAAXQUAAAAA&#10;">
              <v:fill on="f" focussize="0,0"/>
              <v:stroke on="f"/>
              <v:imagedata o:title=""/>
              <o:lock v:ext="edit" aspectratio="f"/>
              <v:textbox inset="0mm,0mm,0mm,0mm" style="mso-fit-shape-to-text:t;">
                <w:txbxContent>
                  <w:p w14:paraId="03E77A1B">
                    <w:pPr>
                      <w:pStyle w:val="3"/>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5</w:t>
                    </w:r>
                    <w:r>
                      <w:rPr>
                        <w:sz w:val="21"/>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A72006">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25EAB30">
                          <w:pPr>
                            <w:pStyle w:val="3"/>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ihY+ckBAACZ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mKFj5yQEAAJkDAAAOAAAAAAAAAAEAIAAAAB4BAABkcnMvZTJvRG9j&#10;LnhtbFBLBQYAAAAABgAGAFkBAABZBQAAAAA=&#10;">
              <v:fill on="f" focussize="0,0"/>
              <v:stroke on="f"/>
              <v:imagedata o:title=""/>
              <o:lock v:ext="edit" aspectratio="f"/>
              <v:textbox inset="0mm,0mm,0mm,0mm" style="mso-fit-shape-to-text:t;">
                <w:txbxContent>
                  <w:p w14:paraId="725EAB30">
                    <w:pPr>
                      <w:pStyle w:val="3"/>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hZWMyOGNhYzBmOGMwMDdiNzRiNjRmYTYzZWU1NWIifQ=="/>
  </w:docVars>
  <w:rsids>
    <w:rsidRoot w:val="00D31D50"/>
    <w:rsid w:val="000B540C"/>
    <w:rsid w:val="00135CB9"/>
    <w:rsid w:val="001F1A2E"/>
    <w:rsid w:val="00323B43"/>
    <w:rsid w:val="0036742F"/>
    <w:rsid w:val="0038315F"/>
    <w:rsid w:val="003D37D8"/>
    <w:rsid w:val="00415CE5"/>
    <w:rsid w:val="00426133"/>
    <w:rsid w:val="004358AB"/>
    <w:rsid w:val="004C6566"/>
    <w:rsid w:val="00542C4C"/>
    <w:rsid w:val="006B50E7"/>
    <w:rsid w:val="00782012"/>
    <w:rsid w:val="00807C6D"/>
    <w:rsid w:val="008B7726"/>
    <w:rsid w:val="00A90A9C"/>
    <w:rsid w:val="00AA2BB6"/>
    <w:rsid w:val="00AF7382"/>
    <w:rsid w:val="00C04908"/>
    <w:rsid w:val="00CF5F8D"/>
    <w:rsid w:val="00D31D50"/>
    <w:rsid w:val="00EA7D7A"/>
    <w:rsid w:val="00EB4495"/>
    <w:rsid w:val="00FA17E4"/>
    <w:rsid w:val="010B727D"/>
    <w:rsid w:val="010D6B75"/>
    <w:rsid w:val="01972837"/>
    <w:rsid w:val="033A1D2B"/>
    <w:rsid w:val="03550139"/>
    <w:rsid w:val="09E813E1"/>
    <w:rsid w:val="12855F2D"/>
    <w:rsid w:val="138C1DD4"/>
    <w:rsid w:val="1C4F7811"/>
    <w:rsid w:val="1E926D9A"/>
    <w:rsid w:val="1FF57DF9"/>
    <w:rsid w:val="27AF54E0"/>
    <w:rsid w:val="283F0101"/>
    <w:rsid w:val="29932CBF"/>
    <w:rsid w:val="2F1A6C8E"/>
    <w:rsid w:val="2FB93755"/>
    <w:rsid w:val="39C6211B"/>
    <w:rsid w:val="3A9F783C"/>
    <w:rsid w:val="3F2533F6"/>
    <w:rsid w:val="3FFC25C9"/>
    <w:rsid w:val="417D7802"/>
    <w:rsid w:val="42BB7663"/>
    <w:rsid w:val="43B802BF"/>
    <w:rsid w:val="482E79F6"/>
    <w:rsid w:val="4E6B1A2A"/>
    <w:rsid w:val="526B70BF"/>
    <w:rsid w:val="54004D75"/>
    <w:rsid w:val="58AE663A"/>
    <w:rsid w:val="5AFD3965"/>
    <w:rsid w:val="5D2A5954"/>
    <w:rsid w:val="5ED74E21"/>
    <w:rsid w:val="631965EA"/>
    <w:rsid w:val="6BA204F9"/>
    <w:rsid w:val="6BEC7865"/>
    <w:rsid w:val="6D1920F6"/>
    <w:rsid w:val="6D2A0A99"/>
    <w:rsid w:val="70AC6CA6"/>
    <w:rsid w:val="768B79D3"/>
    <w:rsid w:val="768F0540"/>
    <w:rsid w:val="79A429DF"/>
    <w:rsid w:val="7C8C7339"/>
    <w:rsid w:val="7ECE3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autoRedefine/>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uiPriority w:val="99"/>
    <w:pPr>
      <w:ind w:left="640"/>
    </w:pPr>
    <w:rPr>
      <w:rFonts w:ascii="仿宋_GB2312" w:eastAsia="仿宋_GB2312"/>
      <w:sz w:val="32"/>
    </w:rPr>
  </w:style>
  <w:style w:type="paragraph" w:styleId="3">
    <w:name w:val="footer"/>
    <w:basedOn w:val="1"/>
    <w:link w:val="12"/>
    <w:autoRedefine/>
    <w:semiHidden/>
    <w:unhideWhenUsed/>
    <w:qFormat/>
    <w:uiPriority w:val="99"/>
    <w:pPr>
      <w:tabs>
        <w:tab w:val="center" w:pos="4153"/>
        <w:tab w:val="right" w:pos="8306"/>
      </w:tabs>
    </w:pPr>
    <w:rPr>
      <w:sz w:val="18"/>
      <w:szCs w:val="18"/>
    </w:rPr>
  </w:style>
  <w:style w:type="paragraph" w:styleId="4">
    <w:name w:val="header"/>
    <w:basedOn w:val="1"/>
    <w:link w:val="11"/>
    <w:autoRedefine/>
    <w:semiHidden/>
    <w:unhideWhenUsed/>
    <w:qFormat/>
    <w:uiPriority w:val="99"/>
    <w:pPr>
      <w:pBdr>
        <w:bottom w:val="single" w:color="auto" w:sz="6" w:space="1"/>
      </w:pBdr>
      <w:tabs>
        <w:tab w:val="center" w:pos="4153"/>
        <w:tab w:val="right" w:pos="8306"/>
      </w:tabs>
      <w:jc w:val="center"/>
    </w:pPr>
    <w:rPr>
      <w:sz w:val="18"/>
      <w:szCs w:val="18"/>
    </w:rPr>
  </w:style>
  <w:style w:type="paragraph" w:styleId="5">
    <w:name w:val="Normal (Web)"/>
    <w:basedOn w:val="1"/>
    <w:autoRedefine/>
    <w:semiHidden/>
    <w:unhideWhenUsed/>
    <w:qFormat/>
    <w:uiPriority w:val="99"/>
    <w:pPr>
      <w:adjustRightInd/>
      <w:snapToGrid/>
      <w:spacing w:before="100" w:beforeAutospacing="1" w:after="100" w:afterAutospacing="1"/>
    </w:pPr>
    <w:rPr>
      <w:rFonts w:ascii="宋体" w:hAnsi="宋体" w:eastAsia="宋体" w:cs="宋体"/>
      <w:sz w:val="24"/>
      <w:szCs w:val="24"/>
    </w:rPr>
  </w:style>
  <w:style w:type="paragraph" w:styleId="6">
    <w:name w:val="Body Text First Indent 2"/>
    <w:basedOn w:val="2"/>
    <w:autoRedefine/>
    <w:unhideWhenUsed/>
    <w:qFormat/>
    <w:uiPriority w:val="99"/>
    <w:pPr>
      <w:spacing w:after="120"/>
      <w:ind w:left="420" w:leftChars="200" w:firstLine="420" w:firstLineChars="200"/>
    </w:pPr>
    <w:rPr>
      <w:rFonts w:ascii="Calibri" w:eastAsia="宋体"/>
      <w:sz w:val="21"/>
    </w:rPr>
  </w:style>
  <w:style w:type="character" w:styleId="9">
    <w:name w:val="page number"/>
    <w:basedOn w:val="8"/>
    <w:autoRedefine/>
    <w:qFormat/>
    <w:uiPriority w:val="0"/>
  </w:style>
  <w:style w:type="character" w:styleId="10">
    <w:name w:val="Hyperlink"/>
    <w:basedOn w:val="8"/>
    <w:semiHidden/>
    <w:unhideWhenUsed/>
    <w:qFormat/>
    <w:uiPriority w:val="99"/>
    <w:rPr>
      <w:color w:val="333333"/>
      <w:u w:val="none"/>
    </w:rPr>
  </w:style>
  <w:style w:type="character" w:customStyle="1" w:styleId="11">
    <w:name w:val="页眉 Char"/>
    <w:basedOn w:val="8"/>
    <w:link w:val="4"/>
    <w:autoRedefine/>
    <w:semiHidden/>
    <w:qFormat/>
    <w:uiPriority w:val="99"/>
    <w:rPr>
      <w:rFonts w:ascii="Tahoma" w:hAnsi="Tahoma"/>
      <w:sz w:val="18"/>
      <w:szCs w:val="18"/>
    </w:rPr>
  </w:style>
  <w:style w:type="character" w:customStyle="1" w:styleId="12">
    <w:name w:val="页脚 Char"/>
    <w:basedOn w:val="8"/>
    <w:link w:val="3"/>
    <w:semiHidden/>
    <w:qFormat/>
    <w:uiPriority w:val="99"/>
    <w:rPr>
      <w:rFonts w:ascii="Tahoma" w:hAnsi="Tahoma"/>
      <w:sz w:val="18"/>
      <w:szCs w:val="18"/>
    </w:rPr>
  </w:style>
  <w:style w:type="paragraph" w:styleId="13">
    <w:name w:val="List Paragraph"/>
    <w:basedOn w:val="1"/>
    <w:autoRedefine/>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9202</Words>
  <Characters>9749</Characters>
  <Lines>66</Lines>
  <Paragraphs>18</Paragraphs>
  <TotalTime>34</TotalTime>
  <ScaleCrop>false</ScaleCrop>
  <LinksUpToDate>false</LinksUpToDate>
  <CharactersWithSpaces>10031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Desting</cp:lastModifiedBy>
  <dcterms:modified xsi:type="dcterms:W3CDTF">2024-08-14T00:15:53Z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BF78A9D050C14C0AA93DBAE2E172F978_13</vt:lpwstr>
  </property>
</Properties>
</file>