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D1F250">
      <w:pPr>
        <w:spacing w:line="580" w:lineRule="exact"/>
        <w:rPr>
          <w:rFonts w:hint="eastAsia" w:ascii="黑体" w:hAnsi="黑体" w:eastAsia="黑体" w:cs="黑体"/>
          <w:sz w:val="28"/>
          <w:szCs w:val="28"/>
        </w:rPr>
      </w:pPr>
      <w:r>
        <w:rPr>
          <w:rFonts w:hint="eastAsia" w:ascii="黑体" w:hAnsi="黑体" w:eastAsia="黑体" w:cs="黑体"/>
          <w:sz w:val="28"/>
          <w:szCs w:val="28"/>
        </w:rPr>
        <w:t>附件1：</w:t>
      </w:r>
    </w:p>
    <w:p w14:paraId="75DD3180">
      <w:pPr>
        <w:pStyle w:val="2"/>
        <w:bidi w:val="0"/>
        <w:rPr>
          <w:rFonts w:hint="eastAsia" w:ascii="楷体" w:hAnsi="楷体" w:eastAsia="楷体" w:cs="楷体"/>
          <w:bCs/>
          <w:sz w:val="36"/>
          <w:szCs w:val="36"/>
        </w:rPr>
      </w:pPr>
      <w:r>
        <w:rPr>
          <w:rFonts w:hint="eastAsia" w:ascii="方正小标宋简体" w:hAnsi="方正小标宋简体" w:eastAsia="方正小标宋简体" w:cs="方正小标宋简体"/>
        </w:rPr>
        <w:t>中方县</w:t>
      </w:r>
      <w:r>
        <w:rPr>
          <w:rFonts w:hint="eastAsia" w:ascii="方正小标宋简体" w:hAnsi="方正小标宋简体" w:eastAsia="方正小标宋简体" w:cs="方正小标宋简体"/>
          <w:lang w:val="en-US" w:eastAsia="zh-CN"/>
        </w:rPr>
        <w:t>总工会</w:t>
      </w:r>
      <w:r>
        <w:rPr>
          <w:rFonts w:hint="eastAsia" w:ascii="方正小标宋简体" w:hAnsi="方正小标宋简体" w:eastAsia="方正小标宋简体" w:cs="方正小标宋简体"/>
          <w:lang w:eastAsia="zh-CN"/>
        </w:rPr>
        <w:t>202</w:t>
      </w:r>
      <w:r>
        <w:rPr>
          <w:rFonts w:hint="eastAsia" w:ascii="方正小标宋简体" w:hAnsi="方正小标宋简体" w:eastAsia="方正小标宋简体" w:cs="方正小标宋简体"/>
          <w:lang w:val="en-US" w:eastAsia="zh-CN"/>
        </w:rPr>
        <w:t>3</w:t>
      </w:r>
      <w:r>
        <w:rPr>
          <w:rFonts w:hint="eastAsia" w:ascii="方正小标宋简体" w:hAnsi="方正小标宋简体" w:eastAsia="方正小标宋简体" w:cs="方正小标宋简体"/>
        </w:rPr>
        <w:t>年度部门整体支出绩效自评报告</w:t>
      </w:r>
    </w:p>
    <w:p w14:paraId="41DB0F50">
      <w:pPr>
        <w:pStyle w:val="3"/>
        <w:bidi w:val="0"/>
      </w:pPr>
      <w:r>
        <w:rPr>
          <w:rFonts w:hint="eastAsia"/>
        </w:rPr>
        <w:t>一、部门基本情况</w:t>
      </w:r>
    </w:p>
    <w:p w14:paraId="0C732698">
      <w:pPr>
        <w:keepNext w:val="0"/>
        <w:keepLines w:val="0"/>
        <w:pageBreakBefore w:val="0"/>
        <w:widowControl/>
        <w:kinsoku/>
        <w:wordWrap/>
        <w:overflowPunct/>
        <w:topLinePunct w:val="0"/>
        <w:autoSpaceDE/>
        <w:autoSpaceDN/>
        <w:bidi w:val="0"/>
        <w:adjustRightInd w:val="0"/>
        <w:snapToGrid w:val="0"/>
        <w:spacing w:after="0" w:line="600" w:lineRule="atLeas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（一）部门职能与机构设置；</w:t>
      </w:r>
    </w:p>
    <w:p w14:paraId="1F133FDF">
      <w:pPr>
        <w:keepNext w:val="0"/>
        <w:keepLines w:val="0"/>
        <w:pageBreakBefore w:val="0"/>
        <w:kinsoku/>
        <w:wordWrap/>
        <w:overflowPunct/>
        <w:topLinePunct w:val="0"/>
        <w:autoSpaceDE/>
        <w:autoSpaceDN/>
        <w:bidi w:val="0"/>
        <w:adjustRightInd/>
        <w:snapToGrid/>
        <w:spacing w:line="500" w:lineRule="exact"/>
        <w:ind w:firstLine="640" w:firstLineChars="200"/>
        <w:textAlignment w:val="auto"/>
        <w:rPr>
          <w:rFonts w:hint="default" w:ascii="仿宋_GB2312" w:hAnsi="仿宋" w:eastAsia="仿宋_GB2312" w:cs="仿宋_GB2312"/>
          <w:color w:val="333333"/>
          <w:sz w:val="32"/>
          <w:szCs w:val="32"/>
          <w:shd w:val="clear" w:color="auto" w:fill="FFFFFF"/>
        </w:rPr>
      </w:pPr>
      <w:r>
        <w:rPr>
          <w:rFonts w:hint="eastAsia" w:ascii="仿宋" w:hAnsi="仿宋" w:eastAsia="仿宋" w:cs="仿宋"/>
          <w:sz w:val="32"/>
          <w:szCs w:val="32"/>
        </w:rPr>
        <w:t>部门职能</w:t>
      </w:r>
      <w:r>
        <w:rPr>
          <w:rFonts w:hint="eastAsia" w:ascii="仿宋" w:hAnsi="仿宋" w:eastAsia="仿宋" w:cs="仿宋"/>
          <w:sz w:val="32"/>
          <w:szCs w:val="32"/>
          <w:lang w:eastAsia="zh-CN"/>
        </w:rPr>
        <w:t>：</w:t>
      </w:r>
      <w:r>
        <w:rPr>
          <w:rFonts w:hint="eastAsia" w:ascii="仿宋_GB2312" w:hAnsi="仿宋" w:eastAsia="仿宋_GB2312" w:cs="仿宋_GB2312"/>
          <w:color w:val="333333"/>
          <w:sz w:val="32"/>
          <w:szCs w:val="32"/>
          <w:shd w:val="clear" w:color="auto" w:fill="FFFFFF"/>
          <w:lang w:eastAsia="zh-CN"/>
        </w:rPr>
        <w:t>根据工会的性质和任务，</w:t>
      </w:r>
      <w:r>
        <w:rPr>
          <w:rFonts w:hint="default" w:ascii="仿宋_GB2312" w:hAnsi="仿宋" w:eastAsia="仿宋_GB2312" w:cs="仿宋_GB2312"/>
          <w:color w:val="333333"/>
          <w:sz w:val="32"/>
          <w:szCs w:val="32"/>
          <w:shd w:val="clear" w:color="auto" w:fill="FFFFFF"/>
        </w:rPr>
        <w:t>工会履行“维护、参与、教育、建设”四项职能，重点突出和履行“维护”职能，切实维 护职工群众的合法权益，调动好、保护好、发挥好广大职工的积极性和创造性，组织和动员职工投身于社会主义现代化建设，推动社会的进步和发展。</w:t>
      </w:r>
    </w:p>
    <w:p w14:paraId="7A9660F0">
      <w:pPr>
        <w:keepNext w:val="0"/>
        <w:keepLines w:val="0"/>
        <w:pageBreakBefore w:val="0"/>
        <w:kinsoku/>
        <w:wordWrap/>
        <w:overflowPunct/>
        <w:topLinePunct w:val="0"/>
        <w:autoSpaceDE/>
        <w:autoSpaceDN/>
        <w:bidi w:val="0"/>
        <w:adjustRightInd/>
        <w:snapToGrid/>
        <w:spacing w:line="500" w:lineRule="exact"/>
        <w:ind w:firstLine="640" w:firstLineChars="200"/>
        <w:textAlignment w:val="auto"/>
        <w:rPr>
          <w:rFonts w:hint="eastAsia" w:ascii="宋体" w:hAnsi="宋体" w:eastAsia="宋体" w:cs="宋体"/>
          <w:color w:val="000000"/>
          <w:sz w:val="32"/>
          <w:szCs w:val="32"/>
          <w:highlight w:val="none"/>
        </w:rPr>
      </w:pPr>
      <w:r>
        <w:rPr>
          <w:rFonts w:hint="eastAsia" w:ascii="仿宋" w:hAnsi="仿宋" w:eastAsia="仿宋" w:cs="仿宋"/>
          <w:sz w:val="32"/>
          <w:szCs w:val="32"/>
        </w:rPr>
        <w:t>机构设置</w:t>
      </w:r>
      <w:r>
        <w:rPr>
          <w:rFonts w:hint="eastAsia" w:ascii="仿宋" w:hAnsi="仿宋" w:eastAsia="仿宋" w:cs="仿宋"/>
          <w:sz w:val="32"/>
          <w:szCs w:val="32"/>
          <w:lang w:eastAsia="zh-CN"/>
        </w:rPr>
        <w:t>：</w:t>
      </w:r>
      <w:r>
        <w:rPr>
          <w:rFonts w:hint="eastAsia" w:ascii="宋体" w:hAnsi="宋体" w:eastAsia="宋体" w:cs="宋体"/>
          <w:sz w:val="32"/>
          <w:szCs w:val="32"/>
          <w:highlight w:val="none"/>
        </w:rPr>
        <w:t>按三定方案内设五个职能股室，分别是办公室，组织宣教和网络信息部、劳动和经济服务部、民主管理和权益保障部、财务</w:t>
      </w:r>
      <w:r>
        <w:rPr>
          <w:rFonts w:hint="eastAsia" w:ascii="宋体" w:hAnsi="宋体" w:eastAsia="宋体" w:cs="宋体"/>
          <w:sz w:val="32"/>
          <w:szCs w:val="32"/>
          <w:highlight w:val="none"/>
          <w:lang w:eastAsia="zh-CN"/>
        </w:rPr>
        <w:t>资产</w:t>
      </w:r>
      <w:r>
        <w:rPr>
          <w:rFonts w:hint="eastAsia" w:ascii="宋体" w:hAnsi="宋体" w:eastAsia="宋体" w:cs="宋体"/>
          <w:sz w:val="32"/>
          <w:szCs w:val="32"/>
          <w:highlight w:val="none"/>
        </w:rPr>
        <w:t>部。</w:t>
      </w:r>
      <w:r>
        <w:rPr>
          <w:rFonts w:hint="eastAsia" w:ascii="宋体" w:hAnsi="宋体" w:eastAsia="宋体" w:cs="宋体"/>
          <w:color w:val="000000"/>
          <w:sz w:val="32"/>
          <w:szCs w:val="32"/>
          <w:highlight w:val="none"/>
        </w:rPr>
        <w:t>列入本级预算统一管理的机构2个（职工服务中心、工人文化宫 ），所属独立核算的企事业单位0个。</w:t>
      </w:r>
    </w:p>
    <w:p w14:paraId="1F6951D1">
      <w:pPr>
        <w:keepNext w:val="0"/>
        <w:keepLines w:val="0"/>
        <w:pageBreakBefore w:val="0"/>
        <w:numPr>
          <w:ilvl w:val="0"/>
          <w:numId w:val="1"/>
        </w:numPr>
        <w:kinsoku/>
        <w:wordWrap/>
        <w:overflowPunct/>
        <w:topLinePunct w:val="0"/>
        <w:autoSpaceDE/>
        <w:autoSpaceDN/>
        <w:bidi w:val="0"/>
        <w:adjustRightInd/>
        <w:snapToGrid/>
        <w:spacing w:line="5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人员情况；</w:t>
      </w:r>
    </w:p>
    <w:p w14:paraId="2B5648CB">
      <w:pPr>
        <w:keepNext w:val="0"/>
        <w:keepLines w:val="0"/>
        <w:pageBreakBefore w:val="0"/>
        <w:numPr>
          <w:ilvl w:val="0"/>
          <w:numId w:val="0"/>
        </w:numPr>
        <w:kinsoku/>
        <w:wordWrap/>
        <w:overflowPunct/>
        <w:topLinePunct w:val="0"/>
        <w:autoSpaceDE/>
        <w:autoSpaceDN/>
        <w:bidi w:val="0"/>
        <w:adjustRightInd/>
        <w:snapToGrid/>
        <w:spacing w:line="500" w:lineRule="exact"/>
        <w:ind w:firstLine="640" w:firstLineChars="200"/>
        <w:textAlignment w:val="auto"/>
        <w:rPr>
          <w:rFonts w:hint="eastAsia" w:ascii="宋体" w:hAnsi="宋体" w:eastAsia="宋体" w:cs="宋体"/>
          <w:color w:val="000000"/>
          <w:sz w:val="32"/>
          <w:szCs w:val="32"/>
          <w:highlight w:val="none"/>
          <w:lang w:val="en-US" w:eastAsia="zh-CN"/>
        </w:rPr>
      </w:pPr>
      <w:r>
        <w:rPr>
          <w:rFonts w:hint="eastAsia" w:ascii="宋体" w:hAnsi="宋体" w:eastAsia="宋体" w:cs="宋体"/>
          <w:color w:val="000000"/>
          <w:sz w:val="32"/>
          <w:szCs w:val="32"/>
          <w:highlight w:val="none"/>
        </w:rPr>
        <w:t>20</w:t>
      </w:r>
      <w:r>
        <w:rPr>
          <w:rFonts w:hint="eastAsia" w:ascii="宋体" w:hAnsi="宋体" w:eastAsia="宋体" w:cs="宋体"/>
          <w:color w:val="000000"/>
          <w:sz w:val="32"/>
          <w:szCs w:val="32"/>
          <w:highlight w:val="none"/>
          <w:lang w:val="en-US" w:eastAsia="zh-CN"/>
        </w:rPr>
        <w:t>2</w:t>
      </w:r>
      <w:r>
        <w:rPr>
          <w:rFonts w:hint="eastAsia" w:ascii="宋体" w:hAnsi="宋体" w:eastAsia="宋体" w:cs="宋体"/>
          <w:color w:val="000000"/>
          <w:sz w:val="32"/>
          <w:szCs w:val="32"/>
          <w:highlight w:val="none"/>
          <w:lang w:val="en" w:eastAsia="zh-CN"/>
        </w:rPr>
        <w:t>3</w:t>
      </w:r>
      <w:r>
        <w:rPr>
          <w:rFonts w:hint="eastAsia" w:ascii="宋体" w:hAnsi="宋体" w:eastAsia="宋体" w:cs="宋体"/>
          <w:color w:val="000000"/>
          <w:sz w:val="32"/>
          <w:szCs w:val="32"/>
          <w:highlight w:val="none"/>
        </w:rPr>
        <w:t>年年底共有干部职工1</w:t>
      </w:r>
      <w:r>
        <w:rPr>
          <w:rFonts w:hint="eastAsia" w:ascii="宋体" w:hAnsi="宋体" w:eastAsia="宋体" w:cs="宋体"/>
          <w:color w:val="000000"/>
          <w:sz w:val="32"/>
          <w:szCs w:val="32"/>
          <w:highlight w:val="none"/>
          <w:lang w:val="en-US" w:eastAsia="zh-CN"/>
        </w:rPr>
        <w:t>8</w:t>
      </w:r>
      <w:r>
        <w:rPr>
          <w:rFonts w:hint="eastAsia" w:ascii="宋体" w:hAnsi="宋体" w:eastAsia="宋体" w:cs="宋体"/>
          <w:color w:val="000000"/>
          <w:sz w:val="32"/>
          <w:szCs w:val="32"/>
          <w:highlight w:val="none"/>
        </w:rPr>
        <w:t>人，</w:t>
      </w:r>
      <w:r>
        <w:rPr>
          <w:rFonts w:hint="eastAsia" w:ascii="宋体" w:hAnsi="宋体" w:eastAsia="宋体" w:cs="宋体"/>
          <w:color w:val="000000"/>
          <w:sz w:val="32"/>
          <w:szCs w:val="32"/>
          <w:highlight w:val="none"/>
          <w:lang w:eastAsia="zh-CN"/>
        </w:rPr>
        <w:t>含</w:t>
      </w:r>
      <w:r>
        <w:rPr>
          <w:rFonts w:hint="eastAsia" w:ascii="宋体" w:hAnsi="宋体" w:eastAsia="宋体" w:cs="宋体"/>
          <w:color w:val="000000"/>
          <w:sz w:val="32"/>
          <w:szCs w:val="32"/>
          <w:highlight w:val="none"/>
        </w:rPr>
        <w:t>在职在编1</w:t>
      </w:r>
      <w:r>
        <w:rPr>
          <w:rFonts w:hint="eastAsia" w:ascii="宋体" w:hAnsi="宋体" w:eastAsia="宋体" w:cs="宋体"/>
          <w:color w:val="000000"/>
          <w:sz w:val="32"/>
          <w:szCs w:val="32"/>
          <w:highlight w:val="none"/>
          <w:lang w:val="en"/>
        </w:rPr>
        <w:t>0</w:t>
      </w:r>
      <w:r>
        <w:rPr>
          <w:rFonts w:hint="eastAsia" w:ascii="宋体" w:hAnsi="宋体" w:eastAsia="宋体" w:cs="宋体"/>
          <w:color w:val="000000"/>
          <w:sz w:val="32"/>
          <w:szCs w:val="32"/>
          <w:highlight w:val="none"/>
        </w:rPr>
        <w:t>人、聘用</w:t>
      </w:r>
      <w:r>
        <w:rPr>
          <w:rFonts w:hint="eastAsia" w:ascii="宋体" w:hAnsi="宋体" w:eastAsia="宋体" w:cs="宋体"/>
          <w:color w:val="000000"/>
          <w:sz w:val="32"/>
          <w:szCs w:val="32"/>
          <w:highlight w:val="none"/>
          <w:lang w:val="en-US" w:eastAsia="zh-CN"/>
        </w:rPr>
        <w:t>8</w:t>
      </w:r>
      <w:r>
        <w:rPr>
          <w:rFonts w:hint="eastAsia" w:ascii="宋体" w:hAnsi="宋体" w:eastAsia="宋体" w:cs="宋体"/>
          <w:color w:val="000000"/>
          <w:sz w:val="32"/>
          <w:szCs w:val="32"/>
          <w:highlight w:val="none"/>
        </w:rPr>
        <w:t>人</w:t>
      </w:r>
      <w:r>
        <w:rPr>
          <w:rFonts w:hint="eastAsia" w:ascii="宋体" w:hAnsi="宋体" w:eastAsia="宋体" w:cs="宋体"/>
          <w:color w:val="000000"/>
          <w:sz w:val="32"/>
          <w:szCs w:val="32"/>
          <w:highlight w:val="none"/>
          <w:lang w:eastAsia="zh-CN"/>
        </w:rPr>
        <w:t>。另有</w:t>
      </w:r>
      <w:r>
        <w:rPr>
          <w:rFonts w:hint="eastAsia" w:ascii="宋体" w:hAnsi="宋体" w:eastAsia="宋体" w:cs="宋体"/>
          <w:color w:val="000000"/>
          <w:sz w:val="32"/>
          <w:szCs w:val="32"/>
          <w:highlight w:val="none"/>
          <w:lang w:val="en-US" w:eastAsia="zh-CN"/>
        </w:rPr>
        <w:t>退休人员6人。</w:t>
      </w:r>
    </w:p>
    <w:p w14:paraId="766A886C">
      <w:pPr>
        <w:keepNext w:val="0"/>
        <w:keepLines w:val="0"/>
        <w:pageBreakBefore w:val="0"/>
        <w:numPr>
          <w:ilvl w:val="0"/>
          <w:numId w:val="1"/>
        </w:numPr>
        <w:kinsoku/>
        <w:wordWrap/>
        <w:overflowPunct/>
        <w:topLinePunct w:val="0"/>
        <w:autoSpaceDE/>
        <w:autoSpaceDN/>
        <w:bidi w:val="0"/>
        <w:adjustRightInd/>
        <w:snapToGrid/>
        <w:spacing w:line="500"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部门年度总体工作任务和重点工作任务；</w:t>
      </w:r>
    </w:p>
    <w:p w14:paraId="1D7FDA97">
      <w:pPr>
        <w:keepNext w:val="0"/>
        <w:keepLines w:val="0"/>
        <w:pageBreakBefore w:val="0"/>
        <w:numPr>
          <w:ilvl w:val="0"/>
          <w:numId w:val="0"/>
        </w:numPr>
        <w:kinsoku/>
        <w:wordWrap/>
        <w:overflowPunct/>
        <w:topLinePunct w:val="0"/>
        <w:autoSpaceDE/>
        <w:autoSpaceDN/>
        <w:bidi w:val="0"/>
        <w:adjustRightInd/>
        <w:snapToGrid/>
        <w:spacing w:line="500" w:lineRule="exact"/>
        <w:ind w:leftChars="200"/>
        <w:textAlignment w:val="auto"/>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2023年部门工作任务如下：</w:t>
      </w:r>
    </w:p>
    <w:p w14:paraId="51AC1BFE">
      <w:pPr>
        <w:keepNext w:val="0"/>
        <w:keepLines w:val="0"/>
        <w:pageBreakBefore w:val="0"/>
        <w:widowControl/>
        <w:numPr>
          <w:ilvl w:val="0"/>
          <w:numId w:val="2"/>
        </w:numPr>
        <w:kinsoku/>
        <w:wordWrap/>
        <w:overflowPunct/>
        <w:topLinePunct w:val="0"/>
        <w:autoSpaceDE/>
        <w:autoSpaceDN/>
        <w:bidi w:val="0"/>
        <w:adjustRightInd/>
        <w:snapToGrid/>
        <w:spacing w:line="500" w:lineRule="exact"/>
        <w:ind w:left="0" w:leftChars="0" w:firstLine="640" w:firstLineChars="200"/>
        <w:textAlignment w:val="auto"/>
        <w:rPr>
          <w:rFonts w:hint="eastAsia" w:ascii="宋体" w:hAnsi="宋体" w:eastAsia="宋体" w:cs="宋体"/>
          <w:sz w:val="32"/>
          <w:szCs w:val="32"/>
        </w:rPr>
      </w:pPr>
      <w:r>
        <w:rPr>
          <w:rFonts w:hint="eastAsia" w:ascii="宋体" w:hAnsi="宋体" w:eastAsia="宋体" w:cs="宋体"/>
          <w:sz w:val="32"/>
          <w:szCs w:val="32"/>
        </w:rPr>
        <w:t>关心基层工会，推进基层工会组建，指导基层工会开展活动，切实维护职工合法权益。</w:t>
      </w:r>
    </w:p>
    <w:p w14:paraId="03758D4E">
      <w:pPr>
        <w:keepNext w:val="0"/>
        <w:keepLines w:val="0"/>
        <w:pageBreakBefore w:val="0"/>
        <w:widowControl/>
        <w:numPr>
          <w:ilvl w:val="0"/>
          <w:numId w:val="2"/>
        </w:numPr>
        <w:kinsoku/>
        <w:wordWrap/>
        <w:overflowPunct/>
        <w:topLinePunct w:val="0"/>
        <w:autoSpaceDE/>
        <w:autoSpaceDN/>
        <w:bidi w:val="0"/>
        <w:adjustRightInd/>
        <w:snapToGrid/>
        <w:spacing w:line="500" w:lineRule="exact"/>
        <w:ind w:left="440" w:leftChars="200" w:firstLine="640" w:firstLineChars="200"/>
        <w:textAlignment w:val="auto"/>
        <w:rPr>
          <w:rFonts w:hint="eastAsia" w:ascii="宋体" w:hAnsi="宋体" w:eastAsia="宋体" w:cs="宋体"/>
          <w:sz w:val="32"/>
          <w:szCs w:val="32"/>
        </w:rPr>
      </w:pPr>
      <w:r>
        <w:rPr>
          <w:rFonts w:hint="eastAsia" w:ascii="宋体" w:hAnsi="宋体" w:eastAsia="宋体" w:cs="宋体"/>
          <w:sz w:val="32"/>
          <w:szCs w:val="32"/>
        </w:rPr>
        <w:t>继续推进“一户一产业”培养工作，推动“小三级”创建，开展好工人各项技能培训。</w:t>
      </w:r>
    </w:p>
    <w:p w14:paraId="419C5972">
      <w:pPr>
        <w:keepNext w:val="0"/>
        <w:keepLines w:val="0"/>
        <w:pageBreakBefore w:val="0"/>
        <w:widowControl/>
        <w:numPr>
          <w:ilvl w:val="0"/>
          <w:numId w:val="2"/>
        </w:numPr>
        <w:kinsoku/>
        <w:wordWrap/>
        <w:overflowPunct/>
        <w:topLinePunct w:val="0"/>
        <w:autoSpaceDE/>
        <w:autoSpaceDN/>
        <w:bidi w:val="0"/>
        <w:adjustRightInd/>
        <w:snapToGrid/>
        <w:spacing w:line="500" w:lineRule="exact"/>
        <w:ind w:left="440" w:leftChars="200" w:firstLine="640" w:firstLineChars="200"/>
        <w:textAlignment w:val="auto"/>
        <w:rPr>
          <w:rFonts w:hint="eastAsia" w:ascii="宋体" w:hAnsi="宋体" w:eastAsia="宋体" w:cs="宋体"/>
          <w:sz w:val="32"/>
          <w:szCs w:val="32"/>
        </w:rPr>
      </w:pPr>
      <w:r>
        <w:rPr>
          <w:rFonts w:hint="eastAsia" w:ascii="宋体" w:hAnsi="宋体" w:eastAsia="宋体" w:cs="宋体"/>
          <w:sz w:val="32"/>
          <w:szCs w:val="32"/>
        </w:rPr>
        <w:t>加强县级工会困难职工帮扶中心建设，健全工会帮扶工作网络。</w:t>
      </w:r>
    </w:p>
    <w:p w14:paraId="386F3AD2">
      <w:pPr>
        <w:keepNext w:val="0"/>
        <w:keepLines w:val="0"/>
        <w:pageBreakBefore w:val="0"/>
        <w:widowControl/>
        <w:numPr>
          <w:ilvl w:val="0"/>
          <w:numId w:val="2"/>
        </w:numPr>
        <w:kinsoku/>
        <w:wordWrap/>
        <w:overflowPunct/>
        <w:topLinePunct w:val="0"/>
        <w:autoSpaceDE/>
        <w:autoSpaceDN/>
        <w:bidi w:val="0"/>
        <w:adjustRightInd/>
        <w:snapToGrid/>
        <w:spacing w:line="500" w:lineRule="exact"/>
        <w:ind w:left="440" w:leftChars="200" w:firstLine="640" w:firstLineChars="200"/>
        <w:textAlignment w:val="auto"/>
        <w:rPr>
          <w:rFonts w:hint="eastAsia" w:ascii="宋体" w:hAnsi="宋体" w:eastAsia="宋体" w:cs="宋体"/>
          <w:sz w:val="32"/>
          <w:szCs w:val="32"/>
        </w:rPr>
      </w:pPr>
      <w:r>
        <w:rPr>
          <w:rFonts w:hint="eastAsia" w:ascii="宋体" w:hAnsi="宋体" w:eastAsia="宋体" w:cs="宋体"/>
          <w:sz w:val="32"/>
          <w:szCs w:val="32"/>
        </w:rPr>
        <w:t>落实困难职工结对帮扶和精准扶贫，推动“双联”工作，促进县域经济发展维护社会稳定。</w:t>
      </w:r>
    </w:p>
    <w:p w14:paraId="56BB6484">
      <w:pPr>
        <w:keepNext w:val="0"/>
        <w:keepLines w:val="0"/>
        <w:pageBreakBefore w:val="0"/>
        <w:widowControl/>
        <w:numPr>
          <w:ilvl w:val="0"/>
          <w:numId w:val="2"/>
        </w:numPr>
        <w:kinsoku/>
        <w:wordWrap/>
        <w:overflowPunct/>
        <w:topLinePunct w:val="0"/>
        <w:autoSpaceDE/>
        <w:autoSpaceDN/>
        <w:bidi w:val="0"/>
        <w:adjustRightInd/>
        <w:snapToGrid/>
        <w:spacing w:line="500" w:lineRule="exact"/>
        <w:ind w:left="440" w:leftChars="200" w:firstLine="640" w:firstLineChars="200"/>
        <w:textAlignment w:val="auto"/>
        <w:rPr>
          <w:rFonts w:hint="eastAsia" w:ascii="宋体" w:hAnsi="宋体" w:eastAsia="宋体" w:cs="宋体"/>
          <w:sz w:val="32"/>
          <w:szCs w:val="32"/>
        </w:rPr>
      </w:pPr>
      <w:r>
        <w:rPr>
          <w:rFonts w:hint="eastAsia" w:ascii="宋体" w:hAnsi="宋体" w:eastAsia="宋体" w:cs="宋体"/>
          <w:sz w:val="32"/>
          <w:szCs w:val="32"/>
        </w:rPr>
        <w:t>用好帮扶资金，开展好“四送”活动，发挥县总工会服务性职能。</w:t>
      </w:r>
    </w:p>
    <w:p w14:paraId="3EEC481D">
      <w:pPr>
        <w:keepNext w:val="0"/>
        <w:keepLines w:val="0"/>
        <w:pageBreakBefore w:val="0"/>
        <w:widowControl/>
        <w:numPr>
          <w:ilvl w:val="0"/>
          <w:numId w:val="2"/>
        </w:numPr>
        <w:kinsoku/>
        <w:wordWrap/>
        <w:overflowPunct/>
        <w:topLinePunct w:val="0"/>
        <w:autoSpaceDE/>
        <w:autoSpaceDN/>
        <w:bidi w:val="0"/>
        <w:adjustRightInd/>
        <w:snapToGrid/>
        <w:spacing w:line="500" w:lineRule="exact"/>
        <w:ind w:left="440" w:leftChars="200" w:firstLine="640" w:firstLineChars="200"/>
        <w:textAlignment w:val="auto"/>
        <w:rPr>
          <w:rFonts w:hint="eastAsia" w:ascii="仿宋" w:hAnsi="仿宋" w:eastAsia="仿宋" w:cs="仿宋"/>
          <w:sz w:val="32"/>
          <w:szCs w:val="32"/>
        </w:rPr>
      </w:pPr>
      <w:r>
        <w:rPr>
          <w:rFonts w:hint="eastAsia" w:ascii="宋体" w:hAnsi="宋体" w:eastAsia="宋体" w:cs="宋体"/>
          <w:sz w:val="32"/>
          <w:szCs w:val="32"/>
        </w:rPr>
        <w:t>关心干部职工生活，开展好全县性工会活动，引导职工积极参与经济建设，加强劳模管理。</w:t>
      </w:r>
    </w:p>
    <w:p w14:paraId="0FBB3132">
      <w:pPr>
        <w:keepNext w:val="0"/>
        <w:keepLines w:val="0"/>
        <w:pageBreakBefore w:val="0"/>
        <w:widowControl/>
        <w:numPr>
          <w:ilvl w:val="0"/>
          <w:numId w:val="1"/>
        </w:numPr>
        <w:kinsoku/>
        <w:wordWrap/>
        <w:overflowPunct/>
        <w:topLinePunct w:val="0"/>
        <w:autoSpaceDE/>
        <w:autoSpaceDN/>
        <w:bidi w:val="0"/>
        <w:adjustRightInd w:val="0"/>
        <w:snapToGrid w:val="0"/>
        <w:spacing w:after="0" w:line="600" w:lineRule="atLeas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部门年度整体收支情况，包括当年预算收入、预算支出和专项资金管理情况、“三公”经费支出情况以及政府采购情况等。</w:t>
      </w:r>
    </w:p>
    <w:p w14:paraId="332F1A16">
      <w:pPr>
        <w:keepNext w:val="0"/>
        <w:keepLines w:val="0"/>
        <w:pageBreakBefore w:val="0"/>
        <w:widowControl/>
        <w:numPr>
          <w:ilvl w:val="0"/>
          <w:numId w:val="0"/>
        </w:numPr>
        <w:kinsoku/>
        <w:wordWrap/>
        <w:overflowPunct/>
        <w:topLinePunct w:val="0"/>
        <w:autoSpaceDE/>
        <w:autoSpaceDN/>
        <w:bidi w:val="0"/>
        <w:adjustRightInd w:val="0"/>
        <w:snapToGrid w:val="0"/>
        <w:spacing w:after="0" w:line="600" w:lineRule="atLeast"/>
        <w:ind w:firstLine="640" w:firstLineChars="200"/>
        <w:textAlignment w:val="auto"/>
        <w:rPr>
          <w:rFonts w:hint="default" w:ascii="宋体" w:hAnsi="宋体" w:eastAsia="宋体" w:cs="宋体"/>
          <w:sz w:val="32"/>
          <w:szCs w:val="32"/>
          <w:lang w:val="en-US" w:eastAsia="zh-CN"/>
        </w:rPr>
      </w:pPr>
      <w:r>
        <w:rPr>
          <w:rFonts w:hint="eastAsia" w:ascii="宋体" w:hAnsi="宋体" w:eastAsia="宋体" w:cs="宋体"/>
          <w:sz w:val="32"/>
          <w:szCs w:val="32"/>
          <w:lang w:val="en-US" w:eastAsia="zh-CN"/>
        </w:rPr>
        <w:t>2023年年初预算收入295.13万元，其中一共公共财政预算拨款收入295.13万元，占比100%。预算支出295.13万元，其中：基本支出165.13万元，项目支出130万元。</w:t>
      </w:r>
    </w:p>
    <w:p w14:paraId="7778FD4C">
      <w:pPr>
        <w:keepNext w:val="0"/>
        <w:keepLines w:val="0"/>
        <w:pageBreakBefore w:val="0"/>
        <w:widowControl/>
        <w:numPr>
          <w:ilvl w:val="0"/>
          <w:numId w:val="0"/>
        </w:numPr>
        <w:kinsoku/>
        <w:wordWrap/>
        <w:overflowPunct/>
        <w:topLinePunct w:val="0"/>
        <w:autoSpaceDE/>
        <w:autoSpaceDN/>
        <w:bidi w:val="0"/>
        <w:adjustRightInd w:val="0"/>
        <w:snapToGrid w:val="0"/>
        <w:spacing w:after="0" w:line="600" w:lineRule="atLeast"/>
        <w:ind w:firstLine="640" w:firstLineChars="200"/>
        <w:textAlignment w:val="auto"/>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2023年全年预算收入302.1万元，其中一共公共财政预算拨款收入302.1万元，占比100%。预算支出302.1万元，其中：基本支出170.1万元，项目支出132万元。</w:t>
      </w:r>
    </w:p>
    <w:p w14:paraId="5ED2F48F">
      <w:pPr>
        <w:keepNext w:val="0"/>
        <w:keepLines w:val="0"/>
        <w:pageBreakBefore w:val="0"/>
        <w:widowControl/>
        <w:numPr>
          <w:ilvl w:val="0"/>
          <w:numId w:val="0"/>
        </w:numPr>
        <w:kinsoku/>
        <w:wordWrap/>
        <w:overflowPunct/>
        <w:topLinePunct w:val="0"/>
        <w:autoSpaceDE/>
        <w:autoSpaceDN/>
        <w:bidi w:val="0"/>
        <w:adjustRightInd w:val="0"/>
        <w:snapToGrid w:val="0"/>
        <w:spacing w:after="0" w:line="600" w:lineRule="atLeast"/>
        <w:ind w:firstLine="640" w:firstLineChars="200"/>
        <w:textAlignment w:val="auto"/>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2023年决算收入302.1万元，其中一共公共财政预算拨款收入302.1万元，占比100%。决算支出302.1万元，其中：人员经费153.63万元，公用经费16.47万元，项目支出132万元。</w:t>
      </w:r>
    </w:p>
    <w:p w14:paraId="7180C050">
      <w:pPr>
        <w:keepNext w:val="0"/>
        <w:keepLines w:val="0"/>
        <w:pageBreakBefore w:val="0"/>
        <w:widowControl/>
        <w:numPr>
          <w:ilvl w:val="0"/>
          <w:numId w:val="0"/>
        </w:numPr>
        <w:kinsoku/>
        <w:wordWrap/>
        <w:overflowPunct/>
        <w:topLinePunct w:val="0"/>
        <w:autoSpaceDE/>
        <w:autoSpaceDN/>
        <w:bidi w:val="0"/>
        <w:adjustRightInd w:val="0"/>
        <w:snapToGrid w:val="0"/>
        <w:spacing w:after="0" w:line="600" w:lineRule="atLeast"/>
        <w:ind w:firstLine="640" w:firstLineChars="200"/>
        <w:textAlignment w:val="auto"/>
        <w:rPr>
          <w:rFonts w:hint="eastAsia" w:ascii="宋体" w:hAnsi="宋体" w:eastAsia="宋体" w:cs="宋体"/>
          <w:sz w:val="32"/>
          <w:szCs w:val="32"/>
          <w:lang w:val="zh-CN" w:eastAsia="zh-CN"/>
        </w:rPr>
      </w:pPr>
      <w:r>
        <w:rPr>
          <w:rFonts w:hint="eastAsia" w:ascii="宋体" w:hAnsi="宋体" w:eastAsia="宋体" w:cs="宋体"/>
          <w:sz w:val="32"/>
          <w:szCs w:val="32"/>
          <w:lang w:val="en-US"/>
        </w:rPr>
        <w:t>“三公”经费支出情况：</w:t>
      </w:r>
      <w:r>
        <w:rPr>
          <w:rFonts w:hint="eastAsia" w:ascii="宋体" w:hAnsi="宋体" w:eastAsia="宋体" w:cs="宋体"/>
          <w:sz w:val="32"/>
          <w:szCs w:val="32"/>
          <w:lang w:val="en-US" w:eastAsia="zh-CN"/>
        </w:rPr>
        <w:t>2023年</w:t>
      </w:r>
      <w:r>
        <w:rPr>
          <w:rFonts w:hint="eastAsia" w:ascii="宋体" w:hAnsi="宋体" w:eastAsia="宋体" w:cs="宋体"/>
          <w:sz w:val="32"/>
          <w:szCs w:val="32"/>
          <w:lang w:val="en-US"/>
        </w:rPr>
        <w:t>“三公”经费</w:t>
      </w:r>
      <w:r>
        <w:rPr>
          <w:rFonts w:hint="eastAsia" w:ascii="宋体" w:hAnsi="宋体" w:eastAsia="宋体" w:cs="宋体"/>
          <w:sz w:val="32"/>
          <w:szCs w:val="32"/>
          <w:lang w:val="en-US" w:eastAsia="zh-CN"/>
        </w:rPr>
        <w:t>支出</w:t>
      </w:r>
      <w:r>
        <w:rPr>
          <w:rFonts w:hint="eastAsia" w:ascii="宋体" w:hAnsi="宋体" w:eastAsia="宋体" w:cs="宋体"/>
          <w:sz w:val="32"/>
          <w:szCs w:val="32"/>
          <w:lang w:val="en-US"/>
        </w:rPr>
        <w:t>0元，比上年增减0元，增加0</w:t>
      </w:r>
      <w:r>
        <w:rPr>
          <w:rFonts w:hint="eastAsia" w:ascii="宋体" w:hAnsi="宋体" w:eastAsia="宋体" w:cs="宋体"/>
          <w:sz w:val="32"/>
          <w:szCs w:val="32"/>
          <w:lang w:val="en-US" w:eastAsia="zh-CN"/>
        </w:rPr>
        <w:t>%，增减变化的主要原因是：2023年单位无三公经费开支</w:t>
      </w:r>
      <w:r>
        <w:rPr>
          <w:rFonts w:hint="eastAsia" w:ascii="宋体" w:hAnsi="宋体" w:eastAsia="宋体" w:cs="宋体"/>
          <w:sz w:val="32"/>
          <w:szCs w:val="32"/>
          <w:lang w:val="zh-CN" w:eastAsia="zh-CN"/>
        </w:rPr>
        <w:t>。其中：因公出国（境）费</w:t>
      </w:r>
      <w:r>
        <w:rPr>
          <w:rFonts w:hint="eastAsia" w:ascii="宋体" w:hAnsi="宋体" w:eastAsia="宋体" w:cs="宋体"/>
          <w:sz w:val="32"/>
          <w:szCs w:val="32"/>
          <w:lang w:val="en-US" w:eastAsia="zh-CN"/>
        </w:rPr>
        <w:t>完成0元，比上年增减0元，增加0%，增减变化的主要原因是：2023年度没有</w:t>
      </w:r>
      <w:r>
        <w:rPr>
          <w:rFonts w:hint="eastAsia" w:ascii="宋体" w:hAnsi="宋体" w:eastAsia="宋体" w:cs="宋体"/>
          <w:sz w:val="32"/>
          <w:szCs w:val="32"/>
          <w:lang w:val="zh-CN" w:eastAsia="zh-CN"/>
        </w:rPr>
        <w:t>因公出国（境）；公务接待费</w:t>
      </w:r>
      <w:r>
        <w:rPr>
          <w:rFonts w:hint="eastAsia" w:ascii="宋体" w:hAnsi="宋体" w:eastAsia="宋体" w:cs="宋体"/>
          <w:sz w:val="32"/>
          <w:szCs w:val="32"/>
          <w:lang w:val="en-US" w:eastAsia="zh-CN"/>
        </w:rPr>
        <w:t>完成0元，比上年增减0元，增加下降0%，增减变化的主要原因是：2023年度没有公务接待开支</w:t>
      </w:r>
      <w:r>
        <w:rPr>
          <w:rFonts w:hint="eastAsia" w:ascii="宋体" w:hAnsi="宋体" w:eastAsia="宋体" w:cs="宋体"/>
          <w:sz w:val="32"/>
          <w:szCs w:val="32"/>
          <w:lang w:val="zh-CN" w:eastAsia="zh-CN"/>
        </w:rPr>
        <w:t>；公务用车购置及运行维护费</w:t>
      </w:r>
      <w:r>
        <w:rPr>
          <w:rFonts w:hint="eastAsia" w:ascii="宋体" w:hAnsi="宋体" w:eastAsia="宋体" w:cs="宋体"/>
          <w:sz w:val="32"/>
          <w:szCs w:val="32"/>
          <w:lang w:val="en-US" w:eastAsia="zh-CN"/>
        </w:rPr>
        <w:t>完成0元，比上年增减0元，增加下降0%，增减变化的主要原因是：2023年单位无保留公务车辆，无</w:t>
      </w:r>
      <w:r>
        <w:rPr>
          <w:rFonts w:hint="eastAsia" w:ascii="宋体" w:hAnsi="宋体" w:eastAsia="宋体" w:cs="宋体"/>
          <w:sz w:val="32"/>
          <w:szCs w:val="32"/>
          <w:lang w:val="zh-CN" w:eastAsia="zh-CN"/>
        </w:rPr>
        <w:t>公务用车购置及运行维护费。</w:t>
      </w:r>
    </w:p>
    <w:p w14:paraId="352A7F1C">
      <w:pPr>
        <w:keepNext w:val="0"/>
        <w:keepLines w:val="0"/>
        <w:pageBreakBefore w:val="0"/>
        <w:widowControl/>
        <w:numPr>
          <w:ilvl w:val="0"/>
          <w:numId w:val="0"/>
        </w:numPr>
        <w:kinsoku/>
        <w:wordWrap/>
        <w:overflowPunct/>
        <w:topLinePunct w:val="0"/>
        <w:autoSpaceDE/>
        <w:autoSpaceDN/>
        <w:bidi w:val="0"/>
        <w:adjustRightInd w:val="0"/>
        <w:snapToGrid w:val="0"/>
        <w:spacing w:after="0" w:line="600" w:lineRule="atLeast"/>
        <w:ind w:firstLine="640" w:firstLineChars="200"/>
        <w:textAlignment w:val="auto"/>
        <w:rPr>
          <w:rFonts w:hint="eastAsia" w:ascii="宋体" w:hAnsi="宋体" w:eastAsia="宋体" w:cs="宋体"/>
          <w:sz w:val="32"/>
          <w:szCs w:val="32"/>
          <w:lang w:val="en-US" w:eastAsia="zh-CN"/>
        </w:rPr>
      </w:pPr>
      <w:r>
        <w:rPr>
          <w:rFonts w:hint="eastAsia" w:ascii="宋体" w:hAnsi="宋体" w:eastAsia="宋体" w:cs="宋体"/>
          <w:sz w:val="32"/>
          <w:szCs w:val="32"/>
          <w:lang w:val="zh-CN" w:eastAsia="zh-CN"/>
        </w:rPr>
        <w:t>在资金管理方面，我单位严格按年初预算安排资金执行，积极落实各项资金及时到位，严格按照《怀化市本级财政专项资金管理办法》（怀政发〔2015〕8号）进行资金管理，并接受县财政等部门的监督，做到了厉行节约，专款专用，没有滞留、截留、挤占和挪用的现象。项目财务管理方面，财务管理制度健全，严格执行财务管理制度，账务处理及时，会计核算规范。</w:t>
      </w:r>
    </w:p>
    <w:p w14:paraId="21358151">
      <w:pPr>
        <w:keepNext w:val="0"/>
        <w:keepLines w:val="0"/>
        <w:pageBreakBefore w:val="0"/>
        <w:widowControl/>
        <w:numPr>
          <w:ilvl w:val="0"/>
          <w:numId w:val="0"/>
        </w:numPr>
        <w:kinsoku/>
        <w:wordWrap/>
        <w:overflowPunct/>
        <w:topLinePunct w:val="0"/>
        <w:autoSpaceDE/>
        <w:autoSpaceDN/>
        <w:bidi w:val="0"/>
        <w:adjustRightInd w:val="0"/>
        <w:snapToGrid w:val="0"/>
        <w:spacing w:after="0" w:line="600" w:lineRule="atLeast"/>
        <w:ind w:firstLine="640" w:firstLineChars="200"/>
        <w:textAlignment w:val="auto"/>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2023年度项目预算支出132万元，实际支出132万元，预算完成率100%，项目支出严格控制在年初预算内。</w:t>
      </w:r>
    </w:p>
    <w:p w14:paraId="7B855587">
      <w:pPr>
        <w:keepNext w:val="0"/>
        <w:keepLines w:val="0"/>
        <w:pageBreakBefore w:val="0"/>
        <w:widowControl/>
        <w:numPr>
          <w:ilvl w:val="0"/>
          <w:numId w:val="0"/>
        </w:numPr>
        <w:kinsoku/>
        <w:wordWrap/>
        <w:overflowPunct/>
        <w:topLinePunct w:val="0"/>
        <w:autoSpaceDE/>
        <w:autoSpaceDN/>
        <w:bidi w:val="0"/>
        <w:adjustRightInd w:val="0"/>
        <w:snapToGrid w:val="0"/>
        <w:spacing w:after="0" w:line="600" w:lineRule="atLeast"/>
        <w:ind w:firstLine="640" w:firstLineChars="200"/>
        <w:textAlignment w:val="auto"/>
        <w:rPr>
          <w:rFonts w:hint="eastAsia" w:ascii="宋体" w:hAnsi="宋体" w:eastAsia="宋体" w:cs="宋体"/>
          <w:sz w:val="32"/>
          <w:szCs w:val="32"/>
          <w:lang w:val="en-US" w:eastAsia="zh-CN"/>
        </w:rPr>
      </w:pPr>
      <w:r>
        <w:rPr>
          <w:rFonts w:hint="eastAsia" w:ascii="宋体" w:hAnsi="宋体" w:eastAsia="宋体" w:cs="宋体"/>
          <w:sz w:val="32"/>
          <w:szCs w:val="32"/>
          <w:lang w:val="zh-CN" w:eastAsia="zh-CN"/>
        </w:rPr>
        <w:t>在项目资金管理方面，我单位严格按年初预算安排资金执行，积极落实各项资金及时到位，严格按照《怀化市本级财政专项资金管理办法》（怀政发〔2015〕8号）进行资金管理，并接受县财政等部门的监督，做到了厉行节约，专款专用，没有滞留、截留、挤占和挪用的现象。项目财务管理方面，财务管理制度健全，严格执行财务管理制度，账务处理及时，会计核算规范。</w:t>
      </w:r>
    </w:p>
    <w:p w14:paraId="1D3401D2">
      <w:pPr>
        <w:keepNext w:val="0"/>
        <w:keepLines w:val="0"/>
        <w:pageBreakBefore w:val="0"/>
        <w:widowControl/>
        <w:numPr>
          <w:ilvl w:val="0"/>
          <w:numId w:val="0"/>
        </w:numPr>
        <w:kinsoku/>
        <w:wordWrap/>
        <w:overflowPunct/>
        <w:topLinePunct w:val="0"/>
        <w:autoSpaceDE/>
        <w:autoSpaceDN/>
        <w:bidi w:val="0"/>
        <w:adjustRightInd w:val="0"/>
        <w:snapToGrid w:val="0"/>
        <w:spacing w:after="0" w:line="600" w:lineRule="atLeast"/>
        <w:ind w:leftChars="200"/>
        <w:textAlignment w:val="auto"/>
        <w:rPr>
          <w:rFonts w:hint="eastAsia" w:ascii="仿宋" w:hAnsi="仿宋" w:eastAsia="仿宋" w:cs="仿宋"/>
          <w:sz w:val="32"/>
          <w:szCs w:val="32"/>
        </w:rPr>
      </w:pPr>
    </w:p>
    <w:p w14:paraId="12B5248B">
      <w:pPr>
        <w:keepNext w:val="0"/>
        <w:keepLines w:val="0"/>
        <w:pageBreakBefore w:val="0"/>
        <w:widowControl/>
        <w:numPr>
          <w:ilvl w:val="0"/>
          <w:numId w:val="1"/>
        </w:numPr>
        <w:kinsoku/>
        <w:wordWrap/>
        <w:overflowPunct/>
        <w:topLinePunct w:val="0"/>
        <w:autoSpaceDE/>
        <w:autoSpaceDN/>
        <w:bidi w:val="0"/>
        <w:adjustRightInd w:val="0"/>
        <w:snapToGrid w:val="0"/>
        <w:spacing w:after="0" w:line="600" w:lineRule="atLeas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部门年度整体工作目标任务完成情况，包括：财政资金支出达到的效果情况、社会满意度认可情况等。</w:t>
      </w:r>
    </w:p>
    <w:p w14:paraId="06764739">
      <w:pPr>
        <w:keepNext w:val="0"/>
        <w:keepLines w:val="0"/>
        <w:pageBreakBefore w:val="0"/>
        <w:widowControl/>
        <w:numPr>
          <w:ilvl w:val="0"/>
          <w:numId w:val="0"/>
        </w:numPr>
        <w:kinsoku/>
        <w:wordWrap/>
        <w:overflowPunct/>
        <w:topLinePunct w:val="0"/>
        <w:autoSpaceDE/>
        <w:autoSpaceDN/>
        <w:bidi w:val="0"/>
        <w:adjustRightInd w:val="0"/>
        <w:snapToGrid w:val="0"/>
        <w:spacing w:after="0" w:line="600" w:lineRule="atLeast"/>
        <w:ind w:firstLine="640" w:firstLineChars="200"/>
        <w:textAlignment w:val="auto"/>
        <w:rPr>
          <w:rFonts w:hint="eastAsia" w:ascii="宋体" w:hAnsi="宋体" w:eastAsia="宋体" w:cs="宋体"/>
          <w:sz w:val="32"/>
          <w:szCs w:val="32"/>
          <w:lang w:val="zh-CN" w:eastAsia="zh-CN"/>
        </w:rPr>
      </w:pPr>
      <w:r>
        <w:rPr>
          <w:rFonts w:hint="eastAsia" w:ascii="宋体" w:hAnsi="宋体" w:eastAsia="宋体" w:cs="宋体"/>
          <w:sz w:val="32"/>
          <w:szCs w:val="32"/>
          <w:lang w:val="en" w:eastAsia="zh-CN"/>
        </w:rPr>
        <w:t>2023年，</w:t>
      </w:r>
      <w:r>
        <w:rPr>
          <w:rFonts w:hint="eastAsia" w:ascii="宋体" w:hAnsi="宋体" w:eastAsia="宋体" w:cs="宋体"/>
          <w:sz w:val="32"/>
          <w:szCs w:val="32"/>
          <w:lang w:val="zh-CN" w:eastAsia="zh-CN"/>
        </w:rPr>
        <w:t>在县委县政府坚强的领导下，县总工会以</w:t>
      </w:r>
      <w:r>
        <w:rPr>
          <w:rFonts w:hint="eastAsia" w:ascii="宋体" w:hAnsi="宋体" w:eastAsia="宋体" w:cs="宋体"/>
          <w:sz w:val="32"/>
          <w:szCs w:val="32"/>
          <w:lang w:val="en-US" w:eastAsia="zh-CN"/>
        </w:rPr>
        <w:t>习近平新时代中国特色社会主义思想为指导,深入学习贯彻党的二十大精神,</w:t>
      </w:r>
      <w:r>
        <w:rPr>
          <w:rFonts w:hint="eastAsia" w:ascii="宋体" w:hAnsi="宋体" w:eastAsia="宋体" w:cs="宋体"/>
          <w:sz w:val="32"/>
          <w:szCs w:val="32"/>
          <w:lang w:val="zh-CN" w:eastAsia="zh-CN"/>
        </w:rPr>
        <w:t>牢牢把握引导职工群众听党话跟党走的政治任务，紧紧围绕中心、服务大局、依法维权、情系职工，努力营造和谐、稳定的劳动关系，</w:t>
      </w:r>
      <w:r>
        <w:rPr>
          <w:rFonts w:hint="eastAsia" w:ascii="宋体" w:hAnsi="宋体" w:eastAsia="宋体" w:cs="宋体"/>
          <w:sz w:val="32"/>
          <w:szCs w:val="32"/>
          <w:lang w:val="en-US" w:eastAsia="zh-CN"/>
        </w:rPr>
        <w:t>按照年初制定的工作计划，有序开展了各项工作，取得较好的成绩，</w:t>
      </w:r>
      <w:r>
        <w:rPr>
          <w:rFonts w:hint="eastAsia" w:ascii="宋体" w:hAnsi="宋体" w:eastAsia="宋体" w:cs="宋体"/>
          <w:sz w:val="32"/>
          <w:szCs w:val="32"/>
          <w:lang w:val="zh-CN" w:eastAsia="zh-CN"/>
        </w:rPr>
        <w:t>为全县经济和社会各项事业的快速健康发展做出新的更大的贡献。</w:t>
      </w:r>
    </w:p>
    <w:p w14:paraId="277AC37D">
      <w:pPr>
        <w:pStyle w:val="3"/>
        <w:bidi w:val="0"/>
      </w:pPr>
      <w:r>
        <w:rPr>
          <w:rFonts w:hint="eastAsia"/>
        </w:rPr>
        <w:t>二、部门整体评价工作开展</w:t>
      </w:r>
    </w:p>
    <w:p w14:paraId="30150E00">
      <w:pPr>
        <w:keepNext w:val="0"/>
        <w:keepLines w:val="0"/>
        <w:pageBreakBefore w:val="0"/>
        <w:widowControl/>
        <w:kinsoku/>
        <w:wordWrap/>
        <w:overflowPunct/>
        <w:topLinePunct w:val="0"/>
        <w:autoSpaceDE/>
        <w:autoSpaceDN/>
        <w:bidi w:val="0"/>
        <w:adjustRightInd w:val="0"/>
        <w:snapToGrid w:val="0"/>
        <w:spacing w:after="0" w:line="600" w:lineRule="atLeast"/>
        <w:ind w:firstLine="596" w:firstLineChars="200"/>
        <w:textAlignment w:val="auto"/>
        <w:rPr>
          <w:rFonts w:hint="eastAsia" w:ascii="仿宋" w:hAnsi="仿宋" w:eastAsia="仿宋" w:cs="仿宋"/>
          <w:bCs/>
          <w:spacing w:val="-11"/>
          <w:sz w:val="32"/>
          <w:szCs w:val="32"/>
        </w:rPr>
      </w:pPr>
      <w:r>
        <w:rPr>
          <w:rFonts w:hint="eastAsia" w:ascii="仿宋" w:hAnsi="仿宋" w:eastAsia="仿宋" w:cs="仿宋"/>
          <w:spacing w:val="-11"/>
          <w:sz w:val="32"/>
          <w:szCs w:val="32"/>
        </w:rPr>
        <w:t>（一）绩效评价实施过程情况，</w:t>
      </w:r>
      <w:r>
        <w:rPr>
          <w:rFonts w:hint="eastAsia" w:ascii="仿宋" w:hAnsi="仿宋" w:eastAsia="仿宋" w:cs="仿宋"/>
          <w:bCs/>
          <w:spacing w:val="-11"/>
          <w:sz w:val="32"/>
          <w:szCs w:val="32"/>
        </w:rPr>
        <w:t>包括评价方法、工作程序等；</w:t>
      </w:r>
    </w:p>
    <w:p w14:paraId="6A0D3EA0">
      <w:pPr>
        <w:keepNext w:val="0"/>
        <w:keepLines w:val="0"/>
        <w:pageBreakBefore w:val="0"/>
        <w:widowControl/>
        <w:kinsoku/>
        <w:wordWrap/>
        <w:overflowPunct/>
        <w:topLinePunct w:val="0"/>
        <w:autoSpaceDE/>
        <w:autoSpaceDN/>
        <w:bidi w:val="0"/>
        <w:adjustRightInd w:val="0"/>
        <w:snapToGrid w:val="0"/>
        <w:spacing w:after="0" w:line="600" w:lineRule="atLeast"/>
        <w:ind w:firstLine="640" w:firstLineChars="200"/>
        <w:textAlignment w:val="auto"/>
        <w:rPr>
          <w:rFonts w:hint="eastAsia" w:ascii="仿宋" w:hAnsi="仿宋" w:eastAsia="仿宋" w:cs="仿宋"/>
          <w:bCs/>
          <w:spacing w:val="-11"/>
          <w:sz w:val="32"/>
          <w:szCs w:val="32"/>
        </w:rPr>
      </w:pPr>
      <w:r>
        <w:rPr>
          <w:rFonts w:hint="eastAsia" w:ascii="Times New Roman" w:hAnsi="Times New Roman" w:eastAsia="仿宋_GB2312" w:cs="Times New Roman"/>
          <w:kern w:val="2"/>
          <w:sz w:val="32"/>
          <w:szCs w:val="32"/>
          <w:lang w:val="en-US" w:eastAsia="zh-CN" w:bidi="ar-SA"/>
        </w:rPr>
        <w:t>根据县财政局下发的《关于开展2023年度部门整体支出绩效自评工作的通知 》（中财绩〔2024〕174号），我单位高度重视，成立了部门整体支出绩效评价工作小组，由分管财务的副主席任组长，成员包括财务资产部、办公室、基层工作部、帮扶中心等各业务室人员。以材料核查、访谈、座谈、选点抽查为基础，综合运用对比分析等方法对部门整体支出进行评</w:t>
      </w:r>
      <w:bookmarkStart w:id="0" w:name="_GoBack"/>
      <w:bookmarkEnd w:id="0"/>
      <w:r>
        <w:rPr>
          <w:rFonts w:hint="eastAsia" w:ascii="Times New Roman" w:hAnsi="Times New Roman" w:eastAsia="仿宋_GB2312" w:cs="Times New Roman"/>
          <w:kern w:val="2"/>
          <w:sz w:val="32"/>
          <w:szCs w:val="32"/>
          <w:lang w:val="en-US" w:eastAsia="zh-CN" w:bidi="ar-SA"/>
        </w:rPr>
        <w:t>价（评价指标体系详见附表）</w:t>
      </w:r>
    </w:p>
    <w:p w14:paraId="02A3090C">
      <w:pPr>
        <w:keepNext w:val="0"/>
        <w:keepLines w:val="0"/>
        <w:pageBreakBefore w:val="0"/>
        <w:widowControl/>
        <w:kinsoku/>
        <w:wordWrap/>
        <w:overflowPunct/>
        <w:topLinePunct w:val="0"/>
        <w:autoSpaceDE/>
        <w:autoSpaceDN/>
        <w:bidi w:val="0"/>
        <w:adjustRightInd w:val="0"/>
        <w:snapToGrid w:val="0"/>
        <w:spacing w:after="0" w:line="600" w:lineRule="atLeast"/>
        <w:ind w:firstLine="640" w:firstLineChars="200"/>
        <w:textAlignment w:val="auto"/>
        <w:rPr>
          <w:rFonts w:ascii="仿宋" w:hAnsi="仿宋" w:eastAsia="仿宋" w:cs="仿宋"/>
          <w:sz w:val="32"/>
          <w:szCs w:val="32"/>
        </w:rPr>
      </w:pPr>
      <w:r>
        <w:rPr>
          <w:rFonts w:hint="eastAsia" w:ascii="仿宋" w:hAnsi="仿宋" w:eastAsia="仿宋" w:cs="仿宋"/>
          <w:sz w:val="32"/>
          <w:szCs w:val="32"/>
        </w:rPr>
        <w:t>（二）绩效评价整体结果概况，</w:t>
      </w:r>
      <w:r>
        <w:rPr>
          <w:rFonts w:hint="eastAsia" w:ascii="仿宋" w:hAnsi="仿宋" w:eastAsia="仿宋" w:cs="仿宋"/>
          <w:bCs/>
          <w:sz w:val="32"/>
          <w:szCs w:val="32"/>
        </w:rPr>
        <w:t>如：得分情况（或档次）、预算编制和执行情况、节能降耗情况、三公经费控制情况，项目支出管理规范和绩效情况等。</w:t>
      </w:r>
    </w:p>
    <w:p w14:paraId="5AE21C61">
      <w:pPr>
        <w:keepNext w:val="0"/>
        <w:keepLines w:val="0"/>
        <w:pageBreakBefore w:val="0"/>
        <w:widowControl/>
        <w:numPr>
          <w:ilvl w:val="0"/>
          <w:numId w:val="0"/>
        </w:numPr>
        <w:kinsoku/>
        <w:wordWrap/>
        <w:overflowPunct/>
        <w:topLinePunct w:val="0"/>
        <w:autoSpaceDE/>
        <w:autoSpaceDN/>
        <w:bidi w:val="0"/>
        <w:adjustRightInd w:val="0"/>
        <w:snapToGrid w:val="0"/>
        <w:spacing w:after="0" w:line="600" w:lineRule="atLeast"/>
        <w:ind w:firstLine="640" w:firstLineChars="200"/>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根据各项绩效评价指标自评100分，评价等级为“优”。</w:t>
      </w:r>
    </w:p>
    <w:p w14:paraId="67C0D946">
      <w:pPr>
        <w:keepNext w:val="0"/>
        <w:keepLines w:val="0"/>
        <w:pageBreakBefore w:val="0"/>
        <w:widowControl/>
        <w:kinsoku/>
        <w:wordWrap/>
        <w:overflowPunct/>
        <w:topLinePunct w:val="0"/>
        <w:autoSpaceDE/>
        <w:autoSpaceDN/>
        <w:bidi w:val="0"/>
        <w:adjustRightInd w:val="0"/>
        <w:snapToGrid w:val="0"/>
        <w:spacing w:after="0" w:line="600" w:lineRule="atLeast"/>
        <w:ind w:firstLine="640" w:firstLineChars="200"/>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预算执行情况较好，预算收支和实际支出安排较合理；三公经费预算和节能降耗得到有效控制。</w:t>
      </w:r>
    </w:p>
    <w:p w14:paraId="40A47EBA">
      <w:pPr>
        <w:keepNext w:val="0"/>
        <w:keepLines w:val="0"/>
        <w:pageBreakBefore w:val="0"/>
        <w:widowControl/>
        <w:kinsoku/>
        <w:wordWrap/>
        <w:overflowPunct/>
        <w:topLinePunct w:val="0"/>
        <w:autoSpaceDE/>
        <w:autoSpaceDN/>
        <w:bidi w:val="0"/>
        <w:adjustRightInd w:val="0"/>
        <w:snapToGrid w:val="0"/>
        <w:spacing w:after="0" w:line="600" w:lineRule="atLeast"/>
        <w:ind w:firstLine="640" w:firstLineChars="200"/>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在项目支出管理中，严格执行预算管理制度、财务管理制度、采购管理制度等，规范财务支出流程，对于资金进行有效监控；各责任部门按照项目绩效目标合理安排项目支出并达到了预期目标，项目绩效完成情况较好。</w:t>
      </w:r>
    </w:p>
    <w:p w14:paraId="0A93C10E">
      <w:pPr>
        <w:pStyle w:val="3"/>
        <w:bidi w:val="0"/>
        <w:rPr>
          <w:rFonts w:hint="eastAsia"/>
        </w:rPr>
      </w:pPr>
      <w:r>
        <w:rPr>
          <w:rFonts w:hint="eastAsia"/>
        </w:rPr>
        <w:t>三、部门整体支出绩效评价分析</w:t>
      </w:r>
    </w:p>
    <w:p w14:paraId="75C09969">
      <w:pPr>
        <w:keepNext w:val="0"/>
        <w:keepLines w:val="0"/>
        <w:pageBreakBefore w:val="0"/>
        <w:widowControl/>
        <w:kinsoku/>
        <w:wordWrap/>
        <w:overflowPunct/>
        <w:topLinePunct w:val="0"/>
        <w:autoSpaceDE/>
        <w:autoSpaceDN/>
        <w:bidi w:val="0"/>
        <w:adjustRightInd w:val="0"/>
        <w:snapToGrid w:val="0"/>
        <w:spacing w:after="0" w:line="600" w:lineRule="atLeas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（一）投入情况分析，包括预算编制、目标设定分析等；</w:t>
      </w:r>
    </w:p>
    <w:p w14:paraId="4BA8EB23">
      <w:pPr>
        <w:keepNext w:val="0"/>
        <w:keepLines w:val="0"/>
        <w:pageBreakBefore w:val="0"/>
        <w:widowControl/>
        <w:kinsoku/>
        <w:wordWrap/>
        <w:overflowPunct/>
        <w:topLinePunct w:val="0"/>
        <w:autoSpaceDE/>
        <w:autoSpaceDN/>
        <w:bidi w:val="0"/>
        <w:adjustRightInd w:val="0"/>
        <w:snapToGrid w:val="0"/>
        <w:spacing w:after="0" w:line="600" w:lineRule="atLeast"/>
        <w:ind w:firstLine="640" w:firstLineChars="200"/>
        <w:textAlignment w:val="auto"/>
        <w:rPr>
          <w:rFonts w:hint="default" w:ascii="仿宋" w:hAnsi="仿宋" w:eastAsia="仿宋" w:cs="仿宋"/>
          <w:sz w:val="32"/>
          <w:szCs w:val="32"/>
          <w:lang w:val="en-US"/>
        </w:rPr>
      </w:pPr>
      <w:r>
        <w:rPr>
          <w:rFonts w:hint="eastAsia" w:ascii="Times New Roman" w:hAnsi="Times New Roman" w:eastAsia="仿宋_GB2312" w:cs="Times New Roman"/>
          <w:kern w:val="2"/>
          <w:sz w:val="32"/>
          <w:szCs w:val="32"/>
          <w:lang w:val="en-US" w:eastAsia="zh-CN" w:bidi="ar-SA"/>
        </w:rPr>
        <w:t>2023年年初部门整体预算支出295.13万元，其中：人员经费151.93万元，公用经费13.2万元，项目支出130万元。预算目标设定</w:t>
      </w:r>
      <w:r>
        <w:rPr>
          <w:rFonts w:hint="default" w:ascii="Times New Roman" w:hAnsi="Times New Roman" w:eastAsia="仿宋_GB2312" w:cs="Times New Roman"/>
          <w:kern w:val="2"/>
          <w:sz w:val="32"/>
          <w:szCs w:val="32"/>
          <w:lang w:val="en-US" w:eastAsia="zh-CN" w:bidi="ar-SA"/>
        </w:rPr>
        <w:t>合理,符合客观实际</w:t>
      </w:r>
      <w:r>
        <w:rPr>
          <w:rFonts w:hint="eastAsia" w:ascii="Times New Roman" w:hAnsi="Times New Roman" w:eastAsia="仿宋_GB2312" w:cs="Times New Roman"/>
          <w:kern w:val="2"/>
          <w:sz w:val="32"/>
          <w:szCs w:val="32"/>
          <w:lang w:val="en-US" w:eastAsia="zh-CN" w:bidi="ar-SA"/>
        </w:rPr>
        <w:t>。</w:t>
      </w:r>
    </w:p>
    <w:p w14:paraId="45AFC97C">
      <w:pPr>
        <w:keepNext w:val="0"/>
        <w:keepLines w:val="0"/>
        <w:pageBreakBefore w:val="0"/>
        <w:widowControl/>
        <w:numPr>
          <w:ilvl w:val="0"/>
          <w:numId w:val="3"/>
        </w:numPr>
        <w:kinsoku/>
        <w:wordWrap/>
        <w:overflowPunct/>
        <w:topLinePunct w:val="0"/>
        <w:autoSpaceDE/>
        <w:autoSpaceDN/>
        <w:bidi w:val="0"/>
        <w:adjustRightInd w:val="0"/>
        <w:snapToGrid w:val="0"/>
        <w:spacing w:after="0" w:line="600" w:lineRule="atLeas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执行管理情况分析，包括资金执行进度、调整情况、成本控制情况分析及项目完成进度情况等。</w:t>
      </w:r>
    </w:p>
    <w:p w14:paraId="6583EBF5">
      <w:pPr>
        <w:keepNext w:val="0"/>
        <w:keepLines w:val="0"/>
        <w:pageBreakBefore w:val="0"/>
        <w:widowControl/>
        <w:numPr>
          <w:ilvl w:val="0"/>
          <w:numId w:val="0"/>
        </w:numPr>
        <w:kinsoku/>
        <w:wordWrap/>
        <w:overflowPunct/>
        <w:topLinePunct w:val="0"/>
        <w:autoSpaceDE/>
        <w:autoSpaceDN/>
        <w:bidi w:val="0"/>
        <w:adjustRightInd w:val="0"/>
        <w:snapToGrid w:val="0"/>
        <w:spacing w:after="0" w:line="600" w:lineRule="atLeast"/>
        <w:ind w:firstLine="640" w:firstLineChars="200"/>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我单位根据预算资金下达的进度，严格按照相关政策标准，及时完成支付，保障了单位的正常运转。</w:t>
      </w:r>
    </w:p>
    <w:p w14:paraId="6DFBF834">
      <w:pPr>
        <w:keepNext w:val="0"/>
        <w:keepLines w:val="0"/>
        <w:pageBreakBefore w:val="0"/>
        <w:widowControl/>
        <w:numPr>
          <w:ilvl w:val="0"/>
          <w:numId w:val="0"/>
        </w:numPr>
        <w:kinsoku/>
        <w:wordWrap/>
        <w:overflowPunct/>
        <w:topLinePunct w:val="0"/>
        <w:autoSpaceDE/>
        <w:autoSpaceDN/>
        <w:bidi w:val="0"/>
        <w:adjustRightInd w:val="0"/>
        <w:snapToGrid w:val="0"/>
        <w:spacing w:after="0" w:line="600" w:lineRule="atLeast"/>
        <w:textAlignment w:val="auto"/>
        <w:rPr>
          <w:rFonts w:hint="eastAsia" w:ascii="仿宋" w:hAnsi="仿宋" w:eastAsia="仿宋" w:cs="仿宋"/>
          <w:sz w:val="32"/>
          <w:szCs w:val="32"/>
        </w:rPr>
      </w:pPr>
      <w:r>
        <w:rPr>
          <w:rFonts w:hint="eastAsia" w:ascii="Times New Roman" w:hAnsi="Times New Roman" w:eastAsia="仿宋_GB2312" w:cs="Times New Roman"/>
          <w:kern w:val="2"/>
          <w:sz w:val="32"/>
          <w:szCs w:val="32"/>
          <w:lang w:val="en-US" w:eastAsia="zh-CN" w:bidi="ar-SA"/>
        </w:rPr>
        <w:t>项目资金严格按照项目预算，规范资金审批和支付程序。在使用项目资金时，严格执行专项资金管理办法、相关工作制度和财务管理制度，不断提高资金的使用效率。同时对各项目资金的使用流程进行监督，定时检查项目资金使用情况，确保项目资金依法依规管理与使用，未发生挤占、挪用、截留专项资金等违规现象。</w:t>
      </w:r>
    </w:p>
    <w:p w14:paraId="23DD3FB8">
      <w:pPr>
        <w:keepNext w:val="0"/>
        <w:keepLines w:val="0"/>
        <w:pageBreakBefore w:val="0"/>
        <w:widowControl/>
        <w:kinsoku/>
        <w:wordWrap/>
        <w:overflowPunct/>
        <w:topLinePunct w:val="0"/>
        <w:autoSpaceDE/>
        <w:autoSpaceDN/>
        <w:bidi w:val="0"/>
        <w:adjustRightInd w:val="0"/>
        <w:snapToGrid w:val="0"/>
        <w:spacing w:after="0" w:line="600" w:lineRule="atLeas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（三）支出绩效情况分析，包括基本支出和项目支出的运行效果情况等。</w:t>
      </w:r>
    </w:p>
    <w:p w14:paraId="5ED19926">
      <w:pPr>
        <w:keepNext w:val="0"/>
        <w:keepLines w:val="0"/>
        <w:pageBreakBefore w:val="0"/>
        <w:widowControl/>
        <w:numPr>
          <w:ilvl w:val="0"/>
          <w:numId w:val="0"/>
        </w:numPr>
        <w:kinsoku/>
        <w:wordWrap/>
        <w:overflowPunct/>
        <w:topLinePunct w:val="0"/>
        <w:autoSpaceDE/>
        <w:autoSpaceDN/>
        <w:bidi w:val="0"/>
        <w:adjustRightInd w:val="0"/>
        <w:snapToGrid w:val="0"/>
        <w:spacing w:after="0" w:line="600" w:lineRule="atLeast"/>
        <w:ind w:firstLine="640" w:firstLineChars="200"/>
        <w:textAlignment w:val="auto"/>
        <w:rPr>
          <w:rFonts w:hint="eastAsia" w:ascii="宋体" w:hAnsi="宋体" w:eastAsia="宋体" w:cs="宋体"/>
          <w:b w:val="0"/>
          <w:bCs w:val="0"/>
          <w:kern w:val="2"/>
          <w:sz w:val="32"/>
          <w:szCs w:val="32"/>
          <w:lang w:val="en-US" w:eastAsia="zh-CN" w:bidi="ar-SA"/>
        </w:rPr>
      </w:pPr>
      <w:r>
        <w:rPr>
          <w:rFonts w:hint="eastAsia" w:ascii="宋体" w:hAnsi="宋体" w:eastAsia="宋体" w:cs="宋体"/>
          <w:b w:val="0"/>
          <w:bCs w:val="0"/>
          <w:kern w:val="2"/>
          <w:sz w:val="32"/>
          <w:szCs w:val="32"/>
          <w:lang w:val="en-US" w:eastAsia="zh-CN" w:bidi="ar-SA"/>
        </w:rPr>
        <w:t>2023年度基本支出170.1万元，我单位积极履职，强化管理，较好的完成了年度工作目标，通过加强预算收支管理，不断建立健全内部管理制度，梳理内部管理流程，部门整体支出管理水平得到提升。经费支出过程中，严格执行单位财务制度，坚持厉行节约，控制运行成本。</w:t>
      </w:r>
    </w:p>
    <w:p w14:paraId="0C2F44FC">
      <w:pPr>
        <w:keepNext w:val="0"/>
        <w:keepLines w:val="0"/>
        <w:pageBreakBefore w:val="0"/>
        <w:widowControl/>
        <w:kinsoku/>
        <w:wordWrap/>
        <w:overflowPunct/>
        <w:topLinePunct w:val="0"/>
        <w:autoSpaceDE/>
        <w:autoSpaceDN/>
        <w:bidi w:val="0"/>
        <w:adjustRightInd w:val="0"/>
        <w:snapToGrid w:val="0"/>
        <w:spacing w:after="0" w:line="600" w:lineRule="atLeast"/>
        <w:ind w:firstLine="640" w:firstLineChars="200"/>
        <w:textAlignment w:val="auto"/>
        <w:rPr>
          <w:rFonts w:hint="eastAsia" w:ascii="宋体" w:hAnsi="宋体" w:eastAsia="宋体" w:cs="宋体"/>
          <w:b w:val="0"/>
          <w:bCs w:val="0"/>
          <w:kern w:val="2"/>
          <w:sz w:val="32"/>
          <w:szCs w:val="32"/>
          <w:lang w:val="en-US" w:eastAsia="zh-CN" w:bidi="ar-SA"/>
        </w:rPr>
      </w:pPr>
      <w:r>
        <w:rPr>
          <w:rFonts w:hint="eastAsia" w:ascii="宋体" w:hAnsi="宋体" w:eastAsia="宋体" w:cs="宋体"/>
          <w:b w:val="0"/>
          <w:bCs w:val="0"/>
          <w:sz w:val="32"/>
          <w:szCs w:val="32"/>
          <w:lang w:val="en-US" w:eastAsia="zh-CN"/>
        </w:rPr>
        <w:t>2023年度项目支出132万元，我单位</w:t>
      </w:r>
      <w:r>
        <w:rPr>
          <w:rFonts w:hint="eastAsia" w:ascii="宋体" w:hAnsi="宋体" w:eastAsia="宋体" w:cs="宋体"/>
          <w:b w:val="0"/>
          <w:bCs w:val="0"/>
          <w:kern w:val="2"/>
          <w:sz w:val="32"/>
          <w:szCs w:val="32"/>
          <w:lang w:val="en-US" w:eastAsia="zh-CN" w:bidi="ar-SA"/>
        </w:rPr>
        <w:t>按照下拨的项目资金总额，结合工作任务实际，做到 了专款专用，按质保量完成了各项任务。</w:t>
      </w:r>
    </w:p>
    <w:p w14:paraId="11ADC7B0">
      <w:pPr>
        <w:keepNext w:val="0"/>
        <w:keepLines w:val="0"/>
        <w:pageBreakBefore w:val="0"/>
        <w:widowControl/>
        <w:kinsoku/>
        <w:wordWrap/>
        <w:overflowPunct/>
        <w:topLinePunct w:val="0"/>
        <w:autoSpaceDE/>
        <w:autoSpaceDN/>
        <w:bidi w:val="0"/>
        <w:adjustRightInd w:val="0"/>
        <w:snapToGrid w:val="0"/>
        <w:spacing w:after="0" w:line="600" w:lineRule="atLeast"/>
        <w:ind w:firstLine="640" w:firstLineChars="200"/>
        <w:textAlignment w:val="auto"/>
        <w:rPr>
          <w:rFonts w:hint="eastAsia" w:ascii="宋体" w:hAnsi="宋体" w:eastAsia="宋体" w:cs="宋体"/>
          <w:b w:val="0"/>
          <w:bCs w:val="0"/>
          <w:sz w:val="32"/>
          <w:szCs w:val="32"/>
          <w:lang w:val="en-US" w:eastAsia="zh-CN"/>
        </w:rPr>
      </w:pPr>
      <w:r>
        <w:rPr>
          <w:rFonts w:hint="eastAsia" w:ascii="宋体" w:hAnsi="宋体" w:eastAsia="宋体" w:cs="宋体"/>
          <w:b w:val="0"/>
          <w:bCs w:val="0"/>
          <w:sz w:val="32"/>
          <w:szCs w:val="32"/>
          <w:lang w:val="en-US" w:eastAsia="zh-CN"/>
        </w:rPr>
        <w:t>2023年我会认真组织开展学习习近平新时代中国特色社会主义思想系列重要讲话精神，坚持把干实事，解决实际问题作为开展主题教育活动的出发点和落脚点，通过开展“四下基层”和“走找想促”活动，下企业下基层开展调研5次，走访职工和群众177人次，疏理问题5件，化解5件，切实帮助广大职工和群众解决了急难愁盼和“最后一公里”的现实问题。召开党组理论中心学习组集体学习12次，集中研论12次。严格执行“第一议题”学习制度和“三会一课”、支部书记上党课、“一月一课一片一实践”主题党日活动等学习制度，始终保持政治定力。</w:t>
      </w:r>
      <w:r>
        <w:rPr>
          <w:rFonts w:hint="eastAsia" w:ascii="宋体" w:hAnsi="宋体" w:eastAsia="宋体" w:cs="宋体"/>
          <w:b w:val="0"/>
          <w:bCs w:val="0"/>
          <w:sz w:val="32"/>
          <w:szCs w:val="32"/>
          <w:lang w:val="en" w:eastAsia="zh-CN"/>
        </w:rPr>
        <w:t>2023年9月，</w:t>
      </w:r>
      <w:r>
        <w:rPr>
          <w:rFonts w:hint="eastAsia" w:ascii="宋体" w:hAnsi="宋体" w:eastAsia="宋体" w:cs="宋体"/>
          <w:b w:val="0"/>
          <w:bCs w:val="0"/>
          <w:sz w:val="32"/>
          <w:szCs w:val="32"/>
          <w:lang w:val="en-US" w:eastAsia="zh-CN"/>
        </w:rPr>
        <w:t>在全市率先成立中共中方县新就业群体综合委员会。</w:t>
      </w:r>
      <w:r>
        <w:rPr>
          <w:rFonts w:hint="eastAsia" w:ascii="宋体" w:hAnsi="宋体" w:eastAsia="宋体" w:cs="宋体"/>
          <w:b w:val="0"/>
          <w:bCs w:val="0"/>
          <w:sz w:val="32"/>
          <w:szCs w:val="32"/>
          <w:lang w:val="en" w:eastAsia="zh-CN"/>
        </w:rPr>
        <w:t>综合党委隶属中方县委组织部统筹指导，由县两新工委、县总工会具体管理，</w:t>
      </w:r>
      <w:r>
        <w:rPr>
          <w:rFonts w:hint="eastAsia" w:ascii="宋体" w:hAnsi="宋体" w:eastAsia="宋体" w:cs="宋体"/>
          <w:b w:val="0"/>
          <w:bCs w:val="0"/>
          <w:sz w:val="32"/>
          <w:szCs w:val="32"/>
          <w:lang w:val="en-US" w:eastAsia="zh-CN"/>
        </w:rPr>
        <w:t>县总工会党组书记担任党委书记，县总工会副职担任副书记，县交通局、市场监管局、网信办等部担党委委员。综合党委下设县快递联合党支部、县美团外卖中方站联合党支部、县公交公司充电站党支部3个支部。按照“职工在哪里，党组织就覆盖到哪里，工会组织就建在哪里，工会服务就延伸到哪里”的工作要求，深入推进新就业形态劳动者建会入会工作。大力开展“助企舒困”活动，为68家中小微企业返还工会经费及物资44.55万元；大力开展“助消费 促发展”活动，发放“湘工会”电子消费券7411人，消费金额801.23万元。成功召开了中方县庆祝“五一”国际劳动节暨县第四届劳动模范和先进工作者表彰大会，评选与表彰县级劳动模范和先进工作者20名。大力开展宣讲活动。邀请时任市人大常委会副主任、市总工会主席姜耀文同志深入到中方县产业园湖南五新智能科技有限公司宣讲了习近平总书记同全国总工会新一届领导班子成员集体谈话时的重要讲话精神和中国工会十八大精神；时任市总工会书记、副主席麻少军同志为我县基层工会工作人员作了《坚定“四个自信”为强国建设民族复兴贡献工会力量》专题讲座。进一步加强了广大职工思想政治引领。</w:t>
      </w:r>
    </w:p>
    <w:p w14:paraId="4F9EC15F">
      <w:pPr>
        <w:keepNext w:val="0"/>
        <w:keepLines w:val="0"/>
        <w:pageBreakBefore w:val="0"/>
        <w:widowControl/>
        <w:kinsoku/>
        <w:wordWrap/>
        <w:overflowPunct/>
        <w:topLinePunct w:val="0"/>
        <w:autoSpaceDE/>
        <w:autoSpaceDN/>
        <w:bidi w:val="0"/>
        <w:adjustRightInd w:val="0"/>
        <w:snapToGrid w:val="0"/>
        <w:spacing w:after="0" w:line="600" w:lineRule="atLeast"/>
        <w:ind w:firstLine="640" w:firstLineChars="200"/>
        <w:textAlignment w:val="auto"/>
        <w:rPr>
          <w:rFonts w:hint="eastAsia" w:ascii="宋体" w:hAnsi="宋体" w:eastAsia="宋体" w:cs="宋体"/>
          <w:b w:val="0"/>
          <w:bCs w:val="0"/>
          <w:sz w:val="32"/>
          <w:szCs w:val="32"/>
          <w:lang w:val="en-US" w:eastAsia="zh-CN"/>
        </w:rPr>
      </w:pPr>
      <w:r>
        <w:rPr>
          <w:rFonts w:hint="eastAsia" w:ascii="宋体" w:hAnsi="宋体" w:eastAsia="宋体" w:cs="宋体"/>
          <w:b w:val="0"/>
          <w:bCs w:val="0"/>
          <w:sz w:val="32"/>
          <w:szCs w:val="32"/>
          <w:lang w:val="en-US" w:eastAsia="zh-CN"/>
        </w:rPr>
        <w:t>结合工会职能特点，助推市委、县委“鹤中一体化”发展战略。联合鹤城区总工会创新举办了首届“鹤中一体 工会有约”520单身职工相亲活动。来自怀化市直、鹤城、中方企事业单位干部职工，驻地部队现役军人330名单身青年参加了此次活动，当场牵手成功22对。突出在“生活慢城”建设上持续发力，成功举办了中方县第二届生活慢城趣味慢跑活动，全县1700余名干部职工及工作人员参加了慢跑活动，较去年参加人数提高了30%，是建县以来参加人员最多的一项工会文体趣味活动。大力开展财务资产管理提质增效建设行动，深入推进财务报账审批、资金监管、资产管理网络化建设，系统化管理，高效化服务工作，大大提升了县总工会服务基层工会和广大职工工作效能，规范了工会经费审批程序，有效防范了资金使用风险隐患，确保了资金安全。2023年8月，我会被中华全国总工会评为</w:t>
      </w:r>
      <w:r>
        <w:rPr>
          <w:rFonts w:hint="eastAsia" w:ascii="宋体" w:hAnsi="宋体" w:eastAsia="宋体" w:cs="宋体"/>
          <w:b w:val="0"/>
          <w:bCs w:val="0"/>
          <w:sz w:val="32"/>
          <w:szCs w:val="32"/>
          <w:lang w:val="en" w:eastAsia="zh-CN"/>
        </w:rPr>
        <w:t>2022年度</w:t>
      </w:r>
      <w:r>
        <w:rPr>
          <w:rFonts w:hint="eastAsia" w:ascii="宋体" w:hAnsi="宋体" w:eastAsia="宋体" w:cs="宋体"/>
          <w:b w:val="0"/>
          <w:bCs w:val="0"/>
          <w:sz w:val="32"/>
          <w:szCs w:val="32"/>
          <w:lang w:val="en-US" w:eastAsia="zh-CN"/>
        </w:rPr>
        <w:t>全国工会财务工作先进单位。先后联系了新路河镇鱼龙桥村、蒿吉坪乡三岔溪村乡村振兴工作，派驻乡村振兴工作队队员2人次，同时我会1</w:t>
      </w:r>
      <w:r>
        <w:rPr>
          <w:rFonts w:hint="eastAsia" w:ascii="宋体" w:hAnsi="宋体" w:eastAsia="宋体" w:cs="宋体"/>
          <w:b w:val="0"/>
          <w:bCs w:val="0"/>
          <w:sz w:val="32"/>
          <w:szCs w:val="32"/>
          <w:lang w:val="en" w:eastAsia="zh-CN"/>
        </w:rPr>
        <w:t>0</w:t>
      </w:r>
      <w:r>
        <w:rPr>
          <w:rFonts w:hint="eastAsia" w:ascii="宋体" w:hAnsi="宋体" w:eastAsia="宋体" w:cs="宋体"/>
          <w:b w:val="0"/>
          <w:bCs w:val="0"/>
          <w:sz w:val="32"/>
          <w:szCs w:val="32"/>
          <w:lang w:val="en-US" w:eastAsia="zh-CN"/>
        </w:rPr>
        <w:t>名在编在岗干部职工联系帮扶铜鼎镇青市村34户已脱贫户和2户监测户。在联村帮扶工作中，我会坚决贯彻落实联系单位月指导、帮扶责任人季走访工作制度要求，同时，根据联系村实际，支持联系联系村乡村振兴工作经费6.9万元。深入企业和职工大力宣传党和国家关于绿色低碳发展和污染防治政策精神，引导企业和职工树立节能减排保护生态意识。同时，工会全体干部职工积极参加全县文明卫生城市创建活动17次。</w:t>
      </w:r>
    </w:p>
    <w:p w14:paraId="7E6845D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b w:val="0"/>
          <w:bCs w:val="0"/>
          <w:sz w:val="32"/>
          <w:szCs w:val="32"/>
          <w:lang w:val="en-US" w:eastAsia="zh-CN"/>
        </w:rPr>
      </w:pPr>
      <w:r>
        <w:rPr>
          <w:rFonts w:hint="eastAsia" w:ascii="宋体" w:hAnsi="宋体" w:eastAsia="宋体" w:cs="宋体"/>
          <w:b w:val="0"/>
          <w:bCs w:val="0"/>
          <w:sz w:val="32"/>
          <w:szCs w:val="32"/>
          <w:lang w:val="en-US" w:eastAsia="zh-CN"/>
        </w:rPr>
        <w:t>我</w:t>
      </w:r>
      <w:r>
        <w:rPr>
          <w:rFonts w:hint="eastAsia" w:ascii="宋体" w:hAnsi="宋体" w:eastAsia="宋体" w:cs="宋体"/>
          <w:b w:val="0"/>
          <w:bCs w:val="0"/>
          <w:sz w:val="32"/>
          <w:szCs w:val="32"/>
          <w:lang w:val="en" w:eastAsia="zh-CN"/>
        </w:rPr>
        <w:t>们</w:t>
      </w:r>
      <w:r>
        <w:rPr>
          <w:rFonts w:hint="eastAsia" w:ascii="宋体" w:hAnsi="宋体" w:eastAsia="宋体" w:cs="宋体"/>
          <w:b w:val="0"/>
          <w:bCs w:val="0"/>
          <w:sz w:val="32"/>
          <w:szCs w:val="32"/>
          <w:lang w:val="en-US" w:eastAsia="zh-CN"/>
        </w:rPr>
        <w:t>始终坚持“以职工为中心”，为广大职工和群众提供优质高效便捷地服务。一是持续深化产业工人队伍建设改革。将产业工人队伍建设改革工作纳入中方县人才发展规划，成功引进高技能产业工人21人。联合县人社局开展春送岗位和秋季大型招聘会，提供就业岗位1200余个，为企业输送劳动力800余人。大力开展“一户一产业工人”培养工作，培训农民工50人，推荐上岗就业11人，引导就业36人。二是大力开展“安康杯”技能竞赛。联合县教育局开展了第三届“安康杯”怀化市中方县中小学青年教师教学竞赛，联合县卫健局开展了“安康杯”妇幼健康职业技能竞赛，</w:t>
      </w:r>
      <w:r>
        <w:rPr>
          <w:rFonts w:hint="eastAsia" w:ascii="宋体" w:hAnsi="宋体" w:eastAsia="宋体" w:cs="宋体"/>
          <w:b w:val="0"/>
          <w:bCs w:val="0"/>
          <w:sz w:val="32"/>
          <w:szCs w:val="32"/>
          <w:lang w:val="en" w:eastAsia="zh-CN"/>
        </w:rPr>
        <w:t>2次“安康杯”</w:t>
      </w:r>
      <w:r>
        <w:rPr>
          <w:rFonts w:hint="eastAsia" w:ascii="宋体" w:hAnsi="宋体" w:eastAsia="宋体" w:cs="宋体"/>
          <w:b w:val="0"/>
          <w:bCs w:val="0"/>
          <w:sz w:val="32"/>
          <w:szCs w:val="32"/>
          <w:lang w:val="en-US" w:eastAsia="zh-CN"/>
        </w:rPr>
        <w:t>参加竞赛人员300余人，“安康杯”技能竞赛成为提升劳动技能的重要渠道。三是大力帮扶困难职工。成功销号建档立卡困难职工10户42人，新增建档立卡困难职工3户10人。大力开展困难职工帮扶工作，帮扶慰问困难职工84人，发放慰问金23.22万元。四是加强医疗互助保障。2023年，全县</w:t>
      </w:r>
      <w:r>
        <w:rPr>
          <w:rFonts w:hint="eastAsia" w:ascii="宋体" w:hAnsi="宋体" w:eastAsia="宋体" w:cs="宋体"/>
          <w:b w:val="0"/>
          <w:bCs w:val="0"/>
          <w:snapToGrid w:val="0"/>
          <w:color w:val="000000"/>
          <w:kern w:val="0"/>
          <w:sz w:val="32"/>
          <w:szCs w:val="32"/>
          <w:lang w:val="en-US" w:eastAsia="zh-CN" w:bidi="ar-SA"/>
        </w:rPr>
        <w:t>医疗互助活动参加人数</w:t>
      </w:r>
      <w:r>
        <w:rPr>
          <w:rFonts w:hint="eastAsia" w:ascii="宋体" w:hAnsi="宋体" w:eastAsia="宋体" w:cs="宋体"/>
          <w:b w:val="0"/>
          <w:bCs w:val="0"/>
          <w:sz w:val="32"/>
          <w:szCs w:val="32"/>
          <w:lang w:val="en-US" w:eastAsia="zh-CN"/>
        </w:rPr>
        <w:t>8080人，收到医疗互助金保障金76.49万元</w:t>
      </w:r>
      <w:r>
        <w:rPr>
          <w:rFonts w:hint="eastAsia" w:ascii="宋体" w:hAnsi="宋体" w:eastAsia="宋体" w:cs="宋体"/>
          <w:b w:val="0"/>
          <w:bCs w:val="0"/>
          <w:snapToGrid w:val="0"/>
          <w:color w:val="000000"/>
          <w:kern w:val="0"/>
          <w:sz w:val="32"/>
          <w:szCs w:val="32"/>
          <w:lang w:val="en-US" w:eastAsia="zh-CN" w:bidi="ar-SA"/>
        </w:rPr>
        <w:t>。</w:t>
      </w:r>
      <w:r>
        <w:rPr>
          <w:rFonts w:hint="eastAsia" w:ascii="宋体" w:hAnsi="宋体" w:eastAsia="宋体" w:cs="宋体"/>
          <w:b w:val="0"/>
          <w:bCs w:val="0"/>
          <w:sz w:val="32"/>
          <w:szCs w:val="32"/>
          <w:lang w:val="en-US" w:eastAsia="zh-CN"/>
        </w:rPr>
        <w:t>截止12月，医疗互助已</w:t>
      </w:r>
      <w:r>
        <w:rPr>
          <w:rFonts w:hint="eastAsia" w:ascii="宋体" w:hAnsi="宋体" w:eastAsia="宋体" w:cs="宋体"/>
          <w:b w:val="0"/>
          <w:bCs w:val="0"/>
          <w:spacing w:val="-11"/>
          <w:sz w:val="32"/>
          <w:szCs w:val="32"/>
          <w:lang w:val="en-US" w:eastAsia="zh-CN"/>
        </w:rPr>
        <w:t>补助1036人次，80.16万元。五是构建劳动和谐关系。</w:t>
      </w:r>
      <w:r>
        <w:rPr>
          <w:rFonts w:hint="eastAsia" w:ascii="宋体" w:hAnsi="宋体" w:eastAsia="宋体" w:cs="宋体"/>
          <w:b w:val="0"/>
          <w:bCs w:val="0"/>
          <w:sz w:val="32"/>
          <w:szCs w:val="32"/>
          <w:lang w:val="en-US" w:eastAsia="zh-CN"/>
        </w:rPr>
        <w:t>联合县法院化解工伤补偿争议案2件，劳动争议纠纷4件，案件涉及金额30.29万元。组织基层工会与企业签订工资集体协商协议52份，涉及职工3000余人。</w:t>
      </w:r>
    </w:p>
    <w:p w14:paraId="0ED743CE">
      <w:pPr>
        <w:pStyle w:val="3"/>
        <w:numPr>
          <w:ilvl w:val="0"/>
          <w:numId w:val="4"/>
        </w:numPr>
        <w:bidi w:val="0"/>
        <w:rPr>
          <w:rFonts w:hint="eastAsia"/>
        </w:rPr>
      </w:pPr>
      <w:r>
        <w:rPr>
          <w:rFonts w:hint="eastAsia"/>
        </w:rPr>
        <w:t>存在的问题</w:t>
      </w:r>
    </w:p>
    <w:p w14:paraId="6E4E1E7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宋体" w:hAnsi="宋体" w:eastAsia="宋体" w:cs="宋体"/>
          <w:b w:val="0"/>
          <w:bCs w:val="0"/>
          <w:sz w:val="32"/>
          <w:szCs w:val="32"/>
          <w:lang w:val="en-US" w:eastAsia="zh-CN"/>
        </w:rPr>
      </w:pPr>
      <w:r>
        <w:rPr>
          <w:rFonts w:hint="eastAsia" w:ascii="宋体" w:hAnsi="宋体" w:eastAsia="宋体" w:cs="宋体"/>
          <w:b w:val="0"/>
          <w:bCs w:val="0"/>
          <w:sz w:val="32"/>
          <w:szCs w:val="32"/>
          <w:lang w:val="en-US" w:eastAsia="zh-CN"/>
        </w:rPr>
        <w:t>部分股室绩效管理意识不强，认为绩效管理是财务人员的事，主体责任意识不强，存在被动应付现象。</w:t>
      </w:r>
    </w:p>
    <w:p w14:paraId="4F3DD646">
      <w:pPr>
        <w:pStyle w:val="3"/>
        <w:numPr>
          <w:ilvl w:val="0"/>
          <w:numId w:val="4"/>
        </w:numPr>
        <w:bidi w:val="0"/>
        <w:ind w:left="0" w:leftChars="0" w:firstLine="640" w:firstLineChars="200"/>
        <w:rPr>
          <w:rFonts w:hint="eastAsia"/>
        </w:rPr>
      </w:pPr>
      <w:r>
        <w:rPr>
          <w:rFonts w:hint="eastAsia"/>
        </w:rPr>
        <w:t>整改措施或建议</w:t>
      </w:r>
    </w:p>
    <w:p w14:paraId="6CAB0FD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宋体" w:hAnsi="宋体" w:eastAsia="宋体" w:cs="宋体"/>
          <w:b w:val="0"/>
          <w:bCs w:val="0"/>
          <w:sz w:val="32"/>
          <w:szCs w:val="32"/>
          <w:lang w:val="en-US" w:eastAsia="zh-CN"/>
        </w:rPr>
      </w:pPr>
      <w:r>
        <w:rPr>
          <w:rFonts w:hint="eastAsia" w:ascii="宋体" w:hAnsi="宋体" w:eastAsia="宋体" w:cs="宋体"/>
          <w:b w:val="0"/>
          <w:bCs w:val="0"/>
          <w:sz w:val="32"/>
          <w:szCs w:val="32"/>
          <w:lang w:val="en-US" w:eastAsia="zh-CN"/>
        </w:rPr>
        <w:t>加强绩效管理培训，营造“人人讲绩效、事事求绩效”的良好氛围，提升部门绩效管理水平。</w:t>
      </w:r>
    </w:p>
    <w:p w14:paraId="0E2DAE25">
      <w:pPr>
        <w:pStyle w:val="3"/>
        <w:numPr>
          <w:ilvl w:val="0"/>
          <w:numId w:val="4"/>
        </w:numPr>
        <w:bidi w:val="0"/>
        <w:ind w:left="0" w:leftChars="0" w:firstLine="640" w:firstLineChars="200"/>
        <w:rPr>
          <w:rFonts w:hint="eastAsia"/>
        </w:rPr>
      </w:pPr>
      <w:r>
        <w:rPr>
          <w:rFonts w:hint="eastAsia"/>
        </w:rPr>
        <w:t>其他需要说明的问题</w:t>
      </w:r>
    </w:p>
    <w:p w14:paraId="416F4F6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宋体" w:hAnsi="宋体" w:eastAsia="宋体" w:cs="宋体"/>
          <w:b w:val="0"/>
          <w:bCs w:val="0"/>
          <w:sz w:val="32"/>
          <w:szCs w:val="32"/>
          <w:lang w:val="en-US" w:eastAsia="zh-CN"/>
        </w:rPr>
        <w:sectPr>
          <w:footerReference r:id="rId4" w:type="default"/>
          <w:pgSz w:w="11906" w:h="16838"/>
          <w:pgMar w:top="1383" w:right="1800" w:bottom="1383" w:left="1800" w:header="680" w:footer="680" w:gutter="0"/>
          <w:pgNumType w:fmt="decimal" w:start="1"/>
          <w:cols w:space="0" w:num="1"/>
          <w:docGrid w:linePitch="360" w:charSpace="0"/>
        </w:sectPr>
      </w:pPr>
      <w:r>
        <w:rPr>
          <w:rFonts w:hint="eastAsia" w:ascii="宋体" w:hAnsi="宋体" w:eastAsia="宋体" w:cs="宋体"/>
          <w:b w:val="0"/>
          <w:bCs w:val="0"/>
          <w:sz w:val="32"/>
          <w:szCs w:val="32"/>
          <w:lang w:val="en-US" w:eastAsia="zh-CN"/>
        </w:rPr>
        <w:t>无</w:t>
      </w:r>
    </w:p>
    <w:p w14:paraId="6483BBC4">
      <w:pPr>
        <w:spacing w:line="400" w:lineRule="exact"/>
        <w:rPr>
          <w:rFonts w:ascii="黑体" w:hAnsi="仿宋_GB2312" w:eastAsia="黑体" w:cs="仿宋_GB2312"/>
          <w:sz w:val="32"/>
          <w:szCs w:val="32"/>
        </w:rPr>
      </w:pPr>
      <w:r>
        <w:rPr>
          <w:rFonts w:hint="eastAsia" w:ascii="黑体" w:hAnsi="仿宋_GB2312" w:eastAsia="黑体" w:cs="仿宋_GB2312"/>
          <w:sz w:val="28"/>
          <w:szCs w:val="28"/>
        </w:rPr>
        <w:t>附件</w:t>
      </w:r>
      <w:r>
        <w:rPr>
          <w:rFonts w:ascii="黑体" w:hAnsi="仿宋_GB2312" w:eastAsia="黑体" w:cs="仿宋_GB2312"/>
          <w:sz w:val="28"/>
          <w:szCs w:val="28"/>
        </w:rPr>
        <w:t>2</w:t>
      </w:r>
      <w:r>
        <w:rPr>
          <w:rFonts w:hint="eastAsia" w:ascii="黑体" w:hAnsi="仿宋_GB2312" w:eastAsia="黑体" w:cs="仿宋_GB2312"/>
          <w:sz w:val="32"/>
          <w:szCs w:val="32"/>
        </w:rPr>
        <w:t>：</w:t>
      </w:r>
    </w:p>
    <w:p w14:paraId="5919B161">
      <w:pPr>
        <w:spacing w:after="0" w:line="700" w:lineRule="atLeast"/>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color w:val="000000"/>
          <w:sz w:val="44"/>
          <w:szCs w:val="44"/>
        </w:rPr>
        <w:t>部门整体支出绩效评价指标体系评分表</w:t>
      </w:r>
    </w:p>
    <w:tbl>
      <w:tblPr>
        <w:tblStyle w:val="9"/>
        <w:tblW w:w="14142"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33"/>
        <w:gridCol w:w="803"/>
        <w:gridCol w:w="1182"/>
        <w:gridCol w:w="6911"/>
        <w:gridCol w:w="3423"/>
        <w:gridCol w:w="1090"/>
      </w:tblGrid>
      <w:tr w14:paraId="646FF0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5" w:hRule="atLeast"/>
          <w:tblHeader/>
          <w:jc w:val="center"/>
        </w:trPr>
        <w:tc>
          <w:tcPr>
            <w:tcW w:w="733" w:type="dxa"/>
            <w:vMerge w:val="restart"/>
            <w:tcBorders>
              <w:top w:val="single" w:color="000000" w:sz="4" w:space="0"/>
              <w:left w:val="single" w:color="000000" w:sz="4" w:space="0"/>
              <w:bottom w:val="single" w:color="000000" w:sz="4" w:space="0"/>
              <w:right w:val="single" w:color="000000" w:sz="4" w:space="0"/>
            </w:tcBorders>
            <w:vAlign w:val="center"/>
          </w:tcPr>
          <w:p w14:paraId="4E3D3679">
            <w:pPr>
              <w:spacing w:after="0" w:line="68" w:lineRule="atLeast"/>
              <w:jc w:val="center"/>
              <w:rPr>
                <w:rFonts w:ascii="宋体" w:hAnsi="宋体" w:eastAsia="宋体" w:cs="宋体"/>
              </w:rPr>
            </w:pPr>
            <w:r>
              <w:rPr>
                <w:rFonts w:hint="eastAsia" w:ascii="宋体" w:hAnsi="宋体" w:eastAsia="宋体" w:cs="宋体"/>
                <w:b/>
                <w:bCs/>
              </w:rPr>
              <w:t>一级指标</w:t>
            </w:r>
          </w:p>
        </w:tc>
        <w:tc>
          <w:tcPr>
            <w:tcW w:w="803" w:type="dxa"/>
            <w:vMerge w:val="restart"/>
            <w:tcBorders>
              <w:top w:val="single" w:color="000000" w:sz="4" w:space="0"/>
              <w:left w:val="single" w:color="000000" w:sz="4" w:space="0"/>
              <w:bottom w:val="single" w:color="000000" w:sz="4" w:space="0"/>
              <w:right w:val="single" w:color="000000" w:sz="4" w:space="0"/>
            </w:tcBorders>
            <w:vAlign w:val="center"/>
          </w:tcPr>
          <w:p w14:paraId="52FB42FD">
            <w:pPr>
              <w:spacing w:after="0" w:line="68" w:lineRule="atLeast"/>
              <w:jc w:val="center"/>
              <w:rPr>
                <w:rFonts w:ascii="宋体" w:hAnsi="宋体" w:eastAsia="宋体" w:cs="宋体"/>
              </w:rPr>
            </w:pPr>
            <w:r>
              <w:rPr>
                <w:rFonts w:hint="eastAsia" w:ascii="宋体" w:hAnsi="宋体" w:eastAsia="宋体" w:cs="宋体"/>
                <w:b/>
                <w:bCs/>
              </w:rPr>
              <w:t>二级指标</w:t>
            </w:r>
          </w:p>
        </w:tc>
        <w:tc>
          <w:tcPr>
            <w:tcW w:w="8093" w:type="dxa"/>
            <w:gridSpan w:val="2"/>
            <w:tcBorders>
              <w:top w:val="single" w:color="000000" w:sz="4" w:space="0"/>
              <w:left w:val="single" w:color="000000" w:sz="4" w:space="0"/>
              <w:bottom w:val="single" w:color="000000" w:sz="4" w:space="0"/>
              <w:right w:val="single" w:color="auto" w:sz="4" w:space="0"/>
            </w:tcBorders>
            <w:vAlign w:val="center"/>
          </w:tcPr>
          <w:p w14:paraId="3D57E506">
            <w:pPr>
              <w:spacing w:after="0" w:line="68" w:lineRule="atLeast"/>
              <w:jc w:val="center"/>
              <w:rPr>
                <w:rFonts w:ascii="宋体" w:hAnsi="宋体" w:eastAsia="宋体" w:cs="宋体"/>
              </w:rPr>
            </w:pPr>
            <w:r>
              <w:rPr>
                <w:rFonts w:hint="eastAsia" w:ascii="宋体" w:hAnsi="宋体" w:eastAsia="宋体" w:cs="宋体"/>
                <w:b/>
                <w:bCs/>
              </w:rPr>
              <w:t>三级指标</w:t>
            </w:r>
          </w:p>
        </w:tc>
        <w:tc>
          <w:tcPr>
            <w:tcW w:w="3423" w:type="dxa"/>
            <w:vMerge w:val="restart"/>
            <w:tcBorders>
              <w:top w:val="single" w:color="000000" w:sz="4" w:space="0"/>
              <w:left w:val="single" w:color="auto" w:sz="4" w:space="0"/>
              <w:bottom w:val="single" w:color="000000" w:sz="4" w:space="0"/>
              <w:right w:val="single" w:color="auto" w:sz="4" w:space="0"/>
            </w:tcBorders>
            <w:vAlign w:val="center"/>
          </w:tcPr>
          <w:p w14:paraId="330D2486">
            <w:pPr>
              <w:spacing w:after="0" w:line="68" w:lineRule="atLeast"/>
              <w:jc w:val="center"/>
              <w:rPr>
                <w:rFonts w:ascii="宋体" w:hAnsi="宋体" w:eastAsia="宋体" w:cs="宋体"/>
              </w:rPr>
            </w:pPr>
            <w:r>
              <w:rPr>
                <w:rFonts w:hint="eastAsia" w:ascii="宋体" w:hAnsi="宋体" w:eastAsia="宋体" w:cs="宋体"/>
                <w:b/>
                <w:bCs/>
              </w:rPr>
              <w:t>评分标准</w:t>
            </w:r>
          </w:p>
        </w:tc>
        <w:tc>
          <w:tcPr>
            <w:tcW w:w="1090" w:type="dxa"/>
            <w:vMerge w:val="restart"/>
            <w:tcBorders>
              <w:top w:val="single" w:color="000000" w:sz="4" w:space="0"/>
              <w:left w:val="single" w:color="auto" w:sz="4" w:space="0"/>
              <w:bottom w:val="single" w:color="000000" w:sz="4" w:space="0"/>
              <w:right w:val="single" w:color="auto" w:sz="4" w:space="0"/>
            </w:tcBorders>
            <w:vAlign w:val="center"/>
          </w:tcPr>
          <w:p w14:paraId="0E23931A">
            <w:pPr>
              <w:spacing w:after="0" w:line="68" w:lineRule="atLeast"/>
              <w:jc w:val="center"/>
              <w:rPr>
                <w:rFonts w:ascii="宋体" w:hAnsi="宋体" w:eastAsia="宋体" w:cs="宋体"/>
              </w:rPr>
            </w:pPr>
            <w:r>
              <w:rPr>
                <w:rFonts w:hint="eastAsia" w:ascii="宋体" w:hAnsi="宋体" w:eastAsia="宋体" w:cs="宋体"/>
                <w:b/>
                <w:bCs/>
              </w:rPr>
              <w:t>得分</w:t>
            </w:r>
          </w:p>
        </w:tc>
      </w:tr>
      <w:tr w14:paraId="1D3CB3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5" w:hRule="atLeast"/>
          <w:tblHeader/>
          <w:jc w:val="center"/>
        </w:trPr>
        <w:tc>
          <w:tcPr>
            <w:tcW w:w="733" w:type="dxa"/>
            <w:vMerge w:val="continue"/>
            <w:tcBorders>
              <w:top w:val="single" w:color="000000" w:sz="4" w:space="0"/>
              <w:left w:val="single" w:color="000000" w:sz="4" w:space="0"/>
              <w:bottom w:val="single" w:color="000000" w:sz="4" w:space="0"/>
              <w:right w:val="single" w:color="000000" w:sz="4" w:space="0"/>
            </w:tcBorders>
            <w:vAlign w:val="center"/>
          </w:tcPr>
          <w:p w14:paraId="5CB57E47">
            <w:pPr>
              <w:spacing w:after="0"/>
              <w:rPr>
                <w:rFonts w:ascii="宋体" w:hAnsi="宋体" w:eastAsia="宋体" w:cs="宋体"/>
              </w:rPr>
            </w:pPr>
          </w:p>
        </w:tc>
        <w:tc>
          <w:tcPr>
            <w:tcW w:w="803" w:type="dxa"/>
            <w:vMerge w:val="continue"/>
            <w:tcBorders>
              <w:top w:val="single" w:color="000000" w:sz="4" w:space="0"/>
              <w:left w:val="single" w:color="000000" w:sz="4" w:space="0"/>
              <w:bottom w:val="single" w:color="000000" w:sz="4" w:space="0"/>
              <w:right w:val="single" w:color="000000" w:sz="4" w:space="0"/>
            </w:tcBorders>
            <w:vAlign w:val="center"/>
          </w:tcPr>
          <w:p w14:paraId="1C3FF14B">
            <w:pPr>
              <w:spacing w:after="0"/>
              <w:rPr>
                <w:rFonts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14:paraId="7D015000">
            <w:pPr>
              <w:spacing w:after="0" w:line="68" w:lineRule="atLeast"/>
              <w:jc w:val="center"/>
              <w:rPr>
                <w:rFonts w:ascii="宋体" w:hAnsi="宋体" w:eastAsia="宋体" w:cs="宋体"/>
              </w:rPr>
            </w:pPr>
            <w:r>
              <w:rPr>
                <w:rFonts w:hint="eastAsia" w:ascii="宋体" w:hAnsi="宋体" w:eastAsia="宋体" w:cs="宋体"/>
                <w:b/>
                <w:bCs/>
              </w:rPr>
              <w:t>指标名称</w:t>
            </w:r>
          </w:p>
        </w:tc>
        <w:tc>
          <w:tcPr>
            <w:tcW w:w="6911" w:type="dxa"/>
            <w:tcBorders>
              <w:top w:val="single" w:color="000000" w:sz="4" w:space="0"/>
              <w:left w:val="single" w:color="auto" w:sz="4" w:space="0"/>
              <w:bottom w:val="single" w:color="000000" w:sz="4" w:space="0"/>
              <w:right w:val="single" w:color="auto" w:sz="4" w:space="0"/>
            </w:tcBorders>
            <w:vAlign w:val="center"/>
          </w:tcPr>
          <w:p w14:paraId="1889D344">
            <w:pPr>
              <w:spacing w:after="0" w:line="68" w:lineRule="atLeast"/>
              <w:jc w:val="center"/>
              <w:rPr>
                <w:rFonts w:ascii="宋体" w:hAnsi="宋体" w:eastAsia="宋体" w:cs="宋体"/>
              </w:rPr>
            </w:pPr>
            <w:r>
              <w:rPr>
                <w:rFonts w:hint="eastAsia" w:ascii="宋体" w:hAnsi="宋体" w:eastAsia="宋体" w:cs="宋体"/>
                <w:b/>
                <w:bCs/>
              </w:rPr>
              <w:t>指标解释说明</w:t>
            </w:r>
          </w:p>
        </w:tc>
        <w:tc>
          <w:tcPr>
            <w:tcW w:w="3423" w:type="dxa"/>
            <w:vMerge w:val="continue"/>
            <w:tcBorders>
              <w:top w:val="single" w:color="000000" w:sz="4" w:space="0"/>
              <w:left w:val="single" w:color="auto" w:sz="4" w:space="0"/>
              <w:bottom w:val="single" w:color="000000" w:sz="4" w:space="0"/>
              <w:right w:val="single" w:color="auto" w:sz="4" w:space="0"/>
            </w:tcBorders>
            <w:vAlign w:val="center"/>
          </w:tcPr>
          <w:p w14:paraId="3FD07A64">
            <w:pPr>
              <w:spacing w:after="0"/>
              <w:rPr>
                <w:rFonts w:ascii="宋体" w:hAnsi="宋体" w:eastAsia="宋体" w:cs="宋体"/>
              </w:rPr>
            </w:pPr>
          </w:p>
        </w:tc>
        <w:tc>
          <w:tcPr>
            <w:tcW w:w="1090" w:type="dxa"/>
            <w:vMerge w:val="continue"/>
            <w:tcBorders>
              <w:top w:val="single" w:color="000000" w:sz="4" w:space="0"/>
              <w:left w:val="single" w:color="auto" w:sz="4" w:space="0"/>
              <w:bottom w:val="single" w:color="000000" w:sz="4" w:space="0"/>
              <w:right w:val="single" w:color="auto" w:sz="4" w:space="0"/>
            </w:tcBorders>
            <w:vAlign w:val="center"/>
          </w:tcPr>
          <w:p w14:paraId="2CEB3094">
            <w:pPr>
              <w:spacing w:after="0"/>
              <w:rPr>
                <w:rFonts w:ascii="宋体" w:hAnsi="宋体" w:eastAsia="宋体" w:cs="宋体"/>
              </w:rPr>
            </w:pPr>
          </w:p>
        </w:tc>
      </w:tr>
      <w:tr w14:paraId="52612B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70" w:hRule="atLeast"/>
          <w:jc w:val="center"/>
        </w:trPr>
        <w:tc>
          <w:tcPr>
            <w:tcW w:w="733" w:type="dxa"/>
            <w:vMerge w:val="restart"/>
            <w:tcBorders>
              <w:top w:val="single" w:color="000000" w:sz="4" w:space="0"/>
              <w:left w:val="single" w:color="000000" w:sz="4" w:space="0"/>
              <w:right w:val="single" w:color="000000" w:sz="4" w:space="0"/>
            </w:tcBorders>
          </w:tcPr>
          <w:p w14:paraId="5A236307">
            <w:pPr>
              <w:spacing w:after="0" w:line="68" w:lineRule="atLeast"/>
              <w:rPr>
                <w:rFonts w:ascii="宋体" w:hAnsi="宋体" w:eastAsia="宋体" w:cs="宋体"/>
              </w:rPr>
            </w:pPr>
          </w:p>
          <w:p w14:paraId="2C30D7D7">
            <w:pPr>
              <w:spacing w:after="0" w:line="68" w:lineRule="atLeast"/>
              <w:rPr>
                <w:rFonts w:ascii="宋体" w:hAnsi="宋体" w:eastAsia="宋体" w:cs="宋体"/>
              </w:rPr>
            </w:pPr>
          </w:p>
          <w:p w14:paraId="6AD058F3">
            <w:pPr>
              <w:spacing w:after="0" w:line="68" w:lineRule="atLeast"/>
              <w:rPr>
                <w:rFonts w:ascii="宋体" w:hAnsi="宋体" w:eastAsia="宋体" w:cs="宋体"/>
              </w:rPr>
            </w:pPr>
          </w:p>
          <w:p w14:paraId="43B70344">
            <w:pPr>
              <w:spacing w:after="0" w:line="68" w:lineRule="atLeast"/>
              <w:rPr>
                <w:rFonts w:ascii="宋体" w:hAnsi="宋体" w:eastAsia="宋体" w:cs="宋体"/>
              </w:rPr>
            </w:pPr>
          </w:p>
          <w:p w14:paraId="073C751F">
            <w:pPr>
              <w:spacing w:after="0" w:line="68" w:lineRule="atLeast"/>
              <w:rPr>
                <w:rFonts w:ascii="宋体" w:hAnsi="宋体" w:eastAsia="宋体" w:cs="宋体"/>
              </w:rPr>
            </w:pPr>
          </w:p>
          <w:p w14:paraId="28498D58">
            <w:pPr>
              <w:spacing w:after="0" w:line="68" w:lineRule="atLeast"/>
              <w:rPr>
                <w:rFonts w:ascii="宋体" w:hAnsi="宋体" w:eastAsia="宋体" w:cs="宋体"/>
              </w:rPr>
            </w:pPr>
          </w:p>
          <w:p w14:paraId="53039498">
            <w:pPr>
              <w:spacing w:after="0" w:line="68" w:lineRule="atLeast"/>
              <w:rPr>
                <w:rFonts w:ascii="宋体" w:hAnsi="宋体" w:eastAsia="宋体" w:cs="宋体"/>
              </w:rPr>
            </w:pPr>
          </w:p>
          <w:p w14:paraId="504CBE8C">
            <w:pPr>
              <w:spacing w:after="0" w:line="68" w:lineRule="atLeast"/>
              <w:rPr>
                <w:rFonts w:ascii="宋体" w:hAnsi="宋体" w:eastAsia="宋体" w:cs="宋体"/>
              </w:rPr>
            </w:pPr>
          </w:p>
          <w:p w14:paraId="6B16DF16">
            <w:pPr>
              <w:spacing w:after="0" w:line="68" w:lineRule="atLeast"/>
              <w:rPr>
                <w:rFonts w:ascii="宋体" w:hAnsi="宋体" w:eastAsia="宋体" w:cs="宋体"/>
              </w:rPr>
            </w:pPr>
          </w:p>
          <w:p w14:paraId="414EC668">
            <w:pPr>
              <w:spacing w:after="0" w:line="68" w:lineRule="atLeast"/>
              <w:rPr>
                <w:rFonts w:ascii="宋体" w:hAnsi="宋体" w:eastAsia="宋体" w:cs="宋体"/>
              </w:rPr>
            </w:pPr>
          </w:p>
          <w:p w14:paraId="03C39B18">
            <w:pPr>
              <w:spacing w:after="0" w:line="68" w:lineRule="atLeast"/>
              <w:rPr>
                <w:rFonts w:ascii="宋体" w:hAnsi="宋体" w:eastAsia="宋体" w:cs="宋体"/>
              </w:rPr>
            </w:pPr>
            <w:r>
              <w:rPr>
                <w:rFonts w:hint="eastAsia" w:ascii="宋体" w:hAnsi="宋体" w:eastAsia="宋体" w:cs="宋体"/>
              </w:rPr>
              <w:t>投入（15分）</w:t>
            </w:r>
          </w:p>
          <w:p w14:paraId="4C19D8A1">
            <w:pPr>
              <w:spacing w:after="0" w:line="68" w:lineRule="atLeast"/>
              <w:rPr>
                <w:rFonts w:ascii="宋体" w:hAnsi="宋体" w:eastAsia="宋体" w:cs="宋体"/>
              </w:rPr>
            </w:pPr>
          </w:p>
          <w:p w14:paraId="7A84DF17">
            <w:pPr>
              <w:spacing w:after="0" w:line="68" w:lineRule="atLeast"/>
              <w:rPr>
                <w:rFonts w:ascii="宋体" w:hAnsi="宋体" w:eastAsia="宋体" w:cs="宋体"/>
              </w:rPr>
            </w:pPr>
          </w:p>
          <w:p w14:paraId="2886259D">
            <w:pPr>
              <w:spacing w:after="0" w:line="68" w:lineRule="atLeast"/>
              <w:rPr>
                <w:rFonts w:ascii="宋体" w:hAnsi="宋体" w:eastAsia="宋体" w:cs="宋体"/>
              </w:rPr>
            </w:pPr>
          </w:p>
          <w:p w14:paraId="026453E8">
            <w:pPr>
              <w:spacing w:after="0" w:line="68" w:lineRule="atLeast"/>
              <w:rPr>
                <w:rFonts w:ascii="宋体" w:hAnsi="宋体" w:eastAsia="宋体" w:cs="宋体"/>
              </w:rPr>
            </w:pPr>
          </w:p>
          <w:p w14:paraId="4F8725D0">
            <w:pPr>
              <w:spacing w:after="0" w:line="68" w:lineRule="atLeast"/>
              <w:rPr>
                <w:rFonts w:ascii="宋体" w:hAnsi="宋体" w:eastAsia="宋体" w:cs="宋体"/>
              </w:rPr>
            </w:pPr>
          </w:p>
          <w:p w14:paraId="029E06EC">
            <w:pPr>
              <w:spacing w:after="0" w:line="68" w:lineRule="atLeast"/>
              <w:rPr>
                <w:rFonts w:ascii="宋体" w:hAnsi="宋体" w:eastAsia="宋体" w:cs="宋体"/>
              </w:rPr>
            </w:pPr>
          </w:p>
          <w:p w14:paraId="651DB2A2">
            <w:pPr>
              <w:spacing w:after="0" w:line="68" w:lineRule="atLeast"/>
              <w:rPr>
                <w:rFonts w:ascii="宋体" w:hAnsi="宋体" w:eastAsia="宋体" w:cs="宋体"/>
              </w:rPr>
            </w:pPr>
          </w:p>
          <w:p w14:paraId="78B3EE1F">
            <w:pPr>
              <w:spacing w:after="0" w:line="68" w:lineRule="atLeast"/>
              <w:rPr>
                <w:rFonts w:ascii="宋体" w:hAnsi="宋体" w:eastAsia="宋体" w:cs="宋体"/>
              </w:rPr>
            </w:pPr>
          </w:p>
          <w:p w14:paraId="1535E4B3">
            <w:pPr>
              <w:spacing w:after="0" w:line="68" w:lineRule="atLeast"/>
              <w:rPr>
                <w:rFonts w:ascii="宋体" w:hAnsi="宋体" w:eastAsia="宋体" w:cs="宋体"/>
              </w:rPr>
            </w:pPr>
          </w:p>
          <w:p w14:paraId="27F42626">
            <w:pPr>
              <w:spacing w:after="0" w:line="68" w:lineRule="atLeast"/>
              <w:rPr>
                <w:rFonts w:ascii="宋体" w:hAnsi="宋体" w:eastAsia="宋体" w:cs="宋体"/>
              </w:rPr>
            </w:pPr>
          </w:p>
          <w:p w14:paraId="2E9125FE">
            <w:pPr>
              <w:spacing w:after="0" w:line="68" w:lineRule="atLeast"/>
              <w:rPr>
                <w:rFonts w:ascii="宋体" w:hAnsi="宋体" w:eastAsia="宋体" w:cs="宋体"/>
              </w:rPr>
            </w:pPr>
          </w:p>
          <w:p w14:paraId="157C407D">
            <w:pPr>
              <w:spacing w:after="0" w:line="68" w:lineRule="atLeast"/>
              <w:rPr>
                <w:rFonts w:ascii="宋体" w:hAnsi="宋体" w:eastAsia="宋体" w:cs="宋体"/>
              </w:rPr>
            </w:pPr>
          </w:p>
          <w:p w14:paraId="7B596585">
            <w:pPr>
              <w:spacing w:after="0" w:line="68" w:lineRule="atLeast"/>
              <w:rPr>
                <w:rFonts w:ascii="宋体" w:hAnsi="宋体" w:eastAsia="宋体" w:cs="宋体"/>
              </w:rPr>
            </w:pPr>
          </w:p>
          <w:p w14:paraId="09D9E9BE">
            <w:pPr>
              <w:spacing w:after="0" w:line="68" w:lineRule="atLeast"/>
              <w:rPr>
                <w:rFonts w:ascii="宋体" w:hAnsi="宋体" w:eastAsia="宋体" w:cs="宋体"/>
              </w:rPr>
            </w:pPr>
          </w:p>
          <w:p w14:paraId="2F4BD367">
            <w:pPr>
              <w:spacing w:after="0" w:line="68" w:lineRule="atLeast"/>
              <w:rPr>
                <w:rFonts w:ascii="宋体" w:hAnsi="宋体" w:eastAsia="宋体" w:cs="宋体"/>
              </w:rPr>
            </w:pPr>
          </w:p>
          <w:p w14:paraId="4A17F669">
            <w:pPr>
              <w:spacing w:after="0" w:line="68" w:lineRule="atLeast"/>
              <w:rPr>
                <w:rFonts w:ascii="宋体" w:hAnsi="宋体" w:eastAsia="宋体" w:cs="宋体"/>
              </w:rPr>
            </w:pPr>
          </w:p>
          <w:p w14:paraId="68AA1CA7">
            <w:pPr>
              <w:spacing w:after="0" w:line="68" w:lineRule="atLeast"/>
              <w:rPr>
                <w:rFonts w:ascii="宋体" w:hAnsi="宋体" w:eastAsia="宋体" w:cs="宋体"/>
              </w:rPr>
            </w:pPr>
          </w:p>
          <w:p w14:paraId="233B5B91">
            <w:pPr>
              <w:spacing w:after="0" w:line="68" w:lineRule="atLeast"/>
              <w:rPr>
                <w:rFonts w:ascii="宋体" w:hAnsi="宋体" w:eastAsia="宋体" w:cs="宋体"/>
              </w:rPr>
            </w:pPr>
          </w:p>
          <w:p w14:paraId="7B7B661B">
            <w:pPr>
              <w:spacing w:after="0" w:line="68" w:lineRule="atLeast"/>
              <w:rPr>
                <w:rFonts w:ascii="宋体" w:hAnsi="宋体" w:eastAsia="宋体" w:cs="宋体"/>
              </w:rPr>
            </w:pPr>
          </w:p>
          <w:p w14:paraId="069FF040">
            <w:pPr>
              <w:spacing w:after="0" w:line="68" w:lineRule="atLeast"/>
              <w:rPr>
                <w:rFonts w:ascii="宋体" w:hAnsi="宋体" w:eastAsia="宋体" w:cs="宋体"/>
              </w:rPr>
            </w:pPr>
            <w:r>
              <w:rPr>
                <w:rFonts w:hint="eastAsia" w:ascii="宋体" w:hAnsi="宋体" w:eastAsia="宋体" w:cs="宋体"/>
              </w:rPr>
              <w:t>投入（15分）</w:t>
            </w:r>
          </w:p>
        </w:tc>
        <w:tc>
          <w:tcPr>
            <w:tcW w:w="803" w:type="dxa"/>
            <w:vMerge w:val="restart"/>
            <w:tcBorders>
              <w:top w:val="single" w:color="000000" w:sz="4" w:space="0"/>
              <w:left w:val="single" w:color="000000" w:sz="4" w:space="0"/>
              <w:right w:val="single" w:color="000000" w:sz="4" w:space="0"/>
            </w:tcBorders>
          </w:tcPr>
          <w:p w14:paraId="3AC79553">
            <w:pPr>
              <w:spacing w:after="0" w:line="240" w:lineRule="exact"/>
              <w:rPr>
                <w:rFonts w:ascii="宋体" w:hAnsi="宋体" w:eastAsia="宋体" w:cs="宋体"/>
              </w:rPr>
            </w:pPr>
          </w:p>
          <w:p w14:paraId="78F6D9FC">
            <w:pPr>
              <w:spacing w:after="0" w:line="240" w:lineRule="exact"/>
              <w:rPr>
                <w:rFonts w:ascii="宋体" w:hAnsi="宋体" w:eastAsia="宋体" w:cs="宋体"/>
              </w:rPr>
            </w:pPr>
          </w:p>
          <w:p w14:paraId="43C90135">
            <w:pPr>
              <w:spacing w:after="0" w:line="240" w:lineRule="exact"/>
              <w:rPr>
                <w:rFonts w:ascii="宋体" w:hAnsi="宋体" w:eastAsia="宋体" w:cs="宋体"/>
              </w:rPr>
            </w:pPr>
          </w:p>
          <w:p w14:paraId="0D77D71C">
            <w:pPr>
              <w:spacing w:after="0" w:line="240" w:lineRule="exact"/>
              <w:rPr>
                <w:rFonts w:ascii="宋体" w:hAnsi="宋体" w:eastAsia="宋体" w:cs="宋体"/>
              </w:rPr>
            </w:pPr>
          </w:p>
          <w:p w14:paraId="17BCF5C8">
            <w:pPr>
              <w:spacing w:after="0" w:line="240" w:lineRule="exact"/>
              <w:rPr>
                <w:rFonts w:ascii="宋体" w:hAnsi="宋体" w:eastAsia="宋体" w:cs="宋体"/>
              </w:rPr>
            </w:pPr>
          </w:p>
          <w:p w14:paraId="019A22F0">
            <w:pPr>
              <w:spacing w:after="0" w:line="240" w:lineRule="exact"/>
              <w:rPr>
                <w:rFonts w:ascii="宋体" w:hAnsi="宋体" w:eastAsia="宋体" w:cs="宋体"/>
              </w:rPr>
            </w:pPr>
          </w:p>
          <w:p w14:paraId="5D6FE97A">
            <w:pPr>
              <w:spacing w:after="0" w:line="240" w:lineRule="exact"/>
              <w:rPr>
                <w:rFonts w:ascii="宋体" w:hAnsi="宋体" w:eastAsia="宋体" w:cs="宋体"/>
              </w:rPr>
            </w:pPr>
          </w:p>
          <w:p w14:paraId="0375A0D1">
            <w:pPr>
              <w:spacing w:after="0" w:line="240" w:lineRule="exact"/>
              <w:rPr>
                <w:rFonts w:ascii="宋体" w:hAnsi="宋体" w:eastAsia="宋体" w:cs="宋体"/>
              </w:rPr>
            </w:pPr>
          </w:p>
          <w:p w14:paraId="617360F0">
            <w:pPr>
              <w:spacing w:after="0" w:line="240" w:lineRule="exact"/>
              <w:rPr>
                <w:rFonts w:ascii="宋体" w:hAnsi="宋体" w:eastAsia="宋体" w:cs="宋体"/>
              </w:rPr>
            </w:pPr>
          </w:p>
          <w:p w14:paraId="7D16F888">
            <w:pPr>
              <w:spacing w:after="0" w:line="240" w:lineRule="exact"/>
              <w:rPr>
                <w:rFonts w:ascii="宋体" w:hAnsi="宋体" w:eastAsia="宋体" w:cs="宋体"/>
              </w:rPr>
            </w:pPr>
          </w:p>
          <w:p w14:paraId="239704CE">
            <w:pPr>
              <w:spacing w:after="0" w:line="240" w:lineRule="exact"/>
              <w:rPr>
                <w:rFonts w:ascii="宋体" w:hAnsi="宋体" w:eastAsia="宋体" w:cs="宋体"/>
              </w:rPr>
            </w:pPr>
          </w:p>
          <w:p w14:paraId="6D52B0B9">
            <w:pPr>
              <w:spacing w:after="0" w:line="240" w:lineRule="exact"/>
              <w:rPr>
                <w:rFonts w:ascii="宋体" w:hAnsi="宋体" w:eastAsia="宋体" w:cs="宋体"/>
              </w:rPr>
            </w:pPr>
          </w:p>
          <w:p w14:paraId="32D8EB19">
            <w:pPr>
              <w:spacing w:after="0" w:line="240" w:lineRule="exact"/>
              <w:rPr>
                <w:rFonts w:ascii="宋体" w:hAnsi="宋体" w:eastAsia="宋体" w:cs="宋体"/>
              </w:rPr>
            </w:pPr>
          </w:p>
          <w:p w14:paraId="038A576C">
            <w:pPr>
              <w:spacing w:after="0" w:line="240" w:lineRule="exact"/>
              <w:rPr>
                <w:rFonts w:ascii="宋体" w:hAnsi="宋体" w:eastAsia="宋体" w:cs="宋体"/>
              </w:rPr>
            </w:pPr>
            <w:r>
              <w:rPr>
                <w:rFonts w:hint="eastAsia" w:ascii="宋体" w:hAnsi="宋体" w:eastAsia="宋体" w:cs="宋体"/>
              </w:rPr>
              <w:t>目标设定</w:t>
            </w:r>
          </w:p>
          <w:p w14:paraId="27724C3D">
            <w:pPr>
              <w:spacing w:after="0" w:line="68" w:lineRule="atLeast"/>
              <w:rPr>
                <w:rFonts w:ascii="宋体" w:hAnsi="宋体" w:eastAsia="宋体" w:cs="宋体"/>
              </w:rPr>
            </w:pPr>
            <w:r>
              <w:rPr>
                <w:rFonts w:hint="eastAsia" w:ascii="宋体" w:hAnsi="宋体" w:eastAsia="宋体" w:cs="宋体"/>
              </w:rPr>
              <w:t>（5分）</w:t>
            </w:r>
          </w:p>
        </w:tc>
        <w:tc>
          <w:tcPr>
            <w:tcW w:w="1182" w:type="dxa"/>
            <w:tcBorders>
              <w:top w:val="single" w:color="000000" w:sz="4" w:space="0"/>
              <w:left w:val="single" w:color="000000" w:sz="4" w:space="0"/>
              <w:bottom w:val="single" w:color="auto" w:sz="4" w:space="0"/>
              <w:right w:val="single" w:color="auto" w:sz="4" w:space="0"/>
            </w:tcBorders>
          </w:tcPr>
          <w:p w14:paraId="14ACDF90">
            <w:pPr>
              <w:spacing w:after="0" w:line="68" w:lineRule="atLeast"/>
              <w:rPr>
                <w:rFonts w:ascii="宋体" w:hAnsi="宋体" w:eastAsia="宋体" w:cs="宋体"/>
              </w:rPr>
            </w:pPr>
            <w:r>
              <w:rPr>
                <w:rFonts w:hint="eastAsia" w:ascii="宋体" w:hAnsi="宋体" w:eastAsia="宋体" w:cs="宋体"/>
              </w:rPr>
              <w:t>职责明确（1分）</w:t>
            </w:r>
          </w:p>
        </w:tc>
        <w:tc>
          <w:tcPr>
            <w:tcW w:w="6911" w:type="dxa"/>
            <w:tcBorders>
              <w:top w:val="single" w:color="000000" w:sz="4" w:space="0"/>
              <w:left w:val="single" w:color="auto" w:sz="4" w:space="0"/>
              <w:bottom w:val="single" w:color="auto" w:sz="4" w:space="0"/>
              <w:right w:val="single" w:color="auto" w:sz="4" w:space="0"/>
            </w:tcBorders>
          </w:tcPr>
          <w:p w14:paraId="19671038">
            <w:pPr>
              <w:spacing w:after="0" w:line="68" w:lineRule="atLeast"/>
              <w:rPr>
                <w:rFonts w:ascii="宋体" w:hAnsi="宋体" w:eastAsia="宋体" w:cs="宋体"/>
              </w:rPr>
            </w:pPr>
            <w:r>
              <w:rPr>
                <w:rFonts w:hint="eastAsia" w:ascii="宋体" w:hAnsi="宋体" w:eastAsia="宋体" w:cs="宋体"/>
              </w:rPr>
              <w:t>部门的职责设定是否符合“三定”方案中所赋予的职责和年度承担的重点工作，用以反映和评价部门工作的目的性与计划性。</w:t>
            </w:r>
          </w:p>
        </w:tc>
        <w:tc>
          <w:tcPr>
            <w:tcW w:w="3423" w:type="dxa"/>
            <w:tcBorders>
              <w:top w:val="single" w:color="000000" w:sz="4" w:space="0"/>
              <w:left w:val="single" w:color="auto" w:sz="4" w:space="0"/>
              <w:bottom w:val="single" w:color="auto" w:sz="4" w:space="0"/>
              <w:right w:val="single" w:color="auto" w:sz="4" w:space="0"/>
            </w:tcBorders>
          </w:tcPr>
          <w:p w14:paraId="0331CCB1">
            <w:pPr>
              <w:spacing w:after="0" w:line="240" w:lineRule="exact"/>
              <w:rPr>
                <w:rFonts w:ascii="宋体" w:hAnsi="宋体" w:eastAsia="宋体" w:cs="宋体"/>
              </w:rPr>
            </w:pPr>
            <w:r>
              <w:rPr>
                <w:rFonts w:hint="eastAsia" w:ascii="宋体" w:hAnsi="宋体" w:eastAsia="宋体" w:cs="宋体"/>
              </w:rPr>
              <w:t>符合（1分）；</w:t>
            </w:r>
          </w:p>
          <w:p w14:paraId="121C9742">
            <w:pPr>
              <w:spacing w:after="0" w:line="68" w:lineRule="atLeast"/>
              <w:rPr>
                <w:rFonts w:ascii="宋体" w:hAnsi="宋体" w:eastAsia="宋体" w:cs="宋体"/>
              </w:rPr>
            </w:pPr>
            <w:r>
              <w:rPr>
                <w:rFonts w:hint="eastAsia" w:ascii="宋体" w:hAnsi="宋体" w:eastAsia="宋体" w:cs="宋体"/>
              </w:rPr>
              <w:t>不符合（0分）。</w:t>
            </w:r>
          </w:p>
        </w:tc>
        <w:tc>
          <w:tcPr>
            <w:tcW w:w="1090" w:type="dxa"/>
            <w:tcBorders>
              <w:top w:val="single" w:color="000000" w:sz="4" w:space="0"/>
              <w:left w:val="single" w:color="auto" w:sz="4" w:space="0"/>
              <w:bottom w:val="single" w:color="auto" w:sz="4" w:space="0"/>
              <w:right w:val="single" w:color="000000" w:sz="4" w:space="0"/>
            </w:tcBorders>
          </w:tcPr>
          <w:p w14:paraId="2EC31B85">
            <w:pPr>
              <w:spacing w:after="0" w:line="68" w:lineRule="atLeast"/>
              <w:rPr>
                <w:rFonts w:hint="eastAsia" w:ascii="宋体" w:hAnsi="宋体" w:eastAsia="宋体" w:cs="宋体"/>
                <w:lang w:val="en-US" w:eastAsia="zh-CN"/>
              </w:rPr>
            </w:pPr>
            <w:r>
              <w:rPr>
                <w:rFonts w:hint="eastAsia" w:ascii="宋体" w:hAnsi="宋体" w:eastAsia="宋体" w:cs="宋体"/>
              </w:rPr>
              <w:t> </w:t>
            </w:r>
            <w:r>
              <w:rPr>
                <w:rFonts w:hint="eastAsia" w:ascii="宋体" w:hAnsi="宋体" w:eastAsia="宋体" w:cs="宋体"/>
                <w:lang w:val="en-US" w:eastAsia="zh-CN"/>
              </w:rPr>
              <w:t>1</w:t>
            </w:r>
          </w:p>
        </w:tc>
      </w:tr>
      <w:tr w14:paraId="064976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44" w:hRule="atLeast"/>
          <w:jc w:val="center"/>
        </w:trPr>
        <w:tc>
          <w:tcPr>
            <w:tcW w:w="733" w:type="dxa"/>
            <w:vMerge w:val="continue"/>
            <w:tcBorders>
              <w:left w:val="single" w:color="000000" w:sz="4" w:space="0"/>
              <w:right w:val="single" w:color="000000" w:sz="4" w:space="0"/>
            </w:tcBorders>
            <w:vAlign w:val="center"/>
          </w:tcPr>
          <w:p w14:paraId="3EEDD102">
            <w:pPr>
              <w:spacing w:after="0"/>
              <w:rPr>
                <w:rFonts w:ascii="宋体" w:hAnsi="宋体" w:eastAsia="宋体" w:cs="宋体"/>
              </w:rPr>
            </w:pPr>
          </w:p>
        </w:tc>
        <w:tc>
          <w:tcPr>
            <w:tcW w:w="803" w:type="dxa"/>
            <w:vMerge w:val="continue"/>
            <w:tcBorders>
              <w:left w:val="single" w:color="000000" w:sz="4" w:space="0"/>
              <w:right w:val="single" w:color="000000" w:sz="4" w:space="0"/>
            </w:tcBorders>
            <w:vAlign w:val="center"/>
          </w:tcPr>
          <w:p w14:paraId="548D6145">
            <w:pPr>
              <w:spacing w:after="0"/>
              <w:rPr>
                <w:rFonts w:ascii="宋体" w:hAnsi="宋体" w:eastAsia="宋体" w:cs="宋体"/>
              </w:rPr>
            </w:pPr>
          </w:p>
        </w:tc>
        <w:tc>
          <w:tcPr>
            <w:tcW w:w="1182" w:type="dxa"/>
            <w:tcBorders>
              <w:top w:val="single" w:color="000000" w:sz="4" w:space="0"/>
              <w:left w:val="single" w:color="000000" w:sz="4" w:space="0"/>
              <w:bottom w:val="single" w:color="auto" w:sz="4" w:space="0"/>
              <w:right w:val="single" w:color="auto" w:sz="4" w:space="0"/>
            </w:tcBorders>
            <w:vAlign w:val="center"/>
          </w:tcPr>
          <w:p w14:paraId="5188A36C">
            <w:pPr>
              <w:spacing w:after="0" w:line="68" w:lineRule="atLeast"/>
              <w:rPr>
                <w:rFonts w:ascii="宋体" w:hAnsi="宋体" w:eastAsia="宋体" w:cs="宋体"/>
              </w:rPr>
            </w:pPr>
            <w:r>
              <w:rPr>
                <w:rFonts w:hint="eastAsia" w:ascii="宋体" w:hAnsi="宋体" w:eastAsia="宋体" w:cs="宋体"/>
              </w:rPr>
              <w:t>活动合规性（1分）</w:t>
            </w:r>
          </w:p>
        </w:tc>
        <w:tc>
          <w:tcPr>
            <w:tcW w:w="6911" w:type="dxa"/>
            <w:tcBorders>
              <w:top w:val="single" w:color="000000" w:sz="4" w:space="0"/>
              <w:left w:val="single" w:color="auto" w:sz="4" w:space="0"/>
              <w:bottom w:val="single" w:color="auto" w:sz="4" w:space="0"/>
              <w:right w:val="single" w:color="auto" w:sz="4" w:space="0"/>
            </w:tcBorders>
            <w:vAlign w:val="center"/>
          </w:tcPr>
          <w:p w14:paraId="4A32139E">
            <w:pPr>
              <w:spacing w:after="0" w:line="240" w:lineRule="exact"/>
              <w:rPr>
                <w:rFonts w:ascii="宋体" w:hAnsi="宋体" w:eastAsia="宋体" w:cs="宋体"/>
              </w:rPr>
            </w:pPr>
            <w:r>
              <w:rPr>
                <w:rFonts w:hint="eastAsia" w:ascii="宋体" w:hAnsi="宋体" w:eastAsia="宋体" w:cs="宋体"/>
              </w:rPr>
              <w:t>部门的活动是否在职责范围之内并符合部门中长期规划，用以反映和评价部门活动目标与部门履职、年度工作任务的相符性情况。</w:t>
            </w:r>
          </w:p>
          <w:p w14:paraId="2DC52158">
            <w:pPr>
              <w:spacing w:after="0" w:line="240" w:lineRule="exact"/>
              <w:rPr>
                <w:rFonts w:ascii="宋体" w:hAnsi="宋体" w:eastAsia="宋体" w:cs="宋体"/>
              </w:rPr>
            </w:pPr>
            <w:r>
              <w:rPr>
                <w:rFonts w:hint="eastAsia" w:ascii="宋体" w:hAnsi="宋体" w:eastAsia="宋体" w:cs="宋体"/>
              </w:rPr>
              <w:t>评价要点：</w:t>
            </w:r>
          </w:p>
          <w:p w14:paraId="77ADDF22">
            <w:pPr>
              <w:spacing w:after="0" w:line="240" w:lineRule="exact"/>
              <w:rPr>
                <w:rFonts w:ascii="宋体" w:hAnsi="宋体" w:eastAsia="宋体" w:cs="宋体"/>
              </w:rPr>
            </w:pPr>
            <w:r>
              <w:rPr>
                <w:rFonts w:hint="eastAsia" w:ascii="宋体" w:hAnsi="宋体" w:eastAsia="宋体" w:cs="宋体"/>
              </w:rPr>
              <w:t>1.部门活动的设定在部门所确定的职责范围之内；</w:t>
            </w:r>
          </w:p>
          <w:p w14:paraId="65E2B3FA">
            <w:pPr>
              <w:spacing w:after="0" w:line="68" w:lineRule="atLeast"/>
              <w:rPr>
                <w:rFonts w:ascii="宋体" w:hAnsi="宋体" w:eastAsia="宋体" w:cs="宋体"/>
              </w:rPr>
            </w:pPr>
            <w:r>
              <w:rPr>
                <w:rFonts w:hint="eastAsia" w:ascii="宋体" w:hAnsi="宋体" w:eastAsia="宋体" w:cs="宋体"/>
              </w:rPr>
              <w:t>2.部门活动符合市委、市政府的发展规划及本部门的年度工作安排与发展规划。</w:t>
            </w:r>
          </w:p>
        </w:tc>
        <w:tc>
          <w:tcPr>
            <w:tcW w:w="3423" w:type="dxa"/>
            <w:tcBorders>
              <w:top w:val="single" w:color="000000" w:sz="4" w:space="0"/>
              <w:left w:val="single" w:color="auto" w:sz="4" w:space="0"/>
              <w:bottom w:val="single" w:color="auto" w:sz="4" w:space="0"/>
              <w:right w:val="single" w:color="auto" w:sz="4" w:space="0"/>
            </w:tcBorders>
            <w:vAlign w:val="center"/>
          </w:tcPr>
          <w:p w14:paraId="4E2D8F9F">
            <w:pPr>
              <w:spacing w:after="0" w:line="240" w:lineRule="exact"/>
              <w:rPr>
                <w:rFonts w:ascii="宋体" w:hAnsi="宋体" w:eastAsia="宋体" w:cs="宋体"/>
              </w:rPr>
            </w:pPr>
            <w:r>
              <w:rPr>
                <w:rFonts w:hint="eastAsia" w:ascii="宋体" w:hAnsi="宋体" w:eastAsia="宋体" w:cs="宋体"/>
              </w:rPr>
              <w:t>全部符合（1分）；</w:t>
            </w:r>
          </w:p>
          <w:p w14:paraId="3AB0BA02">
            <w:pPr>
              <w:spacing w:after="0" w:line="68" w:lineRule="atLeast"/>
              <w:rPr>
                <w:rFonts w:ascii="宋体" w:hAnsi="宋体" w:eastAsia="宋体" w:cs="宋体"/>
              </w:rPr>
            </w:pPr>
            <w:r>
              <w:rPr>
                <w:rFonts w:hint="eastAsia" w:ascii="宋体" w:hAnsi="宋体" w:eastAsia="宋体" w:cs="宋体"/>
              </w:rPr>
              <w:t>其中一项不符合（0分）。</w:t>
            </w:r>
          </w:p>
        </w:tc>
        <w:tc>
          <w:tcPr>
            <w:tcW w:w="1090" w:type="dxa"/>
            <w:tcBorders>
              <w:top w:val="single" w:color="000000" w:sz="4" w:space="0"/>
              <w:left w:val="single" w:color="auto" w:sz="4" w:space="0"/>
              <w:bottom w:val="single" w:color="auto" w:sz="4" w:space="0"/>
              <w:right w:val="single" w:color="000000" w:sz="4" w:space="0"/>
            </w:tcBorders>
            <w:vAlign w:val="center"/>
          </w:tcPr>
          <w:p w14:paraId="472A50F2">
            <w:pPr>
              <w:spacing w:after="0" w:line="68" w:lineRule="atLeast"/>
              <w:rPr>
                <w:rFonts w:hint="eastAsia" w:ascii="宋体" w:hAnsi="宋体" w:eastAsia="宋体" w:cs="宋体"/>
                <w:lang w:val="en-US" w:eastAsia="zh-CN"/>
              </w:rPr>
            </w:pPr>
            <w:r>
              <w:rPr>
                <w:rFonts w:hint="eastAsia" w:ascii="宋体" w:hAnsi="宋体" w:eastAsia="宋体" w:cs="宋体"/>
              </w:rPr>
              <w:t> </w:t>
            </w:r>
            <w:r>
              <w:rPr>
                <w:rFonts w:hint="eastAsia" w:ascii="宋体" w:hAnsi="宋体" w:eastAsia="宋体" w:cs="宋体"/>
                <w:lang w:val="en-US" w:eastAsia="zh-CN"/>
              </w:rPr>
              <w:t>1</w:t>
            </w:r>
          </w:p>
        </w:tc>
      </w:tr>
      <w:tr w14:paraId="572BBE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32" w:hRule="atLeast"/>
          <w:jc w:val="center"/>
        </w:trPr>
        <w:tc>
          <w:tcPr>
            <w:tcW w:w="733" w:type="dxa"/>
            <w:vMerge w:val="continue"/>
            <w:tcBorders>
              <w:left w:val="single" w:color="000000" w:sz="4" w:space="0"/>
              <w:right w:val="single" w:color="000000" w:sz="4" w:space="0"/>
            </w:tcBorders>
            <w:vAlign w:val="center"/>
          </w:tcPr>
          <w:p w14:paraId="0B8217FE">
            <w:pPr>
              <w:spacing w:after="0"/>
              <w:rPr>
                <w:rFonts w:ascii="宋体" w:hAnsi="宋体" w:eastAsia="宋体" w:cs="宋体"/>
              </w:rPr>
            </w:pPr>
          </w:p>
        </w:tc>
        <w:tc>
          <w:tcPr>
            <w:tcW w:w="803" w:type="dxa"/>
            <w:vMerge w:val="continue"/>
            <w:tcBorders>
              <w:left w:val="single" w:color="000000" w:sz="4" w:space="0"/>
              <w:right w:val="single" w:color="000000" w:sz="4" w:space="0"/>
            </w:tcBorders>
            <w:vAlign w:val="center"/>
          </w:tcPr>
          <w:p w14:paraId="47AAA343">
            <w:pPr>
              <w:spacing w:after="0"/>
              <w:rPr>
                <w:rFonts w:ascii="宋体" w:hAnsi="宋体" w:eastAsia="宋体" w:cs="宋体"/>
              </w:rPr>
            </w:pPr>
          </w:p>
        </w:tc>
        <w:tc>
          <w:tcPr>
            <w:tcW w:w="1182" w:type="dxa"/>
            <w:tcBorders>
              <w:top w:val="single" w:color="000000" w:sz="4" w:space="0"/>
              <w:left w:val="single" w:color="000000" w:sz="4" w:space="0"/>
              <w:bottom w:val="single" w:color="auto" w:sz="4" w:space="0"/>
              <w:right w:val="single" w:color="auto" w:sz="4" w:space="0"/>
            </w:tcBorders>
            <w:vAlign w:val="center"/>
          </w:tcPr>
          <w:p w14:paraId="2A2B5EDB">
            <w:pPr>
              <w:spacing w:after="0" w:line="68" w:lineRule="atLeast"/>
              <w:rPr>
                <w:rFonts w:ascii="宋体" w:hAnsi="宋体" w:eastAsia="宋体" w:cs="宋体"/>
              </w:rPr>
            </w:pPr>
            <w:r>
              <w:rPr>
                <w:rFonts w:hint="eastAsia" w:ascii="宋体" w:hAnsi="宋体" w:eastAsia="宋体" w:cs="宋体"/>
              </w:rPr>
              <w:t>活动合理性（1分）</w:t>
            </w:r>
          </w:p>
        </w:tc>
        <w:tc>
          <w:tcPr>
            <w:tcW w:w="6911" w:type="dxa"/>
            <w:tcBorders>
              <w:top w:val="single" w:color="000000" w:sz="4" w:space="0"/>
              <w:left w:val="single" w:color="auto" w:sz="4" w:space="0"/>
              <w:bottom w:val="single" w:color="auto" w:sz="4" w:space="0"/>
              <w:right w:val="single" w:color="auto" w:sz="4" w:space="0"/>
            </w:tcBorders>
            <w:vAlign w:val="center"/>
          </w:tcPr>
          <w:p w14:paraId="5D0EBE40">
            <w:pPr>
              <w:spacing w:after="0" w:line="240" w:lineRule="exact"/>
              <w:rPr>
                <w:rFonts w:ascii="宋体" w:hAnsi="宋体" w:eastAsia="宋体" w:cs="宋体"/>
              </w:rPr>
            </w:pPr>
            <w:r>
              <w:rPr>
                <w:rFonts w:hint="eastAsia" w:ascii="宋体" w:hAnsi="宋体" w:eastAsia="宋体" w:cs="宋体"/>
              </w:rPr>
              <w:t>部门所设立的活动是否明确合理、活动的关键性指标设置是否可衡量，用以反映和评价部门活动目标设定的合理性。</w:t>
            </w:r>
          </w:p>
          <w:p w14:paraId="32A98104">
            <w:pPr>
              <w:spacing w:after="0" w:line="240" w:lineRule="exact"/>
              <w:rPr>
                <w:rFonts w:ascii="宋体" w:hAnsi="宋体" w:eastAsia="宋体" w:cs="宋体"/>
              </w:rPr>
            </w:pPr>
            <w:r>
              <w:rPr>
                <w:rFonts w:hint="eastAsia" w:ascii="宋体" w:hAnsi="宋体" w:eastAsia="宋体" w:cs="宋体"/>
              </w:rPr>
              <w:t>评价要点：</w:t>
            </w:r>
          </w:p>
          <w:p w14:paraId="05E5EE4A">
            <w:pPr>
              <w:spacing w:after="0" w:line="240" w:lineRule="exact"/>
              <w:rPr>
                <w:rFonts w:ascii="宋体" w:hAnsi="宋体" w:eastAsia="宋体" w:cs="宋体"/>
              </w:rPr>
            </w:pPr>
            <w:r>
              <w:rPr>
                <w:rFonts w:hint="eastAsia" w:ascii="宋体" w:hAnsi="宋体" w:eastAsia="宋体" w:cs="宋体"/>
              </w:rPr>
              <w:t>1.活动目标的设定是可量化的，可通过清晰、可衡量的关键指标值予以体现；</w:t>
            </w:r>
          </w:p>
          <w:p w14:paraId="48348F7A">
            <w:pPr>
              <w:spacing w:after="0" w:line="68" w:lineRule="atLeast"/>
              <w:rPr>
                <w:rFonts w:ascii="宋体" w:hAnsi="宋体" w:eastAsia="宋体" w:cs="宋体"/>
              </w:rPr>
            </w:pPr>
            <w:r>
              <w:rPr>
                <w:rFonts w:hint="eastAsia" w:ascii="宋体" w:hAnsi="宋体" w:eastAsia="宋体" w:cs="宋体"/>
              </w:rPr>
              <w:t>2.在活动目标设定时，将关键指标明细分解为具体的达成目标与工作任务。</w:t>
            </w:r>
          </w:p>
        </w:tc>
        <w:tc>
          <w:tcPr>
            <w:tcW w:w="3423" w:type="dxa"/>
            <w:tcBorders>
              <w:top w:val="single" w:color="000000" w:sz="4" w:space="0"/>
              <w:left w:val="single" w:color="auto" w:sz="4" w:space="0"/>
              <w:bottom w:val="single" w:color="auto" w:sz="4" w:space="0"/>
              <w:right w:val="single" w:color="auto" w:sz="4" w:space="0"/>
            </w:tcBorders>
            <w:vAlign w:val="center"/>
          </w:tcPr>
          <w:p w14:paraId="09E64BD5">
            <w:pPr>
              <w:spacing w:after="0" w:line="240" w:lineRule="exact"/>
              <w:rPr>
                <w:rFonts w:ascii="宋体" w:hAnsi="宋体" w:eastAsia="宋体" w:cs="宋体"/>
              </w:rPr>
            </w:pPr>
            <w:r>
              <w:rPr>
                <w:rFonts w:hint="eastAsia" w:ascii="宋体" w:hAnsi="宋体" w:eastAsia="宋体" w:cs="宋体"/>
              </w:rPr>
              <w:t>全部符合（1分）；</w:t>
            </w:r>
          </w:p>
          <w:p w14:paraId="257BD8B6">
            <w:pPr>
              <w:spacing w:after="0" w:line="68" w:lineRule="atLeast"/>
              <w:rPr>
                <w:rFonts w:ascii="宋体" w:hAnsi="宋体" w:eastAsia="宋体" w:cs="宋体"/>
              </w:rPr>
            </w:pPr>
            <w:r>
              <w:rPr>
                <w:rFonts w:hint="eastAsia" w:ascii="宋体" w:hAnsi="宋体" w:eastAsia="宋体" w:cs="宋体"/>
              </w:rPr>
              <w:t>其中一项不符合（0分）。</w:t>
            </w:r>
          </w:p>
        </w:tc>
        <w:tc>
          <w:tcPr>
            <w:tcW w:w="1090" w:type="dxa"/>
            <w:tcBorders>
              <w:top w:val="single" w:color="000000" w:sz="4" w:space="0"/>
              <w:left w:val="single" w:color="auto" w:sz="4" w:space="0"/>
              <w:bottom w:val="single" w:color="auto" w:sz="4" w:space="0"/>
              <w:right w:val="single" w:color="000000" w:sz="4" w:space="0"/>
            </w:tcBorders>
            <w:vAlign w:val="center"/>
          </w:tcPr>
          <w:p w14:paraId="2FE612C5">
            <w:pPr>
              <w:spacing w:after="0" w:line="68" w:lineRule="atLeast"/>
              <w:rPr>
                <w:rFonts w:hint="eastAsia" w:ascii="宋体" w:hAnsi="宋体" w:eastAsia="宋体" w:cs="宋体"/>
                <w:lang w:val="en-US" w:eastAsia="zh-CN"/>
              </w:rPr>
            </w:pPr>
            <w:r>
              <w:rPr>
                <w:rFonts w:hint="eastAsia" w:ascii="宋体" w:hAnsi="宋体" w:eastAsia="宋体" w:cs="宋体"/>
              </w:rPr>
              <w:t> </w:t>
            </w:r>
            <w:r>
              <w:rPr>
                <w:rFonts w:hint="eastAsia" w:ascii="宋体" w:hAnsi="宋体" w:eastAsia="宋体" w:cs="宋体"/>
                <w:lang w:val="en-US" w:eastAsia="zh-CN"/>
              </w:rPr>
              <w:t>1</w:t>
            </w:r>
          </w:p>
        </w:tc>
      </w:tr>
      <w:tr w14:paraId="15C91D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34" w:hRule="atLeast"/>
          <w:jc w:val="center"/>
        </w:trPr>
        <w:tc>
          <w:tcPr>
            <w:tcW w:w="733" w:type="dxa"/>
            <w:vMerge w:val="continue"/>
            <w:tcBorders>
              <w:left w:val="single" w:color="000000" w:sz="4" w:space="0"/>
              <w:right w:val="single" w:color="000000" w:sz="4" w:space="0"/>
            </w:tcBorders>
            <w:vAlign w:val="center"/>
          </w:tcPr>
          <w:p w14:paraId="44EB00D9">
            <w:pPr>
              <w:spacing w:after="0"/>
              <w:rPr>
                <w:rFonts w:ascii="宋体" w:hAnsi="宋体" w:eastAsia="宋体" w:cs="宋体"/>
              </w:rPr>
            </w:pPr>
          </w:p>
        </w:tc>
        <w:tc>
          <w:tcPr>
            <w:tcW w:w="803" w:type="dxa"/>
            <w:vMerge w:val="continue"/>
            <w:tcBorders>
              <w:left w:val="single" w:color="000000" w:sz="4" w:space="0"/>
              <w:right w:val="single" w:color="000000" w:sz="4" w:space="0"/>
            </w:tcBorders>
            <w:vAlign w:val="center"/>
          </w:tcPr>
          <w:p w14:paraId="36BCD379">
            <w:pPr>
              <w:spacing w:after="0"/>
              <w:rPr>
                <w:rFonts w:ascii="宋体" w:hAnsi="宋体" w:eastAsia="宋体" w:cs="宋体"/>
              </w:rPr>
            </w:pPr>
          </w:p>
        </w:tc>
        <w:tc>
          <w:tcPr>
            <w:tcW w:w="1182" w:type="dxa"/>
            <w:tcBorders>
              <w:top w:val="single" w:color="000000" w:sz="4" w:space="0"/>
              <w:left w:val="single" w:color="000000" w:sz="4" w:space="0"/>
              <w:bottom w:val="single" w:color="auto" w:sz="4" w:space="0"/>
              <w:right w:val="single" w:color="auto" w:sz="4" w:space="0"/>
            </w:tcBorders>
            <w:vAlign w:val="center"/>
          </w:tcPr>
          <w:p w14:paraId="5954CC1D">
            <w:pPr>
              <w:spacing w:after="0" w:line="68" w:lineRule="atLeast"/>
              <w:rPr>
                <w:rFonts w:ascii="宋体" w:hAnsi="宋体" w:eastAsia="宋体" w:cs="宋体"/>
              </w:rPr>
            </w:pPr>
            <w:r>
              <w:rPr>
                <w:rFonts w:hint="eastAsia" w:ascii="宋体" w:hAnsi="宋体" w:eastAsia="宋体" w:cs="宋体"/>
              </w:rPr>
              <w:t>目标覆盖率（1分）</w:t>
            </w:r>
          </w:p>
        </w:tc>
        <w:tc>
          <w:tcPr>
            <w:tcW w:w="6911" w:type="dxa"/>
            <w:tcBorders>
              <w:top w:val="single" w:color="000000" w:sz="4" w:space="0"/>
              <w:left w:val="single" w:color="auto" w:sz="4" w:space="0"/>
              <w:bottom w:val="single" w:color="auto" w:sz="4" w:space="0"/>
              <w:right w:val="single" w:color="auto" w:sz="4" w:space="0"/>
            </w:tcBorders>
            <w:vAlign w:val="center"/>
          </w:tcPr>
          <w:p w14:paraId="2161BDFD">
            <w:pPr>
              <w:spacing w:after="0" w:line="240" w:lineRule="exact"/>
              <w:rPr>
                <w:rFonts w:ascii="宋体" w:hAnsi="宋体" w:eastAsia="宋体" w:cs="宋体"/>
              </w:rPr>
            </w:pPr>
            <w:r>
              <w:rPr>
                <w:rFonts w:hint="eastAsia" w:ascii="宋体" w:hAnsi="宋体" w:eastAsia="宋体" w:cs="宋体"/>
              </w:rPr>
              <w:t>部门年度申报绩效目标项目资金额与部门项目预算资金总额的比率，用以反映部门落实财政部门绩效目标申报要求的资金覆盖情况。</w:t>
            </w:r>
          </w:p>
          <w:p w14:paraId="0E4D75A1">
            <w:pPr>
              <w:spacing w:after="0" w:line="240" w:lineRule="exact"/>
              <w:rPr>
                <w:rFonts w:ascii="宋体" w:hAnsi="宋体" w:eastAsia="宋体" w:cs="宋体"/>
              </w:rPr>
            </w:pPr>
            <w:r>
              <w:rPr>
                <w:rFonts w:hint="eastAsia" w:ascii="宋体" w:hAnsi="宋体" w:eastAsia="宋体" w:cs="宋体"/>
              </w:rPr>
              <w:t>覆盖率=实际申报绩效目标项目资金总额/部门项目预算资金总额×100%</w:t>
            </w:r>
          </w:p>
        </w:tc>
        <w:tc>
          <w:tcPr>
            <w:tcW w:w="3423" w:type="dxa"/>
            <w:tcBorders>
              <w:top w:val="single" w:color="000000" w:sz="4" w:space="0"/>
              <w:left w:val="single" w:color="auto" w:sz="4" w:space="0"/>
              <w:bottom w:val="single" w:color="auto" w:sz="4" w:space="0"/>
              <w:right w:val="single" w:color="auto" w:sz="4" w:space="0"/>
            </w:tcBorders>
            <w:vAlign w:val="center"/>
          </w:tcPr>
          <w:p w14:paraId="14A3009E">
            <w:pPr>
              <w:spacing w:after="0" w:line="240" w:lineRule="exact"/>
              <w:rPr>
                <w:rFonts w:ascii="宋体" w:hAnsi="宋体" w:eastAsia="宋体" w:cs="宋体"/>
              </w:rPr>
            </w:pPr>
            <w:r>
              <w:rPr>
                <w:rFonts w:hint="eastAsia" w:ascii="宋体" w:hAnsi="宋体" w:eastAsia="宋体" w:cs="宋体"/>
              </w:rPr>
              <w:t>达到目标值得1分，未达到目标值采用完成比率法计分：得分=覆盖率/目标值×1，超过目标值不加分。</w:t>
            </w:r>
          </w:p>
        </w:tc>
        <w:tc>
          <w:tcPr>
            <w:tcW w:w="1090" w:type="dxa"/>
            <w:tcBorders>
              <w:top w:val="single" w:color="000000" w:sz="4" w:space="0"/>
              <w:left w:val="single" w:color="auto" w:sz="4" w:space="0"/>
              <w:bottom w:val="single" w:color="auto" w:sz="4" w:space="0"/>
              <w:right w:val="single" w:color="000000" w:sz="4" w:space="0"/>
            </w:tcBorders>
            <w:vAlign w:val="center"/>
          </w:tcPr>
          <w:p w14:paraId="5D349423">
            <w:pPr>
              <w:spacing w:after="0" w:line="68" w:lineRule="atLeast"/>
              <w:rPr>
                <w:rFonts w:hint="eastAsia" w:ascii="宋体" w:hAnsi="宋体" w:eastAsia="宋体" w:cs="宋体"/>
                <w:lang w:val="en-US" w:eastAsia="zh-CN"/>
              </w:rPr>
            </w:pPr>
            <w:r>
              <w:rPr>
                <w:rFonts w:hint="eastAsia" w:ascii="宋体" w:hAnsi="宋体" w:eastAsia="宋体" w:cs="宋体"/>
                <w:lang w:val="en-US" w:eastAsia="zh-CN"/>
              </w:rPr>
              <w:t>1</w:t>
            </w:r>
          </w:p>
        </w:tc>
      </w:tr>
      <w:tr w14:paraId="120D8A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72" w:hRule="atLeast"/>
          <w:jc w:val="center"/>
        </w:trPr>
        <w:tc>
          <w:tcPr>
            <w:tcW w:w="733" w:type="dxa"/>
            <w:vMerge w:val="continue"/>
            <w:tcBorders>
              <w:left w:val="single" w:color="000000" w:sz="4" w:space="0"/>
              <w:right w:val="single" w:color="000000" w:sz="4" w:space="0"/>
            </w:tcBorders>
            <w:vAlign w:val="center"/>
          </w:tcPr>
          <w:p w14:paraId="0E66615A">
            <w:pPr>
              <w:spacing w:after="0"/>
              <w:rPr>
                <w:rFonts w:ascii="宋体" w:hAnsi="宋体" w:eastAsia="宋体" w:cs="宋体"/>
              </w:rPr>
            </w:pPr>
          </w:p>
        </w:tc>
        <w:tc>
          <w:tcPr>
            <w:tcW w:w="803" w:type="dxa"/>
            <w:vMerge w:val="continue"/>
            <w:tcBorders>
              <w:left w:val="single" w:color="000000" w:sz="4" w:space="0"/>
              <w:bottom w:val="single" w:color="000000" w:sz="4" w:space="0"/>
              <w:right w:val="single" w:color="000000" w:sz="4" w:space="0"/>
            </w:tcBorders>
            <w:vAlign w:val="center"/>
          </w:tcPr>
          <w:p w14:paraId="4CE3DCB9">
            <w:pPr>
              <w:spacing w:after="0"/>
              <w:rPr>
                <w:rFonts w:ascii="宋体" w:hAnsi="宋体" w:eastAsia="宋体" w:cs="宋体"/>
              </w:rPr>
            </w:pPr>
          </w:p>
        </w:tc>
        <w:tc>
          <w:tcPr>
            <w:tcW w:w="1182" w:type="dxa"/>
            <w:tcBorders>
              <w:top w:val="single" w:color="000000" w:sz="4" w:space="0"/>
              <w:left w:val="single" w:color="000000" w:sz="4" w:space="0"/>
              <w:bottom w:val="single" w:color="auto" w:sz="4" w:space="0"/>
              <w:right w:val="single" w:color="auto" w:sz="4" w:space="0"/>
            </w:tcBorders>
            <w:vAlign w:val="center"/>
          </w:tcPr>
          <w:p w14:paraId="6C4B6E03">
            <w:pPr>
              <w:spacing w:after="0" w:line="68" w:lineRule="atLeast"/>
              <w:rPr>
                <w:rFonts w:ascii="宋体" w:hAnsi="宋体" w:eastAsia="宋体" w:cs="宋体"/>
              </w:rPr>
            </w:pPr>
            <w:r>
              <w:rPr>
                <w:rFonts w:hint="eastAsia" w:ascii="宋体" w:hAnsi="宋体" w:eastAsia="宋体" w:cs="宋体"/>
              </w:rPr>
              <w:t>目标管理创新（1分）</w:t>
            </w:r>
          </w:p>
        </w:tc>
        <w:tc>
          <w:tcPr>
            <w:tcW w:w="6911" w:type="dxa"/>
            <w:tcBorders>
              <w:top w:val="single" w:color="000000" w:sz="4" w:space="0"/>
              <w:left w:val="single" w:color="auto" w:sz="4" w:space="0"/>
              <w:bottom w:val="single" w:color="auto" w:sz="4" w:space="0"/>
              <w:right w:val="single" w:color="auto" w:sz="4" w:space="0"/>
            </w:tcBorders>
            <w:vAlign w:val="center"/>
          </w:tcPr>
          <w:p w14:paraId="7C17D042">
            <w:pPr>
              <w:spacing w:after="0" w:line="240" w:lineRule="exact"/>
              <w:rPr>
                <w:rFonts w:ascii="宋体" w:hAnsi="宋体" w:eastAsia="宋体" w:cs="宋体"/>
              </w:rPr>
            </w:pPr>
            <w:r>
              <w:rPr>
                <w:rFonts w:hint="eastAsia" w:ascii="宋体" w:hAnsi="宋体" w:eastAsia="宋体" w:cs="宋体"/>
              </w:rPr>
              <w:t>部门编报整体绩效目标和申报项目绩效目标的数量超过规定的要求。用以反映和考核部门绩效目标管理创新工作情况。</w:t>
            </w:r>
          </w:p>
          <w:p w14:paraId="10AFA0D1">
            <w:pPr>
              <w:spacing w:after="0" w:line="240" w:lineRule="exact"/>
              <w:rPr>
                <w:rFonts w:ascii="宋体" w:hAnsi="宋体" w:eastAsia="宋体" w:cs="宋体"/>
              </w:rPr>
            </w:pPr>
            <w:r>
              <w:rPr>
                <w:rFonts w:hint="eastAsia" w:ascii="宋体" w:hAnsi="宋体" w:eastAsia="宋体" w:cs="宋体"/>
              </w:rPr>
              <w:t>项目绩效目标创新=部门绩效目标编报数量-按财政部门要求的绩效目标填报数量</w:t>
            </w:r>
          </w:p>
        </w:tc>
        <w:tc>
          <w:tcPr>
            <w:tcW w:w="3423" w:type="dxa"/>
            <w:tcBorders>
              <w:top w:val="single" w:color="000000" w:sz="4" w:space="0"/>
              <w:left w:val="single" w:color="auto" w:sz="4" w:space="0"/>
              <w:bottom w:val="single" w:color="auto" w:sz="4" w:space="0"/>
              <w:right w:val="single" w:color="auto" w:sz="4" w:space="0"/>
            </w:tcBorders>
            <w:vAlign w:val="center"/>
          </w:tcPr>
          <w:p w14:paraId="5C6DF0C6">
            <w:pPr>
              <w:spacing w:after="0" w:line="240" w:lineRule="exact"/>
              <w:rPr>
                <w:rFonts w:ascii="宋体" w:hAnsi="宋体" w:eastAsia="宋体" w:cs="宋体"/>
              </w:rPr>
            </w:pPr>
            <w:r>
              <w:rPr>
                <w:rFonts w:hint="eastAsia" w:ascii="宋体" w:hAnsi="宋体" w:eastAsia="宋体" w:cs="宋体"/>
              </w:rPr>
              <w:t>每超过1项得0.1分，满分1分。</w:t>
            </w:r>
          </w:p>
        </w:tc>
        <w:tc>
          <w:tcPr>
            <w:tcW w:w="1090" w:type="dxa"/>
            <w:tcBorders>
              <w:top w:val="single" w:color="000000" w:sz="4" w:space="0"/>
              <w:left w:val="single" w:color="auto" w:sz="4" w:space="0"/>
              <w:bottom w:val="single" w:color="auto" w:sz="4" w:space="0"/>
              <w:right w:val="single" w:color="000000" w:sz="4" w:space="0"/>
            </w:tcBorders>
            <w:vAlign w:val="center"/>
          </w:tcPr>
          <w:p w14:paraId="4993FCF5">
            <w:pPr>
              <w:spacing w:after="0" w:line="68" w:lineRule="atLeast"/>
              <w:rPr>
                <w:rFonts w:hint="eastAsia" w:ascii="宋体" w:hAnsi="宋体" w:eastAsia="宋体" w:cs="宋体"/>
                <w:lang w:val="en-US" w:eastAsia="zh-CN"/>
              </w:rPr>
            </w:pPr>
            <w:r>
              <w:rPr>
                <w:rFonts w:hint="eastAsia" w:ascii="宋体" w:hAnsi="宋体" w:eastAsia="宋体" w:cs="宋体"/>
                <w:lang w:val="en-US" w:eastAsia="zh-CN"/>
              </w:rPr>
              <w:t>1</w:t>
            </w:r>
          </w:p>
        </w:tc>
      </w:tr>
      <w:tr w14:paraId="1719D0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95" w:hRule="atLeast"/>
          <w:jc w:val="center"/>
        </w:trPr>
        <w:tc>
          <w:tcPr>
            <w:tcW w:w="733" w:type="dxa"/>
            <w:vMerge w:val="continue"/>
            <w:tcBorders>
              <w:left w:val="single" w:color="000000" w:sz="4" w:space="0"/>
              <w:right w:val="single" w:color="000000" w:sz="4" w:space="0"/>
            </w:tcBorders>
            <w:vAlign w:val="center"/>
          </w:tcPr>
          <w:p w14:paraId="69C276EE">
            <w:pPr>
              <w:spacing w:after="0"/>
              <w:rPr>
                <w:rFonts w:ascii="宋体" w:hAnsi="宋体" w:eastAsia="宋体" w:cs="宋体"/>
              </w:rPr>
            </w:pPr>
          </w:p>
        </w:tc>
        <w:tc>
          <w:tcPr>
            <w:tcW w:w="803" w:type="dxa"/>
            <w:vMerge w:val="restart"/>
            <w:tcBorders>
              <w:top w:val="single" w:color="000000" w:sz="4" w:space="0"/>
              <w:left w:val="single" w:color="000000" w:sz="4" w:space="0"/>
              <w:right w:val="single" w:color="000000" w:sz="4" w:space="0"/>
            </w:tcBorders>
            <w:vAlign w:val="center"/>
          </w:tcPr>
          <w:p w14:paraId="39FDE1FE">
            <w:pPr>
              <w:spacing w:after="0" w:line="68" w:lineRule="atLeast"/>
              <w:rPr>
                <w:rFonts w:ascii="宋体" w:hAnsi="宋体" w:eastAsia="宋体" w:cs="宋体"/>
              </w:rPr>
            </w:pPr>
            <w:r>
              <w:rPr>
                <w:rFonts w:hint="eastAsia" w:ascii="宋体" w:hAnsi="宋体" w:eastAsia="宋体" w:cs="宋体"/>
              </w:rPr>
              <w:t>预算配置(10分)</w:t>
            </w:r>
          </w:p>
        </w:tc>
        <w:tc>
          <w:tcPr>
            <w:tcW w:w="1182" w:type="dxa"/>
            <w:tcBorders>
              <w:top w:val="single" w:color="auto" w:sz="4" w:space="0"/>
              <w:left w:val="single" w:color="000000" w:sz="4" w:space="0"/>
              <w:bottom w:val="single" w:color="000000" w:sz="4" w:space="0"/>
              <w:right w:val="single" w:color="auto" w:sz="4" w:space="0"/>
            </w:tcBorders>
            <w:vAlign w:val="center"/>
          </w:tcPr>
          <w:p w14:paraId="13DDC496">
            <w:pPr>
              <w:spacing w:after="0" w:line="68" w:lineRule="atLeast"/>
              <w:rPr>
                <w:rFonts w:ascii="宋体" w:hAnsi="宋体" w:eastAsia="宋体" w:cs="宋体"/>
              </w:rPr>
            </w:pPr>
            <w:r>
              <w:rPr>
                <w:rFonts w:hint="eastAsia" w:ascii="宋体" w:hAnsi="宋体" w:eastAsia="宋体" w:cs="宋体"/>
              </w:rPr>
              <w:t>财政供养人员控制率（3分）</w:t>
            </w:r>
          </w:p>
        </w:tc>
        <w:tc>
          <w:tcPr>
            <w:tcW w:w="6911" w:type="dxa"/>
            <w:tcBorders>
              <w:top w:val="single" w:color="auto" w:sz="4" w:space="0"/>
              <w:left w:val="single" w:color="auto" w:sz="4" w:space="0"/>
              <w:bottom w:val="single" w:color="000000" w:sz="4" w:space="0"/>
              <w:right w:val="single" w:color="auto" w:sz="4" w:space="0"/>
            </w:tcBorders>
            <w:vAlign w:val="center"/>
          </w:tcPr>
          <w:p w14:paraId="3B573BA1">
            <w:pPr>
              <w:spacing w:after="0" w:line="240" w:lineRule="exact"/>
              <w:rPr>
                <w:rFonts w:ascii="宋体" w:hAnsi="宋体" w:eastAsia="宋体" w:cs="宋体"/>
              </w:rPr>
            </w:pPr>
            <w:r>
              <w:rPr>
                <w:rFonts w:hint="eastAsia" w:ascii="宋体" w:hAnsi="宋体" w:eastAsia="宋体" w:cs="宋体"/>
              </w:rPr>
              <w:t>部门本年度实际在职人员数与编制数的比率，用以反映和评价部门对人员成本的控制程度。</w:t>
            </w:r>
          </w:p>
          <w:p w14:paraId="7AEC9E2D">
            <w:pPr>
              <w:spacing w:after="0" w:line="240" w:lineRule="exact"/>
              <w:rPr>
                <w:rFonts w:ascii="宋体" w:hAnsi="宋体" w:eastAsia="宋体" w:cs="宋体"/>
              </w:rPr>
            </w:pPr>
            <w:r>
              <w:rPr>
                <w:rFonts w:hint="eastAsia" w:ascii="宋体" w:hAnsi="宋体" w:eastAsia="宋体" w:cs="宋体"/>
              </w:rPr>
              <w:t>在职人员控制率=（在职人员数/编制数）×100%。</w:t>
            </w:r>
          </w:p>
          <w:p w14:paraId="4846BE4A">
            <w:pPr>
              <w:spacing w:after="0" w:line="240" w:lineRule="exact"/>
              <w:rPr>
                <w:rFonts w:ascii="宋体" w:hAnsi="宋体" w:eastAsia="宋体" w:cs="宋体"/>
              </w:rPr>
            </w:pPr>
            <w:r>
              <w:rPr>
                <w:rFonts w:hint="eastAsia" w:ascii="宋体" w:hAnsi="宋体" w:eastAsia="宋体" w:cs="宋体"/>
              </w:rPr>
              <w:t>在职人员数：部门实际在职人数，以财政部确定的部门决算编制口径为准，由编制部门和人劳部门批复同意的临聘人员除外。</w:t>
            </w:r>
          </w:p>
          <w:p w14:paraId="3F411B12">
            <w:pPr>
              <w:spacing w:after="0" w:line="68" w:lineRule="atLeast"/>
              <w:rPr>
                <w:rFonts w:ascii="宋体" w:hAnsi="宋体" w:eastAsia="宋体" w:cs="宋体"/>
              </w:rPr>
            </w:pPr>
            <w:r>
              <w:rPr>
                <w:rFonts w:hint="eastAsia" w:ascii="宋体" w:hAnsi="宋体" w:eastAsia="宋体" w:cs="宋体"/>
              </w:rPr>
              <w:t>编制数：机构编制部门核定批复的部门人员编制数。</w:t>
            </w:r>
          </w:p>
        </w:tc>
        <w:tc>
          <w:tcPr>
            <w:tcW w:w="3423" w:type="dxa"/>
            <w:tcBorders>
              <w:top w:val="single" w:color="auto" w:sz="4" w:space="0"/>
              <w:left w:val="single" w:color="auto" w:sz="4" w:space="0"/>
              <w:bottom w:val="single" w:color="000000" w:sz="4" w:space="0"/>
              <w:right w:val="single" w:color="auto" w:sz="4" w:space="0"/>
            </w:tcBorders>
            <w:vAlign w:val="center"/>
          </w:tcPr>
          <w:p w14:paraId="5B00DE72">
            <w:pPr>
              <w:spacing w:after="0" w:line="68" w:lineRule="atLeast"/>
              <w:rPr>
                <w:rFonts w:ascii="宋体" w:hAnsi="宋体" w:eastAsia="宋体" w:cs="宋体"/>
              </w:rPr>
            </w:pPr>
            <w:r>
              <w:rPr>
                <w:rFonts w:hint="eastAsia" w:ascii="宋体" w:hAnsi="宋体" w:eastAsia="宋体" w:cs="宋体"/>
              </w:rPr>
              <w:t>目标值≤100%；达到目标值得3分，每超出1人扣0.1分，扣完为止。</w:t>
            </w:r>
          </w:p>
        </w:tc>
        <w:tc>
          <w:tcPr>
            <w:tcW w:w="1090" w:type="dxa"/>
            <w:tcBorders>
              <w:top w:val="single" w:color="auto" w:sz="4" w:space="0"/>
              <w:left w:val="single" w:color="auto" w:sz="4" w:space="0"/>
              <w:bottom w:val="single" w:color="000000" w:sz="4" w:space="0"/>
              <w:right w:val="single" w:color="000000" w:sz="4" w:space="0"/>
            </w:tcBorders>
            <w:vAlign w:val="center"/>
          </w:tcPr>
          <w:p w14:paraId="7F8FA885">
            <w:pPr>
              <w:spacing w:after="0" w:line="68" w:lineRule="atLeast"/>
              <w:rPr>
                <w:rFonts w:hint="eastAsia" w:ascii="宋体" w:hAnsi="宋体" w:eastAsia="宋体" w:cs="宋体"/>
                <w:lang w:val="en-US" w:eastAsia="zh-CN"/>
              </w:rPr>
            </w:pPr>
            <w:r>
              <w:rPr>
                <w:rFonts w:hint="eastAsia" w:ascii="宋体" w:hAnsi="宋体" w:eastAsia="宋体" w:cs="宋体"/>
              </w:rPr>
              <w:t> </w:t>
            </w:r>
            <w:r>
              <w:rPr>
                <w:rFonts w:hint="eastAsia" w:ascii="宋体" w:hAnsi="宋体" w:eastAsia="宋体" w:cs="宋体"/>
                <w:lang w:val="en-US" w:eastAsia="zh-CN"/>
              </w:rPr>
              <w:t>3</w:t>
            </w:r>
          </w:p>
        </w:tc>
      </w:tr>
      <w:tr w14:paraId="0FADB44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75" w:hRule="atLeast"/>
          <w:jc w:val="center"/>
        </w:trPr>
        <w:tc>
          <w:tcPr>
            <w:tcW w:w="733" w:type="dxa"/>
            <w:vMerge w:val="continue"/>
            <w:tcBorders>
              <w:left w:val="single" w:color="000000" w:sz="4" w:space="0"/>
              <w:right w:val="single" w:color="000000" w:sz="4" w:space="0"/>
            </w:tcBorders>
            <w:vAlign w:val="center"/>
          </w:tcPr>
          <w:p w14:paraId="7168B935">
            <w:pPr>
              <w:spacing w:after="0"/>
              <w:rPr>
                <w:rFonts w:ascii="宋体" w:hAnsi="宋体" w:eastAsia="宋体" w:cs="宋体"/>
              </w:rPr>
            </w:pPr>
          </w:p>
        </w:tc>
        <w:tc>
          <w:tcPr>
            <w:tcW w:w="803" w:type="dxa"/>
            <w:vMerge w:val="continue"/>
            <w:tcBorders>
              <w:left w:val="single" w:color="000000" w:sz="4" w:space="0"/>
              <w:right w:val="single" w:color="000000" w:sz="4" w:space="0"/>
            </w:tcBorders>
            <w:vAlign w:val="center"/>
          </w:tcPr>
          <w:p w14:paraId="14049C9E">
            <w:pPr>
              <w:spacing w:after="0"/>
              <w:rPr>
                <w:rFonts w:ascii="宋体" w:hAnsi="宋体" w:eastAsia="宋体" w:cs="宋体"/>
              </w:rPr>
            </w:pPr>
          </w:p>
        </w:tc>
        <w:tc>
          <w:tcPr>
            <w:tcW w:w="1182" w:type="dxa"/>
            <w:tcBorders>
              <w:top w:val="single" w:color="auto" w:sz="4" w:space="0"/>
              <w:left w:val="single" w:color="000000" w:sz="4" w:space="0"/>
              <w:bottom w:val="single" w:color="000000" w:sz="4" w:space="0"/>
              <w:right w:val="single" w:color="auto" w:sz="4" w:space="0"/>
            </w:tcBorders>
            <w:vAlign w:val="center"/>
          </w:tcPr>
          <w:p w14:paraId="7E10ACC7">
            <w:pPr>
              <w:spacing w:after="0" w:line="68" w:lineRule="atLeast"/>
              <w:rPr>
                <w:rFonts w:ascii="宋体" w:hAnsi="宋体" w:eastAsia="宋体" w:cs="宋体"/>
              </w:rPr>
            </w:pPr>
            <w:r>
              <w:rPr>
                <w:rFonts w:hint="eastAsia" w:ascii="宋体" w:hAnsi="宋体" w:eastAsia="宋体" w:cs="宋体"/>
              </w:rPr>
              <w:t>“三公经费”变动率（4分）</w:t>
            </w:r>
          </w:p>
        </w:tc>
        <w:tc>
          <w:tcPr>
            <w:tcW w:w="6911" w:type="dxa"/>
            <w:tcBorders>
              <w:top w:val="single" w:color="auto" w:sz="4" w:space="0"/>
              <w:left w:val="single" w:color="auto" w:sz="4" w:space="0"/>
              <w:bottom w:val="single" w:color="000000" w:sz="4" w:space="0"/>
              <w:right w:val="single" w:color="auto" w:sz="4" w:space="0"/>
            </w:tcBorders>
            <w:vAlign w:val="center"/>
          </w:tcPr>
          <w:p w14:paraId="1538D05E">
            <w:pPr>
              <w:spacing w:after="0" w:line="240" w:lineRule="exact"/>
              <w:rPr>
                <w:rFonts w:ascii="宋体" w:hAnsi="宋体" w:eastAsia="宋体" w:cs="宋体"/>
              </w:rPr>
            </w:pPr>
            <w:r>
              <w:rPr>
                <w:rFonts w:hint="eastAsia" w:ascii="宋体" w:hAnsi="宋体" w:eastAsia="宋体" w:cs="宋体"/>
              </w:rPr>
              <w:t>部门本年度“三公经费”预算数与上年度“三公经费”预算数的变动比率，用以反映和考核部门对控制重点行政成本的努力程度。</w:t>
            </w:r>
          </w:p>
          <w:p w14:paraId="6B11F8B1">
            <w:pPr>
              <w:spacing w:after="0" w:line="240" w:lineRule="exact"/>
              <w:rPr>
                <w:rFonts w:ascii="宋体" w:hAnsi="宋体" w:eastAsia="宋体" w:cs="宋体"/>
              </w:rPr>
            </w:pPr>
            <w:r>
              <w:rPr>
                <w:rFonts w:hint="eastAsia" w:ascii="宋体" w:hAnsi="宋体" w:eastAsia="宋体" w:cs="宋体"/>
              </w:rPr>
              <w:t>“三公经费”变动率=〔（本年度“三公经费”总额-上年度“三公经费”总额）/上年度“三公经费”总额〕×100%</w:t>
            </w:r>
          </w:p>
          <w:p w14:paraId="085865D7">
            <w:pPr>
              <w:spacing w:after="0" w:line="240" w:lineRule="exact"/>
              <w:rPr>
                <w:rFonts w:ascii="宋体" w:hAnsi="宋体" w:eastAsia="宋体" w:cs="宋体"/>
              </w:rPr>
            </w:pPr>
            <w:r>
              <w:rPr>
                <w:rFonts w:hint="eastAsia" w:ascii="宋体" w:hAnsi="宋体" w:eastAsia="宋体" w:cs="宋体"/>
              </w:rPr>
              <w:t>“三公经费”：年度预算安排的因公出国（境）费、公务车辆购置及运行费和公务招待费。</w:t>
            </w:r>
          </w:p>
        </w:tc>
        <w:tc>
          <w:tcPr>
            <w:tcW w:w="3423" w:type="dxa"/>
            <w:tcBorders>
              <w:top w:val="single" w:color="auto" w:sz="4" w:space="0"/>
              <w:left w:val="single" w:color="auto" w:sz="4" w:space="0"/>
              <w:bottom w:val="single" w:color="000000" w:sz="4" w:space="0"/>
              <w:right w:val="single" w:color="auto" w:sz="4" w:space="0"/>
            </w:tcBorders>
            <w:vAlign w:val="center"/>
          </w:tcPr>
          <w:p w14:paraId="7113441E">
            <w:pPr>
              <w:spacing w:after="0" w:line="240" w:lineRule="exact"/>
              <w:rPr>
                <w:rFonts w:ascii="宋体" w:hAnsi="宋体" w:eastAsia="宋体" w:cs="宋体"/>
              </w:rPr>
            </w:pPr>
            <w:r>
              <w:rPr>
                <w:rFonts w:hint="eastAsia" w:ascii="宋体" w:hAnsi="宋体" w:eastAsia="宋体" w:cs="宋体"/>
              </w:rPr>
              <w:t>目标值≤0；达到目标值得4分，未达到目标值的采用比率扣分法：扣分值=“三公经费”变动率×4×10，变动率达10%以上的扣4分。</w:t>
            </w:r>
          </w:p>
        </w:tc>
        <w:tc>
          <w:tcPr>
            <w:tcW w:w="1090" w:type="dxa"/>
            <w:tcBorders>
              <w:top w:val="single" w:color="auto" w:sz="4" w:space="0"/>
              <w:left w:val="single" w:color="auto" w:sz="4" w:space="0"/>
              <w:bottom w:val="single" w:color="000000" w:sz="4" w:space="0"/>
              <w:right w:val="single" w:color="000000" w:sz="4" w:space="0"/>
            </w:tcBorders>
            <w:vAlign w:val="center"/>
          </w:tcPr>
          <w:p w14:paraId="2856FBE3">
            <w:pPr>
              <w:spacing w:after="0" w:line="68" w:lineRule="atLeast"/>
              <w:rPr>
                <w:rFonts w:hint="eastAsia" w:ascii="宋体" w:hAnsi="宋体" w:eastAsia="宋体" w:cs="宋体"/>
                <w:lang w:val="en-US" w:eastAsia="zh-CN"/>
              </w:rPr>
            </w:pPr>
            <w:r>
              <w:rPr>
                <w:rFonts w:hint="eastAsia" w:ascii="宋体" w:hAnsi="宋体" w:eastAsia="宋体" w:cs="宋体"/>
              </w:rPr>
              <w:t> </w:t>
            </w:r>
            <w:r>
              <w:rPr>
                <w:rFonts w:hint="eastAsia" w:ascii="宋体" w:hAnsi="宋体" w:eastAsia="宋体" w:cs="宋体"/>
                <w:lang w:val="en-US" w:eastAsia="zh-CN"/>
              </w:rPr>
              <w:t>4</w:t>
            </w:r>
          </w:p>
        </w:tc>
      </w:tr>
      <w:tr w14:paraId="4EAF20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07" w:hRule="atLeast"/>
          <w:jc w:val="center"/>
        </w:trPr>
        <w:tc>
          <w:tcPr>
            <w:tcW w:w="733" w:type="dxa"/>
            <w:vMerge w:val="continue"/>
            <w:tcBorders>
              <w:left w:val="single" w:color="000000" w:sz="4" w:space="0"/>
              <w:bottom w:val="single" w:color="000000" w:sz="4" w:space="0"/>
              <w:right w:val="single" w:color="000000" w:sz="4" w:space="0"/>
            </w:tcBorders>
            <w:vAlign w:val="center"/>
          </w:tcPr>
          <w:p w14:paraId="1591C6B8">
            <w:pPr>
              <w:spacing w:after="0"/>
              <w:rPr>
                <w:rFonts w:ascii="宋体" w:hAnsi="宋体" w:eastAsia="宋体" w:cs="宋体"/>
              </w:rPr>
            </w:pPr>
          </w:p>
        </w:tc>
        <w:tc>
          <w:tcPr>
            <w:tcW w:w="803" w:type="dxa"/>
            <w:vMerge w:val="continue"/>
            <w:tcBorders>
              <w:left w:val="single" w:color="000000" w:sz="4" w:space="0"/>
              <w:bottom w:val="single" w:color="000000" w:sz="4" w:space="0"/>
              <w:right w:val="single" w:color="000000" w:sz="4" w:space="0"/>
            </w:tcBorders>
            <w:vAlign w:val="center"/>
          </w:tcPr>
          <w:p w14:paraId="02498702">
            <w:pPr>
              <w:spacing w:after="0"/>
              <w:rPr>
                <w:rFonts w:ascii="宋体" w:hAnsi="宋体" w:eastAsia="宋体" w:cs="宋体"/>
              </w:rPr>
            </w:pPr>
          </w:p>
        </w:tc>
        <w:tc>
          <w:tcPr>
            <w:tcW w:w="1182" w:type="dxa"/>
            <w:tcBorders>
              <w:top w:val="single" w:color="auto" w:sz="4" w:space="0"/>
              <w:left w:val="single" w:color="000000" w:sz="4" w:space="0"/>
              <w:bottom w:val="single" w:color="000000" w:sz="4" w:space="0"/>
              <w:right w:val="single" w:color="auto" w:sz="4" w:space="0"/>
            </w:tcBorders>
            <w:vAlign w:val="center"/>
          </w:tcPr>
          <w:p w14:paraId="631CD3AB">
            <w:pPr>
              <w:spacing w:after="0" w:line="68" w:lineRule="atLeast"/>
              <w:rPr>
                <w:rFonts w:ascii="宋体" w:hAnsi="宋体" w:eastAsia="宋体" w:cs="宋体"/>
              </w:rPr>
            </w:pPr>
            <w:r>
              <w:rPr>
                <w:rFonts w:hint="eastAsia" w:ascii="宋体" w:hAnsi="宋体" w:eastAsia="宋体" w:cs="宋体"/>
              </w:rPr>
              <w:t>重点支出安排率（3分）</w:t>
            </w:r>
          </w:p>
        </w:tc>
        <w:tc>
          <w:tcPr>
            <w:tcW w:w="6911" w:type="dxa"/>
            <w:tcBorders>
              <w:top w:val="single" w:color="auto" w:sz="4" w:space="0"/>
              <w:left w:val="single" w:color="auto" w:sz="4" w:space="0"/>
              <w:bottom w:val="single" w:color="000000" w:sz="4" w:space="0"/>
              <w:right w:val="single" w:color="auto" w:sz="4" w:space="0"/>
            </w:tcBorders>
            <w:vAlign w:val="center"/>
          </w:tcPr>
          <w:p w14:paraId="735330E7">
            <w:pPr>
              <w:spacing w:after="0" w:line="240" w:lineRule="exact"/>
              <w:rPr>
                <w:rFonts w:ascii="宋体" w:hAnsi="宋体" w:eastAsia="宋体" w:cs="宋体"/>
              </w:rPr>
            </w:pPr>
            <w:r>
              <w:rPr>
                <w:rFonts w:hint="eastAsia" w:ascii="宋体" w:hAnsi="宋体" w:eastAsia="宋体" w:cs="宋体"/>
              </w:rPr>
              <w:t>部门（单位）本年度预算安排的重点项目支出与部门项目总支出的比率，用以反映和考核部门（单位）对履行主要职责或完成重点任务的保障程度。重点支出安排率=（重点项目支出/项目总支出）×100%。</w:t>
            </w:r>
          </w:p>
          <w:p w14:paraId="134AB097">
            <w:pPr>
              <w:spacing w:after="0" w:line="240" w:lineRule="exact"/>
              <w:rPr>
                <w:rFonts w:ascii="宋体" w:hAnsi="宋体" w:eastAsia="宋体" w:cs="宋体"/>
              </w:rPr>
            </w:pPr>
            <w:r>
              <w:rPr>
                <w:rFonts w:hint="eastAsia" w:ascii="宋体" w:hAnsi="宋体" w:eastAsia="宋体" w:cs="宋体"/>
              </w:rPr>
              <w:t>重点项目支出：部门（单位）年度预算安排的，与本部门履职和发展密切相关、具有明显社会和经济影响、党委政府关心或社会比较关注的项目支出总额。具体由被评价部门提出后经对口部门预算管理处审核确定。</w:t>
            </w:r>
          </w:p>
          <w:p w14:paraId="1F3BFC0C">
            <w:pPr>
              <w:spacing w:after="0" w:line="240" w:lineRule="exact"/>
              <w:rPr>
                <w:rFonts w:ascii="宋体" w:hAnsi="宋体" w:eastAsia="宋体" w:cs="宋体"/>
              </w:rPr>
            </w:pPr>
            <w:r>
              <w:rPr>
                <w:rFonts w:hint="eastAsia" w:ascii="宋体" w:hAnsi="宋体" w:eastAsia="宋体" w:cs="宋体"/>
              </w:rPr>
              <w:t>项目总支出：部门（单位）年度预算安排的项目支出总额。</w:t>
            </w:r>
          </w:p>
        </w:tc>
        <w:tc>
          <w:tcPr>
            <w:tcW w:w="3423" w:type="dxa"/>
            <w:tcBorders>
              <w:top w:val="single" w:color="auto" w:sz="4" w:space="0"/>
              <w:left w:val="single" w:color="auto" w:sz="4" w:space="0"/>
              <w:bottom w:val="single" w:color="000000" w:sz="4" w:space="0"/>
              <w:right w:val="single" w:color="auto" w:sz="4" w:space="0"/>
            </w:tcBorders>
            <w:vAlign w:val="center"/>
          </w:tcPr>
          <w:p w14:paraId="497325F3">
            <w:pPr>
              <w:spacing w:after="0" w:line="240" w:lineRule="exact"/>
              <w:rPr>
                <w:rFonts w:ascii="宋体" w:hAnsi="宋体" w:eastAsia="宋体" w:cs="宋体"/>
              </w:rPr>
            </w:pPr>
            <w:r>
              <w:rPr>
                <w:rFonts w:hint="eastAsia" w:ascii="宋体" w:hAnsi="宋体" w:eastAsia="宋体" w:cs="宋体"/>
              </w:rPr>
              <w:t>目标值≥70%；以3分为上限，采用完成比率法计分：得分=重点支出安排率/70%×100%×3，超出目标值不加分。</w:t>
            </w:r>
          </w:p>
        </w:tc>
        <w:tc>
          <w:tcPr>
            <w:tcW w:w="1090" w:type="dxa"/>
            <w:tcBorders>
              <w:top w:val="single" w:color="auto" w:sz="4" w:space="0"/>
              <w:left w:val="single" w:color="auto" w:sz="4" w:space="0"/>
              <w:bottom w:val="single" w:color="000000" w:sz="4" w:space="0"/>
              <w:right w:val="single" w:color="000000" w:sz="4" w:space="0"/>
            </w:tcBorders>
            <w:vAlign w:val="center"/>
          </w:tcPr>
          <w:p w14:paraId="0EFD5D6B">
            <w:pPr>
              <w:spacing w:after="0" w:line="68" w:lineRule="atLeast"/>
              <w:rPr>
                <w:rFonts w:hint="eastAsia" w:ascii="宋体" w:hAnsi="宋体" w:eastAsia="宋体" w:cs="宋体"/>
                <w:lang w:val="en-US" w:eastAsia="zh-CN"/>
              </w:rPr>
            </w:pPr>
            <w:r>
              <w:rPr>
                <w:rFonts w:hint="eastAsia" w:ascii="宋体" w:hAnsi="宋体" w:eastAsia="宋体" w:cs="宋体"/>
                <w:lang w:val="en-US" w:eastAsia="zh-CN"/>
              </w:rPr>
              <w:t>3</w:t>
            </w:r>
          </w:p>
        </w:tc>
      </w:tr>
      <w:tr w14:paraId="6256CE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96" w:hRule="atLeast"/>
          <w:jc w:val="center"/>
        </w:trPr>
        <w:tc>
          <w:tcPr>
            <w:tcW w:w="733" w:type="dxa"/>
            <w:vMerge w:val="restart"/>
            <w:tcBorders>
              <w:top w:val="single" w:color="000000" w:sz="4" w:space="0"/>
              <w:left w:val="single" w:color="000000" w:sz="4" w:space="0"/>
              <w:right w:val="single" w:color="000000" w:sz="4" w:space="0"/>
            </w:tcBorders>
            <w:vAlign w:val="center"/>
          </w:tcPr>
          <w:p w14:paraId="6D700019">
            <w:pPr>
              <w:spacing w:after="0" w:line="68" w:lineRule="atLeast"/>
              <w:jc w:val="center"/>
              <w:rPr>
                <w:rFonts w:ascii="宋体" w:hAnsi="宋体" w:eastAsia="宋体" w:cs="宋体"/>
              </w:rPr>
            </w:pPr>
          </w:p>
          <w:p w14:paraId="45D7AA88">
            <w:pPr>
              <w:spacing w:after="0" w:line="68" w:lineRule="atLeast"/>
              <w:jc w:val="center"/>
              <w:rPr>
                <w:rFonts w:ascii="宋体" w:hAnsi="宋体" w:eastAsia="宋体" w:cs="宋体"/>
              </w:rPr>
            </w:pPr>
          </w:p>
          <w:p w14:paraId="697B70F7">
            <w:pPr>
              <w:spacing w:after="0" w:line="68" w:lineRule="atLeast"/>
              <w:jc w:val="center"/>
              <w:rPr>
                <w:rFonts w:ascii="宋体" w:hAnsi="宋体" w:eastAsia="宋体" w:cs="宋体"/>
              </w:rPr>
            </w:pPr>
          </w:p>
          <w:p w14:paraId="5978CECA">
            <w:pPr>
              <w:spacing w:after="0" w:line="68" w:lineRule="atLeast"/>
              <w:jc w:val="center"/>
              <w:rPr>
                <w:rFonts w:ascii="宋体" w:hAnsi="宋体" w:eastAsia="宋体" w:cs="宋体"/>
              </w:rPr>
            </w:pPr>
          </w:p>
          <w:p w14:paraId="4A1AF02C">
            <w:pPr>
              <w:spacing w:after="0" w:line="68" w:lineRule="atLeast"/>
              <w:jc w:val="center"/>
              <w:rPr>
                <w:rFonts w:ascii="宋体" w:hAnsi="宋体" w:eastAsia="宋体" w:cs="宋体"/>
              </w:rPr>
            </w:pPr>
          </w:p>
          <w:p w14:paraId="075CF0C0">
            <w:pPr>
              <w:spacing w:after="0" w:line="68" w:lineRule="atLeast"/>
              <w:jc w:val="center"/>
              <w:rPr>
                <w:rFonts w:ascii="宋体" w:hAnsi="宋体" w:eastAsia="宋体" w:cs="宋体"/>
              </w:rPr>
            </w:pPr>
          </w:p>
          <w:p w14:paraId="1EB335BF">
            <w:pPr>
              <w:spacing w:after="0" w:line="68" w:lineRule="atLeast"/>
              <w:jc w:val="center"/>
              <w:rPr>
                <w:rFonts w:ascii="宋体" w:hAnsi="宋体" w:eastAsia="宋体" w:cs="宋体"/>
              </w:rPr>
            </w:pPr>
          </w:p>
          <w:p w14:paraId="1B261509">
            <w:pPr>
              <w:spacing w:after="0" w:line="68" w:lineRule="atLeast"/>
              <w:jc w:val="center"/>
              <w:rPr>
                <w:rFonts w:ascii="宋体" w:hAnsi="宋体" w:eastAsia="宋体" w:cs="宋体"/>
              </w:rPr>
            </w:pPr>
          </w:p>
          <w:p w14:paraId="466E4421">
            <w:pPr>
              <w:spacing w:after="0" w:line="68" w:lineRule="atLeast"/>
              <w:jc w:val="center"/>
              <w:rPr>
                <w:rFonts w:ascii="宋体" w:hAnsi="宋体" w:eastAsia="宋体" w:cs="宋体"/>
              </w:rPr>
            </w:pPr>
          </w:p>
          <w:p w14:paraId="4EF297A9">
            <w:pPr>
              <w:spacing w:after="0" w:line="68" w:lineRule="atLeast"/>
              <w:jc w:val="center"/>
              <w:rPr>
                <w:rFonts w:ascii="宋体" w:hAnsi="宋体" w:eastAsia="宋体" w:cs="宋体"/>
              </w:rPr>
            </w:pPr>
          </w:p>
          <w:p w14:paraId="40F176EC">
            <w:pPr>
              <w:spacing w:after="0" w:line="68" w:lineRule="atLeast"/>
              <w:jc w:val="center"/>
              <w:rPr>
                <w:rFonts w:ascii="宋体" w:hAnsi="宋体" w:eastAsia="宋体" w:cs="宋体"/>
              </w:rPr>
            </w:pPr>
          </w:p>
          <w:p w14:paraId="1B17B78B">
            <w:pPr>
              <w:spacing w:after="0" w:line="68" w:lineRule="atLeast"/>
              <w:jc w:val="center"/>
              <w:rPr>
                <w:rFonts w:ascii="宋体" w:hAnsi="宋体" w:eastAsia="宋体" w:cs="宋体"/>
              </w:rPr>
            </w:pPr>
          </w:p>
          <w:p w14:paraId="4DB2E95B">
            <w:pPr>
              <w:spacing w:after="0" w:line="68" w:lineRule="atLeast"/>
              <w:jc w:val="center"/>
              <w:rPr>
                <w:rFonts w:ascii="宋体" w:hAnsi="宋体" w:eastAsia="宋体" w:cs="宋体"/>
              </w:rPr>
            </w:pPr>
          </w:p>
          <w:p w14:paraId="007932FD">
            <w:pPr>
              <w:spacing w:after="0" w:line="68" w:lineRule="atLeast"/>
              <w:jc w:val="center"/>
              <w:rPr>
                <w:rFonts w:ascii="宋体" w:hAnsi="宋体" w:eastAsia="宋体" w:cs="宋体"/>
              </w:rPr>
            </w:pPr>
          </w:p>
          <w:p w14:paraId="474468EE">
            <w:pPr>
              <w:spacing w:after="0" w:line="68" w:lineRule="atLeast"/>
              <w:jc w:val="center"/>
              <w:rPr>
                <w:rFonts w:ascii="宋体" w:hAnsi="宋体" w:eastAsia="宋体" w:cs="宋体"/>
              </w:rPr>
            </w:pPr>
          </w:p>
          <w:p w14:paraId="3D281FD4">
            <w:pPr>
              <w:spacing w:after="0" w:line="68" w:lineRule="atLeast"/>
              <w:jc w:val="center"/>
              <w:rPr>
                <w:rFonts w:ascii="宋体" w:hAnsi="宋体" w:eastAsia="宋体" w:cs="宋体"/>
              </w:rPr>
            </w:pPr>
          </w:p>
          <w:p w14:paraId="27B0CBD4">
            <w:pPr>
              <w:spacing w:after="0" w:line="68" w:lineRule="atLeast"/>
              <w:jc w:val="center"/>
              <w:rPr>
                <w:rFonts w:ascii="宋体" w:hAnsi="宋体" w:eastAsia="宋体" w:cs="宋体"/>
              </w:rPr>
            </w:pPr>
            <w:r>
              <w:rPr>
                <w:rFonts w:hint="eastAsia" w:ascii="宋体" w:hAnsi="宋体" w:eastAsia="宋体" w:cs="宋体"/>
              </w:rPr>
              <w:t>过程(55分)</w:t>
            </w:r>
          </w:p>
          <w:p w14:paraId="7B411691">
            <w:pPr>
              <w:spacing w:after="0" w:line="68" w:lineRule="atLeast"/>
              <w:jc w:val="center"/>
              <w:rPr>
                <w:rFonts w:ascii="宋体" w:hAnsi="宋体" w:eastAsia="宋体" w:cs="宋体"/>
              </w:rPr>
            </w:pPr>
          </w:p>
          <w:p w14:paraId="31A1F6EF">
            <w:pPr>
              <w:spacing w:after="0" w:line="68" w:lineRule="atLeast"/>
              <w:jc w:val="center"/>
              <w:rPr>
                <w:rFonts w:ascii="宋体" w:hAnsi="宋体" w:eastAsia="宋体" w:cs="宋体"/>
              </w:rPr>
            </w:pPr>
          </w:p>
          <w:p w14:paraId="512E2A05">
            <w:pPr>
              <w:spacing w:after="0" w:line="68" w:lineRule="atLeast"/>
              <w:jc w:val="center"/>
              <w:rPr>
                <w:rFonts w:ascii="宋体" w:hAnsi="宋体" w:eastAsia="宋体" w:cs="宋体"/>
              </w:rPr>
            </w:pPr>
          </w:p>
          <w:p w14:paraId="5D0ADCFC">
            <w:pPr>
              <w:spacing w:after="0" w:line="68" w:lineRule="atLeast"/>
              <w:jc w:val="center"/>
              <w:rPr>
                <w:rFonts w:ascii="宋体" w:hAnsi="宋体" w:eastAsia="宋体" w:cs="宋体"/>
              </w:rPr>
            </w:pPr>
          </w:p>
          <w:p w14:paraId="3EF0CE90">
            <w:pPr>
              <w:spacing w:after="0" w:line="68" w:lineRule="atLeast"/>
              <w:jc w:val="center"/>
              <w:rPr>
                <w:rFonts w:ascii="宋体" w:hAnsi="宋体" w:eastAsia="宋体" w:cs="宋体"/>
              </w:rPr>
            </w:pPr>
          </w:p>
          <w:p w14:paraId="1F09E7FC">
            <w:pPr>
              <w:spacing w:after="0" w:line="68" w:lineRule="atLeast"/>
              <w:jc w:val="center"/>
              <w:rPr>
                <w:rFonts w:ascii="宋体" w:hAnsi="宋体" w:eastAsia="宋体" w:cs="宋体"/>
              </w:rPr>
            </w:pPr>
          </w:p>
          <w:p w14:paraId="1ABF3424">
            <w:pPr>
              <w:spacing w:after="0" w:line="68" w:lineRule="atLeast"/>
              <w:jc w:val="center"/>
              <w:rPr>
                <w:rFonts w:ascii="宋体" w:hAnsi="宋体" w:eastAsia="宋体" w:cs="宋体"/>
              </w:rPr>
            </w:pPr>
          </w:p>
          <w:p w14:paraId="3D0FCC58">
            <w:pPr>
              <w:spacing w:after="0" w:line="68" w:lineRule="atLeast"/>
              <w:jc w:val="center"/>
              <w:rPr>
                <w:rFonts w:ascii="宋体" w:hAnsi="宋体" w:eastAsia="宋体" w:cs="宋体"/>
              </w:rPr>
            </w:pPr>
          </w:p>
          <w:p w14:paraId="17A7823B">
            <w:pPr>
              <w:spacing w:after="0" w:line="68" w:lineRule="atLeast"/>
              <w:jc w:val="center"/>
              <w:rPr>
                <w:rFonts w:ascii="宋体" w:hAnsi="宋体" w:eastAsia="宋体" w:cs="宋体"/>
              </w:rPr>
            </w:pPr>
          </w:p>
          <w:p w14:paraId="3D56193D">
            <w:pPr>
              <w:spacing w:after="0" w:line="68" w:lineRule="atLeast"/>
              <w:jc w:val="center"/>
              <w:rPr>
                <w:rFonts w:ascii="宋体" w:hAnsi="宋体" w:eastAsia="宋体" w:cs="宋体"/>
              </w:rPr>
            </w:pPr>
          </w:p>
          <w:p w14:paraId="24EC81CC">
            <w:pPr>
              <w:spacing w:after="0" w:line="68" w:lineRule="atLeast"/>
              <w:jc w:val="center"/>
              <w:rPr>
                <w:rFonts w:ascii="宋体" w:hAnsi="宋体" w:eastAsia="宋体" w:cs="宋体"/>
              </w:rPr>
            </w:pPr>
          </w:p>
          <w:p w14:paraId="639D6CB7">
            <w:pPr>
              <w:spacing w:after="0" w:line="68" w:lineRule="atLeast"/>
              <w:jc w:val="center"/>
              <w:rPr>
                <w:rFonts w:ascii="宋体" w:hAnsi="宋体" w:eastAsia="宋体" w:cs="宋体"/>
              </w:rPr>
            </w:pPr>
          </w:p>
          <w:p w14:paraId="294D0CD0">
            <w:pPr>
              <w:spacing w:after="0" w:line="68" w:lineRule="atLeast"/>
              <w:jc w:val="center"/>
              <w:rPr>
                <w:rFonts w:ascii="宋体" w:hAnsi="宋体" w:eastAsia="宋体" w:cs="宋体"/>
              </w:rPr>
            </w:pPr>
          </w:p>
          <w:p w14:paraId="68150B4C">
            <w:pPr>
              <w:spacing w:after="0" w:line="68" w:lineRule="atLeast"/>
              <w:jc w:val="center"/>
              <w:rPr>
                <w:rFonts w:ascii="宋体" w:hAnsi="宋体" w:eastAsia="宋体" w:cs="宋体"/>
              </w:rPr>
            </w:pPr>
          </w:p>
          <w:p w14:paraId="226F4339">
            <w:pPr>
              <w:spacing w:after="0" w:line="68" w:lineRule="atLeast"/>
              <w:jc w:val="center"/>
              <w:rPr>
                <w:rFonts w:ascii="宋体" w:hAnsi="宋体" w:eastAsia="宋体" w:cs="宋体"/>
              </w:rPr>
            </w:pPr>
          </w:p>
          <w:p w14:paraId="0EBB0947">
            <w:pPr>
              <w:spacing w:after="0" w:line="68" w:lineRule="atLeast"/>
              <w:jc w:val="center"/>
              <w:rPr>
                <w:rFonts w:ascii="宋体" w:hAnsi="宋体" w:eastAsia="宋体" w:cs="宋体"/>
              </w:rPr>
            </w:pPr>
          </w:p>
          <w:p w14:paraId="06D5B606">
            <w:pPr>
              <w:spacing w:after="0" w:line="68" w:lineRule="atLeast"/>
              <w:jc w:val="center"/>
              <w:rPr>
                <w:rFonts w:ascii="宋体" w:hAnsi="宋体" w:eastAsia="宋体" w:cs="宋体"/>
              </w:rPr>
            </w:pPr>
          </w:p>
          <w:p w14:paraId="5A684FCE">
            <w:pPr>
              <w:spacing w:after="0" w:line="68" w:lineRule="atLeast"/>
              <w:jc w:val="center"/>
              <w:rPr>
                <w:rFonts w:ascii="宋体" w:hAnsi="宋体" w:eastAsia="宋体" w:cs="宋体"/>
              </w:rPr>
            </w:pPr>
          </w:p>
          <w:p w14:paraId="38074370">
            <w:pPr>
              <w:spacing w:after="0" w:line="68" w:lineRule="atLeast"/>
              <w:jc w:val="center"/>
              <w:rPr>
                <w:rFonts w:ascii="宋体" w:hAnsi="宋体" w:eastAsia="宋体" w:cs="宋体"/>
              </w:rPr>
            </w:pPr>
          </w:p>
          <w:p w14:paraId="6196A135">
            <w:pPr>
              <w:spacing w:after="0" w:line="68" w:lineRule="atLeast"/>
              <w:jc w:val="center"/>
              <w:rPr>
                <w:rFonts w:ascii="宋体" w:hAnsi="宋体" w:eastAsia="宋体" w:cs="宋体"/>
              </w:rPr>
            </w:pPr>
          </w:p>
          <w:p w14:paraId="012EB0FE">
            <w:pPr>
              <w:spacing w:after="0" w:line="68" w:lineRule="atLeast"/>
              <w:jc w:val="center"/>
              <w:rPr>
                <w:rFonts w:ascii="宋体" w:hAnsi="宋体" w:eastAsia="宋体" w:cs="宋体"/>
              </w:rPr>
            </w:pPr>
          </w:p>
          <w:p w14:paraId="3ADFB416">
            <w:pPr>
              <w:spacing w:after="0" w:line="68" w:lineRule="atLeast"/>
              <w:jc w:val="center"/>
              <w:rPr>
                <w:rFonts w:ascii="宋体" w:hAnsi="宋体" w:eastAsia="宋体" w:cs="宋体"/>
              </w:rPr>
            </w:pPr>
          </w:p>
          <w:p w14:paraId="49D29D8B">
            <w:pPr>
              <w:spacing w:after="0" w:line="68" w:lineRule="atLeast"/>
              <w:jc w:val="center"/>
              <w:rPr>
                <w:rFonts w:ascii="宋体" w:hAnsi="宋体" w:eastAsia="宋体" w:cs="宋体"/>
              </w:rPr>
            </w:pPr>
          </w:p>
          <w:p w14:paraId="0BD80835">
            <w:pPr>
              <w:spacing w:after="0" w:line="68" w:lineRule="atLeast"/>
              <w:jc w:val="center"/>
              <w:rPr>
                <w:rFonts w:ascii="宋体" w:hAnsi="宋体" w:eastAsia="宋体" w:cs="宋体"/>
              </w:rPr>
            </w:pPr>
          </w:p>
          <w:p w14:paraId="70DC871D">
            <w:pPr>
              <w:spacing w:after="0" w:line="68" w:lineRule="atLeast"/>
              <w:jc w:val="center"/>
              <w:rPr>
                <w:rFonts w:ascii="宋体" w:hAnsi="宋体" w:eastAsia="宋体" w:cs="宋体"/>
              </w:rPr>
            </w:pPr>
            <w:r>
              <w:rPr>
                <w:rFonts w:hint="eastAsia" w:ascii="宋体" w:hAnsi="宋体" w:eastAsia="宋体" w:cs="宋体"/>
              </w:rPr>
              <w:t>过程(55分)</w:t>
            </w:r>
          </w:p>
          <w:p w14:paraId="520B5236">
            <w:pPr>
              <w:spacing w:after="0" w:line="68" w:lineRule="atLeast"/>
              <w:jc w:val="center"/>
              <w:rPr>
                <w:rFonts w:ascii="宋体" w:hAnsi="宋体" w:eastAsia="宋体" w:cs="宋体"/>
              </w:rPr>
            </w:pPr>
          </w:p>
          <w:p w14:paraId="78CED638">
            <w:pPr>
              <w:spacing w:after="0" w:line="68" w:lineRule="atLeast"/>
              <w:jc w:val="center"/>
              <w:rPr>
                <w:rFonts w:ascii="宋体" w:hAnsi="宋体" w:eastAsia="宋体" w:cs="宋体"/>
              </w:rPr>
            </w:pPr>
          </w:p>
          <w:p w14:paraId="5952BD19">
            <w:pPr>
              <w:spacing w:after="0" w:line="68" w:lineRule="atLeast"/>
              <w:jc w:val="center"/>
              <w:rPr>
                <w:rFonts w:ascii="宋体" w:hAnsi="宋体" w:eastAsia="宋体" w:cs="宋体"/>
              </w:rPr>
            </w:pPr>
          </w:p>
          <w:p w14:paraId="63FF3D60">
            <w:pPr>
              <w:spacing w:after="0" w:line="68" w:lineRule="atLeast"/>
              <w:jc w:val="center"/>
              <w:rPr>
                <w:rFonts w:ascii="宋体" w:hAnsi="宋体" w:eastAsia="宋体" w:cs="宋体"/>
              </w:rPr>
            </w:pPr>
          </w:p>
          <w:p w14:paraId="3008242A">
            <w:pPr>
              <w:spacing w:after="0" w:line="68" w:lineRule="atLeast"/>
              <w:jc w:val="center"/>
              <w:rPr>
                <w:rFonts w:ascii="宋体" w:hAnsi="宋体" w:eastAsia="宋体" w:cs="宋体"/>
              </w:rPr>
            </w:pPr>
          </w:p>
          <w:p w14:paraId="6C0F7223">
            <w:pPr>
              <w:spacing w:after="0" w:line="68" w:lineRule="atLeast"/>
              <w:jc w:val="center"/>
              <w:rPr>
                <w:rFonts w:ascii="宋体" w:hAnsi="宋体" w:eastAsia="宋体" w:cs="宋体"/>
              </w:rPr>
            </w:pPr>
          </w:p>
          <w:p w14:paraId="4AF1D519">
            <w:pPr>
              <w:spacing w:after="0" w:line="68" w:lineRule="atLeast"/>
              <w:jc w:val="center"/>
              <w:rPr>
                <w:rFonts w:ascii="宋体" w:hAnsi="宋体" w:eastAsia="宋体" w:cs="宋体"/>
              </w:rPr>
            </w:pPr>
          </w:p>
          <w:p w14:paraId="2A8B43E9">
            <w:pPr>
              <w:spacing w:after="0" w:line="68" w:lineRule="atLeast"/>
              <w:jc w:val="center"/>
              <w:rPr>
                <w:rFonts w:ascii="宋体" w:hAnsi="宋体" w:eastAsia="宋体" w:cs="宋体"/>
              </w:rPr>
            </w:pPr>
          </w:p>
          <w:p w14:paraId="286AEC47">
            <w:pPr>
              <w:spacing w:after="0" w:line="68" w:lineRule="atLeast"/>
              <w:jc w:val="center"/>
              <w:rPr>
                <w:rFonts w:ascii="宋体" w:hAnsi="宋体" w:eastAsia="宋体" w:cs="宋体"/>
              </w:rPr>
            </w:pPr>
          </w:p>
          <w:p w14:paraId="573C972A">
            <w:pPr>
              <w:spacing w:after="0" w:line="68" w:lineRule="atLeast"/>
              <w:jc w:val="center"/>
              <w:rPr>
                <w:rFonts w:ascii="宋体" w:hAnsi="宋体" w:eastAsia="宋体" w:cs="宋体"/>
              </w:rPr>
            </w:pPr>
          </w:p>
          <w:p w14:paraId="4070FF53">
            <w:pPr>
              <w:spacing w:after="0" w:line="68" w:lineRule="atLeast"/>
              <w:jc w:val="center"/>
              <w:rPr>
                <w:rFonts w:ascii="宋体" w:hAnsi="宋体" w:eastAsia="宋体" w:cs="宋体"/>
              </w:rPr>
            </w:pPr>
          </w:p>
          <w:p w14:paraId="69F68D2C">
            <w:pPr>
              <w:spacing w:after="0" w:line="68" w:lineRule="atLeast"/>
              <w:jc w:val="center"/>
              <w:rPr>
                <w:rFonts w:ascii="宋体" w:hAnsi="宋体" w:eastAsia="宋体" w:cs="宋体"/>
              </w:rPr>
            </w:pPr>
          </w:p>
          <w:p w14:paraId="284DB0F8">
            <w:pPr>
              <w:spacing w:after="0" w:line="68" w:lineRule="atLeast"/>
              <w:jc w:val="center"/>
              <w:rPr>
                <w:rFonts w:ascii="宋体" w:hAnsi="宋体" w:eastAsia="宋体" w:cs="宋体"/>
              </w:rPr>
            </w:pPr>
          </w:p>
          <w:p w14:paraId="7D5039D1">
            <w:pPr>
              <w:spacing w:after="0" w:line="68" w:lineRule="atLeast"/>
              <w:jc w:val="center"/>
              <w:rPr>
                <w:rFonts w:ascii="宋体" w:hAnsi="宋体" w:eastAsia="宋体" w:cs="宋体"/>
              </w:rPr>
            </w:pPr>
          </w:p>
          <w:p w14:paraId="2C4E5414">
            <w:pPr>
              <w:spacing w:after="0" w:line="68" w:lineRule="atLeast"/>
              <w:jc w:val="center"/>
              <w:rPr>
                <w:rFonts w:ascii="宋体" w:hAnsi="宋体" w:eastAsia="宋体" w:cs="宋体"/>
              </w:rPr>
            </w:pPr>
          </w:p>
          <w:p w14:paraId="58116CFB">
            <w:pPr>
              <w:spacing w:after="0" w:line="68" w:lineRule="atLeast"/>
              <w:jc w:val="center"/>
              <w:rPr>
                <w:rFonts w:ascii="宋体" w:hAnsi="宋体" w:eastAsia="宋体" w:cs="宋体"/>
              </w:rPr>
            </w:pPr>
          </w:p>
          <w:p w14:paraId="76CDBD01">
            <w:pPr>
              <w:spacing w:after="0" w:line="68" w:lineRule="atLeast"/>
              <w:jc w:val="center"/>
              <w:rPr>
                <w:rFonts w:ascii="宋体" w:hAnsi="宋体" w:eastAsia="宋体" w:cs="宋体"/>
              </w:rPr>
            </w:pPr>
          </w:p>
          <w:p w14:paraId="2CD31749">
            <w:pPr>
              <w:spacing w:after="0" w:line="68" w:lineRule="atLeast"/>
              <w:jc w:val="center"/>
              <w:rPr>
                <w:rFonts w:ascii="宋体" w:hAnsi="宋体" w:eastAsia="宋体" w:cs="宋体"/>
              </w:rPr>
            </w:pPr>
          </w:p>
          <w:p w14:paraId="349A12C1">
            <w:pPr>
              <w:spacing w:after="0" w:line="68" w:lineRule="atLeast"/>
              <w:jc w:val="center"/>
              <w:rPr>
                <w:rFonts w:ascii="宋体" w:hAnsi="宋体" w:eastAsia="宋体" w:cs="宋体"/>
              </w:rPr>
            </w:pPr>
          </w:p>
          <w:p w14:paraId="28AE988D">
            <w:pPr>
              <w:spacing w:after="0" w:line="68" w:lineRule="atLeast"/>
              <w:jc w:val="center"/>
              <w:rPr>
                <w:rFonts w:ascii="宋体" w:hAnsi="宋体" w:eastAsia="宋体" w:cs="宋体"/>
              </w:rPr>
            </w:pPr>
          </w:p>
          <w:p w14:paraId="4CE9FA7C">
            <w:pPr>
              <w:spacing w:after="0" w:line="68" w:lineRule="atLeast"/>
              <w:jc w:val="center"/>
              <w:rPr>
                <w:rFonts w:ascii="宋体" w:hAnsi="宋体" w:eastAsia="宋体" w:cs="宋体"/>
              </w:rPr>
            </w:pPr>
          </w:p>
          <w:p w14:paraId="2C64160D">
            <w:pPr>
              <w:spacing w:after="0" w:line="68" w:lineRule="atLeast"/>
              <w:jc w:val="center"/>
              <w:rPr>
                <w:rFonts w:ascii="宋体" w:hAnsi="宋体" w:eastAsia="宋体" w:cs="宋体"/>
              </w:rPr>
            </w:pPr>
          </w:p>
          <w:p w14:paraId="215FDAEE">
            <w:pPr>
              <w:spacing w:after="0" w:line="68" w:lineRule="atLeast"/>
              <w:jc w:val="center"/>
              <w:rPr>
                <w:rFonts w:ascii="宋体" w:hAnsi="宋体" w:eastAsia="宋体" w:cs="宋体"/>
              </w:rPr>
            </w:pPr>
          </w:p>
          <w:p w14:paraId="5887BCD6">
            <w:pPr>
              <w:spacing w:after="0" w:line="68" w:lineRule="atLeast"/>
              <w:jc w:val="center"/>
              <w:rPr>
                <w:rFonts w:ascii="宋体" w:hAnsi="宋体" w:eastAsia="宋体" w:cs="宋体"/>
              </w:rPr>
            </w:pPr>
          </w:p>
          <w:p w14:paraId="3080B972">
            <w:pPr>
              <w:spacing w:after="0" w:line="68" w:lineRule="atLeast"/>
              <w:jc w:val="center"/>
              <w:rPr>
                <w:rFonts w:ascii="宋体" w:hAnsi="宋体" w:eastAsia="宋体" w:cs="宋体"/>
              </w:rPr>
            </w:pPr>
          </w:p>
          <w:p w14:paraId="38DBE234">
            <w:pPr>
              <w:spacing w:after="0" w:line="68" w:lineRule="atLeast"/>
              <w:jc w:val="center"/>
              <w:rPr>
                <w:rFonts w:ascii="宋体" w:hAnsi="宋体" w:eastAsia="宋体" w:cs="宋体"/>
              </w:rPr>
            </w:pPr>
            <w:r>
              <w:rPr>
                <w:rFonts w:hint="eastAsia" w:ascii="宋体" w:hAnsi="宋体" w:eastAsia="宋体" w:cs="宋体"/>
              </w:rPr>
              <w:t>过程(55分)</w:t>
            </w:r>
          </w:p>
          <w:p w14:paraId="72CE3B48">
            <w:pPr>
              <w:spacing w:after="0" w:line="68" w:lineRule="atLeast"/>
              <w:jc w:val="center"/>
              <w:rPr>
                <w:rFonts w:ascii="宋体" w:hAnsi="宋体" w:eastAsia="宋体" w:cs="宋体"/>
              </w:rPr>
            </w:pPr>
          </w:p>
          <w:p w14:paraId="277E8904">
            <w:pPr>
              <w:spacing w:after="0" w:line="68" w:lineRule="atLeast"/>
              <w:jc w:val="center"/>
              <w:rPr>
                <w:rFonts w:ascii="宋体" w:hAnsi="宋体" w:eastAsia="宋体" w:cs="宋体"/>
              </w:rPr>
            </w:pPr>
          </w:p>
          <w:p w14:paraId="3A5F858C">
            <w:pPr>
              <w:spacing w:after="0" w:line="68" w:lineRule="atLeast"/>
              <w:jc w:val="center"/>
              <w:rPr>
                <w:rFonts w:ascii="宋体" w:hAnsi="宋体" w:eastAsia="宋体" w:cs="宋体"/>
              </w:rPr>
            </w:pPr>
          </w:p>
          <w:p w14:paraId="716E7FBA">
            <w:pPr>
              <w:spacing w:after="0" w:line="68" w:lineRule="atLeast"/>
              <w:jc w:val="center"/>
              <w:rPr>
                <w:rFonts w:ascii="宋体" w:hAnsi="宋体" w:eastAsia="宋体" w:cs="宋体"/>
              </w:rPr>
            </w:pPr>
          </w:p>
          <w:p w14:paraId="6486CCCE">
            <w:pPr>
              <w:spacing w:after="0" w:line="68" w:lineRule="atLeast"/>
              <w:jc w:val="center"/>
              <w:rPr>
                <w:rFonts w:ascii="宋体" w:hAnsi="宋体" w:eastAsia="宋体" w:cs="宋体"/>
              </w:rPr>
            </w:pPr>
          </w:p>
          <w:p w14:paraId="0443EB60">
            <w:pPr>
              <w:spacing w:after="0" w:line="68" w:lineRule="atLeast"/>
              <w:jc w:val="center"/>
              <w:rPr>
                <w:rFonts w:ascii="宋体" w:hAnsi="宋体" w:eastAsia="宋体" w:cs="宋体"/>
              </w:rPr>
            </w:pPr>
          </w:p>
          <w:p w14:paraId="61B6D589">
            <w:pPr>
              <w:spacing w:after="0" w:line="68" w:lineRule="atLeast"/>
              <w:jc w:val="center"/>
              <w:rPr>
                <w:rFonts w:ascii="宋体" w:hAnsi="宋体" w:eastAsia="宋体" w:cs="宋体"/>
              </w:rPr>
            </w:pPr>
          </w:p>
          <w:p w14:paraId="4B95C61A">
            <w:pPr>
              <w:spacing w:after="0" w:line="68" w:lineRule="atLeast"/>
              <w:jc w:val="center"/>
              <w:rPr>
                <w:rFonts w:ascii="宋体" w:hAnsi="宋体" w:eastAsia="宋体" w:cs="宋体"/>
              </w:rPr>
            </w:pPr>
          </w:p>
          <w:p w14:paraId="300DDF7F">
            <w:pPr>
              <w:spacing w:after="0" w:line="68" w:lineRule="atLeast"/>
              <w:rPr>
                <w:rFonts w:ascii="宋体" w:hAnsi="宋体" w:eastAsia="宋体" w:cs="宋体"/>
              </w:rPr>
            </w:pPr>
          </w:p>
          <w:p w14:paraId="68B06DAB">
            <w:pPr>
              <w:spacing w:after="0" w:line="68" w:lineRule="atLeast"/>
              <w:rPr>
                <w:rFonts w:ascii="宋体" w:hAnsi="宋体" w:eastAsia="宋体" w:cs="宋体"/>
              </w:rPr>
            </w:pPr>
          </w:p>
          <w:p w14:paraId="4CF1CD34">
            <w:pPr>
              <w:spacing w:after="0" w:line="68" w:lineRule="atLeast"/>
              <w:rPr>
                <w:rFonts w:ascii="宋体" w:hAnsi="宋体" w:eastAsia="宋体" w:cs="宋体"/>
              </w:rPr>
            </w:pPr>
          </w:p>
          <w:p w14:paraId="639EBDE1">
            <w:pPr>
              <w:spacing w:after="0" w:line="68" w:lineRule="atLeast"/>
              <w:rPr>
                <w:rFonts w:ascii="宋体" w:hAnsi="宋体" w:eastAsia="宋体" w:cs="宋体"/>
              </w:rPr>
            </w:pPr>
          </w:p>
          <w:p w14:paraId="5C46C258">
            <w:pPr>
              <w:spacing w:after="0" w:line="68" w:lineRule="atLeast"/>
              <w:rPr>
                <w:rFonts w:ascii="宋体" w:hAnsi="宋体" w:eastAsia="宋体" w:cs="宋体"/>
              </w:rPr>
            </w:pPr>
          </w:p>
          <w:p w14:paraId="7560F531">
            <w:pPr>
              <w:spacing w:after="0" w:line="68" w:lineRule="atLeast"/>
              <w:rPr>
                <w:rFonts w:ascii="宋体" w:hAnsi="宋体" w:eastAsia="宋体" w:cs="宋体"/>
              </w:rPr>
            </w:pPr>
          </w:p>
          <w:p w14:paraId="268AFE46">
            <w:pPr>
              <w:spacing w:after="0" w:line="68" w:lineRule="atLeast"/>
              <w:rPr>
                <w:rFonts w:ascii="宋体" w:hAnsi="宋体" w:eastAsia="宋体" w:cs="宋体"/>
              </w:rPr>
            </w:pPr>
          </w:p>
          <w:p w14:paraId="32A3D927">
            <w:pPr>
              <w:spacing w:after="0" w:line="68" w:lineRule="atLeast"/>
              <w:jc w:val="center"/>
              <w:rPr>
                <w:rFonts w:ascii="宋体" w:hAnsi="宋体" w:eastAsia="宋体" w:cs="宋体"/>
              </w:rPr>
            </w:pPr>
            <w:r>
              <w:rPr>
                <w:rFonts w:hint="eastAsia" w:ascii="宋体" w:hAnsi="宋体" w:eastAsia="宋体" w:cs="宋体"/>
              </w:rPr>
              <w:t>过程(55分)</w:t>
            </w:r>
          </w:p>
          <w:p w14:paraId="1484A402">
            <w:pPr>
              <w:spacing w:after="0" w:line="68" w:lineRule="atLeast"/>
              <w:rPr>
                <w:rFonts w:ascii="宋体" w:hAnsi="宋体" w:eastAsia="宋体" w:cs="宋体"/>
              </w:rPr>
            </w:pPr>
          </w:p>
        </w:tc>
        <w:tc>
          <w:tcPr>
            <w:tcW w:w="803" w:type="dxa"/>
            <w:vMerge w:val="restart"/>
            <w:tcBorders>
              <w:top w:val="single" w:color="000000" w:sz="4" w:space="0"/>
              <w:left w:val="single" w:color="000000" w:sz="4" w:space="0"/>
              <w:bottom w:val="single" w:color="000000" w:sz="4" w:space="0"/>
              <w:right w:val="single" w:color="000000" w:sz="4" w:space="0"/>
            </w:tcBorders>
            <w:vAlign w:val="center"/>
          </w:tcPr>
          <w:p w14:paraId="75F5644F">
            <w:pPr>
              <w:spacing w:after="0" w:line="68" w:lineRule="atLeast"/>
              <w:rPr>
                <w:rFonts w:ascii="宋体" w:hAnsi="宋体" w:eastAsia="宋体" w:cs="宋体"/>
              </w:rPr>
            </w:pPr>
            <w:r>
              <w:rPr>
                <w:rFonts w:hint="eastAsia" w:ascii="宋体" w:hAnsi="宋体" w:eastAsia="宋体" w:cs="宋体"/>
              </w:rPr>
              <w:t>预算执行(27分)</w:t>
            </w:r>
          </w:p>
        </w:tc>
        <w:tc>
          <w:tcPr>
            <w:tcW w:w="1182" w:type="dxa"/>
            <w:tcBorders>
              <w:top w:val="single" w:color="000000" w:sz="4" w:space="0"/>
              <w:left w:val="single" w:color="000000" w:sz="4" w:space="0"/>
              <w:bottom w:val="single" w:color="000000" w:sz="4" w:space="0"/>
              <w:right w:val="single" w:color="auto" w:sz="4" w:space="0"/>
            </w:tcBorders>
            <w:vAlign w:val="center"/>
          </w:tcPr>
          <w:p w14:paraId="7885B316">
            <w:pPr>
              <w:spacing w:after="0" w:line="68" w:lineRule="atLeast"/>
              <w:rPr>
                <w:rFonts w:ascii="宋体" w:hAnsi="宋体" w:eastAsia="宋体" w:cs="宋体"/>
              </w:rPr>
            </w:pPr>
            <w:r>
              <w:rPr>
                <w:rFonts w:hint="eastAsia" w:ascii="宋体" w:hAnsi="宋体" w:eastAsia="宋体" w:cs="宋体"/>
              </w:rPr>
              <w:t>预算完成率（3分）</w:t>
            </w:r>
          </w:p>
        </w:tc>
        <w:tc>
          <w:tcPr>
            <w:tcW w:w="6911" w:type="dxa"/>
            <w:tcBorders>
              <w:top w:val="single" w:color="000000" w:sz="4" w:space="0"/>
              <w:left w:val="single" w:color="auto" w:sz="4" w:space="0"/>
              <w:bottom w:val="single" w:color="000000" w:sz="4" w:space="0"/>
              <w:right w:val="single" w:color="auto" w:sz="4" w:space="0"/>
            </w:tcBorders>
            <w:vAlign w:val="center"/>
          </w:tcPr>
          <w:p w14:paraId="29B87747">
            <w:pPr>
              <w:spacing w:after="0" w:line="240" w:lineRule="exact"/>
              <w:rPr>
                <w:rFonts w:ascii="宋体" w:hAnsi="宋体" w:eastAsia="宋体" w:cs="宋体"/>
              </w:rPr>
            </w:pPr>
            <w:r>
              <w:rPr>
                <w:rFonts w:hint="eastAsia" w:ascii="宋体" w:hAnsi="宋体" w:eastAsia="宋体" w:cs="宋体"/>
              </w:rPr>
              <w:t>通过对部门本年度预算完成数与预算数的比较，反映和评价部门预算的完成程度。</w:t>
            </w:r>
          </w:p>
          <w:p w14:paraId="54D8A16E">
            <w:pPr>
              <w:spacing w:after="0" w:line="68" w:lineRule="atLeast"/>
              <w:rPr>
                <w:rFonts w:ascii="宋体" w:hAnsi="宋体" w:eastAsia="宋体" w:cs="宋体"/>
              </w:rPr>
            </w:pPr>
            <w:r>
              <w:rPr>
                <w:rFonts w:hint="eastAsia" w:ascii="宋体" w:hAnsi="宋体" w:eastAsia="宋体" w:cs="宋体"/>
              </w:rPr>
              <w:t>预算完成率=（预算完成数/预算数）×100%。</w:t>
            </w:r>
          </w:p>
        </w:tc>
        <w:tc>
          <w:tcPr>
            <w:tcW w:w="3423" w:type="dxa"/>
            <w:tcBorders>
              <w:top w:val="single" w:color="000000" w:sz="4" w:space="0"/>
              <w:left w:val="single" w:color="auto" w:sz="4" w:space="0"/>
              <w:bottom w:val="single" w:color="000000" w:sz="4" w:space="0"/>
              <w:right w:val="single" w:color="auto" w:sz="4" w:space="0"/>
            </w:tcBorders>
            <w:vAlign w:val="center"/>
          </w:tcPr>
          <w:p w14:paraId="141DAF43">
            <w:pPr>
              <w:spacing w:after="0" w:line="68" w:lineRule="atLeast"/>
              <w:rPr>
                <w:rFonts w:ascii="宋体" w:hAnsi="宋体" w:eastAsia="宋体" w:cs="宋体"/>
              </w:rPr>
            </w:pPr>
            <w:r>
              <w:rPr>
                <w:rFonts w:hint="eastAsia" w:ascii="宋体" w:hAnsi="宋体" w:eastAsia="宋体" w:cs="宋体"/>
              </w:rPr>
              <w:t>目标值≥100%；</w:t>
            </w:r>
          </w:p>
          <w:p w14:paraId="5521F98C">
            <w:pPr>
              <w:spacing w:after="0" w:line="68" w:lineRule="atLeast"/>
              <w:rPr>
                <w:rFonts w:ascii="宋体" w:hAnsi="宋体" w:eastAsia="宋体" w:cs="宋体"/>
              </w:rPr>
            </w:pPr>
            <w:r>
              <w:rPr>
                <w:rFonts w:hint="eastAsia" w:ascii="宋体" w:hAnsi="宋体" w:eastAsia="宋体" w:cs="宋体"/>
              </w:rPr>
              <w:t>达到目标值的得3分；</w:t>
            </w:r>
          </w:p>
          <w:p w14:paraId="1CAA6081">
            <w:pPr>
              <w:spacing w:after="0" w:line="68" w:lineRule="atLeast"/>
              <w:rPr>
                <w:rFonts w:ascii="宋体" w:hAnsi="宋体" w:eastAsia="宋体" w:cs="宋体"/>
              </w:rPr>
            </w:pPr>
            <w:r>
              <w:rPr>
                <w:rFonts w:hint="eastAsia" w:ascii="宋体" w:hAnsi="宋体" w:eastAsia="宋体" w:cs="宋体"/>
              </w:rPr>
              <w:t>100%＞结果≥90%，得3分；</w:t>
            </w:r>
          </w:p>
          <w:p w14:paraId="7F43767E">
            <w:pPr>
              <w:spacing w:after="0" w:line="68" w:lineRule="atLeast"/>
              <w:rPr>
                <w:rFonts w:ascii="宋体" w:hAnsi="宋体" w:eastAsia="宋体" w:cs="宋体"/>
              </w:rPr>
            </w:pPr>
            <w:r>
              <w:rPr>
                <w:rFonts w:hint="eastAsia" w:ascii="宋体" w:hAnsi="宋体" w:eastAsia="宋体" w:cs="宋体"/>
              </w:rPr>
              <w:t>90%＞结果≥80%，得1分；</w:t>
            </w:r>
          </w:p>
          <w:p w14:paraId="09E3156A">
            <w:pPr>
              <w:spacing w:after="0" w:line="68" w:lineRule="atLeast"/>
              <w:rPr>
                <w:rFonts w:ascii="宋体" w:hAnsi="宋体" w:eastAsia="宋体" w:cs="宋体"/>
              </w:rPr>
            </w:pPr>
            <w:r>
              <w:rPr>
                <w:rFonts w:hint="eastAsia" w:ascii="宋体" w:hAnsi="宋体" w:eastAsia="宋体" w:cs="宋体"/>
              </w:rPr>
              <w:t>结果＜80%得0分。</w:t>
            </w:r>
          </w:p>
        </w:tc>
        <w:tc>
          <w:tcPr>
            <w:tcW w:w="1090" w:type="dxa"/>
            <w:tcBorders>
              <w:top w:val="single" w:color="000000" w:sz="4" w:space="0"/>
              <w:left w:val="single" w:color="auto" w:sz="4" w:space="0"/>
              <w:bottom w:val="single" w:color="000000" w:sz="4" w:space="0"/>
              <w:right w:val="single" w:color="000000" w:sz="4" w:space="0"/>
            </w:tcBorders>
            <w:vAlign w:val="center"/>
          </w:tcPr>
          <w:p w14:paraId="0581FD7E">
            <w:pPr>
              <w:spacing w:after="0" w:line="68" w:lineRule="atLeast"/>
              <w:rPr>
                <w:rFonts w:hint="eastAsia" w:ascii="宋体" w:hAnsi="宋体" w:eastAsia="宋体" w:cs="宋体"/>
                <w:lang w:val="en-US" w:eastAsia="zh-CN"/>
              </w:rPr>
            </w:pPr>
            <w:r>
              <w:rPr>
                <w:rFonts w:hint="eastAsia" w:ascii="宋体" w:hAnsi="宋体" w:eastAsia="宋体" w:cs="宋体"/>
              </w:rPr>
              <w:t> </w:t>
            </w:r>
            <w:r>
              <w:rPr>
                <w:rFonts w:hint="eastAsia" w:ascii="宋体" w:hAnsi="宋体" w:eastAsia="宋体" w:cs="宋体"/>
                <w:lang w:val="en-US" w:eastAsia="zh-CN"/>
              </w:rPr>
              <w:t>3</w:t>
            </w:r>
          </w:p>
        </w:tc>
      </w:tr>
      <w:tr w14:paraId="4A3BAE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85" w:hRule="atLeast"/>
          <w:jc w:val="center"/>
        </w:trPr>
        <w:tc>
          <w:tcPr>
            <w:tcW w:w="733" w:type="dxa"/>
            <w:vMerge w:val="continue"/>
            <w:tcBorders>
              <w:left w:val="single" w:color="000000" w:sz="4" w:space="0"/>
              <w:right w:val="single" w:color="000000" w:sz="4" w:space="0"/>
            </w:tcBorders>
            <w:vAlign w:val="center"/>
          </w:tcPr>
          <w:p w14:paraId="79D9D893">
            <w:pPr>
              <w:spacing w:after="0"/>
              <w:rPr>
                <w:rFonts w:ascii="宋体" w:hAnsi="宋体" w:eastAsia="宋体" w:cs="宋体"/>
              </w:rPr>
            </w:pPr>
          </w:p>
        </w:tc>
        <w:tc>
          <w:tcPr>
            <w:tcW w:w="803" w:type="dxa"/>
            <w:vMerge w:val="continue"/>
            <w:tcBorders>
              <w:top w:val="single" w:color="000000" w:sz="4" w:space="0"/>
              <w:left w:val="single" w:color="000000" w:sz="4" w:space="0"/>
              <w:bottom w:val="single" w:color="000000" w:sz="4" w:space="0"/>
              <w:right w:val="single" w:color="000000" w:sz="4" w:space="0"/>
            </w:tcBorders>
            <w:vAlign w:val="center"/>
          </w:tcPr>
          <w:p w14:paraId="08CDB5D5">
            <w:pPr>
              <w:spacing w:after="0"/>
              <w:rPr>
                <w:rFonts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14:paraId="4D6DE59C">
            <w:pPr>
              <w:spacing w:after="0" w:line="68" w:lineRule="atLeast"/>
              <w:rPr>
                <w:rFonts w:ascii="宋体" w:hAnsi="宋体" w:eastAsia="宋体" w:cs="宋体"/>
              </w:rPr>
            </w:pPr>
            <w:r>
              <w:rPr>
                <w:rFonts w:hint="eastAsia" w:ascii="宋体" w:hAnsi="宋体" w:eastAsia="宋体" w:cs="宋体"/>
              </w:rPr>
              <w:t>预算调整率（3分）</w:t>
            </w:r>
          </w:p>
        </w:tc>
        <w:tc>
          <w:tcPr>
            <w:tcW w:w="6911" w:type="dxa"/>
            <w:tcBorders>
              <w:top w:val="single" w:color="000000" w:sz="4" w:space="0"/>
              <w:left w:val="single" w:color="auto" w:sz="4" w:space="0"/>
              <w:bottom w:val="single" w:color="000000" w:sz="4" w:space="0"/>
              <w:right w:val="single" w:color="auto" w:sz="4" w:space="0"/>
            </w:tcBorders>
            <w:vAlign w:val="center"/>
          </w:tcPr>
          <w:p w14:paraId="0BC8BDB1">
            <w:pPr>
              <w:spacing w:after="0" w:line="240" w:lineRule="exact"/>
              <w:rPr>
                <w:rFonts w:ascii="宋体" w:hAnsi="宋体" w:eastAsia="宋体" w:cs="宋体"/>
              </w:rPr>
            </w:pPr>
            <w:r>
              <w:rPr>
                <w:rFonts w:hint="eastAsia" w:ascii="宋体" w:hAnsi="宋体" w:eastAsia="宋体" w:cs="宋体"/>
              </w:rPr>
              <w:t>部门本年度预算调整数与预算数的比率，用以反映和评价部门预算的调整程度。</w:t>
            </w:r>
          </w:p>
          <w:p w14:paraId="29C79EE5">
            <w:pPr>
              <w:spacing w:after="0" w:line="68" w:lineRule="atLeast"/>
              <w:rPr>
                <w:rFonts w:ascii="宋体" w:hAnsi="宋体" w:eastAsia="宋体" w:cs="宋体"/>
              </w:rPr>
            </w:pPr>
            <w:r>
              <w:rPr>
                <w:rFonts w:hint="eastAsia" w:ascii="宋体" w:hAnsi="宋体" w:eastAsia="宋体" w:cs="宋体"/>
              </w:rPr>
              <w:t>预算调整率=（预算调整数/预算数）×100%。</w:t>
            </w:r>
          </w:p>
        </w:tc>
        <w:tc>
          <w:tcPr>
            <w:tcW w:w="3423" w:type="dxa"/>
            <w:tcBorders>
              <w:top w:val="single" w:color="000000" w:sz="4" w:space="0"/>
              <w:left w:val="single" w:color="auto" w:sz="4" w:space="0"/>
              <w:bottom w:val="single" w:color="000000" w:sz="4" w:space="0"/>
              <w:right w:val="single" w:color="auto" w:sz="4" w:space="0"/>
            </w:tcBorders>
            <w:vAlign w:val="center"/>
          </w:tcPr>
          <w:p w14:paraId="3971A4E4">
            <w:pPr>
              <w:spacing w:after="0" w:line="68" w:lineRule="atLeast"/>
              <w:rPr>
                <w:rFonts w:ascii="宋体" w:hAnsi="宋体" w:eastAsia="宋体" w:cs="宋体"/>
              </w:rPr>
            </w:pPr>
            <w:r>
              <w:rPr>
                <w:rFonts w:hint="eastAsia" w:ascii="宋体" w:hAnsi="宋体" w:eastAsia="宋体" w:cs="宋体"/>
              </w:rPr>
              <w:t>目标值为10%；达到目标值得3分，未达到目标值的每增加0.1个百分点扣0.1分，扣完为止。</w:t>
            </w:r>
          </w:p>
        </w:tc>
        <w:tc>
          <w:tcPr>
            <w:tcW w:w="1090" w:type="dxa"/>
            <w:tcBorders>
              <w:top w:val="single" w:color="000000" w:sz="4" w:space="0"/>
              <w:left w:val="single" w:color="auto" w:sz="4" w:space="0"/>
              <w:bottom w:val="single" w:color="000000" w:sz="4" w:space="0"/>
              <w:right w:val="single" w:color="000000" w:sz="4" w:space="0"/>
            </w:tcBorders>
            <w:vAlign w:val="center"/>
          </w:tcPr>
          <w:p w14:paraId="1DF16E06">
            <w:pPr>
              <w:spacing w:after="0" w:line="68" w:lineRule="atLeast"/>
              <w:rPr>
                <w:rFonts w:hint="eastAsia" w:ascii="宋体" w:hAnsi="宋体" w:eastAsia="宋体" w:cs="宋体"/>
                <w:lang w:val="en-US" w:eastAsia="zh-CN"/>
              </w:rPr>
            </w:pPr>
            <w:r>
              <w:rPr>
                <w:rFonts w:hint="eastAsia" w:ascii="宋体" w:hAnsi="宋体" w:eastAsia="宋体" w:cs="宋体"/>
              </w:rPr>
              <w:t> </w:t>
            </w:r>
            <w:r>
              <w:rPr>
                <w:rFonts w:hint="eastAsia" w:ascii="宋体" w:hAnsi="宋体" w:eastAsia="宋体" w:cs="宋体"/>
                <w:lang w:val="en-US" w:eastAsia="zh-CN"/>
              </w:rPr>
              <w:t>3</w:t>
            </w:r>
          </w:p>
        </w:tc>
      </w:tr>
      <w:tr w14:paraId="5C7909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90" w:hRule="atLeast"/>
          <w:jc w:val="center"/>
        </w:trPr>
        <w:tc>
          <w:tcPr>
            <w:tcW w:w="733" w:type="dxa"/>
            <w:vMerge w:val="continue"/>
            <w:tcBorders>
              <w:left w:val="single" w:color="000000" w:sz="4" w:space="0"/>
              <w:right w:val="single" w:color="000000" w:sz="4" w:space="0"/>
            </w:tcBorders>
            <w:vAlign w:val="center"/>
          </w:tcPr>
          <w:p w14:paraId="2FF177CB">
            <w:pPr>
              <w:spacing w:after="0"/>
              <w:rPr>
                <w:rFonts w:ascii="宋体" w:hAnsi="宋体" w:eastAsia="宋体" w:cs="宋体"/>
              </w:rPr>
            </w:pPr>
          </w:p>
        </w:tc>
        <w:tc>
          <w:tcPr>
            <w:tcW w:w="803" w:type="dxa"/>
            <w:vMerge w:val="continue"/>
            <w:tcBorders>
              <w:top w:val="single" w:color="000000" w:sz="4" w:space="0"/>
              <w:left w:val="single" w:color="000000" w:sz="4" w:space="0"/>
              <w:bottom w:val="single" w:color="000000" w:sz="4" w:space="0"/>
              <w:right w:val="single" w:color="000000" w:sz="4" w:space="0"/>
            </w:tcBorders>
            <w:vAlign w:val="center"/>
          </w:tcPr>
          <w:p w14:paraId="58723268">
            <w:pPr>
              <w:spacing w:after="0"/>
              <w:rPr>
                <w:rFonts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14:paraId="7A87F6C4">
            <w:pPr>
              <w:spacing w:after="0" w:line="240" w:lineRule="exact"/>
              <w:rPr>
                <w:rFonts w:ascii="宋体" w:hAnsi="宋体" w:eastAsia="宋体" w:cs="宋体"/>
              </w:rPr>
            </w:pPr>
            <w:r>
              <w:rPr>
                <w:rFonts w:hint="eastAsia" w:ascii="宋体" w:hAnsi="宋体" w:eastAsia="宋体" w:cs="宋体"/>
                <w:color w:val="000000"/>
              </w:rPr>
              <w:t>支付进度率</w:t>
            </w:r>
            <w:r>
              <w:rPr>
                <w:rFonts w:hint="eastAsia" w:ascii="宋体" w:hAnsi="宋体" w:eastAsia="宋体" w:cs="宋体"/>
              </w:rPr>
              <w:t>（6分）</w:t>
            </w:r>
          </w:p>
        </w:tc>
        <w:tc>
          <w:tcPr>
            <w:tcW w:w="6911" w:type="dxa"/>
            <w:tcBorders>
              <w:top w:val="single" w:color="000000" w:sz="4" w:space="0"/>
              <w:left w:val="single" w:color="auto" w:sz="4" w:space="0"/>
              <w:bottom w:val="single" w:color="000000" w:sz="4" w:space="0"/>
              <w:right w:val="single" w:color="auto" w:sz="4" w:space="0"/>
            </w:tcBorders>
            <w:vAlign w:val="center"/>
          </w:tcPr>
          <w:p w14:paraId="701156C1">
            <w:pPr>
              <w:spacing w:after="0" w:line="240" w:lineRule="exact"/>
              <w:rPr>
                <w:rFonts w:ascii="宋体" w:hAnsi="宋体" w:eastAsia="宋体" w:cs="宋体"/>
              </w:rPr>
            </w:pPr>
            <w:r>
              <w:rPr>
                <w:rFonts w:hint="eastAsia" w:ascii="宋体" w:hAnsi="宋体" w:eastAsia="宋体" w:cs="宋体"/>
              </w:rPr>
              <w:t>部门年度支付数与年度预算（调整）数的比率，用以反映和评价部门预算执行的及时和均衡程度。</w:t>
            </w:r>
          </w:p>
          <w:p w14:paraId="74AFA0CA">
            <w:pPr>
              <w:spacing w:after="0" w:line="240" w:lineRule="exact"/>
              <w:rPr>
                <w:rFonts w:ascii="宋体" w:hAnsi="宋体" w:eastAsia="宋体" w:cs="宋体"/>
              </w:rPr>
            </w:pPr>
            <w:r>
              <w:rPr>
                <w:rFonts w:hint="eastAsia" w:ascii="宋体" w:hAnsi="宋体" w:eastAsia="宋体" w:cs="宋体"/>
              </w:rPr>
              <w:t>半年支付进度=部门上半年实际支出÷（上年结余结转+本年部门预算安排+上半年执行中追加追减）×100%</w:t>
            </w:r>
          </w:p>
          <w:p w14:paraId="2BFC864B">
            <w:pPr>
              <w:spacing w:after="0" w:line="240" w:lineRule="exact"/>
              <w:rPr>
                <w:rFonts w:ascii="宋体" w:hAnsi="宋体" w:eastAsia="宋体" w:cs="宋体"/>
              </w:rPr>
            </w:pPr>
            <w:r>
              <w:rPr>
                <w:rFonts w:hint="eastAsia" w:ascii="宋体" w:hAnsi="宋体" w:eastAsia="宋体" w:cs="宋体"/>
              </w:rPr>
              <w:t>全年支付进度=部门全年实际支出÷（上年结余结转+本年部门预算安排+全年执行中追加追减）×100%</w:t>
            </w:r>
          </w:p>
        </w:tc>
        <w:tc>
          <w:tcPr>
            <w:tcW w:w="3423" w:type="dxa"/>
            <w:tcBorders>
              <w:top w:val="single" w:color="000000" w:sz="4" w:space="0"/>
              <w:left w:val="single" w:color="auto" w:sz="4" w:space="0"/>
              <w:bottom w:val="single" w:color="000000" w:sz="4" w:space="0"/>
              <w:right w:val="single" w:color="auto" w:sz="4" w:space="0"/>
            </w:tcBorders>
            <w:vAlign w:val="center"/>
          </w:tcPr>
          <w:p w14:paraId="04C32748">
            <w:pPr>
              <w:spacing w:after="0" w:line="240" w:lineRule="exact"/>
              <w:rPr>
                <w:rFonts w:ascii="宋体" w:hAnsi="宋体" w:eastAsia="宋体" w:cs="宋体"/>
              </w:rPr>
            </w:pPr>
            <w:r>
              <w:rPr>
                <w:rFonts w:hint="eastAsia" w:ascii="宋体" w:hAnsi="宋体" w:eastAsia="宋体" w:cs="宋体"/>
              </w:rPr>
              <w:t>半年进度：结果≥50%，得2分；50%＞结果≥40%，得1分；结果＜40%，得0分。</w:t>
            </w:r>
          </w:p>
          <w:p w14:paraId="695963C1">
            <w:pPr>
              <w:spacing w:after="0" w:line="240" w:lineRule="exact"/>
              <w:rPr>
                <w:rFonts w:ascii="宋体" w:hAnsi="宋体" w:eastAsia="宋体" w:cs="宋体"/>
              </w:rPr>
            </w:pPr>
            <w:r>
              <w:rPr>
                <w:rFonts w:hint="eastAsia" w:ascii="宋体" w:hAnsi="宋体" w:eastAsia="宋体" w:cs="宋体"/>
              </w:rPr>
              <w:t>全年进度：结果≥100%，得4分；100%＞结果≥95%，得3分；95%＞结果≥90%，得2分；90%＞结果≥85%，得2分；结果＜85%，得0分。</w:t>
            </w:r>
          </w:p>
        </w:tc>
        <w:tc>
          <w:tcPr>
            <w:tcW w:w="1090" w:type="dxa"/>
            <w:tcBorders>
              <w:top w:val="single" w:color="000000" w:sz="4" w:space="0"/>
              <w:left w:val="single" w:color="auto" w:sz="4" w:space="0"/>
              <w:bottom w:val="single" w:color="000000" w:sz="4" w:space="0"/>
              <w:right w:val="single" w:color="000000" w:sz="4" w:space="0"/>
            </w:tcBorders>
            <w:vAlign w:val="center"/>
          </w:tcPr>
          <w:p w14:paraId="247510E4">
            <w:pPr>
              <w:spacing w:after="0" w:line="240" w:lineRule="exact"/>
              <w:rPr>
                <w:rFonts w:hint="eastAsia" w:ascii="宋体" w:hAnsi="宋体" w:eastAsia="宋体" w:cs="宋体"/>
                <w:lang w:val="en-US" w:eastAsia="zh-CN"/>
              </w:rPr>
            </w:pPr>
            <w:r>
              <w:rPr>
                <w:rFonts w:hint="eastAsia" w:ascii="宋体" w:hAnsi="宋体" w:eastAsia="宋体" w:cs="宋体"/>
              </w:rPr>
              <w:t> </w:t>
            </w:r>
            <w:r>
              <w:rPr>
                <w:rFonts w:hint="eastAsia" w:ascii="宋体" w:hAnsi="宋体" w:eastAsia="宋体" w:cs="宋体"/>
                <w:lang w:val="en-US" w:eastAsia="zh-CN"/>
              </w:rPr>
              <w:t>6</w:t>
            </w:r>
          </w:p>
        </w:tc>
      </w:tr>
      <w:tr w14:paraId="58ED73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78" w:hRule="atLeast"/>
          <w:jc w:val="center"/>
        </w:trPr>
        <w:tc>
          <w:tcPr>
            <w:tcW w:w="733" w:type="dxa"/>
            <w:vMerge w:val="continue"/>
            <w:tcBorders>
              <w:left w:val="single" w:color="000000" w:sz="4" w:space="0"/>
              <w:right w:val="single" w:color="000000" w:sz="4" w:space="0"/>
            </w:tcBorders>
            <w:vAlign w:val="center"/>
          </w:tcPr>
          <w:p w14:paraId="4E98BB82">
            <w:pPr>
              <w:spacing w:after="0"/>
              <w:rPr>
                <w:rFonts w:ascii="宋体" w:hAnsi="宋体" w:eastAsia="宋体" w:cs="宋体"/>
              </w:rPr>
            </w:pPr>
          </w:p>
        </w:tc>
        <w:tc>
          <w:tcPr>
            <w:tcW w:w="803" w:type="dxa"/>
            <w:vMerge w:val="continue"/>
            <w:tcBorders>
              <w:top w:val="single" w:color="000000" w:sz="4" w:space="0"/>
              <w:left w:val="single" w:color="000000" w:sz="4" w:space="0"/>
              <w:bottom w:val="single" w:color="000000" w:sz="4" w:space="0"/>
              <w:right w:val="single" w:color="000000" w:sz="4" w:space="0"/>
            </w:tcBorders>
            <w:vAlign w:val="center"/>
          </w:tcPr>
          <w:p w14:paraId="7E69D8C3">
            <w:pPr>
              <w:spacing w:after="0"/>
              <w:rPr>
                <w:rFonts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14:paraId="2394D7AD">
            <w:pPr>
              <w:spacing w:after="0" w:line="240" w:lineRule="exact"/>
              <w:rPr>
                <w:rFonts w:ascii="宋体" w:hAnsi="宋体" w:eastAsia="宋体" w:cs="宋体"/>
              </w:rPr>
            </w:pPr>
            <w:r>
              <w:rPr>
                <w:rFonts w:hint="eastAsia" w:ascii="宋体" w:hAnsi="宋体" w:eastAsia="宋体" w:cs="宋体"/>
              </w:rPr>
              <w:t>结转结余率（3分）</w:t>
            </w:r>
          </w:p>
        </w:tc>
        <w:tc>
          <w:tcPr>
            <w:tcW w:w="6911" w:type="dxa"/>
            <w:tcBorders>
              <w:top w:val="single" w:color="000000" w:sz="4" w:space="0"/>
              <w:left w:val="single" w:color="auto" w:sz="4" w:space="0"/>
              <w:bottom w:val="single" w:color="000000" w:sz="4" w:space="0"/>
              <w:right w:val="single" w:color="auto" w:sz="4" w:space="0"/>
            </w:tcBorders>
            <w:vAlign w:val="center"/>
          </w:tcPr>
          <w:p w14:paraId="63ADC458">
            <w:pPr>
              <w:spacing w:after="0" w:line="240" w:lineRule="exact"/>
              <w:rPr>
                <w:rFonts w:ascii="宋体" w:hAnsi="宋体" w:eastAsia="宋体" w:cs="宋体"/>
              </w:rPr>
            </w:pPr>
            <w:r>
              <w:rPr>
                <w:rFonts w:hint="eastAsia" w:ascii="宋体" w:hAnsi="宋体" w:eastAsia="宋体" w:cs="宋体"/>
              </w:rPr>
              <w:t>通过对部门本年度结转结余总额与支出预算数的比较，反映和评价部门对本年度结转结余资金的实际控制程度。</w:t>
            </w:r>
          </w:p>
          <w:p w14:paraId="6B8800D5">
            <w:pPr>
              <w:spacing w:after="0" w:line="240" w:lineRule="exact"/>
              <w:rPr>
                <w:rFonts w:ascii="宋体" w:hAnsi="宋体" w:eastAsia="宋体" w:cs="宋体"/>
              </w:rPr>
            </w:pPr>
            <w:r>
              <w:rPr>
                <w:rFonts w:hint="eastAsia" w:ascii="宋体" w:hAnsi="宋体" w:eastAsia="宋体" w:cs="宋体"/>
              </w:rPr>
              <w:t>结转结余率=（结转结余总额/支出预算数）×100%。</w:t>
            </w:r>
          </w:p>
        </w:tc>
        <w:tc>
          <w:tcPr>
            <w:tcW w:w="3423" w:type="dxa"/>
            <w:tcBorders>
              <w:top w:val="single" w:color="000000" w:sz="4" w:space="0"/>
              <w:left w:val="single" w:color="auto" w:sz="4" w:space="0"/>
              <w:bottom w:val="single" w:color="000000" w:sz="4" w:space="0"/>
              <w:right w:val="single" w:color="auto" w:sz="4" w:space="0"/>
            </w:tcBorders>
            <w:vAlign w:val="center"/>
          </w:tcPr>
          <w:p w14:paraId="378D9966">
            <w:pPr>
              <w:spacing w:after="0" w:line="240" w:lineRule="exact"/>
              <w:rPr>
                <w:rFonts w:ascii="宋体" w:hAnsi="宋体" w:eastAsia="宋体" w:cs="宋体"/>
              </w:rPr>
            </w:pPr>
            <w:r>
              <w:rPr>
                <w:rFonts w:hint="eastAsia" w:ascii="宋体" w:hAnsi="宋体" w:eastAsia="宋体" w:cs="宋体"/>
              </w:rPr>
              <w:t>目标值为0；达到目标值得3分，未达到目标值的每增加0.1个百分点扣0.1分，扣完为止。</w:t>
            </w:r>
          </w:p>
        </w:tc>
        <w:tc>
          <w:tcPr>
            <w:tcW w:w="1090" w:type="dxa"/>
            <w:tcBorders>
              <w:top w:val="single" w:color="000000" w:sz="4" w:space="0"/>
              <w:left w:val="single" w:color="auto" w:sz="4" w:space="0"/>
              <w:bottom w:val="single" w:color="000000" w:sz="4" w:space="0"/>
              <w:right w:val="single" w:color="000000" w:sz="4" w:space="0"/>
            </w:tcBorders>
            <w:vAlign w:val="center"/>
          </w:tcPr>
          <w:p w14:paraId="2F196CE5">
            <w:pPr>
              <w:spacing w:after="0" w:line="240" w:lineRule="exact"/>
              <w:rPr>
                <w:rFonts w:hint="eastAsia" w:ascii="宋体" w:hAnsi="宋体" w:eastAsia="宋体" w:cs="宋体"/>
                <w:lang w:val="en-US" w:eastAsia="zh-CN"/>
              </w:rPr>
            </w:pPr>
            <w:r>
              <w:rPr>
                <w:rFonts w:hint="eastAsia" w:ascii="宋体" w:hAnsi="宋体" w:eastAsia="宋体" w:cs="宋体"/>
              </w:rPr>
              <w:t> </w:t>
            </w:r>
            <w:r>
              <w:rPr>
                <w:rFonts w:hint="eastAsia" w:ascii="宋体" w:hAnsi="宋体" w:eastAsia="宋体" w:cs="宋体"/>
                <w:lang w:val="en-US" w:eastAsia="zh-CN"/>
              </w:rPr>
              <w:t>3</w:t>
            </w:r>
          </w:p>
        </w:tc>
      </w:tr>
      <w:tr w14:paraId="7262B6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07" w:hRule="atLeast"/>
          <w:jc w:val="center"/>
        </w:trPr>
        <w:tc>
          <w:tcPr>
            <w:tcW w:w="733" w:type="dxa"/>
            <w:vMerge w:val="continue"/>
            <w:tcBorders>
              <w:left w:val="single" w:color="000000" w:sz="4" w:space="0"/>
              <w:right w:val="single" w:color="000000" w:sz="4" w:space="0"/>
            </w:tcBorders>
            <w:vAlign w:val="center"/>
          </w:tcPr>
          <w:p w14:paraId="1C285318">
            <w:pPr>
              <w:spacing w:after="0"/>
              <w:rPr>
                <w:rFonts w:ascii="宋体" w:hAnsi="宋体" w:eastAsia="宋体" w:cs="宋体"/>
              </w:rPr>
            </w:pPr>
          </w:p>
        </w:tc>
        <w:tc>
          <w:tcPr>
            <w:tcW w:w="803" w:type="dxa"/>
            <w:vMerge w:val="continue"/>
            <w:tcBorders>
              <w:top w:val="single" w:color="000000" w:sz="4" w:space="0"/>
              <w:left w:val="single" w:color="000000" w:sz="4" w:space="0"/>
              <w:bottom w:val="single" w:color="000000" w:sz="4" w:space="0"/>
              <w:right w:val="single" w:color="000000" w:sz="4" w:space="0"/>
            </w:tcBorders>
            <w:vAlign w:val="center"/>
          </w:tcPr>
          <w:p w14:paraId="3D35390D">
            <w:pPr>
              <w:spacing w:after="0"/>
              <w:rPr>
                <w:rFonts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14:paraId="5480E45A">
            <w:pPr>
              <w:spacing w:after="0" w:line="240" w:lineRule="exact"/>
              <w:rPr>
                <w:rFonts w:ascii="宋体" w:hAnsi="宋体" w:eastAsia="宋体" w:cs="宋体"/>
              </w:rPr>
            </w:pPr>
            <w:r>
              <w:rPr>
                <w:rFonts w:hint="eastAsia" w:ascii="宋体" w:hAnsi="宋体" w:eastAsia="宋体" w:cs="宋体"/>
              </w:rPr>
              <w:t>结转结余变动率(3分）</w:t>
            </w:r>
          </w:p>
        </w:tc>
        <w:tc>
          <w:tcPr>
            <w:tcW w:w="6911" w:type="dxa"/>
            <w:tcBorders>
              <w:top w:val="single" w:color="000000" w:sz="4" w:space="0"/>
              <w:left w:val="single" w:color="auto" w:sz="4" w:space="0"/>
              <w:bottom w:val="single" w:color="000000" w:sz="4" w:space="0"/>
              <w:right w:val="single" w:color="auto" w:sz="4" w:space="0"/>
            </w:tcBorders>
            <w:vAlign w:val="center"/>
          </w:tcPr>
          <w:p w14:paraId="4BC6DDAC">
            <w:pPr>
              <w:spacing w:after="0" w:line="240" w:lineRule="exact"/>
              <w:rPr>
                <w:rFonts w:ascii="宋体" w:hAnsi="宋体" w:eastAsia="宋体" w:cs="宋体"/>
              </w:rPr>
            </w:pPr>
            <w:r>
              <w:rPr>
                <w:rFonts w:hint="eastAsia" w:ascii="宋体" w:hAnsi="宋体" w:eastAsia="宋体" w:cs="宋体"/>
              </w:rPr>
              <w:t>部门本年度结转结余资金总额与上年度结转结余资金总额的变动比率，用以反映和考核部门对控制结转结余资金的努力程度。</w:t>
            </w:r>
          </w:p>
          <w:p w14:paraId="7B5197AD">
            <w:pPr>
              <w:spacing w:after="0" w:line="240" w:lineRule="exact"/>
              <w:rPr>
                <w:rFonts w:ascii="宋体" w:hAnsi="宋体" w:eastAsia="宋体" w:cs="宋体"/>
              </w:rPr>
            </w:pPr>
            <w:r>
              <w:rPr>
                <w:rFonts w:hint="eastAsia" w:ascii="宋体" w:hAnsi="宋体" w:eastAsia="宋体" w:cs="宋体"/>
              </w:rPr>
              <w:t>结转结余变动率=〔（本年度累计结转结余资金总额-上年度累计结转结余资金总额）/上年度累计结转结余资金总额〕×100%。</w:t>
            </w:r>
          </w:p>
        </w:tc>
        <w:tc>
          <w:tcPr>
            <w:tcW w:w="3423" w:type="dxa"/>
            <w:tcBorders>
              <w:top w:val="single" w:color="000000" w:sz="4" w:space="0"/>
              <w:left w:val="single" w:color="auto" w:sz="4" w:space="0"/>
              <w:bottom w:val="single" w:color="000000" w:sz="4" w:space="0"/>
              <w:right w:val="single" w:color="auto" w:sz="4" w:space="0"/>
            </w:tcBorders>
            <w:vAlign w:val="center"/>
          </w:tcPr>
          <w:p w14:paraId="4F718E2A">
            <w:pPr>
              <w:spacing w:after="0" w:line="240" w:lineRule="exact"/>
              <w:rPr>
                <w:rFonts w:ascii="宋体" w:hAnsi="宋体" w:eastAsia="宋体" w:cs="宋体"/>
              </w:rPr>
            </w:pPr>
            <w:r>
              <w:rPr>
                <w:rFonts w:hint="eastAsia" w:ascii="宋体" w:hAnsi="宋体" w:eastAsia="宋体" w:cs="宋体"/>
              </w:rPr>
              <w:t>目标值为≤0%；达到目标值得3分，未达到目标值的采用比率扣分法：扣分值=结转结余变动率×2×10，变动率达10%以上的扣2分。</w:t>
            </w:r>
          </w:p>
        </w:tc>
        <w:tc>
          <w:tcPr>
            <w:tcW w:w="1090" w:type="dxa"/>
            <w:tcBorders>
              <w:top w:val="single" w:color="000000" w:sz="4" w:space="0"/>
              <w:left w:val="single" w:color="auto" w:sz="4" w:space="0"/>
              <w:bottom w:val="single" w:color="000000" w:sz="4" w:space="0"/>
              <w:right w:val="single" w:color="000000" w:sz="4" w:space="0"/>
            </w:tcBorders>
            <w:vAlign w:val="center"/>
          </w:tcPr>
          <w:p w14:paraId="307F6896">
            <w:pPr>
              <w:spacing w:after="0" w:line="240" w:lineRule="exact"/>
              <w:rPr>
                <w:rFonts w:hint="eastAsia" w:ascii="宋体" w:hAnsi="宋体" w:eastAsia="宋体" w:cs="宋体"/>
                <w:lang w:val="en-US" w:eastAsia="zh-CN"/>
              </w:rPr>
            </w:pPr>
            <w:r>
              <w:rPr>
                <w:rFonts w:hint="eastAsia" w:ascii="宋体" w:hAnsi="宋体" w:eastAsia="宋体" w:cs="宋体"/>
                <w:lang w:val="en-US" w:eastAsia="zh-CN"/>
              </w:rPr>
              <w:t>3</w:t>
            </w:r>
          </w:p>
        </w:tc>
      </w:tr>
      <w:tr w14:paraId="4757F9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05" w:hRule="atLeast"/>
          <w:jc w:val="center"/>
        </w:trPr>
        <w:tc>
          <w:tcPr>
            <w:tcW w:w="733" w:type="dxa"/>
            <w:vMerge w:val="continue"/>
            <w:tcBorders>
              <w:left w:val="single" w:color="000000" w:sz="4" w:space="0"/>
              <w:right w:val="single" w:color="000000" w:sz="4" w:space="0"/>
            </w:tcBorders>
            <w:vAlign w:val="center"/>
          </w:tcPr>
          <w:p w14:paraId="5F5C302E">
            <w:pPr>
              <w:spacing w:after="0"/>
              <w:rPr>
                <w:rFonts w:ascii="宋体" w:hAnsi="宋体" w:eastAsia="宋体" w:cs="宋体"/>
              </w:rPr>
            </w:pPr>
          </w:p>
        </w:tc>
        <w:tc>
          <w:tcPr>
            <w:tcW w:w="803" w:type="dxa"/>
            <w:vMerge w:val="continue"/>
            <w:tcBorders>
              <w:top w:val="single" w:color="000000" w:sz="4" w:space="0"/>
              <w:left w:val="single" w:color="000000" w:sz="4" w:space="0"/>
              <w:bottom w:val="single" w:color="000000" w:sz="4" w:space="0"/>
              <w:right w:val="single" w:color="000000" w:sz="4" w:space="0"/>
            </w:tcBorders>
            <w:vAlign w:val="center"/>
          </w:tcPr>
          <w:p w14:paraId="6A10E095">
            <w:pPr>
              <w:spacing w:after="0"/>
              <w:rPr>
                <w:rFonts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14:paraId="6AA5072E">
            <w:pPr>
              <w:spacing w:after="0" w:line="240" w:lineRule="exact"/>
              <w:rPr>
                <w:rFonts w:ascii="宋体" w:hAnsi="宋体" w:eastAsia="宋体" w:cs="宋体"/>
              </w:rPr>
            </w:pPr>
            <w:r>
              <w:rPr>
                <w:rFonts w:hint="eastAsia" w:ascii="宋体" w:hAnsi="宋体" w:eastAsia="宋体" w:cs="宋体"/>
              </w:rPr>
              <w:t>公用经费控制率（3分）</w:t>
            </w:r>
          </w:p>
        </w:tc>
        <w:tc>
          <w:tcPr>
            <w:tcW w:w="6911" w:type="dxa"/>
            <w:tcBorders>
              <w:top w:val="single" w:color="000000" w:sz="4" w:space="0"/>
              <w:left w:val="single" w:color="auto" w:sz="4" w:space="0"/>
              <w:bottom w:val="single" w:color="000000" w:sz="4" w:space="0"/>
              <w:right w:val="single" w:color="auto" w:sz="4" w:space="0"/>
            </w:tcBorders>
            <w:vAlign w:val="center"/>
          </w:tcPr>
          <w:p w14:paraId="37D78C71">
            <w:pPr>
              <w:spacing w:after="0" w:line="240" w:lineRule="exact"/>
              <w:rPr>
                <w:rFonts w:ascii="宋体" w:hAnsi="宋体" w:eastAsia="宋体" w:cs="宋体"/>
              </w:rPr>
            </w:pPr>
            <w:r>
              <w:rPr>
                <w:rFonts w:hint="eastAsia" w:ascii="宋体" w:hAnsi="宋体" w:eastAsia="宋体" w:cs="宋体"/>
              </w:rPr>
              <w:t>通过对部门本年度实际支出的公用经费总额与预算安排的公用经费总额的比率，反映和评价部门对机构运转成本的实际控制程度。</w:t>
            </w:r>
          </w:p>
          <w:p w14:paraId="79481C9A">
            <w:pPr>
              <w:spacing w:after="0" w:line="240" w:lineRule="exact"/>
              <w:rPr>
                <w:rFonts w:ascii="宋体" w:hAnsi="宋体" w:eastAsia="宋体" w:cs="宋体"/>
              </w:rPr>
            </w:pPr>
            <w:r>
              <w:rPr>
                <w:rFonts w:hint="eastAsia" w:ascii="宋体" w:hAnsi="宋体" w:eastAsia="宋体" w:cs="宋体"/>
              </w:rPr>
              <w:t>公用经费控制率=（实际支出公用经费总额/预算安排公用经费总额）×100%。</w:t>
            </w:r>
          </w:p>
        </w:tc>
        <w:tc>
          <w:tcPr>
            <w:tcW w:w="3423" w:type="dxa"/>
            <w:tcBorders>
              <w:top w:val="single" w:color="000000" w:sz="4" w:space="0"/>
              <w:left w:val="single" w:color="auto" w:sz="4" w:space="0"/>
              <w:bottom w:val="single" w:color="000000" w:sz="4" w:space="0"/>
              <w:right w:val="single" w:color="auto" w:sz="4" w:space="0"/>
            </w:tcBorders>
            <w:vAlign w:val="center"/>
          </w:tcPr>
          <w:p w14:paraId="1BFFA4D9">
            <w:pPr>
              <w:spacing w:after="0" w:line="240" w:lineRule="exact"/>
              <w:rPr>
                <w:rFonts w:ascii="宋体" w:hAnsi="宋体" w:eastAsia="宋体" w:cs="宋体"/>
              </w:rPr>
            </w:pPr>
            <w:r>
              <w:rPr>
                <w:rFonts w:hint="eastAsia" w:ascii="宋体" w:hAnsi="宋体" w:eastAsia="宋体" w:cs="宋体"/>
              </w:rPr>
              <w:t>目标值为≤100%；达到目标值得3分，未达到目标值的每增加0.1个百分点扣0.1分，扣完为止。</w:t>
            </w:r>
          </w:p>
        </w:tc>
        <w:tc>
          <w:tcPr>
            <w:tcW w:w="1090" w:type="dxa"/>
            <w:tcBorders>
              <w:top w:val="single" w:color="000000" w:sz="4" w:space="0"/>
              <w:left w:val="single" w:color="auto" w:sz="4" w:space="0"/>
              <w:bottom w:val="single" w:color="000000" w:sz="4" w:space="0"/>
              <w:right w:val="single" w:color="000000" w:sz="4" w:space="0"/>
            </w:tcBorders>
            <w:vAlign w:val="center"/>
          </w:tcPr>
          <w:p w14:paraId="0A58DD2D">
            <w:pPr>
              <w:spacing w:after="0" w:line="240" w:lineRule="exact"/>
              <w:rPr>
                <w:rFonts w:hint="eastAsia" w:ascii="宋体" w:hAnsi="宋体" w:eastAsia="宋体" w:cs="宋体"/>
                <w:lang w:val="en-US" w:eastAsia="zh-CN"/>
              </w:rPr>
            </w:pPr>
            <w:r>
              <w:rPr>
                <w:rFonts w:hint="eastAsia" w:ascii="宋体" w:hAnsi="宋体" w:eastAsia="宋体" w:cs="宋体"/>
              </w:rPr>
              <w:t> </w:t>
            </w:r>
            <w:r>
              <w:rPr>
                <w:rFonts w:hint="eastAsia" w:ascii="宋体" w:hAnsi="宋体" w:eastAsia="宋体" w:cs="宋体"/>
                <w:lang w:val="en-US" w:eastAsia="zh-CN"/>
              </w:rPr>
              <w:t>3</w:t>
            </w:r>
          </w:p>
        </w:tc>
      </w:tr>
      <w:tr w14:paraId="03BA9E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23" w:hRule="atLeast"/>
          <w:jc w:val="center"/>
        </w:trPr>
        <w:tc>
          <w:tcPr>
            <w:tcW w:w="733" w:type="dxa"/>
            <w:vMerge w:val="continue"/>
            <w:tcBorders>
              <w:left w:val="single" w:color="000000" w:sz="4" w:space="0"/>
              <w:right w:val="single" w:color="000000" w:sz="4" w:space="0"/>
            </w:tcBorders>
            <w:vAlign w:val="center"/>
          </w:tcPr>
          <w:p w14:paraId="6E839245">
            <w:pPr>
              <w:spacing w:after="0"/>
              <w:rPr>
                <w:rFonts w:ascii="宋体" w:hAnsi="宋体" w:eastAsia="宋体" w:cs="宋体"/>
              </w:rPr>
            </w:pPr>
          </w:p>
        </w:tc>
        <w:tc>
          <w:tcPr>
            <w:tcW w:w="803" w:type="dxa"/>
            <w:vMerge w:val="continue"/>
            <w:tcBorders>
              <w:top w:val="single" w:color="000000" w:sz="4" w:space="0"/>
              <w:left w:val="single" w:color="000000" w:sz="4" w:space="0"/>
              <w:bottom w:val="single" w:color="000000" w:sz="4" w:space="0"/>
              <w:right w:val="single" w:color="000000" w:sz="4" w:space="0"/>
            </w:tcBorders>
            <w:vAlign w:val="center"/>
          </w:tcPr>
          <w:p w14:paraId="517EDBFB">
            <w:pPr>
              <w:spacing w:after="0"/>
              <w:rPr>
                <w:rFonts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14:paraId="714F5793">
            <w:pPr>
              <w:spacing w:after="0" w:line="240" w:lineRule="exact"/>
              <w:rPr>
                <w:rFonts w:ascii="宋体" w:hAnsi="宋体" w:eastAsia="宋体" w:cs="宋体"/>
              </w:rPr>
            </w:pPr>
            <w:r>
              <w:rPr>
                <w:rFonts w:hint="eastAsia" w:ascii="宋体" w:hAnsi="宋体" w:eastAsia="宋体" w:cs="宋体"/>
              </w:rPr>
              <w:t>“三公经费”控制率（3分）</w:t>
            </w:r>
          </w:p>
        </w:tc>
        <w:tc>
          <w:tcPr>
            <w:tcW w:w="6911" w:type="dxa"/>
            <w:tcBorders>
              <w:top w:val="single" w:color="000000" w:sz="4" w:space="0"/>
              <w:left w:val="single" w:color="auto" w:sz="4" w:space="0"/>
              <w:bottom w:val="single" w:color="000000" w:sz="4" w:space="0"/>
              <w:right w:val="single" w:color="auto" w:sz="4" w:space="0"/>
            </w:tcBorders>
            <w:vAlign w:val="center"/>
          </w:tcPr>
          <w:p w14:paraId="787E3ACE">
            <w:pPr>
              <w:spacing w:after="0" w:line="240" w:lineRule="exact"/>
              <w:rPr>
                <w:rFonts w:ascii="宋体" w:hAnsi="宋体" w:eastAsia="宋体" w:cs="宋体"/>
              </w:rPr>
            </w:pPr>
            <w:r>
              <w:rPr>
                <w:rFonts w:hint="eastAsia" w:ascii="宋体" w:hAnsi="宋体" w:eastAsia="宋体" w:cs="宋体"/>
              </w:rPr>
              <w:t>部门（单位）本年度“三公经费”实际支出数与预算安排数的比率，用以反映和考核部门（单位）对“三公经费”的实际控制程度。</w:t>
            </w:r>
          </w:p>
          <w:p w14:paraId="2BDFB082">
            <w:pPr>
              <w:spacing w:after="0" w:line="240" w:lineRule="exact"/>
              <w:rPr>
                <w:rFonts w:ascii="宋体" w:hAnsi="宋体" w:eastAsia="宋体" w:cs="宋体"/>
              </w:rPr>
            </w:pPr>
            <w:r>
              <w:rPr>
                <w:rFonts w:hint="eastAsia" w:ascii="宋体" w:hAnsi="宋体" w:eastAsia="宋体" w:cs="宋体"/>
              </w:rPr>
              <w:t>“三公经费”控制率=（“三公经费”实际支出/“三公经费”预算安排数）×100%</w:t>
            </w:r>
          </w:p>
        </w:tc>
        <w:tc>
          <w:tcPr>
            <w:tcW w:w="3423" w:type="dxa"/>
            <w:tcBorders>
              <w:top w:val="single" w:color="000000" w:sz="4" w:space="0"/>
              <w:left w:val="single" w:color="auto" w:sz="4" w:space="0"/>
              <w:bottom w:val="single" w:color="000000" w:sz="4" w:space="0"/>
              <w:right w:val="single" w:color="auto" w:sz="4" w:space="0"/>
            </w:tcBorders>
            <w:vAlign w:val="center"/>
          </w:tcPr>
          <w:p w14:paraId="3D860198">
            <w:pPr>
              <w:spacing w:after="0" w:line="240" w:lineRule="exact"/>
              <w:rPr>
                <w:rFonts w:ascii="宋体" w:hAnsi="宋体" w:eastAsia="宋体" w:cs="宋体"/>
              </w:rPr>
            </w:pPr>
            <w:r>
              <w:rPr>
                <w:rFonts w:hint="eastAsia" w:ascii="宋体" w:hAnsi="宋体" w:eastAsia="宋体" w:cs="宋体"/>
              </w:rPr>
              <w:t>目标值为≤100%；达到目标值得3分，未达到目标值的每增加0.1个百分点扣0.1分，扣完为止。</w:t>
            </w:r>
          </w:p>
        </w:tc>
        <w:tc>
          <w:tcPr>
            <w:tcW w:w="1090" w:type="dxa"/>
            <w:tcBorders>
              <w:top w:val="single" w:color="000000" w:sz="4" w:space="0"/>
              <w:left w:val="single" w:color="auto" w:sz="4" w:space="0"/>
              <w:bottom w:val="single" w:color="000000" w:sz="4" w:space="0"/>
              <w:right w:val="single" w:color="000000" w:sz="4" w:space="0"/>
            </w:tcBorders>
            <w:vAlign w:val="center"/>
          </w:tcPr>
          <w:p w14:paraId="412DD070">
            <w:pPr>
              <w:spacing w:after="0" w:line="240" w:lineRule="exact"/>
              <w:rPr>
                <w:rFonts w:hint="eastAsia" w:ascii="宋体" w:hAnsi="宋体" w:eastAsia="宋体" w:cs="宋体"/>
                <w:lang w:val="en-US" w:eastAsia="zh-CN"/>
              </w:rPr>
            </w:pPr>
            <w:r>
              <w:rPr>
                <w:rFonts w:hint="eastAsia" w:ascii="宋体" w:hAnsi="宋体" w:eastAsia="宋体" w:cs="宋体"/>
                <w:lang w:val="en-US" w:eastAsia="zh-CN"/>
              </w:rPr>
              <w:t>3</w:t>
            </w:r>
          </w:p>
        </w:tc>
      </w:tr>
      <w:tr w14:paraId="30DC8C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61" w:hRule="atLeast"/>
          <w:jc w:val="center"/>
        </w:trPr>
        <w:tc>
          <w:tcPr>
            <w:tcW w:w="733" w:type="dxa"/>
            <w:vMerge w:val="continue"/>
            <w:tcBorders>
              <w:left w:val="single" w:color="000000" w:sz="4" w:space="0"/>
              <w:right w:val="single" w:color="000000" w:sz="4" w:space="0"/>
            </w:tcBorders>
            <w:vAlign w:val="center"/>
          </w:tcPr>
          <w:p w14:paraId="657E7866">
            <w:pPr>
              <w:spacing w:after="0"/>
              <w:rPr>
                <w:rFonts w:ascii="宋体" w:hAnsi="宋体" w:eastAsia="宋体" w:cs="宋体"/>
              </w:rPr>
            </w:pPr>
          </w:p>
        </w:tc>
        <w:tc>
          <w:tcPr>
            <w:tcW w:w="803" w:type="dxa"/>
            <w:vMerge w:val="continue"/>
            <w:tcBorders>
              <w:top w:val="single" w:color="000000" w:sz="4" w:space="0"/>
              <w:left w:val="single" w:color="000000" w:sz="4" w:space="0"/>
              <w:bottom w:val="single" w:color="000000" w:sz="4" w:space="0"/>
              <w:right w:val="single" w:color="000000" w:sz="4" w:space="0"/>
            </w:tcBorders>
            <w:vAlign w:val="center"/>
          </w:tcPr>
          <w:p w14:paraId="4EE0A97B">
            <w:pPr>
              <w:spacing w:after="0"/>
              <w:rPr>
                <w:rFonts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14:paraId="655F2FE0">
            <w:pPr>
              <w:spacing w:after="0" w:line="240" w:lineRule="exact"/>
              <w:rPr>
                <w:rFonts w:ascii="宋体" w:hAnsi="宋体" w:eastAsia="宋体" w:cs="宋体"/>
              </w:rPr>
            </w:pPr>
            <w:r>
              <w:rPr>
                <w:rFonts w:hint="eastAsia" w:ascii="宋体" w:hAnsi="宋体" w:eastAsia="宋体" w:cs="宋体"/>
              </w:rPr>
              <w:t>政府采购执行率（3分）</w:t>
            </w:r>
          </w:p>
        </w:tc>
        <w:tc>
          <w:tcPr>
            <w:tcW w:w="6911" w:type="dxa"/>
            <w:tcBorders>
              <w:top w:val="single" w:color="000000" w:sz="4" w:space="0"/>
              <w:left w:val="single" w:color="auto" w:sz="4" w:space="0"/>
              <w:bottom w:val="single" w:color="000000" w:sz="4" w:space="0"/>
              <w:right w:val="single" w:color="auto" w:sz="4" w:space="0"/>
            </w:tcBorders>
            <w:vAlign w:val="center"/>
          </w:tcPr>
          <w:p w14:paraId="0E50D49D">
            <w:pPr>
              <w:spacing w:after="0" w:line="240" w:lineRule="exact"/>
              <w:rPr>
                <w:rFonts w:ascii="宋体" w:hAnsi="宋体" w:eastAsia="宋体" w:cs="宋体"/>
              </w:rPr>
            </w:pPr>
            <w:r>
              <w:rPr>
                <w:rFonts w:hint="eastAsia" w:ascii="宋体" w:hAnsi="宋体" w:eastAsia="宋体" w:cs="宋体"/>
              </w:rPr>
              <w:t>通过对部门本年度实际政府采购预算项目个数与政府采购预算项目个数的比较，反映和评价部门政府采购预算执行情况。</w:t>
            </w:r>
          </w:p>
          <w:p w14:paraId="76FAEA41">
            <w:pPr>
              <w:spacing w:after="0" w:line="240" w:lineRule="exact"/>
              <w:rPr>
                <w:rFonts w:ascii="宋体" w:hAnsi="宋体" w:eastAsia="宋体" w:cs="宋体"/>
              </w:rPr>
            </w:pPr>
            <w:r>
              <w:rPr>
                <w:rFonts w:hint="eastAsia" w:ascii="宋体" w:hAnsi="宋体" w:eastAsia="宋体" w:cs="宋体"/>
              </w:rPr>
              <w:t>政府采购执行率=（实际政府采购预算项目个数/政府采购预算项目个数）×100%。</w:t>
            </w:r>
          </w:p>
          <w:p w14:paraId="2E66DBF1">
            <w:pPr>
              <w:spacing w:after="0" w:line="240" w:lineRule="exact"/>
              <w:rPr>
                <w:rFonts w:ascii="宋体" w:hAnsi="宋体" w:eastAsia="宋体" w:cs="宋体"/>
              </w:rPr>
            </w:pPr>
            <w:r>
              <w:rPr>
                <w:rFonts w:hint="eastAsia" w:ascii="宋体" w:hAnsi="宋体" w:eastAsia="宋体" w:cs="宋体"/>
              </w:rPr>
              <w:t>政府采购项目中非预算内安排的项目除外。</w:t>
            </w:r>
          </w:p>
        </w:tc>
        <w:tc>
          <w:tcPr>
            <w:tcW w:w="3423" w:type="dxa"/>
            <w:tcBorders>
              <w:top w:val="single" w:color="000000" w:sz="4" w:space="0"/>
              <w:left w:val="single" w:color="auto" w:sz="4" w:space="0"/>
              <w:bottom w:val="single" w:color="000000" w:sz="4" w:space="0"/>
              <w:right w:val="single" w:color="auto" w:sz="4" w:space="0"/>
            </w:tcBorders>
            <w:vAlign w:val="center"/>
          </w:tcPr>
          <w:p w14:paraId="297E0E4A">
            <w:pPr>
              <w:spacing w:after="0" w:line="240" w:lineRule="exact"/>
              <w:rPr>
                <w:rFonts w:ascii="宋体" w:hAnsi="宋体" w:eastAsia="宋体" w:cs="宋体"/>
              </w:rPr>
            </w:pPr>
            <w:r>
              <w:rPr>
                <w:rFonts w:hint="eastAsia" w:ascii="宋体" w:hAnsi="宋体" w:eastAsia="宋体" w:cs="宋体"/>
              </w:rPr>
              <w:t>目标值为100%；以3分为上限，采用完成比率法计分：得分=政府采购执行率×3。</w:t>
            </w:r>
          </w:p>
        </w:tc>
        <w:tc>
          <w:tcPr>
            <w:tcW w:w="1090" w:type="dxa"/>
            <w:tcBorders>
              <w:top w:val="single" w:color="000000" w:sz="4" w:space="0"/>
              <w:left w:val="single" w:color="auto" w:sz="4" w:space="0"/>
              <w:bottom w:val="single" w:color="000000" w:sz="4" w:space="0"/>
              <w:right w:val="single" w:color="000000" w:sz="4" w:space="0"/>
            </w:tcBorders>
            <w:vAlign w:val="center"/>
          </w:tcPr>
          <w:p w14:paraId="6BDED19D">
            <w:pPr>
              <w:spacing w:after="0" w:line="240" w:lineRule="exact"/>
              <w:rPr>
                <w:rFonts w:hint="eastAsia" w:ascii="宋体" w:hAnsi="宋体" w:eastAsia="宋体" w:cs="宋体"/>
                <w:lang w:val="en-US" w:eastAsia="zh-CN"/>
              </w:rPr>
            </w:pPr>
            <w:r>
              <w:rPr>
                <w:rFonts w:hint="eastAsia" w:ascii="宋体" w:hAnsi="宋体" w:eastAsia="宋体" w:cs="宋体"/>
              </w:rPr>
              <w:t> </w:t>
            </w:r>
            <w:r>
              <w:rPr>
                <w:rFonts w:hint="eastAsia" w:ascii="宋体" w:hAnsi="宋体" w:eastAsia="宋体" w:cs="宋体"/>
                <w:lang w:val="en-US" w:eastAsia="zh-CN"/>
              </w:rPr>
              <w:t>3</w:t>
            </w:r>
          </w:p>
        </w:tc>
      </w:tr>
      <w:tr w14:paraId="47AC8D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74" w:hRule="atLeast"/>
          <w:jc w:val="center"/>
        </w:trPr>
        <w:tc>
          <w:tcPr>
            <w:tcW w:w="733" w:type="dxa"/>
            <w:vMerge w:val="continue"/>
            <w:tcBorders>
              <w:left w:val="single" w:color="000000" w:sz="4" w:space="0"/>
              <w:right w:val="single" w:color="000000" w:sz="4" w:space="0"/>
            </w:tcBorders>
            <w:vAlign w:val="center"/>
          </w:tcPr>
          <w:p w14:paraId="5295D557">
            <w:pPr>
              <w:spacing w:after="0"/>
              <w:rPr>
                <w:rFonts w:ascii="宋体" w:hAnsi="宋体" w:eastAsia="宋体" w:cs="宋体"/>
              </w:rPr>
            </w:pPr>
          </w:p>
        </w:tc>
        <w:tc>
          <w:tcPr>
            <w:tcW w:w="803" w:type="dxa"/>
            <w:vMerge w:val="restart"/>
            <w:tcBorders>
              <w:top w:val="single" w:color="000000" w:sz="4" w:space="0"/>
              <w:left w:val="single" w:color="000000" w:sz="4" w:space="0"/>
              <w:right w:val="single" w:color="000000" w:sz="4" w:space="0"/>
            </w:tcBorders>
            <w:vAlign w:val="center"/>
          </w:tcPr>
          <w:p w14:paraId="1E972783">
            <w:pPr>
              <w:spacing w:after="0" w:line="240" w:lineRule="exact"/>
              <w:jc w:val="center"/>
              <w:rPr>
                <w:rFonts w:ascii="宋体" w:hAnsi="宋体" w:eastAsia="宋体" w:cs="宋体"/>
              </w:rPr>
            </w:pPr>
            <w:r>
              <w:rPr>
                <w:rFonts w:hint="eastAsia" w:ascii="宋体" w:hAnsi="宋体" w:eastAsia="宋体" w:cs="宋体"/>
              </w:rPr>
              <w:t>预算管理</w:t>
            </w:r>
          </w:p>
          <w:p w14:paraId="215E5037">
            <w:pPr>
              <w:spacing w:after="0" w:line="68" w:lineRule="atLeast"/>
              <w:jc w:val="center"/>
              <w:rPr>
                <w:rFonts w:ascii="宋体" w:hAnsi="宋体" w:eastAsia="宋体" w:cs="宋体"/>
              </w:rPr>
            </w:pPr>
            <w:r>
              <w:rPr>
                <w:rFonts w:hint="eastAsia" w:ascii="宋体" w:hAnsi="宋体" w:eastAsia="宋体" w:cs="宋体"/>
              </w:rPr>
              <w:t>（18分）</w:t>
            </w:r>
          </w:p>
        </w:tc>
        <w:tc>
          <w:tcPr>
            <w:tcW w:w="1182" w:type="dxa"/>
            <w:tcBorders>
              <w:top w:val="single" w:color="000000" w:sz="4" w:space="0"/>
              <w:left w:val="single" w:color="000000" w:sz="4" w:space="0"/>
              <w:bottom w:val="single" w:color="000000" w:sz="4" w:space="0"/>
              <w:right w:val="single" w:color="auto" w:sz="4" w:space="0"/>
            </w:tcBorders>
            <w:vAlign w:val="center"/>
          </w:tcPr>
          <w:p w14:paraId="611A6C56">
            <w:pPr>
              <w:spacing w:after="0" w:line="240" w:lineRule="exact"/>
              <w:rPr>
                <w:rFonts w:ascii="宋体" w:hAnsi="宋体" w:eastAsia="宋体" w:cs="宋体"/>
              </w:rPr>
            </w:pPr>
            <w:r>
              <w:rPr>
                <w:rFonts w:hint="eastAsia" w:ascii="宋体" w:hAnsi="宋体" w:eastAsia="宋体" w:cs="宋体"/>
              </w:rPr>
              <w:t>管理制度健全性</w:t>
            </w:r>
          </w:p>
          <w:p w14:paraId="546B28AE">
            <w:pPr>
              <w:spacing w:after="0" w:line="240" w:lineRule="exact"/>
              <w:rPr>
                <w:rFonts w:ascii="宋体" w:hAnsi="宋体" w:eastAsia="宋体" w:cs="宋体"/>
              </w:rPr>
            </w:pPr>
            <w:r>
              <w:rPr>
                <w:rFonts w:hint="eastAsia" w:ascii="宋体" w:hAnsi="宋体" w:eastAsia="宋体" w:cs="宋体"/>
              </w:rPr>
              <w:t>（2分）</w:t>
            </w:r>
          </w:p>
        </w:tc>
        <w:tc>
          <w:tcPr>
            <w:tcW w:w="6911" w:type="dxa"/>
            <w:tcBorders>
              <w:top w:val="single" w:color="000000" w:sz="4" w:space="0"/>
              <w:left w:val="single" w:color="auto" w:sz="4" w:space="0"/>
              <w:bottom w:val="single" w:color="000000" w:sz="4" w:space="0"/>
              <w:right w:val="single" w:color="auto" w:sz="4" w:space="0"/>
            </w:tcBorders>
            <w:vAlign w:val="center"/>
          </w:tcPr>
          <w:p w14:paraId="1206317E">
            <w:pPr>
              <w:spacing w:after="0" w:line="240" w:lineRule="exact"/>
              <w:rPr>
                <w:rFonts w:ascii="宋体" w:hAnsi="宋体" w:eastAsia="宋体" w:cs="宋体"/>
              </w:rPr>
            </w:pPr>
            <w:r>
              <w:rPr>
                <w:rFonts w:hint="eastAsia" w:ascii="宋体" w:hAnsi="宋体" w:eastAsia="宋体" w:cs="宋体"/>
              </w:rPr>
              <w:t>部门为加强预算管理，规范财务行为而制定的管理制度是否健全完整，用以反映和考核部门预算管理制度对完成主要职责或促进事业发展的保障情况。</w:t>
            </w:r>
          </w:p>
          <w:p w14:paraId="573E4500">
            <w:pPr>
              <w:spacing w:after="0" w:line="240" w:lineRule="exact"/>
              <w:rPr>
                <w:rFonts w:ascii="宋体" w:hAnsi="宋体" w:eastAsia="宋体" w:cs="宋体"/>
              </w:rPr>
            </w:pPr>
            <w:r>
              <w:rPr>
                <w:rFonts w:hint="eastAsia" w:ascii="宋体" w:hAnsi="宋体" w:eastAsia="宋体" w:cs="宋体"/>
              </w:rPr>
              <w:t>评价要点：</w:t>
            </w:r>
          </w:p>
          <w:p w14:paraId="43F68DEB">
            <w:pPr>
              <w:spacing w:after="0" w:line="240" w:lineRule="exact"/>
              <w:rPr>
                <w:rFonts w:ascii="宋体" w:hAnsi="宋体" w:eastAsia="宋体" w:cs="宋体"/>
              </w:rPr>
            </w:pPr>
            <w:r>
              <w:rPr>
                <w:rFonts w:hint="eastAsia" w:ascii="宋体" w:hAnsi="宋体" w:eastAsia="宋体" w:cs="宋体"/>
              </w:rPr>
              <w:t>1．是否已制定或具有预算资金管理办法、内部财务管理制度、会计核算制度等管理制度；</w:t>
            </w:r>
          </w:p>
          <w:p w14:paraId="2630E4CA">
            <w:pPr>
              <w:spacing w:after="0" w:line="240" w:lineRule="exact"/>
              <w:rPr>
                <w:rFonts w:ascii="宋体" w:hAnsi="宋体" w:eastAsia="宋体" w:cs="宋体"/>
              </w:rPr>
            </w:pPr>
            <w:r>
              <w:rPr>
                <w:rFonts w:hint="eastAsia" w:ascii="宋体" w:hAnsi="宋体" w:eastAsia="宋体" w:cs="宋体"/>
              </w:rPr>
              <w:t>2.相关管理制度是否合法、合规、完整；</w:t>
            </w:r>
          </w:p>
          <w:p w14:paraId="316EB2D3">
            <w:pPr>
              <w:spacing w:after="0" w:line="240" w:lineRule="exact"/>
              <w:rPr>
                <w:rFonts w:ascii="宋体" w:hAnsi="宋体" w:eastAsia="宋体" w:cs="宋体"/>
              </w:rPr>
            </w:pPr>
            <w:r>
              <w:rPr>
                <w:rFonts w:hint="eastAsia" w:ascii="宋体" w:hAnsi="宋体" w:eastAsia="宋体" w:cs="宋体"/>
              </w:rPr>
              <w:t>3.相关管理制度是否得到有效执行。</w:t>
            </w:r>
          </w:p>
        </w:tc>
        <w:tc>
          <w:tcPr>
            <w:tcW w:w="3423" w:type="dxa"/>
            <w:tcBorders>
              <w:top w:val="single" w:color="000000" w:sz="4" w:space="0"/>
              <w:left w:val="single" w:color="auto" w:sz="4" w:space="0"/>
              <w:bottom w:val="single" w:color="000000" w:sz="4" w:space="0"/>
              <w:right w:val="single" w:color="auto" w:sz="4" w:space="0"/>
            </w:tcBorders>
            <w:vAlign w:val="center"/>
          </w:tcPr>
          <w:p w14:paraId="4524CFEC">
            <w:pPr>
              <w:spacing w:after="0" w:line="240" w:lineRule="exact"/>
              <w:rPr>
                <w:rFonts w:ascii="宋体" w:hAnsi="宋体" w:eastAsia="宋体" w:cs="宋体"/>
              </w:rPr>
            </w:pPr>
            <w:r>
              <w:rPr>
                <w:rFonts w:hint="eastAsia" w:ascii="宋体" w:hAnsi="宋体" w:eastAsia="宋体" w:cs="宋体"/>
              </w:rPr>
              <w:t>全部符合（2分）；</w:t>
            </w:r>
          </w:p>
          <w:p w14:paraId="5D8D11E3">
            <w:pPr>
              <w:spacing w:after="0" w:line="240" w:lineRule="exact"/>
              <w:rPr>
                <w:rFonts w:ascii="宋体" w:hAnsi="宋体" w:eastAsia="宋体" w:cs="宋体"/>
              </w:rPr>
            </w:pPr>
            <w:r>
              <w:rPr>
                <w:rFonts w:hint="eastAsia" w:ascii="宋体" w:hAnsi="宋体" w:eastAsia="宋体" w:cs="宋体"/>
              </w:rPr>
              <w:t>符合其中两项（1分）</w:t>
            </w:r>
          </w:p>
          <w:p w14:paraId="0B23575D">
            <w:pPr>
              <w:spacing w:after="0" w:line="240" w:lineRule="exact"/>
              <w:rPr>
                <w:rFonts w:ascii="宋体" w:hAnsi="宋体" w:eastAsia="宋体" w:cs="宋体"/>
              </w:rPr>
            </w:pPr>
            <w:r>
              <w:rPr>
                <w:rFonts w:hint="eastAsia" w:ascii="宋体" w:hAnsi="宋体" w:eastAsia="宋体" w:cs="宋体"/>
              </w:rPr>
              <w:t>符合其中一项及以下（0分）。</w:t>
            </w:r>
          </w:p>
        </w:tc>
        <w:tc>
          <w:tcPr>
            <w:tcW w:w="1090" w:type="dxa"/>
            <w:tcBorders>
              <w:top w:val="single" w:color="000000" w:sz="4" w:space="0"/>
              <w:left w:val="single" w:color="auto" w:sz="4" w:space="0"/>
              <w:bottom w:val="single" w:color="000000" w:sz="4" w:space="0"/>
              <w:right w:val="single" w:color="000000" w:sz="4" w:space="0"/>
            </w:tcBorders>
            <w:vAlign w:val="center"/>
          </w:tcPr>
          <w:p w14:paraId="0C540DA8">
            <w:pPr>
              <w:spacing w:after="0" w:line="240" w:lineRule="exact"/>
              <w:rPr>
                <w:rFonts w:hint="eastAsia" w:ascii="宋体" w:hAnsi="宋体" w:eastAsia="宋体" w:cs="宋体"/>
                <w:lang w:val="en-US" w:eastAsia="zh-CN"/>
              </w:rPr>
            </w:pPr>
            <w:r>
              <w:rPr>
                <w:rFonts w:hint="eastAsia" w:ascii="宋体" w:hAnsi="宋体" w:eastAsia="宋体" w:cs="宋体"/>
                <w:lang w:val="en-US" w:eastAsia="zh-CN"/>
              </w:rPr>
              <w:t>2</w:t>
            </w:r>
          </w:p>
        </w:tc>
      </w:tr>
      <w:tr w14:paraId="301D67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65" w:hRule="atLeast"/>
          <w:jc w:val="center"/>
        </w:trPr>
        <w:tc>
          <w:tcPr>
            <w:tcW w:w="733" w:type="dxa"/>
            <w:vMerge w:val="continue"/>
            <w:tcBorders>
              <w:left w:val="single" w:color="000000" w:sz="4" w:space="0"/>
              <w:right w:val="single" w:color="000000" w:sz="4" w:space="0"/>
            </w:tcBorders>
            <w:vAlign w:val="center"/>
          </w:tcPr>
          <w:p w14:paraId="035E6742">
            <w:pPr>
              <w:spacing w:after="0"/>
              <w:rPr>
                <w:rFonts w:ascii="宋体" w:hAnsi="宋体" w:eastAsia="宋体" w:cs="宋体"/>
              </w:rPr>
            </w:pPr>
          </w:p>
        </w:tc>
        <w:tc>
          <w:tcPr>
            <w:tcW w:w="803" w:type="dxa"/>
            <w:vMerge w:val="continue"/>
            <w:tcBorders>
              <w:left w:val="single" w:color="000000" w:sz="4" w:space="0"/>
              <w:right w:val="single" w:color="000000" w:sz="4" w:space="0"/>
            </w:tcBorders>
            <w:vAlign w:val="center"/>
          </w:tcPr>
          <w:p w14:paraId="1B2DC2E6">
            <w:pPr>
              <w:spacing w:after="0" w:line="68" w:lineRule="atLeast"/>
              <w:rPr>
                <w:rFonts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14:paraId="316620A6">
            <w:pPr>
              <w:spacing w:after="0" w:line="68" w:lineRule="atLeast"/>
              <w:rPr>
                <w:rFonts w:ascii="宋体" w:hAnsi="宋体" w:eastAsia="宋体" w:cs="宋体"/>
              </w:rPr>
            </w:pPr>
            <w:r>
              <w:rPr>
                <w:rFonts w:hint="eastAsia" w:ascii="宋体" w:hAnsi="宋体" w:eastAsia="宋体" w:cs="宋体"/>
              </w:rPr>
              <w:t>资金使用合规性</w:t>
            </w:r>
          </w:p>
          <w:p w14:paraId="29DD939F">
            <w:pPr>
              <w:spacing w:after="0" w:line="68" w:lineRule="atLeast"/>
              <w:rPr>
                <w:rFonts w:ascii="宋体" w:hAnsi="宋体" w:eastAsia="宋体" w:cs="宋体"/>
              </w:rPr>
            </w:pPr>
            <w:r>
              <w:rPr>
                <w:rFonts w:hint="eastAsia" w:ascii="宋体" w:hAnsi="宋体" w:eastAsia="宋体" w:cs="宋体"/>
              </w:rPr>
              <w:t>（9分）</w:t>
            </w:r>
          </w:p>
        </w:tc>
        <w:tc>
          <w:tcPr>
            <w:tcW w:w="6911" w:type="dxa"/>
            <w:tcBorders>
              <w:top w:val="single" w:color="000000" w:sz="4" w:space="0"/>
              <w:left w:val="single" w:color="auto" w:sz="4" w:space="0"/>
              <w:bottom w:val="single" w:color="000000" w:sz="4" w:space="0"/>
              <w:right w:val="single" w:color="auto" w:sz="4" w:space="0"/>
            </w:tcBorders>
            <w:vAlign w:val="center"/>
          </w:tcPr>
          <w:p w14:paraId="66A0117F">
            <w:pPr>
              <w:spacing w:after="0" w:line="240" w:lineRule="exact"/>
              <w:rPr>
                <w:rFonts w:ascii="宋体" w:hAnsi="宋体" w:eastAsia="宋体" w:cs="宋体"/>
              </w:rPr>
            </w:pPr>
            <w:r>
              <w:rPr>
                <w:rFonts w:hint="eastAsia" w:ascii="宋体" w:hAnsi="宋体" w:eastAsia="宋体" w:cs="宋体"/>
              </w:rPr>
              <w:t>部门使用预算资金是否符合相关的预算财务管理制度的规定，反映和评价部门预算资金的规范运行情况。</w:t>
            </w:r>
          </w:p>
          <w:p w14:paraId="2109BD8B">
            <w:pPr>
              <w:spacing w:after="0" w:line="240" w:lineRule="exact"/>
              <w:rPr>
                <w:rFonts w:ascii="宋体" w:hAnsi="宋体" w:eastAsia="宋体" w:cs="宋体"/>
              </w:rPr>
            </w:pPr>
            <w:r>
              <w:rPr>
                <w:rFonts w:hint="eastAsia" w:ascii="宋体" w:hAnsi="宋体" w:eastAsia="宋体" w:cs="宋体"/>
              </w:rPr>
              <w:t>评价要点：</w:t>
            </w:r>
          </w:p>
          <w:p w14:paraId="24DD7F21">
            <w:pPr>
              <w:spacing w:after="0" w:line="240" w:lineRule="exact"/>
              <w:rPr>
                <w:rFonts w:ascii="宋体" w:hAnsi="宋体" w:eastAsia="宋体" w:cs="宋体"/>
              </w:rPr>
            </w:pPr>
            <w:r>
              <w:rPr>
                <w:rFonts w:hint="eastAsia" w:ascii="宋体" w:hAnsi="宋体" w:eastAsia="宋体" w:cs="宋体"/>
              </w:rPr>
              <w:t>1.符合国家财经法规和财务管理制度规定以及有关部门资金管理办法的规定；</w:t>
            </w:r>
          </w:p>
          <w:p w14:paraId="710869D8">
            <w:pPr>
              <w:spacing w:after="0" w:line="240" w:lineRule="exact"/>
              <w:rPr>
                <w:rFonts w:ascii="宋体" w:hAnsi="宋体" w:eastAsia="宋体" w:cs="宋体"/>
              </w:rPr>
            </w:pPr>
            <w:r>
              <w:rPr>
                <w:rFonts w:hint="eastAsia" w:ascii="宋体" w:hAnsi="宋体" w:eastAsia="宋体" w:cs="宋体"/>
              </w:rPr>
              <w:t>2.资金的拨付有完整的审批过程和手续；</w:t>
            </w:r>
          </w:p>
          <w:p w14:paraId="3150E60E">
            <w:pPr>
              <w:spacing w:after="0" w:line="240" w:lineRule="exact"/>
              <w:rPr>
                <w:rFonts w:ascii="宋体" w:hAnsi="宋体" w:eastAsia="宋体" w:cs="宋体"/>
              </w:rPr>
            </w:pPr>
            <w:r>
              <w:rPr>
                <w:rFonts w:hint="eastAsia" w:ascii="宋体" w:hAnsi="宋体" w:eastAsia="宋体" w:cs="宋体"/>
              </w:rPr>
              <w:t>3.项目的重大开支经过评估论证；</w:t>
            </w:r>
          </w:p>
          <w:p w14:paraId="3AB097C8">
            <w:pPr>
              <w:spacing w:after="0" w:line="240" w:lineRule="exact"/>
              <w:rPr>
                <w:rFonts w:ascii="宋体" w:hAnsi="宋体" w:eastAsia="宋体" w:cs="宋体"/>
              </w:rPr>
            </w:pPr>
            <w:r>
              <w:rPr>
                <w:rFonts w:hint="eastAsia" w:ascii="宋体" w:hAnsi="宋体" w:eastAsia="宋体" w:cs="宋体"/>
              </w:rPr>
              <w:t>4.符合部门预算批复的用途；</w:t>
            </w:r>
          </w:p>
          <w:p w14:paraId="5CE2ADB3">
            <w:pPr>
              <w:spacing w:after="0" w:line="240" w:lineRule="exact"/>
              <w:rPr>
                <w:rFonts w:ascii="宋体" w:hAnsi="宋体" w:eastAsia="宋体" w:cs="宋体"/>
              </w:rPr>
            </w:pPr>
            <w:r>
              <w:rPr>
                <w:rFonts w:hint="eastAsia" w:ascii="宋体" w:hAnsi="宋体" w:eastAsia="宋体" w:cs="宋体"/>
              </w:rPr>
              <w:t>5.不存在截留情况；6.不存在挤占情况；</w:t>
            </w:r>
          </w:p>
          <w:p w14:paraId="14A8581D">
            <w:pPr>
              <w:spacing w:after="0" w:line="240" w:lineRule="exact"/>
              <w:rPr>
                <w:rFonts w:ascii="宋体" w:hAnsi="宋体" w:eastAsia="宋体" w:cs="宋体"/>
              </w:rPr>
            </w:pPr>
            <w:r>
              <w:rPr>
                <w:rFonts w:hint="eastAsia" w:ascii="宋体" w:hAnsi="宋体" w:eastAsia="宋体" w:cs="宋体"/>
              </w:rPr>
              <w:t>7.不存在挪用情况；8.不存在虚列支出情况。</w:t>
            </w:r>
          </w:p>
        </w:tc>
        <w:tc>
          <w:tcPr>
            <w:tcW w:w="3423" w:type="dxa"/>
            <w:tcBorders>
              <w:top w:val="single" w:color="000000" w:sz="4" w:space="0"/>
              <w:left w:val="single" w:color="auto" w:sz="4" w:space="0"/>
              <w:bottom w:val="single" w:color="000000" w:sz="4" w:space="0"/>
              <w:right w:val="single" w:color="auto" w:sz="4" w:space="0"/>
            </w:tcBorders>
            <w:vAlign w:val="center"/>
          </w:tcPr>
          <w:p w14:paraId="133AAB86">
            <w:pPr>
              <w:spacing w:after="0" w:line="240" w:lineRule="exact"/>
              <w:rPr>
                <w:rFonts w:ascii="宋体" w:hAnsi="宋体" w:eastAsia="宋体" w:cs="宋体"/>
              </w:rPr>
            </w:pPr>
            <w:r>
              <w:rPr>
                <w:rFonts w:hint="eastAsia" w:ascii="宋体" w:hAnsi="宋体" w:eastAsia="宋体" w:cs="宋体"/>
              </w:rPr>
              <w:t>全部符合（9分）；</w:t>
            </w:r>
          </w:p>
          <w:p w14:paraId="4225410A">
            <w:pPr>
              <w:spacing w:after="0" w:line="240" w:lineRule="exact"/>
              <w:rPr>
                <w:rFonts w:ascii="宋体" w:hAnsi="宋体" w:eastAsia="宋体" w:cs="宋体"/>
              </w:rPr>
            </w:pPr>
            <w:r>
              <w:rPr>
                <w:rFonts w:hint="eastAsia" w:ascii="宋体" w:hAnsi="宋体" w:eastAsia="宋体" w:cs="宋体"/>
              </w:rPr>
              <w:t>符合其中七项（8分）；</w:t>
            </w:r>
          </w:p>
          <w:p w14:paraId="21AFC889">
            <w:pPr>
              <w:spacing w:after="0" w:line="240" w:lineRule="exact"/>
              <w:rPr>
                <w:rFonts w:ascii="宋体" w:hAnsi="宋体" w:eastAsia="宋体" w:cs="宋体"/>
              </w:rPr>
            </w:pPr>
            <w:r>
              <w:rPr>
                <w:rFonts w:hint="eastAsia" w:ascii="宋体" w:hAnsi="宋体" w:eastAsia="宋体" w:cs="宋体"/>
              </w:rPr>
              <w:t>符合其中六项（5分）；</w:t>
            </w:r>
          </w:p>
          <w:p w14:paraId="3F7BF8A9">
            <w:pPr>
              <w:spacing w:after="0" w:line="240" w:lineRule="exact"/>
              <w:rPr>
                <w:rFonts w:ascii="宋体" w:hAnsi="宋体" w:eastAsia="宋体" w:cs="宋体"/>
              </w:rPr>
            </w:pPr>
            <w:r>
              <w:rPr>
                <w:rFonts w:hint="eastAsia" w:ascii="宋体" w:hAnsi="宋体" w:eastAsia="宋体" w:cs="宋体"/>
              </w:rPr>
              <w:t>符合其中五项（3分）；</w:t>
            </w:r>
          </w:p>
          <w:p w14:paraId="4B8FFA3E">
            <w:pPr>
              <w:spacing w:after="0" w:line="68" w:lineRule="atLeast"/>
              <w:rPr>
                <w:rFonts w:ascii="宋体" w:hAnsi="宋体" w:eastAsia="宋体" w:cs="宋体"/>
              </w:rPr>
            </w:pPr>
            <w:r>
              <w:rPr>
                <w:rFonts w:hint="eastAsia" w:ascii="宋体" w:hAnsi="宋体" w:eastAsia="宋体" w:cs="宋体"/>
              </w:rPr>
              <w:t>符合其中四项及以下（0分）。</w:t>
            </w:r>
          </w:p>
        </w:tc>
        <w:tc>
          <w:tcPr>
            <w:tcW w:w="1090" w:type="dxa"/>
            <w:tcBorders>
              <w:top w:val="single" w:color="000000" w:sz="4" w:space="0"/>
              <w:left w:val="single" w:color="auto" w:sz="4" w:space="0"/>
              <w:bottom w:val="single" w:color="000000" w:sz="4" w:space="0"/>
              <w:right w:val="single" w:color="000000" w:sz="4" w:space="0"/>
            </w:tcBorders>
            <w:vAlign w:val="center"/>
          </w:tcPr>
          <w:p w14:paraId="74A0381A">
            <w:pPr>
              <w:spacing w:after="0" w:line="68" w:lineRule="atLeast"/>
              <w:rPr>
                <w:rFonts w:hint="eastAsia" w:ascii="宋体" w:hAnsi="宋体" w:eastAsia="宋体" w:cs="宋体"/>
                <w:lang w:val="en-US" w:eastAsia="zh-CN"/>
              </w:rPr>
            </w:pPr>
            <w:r>
              <w:rPr>
                <w:rFonts w:hint="eastAsia" w:ascii="宋体" w:hAnsi="宋体" w:eastAsia="宋体" w:cs="宋体"/>
              </w:rPr>
              <w:t> </w:t>
            </w:r>
            <w:r>
              <w:rPr>
                <w:rFonts w:hint="eastAsia" w:ascii="宋体" w:hAnsi="宋体" w:eastAsia="宋体" w:cs="宋体"/>
                <w:lang w:val="en-US" w:eastAsia="zh-CN"/>
              </w:rPr>
              <w:t>9</w:t>
            </w:r>
          </w:p>
        </w:tc>
      </w:tr>
      <w:tr w14:paraId="39B1C93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63" w:hRule="atLeast"/>
          <w:jc w:val="center"/>
        </w:trPr>
        <w:tc>
          <w:tcPr>
            <w:tcW w:w="733" w:type="dxa"/>
            <w:vMerge w:val="continue"/>
            <w:tcBorders>
              <w:left w:val="single" w:color="000000" w:sz="4" w:space="0"/>
              <w:right w:val="single" w:color="000000" w:sz="4" w:space="0"/>
            </w:tcBorders>
            <w:vAlign w:val="center"/>
          </w:tcPr>
          <w:p w14:paraId="7BCF9DF9">
            <w:pPr>
              <w:spacing w:after="0"/>
              <w:rPr>
                <w:rFonts w:ascii="宋体" w:hAnsi="宋体" w:eastAsia="宋体" w:cs="宋体"/>
              </w:rPr>
            </w:pPr>
          </w:p>
        </w:tc>
        <w:tc>
          <w:tcPr>
            <w:tcW w:w="803" w:type="dxa"/>
            <w:vMerge w:val="continue"/>
            <w:tcBorders>
              <w:left w:val="single" w:color="000000" w:sz="4" w:space="0"/>
              <w:right w:val="single" w:color="000000" w:sz="4" w:space="0"/>
            </w:tcBorders>
            <w:vAlign w:val="center"/>
          </w:tcPr>
          <w:p w14:paraId="2CD798A7">
            <w:pPr>
              <w:spacing w:after="0"/>
              <w:rPr>
                <w:rFonts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14:paraId="1A1A9492">
            <w:pPr>
              <w:spacing w:after="0" w:line="68" w:lineRule="atLeast"/>
              <w:rPr>
                <w:rFonts w:ascii="宋体" w:hAnsi="宋体" w:eastAsia="宋体" w:cs="宋体"/>
              </w:rPr>
            </w:pPr>
            <w:r>
              <w:rPr>
                <w:rFonts w:hint="eastAsia" w:ascii="宋体" w:hAnsi="宋体" w:eastAsia="宋体" w:cs="宋体"/>
              </w:rPr>
              <w:t>预决算信息公开性（3分）</w:t>
            </w:r>
          </w:p>
        </w:tc>
        <w:tc>
          <w:tcPr>
            <w:tcW w:w="6911" w:type="dxa"/>
            <w:tcBorders>
              <w:top w:val="single" w:color="000000" w:sz="4" w:space="0"/>
              <w:left w:val="single" w:color="auto" w:sz="4" w:space="0"/>
              <w:bottom w:val="single" w:color="000000" w:sz="4" w:space="0"/>
              <w:right w:val="single" w:color="auto" w:sz="4" w:space="0"/>
            </w:tcBorders>
            <w:vAlign w:val="center"/>
          </w:tcPr>
          <w:p w14:paraId="06C576B1">
            <w:pPr>
              <w:spacing w:after="0" w:line="240" w:lineRule="exact"/>
              <w:rPr>
                <w:rFonts w:ascii="宋体" w:hAnsi="宋体" w:eastAsia="宋体" w:cs="宋体"/>
              </w:rPr>
            </w:pPr>
            <w:r>
              <w:rPr>
                <w:rFonts w:hint="eastAsia" w:ascii="宋体" w:hAnsi="宋体" w:eastAsia="宋体" w:cs="宋体"/>
              </w:rPr>
              <w:t>部门是否按照政府信息公开有关规定公开相关预决算信息，用以反映和评价部门预决算管理的公开透明情况。</w:t>
            </w:r>
          </w:p>
          <w:p w14:paraId="0FD60E60">
            <w:pPr>
              <w:spacing w:after="0" w:line="240" w:lineRule="exact"/>
              <w:rPr>
                <w:rFonts w:ascii="宋体" w:hAnsi="宋体" w:eastAsia="宋体" w:cs="宋体"/>
              </w:rPr>
            </w:pPr>
            <w:r>
              <w:rPr>
                <w:rFonts w:hint="eastAsia" w:ascii="宋体" w:hAnsi="宋体" w:eastAsia="宋体" w:cs="宋体"/>
              </w:rPr>
              <w:t>预决算信息是指与部门预算、执行、决算、监督、绩效等管理相关的信息。</w:t>
            </w:r>
          </w:p>
          <w:p w14:paraId="4ABB5A73">
            <w:pPr>
              <w:spacing w:after="0" w:line="240" w:lineRule="exact"/>
              <w:rPr>
                <w:rFonts w:ascii="宋体" w:hAnsi="宋体" w:eastAsia="宋体" w:cs="宋体"/>
              </w:rPr>
            </w:pPr>
            <w:r>
              <w:rPr>
                <w:rFonts w:hint="eastAsia" w:ascii="宋体" w:hAnsi="宋体" w:eastAsia="宋体" w:cs="宋体"/>
              </w:rPr>
              <w:t>评价要点：</w:t>
            </w:r>
          </w:p>
          <w:p w14:paraId="4076BA38">
            <w:pPr>
              <w:spacing w:after="0" w:line="240" w:lineRule="exact"/>
              <w:rPr>
                <w:rFonts w:ascii="宋体" w:hAnsi="宋体" w:eastAsia="宋体" w:cs="宋体"/>
              </w:rPr>
            </w:pPr>
            <w:r>
              <w:rPr>
                <w:rFonts w:hint="eastAsia" w:ascii="宋体" w:hAnsi="宋体" w:eastAsia="宋体" w:cs="宋体"/>
              </w:rPr>
              <w:t>1.公开预决算信息；</w:t>
            </w:r>
          </w:p>
          <w:p w14:paraId="54966DC3">
            <w:pPr>
              <w:spacing w:after="0" w:line="240" w:lineRule="exact"/>
              <w:rPr>
                <w:rFonts w:ascii="宋体" w:hAnsi="宋体" w:eastAsia="宋体" w:cs="宋体"/>
              </w:rPr>
            </w:pPr>
            <w:r>
              <w:rPr>
                <w:rFonts w:hint="eastAsia" w:ascii="宋体" w:hAnsi="宋体" w:eastAsia="宋体" w:cs="宋体"/>
              </w:rPr>
              <w:t>2.按规定内容公开预决算信息；</w:t>
            </w:r>
          </w:p>
          <w:p w14:paraId="61F7A58F">
            <w:pPr>
              <w:spacing w:after="0" w:line="68" w:lineRule="atLeast"/>
              <w:rPr>
                <w:rFonts w:ascii="宋体" w:hAnsi="宋体" w:eastAsia="宋体" w:cs="宋体"/>
              </w:rPr>
            </w:pPr>
            <w:r>
              <w:rPr>
                <w:rFonts w:hint="eastAsia" w:ascii="宋体" w:hAnsi="宋体" w:eastAsia="宋体" w:cs="宋体"/>
              </w:rPr>
              <w:t>3.按规定时限公开预决算信息。</w:t>
            </w:r>
          </w:p>
        </w:tc>
        <w:tc>
          <w:tcPr>
            <w:tcW w:w="3423" w:type="dxa"/>
            <w:tcBorders>
              <w:top w:val="single" w:color="000000" w:sz="4" w:space="0"/>
              <w:left w:val="single" w:color="auto" w:sz="4" w:space="0"/>
              <w:bottom w:val="single" w:color="000000" w:sz="4" w:space="0"/>
              <w:right w:val="single" w:color="auto" w:sz="4" w:space="0"/>
            </w:tcBorders>
            <w:vAlign w:val="center"/>
          </w:tcPr>
          <w:p w14:paraId="5E809F18">
            <w:pPr>
              <w:spacing w:after="0" w:line="240" w:lineRule="exact"/>
              <w:rPr>
                <w:rFonts w:ascii="宋体" w:hAnsi="宋体" w:eastAsia="宋体" w:cs="宋体"/>
              </w:rPr>
            </w:pPr>
            <w:r>
              <w:rPr>
                <w:rFonts w:hint="eastAsia" w:ascii="宋体" w:hAnsi="宋体" w:eastAsia="宋体" w:cs="宋体"/>
              </w:rPr>
              <w:t>全部符合（3分）；</w:t>
            </w:r>
          </w:p>
          <w:p w14:paraId="2D422DA6">
            <w:pPr>
              <w:spacing w:after="0" w:line="240" w:lineRule="exact"/>
              <w:rPr>
                <w:rFonts w:ascii="宋体" w:hAnsi="宋体" w:eastAsia="宋体" w:cs="宋体"/>
              </w:rPr>
            </w:pPr>
            <w:r>
              <w:rPr>
                <w:rFonts w:hint="eastAsia" w:ascii="宋体" w:hAnsi="宋体" w:eastAsia="宋体" w:cs="宋体"/>
              </w:rPr>
              <w:t>符合其中两项（2分）</w:t>
            </w:r>
          </w:p>
          <w:p w14:paraId="4AB7940E">
            <w:pPr>
              <w:spacing w:after="0" w:line="68" w:lineRule="atLeast"/>
              <w:rPr>
                <w:rFonts w:ascii="宋体" w:hAnsi="宋体" w:eastAsia="宋体" w:cs="宋体"/>
              </w:rPr>
            </w:pPr>
            <w:r>
              <w:rPr>
                <w:rFonts w:hint="eastAsia" w:ascii="宋体" w:hAnsi="宋体" w:eastAsia="宋体" w:cs="宋体"/>
              </w:rPr>
              <w:t>符合其中一项及以下（0分）。</w:t>
            </w:r>
          </w:p>
        </w:tc>
        <w:tc>
          <w:tcPr>
            <w:tcW w:w="1090" w:type="dxa"/>
            <w:tcBorders>
              <w:top w:val="single" w:color="000000" w:sz="4" w:space="0"/>
              <w:left w:val="single" w:color="auto" w:sz="4" w:space="0"/>
              <w:bottom w:val="single" w:color="000000" w:sz="4" w:space="0"/>
              <w:right w:val="single" w:color="000000" w:sz="4" w:space="0"/>
            </w:tcBorders>
            <w:vAlign w:val="center"/>
          </w:tcPr>
          <w:p w14:paraId="673FA1C9">
            <w:pPr>
              <w:spacing w:after="0" w:line="68" w:lineRule="atLeast"/>
              <w:rPr>
                <w:rFonts w:hint="eastAsia" w:ascii="宋体" w:hAnsi="宋体" w:eastAsia="宋体" w:cs="宋体"/>
                <w:lang w:val="en-US" w:eastAsia="zh-CN"/>
              </w:rPr>
            </w:pPr>
            <w:r>
              <w:rPr>
                <w:rFonts w:hint="eastAsia" w:ascii="宋体" w:hAnsi="宋体" w:eastAsia="宋体" w:cs="宋体"/>
              </w:rPr>
              <w:t> </w:t>
            </w:r>
            <w:r>
              <w:rPr>
                <w:rFonts w:hint="eastAsia" w:ascii="宋体" w:hAnsi="宋体" w:eastAsia="宋体" w:cs="宋体"/>
                <w:lang w:val="en-US" w:eastAsia="zh-CN"/>
              </w:rPr>
              <w:t>3</w:t>
            </w:r>
          </w:p>
        </w:tc>
      </w:tr>
      <w:tr w14:paraId="7AD4C1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74" w:hRule="atLeast"/>
          <w:jc w:val="center"/>
        </w:trPr>
        <w:tc>
          <w:tcPr>
            <w:tcW w:w="733" w:type="dxa"/>
            <w:vMerge w:val="continue"/>
            <w:tcBorders>
              <w:left w:val="single" w:color="000000" w:sz="4" w:space="0"/>
              <w:right w:val="single" w:color="000000" w:sz="4" w:space="0"/>
            </w:tcBorders>
            <w:vAlign w:val="center"/>
          </w:tcPr>
          <w:p w14:paraId="3736D14D">
            <w:pPr>
              <w:spacing w:after="0"/>
              <w:rPr>
                <w:rFonts w:ascii="宋体" w:hAnsi="宋体" w:eastAsia="宋体" w:cs="宋体"/>
              </w:rPr>
            </w:pPr>
          </w:p>
        </w:tc>
        <w:tc>
          <w:tcPr>
            <w:tcW w:w="803" w:type="dxa"/>
            <w:vMerge w:val="continue"/>
            <w:tcBorders>
              <w:left w:val="single" w:color="000000" w:sz="4" w:space="0"/>
              <w:bottom w:val="single" w:color="000000" w:sz="4" w:space="0"/>
              <w:right w:val="single" w:color="000000" w:sz="4" w:space="0"/>
            </w:tcBorders>
            <w:vAlign w:val="center"/>
          </w:tcPr>
          <w:p w14:paraId="6F1DE57D">
            <w:pPr>
              <w:spacing w:after="0"/>
              <w:rPr>
                <w:rFonts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14:paraId="4381CDB7">
            <w:pPr>
              <w:spacing w:after="0" w:line="68" w:lineRule="atLeast"/>
              <w:rPr>
                <w:rFonts w:ascii="宋体" w:hAnsi="宋体" w:eastAsia="宋体" w:cs="宋体"/>
                <w:color w:val="000000"/>
              </w:rPr>
            </w:pPr>
            <w:r>
              <w:rPr>
                <w:rFonts w:hint="eastAsia" w:ascii="宋体" w:hAnsi="宋体" w:eastAsia="宋体" w:cs="宋体"/>
                <w:color w:val="000000"/>
              </w:rPr>
              <w:t>基础信息完善性</w:t>
            </w:r>
          </w:p>
          <w:p w14:paraId="1EB6799D">
            <w:pPr>
              <w:spacing w:after="0" w:line="68" w:lineRule="atLeast"/>
              <w:rPr>
                <w:rFonts w:ascii="宋体" w:hAnsi="宋体" w:eastAsia="宋体" w:cs="宋体"/>
              </w:rPr>
            </w:pPr>
            <w:r>
              <w:rPr>
                <w:rFonts w:hint="eastAsia" w:ascii="宋体" w:hAnsi="宋体" w:eastAsia="宋体" w:cs="宋体"/>
              </w:rPr>
              <w:t>（4分）</w:t>
            </w:r>
          </w:p>
        </w:tc>
        <w:tc>
          <w:tcPr>
            <w:tcW w:w="6911" w:type="dxa"/>
            <w:tcBorders>
              <w:top w:val="single" w:color="000000" w:sz="4" w:space="0"/>
              <w:left w:val="single" w:color="auto" w:sz="4" w:space="0"/>
              <w:bottom w:val="single" w:color="000000" w:sz="4" w:space="0"/>
              <w:right w:val="single" w:color="auto" w:sz="4" w:space="0"/>
            </w:tcBorders>
            <w:vAlign w:val="center"/>
          </w:tcPr>
          <w:p w14:paraId="427602A7">
            <w:pPr>
              <w:spacing w:after="0" w:line="240" w:lineRule="exact"/>
              <w:rPr>
                <w:rFonts w:ascii="宋体" w:hAnsi="宋体" w:eastAsia="宋体" w:cs="宋体"/>
              </w:rPr>
            </w:pPr>
            <w:r>
              <w:rPr>
                <w:rFonts w:hint="eastAsia" w:ascii="宋体" w:hAnsi="宋体" w:eastAsia="宋体" w:cs="宋体"/>
              </w:rPr>
              <w:t>部门基础信息是否完善，用以反映和评价基础信息对预算管理工作的支撑情况。</w:t>
            </w:r>
          </w:p>
          <w:p w14:paraId="7F87DBFA">
            <w:pPr>
              <w:spacing w:after="0" w:line="240" w:lineRule="exact"/>
              <w:rPr>
                <w:rFonts w:ascii="宋体" w:hAnsi="宋体" w:eastAsia="宋体" w:cs="宋体"/>
              </w:rPr>
            </w:pPr>
            <w:r>
              <w:rPr>
                <w:rFonts w:hint="eastAsia" w:ascii="宋体" w:hAnsi="宋体" w:eastAsia="宋体" w:cs="宋体"/>
              </w:rPr>
              <w:t>评价要点：</w:t>
            </w:r>
          </w:p>
          <w:p w14:paraId="0285E282">
            <w:pPr>
              <w:spacing w:after="0" w:line="240" w:lineRule="exact"/>
              <w:rPr>
                <w:rFonts w:ascii="宋体" w:hAnsi="宋体" w:eastAsia="宋体" w:cs="宋体"/>
              </w:rPr>
            </w:pPr>
            <w:r>
              <w:rPr>
                <w:rFonts w:hint="eastAsia" w:ascii="宋体" w:hAnsi="宋体" w:eastAsia="宋体" w:cs="宋体"/>
              </w:rPr>
              <w:t>1.基本财务管理制度健全；</w:t>
            </w:r>
          </w:p>
          <w:p w14:paraId="4648B07E">
            <w:pPr>
              <w:spacing w:after="0" w:line="240" w:lineRule="exact"/>
              <w:rPr>
                <w:rFonts w:ascii="宋体" w:hAnsi="宋体" w:eastAsia="宋体" w:cs="宋体"/>
              </w:rPr>
            </w:pPr>
            <w:r>
              <w:rPr>
                <w:rFonts w:hint="eastAsia" w:ascii="宋体" w:hAnsi="宋体" w:eastAsia="宋体" w:cs="宋体"/>
              </w:rPr>
              <w:t>2.基础数据信息和会计信息资料真实；</w:t>
            </w:r>
          </w:p>
          <w:p w14:paraId="62F9CF26">
            <w:pPr>
              <w:spacing w:after="0" w:line="240" w:lineRule="exact"/>
              <w:rPr>
                <w:rFonts w:ascii="宋体" w:hAnsi="宋体" w:eastAsia="宋体" w:cs="宋体"/>
              </w:rPr>
            </w:pPr>
            <w:r>
              <w:rPr>
                <w:rFonts w:hint="eastAsia" w:ascii="宋体" w:hAnsi="宋体" w:eastAsia="宋体" w:cs="宋体"/>
              </w:rPr>
              <w:t>3.基础数据信息和会计信息资料完整；</w:t>
            </w:r>
          </w:p>
          <w:p w14:paraId="0F37A93D">
            <w:pPr>
              <w:spacing w:after="0" w:line="68" w:lineRule="atLeast"/>
              <w:rPr>
                <w:rFonts w:ascii="宋体" w:hAnsi="宋体" w:eastAsia="宋体" w:cs="宋体"/>
              </w:rPr>
            </w:pPr>
            <w:r>
              <w:rPr>
                <w:rFonts w:hint="eastAsia" w:ascii="宋体" w:hAnsi="宋体" w:eastAsia="宋体" w:cs="宋体"/>
              </w:rPr>
              <w:t>4.基础数据信息和会计信息资料准确。</w:t>
            </w:r>
          </w:p>
        </w:tc>
        <w:tc>
          <w:tcPr>
            <w:tcW w:w="3423" w:type="dxa"/>
            <w:tcBorders>
              <w:top w:val="single" w:color="000000" w:sz="4" w:space="0"/>
              <w:left w:val="single" w:color="auto" w:sz="4" w:space="0"/>
              <w:bottom w:val="single" w:color="000000" w:sz="4" w:space="0"/>
              <w:right w:val="single" w:color="auto" w:sz="4" w:space="0"/>
            </w:tcBorders>
            <w:vAlign w:val="center"/>
          </w:tcPr>
          <w:p w14:paraId="360117E9">
            <w:pPr>
              <w:spacing w:after="0" w:line="240" w:lineRule="exact"/>
              <w:rPr>
                <w:rFonts w:ascii="宋体" w:hAnsi="宋体" w:eastAsia="宋体" w:cs="宋体"/>
              </w:rPr>
            </w:pPr>
            <w:r>
              <w:rPr>
                <w:rFonts w:hint="eastAsia" w:ascii="宋体" w:hAnsi="宋体" w:eastAsia="宋体" w:cs="宋体"/>
              </w:rPr>
              <w:t>符合全部四项（4分）；</w:t>
            </w:r>
          </w:p>
          <w:p w14:paraId="60C2A74B">
            <w:pPr>
              <w:spacing w:after="0" w:line="240" w:lineRule="exact"/>
              <w:rPr>
                <w:rFonts w:ascii="宋体" w:hAnsi="宋体" w:eastAsia="宋体" w:cs="宋体"/>
              </w:rPr>
            </w:pPr>
            <w:r>
              <w:rPr>
                <w:rFonts w:hint="eastAsia" w:ascii="宋体" w:hAnsi="宋体" w:eastAsia="宋体" w:cs="宋体"/>
              </w:rPr>
              <w:t>符合其中三项（2分）；</w:t>
            </w:r>
          </w:p>
          <w:p w14:paraId="02900D23">
            <w:pPr>
              <w:spacing w:after="0" w:line="240" w:lineRule="exact"/>
              <w:rPr>
                <w:rFonts w:ascii="宋体" w:hAnsi="宋体" w:eastAsia="宋体" w:cs="宋体"/>
              </w:rPr>
            </w:pPr>
            <w:r>
              <w:rPr>
                <w:rFonts w:hint="eastAsia" w:ascii="宋体" w:hAnsi="宋体" w:eastAsia="宋体" w:cs="宋体"/>
              </w:rPr>
              <w:t>符合其中两项（1分）；</w:t>
            </w:r>
          </w:p>
          <w:p w14:paraId="0A204D47">
            <w:pPr>
              <w:spacing w:after="0" w:line="68" w:lineRule="atLeast"/>
              <w:rPr>
                <w:rFonts w:ascii="宋体" w:hAnsi="宋体" w:eastAsia="宋体" w:cs="宋体"/>
              </w:rPr>
            </w:pPr>
            <w:r>
              <w:rPr>
                <w:rFonts w:hint="eastAsia" w:ascii="宋体" w:hAnsi="宋体" w:eastAsia="宋体" w:cs="宋体"/>
              </w:rPr>
              <w:t>符合其中一项及以下（0分）。</w:t>
            </w:r>
          </w:p>
        </w:tc>
        <w:tc>
          <w:tcPr>
            <w:tcW w:w="1090" w:type="dxa"/>
            <w:tcBorders>
              <w:top w:val="single" w:color="000000" w:sz="4" w:space="0"/>
              <w:left w:val="single" w:color="auto" w:sz="4" w:space="0"/>
              <w:bottom w:val="single" w:color="000000" w:sz="4" w:space="0"/>
              <w:right w:val="single" w:color="000000" w:sz="4" w:space="0"/>
            </w:tcBorders>
            <w:vAlign w:val="center"/>
          </w:tcPr>
          <w:p w14:paraId="3D021242">
            <w:pPr>
              <w:spacing w:after="0" w:line="68" w:lineRule="atLeast"/>
              <w:rPr>
                <w:rFonts w:hint="eastAsia" w:ascii="宋体" w:hAnsi="宋体" w:eastAsia="宋体" w:cs="宋体"/>
                <w:lang w:val="en-US" w:eastAsia="zh-CN"/>
              </w:rPr>
            </w:pPr>
            <w:r>
              <w:rPr>
                <w:rFonts w:hint="eastAsia" w:ascii="宋体" w:hAnsi="宋体" w:eastAsia="宋体" w:cs="宋体"/>
              </w:rPr>
              <w:t> </w:t>
            </w:r>
            <w:r>
              <w:rPr>
                <w:rFonts w:hint="eastAsia" w:ascii="宋体" w:hAnsi="宋体" w:eastAsia="宋体" w:cs="宋体"/>
                <w:lang w:val="en-US" w:eastAsia="zh-CN"/>
              </w:rPr>
              <w:t>4</w:t>
            </w:r>
          </w:p>
        </w:tc>
      </w:tr>
      <w:tr w14:paraId="15B3F8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15" w:hRule="atLeast"/>
          <w:jc w:val="center"/>
        </w:trPr>
        <w:tc>
          <w:tcPr>
            <w:tcW w:w="733" w:type="dxa"/>
            <w:vMerge w:val="continue"/>
            <w:tcBorders>
              <w:left w:val="single" w:color="000000" w:sz="4" w:space="0"/>
              <w:right w:val="single" w:color="000000" w:sz="4" w:space="0"/>
            </w:tcBorders>
            <w:vAlign w:val="center"/>
          </w:tcPr>
          <w:p w14:paraId="204EE5D9">
            <w:pPr>
              <w:spacing w:after="0"/>
              <w:rPr>
                <w:rFonts w:ascii="宋体" w:hAnsi="宋体" w:eastAsia="宋体" w:cs="宋体"/>
              </w:rPr>
            </w:pPr>
          </w:p>
        </w:tc>
        <w:tc>
          <w:tcPr>
            <w:tcW w:w="803" w:type="dxa"/>
            <w:vMerge w:val="restart"/>
            <w:tcBorders>
              <w:left w:val="single" w:color="000000" w:sz="4" w:space="0"/>
              <w:right w:val="single" w:color="000000" w:sz="4" w:space="0"/>
            </w:tcBorders>
            <w:vAlign w:val="center"/>
          </w:tcPr>
          <w:p w14:paraId="06F34BDD">
            <w:pPr>
              <w:spacing w:after="0" w:line="68" w:lineRule="atLeast"/>
              <w:rPr>
                <w:rFonts w:ascii="宋体" w:hAnsi="宋体" w:eastAsia="宋体" w:cs="宋体"/>
              </w:rPr>
            </w:pPr>
            <w:r>
              <w:rPr>
                <w:rFonts w:hint="eastAsia" w:ascii="宋体" w:hAnsi="宋体" w:eastAsia="宋体" w:cs="宋体"/>
              </w:rPr>
              <w:t>资产管理（8分）</w:t>
            </w:r>
          </w:p>
        </w:tc>
        <w:tc>
          <w:tcPr>
            <w:tcW w:w="1182" w:type="dxa"/>
            <w:tcBorders>
              <w:top w:val="single" w:color="000000" w:sz="4" w:space="0"/>
              <w:left w:val="single" w:color="000000" w:sz="4" w:space="0"/>
              <w:bottom w:val="single" w:color="000000" w:sz="4" w:space="0"/>
              <w:right w:val="single" w:color="auto" w:sz="4" w:space="0"/>
            </w:tcBorders>
            <w:vAlign w:val="center"/>
          </w:tcPr>
          <w:p w14:paraId="573AA7F5">
            <w:pPr>
              <w:spacing w:after="0" w:line="68" w:lineRule="atLeast"/>
              <w:rPr>
                <w:rFonts w:ascii="宋体" w:hAnsi="宋体" w:eastAsia="宋体" w:cs="宋体"/>
                <w:color w:val="000000"/>
              </w:rPr>
            </w:pPr>
            <w:r>
              <w:rPr>
                <w:rFonts w:hint="eastAsia" w:ascii="宋体" w:hAnsi="宋体" w:eastAsia="宋体" w:cs="宋体"/>
                <w:color w:val="000000"/>
              </w:rPr>
              <w:t>管理制度健全性</w:t>
            </w:r>
          </w:p>
          <w:p w14:paraId="3C928F29">
            <w:pPr>
              <w:spacing w:after="0" w:line="68" w:lineRule="atLeast"/>
              <w:rPr>
                <w:rFonts w:ascii="宋体" w:hAnsi="宋体" w:eastAsia="宋体" w:cs="宋体"/>
                <w:color w:val="000000"/>
              </w:rPr>
            </w:pPr>
            <w:r>
              <w:rPr>
                <w:rFonts w:hint="eastAsia" w:ascii="宋体" w:hAnsi="宋体" w:eastAsia="宋体" w:cs="宋体"/>
                <w:color w:val="000000"/>
              </w:rPr>
              <w:t>（2分）</w:t>
            </w:r>
          </w:p>
        </w:tc>
        <w:tc>
          <w:tcPr>
            <w:tcW w:w="6911" w:type="dxa"/>
            <w:tcBorders>
              <w:top w:val="single" w:color="000000" w:sz="4" w:space="0"/>
              <w:left w:val="single" w:color="auto" w:sz="4" w:space="0"/>
              <w:bottom w:val="single" w:color="000000" w:sz="4" w:space="0"/>
              <w:right w:val="single" w:color="auto" w:sz="4" w:space="0"/>
            </w:tcBorders>
            <w:vAlign w:val="center"/>
          </w:tcPr>
          <w:p w14:paraId="21ED0283">
            <w:pPr>
              <w:spacing w:after="0" w:line="240" w:lineRule="exact"/>
              <w:rPr>
                <w:rFonts w:ascii="宋体" w:hAnsi="宋体" w:eastAsia="宋体" w:cs="宋体"/>
              </w:rPr>
            </w:pPr>
            <w:r>
              <w:rPr>
                <w:rFonts w:hint="eastAsia" w:ascii="宋体" w:hAnsi="宋体" w:eastAsia="宋体" w:cs="宋体"/>
              </w:rPr>
              <w:t>部门为加强资产管理、规范资产管理行为而制定的管理制度是否健全完整，用以反映和考核部门资产管理制度对完成主要职责或促进社会发展的保障情况。</w:t>
            </w:r>
          </w:p>
          <w:p w14:paraId="4D0610BC">
            <w:pPr>
              <w:spacing w:after="0" w:line="240" w:lineRule="exact"/>
              <w:rPr>
                <w:rFonts w:ascii="宋体" w:hAnsi="宋体" w:eastAsia="宋体" w:cs="宋体"/>
              </w:rPr>
            </w:pPr>
            <w:r>
              <w:rPr>
                <w:rFonts w:hint="eastAsia" w:ascii="宋体" w:hAnsi="宋体" w:eastAsia="宋体" w:cs="宋体"/>
              </w:rPr>
              <w:t>评价要点：</w:t>
            </w:r>
          </w:p>
          <w:p w14:paraId="610E75DB">
            <w:pPr>
              <w:spacing w:after="0" w:line="240" w:lineRule="exact"/>
              <w:rPr>
                <w:rFonts w:ascii="宋体" w:hAnsi="宋体" w:eastAsia="宋体" w:cs="宋体"/>
              </w:rPr>
            </w:pPr>
            <w:r>
              <w:rPr>
                <w:rFonts w:hint="eastAsia" w:ascii="宋体" w:hAnsi="宋体" w:eastAsia="宋体" w:cs="宋体"/>
              </w:rPr>
              <w:t>1.是否已制定或具有资产管理制度；</w:t>
            </w:r>
          </w:p>
          <w:p w14:paraId="1633108F">
            <w:pPr>
              <w:spacing w:after="0" w:line="240" w:lineRule="exact"/>
              <w:rPr>
                <w:rFonts w:ascii="宋体" w:hAnsi="宋体" w:eastAsia="宋体" w:cs="宋体"/>
              </w:rPr>
            </w:pPr>
            <w:r>
              <w:rPr>
                <w:rFonts w:hint="eastAsia" w:ascii="宋体" w:hAnsi="宋体" w:eastAsia="宋体" w:cs="宋体"/>
              </w:rPr>
              <w:t>2.相关资金管理制度是否合法、合规、完整；</w:t>
            </w:r>
          </w:p>
          <w:p w14:paraId="64BBBA03">
            <w:pPr>
              <w:spacing w:after="0" w:line="240" w:lineRule="exact"/>
              <w:rPr>
                <w:rFonts w:ascii="宋体" w:hAnsi="宋体" w:eastAsia="宋体" w:cs="宋体"/>
              </w:rPr>
            </w:pPr>
            <w:r>
              <w:rPr>
                <w:rFonts w:hint="eastAsia" w:ascii="宋体" w:hAnsi="宋体" w:eastAsia="宋体" w:cs="宋体"/>
              </w:rPr>
              <w:t>3.相关资产管理制度是否得到有效执行。</w:t>
            </w:r>
          </w:p>
        </w:tc>
        <w:tc>
          <w:tcPr>
            <w:tcW w:w="3423" w:type="dxa"/>
            <w:tcBorders>
              <w:top w:val="single" w:color="000000" w:sz="4" w:space="0"/>
              <w:left w:val="single" w:color="auto" w:sz="4" w:space="0"/>
              <w:bottom w:val="single" w:color="000000" w:sz="4" w:space="0"/>
              <w:right w:val="single" w:color="auto" w:sz="4" w:space="0"/>
            </w:tcBorders>
            <w:vAlign w:val="center"/>
          </w:tcPr>
          <w:p w14:paraId="05183E23">
            <w:pPr>
              <w:spacing w:after="0" w:line="240" w:lineRule="exact"/>
              <w:rPr>
                <w:rFonts w:ascii="宋体" w:hAnsi="宋体" w:eastAsia="宋体" w:cs="宋体"/>
              </w:rPr>
            </w:pPr>
            <w:r>
              <w:rPr>
                <w:rFonts w:hint="eastAsia" w:ascii="宋体" w:hAnsi="宋体" w:eastAsia="宋体" w:cs="宋体"/>
              </w:rPr>
              <w:t>全部符合（2分）；</w:t>
            </w:r>
          </w:p>
          <w:p w14:paraId="6984040B">
            <w:pPr>
              <w:spacing w:after="0" w:line="240" w:lineRule="exact"/>
              <w:rPr>
                <w:rFonts w:ascii="宋体" w:hAnsi="宋体" w:eastAsia="宋体" w:cs="宋体"/>
              </w:rPr>
            </w:pPr>
            <w:r>
              <w:rPr>
                <w:rFonts w:hint="eastAsia" w:ascii="宋体" w:hAnsi="宋体" w:eastAsia="宋体" w:cs="宋体"/>
              </w:rPr>
              <w:t>符合其中两项（1分）</w:t>
            </w:r>
          </w:p>
          <w:p w14:paraId="17218368">
            <w:pPr>
              <w:spacing w:after="0" w:line="240" w:lineRule="exact"/>
              <w:rPr>
                <w:rFonts w:ascii="宋体" w:hAnsi="宋体" w:eastAsia="宋体" w:cs="宋体"/>
              </w:rPr>
            </w:pPr>
            <w:r>
              <w:rPr>
                <w:rFonts w:hint="eastAsia" w:ascii="宋体" w:hAnsi="宋体" w:eastAsia="宋体" w:cs="宋体"/>
              </w:rPr>
              <w:t>符合其中一项及以下（0分）。</w:t>
            </w:r>
          </w:p>
        </w:tc>
        <w:tc>
          <w:tcPr>
            <w:tcW w:w="1090" w:type="dxa"/>
            <w:tcBorders>
              <w:top w:val="single" w:color="000000" w:sz="4" w:space="0"/>
              <w:left w:val="single" w:color="auto" w:sz="4" w:space="0"/>
              <w:bottom w:val="single" w:color="000000" w:sz="4" w:space="0"/>
              <w:right w:val="single" w:color="000000" w:sz="4" w:space="0"/>
            </w:tcBorders>
            <w:vAlign w:val="center"/>
          </w:tcPr>
          <w:p w14:paraId="23E19F5A">
            <w:pPr>
              <w:spacing w:after="0" w:line="68" w:lineRule="atLeast"/>
              <w:rPr>
                <w:rFonts w:hint="eastAsia" w:ascii="宋体" w:hAnsi="宋体" w:eastAsia="宋体" w:cs="宋体"/>
                <w:lang w:val="en-US" w:eastAsia="zh-CN"/>
              </w:rPr>
            </w:pPr>
            <w:r>
              <w:rPr>
                <w:rFonts w:hint="eastAsia" w:ascii="宋体" w:hAnsi="宋体" w:eastAsia="宋体" w:cs="宋体"/>
                <w:lang w:val="en-US" w:eastAsia="zh-CN"/>
              </w:rPr>
              <w:t>2</w:t>
            </w:r>
          </w:p>
        </w:tc>
      </w:tr>
      <w:tr w14:paraId="0CD944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86" w:hRule="atLeast"/>
          <w:jc w:val="center"/>
        </w:trPr>
        <w:tc>
          <w:tcPr>
            <w:tcW w:w="733" w:type="dxa"/>
            <w:vMerge w:val="continue"/>
            <w:tcBorders>
              <w:left w:val="single" w:color="000000" w:sz="4" w:space="0"/>
              <w:right w:val="single" w:color="000000" w:sz="4" w:space="0"/>
            </w:tcBorders>
            <w:vAlign w:val="center"/>
          </w:tcPr>
          <w:p w14:paraId="5E898711">
            <w:pPr>
              <w:spacing w:after="0"/>
              <w:rPr>
                <w:rFonts w:ascii="宋体" w:hAnsi="宋体" w:eastAsia="宋体" w:cs="宋体"/>
              </w:rPr>
            </w:pPr>
          </w:p>
        </w:tc>
        <w:tc>
          <w:tcPr>
            <w:tcW w:w="803" w:type="dxa"/>
            <w:vMerge w:val="continue"/>
            <w:tcBorders>
              <w:left w:val="single" w:color="000000" w:sz="4" w:space="0"/>
              <w:right w:val="single" w:color="000000" w:sz="4" w:space="0"/>
            </w:tcBorders>
            <w:vAlign w:val="center"/>
          </w:tcPr>
          <w:p w14:paraId="119855F4">
            <w:pPr>
              <w:spacing w:after="0" w:line="68" w:lineRule="atLeast"/>
              <w:rPr>
                <w:rFonts w:ascii="宋体" w:hAnsi="宋体" w:eastAsia="宋体" w:cs="宋体"/>
              </w:rPr>
            </w:pPr>
          </w:p>
        </w:tc>
        <w:tc>
          <w:tcPr>
            <w:tcW w:w="1182" w:type="dxa"/>
            <w:tcBorders>
              <w:top w:val="single" w:color="auto" w:sz="4" w:space="0"/>
              <w:left w:val="single" w:color="000000" w:sz="4" w:space="0"/>
              <w:bottom w:val="single" w:color="000000" w:sz="4" w:space="0"/>
              <w:right w:val="single" w:color="auto" w:sz="4" w:space="0"/>
            </w:tcBorders>
            <w:vAlign w:val="center"/>
          </w:tcPr>
          <w:p w14:paraId="4BD35FA2">
            <w:pPr>
              <w:spacing w:after="0" w:line="68" w:lineRule="atLeast"/>
              <w:rPr>
                <w:rFonts w:ascii="宋体" w:hAnsi="宋体" w:eastAsia="宋体" w:cs="宋体"/>
              </w:rPr>
            </w:pPr>
            <w:r>
              <w:rPr>
                <w:rFonts w:hint="eastAsia" w:ascii="宋体" w:hAnsi="宋体" w:eastAsia="宋体" w:cs="宋体"/>
              </w:rPr>
              <w:t>资产管理完全性</w:t>
            </w:r>
          </w:p>
          <w:p w14:paraId="3D64E55A">
            <w:pPr>
              <w:spacing w:after="0" w:line="68" w:lineRule="atLeast"/>
              <w:rPr>
                <w:rFonts w:ascii="宋体" w:hAnsi="宋体" w:eastAsia="宋体" w:cs="宋体"/>
              </w:rPr>
            </w:pPr>
            <w:r>
              <w:rPr>
                <w:rFonts w:hint="eastAsia" w:ascii="宋体" w:hAnsi="宋体" w:eastAsia="宋体" w:cs="宋体"/>
              </w:rPr>
              <w:t>（3分）</w:t>
            </w:r>
          </w:p>
        </w:tc>
        <w:tc>
          <w:tcPr>
            <w:tcW w:w="6911" w:type="dxa"/>
            <w:tcBorders>
              <w:top w:val="single" w:color="auto" w:sz="4" w:space="0"/>
              <w:left w:val="single" w:color="auto" w:sz="4" w:space="0"/>
              <w:bottom w:val="single" w:color="000000" w:sz="4" w:space="0"/>
              <w:right w:val="single" w:color="auto" w:sz="4" w:space="0"/>
            </w:tcBorders>
            <w:vAlign w:val="center"/>
          </w:tcPr>
          <w:p w14:paraId="1634552D">
            <w:pPr>
              <w:spacing w:after="0" w:line="240" w:lineRule="exact"/>
              <w:rPr>
                <w:rFonts w:ascii="宋体" w:hAnsi="宋体" w:eastAsia="宋体" w:cs="宋体"/>
              </w:rPr>
            </w:pPr>
            <w:r>
              <w:rPr>
                <w:rFonts w:hint="eastAsia" w:ascii="宋体" w:hAnsi="宋体" w:eastAsia="宋体" w:cs="宋体"/>
              </w:rPr>
              <w:t>部门的资产是否保存完整、使用合规、收入及时足额上缴，用以反映和评价部门资产运行情况。</w:t>
            </w:r>
          </w:p>
          <w:p w14:paraId="727A8A85">
            <w:pPr>
              <w:spacing w:after="0" w:line="240" w:lineRule="exact"/>
              <w:rPr>
                <w:rFonts w:ascii="宋体" w:hAnsi="宋体" w:eastAsia="宋体" w:cs="宋体"/>
              </w:rPr>
            </w:pPr>
            <w:r>
              <w:rPr>
                <w:rFonts w:hint="eastAsia" w:ascii="宋体" w:hAnsi="宋体" w:eastAsia="宋体" w:cs="宋体"/>
              </w:rPr>
              <w:t>评价要点：</w:t>
            </w:r>
          </w:p>
          <w:p w14:paraId="312B4897">
            <w:pPr>
              <w:spacing w:after="0" w:line="240" w:lineRule="exact"/>
              <w:rPr>
                <w:rFonts w:ascii="宋体" w:hAnsi="宋体" w:eastAsia="宋体" w:cs="宋体"/>
              </w:rPr>
            </w:pPr>
            <w:r>
              <w:rPr>
                <w:rFonts w:hint="eastAsia" w:ascii="宋体" w:hAnsi="宋体" w:eastAsia="宋体" w:cs="宋体"/>
              </w:rPr>
              <w:t>1.资产保存完整；</w:t>
            </w:r>
          </w:p>
          <w:p w14:paraId="2DD97174">
            <w:pPr>
              <w:spacing w:after="0" w:line="240" w:lineRule="exact"/>
              <w:rPr>
                <w:rFonts w:ascii="宋体" w:hAnsi="宋体" w:eastAsia="宋体" w:cs="宋体"/>
              </w:rPr>
            </w:pPr>
            <w:r>
              <w:rPr>
                <w:rFonts w:hint="eastAsia" w:ascii="宋体" w:hAnsi="宋体" w:eastAsia="宋体" w:cs="宋体"/>
              </w:rPr>
              <w:t>2.资产账务管理是否合规，帐实相符；</w:t>
            </w:r>
          </w:p>
          <w:p w14:paraId="53216FED">
            <w:pPr>
              <w:spacing w:after="0" w:line="68" w:lineRule="atLeast"/>
              <w:rPr>
                <w:rFonts w:ascii="宋体" w:hAnsi="宋体" w:eastAsia="宋体" w:cs="宋体"/>
              </w:rPr>
            </w:pPr>
            <w:r>
              <w:rPr>
                <w:rFonts w:hint="eastAsia" w:ascii="宋体" w:hAnsi="宋体" w:eastAsia="宋体" w:cs="宋体"/>
              </w:rPr>
              <w:t>3.资产有偿使用及处置收入及时足额上缴。</w:t>
            </w:r>
          </w:p>
        </w:tc>
        <w:tc>
          <w:tcPr>
            <w:tcW w:w="3423" w:type="dxa"/>
            <w:tcBorders>
              <w:top w:val="single" w:color="auto" w:sz="4" w:space="0"/>
              <w:left w:val="single" w:color="auto" w:sz="4" w:space="0"/>
              <w:bottom w:val="single" w:color="000000" w:sz="4" w:space="0"/>
              <w:right w:val="single" w:color="auto" w:sz="4" w:space="0"/>
            </w:tcBorders>
            <w:vAlign w:val="center"/>
          </w:tcPr>
          <w:p w14:paraId="594FF8CD">
            <w:pPr>
              <w:spacing w:after="0" w:line="240" w:lineRule="exact"/>
              <w:rPr>
                <w:rFonts w:ascii="宋体" w:hAnsi="宋体" w:eastAsia="宋体" w:cs="宋体"/>
              </w:rPr>
            </w:pPr>
            <w:r>
              <w:rPr>
                <w:rFonts w:hint="eastAsia" w:ascii="宋体" w:hAnsi="宋体" w:eastAsia="宋体" w:cs="宋体"/>
              </w:rPr>
              <w:t>符合全部三项（3分）；</w:t>
            </w:r>
          </w:p>
          <w:p w14:paraId="227DB241">
            <w:pPr>
              <w:spacing w:after="0" w:line="240" w:lineRule="exact"/>
              <w:rPr>
                <w:rFonts w:ascii="宋体" w:hAnsi="宋体" w:eastAsia="宋体" w:cs="宋体"/>
              </w:rPr>
            </w:pPr>
            <w:r>
              <w:rPr>
                <w:rFonts w:hint="eastAsia" w:ascii="宋体" w:hAnsi="宋体" w:eastAsia="宋体" w:cs="宋体"/>
              </w:rPr>
              <w:t>符合其中两项（2分）；</w:t>
            </w:r>
          </w:p>
          <w:p w14:paraId="4386F164">
            <w:pPr>
              <w:spacing w:after="0" w:line="240" w:lineRule="exact"/>
              <w:rPr>
                <w:rFonts w:ascii="宋体" w:hAnsi="宋体" w:eastAsia="宋体" w:cs="宋体"/>
              </w:rPr>
            </w:pPr>
            <w:r>
              <w:rPr>
                <w:rFonts w:hint="eastAsia" w:ascii="宋体" w:hAnsi="宋体" w:eastAsia="宋体" w:cs="宋体"/>
              </w:rPr>
              <w:t>符合其中一项（1分）；</w:t>
            </w:r>
          </w:p>
          <w:p w14:paraId="5700A2CF">
            <w:pPr>
              <w:spacing w:after="0" w:line="68" w:lineRule="atLeast"/>
              <w:rPr>
                <w:rFonts w:ascii="宋体" w:hAnsi="宋体" w:eastAsia="宋体" w:cs="宋体"/>
              </w:rPr>
            </w:pPr>
            <w:r>
              <w:rPr>
                <w:rFonts w:hint="eastAsia" w:ascii="宋体" w:hAnsi="宋体" w:eastAsia="宋体" w:cs="宋体"/>
              </w:rPr>
              <w:t>符合零项（0分）。</w:t>
            </w:r>
          </w:p>
        </w:tc>
        <w:tc>
          <w:tcPr>
            <w:tcW w:w="1090" w:type="dxa"/>
            <w:tcBorders>
              <w:top w:val="single" w:color="auto" w:sz="4" w:space="0"/>
              <w:left w:val="single" w:color="auto" w:sz="4" w:space="0"/>
              <w:bottom w:val="single" w:color="000000" w:sz="4" w:space="0"/>
              <w:right w:val="single" w:color="000000" w:sz="4" w:space="0"/>
            </w:tcBorders>
            <w:vAlign w:val="center"/>
          </w:tcPr>
          <w:p w14:paraId="7EA6DB8A">
            <w:pPr>
              <w:spacing w:after="0" w:line="68" w:lineRule="atLeast"/>
              <w:rPr>
                <w:rFonts w:hint="eastAsia" w:ascii="宋体" w:hAnsi="宋体" w:eastAsia="宋体" w:cs="宋体"/>
                <w:lang w:val="en-US" w:eastAsia="zh-CN"/>
              </w:rPr>
            </w:pPr>
            <w:r>
              <w:rPr>
                <w:rFonts w:hint="eastAsia" w:ascii="宋体" w:hAnsi="宋体" w:eastAsia="宋体" w:cs="宋体"/>
              </w:rPr>
              <w:t> </w:t>
            </w:r>
            <w:r>
              <w:rPr>
                <w:rFonts w:hint="eastAsia" w:ascii="宋体" w:hAnsi="宋体" w:eastAsia="宋体" w:cs="宋体"/>
                <w:lang w:val="en-US" w:eastAsia="zh-CN"/>
              </w:rPr>
              <w:t>3</w:t>
            </w:r>
          </w:p>
        </w:tc>
      </w:tr>
      <w:tr w14:paraId="5C65B2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39" w:hRule="atLeast"/>
          <w:jc w:val="center"/>
        </w:trPr>
        <w:tc>
          <w:tcPr>
            <w:tcW w:w="733" w:type="dxa"/>
            <w:vMerge w:val="continue"/>
            <w:tcBorders>
              <w:left w:val="single" w:color="000000" w:sz="4" w:space="0"/>
              <w:right w:val="single" w:color="000000" w:sz="4" w:space="0"/>
            </w:tcBorders>
            <w:vAlign w:val="center"/>
          </w:tcPr>
          <w:p w14:paraId="5292D8B7">
            <w:pPr>
              <w:spacing w:after="0"/>
              <w:rPr>
                <w:rFonts w:ascii="宋体" w:hAnsi="宋体" w:eastAsia="宋体" w:cs="宋体"/>
              </w:rPr>
            </w:pPr>
          </w:p>
        </w:tc>
        <w:tc>
          <w:tcPr>
            <w:tcW w:w="803" w:type="dxa"/>
            <w:vMerge w:val="continue"/>
            <w:tcBorders>
              <w:left w:val="single" w:color="000000" w:sz="4" w:space="0"/>
              <w:bottom w:val="single" w:color="000000" w:sz="4" w:space="0"/>
              <w:right w:val="single" w:color="000000" w:sz="4" w:space="0"/>
            </w:tcBorders>
            <w:vAlign w:val="center"/>
          </w:tcPr>
          <w:p w14:paraId="18DCC75F">
            <w:pPr>
              <w:spacing w:after="0"/>
              <w:rPr>
                <w:rFonts w:ascii="宋体" w:hAnsi="宋体" w:eastAsia="宋体" w:cs="宋体"/>
              </w:rPr>
            </w:pPr>
          </w:p>
        </w:tc>
        <w:tc>
          <w:tcPr>
            <w:tcW w:w="1182" w:type="dxa"/>
            <w:tcBorders>
              <w:top w:val="single" w:color="auto" w:sz="4" w:space="0"/>
              <w:left w:val="single" w:color="000000" w:sz="4" w:space="0"/>
              <w:bottom w:val="single" w:color="000000" w:sz="4" w:space="0"/>
              <w:right w:val="single" w:color="auto" w:sz="4" w:space="0"/>
            </w:tcBorders>
            <w:vAlign w:val="center"/>
          </w:tcPr>
          <w:p w14:paraId="315A1E74">
            <w:pPr>
              <w:spacing w:after="0" w:line="68" w:lineRule="atLeast"/>
              <w:rPr>
                <w:rFonts w:ascii="宋体" w:hAnsi="宋体" w:eastAsia="宋体" w:cs="宋体"/>
              </w:rPr>
            </w:pPr>
            <w:r>
              <w:rPr>
                <w:rFonts w:hint="eastAsia" w:ascii="宋体" w:hAnsi="宋体" w:eastAsia="宋体" w:cs="宋体"/>
              </w:rPr>
              <w:t>固定资产利用率</w:t>
            </w:r>
          </w:p>
          <w:p w14:paraId="3F244BB7">
            <w:pPr>
              <w:spacing w:after="0" w:line="68" w:lineRule="atLeast"/>
              <w:rPr>
                <w:rFonts w:ascii="宋体" w:hAnsi="宋体" w:eastAsia="宋体" w:cs="宋体"/>
              </w:rPr>
            </w:pPr>
            <w:r>
              <w:rPr>
                <w:rFonts w:hint="eastAsia" w:ascii="宋体" w:hAnsi="宋体" w:eastAsia="宋体" w:cs="宋体"/>
              </w:rPr>
              <w:t>（3分）</w:t>
            </w:r>
          </w:p>
        </w:tc>
        <w:tc>
          <w:tcPr>
            <w:tcW w:w="6911" w:type="dxa"/>
            <w:tcBorders>
              <w:top w:val="single" w:color="auto" w:sz="4" w:space="0"/>
              <w:left w:val="single" w:color="auto" w:sz="4" w:space="0"/>
              <w:bottom w:val="single" w:color="000000" w:sz="4" w:space="0"/>
              <w:right w:val="single" w:color="auto" w:sz="4" w:space="0"/>
            </w:tcBorders>
            <w:vAlign w:val="center"/>
          </w:tcPr>
          <w:p w14:paraId="5A7EC37D">
            <w:pPr>
              <w:spacing w:after="0" w:line="240" w:lineRule="exact"/>
              <w:rPr>
                <w:rFonts w:ascii="宋体" w:hAnsi="宋体" w:eastAsia="宋体" w:cs="宋体"/>
              </w:rPr>
            </w:pPr>
            <w:r>
              <w:rPr>
                <w:rFonts w:hint="eastAsia" w:ascii="宋体" w:hAnsi="宋体" w:eastAsia="宋体" w:cs="宋体"/>
              </w:rPr>
              <w:t>部门实际在用固定资产总额与所有固定资产总额的比率，用以反映和评价部门固定资产使用效率。</w:t>
            </w:r>
          </w:p>
          <w:p w14:paraId="0F5B643C">
            <w:pPr>
              <w:spacing w:after="0" w:line="68" w:lineRule="atLeast"/>
              <w:rPr>
                <w:rFonts w:ascii="宋体" w:hAnsi="宋体" w:eastAsia="宋体" w:cs="宋体"/>
              </w:rPr>
            </w:pPr>
            <w:r>
              <w:rPr>
                <w:rFonts w:hint="eastAsia" w:ascii="宋体" w:hAnsi="宋体" w:eastAsia="宋体" w:cs="宋体"/>
              </w:rPr>
              <w:t>固定资产利用率=（实际在用固定资产总额/所有固定资产总额）×100%。</w:t>
            </w:r>
          </w:p>
        </w:tc>
        <w:tc>
          <w:tcPr>
            <w:tcW w:w="3423" w:type="dxa"/>
            <w:tcBorders>
              <w:top w:val="single" w:color="auto" w:sz="4" w:space="0"/>
              <w:left w:val="single" w:color="auto" w:sz="4" w:space="0"/>
              <w:bottom w:val="single" w:color="000000" w:sz="4" w:space="0"/>
              <w:right w:val="single" w:color="auto" w:sz="4" w:space="0"/>
            </w:tcBorders>
            <w:vAlign w:val="center"/>
          </w:tcPr>
          <w:p w14:paraId="3C2B3124">
            <w:pPr>
              <w:spacing w:after="0" w:line="68" w:lineRule="atLeast"/>
              <w:rPr>
                <w:rFonts w:ascii="宋体" w:hAnsi="宋体" w:eastAsia="宋体" w:cs="宋体"/>
              </w:rPr>
            </w:pPr>
            <w:r>
              <w:rPr>
                <w:rFonts w:hint="eastAsia" w:ascii="宋体" w:hAnsi="宋体" w:eastAsia="宋体" w:cs="宋体"/>
              </w:rPr>
              <w:t>目标值为80%；以3分为上限，采用完成比率法计分：得分=固定资产利用率/80%×100%×3，超出目标值不加分。</w:t>
            </w:r>
          </w:p>
        </w:tc>
        <w:tc>
          <w:tcPr>
            <w:tcW w:w="1090" w:type="dxa"/>
            <w:tcBorders>
              <w:top w:val="single" w:color="auto" w:sz="4" w:space="0"/>
              <w:left w:val="single" w:color="auto" w:sz="4" w:space="0"/>
              <w:bottom w:val="single" w:color="000000" w:sz="4" w:space="0"/>
              <w:right w:val="single" w:color="000000" w:sz="4" w:space="0"/>
            </w:tcBorders>
            <w:vAlign w:val="center"/>
          </w:tcPr>
          <w:p w14:paraId="58FA7EAA">
            <w:pPr>
              <w:spacing w:after="0" w:line="68" w:lineRule="atLeast"/>
              <w:rPr>
                <w:rFonts w:hint="eastAsia" w:ascii="宋体" w:hAnsi="宋体" w:eastAsia="宋体" w:cs="宋体"/>
                <w:lang w:val="en-US" w:eastAsia="zh-CN"/>
              </w:rPr>
            </w:pPr>
            <w:r>
              <w:rPr>
                <w:rFonts w:hint="eastAsia" w:ascii="宋体" w:hAnsi="宋体" w:eastAsia="宋体" w:cs="宋体"/>
              </w:rPr>
              <w:t> </w:t>
            </w:r>
            <w:r>
              <w:rPr>
                <w:rFonts w:hint="eastAsia" w:ascii="宋体" w:hAnsi="宋体" w:eastAsia="宋体" w:cs="宋体"/>
                <w:lang w:val="en-US" w:eastAsia="zh-CN"/>
              </w:rPr>
              <w:t>3</w:t>
            </w:r>
          </w:p>
        </w:tc>
      </w:tr>
      <w:tr w14:paraId="4FE5EC4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06" w:hRule="atLeast"/>
          <w:jc w:val="center"/>
        </w:trPr>
        <w:tc>
          <w:tcPr>
            <w:tcW w:w="733" w:type="dxa"/>
            <w:vMerge w:val="continue"/>
            <w:tcBorders>
              <w:left w:val="single" w:color="000000" w:sz="4" w:space="0"/>
              <w:bottom w:val="single" w:color="000000" w:sz="4" w:space="0"/>
              <w:right w:val="single" w:color="000000" w:sz="4" w:space="0"/>
            </w:tcBorders>
            <w:vAlign w:val="center"/>
          </w:tcPr>
          <w:p w14:paraId="11EC2CCA">
            <w:pPr>
              <w:spacing w:after="0"/>
              <w:rPr>
                <w:rFonts w:ascii="宋体" w:hAnsi="宋体" w:eastAsia="宋体" w:cs="宋体"/>
              </w:rPr>
            </w:pPr>
          </w:p>
        </w:tc>
        <w:tc>
          <w:tcPr>
            <w:tcW w:w="803" w:type="dxa"/>
            <w:tcBorders>
              <w:left w:val="single" w:color="000000" w:sz="4" w:space="0"/>
              <w:bottom w:val="single" w:color="000000" w:sz="4" w:space="0"/>
              <w:right w:val="single" w:color="000000" w:sz="4" w:space="0"/>
            </w:tcBorders>
            <w:vAlign w:val="center"/>
          </w:tcPr>
          <w:p w14:paraId="4823BC81">
            <w:pPr>
              <w:spacing w:after="0"/>
              <w:rPr>
                <w:rFonts w:ascii="宋体" w:hAnsi="宋体" w:eastAsia="宋体" w:cs="宋体"/>
              </w:rPr>
            </w:pPr>
            <w:r>
              <w:rPr>
                <w:rFonts w:hint="eastAsia" w:ascii="宋体" w:hAnsi="宋体" w:eastAsia="宋体" w:cs="宋体"/>
              </w:rPr>
              <w:t>预算绩效监控管理（2分）</w:t>
            </w:r>
          </w:p>
        </w:tc>
        <w:tc>
          <w:tcPr>
            <w:tcW w:w="1182" w:type="dxa"/>
            <w:tcBorders>
              <w:top w:val="single" w:color="auto" w:sz="4" w:space="0"/>
              <w:left w:val="single" w:color="000000" w:sz="4" w:space="0"/>
              <w:bottom w:val="single" w:color="000000" w:sz="4" w:space="0"/>
              <w:right w:val="single" w:color="auto" w:sz="4" w:space="0"/>
            </w:tcBorders>
            <w:vAlign w:val="center"/>
          </w:tcPr>
          <w:p w14:paraId="0F2E6730">
            <w:pPr>
              <w:spacing w:after="0" w:line="68" w:lineRule="atLeast"/>
              <w:rPr>
                <w:rFonts w:ascii="宋体" w:hAnsi="宋体" w:eastAsia="宋体" w:cs="宋体"/>
              </w:rPr>
            </w:pPr>
            <w:r>
              <w:rPr>
                <w:rFonts w:hint="eastAsia" w:ascii="宋体" w:hAnsi="宋体" w:eastAsia="宋体" w:cs="宋体"/>
              </w:rPr>
              <w:t>监控率（2分）</w:t>
            </w:r>
          </w:p>
        </w:tc>
        <w:tc>
          <w:tcPr>
            <w:tcW w:w="6911" w:type="dxa"/>
            <w:tcBorders>
              <w:top w:val="single" w:color="auto" w:sz="4" w:space="0"/>
              <w:left w:val="single" w:color="auto" w:sz="4" w:space="0"/>
              <w:bottom w:val="single" w:color="000000" w:sz="4" w:space="0"/>
              <w:right w:val="single" w:color="auto" w:sz="4" w:space="0"/>
            </w:tcBorders>
            <w:vAlign w:val="center"/>
          </w:tcPr>
          <w:p w14:paraId="6F6188F2">
            <w:pPr>
              <w:spacing w:after="0" w:line="240" w:lineRule="exact"/>
              <w:rPr>
                <w:rFonts w:ascii="宋体" w:hAnsi="宋体" w:eastAsia="宋体" w:cs="宋体"/>
              </w:rPr>
            </w:pPr>
            <w:r>
              <w:rPr>
                <w:rFonts w:hint="eastAsia" w:ascii="宋体" w:hAnsi="宋体" w:eastAsia="宋体" w:cs="宋体"/>
              </w:rPr>
              <w:t>部门（单位）纳入绩效监控的项目数量占实际申报绩效目标项目数量的比重，用以反映和考核部门（单位）在项目运行中实施绩效管理的水平和程度。</w:t>
            </w:r>
          </w:p>
          <w:p w14:paraId="4FED3D1F">
            <w:pPr>
              <w:spacing w:after="0" w:line="240" w:lineRule="exact"/>
              <w:rPr>
                <w:rFonts w:ascii="宋体" w:hAnsi="宋体" w:eastAsia="宋体" w:cs="宋体"/>
              </w:rPr>
            </w:pPr>
            <w:r>
              <w:rPr>
                <w:rFonts w:hint="eastAsia" w:ascii="宋体" w:hAnsi="宋体" w:eastAsia="宋体" w:cs="宋体"/>
              </w:rPr>
              <w:t>监控率=实施绩效监控项目数/实际申报绩效目标项目数×100%</w:t>
            </w:r>
          </w:p>
        </w:tc>
        <w:tc>
          <w:tcPr>
            <w:tcW w:w="3423" w:type="dxa"/>
            <w:tcBorders>
              <w:top w:val="single" w:color="auto" w:sz="4" w:space="0"/>
              <w:left w:val="single" w:color="auto" w:sz="4" w:space="0"/>
              <w:bottom w:val="single" w:color="000000" w:sz="4" w:space="0"/>
              <w:right w:val="single" w:color="auto" w:sz="4" w:space="0"/>
            </w:tcBorders>
            <w:vAlign w:val="center"/>
          </w:tcPr>
          <w:p w14:paraId="00127CA8">
            <w:pPr>
              <w:spacing w:after="0" w:line="68" w:lineRule="atLeast"/>
              <w:rPr>
                <w:rFonts w:ascii="宋体" w:hAnsi="宋体" w:eastAsia="宋体" w:cs="宋体"/>
              </w:rPr>
            </w:pPr>
            <w:r>
              <w:rPr>
                <w:rFonts w:hint="eastAsia" w:ascii="宋体" w:hAnsi="宋体" w:eastAsia="宋体" w:cs="宋体"/>
              </w:rPr>
              <w:t>目标值为90%；以2分为上限，采用完成比率法计分：得分=监控率×2，超出目标值不加分。</w:t>
            </w:r>
          </w:p>
        </w:tc>
        <w:tc>
          <w:tcPr>
            <w:tcW w:w="1090" w:type="dxa"/>
            <w:tcBorders>
              <w:top w:val="single" w:color="auto" w:sz="4" w:space="0"/>
              <w:left w:val="single" w:color="auto" w:sz="4" w:space="0"/>
              <w:bottom w:val="single" w:color="000000" w:sz="4" w:space="0"/>
              <w:right w:val="single" w:color="000000" w:sz="4" w:space="0"/>
            </w:tcBorders>
            <w:vAlign w:val="center"/>
          </w:tcPr>
          <w:p w14:paraId="457A320C">
            <w:pPr>
              <w:spacing w:after="0" w:line="68" w:lineRule="atLeast"/>
              <w:rPr>
                <w:rFonts w:hint="eastAsia" w:ascii="宋体" w:hAnsi="宋体" w:eastAsia="宋体" w:cs="宋体"/>
                <w:lang w:val="en-US" w:eastAsia="zh-CN"/>
              </w:rPr>
            </w:pPr>
            <w:r>
              <w:rPr>
                <w:rFonts w:hint="eastAsia" w:ascii="宋体" w:hAnsi="宋体" w:eastAsia="宋体" w:cs="宋体"/>
                <w:lang w:val="en-US" w:eastAsia="zh-CN"/>
              </w:rPr>
              <w:t>2</w:t>
            </w:r>
          </w:p>
        </w:tc>
      </w:tr>
      <w:tr w14:paraId="62925F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 w:hRule="atLeast"/>
          <w:jc w:val="center"/>
        </w:trPr>
        <w:tc>
          <w:tcPr>
            <w:tcW w:w="733" w:type="dxa"/>
            <w:vMerge w:val="restart"/>
            <w:tcBorders>
              <w:top w:val="single" w:color="000000" w:sz="4" w:space="0"/>
              <w:left w:val="single" w:color="000000" w:sz="4" w:space="0"/>
              <w:right w:val="single" w:color="000000" w:sz="4" w:space="0"/>
            </w:tcBorders>
            <w:vAlign w:val="center"/>
          </w:tcPr>
          <w:p w14:paraId="1200E402">
            <w:pPr>
              <w:spacing w:after="0" w:line="68" w:lineRule="atLeast"/>
              <w:rPr>
                <w:rFonts w:ascii="宋体" w:hAnsi="宋体" w:eastAsia="宋体" w:cs="宋体"/>
              </w:rPr>
            </w:pPr>
          </w:p>
          <w:p w14:paraId="11FCF0B0">
            <w:pPr>
              <w:spacing w:after="0" w:line="68" w:lineRule="atLeast"/>
              <w:rPr>
                <w:rFonts w:ascii="宋体" w:hAnsi="宋体" w:eastAsia="宋体" w:cs="宋体"/>
              </w:rPr>
            </w:pPr>
          </w:p>
          <w:p w14:paraId="12FE9819">
            <w:pPr>
              <w:spacing w:after="0" w:line="68" w:lineRule="atLeast"/>
              <w:rPr>
                <w:rFonts w:ascii="宋体" w:hAnsi="宋体" w:eastAsia="宋体" w:cs="宋体"/>
              </w:rPr>
            </w:pPr>
          </w:p>
          <w:p w14:paraId="585F66EB">
            <w:pPr>
              <w:spacing w:after="0" w:line="68" w:lineRule="atLeast"/>
              <w:rPr>
                <w:rFonts w:ascii="宋体" w:hAnsi="宋体" w:eastAsia="宋体" w:cs="宋体"/>
              </w:rPr>
            </w:pPr>
          </w:p>
          <w:p w14:paraId="7C956D4A">
            <w:pPr>
              <w:spacing w:after="0" w:line="68" w:lineRule="atLeast"/>
              <w:rPr>
                <w:rFonts w:ascii="宋体" w:hAnsi="宋体" w:eastAsia="宋体" w:cs="宋体"/>
              </w:rPr>
            </w:pPr>
          </w:p>
          <w:p w14:paraId="6FCF2866">
            <w:pPr>
              <w:spacing w:after="0" w:line="68" w:lineRule="atLeast"/>
              <w:rPr>
                <w:rFonts w:ascii="宋体" w:hAnsi="宋体" w:eastAsia="宋体" w:cs="宋体"/>
              </w:rPr>
            </w:pPr>
          </w:p>
          <w:p w14:paraId="08C6D580">
            <w:pPr>
              <w:spacing w:after="0" w:line="68" w:lineRule="atLeast"/>
              <w:rPr>
                <w:rFonts w:ascii="宋体" w:hAnsi="宋体" w:eastAsia="宋体" w:cs="宋体"/>
              </w:rPr>
            </w:pPr>
            <w:r>
              <w:rPr>
                <w:rFonts w:hint="eastAsia" w:ascii="宋体" w:hAnsi="宋体" w:eastAsia="宋体" w:cs="宋体"/>
              </w:rPr>
              <w:t>产出(15分)</w:t>
            </w:r>
          </w:p>
          <w:p w14:paraId="0DACC8E9">
            <w:pPr>
              <w:spacing w:after="0" w:line="68" w:lineRule="atLeast"/>
              <w:rPr>
                <w:rFonts w:ascii="宋体" w:hAnsi="宋体" w:eastAsia="宋体" w:cs="宋体"/>
              </w:rPr>
            </w:pPr>
          </w:p>
          <w:p w14:paraId="3544B022">
            <w:pPr>
              <w:spacing w:after="0" w:line="68" w:lineRule="atLeast"/>
              <w:rPr>
                <w:rFonts w:ascii="宋体" w:hAnsi="宋体" w:eastAsia="宋体" w:cs="宋体"/>
              </w:rPr>
            </w:pPr>
          </w:p>
          <w:p w14:paraId="64B67426">
            <w:pPr>
              <w:spacing w:after="0" w:line="68" w:lineRule="atLeast"/>
              <w:rPr>
                <w:rFonts w:ascii="宋体" w:hAnsi="宋体" w:eastAsia="宋体" w:cs="宋体"/>
              </w:rPr>
            </w:pPr>
          </w:p>
          <w:p w14:paraId="62B4AB0B">
            <w:pPr>
              <w:spacing w:after="0" w:line="68" w:lineRule="atLeast"/>
              <w:rPr>
                <w:rFonts w:ascii="宋体" w:hAnsi="宋体" w:eastAsia="宋体" w:cs="宋体"/>
              </w:rPr>
            </w:pPr>
          </w:p>
          <w:p w14:paraId="5D36A472">
            <w:pPr>
              <w:spacing w:after="0" w:line="68" w:lineRule="atLeast"/>
              <w:rPr>
                <w:rFonts w:ascii="宋体" w:hAnsi="宋体" w:eastAsia="宋体" w:cs="宋体"/>
              </w:rPr>
            </w:pPr>
          </w:p>
          <w:p w14:paraId="17A22A8F">
            <w:pPr>
              <w:spacing w:after="0" w:line="68" w:lineRule="atLeast"/>
              <w:rPr>
                <w:rFonts w:ascii="宋体" w:hAnsi="宋体" w:eastAsia="宋体" w:cs="宋体"/>
              </w:rPr>
            </w:pPr>
          </w:p>
          <w:p w14:paraId="37664825">
            <w:pPr>
              <w:spacing w:after="0" w:line="68" w:lineRule="atLeast"/>
              <w:rPr>
                <w:rFonts w:ascii="宋体" w:hAnsi="宋体" w:eastAsia="宋体" w:cs="宋体"/>
              </w:rPr>
            </w:pPr>
          </w:p>
          <w:p w14:paraId="1BDD3CC7">
            <w:pPr>
              <w:spacing w:after="0" w:line="68" w:lineRule="atLeast"/>
              <w:rPr>
                <w:rFonts w:ascii="宋体" w:hAnsi="宋体" w:eastAsia="宋体" w:cs="宋体"/>
              </w:rPr>
            </w:pPr>
          </w:p>
          <w:p w14:paraId="4A43AF3B">
            <w:pPr>
              <w:spacing w:after="0" w:line="68" w:lineRule="atLeast"/>
              <w:rPr>
                <w:rFonts w:ascii="宋体" w:hAnsi="宋体" w:eastAsia="宋体" w:cs="宋体"/>
              </w:rPr>
            </w:pPr>
          </w:p>
          <w:p w14:paraId="5A81A91A">
            <w:pPr>
              <w:spacing w:after="0" w:line="68" w:lineRule="atLeast"/>
              <w:rPr>
                <w:rFonts w:ascii="宋体" w:hAnsi="宋体" w:eastAsia="宋体" w:cs="宋体"/>
              </w:rPr>
            </w:pPr>
            <w:r>
              <w:rPr>
                <w:rFonts w:hint="eastAsia" w:ascii="宋体" w:hAnsi="宋体" w:eastAsia="宋体" w:cs="宋体"/>
              </w:rPr>
              <w:t>产出(15分)</w:t>
            </w:r>
          </w:p>
        </w:tc>
        <w:tc>
          <w:tcPr>
            <w:tcW w:w="803" w:type="dxa"/>
            <w:vMerge w:val="restart"/>
            <w:tcBorders>
              <w:top w:val="single" w:color="000000" w:sz="4" w:space="0"/>
              <w:left w:val="single" w:color="000000" w:sz="4" w:space="0"/>
              <w:right w:val="single" w:color="000000" w:sz="4" w:space="0"/>
            </w:tcBorders>
            <w:vAlign w:val="center"/>
          </w:tcPr>
          <w:p w14:paraId="15A2E9FE">
            <w:pPr>
              <w:spacing w:after="0" w:line="68" w:lineRule="atLeast"/>
              <w:rPr>
                <w:rFonts w:ascii="宋体" w:hAnsi="宋体" w:eastAsia="宋体" w:cs="宋体"/>
              </w:rPr>
            </w:pPr>
            <w:r>
              <w:rPr>
                <w:rFonts w:hint="eastAsia" w:ascii="宋体" w:hAnsi="宋体" w:eastAsia="宋体" w:cs="宋体"/>
              </w:rPr>
              <w:t>职责履行（15分）</w:t>
            </w:r>
          </w:p>
        </w:tc>
        <w:tc>
          <w:tcPr>
            <w:tcW w:w="1182" w:type="dxa"/>
            <w:tcBorders>
              <w:top w:val="single" w:color="000000" w:sz="4" w:space="0"/>
              <w:left w:val="single" w:color="000000" w:sz="4" w:space="0"/>
              <w:bottom w:val="single" w:color="auto" w:sz="4" w:space="0"/>
              <w:right w:val="single" w:color="auto" w:sz="4" w:space="0"/>
            </w:tcBorders>
            <w:vAlign w:val="center"/>
          </w:tcPr>
          <w:p w14:paraId="2033C483">
            <w:pPr>
              <w:spacing w:after="0" w:line="68" w:lineRule="atLeast"/>
              <w:rPr>
                <w:rFonts w:ascii="宋体" w:hAnsi="宋体" w:eastAsia="宋体" w:cs="宋体"/>
              </w:rPr>
            </w:pPr>
            <w:r>
              <w:rPr>
                <w:rFonts w:hint="eastAsia" w:ascii="宋体" w:hAnsi="宋体" w:eastAsia="宋体" w:cs="宋体"/>
              </w:rPr>
              <w:t>项目实际完成率（4分）</w:t>
            </w:r>
          </w:p>
        </w:tc>
        <w:tc>
          <w:tcPr>
            <w:tcW w:w="6911" w:type="dxa"/>
            <w:tcBorders>
              <w:top w:val="single" w:color="000000" w:sz="4" w:space="0"/>
              <w:left w:val="single" w:color="auto" w:sz="4" w:space="0"/>
              <w:bottom w:val="single" w:color="auto" w:sz="4" w:space="0"/>
              <w:right w:val="single" w:color="auto" w:sz="4" w:space="0"/>
            </w:tcBorders>
            <w:vAlign w:val="center"/>
          </w:tcPr>
          <w:p w14:paraId="5D8AA36D">
            <w:pPr>
              <w:spacing w:after="0" w:line="240" w:lineRule="exact"/>
              <w:rPr>
                <w:rFonts w:ascii="宋体" w:hAnsi="宋体" w:eastAsia="宋体" w:cs="宋体"/>
              </w:rPr>
            </w:pPr>
            <w:r>
              <w:rPr>
                <w:rFonts w:hint="eastAsia" w:ascii="宋体" w:hAnsi="宋体" w:eastAsia="宋体" w:cs="宋体"/>
              </w:rPr>
              <w:t>部门履行职责而实际完成的项目数与计划完成的项目数的比率，用以反映和评价部门履职任务目标的实现程度。</w:t>
            </w:r>
          </w:p>
          <w:p w14:paraId="322787AD">
            <w:pPr>
              <w:spacing w:after="0" w:line="68" w:lineRule="atLeast"/>
              <w:rPr>
                <w:rFonts w:ascii="宋体" w:hAnsi="宋体" w:eastAsia="宋体" w:cs="宋体"/>
              </w:rPr>
            </w:pPr>
            <w:r>
              <w:rPr>
                <w:rFonts w:hint="eastAsia" w:ascii="宋体" w:hAnsi="宋体" w:eastAsia="宋体" w:cs="宋体"/>
              </w:rPr>
              <w:t>项目实际完成率=（实际完成项目数/计划完成项目数）×100%。</w:t>
            </w:r>
          </w:p>
        </w:tc>
        <w:tc>
          <w:tcPr>
            <w:tcW w:w="3423" w:type="dxa"/>
            <w:tcBorders>
              <w:top w:val="single" w:color="000000" w:sz="4" w:space="0"/>
              <w:left w:val="single" w:color="auto" w:sz="4" w:space="0"/>
              <w:bottom w:val="single" w:color="auto" w:sz="4" w:space="0"/>
              <w:right w:val="single" w:color="auto" w:sz="4" w:space="0"/>
            </w:tcBorders>
            <w:vAlign w:val="center"/>
          </w:tcPr>
          <w:p w14:paraId="0B2F80B2">
            <w:pPr>
              <w:spacing w:after="0" w:line="68" w:lineRule="atLeast"/>
              <w:rPr>
                <w:rFonts w:ascii="宋体" w:hAnsi="宋体" w:eastAsia="宋体" w:cs="宋体"/>
              </w:rPr>
            </w:pPr>
            <w:r>
              <w:rPr>
                <w:rFonts w:hint="eastAsia" w:ascii="宋体" w:hAnsi="宋体" w:eastAsia="宋体" w:cs="宋体"/>
              </w:rPr>
              <w:t>目标值为100%；</w:t>
            </w:r>
          </w:p>
          <w:p w14:paraId="7B01F7B1">
            <w:pPr>
              <w:spacing w:after="0" w:line="68" w:lineRule="atLeast"/>
              <w:rPr>
                <w:rFonts w:ascii="宋体" w:hAnsi="宋体" w:eastAsia="宋体" w:cs="宋体"/>
              </w:rPr>
            </w:pPr>
            <w:r>
              <w:rPr>
                <w:rFonts w:hint="eastAsia" w:ascii="宋体" w:hAnsi="宋体" w:eastAsia="宋体" w:cs="宋体"/>
              </w:rPr>
              <w:t>达到目标值得4分；</w:t>
            </w:r>
          </w:p>
          <w:p w14:paraId="0C23A466">
            <w:pPr>
              <w:spacing w:after="0" w:line="68" w:lineRule="atLeast"/>
              <w:rPr>
                <w:rFonts w:ascii="宋体" w:hAnsi="宋体" w:eastAsia="宋体" w:cs="宋体"/>
              </w:rPr>
            </w:pPr>
            <w:r>
              <w:rPr>
                <w:rFonts w:hint="eastAsia" w:ascii="宋体" w:hAnsi="宋体" w:eastAsia="宋体" w:cs="宋体"/>
              </w:rPr>
              <w:t>100%＞结果≥95%，得3分；</w:t>
            </w:r>
          </w:p>
          <w:p w14:paraId="0B6C7040">
            <w:pPr>
              <w:spacing w:after="0" w:line="68" w:lineRule="atLeast"/>
              <w:rPr>
                <w:rFonts w:ascii="宋体" w:hAnsi="宋体" w:eastAsia="宋体" w:cs="宋体"/>
              </w:rPr>
            </w:pPr>
            <w:r>
              <w:rPr>
                <w:rFonts w:hint="eastAsia" w:ascii="宋体" w:hAnsi="宋体" w:eastAsia="宋体" w:cs="宋体"/>
              </w:rPr>
              <w:t>95%＞结果≥90%，得2分；</w:t>
            </w:r>
          </w:p>
          <w:p w14:paraId="063C6D64">
            <w:pPr>
              <w:spacing w:after="0" w:line="68" w:lineRule="atLeast"/>
              <w:rPr>
                <w:rFonts w:ascii="宋体" w:hAnsi="宋体" w:eastAsia="宋体" w:cs="宋体"/>
              </w:rPr>
            </w:pPr>
            <w:r>
              <w:rPr>
                <w:rFonts w:hint="eastAsia" w:ascii="宋体" w:hAnsi="宋体" w:eastAsia="宋体" w:cs="宋体"/>
              </w:rPr>
              <w:t>90%＞结果≥85%，得1分；</w:t>
            </w:r>
          </w:p>
          <w:p w14:paraId="5DB4A34A">
            <w:pPr>
              <w:spacing w:after="0" w:line="68" w:lineRule="atLeast"/>
              <w:rPr>
                <w:rFonts w:ascii="宋体" w:hAnsi="宋体" w:eastAsia="宋体" w:cs="宋体"/>
              </w:rPr>
            </w:pPr>
            <w:r>
              <w:rPr>
                <w:rFonts w:hint="eastAsia" w:ascii="宋体" w:hAnsi="宋体" w:eastAsia="宋体" w:cs="宋体"/>
              </w:rPr>
              <w:t>结果＜85%得0分。</w:t>
            </w:r>
          </w:p>
        </w:tc>
        <w:tc>
          <w:tcPr>
            <w:tcW w:w="1090" w:type="dxa"/>
            <w:tcBorders>
              <w:top w:val="single" w:color="000000" w:sz="4" w:space="0"/>
              <w:left w:val="single" w:color="auto" w:sz="4" w:space="0"/>
              <w:bottom w:val="single" w:color="auto" w:sz="4" w:space="0"/>
              <w:right w:val="single" w:color="000000" w:sz="4" w:space="0"/>
            </w:tcBorders>
            <w:vAlign w:val="center"/>
          </w:tcPr>
          <w:p w14:paraId="2E7A3524">
            <w:pPr>
              <w:spacing w:after="0" w:line="68" w:lineRule="atLeast"/>
              <w:rPr>
                <w:rFonts w:hint="eastAsia" w:ascii="宋体" w:hAnsi="宋体" w:eastAsia="宋体" w:cs="宋体"/>
                <w:lang w:val="en-US" w:eastAsia="zh-CN"/>
              </w:rPr>
            </w:pPr>
            <w:r>
              <w:rPr>
                <w:rFonts w:hint="eastAsia" w:ascii="宋体" w:hAnsi="宋体" w:eastAsia="宋体" w:cs="宋体"/>
              </w:rPr>
              <w:t> </w:t>
            </w:r>
            <w:r>
              <w:rPr>
                <w:rFonts w:hint="eastAsia" w:ascii="宋体" w:hAnsi="宋体" w:eastAsia="宋体" w:cs="宋体"/>
                <w:lang w:val="en-US" w:eastAsia="zh-CN"/>
              </w:rPr>
              <w:t>4</w:t>
            </w:r>
          </w:p>
        </w:tc>
      </w:tr>
      <w:tr w14:paraId="281544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19" w:hRule="atLeast"/>
          <w:jc w:val="center"/>
        </w:trPr>
        <w:tc>
          <w:tcPr>
            <w:tcW w:w="733" w:type="dxa"/>
            <w:vMerge w:val="continue"/>
            <w:tcBorders>
              <w:left w:val="single" w:color="000000" w:sz="4" w:space="0"/>
              <w:right w:val="single" w:color="000000" w:sz="4" w:space="0"/>
            </w:tcBorders>
            <w:vAlign w:val="center"/>
          </w:tcPr>
          <w:p w14:paraId="5155928D">
            <w:pPr>
              <w:spacing w:after="0"/>
              <w:rPr>
                <w:rFonts w:ascii="宋体" w:hAnsi="宋体" w:eastAsia="宋体" w:cs="宋体"/>
              </w:rPr>
            </w:pPr>
          </w:p>
        </w:tc>
        <w:tc>
          <w:tcPr>
            <w:tcW w:w="803" w:type="dxa"/>
            <w:vMerge w:val="continue"/>
            <w:tcBorders>
              <w:left w:val="single" w:color="000000" w:sz="4" w:space="0"/>
              <w:right w:val="single" w:color="000000" w:sz="4" w:space="0"/>
            </w:tcBorders>
            <w:vAlign w:val="center"/>
          </w:tcPr>
          <w:p w14:paraId="6389F56D">
            <w:pPr>
              <w:spacing w:after="0"/>
              <w:rPr>
                <w:rFonts w:ascii="宋体" w:hAnsi="宋体" w:eastAsia="宋体" w:cs="宋体"/>
              </w:rPr>
            </w:pPr>
          </w:p>
        </w:tc>
        <w:tc>
          <w:tcPr>
            <w:tcW w:w="1182" w:type="dxa"/>
            <w:tcBorders>
              <w:top w:val="single" w:color="000000" w:sz="4" w:space="0"/>
              <w:left w:val="single" w:color="000000" w:sz="4" w:space="0"/>
              <w:bottom w:val="single" w:color="auto" w:sz="4" w:space="0"/>
              <w:right w:val="single" w:color="auto" w:sz="4" w:space="0"/>
            </w:tcBorders>
            <w:vAlign w:val="center"/>
          </w:tcPr>
          <w:p w14:paraId="26890F63">
            <w:pPr>
              <w:spacing w:after="0" w:line="68" w:lineRule="atLeast"/>
              <w:rPr>
                <w:rFonts w:ascii="宋体" w:hAnsi="宋体" w:eastAsia="宋体" w:cs="宋体"/>
              </w:rPr>
            </w:pPr>
            <w:r>
              <w:rPr>
                <w:rFonts w:hint="eastAsia" w:ascii="宋体" w:hAnsi="宋体" w:eastAsia="宋体" w:cs="宋体"/>
              </w:rPr>
              <w:t>项目质量达标率（4分）</w:t>
            </w:r>
          </w:p>
        </w:tc>
        <w:tc>
          <w:tcPr>
            <w:tcW w:w="6911" w:type="dxa"/>
            <w:tcBorders>
              <w:top w:val="single" w:color="000000" w:sz="4" w:space="0"/>
              <w:left w:val="single" w:color="auto" w:sz="4" w:space="0"/>
              <w:bottom w:val="single" w:color="auto" w:sz="4" w:space="0"/>
              <w:right w:val="single" w:color="auto" w:sz="4" w:space="0"/>
            </w:tcBorders>
            <w:vAlign w:val="center"/>
          </w:tcPr>
          <w:p w14:paraId="07CB5525">
            <w:pPr>
              <w:spacing w:after="0" w:line="240" w:lineRule="exact"/>
              <w:rPr>
                <w:rFonts w:ascii="宋体" w:hAnsi="宋体" w:eastAsia="宋体" w:cs="宋体"/>
              </w:rPr>
            </w:pPr>
            <w:r>
              <w:rPr>
                <w:rFonts w:hint="eastAsia" w:ascii="宋体" w:hAnsi="宋体" w:eastAsia="宋体" w:cs="宋体"/>
              </w:rPr>
              <w:t>部门已完成项目中质量达标项目个数占已完成项目个数的比率,用以反映和评价部门履职质量目标的实现程度。</w:t>
            </w:r>
          </w:p>
          <w:p w14:paraId="47808240">
            <w:pPr>
              <w:spacing w:after="0" w:line="240" w:lineRule="exact"/>
              <w:rPr>
                <w:rFonts w:ascii="宋体" w:hAnsi="宋体" w:eastAsia="宋体" w:cs="宋体"/>
              </w:rPr>
            </w:pPr>
            <w:r>
              <w:rPr>
                <w:rFonts w:hint="eastAsia" w:ascii="宋体" w:hAnsi="宋体" w:eastAsia="宋体" w:cs="宋体"/>
              </w:rPr>
              <w:t>项目质量达标率=（已完成项目中质量达标项目个数/已完成项目个数）×100%。</w:t>
            </w:r>
          </w:p>
          <w:p w14:paraId="6F85E0AA">
            <w:pPr>
              <w:spacing w:after="0" w:line="68" w:lineRule="atLeast"/>
              <w:rPr>
                <w:rFonts w:ascii="宋体" w:hAnsi="宋体" w:eastAsia="宋体" w:cs="宋体"/>
              </w:rPr>
            </w:pPr>
            <w:r>
              <w:rPr>
                <w:rFonts w:hint="eastAsia" w:ascii="宋体" w:hAnsi="宋体" w:eastAsia="宋体" w:cs="宋体"/>
              </w:rPr>
              <w:t>项目质量达标是指项目决算验收合格。</w:t>
            </w:r>
          </w:p>
        </w:tc>
        <w:tc>
          <w:tcPr>
            <w:tcW w:w="3423" w:type="dxa"/>
            <w:tcBorders>
              <w:top w:val="single" w:color="000000" w:sz="4" w:space="0"/>
              <w:left w:val="single" w:color="auto" w:sz="4" w:space="0"/>
              <w:bottom w:val="single" w:color="auto" w:sz="4" w:space="0"/>
              <w:right w:val="single" w:color="auto" w:sz="4" w:space="0"/>
            </w:tcBorders>
            <w:vAlign w:val="center"/>
          </w:tcPr>
          <w:p w14:paraId="647E469C">
            <w:pPr>
              <w:spacing w:after="0" w:line="68" w:lineRule="atLeast"/>
              <w:rPr>
                <w:rFonts w:ascii="宋体" w:hAnsi="宋体" w:eastAsia="宋体" w:cs="宋体"/>
              </w:rPr>
            </w:pPr>
            <w:r>
              <w:rPr>
                <w:rFonts w:hint="eastAsia" w:ascii="宋体" w:hAnsi="宋体" w:eastAsia="宋体" w:cs="宋体"/>
              </w:rPr>
              <w:t>目标值100%；以4分为上限，采用完成比率法计分：得分=项目质量达标率×4，≤95%的扣4分。</w:t>
            </w:r>
          </w:p>
        </w:tc>
        <w:tc>
          <w:tcPr>
            <w:tcW w:w="1090" w:type="dxa"/>
            <w:tcBorders>
              <w:top w:val="single" w:color="000000" w:sz="4" w:space="0"/>
              <w:left w:val="single" w:color="auto" w:sz="4" w:space="0"/>
              <w:bottom w:val="single" w:color="auto" w:sz="4" w:space="0"/>
              <w:right w:val="single" w:color="000000" w:sz="4" w:space="0"/>
            </w:tcBorders>
            <w:vAlign w:val="center"/>
          </w:tcPr>
          <w:p w14:paraId="7FE9325E">
            <w:pPr>
              <w:spacing w:after="0" w:line="68" w:lineRule="atLeast"/>
              <w:rPr>
                <w:rFonts w:hint="eastAsia" w:ascii="宋体" w:hAnsi="宋体" w:eastAsia="宋体" w:cs="宋体"/>
                <w:lang w:val="en-US" w:eastAsia="zh-CN"/>
              </w:rPr>
            </w:pPr>
            <w:r>
              <w:rPr>
                <w:rFonts w:hint="eastAsia" w:ascii="宋体" w:hAnsi="宋体" w:eastAsia="宋体" w:cs="宋体"/>
              </w:rPr>
              <w:t> </w:t>
            </w:r>
            <w:r>
              <w:rPr>
                <w:rFonts w:hint="eastAsia" w:ascii="宋体" w:hAnsi="宋体" w:eastAsia="宋体" w:cs="宋体"/>
                <w:lang w:val="en-US" w:eastAsia="zh-CN"/>
              </w:rPr>
              <w:t>4</w:t>
            </w:r>
          </w:p>
        </w:tc>
      </w:tr>
      <w:tr w14:paraId="42A6A8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41" w:hRule="atLeast"/>
          <w:jc w:val="center"/>
        </w:trPr>
        <w:tc>
          <w:tcPr>
            <w:tcW w:w="733" w:type="dxa"/>
            <w:vMerge w:val="continue"/>
            <w:tcBorders>
              <w:left w:val="single" w:color="000000" w:sz="4" w:space="0"/>
              <w:right w:val="single" w:color="000000" w:sz="4" w:space="0"/>
            </w:tcBorders>
            <w:vAlign w:val="center"/>
          </w:tcPr>
          <w:p w14:paraId="36FC84AC">
            <w:pPr>
              <w:spacing w:after="0"/>
              <w:rPr>
                <w:rFonts w:ascii="宋体" w:hAnsi="宋体" w:eastAsia="宋体" w:cs="宋体"/>
              </w:rPr>
            </w:pPr>
          </w:p>
        </w:tc>
        <w:tc>
          <w:tcPr>
            <w:tcW w:w="803" w:type="dxa"/>
            <w:vMerge w:val="continue"/>
            <w:tcBorders>
              <w:left w:val="single" w:color="000000" w:sz="4" w:space="0"/>
              <w:right w:val="single" w:color="000000" w:sz="4" w:space="0"/>
            </w:tcBorders>
            <w:vAlign w:val="center"/>
          </w:tcPr>
          <w:p w14:paraId="2BADAACA">
            <w:pPr>
              <w:spacing w:after="0"/>
              <w:rPr>
                <w:rFonts w:ascii="宋体" w:hAnsi="宋体" w:eastAsia="宋体" w:cs="宋体"/>
              </w:rPr>
            </w:pPr>
          </w:p>
        </w:tc>
        <w:tc>
          <w:tcPr>
            <w:tcW w:w="1182" w:type="dxa"/>
            <w:tcBorders>
              <w:top w:val="single" w:color="000000" w:sz="4" w:space="0"/>
              <w:left w:val="single" w:color="000000" w:sz="4" w:space="0"/>
              <w:bottom w:val="single" w:color="auto" w:sz="4" w:space="0"/>
              <w:right w:val="single" w:color="auto" w:sz="4" w:space="0"/>
            </w:tcBorders>
            <w:vAlign w:val="center"/>
          </w:tcPr>
          <w:p w14:paraId="602266B8">
            <w:pPr>
              <w:spacing w:after="0" w:line="68" w:lineRule="atLeast"/>
              <w:rPr>
                <w:rFonts w:ascii="宋体" w:hAnsi="宋体" w:eastAsia="宋体" w:cs="宋体"/>
              </w:rPr>
            </w:pPr>
            <w:r>
              <w:rPr>
                <w:rFonts w:hint="eastAsia" w:ascii="宋体" w:hAnsi="宋体" w:eastAsia="宋体" w:cs="宋体"/>
              </w:rPr>
              <w:t>重点工作办结率（4分）</w:t>
            </w:r>
          </w:p>
        </w:tc>
        <w:tc>
          <w:tcPr>
            <w:tcW w:w="6911" w:type="dxa"/>
            <w:tcBorders>
              <w:top w:val="single" w:color="000000" w:sz="4" w:space="0"/>
              <w:left w:val="single" w:color="auto" w:sz="4" w:space="0"/>
              <w:bottom w:val="single" w:color="auto" w:sz="4" w:space="0"/>
              <w:right w:val="single" w:color="auto" w:sz="4" w:space="0"/>
            </w:tcBorders>
            <w:vAlign w:val="center"/>
          </w:tcPr>
          <w:p w14:paraId="5455DBBA">
            <w:pPr>
              <w:spacing w:after="0" w:line="68" w:lineRule="atLeast"/>
              <w:rPr>
                <w:rFonts w:ascii="宋体" w:hAnsi="宋体" w:eastAsia="宋体" w:cs="宋体"/>
              </w:rPr>
            </w:pPr>
            <w:r>
              <w:rPr>
                <w:rFonts w:hint="eastAsia" w:ascii="宋体" w:hAnsi="宋体" w:eastAsia="宋体" w:cs="宋体"/>
              </w:rPr>
              <w:t>部门年度重点工作实际完成数与交办或下达数的比率，用以反映部门对重点工作的办理落实程度。</w:t>
            </w:r>
          </w:p>
          <w:p w14:paraId="23D3F94D">
            <w:pPr>
              <w:spacing w:after="0" w:line="68" w:lineRule="atLeast"/>
              <w:rPr>
                <w:rFonts w:ascii="宋体" w:hAnsi="宋体" w:eastAsia="宋体" w:cs="宋体"/>
              </w:rPr>
            </w:pPr>
            <w:r>
              <w:rPr>
                <w:rFonts w:hint="eastAsia" w:ascii="宋体" w:hAnsi="宋体" w:eastAsia="宋体" w:cs="宋体"/>
              </w:rPr>
              <w:t>重点工作办结率=（重点工作实际完成数/交办或下达数）×100%。</w:t>
            </w:r>
          </w:p>
          <w:p w14:paraId="31D39BF1">
            <w:pPr>
              <w:spacing w:after="0" w:line="68" w:lineRule="atLeast"/>
              <w:rPr>
                <w:rFonts w:ascii="宋体" w:hAnsi="宋体" w:eastAsia="宋体" w:cs="宋体"/>
              </w:rPr>
            </w:pPr>
            <w:r>
              <w:rPr>
                <w:rFonts w:hint="eastAsia" w:ascii="宋体" w:hAnsi="宋体" w:eastAsia="宋体" w:cs="宋体"/>
              </w:rPr>
              <w:t>重点工作是指党委、政府、人大、相关部门交办或下达的工作任务。</w:t>
            </w:r>
          </w:p>
        </w:tc>
        <w:tc>
          <w:tcPr>
            <w:tcW w:w="3423" w:type="dxa"/>
            <w:tcBorders>
              <w:top w:val="single" w:color="000000" w:sz="4" w:space="0"/>
              <w:left w:val="single" w:color="auto" w:sz="4" w:space="0"/>
              <w:bottom w:val="single" w:color="auto" w:sz="4" w:space="0"/>
              <w:right w:val="single" w:color="auto" w:sz="4" w:space="0"/>
            </w:tcBorders>
            <w:vAlign w:val="center"/>
          </w:tcPr>
          <w:p w14:paraId="2878FDAF">
            <w:pPr>
              <w:spacing w:after="0" w:line="68" w:lineRule="atLeast"/>
              <w:rPr>
                <w:rFonts w:ascii="宋体" w:hAnsi="宋体" w:eastAsia="宋体" w:cs="宋体"/>
              </w:rPr>
            </w:pPr>
            <w:r>
              <w:rPr>
                <w:rFonts w:hint="eastAsia" w:ascii="宋体" w:hAnsi="宋体" w:eastAsia="宋体" w:cs="宋体"/>
              </w:rPr>
              <w:t>目标值100%；以4分为上限，采用完成比率法计分：得分=重点工作办结率×4，≤90%的扣4分。</w:t>
            </w:r>
          </w:p>
        </w:tc>
        <w:tc>
          <w:tcPr>
            <w:tcW w:w="1090" w:type="dxa"/>
            <w:tcBorders>
              <w:top w:val="single" w:color="000000" w:sz="4" w:space="0"/>
              <w:left w:val="single" w:color="auto" w:sz="4" w:space="0"/>
              <w:bottom w:val="single" w:color="auto" w:sz="4" w:space="0"/>
              <w:right w:val="single" w:color="000000" w:sz="4" w:space="0"/>
            </w:tcBorders>
            <w:vAlign w:val="center"/>
          </w:tcPr>
          <w:p w14:paraId="344CED3C">
            <w:pPr>
              <w:spacing w:after="0" w:line="68" w:lineRule="atLeast"/>
              <w:rPr>
                <w:rFonts w:hint="eastAsia" w:ascii="宋体" w:hAnsi="宋体" w:eastAsia="宋体" w:cs="宋体"/>
                <w:lang w:val="en-US" w:eastAsia="zh-CN"/>
              </w:rPr>
            </w:pPr>
            <w:r>
              <w:rPr>
                <w:rFonts w:hint="eastAsia" w:ascii="宋体" w:hAnsi="宋体" w:eastAsia="宋体" w:cs="宋体"/>
              </w:rPr>
              <w:t> </w:t>
            </w:r>
            <w:r>
              <w:rPr>
                <w:rFonts w:hint="eastAsia" w:ascii="宋体" w:hAnsi="宋体" w:eastAsia="宋体" w:cs="宋体"/>
                <w:lang w:val="en-US" w:eastAsia="zh-CN"/>
              </w:rPr>
              <w:t>4</w:t>
            </w:r>
          </w:p>
        </w:tc>
      </w:tr>
      <w:tr w14:paraId="15DEBB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39" w:hRule="atLeast"/>
          <w:jc w:val="center"/>
        </w:trPr>
        <w:tc>
          <w:tcPr>
            <w:tcW w:w="733" w:type="dxa"/>
            <w:vMerge w:val="continue"/>
            <w:tcBorders>
              <w:left w:val="single" w:color="000000" w:sz="4" w:space="0"/>
              <w:bottom w:val="single" w:color="000000" w:sz="4" w:space="0"/>
              <w:right w:val="single" w:color="000000" w:sz="4" w:space="0"/>
            </w:tcBorders>
            <w:vAlign w:val="center"/>
          </w:tcPr>
          <w:p w14:paraId="70C020E3">
            <w:pPr>
              <w:spacing w:after="0"/>
              <w:rPr>
                <w:rFonts w:ascii="宋体" w:hAnsi="宋体" w:eastAsia="宋体" w:cs="宋体"/>
              </w:rPr>
            </w:pPr>
          </w:p>
        </w:tc>
        <w:tc>
          <w:tcPr>
            <w:tcW w:w="803" w:type="dxa"/>
            <w:vMerge w:val="continue"/>
            <w:tcBorders>
              <w:left w:val="single" w:color="000000" w:sz="4" w:space="0"/>
              <w:bottom w:val="single" w:color="000000" w:sz="4" w:space="0"/>
              <w:right w:val="single" w:color="000000" w:sz="4" w:space="0"/>
            </w:tcBorders>
            <w:vAlign w:val="center"/>
          </w:tcPr>
          <w:p w14:paraId="644E7021">
            <w:pPr>
              <w:spacing w:after="0"/>
              <w:rPr>
                <w:rFonts w:ascii="宋体" w:hAnsi="宋体" w:eastAsia="宋体" w:cs="宋体"/>
              </w:rPr>
            </w:pPr>
          </w:p>
        </w:tc>
        <w:tc>
          <w:tcPr>
            <w:tcW w:w="1182" w:type="dxa"/>
            <w:tcBorders>
              <w:top w:val="single" w:color="000000" w:sz="4" w:space="0"/>
              <w:left w:val="single" w:color="000000" w:sz="4" w:space="0"/>
              <w:bottom w:val="single" w:color="auto" w:sz="4" w:space="0"/>
              <w:right w:val="single" w:color="auto" w:sz="4" w:space="0"/>
            </w:tcBorders>
            <w:vAlign w:val="center"/>
          </w:tcPr>
          <w:p w14:paraId="44F63EC8">
            <w:pPr>
              <w:spacing w:after="0" w:line="68" w:lineRule="atLeast"/>
              <w:rPr>
                <w:rFonts w:ascii="宋体" w:hAnsi="宋体" w:eastAsia="宋体" w:cs="宋体"/>
              </w:rPr>
            </w:pPr>
            <w:r>
              <w:rPr>
                <w:rFonts w:hint="eastAsia" w:ascii="宋体" w:hAnsi="宋体" w:eastAsia="宋体" w:cs="宋体"/>
              </w:rPr>
              <w:t>部门绩效自评项目占比率（3分）</w:t>
            </w:r>
          </w:p>
        </w:tc>
        <w:tc>
          <w:tcPr>
            <w:tcW w:w="6911" w:type="dxa"/>
            <w:tcBorders>
              <w:top w:val="single" w:color="000000" w:sz="4" w:space="0"/>
              <w:left w:val="single" w:color="auto" w:sz="4" w:space="0"/>
              <w:bottom w:val="single" w:color="auto" w:sz="4" w:space="0"/>
              <w:right w:val="single" w:color="auto" w:sz="4" w:space="0"/>
            </w:tcBorders>
            <w:vAlign w:val="center"/>
          </w:tcPr>
          <w:p w14:paraId="337066AA">
            <w:pPr>
              <w:spacing w:after="0" w:line="240" w:lineRule="exact"/>
              <w:rPr>
                <w:rFonts w:ascii="宋体" w:hAnsi="宋体" w:eastAsia="宋体" w:cs="宋体"/>
              </w:rPr>
            </w:pPr>
            <w:r>
              <w:rPr>
                <w:rFonts w:hint="eastAsia" w:ascii="宋体" w:hAnsi="宋体" w:eastAsia="宋体" w:cs="宋体"/>
              </w:rPr>
              <w:t>部门自评项目在所有项目中所占的份额，反映和评价部门对项目自评的重视程度。</w:t>
            </w:r>
          </w:p>
          <w:p w14:paraId="4D096849">
            <w:pPr>
              <w:spacing w:after="0" w:line="240" w:lineRule="exact"/>
              <w:rPr>
                <w:rFonts w:ascii="宋体" w:hAnsi="宋体" w:eastAsia="宋体" w:cs="宋体"/>
              </w:rPr>
            </w:pPr>
            <w:r>
              <w:rPr>
                <w:rFonts w:hint="eastAsia" w:ascii="宋体" w:hAnsi="宋体" w:eastAsia="宋体" w:cs="宋体"/>
              </w:rPr>
              <w:t>占比率=(自评项目资金量/项目支出资金量)×100%。</w:t>
            </w:r>
          </w:p>
          <w:p w14:paraId="0E589C4A">
            <w:pPr>
              <w:spacing w:after="0" w:line="68" w:lineRule="atLeast"/>
              <w:rPr>
                <w:rFonts w:ascii="宋体" w:hAnsi="宋体" w:eastAsia="宋体" w:cs="宋体"/>
              </w:rPr>
            </w:pPr>
            <w:r>
              <w:rPr>
                <w:rFonts w:hint="eastAsia" w:ascii="宋体" w:hAnsi="宋体" w:eastAsia="宋体" w:cs="宋体"/>
              </w:rPr>
              <w:t>部门支出项目绩效自评范围：本年度列入本级财政预算安排的项目。</w:t>
            </w:r>
          </w:p>
        </w:tc>
        <w:tc>
          <w:tcPr>
            <w:tcW w:w="3423" w:type="dxa"/>
            <w:tcBorders>
              <w:top w:val="single" w:color="000000" w:sz="4" w:space="0"/>
              <w:left w:val="single" w:color="auto" w:sz="4" w:space="0"/>
              <w:bottom w:val="single" w:color="auto" w:sz="4" w:space="0"/>
              <w:right w:val="single" w:color="auto" w:sz="4" w:space="0"/>
            </w:tcBorders>
            <w:vAlign w:val="center"/>
          </w:tcPr>
          <w:p w14:paraId="309963EA">
            <w:pPr>
              <w:spacing w:after="0" w:line="68" w:lineRule="atLeast"/>
              <w:rPr>
                <w:rFonts w:ascii="宋体" w:hAnsi="宋体" w:eastAsia="宋体" w:cs="宋体"/>
              </w:rPr>
            </w:pPr>
            <w:r>
              <w:rPr>
                <w:rFonts w:hint="eastAsia" w:ascii="宋体" w:hAnsi="宋体" w:eastAsia="宋体" w:cs="宋体"/>
              </w:rPr>
              <w:t>达到目标值得3分，未达到目标值采用完成比率法计分：得分=占比率/目标值×3，超过目标值不加分。</w:t>
            </w:r>
          </w:p>
        </w:tc>
        <w:tc>
          <w:tcPr>
            <w:tcW w:w="1090" w:type="dxa"/>
            <w:tcBorders>
              <w:top w:val="single" w:color="000000" w:sz="4" w:space="0"/>
              <w:left w:val="single" w:color="auto" w:sz="4" w:space="0"/>
              <w:bottom w:val="single" w:color="auto" w:sz="4" w:space="0"/>
              <w:right w:val="single" w:color="000000" w:sz="4" w:space="0"/>
            </w:tcBorders>
            <w:vAlign w:val="center"/>
          </w:tcPr>
          <w:p w14:paraId="5FDF421F">
            <w:pPr>
              <w:spacing w:after="0" w:line="68" w:lineRule="atLeast"/>
              <w:rPr>
                <w:rFonts w:hint="eastAsia" w:ascii="宋体" w:hAnsi="宋体" w:eastAsia="宋体" w:cs="宋体"/>
                <w:lang w:val="en-US" w:eastAsia="zh-CN"/>
              </w:rPr>
            </w:pPr>
            <w:r>
              <w:rPr>
                <w:rFonts w:hint="eastAsia" w:ascii="宋体" w:hAnsi="宋体" w:eastAsia="宋体" w:cs="宋体"/>
                <w:lang w:val="en-US" w:eastAsia="zh-CN"/>
              </w:rPr>
              <w:t>3</w:t>
            </w:r>
          </w:p>
        </w:tc>
      </w:tr>
      <w:tr w14:paraId="2C8400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68" w:hRule="atLeast"/>
          <w:jc w:val="center"/>
        </w:trPr>
        <w:tc>
          <w:tcPr>
            <w:tcW w:w="733" w:type="dxa"/>
            <w:vMerge w:val="restart"/>
            <w:tcBorders>
              <w:top w:val="single" w:color="000000" w:sz="4" w:space="0"/>
              <w:left w:val="single" w:color="000000" w:sz="4" w:space="0"/>
              <w:right w:val="single" w:color="000000" w:sz="4" w:space="0"/>
            </w:tcBorders>
            <w:vAlign w:val="center"/>
          </w:tcPr>
          <w:p w14:paraId="71C46620">
            <w:pPr>
              <w:spacing w:after="0" w:line="68" w:lineRule="atLeast"/>
              <w:rPr>
                <w:rFonts w:ascii="宋体" w:hAnsi="宋体" w:eastAsia="宋体" w:cs="宋体"/>
              </w:rPr>
            </w:pPr>
          </w:p>
          <w:p w14:paraId="079F486C">
            <w:pPr>
              <w:spacing w:after="0" w:line="68" w:lineRule="atLeast"/>
              <w:rPr>
                <w:rFonts w:ascii="宋体" w:hAnsi="宋体" w:eastAsia="宋体" w:cs="宋体"/>
              </w:rPr>
            </w:pPr>
          </w:p>
          <w:p w14:paraId="4BFF0B5E">
            <w:pPr>
              <w:spacing w:after="0" w:line="68" w:lineRule="atLeast"/>
              <w:rPr>
                <w:rFonts w:ascii="宋体" w:hAnsi="宋体" w:eastAsia="宋体" w:cs="宋体"/>
              </w:rPr>
            </w:pPr>
          </w:p>
          <w:p w14:paraId="3D54533D">
            <w:pPr>
              <w:spacing w:after="0" w:line="68" w:lineRule="atLeast"/>
              <w:rPr>
                <w:rFonts w:ascii="宋体" w:hAnsi="宋体" w:eastAsia="宋体" w:cs="宋体"/>
              </w:rPr>
            </w:pPr>
          </w:p>
          <w:p w14:paraId="7F2FFCA7">
            <w:pPr>
              <w:spacing w:after="0" w:line="68" w:lineRule="atLeast"/>
              <w:rPr>
                <w:rFonts w:ascii="宋体" w:hAnsi="宋体" w:eastAsia="宋体" w:cs="宋体"/>
              </w:rPr>
            </w:pPr>
          </w:p>
          <w:p w14:paraId="6EB9FEB9">
            <w:pPr>
              <w:spacing w:after="0" w:line="68" w:lineRule="atLeast"/>
              <w:rPr>
                <w:rFonts w:ascii="宋体" w:hAnsi="宋体" w:eastAsia="宋体" w:cs="宋体"/>
              </w:rPr>
            </w:pPr>
          </w:p>
          <w:p w14:paraId="4D335C72">
            <w:pPr>
              <w:spacing w:after="0" w:line="68" w:lineRule="atLeast"/>
              <w:rPr>
                <w:rFonts w:ascii="宋体" w:hAnsi="宋体" w:eastAsia="宋体" w:cs="宋体"/>
              </w:rPr>
            </w:pPr>
          </w:p>
          <w:p w14:paraId="77C390C6">
            <w:pPr>
              <w:spacing w:after="0" w:line="68" w:lineRule="atLeast"/>
              <w:rPr>
                <w:rFonts w:ascii="宋体" w:hAnsi="宋体" w:eastAsia="宋体" w:cs="宋体"/>
              </w:rPr>
            </w:pPr>
            <w:r>
              <w:rPr>
                <w:rFonts w:hint="eastAsia" w:ascii="宋体" w:hAnsi="宋体" w:eastAsia="宋体" w:cs="宋体"/>
              </w:rPr>
              <w:t>效果（15）</w:t>
            </w:r>
          </w:p>
          <w:p w14:paraId="71D98289">
            <w:pPr>
              <w:spacing w:after="0" w:line="68" w:lineRule="atLeast"/>
              <w:rPr>
                <w:rFonts w:ascii="宋体" w:hAnsi="宋体" w:eastAsia="宋体" w:cs="宋体"/>
              </w:rPr>
            </w:pPr>
          </w:p>
          <w:p w14:paraId="29146444">
            <w:pPr>
              <w:spacing w:after="0" w:line="68" w:lineRule="atLeast"/>
              <w:rPr>
                <w:rFonts w:ascii="宋体" w:hAnsi="宋体" w:eastAsia="宋体" w:cs="宋体"/>
              </w:rPr>
            </w:pPr>
          </w:p>
          <w:p w14:paraId="584AD2CB">
            <w:pPr>
              <w:spacing w:after="0" w:line="68" w:lineRule="atLeast"/>
              <w:rPr>
                <w:rFonts w:ascii="宋体" w:hAnsi="宋体" w:eastAsia="宋体" w:cs="宋体"/>
              </w:rPr>
            </w:pPr>
          </w:p>
          <w:p w14:paraId="7E0E826F">
            <w:pPr>
              <w:spacing w:after="0" w:line="68" w:lineRule="atLeast"/>
              <w:rPr>
                <w:rFonts w:ascii="宋体" w:hAnsi="宋体" w:eastAsia="宋体" w:cs="宋体"/>
              </w:rPr>
            </w:pPr>
          </w:p>
          <w:p w14:paraId="4CE00652">
            <w:pPr>
              <w:spacing w:after="0" w:line="68" w:lineRule="atLeast"/>
              <w:rPr>
                <w:rFonts w:ascii="宋体" w:hAnsi="宋体" w:eastAsia="宋体" w:cs="宋体"/>
              </w:rPr>
            </w:pPr>
          </w:p>
          <w:p w14:paraId="024C26F3">
            <w:pPr>
              <w:spacing w:after="0" w:line="68" w:lineRule="atLeast"/>
              <w:rPr>
                <w:rFonts w:ascii="宋体" w:hAnsi="宋体" w:eastAsia="宋体" w:cs="宋体"/>
              </w:rPr>
            </w:pPr>
          </w:p>
          <w:p w14:paraId="7EDFF4DE">
            <w:pPr>
              <w:spacing w:after="0" w:line="68" w:lineRule="atLeast"/>
              <w:rPr>
                <w:rFonts w:ascii="宋体" w:hAnsi="宋体" w:eastAsia="宋体" w:cs="宋体"/>
              </w:rPr>
            </w:pPr>
          </w:p>
          <w:p w14:paraId="5D715439">
            <w:pPr>
              <w:spacing w:after="0" w:line="68" w:lineRule="atLeast"/>
              <w:rPr>
                <w:rFonts w:ascii="宋体" w:hAnsi="宋体" w:eastAsia="宋体" w:cs="宋体"/>
              </w:rPr>
            </w:pPr>
          </w:p>
          <w:p w14:paraId="3F5C86EC">
            <w:pPr>
              <w:spacing w:after="0" w:line="68" w:lineRule="atLeast"/>
              <w:rPr>
                <w:rFonts w:ascii="宋体" w:hAnsi="宋体" w:eastAsia="宋体" w:cs="宋体"/>
              </w:rPr>
            </w:pPr>
          </w:p>
          <w:p w14:paraId="339A180F">
            <w:pPr>
              <w:spacing w:after="0" w:line="68" w:lineRule="atLeast"/>
              <w:rPr>
                <w:rFonts w:ascii="宋体" w:hAnsi="宋体" w:eastAsia="宋体" w:cs="宋体"/>
              </w:rPr>
            </w:pPr>
          </w:p>
          <w:p w14:paraId="0A78EF4F">
            <w:pPr>
              <w:spacing w:after="0" w:line="68" w:lineRule="atLeast"/>
              <w:rPr>
                <w:rFonts w:ascii="宋体" w:hAnsi="宋体" w:eastAsia="宋体" w:cs="宋体"/>
              </w:rPr>
            </w:pPr>
          </w:p>
          <w:p w14:paraId="5895DF1D">
            <w:pPr>
              <w:spacing w:after="0" w:line="68" w:lineRule="atLeast"/>
              <w:rPr>
                <w:rFonts w:ascii="宋体" w:hAnsi="宋体" w:eastAsia="宋体" w:cs="宋体"/>
              </w:rPr>
            </w:pPr>
          </w:p>
          <w:p w14:paraId="0FE243C9">
            <w:pPr>
              <w:spacing w:after="0" w:line="68" w:lineRule="atLeast"/>
              <w:rPr>
                <w:rFonts w:ascii="宋体" w:hAnsi="宋体" w:eastAsia="宋体" w:cs="宋体"/>
              </w:rPr>
            </w:pPr>
          </w:p>
          <w:p w14:paraId="70D4C977">
            <w:pPr>
              <w:spacing w:after="0" w:line="68" w:lineRule="atLeast"/>
              <w:rPr>
                <w:rFonts w:ascii="宋体" w:hAnsi="宋体" w:eastAsia="宋体" w:cs="宋体"/>
              </w:rPr>
            </w:pPr>
          </w:p>
          <w:p w14:paraId="734E2D57">
            <w:pPr>
              <w:spacing w:after="0" w:line="68" w:lineRule="atLeast"/>
              <w:rPr>
                <w:rFonts w:ascii="宋体" w:hAnsi="宋体" w:eastAsia="宋体" w:cs="宋体"/>
              </w:rPr>
            </w:pPr>
          </w:p>
          <w:p w14:paraId="6073740A">
            <w:pPr>
              <w:spacing w:after="0" w:line="68" w:lineRule="atLeast"/>
              <w:rPr>
                <w:rFonts w:ascii="宋体" w:hAnsi="宋体" w:eastAsia="宋体" w:cs="宋体"/>
              </w:rPr>
            </w:pPr>
          </w:p>
          <w:p w14:paraId="46EA7CFF">
            <w:pPr>
              <w:spacing w:after="0" w:line="68" w:lineRule="atLeast"/>
              <w:rPr>
                <w:rFonts w:ascii="宋体" w:hAnsi="宋体" w:eastAsia="宋体" w:cs="宋体"/>
              </w:rPr>
            </w:pPr>
            <w:r>
              <w:rPr>
                <w:rFonts w:hint="eastAsia" w:ascii="宋体" w:hAnsi="宋体" w:eastAsia="宋体" w:cs="宋体"/>
              </w:rPr>
              <w:t>效果（15）</w:t>
            </w:r>
          </w:p>
          <w:p w14:paraId="360C6CAA">
            <w:pPr>
              <w:spacing w:after="0" w:line="68" w:lineRule="atLeast"/>
              <w:rPr>
                <w:rFonts w:ascii="宋体" w:hAnsi="宋体" w:eastAsia="宋体" w:cs="宋体"/>
              </w:rPr>
            </w:pPr>
          </w:p>
        </w:tc>
        <w:tc>
          <w:tcPr>
            <w:tcW w:w="803" w:type="dxa"/>
            <w:tcBorders>
              <w:top w:val="single" w:color="auto" w:sz="4" w:space="0"/>
              <w:left w:val="single" w:color="000000" w:sz="4" w:space="0"/>
              <w:bottom w:val="single" w:color="auto" w:sz="4" w:space="0"/>
              <w:right w:val="single" w:color="000000" w:sz="4" w:space="0"/>
            </w:tcBorders>
            <w:vAlign w:val="center"/>
          </w:tcPr>
          <w:p w14:paraId="7A1B525B">
            <w:pPr>
              <w:spacing w:after="0" w:line="68" w:lineRule="atLeast"/>
              <w:rPr>
                <w:rFonts w:ascii="宋体" w:hAnsi="宋体" w:eastAsia="宋体" w:cs="宋体"/>
              </w:rPr>
            </w:pPr>
            <w:r>
              <w:rPr>
                <w:rFonts w:hint="eastAsia" w:ascii="宋体" w:hAnsi="宋体" w:eastAsia="宋体" w:cs="宋体"/>
              </w:rPr>
              <w:t>监督发现问题</w:t>
            </w:r>
          </w:p>
          <w:p w14:paraId="7580725C">
            <w:pPr>
              <w:spacing w:after="0" w:line="68" w:lineRule="atLeast"/>
              <w:rPr>
                <w:rFonts w:ascii="宋体" w:hAnsi="宋体" w:eastAsia="宋体" w:cs="宋体"/>
              </w:rPr>
            </w:pPr>
            <w:r>
              <w:rPr>
                <w:rFonts w:hint="eastAsia" w:ascii="宋体" w:hAnsi="宋体" w:eastAsia="宋体" w:cs="宋体"/>
              </w:rPr>
              <w:t>（2分）</w:t>
            </w:r>
          </w:p>
        </w:tc>
        <w:tc>
          <w:tcPr>
            <w:tcW w:w="1182" w:type="dxa"/>
            <w:tcBorders>
              <w:top w:val="single" w:color="000000" w:sz="4" w:space="0"/>
              <w:left w:val="single" w:color="000000" w:sz="4" w:space="0"/>
              <w:bottom w:val="single" w:color="000000" w:sz="4" w:space="0"/>
              <w:right w:val="single" w:color="auto" w:sz="4" w:space="0"/>
            </w:tcBorders>
            <w:vAlign w:val="center"/>
          </w:tcPr>
          <w:p w14:paraId="07D35E9C">
            <w:pPr>
              <w:spacing w:after="0" w:line="68" w:lineRule="atLeast"/>
              <w:rPr>
                <w:rFonts w:ascii="宋体" w:hAnsi="宋体" w:eastAsia="宋体" w:cs="宋体"/>
              </w:rPr>
            </w:pPr>
            <w:r>
              <w:rPr>
                <w:rFonts w:hint="eastAsia" w:ascii="宋体" w:hAnsi="宋体" w:eastAsia="宋体" w:cs="宋体"/>
              </w:rPr>
              <w:t>违规率（2分）</w:t>
            </w:r>
          </w:p>
        </w:tc>
        <w:tc>
          <w:tcPr>
            <w:tcW w:w="6911" w:type="dxa"/>
            <w:tcBorders>
              <w:top w:val="single" w:color="000000" w:sz="4" w:space="0"/>
              <w:left w:val="single" w:color="auto" w:sz="4" w:space="0"/>
              <w:bottom w:val="single" w:color="000000" w:sz="4" w:space="0"/>
              <w:right w:val="single" w:color="auto" w:sz="4" w:space="0"/>
            </w:tcBorders>
            <w:vAlign w:val="center"/>
          </w:tcPr>
          <w:p w14:paraId="7EC25D25">
            <w:pPr>
              <w:spacing w:after="0" w:line="68" w:lineRule="atLeast"/>
              <w:rPr>
                <w:rFonts w:ascii="宋体" w:hAnsi="宋体" w:eastAsia="宋体" w:cs="宋体"/>
              </w:rPr>
            </w:pPr>
            <w:r>
              <w:rPr>
                <w:rFonts w:hint="eastAsia" w:ascii="宋体" w:hAnsi="宋体" w:eastAsia="宋体" w:cs="宋体"/>
              </w:rPr>
              <w:t>部门存在违规问题的资金数量占部门预算支出资金总额的比重，用以反映和考核部门预算资金管理使用的合法、合规情况。</w:t>
            </w:r>
          </w:p>
          <w:p w14:paraId="4BB49E0B">
            <w:pPr>
              <w:spacing w:after="0" w:line="68" w:lineRule="atLeast"/>
              <w:rPr>
                <w:rFonts w:ascii="宋体" w:hAnsi="宋体" w:eastAsia="宋体" w:cs="宋体"/>
              </w:rPr>
            </w:pPr>
            <w:r>
              <w:rPr>
                <w:rFonts w:hint="eastAsia" w:ascii="宋体" w:hAnsi="宋体" w:eastAsia="宋体" w:cs="宋体"/>
              </w:rPr>
              <w:t>违规率=存在违规问题的资金额/部门预算支出资金总额×100%</w:t>
            </w:r>
          </w:p>
        </w:tc>
        <w:tc>
          <w:tcPr>
            <w:tcW w:w="3423" w:type="dxa"/>
            <w:tcBorders>
              <w:top w:val="single" w:color="000000" w:sz="4" w:space="0"/>
              <w:left w:val="single" w:color="auto" w:sz="4" w:space="0"/>
              <w:bottom w:val="single" w:color="000000" w:sz="4" w:space="0"/>
              <w:right w:val="single" w:color="auto" w:sz="4" w:space="0"/>
            </w:tcBorders>
            <w:vAlign w:val="center"/>
          </w:tcPr>
          <w:p w14:paraId="4F0277BD">
            <w:pPr>
              <w:spacing w:after="0" w:line="240" w:lineRule="exact"/>
              <w:rPr>
                <w:rFonts w:ascii="宋体" w:hAnsi="宋体" w:eastAsia="宋体" w:cs="宋体"/>
              </w:rPr>
            </w:pPr>
            <w:r>
              <w:rPr>
                <w:rFonts w:hint="eastAsia" w:ascii="宋体" w:hAnsi="宋体" w:eastAsia="宋体" w:cs="宋体"/>
              </w:rPr>
              <w:t>目标值0，达到目标值得2分，未达到目标值的每增加0.1个百分点扣0.1分</w:t>
            </w:r>
          </w:p>
        </w:tc>
        <w:tc>
          <w:tcPr>
            <w:tcW w:w="1090" w:type="dxa"/>
            <w:tcBorders>
              <w:top w:val="single" w:color="000000" w:sz="4" w:space="0"/>
              <w:left w:val="single" w:color="auto" w:sz="4" w:space="0"/>
              <w:bottom w:val="single" w:color="000000" w:sz="4" w:space="0"/>
              <w:right w:val="single" w:color="000000" w:sz="4" w:space="0"/>
            </w:tcBorders>
            <w:vAlign w:val="center"/>
          </w:tcPr>
          <w:p w14:paraId="03042EA7">
            <w:pPr>
              <w:spacing w:after="0" w:line="68" w:lineRule="atLeast"/>
              <w:rPr>
                <w:rFonts w:hint="eastAsia" w:ascii="宋体" w:hAnsi="宋体" w:eastAsia="宋体" w:cs="宋体"/>
                <w:lang w:val="en-US" w:eastAsia="zh-CN"/>
              </w:rPr>
            </w:pPr>
            <w:r>
              <w:rPr>
                <w:rFonts w:hint="eastAsia" w:ascii="宋体" w:hAnsi="宋体" w:eastAsia="宋体" w:cs="宋体"/>
              </w:rPr>
              <w:t> </w:t>
            </w:r>
            <w:r>
              <w:rPr>
                <w:rFonts w:hint="eastAsia" w:ascii="宋体" w:hAnsi="宋体" w:eastAsia="宋体" w:cs="宋体"/>
                <w:lang w:val="en-US" w:eastAsia="zh-CN"/>
              </w:rPr>
              <w:t>2</w:t>
            </w:r>
          </w:p>
        </w:tc>
      </w:tr>
      <w:tr w14:paraId="41DA60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630" w:hRule="atLeast"/>
          <w:jc w:val="center"/>
        </w:trPr>
        <w:tc>
          <w:tcPr>
            <w:tcW w:w="733" w:type="dxa"/>
            <w:vMerge w:val="continue"/>
            <w:tcBorders>
              <w:left w:val="single" w:color="000000" w:sz="4" w:space="0"/>
              <w:right w:val="single" w:color="000000" w:sz="4" w:space="0"/>
            </w:tcBorders>
            <w:vAlign w:val="center"/>
          </w:tcPr>
          <w:p w14:paraId="6448520B">
            <w:pPr>
              <w:spacing w:after="0" w:line="68" w:lineRule="atLeast"/>
              <w:rPr>
                <w:rFonts w:ascii="宋体" w:hAnsi="宋体" w:eastAsia="宋体" w:cs="宋体"/>
              </w:rPr>
            </w:pPr>
          </w:p>
        </w:tc>
        <w:tc>
          <w:tcPr>
            <w:tcW w:w="803" w:type="dxa"/>
            <w:tcBorders>
              <w:top w:val="single" w:color="auto" w:sz="4" w:space="0"/>
              <w:left w:val="single" w:color="000000" w:sz="4" w:space="0"/>
              <w:bottom w:val="single" w:color="auto" w:sz="4" w:space="0"/>
              <w:right w:val="single" w:color="000000" w:sz="4" w:space="0"/>
            </w:tcBorders>
            <w:vAlign w:val="center"/>
          </w:tcPr>
          <w:p w14:paraId="60507BDA">
            <w:pPr>
              <w:spacing w:after="0" w:line="68" w:lineRule="atLeast"/>
              <w:rPr>
                <w:rFonts w:ascii="宋体" w:hAnsi="宋体" w:eastAsia="宋体" w:cs="宋体"/>
              </w:rPr>
            </w:pPr>
            <w:r>
              <w:rPr>
                <w:rFonts w:hint="eastAsia" w:ascii="宋体" w:hAnsi="宋体" w:eastAsia="宋体" w:cs="宋体"/>
              </w:rPr>
              <w:t>工作成效（5）</w:t>
            </w:r>
          </w:p>
        </w:tc>
        <w:tc>
          <w:tcPr>
            <w:tcW w:w="1182" w:type="dxa"/>
            <w:tcBorders>
              <w:top w:val="single" w:color="000000" w:sz="4" w:space="0"/>
              <w:left w:val="single" w:color="000000" w:sz="4" w:space="0"/>
              <w:bottom w:val="single" w:color="000000" w:sz="4" w:space="0"/>
              <w:right w:val="single" w:color="auto" w:sz="4" w:space="0"/>
            </w:tcBorders>
            <w:vAlign w:val="center"/>
          </w:tcPr>
          <w:p w14:paraId="0F233522">
            <w:pPr>
              <w:spacing w:after="0" w:line="68" w:lineRule="atLeast"/>
              <w:rPr>
                <w:rFonts w:ascii="宋体" w:hAnsi="宋体" w:eastAsia="宋体" w:cs="宋体"/>
              </w:rPr>
            </w:pPr>
            <w:r>
              <w:rPr>
                <w:rFonts w:hint="eastAsia" w:ascii="宋体" w:hAnsi="宋体" w:eastAsia="宋体" w:cs="宋体"/>
                <w:bCs/>
                <w:color w:val="000000"/>
              </w:rPr>
              <w:t>部门预算绩效管理考核评价</w:t>
            </w:r>
            <w:r>
              <w:rPr>
                <w:rFonts w:hint="eastAsia" w:ascii="宋体" w:hAnsi="宋体" w:eastAsia="宋体" w:cs="宋体"/>
                <w:bCs/>
              </w:rPr>
              <w:t>（5）</w:t>
            </w:r>
          </w:p>
        </w:tc>
        <w:tc>
          <w:tcPr>
            <w:tcW w:w="6911" w:type="dxa"/>
            <w:tcBorders>
              <w:top w:val="single" w:color="000000" w:sz="4" w:space="0"/>
              <w:left w:val="single" w:color="auto" w:sz="4" w:space="0"/>
              <w:bottom w:val="single" w:color="000000" w:sz="4" w:space="0"/>
              <w:right w:val="single" w:color="auto" w:sz="4" w:space="0"/>
            </w:tcBorders>
            <w:vAlign w:val="center"/>
          </w:tcPr>
          <w:p w14:paraId="199E2724">
            <w:pPr>
              <w:spacing w:after="0" w:line="240" w:lineRule="exact"/>
              <w:rPr>
                <w:rFonts w:ascii="宋体" w:hAnsi="宋体" w:eastAsia="宋体" w:cs="宋体"/>
              </w:rPr>
            </w:pPr>
            <w:r>
              <w:rPr>
                <w:rFonts w:hint="eastAsia" w:ascii="宋体" w:hAnsi="宋体" w:eastAsia="宋体" w:cs="宋体"/>
                <w:color w:val="000000"/>
              </w:rPr>
              <w:t>财政部门对部门开展预算绩效管理工作的评价结果，用以反映部门对预算绩效管理工作的重视程度和取得的成效。</w:t>
            </w:r>
          </w:p>
          <w:p w14:paraId="39A91A5D">
            <w:pPr>
              <w:spacing w:after="0" w:line="240" w:lineRule="exact"/>
              <w:rPr>
                <w:rFonts w:ascii="宋体" w:hAnsi="宋体" w:eastAsia="宋体" w:cs="宋体"/>
              </w:rPr>
            </w:pPr>
            <w:r>
              <w:rPr>
                <w:rFonts w:hint="eastAsia" w:ascii="宋体" w:hAnsi="宋体" w:eastAsia="宋体" w:cs="宋体"/>
                <w:color w:val="000000"/>
              </w:rPr>
              <w:t>1.财政部门对部门绩效管理工作开展情况进行核查评价，包括绩效目标管理、绩效执行监控、绩效自评和评价结果应用等情况，按百分制。</w:t>
            </w:r>
          </w:p>
          <w:p w14:paraId="2E833D08">
            <w:pPr>
              <w:spacing w:after="0" w:line="68" w:lineRule="atLeast"/>
              <w:rPr>
                <w:rFonts w:ascii="宋体" w:hAnsi="宋体" w:eastAsia="宋体" w:cs="宋体"/>
              </w:rPr>
            </w:pPr>
            <w:r>
              <w:rPr>
                <w:rFonts w:hint="eastAsia" w:ascii="宋体" w:hAnsi="宋体" w:eastAsia="宋体" w:cs="宋体"/>
                <w:color w:val="000000"/>
              </w:rPr>
              <w:t>2.以部门为单位进行综合计算，得出各部门绩效管理工作评价结果。</w:t>
            </w:r>
          </w:p>
        </w:tc>
        <w:tc>
          <w:tcPr>
            <w:tcW w:w="3423" w:type="dxa"/>
            <w:tcBorders>
              <w:top w:val="single" w:color="000000" w:sz="4" w:space="0"/>
              <w:left w:val="single" w:color="auto" w:sz="4" w:space="0"/>
              <w:bottom w:val="single" w:color="000000" w:sz="4" w:space="0"/>
              <w:right w:val="single" w:color="auto" w:sz="4" w:space="0"/>
            </w:tcBorders>
            <w:vAlign w:val="center"/>
          </w:tcPr>
          <w:p w14:paraId="44B1399D">
            <w:pPr>
              <w:spacing w:after="0" w:line="240" w:lineRule="exact"/>
              <w:rPr>
                <w:rFonts w:ascii="宋体" w:hAnsi="宋体" w:eastAsia="宋体" w:cs="宋体"/>
              </w:rPr>
            </w:pPr>
            <w:r>
              <w:rPr>
                <w:rFonts w:hint="eastAsia" w:ascii="宋体" w:hAnsi="宋体" w:eastAsia="宋体" w:cs="宋体"/>
                <w:color w:val="000000"/>
              </w:rPr>
              <w:t>综合得分=（部门绩效管理工作评价结果/100）*5分</w:t>
            </w:r>
          </w:p>
          <w:p w14:paraId="06F12C6F">
            <w:pPr>
              <w:spacing w:after="0" w:line="68" w:lineRule="atLeast"/>
              <w:rPr>
                <w:rFonts w:ascii="宋体" w:hAnsi="宋体" w:eastAsia="宋体" w:cs="宋体"/>
              </w:rPr>
            </w:pPr>
            <w:r>
              <w:rPr>
                <w:rFonts w:hint="eastAsia" w:ascii="宋体" w:hAnsi="宋体" w:eastAsia="宋体" w:cs="宋体"/>
              </w:rPr>
              <w:t> </w:t>
            </w:r>
          </w:p>
        </w:tc>
        <w:tc>
          <w:tcPr>
            <w:tcW w:w="1090" w:type="dxa"/>
            <w:tcBorders>
              <w:top w:val="single" w:color="000000" w:sz="4" w:space="0"/>
              <w:left w:val="single" w:color="auto" w:sz="4" w:space="0"/>
              <w:bottom w:val="single" w:color="000000" w:sz="4" w:space="0"/>
              <w:right w:val="single" w:color="000000" w:sz="4" w:space="0"/>
            </w:tcBorders>
            <w:vAlign w:val="center"/>
          </w:tcPr>
          <w:p w14:paraId="7CA0E8AF">
            <w:pPr>
              <w:spacing w:after="0" w:line="68" w:lineRule="atLeast"/>
              <w:rPr>
                <w:rFonts w:hint="eastAsia" w:ascii="宋体" w:hAnsi="宋体" w:eastAsia="宋体" w:cs="宋体"/>
                <w:lang w:val="en-US" w:eastAsia="zh-CN"/>
              </w:rPr>
            </w:pPr>
            <w:r>
              <w:rPr>
                <w:rFonts w:hint="eastAsia" w:ascii="宋体" w:hAnsi="宋体" w:eastAsia="宋体" w:cs="宋体"/>
                <w:lang w:val="en-US" w:eastAsia="zh-CN"/>
              </w:rPr>
              <w:t>5</w:t>
            </w:r>
          </w:p>
        </w:tc>
      </w:tr>
      <w:tr w14:paraId="54CA4C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82" w:hRule="atLeast"/>
          <w:jc w:val="center"/>
        </w:trPr>
        <w:tc>
          <w:tcPr>
            <w:tcW w:w="733" w:type="dxa"/>
            <w:vMerge w:val="continue"/>
            <w:tcBorders>
              <w:left w:val="single" w:color="000000" w:sz="4" w:space="0"/>
              <w:right w:val="single" w:color="000000" w:sz="4" w:space="0"/>
            </w:tcBorders>
            <w:vAlign w:val="center"/>
          </w:tcPr>
          <w:p w14:paraId="5861DFB8">
            <w:pPr>
              <w:spacing w:after="0"/>
              <w:rPr>
                <w:rFonts w:ascii="宋体" w:hAnsi="宋体" w:eastAsia="宋体" w:cs="宋体"/>
              </w:rPr>
            </w:pPr>
          </w:p>
        </w:tc>
        <w:tc>
          <w:tcPr>
            <w:tcW w:w="803" w:type="dxa"/>
            <w:tcBorders>
              <w:top w:val="single" w:color="auto" w:sz="4" w:space="0"/>
              <w:left w:val="single" w:color="000000" w:sz="4" w:space="0"/>
              <w:bottom w:val="single" w:color="auto" w:sz="4" w:space="0"/>
              <w:right w:val="single" w:color="000000" w:sz="4" w:space="0"/>
            </w:tcBorders>
            <w:vAlign w:val="center"/>
          </w:tcPr>
          <w:p w14:paraId="26716F76">
            <w:pPr>
              <w:spacing w:after="0" w:line="68" w:lineRule="atLeast"/>
              <w:rPr>
                <w:rFonts w:ascii="宋体" w:hAnsi="宋体" w:eastAsia="宋体" w:cs="宋体"/>
              </w:rPr>
            </w:pPr>
            <w:r>
              <w:rPr>
                <w:rFonts w:hint="eastAsia" w:ascii="宋体" w:hAnsi="宋体" w:eastAsia="宋体" w:cs="宋体"/>
              </w:rPr>
              <w:t>评价结果应用</w:t>
            </w:r>
          </w:p>
          <w:p w14:paraId="3F515953">
            <w:pPr>
              <w:spacing w:after="0" w:line="68" w:lineRule="atLeast"/>
              <w:rPr>
                <w:rFonts w:ascii="宋体" w:hAnsi="宋体" w:eastAsia="宋体" w:cs="宋体"/>
              </w:rPr>
            </w:pPr>
            <w:r>
              <w:rPr>
                <w:rFonts w:hint="eastAsia" w:ascii="宋体" w:hAnsi="宋体" w:eastAsia="宋体" w:cs="宋体"/>
              </w:rPr>
              <w:t>（2分）</w:t>
            </w:r>
          </w:p>
        </w:tc>
        <w:tc>
          <w:tcPr>
            <w:tcW w:w="1182" w:type="dxa"/>
            <w:tcBorders>
              <w:top w:val="single" w:color="000000" w:sz="4" w:space="0"/>
              <w:left w:val="single" w:color="000000" w:sz="4" w:space="0"/>
              <w:bottom w:val="single" w:color="000000" w:sz="4" w:space="0"/>
              <w:right w:val="single" w:color="auto" w:sz="4" w:space="0"/>
            </w:tcBorders>
            <w:vAlign w:val="center"/>
          </w:tcPr>
          <w:p w14:paraId="167E88C3">
            <w:pPr>
              <w:spacing w:after="0" w:line="68" w:lineRule="atLeast"/>
              <w:rPr>
                <w:rFonts w:ascii="宋体" w:hAnsi="宋体" w:eastAsia="宋体" w:cs="宋体"/>
              </w:rPr>
            </w:pPr>
            <w:r>
              <w:rPr>
                <w:rFonts w:hint="eastAsia" w:ascii="宋体" w:hAnsi="宋体" w:eastAsia="宋体" w:cs="宋体"/>
              </w:rPr>
              <w:t>应用率（2分）</w:t>
            </w:r>
          </w:p>
        </w:tc>
        <w:tc>
          <w:tcPr>
            <w:tcW w:w="6911" w:type="dxa"/>
            <w:tcBorders>
              <w:top w:val="single" w:color="000000" w:sz="4" w:space="0"/>
              <w:left w:val="single" w:color="auto" w:sz="4" w:space="0"/>
              <w:bottom w:val="single" w:color="000000" w:sz="4" w:space="0"/>
              <w:right w:val="single" w:color="auto" w:sz="4" w:space="0"/>
            </w:tcBorders>
            <w:vAlign w:val="center"/>
          </w:tcPr>
          <w:p w14:paraId="1A794A4C">
            <w:pPr>
              <w:spacing w:after="0" w:line="68" w:lineRule="atLeast"/>
              <w:rPr>
                <w:rFonts w:ascii="宋体" w:hAnsi="宋体" w:eastAsia="宋体" w:cs="宋体"/>
              </w:rPr>
            </w:pPr>
            <w:r>
              <w:rPr>
                <w:rFonts w:hint="eastAsia" w:ascii="宋体" w:hAnsi="宋体" w:eastAsia="宋体" w:cs="宋体"/>
              </w:rPr>
              <w:t>部门应用绩效评价结果的项目数占绩效评价项目数的比重，用以反映和考核部门绩效评价结果的利用水平和程度。</w:t>
            </w:r>
          </w:p>
          <w:p w14:paraId="03DEB67C">
            <w:pPr>
              <w:spacing w:after="0" w:line="68" w:lineRule="atLeast"/>
              <w:rPr>
                <w:rFonts w:ascii="宋体" w:hAnsi="宋体" w:eastAsia="宋体" w:cs="宋体"/>
              </w:rPr>
            </w:pPr>
            <w:r>
              <w:rPr>
                <w:rFonts w:hint="eastAsia" w:ascii="宋体" w:hAnsi="宋体" w:eastAsia="宋体" w:cs="宋体"/>
              </w:rPr>
              <w:t>应用率=应用绩效评价结果的项目数量/部门实施绩效评价项目数量×100%。</w:t>
            </w:r>
          </w:p>
          <w:p w14:paraId="7E36E91F">
            <w:pPr>
              <w:spacing w:after="0" w:line="68" w:lineRule="atLeast"/>
              <w:rPr>
                <w:rFonts w:ascii="宋体" w:hAnsi="宋体" w:eastAsia="宋体" w:cs="宋体"/>
              </w:rPr>
            </w:pPr>
            <w:r>
              <w:rPr>
                <w:rFonts w:hint="eastAsia" w:ascii="宋体" w:hAnsi="宋体" w:eastAsia="宋体" w:cs="宋体"/>
              </w:rPr>
              <w:t>应用绩效评价结果包括向财政部门报告绩效评价结果、向被评价单位反馈绩效评价结果、内部公开绩效评价结果和落实整改措施等方面，其中，落实整改措施包括调整预算结构、改革预算管理、整改发现问题、健全制度措施和实施绩效问责。</w:t>
            </w:r>
          </w:p>
        </w:tc>
        <w:tc>
          <w:tcPr>
            <w:tcW w:w="3423" w:type="dxa"/>
            <w:tcBorders>
              <w:top w:val="single" w:color="000000" w:sz="4" w:space="0"/>
              <w:left w:val="single" w:color="auto" w:sz="4" w:space="0"/>
              <w:bottom w:val="single" w:color="000000" w:sz="4" w:space="0"/>
              <w:right w:val="single" w:color="auto" w:sz="4" w:space="0"/>
            </w:tcBorders>
            <w:vAlign w:val="center"/>
          </w:tcPr>
          <w:p w14:paraId="3EE60A4D">
            <w:pPr>
              <w:spacing w:after="0" w:line="240" w:lineRule="exact"/>
              <w:rPr>
                <w:rFonts w:ascii="宋体" w:hAnsi="宋体" w:eastAsia="宋体" w:cs="宋体"/>
              </w:rPr>
            </w:pPr>
            <w:r>
              <w:rPr>
                <w:rFonts w:hint="eastAsia" w:ascii="宋体" w:hAnsi="宋体" w:eastAsia="宋体" w:cs="宋体"/>
              </w:rPr>
              <w:t>目标值为100%；以2分为上限，采用完成比率法计分：得分=应用率×2，超出目标值不加分。</w:t>
            </w:r>
          </w:p>
        </w:tc>
        <w:tc>
          <w:tcPr>
            <w:tcW w:w="1090" w:type="dxa"/>
            <w:tcBorders>
              <w:top w:val="single" w:color="000000" w:sz="4" w:space="0"/>
              <w:left w:val="single" w:color="auto" w:sz="4" w:space="0"/>
              <w:bottom w:val="single" w:color="000000" w:sz="4" w:space="0"/>
              <w:right w:val="single" w:color="000000" w:sz="4" w:space="0"/>
            </w:tcBorders>
            <w:vAlign w:val="center"/>
          </w:tcPr>
          <w:p w14:paraId="6A3593AD">
            <w:pPr>
              <w:spacing w:after="0" w:line="68" w:lineRule="atLeast"/>
              <w:rPr>
                <w:rFonts w:hint="eastAsia" w:ascii="宋体" w:hAnsi="宋体" w:eastAsia="宋体" w:cs="宋体"/>
                <w:lang w:val="en-US" w:eastAsia="zh-CN"/>
              </w:rPr>
            </w:pPr>
            <w:r>
              <w:rPr>
                <w:rFonts w:hint="eastAsia" w:ascii="宋体" w:hAnsi="宋体" w:eastAsia="宋体" w:cs="宋体"/>
                <w:lang w:val="en-US" w:eastAsia="zh-CN"/>
              </w:rPr>
              <w:t>2</w:t>
            </w:r>
          </w:p>
        </w:tc>
      </w:tr>
      <w:tr w14:paraId="6432DD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79" w:hRule="atLeast"/>
          <w:jc w:val="center"/>
        </w:trPr>
        <w:tc>
          <w:tcPr>
            <w:tcW w:w="733" w:type="dxa"/>
            <w:vMerge w:val="continue"/>
            <w:tcBorders>
              <w:left w:val="single" w:color="000000" w:sz="4" w:space="0"/>
              <w:right w:val="single" w:color="000000" w:sz="4" w:space="0"/>
            </w:tcBorders>
            <w:vAlign w:val="center"/>
          </w:tcPr>
          <w:p w14:paraId="743B2471">
            <w:pPr>
              <w:spacing w:after="0"/>
              <w:rPr>
                <w:rFonts w:ascii="宋体" w:hAnsi="宋体" w:eastAsia="宋体" w:cs="宋体"/>
              </w:rPr>
            </w:pPr>
          </w:p>
        </w:tc>
        <w:tc>
          <w:tcPr>
            <w:tcW w:w="803" w:type="dxa"/>
            <w:tcBorders>
              <w:top w:val="single" w:color="auto" w:sz="4" w:space="0"/>
              <w:left w:val="single" w:color="000000" w:sz="4" w:space="0"/>
              <w:bottom w:val="single" w:color="auto" w:sz="4" w:space="0"/>
              <w:right w:val="single" w:color="000000" w:sz="4" w:space="0"/>
            </w:tcBorders>
            <w:vAlign w:val="center"/>
          </w:tcPr>
          <w:p w14:paraId="3C130FEF">
            <w:pPr>
              <w:spacing w:after="0" w:line="68" w:lineRule="atLeast"/>
              <w:rPr>
                <w:rFonts w:ascii="宋体" w:hAnsi="宋体" w:eastAsia="宋体" w:cs="宋体"/>
              </w:rPr>
            </w:pPr>
            <w:r>
              <w:rPr>
                <w:rFonts w:hint="eastAsia" w:ascii="宋体" w:hAnsi="宋体" w:eastAsia="宋体" w:cs="宋体"/>
              </w:rPr>
              <w:t>结果应用创新（1分）</w:t>
            </w:r>
          </w:p>
        </w:tc>
        <w:tc>
          <w:tcPr>
            <w:tcW w:w="1182" w:type="dxa"/>
            <w:tcBorders>
              <w:top w:val="single" w:color="000000" w:sz="4" w:space="0"/>
              <w:left w:val="single" w:color="000000" w:sz="4" w:space="0"/>
              <w:bottom w:val="single" w:color="000000" w:sz="4" w:space="0"/>
              <w:right w:val="single" w:color="auto" w:sz="4" w:space="0"/>
            </w:tcBorders>
            <w:vAlign w:val="center"/>
          </w:tcPr>
          <w:p w14:paraId="1B14125C">
            <w:pPr>
              <w:spacing w:after="0" w:line="68" w:lineRule="atLeast"/>
              <w:rPr>
                <w:rFonts w:ascii="宋体" w:hAnsi="宋体" w:eastAsia="宋体" w:cs="宋体"/>
              </w:rPr>
            </w:pPr>
            <w:r>
              <w:rPr>
                <w:rFonts w:hint="eastAsia" w:ascii="宋体" w:hAnsi="宋体" w:eastAsia="宋体" w:cs="宋体"/>
              </w:rPr>
              <w:t>结果应用创新（1分）</w:t>
            </w:r>
          </w:p>
        </w:tc>
        <w:tc>
          <w:tcPr>
            <w:tcW w:w="6911" w:type="dxa"/>
            <w:tcBorders>
              <w:top w:val="single" w:color="000000" w:sz="4" w:space="0"/>
              <w:left w:val="single" w:color="auto" w:sz="4" w:space="0"/>
              <w:bottom w:val="single" w:color="000000" w:sz="4" w:space="0"/>
              <w:right w:val="single" w:color="auto" w:sz="4" w:space="0"/>
            </w:tcBorders>
            <w:vAlign w:val="center"/>
          </w:tcPr>
          <w:p w14:paraId="123CD004">
            <w:pPr>
              <w:spacing w:after="0" w:line="68" w:lineRule="atLeast"/>
              <w:rPr>
                <w:rFonts w:ascii="宋体" w:hAnsi="宋体" w:eastAsia="宋体" w:cs="宋体"/>
              </w:rPr>
            </w:pPr>
            <w:r>
              <w:rPr>
                <w:rFonts w:hint="eastAsia" w:ascii="宋体" w:hAnsi="宋体" w:eastAsia="宋体" w:cs="宋体"/>
              </w:rPr>
              <w:t>部门将绩效结果主动对外公开、预算绩效管理工作开展情况向同级政府、人大等部门报告，用以反映和考核部门在结果应用方面的创新情况。</w:t>
            </w:r>
          </w:p>
          <w:p w14:paraId="6A18EEFA">
            <w:pPr>
              <w:spacing w:after="0" w:line="68" w:lineRule="atLeast"/>
              <w:rPr>
                <w:rFonts w:ascii="宋体" w:hAnsi="宋体" w:eastAsia="宋体" w:cs="宋体"/>
              </w:rPr>
            </w:pPr>
            <w:r>
              <w:rPr>
                <w:rFonts w:hint="eastAsia" w:ascii="宋体" w:hAnsi="宋体" w:eastAsia="宋体" w:cs="宋体"/>
              </w:rPr>
              <w:t>评价要点：</w:t>
            </w:r>
          </w:p>
          <w:p w14:paraId="09834793">
            <w:pPr>
              <w:spacing w:after="0" w:line="68" w:lineRule="atLeast"/>
              <w:rPr>
                <w:rFonts w:ascii="宋体" w:hAnsi="宋体" w:eastAsia="宋体" w:cs="宋体"/>
              </w:rPr>
            </w:pPr>
            <w:r>
              <w:rPr>
                <w:rFonts w:hint="eastAsia" w:ascii="宋体" w:hAnsi="宋体" w:eastAsia="宋体" w:cs="宋体"/>
              </w:rPr>
              <w:t>1.部门是否按要求对社会公开绩效评价结果。</w:t>
            </w:r>
          </w:p>
          <w:p w14:paraId="6E6FB2E5">
            <w:pPr>
              <w:spacing w:after="0" w:line="68" w:lineRule="atLeast"/>
              <w:rPr>
                <w:rFonts w:ascii="宋体" w:hAnsi="宋体" w:eastAsia="宋体" w:cs="宋体"/>
              </w:rPr>
            </w:pPr>
            <w:r>
              <w:rPr>
                <w:rFonts w:hint="eastAsia" w:ascii="宋体" w:hAnsi="宋体" w:eastAsia="宋体" w:cs="宋体"/>
              </w:rPr>
              <w:t>2.部门是否将预算绩效管理工作开展情况向同级政府、人大等部门报告。</w:t>
            </w:r>
          </w:p>
        </w:tc>
        <w:tc>
          <w:tcPr>
            <w:tcW w:w="3423" w:type="dxa"/>
            <w:tcBorders>
              <w:top w:val="single" w:color="000000" w:sz="4" w:space="0"/>
              <w:left w:val="single" w:color="auto" w:sz="4" w:space="0"/>
              <w:bottom w:val="single" w:color="000000" w:sz="4" w:space="0"/>
              <w:right w:val="single" w:color="auto" w:sz="4" w:space="0"/>
            </w:tcBorders>
            <w:vAlign w:val="center"/>
          </w:tcPr>
          <w:p w14:paraId="5B8DDD19">
            <w:pPr>
              <w:spacing w:after="0" w:line="240" w:lineRule="exact"/>
              <w:rPr>
                <w:rFonts w:ascii="宋体" w:hAnsi="宋体" w:eastAsia="宋体" w:cs="宋体"/>
              </w:rPr>
            </w:pPr>
            <w:r>
              <w:rPr>
                <w:rFonts w:hint="eastAsia" w:ascii="宋体" w:hAnsi="宋体" w:eastAsia="宋体" w:cs="宋体"/>
              </w:rPr>
              <w:t>全部符合（1分）；</w:t>
            </w:r>
          </w:p>
          <w:p w14:paraId="4A3BAA5E">
            <w:pPr>
              <w:spacing w:after="0" w:line="240" w:lineRule="exact"/>
              <w:rPr>
                <w:rFonts w:ascii="宋体" w:hAnsi="宋体" w:eastAsia="宋体" w:cs="宋体"/>
              </w:rPr>
            </w:pPr>
            <w:r>
              <w:rPr>
                <w:rFonts w:hint="eastAsia" w:ascii="宋体" w:hAnsi="宋体" w:eastAsia="宋体" w:cs="宋体"/>
              </w:rPr>
              <w:t>符合其中两项（0.5分）</w:t>
            </w:r>
          </w:p>
          <w:p w14:paraId="49342ADB">
            <w:pPr>
              <w:spacing w:after="0" w:line="240" w:lineRule="exact"/>
              <w:rPr>
                <w:rFonts w:ascii="宋体" w:hAnsi="宋体" w:eastAsia="宋体" w:cs="宋体"/>
              </w:rPr>
            </w:pPr>
            <w:r>
              <w:rPr>
                <w:rFonts w:hint="eastAsia" w:ascii="宋体" w:hAnsi="宋体" w:eastAsia="宋体" w:cs="宋体"/>
              </w:rPr>
              <w:t>符合其中一项及以下（0分）。</w:t>
            </w:r>
          </w:p>
        </w:tc>
        <w:tc>
          <w:tcPr>
            <w:tcW w:w="1090" w:type="dxa"/>
            <w:tcBorders>
              <w:top w:val="single" w:color="000000" w:sz="4" w:space="0"/>
              <w:left w:val="single" w:color="auto" w:sz="4" w:space="0"/>
              <w:bottom w:val="single" w:color="000000" w:sz="4" w:space="0"/>
              <w:right w:val="single" w:color="000000" w:sz="4" w:space="0"/>
            </w:tcBorders>
            <w:vAlign w:val="center"/>
          </w:tcPr>
          <w:p w14:paraId="52546B20">
            <w:pPr>
              <w:spacing w:after="0" w:line="68" w:lineRule="atLeast"/>
              <w:rPr>
                <w:rFonts w:hint="eastAsia" w:ascii="宋体" w:hAnsi="宋体" w:eastAsia="宋体" w:cs="宋体"/>
                <w:lang w:val="en-US" w:eastAsia="zh-CN"/>
              </w:rPr>
            </w:pPr>
            <w:r>
              <w:rPr>
                <w:rFonts w:hint="eastAsia" w:ascii="宋体" w:hAnsi="宋体" w:eastAsia="宋体" w:cs="宋体"/>
                <w:lang w:val="en-US" w:eastAsia="zh-CN"/>
              </w:rPr>
              <w:t>1</w:t>
            </w:r>
          </w:p>
        </w:tc>
      </w:tr>
      <w:tr w14:paraId="3A3711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78" w:hRule="atLeast"/>
          <w:jc w:val="center"/>
        </w:trPr>
        <w:tc>
          <w:tcPr>
            <w:tcW w:w="733" w:type="dxa"/>
            <w:vMerge w:val="continue"/>
            <w:tcBorders>
              <w:left w:val="single" w:color="000000" w:sz="4" w:space="0"/>
              <w:right w:val="single" w:color="000000" w:sz="4" w:space="0"/>
            </w:tcBorders>
            <w:vAlign w:val="center"/>
          </w:tcPr>
          <w:p w14:paraId="6EF5F09A">
            <w:pPr>
              <w:spacing w:after="0"/>
              <w:rPr>
                <w:rFonts w:ascii="宋体" w:hAnsi="宋体" w:eastAsia="宋体" w:cs="宋体"/>
              </w:rPr>
            </w:pPr>
          </w:p>
        </w:tc>
        <w:tc>
          <w:tcPr>
            <w:tcW w:w="803" w:type="dxa"/>
            <w:tcBorders>
              <w:top w:val="single" w:color="auto" w:sz="4" w:space="0"/>
              <w:left w:val="single" w:color="000000" w:sz="4" w:space="0"/>
              <w:bottom w:val="single" w:color="auto" w:sz="4" w:space="0"/>
              <w:right w:val="single" w:color="000000" w:sz="4" w:space="0"/>
            </w:tcBorders>
            <w:vAlign w:val="center"/>
          </w:tcPr>
          <w:p w14:paraId="1C01BDF9">
            <w:pPr>
              <w:spacing w:after="0" w:line="68" w:lineRule="atLeast"/>
              <w:rPr>
                <w:rFonts w:ascii="宋体" w:hAnsi="宋体" w:eastAsia="宋体" w:cs="宋体"/>
              </w:rPr>
            </w:pPr>
            <w:r>
              <w:rPr>
                <w:rFonts w:hint="eastAsia" w:ascii="宋体" w:hAnsi="宋体" w:eastAsia="宋体" w:cs="宋体"/>
              </w:rPr>
              <w:t>社会效益（5分）</w:t>
            </w:r>
          </w:p>
        </w:tc>
        <w:tc>
          <w:tcPr>
            <w:tcW w:w="1182" w:type="dxa"/>
            <w:tcBorders>
              <w:top w:val="single" w:color="000000" w:sz="4" w:space="0"/>
              <w:left w:val="single" w:color="000000" w:sz="4" w:space="0"/>
              <w:bottom w:val="single" w:color="000000" w:sz="4" w:space="0"/>
              <w:right w:val="single" w:color="auto" w:sz="4" w:space="0"/>
            </w:tcBorders>
            <w:vAlign w:val="center"/>
          </w:tcPr>
          <w:p w14:paraId="598CF7C0">
            <w:pPr>
              <w:spacing w:after="0" w:line="68" w:lineRule="atLeast"/>
              <w:rPr>
                <w:rFonts w:ascii="宋体" w:hAnsi="宋体" w:eastAsia="宋体" w:cs="宋体"/>
              </w:rPr>
            </w:pPr>
            <w:r>
              <w:rPr>
                <w:rFonts w:hint="eastAsia" w:ascii="宋体" w:hAnsi="宋体" w:eastAsia="宋体" w:cs="宋体"/>
              </w:rPr>
              <w:t>社会公众满意度（5分）</w:t>
            </w:r>
          </w:p>
        </w:tc>
        <w:tc>
          <w:tcPr>
            <w:tcW w:w="6911" w:type="dxa"/>
            <w:tcBorders>
              <w:top w:val="single" w:color="000000" w:sz="4" w:space="0"/>
              <w:left w:val="single" w:color="auto" w:sz="4" w:space="0"/>
              <w:bottom w:val="single" w:color="000000" w:sz="4" w:space="0"/>
              <w:right w:val="single" w:color="auto" w:sz="4" w:space="0"/>
            </w:tcBorders>
            <w:vAlign w:val="center"/>
          </w:tcPr>
          <w:p w14:paraId="153299B7">
            <w:pPr>
              <w:spacing w:after="0" w:line="68" w:lineRule="atLeast"/>
              <w:rPr>
                <w:rFonts w:ascii="宋体" w:hAnsi="宋体" w:eastAsia="宋体" w:cs="宋体"/>
              </w:rPr>
            </w:pPr>
            <w:r>
              <w:rPr>
                <w:rFonts w:hint="eastAsia" w:ascii="宋体" w:hAnsi="宋体" w:eastAsia="宋体" w:cs="宋体"/>
              </w:rPr>
              <w:t>通过问卷调查了解社会公众对部门履职效果、解决民众关心的热点问题、厉行节约等方面的满意程度，反映和评价部门支出所带来的社会效益。</w:t>
            </w:r>
          </w:p>
        </w:tc>
        <w:tc>
          <w:tcPr>
            <w:tcW w:w="3423" w:type="dxa"/>
            <w:tcBorders>
              <w:top w:val="single" w:color="000000" w:sz="4" w:space="0"/>
              <w:left w:val="single" w:color="auto" w:sz="4" w:space="0"/>
              <w:bottom w:val="single" w:color="000000" w:sz="4" w:space="0"/>
              <w:right w:val="single" w:color="auto" w:sz="4" w:space="0"/>
            </w:tcBorders>
            <w:vAlign w:val="center"/>
          </w:tcPr>
          <w:p w14:paraId="216F68A5">
            <w:pPr>
              <w:spacing w:after="0" w:line="240" w:lineRule="exact"/>
              <w:rPr>
                <w:rFonts w:ascii="宋体" w:hAnsi="宋体" w:eastAsia="宋体" w:cs="宋体"/>
              </w:rPr>
            </w:pPr>
            <w:r>
              <w:rPr>
                <w:rFonts w:hint="eastAsia" w:ascii="宋体" w:hAnsi="宋体" w:eastAsia="宋体" w:cs="宋体"/>
              </w:rPr>
              <w:t>按照满意度调查的优秀、良好、合格、不合格给予该项指标打分：</w:t>
            </w:r>
          </w:p>
          <w:p w14:paraId="0E6806C7">
            <w:pPr>
              <w:spacing w:after="0" w:line="68" w:lineRule="atLeast"/>
              <w:rPr>
                <w:rFonts w:ascii="宋体" w:hAnsi="宋体" w:eastAsia="宋体" w:cs="宋体"/>
              </w:rPr>
            </w:pPr>
            <w:r>
              <w:rPr>
                <w:rFonts w:hint="eastAsia" w:ascii="宋体" w:hAnsi="宋体" w:eastAsia="宋体" w:cs="宋体"/>
              </w:rPr>
              <w:t>优秀（5分）；良好（3分）；合格（1分）；不合格（0分）。</w:t>
            </w:r>
          </w:p>
        </w:tc>
        <w:tc>
          <w:tcPr>
            <w:tcW w:w="1090" w:type="dxa"/>
            <w:tcBorders>
              <w:top w:val="single" w:color="000000" w:sz="4" w:space="0"/>
              <w:left w:val="single" w:color="auto" w:sz="4" w:space="0"/>
              <w:bottom w:val="single" w:color="000000" w:sz="4" w:space="0"/>
              <w:right w:val="single" w:color="000000" w:sz="4" w:space="0"/>
            </w:tcBorders>
            <w:vAlign w:val="center"/>
          </w:tcPr>
          <w:p w14:paraId="1AA5D866">
            <w:pPr>
              <w:spacing w:after="0" w:line="68" w:lineRule="atLeast"/>
              <w:rPr>
                <w:rFonts w:hint="eastAsia" w:ascii="宋体" w:hAnsi="宋体" w:eastAsia="宋体" w:cs="宋体"/>
                <w:lang w:val="en-US" w:eastAsia="zh-CN"/>
              </w:rPr>
            </w:pPr>
            <w:r>
              <w:rPr>
                <w:rFonts w:hint="eastAsia" w:ascii="宋体" w:hAnsi="宋体" w:eastAsia="宋体" w:cs="宋体"/>
                <w:lang w:val="en-US" w:eastAsia="zh-CN"/>
              </w:rPr>
              <w:t>5</w:t>
            </w:r>
          </w:p>
        </w:tc>
      </w:tr>
      <w:tr w14:paraId="1731C1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0" w:hRule="atLeast"/>
          <w:jc w:val="center"/>
        </w:trPr>
        <w:tc>
          <w:tcPr>
            <w:tcW w:w="733" w:type="dxa"/>
            <w:tcBorders>
              <w:left w:val="single" w:color="000000" w:sz="4" w:space="0"/>
              <w:right w:val="single" w:color="000000" w:sz="4" w:space="0"/>
            </w:tcBorders>
            <w:vAlign w:val="center"/>
          </w:tcPr>
          <w:p w14:paraId="1FE50B24">
            <w:pPr>
              <w:spacing w:after="0"/>
              <w:rPr>
                <w:rFonts w:ascii="宋体" w:hAnsi="宋体" w:eastAsia="宋体" w:cs="宋体"/>
              </w:rPr>
            </w:pPr>
            <w:r>
              <w:rPr>
                <w:rFonts w:hint="eastAsia" w:ascii="宋体" w:hAnsi="宋体" w:eastAsia="宋体" w:cs="宋体"/>
              </w:rPr>
              <w:t>小计</w:t>
            </w:r>
          </w:p>
        </w:tc>
        <w:tc>
          <w:tcPr>
            <w:tcW w:w="803" w:type="dxa"/>
            <w:tcBorders>
              <w:top w:val="single" w:color="auto" w:sz="4" w:space="0"/>
              <w:left w:val="single" w:color="000000" w:sz="4" w:space="0"/>
              <w:bottom w:val="single" w:color="auto" w:sz="4" w:space="0"/>
              <w:right w:val="single" w:color="000000" w:sz="4" w:space="0"/>
            </w:tcBorders>
            <w:vAlign w:val="center"/>
          </w:tcPr>
          <w:p w14:paraId="544CE012">
            <w:pPr>
              <w:spacing w:after="0" w:line="68" w:lineRule="atLeast"/>
              <w:rPr>
                <w:rFonts w:ascii="宋体" w:hAnsi="宋体" w:eastAsia="宋体" w:cs="宋体"/>
              </w:rPr>
            </w:pPr>
            <w:r>
              <w:rPr>
                <w:rFonts w:hint="eastAsia" w:ascii="宋体" w:hAnsi="宋体" w:eastAsia="宋体" w:cs="宋体"/>
              </w:rPr>
              <w:t>100</w:t>
            </w:r>
          </w:p>
        </w:tc>
        <w:tc>
          <w:tcPr>
            <w:tcW w:w="1182" w:type="dxa"/>
            <w:tcBorders>
              <w:top w:val="single" w:color="000000" w:sz="4" w:space="0"/>
              <w:left w:val="single" w:color="000000" w:sz="4" w:space="0"/>
              <w:bottom w:val="single" w:color="000000" w:sz="4" w:space="0"/>
              <w:right w:val="single" w:color="auto" w:sz="4" w:space="0"/>
            </w:tcBorders>
            <w:vAlign w:val="center"/>
          </w:tcPr>
          <w:p w14:paraId="3E19F1C8">
            <w:pPr>
              <w:spacing w:after="0" w:line="68" w:lineRule="atLeast"/>
              <w:rPr>
                <w:rFonts w:ascii="宋体" w:hAnsi="宋体" w:eastAsia="宋体" w:cs="宋体"/>
              </w:rPr>
            </w:pPr>
          </w:p>
        </w:tc>
        <w:tc>
          <w:tcPr>
            <w:tcW w:w="6911" w:type="dxa"/>
            <w:tcBorders>
              <w:top w:val="single" w:color="000000" w:sz="4" w:space="0"/>
              <w:left w:val="single" w:color="auto" w:sz="4" w:space="0"/>
              <w:bottom w:val="single" w:color="000000" w:sz="4" w:space="0"/>
              <w:right w:val="single" w:color="auto" w:sz="4" w:space="0"/>
            </w:tcBorders>
            <w:vAlign w:val="center"/>
          </w:tcPr>
          <w:p w14:paraId="78C4E5DE">
            <w:pPr>
              <w:spacing w:after="0" w:line="68" w:lineRule="atLeast"/>
              <w:rPr>
                <w:rFonts w:ascii="宋体" w:hAnsi="宋体" w:eastAsia="宋体" w:cs="宋体"/>
              </w:rPr>
            </w:pPr>
          </w:p>
        </w:tc>
        <w:tc>
          <w:tcPr>
            <w:tcW w:w="3423" w:type="dxa"/>
            <w:tcBorders>
              <w:top w:val="single" w:color="000000" w:sz="4" w:space="0"/>
              <w:left w:val="single" w:color="auto" w:sz="4" w:space="0"/>
              <w:bottom w:val="single" w:color="000000" w:sz="4" w:space="0"/>
              <w:right w:val="single" w:color="auto" w:sz="4" w:space="0"/>
            </w:tcBorders>
            <w:vAlign w:val="center"/>
          </w:tcPr>
          <w:p w14:paraId="2C8A414B">
            <w:pPr>
              <w:spacing w:after="0" w:line="68" w:lineRule="atLeast"/>
              <w:rPr>
                <w:rFonts w:ascii="宋体" w:hAnsi="宋体" w:eastAsia="宋体" w:cs="宋体"/>
              </w:rPr>
            </w:pPr>
          </w:p>
        </w:tc>
        <w:tc>
          <w:tcPr>
            <w:tcW w:w="1090" w:type="dxa"/>
            <w:tcBorders>
              <w:top w:val="single" w:color="000000" w:sz="4" w:space="0"/>
              <w:left w:val="single" w:color="auto" w:sz="4" w:space="0"/>
              <w:bottom w:val="single" w:color="000000" w:sz="4" w:space="0"/>
              <w:right w:val="single" w:color="000000" w:sz="4" w:space="0"/>
            </w:tcBorders>
            <w:vAlign w:val="center"/>
          </w:tcPr>
          <w:p w14:paraId="6486528F">
            <w:pPr>
              <w:spacing w:after="0" w:line="68" w:lineRule="atLeast"/>
              <w:rPr>
                <w:rFonts w:hint="default" w:ascii="宋体" w:hAnsi="宋体" w:eastAsia="宋体" w:cs="宋体"/>
                <w:lang w:val="en-US" w:eastAsia="zh-CN"/>
              </w:rPr>
            </w:pPr>
            <w:r>
              <w:rPr>
                <w:rFonts w:hint="eastAsia" w:ascii="宋体" w:hAnsi="宋体" w:eastAsia="宋体" w:cs="宋体"/>
                <w:lang w:val="en-US" w:eastAsia="zh-CN"/>
              </w:rPr>
              <w:t>100</w:t>
            </w:r>
          </w:p>
        </w:tc>
      </w:tr>
      <w:tr w14:paraId="729153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28" w:hRule="atLeast"/>
          <w:jc w:val="center"/>
        </w:trPr>
        <w:tc>
          <w:tcPr>
            <w:tcW w:w="733" w:type="dxa"/>
            <w:tcBorders>
              <w:left w:val="single" w:color="000000" w:sz="4" w:space="0"/>
              <w:bottom w:val="single" w:color="000000" w:sz="4" w:space="0"/>
              <w:right w:val="single" w:color="000000" w:sz="4" w:space="0"/>
            </w:tcBorders>
            <w:vAlign w:val="center"/>
          </w:tcPr>
          <w:p w14:paraId="09A41E2F">
            <w:pPr>
              <w:spacing w:after="0"/>
              <w:rPr>
                <w:rFonts w:ascii="宋体" w:hAnsi="宋体" w:eastAsia="宋体" w:cs="宋体"/>
              </w:rPr>
            </w:pPr>
            <w:r>
              <w:rPr>
                <w:rFonts w:hint="eastAsia" w:ascii="宋体" w:hAnsi="宋体" w:eastAsia="宋体" w:cs="宋体"/>
              </w:rPr>
              <w:t>评价结果</w:t>
            </w:r>
          </w:p>
        </w:tc>
        <w:tc>
          <w:tcPr>
            <w:tcW w:w="803" w:type="dxa"/>
            <w:tcBorders>
              <w:top w:val="single" w:color="auto" w:sz="4" w:space="0"/>
              <w:left w:val="single" w:color="000000" w:sz="4" w:space="0"/>
              <w:bottom w:val="single" w:color="auto" w:sz="4" w:space="0"/>
              <w:right w:val="single" w:color="000000" w:sz="4" w:space="0"/>
            </w:tcBorders>
            <w:vAlign w:val="center"/>
          </w:tcPr>
          <w:p w14:paraId="50886723">
            <w:pPr>
              <w:spacing w:after="0" w:line="68" w:lineRule="atLeast"/>
              <w:rPr>
                <w:rFonts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14:paraId="381C1375">
            <w:pPr>
              <w:spacing w:after="0" w:line="68" w:lineRule="atLeast"/>
              <w:rPr>
                <w:rFonts w:ascii="宋体" w:hAnsi="宋体" w:eastAsia="宋体" w:cs="宋体"/>
              </w:rPr>
            </w:pPr>
          </w:p>
        </w:tc>
        <w:tc>
          <w:tcPr>
            <w:tcW w:w="10334" w:type="dxa"/>
            <w:gridSpan w:val="2"/>
            <w:tcBorders>
              <w:top w:val="single" w:color="000000" w:sz="4" w:space="0"/>
              <w:left w:val="single" w:color="auto" w:sz="4" w:space="0"/>
              <w:bottom w:val="single" w:color="000000" w:sz="4" w:space="0"/>
              <w:right w:val="single" w:color="auto" w:sz="4" w:space="0"/>
            </w:tcBorders>
            <w:vAlign w:val="center"/>
          </w:tcPr>
          <w:p w14:paraId="157A797F">
            <w:pPr>
              <w:spacing w:after="0" w:line="68" w:lineRule="atLeast"/>
              <w:rPr>
                <w:rFonts w:ascii="宋体" w:hAnsi="宋体" w:eastAsia="宋体" w:cs="宋体"/>
              </w:rPr>
            </w:pPr>
            <w:r>
              <w:rPr>
                <w:rFonts w:hint="eastAsia" w:ascii="宋体" w:hAnsi="宋体" w:eastAsia="宋体" w:cs="宋体"/>
                <w:lang w:eastAsia="zh-CN"/>
              </w:rPr>
              <w:t>☑</w:t>
            </w:r>
            <w:r>
              <w:rPr>
                <w:rFonts w:hint="eastAsia" w:ascii="宋体" w:hAnsi="宋体" w:eastAsia="宋体" w:cs="宋体"/>
              </w:rPr>
              <w:t xml:space="preserve">优秀  90分≤得分≤100分； </w:t>
            </w:r>
            <w:r>
              <w:rPr>
                <w:rFonts w:hint="eastAsia" w:ascii="宋体" w:hAnsi="宋体" w:eastAsia="宋体" w:cs="宋体"/>
              </w:rPr>
              <w:sym w:font="Wingdings 2" w:char="0052"/>
            </w:r>
            <w:r>
              <w:rPr>
                <w:rFonts w:hint="eastAsia" w:ascii="宋体" w:hAnsi="宋体" w:eastAsia="宋体" w:cs="宋体"/>
              </w:rPr>
              <w:t>良好  80分≤得分≤89分；</w:t>
            </w:r>
          </w:p>
          <w:p w14:paraId="602C4C0B">
            <w:pPr>
              <w:spacing w:after="0" w:line="68" w:lineRule="atLeast"/>
              <w:rPr>
                <w:rFonts w:ascii="宋体" w:hAnsi="宋体" w:eastAsia="宋体" w:cs="宋体"/>
              </w:rPr>
            </w:pPr>
            <w:r>
              <w:rPr>
                <w:rFonts w:hint="eastAsia" w:ascii="宋体" w:hAnsi="宋体" w:eastAsia="宋体" w:cs="宋体"/>
              </w:rPr>
              <w:t xml:space="preserve">  □中  60分≤得分≤79分；  □较差  0≤得分≤59分</w:t>
            </w:r>
          </w:p>
        </w:tc>
        <w:tc>
          <w:tcPr>
            <w:tcW w:w="1090" w:type="dxa"/>
            <w:tcBorders>
              <w:top w:val="single" w:color="000000" w:sz="4" w:space="0"/>
              <w:left w:val="single" w:color="auto" w:sz="4" w:space="0"/>
              <w:bottom w:val="single" w:color="000000" w:sz="4" w:space="0"/>
              <w:right w:val="single" w:color="000000" w:sz="4" w:space="0"/>
            </w:tcBorders>
            <w:vAlign w:val="center"/>
          </w:tcPr>
          <w:p w14:paraId="21599D41">
            <w:pPr>
              <w:spacing w:after="0" w:line="68" w:lineRule="atLeast"/>
              <w:rPr>
                <w:rFonts w:ascii="宋体" w:hAnsi="宋体" w:eastAsia="宋体" w:cs="宋体"/>
              </w:rPr>
            </w:pPr>
          </w:p>
        </w:tc>
      </w:tr>
    </w:tbl>
    <w:p w14:paraId="1BCCE576">
      <w:pPr>
        <w:spacing w:line="432" w:lineRule="auto"/>
      </w:pPr>
    </w:p>
    <w:p w14:paraId="0B2631CE">
      <w:pPr>
        <w:rPr>
          <w:rFonts w:ascii="黑体" w:hAnsi="黑体" w:eastAsia="黑体"/>
          <w:sz w:val="32"/>
          <w:szCs w:val="32"/>
        </w:rPr>
      </w:pPr>
      <w:r>
        <w:rPr>
          <w:rFonts w:hint="eastAsia" w:ascii="黑体" w:hAnsi="黑体" w:eastAsia="黑体"/>
          <w:sz w:val="32"/>
          <w:szCs w:val="32"/>
        </w:rPr>
        <w:br w:type="page"/>
      </w:r>
      <w:r>
        <w:rPr>
          <w:rFonts w:hint="eastAsia" w:ascii="黑体" w:hAnsi="黑体" w:eastAsia="黑体"/>
          <w:sz w:val="28"/>
          <w:szCs w:val="28"/>
        </w:rPr>
        <w:t>附件3</w:t>
      </w:r>
    </w:p>
    <w:p w14:paraId="70762244">
      <w:pPr>
        <w:spacing w:after="0" w:line="700" w:lineRule="exact"/>
        <w:jc w:val="center"/>
        <w:rPr>
          <w:rFonts w:ascii="方正小标宋简体" w:hAnsi="Times New Roman" w:eastAsia="方正小标宋简体"/>
          <w:sz w:val="44"/>
          <w:szCs w:val="44"/>
        </w:rPr>
      </w:pPr>
      <w:r>
        <w:rPr>
          <w:rFonts w:hint="eastAsia" w:ascii="方正小标宋简体" w:hAnsi="Times New Roman" w:eastAsia="方正小标宋简体"/>
          <w:sz w:val="44"/>
          <w:szCs w:val="44"/>
        </w:rPr>
        <w:t>中方县政府网站及政务新媒体信息发布审查表</w:t>
      </w:r>
    </w:p>
    <w:p w14:paraId="367F6873">
      <w:pPr>
        <w:spacing w:after="0" w:line="400" w:lineRule="exact"/>
        <w:jc w:val="center"/>
        <w:rPr>
          <w:rFonts w:ascii="方正小标宋简体" w:hAnsi="Times New Roman" w:eastAsia="方正小标宋简体"/>
          <w:sz w:val="44"/>
          <w:szCs w:val="44"/>
        </w:rPr>
      </w:pPr>
    </w:p>
    <w:p w14:paraId="731DAA12">
      <w:pPr>
        <w:rPr>
          <w:rFonts w:ascii="宋体" w:hAnsi="宋体" w:eastAsia="宋体" w:cs="宋体"/>
          <w:sz w:val="24"/>
          <w:szCs w:val="24"/>
        </w:rPr>
      </w:pPr>
      <w:r>
        <w:rPr>
          <w:rFonts w:hint="eastAsia" w:ascii="宋体" w:hAnsi="宋体" w:eastAsia="宋体" w:cs="宋体"/>
          <w:sz w:val="24"/>
          <w:szCs w:val="24"/>
        </w:rPr>
        <w:t>单位：                                                                                        年      月       日</w:t>
      </w:r>
    </w:p>
    <w:tbl>
      <w:tblPr>
        <w:tblStyle w:val="9"/>
        <w:tblW w:w="1473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9"/>
        <w:gridCol w:w="2383"/>
        <w:gridCol w:w="3507"/>
        <w:gridCol w:w="2781"/>
        <w:gridCol w:w="3277"/>
        <w:gridCol w:w="2081"/>
      </w:tblGrid>
      <w:tr w14:paraId="238AEE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2" w:hRule="atLeast"/>
          <w:jc w:val="center"/>
        </w:trPr>
        <w:tc>
          <w:tcPr>
            <w:tcW w:w="709" w:type="dxa"/>
            <w:vAlign w:val="bottom"/>
          </w:tcPr>
          <w:p w14:paraId="5815753A">
            <w:pPr>
              <w:spacing w:after="0"/>
              <w:jc w:val="center"/>
              <w:rPr>
                <w:rFonts w:ascii="宋体" w:hAnsi="宋体" w:eastAsia="宋体" w:cs="宋体"/>
                <w:b/>
                <w:bCs/>
                <w:sz w:val="24"/>
                <w:szCs w:val="24"/>
              </w:rPr>
            </w:pPr>
            <w:r>
              <w:rPr>
                <w:rFonts w:hint="eastAsia" w:ascii="宋体" w:hAnsi="宋体" w:eastAsia="宋体" w:cs="宋体"/>
                <w:b/>
                <w:bCs/>
                <w:sz w:val="24"/>
                <w:szCs w:val="24"/>
              </w:rPr>
              <w:t>序号</w:t>
            </w:r>
          </w:p>
        </w:tc>
        <w:tc>
          <w:tcPr>
            <w:tcW w:w="2383" w:type="dxa"/>
            <w:vAlign w:val="bottom"/>
          </w:tcPr>
          <w:p w14:paraId="768C0894">
            <w:pPr>
              <w:spacing w:after="0"/>
              <w:jc w:val="center"/>
              <w:rPr>
                <w:rFonts w:ascii="宋体" w:hAnsi="宋体" w:eastAsia="宋体" w:cs="宋体"/>
                <w:b/>
                <w:bCs/>
                <w:sz w:val="24"/>
                <w:szCs w:val="24"/>
              </w:rPr>
            </w:pPr>
            <w:r>
              <w:rPr>
                <w:rFonts w:hint="eastAsia" w:ascii="宋体" w:hAnsi="宋体" w:eastAsia="宋体" w:cs="宋体"/>
                <w:b/>
                <w:bCs/>
                <w:sz w:val="24"/>
                <w:szCs w:val="24"/>
              </w:rPr>
              <w:t>信息名称</w:t>
            </w:r>
          </w:p>
        </w:tc>
        <w:tc>
          <w:tcPr>
            <w:tcW w:w="3507" w:type="dxa"/>
            <w:vAlign w:val="bottom"/>
          </w:tcPr>
          <w:p w14:paraId="26BFE3BE">
            <w:pPr>
              <w:spacing w:after="0"/>
              <w:jc w:val="center"/>
              <w:rPr>
                <w:rFonts w:ascii="宋体" w:hAnsi="宋体" w:eastAsia="宋体" w:cs="宋体"/>
                <w:b/>
                <w:bCs/>
                <w:sz w:val="24"/>
                <w:szCs w:val="24"/>
              </w:rPr>
            </w:pPr>
            <w:r>
              <w:rPr>
                <w:rFonts w:hint="eastAsia" w:ascii="宋体" w:hAnsi="宋体" w:eastAsia="宋体" w:cs="宋体"/>
                <w:b/>
                <w:bCs/>
                <w:sz w:val="24"/>
                <w:szCs w:val="24"/>
              </w:rPr>
              <w:t>信息来源</w:t>
            </w:r>
          </w:p>
        </w:tc>
        <w:tc>
          <w:tcPr>
            <w:tcW w:w="2781" w:type="dxa"/>
            <w:vAlign w:val="bottom"/>
          </w:tcPr>
          <w:p w14:paraId="5FF2A9C4">
            <w:pPr>
              <w:spacing w:after="0"/>
              <w:jc w:val="center"/>
              <w:rPr>
                <w:rFonts w:ascii="宋体" w:hAnsi="宋体" w:eastAsia="宋体" w:cs="宋体"/>
                <w:b/>
                <w:bCs/>
                <w:sz w:val="24"/>
                <w:szCs w:val="24"/>
              </w:rPr>
            </w:pPr>
            <w:r>
              <w:rPr>
                <w:rFonts w:hint="eastAsia" w:ascii="宋体" w:hAnsi="宋体" w:eastAsia="宋体" w:cs="宋体"/>
                <w:b/>
                <w:bCs/>
                <w:sz w:val="24"/>
                <w:szCs w:val="24"/>
              </w:rPr>
              <w:t>发布形式</w:t>
            </w:r>
          </w:p>
        </w:tc>
        <w:tc>
          <w:tcPr>
            <w:tcW w:w="3277" w:type="dxa"/>
            <w:vAlign w:val="bottom"/>
          </w:tcPr>
          <w:p w14:paraId="4C0FC76A">
            <w:pPr>
              <w:spacing w:after="0"/>
              <w:jc w:val="center"/>
              <w:rPr>
                <w:rFonts w:ascii="宋体" w:hAnsi="宋体" w:eastAsia="宋体" w:cs="宋体"/>
                <w:b/>
                <w:bCs/>
                <w:sz w:val="24"/>
                <w:szCs w:val="24"/>
              </w:rPr>
            </w:pPr>
            <w:r>
              <w:rPr>
                <w:rFonts w:hint="eastAsia" w:ascii="宋体" w:hAnsi="宋体" w:eastAsia="宋体" w:cs="宋体"/>
                <w:b/>
                <w:bCs/>
                <w:sz w:val="24"/>
                <w:szCs w:val="24"/>
              </w:rPr>
              <w:t>保密机构或保密员</w:t>
            </w:r>
            <w:r>
              <w:rPr>
                <w:rFonts w:hint="eastAsia" w:ascii="宋体" w:hAnsi="宋体" w:eastAsia="宋体" w:cs="宋体"/>
                <w:b/>
                <w:bCs/>
                <w:sz w:val="24"/>
                <w:szCs w:val="24"/>
                <w:u w:val="single"/>
              </w:rPr>
              <w:t>复审</w:t>
            </w:r>
          </w:p>
        </w:tc>
        <w:tc>
          <w:tcPr>
            <w:tcW w:w="2081" w:type="dxa"/>
            <w:vAlign w:val="bottom"/>
          </w:tcPr>
          <w:p w14:paraId="4A35812F">
            <w:pPr>
              <w:spacing w:after="0"/>
              <w:jc w:val="center"/>
              <w:rPr>
                <w:rFonts w:ascii="宋体" w:hAnsi="宋体" w:eastAsia="宋体" w:cs="宋体"/>
                <w:b/>
                <w:bCs/>
                <w:sz w:val="24"/>
                <w:szCs w:val="24"/>
              </w:rPr>
            </w:pPr>
            <w:r>
              <w:rPr>
                <w:rFonts w:hint="eastAsia" w:ascii="宋体" w:hAnsi="宋体" w:eastAsia="宋体" w:cs="宋体"/>
                <w:b/>
                <w:bCs/>
                <w:sz w:val="24"/>
                <w:szCs w:val="24"/>
              </w:rPr>
              <w:t>主管领导</w:t>
            </w:r>
            <w:r>
              <w:rPr>
                <w:rFonts w:hint="eastAsia" w:ascii="宋体" w:hAnsi="宋体" w:eastAsia="宋体" w:cs="宋体"/>
                <w:b/>
                <w:bCs/>
                <w:sz w:val="24"/>
                <w:szCs w:val="24"/>
                <w:u w:val="single"/>
              </w:rPr>
              <w:t>终审</w:t>
            </w:r>
          </w:p>
        </w:tc>
      </w:tr>
      <w:tr w14:paraId="0A79D4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vAlign w:val="center"/>
          </w:tcPr>
          <w:p w14:paraId="3992E6E2">
            <w:pPr>
              <w:spacing w:after="0" w:line="500" w:lineRule="exact"/>
              <w:jc w:val="center"/>
              <w:rPr>
                <w:rFonts w:ascii="宋体" w:hAnsi="宋体" w:eastAsia="宋体" w:cs="宋体"/>
              </w:rPr>
            </w:pPr>
          </w:p>
        </w:tc>
        <w:tc>
          <w:tcPr>
            <w:tcW w:w="2383" w:type="dxa"/>
            <w:vAlign w:val="center"/>
          </w:tcPr>
          <w:p w14:paraId="1F40691C">
            <w:pPr>
              <w:spacing w:after="0" w:line="500" w:lineRule="exact"/>
              <w:jc w:val="center"/>
              <w:rPr>
                <w:rFonts w:ascii="宋体" w:hAnsi="宋体" w:eastAsia="宋体" w:cs="宋体"/>
              </w:rPr>
            </w:pPr>
          </w:p>
        </w:tc>
        <w:tc>
          <w:tcPr>
            <w:tcW w:w="3507" w:type="dxa"/>
            <w:vAlign w:val="center"/>
          </w:tcPr>
          <w:p w14:paraId="44C91567">
            <w:pPr>
              <w:spacing w:after="0" w:line="500" w:lineRule="exact"/>
              <w:rPr>
                <w:rFonts w:ascii="宋体" w:hAnsi="宋体" w:eastAsia="宋体" w:cs="宋体"/>
              </w:rPr>
            </w:pPr>
            <w:r>
              <w:rPr>
                <w:rFonts w:hint="eastAsia" w:ascii="宋体" w:hAnsi="宋体" w:eastAsia="宋体" w:cs="宋体"/>
              </w:rPr>
              <w:t>本机关、单位制发  □</w:t>
            </w:r>
          </w:p>
          <w:p w14:paraId="4483DF1C">
            <w:pPr>
              <w:spacing w:after="0" w:line="500" w:lineRule="exact"/>
              <w:rPr>
                <w:rFonts w:ascii="宋体" w:hAnsi="宋体" w:eastAsia="宋体" w:cs="宋体"/>
              </w:rPr>
            </w:pPr>
            <w:r>
              <w:rPr>
                <w:rFonts w:hint="eastAsia" w:ascii="宋体" w:hAnsi="宋体" w:eastAsia="宋体" w:cs="宋体"/>
              </w:rPr>
              <w:t>转载（注明转载来源）：</w:t>
            </w:r>
          </w:p>
          <w:p w14:paraId="0338EC4E">
            <w:pPr>
              <w:spacing w:after="0" w:line="500" w:lineRule="exact"/>
              <w:rPr>
                <w:rFonts w:ascii="宋体" w:hAnsi="宋体" w:eastAsia="宋体" w:cs="宋体"/>
                <w:u w:val="single"/>
              </w:rPr>
            </w:pPr>
            <w:r>
              <w:rPr>
                <w:rFonts w:hint="eastAsia" w:ascii="宋体" w:hAnsi="宋体" w:eastAsia="宋体" w:cs="宋体"/>
                <w:u w:val="single"/>
              </w:rPr>
              <w:t xml:space="preserve">                           </w:t>
            </w:r>
          </w:p>
        </w:tc>
        <w:tc>
          <w:tcPr>
            <w:tcW w:w="2781" w:type="dxa"/>
            <w:vAlign w:val="center"/>
          </w:tcPr>
          <w:p w14:paraId="6FA8416F">
            <w:pPr>
              <w:spacing w:after="0" w:line="500" w:lineRule="exact"/>
              <w:rPr>
                <w:rFonts w:ascii="宋体" w:hAnsi="宋体" w:eastAsia="宋体" w:cs="宋体"/>
              </w:rPr>
            </w:pPr>
            <w:r>
              <w:rPr>
                <w:rFonts w:hint="eastAsia" w:ascii="宋体" w:hAnsi="宋体" w:eastAsia="宋体" w:cs="宋体"/>
              </w:rPr>
              <w:t>政府网站主动公开  □</w:t>
            </w:r>
          </w:p>
          <w:p w14:paraId="5D6E0E5A">
            <w:pPr>
              <w:spacing w:after="0" w:line="500" w:lineRule="exact"/>
              <w:rPr>
                <w:rFonts w:ascii="宋体" w:hAnsi="宋体" w:eastAsia="宋体" w:cs="宋体"/>
              </w:rPr>
            </w:pPr>
            <w:r>
              <w:rPr>
                <w:rFonts w:hint="eastAsia" w:ascii="宋体" w:hAnsi="宋体" w:eastAsia="宋体" w:cs="宋体"/>
              </w:rPr>
              <w:t xml:space="preserve">依申请公开        </w:t>
            </w:r>
            <w:r>
              <w:rPr>
                <w:rFonts w:hint="eastAsia" w:ascii="宋体" w:hAnsi="宋体" w:eastAsia="宋体" w:cs="宋体"/>
              </w:rPr>
              <w:sym w:font="Wingdings 2" w:char="0052"/>
            </w:r>
          </w:p>
          <w:p w14:paraId="438154A7">
            <w:pPr>
              <w:spacing w:after="0" w:line="500" w:lineRule="exact"/>
              <w:rPr>
                <w:rFonts w:ascii="宋体" w:hAnsi="宋体" w:eastAsia="宋体" w:cs="宋体"/>
              </w:rPr>
            </w:pPr>
            <w:r>
              <w:rPr>
                <w:rFonts w:hint="eastAsia" w:ascii="宋体" w:hAnsi="宋体" w:eastAsia="宋体" w:cs="宋体"/>
              </w:rPr>
              <w:t>其他</w:t>
            </w:r>
            <w:r>
              <w:rPr>
                <w:rFonts w:hint="eastAsia" w:ascii="宋体" w:hAnsi="宋体" w:eastAsia="宋体" w:cs="宋体"/>
                <w:u w:val="single"/>
              </w:rPr>
              <w:t xml:space="preserve">                </w:t>
            </w:r>
          </w:p>
        </w:tc>
        <w:tc>
          <w:tcPr>
            <w:tcW w:w="3277" w:type="dxa"/>
            <w:vAlign w:val="center"/>
          </w:tcPr>
          <w:p w14:paraId="5E7BB0BB">
            <w:pPr>
              <w:spacing w:after="0" w:line="500" w:lineRule="exact"/>
              <w:rPr>
                <w:rFonts w:ascii="宋体" w:hAnsi="宋体" w:eastAsia="宋体" w:cs="宋体"/>
              </w:rPr>
            </w:pPr>
            <w:r>
              <w:rPr>
                <w:rFonts w:hint="eastAsia" w:ascii="宋体" w:hAnsi="宋体" w:eastAsia="宋体" w:cs="宋体"/>
              </w:rPr>
              <w:t>非涉密，同意公开□</w:t>
            </w:r>
          </w:p>
          <w:p w14:paraId="4CA6B9DA">
            <w:pPr>
              <w:spacing w:after="0" w:line="500" w:lineRule="exact"/>
              <w:rPr>
                <w:rFonts w:ascii="宋体" w:hAnsi="宋体" w:eastAsia="宋体" w:cs="宋体"/>
              </w:rPr>
            </w:pPr>
            <w:r>
              <w:rPr>
                <w:rFonts w:hint="eastAsia" w:ascii="宋体" w:hAnsi="宋体" w:eastAsia="宋体" w:cs="宋体"/>
              </w:rPr>
              <w:t>不同意，</w:t>
            </w:r>
            <w:r>
              <w:rPr>
                <w:rFonts w:hint="eastAsia" w:ascii="宋体" w:hAnsi="宋体" w:eastAsia="宋体" w:cs="宋体"/>
                <w:u w:val="single"/>
              </w:rPr>
              <w:t xml:space="preserve">        </w:t>
            </w:r>
            <w:r>
              <w:rPr>
                <w:rFonts w:hint="eastAsia" w:ascii="宋体" w:hAnsi="宋体" w:eastAsia="宋体" w:cs="宋体"/>
              </w:rPr>
              <w:t>□</w:t>
            </w:r>
          </w:p>
        </w:tc>
        <w:tc>
          <w:tcPr>
            <w:tcW w:w="2081" w:type="dxa"/>
            <w:vAlign w:val="center"/>
          </w:tcPr>
          <w:p w14:paraId="3A75B36F">
            <w:pPr>
              <w:spacing w:after="0" w:line="500" w:lineRule="exact"/>
              <w:jc w:val="center"/>
              <w:rPr>
                <w:rFonts w:ascii="宋体" w:hAnsi="宋体" w:eastAsia="宋体" w:cs="宋体"/>
              </w:rPr>
            </w:pPr>
          </w:p>
        </w:tc>
      </w:tr>
      <w:tr w14:paraId="32DF45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vAlign w:val="center"/>
          </w:tcPr>
          <w:p w14:paraId="4B6A6E84">
            <w:pPr>
              <w:spacing w:after="0" w:line="500" w:lineRule="exact"/>
              <w:jc w:val="center"/>
              <w:rPr>
                <w:rFonts w:ascii="宋体" w:hAnsi="宋体" w:eastAsia="宋体" w:cs="宋体"/>
              </w:rPr>
            </w:pPr>
          </w:p>
        </w:tc>
        <w:tc>
          <w:tcPr>
            <w:tcW w:w="2383" w:type="dxa"/>
            <w:vAlign w:val="center"/>
          </w:tcPr>
          <w:p w14:paraId="7D9720C2">
            <w:pPr>
              <w:spacing w:after="0" w:line="500" w:lineRule="exact"/>
              <w:jc w:val="center"/>
              <w:rPr>
                <w:rFonts w:ascii="宋体" w:hAnsi="宋体" w:eastAsia="宋体" w:cs="宋体"/>
              </w:rPr>
            </w:pPr>
          </w:p>
        </w:tc>
        <w:tc>
          <w:tcPr>
            <w:tcW w:w="3507" w:type="dxa"/>
            <w:vAlign w:val="center"/>
          </w:tcPr>
          <w:p w14:paraId="5490D84B">
            <w:pPr>
              <w:spacing w:after="0" w:line="500" w:lineRule="exact"/>
              <w:rPr>
                <w:rFonts w:ascii="宋体" w:hAnsi="宋体" w:eastAsia="宋体" w:cs="宋体"/>
              </w:rPr>
            </w:pPr>
            <w:r>
              <w:rPr>
                <w:rFonts w:hint="eastAsia" w:ascii="宋体" w:hAnsi="宋体" w:eastAsia="宋体" w:cs="宋体"/>
              </w:rPr>
              <w:t>本机关、单位制发  □</w:t>
            </w:r>
          </w:p>
          <w:p w14:paraId="7DBBF960">
            <w:pPr>
              <w:spacing w:after="0" w:line="500" w:lineRule="exact"/>
              <w:rPr>
                <w:rFonts w:ascii="宋体" w:hAnsi="宋体" w:eastAsia="宋体" w:cs="宋体"/>
              </w:rPr>
            </w:pPr>
            <w:r>
              <w:rPr>
                <w:rFonts w:hint="eastAsia" w:ascii="宋体" w:hAnsi="宋体" w:eastAsia="宋体" w:cs="宋体"/>
              </w:rPr>
              <w:t>转载（注明转载来源）：</w:t>
            </w:r>
          </w:p>
          <w:p w14:paraId="1923DF47">
            <w:pPr>
              <w:spacing w:after="0" w:line="500" w:lineRule="exact"/>
              <w:rPr>
                <w:rFonts w:ascii="宋体" w:hAnsi="宋体" w:eastAsia="宋体" w:cs="宋体"/>
              </w:rPr>
            </w:pPr>
            <w:r>
              <w:rPr>
                <w:rFonts w:hint="eastAsia" w:ascii="宋体" w:hAnsi="宋体" w:eastAsia="宋体" w:cs="宋体"/>
                <w:u w:val="single"/>
              </w:rPr>
              <w:t xml:space="preserve">                            </w:t>
            </w:r>
          </w:p>
        </w:tc>
        <w:tc>
          <w:tcPr>
            <w:tcW w:w="2781" w:type="dxa"/>
            <w:vAlign w:val="center"/>
          </w:tcPr>
          <w:p w14:paraId="2F6B8D06">
            <w:pPr>
              <w:spacing w:after="0" w:line="500" w:lineRule="exact"/>
              <w:rPr>
                <w:rFonts w:ascii="宋体" w:hAnsi="宋体" w:eastAsia="宋体" w:cs="宋体"/>
              </w:rPr>
            </w:pPr>
            <w:r>
              <w:rPr>
                <w:rFonts w:hint="eastAsia" w:ascii="宋体" w:hAnsi="宋体" w:eastAsia="宋体" w:cs="宋体"/>
              </w:rPr>
              <w:t>政府网站主动公开  □</w:t>
            </w:r>
          </w:p>
          <w:p w14:paraId="0F3C25DC">
            <w:pPr>
              <w:spacing w:after="0" w:line="500" w:lineRule="exact"/>
              <w:rPr>
                <w:rFonts w:ascii="宋体" w:hAnsi="宋体" w:eastAsia="宋体" w:cs="宋体"/>
              </w:rPr>
            </w:pPr>
            <w:r>
              <w:rPr>
                <w:rFonts w:hint="eastAsia" w:ascii="宋体" w:hAnsi="宋体" w:eastAsia="宋体" w:cs="宋体"/>
              </w:rPr>
              <w:t>依申请公开        □</w:t>
            </w:r>
          </w:p>
          <w:p w14:paraId="7CD7EFBB">
            <w:pPr>
              <w:spacing w:after="0" w:line="500" w:lineRule="exact"/>
              <w:rPr>
                <w:rFonts w:ascii="宋体" w:hAnsi="宋体" w:eastAsia="宋体" w:cs="宋体"/>
              </w:rPr>
            </w:pPr>
            <w:r>
              <w:rPr>
                <w:rFonts w:hint="eastAsia" w:ascii="宋体" w:hAnsi="宋体" w:eastAsia="宋体" w:cs="宋体"/>
              </w:rPr>
              <w:t>其他</w:t>
            </w:r>
            <w:r>
              <w:rPr>
                <w:rFonts w:hint="eastAsia" w:ascii="宋体" w:hAnsi="宋体" w:eastAsia="宋体" w:cs="宋体"/>
                <w:u w:val="single"/>
              </w:rPr>
              <w:t xml:space="preserve">                </w:t>
            </w:r>
          </w:p>
        </w:tc>
        <w:tc>
          <w:tcPr>
            <w:tcW w:w="3277" w:type="dxa"/>
            <w:vAlign w:val="center"/>
          </w:tcPr>
          <w:p w14:paraId="41CBAF20">
            <w:pPr>
              <w:spacing w:after="0" w:line="500" w:lineRule="exact"/>
              <w:rPr>
                <w:rFonts w:ascii="宋体" w:hAnsi="宋体" w:eastAsia="宋体" w:cs="宋体"/>
              </w:rPr>
            </w:pPr>
            <w:r>
              <w:rPr>
                <w:rFonts w:hint="eastAsia" w:ascii="宋体" w:hAnsi="宋体" w:eastAsia="宋体" w:cs="宋体"/>
              </w:rPr>
              <w:t>非涉密，同意公开□</w:t>
            </w:r>
          </w:p>
          <w:p w14:paraId="06572D2C">
            <w:pPr>
              <w:spacing w:after="0" w:line="500" w:lineRule="exact"/>
              <w:rPr>
                <w:rFonts w:ascii="宋体" w:hAnsi="宋体" w:eastAsia="宋体" w:cs="宋体"/>
              </w:rPr>
            </w:pPr>
            <w:r>
              <w:rPr>
                <w:rFonts w:hint="eastAsia" w:ascii="宋体" w:hAnsi="宋体" w:eastAsia="宋体" w:cs="宋体"/>
              </w:rPr>
              <w:t>不同意，</w:t>
            </w:r>
            <w:r>
              <w:rPr>
                <w:rFonts w:hint="eastAsia" w:ascii="宋体" w:hAnsi="宋体" w:eastAsia="宋体" w:cs="宋体"/>
                <w:u w:val="single"/>
              </w:rPr>
              <w:t xml:space="preserve">        </w:t>
            </w:r>
            <w:r>
              <w:rPr>
                <w:rFonts w:hint="eastAsia" w:ascii="宋体" w:hAnsi="宋体" w:eastAsia="宋体" w:cs="宋体"/>
              </w:rPr>
              <w:t>□</w:t>
            </w:r>
          </w:p>
        </w:tc>
        <w:tc>
          <w:tcPr>
            <w:tcW w:w="2081" w:type="dxa"/>
            <w:vAlign w:val="center"/>
          </w:tcPr>
          <w:p w14:paraId="67197E45">
            <w:pPr>
              <w:spacing w:after="0" w:line="500" w:lineRule="exact"/>
              <w:jc w:val="center"/>
              <w:rPr>
                <w:rFonts w:ascii="宋体" w:hAnsi="宋体" w:eastAsia="宋体" w:cs="宋体"/>
              </w:rPr>
            </w:pPr>
          </w:p>
        </w:tc>
      </w:tr>
      <w:tr w14:paraId="4B0E51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7" w:hRule="atLeast"/>
          <w:jc w:val="center"/>
        </w:trPr>
        <w:tc>
          <w:tcPr>
            <w:tcW w:w="9380" w:type="dxa"/>
            <w:gridSpan w:val="4"/>
            <w:vAlign w:val="center"/>
          </w:tcPr>
          <w:p w14:paraId="4328728B">
            <w:pPr>
              <w:spacing w:after="0" w:line="500" w:lineRule="exact"/>
              <w:rPr>
                <w:rFonts w:ascii="宋体" w:hAnsi="宋体" w:eastAsia="宋体" w:cs="宋体"/>
              </w:rPr>
            </w:pPr>
            <w:r>
              <w:rPr>
                <w:rFonts w:hint="eastAsia" w:ascii="宋体" w:hAnsi="宋体" w:eastAsia="宋体" w:cs="宋体"/>
              </w:rPr>
              <w:t>承办人</w:t>
            </w:r>
            <w:r>
              <w:rPr>
                <w:rFonts w:hint="eastAsia" w:ascii="宋体" w:hAnsi="宋体" w:eastAsia="宋体" w:cs="宋体"/>
                <w:u w:val="single"/>
              </w:rPr>
              <w:t>初审</w:t>
            </w:r>
            <w:r>
              <w:rPr>
                <w:rFonts w:hint="eastAsia" w:ascii="宋体" w:hAnsi="宋体" w:eastAsia="宋体" w:cs="宋体"/>
              </w:rPr>
              <w:t>（签字）</w:t>
            </w:r>
          </w:p>
        </w:tc>
        <w:tc>
          <w:tcPr>
            <w:tcW w:w="3277" w:type="dxa"/>
            <w:vAlign w:val="center"/>
          </w:tcPr>
          <w:p w14:paraId="408EE727">
            <w:pPr>
              <w:spacing w:after="0" w:line="500" w:lineRule="exact"/>
              <w:rPr>
                <w:rFonts w:ascii="宋体" w:hAnsi="宋体" w:eastAsia="宋体" w:cs="宋体"/>
              </w:rPr>
            </w:pPr>
            <w:r>
              <w:rPr>
                <w:rFonts w:hint="eastAsia" w:ascii="宋体" w:hAnsi="宋体" w:eastAsia="宋体" w:cs="宋体"/>
              </w:rPr>
              <w:t>（签字）</w:t>
            </w:r>
          </w:p>
        </w:tc>
        <w:tc>
          <w:tcPr>
            <w:tcW w:w="2081" w:type="dxa"/>
            <w:vAlign w:val="center"/>
          </w:tcPr>
          <w:p w14:paraId="3F921261">
            <w:pPr>
              <w:spacing w:after="0" w:line="500" w:lineRule="exact"/>
              <w:rPr>
                <w:rFonts w:ascii="宋体" w:hAnsi="宋体" w:eastAsia="宋体" w:cs="宋体"/>
              </w:rPr>
            </w:pPr>
            <w:r>
              <w:rPr>
                <w:rFonts w:hint="eastAsia" w:ascii="宋体" w:hAnsi="宋体" w:eastAsia="宋体" w:cs="宋体"/>
              </w:rPr>
              <w:t>（签字）</w:t>
            </w:r>
          </w:p>
        </w:tc>
      </w:tr>
    </w:tbl>
    <w:p w14:paraId="62CDAF84">
      <w:pPr>
        <w:spacing w:after="0" w:line="400" w:lineRule="exact"/>
        <w:ind w:firstLine="440" w:firstLineChars="200"/>
        <w:rPr>
          <w:rFonts w:ascii="宋体" w:hAnsi="宋体" w:eastAsia="宋体" w:cs="宋体"/>
        </w:rPr>
      </w:pPr>
      <w:r>
        <w:rPr>
          <w:rFonts w:hint="eastAsia" w:ascii="宋体" w:hAnsi="宋体" w:eastAsia="宋体" w:cs="宋体"/>
        </w:rPr>
        <w:t>注：1.机关、单位政府网站及政务新媒体发布信息前要认真填写本表；</w:t>
      </w:r>
    </w:p>
    <w:p w14:paraId="7281B8F5">
      <w:pPr>
        <w:spacing w:after="0" w:line="400" w:lineRule="exact"/>
        <w:ind w:firstLine="880" w:firstLineChars="400"/>
        <w:rPr>
          <w:rFonts w:ascii="宋体" w:hAnsi="宋体" w:eastAsia="宋体" w:cs="宋体"/>
        </w:rPr>
      </w:pPr>
      <w:r>
        <w:rPr>
          <w:rFonts w:hint="eastAsia" w:ascii="宋体" w:hAnsi="宋体" w:eastAsia="宋体" w:cs="宋体"/>
        </w:rPr>
        <w:t>2.严格落实信息发布保密审查制度和“三审制”，请在相应的“□”打“√”或填写意见；</w:t>
      </w:r>
    </w:p>
    <w:p w14:paraId="464C3028">
      <w:pPr>
        <w:spacing w:after="0" w:line="400" w:lineRule="exact"/>
        <w:ind w:firstLine="880" w:firstLineChars="400"/>
        <w:rPr>
          <w:rFonts w:ascii="宋体" w:hAnsi="宋体" w:eastAsia="宋体" w:cs="宋体"/>
        </w:rPr>
      </w:pPr>
      <w:r>
        <w:rPr>
          <w:rFonts w:hint="eastAsia" w:ascii="宋体" w:hAnsi="宋体" w:eastAsia="宋体" w:cs="宋体"/>
        </w:rPr>
        <w:t>3.信息发布要严把文字、保密、政治关，不能确定信息是否可以公开时，要组织保密审查并报上级部门确认；</w:t>
      </w:r>
    </w:p>
    <w:p w14:paraId="103863D2">
      <w:pPr>
        <w:spacing w:after="0" w:line="400" w:lineRule="exact"/>
        <w:ind w:firstLine="880" w:firstLineChars="400"/>
        <w:rPr>
          <w:rFonts w:hint="eastAsia" w:ascii="仿宋" w:hAnsi="仿宋" w:eastAsia="仿宋" w:cs="仿宋"/>
          <w:sz w:val="32"/>
          <w:szCs w:val="32"/>
          <w:lang w:val="en-US" w:eastAsia="zh-CN"/>
        </w:rPr>
      </w:pPr>
      <w:r>
        <w:rPr>
          <w:rFonts w:hint="eastAsia" w:ascii="宋体" w:hAnsi="宋体" w:eastAsia="宋体" w:cs="宋体"/>
        </w:rPr>
        <w:t>4.本表由本机关、单位负责组织填写和保管</w:t>
      </w:r>
    </w:p>
    <w:sectPr>
      <w:footerReference r:id="rId5" w:type="default"/>
      <w:pgSz w:w="16838" w:h="11906" w:orient="landscape"/>
      <w:pgMar w:top="1800" w:right="1440" w:bottom="1800" w:left="144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8F5A3D0-DA26-4C76-8A3B-477ABC74CEB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方正小标宋_GBK">
    <w:altName w:val="微软雅黑"/>
    <w:panose1 w:val="02000000000000000000"/>
    <w:charset w:val="86"/>
    <w:family w:val="auto"/>
    <w:pitch w:val="default"/>
    <w:sig w:usb0="00000000" w:usb1="00000000" w:usb2="00082016" w:usb3="00000000" w:csb0="00040001" w:csb1="00000000"/>
  </w:font>
  <w:font w:name="楷体">
    <w:panose1 w:val="02010609060101010101"/>
    <w:charset w:val="86"/>
    <w:family w:val="auto"/>
    <w:pitch w:val="default"/>
    <w:sig w:usb0="800002BF" w:usb1="38CF7CFA" w:usb2="00000016" w:usb3="00000000" w:csb0="00040001" w:csb1="00000000"/>
    <w:embedRegular r:id="rId2" w:fontKey="{91497EA5-A181-479D-8487-C2C362304436}"/>
  </w:font>
  <w:font w:name="方正小标宋简体">
    <w:panose1 w:val="02000000000000000000"/>
    <w:charset w:val="86"/>
    <w:family w:val="script"/>
    <w:pitch w:val="default"/>
    <w:sig w:usb0="00000001" w:usb1="08000000" w:usb2="00000000" w:usb3="00000000" w:csb0="00040000" w:csb1="00000000"/>
    <w:embedRegular r:id="rId3" w:fontKey="{DC53DAF3-B05F-494D-8427-404F5F112094}"/>
  </w:font>
  <w:font w:name="仿宋">
    <w:panose1 w:val="02010609060101010101"/>
    <w:charset w:val="86"/>
    <w:family w:val="auto"/>
    <w:pitch w:val="default"/>
    <w:sig w:usb0="800002BF" w:usb1="38CF7CFA" w:usb2="00000016" w:usb3="00000000" w:csb0="00040001" w:csb1="00000000"/>
    <w:embedRegular r:id="rId4" w:fontKey="{ED237B2E-21E1-4848-9D63-56F4809CAB4F}"/>
  </w:font>
  <w:font w:name="仿宋_GB2312">
    <w:panose1 w:val="02010609030101010101"/>
    <w:charset w:val="86"/>
    <w:family w:val="modern"/>
    <w:pitch w:val="default"/>
    <w:sig w:usb0="00000001" w:usb1="080E0000" w:usb2="00000000" w:usb3="00000000" w:csb0="00040000" w:csb1="00000000"/>
    <w:embedRegular r:id="rId5" w:fontKey="{CF9EAC6C-9ED7-4551-BB0F-2E61B528A95E}"/>
  </w:font>
  <w:font w:name="Wingdings 2">
    <w:panose1 w:val="05020102010507070707"/>
    <w:charset w:val="02"/>
    <w:family w:val="roman"/>
    <w:pitch w:val="default"/>
    <w:sig w:usb0="00000000" w:usb1="00000000" w:usb2="00000000" w:usb3="00000000" w:csb0="80000000" w:csb1="00000000"/>
    <w:embedRegular r:id="rId6" w:fontKey="{2A857E77-5C10-4CF9-B761-9DA52DC25ACC}"/>
  </w:font>
  <w:font w:name="Segoe UI">
    <w:panose1 w:val="020B0502040204020203"/>
    <w:charset w:val="00"/>
    <w:family w:val="auto"/>
    <w:pitch w:val="default"/>
    <w:sig w:usb0="E4002EFF" w:usb1="C000E47F"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F4E4B1">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F581516">
                          <w:pPr>
                            <w:pStyle w:val="5"/>
                            <w:rPr>
                              <w:sz w:val="24"/>
                              <w:szCs w:val="24"/>
                            </w:rPr>
                          </w:pPr>
                          <w:r>
                            <w:rPr>
                              <w:sz w:val="24"/>
                              <w:szCs w:val="24"/>
                            </w:rPr>
                            <w:t xml:space="preserve">— </w:t>
                          </w:r>
                          <w:r>
                            <w:rPr>
                              <w:sz w:val="24"/>
                              <w:szCs w:val="24"/>
                            </w:rPr>
                            <w:fldChar w:fldCharType="begin"/>
                          </w:r>
                          <w:r>
                            <w:rPr>
                              <w:sz w:val="24"/>
                              <w:szCs w:val="24"/>
                            </w:rPr>
                            <w:instrText xml:space="preserve"> PAGE  \* MERGEFORMAT </w:instrText>
                          </w:r>
                          <w:r>
                            <w:rPr>
                              <w:sz w:val="24"/>
                              <w:szCs w:val="24"/>
                            </w:rPr>
                            <w:fldChar w:fldCharType="separate"/>
                          </w:r>
                          <w:r>
                            <w:rPr>
                              <w:sz w:val="24"/>
                              <w:szCs w:val="24"/>
                            </w:rPr>
                            <w:t>2</w:t>
                          </w:r>
                          <w:r>
                            <w:rPr>
                              <w:sz w:val="24"/>
                              <w:szCs w:val="24"/>
                            </w:rPr>
                            <w:fldChar w:fldCharType="end"/>
                          </w:r>
                          <w:r>
                            <w:rPr>
                              <w:sz w:val="24"/>
                              <w:szCs w:val="24"/>
                            </w:rPr>
                            <w:t xml:space="preserve"> —</w:t>
                          </w:r>
                        </w:p>
                      </w:txbxContent>
                    </wps:txbx>
                    <wps:bodyPr wrap="none" lIns="0" tIns="0" rIns="0" bIns="0" upright="0">
                      <a:spAutoFit/>
                    </wps:bodyPr>
                  </wps:wsp>
                </a:graphicData>
              </a:graphic>
            </wp:anchor>
          </w:drawing>
        </mc:Choice>
        <mc:Fallback>
          <w:pict>
            <v:shape id="文本框 3"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mKFj5yQEAAJkDAAAOAAAAAAAAAAEAIAAAAB4BAABkcnMvZTJvRG9j&#10;LnhtbFBLBQYAAAAABgAGAFkBAABZBQAAAAA=&#10;">
              <v:fill on="f" focussize="0,0"/>
              <v:stroke on="f"/>
              <v:imagedata o:title=""/>
              <o:lock v:ext="edit" aspectratio="f"/>
              <v:textbox inset="0mm,0mm,0mm,0mm" style="mso-fit-shape-to-text:t;">
                <w:txbxContent>
                  <w:p w14:paraId="2F581516">
                    <w:pPr>
                      <w:pStyle w:val="5"/>
                      <w:rPr>
                        <w:sz w:val="24"/>
                        <w:szCs w:val="24"/>
                      </w:rPr>
                    </w:pPr>
                    <w:r>
                      <w:rPr>
                        <w:sz w:val="24"/>
                        <w:szCs w:val="24"/>
                      </w:rPr>
                      <w:t xml:space="preserve">— </w:t>
                    </w:r>
                    <w:r>
                      <w:rPr>
                        <w:sz w:val="24"/>
                        <w:szCs w:val="24"/>
                      </w:rPr>
                      <w:fldChar w:fldCharType="begin"/>
                    </w:r>
                    <w:r>
                      <w:rPr>
                        <w:sz w:val="24"/>
                        <w:szCs w:val="24"/>
                      </w:rPr>
                      <w:instrText xml:space="preserve"> PAGE  \* MERGEFORMAT </w:instrText>
                    </w:r>
                    <w:r>
                      <w:rPr>
                        <w:sz w:val="24"/>
                        <w:szCs w:val="24"/>
                      </w:rPr>
                      <w:fldChar w:fldCharType="separate"/>
                    </w:r>
                    <w:r>
                      <w:rPr>
                        <w:sz w:val="24"/>
                        <w:szCs w:val="24"/>
                      </w:rPr>
                      <w:t>2</w:t>
                    </w:r>
                    <w:r>
                      <w:rPr>
                        <w:sz w:val="24"/>
                        <w:szCs w:val="24"/>
                      </w:rPr>
                      <w:fldChar w:fldCharType="end"/>
                    </w:r>
                    <w:r>
                      <w:rPr>
                        <w:sz w:val="24"/>
                        <w:szCs w:val="24"/>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2D7D36">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00377F6">
                          <w:pPr>
                            <w:pStyle w:val="5"/>
                            <w:rPr>
                              <w:sz w:val="24"/>
                              <w:szCs w:val="24"/>
                            </w:rPr>
                          </w:pPr>
                          <w:r>
                            <w:rPr>
                              <w:sz w:val="24"/>
                              <w:szCs w:val="24"/>
                            </w:rPr>
                            <w:t xml:space="preserve">— </w:t>
                          </w:r>
                          <w:r>
                            <w:rPr>
                              <w:sz w:val="24"/>
                              <w:szCs w:val="24"/>
                            </w:rPr>
                            <w:fldChar w:fldCharType="begin"/>
                          </w:r>
                          <w:r>
                            <w:rPr>
                              <w:sz w:val="24"/>
                              <w:szCs w:val="24"/>
                            </w:rPr>
                            <w:instrText xml:space="preserve"> PAGE  \* MERGEFORMAT </w:instrText>
                          </w:r>
                          <w:r>
                            <w:rPr>
                              <w:sz w:val="24"/>
                              <w:szCs w:val="24"/>
                            </w:rPr>
                            <w:fldChar w:fldCharType="separate"/>
                          </w:r>
                          <w:r>
                            <w:rPr>
                              <w:sz w:val="24"/>
                              <w:szCs w:val="24"/>
                            </w:rPr>
                            <w:t>1</w:t>
                          </w:r>
                          <w:r>
                            <w:rPr>
                              <w:sz w:val="24"/>
                              <w:szCs w:val="24"/>
                            </w:rPr>
                            <w:fldChar w:fldCharType="end"/>
                          </w:r>
                          <w:r>
                            <w:rPr>
                              <w:sz w:val="24"/>
                              <w:szCs w:val="24"/>
                            </w:rPr>
                            <w:t xml:space="preserve"> —</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14:paraId="100377F6">
                    <w:pPr>
                      <w:pStyle w:val="5"/>
                      <w:rPr>
                        <w:sz w:val="24"/>
                        <w:szCs w:val="24"/>
                      </w:rPr>
                    </w:pPr>
                    <w:r>
                      <w:rPr>
                        <w:sz w:val="24"/>
                        <w:szCs w:val="24"/>
                      </w:rPr>
                      <w:t xml:space="preserve">— </w:t>
                    </w:r>
                    <w:r>
                      <w:rPr>
                        <w:sz w:val="24"/>
                        <w:szCs w:val="24"/>
                      </w:rPr>
                      <w:fldChar w:fldCharType="begin"/>
                    </w:r>
                    <w:r>
                      <w:rPr>
                        <w:sz w:val="24"/>
                        <w:szCs w:val="24"/>
                      </w:rPr>
                      <w:instrText xml:space="preserve"> PAGE  \* MERGEFORMAT </w:instrText>
                    </w:r>
                    <w:r>
                      <w:rPr>
                        <w:sz w:val="24"/>
                        <w:szCs w:val="24"/>
                      </w:rPr>
                      <w:fldChar w:fldCharType="separate"/>
                    </w:r>
                    <w:r>
                      <w:rPr>
                        <w:sz w:val="24"/>
                        <w:szCs w:val="24"/>
                      </w:rPr>
                      <w:t>1</w:t>
                    </w:r>
                    <w:r>
                      <w:rPr>
                        <w:sz w:val="24"/>
                        <w:szCs w:val="24"/>
                      </w:rPr>
                      <w:fldChar w:fldCharType="end"/>
                    </w:r>
                    <w:r>
                      <w:rPr>
                        <w:sz w:val="24"/>
                        <w:szCs w:val="24"/>
                      </w:rP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A9F0ED0"/>
    <w:multiLevelType w:val="singleLevel"/>
    <w:tmpl w:val="9A9F0ED0"/>
    <w:lvl w:ilvl="0" w:tentative="0">
      <w:start w:val="2"/>
      <w:numFmt w:val="chineseCounting"/>
      <w:suff w:val="nothing"/>
      <w:lvlText w:val="（%1）"/>
      <w:lvlJc w:val="left"/>
      <w:rPr>
        <w:rFonts w:hint="eastAsia"/>
      </w:rPr>
    </w:lvl>
  </w:abstractNum>
  <w:abstractNum w:abstractNumId="1">
    <w:nsid w:val="B416F9DC"/>
    <w:multiLevelType w:val="singleLevel"/>
    <w:tmpl w:val="B416F9DC"/>
    <w:lvl w:ilvl="0" w:tentative="0">
      <w:start w:val="4"/>
      <w:numFmt w:val="chineseCounting"/>
      <w:suff w:val="nothing"/>
      <w:lvlText w:val="%1、"/>
      <w:lvlJc w:val="left"/>
      <w:rPr>
        <w:rFonts w:hint="eastAsia"/>
      </w:rPr>
    </w:lvl>
  </w:abstractNum>
  <w:abstractNum w:abstractNumId="2">
    <w:nsid w:val="3F5166BB"/>
    <w:multiLevelType w:val="singleLevel"/>
    <w:tmpl w:val="3F5166BB"/>
    <w:lvl w:ilvl="0" w:tentative="0">
      <w:start w:val="1"/>
      <w:numFmt w:val="decimal"/>
      <w:suff w:val="nothing"/>
      <w:lvlText w:val="%1．"/>
      <w:lvlJc w:val="left"/>
      <w:pPr>
        <w:ind w:left="0" w:firstLine="400"/>
      </w:pPr>
      <w:rPr>
        <w:rFonts w:hint="default"/>
      </w:rPr>
    </w:lvl>
  </w:abstractNum>
  <w:abstractNum w:abstractNumId="3">
    <w:nsid w:val="650188B2"/>
    <w:multiLevelType w:val="singleLevel"/>
    <w:tmpl w:val="650188B2"/>
    <w:lvl w:ilvl="0" w:tentative="0">
      <w:start w:val="2"/>
      <w:numFmt w:val="chineseCounting"/>
      <w:suff w:val="nothing"/>
      <w:lvlText w:val="（%1）"/>
      <w:lvlJc w:val="left"/>
      <w:rPr>
        <w:rFonts w:hint="eastAsia"/>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720"/>
  <w:displayHorizontalDrawingGridEvery w:val="1"/>
  <w:displayVerticalDrawingGridEvery w:val="1"/>
  <w:noPunctuationKerning w:val="1"/>
  <w:characterSpacingControl w:val="doNotCompress"/>
  <w:footnotePr>
    <w:footnote w:id="0"/>
    <w:footnote w:id="1"/>
  </w:footnotePr>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Y0Mjg1OGVjZjA3MzM1MDAwZDQ1MDAxZjMyNDExODMifQ=="/>
  </w:docVars>
  <w:rsids>
    <w:rsidRoot w:val="00D31D50"/>
    <w:rsid w:val="000B540C"/>
    <w:rsid w:val="00135CB9"/>
    <w:rsid w:val="001F1A2E"/>
    <w:rsid w:val="00323B43"/>
    <w:rsid w:val="0036742F"/>
    <w:rsid w:val="0038315F"/>
    <w:rsid w:val="003D37D8"/>
    <w:rsid w:val="00415CE5"/>
    <w:rsid w:val="00426133"/>
    <w:rsid w:val="004358AB"/>
    <w:rsid w:val="004C6566"/>
    <w:rsid w:val="00542C4C"/>
    <w:rsid w:val="006B50E7"/>
    <w:rsid w:val="00782012"/>
    <w:rsid w:val="00807C6D"/>
    <w:rsid w:val="008B7726"/>
    <w:rsid w:val="00A90A9C"/>
    <w:rsid w:val="00AA2BB6"/>
    <w:rsid w:val="00AF7382"/>
    <w:rsid w:val="00C04908"/>
    <w:rsid w:val="00CF5F8D"/>
    <w:rsid w:val="00D31D50"/>
    <w:rsid w:val="00EA7D7A"/>
    <w:rsid w:val="00EB4495"/>
    <w:rsid w:val="00FA17E4"/>
    <w:rsid w:val="010D6B75"/>
    <w:rsid w:val="01972837"/>
    <w:rsid w:val="02E412DB"/>
    <w:rsid w:val="033A1D2B"/>
    <w:rsid w:val="03550139"/>
    <w:rsid w:val="09E813E1"/>
    <w:rsid w:val="10BB784F"/>
    <w:rsid w:val="12855F2D"/>
    <w:rsid w:val="1A8C6608"/>
    <w:rsid w:val="1C4F7811"/>
    <w:rsid w:val="1CEE704C"/>
    <w:rsid w:val="1E926D9A"/>
    <w:rsid w:val="1EE10A22"/>
    <w:rsid w:val="1FA85DBF"/>
    <w:rsid w:val="1FF57DF9"/>
    <w:rsid w:val="27AF54E0"/>
    <w:rsid w:val="27C1080B"/>
    <w:rsid w:val="283F0101"/>
    <w:rsid w:val="29932CBF"/>
    <w:rsid w:val="2A9A1E2C"/>
    <w:rsid w:val="2AA833A8"/>
    <w:rsid w:val="2E9E375A"/>
    <w:rsid w:val="2F1A6C8E"/>
    <w:rsid w:val="2F525E6F"/>
    <w:rsid w:val="2FB93755"/>
    <w:rsid w:val="32332E03"/>
    <w:rsid w:val="350C5A51"/>
    <w:rsid w:val="352E3900"/>
    <w:rsid w:val="3A9F783C"/>
    <w:rsid w:val="3D21388F"/>
    <w:rsid w:val="3F2533F6"/>
    <w:rsid w:val="3FFC25C9"/>
    <w:rsid w:val="40FE4130"/>
    <w:rsid w:val="413E004A"/>
    <w:rsid w:val="417D7802"/>
    <w:rsid w:val="42532B34"/>
    <w:rsid w:val="42BB7663"/>
    <w:rsid w:val="42F114A1"/>
    <w:rsid w:val="43B802BF"/>
    <w:rsid w:val="482E79F6"/>
    <w:rsid w:val="48D923E5"/>
    <w:rsid w:val="4A4D7699"/>
    <w:rsid w:val="4C847914"/>
    <w:rsid w:val="4CE01FA6"/>
    <w:rsid w:val="4DF06083"/>
    <w:rsid w:val="4E6B1A2A"/>
    <w:rsid w:val="4E834801"/>
    <w:rsid w:val="526B70BF"/>
    <w:rsid w:val="54CA72E7"/>
    <w:rsid w:val="58AE663A"/>
    <w:rsid w:val="5AFD3965"/>
    <w:rsid w:val="5ED74E21"/>
    <w:rsid w:val="5F153A8D"/>
    <w:rsid w:val="6BA204F9"/>
    <w:rsid w:val="6BEC7865"/>
    <w:rsid w:val="6C026B73"/>
    <w:rsid w:val="6D1920F6"/>
    <w:rsid w:val="6D2A0A99"/>
    <w:rsid w:val="70AC6CA6"/>
    <w:rsid w:val="73E019C6"/>
    <w:rsid w:val="768B79D3"/>
    <w:rsid w:val="768F0540"/>
    <w:rsid w:val="79A429DF"/>
    <w:rsid w:val="7A252900"/>
    <w:rsid w:val="7B6273C9"/>
    <w:rsid w:val="7C8C7339"/>
    <w:rsid w:val="7DB810CB"/>
    <w:rsid w:val="7ECE3F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qFormat="1"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sz w:val="22"/>
      <w:szCs w:val="22"/>
      <w:lang w:val="en-US" w:eastAsia="zh-CN" w:bidi="ar-SA"/>
    </w:rPr>
  </w:style>
  <w:style w:type="paragraph" w:styleId="2">
    <w:name w:val="heading 1"/>
    <w:basedOn w:val="1"/>
    <w:next w:val="1"/>
    <w:autoRedefine/>
    <w:qFormat/>
    <w:uiPriority w:val="9"/>
    <w:pPr>
      <w:keepNext/>
      <w:keepLines/>
      <w:spacing w:beforeLines="0" w:beforeAutospacing="0" w:afterLines="0" w:afterAutospacing="0" w:line="700" w:lineRule="exact"/>
      <w:ind w:firstLine="0" w:firstLineChars="0"/>
      <w:jc w:val="center"/>
      <w:outlineLvl w:val="0"/>
    </w:pPr>
    <w:rPr>
      <w:rFonts w:ascii="Calibri" w:hAnsi="Calibri" w:eastAsia="方正小标宋_GBK" w:cs="Times New Roman"/>
      <w:kern w:val="44"/>
      <w:sz w:val="44"/>
      <w:szCs w:val="21"/>
    </w:rPr>
  </w:style>
  <w:style w:type="paragraph" w:styleId="3">
    <w:name w:val="heading 3"/>
    <w:basedOn w:val="1"/>
    <w:next w:val="1"/>
    <w:autoRedefine/>
    <w:unhideWhenUsed/>
    <w:qFormat/>
    <w:uiPriority w:val="9"/>
    <w:pPr>
      <w:spacing w:before="50" w:beforeLines="50" w:beforeAutospacing="0" w:after="50" w:afterLines="50" w:afterAutospacing="0" w:line="600" w:lineRule="exact"/>
      <w:ind w:firstLine="863" w:firstLineChars="200"/>
      <w:jc w:val="left"/>
      <w:outlineLvl w:val="2"/>
    </w:pPr>
    <w:rPr>
      <w:rFonts w:hint="eastAsia" w:ascii="宋体" w:hAnsi="宋体" w:eastAsia="黑体" w:cs="宋体"/>
      <w:bCs/>
      <w:snapToGrid w:val="0"/>
      <w:color w:val="000000"/>
      <w:kern w:val="2"/>
      <w:sz w:val="32"/>
      <w:szCs w:val="27"/>
      <w:lang w:bidi="ar"/>
    </w:rPr>
  </w:style>
  <w:style w:type="character" w:default="1" w:styleId="10">
    <w:name w:val="Default Paragraph Font"/>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Body Text Indent"/>
    <w:basedOn w:val="1"/>
    <w:unhideWhenUsed/>
    <w:qFormat/>
    <w:uiPriority w:val="0"/>
    <w:pPr>
      <w:spacing w:before="0" w:beforeAutospacing="0" w:after="120" w:afterAutospacing="0" w:line="240" w:lineRule="auto"/>
      <w:ind w:left="420" w:leftChars="200" w:firstLine="0" w:firstLineChars="0"/>
    </w:pPr>
    <w:rPr>
      <w:sz w:val="21"/>
    </w:rPr>
  </w:style>
  <w:style w:type="paragraph" w:styleId="5">
    <w:name w:val="footer"/>
    <w:basedOn w:val="1"/>
    <w:link w:val="14"/>
    <w:semiHidden/>
    <w:unhideWhenUsed/>
    <w:qFormat/>
    <w:uiPriority w:val="99"/>
    <w:pPr>
      <w:tabs>
        <w:tab w:val="center" w:pos="4153"/>
        <w:tab w:val="right" w:pos="8306"/>
      </w:tabs>
    </w:pPr>
    <w:rPr>
      <w:sz w:val="18"/>
      <w:szCs w:val="18"/>
    </w:rPr>
  </w:style>
  <w:style w:type="paragraph" w:styleId="6">
    <w:name w:val="header"/>
    <w:basedOn w:val="1"/>
    <w:link w:val="13"/>
    <w:semiHidden/>
    <w:unhideWhenUsed/>
    <w:qFormat/>
    <w:uiPriority w:val="99"/>
    <w:pPr>
      <w:pBdr>
        <w:bottom w:val="single" w:color="auto" w:sz="6" w:space="1"/>
      </w:pBdr>
      <w:tabs>
        <w:tab w:val="center" w:pos="4153"/>
        <w:tab w:val="right" w:pos="8306"/>
      </w:tabs>
      <w:jc w:val="center"/>
    </w:pPr>
    <w:rPr>
      <w:sz w:val="18"/>
      <w:szCs w:val="18"/>
    </w:rPr>
  </w:style>
  <w:style w:type="paragraph" w:styleId="7">
    <w:name w:val="Normal (Web)"/>
    <w:basedOn w:val="1"/>
    <w:semiHidden/>
    <w:unhideWhenUsed/>
    <w:qFormat/>
    <w:uiPriority w:val="99"/>
    <w:pPr>
      <w:adjustRightInd/>
      <w:snapToGrid/>
      <w:spacing w:before="100" w:beforeAutospacing="1" w:after="100" w:afterAutospacing="1"/>
    </w:pPr>
    <w:rPr>
      <w:rFonts w:ascii="宋体" w:hAnsi="宋体" w:eastAsia="宋体" w:cs="宋体"/>
      <w:sz w:val="24"/>
      <w:szCs w:val="24"/>
    </w:rPr>
  </w:style>
  <w:style w:type="paragraph" w:styleId="8">
    <w:name w:val="Body Text First Indent 2"/>
    <w:basedOn w:val="4"/>
    <w:qFormat/>
    <w:uiPriority w:val="0"/>
    <w:pPr>
      <w:autoSpaceDE w:val="0"/>
      <w:autoSpaceDN w:val="0"/>
      <w:adjustRightInd w:val="0"/>
      <w:spacing w:after="0"/>
      <w:ind w:firstLine="420"/>
      <w:jc w:val="left"/>
    </w:pPr>
    <w:rPr>
      <w:rFonts w:ascii="Calibri" w:hAnsi="Calibri"/>
    </w:rPr>
  </w:style>
  <w:style w:type="character" w:styleId="11">
    <w:name w:val="page number"/>
    <w:basedOn w:val="10"/>
    <w:qFormat/>
    <w:uiPriority w:val="0"/>
  </w:style>
  <w:style w:type="character" w:styleId="12">
    <w:name w:val="Hyperlink"/>
    <w:basedOn w:val="10"/>
    <w:semiHidden/>
    <w:unhideWhenUsed/>
    <w:qFormat/>
    <w:uiPriority w:val="99"/>
    <w:rPr>
      <w:color w:val="333333"/>
      <w:u w:val="none"/>
    </w:rPr>
  </w:style>
  <w:style w:type="character" w:customStyle="1" w:styleId="13">
    <w:name w:val="页眉 Char"/>
    <w:basedOn w:val="10"/>
    <w:link w:val="6"/>
    <w:semiHidden/>
    <w:qFormat/>
    <w:uiPriority w:val="99"/>
    <w:rPr>
      <w:rFonts w:ascii="Tahoma" w:hAnsi="Tahoma"/>
      <w:sz w:val="18"/>
      <w:szCs w:val="18"/>
    </w:rPr>
  </w:style>
  <w:style w:type="character" w:customStyle="1" w:styleId="14">
    <w:name w:val="页脚 Char"/>
    <w:basedOn w:val="10"/>
    <w:link w:val="5"/>
    <w:semiHidden/>
    <w:qFormat/>
    <w:uiPriority w:val="99"/>
    <w:rPr>
      <w:rFonts w:ascii="Tahoma" w:hAnsi="Tahoma"/>
      <w:sz w:val="18"/>
      <w:szCs w:val="18"/>
    </w:rPr>
  </w:style>
  <w:style w:type="character" w:customStyle="1" w:styleId="15">
    <w:name w:val="NormalCharacter"/>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20</Pages>
  <Words>10452</Words>
  <Characters>10986</Characters>
  <Lines>66</Lines>
  <Paragraphs>18</Paragraphs>
  <TotalTime>1</TotalTime>
  <ScaleCrop>false</ScaleCrop>
  <LinksUpToDate>false</LinksUpToDate>
  <CharactersWithSpaces>11254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leo</cp:lastModifiedBy>
  <cp:lastPrinted>2024-07-30T09:19:00Z</cp:lastPrinted>
  <dcterms:modified xsi:type="dcterms:W3CDTF">2024-08-16T04:41:49Z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7080D7ECA65A4F1A9EEACB6D12C2DBA7_13</vt:lpwstr>
  </property>
</Properties>
</file>