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607AB">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Times New Roman" w:hAnsi="Times New Roman" w:eastAsia="黑体" w:cs="Times New Roman"/>
          <w:kern w:val="2"/>
          <w:sz w:val="44"/>
          <w:szCs w:val="44"/>
          <w:lang w:val="en-US" w:eastAsia="zh-CN" w:bidi="ar-SA"/>
        </w:rPr>
      </w:pPr>
      <w:r>
        <w:rPr>
          <w:rFonts w:hint="eastAsia" w:ascii="Times New Roman" w:hAnsi="Times New Roman" w:eastAsia="黑体" w:cs="Times New Roman"/>
          <w:sz w:val="44"/>
          <w:szCs w:val="44"/>
          <w:lang w:eastAsia="zh-CN"/>
        </w:rPr>
        <w:t>中方县城市管理和综合执法局202</w:t>
      </w:r>
      <w:r>
        <w:rPr>
          <w:rFonts w:hint="eastAsia" w:ascii="Times New Roman" w:hAnsi="Times New Roman" w:eastAsia="黑体" w:cs="Times New Roman"/>
          <w:sz w:val="44"/>
          <w:szCs w:val="44"/>
          <w:lang w:val="en-US" w:eastAsia="zh-CN"/>
        </w:rPr>
        <w:t>3</w:t>
      </w:r>
      <w:r>
        <w:rPr>
          <w:rFonts w:hint="eastAsia" w:ascii="Times New Roman" w:hAnsi="Times New Roman" w:eastAsia="黑体" w:cs="Times New Roman"/>
          <w:sz w:val="44"/>
          <w:szCs w:val="44"/>
          <w:lang w:eastAsia="zh-CN"/>
        </w:rPr>
        <w:t>年度</w:t>
      </w:r>
    </w:p>
    <w:p w14:paraId="792C1FFC">
      <w:pPr>
        <w:pStyle w:val="9"/>
        <w:spacing w:line="510" w:lineRule="exact"/>
        <w:jc w:val="center"/>
        <w:rPr>
          <w:rFonts w:ascii="Times New Roman" w:hAnsi="Times New Roman" w:eastAsia="楷体"/>
          <w:b/>
          <w:sz w:val="32"/>
          <w:szCs w:val="32"/>
        </w:rPr>
      </w:pPr>
      <w:r>
        <w:rPr>
          <w:rFonts w:hint="eastAsia" w:ascii="Times New Roman" w:hAnsi="Times New Roman" w:eastAsia="黑体" w:cs="Times New Roman"/>
          <w:kern w:val="2"/>
          <w:sz w:val="44"/>
          <w:szCs w:val="44"/>
          <w:lang w:val="en-US" w:eastAsia="zh-CN" w:bidi="ar-SA"/>
        </w:rPr>
        <w:t>智慧城管服务项目支出绩效自评报告</w:t>
      </w:r>
    </w:p>
    <w:p w14:paraId="2950AB89">
      <w:pPr>
        <w:pStyle w:val="9"/>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一、基本情况</w:t>
      </w:r>
    </w:p>
    <w:p w14:paraId="6BC6B5C1">
      <w:pPr>
        <w:pStyle w:val="9"/>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（一）项目概况。</w:t>
      </w:r>
    </w:p>
    <w:p w14:paraId="3BBE659B">
      <w:pPr>
        <w:keepNext w:val="0"/>
        <w:keepLines w:val="0"/>
        <w:pageBreakBefore w:val="0"/>
        <w:widowControl w:val="0"/>
        <w:kinsoku/>
        <w:wordWrap/>
        <w:overflowPunct/>
        <w:topLinePunct w:val="0"/>
        <w:autoSpaceDE/>
        <w:autoSpaceDN/>
        <w:bidi w:val="0"/>
        <w:adjustRightInd/>
        <w:snapToGrid/>
        <w:spacing w:line="500" w:lineRule="exact"/>
        <w:ind w:firstLine="663" w:firstLineChars="221"/>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在市里“三区一县”体系内，共投入210万多元，同步开展智慧城管项目平台建设。</w:t>
      </w:r>
    </w:p>
    <w:p w14:paraId="5632FEE4">
      <w:pPr>
        <w:keepNext w:val="0"/>
        <w:keepLines w:val="0"/>
        <w:pageBreakBefore w:val="0"/>
        <w:widowControl w:val="0"/>
        <w:kinsoku/>
        <w:wordWrap/>
        <w:overflowPunct/>
        <w:topLinePunct w:val="0"/>
        <w:autoSpaceDE/>
        <w:autoSpaceDN/>
        <w:bidi w:val="0"/>
        <w:adjustRightInd/>
        <w:snapToGrid/>
        <w:spacing w:line="500" w:lineRule="exact"/>
        <w:ind w:firstLine="663" w:firstLineChars="221"/>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硬件方面：安装高清摄像头11个、扬尘噪音监测系统1套、车载移动定位终端15个；配备“智慧城管通”终端20台、执法记录仪（单兵设备）90台；</w:t>
      </w:r>
    </w:p>
    <w:p w14:paraId="2AB85378">
      <w:pPr>
        <w:keepNext w:val="0"/>
        <w:keepLines w:val="0"/>
        <w:pageBreakBefore w:val="0"/>
        <w:widowControl w:val="0"/>
        <w:kinsoku/>
        <w:wordWrap/>
        <w:overflowPunct/>
        <w:topLinePunct w:val="0"/>
        <w:autoSpaceDE/>
        <w:autoSpaceDN/>
        <w:bidi w:val="0"/>
        <w:adjustRightInd/>
        <w:snapToGrid/>
        <w:spacing w:line="500" w:lineRule="exact"/>
        <w:ind w:firstLine="663" w:firstLineChars="221"/>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软件方面：在怀化市智慧城管综合服务平台的框架内，使用电子政务外网网络环境，运行中方县分平台。</w:t>
      </w:r>
    </w:p>
    <w:p w14:paraId="243BA2A0">
      <w:pPr>
        <w:pStyle w:val="9"/>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（二）项目绩效目标。</w:t>
      </w:r>
    </w:p>
    <w:p w14:paraId="354B611E">
      <w:pPr>
        <w:keepNext w:val="0"/>
        <w:keepLines w:val="0"/>
        <w:pageBreakBefore w:val="0"/>
        <w:widowControl w:val="0"/>
        <w:kinsoku/>
        <w:wordWrap/>
        <w:overflowPunct/>
        <w:topLinePunct w:val="0"/>
        <w:autoSpaceDE/>
        <w:autoSpaceDN/>
        <w:bidi w:val="0"/>
        <w:adjustRightInd/>
        <w:snapToGrid/>
        <w:spacing w:line="500" w:lineRule="exact"/>
        <w:ind w:firstLine="663" w:firstLineChars="221"/>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自2017年10月开始建设，2018年3月试运行，2018年7月在全县全面开展。之后逐步建立、完善考核制度，2019年以来将考核结果纳入各责任单位的年终绩效考核（占3分分值）。</w:t>
      </w:r>
    </w:p>
    <w:p w14:paraId="4ECD80EB">
      <w:pPr>
        <w:keepNext w:val="0"/>
        <w:keepLines w:val="0"/>
        <w:pageBreakBefore w:val="0"/>
        <w:widowControl w:val="0"/>
        <w:kinsoku/>
        <w:wordWrap/>
        <w:overflowPunct/>
        <w:topLinePunct w:val="0"/>
        <w:autoSpaceDE/>
        <w:autoSpaceDN/>
        <w:bidi w:val="0"/>
        <w:adjustRightInd/>
        <w:snapToGrid/>
        <w:spacing w:line="500" w:lineRule="exact"/>
        <w:ind w:firstLine="663" w:firstLineChars="221"/>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2020年4月，根据市里的要求，重新修订并发布了《中方县城区城市管理工作考核暂行办法》，完善和优化了考核方法，将智慧城管案件完成情况纳入各责任单位的年终综合绩效考核。</w:t>
      </w:r>
    </w:p>
    <w:p w14:paraId="081E090E">
      <w:pPr>
        <w:pStyle w:val="9"/>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二、绩效评价工作开展情况</w:t>
      </w:r>
    </w:p>
    <w:p w14:paraId="3D0F2CC0">
      <w:pPr>
        <w:widowControl/>
        <w:spacing w:line="600" w:lineRule="exact"/>
        <w:ind w:firstLine="640" w:firstLineChars="200"/>
        <w:rPr>
          <w:rFonts w:ascii="Times New Roman" w:hAnsi="Times New Roman" w:eastAsia="仿宋"/>
          <w:sz w:val="32"/>
          <w:szCs w:val="32"/>
        </w:rPr>
      </w:pPr>
      <w:r>
        <w:rPr>
          <w:rFonts w:hint="eastAsia" w:ascii="仿宋" w:hAnsi="仿宋" w:eastAsia="仿宋" w:cs="仿宋"/>
          <w:sz w:val="32"/>
          <w:szCs w:val="32"/>
        </w:rPr>
        <w:t>（一）</w:t>
      </w:r>
      <w:r>
        <w:rPr>
          <w:rFonts w:hint="eastAsia" w:ascii="仿宋" w:hAnsi="仿宋" w:eastAsia="仿宋" w:cs="仿宋"/>
          <w:b/>
          <w:sz w:val="32"/>
          <w:szCs w:val="32"/>
        </w:rPr>
        <w:t>、</w:t>
      </w:r>
      <w:r>
        <w:rPr>
          <w:rFonts w:ascii="Times New Roman" w:hAnsi="Times New Roman" w:eastAsia="仿宋"/>
          <w:sz w:val="32"/>
          <w:szCs w:val="32"/>
        </w:rPr>
        <w:t>绩效评价目的、对象和范围。</w:t>
      </w:r>
    </w:p>
    <w:p w14:paraId="3EA4F131">
      <w:pPr>
        <w:spacing w:line="560" w:lineRule="exact"/>
        <w:ind w:firstLine="600" w:firstLineChars="200"/>
        <w:rPr>
          <w:rFonts w:hint="eastAsia" w:ascii="仿宋" w:hAnsi="仿宋" w:eastAsia="仿宋" w:cs="仿宋"/>
          <w:sz w:val="30"/>
          <w:szCs w:val="30"/>
        </w:rPr>
      </w:pPr>
      <w:r>
        <w:rPr>
          <w:rFonts w:hint="eastAsia" w:ascii="仿宋" w:hAnsi="仿宋" w:eastAsia="仿宋" w:cs="仿宋"/>
          <w:kern w:val="0"/>
          <w:sz w:val="30"/>
          <w:szCs w:val="30"/>
        </w:rPr>
        <w:t>为切实加强市城区城市管理，改善城市环境，不断提高城市管理标准化、精细化水平。</w:t>
      </w:r>
      <w:r>
        <w:rPr>
          <w:rFonts w:hint="eastAsia" w:ascii="仿宋" w:hAnsi="仿宋" w:eastAsia="仿宋" w:cs="仿宋"/>
          <w:sz w:val="30"/>
          <w:szCs w:val="30"/>
        </w:rPr>
        <w:t>承担城市管理工作任务的县级相关部门和有关单位。县级相关部门和有关单位根据所担负的任务情况，分为A、B两类进行考核。A类：指承担城市管理工作的牵头部门或承担重要工作任务的相关部门，包括县城市管理和综合执法局、县公安局交通管理中心、县机关事务中心、</w:t>
      </w:r>
      <w:r>
        <w:rPr>
          <w:rFonts w:hint="eastAsia" w:ascii="仿宋" w:hAnsi="仿宋" w:eastAsia="仿宋" w:cs="仿宋"/>
          <w:sz w:val="30"/>
          <w:szCs w:val="30"/>
          <w:lang w:val="en-US" w:eastAsia="zh-CN"/>
        </w:rPr>
        <w:t>县水利局</w:t>
      </w:r>
      <w:r>
        <w:rPr>
          <w:rFonts w:hint="eastAsia" w:ascii="仿宋" w:hAnsi="仿宋" w:eastAsia="仿宋" w:cs="仿宋"/>
          <w:sz w:val="30"/>
          <w:szCs w:val="30"/>
        </w:rPr>
        <w:t>、县住房保障服务中心、县卫生健康局、市生态环境局中方分局、县公安局、县商务科技和工业信息化局、县交通运输局、县公路建设养护中心、县住房和城乡建设局、县城市建设投资有限公司、县文化旅游广电体育局、县市场监督管理局、县民政局、</w:t>
      </w:r>
      <w:r>
        <w:rPr>
          <w:rFonts w:hint="eastAsia" w:ascii="仿宋" w:hAnsi="仿宋" w:eastAsia="仿宋" w:cs="仿宋"/>
          <w:sz w:val="30"/>
          <w:szCs w:val="30"/>
          <w:lang w:eastAsia="zh-CN"/>
        </w:rPr>
        <w:t>中方镇</w:t>
      </w:r>
      <w:r>
        <w:rPr>
          <w:rFonts w:hint="eastAsia" w:ascii="仿宋" w:hAnsi="仿宋" w:eastAsia="仿宋" w:cs="仿宋"/>
          <w:sz w:val="30"/>
          <w:szCs w:val="30"/>
        </w:rPr>
        <w:t>、</w:t>
      </w:r>
      <w:r>
        <w:rPr>
          <w:rFonts w:hint="eastAsia" w:ascii="仿宋" w:hAnsi="仿宋" w:eastAsia="仿宋" w:cs="仿宋"/>
          <w:sz w:val="30"/>
          <w:szCs w:val="30"/>
          <w:lang w:eastAsia="zh-CN"/>
        </w:rPr>
        <w:t>泸阳镇</w:t>
      </w:r>
      <w:r>
        <w:rPr>
          <w:rFonts w:hint="eastAsia" w:ascii="仿宋" w:hAnsi="仿宋" w:eastAsia="仿宋" w:cs="仿宋"/>
          <w:sz w:val="30"/>
          <w:szCs w:val="30"/>
        </w:rPr>
        <w:t>。</w:t>
      </w:r>
    </w:p>
    <w:p w14:paraId="44B4AC5E">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B类：指在城市管理工作中承担部分工作任务的有关单位：县推进怀化职教基地建设协调指挥部、县湘商文化科技产业园管理委员会、中国邮政中方分公司、县交通建设投资有限责任公司、县全域旅游投资有限公司、湖南有线怀化网络有限公司中方分公司、中国电信中方分公司、中国移动中方分公司、</w:t>
      </w:r>
      <w:r>
        <w:rPr>
          <w:rFonts w:hint="eastAsia" w:ascii="仿宋" w:hAnsi="仿宋" w:eastAsia="仿宋" w:cs="仿宋"/>
          <w:sz w:val="30"/>
          <w:szCs w:val="30"/>
          <w:lang w:eastAsia="zh-CN"/>
        </w:rPr>
        <w:t>县</w:t>
      </w:r>
      <w:r>
        <w:rPr>
          <w:rFonts w:hint="eastAsia" w:ascii="仿宋" w:hAnsi="仿宋" w:eastAsia="仿宋" w:cs="仿宋"/>
          <w:sz w:val="30"/>
          <w:szCs w:val="30"/>
        </w:rPr>
        <w:t>自来水公司、中国联通中方分公司、怀化市公交公司中方分公司、国网供电中方分公司、中国石油中方分公司、中国铁塔集团中方分公司。</w:t>
      </w:r>
    </w:p>
    <w:p w14:paraId="584907A4">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县城市管理委员会办公室每年可根据工作任务轻重变化对A、B两类部门和单位进行更换调整。</w:t>
      </w:r>
    </w:p>
    <w:p w14:paraId="6B9BD61A">
      <w:pPr>
        <w:pStyle w:val="9"/>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（二）</w:t>
      </w:r>
      <w:r>
        <w:rPr>
          <w:rFonts w:hint="eastAsia" w:ascii="仿宋" w:hAnsi="仿宋" w:eastAsia="仿宋" w:cs="仿宋"/>
          <w:b/>
          <w:sz w:val="32"/>
          <w:szCs w:val="32"/>
        </w:rPr>
        <w:t>、</w:t>
      </w:r>
      <w:r>
        <w:rPr>
          <w:rFonts w:ascii="Times New Roman" w:hAnsi="Times New Roman" w:eastAsia="仿宋"/>
          <w:sz w:val="32"/>
          <w:szCs w:val="32"/>
        </w:rPr>
        <w:t>绩效评价原则、评价指标体系（附表说明）、评价方法、评价标准等。</w:t>
      </w:r>
    </w:p>
    <w:p w14:paraId="2797C9E6">
      <w:pPr>
        <w:spacing w:line="600" w:lineRule="exact"/>
        <w:ind w:firstLine="640" w:firstLineChars="200"/>
        <w:rPr>
          <w:rFonts w:hint="eastAsia" w:ascii="仿宋" w:hAnsi="仿宋" w:eastAsia="仿宋" w:cs="仿宋"/>
          <w:sz w:val="30"/>
          <w:szCs w:val="30"/>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评价原则：</w:t>
      </w:r>
      <w:r>
        <w:rPr>
          <w:rFonts w:hint="eastAsia" w:ascii="仿宋" w:hAnsi="仿宋" w:eastAsia="仿宋" w:cs="仿宋"/>
          <w:sz w:val="30"/>
          <w:szCs w:val="30"/>
        </w:rPr>
        <w:t>客观公正，公平公开。考核过程全面公开，每项考核记录、数据均可面向考核单位公开查询比对。</w:t>
      </w:r>
    </w:p>
    <w:p w14:paraId="35EC38C8">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评价指标体系：见附件1、2。</w:t>
      </w:r>
    </w:p>
    <w:p w14:paraId="35640E7C">
      <w:pPr>
        <w:spacing w:after="0"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2"/>
          <w:szCs w:val="32"/>
        </w:rPr>
        <w:t>评价方法、评价标准：</w:t>
      </w:r>
      <w:r>
        <w:rPr>
          <w:rFonts w:hint="eastAsia" w:ascii="仿宋" w:hAnsi="仿宋" w:eastAsia="仿宋" w:cs="仿宋"/>
          <w:sz w:val="30"/>
          <w:szCs w:val="30"/>
        </w:rPr>
        <w:t>分类施策，科学考评。针对各考核单位不同情况实行分类考核，并采取数字城管、现场检查、专项督办、正负面清单等多种手段相结合的考核方式。突出重点，循序渐进。先重点解决明显突出的问题，再兼顾全面，逐步提高和细化考核标准。</w:t>
      </w:r>
    </w:p>
    <w:p w14:paraId="4E108B38">
      <w:pPr>
        <w:pStyle w:val="9"/>
        <w:spacing w:line="510" w:lineRule="exact"/>
        <w:ind w:firstLine="640" w:firstLineChars="200"/>
        <w:rPr>
          <w:rFonts w:ascii="Times New Roman" w:hAnsi="Times New Roman" w:eastAsia="仿宋"/>
          <w:sz w:val="32"/>
          <w:szCs w:val="32"/>
        </w:rPr>
      </w:pPr>
      <w:r>
        <w:rPr>
          <w:rFonts w:ascii="Times New Roman" w:hAnsi="Times New Roman" w:eastAsia="仿宋"/>
          <w:sz w:val="32"/>
          <w:szCs w:val="32"/>
        </w:rPr>
        <w:t>（三）</w:t>
      </w:r>
      <w:r>
        <w:rPr>
          <w:rFonts w:hint="eastAsia" w:ascii="仿宋" w:hAnsi="仿宋" w:eastAsia="仿宋" w:cs="仿宋"/>
          <w:b/>
          <w:sz w:val="32"/>
          <w:szCs w:val="32"/>
        </w:rPr>
        <w:t>、</w:t>
      </w:r>
      <w:r>
        <w:rPr>
          <w:rFonts w:ascii="Times New Roman" w:hAnsi="Times New Roman" w:eastAsia="仿宋"/>
          <w:sz w:val="32"/>
          <w:szCs w:val="32"/>
        </w:rPr>
        <w:t>绩效评价工作过程。</w:t>
      </w:r>
    </w:p>
    <w:p w14:paraId="48B74D5F">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实行百分制计分。</w:t>
      </w:r>
    </w:p>
    <w:p w14:paraId="15381964">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A类单位、B类单位分别排名，每月计分排名一次（当月智慧城管系统无案件的单位不参与该月排名，全年无案件的单位不参与全年排名），每季度集中讲评一次，年终总结排名，综合评定。</w:t>
      </w:r>
    </w:p>
    <w:p w14:paraId="6966CF2D">
      <w:pPr>
        <w:pStyle w:val="9"/>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lang w:val="en-US" w:eastAsia="zh-CN"/>
        </w:rPr>
        <w:t>三、</w:t>
      </w:r>
      <w:r>
        <w:rPr>
          <w:rFonts w:hint="eastAsia" w:ascii="Times New Roman" w:hAnsi="Times New Roman" w:eastAsia="楷体" w:cs="Times New Roman"/>
          <w:b/>
          <w:sz w:val="32"/>
          <w:szCs w:val="32"/>
        </w:rPr>
        <w:t>综合评价情况及评价结论（附相关评分表）</w:t>
      </w:r>
    </w:p>
    <w:p w14:paraId="77F9EF5E">
      <w:pPr>
        <w:pStyle w:val="9"/>
        <w:numPr>
          <w:ilvl w:val="0"/>
          <w:numId w:val="0"/>
        </w:numPr>
        <w:spacing w:line="51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通过自我评价，认为</w:t>
      </w:r>
      <w:r>
        <w:rPr>
          <w:rFonts w:hint="eastAsia" w:ascii="仿宋" w:hAnsi="仿宋" w:eastAsia="仿宋" w:cs="仿宋"/>
          <w:sz w:val="30"/>
          <w:szCs w:val="30"/>
          <w:lang w:val="en-US" w:eastAsia="zh-CN"/>
        </w:rPr>
        <w:t>智慧城管服务</w:t>
      </w:r>
      <w:r>
        <w:rPr>
          <w:rFonts w:hint="eastAsia" w:ascii="仿宋" w:hAnsi="仿宋" w:eastAsia="仿宋" w:cs="仿宋"/>
          <w:sz w:val="30"/>
          <w:szCs w:val="30"/>
        </w:rPr>
        <w:t>专项资金资金的申报材料规范齐全、评审程序公平公正，宣传政策到位，资金的发放与管理较规范。本项目经费支出绩效评价综合得分9</w:t>
      </w:r>
      <w:r>
        <w:rPr>
          <w:rFonts w:hint="eastAsia" w:ascii="仿宋" w:hAnsi="仿宋" w:eastAsia="仿宋" w:cs="仿宋"/>
          <w:sz w:val="30"/>
          <w:szCs w:val="30"/>
          <w:lang w:val="en-US" w:eastAsia="zh-CN"/>
        </w:rPr>
        <w:t>6</w:t>
      </w:r>
      <w:r>
        <w:rPr>
          <w:rFonts w:hint="eastAsia" w:ascii="仿宋" w:hAnsi="仿宋" w:eastAsia="仿宋" w:cs="仿宋"/>
          <w:sz w:val="30"/>
          <w:szCs w:val="30"/>
        </w:rPr>
        <w:t>分，结果为优。</w:t>
      </w:r>
    </w:p>
    <w:p w14:paraId="2D0BE96E">
      <w:pPr>
        <w:pStyle w:val="9"/>
        <w:spacing w:line="510" w:lineRule="exact"/>
        <w:ind w:firstLine="643" w:firstLineChars="200"/>
        <w:rPr>
          <w:rFonts w:hint="eastAsia" w:ascii="Times New Roman" w:hAnsi="Times New Roman" w:eastAsia="楷体" w:cs="Times New Roman"/>
          <w:b/>
          <w:sz w:val="32"/>
          <w:szCs w:val="32"/>
          <w:lang w:val="en-US" w:eastAsia="zh-CN"/>
        </w:rPr>
      </w:pPr>
      <w:r>
        <w:rPr>
          <w:rFonts w:hint="eastAsia" w:ascii="Times New Roman" w:hAnsi="Times New Roman" w:eastAsia="楷体" w:cs="Times New Roman"/>
          <w:b/>
          <w:sz w:val="32"/>
          <w:szCs w:val="32"/>
          <w:lang w:val="en-US" w:eastAsia="zh-CN"/>
        </w:rPr>
        <w:t>四、绩效评价指标分析</w:t>
      </w:r>
    </w:p>
    <w:p w14:paraId="0A32B560">
      <w:pPr>
        <w:pStyle w:val="9"/>
        <w:spacing w:line="51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（一）项目决策情况。</w:t>
      </w:r>
    </w:p>
    <w:p w14:paraId="264AD347">
      <w:pPr>
        <w:pStyle w:val="9"/>
        <w:spacing w:line="510" w:lineRule="exact"/>
        <w:ind w:firstLine="640" w:firstLineChars="200"/>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县城市管理委员会为县城市管理考核工作的考核主体，县城市管理委员会办公室（设县城市管理和综合执法局）负责县城市管理日常考核工作的具体组织实施。</w:t>
      </w:r>
    </w:p>
    <w:p w14:paraId="4DD45187">
      <w:pPr>
        <w:pStyle w:val="9"/>
        <w:spacing w:line="510" w:lineRule="exact"/>
        <w:ind w:firstLine="640" w:firstLineChars="200"/>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rPr>
        <w:t>各部门、单位要高度重视城市管理考核工作，依据</w:t>
      </w:r>
      <w:r>
        <w:rPr>
          <w:rFonts w:hint="eastAsia" w:ascii="Times New Roman" w:hAnsi="Times New Roman" w:eastAsia="仿宋" w:cs="Times New Roman"/>
          <w:sz w:val="32"/>
          <w:szCs w:val="32"/>
          <w:lang w:eastAsia="zh-CN"/>
        </w:rPr>
        <w:t>《中方县城区城市管理工作考核办法》</w:t>
      </w:r>
      <w:r>
        <w:rPr>
          <w:rFonts w:hint="eastAsia" w:ascii="Times New Roman" w:hAnsi="Times New Roman" w:eastAsia="仿宋" w:cs="Times New Roman"/>
          <w:sz w:val="32"/>
          <w:szCs w:val="32"/>
        </w:rPr>
        <w:t>并结合本部门、单位实际，建立与考核管理相配套的工作制度，明确1名分管领导和1 名智慧城管专干，负责业务联络，抓好工作落实；配置专用电脑和移动终端，进入</w:t>
      </w:r>
      <w:r>
        <w:rPr>
          <w:rFonts w:hint="eastAsia" w:ascii="Times New Roman" w:hAnsi="Times New Roman" w:eastAsia="仿宋" w:cs="Times New Roman"/>
          <w:sz w:val="32"/>
          <w:szCs w:val="32"/>
          <w:lang w:eastAsia="zh-CN"/>
        </w:rPr>
        <w:t>怀化市</w:t>
      </w:r>
      <w:r>
        <w:rPr>
          <w:rFonts w:hint="eastAsia" w:ascii="Times New Roman" w:hAnsi="Times New Roman" w:eastAsia="仿宋" w:cs="Times New Roman"/>
          <w:sz w:val="32"/>
          <w:szCs w:val="32"/>
        </w:rPr>
        <w:t>智慧中心城市管理运行平台，保障工作条件，完善责任体系，确保城市环境形象稳步提升。县智慧办要做好智慧城管系统平台纳入工作。县政府督查室对城市管理考核机制落实情况进行督查督办</w:t>
      </w:r>
      <w:r>
        <w:rPr>
          <w:rFonts w:hint="eastAsia" w:ascii="Times New Roman" w:hAnsi="Times New Roman" w:eastAsia="仿宋" w:cs="Times New Roman"/>
          <w:sz w:val="32"/>
          <w:szCs w:val="32"/>
          <w:lang w:eastAsia="zh-CN"/>
        </w:rPr>
        <w:t>。</w:t>
      </w:r>
    </w:p>
    <w:p w14:paraId="7C8E7C61">
      <w:pPr>
        <w:pStyle w:val="9"/>
        <w:spacing w:line="51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（二）项目过程情况。</w:t>
      </w:r>
    </w:p>
    <w:p w14:paraId="204D3C7C">
      <w:pPr>
        <w:pStyle w:val="9"/>
        <w:spacing w:line="51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rPr>
        <w:t>主要从数字城管、现场抽检、专项督办、正负面清单4个方面进行考核。</w:t>
      </w:r>
    </w:p>
    <w:p w14:paraId="66339076">
      <w:pPr>
        <w:pStyle w:val="9"/>
        <w:spacing w:line="51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1、</w:t>
      </w:r>
      <w:r>
        <w:rPr>
          <w:rFonts w:hint="eastAsia" w:ascii="Times New Roman" w:hAnsi="Times New Roman" w:eastAsia="仿宋" w:cs="Times New Roman"/>
          <w:sz w:val="32"/>
          <w:szCs w:val="32"/>
        </w:rPr>
        <w:t>数字城管考核（占分6</w:t>
      </w:r>
      <w:r>
        <w:rPr>
          <w:rFonts w:ascii="Times New Roman" w:hAnsi="Times New Roman" w:eastAsia="仿宋" w:cs="Times New Roman"/>
          <w:sz w:val="32"/>
          <w:szCs w:val="32"/>
        </w:rPr>
        <w:t>0</w:t>
      </w:r>
      <w:r>
        <w:rPr>
          <w:rFonts w:hint="eastAsia" w:ascii="Times New Roman" w:hAnsi="Times New Roman" w:eastAsia="仿宋" w:cs="Times New Roman"/>
          <w:sz w:val="32"/>
          <w:szCs w:val="32"/>
        </w:rPr>
        <w:t>%）。主要考核问题处置情况，</w:t>
      </w:r>
      <w:r>
        <w:rPr>
          <w:rFonts w:hint="eastAsia" w:ascii="Times New Roman" w:hAnsi="Times New Roman" w:eastAsia="仿宋" w:cs="Times New Roman"/>
          <w:sz w:val="32"/>
          <w:szCs w:val="32"/>
          <w:lang w:eastAsia="zh-CN"/>
        </w:rPr>
        <w:t>对于怀化市智慧城管系统派遣至我县的案件</w:t>
      </w:r>
      <w:r>
        <w:rPr>
          <w:rFonts w:hint="eastAsia" w:ascii="Times New Roman" w:hAnsi="Times New Roman" w:eastAsia="仿宋" w:cs="Times New Roman"/>
          <w:sz w:val="32"/>
          <w:szCs w:val="32"/>
        </w:rPr>
        <w:t>，按照派遣、处置、反馈、核查、结案、评价的闭环流程处理，对立案问题的综合解决情况进行全面考核，通过系统自动跟踪评价，自动生成考核结果。</w:t>
      </w:r>
    </w:p>
    <w:p w14:paraId="39A63245">
      <w:pPr>
        <w:pStyle w:val="9"/>
        <w:spacing w:line="51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rPr>
        <w:t>现场抽检考核（占分20%）。建立抽样检查库，以随机抽查方式对各单位日常城市管理工作进行考核。每个单位每周抽查一次，对各单位抽查的时段、时长、内容基本保持一致，范围统一为主次干道2条、背街小巷2条、居民区1个、市场1个、工地1个、公厕1个、其他区域1个。</w:t>
      </w:r>
      <w:r>
        <w:rPr>
          <w:rFonts w:hint="eastAsia" w:ascii="Times New Roman" w:hAnsi="Times New Roman" w:eastAsia="仿宋" w:cs="Times New Roman"/>
          <w:sz w:val="32"/>
          <w:szCs w:val="32"/>
          <w:lang w:eastAsia="zh-CN"/>
        </w:rPr>
        <w:t>根据抽检结果，按比重计入相关责任单位的总分值</w:t>
      </w:r>
      <w:r>
        <w:rPr>
          <w:rFonts w:hint="eastAsia" w:ascii="Times New Roman" w:hAnsi="Times New Roman" w:eastAsia="仿宋" w:cs="Times New Roman"/>
          <w:sz w:val="32"/>
          <w:szCs w:val="32"/>
        </w:rPr>
        <w:t>。</w:t>
      </w:r>
    </w:p>
    <w:p w14:paraId="7DCF0CCA">
      <w:pPr>
        <w:pStyle w:val="9"/>
        <w:spacing w:line="51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 3、</w:t>
      </w:r>
      <w:r>
        <w:rPr>
          <w:rFonts w:hint="eastAsia" w:ascii="Times New Roman" w:hAnsi="Times New Roman" w:eastAsia="仿宋" w:cs="Times New Roman"/>
          <w:sz w:val="32"/>
          <w:szCs w:val="32"/>
        </w:rPr>
        <w:t>专项督办考核（占分2</w:t>
      </w:r>
      <w:r>
        <w:rPr>
          <w:rFonts w:ascii="Times New Roman" w:hAnsi="Times New Roman" w:eastAsia="仿宋" w:cs="Times New Roman"/>
          <w:sz w:val="32"/>
          <w:szCs w:val="32"/>
        </w:rPr>
        <w:t>0</w:t>
      </w:r>
      <w:r>
        <w:rPr>
          <w:rFonts w:hint="eastAsia" w:ascii="Times New Roman" w:hAnsi="Times New Roman" w:eastAsia="仿宋" w:cs="Times New Roman"/>
          <w:sz w:val="32"/>
          <w:szCs w:val="32"/>
        </w:rPr>
        <w:t>%）。专项督查考核根据实际情况随机开展，主要通过人工现场督查对反复发生问题、数字城管系统到期未解决的突出问题、上级交办问题、社会各界和广大市民反映强烈的问题，</w:t>
      </w:r>
      <w:bookmarkStart w:id="0" w:name="_Hlk26262575"/>
      <w:r>
        <w:rPr>
          <w:rFonts w:hint="eastAsia" w:ascii="Times New Roman" w:hAnsi="Times New Roman" w:eastAsia="仿宋" w:cs="Times New Roman"/>
          <w:sz w:val="32"/>
          <w:szCs w:val="32"/>
        </w:rPr>
        <w:t>以及污染治理、垃圾分类、卫生清扫活动、无物管小区帮扶活动、创建活动、项目建设等有关城市管理工作重点、难点</w:t>
      </w:r>
      <w:bookmarkEnd w:id="0"/>
      <w:r>
        <w:rPr>
          <w:rFonts w:hint="eastAsia" w:ascii="Times New Roman" w:hAnsi="Times New Roman" w:eastAsia="仿宋" w:cs="Times New Roman"/>
          <w:sz w:val="32"/>
          <w:szCs w:val="32"/>
        </w:rPr>
        <w:t>问题等进行跟踪督办，下发督办函要求限时解决，根据完成情况</w:t>
      </w:r>
      <w:r>
        <w:rPr>
          <w:rFonts w:hint="eastAsia" w:ascii="Times New Roman" w:hAnsi="Times New Roman" w:eastAsia="仿宋" w:cs="Times New Roman"/>
          <w:sz w:val="32"/>
          <w:szCs w:val="32"/>
          <w:lang w:eastAsia="zh-CN"/>
        </w:rPr>
        <w:t>，按比重计入相关责任单位的总分值</w:t>
      </w:r>
      <w:r>
        <w:rPr>
          <w:rFonts w:hint="eastAsia" w:ascii="Times New Roman" w:hAnsi="Times New Roman" w:eastAsia="仿宋" w:cs="Times New Roman"/>
          <w:sz w:val="32"/>
          <w:szCs w:val="32"/>
        </w:rPr>
        <w:t>。</w:t>
      </w:r>
    </w:p>
    <w:p w14:paraId="13B28220">
      <w:pPr>
        <w:pStyle w:val="9"/>
        <w:spacing w:line="51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4、</w:t>
      </w:r>
      <w:r>
        <w:rPr>
          <w:rFonts w:hint="eastAsia" w:ascii="Times New Roman" w:hAnsi="Times New Roman" w:eastAsia="仿宋" w:cs="Times New Roman"/>
          <w:sz w:val="32"/>
          <w:szCs w:val="32"/>
        </w:rPr>
        <w:t>正负面清单考核（根据情况加减分，加减分上限不超过5）。正面清单实行加分，主要项目为：1.数字城管当月立案数与上年同月相比减少的，每减少一个百分点加0</w:t>
      </w:r>
      <w:r>
        <w:rPr>
          <w:rFonts w:ascii="Times New Roman" w:hAnsi="Times New Roman" w:eastAsia="仿宋" w:cs="Times New Roman"/>
          <w:sz w:val="32"/>
          <w:szCs w:val="32"/>
        </w:rPr>
        <w:t>.1</w:t>
      </w:r>
      <w:r>
        <w:rPr>
          <w:rFonts w:hint="eastAsia" w:ascii="Times New Roman" w:hAnsi="Times New Roman" w:eastAsia="仿宋" w:cs="Times New Roman"/>
          <w:sz w:val="32"/>
          <w:szCs w:val="32"/>
        </w:rPr>
        <w:t>分；2.城市管理方面的工作或事迹得到上级部门通报表扬或省级以上媒体正面报道的每次加0</w:t>
      </w:r>
      <w:r>
        <w:rPr>
          <w:rFonts w:ascii="Times New Roman" w:hAnsi="Times New Roman" w:eastAsia="仿宋" w:cs="Times New Roman"/>
          <w:sz w:val="32"/>
          <w:szCs w:val="32"/>
        </w:rPr>
        <w:t>.5</w:t>
      </w:r>
      <w:r>
        <w:rPr>
          <w:rFonts w:hint="eastAsia" w:ascii="Times New Roman" w:hAnsi="Times New Roman" w:eastAsia="仿宋" w:cs="Times New Roman"/>
          <w:sz w:val="32"/>
          <w:szCs w:val="32"/>
        </w:rPr>
        <w:t>分；3.成功创建各类与城市管理相关的城市名片，复审过关每项加1分，新创建成功每项加2分。负面清单实行减分，主要项目为：1.未完成上级部门交办的城市管理工作任务被通报批评的，每次减0</w:t>
      </w:r>
      <w:r>
        <w:rPr>
          <w:rFonts w:ascii="Times New Roman" w:hAnsi="Times New Roman" w:eastAsia="仿宋" w:cs="Times New Roman"/>
          <w:sz w:val="32"/>
          <w:szCs w:val="32"/>
        </w:rPr>
        <w:t>.5</w:t>
      </w:r>
      <w:r>
        <w:rPr>
          <w:rFonts w:hint="eastAsia" w:ascii="Times New Roman" w:hAnsi="Times New Roman" w:eastAsia="仿宋" w:cs="Times New Roman"/>
          <w:sz w:val="32"/>
          <w:szCs w:val="32"/>
        </w:rPr>
        <w:t>分；2.因城市管理方面工作过错造成重大损失或恶劣社会影响的，每次扣2分，被省级以上官方媒体曝光属实的，当月城市管理工作成绩一票否决；3.不按要求报送城市管理工作信息，拒不参加市城管委组织的工作调度会或不服从城市管理工作指挥调度的，每次扣0</w:t>
      </w:r>
      <w:r>
        <w:rPr>
          <w:rFonts w:ascii="Times New Roman" w:hAnsi="Times New Roman" w:eastAsia="仿宋" w:cs="Times New Roman"/>
          <w:sz w:val="32"/>
          <w:szCs w:val="32"/>
        </w:rPr>
        <w:t>.</w:t>
      </w:r>
      <w:r>
        <w:rPr>
          <w:rFonts w:hint="eastAsia" w:ascii="Times New Roman" w:hAnsi="Times New Roman" w:eastAsia="仿宋" w:cs="Times New Roman"/>
          <w:sz w:val="32"/>
          <w:szCs w:val="32"/>
        </w:rPr>
        <w:t>5分。</w:t>
      </w:r>
    </w:p>
    <w:p w14:paraId="6EE59EB0">
      <w:pPr>
        <w:pStyle w:val="9"/>
        <w:spacing w:line="51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（三）项目产出情况。</w:t>
      </w:r>
    </w:p>
    <w:p w14:paraId="12E182C0">
      <w:pPr>
        <w:pStyle w:val="9"/>
        <w:spacing w:line="51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1、智慧中心派发；2、相关部门处理；3、处理完毕提交结案申请；4、智慧中心向市里发送核查申请；5、市采集员核查；6、核查通过发送结案通知；7、智慧中心确认结案。</w:t>
      </w:r>
    </w:p>
    <w:p w14:paraId="0916BDA0">
      <w:pPr>
        <w:pStyle w:val="9"/>
        <w:spacing w:line="51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（四）项目效益情况。</w:t>
      </w:r>
    </w:p>
    <w:p w14:paraId="0EFA0C3C">
      <w:pPr>
        <w:pStyle w:val="9"/>
        <w:spacing w:line="510" w:lineRule="exact"/>
        <w:ind w:firstLine="640" w:firstLineChars="200"/>
        <w:rPr>
          <w:rFonts w:hint="eastAsia" w:ascii="Times New Roman" w:hAnsi="Times New Roman" w:eastAsia="仿宋" w:cs="Times New Roman"/>
          <w:sz w:val="32"/>
          <w:szCs w:val="32"/>
        </w:rPr>
      </w:pPr>
      <w:r>
        <w:rPr>
          <w:rFonts w:hint="eastAsia" w:ascii="Times New Roman" w:hAnsi="Times New Roman" w:eastAsia="仿宋" w:cs="Times New Roman"/>
          <w:sz w:val="32"/>
          <w:szCs w:val="32"/>
          <w:lang w:eastAsia="zh-CN"/>
        </w:rPr>
        <w:t>在</w:t>
      </w:r>
      <w:r>
        <w:rPr>
          <w:rFonts w:hint="eastAsia" w:ascii="Times New Roman" w:hAnsi="Times New Roman" w:eastAsia="仿宋" w:cs="Times New Roman"/>
          <w:sz w:val="32"/>
          <w:szCs w:val="32"/>
        </w:rPr>
        <w:t>县城</w:t>
      </w:r>
      <w:r>
        <w:rPr>
          <w:rFonts w:hint="eastAsia" w:ascii="Times New Roman" w:hAnsi="Times New Roman" w:eastAsia="仿宋" w:cs="Times New Roman"/>
          <w:sz w:val="32"/>
          <w:szCs w:val="32"/>
          <w:lang w:eastAsia="zh-CN"/>
        </w:rPr>
        <w:t>市管理综合和执法局</w:t>
      </w:r>
      <w:r>
        <w:rPr>
          <w:rFonts w:hint="eastAsia" w:ascii="Times New Roman" w:hAnsi="Times New Roman" w:eastAsia="仿宋" w:cs="Times New Roman"/>
          <w:sz w:val="32"/>
          <w:szCs w:val="32"/>
        </w:rPr>
        <w:t>智慧城管中心与相关单位的积极沟通和对接，实现了与市信息中心软件系统的互联互通，</w:t>
      </w:r>
      <w:r>
        <w:rPr>
          <w:rFonts w:hint="eastAsia" w:ascii="Times New Roman" w:hAnsi="Times New Roman" w:eastAsia="仿宋" w:cs="Times New Roman"/>
          <w:sz w:val="32"/>
          <w:szCs w:val="32"/>
          <w:lang w:val="en-US" w:eastAsia="zh-CN"/>
        </w:rPr>
        <w:t>2023年</w:t>
      </w:r>
      <w:r>
        <w:rPr>
          <w:rFonts w:hint="eastAsia" w:ascii="Times New Roman" w:hAnsi="Times New Roman" w:eastAsia="仿宋" w:cs="Times New Roman"/>
          <w:sz w:val="32"/>
          <w:szCs w:val="32"/>
        </w:rPr>
        <w:t>，我县系统平台共接收市智慧城管信息中心问题案件</w:t>
      </w:r>
      <w:r>
        <w:rPr>
          <w:rFonts w:hint="eastAsia" w:ascii="Times New Roman" w:hAnsi="Times New Roman" w:eastAsia="仿宋" w:cs="Times New Roman"/>
          <w:sz w:val="32"/>
          <w:szCs w:val="32"/>
          <w:lang w:val="en-US" w:eastAsia="zh-CN"/>
        </w:rPr>
        <w:t>10981</w:t>
      </w:r>
      <w:r>
        <w:rPr>
          <w:rFonts w:hint="eastAsia" w:ascii="Times New Roman" w:hAnsi="Times New Roman" w:eastAsia="仿宋" w:cs="Times New Roman"/>
          <w:sz w:val="32"/>
          <w:szCs w:val="32"/>
        </w:rPr>
        <w:t>件，派发给相关责任部门</w:t>
      </w:r>
      <w:r>
        <w:rPr>
          <w:rFonts w:hint="eastAsia" w:ascii="Times New Roman" w:hAnsi="Times New Roman" w:eastAsia="仿宋" w:cs="Times New Roman"/>
          <w:sz w:val="32"/>
          <w:szCs w:val="32"/>
          <w:lang w:val="en-US" w:eastAsia="zh-CN"/>
        </w:rPr>
        <w:t>10981</w:t>
      </w:r>
      <w:r>
        <w:rPr>
          <w:rFonts w:hint="eastAsia" w:ascii="Times New Roman" w:hAnsi="Times New Roman" w:eastAsia="仿宋" w:cs="Times New Roman"/>
          <w:sz w:val="32"/>
          <w:szCs w:val="32"/>
        </w:rPr>
        <w:t>件，完成</w:t>
      </w:r>
      <w:r>
        <w:rPr>
          <w:rFonts w:hint="eastAsia" w:ascii="Times New Roman" w:hAnsi="Times New Roman" w:eastAsia="仿宋" w:cs="Times New Roman"/>
          <w:sz w:val="32"/>
          <w:szCs w:val="32"/>
          <w:lang w:val="en-US" w:eastAsia="zh-CN"/>
        </w:rPr>
        <w:t>9565</w:t>
      </w:r>
      <w:r>
        <w:rPr>
          <w:rFonts w:hint="eastAsia" w:ascii="Times New Roman" w:hAnsi="Times New Roman" w:eastAsia="仿宋" w:cs="Times New Roman"/>
          <w:sz w:val="32"/>
          <w:szCs w:val="32"/>
        </w:rPr>
        <w:t>件，成功反馈给市信息中心结案</w:t>
      </w:r>
      <w:r>
        <w:rPr>
          <w:rFonts w:hint="eastAsia" w:ascii="Times New Roman" w:hAnsi="Times New Roman" w:eastAsia="仿宋" w:cs="Times New Roman"/>
          <w:sz w:val="32"/>
          <w:szCs w:val="32"/>
          <w:lang w:val="en-US" w:eastAsia="zh-CN"/>
        </w:rPr>
        <w:t>9565</w:t>
      </w:r>
      <w:r>
        <w:rPr>
          <w:rFonts w:hint="eastAsia" w:ascii="Times New Roman" w:hAnsi="Times New Roman" w:eastAsia="仿宋" w:cs="Times New Roman"/>
          <w:sz w:val="32"/>
          <w:szCs w:val="32"/>
        </w:rPr>
        <w:t>件，系统平台运行基本正常，操作流程完整、通畅。全年问题案件解决率</w:t>
      </w:r>
      <w:r>
        <w:rPr>
          <w:rFonts w:hint="eastAsia" w:ascii="Times New Roman" w:hAnsi="Times New Roman" w:eastAsia="仿宋" w:cs="Times New Roman"/>
          <w:sz w:val="32"/>
          <w:szCs w:val="32"/>
          <w:lang w:val="en-US" w:eastAsia="zh-CN"/>
        </w:rPr>
        <w:t>87.11</w:t>
      </w:r>
      <w:r>
        <w:rPr>
          <w:rFonts w:hint="eastAsia" w:ascii="Times New Roman" w:hAnsi="Times New Roman" w:eastAsia="仿宋" w:cs="Times New Roman"/>
          <w:sz w:val="32"/>
          <w:szCs w:val="32"/>
        </w:rPr>
        <w:t>%，及时解决率</w:t>
      </w:r>
      <w:r>
        <w:rPr>
          <w:rFonts w:hint="eastAsia" w:ascii="Times New Roman" w:hAnsi="Times New Roman" w:eastAsia="仿宋" w:cs="Times New Roman"/>
          <w:sz w:val="32"/>
          <w:szCs w:val="32"/>
          <w:lang w:val="en-US" w:eastAsia="zh-CN"/>
        </w:rPr>
        <w:t>62.71</w:t>
      </w:r>
      <w:r>
        <w:rPr>
          <w:rFonts w:hint="eastAsia" w:ascii="Times New Roman" w:hAnsi="Times New Roman" w:eastAsia="仿宋" w:cs="Times New Roman"/>
          <w:sz w:val="32"/>
          <w:szCs w:val="32"/>
        </w:rPr>
        <w:t>%，综合解决率</w:t>
      </w:r>
      <w:r>
        <w:rPr>
          <w:rFonts w:hint="eastAsia" w:ascii="Times New Roman" w:hAnsi="Times New Roman" w:eastAsia="仿宋" w:cs="Times New Roman"/>
          <w:sz w:val="32"/>
          <w:szCs w:val="32"/>
          <w:lang w:val="en-US" w:eastAsia="zh-CN"/>
        </w:rPr>
        <w:t>76.13</w:t>
      </w:r>
      <w:r>
        <w:rPr>
          <w:rFonts w:hint="eastAsia" w:ascii="Times New Roman" w:hAnsi="Times New Roman" w:eastAsia="仿宋" w:cs="Times New Roman"/>
          <w:sz w:val="32"/>
          <w:szCs w:val="32"/>
        </w:rPr>
        <w:t>%。</w:t>
      </w:r>
    </w:p>
    <w:p w14:paraId="50BEC79D">
      <w:pPr>
        <w:pStyle w:val="9"/>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五、主要经验及做法、存在的问题及原因分析</w:t>
      </w:r>
    </w:p>
    <w:p w14:paraId="5E030E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（一）主要经验及做法。</w:t>
      </w:r>
    </w:p>
    <w:p w14:paraId="70A539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月统计时段：根据问题案件截止时间来划分，即每月1日0时起至每月最后一天24时止。</w:t>
      </w:r>
    </w:p>
    <w:p w14:paraId="410ADB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1、当月案件总数。上述统计时段内案件数之和，具体包含以下几种情况：1、发生时间为本月，截止时间为本月的；2、发生时间为上个月末，截止时间为本月的；3、发生时间为上个月或更早月份，经申请延期，截止时间为本月的。</w:t>
      </w:r>
    </w:p>
    <w:p w14:paraId="7233D0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2、当月案件完成数。统计时段内案件，相关部门处理完毕并提交结案申请，经市信息采集员核查通过，准予结案的案件数之和。</w:t>
      </w:r>
    </w:p>
    <w:p w14:paraId="0C8ACC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3、当月案件及时完成数。统计时段内案件，在案件截止时间之前相关部门处理完毕并提交结案申请，经市信息采集员核查通过，准予结案的案件数之和。</w:t>
      </w:r>
    </w:p>
    <w:p w14:paraId="032388C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4、当月案件超时完成数。统计时段内案件，超过案件截止时间之后相关部门处理完毕并提交结案申请，经市信息采集员核查通过，准予结案的案件数之和。</w:t>
      </w:r>
    </w:p>
    <w:p w14:paraId="7E642C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5、当月案件未完成数。统计时段内案件，以下情形均统计为未完成：（1）相关部门未处理；（2）相关部门已处理但未提交结案申请；（3）相关部门已处理并提交结案申请，因处理效果未达标导致市采集员审核未通过的案件。</w:t>
      </w:r>
    </w:p>
    <w:p w14:paraId="158B09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6、计分规则。按问题案件在截止时间之前走完处置流程的，计满分；问题案件在截止时间之后走完处置流程的，扣除45%分值，只计55%分值。</w:t>
      </w:r>
    </w:p>
    <w:p w14:paraId="18E7312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7、常用指标计算公式：</w:t>
      </w:r>
    </w:p>
    <w:p w14:paraId="211569D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月问题解决率=当月案件完成数÷当月案件总数×100%</w:t>
      </w:r>
    </w:p>
    <w:p w14:paraId="09A9D71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月问题及时解决率=当月案件及时完成数÷当月案件总数×100%</w:t>
      </w:r>
    </w:p>
    <w:p w14:paraId="33246E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729" w:firstLineChars="228"/>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月问题综合解决率=（月问题解决率×55%）+（月问题及时解决率×45%）</w:t>
      </w:r>
    </w:p>
    <w:p w14:paraId="2E99A82B">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（二）存在的问题及原因分析。</w:t>
      </w:r>
    </w:p>
    <w:p w14:paraId="39D620FA">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1、部分责任单位工作不够重视，任务完成不力。各责任单位根据职能划分为A、B两类，由于其它方面原因各单位专干撤出了智慧中方信息处理大厅，在本单位开展日常工作，但实际落实情况并不理想，甚至个别单位未正常开展工作。</w:t>
      </w:r>
    </w:p>
    <w:p w14:paraId="64CE83CB">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城市日常维护经费不足，部件案件整改难以销号。中方县是一个新建县城，城市基础设施不完善，建设的整体质量还有差距，城市管理维护成本越来越大。如主次干道路面修补、人行道板破损修复、路灯电缆线老化更换、雨污管网堵塞、污水泵房机械维修、井盖、雨水箅子缺失损坏、环卫果皮箱设施的更换、城市园林景观建筑的维护等情况层见迭出。今年，市政、环卫、园林等设施维护的部件类案件发生较多，处理此类问题案件，需要投入相应的经费。</w:t>
      </w:r>
    </w:p>
    <w:p w14:paraId="21BDD7A5">
      <w:pPr>
        <w:keepNext w:val="0"/>
        <w:keepLines w:val="0"/>
        <w:pageBreakBefore w:val="0"/>
        <w:widowControl w:val="0"/>
        <w:kinsoku/>
        <w:wordWrap/>
        <w:overflowPunct/>
        <w:topLinePunct w:val="0"/>
        <w:autoSpaceDE/>
        <w:autoSpaceDN/>
        <w:bidi w:val="0"/>
        <w:adjustRightInd/>
        <w:snapToGrid/>
        <w:spacing w:line="500" w:lineRule="exact"/>
        <w:ind w:firstLine="960" w:firstLineChars="30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3、各单位职责范围、区域划分需进一步细化和明确。</w:t>
      </w:r>
    </w:p>
    <w:p w14:paraId="061A3A42">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由于县城里未完工的项目工地、城中村很多，已建成的住宅小区物业管理不规范或干脆没有物业管理，责任主体不明确的疑难问题时有发生，这些区域是当前城市管理工作的“盲区”，区域内的问题案件由于一直得不到解决，产生了被信息员反复采集的“蘑菇效应”，也是市城管委督办案件的多发区域，变成长期拖累全县问题解决率的“顽症”。</w:t>
      </w:r>
    </w:p>
    <w:p w14:paraId="5385FFA4">
      <w:pPr>
        <w:pStyle w:val="9"/>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六、有关建议</w:t>
      </w:r>
    </w:p>
    <w:p w14:paraId="4663CD5B">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进一步强化智慧城管考核机制的科学化、规范化和精细化，使“大城管”格局更加完备，让智慧城管真正成为现代城市管理工作的助推剂。</w:t>
      </w:r>
    </w:p>
    <w:p w14:paraId="717BD469">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（一）加强基础设施维护力度。</w:t>
      </w:r>
    </w:p>
    <w:p w14:paraId="7BEA6751">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加大经费投入，重点保障基础设施的维护，消除安全隐患，同时建立快速反应机制，避免同一事件被系统反复采集，从源头上减少智慧城管问题案件的发生率，提高工作整体水平。</w:t>
      </w:r>
    </w:p>
    <w:p w14:paraId="33C4BADF">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（二）细化制度体系，优化工作流程。</w:t>
      </w:r>
    </w:p>
    <w:p w14:paraId="69CA296A">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紧跟市城管委的工作转型计划，深入开展调查研究，进一步修改和完善《中方县城市管理考核工作暂行办法》，细化分工，明确责任，防止推诿扯皮。同时，建议县政府加强对各责任单位的考核力度，健全定期例会制度，组织各责任单位从事智慧城管相关工作人员开展培训，打造一支“懂业务、会操作、守纪律、高效率”的专业队伍，确保智慧城管问题案件的处理质量。</w:t>
      </w:r>
    </w:p>
    <w:p w14:paraId="1E08F2BA">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（三）提高设备使用效率，提升智能化管理程度</w:t>
      </w:r>
    </w:p>
    <w:p w14:paraId="42C71660">
      <w:pPr>
        <w:keepNext w:val="0"/>
        <w:keepLines w:val="0"/>
        <w:pageBreakBefore w:val="0"/>
        <w:widowControl w:val="0"/>
        <w:kinsoku/>
        <w:wordWrap/>
        <w:overflowPunct/>
        <w:topLinePunct w:val="0"/>
        <w:autoSpaceDE/>
        <w:autoSpaceDN/>
        <w:bidi w:val="0"/>
        <w:adjustRightInd/>
        <w:snapToGrid/>
        <w:spacing w:line="500" w:lineRule="exact"/>
        <w:ind w:firstLine="800" w:firstLineChars="250"/>
        <w:textAlignment w:val="auto"/>
        <w:rPr>
          <w:rFonts w:hint="eastAsia"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智慧城市管理工作，要充分展现“智慧”的应用，在新的年度应利用好现有装备，发挥好智能化设备的作用，提高工作效率，同时加强与其他部门的信息资源整合力度，真正形成相关信息的资源共享，促进我县城市管理工作模式的大转变，提升工作效率。</w:t>
      </w:r>
    </w:p>
    <w:p w14:paraId="2E3D51F1">
      <w:pPr>
        <w:pStyle w:val="9"/>
        <w:spacing w:line="510" w:lineRule="exact"/>
        <w:ind w:firstLine="643" w:firstLineChars="200"/>
        <w:rPr>
          <w:rFonts w:ascii="Times New Roman" w:hAnsi="Times New Roman" w:eastAsia="楷体"/>
          <w:b/>
          <w:sz w:val="32"/>
          <w:szCs w:val="32"/>
        </w:rPr>
      </w:pPr>
      <w:r>
        <w:rPr>
          <w:rFonts w:ascii="Times New Roman" w:hAnsi="Times New Roman" w:eastAsia="楷体"/>
          <w:b/>
          <w:sz w:val="32"/>
          <w:szCs w:val="32"/>
        </w:rPr>
        <w:t>七、其他需要说明的问题</w:t>
      </w:r>
    </w:p>
    <w:p w14:paraId="2935A273">
      <w:pPr>
        <w:widowControl/>
        <w:spacing w:line="510" w:lineRule="exact"/>
        <w:ind w:firstLine="645"/>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14:paraId="4E6E31D3">
      <w:pPr>
        <w:widowControl/>
        <w:spacing w:line="510" w:lineRule="exact"/>
        <w:ind w:firstLine="1600" w:firstLineChars="500"/>
        <w:jc w:val="left"/>
        <w:rPr>
          <w:rFonts w:ascii="Times New Roman" w:hAnsi="Times New Roman" w:eastAsia="仿宋_GB2312"/>
          <w:sz w:val="32"/>
          <w:szCs w:val="32"/>
        </w:rPr>
      </w:pPr>
      <w:r>
        <w:rPr>
          <w:rFonts w:ascii="Times New Roman" w:hAnsi="Times New Roman" w:eastAsia="仿宋_GB2312"/>
          <w:sz w:val="32"/>
          <w:szCs w:val="32"/>
        </w:rPr>
        <w:t>2.项目支出绩效评价指标</w:t>
      </w:r>
      <w:r>
        <w:rPr>
          <w:rFonts w:ascii="Times New Roman" w:hAnsi="Times New Roman" w:eastAsia="仿宋_GB2312"/>
          <w:bCs/>
          <w:color w:val="000000"/>
          <w:kern w:val="0"/>
          <w:sz w:val="32"/>
          <w:szCs w:val="32"/>
        </w:rPr>
        <w:t>评分表</w:t>
      </w:r>
    </w:p>
    <w:p w14:paraId="13AB21D7">
      <w:pPr>
        <w:pStyle w:val="9"/>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hint="default" w:ascii="仿宋" w:hAnsi="仿宋" w:eastAsia="仿宋" w:cs="仿宋"/>
          <w:kern w:val="0"/>
          <w:sz w:val="32"/>
          <w:szCs w:val="32"/>
          <w:lang w:val="en-US" w:eastAsia="zh-CN" w:bidi="ar-SA"/>
        </w:rPr>
      </w:pPr>
    </w:p>
    <w:p w14:paraId="3F9B6333">
      <w:pPr>
        <w:pStyle w:val="9"/>
        <w:pageBreakBefore w:val="0"/>
        <w:kinsoku/>
        <w:wordWrap/>
        <w:overflowPunct/>
        <w:topLinePunct w:val="0"/>
        <w:autoSpaceDE/>
        <w:autoSpaceDN/>
        <w:bidi w:val="0"/>
        <w:adjustRightInd/>
        <w:snapToGrid/>
        <w:spacing w:line="510" w:lineRule="exact"/>
        <w:ind w:firstLine="720" w:firstLineChars="200"/>
        <w:textAlignment w:val="auto"/>
        <w:rPr>
          <w:rFonts w:hint="eastAsia" w:ascii="Times New Roman" w:hAnsi="Times New Roman" w:eastAsia="宋体"/>
          <w:bCs/>
          <w:color w:val="000000"/>
          <w:sz w:val="36"/>
          <w:szCs w:val="28"/>
          <w:lang w:val="en-US" w:eastAsia="zh-CN"/>
        </w:rPr>
      </w:pPr>
    </w:p>
    <w:p w14:paraId="1C38B51B">
      <w:pPr>
        <w:pStyle w:val="9"/>
        <w:pageBreakBefore w:val="0"/>
        <w:kinsoku/>
        <w:wordWrap/>
        <w:overflowPunct/>
        <w:topLinePunct w:val="0"/>
        <w:autoSpaceDE/>
        <w:autoSpaceDN/>
        <w:bidi w:val="0"/>
        <w:adjustRightInd/>
        <w:snapToGrid/>
        <w:spacing w:line="510" w:lineRule="exact"/>
        <w:ind w:firstLine="640" w:firstLineChars="200"/>
        <w:textAlignment w:val="auto"/>
        <w:rPr>
          <w:rFonts w:hint="eastAsia" w:ascii="仿宋" w:hAnsi="仿宋" w:eastAsia="仿宋" w:cs="仿宋"/>
          <w:b w:val="0"/>
          <w:i w:val="0"/>
          <w:caps w:val="0"/>
          <w:color w:val="333333"/>
          <w:spacing w:val="0"/>
          <w:kern w:val="0"/>
          <w:sz w:val="32"/>
          <w:szCs w:val="32"/>
          <w:u w:val="none"/>
          <w:lang w:val="en-US" w:eastAsia="zh-CN" w:bidi="ar"/>
        </w:rPr>
      </w:pPr>
    </w:p>
    <w:p w14:paraId="0551D084">
      <w:pPr>
        <w:spacing w:after="0" w:line="600" w:lineRule="exact"/>
        <w:ind w:firstLine="640" w:firstLineChars="200"/>
        <w:rPr>
          <w:rFonts w:ascii="仿宋" w:hAnsi="仿宋" w:eastAsia="仿宋" w:cs="仿宋"/>
          <w:sz w:val="32"/>
          <w:szCs w:val="32"/>
        </w:rPr>
        <w:sectPr>
          <w:footerReference r:id="rId3" w:type="default"/>
          <w:pgSz w:w="11906" w:h="16838"/>
          <w:pgMar w:top="1587" w:right="1587" w:bottom="1587" w:left="1587" w:header="708" w:footer="709" w:gutter="0"/>
          <w:cols w:space="0" w:num="1"/>
          <w:docGrid w:linePitch="360" w:charSpace="0"/>
        </w:sectPr>
      </w:pPr>
    </w:p>
    <w:p w14:paraId="5E01588D">
      <w:pPr>
        <w:pStyle w:val="9"/>
        <w:adjustRightInd/>
        <w:snapToGrid/>
        <w:spacing w:after="0" w:line="510" w:lineRule="exact"/>
        <w:jc w:val="left"/>
        <w:rPr>
          <w:rFonts w:hint="eastAsia" w:ascii="仿宋" w:hAnsi="仿宋" w:eastAsia="仿宋" w:cs="Times New Roman"/>
          <w:sz w:val="32"/>
          <w:szCs w:val="32"/>
          <w:lang w:val="en-US" w:eastAsia="zh-CN"/>
        </w:rPr>
      </w:pP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1</w:t>
      </w:r>
    </w:p>
    <w:p w14:paraId="1F392899">
      <w:pPr>
        <w:pStyle w:val="9"/>
        <w:widowControl w:val="0"/>
        <w:adjustRightInd/>
        <w:snapToGrid/>
        <w:spacing w:after="0" w:line="510" w:lineRule="exact"/>
        <w:jc w:val="center"/>
        <w:rPr>
          <w:rFonts w:hint="eastAsia" w:ascii="仿宋" w:hAnsi="仿宋" w:eastAsia="仿宋" w:cs="Times New Roman"/>
          <w:sz w:val="32"/>
          <w:szCs w:val="32"/>
          <w:lang w:val="en-US" w:eastAsia="zh-CN"/>
        </w:rPr>
      </w:pPr>
      <w:r>
        <w:rPr>
          <w:rFonts w:hint="eastAsia" w:ascii="Times New Roman" w:hAnsi="Times New Roman" w:eastAsia="宋体" w:cs="Times New Roman"/>
          <w:b/>
          <w:bCs/>
          <w:kern w:val="0"/>
          <w:sz w:val="32"/>
          <w:szCs w:val="32"/>
          <w:lang w:val="en-US" w:eastAsia="zh-CN" w:bidi="ar-SA"/>
        </w:rPr>
        <w:t>项目支出绩效自评表</w:t>
      </w:r>
    </w:p>
    <w:tbl>
      <w:tblPr>
        <w:tblStyle w:val="7"/>
        <w:tblW w:w="9080" w:type="dxa"/>
        <w:jc w:val="center"/>
        <w:tblLayout w:type="fixed"/>
        <w:tblCellMar>
          <w:top w:w="0" w:type="dxa"/>
          <w:left w:w="108" w:type="dxa"/>
          <w:bottom w:w="0" w:type="dxa"/>
          <w:right w:w="108" w:type="dxa"/>
        </w:tblCellMar>
      </w:tblPr>
      <w:tblGrid>
        <w:gridCol w:w="588"/>
        <w:gridCol w:w="980"/>
        <w:gridCol w:w="1112"/>
        <w:gridCol w:w="730"/>
        <w:gridCol w:w="1134"/>
        <w:gridCol w:w="154"/>
        <w:gridCol w:w="980"/>
        <w:gridCol w:w="1030"/>
        <w:gridCol w:w="104"/>
        <w:gridCol w:w="406"/>
        <w:gridCol w:w="303"/>
        <w:gridCol w:w="142"/>
        <w:gridCol w:w="709"/>
        <w:gridCol w:w="708"/>
      </w:tblGrid>
      <w:tr w14:paraId="7137F839">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14:paraId="6B9890A6">
            <w:pPr>
              <w:widowControl/>
              <w:jc w:val="center"/>
              <w:rPr>
                <w:rFonts w:ascii="Times New Roman" w:hAnsi="Times New Roman"/>
                <w:kern w:val="0"/>
                <w:sz w:val="22"/>
                <w:szCs w:val="22"/>
              </w:rPr>
            </w:pPr>
            <w:r>
              <w:rPr>
                <w:rFonts w:hint="eastAsia" w:ascii="宋体" w:hAnsi="宋体" w:eastAsia="宋体" w:cs="宋体"/>
                <w:kern w:val="0"/>
                <w:sz w:val="24"/>
                <w:szCs w:val="24"/>
              </w:rPr>
              <w:t>（202</w:t>
            </w:r>
            <w:r>
              <w:rPr>
                <w:rFonts w:hint="eastAsia" w:ascii="宋体" w:hAnsi="宋体" w:cs="宋体"/>
                <w:kern w:val="0"/>
                <w:sz w:val="24"/>
                <w:szCs w:val="24"/>
                <w:lang w:val="en-US" w:eastAsia="zh-CN"/>
              </w:rPr>
              <w:t>3</w:t>
            </w:r>
            <w:r>
              <w:rPr>
                <w:rFonts w:hint="eastAsia" w:ascii="宋体" w:hAnsi="宋体" w:eastAsia="宋体" w:cs="宋体"/>
                <w:kern w:val="0"/>
                <w:sz w:val="24"/>
                <w:szCs w:val="24"/>
              </w:rPr>
              <w:t>年度）</w:t>
            </w:r>
          </w:p>
        </w:tc>
      </w:tr>
      <w:tr w14:paraId="1AC064FC">
        <w:tblPrEx>
          <w:tblCellMar>
            <w:top w:w="0" w:type="dxa"/>
            <w:left w:w="108" w:type="dxa"/>
            <w:bottom w:w="0" w:type="dxa"/>
            <w:right w:w="108" w:type="dxa"/>
          </w:tblCellMar>
        </w:tblPrEx>
        <w:trPr>
          <w:trHeight w:val="335"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25EEFEA6">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14:paraId="4CB80AA0">
            <w:pPr>
              <w:widowControl/>
              <w:spacing w:line="240" w:lineRule="exact"/>
              <w:ind w:firstLine="1620" w:firstLineChars="900"/>
              <w:jc w:val="both"/>
              <w:rPr>
                <w:rFonts w:ascii="Times New Roman" w:hAnsi="Times New Roman"/>
                <w:kern w:val="0"/>
                <w:sz w:val="18"/>
                <w:szCs w:val="18"/>
              </w:rPr>
            </w:pPr>
            <w:r>
              <w:rPr>
                <w:rFonts w:hint="eastAsia" w:ascii="Times New Roman" w:hAnsi="Times New Roman"/>
                <w:kern w:val="0"/>
                <w:sz w:val="18"/>
                <w:szCs w:val="18"/>
                <w:lang w:val="en-US" w:eastAsia="zh-CN"/>
              </w:rPr>
              <w:t>智慧城管服务</w:t>
            </w:r>
          </w:p>
        </w:tc>
      </w:tr>
      <w:tr w14:paraId="50DF977F">
        <w:tblPrEx>
          <w:tblCellMar>
            <w:top w:w="0" w:type="dxa"/>
            <w:left w:w="108" w:type="dxa"/>
            <w:bottom w:w="0" w:type="dxa"/>
            <w:right w:w="108" w:type="dxa"/>
          </w:tblCellMar>
        </w:tblPrEx>
        <w:trPr>
          <w:trHeight w:val="625"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14442283">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14:paraId="3EDF8D43">
            <w:pPr>
              <w:widowControl/>
              <w:spacing w:line="240" w:lineRule="exact"/>
              <w:jc w:val="center"/>
              <w:rPr>
                <w:rFonts w:hint="eastAsia" w:ascii="Times New Roman" w:hAnsi="Times New Roman" w:eastAsia="宋体"/>
                <w:kern w:val="0"/>
                <w:sz w:val="18"/>
                <w:szCs w:val="18"/>
                <w:highlight w:val="none"/>
                <w:lang w:eastAsia="zh-CN"/>
              </w:rPr>
            </w:pPr>
            <w:r>
              <w:rPr>
                <w:rFonts w:hint="eastAsia"/>
                <w:sz w:val="18"/>
                <w:szCs w:val="18"/>
                <w:highlight w:val="none"/>
              </w:rPr>
              <w:t>中方县城市管理和综合执法局</w:t>
            </w:r>
          </w:p>
        </w:tc>
        <w:tc>
          <w:tcPr>
            <w:tcW w:w="1134" w:type="dxa"/>
            <w:gridSpan w:val="2"/>
            <w:tcBorders>
              <w:top w:val="nil"/>
              <w:left w:val="nil"/>
              <w:bottom w:val="single" w:color="auto" w:sz="4" w:space="0"/>
              <w:right w:val="single" w:color="auto" w:sz="4" w:space="0"/>
            </w:tcBorders>
            <w:noWrap w:val="0"/>
            <w:vAlign w:val="center"/>
          </w:tcPr>
          <w:p w14:paraId="27A007F1">
            <w:pPr>
              <w:widowControl/>
              <w:spacing w:line="240" w:lineRule="exact"/>
              <w:jc w:val="center"/>
              <w:rPr>
                <w:rFonts w:ascii="Times New Roman" w:hAnsi="Times New Roman"/>
                <w:kern w:val="0"/>
                <w:sz w:val="18"/>
                <w:szCs w:val="18"/>
                <w:highlight w:val="none"/>
              </w:rPr>
            </w:pPr>
            <w:r>
              <w:rPr>
                <w:rFonts w:ascii="Times New Roman" w:hAnsi="Times New Roman"/>
                <w:kern w:val="0"/>
                <w:sz w:val="18"/>
                <w:szCs w:val="18"/>
                <w:highlight w:val="none"/>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14:paraId="57E0796A">
            <w:pPr>
              <w:widowControl/>
              <w:spacing w:line="240" w:lineRule="exact"/>
              <w:jc w:val="center"/>
              <w:rPr>
                <w:rFonts w:hint="eastAsia" w:ascii="Times New Roman" w:hAnsi="Times New Roman" w:eastAsia="宋体"/>
                <w:kern w:val="0"/>
                <w:sz w:val="18"/>
                <w:szCs w:val="18"/>
                <w:highlight w:val="none"/>
                <w:lang w:eastAsia="zh-CN"/>
              </w:rPr>
            </w:pPr>
            <w:r>
              <w:rPr>
                <w:rFonts w:hint="eastAsia"/>
                <w:sz w:val="18"/>
                <w:szCs w:val="18"/>
                <w:highlight w:val="none"/>
              </w:rPr>
              <w:t>中方县城市管理和综合执法局智慧城管监督指挥室</w:t>
            </w:r>
          </w:p>
        </w:tc>
      </w:tr>
      <w:tr w14:paraId="76374530">
        <w:tblPrEx>
          <w:tblCellMar>
            <w:top w:w="0" w:type="dxa"/>
            <w:left w:w="108" w:type="dxa"/>
            <w:bottom w:w="0" w:type="dxa"/>
            <w:right w:w="108" w:type="dxa"/>
          </w:tblCellMar>
        </w:tblPrEx>
        <w:trPr>
          <w:trHeight w:val="47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5730D2FA">
            <w:pPr>
              <w:widowControl/>
              <w:spacing w:line="240" w:lineRule="exact"/>
              <w:jc w:val="center"/>
              <w:rPr>
                <w:rFonts w:hint="eastAsia" w:ascii="Times New Roman" w:hAnsi="Times New Roman" w:eastAsiaTheme="minorEastAsia"/>
                <w:kern w:val="0"/>
                <w:sz w:val="18"/>
                <w:szCs w:val="18"/>
                <w:lang w:eastAsia="zh-CN"/>
              </w:rPr>
            </w:pPr>
            <w:r>
              <w:rPr>
                <w:rFonts w:ascii="Times New Roman" w:hAnsi="Times New Roman"/>
                <w:kern w:val="0"/>
                <w:sz w:val="18"/>
                <w:szCs w:val="18"/>
              </w:rPr>
              <w:t>项目资金</w:t>
            </w:r>
          </w:p>
          <w:p w14:paraId="5D66B074">
            <w:pPr>
              <w:widowControl/>
              <w:spacing w:line="240" w:lineRule="exact"/>
              <w:jc w:val="center"/>
              <w:rPr>
                <w:rFonts w:ascii="Times New Roman" w:hAnsi="Times New Roman"/>
                <w:kern w:val="0"/>
                <w:sz w:val="18"/>
                <w:szCs w:val="18"/>
              </w:rPr>
            </w:pPr>
            <w:r>
              <w:rPr>
                <w:rFonts w:ascii="Times New Roman" w:hAnsi="Times New Roman"/>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14:paraId="1C15D775">
            <w:pPr>
              <w:widowControl/>
              <w:spacing w:line="240" w:lineRule="exact"/>
              <w:jc w:val="center"/>
              <w:rPr>
                <w:rFonts w:ascii="Times New Roman" w:hAnsi="Times New Roman"/>
                <w:kern w:val="0"/>
                <w:sz w:val="18"/>
                <w:szCs w:val="18"/>
              </w:rPr>
            </w:pPr>
          </w:p>
        </w:tc>
        <w:tc>
          <w:tcPr>
            <w:tcW w:w="1134" w:type="dxa"/>
            <w:tcBorders>
              <w:top w:val="nil"/>
              <w:left w:val="nil"/>
              <w:bottom w:val="single" w:color="auto" w:sz="4" w:space="0"/>
              <w:right w:val="single" w:color="auto" w:sz="4" w:space="0"/>
            </w:tcBorders>
            <w:noWrap w:val="0"/>
            <w:vAlign w:val="center"/>
          </w:tcPr>
          <w:p w14:paraId="27219FE2">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14:paraId="60574B23">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134" w:type="dxa"/>
            <w:gridSpan w:val="2"/>
            <w:tcBorders>
              <w:top w:val="nil"/>
              <w:left w:val="nil"/>
              <w:bottom w:val="single" w:color="auto" w:sz="4" w:space="0"/>
              <w:right w:val="single" w:color="auto" w:sz="4" w:space="0"/>
            </w:tcBorders>
            <w:noWrap w:val="0"/>
            <w:vAlign w:val="center"/>
          </w:tcPr>
          <w:p w14:paraId="6DAEA847">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709" w:type="dxa"/>
            <w:gridSpan w:val="2"/>
            <w:tcBorders>
              <w:top w:val="nil"/>
              <w:left w:val="nil"/>
              <w:bottom w:val="single" w:color="auto" w:sz="4" w:space="0"/>
              <w:right w:val="single" w:color="auto" w:sz="4" w:space="0"/>
            </w:tcBorders>
            <w:noWrap w:val="0"/>
            <w:vAlign w:val="center"/>
          </w:tcPr>
          <w:p w14:paraId="3A3700CC">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14:paraId="503492CA">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708" w:type="dxa"/>
            <w:tcBorders>
              <w:top w:val="nil"/>
              <w:left w:val="nil"/>
              <w:bottom w:val="single" w:color="auto" w:sz="4" w:space="0"/>
              <w:right w:val="single" w:color="auto" w:sz="4" w:space="0"/>
            </w:tcBorders>
            <w:noWrap w:val="0"/>
            <w:vAlign w:val="center"/>
          </w:tcPr>
          <w:p w14:paraId="1C1382CC">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14:paraId="0A8BDBBB">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7A286F7">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3905B4A2">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14:paraId="0B6E524D">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0</w:t>
            </w:r>
          </w:p>
        </w:tc>
        <w:tc>
          <w:tcPr>
            <w:tcW w:w="1134" w:type="dxa"/>
            <w:gridSpan w:val="2"/>
            <w:tcBorders>
              <w:top w:val="nil"/>
              <w:left w:val="nil"/>
              <w:bottom w:val="single" w:color="auto" w:sz="4" w:space="0"/>
              <w:right w:val="single" w:color="auto" w:sz="4" w:space="0"/>
            </w:tcBorders>
            <w:noWrap w:val="0"/>
            <w:vAlign w:val="center"/>
          </w:tcPr>
          <w:p w14:paraId="315FA44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44.38</w:t>
            </w:r>
          </w:p>
        </w:tc>
        <w:tc>
          <w:tcPr>
            <w:tcW w:w="1134" w:type="dxa"/>
            <w:gridSpan w:val="2"/>
            <w:tcBorders>
              <w:top w:val="nil"/>
              <w:left w:val="nil"/>
              <w:bottom w:val="single" w:color="auto" w:sz="4" w:space="0"/>
              <w:right w:val="single" w:color="auto" w:sz="4" w:space="0"/>
            </w:tcBorders>
            <w:noWrap w:val="0"/>
            <w:vAlign w:val="center"/>
          </w:tcPr>
          <w:p w14:paraId="716CF65C">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44.38</w:t>
            </w:r>
          </w:p>
        </w:tc>
        <w:tc>
          <w:tcPr>
            <w:tcW w:w="709" w:type="dxa"/>
            <w:gridSpan w:val="2"/>
            <w:tcBorders>
              <w:top w:val="nil"/>
              <w:left w:val="nil"/>
              <w:bottom w:val="single" w:color="auto" w:sz="4" w:space="0"/>
              <w:right w:val="single" w:color="auto" w:sz="4" w:space="0"/>
            </w:tcBorders>
            <w:noWrap w:val="0"/>
            <w:vAlign w:val="center"/>
          </w:tcPr>
          <w:p w14:paraId="4ED465FD">
            <w:pPr>
              <w:widowControl/>
              <w:spacing w:line="240" w:lineRule="exact"/>
              <w:jc w:val="center"/>
              <w:rPr>
                <w:rFonts w:ascii="Times New Roman" w:hAnsi="Times New Roman"/>
                <w:kern w:val="0"/>
                <w:sz w:val="18"/>
                <w:szCs w:val="18"/>
              </w:rPr>
            </w:pPr>
            <w:r>
              <w:rPr>
                <w:rFonts w:ascii="Times New Roman" w:hAnsi="Times New Roman"/>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14:paraId="7F486A67">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14:paraId="495CAC1E">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r>
      <w:tr w14:paraId="378C46D1">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B580676">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14626CAC">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14:paraId="41DF1802">
            <w:pPr>
              <w:widowControl/>
              <w:spacing w:line="240" w:lineRule="exact"/>
              <w:jc w:val="center"/>
              <w:rPr>
                <w:rFonts w:hint="default" w:ascii="Times New Roman" w:hAnsi="Times New Roman" w:eastAsia="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14:paraId="42CFC922">
            <w:pPr>
              <w:widowControl/>
              <w:spacing w:line="240" w:lineRule="exact"/>
              <w:jc w:val="center"/>
              <w:rPr>
                <w:rFonts w:hint="default" w:ascii="Times New Roman" w:hAnsi="Times New Roman" w:eastAsia="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14:paraId="11FB578B">
            <w:pPr>
              <w:widowControl/>
              <w:spacing w:line="240" w:lineRule="exact"/>
              <w:jc w:val="center"/>
              <w:rPr>
                <w:rFonts w:hint="default" w:ascii="Times New Roman" w:hAnsi="Times New Roman" w:eastAsia="宋体"/>
                <w:kern w:val="0"/>
                <w:sz w:val="18"/>
                <w:szCs w:val="18"/>
                <w:lang w:val="en-US" w:eastAsia="zh-CN"/>
              </w:rPr>
            </w:pPr>
          </w:p>
        </w:tc>
        <w:tc>
          <w:tcPr>
            <w:tcW w:w="709" w:type="dxa"/>
            <w:gridSpan w:val="2"/>
            <w:tcBorders>
              <w:top w:val="nil"/>
              <w:left w:val="nil"/>
              <w:bottom w:val="single" w:color="auto" w:sz="4" w:space="0"/>
              <w:right w:val="single" w:color="auto" w:sz="4" w:space="0"/>
            </w:tcBorders>
            <w:noWrap w:val="0"/>
            <w:vAlign w:val="center"/>
          </w:tcPr>
          <w:p w14:paraId="6D0B36D5">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550B3F40">
            <w:pPr>
              <w:widowControl/>
              <w:spacing w:line="240" w:lineRule="exact"/>
              <w:jc w:val="center"/>
              <w:rPr>
                <w:rFonts w:hint="default" w:ascii="Times New Roman" w:hAnsi="Times New Roman" w:eastAsia="宋体"/>
                <w:kern w:val="0"/>
                <w:sz w:val="18"/>
                <w:szCs w:val="18"/>
                <w:lang w:val="en-US" w:eastAsia="zh-CN"/>
              </w:rPr>
            </w:pPr>
          </w:p>
        </w:tc>
        <w:tc>
          <w:tcPr>
            <w:tcW w:w="708" w:type="dxa"/>
            <w:tcBorders>
              <w:top w:val="nil"/>
              <w:left w:val="nil"/>
              <w:bottom w:val="single" w:color="auto" w:sz="4" w:space="0"/>
              <w:right w:val="single" w:color="auto" w:sz="4" w:space="0"/>
            </w:tcBorders>
            <w:noWrap w:val="0"/>
            <w:vAlign w:val="center"/>
          </w:tcPr>
          <w:p w14:paraId="6DEF163E">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7F10526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962BBCD">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26F25DB0">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14:paraId="7155EBE5">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14:paraId="32EE95E2">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44.38</w:t>
            </w:r>
          </w:p>
        </w:tc>
        <w:tc>
          <w:tcPr>
            <w:tcW w:w="1134" w:type="dxa"/>
            <w:gridSpan w:val="2"/>
            <w:tcBorders>
              <w:top w:val="nil"/>
              <w:left w:val="nil"/>
              <w:bottom w:val="single" w:color="auto" w:sz="4" w:space="0"/>
              <w:right w:val="single" w:color="auto" w:sz="4" w:space="0"/>
            </w:tcBorders>
            <w:noWrap w:val="0"/>
            <w:vAlign w:val="center"/>
          </w:tcPr>
          <w:p w14:paraId="337D72F7">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44.38</w:t>
            </w:r>
          </w:p>
        </w:tc>
        <w:tc>
          <w:tcPr>
            <w:tcW w:w="709" w:type="dxa"/>
            <w:gridSpan w:val="2"/>
            <w:tcBorders>
              <w:top w:val="nil"/>
              <w:left w:val="nil"/>
              <w:bottom w:val="single" w:color="auto" w:sz="4" w:space="0"/>
              <w:right w:val="single" w:color="auto" w:sz="4" w:space="0"/>
            </w:tcBorders>
            <w:noWrap w:val="0"/>
            <w:vAlign w:val="center"/>
          </w:tcPr>
          <w:p w14:paraId="7218519B">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43814FFB">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26580A37">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31B3171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5D89CB4">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14:paraId="12F7549E">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14:paraId="53130EEE">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14:paraId="4CBCEFC8">
            <w:pPr>
              <w:widowControl/>
              <w:spacing w:line="240" w:lineRule="exact"/>
              <w:jc w:val="center"/>
              <w:rPr>
                <w:rFonts w:ascii="Times New Roman" w:hAnsi="Times New Roman"/>
                <w:kern w:val="0"/>
                <w:sz w:val="18"/>
                <w:szCs w:val="18"/>
              </w:rPr>
            </w:pPr>
          </w:p>
        </w:tc>
        <w:tc>
          <w:tcPr>
            <w:tcW w:w="1134" w:type="dxa"/>
            <w:gridSpan w:val="2"/>
            <w:tcBorders>
              <w:top w:val="nil"/>
              <w:left w:val="nil"/>
              <w:bottom w:val="single" w:color="auto" w:sz="4" w:space="0"/>
              <w:right w:val="single" w:color="auto" w:sz="4" w:space="0"/>
            </w:tcBorders>
            <w:noWrap w:val="0"/>
            <w:vAlign w:val="center"/>
          </w:tcPr>
          <w:p w14:paraId="0773C1AC">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noWrap w:val="0"/>
            <w:vAlign w:val="center"/>
          </w:tcPr>
          <w:p w14:paraId="65D1A5AB">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14:paraId="22E152A9">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noWrap w:val="0"/>
            <w:vAlign w:val="center"/>
          </w:tcPr>
          <w:p w14:paraId="4BDD2E6E">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284C9178">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14:paraId="19427215">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14:paraId="089B16C1">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14:paraId="1501CF65">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14:paraId="326BAE85">
        <w:tblPrEx>
          <w:tblCellMar>
            <w:top w:w="0" w:type="dxa"/>
            <w:left w:w="108" w:type="dxa"/>
            <w:bottom w:w="0" w:type="dxa"/>
            <w:right w:w="108" w:type="dxa"/>
          </w:tblCellMar>
        </w:tblPrEx>
        <w:trPr>
          <w:trHeight w:val="598"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14:paraId="2A585DF4">
            <w:pPr>
              <w:widowControl/>
              <w:spacing w:line="240" w:lineRule="exact"/>
              <w:jc w:val="center"/>
              <w:rPr>
                <w:rFonts w:ascii="Times New Roman" w:hAnsi="Times New Roman"/>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14:paraId="6027C7EC">
            <w:pPr>
              <w:widowControl/>
              <w:spacing w:line="240" w:lineRule="exact"/>
              <w:jc w:val="center"/>
              <w:rPr>
                <w:rFonts w:ascii="Times New Roman" w:hAnsi="Times New Roman"/>
                <w:kern w:val="0"/>
                <w:sz w:val="18"/>
                <w:szCs w:val="18"/>
              </w:rPr>
            </w:pPr>
            <w:r>
              <w:rPr>
                <w:rFonts w:hint="eastAsia" w:ascii="Times New Roman" w:hAnsi="Times New Roman"/>
                <w:color w:val="000000"/>
                <w:kern w:val="0"/>
                <w:sz w:val="18"/>
                <w:szCs w:val="18"/>
                <w:lang w:eastAsia="zh-CN"/>
              </w:rPr>
              <w:t>怀城执法请示[2017年]26号文件：关于将三区一县智慧城管项目相关配套建设纳入市城区智慧城管统一建设</w:t>
            </w:r>
          </w:p>
        </w:tc>
        <w:tc>
          <w:tcPr>
            <w:tcW w:w="3402" w:type="dxa"/>
            <w:gridSpan w:val="7"/>
            <w:tcBorders>
              <w:top w:val="single" w:color="auto" w:sz="4" w:space="0"/>
              <w:left w:val="nil"/>
              <w:bottom w:val="single" w:color="auto" w:sz="4" w:space="0"/>
              <w:right w:val="single" w:color="auto" w:sz="4" w:space="0"/>
            </w:tcBorders>
            <w:noWrap w:val="0"/>
            <w:vAlign w:val="center"/>
          </w:tcPr>
          <w:p w14:paraId="685BD4FE">
            <w:pPr>
              <w:widowControl/>
              <w:spacing w:line="240" w:lineRule="exact"/>
              <w:jc w:val="center"/>
              <w:rPr>
                <w:rFonts w:ascii="Times New Roman" w:hAnsi="Times New Roman"/>
                <w:kern w:val="0"/>
                <w:sz w:val="18"/>
                <w:szCs w:val="18"/>
              </w:rPr>
            </w:pPr>
            <w:r>
              <w:rPr>
                <w:rFonts w:hint="eastAsia" w:ascii="Times New Roman" w:hAnsi="Times New Roman"/>
                <w:color w:val="000000"/>
                <w:kern w:val="0"/>
                <w:sz w:val="18"/>
                <w:szCs w:val="18"/>
                <w:lang w:eastAsia="zh-CN"/>
              </w:rPr>
              <w:t>关于将三区一县智慧城管项目相关配套建设纳入市城区智慧城管统一建设</w:t>
            </w:r>
          </w:p>
        </w:tc>
      </w:tr>
      <w:tr w14:paraId="3DA642DF">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14:paraId="390710E1">
            <w:pPr>
              <w:widowControl/>
              <w:spacing w:line="240" w:lineRule="exact"/>
              <w:jc w:val="center"/>
              <w:rPr>
                <w:rFonts w:hint="eastAsia" w:ascii="Times New Roman" w:hAnsi="Times New Roman" w:eastAsiaTheme="minorEastAsia"/>
                <w:kern w:val="0"/>
                <w:sz w:val="18"/>
                <w:szCs w:val="18"/>
                <w:lang w:eastAsia="zh-CN"/>
              </w:rPr>
            </w:pPr>
            <w:r>
              <w:rPr>
                <w:rFonts w:ascii="Times New Roman" w:hAnsi="Times New Roman"/>
                <w:kern w:val="0"/>
                <w:sz w:val="18"/>
                <w:szCs w:val="18"/>
              </w:rPr>
              <w:t>绩</w:t>
            </w:r>
          </w:p>
          <w:p w14:paraId="2CD96ADB">
            <w:pPr>
              <w:widowControl/>
              <w:spacing w:line="240" w:lineRule="exact"/>
              <w:jc w:val="center"/>
              <w:rPr>
                <w:rFonts w:hint="eastAsia" w:ascii="Times New Roman" w:hAnsi="Times New Roman" w:eastAsiaTheme="minorEastAsia"/>
                <w:kern w:val="0"/>
                <w:sz w:val="18"/>
                <w:szCs w:val="18"/>
                <w:lang w:eastAsia="zh-CN"/>
              </w:rPr>
            </w:pPr>
            <w:r>
              <w:rPr>
                <w:rFonts w:ascii="Times New Roman" w:hAnsi="Times New Roman"/>
                <w:kern w:val="0"/>
                <w:sz w:val="18"/>
                <w:szCs w:val="18"/>
              </w:rPr>
              <w:t>效</w:t>
            </w:r>
          </w:p>
          <w:p w14:paraId="21987D1F">
            <w:pPr>
              <w:widowControl/>
              <w:spacing w:line="240" w:lineRule="exact"/>
              <w:jc w:val="center"/>
              <w:rPr>
                <w:rFonts w:hint="eastAsia" w:ascii="Times New Roman" w:hAnsi="Times New Roman" w:eastAsiaTheme="minorEastAsia"/>
                <w:kern w:val="0"/>
                <w:sz w:val="18"/>
                <w:szCs w:val="18"/>
                <w:lang w:eastAsia="zh-CN"/>
              </w:rPr>
            </w:pPr>
            <w:r>
              <w:rPr>
                <w:rFonts w:ascii="Times New Roman" w:hAnsi="Times New Roman"/>
                <w:kern w:val="0"/>
                <w:sz w:val="18"/>
                <w:szCs w:val="18"/>
              </w:rPr>
              <w:t>指</w:t>
            </w:r>
          </w:p>
          <w:p w14:paraId="3025E6F9">
            <w:pPr>
              <w:widowControl/>
              <w:spacing w:line="240" w:lineRule="exact"/>
              <w:jc w:val="center"/>
              <w:rPr>
                <w:rFonts w:ascii="Times New Roman" w:hAnsi="Times New Roman"/>
                <w:kern w:val="0"/>
                <w:sz w:val="18"/>
                <w:szCs w:val="18"/>
              </w:rPr>
            </w:pPr>
            <w:r>
              <w:rPr>
                <w:rFonts w:ascii="Times New Roman" w:hAnsi="Times New Roman"/>
                <w:kern w:val="0"/>
                <w:sz w:val="18"/>
                <w:szCs w:val="18"/>
              </w:rPr>
              <w:t>标</w:t>
            </w:r>
          </w:p>
        </w:tc>
        <w:tc>
          <w:tcPr>
            <w:tcW w:w="980" w:type="dxa"/>
            <w:tcBorders>
              <w:top w:val="nil"/>
              <w:left w:val="nil"/>
              <w:bottom w:val="single" w:color="auto" w:sz="4" w:space="0"/>
              <w:right w:val="single" w:color="auto" w:sz="4" w:space="0"/>
            </w:tcBorders>
            <w:noWrap w:val="0"/>
            <w:vAlign w:val="center"/>
          </w:tcPr>
          <w:p w14:paraId="77348973">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12" w:type="dxa"/>
            <w:tcBorders>
              <w:top w:val="nil"/>
              <w:left w:val="nil"/>
              <w:bottom w:val="single" w:color="auto" w:sz="4" w:space="0"/>
              <w:right w:val="single" w:color="auto" w:sz="4" w:space="0"/>
            </w:tcBorders>
            <w:noWrap w:val="0"/>
            <w:vAlign w:val="center"/>
          </w:tcPr>
          <w:p w14:paraId="6BAA728E">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018" w:type="dxa"/>
            <w:gridSpan w:val="3"/>
            <w:tcBorders>
              <w:top w:val="single" w:color="auto" w:sz="4" w:space="0"/>
              <w:left w:val="nil"/>
              <w:bottom w:val="single" w:color="auto" w:sz="4" w:space="0"/>
              <w:right w:val="single" w:color="auto" w:sz="4" w:space="0"/>
            </w:tcBorders>
            <w:noWrap w:val="0"/>
            <w:vAlign w:val="center"/>
          </w:tcPr>
          <w:p w14:paraId="56552754">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980" w:type="dxa"/>
            <w:tcBorders>
              <w:top w:val="nil"/>
              <w:left w:val="nil"/>
              <w:bottom w:val="single" w:color="auto" w:sz="4" w:space="0"/>
              <w:right w:val="single" w:color="auto" w:sz="4" w:space="0"/>
            </w:tcBorders>
            <w:noWrap w:val="0"/>
            <w:vAlign w:val="center"/>
          </w:tcPr>
          <w:p w14:paraId="6B61E3D4">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14:paraId="4298E411">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1030" w:type="dxa"/>
            <w:tcBorders>
              <w:top w:val="nil"/>
              <w:left w:val="nil"/>
              <w:bottom w:val="single" w:color="auto" w:sz="4" w:space="0"/>
              <w:right w:val="single" w:color="auto" w:sz="4" w:space="0"/>
            </w:tcBorders>
            <w:noWrap w:val="0"/>
            <w:vAlign w:val="center"/>
          </w:tcPr>
          <w:p w14:paraId="7F97C1BF">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14:paraId="3291D56F">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10" w:type="dxa"/>
            <w:gridSpan w:val="2"/>
            <w:tcBorders>
              <w:top w:val="nil"/>
              <w:left w:val="nil"/>
              <w:bottom w:val="single" w:color="auto" w:sz="4" w:space="0"/>
              <w:right w:val="single" w:color="auto" w:sz="4" w:space="0"/>
            </w:tcBorders>
            <w:noWrap w:val="0"/>
            <w:vAlign w:val="center"/>
          </w:tcPr>
          <w:p w14:paraId="66CE3720">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445" w:type="dxa"/>
            <w:gridSpan w:val="2"/>
            <w:tcBorders>
              <w:top w:val="nil"/>
              <w:left w:val="nil"/>
              <w:bottom w:val="single" w:color="auto" w:sz="4" w:space="0"/>
              <w:right w:val="single" w:color="auto" w:sz="4" w:space="0"/>
            </w:tcBorders>
            <w:noWrap w:val="0"/>
            <w:vAlign w:val="center"/>
          </w:tcPr>
          <w:p w14:paraId="72889297">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14:paraId="78A6D122">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14:paraId="04755730">
        <w:tblPrEx>
          <w:tblCellMar>
            <w:top w:w="0" w:type="dxa"/>
            <w:left w:w="108" w:type="dxa"/>
            <w:bottom w:w="0" w:type="dxa"/>
            <w:right w:w="108" w:type="dxa"/>
          </w:tblCellMar>
        </w:tblPrEx>
        <w:trPr>
          <w:trHeight w:val="524" w:hRule="exact"/>
          <w:jc w:val="center"/>
        </w:trPr>
        <w:tc>
          <w:tcPr>
            <w:tcW w:w="588" w:type="dxa"/>
            <w:vMerge w:val="continue"/>
            <w:tcBorders>
              <w:left w:val="single" w:color="auto" w:sz="4" w:space="0"/>
              <w:right w:val="single" w:color="auto" w:sz="4" w:space="0"/>
            </w:tcBorders>
            <w:noWrap w:val="0"/>
            <w:vAlign w:val="center"/>
          </w:tcPr>
          <w:p w14:paraId="6CC6AA33">
            <w:pPr>
              <w:widowControl/>
              <w:spacing w:line="240" w:lineRule="exact"/>
              <w:jc w:val="center"/>
              <w:rPr>
                <w:rFonts w:ascii="Times New Roman" w:hAnsi="Times New Roman"/>
                <w:kern w:val="0"/>
                <w:sz w:val="18"/>
                <w:szCs w:val="18"/>
              </w:rPr>
            </w:pPr>
          </w:p>
        </w:tc>
        <w:tc>
          <w:tcPr>
            <w:tcW w:w="980" w:type="dxa"/>
            <w:vMerge w:val="restart"/>
            <w:tcBorders>
              <w:top w:val="single" w:color="auto" w:sz="4" w:space="0"/>
              <w:left w:val="single" w:color="auto" w:sz="4" w:space="0"/>
              <w:right w:val="single" w:color="auto" w:sz="4" w:space="0"/>
            </w:tcBorders>
            <w:noWrap w:val="0"/>
            <w:vAlign w:val="center"/>
          </w:tcPr>
          <w:p w14:paraId="12763857">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12" w:type="dxa"/>
            <w:vMerge w:val="restart"/>
            <w:tcBorders>
              <w:top w:val="single" w:color="auto" w:sz="4" w:space="0"/>
              <w:left w:val="single" w:color="auto" w:sz="4" w:space="0"/>
              <w:right w:val="single" w:color="auto" w:sz="4" w:space="0"/>
            </w:tcBorders>
            <w:noWrap w:val="0"/>
            <w:vAlign w:val="center"/>
          </w:tcPr>
          <w:p w14:paraId="6C911773">
            <w:pPr>
              <w:widowControl/>
              <w:spacing w:line="240" w:lineRule="exact"/>
              <w:jc w:val="left"/>
              <w:rPr>
                <w:rFonts w:hint="eastAsia" w:ascii="Times New Roman" w:hAnsi="Times New Roman" w:cs="Times New Roman"/>
                <w:kern w:val="0"/>
                <w:sz w:val="18"/>
                <w:szCs w:val="18"/>
                <w:lang w:val="en-US" w:eastAsia="zh-CN"/>
              </w:rPr>
            </w:pPr>
            <w:r>
              <w:rPr>
                <w:rFonts w:hint="eastAsia" w:ascii="Times New Roman" w:hAnsi="Times New Roman" w:cs="Times New Roman"/>
                <w:kern w:val="0"/>
                <w:sz w:val="18"/>
                <w:szCs w:val="18"/>
                <w:lang w:val="en-US" w:eastAsia="zh-CN"/>
              </w:rPr>
              <w:t>数量指标</w:t>
            </w:r>
          </w:p>
        </w:tc>
        <w:tc>
          <w:tcPr>
            <w:tcW w:w="2018" w:type="dxa"/>
            <w:gridSpan w:val="3"/>
            <w:tcBorders>
              <w:top w:val="single" w:color="auto" w:sz="4" w:space="0"/>
              <w:left w:val="single" w:color="auto" w:sz="4" w:space="0"/>
              <w:right w:val="single" w:color="auto" w:sz="4" w:space="0"/>
            </w:tcBorders>
            <w:noWrap w:val="0"/>
            <w:vAlign w:val="center"/>
          </w:tcPr>
          <w:p w14:paraId="4906D65D">
            <w:pPr>
              <w:widowControl/>
              <w:spacing w:line="240" w:lineRule="exact"/>
              <w:jc w:val="left"/>
              <w:rPr>
                <w:rFonts w:hint="eastAsia" w:ascii="Times New Roman" w:hAnsi="Times New Roman" w:cs="Times New Roman"/>
                <w:kern w:val="0"/>
                <w:sz w:val="18"/>
                <w:szCs w:val="18"/>
                <w:lang w:val="en-US" w:eastAsia="zh-CN"/>
              </w:rPr>
            </w:pPr>
            <w:r>
              <w:rPr>
                <w:rFonts w:hint="eastAsia" w:ascii="Times New Roman" w:hAnsi="Times New Roman" w:cs="Times New Roman"/>
                <w:kern w:val="0"/>
                <w:sz w:val="18"/>
                <w:szCs w:val="18"/>
                <w:lang w:val="en-US" w:eastAsia="zh-CN"/>
              </w:rPr>
              <w:t>按智慧城管招投标设备配备率</w:t>
            </w:r>
          </w:p>
        </w:tc>
        <w:tc>
          <w:tcPr>
            <w:tcW w:w="980" w:type="dxa"/>
            <w:tcBorders>
              <w:top w:val="single" w:color="auto" w:sz="4" w:space="0"/>
              <w:left w:val="single" w:color="auto" w:sz="4" w:space="0"/>
              <w:right w:val="single" w:color="auto" w:sz="4" w:space="0"/>
            </w:tcBorders>
            <w:noWrap w:val="0"/>
            <w:vAlign w:val="center"/>
          </w:tcPr>
          <w:p w14:paraId="510CC353">
            <w:pPr>
              <w:widowControl/>
              <w:spacing w:line="240" w:lineRule="exact"/>
              <w:jc w:val="center"/>
              <w:rPr>
                <w:rFonts w:hint="default" w:ascii="Times New Roman" w:hAnsi="Times New Roman"/>
                <w:color w:val="000000"/>
                <w:kern w:val="0"/>
                <w:sz w:val="18"/>
                <w:szCs w:val="18"/>
                <w:lang w:val="en-US" w:eastAsia="zh-CN"/>
              </w:rPr>
            </w:pPr>
            <w:r>
              <w:rPr>
                <w:rFonts w:hint="eastAsia" w:ascii="Times New Roman" w:hAnsi="Times New Roman"/>
                <w:color w:val="000000"/>
                <w:kern w:val="0"/>
                <w:sz w:val="18"/>
                <w:szCs w:val="18"/>
                <w:lang w:val="en-US" w:eastAsia="zh-CN"/>
              </w:rPr>
              <w:t>100%</w:t>
            </w:r>
          </w:p>
        </w:tc>
        <w:tc>
          <w:tcPr>
            <w:tcW w:w="1030" w:type="dxa"/>
            <w:tcBorders>
              <w:top w:val="single" w:color="auto" w:sz="4" w:space="0"/>
              <w:left w:val="single" w:color="auto" w:sz="4" w:space="0"/>
              <w:right w:val="single" w:color="auto" w:sz="4" w:space="0"/>
            </w:tcBorders>
            <w:noWrap w:val="0"/>
            <w:vAlign w:val="center"/>
          </w:tcPr>
          <w:p w14:paraId="0EAF2048">
            <w:pPr>
              <w:widowControl/>
              <w:spacing w:line="240" w:lineRule="exact"/>
              <w:jc w:val="center"/>
              <w:rPr>
                <w:rFonts w:hint="default" w:ascii="Times New Roman" w:hAnsi="Times New Roman"/>
                <w:color w:val="000000"/>
                <w:kern w:val="0"/>
                <w:sz w:val="18"/>
                <w:szCs w:val="18"/>
                <w:lang w:val="en-US" w:eastAsia="zh-CN"/>
              </w:rPr>
            </w:pPr>
            <w:r>
              <w:rPr>
                <w:rFonts w:hint="eastAsia" w:ascii="Times New Roman" w:hAnsi="Times New Roman"/>
                <w:color w:val="000000"/>
                <w:kern w:val="0"/>
                <w:sz w:val="18"/>
                <w:szCs w:val="18"/>
                <w:lang w:val="en-US" w:eastAsia="zh-CN"/>
              </w:rPr>
              <w:t>100%</w:t>
            </w:r>
          </w:p>
        </w:tc>
        <w:tc>
          <w:tcPr>
            <w:tcW w:w="510" w:type="dxa"/>
            <w:gridSpan w:val="2"/>
            <w:tcBorders>
              <w:top w:val="single" w:color="auto" w:sz="4" w:space="0"/>
              <w:left w:val="single" w:color="auto" w:sz="4" w:space="0"/>
              <w:right w:val="single" w:color="auto" w:sz="4" w:space="0"/>
            </w:tcBorders>
            <w:noWrap w:val="0"/>
            <w:vAlign w:val="center"/>
          </w:tcPr>
          <w:p w14:paraId="743D62B4">
            <w:pPr>
              <w:widowControl/>
              <w:spacing w:line="240" w:lineRule="exact"/>
              <w:jc w:val="center"/>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5</w:t>
            </w:r>
          </w:p>
        </w:tc>
        <w:tc>
          <w:tcPr>
            <w:tcW w:w="445" w:type="dxa"/>
            <w:gridSpan w:val="2"/>
            <w:tcBorders>
              <w:top w:val="single" w:color="auto" w:sz="4" w:space="0"/>
              <w:left w:val="single" w:color="auto" w:sz="4" w:space="0"/>
              <w:right w:val="single" w:color="auto" w:sz="4" w:space="0"/>
            </w:tcBorders>
            <w:noWrap w:val="0"/>
            <w:vAlign w:val="center"/>
          </w:tcPr>
          <w:p w14:paraId="1D5B3CDB">
            <w:pPr>
              <w:widowControl/>
              <w:spacing w:line="240" w:lineRule="exact"/>
              <w:jc w:val="center"/>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5C76CF67">
            <w:pPr>
              <w:widowControl/>
              <w:spacing w:line="240" w:lineRule="exact"/>
              <w:jc w:val="center"/>
              <w:rPr>
                <w:rFonts w:ascii="Times New Roman" w:hAnsi="Times New Roman"/>
                <w:kern w:val="0"/>
                <w:sz w:val="18"/>
                <w:szCs w:val="18"/>
              </w:rPr>
            </w:pPr>
          </w:p>
        </w:tc>
      </w:tr>
      <w:tr w14:paraId="4F11BDFC">
        <w:tblPrEx>
          <w:tblCellMar>
            <w:top w:w="0" w:type="dxa"/>
            <w:left w:w="108" w:type="dxa"/>
            <w:bottom w:w="0" w:type="dxa"/>
            <w:right w:w="108" w:type="dxa"/>
          </w:tblCellMar>
        </w:tblPrEx>
        <w:trPr>
          <w:trHeight w:val="763" w:hRule="exact"/>
          <w:jc w:val="center"/>
        </w:trPr>
        <w:tc>
          <w:tcPr>
            <w:tcW w:w="588" w:type="dxa"/>
            <w:vMerge w:val="continue"/>
            <w:tcBorders>
              <w:left w:val="single" w:color="auto" w:sz="4" w:space="0"/>
              <w:right w:val="single" w:color="auto" w:sz="4" w:space="0"/>
            </w:tcBorders>
            <w:noWrap w:val="0"/>
            <w:vAlign w:val="center"/>
          </w:tcPr>
          <w:p w14:paraId="65BB12C6">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right w:val="single" w:color="auto" w:sz="4" w:space="0"/>
            </w:tcBorders>
            <w:noWrap w:val="0"/>
            <w:vAlign w:val="center"/>
          </w:tcPr>
          <w:p w14:paraId="4BB885E7">
            <w:pPr>
              <w:widowControl/>
              <w:spacing w:line="240" w:lineRule="exact"/>
              <w:jc w:val="center"/>
              <w:rPr>
                <w:rFonts w:ascii="Times New Roman" w:hAnsi="Times New Roman"/>
                <w:kern w:val="0"/>
                <w:sz w:val="18"/>
                <w:szCs w:val="18"/>
              </w:rPr>
            </w:pPr>
          </w:p>
        </w:tc>
        <w:tc>
          <w:tcPr>
            <w:tcW w:w="1112" w:type="dxa"/>
            <w:vMerge w:val="continue"/>
            <w:tcBorders>
              <w:left w:val="single" w:color="auto" w:sz="4" w:space="0"/>
              <w:bottom w:val="single" w:color="auto" w:sz="4" w:space="0"/>
              <w:right w:val="single" w:color="auto" w:sz="4" w:space="0"/>
            </w:tcBorders>
            <w:noWrap w:val="0"/>
            <w:vAlign w:val="center"/>
          </w:tcPr>
          <w:p w14:paraId="56F0AC2A">
            <w:pPr>
              <w:widowControl/>
              <w:spacing w:line="240" w:lineRule="exact"/>
              <w:jc w:val="left"/>
              <w:rPr>
                <w:rFonts w:hint="eastAsia" w:ascii="Times New Roman" w:hAnsi="Times New Roman" w:cs="Times New Roman"/>
                <w:kern w:val="0"/>
                <w:sz w:val="18"/>
                <w:szCs w:val="18"/>
                <w:lang w:val="en-US" w:eastAsia="zh-CN"/>
              </w:rPr>
            </w:pPr>
          </w:p>
        </w:tc>
        <w:tc>
          <w:tcPr>
            <w:tcW w:w="2018" w:type="dxa"/>
            <w:gridSpan w:val="3"/>
            <w:tcBorders>
              <w:top w:val="single" w:color="auto" w:sz="4" w:space="0"/>
              <w:left w:val="single" w:color="auto" w:sz="4" w:space="0"/>
              <w:right w:val="single" w:color="auto" w:sz="4" w:space="0"/>
            </w:tcBorders>
            <w:noWrap w:val="0"/>
            <w:vAlign w:val="center"/>
          </w:tcPr>
          <w:p w14:paraId="75912D20">
            <w:pPr>
              <w:widowControl/>
              <w:spacing w:line="240" w:lineRule="exact"/>
              <w:jc w:val="left"/>
              <w:rPr>
                <w:rFonts w:hint="eastAsia" w:ascii="Times New Roman" w:hAnsi="Times New Roman" w:eastAsia="宋体"/>
                <w:color w:val="000000"/>
                <w:kern w:val="0"/>
                <w:sz w:val="18"/>
                <w:szCs w:val="18"/>
                <w:lang w:val="en-US" w:eastAsia="zh-CN"/>
              </w:rPr>
            </w:pPr>
            <w:r>
              <w:rPr>
                <w:rFonts w:hint="eastAsia" w:ascii="Times New Roman" w:hAnsi="Times New Roman" w:cs="Times New Roman"/>
                <w:kern w:val="0"/>
                <w:sz w:val="18"/>
                <w:szCs w:val="18"/>
                <w:lang w:val="en-US" w:eastAsia="zh-CN"/>
              </w:rPr>
              <w:t>完成县城建成区环卫、市容、渣土等相关指标监测（含主次干道）</w:t>
            </w:r>
          </w:p>
        </w:tc>
        <w:tc>
          <w:tcPr>
            <w:tcW w:w="980" w:type="dxa"/>
            <w:tcBorders>
              <w:top w:val="single" w:color="auto" w:sz="4" w:space="0"/>
              <w:left w:val="single" w:color="auto" w:sz="4" w:space="0"/>
              <w:right w:val="single" w:color="auto" w:sz="4" w:space="0"/>
            </w:tcBorders>
            <w:noWrap w:val="0"/>
            <w:vAlign w:val="center"/>
          </w:tcPr>
          <w:p w14:paraId="46F64175">
            <w:pPr>
              <w:widowControl/>
              <w:spacing w:line="240" w:lineRule="exact"/>
              <w:jc w:val="center"/>
              <w:rPr>
                <w:rFonts w:hint="eastAsia" w:ascii="Times New Roman" w:hAnsi="Times New Roman" w:cs="Times New Roman"/>
                <w:kern w:val="0"/>
                <w:sz w:val="18"/>
                <w:szCs w:val="18"/>
                <w:lang w:val="en-US" w:eastAsia="zh-CN"/>
              </w:rPr>
            </w:pPr>
            <w:r>
              <w:rPr>
                <w:rFonts w:hint="eastAsia" w:ascii="Times New Roman" w:hAnsi="Times New Roman"/>
                <w:kern w:val="0"/>
                <w:sz w:val="18"/>
                <w:szCs w:val="18"/>
              </w:rPr>
              <w:t>≧</w:t>
            </w:r>
            <w:r>
              <w:rPr>
                <w:rFonts w:hint="eastAsia" w:ascii="Times New Roman" w:hAnsi="Times New Roman" w:cs="Times New Roman"/>
                <w:kern w:val="0"/>
                <w:sz w:val="18"/>
                <w:szCs w:val="18"/>
                <w:lang w:val="en-US" w:eastAsia="zh-CN"/>
              </w:rPr>
              <w:t>98%</w:t>
            </w:r>
          </w:p>
          <w:p w14:paraId="63817A3B">
            <w:pPr>
              <w:widowControl/>
              <w:spacing w:line="240" w:lineRule="exact"/>
              <w:jc w:val="center"/>
              <w:rPr>
                <w:rFonts w:hint="eastAsia" w:ascii="Times New Roman" w:hAnsi="Times New Roman"/>
                <w:color w:val="000000"/>
                <w:kern w:val="0"/>
                <w:sz w:val="18"/>
                <w:szCs w:val="18"/>
                <w:lang w:val="en-US" w:eastAsia="zh-CN"/>
              </w:rPr>
            </w:pPr>
          </w:p>
        </w:tc>
        <w:tc>
          <w:tcPr>
            <w:tcW w:w="1030" w:type="dxa"/>
            <w:tcBorders>
              <w:top w:val="single" w:color="auto" w:sz="4" w:space="0"/>
              <w:left w:val="single" w:color="auto" w:sz="4" w:space="0"/>
              <w:right w:val="single" w:color="auto" w:sz="4" w:space="0"/>
            </w:tcBorders>
            <w:noWrap w:val="0"/>
            <w:vAlign w:val="center"/>
          </w:tcPr>
          <w:p w14:paraId="2FD76655">
            <w:pPr>
              <w:widowControl/>
              <w:spacing w:line="240" w:lineRule="exact"/>
              <w:jc w:val="center"/>
              <w:rPr>
                <w:rFonts w:hint="default" w:ascii="Times New Roman" w:hAnsi="Times New Roman"/>
                <w:kern w:val="0"/>
                <w:sz w:val="18"/>
                <w:szCs w:val="18"/>
                <w:lang w:val="en-US"/>
              </w:rPr>
            </w:pPr>
            <w:r>
              <w:rPr>
                <w:rFonts w:hint="eastAsia" w:ascii="Times New Roman" w:hAnsi="Times New Roman"/>
                <w:color w:val="000000"/>
                <w:kern w:val="0"/>
                <w:sz w:val="18"/>
                <w:szCs w:val="18"/>
                <w:lang w:val="en-US" w:eastAsia="zh-CN"/>
              </w:rPr>
              <w:t>100%</w:t>
            </w:r>
          </w:p>
        </w:tc>
        <w:tc>
          <w:tcPr>
            <w:tcW w:w="510" w:type="dxa"/>
            <w:gridSpan w:val="2"/>
            <w:tcBorders>
              <w:top w:val="single" w:color="auto" w:sz="4" w:space="0"/>
              <w:left w:val="single" w:color="auto" w:sz="4" w:space="0"/>
              <w:right w:val="single" w:color="auto" w:sz="4" w:space="0"/>
            </w:tcBorders>
            <w:noWrap w:val="0"/>
            <w:vAlign w:val="center"/>
          </w:tcPr>
          <w:p w14:paraId="58EB85F5">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445" w:type="dxa"/>
            <w:gridSpan w:val="2"/>
            <w:tcBorders>
              <w:top w:val="single" w:color="auto" w:sz="4" w:space="0"/>
              <w:left w:val="single" w:color="auto" w:sz="4" w:space="0"/>
              <w:right w:val="single" w:color="auto" w:sz="4" w:space="0"/>
            </w:tcBorders>
            <w:noWrap w:val="0"/>
            <w:vAlign w:val="center"/>
          </w:tcPr>
          <w:p w14:paraId="47A74726">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684C1A1A">
            <w:pPr>
              <w:widowControl/>
              <w:spacing w:line="240" w:lineRule="exact"/>
              <w:jc w:val="center"/>
              <w:rPr>
                <w:rFonts w:ascii="Times New Roman" w:hAnsi="Times New Roman"/>
                <w:kern w:val="0"/>
                <w:sz w:val="18"/>
                <w:szCs w:val="18"/>
              </w:rPr>
            </w:pPr>
          </w:p>
        </w:tc>
      </w:tr>
      <w:tr w14:paraId="62B8A29F">
        <w:tblPrEx>
          <w:tblCellMar>
            <w:top w:w="0" w:type="dxa"/>
            <w:left w:w="108" w:type="dxa"/>
            <w:bottom w:w="0" w:type="dxa"/>
            <w:right w:w="108" w:type="dxa"/>
          </w:tblCellMar>
        </w:tblPrEx>
        <w:trPr>
          <w:trHeight w:val="430" w:hRule="exact"/>
          <w:jc w:val="center"/>
        </w:trPr>
        <w:tc>
          <w:tcPr>
            <w:tcW w:w="588" w:type="dxa"/>
            <w:vMerge w:val="continue"/>
            <w:tcBorders>
              <w:left w:val="single" w:color="auto" w:sz="4" w:space="0"/>
              <w:right w:val="single" w:color="auto" w:sz="4" w:space="0"/>
            </w:tcBorders>
            <w:noWrap w:val="0"/>
            <w:vAlign w:val="center"/>
          </w:tcPr>
          <w:p w14:paraId="5454180E">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right w:val="single" w:color="auto" w:sz="4" w:space="0"/>
            </w:tcBorders>
            <w:noWrap w:val="0"/>
            <w:vAlign w:val="center"/>
          </w:tcPr>
          <w:p w14:paraId="1E1CD26C">
            <w:pPr>
              <w:widowControl/>
              <w:spacing w:line="240" w:lineRule="exact"/>
              <w:jc w:val="center"/>
              <w:rPr>
                <w:rFonts w:ascii="Times New Roman" w:hAnsi="Times New Roman"/>
                <w:kern w:val="0"/>
                <w:sz w:val="18"/>
                <w:szCs w:val="18"/>
              </w:rPr>
            </w:pPr>
          </w:p>
        </w:tc>
        <w:tc>
          <w:tcPr>
            <w:tcW w:w="1112" w:type="dxa"/>
            <w:vMerge w:val="restart"/>
            <w:tcBorders>
              <w:top w:val="single" w:color="auto" w:sz="4" w:space="0"/>
              <w:left w:val="single" w:color="auto" w:sz="4" w:space="0"/>
              <w:right w:val="single" w:color="auto" w:sz="4" w:space="0"/>
            </w:tcBorders>
            <w:noWrap w:val="0"/>
            <w:vAlign w:val="center"/>
          </w:tcPr>
          <w:p w14:paraId="0600A435">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2C2111C0">
            <w:pPr>
              <w:widowControl/>
              <w:spacing w:line="240" w:lineRule="exact"/>
              <w:jc w:val="center"/>
              <w:rPr>
                <w:rFonts w:hint="eastAsia" w:ascii="Times New Roman" w:hAnsi="Times New Roman"/>
                <w:color w:val="000000"/>
                <w:kern w:val="0"/>
                <w:sz w:val="18"/>
                <w:szCs w:val="18"/>
                <w:lang w:eastAsia="zh-CN"/>
              </w:rPr>
            </w:pPr>
            <w:r>
              <w:rPr>
                <w:rFonts w:hint="eastAsia" w:ascii="Times New Roman" w:hAnsi="Times New Roman"/>
                <w:color w:val="000000"/>
                <w:kern w:val="0"/>
                <w:sz w:val="18"/>
                <w:szCs w:val="18"/>
                <w:lang w:eastAsia="zh-CN"/>
              </w:rPr>
              <w:t>设备质量合格率</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450C2BAA">
            <w:pPr>
              <w:widowControl/>
              <w:spacing w:line="240" w:lineRule="exact"/>
              <w:jc w:val="center"/>
              <w:rPr>
                <w:rFonts w:hint="eastAsia" w:ascii="Times New Roman" w:hAnsi="Times New Roman"/>
                <w:kern w:val="0"/>
                <w:sz w:val="18"/>
                <w:szCs w:val="18"/>
              </w:rPr>
            </w:pPr>
            <w:r>
              <w:rPr>
                <w:rFonts w:hint="eastAsia" w:ascii="Times New Roman" w:hAnsi="Times New Roman"/>
                <w:color w:val="000000"/>
                <w:kern w:val="0"/>
                <w:sz w:val="18"/>
                <w:szCs w:val="18"/>
                <w:lang w:val="en-US" w:eastAsia="zh-CN"/>
              </w:rPr>
              <w:t>100%</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17DB3349">
            <w:pPr>
              <w:widowControl/>
              <w:spacing w:line="240" w:lineRule="exact"/>
              <w:jc w:val="center"/>
              <w:rPr>
                <w:rFonts w:hint="eastAsia" w:ascii="Times New Roman" w:hAnsi="Times New Roman"/>
                <w:kern w:val="0"/>
                <w:sz w:val="18"/>
                <w:szCs w:val="18"/>
              </w:rPr>
            </w:pPr>
            <w:r>
              <w:rPr>
                <w:rFonts w:hint="eastAsia" w:ascii="Times New Roman" w:hAnsi="Times New Roman"/>
                <w:color w:val="000000"/>
                <w:kern w:val="0"/>
                <w:sz w:val="18"/>
                <w:szCs w:val="18"/>
                <w:lang w:val="en-US" w:eastAsia="zh-CN"/>
              </w:rPr>
              <w:t>100%</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1A67852F">
            <w:pPr>
              <w:widowControl/>
              <w:spacing w:line="240" w:lineRule="exact"/>
              <w:jc w:val="center"/>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10</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3E5140A4">
            <w:pPr>
              <w:widowControl/>
              <w:spacing w:line="240" w:lineRule="exact"/>
              <w:jc w:val="center"/>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6025A5A4">
            <w:pPr>
              <w:widowControl/>
              <w:spacing w:line="240" w:lineRule="exact"/>
              <w:jc w:val="center"/>
              <w:rPr>
                <w:rFonts w:ascii="Times New Roman" w:hAnsi="Times New Roman"/>
                <w:kern w:val="0"/>
                <w:sz w:val="18"/>
                <w:szCs w:val="18"/>
              </w:rPr>
            </w:pPr>
          </w:p>
        </w:tc>
      </w:tr>
      <w:tr w14:paraId="10F93131">
        <w:tblPrEx>
          <w:tblCellMar>
            <w:top w:w="0" w:type="dxa"/>
            <w:left w:w="108" w:type="dxa"/>
            <w:bottom w:w="0" w:type="dxa"/>
            <w:right w:w="108" w:type="dxa"/>
          </w:tblCellMar>
        </w:tblPrEx>
        <w:trPr>
          <w:trHeight w:val="598" w:hRule="exact"/>
          <w:jc w:val="center"/>
        </w:trPr>
        <w:tc>
          <w:tcPr>
            <w:tcW w:w="588" w:type="dxa"/>
            <w:vMerge w:val="continue"/>
            <w:tcBorders>
              <w:left w:val="single" w:color="auto" w:sz="4" w:space="0"/>
              <w:right w:val="single" w:color="auto" w:sz="4" w:space="0"/>
            </w:tcBorders>
            <w:noWrap w:val="0"/>
            <w:vAlign w:val="center"/>
          </w:tcPr>
          <w:p w14:paraId="78CA68F7">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right w:val="single" w:color="auto" w:sz="4" w:space="0"/>
            </w:tcBorders>
            <w:noWrap w:val="0"/>
            <w:vAlign w:val="center"/>
          </w:tcPr>
          <w:p w14:paraId="65E7769C">
            <w:pPr>
              <w:widowControl/>
              <w:spacing w:line="240" w:lineRule="exact"/>
              <w:jc w:val="center"/>
              <w:rPr>
                <w:rFonts w:ascii="Times New Roman" w:hAnsi="Times New Roman"/>
                <w:kern w:val="0"/>
                <w:sz w:val="18"/>
                <w:szCs w:val="18"/>
              </w:rPr>
            </w:pPr>
          </w:p>
        </w:tc>
        <w:tc>
          <w:tcPr>
            <w:tcW w:w="1112" w:type="dxa"/>
            <w:vMerge w:val="continue"/>
            <w:tcBorders>
              <w:left w:val="single" w:color="auto" w:sz="4" w:space="0"/>
              <w:bottom w:val="single" w:color="auto" w:sz="4" w:space="0"/>
              <w:right w:val="single" w:color="auto" w:sz="4" w:space="0"/>
            </w:tcBorders>
            <w:noWrap w:val="0"/>
            <w:vAlign w:val="center"/>
          </w:tcPr>
          <w:p w14:paraId="5C0A4EA8">
            <w:pPr>
              <w:widowControl/>
              <w:spacing w:line="240" w:lineRule="exact"/>
              <w:jc w:val="center"/>
              <w:rPr>
                <w:rFonts w:ascii="Times New Roman" w:hAnsi="Times New Roman"/>
                <w:kern w:val="0"/>
                <w:sz w:val="18"/>
                <w:szCs w:val="18"/>
              </w:rPr>
            </w:pP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309F0FBF">
            <w:pPr>
              <w:widowControl/>
              <w:spacing w:line="240" w:lineRule="exact"/>
              <w:jc w:val="center"/>
              <w:rPr>
                <w:rFonts w:hint="eastAsia" w:ascii="Times New Roman" w:hAnsi="Times New Roman" w:eastAsia="宋体"/>
                <w:color w:val="000000"/>
                <w:kern w:val="0"/>
                <w:sz w:val="18"/>
                <w:szCs w:val="18"/>
                <w:lang w:eastAsia="zh-CN"/>
              </w:rPr>
            </w:pPr>
            <w:r>
              <w:rPr>
                <w:rFonts w:hint="eastAsia" w:ascii="Times New Roman" w:hAnsi="Times New Roman"/>
                <w:color w:val="000000"/>
                <w:kern w:val="0"/>
                <w:sz w:val="18"/>
                <w:szCs w:val="18"/>
                <w:lang w:eastAsia="zh-CN"/>
              </w:rPr>
              <w:t>城区范围内环境、秩序井然</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14EB758C">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≧98％</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5D9B7E5A">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98％</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218D2233">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6F7E3FD2">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4058963C">
            <w:pPr>
              <w:widowControl/>
              <w:spacing w:line="240" w:lineRule="exact"/>
              <w:jc w:val="center"/>
              <w:rPr>
                <w:rFonts w:ascii="Times New Roman" w:hAnsi="Times New Roman"/>
                <w:kern w:val="0"/>
                <w:sz w:val="18"/>
                <w:szCs w:val="18"/>
              </w:rPr>
            </w:pPr>
          </w:p>
        </w:tc>
      </w:tr>
      <w:tr w14:paraId="4CBBBD04">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noWrap w:val="0"/>
            <w:vAlign w:val="center"/>
          </w:tcPr>
          <w:p w14:paraId="39B085F4">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right w:val="single" w:color="auto" w:sz="4" w:space="0"/>
            </w:tcBorders>
            <w:noWrap w:val="0"/>
            <w:vAlign w:val="center"/>
          </w:tcPr>
          <w:p w14:paraId="180DC16F">
            <w:pPr>
              <w:widowControl/>
              <w:spacing w:line="240" w:lineRule="exact"/>
              <w:jc w:val="center"/>
              <w:rPr>
                <w:rFonts w:ascii="Times New Roman" w:hAnsi="Times New Roman"/>
                <w:kern w:val="0"/>
                <w:sz w:val="18"/>
                <w:szCs w:val="18"/>
              </w:rPr>
            </w:pPr>
          </w:p>
        </w:tc>
        <w:tc>
          <w:tcPr>
            <w:tcW w:w="1112" w:type="dxa"/>
            <w:tcBorders>
              <w:top w:val="single" w:color="auto" w:sz="4" w:space="0"/>
              <w:left w:val="single" w:color="auto" w:sz="4" w:space="0"/>
              <w:bottom w:val="single" w:color="auto" w:sz="4" w:space="0"/>
              <w:right w:val="single" w:color="auto" w:sz="4" w:space="0"/>
            </w:tcBorders>
            <w:noWrap w:val="0"/>
            <w:vAlign w:val="center"/>
          </w:tcPr>
          <w:p w14:paraId="65BDF282">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738FDA77">
            <w:pPr>
              <w:widowControl/>
              <w:spacing w:line="240" w:lineRule="exact"/>
              <w:jc w:val="center"/>
              <w:rPr>
                <w:rFonts w:hint="default" w:ascii="Times New Roman" w:hAnsi="Times New Roman"/>
                <w:color w:val="000000"/>
                <w:kern w:val="0"/>
                <w:sz w:val="18"/>
                <w:szCs w:val="18"/>
                <w:lang w:val="en-US"/>
              </w:rPr>
            </w:pPr>
            <w:r>
              <w:rPr>
                <w:rFonts w:hint="eastAsia" w:ascii="Times New Roman" w:hAnsi="Times New Roman"/>
                <w:color w:val="000000"/>
                <w:kern w:val="0"/>
                <w:sz w:val="18"/>
                <w:szCs w:val="18"/>
                <w:lang w:eastAsia="zh-CN"/>
              </w:rPr>
              <w:t>与全省数字城市管理工作要求同步</w:t>
            </w:r>
            <w:r>
              <w:rPr>
                <w:rFonts w:hint="eastAsia" w:ascii="Times New Roman" w:hAnsi="Times New Roman"/>
                <w:color w:val="000000"/>
                <w:kern w:val="0"/>
                <w:sz w:val="18"/>
                <w:szCs w:val="18"/>
                <w:lang w:val="en-US" w:eastAsia="zh-CN"/>
              </w:rPr>
              <w:t>率</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6625E867">
            <w:pPr>
              <w:widowControl/>
              <w:spacing w:line="240" w:lineRule="exact"/>
              <w:jc w:val="center"/>
              <w:rPr>
                <w:rFonts w:ascii="Times New Roman" w:hAnsi="Times New Roman"/>
                <w:kern w:val="0"/>
                <w:sz w:val="18"/>
                <w:szCs w:val="18"/>
              </w:rPr>
            </w:pPr>
            <w:r>
              <w:rPr>
                <w:rFonts w:hint="eastAsia" w:ascii="Times New Roman" w:hAnsi="Times New Roman"/>
                <w:color w:val="000000"/>
                <w:kern w:val="0"/>
                <w:sz w:val="18"/>
                <w:szCs w:val="18"/>
                <w:lang w:val="en-US" w:eastAsia="zh-CN"/>
              </w:rPr>
              <w:t>100%</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68E3884D">
            <w:pPr>
              <w:widowControl/>
              <w:spacing w:line="240" w:lineRule="exact"/>
              <w:jc w:val="center"/>
              <w:rPr>
                <w:rFonts w:ascii="Times New Roman" w:hAnsi="Times New Roman"/>
                <w:kern w:val="0"/>
                <w:sz w:val="18"/>
                <w:szCs w:val="18"/>
              </w:rPr>
            </w:pPr>
            <w:r>
              <w:rPr>
                <w:rFonts w:hint="eastAsia" w:ascii="Times New Roman" w:hAnsi="Times New Roman"/>
                <w:color w:val="000000"/>
                <w:kern w:val="0"/>
                <w:sz w:val="18"/>
                <w:szCs w:val="18"/>
                <w:lang w:val="en-US" w:eastAsia="zh-CN"/>
              </w:rPr>
              <w:t>100%</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2D4223A3">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3FB387F2">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6CAB1938">
            <w:pPr>
              <w:widowControl/>
              <w:spacing w:line="240" w:lineRule="exact"/>
              <w:jc w:val="center"/>
              <w:rPr>
                <w:rFonts w:ascii="Times New Roman" w:hAnsi="Times New Roman"/>
                <w:kern w:val="0"/>
                <w:sz w:val="18"/>
                <w:szCs w:val="18"/>
              </w:rPr>
            </w:pPr>
          </w:p>
        </w:tc>
      </w:tr>
      <w:tr w14:paraId="24F1B325">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noWrap w:val="0"/>
            <w:vAlign w:val="center"/>
          </w:tcPr>
          <w:p w14:paraId="7EF265FE">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14:paraId="1052739A">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1D558A9B">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24F183BE">
            <w:pPr>
              <w:widowControl/>
              <w:spacing w:line="24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智慧城管服务成本</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12BECEE9">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≤44.38</w:t>
            </w:r>
            <w:r>
              <w:rPr>
                <w:rFonts w:hint="eastAsia" w:ascii="Times New Roman" w:hAnsi="Times New Roman"/>
                <w:kern w:val="0"/>
                <w:sz w:val="18"/>
                <w:szCs w:val="18"/>
              </w:rPr>
              <w:t>万元</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4FF97AA3">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44.38</w:t>
            </w:r>
            <w:r>
              <w:rPr>
                <w:rFonts w:hint="eastAsia" w:ascii="Times New Roman" w:hAnsi="Times New Roman"/>
                <w:kern w:val="0"/>
                <w:sz w:val="18"/>
                <w:szCs w:val="18"/>
              </w:rPr>
              <w:t>万元</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52CD62C4">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661D77F0">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05D94FFE">
            <w:pPr>
              <w:widowControl/>
              <w:spacing w:line="240" w:lineRule="exact"/>
              <w:jc w:val="center"/>
              <w:rPr>
                <w:rFonts w:hint="eastAsia" w:ascii="Times New Roman" w:hAnsi="Times New Roman" w:eastAsia="宋体"/>
                <w:kern w:val="0"/>
                <w:sz w:val="18"/>
                <w:szCs w:val="18"/>
                <w:lang w:eastAsia="zh-CN"/>
              </w:rPr>
            </w:pPr>
          </w:p>
        </w:tc>
      </w:tr>
      <w:tr w14:paraId="44FDA10A">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noWrap w:val="0"/>
            <w:vAlign w:val="center"/>
          </w:tcPr>
          <w:p w14:paraId="57F12040">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155B2A1D">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112" w:type="dxa"/>
            <w:tcBorders>
              <w:top w:val="nil"/>
              <w:left w:val="single" w:color="auto" w:sz="4" w:space="0"/>
              <w:bottom w:val="single" w:color="auto" w:sz="4" w:space="0"/>
              <w:right w:val="single" w:color="auto" w:sz="4" w:space="0"/>
            </w:tcBorders>
            <w:noWrap w:val="0"/>
            <w:vAlign w:val="center"/>
          </w:tcPr>
          <w:p w14:paraId="5F55BD76">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14:paraId="080A45F4">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5006161B">
            <w:pPr>
              <w:widowControl/>
              <w:spacing w:line="240" w:lineRule="exact"/>
              <w:jc w:val="center"/>
              <w:rPr>
                <w:rFonts w:hint="eastAsia" w:ascii="Times New Roman" w:hAnsi="Times New Roman" w:eastAsiaTheme="minorEastAsia"/>
                <w:color w:val="000000"/>
                <w:kern w:val="0"/>
                <w:sz w:val="18"/>
                <w:szCs w:val="18"/>
                <w:lang w:eastAsia="zh-CN"/>
              </w:rPr>
            </w:pPr>
            <w:r>
              <w:rPr>
                <w:rFonts w:hint="eastAsia" w:ascii="Times New Roman" w:hAnsi="Times New Roman"/>
                <w:color w:val="000000"/>
                <w:kern w:val="0"/>
                <w:sz w:val="18"/>
                <w:szCs w:val="18"/>
              </w:rPr>
              <w:t>经济效益情况</w:t>
            </w:r>
            <w:r>
              <w:rPr>
                <w:rFonts w:hint="eastAsia" w:ascii="Times New Roman" w:hAnsi="Times New Roman"/>
                <w:color w:val="000000"/>
                <w:kern w:val="0"/>
                <w:sz w:val="18"/>
                <w:szCs w:val="18"/>
                <w:lang w:eastAsia="zh-CN"/>
              </w:rPr>
              <w:t>：</w:t>
            </w:r>
            <w:r>
              <w:rPr>
                <w:rFonts w:hint="eastAsia" w:ascii="Times New Roman" w:hAnsi="Times New Roman"/>
                <w:color w:val="000000"/>
                <w:kern w:val="0"/>
                <w:sz w:val="18"/>
                <w:szCs w:val="18"/>
              </w:rPr>
              <w:t>完善县城</w:t>
            </w:r>
            <w:r>
              <w:rPr>
                <w:rFonts w:hint="eastAsia" w:ascii="Times New Roman" w:hAnsi="Times New Roman"/>
                <w:color w:val="000000"/>
                <w:kern w:val="0"/>
                <w:sz w:val="18"/>
                <w:szCs w:val="18"/>
                <w:lang w:eastAsia="zh-CN"/>
              </w:rPr>
              <w:t>环境卫生</w:t>
            </w:r>
            <w:r>
              <w:rPr>
                <w:rFonts w:hint="eastAsia" w:ascii="Times New Roman" w:hAnsi="Times New Roman"/>
                <w:color w:val="000000"/>
                <w:kern w:val="0"/>
                <w:sz w:val="18"/>
                <w:szCs w:val="18"/>
              </w:rPr>
              <w:t>，</w:t>
            </w:r>
            <w:r>
              <w:rPr>
                <w:rFonts w:hint="eastAsia" w:ascii="Times New Roman" w:hAnsi="Times New Roman"/>
                <w:color w:val="000000"/>
                <w:kern w:val="0"/>
                <w:sz w:val="18"/>
                <w:szCs w:val="18"/>
                <w:lang w:eastAsia="zh-CN"/>
              </w:rPr>
              <w:t>提升市容市貌</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4D63C54D">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0D36C865">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52241CC9">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4BD36949">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293E5EAA">
            <w:pPr>
              <w:widowControl/>
              <w:spacing w:line="240" w:lineRule="exact"/>
              <w:jc w:val="center"/>
              <w:rPr>
                <w:rFonts w:ascii="Times New Roman" w:hAnsi="Times New Roman"/>
                <w:kern w:val="0"/>
                <w:sz w:val="18"/>
                <w:szCs w:val="18"/>
              </w:rPr>
            </w:pPr>
          </w:p>
        </w:tc>
      </w:tr>
      <w:tr w14:paraId="783B7F05">
        <w:tblPrEx>
          <w:tblCellMar>
            <w:top w:w="0" w:type="dxa"/>
            <w:left w:w="108" w:type="dxa"/>
            <w:bottom w:w="0" w:type="dxa"/>
            <w:right w:w="108" w:type="dxa"/>
          </w:tblCellMar>
        </w:tblPrEx>
        <w:trPr>
          <w:trHeight w:val="563" w:hRule="exact"/>
          <w:jc w:val="center"/>
        </w:trPr>
        <w:tc>
          <w:tcPr>
            <w:tcW w:w="588" w:type="dxa"/>
            <w:vMerge w:val="continue"/>
            <w:tcBorders>
              <w:left w:val="single" w:color="auto" w:sz="4" w:space="0"/>
              <w:right w:val="single" w:color="auto" w:sz="4" w:space="0"/>
            </w:tcBorders>
            <w:noWrap w:val="0"/>
            <w:vAlign w:val="center"/>
          </w:tcPr>
          <w:p w14:paraId="15B521E5">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133C71CA">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335579F9">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14:paraId="69B40CB6">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2B1F6F94">
            <w:pPr>
              <w:widowControl/>
              <w:spacing w:line="24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生活环境改善、提升城市精细化管理</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419A31F5">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67F053CB">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35208EF2">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6E69E01D">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75F20EAA">
            <w:pPr>
              <w:widowControl/>
              <w:spacing w:line="240" w:lineRule="exact"/>
              <w:jc w:val="center"/>
              <w:rPr>
                <w:rFonts w:ascii="Times New Roman" w:hAnsi="Times New Roman"/>
                <w:kern w:val="0"/>
                <w:sz w:val="18"/>
                <w:szCs w:val="18"/>
              </w:rPr>
            </w:pPr>
          </w:p>
        </w:tc>
      </w:tr>
      <w:tr w14:paraId="06474ADC">
        <w:tblPrEx>
          <w:tblCellMar>
            <w:top w:w="0" w:type="dxa"/>
            <w:left w:w="108" w:type="dxa"/>
            <w:bottom w:w="0" w:type="dxa"/>
            <w:right w:w="108" w:type="dxa"/>
          </w:tblCellMar>
        </w:tblPrEx>
        <w:trPr>
          <w:trHeight w:val="565" w:hRule="exact"/>
          <w:jc w:val="center"/>
        </w:trPr>
        <w:tc>
          <w:tcPr>
            <w:tcW w:w="588" w:type="dxa"/>
            <w:vMerge w:val="continue"/>
            <w:tcBorders>
              <w:left w:val="single" w:color="auto" w:sz="4" w:space="0"/>
              <w:right w:val="single" w:color="auto" w:sz="4" w:space="0"/>
            </w:tcBorders>
            <w:noWrap w:val="0"/>
            <w:vAlign w:val="center"/>
          </w:tcPr>
          <w:p w14:paraId="1500CA3F">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2803157">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72D876FA">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14:paraId="31A27342">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701D3553">
            <w:pPr>
              <w:widowControl/>
              <w:spacing w:line="24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提高工作效率、节约（减少）人力资源成本</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5C0F8F02">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明显提升</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05480182">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明显提升</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1E09ACF7">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0CEC83E5">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4A748398">
            <w:pPr>
              <w:widowControl/>
              <w:spacing w:line="240" w:lineRule="exact"/>
              <w:jc w:val="center"/>
              <w:rPr>
                <w:rFonts w:ascii="Times New Roman" w:hAnsi="Times New Roman"/>
                <w:kern w:val="0"/>
                <w:sz w:val="18"/>
                <w:szCs w:val="18"/>
              </w:rPr>
            </w:pPr>
          </w:p>
        </w:tc>
      </w:tr>
      <w:tr w14:paraId="2BBA8A54">
        <w:tblPrEx>
          <w:tblCellMar>
            <w:top w:w="0" w:type="dxa"/>
            <w:left w:w="108" w:type="dxa"/>
            <w:bottom w:w="0" w:type="dxa"/>
            <w:right w:w="108" w:type="dxa"/>
          </w:tblCellMar>
        </w:tblPrEx>
        <w:trPr>
          <w:trHeight w:val="536" w:hRule="exact"/>
          <w:jc w:val="center"/>
        </w:trPr>
        <w:tc>
          <w:tcPr>
            <w:tcW w:w="588" w:type="dxa"/>
            <w:vMerge w:val="continue"/>
            <w:tcBorders>
              <w:left w:val="single" w:color="auto" w:sz="4" w:space="0"/>
              <w:right w:val="single" w:color="auto" w:sz="4" w:space="0"/>
            </w:tcBorders>
            <w:noWrap w:val="0"/>
            <w:vAlign w:val="center"/>
          </w:tcPr>
          <w:p w14:paraId="61DCD12D">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CB62BB3">
            <w:pPr>
              <w:widowControl/>
              <w:spacing w:line="240" w:lineRule="exact"/>
              <w:jc w:val="center"/>
              <w:rPr>
                <w:rFonts w:ascii="Times New Roman" w:hAnsi="Times New Roman"/>
                <w:kern w:val="0"/>
                <w:sz w:val="18"/>
                <w:szCs w:val="18"/>
              </w:rPr>
            </w:pPr>
          </w:p>
        </w:tc>
        <w:tc>
          <w:tcPr>
            <w:tcW w:w="1112" w:type="dxa"/>
            <w:tcBorders>
              <w:top w:val="nil"/>
              <w:left w:val="single" w:color="auto" w:sz="4" w:space="0"/>
              <w:bottom w:val="single" w:color="auto" w:sz="4" w:space="0"/>
              <w:right w:val="single" w:color="auto" w:sz="4" w:space="0"/>
            </w:tcBorders>
            <w:noWrap w:val="0"/>
            <w:vAlign w:val="center"/>
          </w:tcPr>
          <w:p w14:paraId="4AA2F90B">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7B0B0E5D">
            <w:pPr>
              <w:widowControl/>
              <w:spacing w:line="24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提升城市精细化管理水平</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7E36318F">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6B5C19A1">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效果明显</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2D675EC1">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298813FF">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6800059F">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经费不足</w:t>
            </w:r>
          </w:p>
        </w:tc>
      </w:tr>
      <w:tr w14:paraId="59F2C5E0">
        <w:tblPrEx>
          <w:tblCellMar>
            <w:top w:w="0" w:type="dxa"/>
            <w:left w:w="108" w:type="dxa"/>
            <w:bottom w:w="0" w:type="dxa"/>
            <w:right w:w="108" w:type="dxa"/>
          </w:tblCellMar>
        </w:tblPrEx>
        <w:trPr>
          <w:trHeight w:val="706" w:hRule="exact"/>
          <w:jc w:val="center"/>
        </w:trPr>
        <w:tc>
          <w:tcPr>
            <w:tcW w:w="588" w:type="dxa"/>
            <w:vMerge w:val="continue"/>
            <w:tcBorders>
              <w:left w:val="single" w:color="auto" w:sz="4" w:space="0"/>
              <w:right w:val="single" w:color="auto" w:sz="4" w:space="0"/>
            </w:tcBorders>
            <w:noWrap w:val="0"/>
            <w:vAlign w:val="center"/>
          </w:tcPr>
          <w:p w14:paraId="79D3B77F">
            <w:pPr>
              <w:widowControl/>
              <w:spacing w:line="240" w:lineRule="exact"/>
              <w:jc w:val="center"/>
              <w:rPr>
                <w:rFonts w:ascii="Times New Roman" w:hAnsi="Times New Roman"/>
                <w:kern w:val="0"/>
                <w:sz w:val="18"/>
                <w:szCs w:val="18"/>
              </w:rPr>
            </w:pPr>
          </w:p>
        </w:tc>
        <w:tc>
          <w:tcPr>
            <w:tcW w:w="980" w:type="dxa"/>
            <w:tcBorders>
              <w:top w:val="single" w:color="auto" w:sz="4" w:space="0"/>
              <w:left w:val="single" w:color="auto" w:sz="4" w:space="0"/>
              <w:right w:val="single" w:color="auto" w:sz="4" w:space="0"/>
            </w:tcBorders>
            <w:noWrap w:val="0"/>
            <w:vAlign w:val="center"/>
          </w:tcPr>
          <w:p w14:paraId="5964A005">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14:paraId="46CCCDE4">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112" w:type="dxa"/>
            <w:tcBorders>
              <w:top w:val="single" w:color="auto" w:sz="4" w:space="0"/>
              <w:left w:val="single" w:color="auto" w:sz="4" w:space="0"/>
              <w:bottom w:val="single" w:color="auto" w:sz="4" w:space="0"/>
              <w:right w:val="single" w:color="auto" w:sz="4" w:space="0"/>
            </w:tcBorders>
            <w:noWrap w:val="0"/>
            <w:vAlign w:val="center"/>
          </w:tcPr>
          <w:p w14:paraId="38777F80">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018" w:type="dxa"/>
            <w:gridSpan w:val="3"/>
            <w:tcBorders>
              <w:top w:val="single" w:color="auto" w:sz="4" w:space="0"/>
              <w:left w:val="single" w:color="auto" w:sz="4" w:space="0"/>
              <w:bottom w:val="single" w:color="auto" w:sz="4" w:space="0"/>
              <w:right w:val="single" w:color="auto" w:sz="4" w:space="0"/>
            </w:tcBorders>
            <w:noWrap w:val="0"/>
            <w:vAlign w:val="center"/>
          </w:tcPr>
          <w:p w14:paraId="302B4FA1">
            <w:pPr>
              <w:widowControl/>
              <w:spacing w:line="24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公众满意度</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1750A699">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≧9</w:t>
            </w:r>
            <w:r>
              <w:rPr>
                <w:rFonts w:hint="eastAsia" w:ascii="Times New Roman" w:hAnsi="Times New Roman"/>
                <w:kern w:val="0"/>
                <w:sz w:val="18"/>
                <w:szCs w:val="18"/>
                <w:lang w:val="en-US" w:eastAsia="zh-CN"/>
              </w:rPr>
              <w:t>5</w:t>
            </w:r>
            <w:r>
              <w:rPr>
                <w:rFonts w:hint="eastAsia" w:ascii="Times New Roman" w:hAnsi="Times New Roman"/>
                <w:kern w:val="0"/>
                <w:sz w:val="18"/>
                <w:szCs w:val="18"/>
              </w:rPr>
              <w:t>％</w:t>
            </w:r>
          </w:p>
        </w:tc>
        <w:tc>
          <w:tcPr>
            <w:tcW w:w="1030" w:type="dxa"/>
            <w:tcBorders>
              <w:top w:val="single" w:color="auto" w:sz="4" w:space="0"/>
              <w:left w:val="single" w:color="auto" w:sz="4" w:space="0"/>
              <w:bottom w:val="single" w:color="auto" w:sz="4" w:space="0"/>
              <w:right w:val="single" w:color="auto" w:sz="4" w:space="0"/>
            </w:tcBorders>
            <w:noWrap w:val="0"/>
            <w:vAlign w:val="center"/>
          </w:tcPr>
          <w:p w14:paraId="4E7B5112">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9</w:t>
            </w:r>
            <w:r>
              <w:rPr>
                <w:rFonts w:hint="eastAsia" w:ascii="Times New Roman" w:hAnsi="Times New Roman"/>
                <w:kern w:val="0"/>
                <w:sz w:val="18"/>
                <w:szCs w:val="18"/>
                <w:lang w:val="en-US" w:eastAsia="zh-CN"/>
              </w:rPr>
              <w:t>4</w:t>
            </w:r>
            <w:r>
              <w:rPr>
                <w:rFonts w:hint="eastAsia" w:ascii="Times New Roman" w:hAnsi="Times New Roman"/>
                <w:kern w:val="0"/>
                <w:sz w:val="18"/>
                <w:szCs w:val="18"/>
              </w:rPr>
              <w:t>％</w:t>
            </w:r>
          </w:p>
        </w:tc>
        <w:tc>
          <w:tcPr>
            <w:tcW w:w="510" w:type="dxa"/>
            <w:gridSpan w:val="2"/>
            <w:tcBorders>
              <w:top w:val="single" w:color="auto" w:sz="4" w:space="0"/>
              <w:left w:val="single" w:color="auto" w:sz="4" w:space="0"/>
              <w:bottom w:val="single" w:color="auto" w:sz="4" w:space="0"/>
              <w:right w:val="single" w:color="auto" w:sz="4" w:space="0"/>
            </w:tcBorders>
            <w:noWrap w:val="0"/>
            <w:vAlign w:val="center"/>
          </w:tcPr>
          <w:p w14:paraId="40959A4D">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445" w:type="dxa"/>
            <w:gridSpan w:val="2"/>
            <w:tcBorders>
              <w:top w:val="single" w:color="auto" w:sz="4" w:space="0"/>
              <w:left w:val="single" w:color="auto" w:sz="4" w:space="0"/>
              <w:bottom w:val="single" w:color="auto" w:sz="4" w:space="0"/>
              <w:right w:val="single" w:color="auto" w:sz="4" w:space="0"/>
            </w:tcBorders>
            <w:noWrap w:val="0"/>
            <w:vAlign w:val="center"/>
          </w:tcPr>
          <w:p w14:paraId="730417CB">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noWrap w:val="0"/>
            <w:vAlign w:val="center"/>
          </w:tcPr>
          <w:p w14:paraId="4268A70E">
            <w:pPr>
              <w:widowControl/>
              <w:spacing w:line="240" w:lineRule="exact"/>
              <w:jc w:val="center"/>
              <w:rPr>
                <w:rFonts w:hint="eastAsia" w:ascii="Times New Roman" w:hAnsi="Times New Roman" w:eastAsia="宋体"/>
                <w:kern w:val="0"/>
                <w:sz w:val="18"/>
                <w:szCs w:val="18"/>
                <w:lang w:eastAsia="zh-CN"/>
              </w:rPr>
            </w:pPr>
          </w:p>
        </w:tc>
      </w:tr>
      <w:tr w14:paraId="55690116">
        <w:tblPrEx>
          <w:tblCellMar>
            <w:top w:w="0" w:type="dxa"/>
            <w:left w:w="108" w:type="dxa"/>
            <w:bottom w:w="0" w:type="dxa"/>
            <w:right w:w="108" w:type="dxa"/>
          </w:tblCellMar>
        </w:tblPrEx>
        <w:trPr>
          <w:trHeight w:val="300" w:hRule="exact"/>
          <w:jc w:val="center"/>
        </w:trPr>
        <w:tc>
          <w:tcPr>
            <w:tcW w:w="6708" w:type="dxa"/>
            <w:gridSpan w:val="8"/>
            <w:tcBorders>
              <w:top w:val="single" w:color="auto" w:sz="4" w:space="0"/>
              <w:left w:val="single" w:color="auto" w:sz="4" w:space="0"/>
              <w:bottom w:val="single" w:color="auto" w:sz="4" w:space="0"/>
              <w:right w:val="single" w:color="auto" w:sz="4" w:space="0"/>
            </w:tcBorders>
            <w:noWrap w:val="0"/>
            <w:vAlign w:val="center"/>
          </w:tcPr>
          <w:p w14:paraId="1A75CB42">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10" w:type="dxa"/>
            <w:gridSpan w:val="2"/>
            <w:tcBorders>
              <w:top w:val="nil"/>
              <w:left w:val="nil"/>
              <w:bottom w:val="single" w:color="auto" w:sz="4" w:space="0"/>
              <w:right w:val="single" w:color="auto" w:sz="4" w:space="0"/>
            </w:tcBorders>
            <w:noWrap w:val="0"/>
            <w:vAlign w:val="center"/>
          </w:tcPr>
          <w:p w14:paraId="4EE79AF5">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445" w:type="dxa"/>
            <w:gridSpan w:val="2"/>
            <w:tcBorders>
              <w:top w:val="nil"/>
              <w:left w:val="nil"/>
              <w:bottom w:val="single" w:color="auto" w:sz="4" w:space="0"/>
              <w:right w:val="single" w:color="auto" w:sz="4" w:space="0"/>
            </w:tcBorders>
            <w:noWrap w:val="0"/>
            <w:vAlign w:val="center"/>
          </w:tcPr>
          <w:p w14:paraId="1A43AC83">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96</w:t>
            </w:r>
          </w:p>
        </w:tc>
        <w:tc>
          <w:tcPr>
            <w:tcW w:w="1417" w:type="dxa"/>
            <w:gridSpan w:val="2"/>
            <w:tcBorders>
              <w:top w:val="single" w:color="auto" w:sz="4" w:space="0"/>
              <w:left w:val="nil"/>
              <w:bottom w:val="single" w:color="auto" w:sz="4" w:space="0"/>
              <w:right w:val="single" w:color="auto" w:sz="4" w:space="0"/>
            </w:tcBorders>
            <w:noWrap w:val="0"/>
            <w:vAlign w:val="center"/>
          </w:tcPr>
          <w:p w14:paraId="391A90AE">
            <w:pPr>
              <w:widowControl/>
              <w:spacing w:line="240" w:lineRule="exact"/>
              <w:jc w:val="center"/>
              <w:rPr>
                <w:rFonts w:ascii="Times New Roman" w:hAnsi="Times New Roman"/>
                <w:kern w:val="0"/>
                <w:sz w:val="18"/>
                <w:szCs w:val="18"/>
              </w:rPr>
            </w:pPr>
          </w:p>
        </w:tc>
      </w:tr>
    </w:tbl>
    <w:p w14:paraId="09CF8CA2">
      <w:pPr>
        <w:rPr>
          <w:rFonts w:hint="eastAsia" w:ascii="仿宋" w:hAnsi="仿宋" w:eastAsia="仿宋"/>
          <w:b/>
          <w:sz w:val="32"/>
          <w:szCs w:val="32"/>
        </w:rPr>
      </w:pPr>
    </w:p>
    <w:tbl>
      <w:tblPr>
        <w:tblStyle w:val="7"/>
        <w:tblW w:w="9540" w:type="dxa"/>
        <w:tblInd w:w="97" w:type="dxa"/>
        <w:tblLayout w:type="fixed"/>
        <w:tblCellMar>
          <w:top w:w="0" w:type="dxa"/>
          <w:left w:w="108" w:type="dxa"/>
          <w:bottom w:w="0" w:type="dxa"/>
          <w:right w:w="108" w:type="dxa"/>
        </w:tblCellMar>
      </w:tblPr>
      <w:tblGrid>
        <w:gridCol w:w="9540"/>
      </w:tblGrid>
      <w:tr w14:paraId="6B6322DE">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14:paraId="02C38E58">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60CF586B">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07D1F8CC">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32B4A31A">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2BBD1D02">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3157A8BD">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14:paraId="53893616">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069E5900">
      <w:pPr>
        <w:rPr>
          <w:rFonts w:ascii="Times New Roman" w:hAnsi="Times New Roman" w:eastAsia="黑体"/>
        </w:rPr>
        <w:sectPr>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14:paraId="0C1F4E56">
      <w:pPr>
        <w:pStyle w:val="9"/>
        <w:adjustRightInd/>
        <w:snapToGrid/>
        <w:spacing w:after="0" w:line="510" w:lineRule="exact"/>
        <w:jc w:val="left"/>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2</w:t>
      </w:r>
    </w:p>
    <w:p w14:paraId="764166E9">
      <w:pPr>
        <w:pStyle w:val="3"/>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项目支出绩效评价共性指标表</w:t>
      </w:r>
    </w:p>
    <w:tbl>
      <w:tblPr>
        <w:tblStyle w:val="7"/>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5300F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14:paraId="4E28A728">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14:paraId="3B22415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14:paraId="7CF1942F">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14:paraId="641591AA">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10B52EF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14:paraId="53290E47">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14:paraId="4FE33E31">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14:paraId="66873007">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49C295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14:paraId="047E8AC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5CCC16D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65C5B3B1">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14:paraId="1A6F645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14:paraId="4795678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1DE0E42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14:paraId="01014CB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699A63F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14:paraId="10E9A1FE">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27097EFC">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①项目立项是否符合国家法律法规、国民经济发展规划和相关政策；</w:t>
            </w:r>
          </w:p>
          <w:p w14:paraId="13548B3C">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②项目立项是否符合行业发展规划和政策要求；</w:t>
            </w:r>
          </w:p>
          <w:p w14:paraId="0A8E343D">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③项目立项是否与部门职责范围相符，属于部门履职所需；</w:t>
            </w:r>
          </w:p>
          <w:p w14:paraId="075696CA">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④项目是否属于公共财政支持范围，是否符合中央、地方事权支出责任划分原则；</w:t>
            </w:r>
          </w:p>
          <w:p w14:paraId="12B01233">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566" w:type="dxa"/>
            <w:shd w:val="clear" w:color="auto" w:fill="FFFFFF"/>
            <w:noWrap w:val="0"/>
            <w:vAlign w:val="center"/>
          </w:tcPr>
          <w:p w14:paraId="0B33AC1D">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55E3A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14:paraId="11AB8E92">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1BA21615">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537E80B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7906384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14:paraId="1AB8EBD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370D180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14:paraId="585398D4">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01CC72ED">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①项目是否按照规定的程序申请设立；</w:t>
            </w:r>
          </w:p>
          <w:p w14:paraId="484B53D9">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②审批文件、材料是否符合相关要求；</w:t>
            </w:r>
          </w:p>
          <w:p w14:paraId="226FC040">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566" w:type="dxa"/>
            <w:shd w:val="clear" w:color="auto" w:fill="FFFFFF"/>
            <w:noWrap w:val="0"/>
            <w:vAlign w:val="center"/>
          </w:tcPr>
          <w:p w14:paraId="3538099C">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613263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14:paraId="55177435">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5695339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14:paraId="7E04096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5A8942A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14:paraId="4EC31AA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24492D0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14:paraId="7BE7A189">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436A0856">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（如未设定预算绩效目标，也可考核其他工作任务目标）</w:t>
            </w:r>
          </w:p>
          <w:p w14:paraId="3D3B365E">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①项目是否有绩效目标；</w:t>
            </w:r>
          </w:p>
          <w:p w14:paraId="0CDE2ED0">
            <w:pPr>
              <w:widowControl/>
              <w:spacing w:line="0" w:lineRule="atLeast"/>
              <w:jc w:val="lef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②项目绩效目标与实际工作内容是否具有相关性；</w:t>
            </w:r>
          </w:p>
          <w:p w14:paraId="61105C7E">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0018822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566" w:type="dxa"/>
            <w:shd w:val="clear" w:color="auto" w:fill="FFFFFF"/>
            <w:noWrap w:val="0"/>
            <w:vAlign w:val="center"/>
          </w:tcPr>
          <w:p w14:paraId="011E4A15">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410027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14:paraId="7C6119B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14:paraId="20DF635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14:paraId="31FA467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26A5AEA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14:paraId="4E24F2C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4C2ED4B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14:paraId="082A3451">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061B2B7C">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①是否将项目绩效目标细化分解为具体的绩效指标；</w:t>
            </w:r>
          </w:p>
          <w:p w14:paraId="5DDA2700">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②是否通过清晰、可衡量的指标值予以体现；</w:t>
            </w:r>
          </w:p>
          <w:p w14:paraId="6FF3A361">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③是否与项目目标任务数或计划数相对应。</w:t>
            </w:r>
          </w:p>
          <w:p w14:paraId="5DEC1384">
            <w:pPr>
              <w:pStyle w:val="2"/>
              <w:rPr>
                <w:rFonts w:hint="eastAsia"/>
                <w:lang w:eastAsia="zh-CN"/>
              </w:rPr>
            </w:pPr>
          </w:p>
        </w:tc>
        <w:tc>
          <w:tcPr>
            <w:tcW w:w="566" w:type="dxa"/>
            <w:shd w:val="clear" w:color="auto" w:fill="FFFFFF"/>
            <w:noWrap w:val="0"/>
            <w:vAlign w:val="center"/>
          </w:tcPr>
          <w:p w14:paraId="26061B7D">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3214DB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14:paraId="0F645902">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14:paraId="4E7D9FA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6BDB2682">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14:paraId="0516319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77EE6E6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14:paraId="5C9B69F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6001E34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14:paraId="54A32E06">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2F95FB1B">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①预算编制是否经过科学论证；</w:t>
            </w:r>
          </w:p>
          <w:p w14:paraId="710CBAA1">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②预算内容与项目内容是否匹配；</w:t>
            </w:r>
          </w:p>
          <w:p w14:paraId="3165C713">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③预算额度测算依据是否充分，是否按照标准编制；</w:t>
            </w:r>
          </w:p>
          <w:p w14:paraId="40EB233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566" w:type="dxa"/>
            <w:shd w:val="clear" w:color="auto" w:fill="FFFFFF"/>
            <w:noWrap w:val="0"/>
            <w:vAlign w:val="center"/>
          </w:tcPr>
          <w:p w14:paraId="637DD9EE">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2</w:t>
            </w:r>
          </w:p>
        </w:tc>
      </w:tr>
      <w:tr w14:paraId="2A24F2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14:paraId="39C768DA">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77610E8D">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4CFF245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57086B6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14:paraId="14206D4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2B92433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14:paraId="0BD36759">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5F9BB1ED">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①预算资金分配依据是否充分；</w:t>
            </w:r>
          </w:p>
          <w:p w14:paraId="61D4AAC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566" w:type="dxa"/>
            <w:shd w:val="clear" w:color="auto" w:fill="FFFFFF"/>
            <w:noWrap w:val="0"/>
            <w:vAlign w:val="center"/>
          </w:tcPr>
          <w:p w14:paraId="4D0BF3DF">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6D361A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14:paraId="60FB2F22">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14:paraId="77C8A6E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14:paraId="7ECB613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14:paraId="197F076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27DC6E8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14:paraId="2FA5011E">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1F5324F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2127183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14:paraId="47A45C28">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75F53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14:paraId="74B7A4F7">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11D60CE0">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20437AF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14:paraId="1AE5B74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496E024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14:paraId="5D48F537">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预算执行率=（实际支出资金/实际到位资金）×100%。</w:t>
            </w:r>
          </w:p>
          <w:p w14:paraId="31A7162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14:paraId="6FB10A66">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5C841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14:paraId="0E1DD40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2A68AB93">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14:paraId="5B79AE5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14:paraId="4F572E9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2F217AB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14:paraId="36C98F9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711482D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14:paraId="6190A5AE">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0A8AFACE">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①是否符合国家财经法规和财务管理制度以及有关专项资金管理办法的规定；</w:t>
            </w:r>
          </w:p>
          <w:p w14:paraId="6D814EFD">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②资金的拨付是否有完整的审批程序和手续；</w:t>
            </w:r>
          </w:p>
          <w:p w14:paraId="31593B5F">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③是否符合项目预算批复或合同规定的用途；</w:t>
            </w:r>
          </w:p>
          <w:p w14:paraId="0D43F81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566" w:type="dxa"/>
            <w:shd w:val="clear" w:color="auto" w:fill="FFFFFF"/>
            <w:noWrap w:val="0"/>
            <w:vAlign w:val="center"/>
          </w:tcPr>
          <w:p w14:paraId="379D0CD3">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02C2F9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14:paraId="73E03E3C">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14:paraId="266F88C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007B4438">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14:paraId="2AE7ED8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468A0C0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14:paraId="072E343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45B465A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14:paraId="30B01CEB">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66E2FAA2">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①是否已制定或具有相应的财务和业务管理制度；</w:t>
            </w:r>
          </w:p>
          <w:p w14:paraId="21A60A5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566" w:type="dxa"/>
            <w:shd w:val="clear" w:color="auto" w:fill="FFFFFF"/>
            <w:noWrap w:val="0"/>
            <w:vAlign w:val="center"/>
          </w:tcPr>
          <w:p w14:paraId="1F265259">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6BD835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14:paraId="13F7E3D2">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79590500">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45BAE6D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41C678E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14:paraId="28F3F2F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1C655BB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14:paraId="4AF058A7">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评价要点：</w:t>
            </w:r>
          </w:p>
          <w:p w14:paraId="4BBD7F2B">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①是否遵守相关法律法规和相关管理规定；</w:t>
            </w:r>
          </w:p>
          <w:p w14:paraId="2EA7296A">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②项目调整及支出调整手续是否完备；</w:t>
            </w:r>
          </w:p>
          <w:p w14:paraId="4A569B63">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③项目合同书、验收报告、技术鉴定等资料是否齐全并及时归档；</w:t>
            </w:r>
          </w:p>
          <w:p w14:paraId="21334E4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566" w:type="dxa"/>
            <w:shd w:val="clear" w:color="auto" w:fill="FFFFFF"/>
            <w:noWrap w:val="0"/>
            <w:vAlign w:val="center"/>
          </w:tcPr>
          <w:p w14:paraId="5FBE3776">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1A0E7C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14:paraId="06095EE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14:paraId="4BC4427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14:paraId="040290D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14:paraId="0B4B122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42B0347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14:paraId="4B1B7E6A">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实际完成率=（实际产出数/计划产出数）×100%。</w:t>
            </w:r>
          </w:p>
          <w:p w14:paraId="6849D312">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实际产出数：一定时期（本年度或项目期）内项目实际产出的产品或提供的服务数量。</w:t>
            </w:r>
          </w:p>
          <w:p w14:paraId="122C7E4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14:paraId="4FE32794">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6803FC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14:paraId="6E947AD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14:paraId="3040D18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14:paraId="53DC1E3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14:paraId="4664882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55D8C36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14:paraId="101EEBA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2FB07727">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14:paraId="1639C900">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34E3E7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14:paraId="69BB9506">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7BCCBB27">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14:paraId="05E92B3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14:paraId="6C26E10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049ACDA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14:paraId="594F8D05">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实际完成时间：项目实施单位完成该项目实际所耗用的时间。</w:t>
            </w:r>
          </w:p>
          <w:p w14:paraId="4D938BD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14:paraId="3579C7EB">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5B5168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14:paraId="5D8112A8">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2F56715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14:paraId="6BD2188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14:paraId="4E2D9F5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0071678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14:paraId="33EFEE28">
            <w:pPr>
              <w:widowControl/>
              <w:spacing w:line="0" w:lineRule="atLeast"/>
              <w:rPr>
                <w:rFonts w:hint="eastAsia" w:ascii="Times New Roman" w:hAnsi="Times New Roman" w:eastAsiaTheme="minorEastAsia"/>
                <w:color w:val="000000"/>
                <w:kern w:val="0"/>
                <w:sz w:val="22"/>
                <w:szCs w:val="22"/>
                <w:lang w:eastAsia="zh-CN"/>
              </w:rPr>
            </w:pPr>
          </w:p>
          <w:p w14:paraId="75427FD2">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成本节约率=[（计划成本-实际成本）/计划成本]×100%。</w:t>
            </w:r>
          </w:p>
          <w:p w14:paraId="43EF6322">
            <w:pPr>
              <w:widowControl/>
              <w:spacing w:line="0" w:lineRule="atLeast"/>
              <w:rPr>
                <w:rFonts w:hint="eastAsia" w:ascii="Times New Roman" w:hAnsi="Times New Roman" w:eastAsiaTheme="minorEastAsia"/>
                <w:color w:val="000000"/>
                <w:kern w:val="0"/>
                <w:sz w:val="22"/>
                <w:szCs w:val="22"/>
                <w:lang w:eastAsia="zh-CN"/>
              </w:rPr>
            </w:pPr>
            <w:r>
              <w:rPr>
                <w:rFonts w:ascii="Times New Roman" w:hAnsi="Times New Roman"/>
                <w:color w:val="000000"/>
                <w:kern w:val="0"/>
                <w:sz w:val="22"/>
                <w:szCs w:val="22"/>
              </w:rPr>
              <w:t>实际成本：项目实施单位如期、保质、保量完成既定工作目标实际所耗费的支出。</w:t>
            </w:r>
          </w:p>
          <w:p w14:paraId="639E5E3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14:paraId="0C8EBF96">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7</w:t>
            </w:r>
          </w:p>
        </w:tc>
      </w:tr>
      <w:tr w14:paraId="0731B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14:paraId="5FA703B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14:paraId="4F368E1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14:paraId="69F78A8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14:paraId="51C053D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2835" w:type="dxa"/>
            <w:shd w:val="clear" w:color="auto" w:fill="FFFFFF"/>
            <w:noWrap w:val="0"/>
            <w:vAlign w:val="center"/>
          </w:tcPr>
          <w:p w14:paraId="72646005">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14:paraId="1AC7364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14:paraId="187B6F89">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18</w:t>
            </w:r>
          </w:p>
        </w:tc>
      </w:tr>
      <w:tr w14:paraId="1A3F09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14:paraId="4D77C7A1">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323532E2">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18232A7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14:paraId="49EF339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74FAD54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14:paraId="19DB962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14:paraId="356C1660">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7</w:t>
            </w:r>
          </w:p>
        </w:tc>
      </w:tr>
      <w:tr w14:paraId="572FC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14:paraId="558F30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14:paraId="4B12626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14:paraId="44ED44B7">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14:paraId="05A74A41">
            <w:pPr>
              <w:widowControl/>
              <w:spacing w:line="0" w:lineRule="atLeast"/>
              <w:rPr>
                <w:rFonts w:ascii="Times New Roman" w:hAnsi="Times New Roman"/>
                <w:color w:val="000000"/>
                <w:kern w:val="0"/>
                <w:sz w:val="22"/>
                <w:szCs w:val="22"/>
              </w:rPr>
            </w:pPr>
          </w:p>
        </w:tc>
        <w:tc>
          <w:tcPr>
            <w:tcW w:w="566" w:type="dxa"/>
            <w:shd w:val="clear" w:color="auto" w:fill="FFFFFF"/>
            <w:noWrap w:val="0"/>
            <w:vAlign w:val="center"/>
          </w:tcPr>
          <w:p w14:paraId="79350A54">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95</w:t>
            </w:r>
          </w:p>
        </w:tc>
      </w:tr>
    </w:tbl>
    <w:p w14:paraId="5AEC454C"/>
    <w:sectPr>
      <w:footerReference r:id="rId4" w:type="default"/>
      <w:pgSz w:w="16838" w:h="11906" w:orient="landscape"/>
      <w:pgMar w:top="1474" w:right="1474" w:bottom="1474" w:left="1474" w:header="851" w:footer="1361" w:gutter="0"/>
      <w:pgBorders>
        <w:top w:val="none" w:sz="0" w:space="0"/>
        <w:left w:val="none" w:sz="0" w:space="0"/>
        <w:bottom w:val="none" w:sz="0" w:space="0"/>
        <w:right w:val="none" w:sz="0" w:space="0"/>
      </w:pgBorders>
      <w:pgNumType w:fmt="decimal"/>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C8968">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66DFD8">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DDc8oBAACcAwAADgAAAGRycy9lMm9Eb2MueG1srVPNjtMwEL4j8Q6W&#10;79RpE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QDDc8oBAACcAwAADgAAAAAAAAABACAAAAAeAQAAZHJzL2Uyb0Rv&#10;Yy54bWxQSwUGAAAAAAYABgBZAQAAWgUAAAAA&#10;">
              <v:fill on="f" focussize="0,0"/>
              <v:stroke on="f"/>
              <v:imagedata o:title=""/>
              <o:lock v:ext="edit" aspectratio="f"/>
              <v:textbox inset="0mm,0mm,0mm,0mm" style="mso-fit-shape-to-text:t;">
                <w:txbxContent>
                  <w:p w14:paraId="5A66DFD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340E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C1C0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0CC1C0A">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0BE76D"/>
    <w:multiLevelType w:val="singleLevel"/>
    <w:tmpl w:val="670BE7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 w:name="KSO_WPS_MARK_KEY" w:val="f329f6c5-4549-4f4f-8e21-42833c441c8c"/>
  </w:docVars>
  <w:rsids>
    <w:rsidRoot w:val="517A605D"/>
    <w:rsid w:val="00930D46"/>
    <w:rsid w:val="00F534D5"/>
    <w:rsid w:val="01F01D2D"/>
    <w:rsid w:val="02E900CD"/>
    <w:rsid w:val="02F07D6E"/>
    <w:rsid w:val="02F538B4"/>
    <w:rsid w:val="02F7119E"/>
    <w:rsid w:val="05F06560"/>
    <w:rsid w:val="05FA6744"/>
    <w:rsid w:val="076B2C00"/>
    <w:rsid w:val="07AE011A"/>
    <w:rsid w:val="09440B57"/>
    <w:rsid w:val="0A0B0E13"/>
    <w:rsid w:val="0B3B3B71"/>
    <w:rsid w:val="0B515B64"/>
    <w:rsid w:val="0C293695"/>
    <w:rsid w:val="0CC935EB"/>
    <w:rsid w:val="0D2A4B54"/>
    <w:rsid w:val="0DF71EED"/>
    <w:rsid w:val="112118DC"/>
    <w:rsid w:val="12034B82"/>
    <w:rsid w:val="12D93C15"/>
    <w:rsid w:val="1463038D"/>
    <w:rsid w:val="15A22591"/>
    <w:rsid w:val="15CB0611"/>
    <w:rsid w:val="15D25429"/>
    <w:rsid w:val="1669593A"/>
    <w:rsid w:val="168D214C"/>
    <w:rsid w:val="17DF6E98"/>
    <w:rsid w:val="17E329C9"/>
    <w:rsid w:val="183E11BF"/>
    <w:rsid w:val="19312FE7"/>
    <w:rsid w:val="194B643A"/>
    <w:rsid w:val="19612214"/>
    <w:rsid w:val="1BAB5E54"/>
    <w:rsid w:val="1C132E5F"/>
    <w:rsid w:val="1C850553"/>
    <w:rsid w:val="1DAA2018"/>
    <w:rsid w:val="1DD72416"/>
    <w:rsid w:val="1E0E5161"/>
    <w:rsid w:val="1EE20EDD"/>
    <w:rsid w:val="1F3E2472"/>
    <w:rsid w:val="21B446F2"/>
    <w:rsid w:val="227D2607"/>
    <w:rsid w:val="24845B05"/>
    <w:rsid w:val="255624A3"/>
    <w:rsid w:val="27461872"/>
    <w:rsid w:val="2865143C"/>
    <w:rsid w:val="28D54363"/>
    <w:rsid w:val="28E6590B"/>
    <w:rsid w:val="29CE438D"/>
    <w:rsid w:val="2B8A5867"/>
    <w:rsid w:val="2D741D41"/>
    <w:rsid w:val="2E2C509C"/>
    <w:rsid w:val="2EB51D25"/>
    <w:rsid w:val="2F465CAE"/>
    <w:rsid w:val="301C17BE"/>
    <w:rsid w:val="30F212D1"/>
    <w:rsid w:val="328D78F1"/>
    <w:rsid w:val="32F8113F"/>
    <w:rsid w:val="340F7A9C"/>
    <w:rsid w:val="34631312"/>
    <w:rsid w:val="34D546FF"/>
    <w:rsid w:val="35B30064"/>
    <w:rsid w:val="35FF4488"/>
    <w:rsid w:val="365D42E5"/>
    <w:rsid w:val="366E5874"/>
    <w:rsid w:val="37832D51"/>
    <w:rsid w:val="3839615A"/>
    <w:rsid w:val="38616521"/>
    <w:rsid w:val="3B725BE4"/>
    <w:rsid w:val="3B767CB2"/>
    <w:rsid w:val="3C843FB3"/>
    <w:rsid w:val="3CAD1ADF"/>
    <w:rsid w:val="3D09725E"/>
    <w:rsid w:val="3DB55372"/>
    <w:rsid w:val="3E980FBC"/>
    <w:rsid w:val="3EFD60B8"/>
    <w:rsid w:val="40A075B6"/>
    <w:rsid w:val="40EA5071"/>
    <w:rsid w:val="41926158"/>
    <w:rsid w:val="41943C51"/>
    <w:rsid w:val="41B431A9"/>
    <w:rsid w:val="41D81FB1"/>
    <w:rsid w:val="42BA2756"/>
    <w:rsid w:val="42F469D8"/>
    <w:rsid w:val="4560468F"/>
    <w:rsid w:val="45A83672"/>
    <w:rsid w:val="46D2736D"/>
    <w:rsid w:val="47FD401C"/>
    <w:rsid w:val="494E1F82"/>
    <w:rsid w:val="49B85F67"/>
    <w:rsid w:val="49BC4D94"/>
    <w:rsid w:val="49DB1FBF"/>
    <w:rsid w:val="4BEC0C79"/>
    <w:rsid w:val="4C1F2151"/>
    <w:rsid w:val="4D983A60"/>
    <w:rsid w:val="4E9F638C"/>
    <w:rsid w:val="4F3148CE"/>
    <w:rsid w:val="501D3C1B"/>
    <w:rsid w:val="517A605D"/>
    <w:rsid w:val="525A73AA"/>
    <w:rsid w:val="52DA7BA2"/>
    <w:rsid w:val="53CB437E"/>
    <w:rsid w:val="54875D0A"/>
    <w:rsid w:val="54BE0260"/>
    <w:rsid w:val="54F136FA"/>
    <w:rsid w:val="565B1C36"/>
    <w:rsid w:val="56C65DFF"/>
    <w:rsid w:val="57063C3C"/>
    <w:rsid w:val="58D452B4"/>
    <w:rsid w:val="59040874"/>
    <w:rsid w:val="599B1596"/>
    <w:rsid w:val="5C2829A8"/>
    <w:rsid w:val="5C8E6342"/>
    <w:rsid w:val="5CE04D03"/>
    <w:rsid w:val="61150708"/>
    <w:rsid w:val="62041A0C"/>
    <w:rsid w:val="635E7737"/>
    <w:rsid w:val="636544F3"/>
    <w:rsid w:val="649D4417"/>
    <w:rsid w:val="65C01ADA"/>
    <w:rsid w:val="67B5433B"/>
    <w:rsid w:val="690911F8"/>
    <w:rsid w:val="693E0210"/>
    <w:rsid w:val="69885E5C"/>
    <w:rsid w:val="6AF5472E"/>
    <w:rsid w:val="6B13502A"/>
    <w:rsid w:val="6CF82945"/>
    <w:rsid w:val="6E4F325C"/>
    <w:rsid w:val="6F0933DB"/>
    <w:rsid w:val="6F0C66D5"/>
    <w:rsid w:val="6F4C0A1E"/>
    <w:rsid w:val="6FA66B21"/>
    <w:rsid w:val="70297E25"/>
    <w:rsid w:val="70CA4F93"/>
    <w:rsid w:val="70DE0D89"/>
    <w:rsid w:val="71527C4D"/>
    <w:rsid w:val="72564EA3"/>
    <w:rsid w:val="73CE4DB7"/>
    <w:rsid w:val="748C6C66"/>
    <w:rsid w:val="75527208"/>
    <w:rsid w:val="7599720B"/>
    <w:rsid w:val="75B54501"/>
    <w:rsid w:val="75BA3449"/>
    <w:rsid w:val="75D11BD3"/>
    <w:rsid w:val="75F249F8"/>
    <w:rsid w:val="76514288"/>
    <w:rsid w:val="793220A7"/>
    <w:rsid w:val="7F300F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rFonts w:eastAsia="黑体"/>
      <w:sz w:val="44"/>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widowControl/>
      <w:spacing w:before="100" w:beforeAutospacing="1" w:after="119"/>
      <w:jc w:val="left"/>
    </w:pPr>
    <w:rPr>
      <w:rFonts w:ascii="宋体" w:hAnsi="宋体" w:cs="宋体"/>
      <w:kern w:val="0"/>
      <w:sz w:val="24"/>
    </w:rPr>
  </w:style>
  <w:style w:type="paragraph" w:styleId="9">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
    <w:name w:val="15"/>
    <w:basedOn w:val="8"/>
    <w:autoRedefine/>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7593</Words>
  <Characters>7825</Characters>
  <Lines>0</Lines>
  <Paragraphs>0</Paragraphs>
  <TotalTime>1</TotalTime>
  <ScaleCrop>false</ScaleCrop>
  <LinksUpToDate>false</LinksUpToDate>
  <CharactersWithSpaces>7859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2021-07-12T08:06:00Z</dcterms:created>
  <dc:creator>错错错愛</dc:creator>
  <cp:lastModifiedBy>错错错愛</cp:lastModifiedBy>
  <dcterms:modified xsi:type="dcterms:W3CDTF">2024-08-22T09:16:43Z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D0175C9A4C6245FA81A4471B997BD504</vt:lpwstr>
  </property>
</Properties>
</file>