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rPr>
          <w:rFonts w:hint="eastAsia" w:ascii="方正小标宋_GBK" w:hAnsi="方正小标宋_GBK" w:eastAsia="方正小标宋_GBK" w:cs="方正小标宋_GBK"/>
        </w:rPr>
      </w:pPr>
      <w:r>
        <w:rPr>
          <w:rFonts w:hint="eastAsia" w:ascii="方正小标宋_GBK" w:hAnsi="方正小标宋_GBK" w:eastAsia="方正小标宋_GBK" w:cs="方正小标宋_GBK"/>
        </w:rPr>
        <w:t>中方县</w:t>
      </w:r>
      <w:r>
        <w:rPr>
          <w:rFonts w:hint="eastAsia" w:ascii="方正小标宋_GBK" w:hAnsi="方正小标宋_GBK" w:eastAsia="方正小标宋_GBK" w:cs="方正小标宋_GBK"/>
          <w:lang w:val="en-US" w:eastAsia="zh-CN"/>
        </w:rPr>
        <w:t>发展和改革局</w:t>
      </w:r>
      <w:r>
        <w:rPr>
          <w:rFonts w:hint="eastAsia" w:ascii="方正小标宋_GBK" w:hAnsi="方正小标宋_GBK" w:eastAsia="方正小标宋_GBK" w:cs="方正小标宋_GBK"/>
          <w:lang w:eastAsia="zh-CN"/>
        </w:rPr>
        <w:t>202</w:t>
      </w:r>
      <w:r>
        <w:rPr>
          <w:rFonts w:hint="eastAsia" w:ascii="方正小标宋_GBK" w:hAnsi="方正小标宋_GBK" w:eastAsia="方正小标宋_GBK" w:cs="方正小标宋_GBK"/>
          <w:lang w:val="en-US" w:eastAsia="zh-CN"/>
        </w:rPr>
        <w:t>3</w:t>
      </w:r>
      <w:r>
        <w:rPr>
          <w:rFonts w:hint="eastAsia" w:ascii="方正小标宋_GBK" w:hAnsi="方正小标宋_GBK" w:eastAsia="方正小标宋_GBK" w:cs="方正小标宋_GBK"/>
        </w:rPr>
        <w:t>年度部门整体支出绩效自评报告</w:t>
      </w:r>
    </w:p>
    <w:p>
      <w:pPr>
        <w:spacing w:after="0" w:line="560" w:lineRule="atLeast"/>
        <w:jc w:val="center"/>
        <w:rPr>
          <w:rFonts w:hint="eastAsia" w:ascii="楷体" w:hAnsi="楷体" w:eastAsia="楷体" w:cs="楷体"/>
          <w:bCs/>
          <w:sz w:val="36"/>
          <w:szCs w:val="36"/>
        </w:rPr>
      </w:pPr>
    </w:p>
    <w:p>
      <w:pPr>
        <w:pStyle w:val="3"/>
        <w:bidi w:val="0"/>
      </w:pPr>
      <w:r>
        <w:rPr>
          <w:rFonts w:hint="eastAsia"/>
        </w:rPr>
        <w:t>一、部门基本情况</w:t>
      </w:r>
    </w:p>
    <w:p>
      <w:pPr>
        <w:keepNext w:val="0"/>
        <w:keepLines w:val="0"/>
        <w:widowControl/>
        <w:suppressLineNumbers w:val="0"/>
        <w:jc w:val="left"/>
        <w:rPr>
          <w:rFonts w:hint="eastAsia" w:ascii="仿宋" w:hAnsi="仿宋" w:eastAsia="仿宋" w:cs="仿宋"/>
          <w:sz w:val="32"/>
          <w:szCs w:val="32"/>
        </w:rPr>
      </w:pPr>
      <w:r>
        <w:rPr>
          <w:rFonts w:hint="eastAsia" w:ascii="仿宋" w:hAnsi="仿宋" w:eastAsia="仿宋" w:cs="仿宋"/>
          <w:sz w:val="32"/>
          <w:szCs w:val="32"/>
        </w:rPr>
        <w:t>（一）部门职能与机构设置；</w:t>
      </w:r>
    </w:p>
    <w:p>
      <w:pPr>
        <w:keepNext w:val="0"/>
        <w:keepLines w:val="0"/>
        <w:widowControl/>
        <w:suppressLineNumbers w:val="0"/>
        <w:ind w:firstLine="960" w:firstLineChars="3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部门职能</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320" w:firstLineChars="100"/>
        <w:textAlignment w:val="auto"/>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val="en-US" w:eastAsia="zh-CN"/>
        </w:rPr>
        <w:t>1、拟订并组织实施全县国民经济和社会发展战略、中长期规划和年度计划。</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320" w:firstLineChars="100"/>
        <w:textAlignment w:val="auto"/>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val="en-US" w:eastAsia="zh-CN"/>
        </w:rPr>
        <w:t>2、研究提出加快建设现代化经济体系、推动高质量发展的总体目标、重大任务以及相关政策。</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320" w:firstLineChars="100"/>
        <w:textAlignment w:val="auto"/>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val="en-US" w:eastAsia="zh-CN"/>
        </w:rPr>
        <w:t>3、研究提出全县国民经济和社会发展主要目标，监测预测预警宏观经济和社会发展态势趋势，提出宏观调控政策建议，综合协调宏观经济政策，牵头研究宏观经济应对措施</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320" w:firstLineChars="100"/>
        <w:textAlignment w:val="auto"/>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val="en-US" w:eastAsia="zh-CN"/>
        </w:rPr>
        <w:t>4、研究提出和综合协调全县经济体制改革有关工作，提出相关改革建议。</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320" w:firstLineChars="100"/>
        <w:textAlignment w:val="auto"/>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val="en-US" w:eastAsia="zh-CN"/>
        </w:rPr>
        <w:t>5、研究提出全县利用外资和境外投资的战略、规划、总量平衡和结构优化的政策。</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320" w:firstLineChars="100"/>
        <w:textAlignment w:val="auto"/>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val="en-US" w:eastAsia="zh-CN"/>
        </w:rPr>
        <w:t>6、负责投资综合管理，拟订全县全社会固定资产投资总规模和投资结构的调控目标、政策及措施。</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320" w:firstLineChars="100"/>
        <w:textAlignment w:val="auto"/>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val="en-US" w:eastAsia="zh-CN"/>
        </w:rPr>
        <w:t>7、推进落实区域协调发展战略、新型城镇化战略和重大政策，组织拟订相关区域规划和政策。</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320" w:firstLineChars="100"/>
        <w:textAlignment w:val="auto"/>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val="en-US" w:eastAsia="zh-CN"/>
        </w:rPr>
        <w:t>8、组织拟订综合性产业政策，负责协调第一、二、三产业发展的重大问题并统筹衔接相关发展规划和重大政策。</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320" w:firstLineChars="100"/>
        <w:textAlignment w:val="auto"/>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val="en-US" w:eastAsia="zh-CN"/>
        </w:rPr>
        <w:t>9、推动实施创新驱动发展战略。</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320" w:firstLineChars="100"/>
        <w:textAlignment w:val="auto"/>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val="en-US" w:eastAsia="zh-CN"/>
        </w:rPr>
        <w:t>10、跟踪研判涉及经济安全、生态安全、资源安全、科技安全、社会安全等各类风险隐患，提出相关工作建议。</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320" w:firstLineChars="100"/>
        <w:textAlignment w:val="auto"/>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val="en-US" w:eastAsia="zh-CN"/>
        </w:rPr>
        <w:t>11、负责社会发展与国民经济发展的政策衔接，组织拟订社会发展战略、总体规划。</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320" w:firstLineChars="100"/>
        <w:textAlignment w:val="auto"/>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val="en-US" w:eastAsia="zh-CN"/>
        </w:rPr>
        <w:t>12、推进可持续发展战略，推动生态文明建设和改革，协调生态环境保护与修复、能源资源节约和综合利用等工作。</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320" w:firstLineChars="100"/>
        <w:textAlignment w:val="auto"/>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val="en-US" w:eastAsia="zh-CN"/>
        </w:rPr>
        <w:t>13、拟订全县价格改革方案和年度计划，研究提出价格调控目标和政策建议，组织实施价格总水平调控。</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320" w:firstLineChars="100"/>
        <w:textAlignment w:val="auto"/>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val="en-US" w:eastAsia="zh-CN"/>
        </w:rPr>
        <w:t>14、指导、协调全县工程建设项目招标投标工作，负责权限内工程建设项目招标事项核准和监管。</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320" w:firstLineChars="100"/>
        <w:textAlignment w:val="auto"/>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val="en-US" w:eastAsia="zh-CN"/>
        </w:rPr>
        <w:t>15、会同有关部门拟订推动全县经济建设与国防建设协调发展的战略和规划，协调有关重大问题。</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320" w:firstLineChars="100"/>
        <w:textAlignment w:val="auto"/>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val="en-US" w:eastAsia="zh-CN"/>
        </w:rPr>
        <w:t>16、研究提出全县粮食宏观调控及粮食流通的中长期规划，拟订全县粮食市场体系建设与发展规划，承担全县粮食流通宏观调控的具体工作。</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320" w:firstLineChars="100"/>
        <w:textAlignment w:val="auto"/>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val="en-US" w:eastAsia="zh-CN"/>
        </w:rPr>
        <w:t>17、研究提出全县战略物资储备规划建议。根据全县储备总体发展规划和品种目录，组织实施全县战略物资的收储、轮换和日常管理，落实有关动用计划和指令。</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320" w:firstLineChars="100"/>
        <w:textAlignment w:val="auto"/>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val="en-US" w:eastAsia="zh-CN"/>
        </w:rPr>
        <w:t>18、管理全县粮食、棉花和食糖储备，负责全县储备粮棉行政管理。</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320" w:firstLineChars="100"/>
        <w:textAlignment w:val="auto"/>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val="en-US" w:eastAsia="zh-CN"/>
        </w:rPr>
        <w:t>19、拟订粮食和物资储备仓储管理有关技术标准和规范更并组织实施。</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320" w:firstLineChars="100"/>
        <w:textAlignment w:val="auto"/>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val="en-US" w:eastAsia="zh-CN"/>
        </w:rPr>
        <w:t>20、根据全县储备总体发展规划，统一负责储备基础设施建设和管理。</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320" w:firstLineChars="100"/>
        <w:textAlignment w:val="auto"/>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val="en-US" w:eastAsia="zh-CN"/>
        </w:rPr>
        <w:t>21、负责对管理的政府储备、企业储备以及储备政策落实情况进行监督检查。</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320" w:firstLineChars="100"/>
        <w:textAlignment w:val="auto"/>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val="en-US" w:eastAsia="zh-CN"/>
        </w:rPr>
        <w:t>22、负责粮食流通行业管理，制定行业发展规划、</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320" w:firstLineChars="100"/>
        <w:textAlignment w:val="auto"/>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lang w:val="en-US" w:eastAsia="zh-CN"/>
        </w:rPr>
        <w:t>23、</w:t>
      </w:r>
      <w:r>
        <w:rPr>
          <w:rFonts w:hint="eastAsia" w:ascii="仿宋" w:hAnsi="仿宋" w:eastAsia="仿宋" w:cs="仿宋"/>
          <w:color w:val="000000"/>
          <w:sz w:val="32"/>
          <w:szCs w:val="32"/>
          <w:shd w:val="clear" w:color="auto" w:fill="FFFFFF"/>
        </w:rPr>
        <w:t>完成县委和县政府交办的其他任务。</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320" w:firstLineChars="100"/>
        <w:textAlignment w:val="auto"/>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职能转变。贯彻新发展理念，把主要精力转到管宏观、谋全局、抓大事上来，加强跨部门、跨地区、跨行业、跨领域的重大战略规划、重大改革、重大工程的综合协调，统筹全面创新改革，提高经济发展质量和效益。进一步减少微观管理事务和具体审批事项，最大限度减少政府对市场资源的直接配置，最大限度减少政府对市场活动的直接干预，提高资源配置效率和公平性，激发各类市场主体活力。</w:t>
      </w:r>
    </w:p>
    <w:p>
      <w:pPr>
        <w:spacing w:line="360" w:lineRule="auto"/>
        <w:ind w:firstLine="960" w:firstLineChars="300"/>
        <w:rPr>
          <w:rFonts w:hint="eastAsia" w:ascii="仿宋" w:hAnsi="仿宋" w:eastAsia="仿宋" w:cs="仿宋"/>
          <w:color w:val="auto"/>
          <w:sz w:val="32"/>
          <w:szCs w:val="32"/>
          <w:lang w:eastAsia="zh-CN"/>
        </w:rPr>
      </w:pPr>
      <w:r>
        <w:rPr>
          <w:rFonts w:hint="eastAsia" w:ascii="仿宋" w:hAnsi="仿宋" w:eastAsia="仿宋" w:cs="仿宋"/>
          <w:color w:val="auto"/>
          <w:sz w:val="32"/>
          <w:szCs w:val="32"/>
        </w:rPr>
        <w:t>机构</w:t>
      </w:r>
      <w:r>
        <w:rPr>
          <w:rFonts w:hint="eastAsia" w:ascii="仿宋" w:hAnsi="仿宋" w:eastAsia="仿宋" w:cs="仿宋"/>
          <w:color w:val="auto"/>
          <w:sz w:val="32"/>
          <w:szCs w:val="32"/>
          <w:lang w:eastAsia="zh-CN"/>
        </w:rPr>
        <w:t>设置</w:t>
      </w:r>
      <w:bookmarkStart w:id="0" w:name="ORG_SET"/>
      <w:r>
        <w:rPr>
          <w:rFonts w:hint="eastAsia" w:ascii="仿宋" w:hAnsi="仿宋" w:eastAsia="仿宋" w:cs="仿宋"/>
          <w:color w:val="auto"/>
          <w:sz w:val="32"/>
          <w:szCs w:val="32"/>
          <w:lang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640" w:firstLineChars="200"/>
        <w:textAlignment w:val="auto"/>
        <w:rPr>
          <w:rFonts w:hint="eastAsia" w:ascii="仿宋" w:hAnsi="仿宋" w:eastAsia="仿宋" w:cs="仿宋"/>
          <w:color w:val="000000"/>
          <w:sz w:val="32"/>
          <w:szCs w:val="32"/>
          <w:shd w:val="clear" w:color="auto" w:fill="FFFFFF"/>
          <w:lang w:eastAsia="zh-CN"/>
        </w:rPr>
      </w:pPr>
      <w:r>
        <w:rPr>
          <w:rFonts w:hint="eastAsia" w:ascii="仿宋" w:hAnsi="仿宋" w:eastAsia="仿宋" w:cs="仿宋"/>
          <w:color w:val="000000"/>
          <w:sz w:val="32"/>
          <w:szCs w:val="32"/>
          <w:shd w:val="clear" w:color="auto" w:fill="FFFFFF"/>
        </w:rPr>
        <w:t>中方县发展和改革局为正科级行政单位，局本级下设12个内设机构及</w:t>
      </w:r>
      <w:r>
        <w:rPr>
          <w:rFonts w:hint="eastAsia" w:ascii="仿宋" w:hAnsi="仿宋" w:eastAsia="仿宋" w:cs="仿宋"/>
          <w:color w:val="000000"/>
          <w:sz w:val="32"/>
          <w:szCs w:val="32"/>
          <w:shd w:val="clear" w:color="auto" w:fill="FFFFFF"/>
          <w:lang w:val="en-US" w:eastAsia="zh-CN"/>
        </w:rPr>
        <w:t>8</w:t>
      </w:r>
      <w:r>
        <w:rPr>
          <w:rFonts w:hint="eastAsia" w:ascii="仿宋" w:hAnsi="仿宋" w:eastAsia="仿宋" w:cs="仿宋"/>
          <w:color w:val="000000"/>
          <w:sz w:val="32"/>
          <w:szCs w:val="32"/>
          <w:shd w:val="clear" w:color="auto" w:fill="FFFFFF"/>
        </w:rPr>
        <w:t>个二级非独立核算单位，内设机构分别为：办公室、行政审批服务股、国民经济综合规划和服务业股、法规和综合改革股、固定资产投资股、工业农业和基础设施股、社会发展和财贸外经股、湘西地区开发和能源股、价格管理股、粮食行业发展股、粮食和物资储备股、人事股。二级非独立核算单位分别为：</w:t>
      </w:r>
      <w:bookmarkEnd w:id="0"/>
      <w:r>
        <w:rPr>
          <w:rFonts w:hint="eastAsia" w:ascii="仿宋" w:hAnsi="仿宋" w:eastAsia="仿宋" w:cs="仿宋"/>
          <w:color w:val="000000"/>
          <w:sz w:val="32"/>
          <w:szCs w:val="32"/>
          <w:shd w:val="clear" w:color="auto" w:fill="FFFFFF"/>
        </w:rPr>
        <w:t>中方县招标投标服务中心、中方县装备动员办公室、中方县物资行业服务中心、中方县价格认证中心、中方县价格调节基金征收服务中心、中方县鹤中一体化发展事务中心（正科级</w:t>
      </w:r>
      <w:r>
        <w:rPr>
          <w:rFonts w:hint="eastAsia" w:ascii="仿宋" w:hAnsi="仿宋" w:eastAsia="仿宋" w:cs="仿宋"/>
          <w:color w:val="000000"/>
          <w:sz w:val="32"/>
          <w:szCs w:val="32"/>
          <w:shd w:val="clear" w:color="auto" w:fill="FFFFFF"/>
          <w:lang w:val="en-US" w:eastAsia="zh-CN"/>
        </w:rPr>
        <w:t>,独立核算</w:t>
      </w:r>
      <w:r>
        <w:rPr>
          <w:rFonts w:hint="eastAsia" w:ascii="仿宋" w:hAnsi="仿宋" w:eastAsia="仿宋" w:cs="仿宋"/>
          <w:color w:val="000000"/>
          <w:sz w:val="32"/>
          <w:szCs w:val="32"/>
          <w:shd w:val="clear" w:color="auto" w:fill="FFFFFF"/>
        </w:rPr>
        <w:t>）、中方县人民防空规费征收稽查站、中方县人防通信站</w:t>
      </w:r>
      <w:r>
        <w:rPr>
          <w:rFonts w:hint="eastAsia" w:ascii="仿宋" w:hAnsi="仿宋" w:eastAsia="仿宋" w:cs="仿宋"/>
          <w:color w:val="000000"/>
          <w:sz w:val="32"/>
          <w:szCs w:val="32"/>
          <w:shd w:val="clear" w:color="auto" w:fill="FFFFFF"/>
          <w:lang w:eastAsia="zh-CN"/>
        </w:rPr>
        <w:t>。</w:t>
      </w:r>
    </w:p>
    <w:p>
      <w:pPr>
        <w:numPr>
          <w:ilvl w:val="0"/>
          <w:numId w:val="0"/>
        </w:numPr>
        <w:spacing w:line="360" w:lineRule="auto"/>
        <w:rPr>
          <w:rFonts w:hint="eastAsia" w:ascii="仿宋" w:hAnsi="仿宋" w:eastAsia="仿宋" w:cs="仿宋"/>
          <w:sz w:val="32"/>
          <w:szCs w:val="32"/>
        </w:rPr>
      </w:pPr>
      <w:bookmarkStart w:id="1" w:name="_GoBack"/>
      <w:bookmarkEnd w:id="1"/>
    </w:p>
    <w:p>
      <w:pPr>
        <w:numPr>
          <w:ilvl w:val="0"/>
          <w:numId w:val="1"/>
        </w:num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人员情况；</w:t>
      </w:r>
    </w:p>
    <w:p>
      <w:pPr>
        <w:numPr>
          <w:ilvl w:val="0"/>
          <w:numId w:val="0"/>
        </w:numPr>
        <w:spacing w:line="360" w:lineRule="auto"/>
        <w:ind w:firstLine="640" w:firstLineChars="200"/>
        <w:rPr>
          <w:rFonts w:ascii="仿宋" w:hAnsi="仿宋" w:eastAsia="仿宋" w:cs="仿宋"/>
          <w:sz w:val="32"/>
          <w:szCs w:val="32"/>
        </w:rPr>
      </w:pPr>
      <w:r>
        <w:rPr>
          <w:rFonts w:hint="eastAsia" w:ascii="仿宋" w:hAnsi="仿宋" w:eastAsia="仿宋" w:cs="仿宋"/>
          <w:color w:val="000000"/>
          <w:sz w:val="32"/>
          <w:szCs w:val="32"/>
          <w:shd w:val="clear" w:color="auto" w:fill="FFFFFF"/>
        </w:rPr>
        <w:t>实有</w:t>
      </w:r>
      <w:r>
        <w:rPr>
          <w:rFonts w:hint="eastAsia" w:ascii="仿宋" w:hAnsi="仿宋" w:eastAsia="仿宋" w:cs="仿宋"/>
          <w:color w:val="000000"/>
          <w:sz w:val="32"/>
          <w:szCs w:val="32"/>
          <w:shd w:val="clear" w:color="auto" w:fill="FFFFFF"/>
          <w:lang w:eastAsia="zh-CN"/>
        </w:rPr>
        <w:t>在职</w:t>
      </w:r>
      <w:r>
        <w:rPr>
          <w:rFonts w:hint="eastAsia" w:ascii="仿宋" w:hAnsi="仿宋" w:eastAsia="仿宋" w:cs="仿宋"/>
          <w:color w:val="000000"/>
          <w:sz w:val="32"/>
          <w:szCs w:val="32"/>
          <w:shd w:val="clear" w:color="auto" w:fill="FFFFFF"/>
        </w:rPr>
        <w:t>人数</w:t>
      </w:r>
      <w:r>
        <w:rPr>
          <w:rFonts w:hint="eastAsia" w:ascii="仿宋" w:hAnsi="仿宋" w:eastAsia="仿宋" w:cs="仿宋"/>
          <w:color w:val="000000"/>
          <w:sz w:val="32"/>
          <w:szCs w:val="32"/>
          <w:shd w:val="clear" w:color="auto" w:fill="FFFFFF"/>
          <w:lang w:val="en-US" w:eastAsia="zh-CN"/>
        </w:rPr>
        <w:t>73</w:t>
      </w:r>
      <w:r>
        <w:rPr>
          <w:rFonts w:hint="eastAsia" w:ascii="仿宋" w:hAnsi="仿宋" w:eastAsia="仿宋" w:cs="仿宋"/>
          <w:color w:val="000000"/>
          <w:sz w:val="32"/>
          <w:szCs w:val="32"/>
          <w:shd w:val="clear" w:color="auto" w:fill="FFFFFF"/>
        </w:rPr>
        <w:t>人，退休人员</w:t>
      </w:r>
      <w:r>
        <w:rPr>
          <w:rFonts w:hint="eastAsia" w:ascii="仿宋" w:hAnsi="仿宋" w:eastAsia="仿宋" w:cs="仿宋"/>
          <w:color w:val="000000"/>
          <w:sz w:val="32"/>
          <w:szCs w:val="32"/>
          <w:shd w:val="clear" w:color="auto" w:fill="FFFFFF"/>
          <w:lang w:val="en-US" w:eastAsia="zh-CN"/>
        </w:rPr>
        <w:t>33</w:t>
      </w:r>
      <w:r>
        <w:rPr>
          <w:rFonts w:hint="eastAsia" w:ascii="仿宋" w:hAnsi="仿宋" w:eastAsia="仿宋" w:cs="仿宋"/>
          <w:color w:val="000000"/>
          <w:sz w:val="32"/>
          <w:szCs w:val="32"/>
          <w:shd w:val="clear" w:color="auto" w:fill="FFFFFF"/>
        </w:rPr>
        <w:t>人。实有人数比上年增加</w:t>
      </w:r>
      <w:r>
        <w:rPr>
          <w:rFonts w:hint="eastAsia" w:ascii="仿宋" w:hAnsi="仿宋" w:eastAsia="仿宋" w:cs="仿宋"/>
          <w:color w:val="000000"/>
          <w:sz w:val="32"/>
          <w:szCs w:val="32"/>
          <w:shd w:val="clear" w:color="auto" w:fill="FFFFFF"/>
          <w:lang w:val="en-US" w:eastAsia="zh-CN"/>
        </w:rPr>
        <w:t xml:space="preserve"> 17</w:t>
      </w:r>
      <w:r>
        <w:rPr>
          <w:rFonts w:hint="eastAsia" w:ascii="仿宋" w:hAnsi="仿宋" w:eastAsia="仿宋" w:cs="仿宋"/>
          <w:color w:val="000000"/>
          <w:sz w:val="32"/>
          <w:szCs w:val="32"/>
          <w:shd w:val="clear" w:color="auto" w:fill="FFFFFF"/>
        </w:rPr>
        <w:t>人。</w:t>
      </w:r>
    </w:p>
    <w:p>
      <w:pPr>
        <w:keepNext w:val="0"/>
        <w:keepLines w:val="0"/>
        <w:pageBreakBefore w:val="0"/>
        <w:widowControl/>
        <w:numPr>
          <w:ilvl w:val="0"/>
          <w:numId w:val="1"/>
        </w:numPr>
        <w:kinsoku/>
        <w:wordWrap/>
        <w:overflowPunct/>
        <w:topLinePunct w:val="0"/>
        <w:autoSpaceDE/>
        <w:autoSpaceDN/>
        <w:bidi w:val="0"/>
        <w:adjustRightInd w:val="0"/>
        <w:snapToGrid w:val="0"/>
        <w:spacing w:after="0" w:line="600" w:lineRule="atLeas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部门年度总体工作任务和重点工作任务；</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640" w:firstLineChars="200"/>
        <w:textAlignment w:val="auto"/>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rPr>
        <w:t>在县委县政府的坚强领导下，深入贯彻习近平总书记对湖南重要讲话重要指示批示精神和党中央国务院、省委省政府以及市委市政府决策部署，完整、准确、全面贯彻新发展理念，坚持稳中求进工作总基调，锚定“三高四新”美好蓝图，积极融入“五新四城”战略，加快“四城两区”建设，全力打好“发展六仗”</w:t>
      </w:r>
      <w:r>
        <w:rPr>
          <w:rFonts w:hint="eastAsia" w:ascii="仿宋" w:hAnsi="仿宋" w:eastAsia="仿宋" w:cs="仿宋"/>
          <w:color w:val="000000"/>
          <w:sz w:val="32"/>
          <w:szCs w:val="32"/>
          <w:shd w:val="clear" w:color="auto" w:fill="FFFFFF"/>
          <w:lang w:eastAsia="zh-CN"/>
        </w:rPr>
        <w:t>，紧紧围绕“贯彻二十大锚定新目标奋力闯创干”目标，</w:t>
      </w:r>
      <w:r>
        <w:rPr>
          <w:rFonts w:hint="eastAsia" w:ascii="仿宋" w:hAnsi="仿宋" w:eastAsia="仿宋" w:cs="仿宋"/>
          <w:color w:val="000000"/>
          <w:sz w:val="32"/>
          <w:szCs w:val="32"/>
          <w:shd w:val="clear" w:color="auto" w:fill="FFFFFF"/>
        </w:rPr>
        <w:t>展现新作为</w:t>
      </w: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rPr>
        <w:t>重点工作任务：</w:t>
      </w:r>
      <w:r>
        <w:rPr>
          <w:rFonts w:hint="eastAsia" w:ascii="仿宋" w:hAnsi="仿宋" w:eastAsia="仿宋" w:cs="仿宋"/>
          <w:color w:val="000000"/>
          <w:sz w:val="32"/>
          <w:szCs w:val="32"/>
          <w:shd w:val="clear" w:color="auto" w:fill="FFFFFF"/>
          <w:lang w:val="en-US" w:eastAsia="zh-CN"/>
        </w:rPr>
        <w:t>1、着力扩大有效投资。2、加强项目谋划和申报。3、加强调度2023年政府投资项目计划。 4、尽快完善2023年项目盘子。5、尽快完善项目前期手续。6、严格落实项目督导考评。7、抓实粮安考核和粮食购销储工作。8、继续夯实价格管理基础。9、着力推动碳中和碳达峰工作。10、全面落实信用体系建设各项工作。</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640" w:firstLineChars="200"/>
        <w:textAlignment w:val="auto"/>
        <w:rPr>
          <w:rFonts w:hint="eastAsia" w:ascii="仿宋" w:hAnsi="仿宋" w:eastAsia="仿宋" w:cs="仿宋"/>
          <w:color w:val="000000"/>
          <w:sz w:val="32"/>
          <w:szCs w:val="32"/>
          <w:shd w:val="clear" w:color="auto" w:fill="FFFFFF"/>
          <w:lang w:val="en-US" w:eastAsia="zh-CN"/>
        </w:rPr>
      </w:pPr>
    </w:p>
    <w:p>
      <w:pPr>
        <w:numPr>
          <w:ilvl w:val="0"/>
          <w:numId w:val="1"/>
        </w:numPr>
        <w:spacing w:line="520" w:lineRule="atLeast"/>
        <w:ind w:left="0" w:leftChars="0" w:firstLine="640" w:firstLineChars="200"/>
        <w:rPr>
          <w:rFonts w:hint="eastAsia" w:ascii="仿宋" w:hAnsi="仿宋" w:eastAsia="仿宋" w:cs="仿宋"/>
          <w:kern w:val="1"/>
          <w:sz w:val="32"/>
          <w:szCs w:val="32"/>
          <w:lang w:val="en-US" w:eastAsia="zh-CN"/>
        </w:rPr>
      </w:pPr>
      <w:r>
        <w:rPr>
          <w:rFonts w:hint="eastAsia" w:ascii="仿宋" w:hAnsi="仿宋" w:eastAsia="仿宋" w:cs="仿宋"/>
          <w:kern w:val="1"/>
          <w:sz w:val="32"/>
          <w:szCs w:val="32"/>
          <w:lang w:val="en-US" w:eastAsia="zh-CN"/>
        </w:rPr>
        <w:t>部门年度整体收支情况</w:t>
      </w:r>
    </w:p>
    <w:p>
      <w:pPr>
        <w:numPr>
          <w:ilvl w:val="0"/>
          <w:numId w:val="2"/>
        </w:numPr>
        <w:spacing w:line="520" w:lineRule="atLeast"/>
        <w:ind w:firstLine="640" w:firstLineChars="200"/>
        <w:rPr>
          <w:rFonts w:hint="eastAsia" w:ascii="仿宋" w:hAnsi="仿宋" w:eastAsia="仿宋" w:cs="仿宋"/>
          <w:kern w:val="1"/>
          <w:sz w:val="32"/>
          <w:szCs w:val="32"/>
          <w:lang w:val="en-US" w:eastAsia="zh-CN"/>
        </w:rPr>
      </w:pPr>
      <w:r>
        <w:rPr>
          <w:rFonts w:hint="eastAsia" w:ascii="仿宋" w:hAnsi="仿宋" w:eastAsia="仿宋" w:cs="仿宋"/>
          <w:kern w:val="1"/>
          <w:sz w:val="32"/>
          <w:szCs w:val="32"/>
          <w:lang w:val="en-US" w:eastAsia="zh-CN"/>
        </w:rPr>
        <w:t>预算收入支出情况</w:t>
      </w:r>
    </w:p>
    <w:p>
      <w:pPr>
        <w:numPr>
          <w:ilvl w:val="0"/>
          <w:numId w:val="0"/>
        </w:numPr>
        <w:spacing w:line="520" w:lineRule="atLeast"/>
        <w:ind w:firstLine="640" w:firstLineChars="200"/>
        <w:rPr>
          <w:rFonts w:hint="eastAsia" w:ascii="仿宋" w:hAnsi="仿宋" w:eastAsia="仿宋" w:cs="仿宋"/>
          <w:kern w:val="1"/>
          <w:sz w:val="32"/>
          <w:szCs w:val="32"/>
          <w:lang w:val="en-US" w:eastAsia="zh-CN"/>
        </w:rPr>
      </w:pPr>
      <w:r>
        <w:rPr>
          <w:rFonts w:hint="eastAsia" w:ascii="仿宋" w:hAnsi="仿宋" w:eastAsia="仿宋" w:cs="仿宋"/>
          <w:kern w:val="1"/>
          <w:sz w:val="32"/>
          <w:szCs w:val="32"/>
          <w:lang w:val="en-US" w:eastAsia="zh-CN"/>
        </w:rPr>
        <w:t>2023年我局总收入为1805.12万元，其中一般公共预算拨款收入1805.12万元。总支出为1805.12万元，其中人员支出875.425万元，日常公用经费支出112.15万元，项目支出817.54万元，合计1805.12万元。</w:t>
      </w:r>
    </w:p>
    <w:p>
      <w:pPr>
        <w:spacing w:line="520" w:lineRule="atLeast"/>
        <w:ind w:firstLine="640" w:firstLineChars="200"/>
        <w:rPr>
          <w:rFonts w:hint="eastAsia" w:ascii="仿宋" w:hAnsi="仿宋" w:eastAsia="仿宋" w:cs="仿宋"/>
          <w:color w:val="auto"/>
          <w:kern w:val="1"/>
          <w:sz w:val="32"/>
          <w:szCs w:val="32"/>
          <w:lang w:val="en-US" w:eastAsia="zh-CN"/>
        </w:rPr>
      </w:pPr>
      <w:r>
        <w:rPr>
          <w:rFonts w:hint="eastAsia" w:ascii="仿宋" w:hAnsi="仿宋" w:eastAsia="仿宋" w:cs="仿宋"/>
          <w:color w:val="auto"/>
          <w:kern w:val="1"/>
          <w:sz w:val="32"/>
          <w:szCs w:val="32"/>
          <w:lang w:val="en-US" w:eastAsia="zh-CN"/>
        </w:rPr>
        <w:t>本次部门整体支出评价与预算口径保持一致，以保障我局履行各项职能使用资金。主要用于发展和改革日常行政运行、各类项目前期工作等经费开支。</w:t>
      </w:r>
    </w:p>
    <w:p>
      <w:pPr>
        <w:spacing w:line="520" w:lineRule="atLeast"/>
        <w:ind w:firstLine="640" w:firstLineChars="200"/>
        <w:rPr>
          <w:rFonts w:hint="default" w:ascii="仿宋" w:hAnsi="仿宋" w:eastAsia="仿宋" w:cs="仿宋"/>
          <w:kern w:val="1"/>
          <w:sz w:val="32"/>
          <w:szCs w:val="32"/>
          <w:lang w:val="en-US" w:eastAsia="zh-CN"/>
        </w:rPr>
      </w:pPr>
      <w:r>
        <w:rPr>
          <w:rFonts w:hint="eastAsia" w:ascii="仿宋" w:hAnsi="仿宋" w:eastAsia="仿宋" w:cs="仿宋"/>
          <w:kern w:val="1"/>
          <w:sz w:val="32"/>
          <w:szCs w:val="32"/>
          <w:lang w:val="en-US" w:eastAsia="zh-CN"/>
        </w:rPr>
        <w:t>2、专项资金管理情况：我局建立健全了内部控制制度保证专项资金的规范管理，设立专项资金明细账，清晰反映专项资金的支出情况。专项资金的使用本着统筹安排、重点工作为先的原则，按时按量投入各专项工作，保障各专项工作的顺利开展。项目资金全部纳入县本级财政绩效考核，接受县财政检查监督。</w:t>
      </w:r>
    </w:p>
    <w:p>
      <w:pPr>
        <w:spacing w:line="520" w:lineRule="atLeast"/>
        <w:ind w:firstLine="640" w:firstLineChars="200"/>
        <w:jc w:val="left"/>
        <w:rPr>
          <w:rFonts w:hint="eastAsia" w:ascii="仿宋" w:hAnsi="仿宋" w:eastAsia="仿宋" w:cs="仿宋"/>
          <w:color w:val="000000" w:themeColor="text1"/>
          <w:kern w:val="1"/>
          <w:sz w:val="32"/>
          <w:szCs w:val="32"/>
          <w:lang w:val="zh-CN" w:eastAsia="zh-CN"/>
          <w14:textFill>
            <w14:solidFill>
              <w14:schemeClr w14:val="tx1"/>
            </w14:solidFill>
          </w14:textFill>
        </w:rPr>
      </w:pPr>
      <w:r>
        <w:rPr>
          <w:rFonts w:hint="eastAsia" w:ascii="仿宋" w:hAnsi="仿宋" w:eastAsia="仿宋" w:cs="仿宋"/>
          <w:kern w:val="1"/>
          <w:sz w:val="32"/>
          <w:szCs w:val="32"/>
          <w:lang w:val="en-US" w:eastAsia="zh-CN"/>
        </w:rPr>
        <w:t>3、“三公”经费支出情况：</w:t>
      </w:r>
      <w:r>
        <w:rPr>
          <w:rFonts w:hint="eastAsia" w:ascii="仿宋" w:hAnsi="仿宋" w:eastAsia="仿宋" w:cs="仿宋"/>
          <w:color w:val="auto"/>
          <w:kern w:val="1"/>
          <w:sz w:val="32"/>
          <w:szCs w:val="32"/>
        </w:rPr>
        <w:t>三公”经费总额</w:t>
      </w:r>
      <w:r>
        <w:rPr>
          <w:rFonts w:hint="eastAsia" w:ascii="仿宋" w:hAnsi="仿宋" w:eastAsia="仿宋" w:cs="仿宋"/>
          <w:color w:val="auto"/>
          <w:kern w:val="1"/>
          <w:sz w:val="32"/>
          <w:szCs w:val="32"/>
          <w:lang w:val="en-US" w:eastAsia="zh-CN"/>
        </w:rPr>
        <w:t>4.05</w:t>
      </w:r>
      <w:r>
        <w:rPr>
          <w:rFonts w:hint="eastAsia" w:ascii="仿宋" w:hAnsi="仿宋" w:eastAsia="仿宋" w:cs="仿宋"/>
          <w:color w:val="auto"/>
          <w:kern w:val="1"/>
          <w:sz w:val="32"/>
          <w:szCs w:val="32"/>
        </w:rPr>
        <w:t>万元,年初预算数</w:t>
      </w:r>
      <w:r>
        <w:rPr>
          <w:rFonts w:hint="eastAsia" w:ascii="仿宋" w:hAnsi="仿宋" w:eastAsia="仿宋" w:cs="仿宋"/>
          <w:color w:val="auto"/>
          <w:kern w:val="1"/>
          <w:sz w:val="32"/>
          <w:szCs w:val="32"/>
          <w:lang w:val="en-US" w:eastAsia="zh-CN"/>
        </w:rPr>
        <w:t>4.5</w:t>
      </w:r>
      <w:r>
        <w:rPr>
          <w:rFonts w:hint="eastAsia" w:ascii="仿宋" w:hAnsi="仿宋" w:eastAsia="仿宋" w:cs="仿宋"/>
          <w:color w:val="auto"/>
          <w:kern w:val="1"/>
          <w:sz w:val="32"/>
          <w:szCs w:val="32"/>
        </w:rPr>
        <w:t>万元,上年决算数</w:t>
      </w:r>
      <w:r>
        <w:rPr>
          <w:rFonts w:hint="eastAsia" w:ascii="仿宋" w:hAnsi="仿宋" w:eastAsia="仿宋" w:cs="仿宋"/>
          <w:color w:val="auto"/>
          <w:kern w:val="1"/>
          <w:sz w:val="32"/>
          <w:szCs w:val="32"/>
          <w:lang w:val="en-US" w:eastAsia="zh-CN"/>
        </w:rPr>
        <w:t>2.64</w:t>
      </w:r>
      <w:r>
        <w:rPr>
          <w:rFonts w:hint="eastAsia" w:ascii="仿宋" w:hAnsi="仿宋" w:eastAsia="仿宋" w:cs="仿宋"/>
          <w:color w:val="auto"/>
          <w:kern w:val="1"/>
          <w:sz w:val="32"/>
          <w:szCs w:val="32"/>
        </w:rPr>
        <w:t>万元，比年初预算数减少</w:t>
      </w:r>
      <w:r>
        <w:rPr>
          <w:rFonts w:hint="eastAsia" w:ascii="仿宋" w:hAnsi="仿宋" w:eastAsia="仿宋" w:cs="仿宋"/>
          <w:color w:val="auto"/>
          <w:kern w:val="1"/>
          <w:sz w:val="32"/>
          <w:szCs w:val="32"/>
          <w:lang w:val="en-US" w:eastAsia="zh-CN"/>
        </w:rPr>
        <w:t>0.45</w:t>
      </w:r>
      <w:r>
        <w:rPr>
          <w:rFonts w:hint="eastAsia" w:ascii="仿宋" w:hAnsi="仿宋" w:eastAsia="仿宋" w:cs="仿宋"/>
          <w:color w:val="auto"/>
          <w:kern w:val="1"/>
          <w:sz w:val="32"/>
          <w:szCs w:val="32"/>
        </w:rPr>
        <w:t>万元,</w:t>
      </w:r>
      <w:r>
        <w:rPr>
          <w:rFonts w:hint="eastAsia" w:ascii="仿宋" w:hAnsi="仿宋" w:eastAsia="仿宋" w:cs="仿宋"/>
          <w:color w:val="auto"/>
          <w:sz w:val="32"/>
          <w:szCs w:val="32"/>
          <w:lang w:val="zh-CN" w:bidi="zh-CN"/>
        </w:rPr>
        <w:t xml:space="preserve"> 同比减少</w:t>
      </w:r>
      <w:r>
        <w:rPr>
          <w:rFonts w:hint="eastAsia" w:ascii="仿宋" w:hAnsi="仿宋" w:eastAsia="仿宋" w:cs="仿宋"/>
          <w:color w:val="auto"/>
          <w:sz w:val="32"/>
          <w:szCs w:val="32"/>
          <w:lang w:val="en-US" w:bidi="zh-CN"/>
        </w:rPr>
        <w:t>10</w:t>
      </w:r>
      <w:r>
        <w:rPr>
          <w:rFonts w:hint="eastAsia" w:ascii="仿宋" w:hAnsi="仿宋" w:eastAsia="仿宋" w:cs="仿宋"/>
          <w:color w:val="auto"/>
          <w:sz w:val="32"/>
          <w:szCs w:val="32"/>
          <w:lang w:val="zh-CN" w:bidi="zh-CN"/>
        </w:rPr>
        <w:t>%；</w:t>
      </w:r>
      <w:r>
        <w:rPr>
          <w:rFonts w:hint="eastAsia" w:ascii="仿宋" w:hAnsi="仿宋" w:eastAsia="仿宋" w:cs="仿宋"/>
          <w:color w:val="auto"/>
          <w:kern w:val="1"/>
          <w:sz w:val="32"/>
          <w:szCs w:val="32"/>
        </w:rPr>
        <w:t>比上年决算数</w:t>
      </w:r>
      <w:r>
        <w:rPr>
          <w:rFonts w:hint="eastAsia" w:ascii="仿宋" w:hAnsi="仿宋" w:eastAsia="仿宋" w:cs="仿宋"/>
          <w:color w:val="auto"/>
          <w:kern w:val="1"/>
          <w:sz w:val="32"/>
          <w:szCs w:val="32"/>
          <w:lang w:eastAsia="zh-CN"/>
        </w:rPr>
        <w:t>增加</w:t>
      </w:r>
      <w:r>
        <w:rPr>
          <w:rFonts w:hint="eastAsia" w:ascii="仿宋" w:hAnsi="仿宋" w:eastAsia="仿宋" w:cs="仿宋"/>
          <w:color w:val="auto"/>
          <w:kern w:val="1"/>
          <w:sz w:val="32"/>
          <w:szCs w:val="32"/>
          <w:lang w:val="en-US" w:eastAsia="zh-CN"/>
        </w:rPr>
        <w:t>1.41</w:t>
      </w:r>
      <w:r>
        <w:rPr>
          <w:rFonts w:hint="eastAsia" w:ascii="仿宋" w:hAnsi="仿宋" w:eastAsia="仿宋" w:cs="仿宋"/>
          <w:color w:val="auto"/>
          <w:kern w:val="1"/>
          <w:sz w:val="32"/>
          <w:szCs w:val="32"/>
        </w:rPr>
        <w:t>万元，</w:t>
      </w:r>
      <w:r>
        <w:rPr>
          <w:rFonts w:hint="eastAsia" w:ascii="仿宋" w:hAnsi="仿宋" w:eastAsia="仿宋" w:cs="仿宋"/>
          <w:color w:val="auto"/>
          <w:sz w:val="32"/>
          <w:szCs w:val="32"/>
          <w:lang w:val="zh-CN" w:bidi="zh-CN"/>
        </w:rPr>
        <w:t>同比增加</w:t>
      </w:r>
      <w:r>
        <w:rPr>
          <w:rFonts w:hint="eastAsia" w:ascii="仿宋" w:hAnsi="仿宋" w:eastAsia="仿宋" w:cs="仿宋"/>
          <w:color w:val="auto"/>
          <w:kern w:val="1"/>
          <w:sz w:val="32"/>
          <w:szCs w:val="32"/>
          <w:lang w:val="en-US"/>
        </w:rPr>
        <w:t>53.41</w:t>
      </w:r>
      <w:r>
        <w:rPr>
          <w:rFonts w:hint="eastAsia" w:ascii="仿宋" w:hAnsi="仿宋" w:eastAsia="仿宋" w:cs="仿宋"/>
          <w:color w:val="auto"/>
          <w:kern w:val="1"/>
          <w:sz w:val="32"/>
          <w:szCs w:val="32"/>
          <w:lang w:val="zh-CN"/>
        </w:rPr>
        <w:t>%</w:t>
      </w:r>
      <w:r>
        <w:rPr>
          <w:rFonts w:hint="eastAsia" w:ascii="仿宋" w:hAnsi="仿宋" w:eastAsia="仿宋" w:cs="仿宋"/>
          <w:color w:val="auto"/>
          <w:kern w:val="1"/>
          <w:sz w:val="32"/>
          <w:szCs w:val="32"/>
        </w:rPr>
        <w:t>；变化原因：</w:t>
      </w:r>
      <w:r>
        <w:rPr>
          <w:rFonts w:hint="eastAsia" w:ascii="仿宋" w:hAnsi="仿宋" w:eastAsia="仿宋" w:cs="仿宋"/>
          <w:color w:val="auto"/>
          <w:kern w:val="1"/>
          <w:sz w:val="32"/>
          <w:szCs w:val="32"/>
          <w:lang w:eastAsia="zh-CN"/>
        </w:rPr>
        <w:t>公车改革，原有车辆纳入公车管理平台；机构改革，人防办划入一台车辆，汽车排量增加，油耗、保险等费用增加。</w:t>
      </w:r>
      <w:r>
        <w:rPr>
          <w:rFonts w:hint="eastAsia" w:ascii="仿宋" w:hAnsi="仿宋" w:eastAsia="仿宋" w:cs="仿宋"/>
          <w:color w:val="auto"/>
          <w:kern w:val="1"/>
          <w:sz w:val="32"/>
          <w:szCs w:val="32"/>
        </w:rPr>
        <w:t>其中公务接待费</w:t>
      </w:r>
      <w:r>
        <w:rPr>
          <w:rFonts w:hint="eastAsia" w:ascii="仿宋" w:hAnsi="仿宋" w:eastAsia="仿宋" w:cs="仿宋"/>
          <w:color w:val="auto"/>
          <w:kern w:val="1"/>
          <w:sz w:val="32"/>
          <w:szCs w:val="32"/>
          <w:lang w:val="en-US" w:eastAsia="zh-CN"/>
        </w:rPr>
        <w:t>1.55</w:t>
      </w:r>
      <w:r>
        <w:rPr>
          <w:rFonts w:hint="eastAsia" w:ascii="仿宋" w:hAnsi="仿宋" w:eastAsia="仿宋" w:cs="仿宋"/>
          <w:color w:val="auto"/>
          <w:kern w:val="1"/>
          <w:sz w:val="32"/>
          <w:szCs w:val="32"/>
        </w:rPr>
        <w:t>万元,年初预算数</w:t>
      </w:r>
      <w:r>
        <w:rPr>
          <w:rFonts w:hint="eastAsia" w:ascii="仿宋" w:hAnsi="仿宋" w:eastAsia="仿宋" w:cs="仿宋"/>
          <w:color w:val="auto"/>
          <w:kern w:val="1"/>
          <w:sz w:val="32"/>
          <w:szCs w:val="32"/>
          <w:lang w:val="en-US" w:eastAsia="zh-CN"/>
        </w:rPr>
        <w:t>2</w:t>
      </w:r>
      <w:r>
        <w:rPr>
          <w:rFonts w:hint="eastAsia" w:ascii="仿宋" w:hAnsi="仿宋" w:eastAsia="仿宋" w:cs="仿宋"/>
          <w:color w:val="auto"/>
          <w:kern w:val="1"/>
          <w:sz w:val="32"/>
          <w:szCs w:val="32"/>
        </w:rPr>
        <w:t>万元，上年决算数</w:t>
      </w:r>
      <w:r>
        <w:rPr>
          <w:rFonts w:hint="eastAsia" w:ascii="仿宋" w:hAnsi="仿宋" w:eastAsia="仿宋" w:cs="仿宋"/>
          <w:color w:val="auto"/>
          <w:kern w:val="1"/>
          <w:sz w:val="32"/>
          <w:szCs w:val="32"/>
          <w:lang w:val="en-US" w:eastAsia="zh-CN"/>
        </w:rPr>
        <w:t>1.24</w:t>
      </w:r>
      <w:r>
        <w:rPr>
          <w:rFonts w:hint="eastAsia" w:ascii="仿宋" w:hAnsi="仿宋" w:eastAsia="仿宋" w:cs="仿宋"/>
          <w:color w:val="auto"/>
          <w:kern w:val="1"/>
          <w:sz w:val="32"/>
          <w:szCs w:val="32"/>
        </w:rPr>
        <w:t>万元，比年初预算数减少</w:t>
      </w:r>
      <w:r>
        <w:rPr>
          <w:rFonts w:hint="eastAsia" w:ascii="仿宋" w:hAnsi="仿宋" w:eastAsia="仿宋" w:cs="仿宋"/>
          <w:color w:val="auto"/>
          <w:kern w:val="1"/>
          <w:sz w:val="32"/>
          <w:szCs w:val="32"/>
          <w:lang w:val="en-US" w:eastAsia="zh-CN"/>
        </w:rPr>
        <w:t>0.45</w:t>
      </w:r>
      <w:r>
        <w:rPr>
          <w:rFonts w:hint="eastAsia" w:ascii="仿宋" w:hAnsi="仿宋" w:eastAsia="仿宋" w:cs="仿宋"/>
          <w:color w:val="auto"/>
          <w:kern w:val="1"/>
          <w:sz w:val="32"/>
          <w:szCs w:val="32"/>
        </w:rPr>
        <w:t>万元,</w:t>
      </w:r>
      <w:r>
        <w:rPr>
          <w:rFonts w:hint="eastAsia" w:ascii="仿宋" w:hAnsi="仿宋" w:eastAsia="仿宋" w:cs="仿宋"/>
          <w:color w:val="auto"/>
          <w:kern w:val="1"/>
          <w:sz w:val="32"/>
          <w:szCs w:val="32"/>
          <w:lang w:val="zh-CN"/>
        </w:rPr>
        <w:t xml:space="preserve"> 同比减少</w:t>
      </w:r>
      <w:r>
        <w:rPr>
          <w:rFonts w:hint="eastAsia" w:ascii="仿宋" w:hAnsi="仿宋" w:eastAsia="仿宋" w:cs="仿宋"/>
          <w:color w:val="auto"/>
          <w:kern w:val="1"/>
          <w:sz w:val="32"/>
          <w:szCs w:val="32"/>
          <w:lang w:val="en-US"/>
        </w:rPr>
        <w:t>10</w:t>
      </w:r>
      <w:r>
        <w:rPr>
          <w:rFonts w:hint="eastAsia" w:ascii="仿宋" w:hAnsi="仿宋" w:eastAsia="仿宋" w:cs="仿宋"/>
          <w:color w:val="auto"/>
          <w:kern w:val="1"/>
          <w:sz w:val="32"/>
          <w:szCs w:val="32"/>
          <w:lang w:val="zh-CN"/>
        </w:rPr>
        <w:t>%；</w:t>
      </w:r>
      <w:r>
        <w:rPr>
          <w:rFonts w:hint="eastAsia" w:ascii="仿宋" w:hAnsi="仿宋" w:eastAsia="仿宋" w:cs="仿宋"/>
          <w:color w:val="auto"/>
          <w:kern w:val="1"/>
          <w:sz w:val="32"/>
          <w:szCs w:val="32"/>
        </w:rPr>
        <w:t>比上年决算数</w:t>
      </w:r>
      <w:r>
        <w:rPr>
          <w:rFonts w:hint="eastAsia" w:ascii="仿宋" w:hAnsi="仿宋" w:eastAsia="仿宋" w:cs="仿宋"/>
          <w:color w:val="auto"/>
          <w:kern w:val="1"/>
          <w:sz w:val="32"/>
          <w:szCs w:val="32"/>
          <w:lang w:eastAsia="zh-CN"/>
        </w:rPr>
        <w:t>增加</w:t>
      </w:r>
      <w:r>
        <w:rPr>
          <w:rFonts w:hint="eastAsia" w:ascii="仿宋" w:hAnsi="仿宋" w:eastAsia="仿宋" w:cs="仿宋"/>
          <w:color w:val="auto"/>
          <w:kern w:val="1"/>
          <w:sz w:val="32"/>
          <w:szCs w:val="32"/>
          <w:lang w:val="en-US" w:eastAsia="zh-CN"/>
        </w:rPr>
        <w:t>0.31</w:t>
      </w:r>
      <w:r>
        <w:rPr>
          <w:rFonts w:hint="eastAsia" w:ascii="仿宋" w:hAnsi="仿宋" w:eastAsia="仿宋" w:cs="仿宋"/>
          <w:color w:val="auto"/>
          <w:kern w:val="1"/>
          <w:sz w:val="32"/>
          <w:szCs w:val="32"/>
        </w:rPr>
        <w:t>万元，</w:t>
      </w:r>
      <w:r>
        <w:rPr>
          <w:rFonts w:hint="eastAsia" w:ascii="仿宋" w:hAnsi="仿宋" w:eastAsia="仿宋" w:cs="仿宋"/>
          <w:color w:val="auto"/>
          <w:kern w:val="1"/>
          <w:sz w:val="32"/>
          <w:szCs w:val="32"/>
          <w:lang w:val="zh-CN"/>
        </w:rPr>
        <w:t>同比增加</w:t>
      </w:r>
      <w:r>
        <w:rPr>
          <w:rFonts w:hint="eastAsia" w:ascii="仿宋" w:hAnsi="仿宋" w:eastAsia="仿宋" w:cs="仿宋"/>
          <w:color w:val="auto"/>
          <w:kern w:val="1"/>
          <w:sz w:val="32"/>
          <w:szCs w:val="32"/>
          <w:lang w:val="en-US"/>
        </w:rPr>
        <w:t>25</w:t>
      </w:r>
      <w:r>
        <w:rPr>
          <w:rFonts w:hint="eastAsia" w:ascii="仿宋" w:hAnsi="仿宋" w:eastAsia="仿宋" w:cs="仿宋"/>
          <w:color w:val="auto"/>
          <w:kern w:val="1"/>
          <w:sz w:val="32"/>
          <w:szCs w:val="32"/>
          <w:lang w:val="zh-CN"/>
        </w:rPr>
        <w:t>%；</w:t>
      </w:r>
      <w:r>
        <w:rPr>
          <w:rFonts w:hint="eastAsia" w:ascii="仿宋" w:hAnsi="仿宋" w:eastAsia="仿宋" w:cs="仿宋"/>
          <w:color w:val="auto"/>
          <w:kern w:val="1"/>
          <w:sz w:val="32"/>
          <w:szCs w:val="32"/>
          <w:lang w:eastAsia="zh-CN"/>
        </w:rPr>
        <w:t>是因为</w:t>
      </w:r>
      <w:r>
        <w:rPr>
          <w:rFonts w:hint="eastAsia" w:ascii="仿宋" w:hAnsi="仿宋" w:eastAsia="仿宋" w:cs="仿宋"/>
          <w:color w:val="auto"/>
          <w:kern w:val="1"/>
          <w:sz w:val="32"/>
          <w:szCs w:val="32"/>
          <w:lang w:val="en-US" w:eastAsia="zh-CN"/>
        </w:rPr>
        <w:t>2022年10-12月疫情防控值班餐费在此列支</w:t>
      </w:r>
      <w:r>
        <w:rPr>
          <w:rFonts w:hint="eastAsia" w:ascii="仿宋" w:hAnsi="仿宋" w:eastAsia="仿宋" w:cs="仿宋"/>
          <w:color w:val="auto"/>
          <w:kern w:val="1"/>
          <w:sz w:val="32"/>
          <w:szCs w:val="32"/>
        </w:rPr>
        <w:t>；公务用车运</w:t>
      </w:r>
      <w:r>
        <w:rPr>
          <w:rFonts w:hint="eastAsia" w:ascii="仿宋" w:hAnsi="仿宋" w:eastAsia="仿宋" w:cs="仿宋"/>
          <w:color w:val="auto"/>
          <w:kern w:val="1"/>
          <w:sz w:val="32"/>
          <w:szCs w:val="32"/>
          <w:lang w:eastAsia="zh-CN"/>
        </w:rPr>
        <w:t>行</w:t>
      </w:r>
      <w:r>
        <w:rPr>
          <w:rFonts w:hint="eastAsia" w:ascii="仿宋" w:hAnsi="仿宋" w:eastAsia="仿宋" w:cs="仿宋"/>
          <w:color w:val="auto"/>
          <w:kern w:val="1"/>
          <w:sz w:val="32"/>
          <w:szCs w:val="32"/>
        </w:rPr>
        <w:t>维护费</w:t>
      </w:r>
      <w:r>
        <w:rPr>
          <w:rFonts w:hint="eastAsia" w:ascii="仿宋" w:hAnsi="仿宋" w:eastAsia="仿宋" w:cs="仿宋"/>
          <w:color w:val="auto"/>
          <w:kern w:val="1"/>
          <w:sz w:val="32"/>
          <w:szCs w:val="32"/>
          <w:lang w:val="en-US" w:eastAsia="zh-CN"/>
        </w:rPr>
        <w:t>2.5</w:t>
      </w:r>
      <w:r>
        <w:rPr>
          <w:rFonts w:hint="eastAsia" w:ascii="仿宋" w:hAnsi="仿宋" w:eastAsia="仿宋" w:cs="仿宋"/>
          <w:color w:val="auto"/>
          <w:kern w:val="1"/>
          <w:sz w:val="32"/>
          <w:szCs w:val="32"/>
        </w:rPr>
        <w:t>万元，年初预算数</w:t>
      </w:r>
      <w:r>
        <w:rPr>
          <w:rFonts w:hint="eastAsia" w:ascii="仿宋" w:hAnsi="仿宋" w:eastAsia="仿宋" w:cs="仿宋"/>
          <w:color w:val="auto"/>
          <w:kern w:val="1"/>
          <w:sz w:val="32"/>
          <w:szCs w:val="32"/>
          <w:lang w:val="en-US" w:eastAsia="zh-CN"/>
        </w:rPr>
        <w:t>2.5</w:t>
      </w:r>
      <w:r>
        <w:rPr>
          <w:rFonts w:hint="eastAsia" w:ascii="仿宋" w:hAnsi="仿宋" w:eastAsia="仿宋" w:cs="仿宋"/>
          <w:color w:val="auto"/>
          <w:kern w:val="1"/>
          <w:sz w:val="32"/>
          <w:szCs w:val="32"/>
        </w:rPr>
        <w:t>万元,上年决算数</w:t>
      </w:r>
      <w:r>
        <w:rPr>
          <w:rFonts w:hint="eastAsia" w:ascii="仿宋" w:hAnsi="仿宋" w:eastAsia="仿宋" w:cs="仿宋"/>
          <w:color w:val="auto"/>
          <w:kern w:val="1"/>
          <w:sz w:val="32"/>
          <w:szCs w:val="32"/>
          <w:lang w:val="en-US" w:eastAsia="zh-CN"/>
        </w:rPr>
        <w:t>1.4</w:t>
      </w:r>
      <w:r>
        <w:rPr>
          <w:rFonts w:hint="eastAsia" w:ascii="仿宋" w:hAnsi="仿宋" w:eastAsia="仿宋" w:cs="仿宋"/>
          <w:color w:val="auto"/>
          <w:kern w:val="1"/>
          <w:sz w:val="32"/>
          <w:szCs w:val="32"/>
        </w:rPr>
        <w:t>万元,</w:t>
      </w:r>
      <w:r>
        <w:rPr>
          <w:rFonts w:hint="eastAsia" w:ascii="仿宋" w:hAnsi="仿宋" w:eastAsia="仿宋" w:cs="仿宋"/>
          <w:color w:val="auto"/>
          <w:kern w:val="1"/>
          <w:sz w:val="32"/>
          <w:szCs w:val="32"/>
          <w:lang w:eastAsia="zh-CN"/>
        </w:rPr>
        <w:t>与</w:t>
      </w:r>
      <w:r>
        <w:rPr>
          <w:rFonts w:hint="eastAsia" w:ascii="仿宋" w:hAnsi="仿宋" w:eastAsia="仿宋" w:cs="仿宋"/>
          <w:color w:val="auto"/>
          <w:kern w:val="1"/>
          <w:sz w:val="32"/>
          <w:szCs w:val="32"/>
        </w:rPr>
        <w:t>年初预算</w:t>
      </w:r>
      <w:r>
        <w:rPr>
          <w:rFonts w:hint="eastAsia" w:ascii="仿宋" w:hAnsi="仿宋" w:eastAsia="仿宋" w:cs="仿宋"/>
          <w:color w:val="auto"/>
          <w:kern w:val="1"/>
          <w:sz w:val="32"/>
          <w:szCs w:val="32"/>
          <w:lang w:eastAsia="zh-CN"/>
        </w:rPr>
        <w:t>一致</w:t>
      </w:r>
      <w:r>
        <w:rPr>
          <w:rFonts w:hint="eastAsia" w:ascii="仿宋" w:hAnsi="仿宋" w:eastAsia="仿宋" w:cs="仿宋"/>
          <w:color w:val="auto"/>
          <w:kern w:val="1"/>
          <w:sz w:val="32"/>
          <w:szCs w:val="32"/>
          <w:lang w:val="zh-CN"/>
        </w:rPr>
        <w:t>；</w:t>
      </w:r>
      <w:r>
        <w:rPr>
          <w:rFonts w:hint="eastAsia" w:ascii="仿宋" w:hAnsi="仿宋" w:eastAsia="仿宋" w:cs="仿宋"/>
          <w:color w:val="auto"/>
          <w:kern w:val="1"/>
          <w:sz w:val="32"/>
          <w:szCs w:val="32"/>
        </w:rPr>
        <w:t>比上年决算数</w:t>
      </w:r>
      <w:r>
        <w:rPr>
          <w:rFonts w:hint="eastAsia" w:ascii="仿宋" w:hAnsi="仿宋" w:eastAsia="仿宋" w:cs="仿宋"/>
          <w:color w:val="auto"/>
          <w:kern w:val="1"/>
          <w:sz w:val="32"/>
          <w:szCs w:val="32"/>
          <w:lang w:val="en-US" w:eastAsia="zh-CN"/>
        </w:rPr>
        <w:t>增加1.1</w:t>
      </w:r>
      <w:r>
        <w:rPr>
          <w:rFonts w:hint="eastAsia" w:ascii="仿宋" w:hAnsi="仿宋" w:eastAsia="仿宋" w:cs="仿宋"/>
          <w:color w:val="auto"/>
          <w:kern w:val="1"/>
          <w:sz w:val="32"/>
          <w:szCs w:val="32"/>
        </w:rPr>
        <w:t>万元，</w:t>
      </w:r>
      <w:r>
        <w:rPr>
          <w:rFonts w:hint="eastAsia" w:ascii="仿宋" w:hAnsi="仿宋" w:eastAsia="仿宋" w:cs="仿宋"/>
          <w:color w:val="auto"/>
          <w:kern w:val="1"/>
          <w:sz w:val="32"/>
          <w:szCs w:val="32"/>
          <w:lang w:val="zh-CN"/>
        </w:rPr>
        <w:t>同比增加</w:t>
      </w:r>
      <w:r>
        <w:rPr>
          <w:rFonts w:hint="eastAsia" w:ascii="仿宋" w:hAnsi="仿宋" w:eastAsia="仿宋" w:cs="仿宋"/>
          <w:color w:val="auto"/>
          <w:kern w:val="1"/>
          <w:sz w:val="32"/>
          <w:szCs w:val="32"/>
          <w:lang w:val="en-US"/>
        </w:rPr>
        <w:t>78.57</w:t>
      </w:r>
      <w:r>
        <w:rPr>
          <w:rFonts w:hint="eastAsia" w:ascii="仿宋" w:hAnsi="仿宋" w:eastAsia="仿宋" w:cs="仿宋"/>
          <w:color w:val="auto"/>
          <w:kern w:val="1"/>
          <w:sz w:val="32"/>
          <w:szCs w:val="32"/>
          <w:lang w:val="zh-CN"/>
        </w:rPr>
        <w:t>%；是公车改革，机构改革，车辆油耗增加、车辆保险等费用增加。</w:t>
      </w:r>
      <w:r>
        <w:rPr>
          <w:rFonts w:hint="eastAsia" w:ascii="仿宋" w:hAnsi="仿宋" w:eastAsia="仿宋" w:cs="仿宋"/>
          <w:color w:val="auto"/>
          <w:kern w:val="1"/>
          <w:sz w:val="32"/>
          <w:szCs w:val="32"/>
        </w:rPr>
        <w:t>本年度无公务车购置情况,无因公出国（境)情况,年末公务用车保有量1辆。</w:t>
      </w:r>
      <w:r>
        <w:rPr>
          <w:rFonts w:hint="eastAsia" w:ascii="仿宋" w:hAnsi="仿宋" w:eastAsia="仿宋" w:cs="仿宋"/>
          <w:color w:val="auto"/>
          <w:kern w:val="1"/>
          <w:sz w:val="32"/>
          <w:szCs w:val="32"/>
          <w:lang w:val="zh-CN"/>
        </w:rPr>
        <w:t xml:space="preserve"> </w:t>
      </w:r>
    </w:p>
    <w:p>
      <w:pPr>
        <w:ind w:firstLine="640" w:firstLineChars="200"/>
        <w:rPr>
          <w:rFonts w:hint="eastAsia" w:ascii="仿宋" w:hAnsi="仿宋" w:eastAsia="仿宋" w:cs="仿宋"/>
          <w:color w:val="auto"/>
          <w:sz w:val="32"/>
          <w:szCs w:val="32"/>
          <w:shd w:val="clear" w:color="auto" w:fill="FFFFFF"/>
        </w:rPr>
      </w:pPr>
      <w:r>
        <w:rPr>
          <w:rFonts w:hint="eastAsia" w:ascii="仿宋" w:hAnsi="仿宋" w:eastAsia="仿宋" w:cs="仿宋"/>
          <w:color w:val="000000" w:themeColor="text1"/>
          <w:sz w:val="32"/>
          <w:szCs w:val="32"/>
          <w:lang w:val="en-US" w:bidi="zh-CN"/>
          <w14:textFill>
            <w14:solidFill>
              <w14:schemeClr w14:val="tx1"/>
            </w14:solidFill>
          </w14:textFill>
        </w:rPr>
        <w:t>4、政府采购情况：</w:t>
      </w:r>
      <w:r>
        <w:rPr>
          <w:rFonts w:hint="eastAsia" w:ascii="仿宋" w:hAnsi="仿宋" w:eastAsia="仿宋" w:cs="仿宋"/>
          <w:color w:val="000000" w:themeColor="text1"/>
          <w:sz w:val="32"/>
          <w:szCs w:val="32"/>
          <w:shd w:val="clear" w:color="auto" w:fill="FFFFFF"/>
          <w14:textFill>
            <w14:solidFill>
              <w14:schemeClr w14:val="tx1"/>
            </w14:solidFill>
          </w14:textFill>
        </w:rPr>
        <w:t>20</w:t>
      </w:r>
      <w:r>
        <w:rPr>
          <w:rFonts w:hint="eastAsia" w:ascii="仿宋" w:hAnsi="仿宋" w:eastAsia="仿宋" w:cs="仿宋"/>
          <w:color w:val="000000" w:themeColor="text1"/>
          <w:sz w:val="32"/>
          <w:szCs w:val="32"/>
          <w:shd w:val="clear" w:color="auto" w:fill="FFFFFF"/>
          <w:lang w:val="en-US" w:eastAsia="zh-CN"/>
          <w14:textFill>
            <w14:solidFill>
              <w14:schemeClr w14:val="tx1"/>
            </w14:solidFill>
          </w14:textFill>
        </w:rPr>
        <w:t>23</w:t>
      </w:r>
      <w:r>
        <w:rPr>
          <w:rFonts w:hint="eastAsia" w:ascii="仿宋" w:hAnsi="仿宋" w:eastAsia="仿宋" w:cs="仿宋"/>
          <w:color w:val="000000" w:themeColor="text1"/>
          <w:sz w:val="32"/>
          <w:szCs w:val="32"/>
          <w14:textFill>
            <w14:solidFill>
              <w14:schemeClr w14:val="tx1"/>
            </w14:solidFill>
          </w14:textFill>
        </w:rPr>
        <w:t>年度政府采购支出总额</w:t>
      </w:r>
      <w:r>
        <w:rPr>
          <w:rFonts w:hint="eastAsia" w:ascii="仿宋" w:hAnsi="仿宋" w:eastAsia="仿宋" w:cs="仿宋"/>
          <w:color w:val="000000" w:themeColor="text1"/>
          <w:sz w:val="32"/>
          <w:szCs w:val="32"/>
          <w:lang w:val="en-US" w:eastAsia="zh-CN"/>
          <w14:textFill>
            <w14:solidFill>
              <w14:schemeClr w14:val="tx1"/>
            </w14:solidFill>
          </w14:textFill>
        </w:rPr>
        <w:t xml:space="preserve">250.55 </w:t>
      </w:r>
      <w:r>
        <w:rPr>
          <w:rFonts w:hint="eastAsia" w:ascii="仿宋" w:hAnsi="仿宋" w:eastAsia="仿宋" w:cs="仿宋"/>
          <w:color w:val="000000" w:themeColor="text1"/>
          <w:sz w:val="32"/>
          <w:szCs w:val="32"/>
          <w:shd w:val="clear" w:color="auto" w:fill="FFFFFF"/>
          <w14:textFill>
            <w14:solidFill>
              <w14:schemeClr w14:val="tx1"/>
            </w14:solidFill>
          </w14:textFill>
        </w:rPr>
        <w:t>万元。其中政府采</w:t>
      </w:r>
      <w:r>
        <w:rPr>
          <w:rFonts w:hint="eastAsia" w:ascii="仿宋" w:hAnsi="仿宋" w:eastAsia="仿宋" w:cs="仿宋"/>
          <w:color w:val="auto"/>
          <w:sz w:val="32"/>
          <w:szCs w:val="32"/>
          <w:shd w:val="clear" w:color="auto" w:fill="FFFFFF"/>
        </w:rPr>
        <w:t>购货物支出</w:t>
      </w:r>
      <w:r>
        <w:rPr>
          <w:rFonts w:hint="eastAsia" w:ascii="仿宋" w:hAnsi="仿宋" w:eastAsia="仿宋" w:cs="仿宋"/>
          <w:color w:val="auto"/>
          <w:sz w:val="32"/>
          <w:szCs w:val="32"/>
          <w:shd w:val="clear" w:color="auto" w:fill="FFFFFF"/>
          <w:lang w:val="en-US" w:eastAsia="zh-CN"/>
        </w:rPr>
        <w:t xml:space="preserve"> 26.56</w:t>
      </w:r>
      <w:r>
        <w:rPr>
          <w:rFonts w:hint="eastAsia" w:ascii="仿宋" w:hAnsi="仿宋" w:eastAsia="仿宋" w:cs="仿宋"/>
          <w:color w:val="auto"/>
          <w:sz w:val="32"/>
          <w:szCs w:val="32"/>
          <w:shd w:val="clear" w:color="auto" w:fill="FFFFFF"/>
        </w:rPr>
        <w:t>万元，</w:t>
      </w:r>
      <w:r>
        <w:rPr>
          <w:rFonts w:hint="eastAsia" w:ascii="仿宋" w:hAnsi="仿宋" w:eastAsia="仿宋" w:cs="仿宋"/>
          <w:color w:val="auto"/>
          <w:sz w:val="32"/>
          <w:szCs w:val="32"/>
          <w:shd w:val="clear" w:color="auto" w:fill="FFFFFF"/>
          <w:lang w:eastAsia="zh-CN"/>
        </w:rPr>
        <w:t>工程类</w:t>
      </w:r>
      <w:r>
        <w:rPr>
          <w:rFonts w:hint="eastAsia" w:ascii="仿宋" w:hAnsi="仿宋" w:eastAsia="仿宋" w:cs="仿宋"/>
          <w:color w:val="auto"/>
          <w:sz w:val="32"/>
          <w:szCs w:val="32"/>
          <w:shd w:val="clear" w:color="auto" w:fill="FFFFFF"/>
          <w:lang w:val="en-US" w:eastAsia="zh-CN"/>
        </w:rPr>
        <w:t xml:space="preserve"> 0万元，</w:t>
      </w:r>
      <w:r>
        <w:rPr>
          <w:rFonts w:hint="eastAsia" w:ascii="仿宋" w:hAnsi="仿宋" w:eastAsia="仿宋" w:cs="仿宋"/>
          <w:color w:val="auto"/>
          <w:sz w:val="32"/>
          <w:szCs w:val="32"/>
          <w:shd w:val="clear" w:color="auto" w:fill="FFFFFF"/>
        </w:rPr>
        <w:t>服务类</w:t>
      </w:r>
      <w:r>
        <w:rPr>
          <w:rFonts w:hint="eastAsia" w:ascii="仿宋" w:hAnsi="仿宋" w:eastAsia="仿宋" w:cs="仿宋"/>
          <w:color w:val="auto"/>
          <w:sz w:val="32"/>
          <w:szCs w:val="32"/>
          <w:shd w:val="clear" w:color="auto" w:fill="FFFFFF"/>
          <w:lang w:val="en-US" w:eastAsia="zh-CN"/>
        </w:rPr>
        <w:t xml:space="preserve"> 223.99</w:t>
      </w:r>
      <w:r>
        <w:rPr>
          <w:rFonts w:hint="eastAsia" w:ascii="仿宋" w:hAnsi="仿宋" w:eastAsia="仿宋" w:cs="仿宋"/>
          <w:color w:val="auto"/>
          <w:sz w:val="32"/>
          <w:szCs w:val="32"/>
          <w:shd w:val="clear" w:color="auto" w:fill="FFFFFF"/>
        </w:rPr>
        <w:t>万元。</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（五）</w:t>
      </w:r>
      <w:r>
        <w:rPr>
          <w:rFonts w:hint="eastAsia" w:ascii="仿宋" w:hAnsi="仿宋" w:eastAsia="仿宋" w:cs="仿宋"/>
          <w:sz w:val="32"/>
          <w:szCs w:val="32"/>
        </w:rPr>
        <w:t>部门年度整体工作目标任务完成情况，</w:t>
      </w:r>
    </w:p>
    <w:p>
      <w:pPr>
        <w:ind w:firstLine="640" w:firstLineChars="200"/>
        <w:rPr>
          <w:rFonts w:hint="default" w:ascii="仿宋" w:hAnsi="仿宋" w:eastAsia="仿宋" w:cs="仿宋"/>
          <w:b/>
          <w:bCs/>
          <w:color w:val="000000" w:themeColor="text1"/>
          <w:sz w:val="32"/>
          <w:szCs w:val="32"/>
          <w:lang w:val="en-US" w:bidi="zh-CN"/>
          <w14:textFill>
            <w14:solidFill>
              <w14:schemeClr w14:val="tx1"/>
            </w14:solidFill>
          </w14:textFill>
        </w:rPr>
      </w:pPr>
      <w:r>
        <w:rPr>
          <w:rFonts w:hint="eastAsia" w:ascii="仿宋" w:hAnsi="仿宋" w:eastAsia="仿宋" w:cs="仿宋"/>
          <w:sz w:val="32"/>
          <w:szCs w:val="32"/>
          <w:lang w:val="en-US" w:eastAsia="zh-CN"/>
        </w:rPr>
        <w:t>2023年整体工作目标完成较好，</w:t>
      </w:r>
      <w:r>
        <w:rPr>
          <w:rFonts w:hint="default" w:ascii="仿宋" w:hAnsi="仿宋" w:eastAsia="仿宋" w:cs="仿宋"/>
          <w:sz w:val="32"/>
          <w:szCs w:val="32"/>
        </w:rPr>
        <w:t>编制了《中方县202</w:t>
      </w:r>
      <w:r>
        <w:rPr>
          <w:rFonts w:hint="default" w:ascii="仿宋" w:hAnsi="仿宋" w:eastAsia="仿宋" w:cs="仿宋"/>
          <w:sz w:val="32"/>
          <w:szCs w:val="32"/>
          <w:lang w:val="en-US" w:eastAsia="zh-CN"/>
        </w:rPr>
        <w:t>3</w:t>
      </w:r>
      <w:r>
        <w:rPr>
          <w:rFonts w:hint="default" w:ascii="仿宋" w:hAnsi="仿宋" w:eastAsia="仿宋" w:cs="仿宋"/>
          <w:sz w:val="32"/>
          <w:szCs w:val="32"/>
        </w:rPr>
        <w:t>年固定资产投资项目工作手册》，按时下达年度投资计划并细化到月份。确保全县固定资产投资持续稳定增长。</w:t>
      </w:r>
      <w:r>
        <w:rPr>
          <w:rFonts w:hint="default" w:ascii="仿宋" w:hAnsi="仿宋" w:eastAsia="仿宋" w:cs="仿宋"/>
          <w:sz w:val="32"/>
          <w:szCs w:val="32"/>
          <w:lang w:val="en-US" w:eastAsia="zh-CN"/>
        </w:rPr>
        <w:t>1-11月，全县固定资产投资完成41.5亿元，同比增长8%，超全市平均（6.6%）1.4个百分点，排名全市第6位</w:t>
      </w:r>
      <w:r>
        <w:rPr>
          <w:rFonts w:hint="eastAsia" w:ascii="仿宋" w:hAnsi="仿宋" w:eastAsia="仿宋" w:cs="仿宋"/>
          <w:sz w:val="32"/>
          <w:szCs w:val="32"/>
          <w:lang w:val="en-US" w:eastAsia="zh-CN"/>
        </w:rPr>
        <w:t>。会同财政及项目主管单位在政策研究、项目谋划、前期推进、跟踪衔接等方面进一步强化协同联动，全年共争取上级资金5.43亿元。其中，中央预算内投资项目13个，争取资金1.23亿元，同比增长87.2%；发行专项债券3批次共4.2亿元，同比增长42%。严格落实县级领导干部联系项目制度，扎实开展重点项目集中开工活动。2023年全县实施省市重点项目15个，计划投资24.03亿元。截止12月底，累计完成投资35.14亿元，完成年度目标任务的146.23%，项目入统率100%。牵头编制《中方县城城镇化实施方案（2022-2025）》，我县定位专业功能县城，于2023年2月顺利通过省发改委评审。</w:t>
      </w:r>
      <w:r>
        <w:rPr>
          <w:rFonts w:hint="default" w:ascii="仿宋" w:hAnsi="仿宋" w:eastAsia="仿宋" w:cs="仿宋"/>
          <w:sz w:val="32"/>
          <w:szCs w:val="32"/>
          <w:lang w:val="en-US" w:eastAsia="zh-CN"/>
        </w:rPr>
        <w:t>全力保障项目前期工作，助力政府性投资项目加速落地。全年共审批</w:t>
      </w:r>
      <w:r>
        <w:rPr>
          <w:rFonts w:hint="eastAsia" w:ascii="仿宋" w:hAnsi="仿宋" w:eastAsia="仿宋" w:cs="仿宋"/>
          <w:sz w:val="32"/>
          <w:szCs w:val="32"/>
          <w:lang w:val="en-US" w:eastAsia="zh-CN"/>
        </w:rPr>
        <w:t>县</w:t>
      </w:r>
      <w:r>
        <w:rPr>
          <w:rFonts w:hint="default" w:ascii="仿宋" w:hAnsi="仿宋" w:eastAsia="仿宋" w:cs="仿宋"/>
          <w:sz w:val="32"/>
          <w:szCs w:val="32"/>
          <w:lang w:val="en-US" w:eastAsia="zh-CN"/>
        </w:rPr>
        <w:t>本级权限内政府投资项目可行性研究报告</w:t>
      </w:r>
      <w:r>
        <w:rPr>
          <w:rFonts w:hint="eastAsia" w:ascii="仿宋" w:hAnsi="仿宋" w:eastAsia="仿宋" w:cs="仿宋"/>
          <w:sz w:val="32"/>
          <w:szCs w:val="32"/>
          <w:lang w:val="en-US" w:eastAsia="zh-CN"/>
        </w:rPr>
        <w:t>50</w:t>
      </w:r>
      <w:r>
        <w:rPr>
          <w:rFonts w:hint="default" w:ascii="仿宋" w:hAnsi="仿宋" w:eastAsia="仿宋" w:cs="仿宋"/>
          <w:sz w:val="32"/>
          <w:szCs w:val="32"/>
          <w:lang w:val="en-US" w:eastAsia="zh-CN"/>
        </w:rPr>
        <w:t>件，审核项目概算2</w:t>
      </w:r>
      <w:r>
        <w:rPr>
          <w:rFonts w:hint="eastAsia" w:ascii="仿宋" w:hAnsi="仿宋" w:eastAsia="仿宋" w:cs="仿宋"/>
          <w:sz w:val="32"/>
          <w:szCs w:val="32"/>
          <w:lang w:val="en-US" w:eastAsia="zh-CN"/>
        </w:rPr>
        <w:t>1</w:t>
      </w:r>
      <w:r>
        <w:rPr>
          <w:rFonts w:hint="default" w:ascii="仿宋" w:hAnsi="仿宋" w:eastAsia="仿宋" w:cs="仿宋"/>
          <w:sz w:val="32"/>
          <w:szCs w:val="32"/>
          <w:lang w:val="en-US" w:eastAsia="zh-CN"/>
        </w:rPr>
        <w:t>件，办件量同比去年增长50%，平均审批用时2.5个工作日，相比去年平均用时减少0.5个工作日，量效俱增。通过加快推进我县2个集中式风电项目的实施，大力发展稳定支撑性电源，促进绿色转型，为中方高质量发展注入强劲动力</w:t>
      </w:r>
      <w:r>
        <w:rPr>
          <w:rFonts w:hint="default" w:ascii="Times New Roman" w:hAnsi="Times New Roman" w:eastAsia="方正仿宋简体" w:cs="Times New Roman"/>
          <w:b w:val="0"/>
          <w:bCs w:val="0"/>
          <w:sz w:val="32"/>
          <w:szCs w:val="32"/>
        </w:rPr>
        <w:t>。</w:t>
      </w:r>
      <w:r>
        <w:rPr>
          <w:rFonts w:hint="default" w:ascii="仿宋" w:hAnsi="仿宋" w:eastAsia="仿宋" w:cs="仿宋"/>
          <w:sz w:val="32"/>
          <w:szCs w:val="32"/>
          <w:lang w:val="en-US" w:eastAsia="zh-CN"/>
        </w:rPr>
        <w:t>全县目前一共建成公共充电桩54个，居民自用充电桩143个，仅2023年就建设投运公共充电桩16个，居民自用充电桩68个。</w:t>
      </w:r>
      <w:r>
        <w:rPr>
          <w:rFonts w:hint="eastAsia" w:ascii="仿宋" w:hAnsi="仿宋" w:eastAsia="仿宋" w:cs="仿宋"/>
          <w:sz w:val="32"/>
          <w:szCs w:val="32"/>
          <w:lang w:val="en-US" w:eastAsia="zh-CN"/>
        </w:rPr>
        <w:t>高效加强资源环境管理管控。制定印发了《中方县进一步加强塑料污染治理2023年度工作方案》《中方县进一步加强商品过度包装治理的行动方案（2023-2025年）》《中方县废弃汽车治理2023年工作方案》《2023年中方县反食品浪费工作方案》等年度工作要点，为促进生产生活方式绿色转型、加强生态文明建设提供有力支撑</w:t>
      </w:r>
      <w:r>
        <w:rPr>
          <w:rFonts w:hint="eastAsia" w:ascii="Times New Roman" w:hAnsi="Times New Roman" w:eastAsia="方正仿宋简体" w:cs="Times New Roman"/>
          <w:b w:val="0"/>
          <w:bCs w:val="0"/>
          <w:sz w:val="32"/>
          <w:szCs w:val="32"/>
          <w:lang w:val="en-US" w:eastAsia="zh-CN"/>
        </w:rPr>
        <w:t>。</w:t>
      </w:r>
      <w:r>
        <w:rPr>
          <w:rFonts w:hint="eastAsia" w:ascii="仿宋" w:hAnsi="仿宋" w:eastAsia="仿宋" w:cs="仿宋"/>
          <w:sz w:val="32"/>
          <w:szCs w:val="32"/>
          <w:lang w:val="en-US" w:eastAsia="zh-CN"/>
        </w:rPr>
        <w:t>优化了县级层面碳达峰碳中和领导小组，编制了《中方县碳达峰实施方案（送审稿）》，明确了重点任务的十大行动，突出了政策保障和组织实施。</w:t>
      </w:r>
      <w:r>
        <w:rPr>
          <w:rFonts w:hint="default" w:ascii="仿宋" w:hAnsi="仿宋" w:eastAsia="仿宋" w:cs="仿宋"/>
          <w:sz w:val="32"/>
          <w:szCs w:val="32"/>
          <w:lang w:val="en-US" w:eastAsia="zh-CN"/>
        </w:rPr>
        <w:t>公示了《中方县行政事业性收费目录》、《中方县涉企行政事业性收费目录》，完成了污水处理收费、幼儿园保教费政策调整，编制了《中方县农业水价综合改革实施方案（2023-2025年）》，对中方县第一幼儿园、童之梦幼儿园等23所幼儿园保教费进行了收费备案。按照法定程序和标准做好价格认定工作，全年共办理各类案件价格认证31起，价格认定值156.73万元。加强价格监测工作，涉及粮、油、肉、禽、蛋、蔬菜等重要民生8类55个品种价格，全年共上报价格日报表180余份，采集各类数据9500余条。继续实行种粮大户奖补政策，严格执行年度地方储备粮轮换计划，落实县级1248吨储备粮轮换和464吨临储粮处置计划，确保3500吨县级储备和180吨应急成品规模。推进粮食购销领域监管信息化建设。全面完成湖南金珠米业2万吨仓储设施智能升级产后服务项目和怀化天天食品公司年产5万吨米粉生产线扩建项目建设，获得170万元资金支持。全年开展党组理论中心组学习12次、3个党支部上党课7次。全年落实专题学习12次，讲微党课57人次，观看党性教育片12部，开展红色基地教育1次。全年召开党风廉政建设会议2次，开展党风廉政学习4次，开展职务调整集体谈话20人次，开展典型案例警示教育6批次。</w:t>
      </w:r>
      <w:r>
        <w:rPr>
          <w:rFonts w:hint="default" w:ascii="仿宋" w:hAnsi="仿宋" w:eastAsia="仿宋" w:cs="仿宋"/>
          <w:kern w:val="2"/>
          <w:sz w:val="32"/>
          <w:szCs w:val="32"/>
          <w:lang w:val="en-US" w:eastAsia="zh-CN" w:bidi="ar-SA"/>
        </w:rPr>
        <w:t>加大就业帮扶力度。由县就业服务中心组织</w:t>
      </w:r>
      <w:r>
        <w:rPr>
          <w:rFonts w:hint="default" w:ascii="Times New Roman" w:hAnsi="Times New Roman" w:eastAsia="方正仿宋简体" w:cs="Times New Roman"/>
          <w:b w:val="0"/>
          <w:bCs/>
          <w:color w:val="000000"/>
          <w:sz w:val="32"/>
          <w:szCs w:val="32"/>
        </w:rPr>
        <w:t>，</w:t>
      </w:r>
      <w:r>
        <w:rPr>
          <w:rFonts w:hint="default" w:ascii="仿宋" w:hAnsi="仿宋" w:eastAsia="仿宋" w:cs="仿宋"/>
          <w:kern w:val="2"/>
          <w:sz w:val="32"/>
          <w:szCs w:val="32"/>
          <w:lang w:val="en-US" w:eastAsia="zh-CN" w:bidi="ar-SA"/>
        </w:rPr>
        <w:t>在中方镇、泸阳镇易地搬迁集中安置点举办“春风行动”现场招聘会，搬迁居民意向就业申报180余人。开办技能培训办3场，参与培训的搬迁人员为255人次</w:t>
      </w:r>
      <w:r>
        <w:rPr>
          <w:rFonts w:hint="default" w:ascii="Times New Roman" w:hAnsi="Times New Roman" w:eastAsia="方正仿宋简体" w:cs="Times New Roman"/>
          <w:sz w:val="32"/>
          <w:szCs w:val="32"/>
        </w:rPr>
        <w:t>；</w:t>
      </w:r>
      <w:r>
        <w:rPr>
          <w:rFonts w:hint="default" w:ascii="仿宋" w:hAnsi="仿宋" w:eastAsia="仿宋" w:cs="仿宋"/>
          <w:kern w:val="2"/>
          <w:sz w:val="32"/>
          <w:szCs w:val="32"/>
          <w:lang w:val="en-US" w:eastAsia="zh-CN" w:bidi="ar-SA"/>
        </w:rPr>
        <w:t>加大城镇和社区保洁、治安、护路、管水、扶残助残、养老护理、绿化、交通协管、公共设施管护等公益性岗位开发力度，深度开发就业帮扶特岗，重点用于安排搬迁脱贫户中的“50”人员和就业困难人员就业，截止目前全县易地搬迁公益性岗位已设立79个。对2016年至今易地搬迁户通过开办商店、餐饮、家政等服务业自主发展实体创业的，一次性给予固定资产投资额20%奖励，每户最多不超过1万元。2023年度搬迁户自主创业6户14人，年增收3万余元，发放奖补资金5.06万元。持续实施《2022年中方易地扶贫搬迁安置点乡村治理专项行动方案》</w:t>
      </w:r>
      <w:r>
        <w:rPr>
          <w:rFonts w:hint="default" w:ascii="Times New Roman" w:hAnsi="Times New Roman" w:eastAsia="方正仿宋简体" w:cs="Times New Roman"/>
          <w:kern w:val="0"/>
          <w:sz w:val="32"/>
          <w:szCs w:val="32"/>
          <w:lang w:bidi="ar"/>
        </w:rPr>
        <w:t>，</w:t>
      </w:r>
      <w:r>
        <w:rPr>
          <w:rFonts w:hint="default" w:ascii="仿宋" w:hAnsi="仿宋" w:eastAsia="仿宋" w:cs="仿宋"/>
          <w:kern w:val="2"/>
          <w:sz w:val="32"/>
          <w:szCs w:val="32"/>
          <w:lang w:val="en-US" w:eastAsia="zh-CN" w:bidi="ar-SA"/>
        </w:rPr>
        <w:t>促使社区便民服务能力增强，搬迁群众社会融入度进一步提升，获得感、幸福感、安全感进一步提升。</w:t>
      </w:r>
      <w:r>
        <w:rPr>
          <w:rFonts w:hint="eastAsia" w:ascii="仿宋" w:hAnsi="仿宋" w:eastAsia="仿宋" w:cs="仿宋"/>
          <w:sz w:val="32"/>
          <w:szCs w:val="32"/>
          <w:lang w:val="en-US" w:eastAsia="zh-CN"/>
        </w:rPr>
        <w:t>国防动员工作有序开展。</w:t>
      </w:r>
      <w:r>
        <w:rPr>
          <w:rFonts w:hint="default" w:ascii="仿宋" w:hAnsi="仿宋" w:eastAsia="仿宋" w:cs="仿宋"/>
          <w:sz w:val="32"/>
          <w:szCs w:val="32"/>
          <w:lang w:val="en-US" w:eastAsia="zh-CN"/>
        </w:rPr>
        <w:t>体制改革到位，着力强化机构运行。全面落实中央、省委、市委、县委关于国防动员体制改革决策部署，我县在全市率先完成了国防动员办公室挂牌、班子配备、人员转隶、机构设置等工作。实现了机构融合、人员融合、工作融合的良好局面。人防指挥与信息化系统逐步完善。</w:t>
      </w:r>
    </w:p>
    <w:p>
      <w:pPr>
        <w:widowControl/>
        <w:numPr>
          <w:ilvl w:val="0"/>
          <w:numId w:val="0"/>
        </w:numPr>
        <w:shd w:val="clear" w:color="auto" w:fill="FFFFFF"/>
        <w:ind w:firstLine="640" w:firstLineChars="200"/>
        <w:jc w:val="left"/>
        <w:rPr>
          <w:rFonts w:hint="eastAsia" w:ascii="仿宋" w:hAnsi="仿宋" w:eastAsia="仿宋" w:cs="仿宋"/>
          <w:sz w:val="32"/>
          <w:szCs w:val="32"/>
        </w:rPr>
      </w:pPr>
      <w:r>
        <w:rPr>
          <w:rFonts w:ascii="仿宋" w:hAnsi="仿宋" w:eastAsia="仿宋" w:cs="仿宋"/>
          <w:i w:val="0"/>
          <w:iCs w:val="0"/>
          <w:caps w:val="0"/>
          <w:color w:val="333333"/>
          <w:spacing w:val="0"/>
          <w:sz w:val="32"/>
          <w:szCs w:val="32"/>
          <w:shd w:val="clear" w:fill="FFFFFF"/>
        </w:rPr>
        <w:t>通过问卷调查和走访的形式，对满意度指标进行了调查和分析，</w:t>
      </w:r>
      <w:r>
        <w:rPr>
          <w:rFonts w:hint="eastAsia" w:ascii="仿宋" w:hAnsi="仿宋" w:eastAsia="仿宋" w:cs="仿宋"/>
          <w:i w:val="0"/>
          <w:iCs w:val="0"/>
          <w:caps w:val="0"/>
          <w:color w:val="333333"/>
          <w:spacing w:val="0"/>
          <w:sz w:val="32"/>
          <w:szCs w:val="32"/>
          <w:shd w:val="clear" w:fill="FFFFFF"/>
          <w:lang w:eastAsia="zh-CN"/>
        </w:rPr>
        <w:t>企业</w:t>
      </w:r>
      <w:r>
        <w:rPr>
          <w:rFonts w:ascii="仿宋" w:hAnsi="仿宋" w:eastAsia="仿宋" w:cs="仿宋"/>
          <w:i w:val="0"/>
          <w:iCs w:val="0"/>
          <w:caps w:val="0"/>
          <w:color w:val="333333"/>
          <w:spacing w:val="0"/>
          <w:sz w:val="32"/>
          <w:szCs w:val="32"/>
          <w:shd w:val="clear" w:fill="FFFFFF"/>
        </w:rPr>
        <w:t>和服务对象对财政资金的使用情况基本满意，满意度达</w:t>
      </w:r>
      <w:r>
        <w:rPr>
          <w:rFonts w:hint="eastAsia" w:ascii="仿宋" w:hAnsi="仿宋" w:eastAsia="仿宋" w:cs="仿宋"/>
          <w:i w:val="0"/>
          <w:iCs w:val="0"/>
          <w:caps w:val="0"/>
          <w:color w:val="333333"/>
          <w:spacing w:val="0"/>
          <w:sz w:val="32"/>
          <w:szCs w:val="32"/>
          <w:shd w:val="clear" w:fill="FFFFFF"/>
        </w:rPr>
        <w:t>90%以上。</w:t>
      </w:r>
    </w:p>
    <w:p>
      <w:pPr>
        <w:pStyle w:val="3"/>
        <w:bidi w:val="0"/>
      </w:pPr>
      <w:r>
        <w:rPr>
          <w:rFonts w:hint="eastAsia"/>
        </w:rPr>
        <w:t>二、部门整体评价工作开展</w:t>
      </w:r>
    </w:p>
    <w:p>
      <w:pPr>
        <w:pStyle w:val="10"/>
        <w:keepNext w:val="0"/>
        <w:keepLines w:val="0"/>
        <w:pageBreakBefore w:val="0"/>
        <w:shd w:val="clear" w:color="auto" w:fill="FFFFFF"/>
        <w:kinsoku/>
        <w:wordWrap/>
        <w:topLinePunct w:val="0"/>
        <w:autoSpaceDE/>
        <w:autoSpaceDN/>
        <w:bidi w:val="0"/>
        <w:adjustRightInd/>
        <w:snapToGrid/>
        <w:spacing w:before="0" w:beforeAutospacing="0" w:after="300" w:afterAutospacing="0" w:line="560" w:lineRule="exact"/>
        <w:ind w:firstLine="596" w:firstLineChars="200"/>
        <w:contextualSpacing/>
        <w:textAlignment w:val="auto"/>
        <w:rPr>
          <w:rFonts w:hint="eastAsia" w:ascii="仿宋" w:hAnsi="仿宋" w:eastAsia="仿宋" w:cs="仿宋"/>
          <w:spacing w:val="-11"/>
          <w:sz w:val="32"/>
          <w:szCs w:val="32"/>
        </w:rPr>
      </w:pPr>
      <w:r>
        <w:rPr>
          <w:rFonts w:hint="eastAsia" w:ascii="仿宋" w:hAnsi="仿宋" w:eastAsia="仿宋" w:cs="仿宋"/>
          <w:spacing w:val="-11"/>
          <w:sz w:val="32"/>
          <w:szCs w:val="32"/>
        </w:rPr>
        <w:t>（一）绩效评价实施过程情况</w:t>
      </w:r>
    </w:p>
    <w:p>
      <w:pPr>
        <w:pStyle w:val="10"/>
        <w:keepNext w:val="0"/>
        <w:keepLines w:val="0"/>
        <w:pageBreakBefore w:val="0"/>
        <w:shd w:val="clear" w:color="auto" w:fill="FFFFFF"/>
        <w:kinsoku/>
        <w:wordWrap/>
        <w:topLinePunct w:val="0"/>
        <w:autoSpaceDE/>
        <w:autoSpaceDN/>
        <w:bidi w:val="0"/>
        <w:adjustRightInd/>
        <w:snapToGrid/>
        <w:spacing w:before="0" w:beforeAutospacing="0" w:after="300" w:afterAutospacing="0" w:line="560" w:lineRule="exact"/>
        <w:ind w:firstLine="643" w:firstLineChars="200"/>
        <w:contextualSpacing/>
        <w:textAlignment w:val="auto"/>
        <w:rPr>
          <w:rFonts w:hint="default" w:ascii="仿宋" w:hAnsi="仿宋" w:eastAsia="仿宋" w:cs="仿宋"/>
          <w:sz w:val="32"/>
          <w:szCs w:val="32"/>
          <w:lang w:val="en-US" w:eastAsia="zh-CN" w:bidi="ar-SA"/>
        </w:rPr>
      </w:pPr>
      <w:r>
        <w:rPr>
          <w:rFonts w:hint="eastAsia" w:ascii="楷体" w:hAnsi="楷体" w:eastAsia="楷体" w:cs="楷体"/>
          <w:b/>
          <w:bCs/>
          <w:color w:val="auto"/>
          <w:kern w:val="2"/>
          <w:sz w:val="32"/>
          <w:szCs w:val="32"/>
          <w:lang w:val="en-US" w:eastAsia="zh-CN"/>
        </w:rPr>
        <w:t>1、</w:t>
      </w:r>
      <w:r>
        <w:rPr>
          <w:rFonts w:hint="eastAsia" w:ascii="楷体" w:hAnsi="楷体" w:eastAsia="楷体" w:cs="楷体"/>
          <w:b/>
          <w:bCs/>
          <w:color w:val="auto"/>
          <w:kern w:val="2"/>
          <w:sz w:val="32"/>
          <w:szCs w:val="32"/>
        </w:rPr>
        <w:t>前期准备阶段</w:t>
      </w:r>
      <w:r>
        <w:rPr>
          <w:rFonts w:hint="eastAsia" w:ascii="楷体" w:hAnsi="楷体" w:eastAsia="楷体" w:cs="楷体"/>
          <w:b/>
          <w:bCs/>
          <w:color w:val="auto"/>
          <w:kern w:val="2"/>
          <w:sz w:val="32"/>
          <w:szCs w:val="32"/>
          <w:lang w:eastAsia="zh-CN"/>
        </w:rPr>
        <w:t>。</w:t>
      </w:r>
      <w:r>
        <w:rPr>
          <w:rFonts w:hint="eastAsia" w:ascii="仿宋" w:hAnsi="仿宋" w:eastAsia="仿宋" w:cs="仿宋"/>
          <w:sz w:val="32"/>
          <w:szCs w:val="32"/>
          <w:lang w:val="en-US" w:eastAsia="zh-CN" w:bidi="ar-SA"/>
        </w:rPr>
        <w:t>组建评价工作小组,制定具体的绩效评价工作方案。评价工作组与相关人员进行座谈、了解项目情况，结合本次绩效评价工作要求的基础上，制定绩效评价工作方案，明确评价对象和范围、评价目的、评价内容、评价方法、指标体系框架、组织形式、时间安排和工作要求等具体事项。</w:t>
      </w:r>
    </w:p>
    <w:p>
      <w:pPr>
        <w:pStyle w:val="10"/>
        <w:keepNext w:val="0"/>
        <w:keepLines w:val="0"/>
        <w:pageBreakBefore w:val="0"/>
        <w:shd w:val="clear" w:color="auto" w:fill="FFFFFF"/>
        <w:kinsoku/>
        <w:wordWrap/>
        <w:topLinePunct w:val="0"/>
        <w:autoSpaceDE/>
        <w:autoSpaceDN/>
        <w:bidi w:val="0"/>
        <w:adjustRightInd/>
        <w:snapToGrid/>
        <w:spacing w:before="0" w:beforeAutospacing="0" w:after="300" w:afterAutospacing="0" w:line="560" w:lineRule="exact"/>
        <w:contextualSpacing/>
        <w:textAlignment w:val="auto"/>
        <w:rPr>
          <w:rFonts w:hint="eastAsia" w:ascii="仿宋" w:hAnsi="仿宋" w:eastAsia="仿宋" w:cs="仿宋"/>
          <w:sz w:val="32"/>
          <w:szCs w:val="32"/>
          <w:lang w:val="en-US" w:eastAsia="zh-CN" w:bidi="ar-SA"/>
        </w:rPr>
      </w:pPr>
      <w:r>
        <w:rPr>
          <w:rFonts w:hint="eastAsia" w:ascii="仿宋_GB2312" w:hAnsi="Calibri" w:eastAsia="仿宋_GB2312" w:cs="Times New Roman"/>
          <w:color w:val="auto"/>
          <w:kern w:val="2"/>
          <w:sz w:val="32"/>
          <w:szCs w:val="32"/>
        </w:rPr>
        <w:t>　　</w:t>
      </w:r>
      <w:r>
        <w:rPr>
          <w:rFonts w:hint="eastAsia" w:ascii="楷体" w:hAnsi="楷体" w:eastAsia="楷体" w:cs="楷体"/>
          <w:b/>
          <w:bCs/>
          <w:color w:val="auto"/>
          <w:kern w:val="2"/>
          <w:sz w:val="32"/>
          <w:szCs w:val="32"/>
        </w:rPr>
        <w:t>2</w:t>
      </w:r>
      <w:r>
        <w:rPr>
          <w:rFonts w:hint="eastAsia" w:ascii="楷体" w:hAnsi="楷体" w:eastAsia="楷体" w:cs="楷体"/>
          <w:b/>
          <w:bCs/>
          <w:color w:val="auto"/>
          <w:kern w:val="2"/>
          <w:sz w:val="32"/>
          <w:szCs w:val="32"/>
          <w:lang w:eastAsia="zh-CN"/>
        </w:rPr>
        <w:t>、</w:t>
      </w:r>
      <w:r>
        <w:rPr>
          <w:rFonts w:hint="eastAsia" w:ascii="楷体" w:hAnsi="楷体" w:eastAsia="楷体" w:cs="楷体"/>
          <w:b/>
          <w:bCs/>
          <w:color w:val="auto"/>
          <w:kern w:val="2"/>
          <w:sz w:val="32"/>
          <w:szCs w:val="32"/>
        </w:rPr>
        <w:t>现场调研及审核阶</w:t>
      </w:r>
      <w:r>
        <w:rPr>
          <w:rFonts w:hint="eastAsia" w:ascii="楷体" w:hAnsi="楷体" w:eastAsia="楷体" w:cs="楷体"/>
          <w:b/>
          <w:bCs/>
          <w:color w:val="auto"/>
          <w:kern w:val="2"/>
          <w:sz w:val="32"/>
          <w:szCs w:val="32"/>
          <w:lang w:eastAsia="zh-CN"/>
        </w:rPr>
        <w:t>段。</w:t>
      </w:r>
      <w:r>
        <w:rPr>
          <w:rFonts w:hint="eastAsia" w:ascii="仿宋" w:hAnsi="仿宋" w:eastAsia="仿宋" w:cs="仿宋"/>
          <w:sz w:val="32"/>
          <w:szCs w:val="32"/>
          <w:lang w:val="en-US" w:eastAsia="zh-CN" w:bidi="ar-SA"/>
        </w:rPr>
        <w:t>主要工作包括：听取项目的介绍，核查、收集与项目实施有关的文件材料，了解项目资金使用及效益情况。对本项目资金使用情况项目情况进行调查了解，收集、整理、填报评价基础数据资料，对有关内容进行审核，重点对评价基础数据的准确性、完整性及相应佐证材料的有效性进行审核，并将审核过程中发现的问题、审核意见记录清楚。在整理分析总体情况和项目资料之后，评价工作组根据现场调研情况，细化评价指标，明确指标权重和评分标准，制定评价指标体系。</w:t>
      </w:r>
    </w:p>
    <w:p>
      <w:pPr>
        <w:pStyle w:val="10"/>
        <w:keepNext w:val="0"/>
        <w:keepLines w:val="0"/>
        <w:pageBreakBefore w:val="0"/>
        <w:shd w:val="clear" w:color="auto" w:fill="FFFFFF"/>
        <w:kinsoku/>
        <w:wordWrap/>
        <w:topLinePunct w:val="0"/>
        <w:autoSpaceDE/>
        <w:autoSpaceDN/>
        <w:bidi w:val="0"/>
        <w:adjustRightInd/>
        <w:snapToGrid/>
        <w:spacing w:before="0" w:beforeAutospacing="0" w:after="300" w:afterAutospacing="0" w:line="560" w:lineRule="exact"/>
        <w:ind w:firstLine="641"/>
        <w:contextualSpacing/>
        <w:textAlignment w:val="auto"/>
        <w:rPr>
          <w:rFonts w:hint="eastAsia" w:ascii="仿宋" w:hAnsi="仿宋" w:eastAsia="仿宋" w:cs="仿宋"/>
          <w:sz w:val="32"/>
          <w:szCs w:val="32"/>
          <w:lang w:val="en-US" w:eastAsia="zh-CN" w:bidi="ar-SA"/>
        </w:rPr>
      </w:pPr>
      <w:r>
        <w:rPr>
          <w:rFonts w:hint="eastAsia" w:ascii="楷体" w:hAnsi="楷体" w:eastAsia="楷体" w:cs="楷体"/>
          <w:b/>
          <w:bCs/>
          <w:color w:val="auto"/>
          <w:kern w:val="2"/>
          <w:sz w:val="32"/>
          <w:szCs w:val="32"/>
        </w:rPr>
        <w:t>3</w:t>
      </w:r>
      <w:r>
        <w:rPr>
          <w:rFonts w:hint="eastAsia" w:ascii="楷体" w:hAnsi="楷体" w:eastAsia="楷体" w:cs="楷体"/>
          <w:b/>
          <w:bCs/>
          <w:color w:val="auto"/>
          <w:kern w:val="2"/>
          <w:sz w:val="32"/>
          <w:szCs w:val="32"/>
          <w:lang w:eastAsia="zh-CN"/>
        </w:rPr>
        <w:t>、</w:t>
      </w:r>
      <w:r>
        <w:rPr>
          <w:rFonts w:hint="eastAsia" w:ascii="楷体" w:hAnsi="楷体" w:eastAsia="楷体" w:cs="楷体"/>
          <w:b/>
          <w:bCs/>
          <w:color w:val="auto"/>
          <w:kern w:val="2"/>
          <w:sz w:val="32"/>
          <w:szCs w:val="32"/>
        </w:rPr>
        <w:t>评价总结阶</w:t>
      </w:r>
      <w:r>
        <w:rPr>
          <w:rFonts w:hint="eastAsia" w:ascii="楷体" w:hAnsi="楷体" w:eastAsia="楷体" w:cs="楷体"/>
          <w:b/>
          <w:bCs/>
          <w:color w:val="auto"/>
          <w:kern w:val="2"/>
          <w:sz w:val="32"/>
          <w:szCs w:val="32"/>
          <w:lang w:eastAsia="zh-CN"/>
        </w:rPr>
        <w:t>段。</w:t>
      </w:r>
      <w:r>
        <w:rPr>
          <w:rFonts w:hint="eastAsia" w:ascii="仿宋" w:hAnsi="仿宋" w:eastAsia="仿宋" w:cs="仿宋"/>
          <w:sz w:val="32"/>
          <w:szCs w:val="32"/>
          <w:lang w:val="en-US" w:eastAsia="zh-CN" w:bidi="ar-SA"/>
        </w:rPr>
        <w:t>主要工作包括：撰写绩效评价报告；</w:t>
      </w:r>
    </w:p>
    <w:p>
      <w:pPr>
        <w:pStyle w:val="10"/>
        <w:keepNext w:val="0"/>
        <w:keepLines w:val="0"/>
        <w:pageBreakBefore w:val="0"/>
        <w:shd w:val="clear" w:color="auto" w:fill="FFFFFF"/>
        <w:kinsoku/>
        <w:wordWrap/>
        <w:topLinePunct w:val="0"/>
        <w:autoSpaceDE/>
        <w:autoSpaceDN/>
        <w:bidi w:val="0"/>
        <w:adjustRightInd/>
        <w:snapToGrid/>
        <w:spacing w:before="0" w:beforeAutospacing="0" w:after="300" w:afterAutospacing="0" w:line="560" w:lineRule="exact"/>
        <w:ind w:firstLine="641"/>
        <w:contextualSpacing/>
        <w:textAlignment w:val="auto"/>
        <w:rPr>
          <w:rFonts w:hint="eastAsia" w:ascii="仿宋" w:hAnsi="仿宋" w:eastAsia="仿宋" w:cs="仿宋"/>
          <w:sz w:val="32"/>
          <w:szCs w:val="32"/>
          <w:lang w:val="en-US" w:eastAsia="zh-CN" w:bidi="ar-SA"/>
        </w:rPr>
      </w:pPr>
      <w:r>
        <w:rPr>
          <w:rFonts w:hint="eastAsia" w:ascii="仿宋" w:hAnsi="仿宋" w:eastAsia="仿宋" w:cs="仿宋"/>
          <w:sz w:val="32"/>
          <w:szCs w:val="32"/>
          <w:lang w:val="en-US" w:eastAsia="zh-CN" w:bidi="ar-SA"/>
        </w:rPr>
        <w:t>沟通初步评价意见；形成绩效评价报告；报送绩效评价报告；归档绩效评价资料。</w:t>
      </w:r>
    </w:p>
    <w:p>
      <w:pPr>
        <w:keepNext w:val="0"/>
        <w:keepLines w:val="0"/>
        <w:pageBreakBefore w:val="0"/>
        <w:widowControl/>
        <w:numPr>
          <w:ilvl w:val="0"/>
          <w:numId w:val="3"/>
        </w:numPr>
        <w:kinsoku/>
        <w:wordWrap/>
        <w:overflowPunct/>
        <w:topLinePunct w:val="0"/>
        <w:autoSpaceDE/>
        <w:autoSpaceDN/>
        <w:bidi w:val="0"/>
        <w:adjustRightInd w:val="0"/>
        <w:snapToGrid w:val="0"/>
        <w:spacing w:after="0" w:line="60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绩效评价整体结果概况</w:t>
      </w:r>
    </w:p>
    <w:p>
      <w:pPr>
        <w:pStyle w:val="20"/>
        <w:widowControl w:val="0"/>
        <w:adjustRightInd/>
        <w:snapToGrid/>
        <w:spacing w:after="0" w:line="480" w:lineRule="atLeast"/>
        <w:ind w:left="0" w:leftChars="0" w:firstLine="640" w:firstLineChars="200"/>
        <w:jc w:val="both"/>
        <w:rPr>
          <w:rFonts w:hint="eastAsia" w:ascii="仿宋" w:hAnsi="仿宋" w:eastAsia="仿宋" w:cs="仿宋"/>
          <w:color w:val="FF0000"/>
          <w:kern w:val="2"/>
          <w:sz w:val="32"/>
          <w:szCs w:val="32"/>
        </w:rPr>
      </w:pPr>
      <w:r>
        <w:rPr>
          <w:rFonts w:hint="eastAsia" w:ascii="仿宋" w:hAnsi="仿宋" w:eastAsia="仿宋" w:cs="Times New Roman"/>
          <w:color w:val="auto"/>
          <w:sz w:val="32"/>
          <w:szCs w:val="32"/>
        </w:rPr>
        <w:t>202</w:t>
      </w:r>
      <w:r>
        <w:rPr>
          <w:rFonts w:hint="eastAsia" w:ascii="仿宋" w:hAnsi="仿宋" w:eastAsia="仿宋" w:cs="Times New Roman"/>
          <w:color w:val="auto"/>
          <w:sz w:val="32"/>
          <w:szCs w:val="32"/>
          <w:lang w:val="en-US" w:eastAsia="zh-CN"/>
        </w:rPr>
        <w:t>3</w:t>
      </w:r>
      <w:r>
        <w:rPr>
          <w:rFonts w:hint="eastAsia" w:ascii="仿宋" w:hAnsi="仿宋" w:eastAsia="仿宋" w:cs="Times New Roman"/>
          <w:color w:val="auto"/>
          <w:sz w:val="32"/>
          <w:szCs w:val="32"/>
        </w:rPr>
        <w:t>年我单位积极履职，强化管理，较好地完成了年度工作目标。通过加强预算收支管理，不断建立健全内部控制制度，梳理内部控制流程，部门整体支出管理水平得到提升。根据部门整体支出绩效评价指标体系，我单位202</w:t>
      </w:r>
      <w:r>
        <w:rPr>
          <w:rFonts w:hint="eastAsia" w:ascii="仿宋" w:hAnsi="仿宋" w:eastAsia="仿宋" w:cs="Times New Roman"/>
          <w:color w:val="auto"/>
          <w:sz w:val="32"/>
          <w:szCs w:val="32"/>
          <w:lang w:val="en-US" w:eastAsia="zh-CN"/>
        </w:rPr>
        <w:t>3</w:t>
      </w:r>
      <w:r>
        <w:rPr>
          <w:rFonts w:hint="eastAsia" w:ascii="仿宋" w:hAnsi="仿宋" w:eastAsia="仿宋" w:cs="Times New Roman"/>
          <w:color w:val="auto"/>
          <w:sz w:val="32"/>
          <w:szCs w:val="32"/>
        </w:rPr>
        <w:t>度评价得分为</w:t>
      </w:r>
      <w:r>
        <w:rPr>
          <w:rFonts w:hint="eastAsia" w:ascii="仿宋" w:hAnsi="仿宋" w:eastAsia="仿宋" w:cs="Times New Roman"/>
          <w:color w:val="auto"/>
          <w:sz w:val="32"/>
          <w:szCs w:val="32"/>
          <w:lang w:val="en-US" w:eastAsia="zh-CN"/>
        </w:rPr>
        <w:t xml:space="preserve">93.8 </w:t>
      </w:r>
      <w:r>
        <w:rPr>
          <w:rFonts w:hint="eastAsia" w:ascii="仿宋" w:hAnsi="仿宋" w:eastAsia="仿宋" w:cs="Times New Roman"/>
          <w:color w:val="auto"/>
          <w:sz w:val="32"/>
          <w:szCs w:val="32"/>
        </w:rPr>
        <w:t>分，评价结果为优秀。项目绩效情况见附件。</w:t>
      </w:r>
    </w:p>
    <w:p>
      <w:pPr>
        <w:pStyle w:val="3"/>
        <w:bidi w:val="0"/>
        <w:rPr>
          <w:rFonts w:hint="eastAsia"/>
        </w:rPr>
      </w:pPr>
      <w:r>
        <w:rPr>
          <w:rFonts w:hint="eastAsia"/>
        </w:rPr>
        <w:t>三、部门整体支出绩效评价分析</w:t>
      </w:r>
    </w:p>
    <w:p>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（一）投入情况分析，包括预算编制、目标设定分析等；</w:t>
      </w:r>
    </w:p>
    <w:p>
      <w:pPr>
        <w:numPr>
          <w:ilvl w:val="0"/>
          <w:numId w:val="0"/>
        </w:numPr>
        <w:snapToGrid w:val="0"/>
        <w:spacing w:line="52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本部门202</w:t>
      </w:r>
      <w:r>
        <w:rPr>
          <w:rFonts w:hint="eastAsia" w:ascii="仿宋" w:hAnsi="仿宋" w:eastAsia="仿宋" w:cs="仿宋"/>
          <w:sz w:val="32"/>
          <w:szCs w:val="32"/>
          <w:lang w:val="en-US" w:eastAsia="zh-CN"/>
        </w:rPr>
        <w:t>3</w:t>
      </w:r>
      <w:r>
        <w:rPr>
          <w:rFonts w:hint="eastAsia" w:ascii="仿宋" w:hAnsi="仿宋" w:eastAsia="仿宋" w:cs="仿宋"/>
          <w:sz w:val="32"/>
          <w:szCs w:val="32"/>
        </w:rPr>
        <w:t>年年末实际在职人员为</w:t>
      </w:r>
      <w:r>
        <w:rPr>
          <w:rFonts w:hint="eastAsia" w:ascii="仿宋" w:hAnsi="仿宋" w:eastAsia="仿宋" w:cs="仿宋"/>
          <w:sz w:val="32"/>
          <w:szCs w:val="32"/>
          <w:lang w:val="en-US" w:eastAsia="zh-CN"/>
        </w:rPr>
        <w:t xml:space="preserve"> 73</w:t>
      </w:r>
      <w:r>
        <w:rPr>
          <w:rFonts w:hint="eastAsia" w:ascii="仿宋" w:hAnsi="仿宋" w:eastAsia="仿宋" w:cs="仿宋"/>
          <w:sz w:val="32"/>
          <w:szCs w:val="32"/>
        </w:rPr>
        <w:t>人，部门对人员成本的控制程度符合规定要求。</w:t>
      </w:r>
      <w:r>
        <w:rPr>
          <w:rFonts w:hint="eastAsia" w:ascii="仿宋" w:hAnsi="仿宋" w:eastAsia="仿宋" w:cs="仿宋"/>
          <w:kern w:val="1"/>
          <w:sz w:val="32"/>
          <w:szCs w:val="32"/>
        </w:rPr>
        <w:t>20</w:t>
      </w:r>
      <w:r>
        <w:rPr>
          <w:rFonts w:hint="eastAsia" w:ascii="仿宋" w:hAnsi="仿宋" w:eastAsia="仿宋" w:cs="仿宋"/>
          <w:kern w:val="1"/>
          <w:sz w:val="32"/>
          <w:szCs w:val="32"/>
          <w:lang w:val="en-US" w:eastAsia="zh-CN"/>
        </w:rPr>
        <w:t>23</w:t>
      </w:r>
      <w:r>
        <w:rPr>
          <w:rFonts w:hint="eastAsia" w:ascii="仿宋" w:hAnsi="仿宋" w:eastAsia="仿宋" w:cs="仿宋"/>
          <w:kern w:val="1"/>
          <w:sz w:val="32"/>
          <w:szCs w:val="32"/>
        </w:rPr>
        <w:t>年初预算收入</w:t>
      </w:r>
      <w:r>
        <w:rPr>
          <w:rFonts w:hint="eastAsia" w:ascii="仿宋" w:hAnsi="仿宋" w:eastAsia="仿宋" w:cs="仿宋"/>
          <w:kern w:val="1"/>
          <w:sz w:val="32"/>
          <w:szCs w:val="32"/>
          <w:lang w:val="en-US" w:eastAsia="zh-CN"/>
        </w:rPr>
        <w:t>1805.12</w:t>
      </w:r>
      <w:r>
        <w:rPr>
          <w:rFonts w:hint="eastAsia" w:ascii="仿宋" w:hAnsi="仿宋" w:eastAsia="仿宋" w:cs="仿宋"/>
          <w:kern w:val="1"/>
          <w:sz w:val="32"/>
          <w:szCs w:val="32"/>
        </w:rPr>
        <w:t>万元，</w:t>
      </w:r>
      <w:r>
        <w:rPr>
          <w:rFonts w:hint="eastAsia" w:ascii="仿宋" w:hAnsi="仿宋" w:eastAsia="仿宋" w:cs="仿宋"/>
          <w:color w:val="auto"/>
          <w:sz w:val="32"/>
          <w:szCs w:val="32"/>
          <w:lang w:eastAsia="zh-CN"/>
        </w:rPr>
        <w:t>其中</w:t>
      </w:r>
      <w:r>
        <w:rPr>
          <w:rFonts w:hint="eastAsia" w:ascii="仿宋" w:hAnsi="仿宋" w:eastAsia="仿宋" w:cs="仿宋"/>
          <w:color w:val="auto"/>
          <w:kern w:val="1"/>
          <w:sz w:val="32"/>
          <w:szCs w:val="32"/>
        </w:rPr>
        <w:t>基本支出</w:t>
      </w:r>
      <w:r>
        <w:rPr>
          <w:rFonts w:hint="eastAsia" w:ascii="仿宋" w:hAnsi="仿宋" w:eastAsia="仿宋" w:cs="仿宋"/>
          <w:color w:val="auto"/>
          <w:kern w:val="1"/>
          <w:sz w:val="32"/>
          <w:szCs w:val="32"/>
          <w:lang w:val="en-US" w:eastAsia="zh-CN"/>
        </w:rPr>
        <w:t>987.58</w:t>
      </w:r>
      <w:r>
        <w:rPr>
          <w:rFonts w:hint="eastAsia" w:ascii="仿宋" w:hAnsi="仿宋" w:eastAsia="仿宋" w:cs="仿宋"/>
          <w:color w:val="auto"/>
          <w:kern w:val="1"/>
          <w:sz w:val="32"/>
          <w:szCs w:val="32"/>
        </w:rPr>
        <w:t>万元，</w:t>
      </w:r>
      <w:r>
        <w:rPr>
          <w:rFonts w:hint="eastAsia" w:ascii="仿宋" w:hAnsi="仿宋" w:eastAsia="仿宋" w:cs="仿宋"/>
          <w:color w:val="auto"/>
          <w:kern w:val="1"/>
          <w:sz w:val="32"/>
          <w:szCs w:val="32"/>
          <w:lang w:eastAsia="zh-CN"/>
        </w:rPr>
        <w:t>（</w:t>
      </w:r>
      <w:r>
        <w:rPr>
          <w:rFonts w:hint="eastAsia" w:ascii="仿宋" w:hAnsi="仿宋" w:eastAsia="仿宋" w:cs="仿宋"/>
          <w:color w:val="auto"/>
          <w:kern w:val="1"/>
          <w:sz w:val="32"/>
          <w:szCs w:val="32"/>
        </w:rPr>
        <w:t>其中人员经费支出</w:t>
      </w:r>
      <w:r>
        <w:rPr>
          <w:rFonts w:hint="eastAsia" w:ascii="仿宋" w:hAnsi="仿宋" w:eastAsia="仿宋" w:cs="仿宋"/>
          <w:color w:val="auto"/>
          <w:kern w:val="1"/>
          <w:sz w:val="32"/>
          <w:szCs w:val="32"/>
          <w:lang w:val="en-US" w:eastAsia="zh-CN"/>
        </w:rPr>
        <w:t>875.43</w:t>
      </w:r>
      <w:r>
        <w:rPr>
          <w:rFonts w:hint="eastAsia" w:ascii="仿宋" w:hAnsi="仿宋" w:eastAsia="仿宋" w:cs="仿宋"/>
          <w:color w:val="auto"/>
          <w:kern w:val="1"/>
          <w:sz w:val="32"/>
          <w:szCs w:val="32"/>
        </w:rPr>
        <w:t>万元，日常公用经费支出</w:t>
      </w:r>
      <w:r>
        <w:rPr>
          <w:rFonts w:hint="eastAsia" w:ascii="仿宋" w:hAnsi="仿宋" w:eastAsia="仿宋" w:cs="仿宋"/>
          <w:color w:val="auto"/>
          <w:kern w:val="1"/>
          <w:sz w:val="32"/>
          <w:szCs w:val="32"/>
          <w:lang w:val="en-US" w:eastAsia="zh-CN"/>
        </w:rPr>
        <w:t>112.15</w:t>
      </w:r>
      <w:r>
        <w:rPr>
          <w:rFonts w:hint="eastAsia" w:ascii="仿宋" w:hAnsi="仿宋" w:eastAsia="仿宋" w:cs="仿宋"/>
          <w:color w:val="auto"/>
          <w:kern w:val="1"/>
          <w:sz w:val="32"/>
          <w:szCs w:val="32"/>
        </w:rPr>
        <w:t>万元</w:t>
      </w:r>
      <w:r>
        <w:rPr>
          <w:rFonts w:hint="eastAsia" w:ascii="仿宋" w:hAnsi="仿宋" w:eastAsia="仿宋" w:cs="仿宋"/>
          <w:color w:val="auto"/>
          <w:kern w:val="1"/>
          <w:sz w:val="32"/>
          <w:szCs w:val="32"/>
          <w:lang w:eastAsia="zh-CN"/>
        </w:rPr>
        <w:t>）</w:t>
      </w:r>
      <w:r>
        <w:rPr>
          <w:rFonts w:hint="eastAsia" w:ascii="仿宋" w:hAnsi="仿宋" w:eastAsia="仿宋" w:cs="仿宋"/>
          <w:color w:val="auto"/>
          <w:kern w:val="1"/>
          <w:sz w:val="32"/>
          <w:szCs w:val="32"/>
        </w:rPr>
        <w:t>；项目支出</w:t>
      </w:r>
      <w:r>
        <w:rPr>
          <w:rFonts w:hint="eastAsia" w:ascii="仿宋" w:hAnsi="仿宋" w:eastAsia="仿宋" w:cs="仿宋"/>
          <w:color w:val="auto"/>
          <w:kern w:val="1"/>
          <w:sz w:val="32"/>
          <w:szCs w:val="32"/>
          <w:lang w:val="en-US" w:eastAsia="zh-CN"/>
        </w:rPr>
        <w:t>817.54</w:t>
      </w:r>
      <w:r>
        <w:rPr>
          <w:rFonts w:hint="eastAsia" w:ascii="仿宋" w:hAnsi="仿宋" w:eastAsia="仿宋" w:cs="仿宋"/>
          <w:color w:val="auto"/>
          <w:kern w:val="1"/>
          <w:sz w:val="32"/>
          <w:szCs w:val="32"/>
        </w:rPr>
        <w:t>万元，占总支出的</w:t>
      </w:r>
      <w:r>
        <w:rPr>
          <w:rFonts w:hint="eastAsia" w:ascii="仿宋" w:hAnsi="仿宋" w:eastAsia="仿宋" w:cs="仿宋"/>
          <w:color w:val="auto"/>
          <w:kern w:val="1"/>
          <w:sz w:val="32"/>
          <w:szCs w:val="32"/>
          <w:lang w:val="en-US" w:eastAsia="zh-CN"/>
        </w:rPr>
        <w:t>45.29</w:t>
      </w:r>
      <w:r>
        <w:rPr>
          <w:rFonts w:hint="eastAsia" w:ascii="仿宋" w:hAnsi="仿宋" w:eastAsia="仿宋" w:cs="仿宋"/>
          <w:color w:val="auto"/>
          <w:kern w:val="1"/>
          <w:sz w:val="32"/>
          <w:szCs w:val="32"/>
        </w:rPr>
        <w:t>%，其中</w:t>
      </w:r>
      <w:r>
        <w:rPr>
          <w:rFonts w:hint="eastAsia" w:ascii="仿宋" w:hAnsi="仿宋" w:eastAsia="仿宋" w:cs="仿宋"/>
          <w:color w:val="auto"/>
          <w:kern w:val="1"/>
          <w:sz w:val="32"/>
          <w:szCs w:val="32"/>
          <w:lang w:eastAsia="zh-CN"/>
        </w:rPr>
        <w:t>基本建设类项目</w:t>
      </w:r>
      <w:r>
        <w:rPr>
          <w:rFonts w:hint="eastAsia" w:ascii="仿宋" w:hAnsi="仿宋" w:eastAsia="仿宋" w:cs="仿宋"/>
          <w:color w:val="auto"/>
          <w:kern w:val="1"/>
          <w:sz w:val="32"/>
          <w:szCs w:val="32"/>
        </w:rPr>
        <w:t>支出</w:t>
      </w:r>
      <w:r>
        <w:rPr>
          <w:rFonts w:hint="eastAsia" w:ascii="仿宋" w:hAnsi="仿宋" w:eastAsia="仿宋" w:cs="仿宋"/>
          <w:color w:val="auto"/>
          <w:kern w:val="1"/>
          <w:sz w:val="32"/>
          <w:szCs w:val="32"/>
          <w:lang w:val="en-US" w:eastAsia="zh-CN"/>
        </w:rPr>
        <w:t>0</w:t>
      </w:r>
      <w:r>
        <w:rPr>
          <w:rFonts w:hint="eastAsia" w:ascii="仿宋" w:hAnsi="仿宋" w:eastAsia="仿宋" w:cs="仿宋"/>
          <w:color w:val="auto"/>
          <w:kern w:val="1"/>
          <w:sz w:val="32"/>
          <w:szCs w:val="32"/>
        </w:rPr>
        <w:t>万元</w:t>
      </w:r>
      <w:r>
        <w:rPr>
          <w:rFonts w:hint="eastAsia" w:ascii="仿宋" w:hAnsi="仿宋" w:eastAsia="仿宋" w:cs="仿宋"/>
          <w:color w:val="auto"/>
          <w:kern w:val="1"/>
          <w:sz w:val="32"/>
          <w:szCs w:val="32"/>
          <w:lang w:eastAsia="zh-CN"/>
        </w:rPr>
        <w:t>，工资福利支出</w:t>
      </w:r>
      <w:r>
        <w:rPr>
          <w:rFonts w:hint="eastAsia" w:ascii="仿宋" w:hAnsi="仿宋" w:eastAsia="仿宋" w:cs="仿宋"/>
          <w:color w:val="auto"/>
          <w:kern w:val="1"/>
          <w:sz w:val="32"/>
          <w:szCs w:val="32"/>
          <w:lang w:val="en-US" w:eastAsia="zh-CN"/>
        </w:rPr>
        <w:t>31.97万元，商品和服务支出217.23万元，对个人和家庭补助支出28.56万元，</w:t>
      </w:r>
      <w:r>
        <w:rPr>
          <w:rFonts w:hint="eastAsia" w:ascii="仿宋" w:hAnsi="仿宋" w:eastAsia="仿宋" w:cs="仿宋"/>
          <w:color w:val="auto"/>
          <w:kern w:val="1"/>
          <w:sz w:val="32"/>
          <w:szCs w:val="32"/>
        </w:rPr>
        <w:t>资本性支出</w:t>
      </w:r>
      <w:r>
        <w:rPr>
          <w:rFonts w:hint="eastAsia" w:ascii="仿宋" w:hAnsi="仿宋" w:eastAsia="仿宋" w:cs="仿宋"/>
          <w:color w:val="auto"/>
          <w:kern w:val="1"/>
          <w:sz w:val="32"/>
          <w:szCs w:val="32"/>
          <w:lang w:val="en-US" w:eastAsia="zh-CN"/>
        </w:rPr>
        <w:t>235.16</w:t>
      </w:r>
      <w:r>
        <w:rPr>
          <w:rFonts w:hint="eastAsia" w:ascii="仿宋" w:hAnsi="仿宋" w:eastAsia="仿宋" w:cs="仿宋"/>
          <w:color w:val="auto"/>
          <w:kern w:val="1"/>
          <w:sz w:val="32"/>
          <w:szCs w:val="32"/>
        </w:rPr>
        <w:t>万元</w:t>
      </w:r>
      <w:r>
        <w:rPr>
          <w:rFonts w:hint="eastAsia" w:ascii="仿宋" w:hAnsi="仿宋" w:eastAsia="仿宋" w:cs="仿宋"/>
          <w:color w:val="auto"/>
          <w:kern w:val="1"/>
          <w:sz w:val="32"/>
          <w:szCs w:val="32"/>
          <w:lang w:eastAsia="zh-CN"/>
        </w:rPr>
        <w:t>，对企业补助</w:t>
      </w:r>
      <w:r>
        <w:rPr>
          <w:rFonts w:hint="eastAsia" w:ascii="仿宋" w:hAnsi="仿宋" w:eastAsia="仿宋" w:cs="仿宋"/>
          <w:color w:val="auto"/>
          <w:kern w:val="1"/>
          <w:sz w:val="32"/>
          <w:szCs w:val="32"/>
          <w:lang w:val="en-US" w:eastAsia="zh-CN"/>
        </w:rPr>
        <w:t>304.62万元</w:t>
      </w:r>
      <w:r>
        <w:rPr>
          <w:rFonts w:hint="eastAsia" w:ascii="仿宋" w:hAnsi="仿宋" w:eastAsia="仿宋" w:cs="仿宋"/>
          <w:color w:val="auto"/>
          <w:kern w:val="1"/>
          <w:sz w:val="32"/>
          <w:szCs w:val="32"/>
          <w:lang w:eastAsia="zh-CN"/>
        </w:rPr>
        <w:t>。</w:t>
      </w:r>
    </w:p>
    <w:p>
      <w:pPr>
        <w:spacing w:line="520" w:lineRule="atLeast"/>
        <w:ind w:firstLine="640" w:firstLineChars="200"/>
        <w:rPr>
          <w:rFonts w:hint="eastAsia" w:ascii="仿宋" w:hAnsi="仿宋" w:eastAsia="仿宋" w:cs="仿宋"/>
          <w:sz w:val="32"/>
          <w:szCs w:val="32"/>
        </w:rPr>
      </w:pPr>
      <w:r>
        <w:rPr>
          <w:rFonts w:hint="eastAsia" w:ascii="仿宋" w:hAnsi="仿宋" w:eastAsia="仿宋" w:cs="仿宋"/>
          <w:sz w:val="32"/>
          <w:szCs w:val="32"/>
        </w:rPr>
        <w:t>本部门设立的整体绩效目标符合国家法律法规、符合“三定”方案确定的职责与部门制定的中长期实施规划。本部门开展的活动在职责范围之内并符合部门中长期规划。</w:t>
      </w:r>
    </w:p>
    <w:p>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ascii="仿宋" w:hAnsi="仿宋" w:eastAsia="仿宋" w:cs="仿宋"/>
          <w:sz w:val="32"/>
          <w:szCs w:val="32"/>
        </w:rPr>
      </w:pPr>
      <w:r>
        <w:rPr>
          <w:rFonts w:hint="eastAsia" w:ascii="仿宋" w:hAnsi="仿宋" w:eastAsia="仿宋" w:cs="仿宋"/>
          <w:sz w:val="32"/>
          <w:szCs w:val="32"/>
        </w:rPr>
        <w:t>（二）执行管理情况分析，包括资金执行进度、调整情况、成本控制情况分析及项目完成进度情况等。</w:t>
      </w:r>
    </w:p>
    <w:p>
      <w:pPr>
        <w:spacing w:line="520" w:lineRule="atLeast"/>
        <w:ind w:firstLine="640" w:firstLineChars="200"/>
        <w:rPr>
          <w:rFonts w:hint="eastAsia" w:ascii="仿宋" w:hAnsi="仿宋" w:eastAsia="仿宋" w:cs="仿宋"/>
          <w:color w:val="auto"/>
          <w:kern w:val="1"/>
          <w:sz w:val="32"/>
          <w:szCs w:val="32"/>
        </w:rPr>
      </w:pPr>
      <w:r>
        <w:rPr>
          <w:rFonts w:hint="eastAsia" w:ascii="仿宋" w:hAnsi="仿宋" w:eastAsia="仿宋" w:cs="仿宋"/>
          <w:color w:val="auto"/>
          <w:kern w:val="1"/>
          <w:sz w:val="32"/>
          <w:szCs w:val="32"/>
        </w:rPr>
        <w:t>20</w:t>
      </w:r>
      <w:r>
        <w:rPr>
          <w:rFonts w:hint="eastAsia" w:ascii="仿宋" w:hAnsi="仿宋" w:eastAsia="仿宋" w:cs="仿宋"/>
          <w:color w:val="auto"/>
          <w:kern w:val="1"/>
          <w:sz w:val="32"/>
          <w:szCs w:val="32"/>
          <w:lang w:val="en-US" w:eastAsia="zh-CN"/>
        </w:rPr>
        <w:t>23</w:t>
      </w:r>
      <w:r>
        <w:rPr>
          <w:rFonts w:hint="eastAsia" w:ascii="仿宋" w:hAnsi="仿宋" w:eastAsia="仿宋" w:cs="仿宋"/>
          <w:color w:val="auto"/>
          <w:kern w:val="1"/>
          <w:sz w:val="32"/>
          <w:szCs w:val="32"/>
        </w:rPr>
        <w:t>年初预算支出指标</w:t>
      </w:r>
      <w:r>
        <w:rPr>
          <w:rFonts w:hint="eastAsia" w:ascii="仿宋" w:hAnsi="仿宋" w:eastAsia="仿宋" w:cs="仿宋"/>
          <w:kern w:val="1"/>
          <w:sz w:val="32"/>
          <w:szCs w:val="32"/>
          <w:lang w:val="en-US" w:eastAsia="zh-CN"/>
        </w:rPr>
        <w:t>1818.75</w:t>
      </w:r>
      <w:r>
        <w:rPr>
          <w:rFonts w:hint="eastAsia" w:ascii="仿宋" w:hAnsi="仿宋" w:eastAsia="仿宋" w:cs="仿宋"/>
          <w:kern w:val="1"/>
          <w:sz w:val="32"/>
          <w:szCs w:val="32"/>
        </w:rPr>
        <w:t>万元，实际本</w:t>
      </w:r>
      <w:r>
        <w:rPr>
          <w:rFonts w:hint="eastAsia" w:ascii="仿宋" w:hAnsi="仿宋" w:eastAsia="仿宋" w:cs="仿宋"/>
          <w:kern w:val="1"/>
          <w:sz w:val="32"/>
          <w:szCs w:val="32"/>
          <w:lang w:eastAsia="zh-CN"/>
        </w:rPr>
        <w:t>年支出</w:t>
      </w:r>
      <w:r>
        <w:rPr>
          <w:rFonts w:hint="eastAsia" w:ascii="仿宋" w:hAnsi="仿宋" w:eastAsia="仿宋" w:cs="仿宋"/>
          <w:kern w:val="1"/>
          <w:sz w:val="32"/>
          <w:szCs w:val="32"/>
          <w:lang w:val="en-US" w:eastAsia="zh-CN"/>
        </w:rPr>
        <w:t>1805.12</w:t>
      </w:r>
      <w:r>
        <w:rPr>
          <w:rFonts w:hint="eastAsia" w:ascii="仿宋" w:hAnsi="仿宋" w:eastAsia="仿宋" w:cs="仿宋"/>
          <w:kern w:val="1"/>
          <w:sz w:val="32"/>
          <w:szCs w:val="32"/>
        </w:rPr>
        <w:t>万元</w:t>
      </w:r>
      <w:r>
        <w:rPr>
          <w:rFonts w:hint="eastAsia" w:ascii="仿宋" w:hAnsi="仿宋" w:eastAsia="仿宋" w:cs="仿宋"/>
          <w:kern w:val="1"/>
          <w:sz w:val="32"/>
          <w:szCs w:val="32"/>
          <w:lang w:eastAsia="zh-CN"/>
        </w:rPr>
        <w:t>，</w:t>
      </w:r>
      <w:r>
        <w:rPr>
          <w:rFonts w:hint="eastAsia" w:ascii="仿宋" w:hAnsi="仿宋" w:eastAsia="仿宋" w:cs="仿宋"/>
          <w:kern w:val="1"/>
          <w:sz w:val="32"/>
          <w:szCs w:val="32"/>
        </w:rPr>
        <w:t>本年</w:t>
      </w:r>
      <w:r>
        <w:rPr>
          <w:rFonts w:hint="eastAsia" w:ascii="仿宋" w:hAnsi="仿宋" w:eastAsia="仿宋" w:cs="仿宋"/>
          <w:kern w:val="1"/>
          <w:sz w:val="32"/>
          <w:szCs w:val="32"/>
          <w:lang w:eastAsia="zh-CN"/>
        </w:rPr>
        <w:t>支出</w:t>
      </w:r>
      <w:r>
        <w:rPr>
          <w:rFonts w:hint="eastAsia" w:ascii="仿宋" w:hAnsi="仿宋" w:eastAsia="仿宋" w:cs="仿宋"/>
          <w:kern w:val="1"/>
          <w:sz w:val="32"/>
          <w:szCs w:val="32"/>
        </w:rPr>
        <w:t>比年初预算</w:t>
      </w:r>
      <w:r>
        <w:rPr>
          <w:rFonts w:hint="eastAsia" w:ascii="仿宋" w:hAnsi="仿宋" w:eastAsia="仿宋" w:cs="仿宋"/>
          <w:kern w:val="1"/>
          <w:sz w:val="32"/>
          <w:szCs w:val="32"/>
          <w:lang w:eastAsia="zh-CN"/>
        </w:rPr>
        <w:t>减少</w:t>
      </w:r>
      <w:r>
        <w:rPr>
          <w:rFonts w:hint="eastAsia" w:ascii="仿宋" w:hAnsi="仿宋" w:eastAsia="仿宋" w:cs="仿宋"/>
          <w:kern w:val="1"/>
          <w:sz w:val="32"/>
          <w:szCs w:val="32"/>
          <w:lang w:val="en-US" w:eastAsia="zh-CN"/>
        </w:rPr>
        <w:t>0.75</w:t>
      </w:r>
      <w:r>
        <w:rPr>
          <w:rFonts w:hint="eastAsia" w:ascii="仿宋" w:hAnsi="仿宋" w:eastAsia="仿宋" w:cs="仿宋"/>
          <w:kern w:val="1"/>
          <w:sz w:val="32"/>
          <w:szCs w:val="32"/>
        </w:rPr>
        <w:t>%，差额</w:t>
      </w:r>
      <w:r>
        <w:rPr>
          <w:rFonts w:hint="eastAsia" w:ascii="仿宋" w:hAnsi="仿宋" w:eastAsia="仿宋" w:cs="仿宋"/>
          <w:kern w:val="1"/>
          <w:sz w:val="32"/>
          <w:szCs w:val="32"/>
          <w:lang w:val="en-US" w:eastAsia="zh-CN"/>
        </w:rPr>
        <w:t>13.63</w:t>
      </w:r>
      <w:r>
        <w:rPr>
          <w:rFonts w:hint="eastAsia" w:ascii="仿宋" w:hAnsi="仿宋" w:eastAsia="仿宋" w:cs="仿宋"/>
          <w:kern w:val="1"/>
          <w:sz w:val="32"/>
          <w:szCs w:val="32"/>
        </w:rPr>
        <w:t>万元</w:t>
      </w:r>
      <w:r>
        <w:rPr>
          <w:rFonts w:hint="eastAsia" w:ascii="仿宋" w:hAnsi="仿宋" w:eastAsia="仿宋" w:cs="仿宋"/>
          <w:kern w:val="1"/>
          <w:sz w:val="32"/>
          <w:szCs w:val="32"/>
          <w:lang w:eastAsia="zh-CN"/>
        </w:rPr>
        <w:t>。</w:t>
      </w:r>
      <w:r>
        <w:rPr>
          <w:rFonts w:hint="eastAsia" w:ascii="仿宋" w:hAnsi="仿宋" w:eastAsia="仿宋" w:cs="仿宋"/>
          <w:kern w:val="1"/>
          <w:sz w:val="32"/>
          <w:szCs w:val="32"/>
        </w:rPr>
        <w:t>增减变动原因</w:t>
      </w:r>
      <w:r>
        <w:rPr>
          <w:rFonts w:hint="eastAsia" w:ascii="仿宋" w:hAnsi="仿宋" w:eastAsia="仿宋" w:cs="仿宋"/>
          <w:kern w:val="1"/>
          <w:sz w:val="32"/>
          <w:szCs w:val="32"/>
          <w:lang w:eastAsia="zh-CN"/>
        </w:rPr>
        <w:t>：</w:t>
      </w:r>
      <w:r>
        <w:rPr>
          <w:rFonts w:hint="eastAsia" w:ascii="仿宋" w:hAnsi="仿宋" w:eastAsia="仿宋" w:cs="仿宋"/>
          <w:kern w:val="1"/>
          <w:sz w:val="32"/>
          <w:szCs w:val="32"/>
          <w:lang w:val="en-US" w:eastAsia="zh-CN"/>
        </w:rPr>
        <w:t>1、基本支出增加42.11万元，是机构改革人员增加、工资调标、退休人员补交养老金职业年金医疗保险等经费增加;2、项目资金减少55.74</w:t>
      </w:r>
      <w:r>
        <w:rPr>
          <w:rFonts w:hint="eastAsia" w:ascii="仿宋" w:hAnsi="仿宋" w:eastAsia="仿宋" w:cs="仿宋"/>
          <w:kern w:val="1"/>
          <w:sz w:val="32"/>
          <w:szCs w:val="32"/>
        </w:rPr>
        <w:t>万</w:t>
      </w:r>
      <w:r>
        <w:rPr>
          <w:rFonts w:hint="eastAsia" w:ascii="仿宋" w:hAnsi="仿宋" w:eastAsia="仿宋" w:cs="仿宋"/>
          <w:kern w:val="1"/>
          <w:sz w:val="32"/>
          <w:szCs w:val="32"/>
          <w:lang w:eastAsia="zh-CN"/>
        </w:rPr>
        <w:t>元，因年初预算</w:t>
      </w:r>
      <w:r>
        <w:rPr>
          <w:rFonts w:hint="eastAsia" w:ascii="仿宋" w:hAnsi="仿宋" w:eastAsia="仿宋" w:cs="仿宋"/>
          <w:kern w:val="1"/>
          <w:sz w:val="32"/>
          <w:szCs w:val="32"/>
        </w:rPr>
        <w:t>项目</w:t>
      </w:r>
      <w:r>
        <w:rPr>
          <w:rFonts w:hint="eastAsia" w:ascii="仿宋" w:hAnsi="仿宋" w:eastAsia="仿宋" w:cs="仿宋"/>
          <w:kern w:val="1"/>
          <w:sz w:val="32"/>
          <w:szCs w:val="32"/>
          <w:lang w:eastAsia="zh-CN"/>
        </w:rPr>
        <w:t>资金未拨款，年中预算调整，产生差额。如：项目前期经费（财政统一预算）、</w:t>
      </w:r>
      <w:r>
        <w:rPr>
          <w:rFonts w:hint="eastAsia" w:ascii="仿宋" w:hAnsi="仿宋" w:eastAsia="仿宋" w:cs="仿宋"/>
          <w:kern w:val="1"/>
          <w:sz w:val="32"/>
          <w:szCs w:val="32"/>
          <w:lang w:val="en-US" w:eastAsia="zh-CN"/>
        </w:rPr>
        <w:t>易地扶贫搬迁后续管理服务站公益性岗位补助（人社做预算），粮食收购贷款信用保</w:t>
      </w:r>
      <w:r>
        <w:rPr>
          <w:rFonts w:hint="eastAsia" w:ascii="仿宋" w:hAnsi="仿宋" w:eastAsia="仿宋" w:cs="仿宋"/>
          <w:color w:val="auto"/>
          <w:kern w:val="1"/>
          <w:sz w:val="32"/>
          <w:szCs w:val="32"/>
          <w:lang w:val="en-US" w:eastAsia="zh-CN"/>
        </w:rPr>
        <w:t>证金40万元、2023粮油千亿产业工程专项80万元、湖南德凌物流冷链仓储中心项目50万元等等，为年中追加预算</w:t>
      </w:r>
      <w:r>
        <w:rPr>
          <w:rFonts w:hint="eastAsia" w:ascii="仿宋" w:hAnsi="仿宋" w:eastAsia="仿宋" w:cs="仿宋"/>
          <w:color w:val="auto"/>
          <w:kern w:val="1"/>
          <w:sz w:val="32"/>
          <w:szCs w:val="32"/>
        </w:rPr>
        <w:t>。</w:t>
      </w:r>
    </w:p>
    <w:p>
      <w:pPr>
        <w:spacing w:line="520" w:lineRule="atLeast"/>
        <w:ind w:firstLine="640" w:firstLineChars="200"/>
        <w:rPr>
          <w:rFonts w:hint="eastAsia" w:ascii="仿宋" w:hAnsi="仿宋" w:eastAsia="仿宋" w:cs="仿宋"/>
          <w:sz w:val="32"/>
          <w:szCs w:val="32"/>
        </w:rPr>
      </w:pPr>
      <w:r>
        <w:rPr>
          <w:rFonts w:hint="eastAsia" w:ascii="仿宋" w:hAnsi="仿宋" w:eastAsia="仿宋" w:cs="仿宋"/>
          <w:color w:val="auto"/>
          <w:kern w:val="1"/>
          <w:sz w:val="32"/>
          <w:szCs w:val="32"/>
        </w:rPr>
        <w:t>本年</w:t>
      </w:r>
      <w:r>
        <w:rPr>
          <w:rFonts w:hint="eastAsia" w:ascii="仿宋" w:hAnsi="仿宋" w:eastAsia="仿宋" w:cs="仿宋"/>
          <w:color w:val="auto"/>
          <w:kern w:val="1"/>
          <w:sz w:val="32"/>
          <w:szCs w:val="32"/>
          <w:lang w:eastAsia="zh-CN"/>
        </w:rPr>
        <w:t>支出</w:t>
      </w:r>
      <w:r>
        <w:rPr>
          <w:rFonts w:hint="eastAsia" w:ascii="仿宋" w:hAnsi="仿宋" w:eastAsia="仿宋" w:cs="仿宋"/>
          <w:color w:val="auto"/>
          <w:kern w:val="1"/>
          <w:sz w:val="32"/>
          <w:szCs w:val="32"/>
        </w:rPr>
        <w:t>比上年</w:t>
      </w:r>
      <w:r>
        <w:rPr>
          <w:rFonts w:hint="eastAsia" w:ascii="仿宋" w:hAnsi="仿宋" w:eastAsia="仿宋" w:cs="仿宋"/>
          <w:color w:val="auto"/>
          <w:kern w:val="1"/>
          <w:sz w:val="32"/>
          <w:szCs w:val="32"/>
          <w:lang w:eastAsia="zh-CN"/>
        </w:rPr>
        <w:t>减少</w:t>
      </w:r>
      <w:r>
        <w:rPr>
          <w:rFonts w:hint="eastAsia" w:ascii="仿宋" w:hAnsi="仿宋" w:eastAsia="仿宋" w:cs="仿宋"/>
          <w:color w:val="auto"/>
          <w:kern w:val="1"/>
          <w:sz w:val="32"/>
          <w:szCs w:val="32"/>
          <w:lang w:val="en-US" w:eastAsia="zh-CN"/>
        </w:rPr>
        <w:t xml:space="preserve">24.04 </w:t>
      </w:r>
      <w:r>
        <w:rPr>
          <w:rFonts w:hint="eastAsia" w:ascii="仿宋" w:hAnsi="仿宋" w:eastAsia="仿宋" w:cs="仿宋"/>
          <w:color w:val="auto"/>
          <w:kern w:val="1"/>
          <w:sz w:val="32"/>
          <w:szCs w:val="32"/>
        </w:rPr>
        <w:t>%,差额</w:t>
      </w:r>
      <w:r>
        <w:rPr>
          <w:rFonts w:hint="eastAsia" w:ascii="仿宋" w:hAnsi="仿宋" w:eastAsia="仿宋" w:cs="仿宋"/>
          <w:color w:val="auto"/>
          <w:kern w:val="1"/>
          <w:sz w:val="32"/>
          <w:szCs w:val="32"/>
          <w:lang w:val="en-US" w:eastAsia="zh-CN"/>
        </w:rPr>
        <w:t>571.29</w:t>
      </w:r>
      <w:r>
        <w:rPr>
          <w:rFonts w:hint="eastAsia" w:ascii="仿宋" w:hAnsi="仿宋" w:eastAsia="仿宋" w:cs="仿宋"/>
          <w:color w:val="auto"/>
          <w:kern w:val="1"/>
          <w:sz w:val="32"/>
          <w:szCs w:val="32"/>
        </w:rPr>
        <w:t>万元</w:t>
      </w:r>
      <w:r>
        <w:rPr>
          <w:rFonts w:hint="eastAsia" w:ascii="仿宋" w:hAnsi="仿宋" w:eastAsia="仿宋" w:cs="仿宋"/>
          <w:color w:val="auto"/>
          <w:kern w:val="1"/>
          <w:sz w:val="32"/>
          <w:szCs w:val="32"/>
          <w:lang w:eastAsia="zh-CN"/>
        </w:rPr>
        <w:t>。</w:t>
      </w:r>
      <w:r>
        <w:rPr>
          <w:rFonts w:hint="eastAsia" w:ascii="仿宋" w:hAnsi="仿宋" w:eastAsia="仿宋" w:cs="仿宋"/>
          <w:color w:val="auto"/>
          <w:kern w:val="1"/>
          <w:sz w:val="32"/>
          <w:szCs w:val="32"/>
        </w:rPr>
        <w:t>增减变动原因：</w:t>
      </w:r>
      <w:r>
        <w:rPr>
          <w:rFonts w:hint="eastAsia" w:ascii="仿宋" w:hAnsi="仿宋" w:eastAsia="仿宋" w:cs="仿宋"/>
          <w:color w:val="auto"/>
          <w:kern w:val="1"/>
          <w:sz w:val="32"/>
          <w:szCs w:val="32"/>
          <w:lang w:val="en-US" w:eastAsia="zh-CN"/>
        </w:rPr>
        <w:t xml:space="preserve"> 247.61万元是人员增加、工资调标、退休人员补交养老金职业年金医疗保险等基本经费增加； 818.9万元</w:t>
      </w:r>
      <w:r>
        <w:rPr>
          <w:rFonts w:hint="eastAsia" w:ascii="仿宋" w:hAnsi="仿宋" w:eastAsia="仿宋" w:cs="仿宋"/>
          <w:color w:val="auto"/>
          <w:kern w:val="1"/>
          <w:sz w:val="32"/>
          <w:szCs w:val="32"/>
        </w:rPr>
        <w:t>是项目</w:t>
      </w:r>
      <w:r>
        <w:rPr>
          <w:rFonts w:hint="eastAsia" w:ascii="仿宋" w:hAnsi="仿宋" w:eastAsia="仿宋" w:cs="仿宋"/>
          <w:color w:val="auto"/>
          <w:kern w:val="1"/>
          <w:sz w:val="32"/>
          <w:szCs w:val="32"/>
          <w:lang w:eastAsia="zh-CN"/>
        </w:rPr>
        <w:t>资金减少</w:t>
      </w:r>
      <w:r>
        <w:rPr>
          <w:rFonts w:hint="eastAsia" w:ascii="仿宋" w:hAnsi="仿宋" w:eastAsia="仿宋" w:cs="仿宋"/>
          <w:color w:val="auto"/>
          <w:kern w:val="1"/>
          <w:sz w:val="32"/>
          <w:szCs w:val="32"/>
        </w:rPr>
        <w:t>，</w:t>
      </w:r>
      <w:r>
        <w:rPr>
          <w:rFonts w:hint="eastAsia" w:ascii="仿宋" w:hAnsi="仿宋" w:eastAsia="仿宋" w:cs="仿宋"/>
          <w:color w:val="auto"/>
          <w:kern w:val="1"/>
          <w:sz w:val="32"/>
          <w:szCs w:val="32"/>
          <w:lang w:eastAsia="zh-CN"/>
        </w:rPr>
        <w:t>因年初预算</w:t>
      </w:r>
      <w:r>
        <w:rPr>
          <w:rFonts w:hint="eastAsia" w:ascii="仿宋" w:hAnsi="仿宋" w:eastAsia="仿宋" w:cs="仿宋"/>
          <w:color w:val="auto"/>
          <w:kern w:val="1"/>
          <w:sz w:val="32"/>
          <w:szCs w:val="32"/>
        </w:rPr>
        <w:t>项目</w:t>
      </w:r>
      <w:r>
        <w:rPr>
          <w:rFonts w:hint="eastAsia" w:ascii="仿宋" w:hAnsi="仿宋" w:eastAsia="仿宋" w:cs="仿宋"/>
          <w:color w:val="auto"/>
          <w:kern w:val="1"/>
          <w:sz w:val="32"/>
          <w:szCs w:val="32"/>
          <w:lang w:eastAsia="zh-CN"/>
        </w:rPr>
        <w:t>资金未拨款，年中预算调整，产生差额。如项目前期经费（财政统一预算）、</w:t>
      </w:r>
      <w:r>
        <w:rPr>
          <w:rFonts w:hint="eastAsia" w:ascii="仿宋" w:hAnsi="仿宋" w:eastAsia="仿宋" w:cs="仿宋"/>
          <w:color w:val="auto"/>
          <w:kern w:val="1"/>
          <w:sz w:val="32"/>
          <w:szCs w:val="32"/>
          <w:lang w:val="en-US" w:eastAsia="zh-CN"/>
        </w:rPr>
        <w:t>易地扶贫搬迁后续管理服务站公益性岗位补助（人社做预算），粮食收购贷款信用保证金40万元、2023粮油千亿产业工程专项80万元、湖南德凌物流冷链仓储中心项目50万元等等</w:t>
      </w:r>
      <w:r>
        <w:rPr>
          <w:rFonts w:hint="eastAsia" w:ascii="仿宋" w:hAnsi="仿宋" w:eastAsia="仿宋" w:cs="仿宋"/>
          <w:color w:val="auto"/>
          <w:kern w:val="1"/>
          <w:sz w:val="32"/>
          <w:szCs w:val="32"/>
        </w:rPr>
        <w:t>。</w:t>
      </w:r>
    </w:p>
    <w:p>
      <w:pPr>
        <w:spacing w:line="520" w:lineRule="atLeast"/>
        <w:ind w:firstLine="640" w:firstLineChars="200"/>
        <w:rPr>
          <w:rFonts w:hint="default" w:ascii="仿宋" w:hAnsi="仿宋" w:eastAsia="仿宋" w:cs="仿宋"/>
          <w:color w:val="C0504D" w:themeColor="accent2"/>
          <w:kern w:val="1"/>
          <w:sz w:val="32"/>
          <w:szCs w:val="32"/>
          <w:lang w:val="en-US" w:eastAsia="zh-CN"/>
          <w14:textFill>
            <w14:solidFill>
              <w14:schemeClr w14:val="accent2"/>
            </w14:solidFill>
          </w14:textFill>
        </w:rPr>
      </w:pPr>
      <w:r>
        <w:rPr>
          <w:rFonts w:hint="eastAsia" w:ascii="仿宋" w:hAnsi="仿宋" w:eastAsia="仿宋" w:cs="仿宋"/>
          <w:sz w:val="32"/>
          <w:szCs w:val="32"/>
        </w:rPr>
        <w:t>（三）支出绩效情况分析，包括基本支出和项目支出的运行效果情况等</w:t>
      </w:r>
    </w:p>
    <w:p>
      <w:pPr>
        <w:spacing w:line="520" w:lineRule="atLeast"/>
        <w:ind w:firstLine="640" w:firstLineChars="200"/>
        <w:rPr>
          <w:rFonts w:hint="default" w:ascii="仿宋" w:hAnsi="仿宋" w:eastAsia="仿宋" w:cs="仿宋"/>
          <w:color w:val="auto"/>
          <w:kern w:val="1"/>
          <w:sz w:val="32"/>
          <w:szCs w:val="32"/>
          <w:lang w:val="en-US" w:eastAsia="zh-CN"/>
        </w:rPr>
      </w:pPr>
      <w:r>
        <w:rPr>
          <w:rFonts w:hint="default" w:ascii="仿宋" w:hAnsi="仿宋" w:eastAsia="仿宋" w:cs="仿宋"/>
          <w:color w:val="auto"/>
          <w:kern w:val="1"/>
          <w:sz w:val="32"/>
          <w:szCs w:val="32"/>
          <w:lang w:val="en-US" w:eastAsia="zh-CN"/>
        </w:rPr>
        <w:t>1</w:t>
      </w:r>
      <w:r>
        <w:rPr>
          <w:rFonts w:hint="eastAsia" w:ascii="仿宋" w:hAnsi="仿宋" w:eastAsia="仿宋" w:cs="仿宋"/>
          <w:color w:val="auto"/>
          <w:kern w:val="1"/>
          <w:sz w:val="32"/>
          <w:szCs w:val="32"/>
          <w:lang w:val="en-US" w:eastAsia="zh-CN"/>
        </w:rPr>
        <w:t>、基本支出是保障我局正常运转发生的各项支出，包括用于在职和离退休人员基本工资、津贴补贴等人员经费以及办公费等日常公用经费。我局为了规范基本支出，厉行节约、严控</w:t>
      </w:r>
      <w:r>
        <w:rPr>
          <w:rFonts w:hint="default" w:ascii="仿宋" w:hAnsi="仿宋" w:eastAsia="仿宋" w:cs="仿宋"/>
          <w:color w:val="auto"/>
          <w:kern w:val="1"/>
          <w:sz w:val="32"/>
          <w:szCs w:val="32"/>
          <w:lang w:val="en-US" w:eastAsia="zh-CN"/>
        </w:rPr>
        <w:t>“</w:t>
      </w:r>
      <w:r>
        <w:rPr>
          <w:rFonts w:hint="eastAsia" w:ascii="仿宋" w:hAnsi="仿宋" w:eastAsia="仿宋" w:cs="仿宋"/>
          <w:color w:val="auto"/>
          <w:kern w:val="1"/>
          <w:sz w:val="32"/>
          <w:szCs w:val="32"/>
          <w:lang w:val="en-US" w:eastAsia="zh-CN"/>
        </w:rPr>
        <w:t>三公经费</w:t>
      </w:r>
      <w:r>
        <w:rPr>
          <w:rFonts w:hint="default" w:ascii="仿宋" w:hAnsi="仿宋" w:eastAsia="仿宋" w:cs="仿宋"/>
          <w:color w:val="auto"/>
          <w:kern w:val="1"/>
          <w:sz w:val="32"/>
          <w:szCs w:val="32"/>
          <w:lang w:val="en-US" w:eastAsia="zh-CN"/>
        </w:rPr>
        <w:t>”</w:t>
      </w:r>
      <w:r>
        <w:rPr>
          <w:rFonts w:hint="eastAsia" w:ascii="仿宋" w:hAnsi="仿宋" w:eastAsia="仿宋" w:cs="仿宋"/>
          <w:color w:val="auto"/>
          <w:kern w:val="1"/>
          <w:sz w:val="32"/>
          <w:szCs w:val="32"/>
          <w:lang w:val="en-US" w:eastAsia="zh-CN"/>
        </w:rPr>
        <w:t>，严格执行财务管理。同时，按照中方县财政局要求实行整体部门预算，有效控制了基本支出，实际支出没有超出预算规模、范围和标准。</w:t>
      </w:r>
    </w:p>
    <w:p>
      <w:pPr>
        <w:spacing w:line="520" w:lineRule="atLeast"/>
        <w:ind w:firstLine="640" w:firstLineChars="200"/>
        <w:rPr>
          <w:rFonts w:hint="eastAsia" w:ascii="仿宋" w:hAnsi="仿宋" w:eastAsia="仿宋" w:cs="仿宋"/>
          <w:color w:val="auto"/>
          <w:kern w:val="1"/>
          <w:sz w:val="32"/>
          <w:szCs w:val="32"/>
          <w:lang w:val="en-US" w:eastAsia="zh-CN"/>
        </w:rPr>
      </w:pPr>
      <w:r>
        <w:rPr>
          <w:rFonts w:hint="default" w:ascii="仿宋" w:hAnsi="仿宋" w:eastAsia="仿宋" w:cs="仿宋"/>
          <w:color w:val="auto"/>
          <w:kern w:val="1"/>
          <w:sz w:val="32"/>
          <w:szCs w:val="32"/>
          <w:lang w:val="en-US" w:eastAsia="zh-CN"/>
        </w:rPr>
        <w:t>202</w:t>
      </w:r>
      <w:r>
        <w:rPr>
          <w:rFonts w:hint="eastAsia" w:ascii="仿宋" w:hAnsi="仿宋" w:eastAsia="仿宋" w:cs="仿宋"/>
          <w:color w:val="auto"/>
          <w:kern w:val="1"/>
          <w:sz w:val="32"/>
          <w:szCs w:val="32"/>
          <w:lang w:val="en-US" w:eastAsia="zh-CN"/>
        </w:rPr>
        <w:t>3年我局基本支出的范围和主要用途包括人员经费和日常公用经费及对个人和家庭的补助，合计987.58万元。具体包括：人员经费支出875.43万元、公用经费支出112.15万元。其中按经济科目划分，各项支出金额分别为：工资福利支出821.7万元；商品和服务支出办公费、工会经费、其他交通费用、其他商品和服务支出等329.4万元；对个人和家庭的补助支出退休费、遗属生活补助、其他对个人和家庭的补助等</w:t>
      </w:r>
      <w:r>
        <w:rPr>
          <w:rFonts w:hint="default" w:ascii="仿宋" w:hAnsi="仿宋" w:eastAsia="仿宋" w:cs="仿宋"/>
          <w:color w:val="auto"/>
          <w:kern w:val="1"/>
          <w:sz w:val="32"/>
          <w:szCs w:val="32"/>
          <w:lang w:val="en-US" w:eastAsia="zh-CN"/>
        </w:rPr>
        <w:t>1</w:t>
      </w:r>
      <w:r>
        <w:rPr>
          <w:rFonts w:hint="eastAsia" w:ascii="仿宋" w:hAnsi="仿宋" w:eastAsia="仿宋" w:cs="仿宋"/>
          <w:color w:val="auto"/>
          <w:kern w:val="1"/>
          <w:sz w:val="32"/>
          <w:szCs w:val="32"/>
          <w:lang w:val="en-US" w:eastAsia="zh-CN"/>
        </w:rPr>
        <w:t>14.27万元。</w:t>
      </w:r>
    </w:p>
    <w:p>
      <w:pPr>
        <w:spacing w:line="520" w:lineRule="atLeast"/>
        <w:ind w:firstLine="640" w:firstLineChars="200"/>
        <w:rPr>
          <w:rFonts w:hint="eastAsia" w:ascii="仿宋" w:hAnsi="仿宋" w:eastAsia="仿宋" w:cs="仿宋"/>
          <w:color w:val="auto"/>
          <w:sz w:val="32"/>
          <w:szCs w:val="32"/>
        </w:rPr>
      </w:pPr>
      <w:r>
        <w:rPr>
          <w:rFonts w:hint="eastAsia" w:ascii="仿宋" w:hAnsi="仿宋" w:eastAsia="仿宋" w:cs="仿宋"/>
          <w:color w:val="auto"/>
          <w:kern w:val="1"/>
          <w:sz w:val="32"/>
          <w:szCs w:val="32"/>
          <w:lang w:val="en-US" w:eastAsia="zh-CN"/>
        </w:rPr>
        <w:t>2、</w:t>
      </w:r>
      <w:r>
        <w:rPr>
          <w:rFonts w:hint="default" w:ascii="仿宋" w:hAnsi="仿宋" w:eastAsia="仿宋" w:cs="仿宋"/>
          <w:color w:val="auto"/>
          <w:kern w:val="1"/>
          <w:sz w:val="32"/>
          <w:szCs w:val="32"/>
          <w:lang w:val="en-US" w:eastAsia="zh-CN"/>
        </w:rPr>
        <w:t>202</w:t>
      </w:r>
      <w:r>
        <w:rPr>
          <w:rFonts w:hint="eastAsia" w:ascii="仿宋" w:hAnsi="仿宋" w:eastAsia="仿宋" w:cs="仿宋"/>
          <w:color w:val="auto"/>
          <w:kern w:val="1"/>
          <w:sz w:val="32"/>
          <w:szCs w:val="32"/>
          <w:lang w:val="en-US" w:eastAsia="zh-CN"/>
        </w:rPr>
        <w:t>3年，财政年初预算安排项目经费873.28万元，调整预算后安排项目经费817.54万元，项目资金减少55.74万元，因年中预算项目调整。</w:t>
      </w:r>
    </w:p>
    <w:p>
      <w:pPr>
        <w:pStyle w:val="3"/>
        <w:numPr>
          <w:ilvl w:val="0"/>
          <w:numId w:val="4"/>
        </w:numPr>
        <w:bidi w:val="0"/>
        <w:rPr>
          <w:rFonts w:hint="eastAsia"/>
        </w:rPr>
      </w:pPr>
      <w:r>
        <w:rPr>
          <w:rFonts w:hint="eastAsia"/>
        </w:rPr>
        <w:t>存在的问题</w:t>
      </w:r>
    </w:p>
    <w:p>
      <w:pPr>
        <w:pStyle w:val="3"/>
        <w:numPr>
          <w:ilvl w:val="0"/>
          <w:numId w:val="0"/>
        </w:numPr>
        <w:bidi w:val="0"/>
        <w:ind w:firstLine="320" w:firstLineChars="100"/>
        <w:rPr>
          <w:rFonts w:hint="eastAsia"/>
        </w:rPr>
      </w:pPr>
      <w:r>
        <w:rPr>
          <w:rFonts w:hint="eastAsia" w:ascii="仿宋" w:hAnsi="仿宋" w:eastAsia="仿宋" w:cs="仿宋"/>
          <w:bCs w:val="0"/>
          <w:snapToGrid/>
          <w:color w:val="auto"/>
          <w:kern w:val="1"/>
          <w:sz w:val="32"/>
          <w:szCs w:val="32"/>
          <w:lang w:val="en-US" w:eastAsia="zh-CN" w:bidi="ar-SA"/>
        </w:rPr>
        <w:t>预算编制目标管理创新有待加强。</w:t>
      </w:r>
    </w:p>
    <w:p>
      <w:pPr>
        <w:pStyle w:val="3"/>
        <w:numPr>
          <w:ilvl w:val="0"/>
          <w:numId w:val="4"/>
        </w:numPr>
        <w:bidi w:val="0"/>
        <w:ind w:left="0" w:leftChars="0" w:firstLine="640" w:firstLineChars="200"/>
        <w:rPr>
          <w:rFonts w:hint="eastAsia"/>
        </w:rPr>
      </w:pPr>
      <w:r>
        <w:rPr>
          <w:rFonts w:hint="eastAsia"/>
        </w:rPr>
        <w:t>整改措施或建议</w:t>
      </w:r>
    </w:p>
    <w:p>
      <w:pPr>
        <w:pStyle w:val="3"/>
        <w:numPr>
          <w:ilvl w:val="0"/>
          <w:numId w:val="0"/>
        </w:numPr>
        <w:bidi w:val="0"/>
        <w:ind w:firstLine="320" w:firstLineChars="100"/>
        <w:rPr>
          <w:rFonts w:hint="eastAsia" w:ascii="仿宋" w:hAnsi="仿宋" w:eastAsia="仿宋" w:cs="仿宋"/>
          <w:bCs w:val="0"/>
          <w:snapToGrid/>
          <w:color w:val="auto"/>
          <w:kern w:val="1"/>
          <w:sz w:val="32"/>
          <w:szCs w:val="32"/>
          <w:lang w:val="en-US" w:eastAsia="zh-CN" w:bidi="ar-SA"/>
        </w:rPr>
      </w:pPr>
      <w:r>
        <w:rPr>
          <w:rFonts w:hint="eastAsia" w:ascii="仿宋" w:hAnsi="仿宋" w:eastAsia="仿宋" w:cs="仿宋"/>
          <w:bCs w:val="0"/>
          <w:snapToGrid/>
          <w:color w:val="auto"/>
          <w:kern w:val="1"/>
          <w:sz w:val="32"/>
          <w:szCs w:val="32"/>
          <w:lang w:val="en-US" w:eastAsia="zh-CN" w:bidi="ar-SA"/>
        </w:rPr>
        <w:t>1、提高预算编制工作，认真做好预算的编制。进一步加强预算编制目标管理创新，严格按照预算编制的相关制度和要求进行预算编制；全面编制预算项目，尽量压缩变动性的、有控制空间的费用项目，进一步提高预算的科学性、严谨性和可控性。</w:t>
      </w:r>
    </w:p>
    <w:p>
      <w:pPr>
        <w:pStyle w:val="3"/>
        <w:numPr>
          <w:ilvl w:val="0"/>
          <w:numId w:val="0"/>
        </w:numPr>
        <w:bidi w:val="0"/>
        <w:ind w:firstLine="320" w:firstLineChars="100"/>
        <w:rPr>
          <w:rFonts w:hint="eastAsia" w:ascii="仿宋" w:hAnsi="仿宋" w:eastAsia="仿宋" w:cs="仿宋"/>
          <w:bCs w:val="0"/>
          <w:snapToGrid/>
          <w:color w:val="auto"/>
          <w:kern w:val="1"/>
          <w:sz w:val="32"/>
          <w:szCs w:val="32"/>
          <w:lang w:val="en-US" w:eastAsia="zh-CN" w:bidi="ar-SA"/>
        </w:rPr>
      </w:pPr>
      <w:r>
        <w:rPr>
          <w:rFonts w:hint="eastAsia" w:ascii="仿宋" w:hAnsi="仿宋" w:eastAsia="仿宋" w:cs="仿宋"/>
          <w:bCs w:val="0"/>
          <w:snapToGrid/>
          <w:color w:val="auto"/>
          <w:kern w:val="1"/>
          <w:sz w:val="32"/>
          <w:szCs w:val="32"/>
          <w:lang w:val="en-US" w:eastAsia="zh-CN" w:bidi="ar-SA"/>
        </w:rPr>
        <w:t>2、加强相关人员培训，特别是针对《预算法》、《行政事业单位会计制度》等学习培训，规范部门预算收支核算，切实提高部门预算收支管理水平。</w:t>
      </w:r>
    </w:p>
    <w:p>
      <w:pPr>
        <w:pStyle w:val="3"/>
        <w:bidi w:val="0"/>
        <w:ind w:left="0" w:leftChars="0" w:firstLine="320" w:firstLineChars="100"/>
        <w:rPr>
          <w:rFonts w:hint="eastAsia"/>
        </w:rPr>
      </w:pPr>
      <w:r>
        <w:rPr>
          <w:rFonts w:hint="eastAsia"/>
        </w:rPr>
        <w:t>六、其他需要说明的问题</w:t>
      </w:r>
    </w:p>
    <w:p>
      <w:pPr>
        <w:pStyle w:val="3"/>
        <w:numPr>
          <w:ilvl w:val="0"/>
          <w:numId w:val="0"/>
        </w:numPr>
        <w:bidi w:val="0"/>
        <w:ind w:firstLine="640" w:firstLineChars="200"/>
        <w:rPr>
          <w:rFonts w:hint="eastAsia" w:ascii="仿宋" w:hAnsi="仿宋" w:eastAsia="仿宋" w:cs="仿宋"/>
          <w:bCs w:val="0"/>
          <w:snapToGrid/>
          <w:color w:val="auto"/>
          <w:kern w:val="1"/>
          <w:sz w:val="32"/>
          <w:szCs w:val="32"/>
          <w:lang w:val="en-US" w:eastAsia="zh-CN" w:bidi="ar-SA"/>
        </w:rPr>
        <w:sectPr>
          <w:footerReference r:id="rId4" w:type="default"/>
          <w:pgSz w:w="11906" w:h="16838"/>
          <w:pgMar w:top="1440" w:right="1800" w:bottom="1440" w:left="1800" w:header="708" w:footer="709" w:gutter="0"/>
          <w:pgNumType w:fmt="decimal"/>
          <w:cols w:space="0" w:num="1"/>
          <w:docGrid w:linePitch="360" w:charSpace="0"/>
        </w:sectPr>
      </w:pPr>
      <w:r>
        <w:rPr>
          <w:rFonts w:hint="eastAsia" w:ascii="仿宋" w:hAnsi="仿宋" w:eastAsia="仿宋" w:cs="仿宋"/>
          <w:bCs w:val="0"/>
          <w:snapToGrid/>
          <w:color w:val="auto"/>
          <w:kern w:val="1"/>
          <w:sz w:val="32"/>
          <w:szCs w:val="32"/>
          <w:lang w:val="en-US" w:eastAsia="zh-CN" w:bidi="ar-SA"/>
        </w:rPr>
        <w:t>无</w:t>
      </w:r>
    </w:p>
    <w:p>
      <w:pPr>
        <w:spacing w:line="400" w:lineRule="exact"/>
        <w:rPr>
          <w:rFonts w:ascii="黑体" w:hAnsi="仿宋_GB2312" w:eastAsia="黑体" w:cs="仿宋_GB2312"/>
          <w:sz w:val="32"/>
          <w:szCs w:val="32"/>
        </w:rPr>
      </w:pPr>
      <w:r>
        <w:rPr>
          <w:rFonts w:hint="eastAsia" w:ascii="黑体" w:hAnsi="仿宋_GB2312" w:eastAsia="黑体" w:cs="仿宋_GB2312"/>
          <w:sz w:val="28"/>
          <w:szCs w:val="28"/>
        </w:rPr>
        <w:t>附件</w:t>
      </w:r>
      <w:r>
        <w:rPr>
          <w:rFonts w:hint="eastAsia" w:ascii="黑体" w:hAnsi="仿宋_GB2312" w:eastAsia="黑体" w:cs="仿宋_GB2312"/>
          <w:sz w:val="28"/>
          <w:szCs w:val="28"/>
          <w:lang w:val="en-US" w:eastAsia="zh-CN"/>
        </w:rPr>
        <w:t>1</w:t>
      </w:r>
      <w:r>
        <w:rPr>
          <w:rFonts w:hint="eastAsia" w:ascii="黑体" w:hAnsi="仿宋_GB2312" w:eastAsia="黑体" w:cs="仿宋_GB2312"/>
          <w:sz w:val="32"/>
          <w:szCs w:val="32"/>
        </w:rPr>
        <w:t>：</w:t>
      </w:r>
    </w:p>
    <w:p>
      <w:pPr>
        <w:spacing w:after="0" w:line="700" w:lineRule="atLeas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color w:val="000000"/>
          <w:sz w:val="44"/>
          <w:szCs w:val="44"/>
        </w:rPr>
        <w:t>部门整体支出绩效评价指标体系评分表</w:t>
      </w:r>
    </w:p>
    <w:tbl>
      <w:tblPr>
        <w:tblStyle w:val="12"/>
        <w:tblW w:w="1414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3"/>
        <w:gridCol w:w="803"/>
        <w:gridCol w:w="1182"/>
        <w:gridCol w:w="6911"/>
        <w:gridCol w:w="3423"/>
        <w:gridCol w:w="10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tblHeader/>
          <w:jc w:val="center"/>
        </w:trPr>
        <w:tc>
          <w:tcPr>
            <w:tcW w:w="733"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68" w:lineRule="atLeast"/>
              <w:jc w:val="center"/>
              <w:rPr>
                <w:rFonts w:ascii="宋体" w:hAnsi="宋体" w:eastAsia="宋体" w:cs="宋体"/>
              </w:rPr>
            </w:pPr>
            <w:r>
              <w:rPr>
                <w:rFonts w:hint="eastAsia" w:ascii="宋体" w:hAnsi="宋体" w:eastAsia="宋体" w:cs="宋体"/>
                <w:b/>
                <w:bCs/>
              </w:rPr>
              <w:t>一级指标</w:t>
            </w:r>
          </w:p>
        </w:tc>
        <w:tc>
          <w:tcPr>
            <w:tcW w:w="803"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68" w:lineRule="atLeast"/>
              <w:jc w:val="center"/>
              <w:rPr>
                <w:rFonts w:ascii="宋体" w:hAnsi="宋体" w:eastAsia="宋体" w:cs="宋体"/>
              </w:rPr>
            </w:pPr>
            <w:r>
              <w:rPr>
                <w:rFonts w:hint="eastAsia" w:ascii="宋体" w:hAnsi="宋体" w:eastAsia="宋体" w:cs="宋体"/>
                <w:b/>
                <w:bCs/>
              </w:rPr>
              <w:t>二级指标</w:t>
            </w:r>
          </w:p>
        </w:tc>
        <w:tc>
          <w:tcPr>
            <w:tcW w:w="8093" w:type="dxa"/>
            <w:gridSpan w:val="2"/>
            <w:tcBorders>
              <w:top w:val="single" w:color="000000" w:sz="4" w:space="0"/>
              <w:left w:val="single" w:color="000000" w:sz="4" w:space="0"/>
              <w:bottom w:val="single" w:color="000000" w:sz="4" w:space="0"/>
              <w:right w:val="single" w:color="auto" w:sz="4" w:space="0"/>
            </w:tcBorders>
            <w:vAlign w:val="center"/>
          </w:tcPr>
          <w:p>
            <w:pPr>
              <w:spacing w:after="0" w:line="68" w:lineRule="atLeast"/>
              <w:jc w:val="center"/>
              <w:rPr>
                <w:rFonts w:ascii="宋体" w:hAnsi="宋体" w:eastAsia="宋体" w:cs="宋体"/>
              </w:rPr>
            </w:pPr>
            <w:r>
              <w:rPr>
                <w:rFonts w:hint="eastAsia" w:ascii="宋体" w:hAnsi="宋体" w:eastAsia="宋体" w:cs="宋体"/>
                <w:b/>
                <w:bCs/>
              </w:rPr>
              <w:t>三级指标</w:t>
            </w:r>
          </w:p>
        </w:tc>
        <w:tc>
          <w:tcPr>
            <w:tcW w:w="3423" w:type="dxa"/>
            <w:vMerge w:val="restart"/>
            <w:tcBorders>
              <w:top w:val="single" w:color="000000" w:sz="4" w:space="0"/>
              <w:left w:val="single" w:color="auto" w:sz="4" w:space="0"/>
              <w:bottom w:val="single" w:color="000000" w:sz="4" w:space="0"/>
              <w:right w:val="single" w:color="auto" w:sz="4" w:space="0"/>
            </w:tcBorders>
            <w:vAlign w:val="center"/>
          </w:tcPr>
          <w:p>
            <w:pPr>
              <w:spacing w:after="0" w:line="68" w:lineRule="atLeast"/>
              <w:jc w:val="center"/>
              <w:rPr>
                <w:rFonts w:ascii="宋体" w:hAnsi="宋体" w:eastAsia="宋体" w:cs="宋体"/>
              </w:rPr>
            </w:pPr>
            <w:r>
              <w:rPr>
                <w:rFonts w:hint="eastAsia" w:ascii="宋体" w:hAnsi="宋体" w:eastAsia="宋体" w:cs="宋体"/>
                <w:b/>
                <w:bCs/>
              </w:rPr>
              <w:t>评分标准</w:t>
            </w:r>
          </w:p>
        </w:tc>
        <w:tc>
          <w:tcPr>
            <w:tcW w:w="1090" w:type="dxa"/>
            <w:vMerge w:val="restart"/>
            <w:tcBorders>
              <w:top w:val="single" w:color="000000" w:sz="4" w:space="0"/>
              <w:left w:val="single" w:color="auto" w:sz="4" w:space="0"/>
              <w:bottom w:val="single" w:color="000000" w:sz="4" w:space="0"/>
              <w:right w:val="single" w:color="auto" w:sz="4" w:space="0"/>
            </w:tcBorders>
            <w:vAlign w:val="center"/>
          </w:tcPr>
          <w:p>
            <w:pPr>
              <w:spacing w:after="0" w:line="68" w:lineRule="atLeast"/>
              <w:jc w:val="center"/>
              <w:rPr>
                <w:rFonts w:ascii="宋体" w:hAnsi="宋体" w:eastAsia="宋体" w:cs="宋体"/>
              </w:rPr>
            </w:pPr>
            <w:r>
              <w:rPr>
                <w:rFonts w:hint="eastAsia" w:ascii="宋体" w:hAnsi="宋体" w:eastAsia="宋体" w:cs="宋体"/>
                <w:b/>
                <w:bCs/>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tblHeader/>
          <w:jc w:val="center"/>
        </w:trPr>
        <w:tc>
          <w:tcPr>
            <w:tcW w:w="733" w:type="dxa"/>
            <w:vMerge w:val="continue"/>
            <w:tcBorders>
              <w:top w:val="single" w:color="000000" w:sz="4" w:space="0"/>
              <w:left w:val="single" w:color="000000" w:sz="4" w:space="0"/>
              <w:bottom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68" w:lineRule="atLeast"/>
              <w:jc w:val="center"/>
              <w:rPr>
                <w:rFonts w:ascii="宋体" w:hAnsi="宋体" w:eastAsia="宋体" w:cs="宋体"/>
              </w:rPr>
            </w:pPr>
            <w:r>
              <w:rPr>
                <w:rFonts w:hint="eastAsia" w:ascii="宋体" w:hAnsi="宋体" w:eastAsia="宋体" w:cs="宋体"/>
                <w:b/>
                <w:bCs/>
              </w:rPr>
              <w:t>指标名称</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68" w:lineRule="atLeast"/>
              <w:jc w:val="center"/>
              <w:rPr>
                <w:rFonts w:ascii="宋体" w:hAnsi="宋体" w:eastAsia="宋体" w:cs="宋体"/>
              </w:rPr>
            </w:pPr>
            <w:r>
              <w:rPr>
                <w:rFonts w:hint="eastAsia" w:ascii="宋体" w:hAnsi="宋体" w:eastAsia="宋体" w:cs="宋体"/>
                <w:b/>
                <w:bCs/>
              </w:rPr>
              <w:t>指标解释说明</w:t>
            </w:r>
          </w:p>
        </w:tc>
        <w:tc>
          <w:tcPr>
            <w:tcW w:w="3423" w:type="dxa"/>
            <w:vMerge w:val="continue"/>
            <w:tcBorders>
              <w:top w:val="single" w:color="000000" w:sz="4" w:space="0"/>
              <w:left w:val="single" w:color="auto" w:sz="4" w:space="0"/>
              <w:bottom w:val="single" w:color="000000" w:sz="4" w:space="0"/>
              <w:right w:val="single" w:color="auto" w:sz="4" w:space="0"/>
            </w:tcBorders>
            <w:vAlign w:val="center"/>
          </w:tcPr>
          <w:p>
            <w:pPr>
              <w:spacing w:after="0"/>
              <w:rPr>
                <w:rFonts w:ascii="宋体" w:hAnsi="宋体" w:eastAsia="宋体" w:cs="宋体"/>
              </w:rPr>
            </w:pPr>
          </w:p>
        </w:tc>
        <w:tc>
          <w:tcPr>
            <w:tcW w:w="1090" w:type="dxa"/>
            <w:vMerge w:val="continue"/>
            <w:tcBorders>
              <w:top w:val="single" w:color="000000" w:sz="4" w:space="0"/>
              <w:left w:val="single" w:color="auto" w:sz="4" w:space="0"/>
              <w:bottom w:val="single" w:color="000000" w:sz="4" w:space="0"/>
              <w:right w:val="single" w:color="auto" w:sz="4" w:space="0"/>
            </w:tcBorders>
            <w:vAlign w:val="center"/>
          </w:tcPr>
          <w:p>
            <w:pPr>
              <w:spacing w:after="0"/>
              <w:jc w:val="center"/>
              <w:rPr>
                <w:rFonts w:ascii="宋体" w:hAnsi="宋体" w:eastAsia="宋体"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0" w:hRule="atLeast"/>
          <w:jc w:val="center"/>
        </w:trPr>
        <w:tc>
          <w:tcPr>
            <w:tcW w:w="733" w:type="dxa"/>
            <w:vMerge w:val="restart"/>
            <w:tcBorders>
              <w:top w:val="single" w:color="000000" w:sz="4" w:space="0"/>
              <w:left w:val="single" w:color="000000" w:sz="4" w:space="0"/>
              <w:right w:val="single" w:color="000000" w:sz="4" w:space="0"/>
            </w:tcBorders>
          </w:tcPr>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r>
              <w:rPr>
                <w:rFonts w:hint="eastAsia" w:ascii="宋体" w:hAnsi="宋体" w:eastAsia="宋体" w:cs="宋体"/>
              </w:rPr>
              <w:t>投入（15分）</w:t>
            </w: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r>
              <w:rPr>
                <w:rFonts w:hint="eastAsia" w:ascii="宋体" w:hAnsi="宋体" w:eastAsia="宋体" w:cs="宋体"/>
              </w:rPr>
              <w:t>投入（15分）</w:t>
            </w:r>
          </w:p>
        </w:tc>
        <w:tc>
          <w:tcPr>
            <w:tcW w:w="803" w:type="dxa"/>
            <w:vMerge w:val="restart"/>
            <w:tcBorders>
              <w:top w:val="single" w:color="000000" w:sz="4" w:space="0"/>
              <w:left w:val="single" w:color="000000" w:sz="4" w:space="0"/>
              <w:right w:val="single" w:color="000000" w:sz="4" w:space="0"/>
            </w:tcBorders>
          </w:tcPr>
          <w:p>
            <w:pPr>
              <w:spacing w:after="0" w:line="240" w:lineRule="exact"/>
              <w:rPr>
                <w:rFonts w:ascii="宋体" w:hAnsi="宋体" w:eastAsia="宋体" w:cs="宋体"/>
              </w:rPr>
            </w:pPr>
          </w:p>
          <w:p>
            <w:pPr>
              <w:spacing w:after="0" w:line="240" w:lineRule="exact"/>
              <w:rPr>
                <w:rFonts w:ascii="宋体" w:hAnsi="宋体" w:eastAsia="宋体" w:cs="宋体"/>
              </w:rPr>
            </w:pPr>
          </w:p>
          <w:p>
            <w:pPr>
              <w:spacing w:after="0" w:line="240" w:lineRule="exact"/>
              <w:rPr>
                <w:rFonts w:ascii="宋体" w:hAnsi="宋体" w:eastAsia="宋体" w:cs="宋体"/>
              </w:rPr>
            </w:pPr>
          </w:p>
          <w:p>
            <w:pPr>
              <w:spacing w:after="0" w:line="240" w:lineRule="exact"/>
              <w:rPr>
                <w:rFonts w:ascii="宋体" w:hAnsi="宋体" w:eastAsia="宋体" w:cs="宋体"/>
              </w:rPr>
            </w:pPr>
          </w:p>
          <w:p>
            <w:pPr>
              <w:spacing w:after="0" w:line="240" w:lineRule="exact"/>
              <w:rPr>
                <w:rFonts w:ascii="宋体" w:hAnsi="宋体" w:eastAsia="宋体" w:cs="宋体"/>
              </w:rPr>
            </w:pPr>
          </w:p>
          <w:p>
            <w:pPr>
              <w:spacing w:after="0" w:line="240" w:lineRule="exact"/>
              <w:rPr>
                <w:rFonts w:ascii="宋体" w:hAnsi="宋体" w:eastAsia="宋体" w:cs="宋体"/>
              </w:rPr>
            </w:pPr>
          </w:p>
          <w:p>
            <w:pPr>
              <w:spacing w:after="0" w:line="240" w:lineRule="exact"/>
              <w:rPr>
                <w:rFonts w:ascii="宋体" w:hAnsi="宋体" w:eastAsia="宋体" w:cs="宋体"/>
              </w:rPr>
            </w:pPr>
          </w:p>
          <w:p>
            <w:pPr>
              <w:spacing w:after="0" w:line="240" w:lineRule="exact"/>
              <w:rPr>
                <w:rFonts w:ascii="宋体" w:hAnsi="宋体" w:eastAsia="宋体" w:cs="宋体"/>
              </w:rPr>
            </w:pPr>
          </w:p>
          <w:p>
            <w:pPr>
              <w:spacing w:after="0" w:line="240" w:lineRule="exact"/>
              <w:rPr>
                <w:rFonts w:ascii="宋体" w:hAnsi="宋体" w:eastAsia="宋体" w:cs="宋体"/>
              </w:rPr>
            </w:pPr>
          </w:p>
          <w:p>
            <w:pPr>
              <w:spacing w:after="0" w:line="240" w:lineRule="exact"/>
              <w:rPr>
                <w:rFonts w:ascii="宋体" w:hAnsi="宋体" w:eastAsia="宋体" w:cs="宋体"/>
              </w:rPr>
            </w:pPr>
          </w:p>
          <w:p>
            <w:pPr>
              <w:spacing w:after="0" w:line="240" w:lineRule="exact"/>
              <w:rPr>
                <w:rFonts w:ascii="宋体" w:hAnsi="宋体" w:eastAsia="宋体" w:cs="宋体"/>
              </w:rPr>
            </w:pPr>
          </w:p>
          <w:p>
            <w:pPr>
              <w:spacing w:after="0" w:line="240" w:lineRule="exact"/>
              <w:rPr>
                <w:rFonts w:ascii="宋体" w:hAnsi="宋体" w:eastAsia="宋体" w:cs="宋体"/>
              </w:rPr>
            </w:pPr>
          </w:p>
          <w:p>
            <w:pPr>
              <w:spacing w:after="0" w:line="240" w:lineRule="exact"/>
              <w:rPr>
                <w:rFonts w:ascii="宋体" w:hAnsi="宋体" w:eastAsia="宋体" w:cs="宋体"/>
              </w:rPr>
            </w:pPr>
          </w:p>
          <w:p>
            <w:pPr>
              <w:spacing w:after="0" w:line="240" w:lineRule="exact"/>
              <w:rPr>
                <w:rFonts w:ascii="宋体" w:hAnsi="宋体" w:eastAsia="宋体" w:cs="宋体"/>
              </w:rPr>
            </w:pPr>
            <w:r>
              <w:rPr>
                <w:rFonts w:hint="eastAsia" w:ascii="宋体" w:hAnsi="宋体" w:eastAsia="宋体" w:cs="宋体"/>
              </w:rPr>
              <w:t>目标设定</w:t>
            </w:r>
          </w:p>
          <w:p>
            <w:pPr>
              <w:spacing w:after="0" w:line="68" w:lineRule="atLeast"/>
              <w:rPr>
                <w:rFonts w:ascii="宋体" w:hAnsi="宋体" w:eastAsia="宋体" w:cs="宋体"/>
              </w:rPr>
            </w:pPr>
            <w:r>
              <w:rPr>
                <w:rFonts w:hint="eastAsia" w:ascii="宋体" w:hAnsi="宋体" w:eastAsia="宋体" w:cs="宋体"/>
              </w:rPr>
              <w:t>（5分）</w:t>
            </w:r>
          </w:p>
        </w:tc>
        <w:tc>
          <w:tcPr>
            <w:tcW w:w="1182" w:type="dxa"/>
            <w:tcBorders>
              <w:top w:val="single" w:color="000000" w:sz="4" w:space="0"/>
              <w:left w:val="single" w:color="000000" w:sz="4" w:space="0"/>
              <w:bottom w:val="single" w:color="auto" w:sz="4" w:space="0"/>
              <w:right w:val="single" w:color="auto" w:sz="4" w:space="0"/>
            </w:tcBorders>
          </w:tcPr>
          <w:p>
            <w:pPr>
              <w:spacing w:after="0" w:line="68" w:lineRule="atLeast"/>
              <w:rPr>
                <w:rFonts w:ascii="宋体" w:hAnsi="宋体" w:eastAsia="宋体" w:cs="宋体"/>
              </w:rPr>
            </w:pPr>
            <w:r>
              <w:rPr>
                <w:rFonts w:hint="eastAsia" w:ascii="宋体" w:hAnsi="宋体" w:eastAsia="宋体" w:cs="宋体"/>
              </w:rPr>
              <w:t>职责明确（1分）</w:t>
            </w:r>
          </w:p>
        </w:tc>
        <w:tc>
          <w:tcPr>
            <w:tcW w:w="6911" w:type="dxa"/>
            <w:tcBorders>
              <w:top w:val="single" w:color="000000" w:sz="4" w:space="0"/>
              <w:left w:val="single" w:color="auto" w:sz="4" w:space="0"/>
              <w:bottom w:val="single" w:color="auto" w:sz="4" w:space="0"/>
              <w:right w:val="single" w:color="auto" w:sz="4" w:space="0"/>
            </w:tcBorders>
          </w:tcPr>
          <w:p>
            <w:pPr>
              <w:spacing w:after="0" w:line="68" w:lineRule="atLeast"/>
              <w:rPr>
                <w:rFonts w:ascii="宋体" w:hAnsi="宋体" w:eastAsia="宋体" w:cs="宋体"/>
              </w:rPr>
            </w:pPr>
            <w:r>
              <w:rPr>
                <w:rFonts w:hint="eastAsia" w:ascii="宋体" w:hAnsi="宋体" w:eastAsia="宋体" w:cs="宋体"/>
              </w:rPr>
              <w:t>部门的职责设定是否符合“三定”方案中所赋予的职责和年度承担的重点工作，用以反映和评价部门工作的目的性与计划性。</w:t>
            </w:r>
          </w:p>
        </w:tc>
        <w:tc>
          <w:tcPr>
            <w:tcW w:w="3423" w:type="dxa"/>
            <w:tcBorders>
              <w:top w:val="single" w:color="000000" w:sz="4" w:space="0"/>
              <w:left w:val="single" w:color="auto" w:sz="4" w:space="0"/>
              <w:bottom w:val="single" w:color="auto" w:sz="4" w:space="0"/>
              <w:right w:val="single" w:color="auto" w:sz="4" w:space="0"/>
            </w:tcBorders>
          </w:tcPr>
          <w:p>
            <w:pPr>
              <w:spacing w:after="0" w:line="240" w:lineRule="exact"/>
              <w:rPr>
                <w:rFonts w:ascii="宋体" w:hAnsi="宋体" w:eastAsia="宋体" w:cs="宋体"/>
              </w:rPr>
            </w:pPr>
            <w:r>
              <w:rPr>
                <w:rFonts w:hint="eastAsia" w:ascii="宋体" w:hAnsi="宋体" w:eastAsia="宋体" w:cs="宋体"/>
              </w:rPr>
              <w:t>符合（1分）；</w:t>
            </w:r>
          </w:p>
          <w:p>
            <w:pPr>
              <w:spacing w:after="0" w:line="68" w:lineRule="atLeast"/>
              <w:rPr>
                <w:rFonts w:ascii="宋体" w:hAnsi="宋体" w:eastAsia="宋体" w:cs="宋体"/>
              </w:rPr>
            </w:pPr>
            <w:r>
              <w:rPr>
                <w:rFonts w:hint="eastAsia" w:ascii="宋体" w:hAnsi="宋体" w:eastAsia="宋体" w:cs="宋体"/>
              </w:rPr>
              <w:t>不符合（0分）。</w:t>
            </w:r>
          </w:p>
        </w:tc>
        <w:tc>
          <w:tcPr>
            <w:tcW w:w="1090" w:type="dxa"/>
            <w:tcBorders>
              <w:top w:val="single" w:color="000000" w:sz="4" w:space="0"/>
              <w:left w:val="single" w:color="auto" w:sz="4" w:space="0"/>
              <w:bottom w:val="single" w:color="auto" w:sz="4" w:space="0"/>
              <w:right w:val="single" w:color="000000" w:sz="4" w:space="0"/>
            </w:tcBorders>
          </w:tcPr>
          <w:p>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4"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活动合规性（1分）</w:t>
            </w:r>
          </w:p>
        </w:tc>
        <w:tc>
          <w:tcPr>
            <w:tcW w:w="6911" w:type="dxa"/>
            <w:tcBorders>
              <w:top w:val="single" w:color="000000" w:sz="4" w:space="0"/>
              <w:left w:val="single" w:color="auto" w:sz="4" w:space="0"/>
              <w:bottom w:val="single" w:color="auto"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部门的活动是否在职责范围之内并符合部门中长期规划，用以反映和评价部门活动目标与部门履职、年度工作任务的相符性情况。</w:t>
            </w:r>
          </w:p>
          <w:p>
            <w:pPr>
              <w:spacing w:after="0" w:line="240" w:lineRule="exact"/>
              <w:rPr>
                <w:rFonts w:ascii="宋体" w:hAnsi="宋体" w:eastAsia="宋体" w:cs="宋体"/>
              </w:rPr>
            </w:pPr>
            <w:r>
              <w:rPr>
                <w:rFonts w:hint="eastAsia" w:ascii="宋体" w:hAnsi="宋体" w:eastAsia="宋体" w:cs="宋体"/>
              </w:rPr>
              <w:t>评价要点：</w:t>
            </w:r>
          </w:p>
          <w:p>
            <w:pPr>
              <w:spacing w:after="0" w:line="240" w:lineRule="exact"/>
              <w:rPr>
                <w:rFonts w:ascii="宋体" w:hAnsi="宋体" w:eastAsia="宋体" w:cs="宋体"/>
              </w:rPr>
            </w:pPr>
            <w:r>
              <w:rPr>
                <w:rFonts w:hint="eastAsia" w:ascii="宋体" w:hAnsi="宋体" w:eastAsia="宋体" w:cs="宋体"/>
              </w:rPr>
              <w:t>1.部门活动的设定在部门所确定的职责范围之内；</w:t>
            </w:r>
          </w:p>
          <w:p>
            <w:pPr>
              <w:spacing w:after="0" w:line="68" w:lineRule="atLeast"/>
              <w:rPr>
                <w:rFonts w:ascii="宋体" w:hAnsi="宋体" w:eastAsia="宋体" w:cs="宋体"/>
              </w:rPr>
            </w:pPr>
            <w:r>
              <w:rPr>
                <w:rFonts w:hint="eastAsia" w:ascii="宋体" w:hAnsi="宋体" w:eastAsia="宋体" w:cs="宋体"/>
              </w:rPr>
              <w:t>2.部门活动符合市委、市政府的发展规划及本部门的年度工作安排与发展规划。</w:t>
            </w:r>
          </w:p>
        </w:tc>
        <w:tc>
          <w:tcPr>
            <w:tcW w:w="3423" w:type="dxa"/>
            <w:tcBorders>
              <w:top w:val="single" w:color="000000" w:sz="4" w:space="0"/>
              <w:left w:val="single" w:color="auto" w:sz="4" w:space="0"/>
              <w:bottom w:val="single" w:color="auto"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全部符合（1分）；</w:t>
            </w:r>
          </w:p>
          <w:p>
            <w:pPr>
              <w:spacing w:after="0" w:line="68" w:lineRule="atLeast"/>
              <w:rPr>
                <w:rFonts w:ascii="宋体" w:hAnsi="宋体" w:eastAsia="宋体" w:cs="宋体"/>
              </w:rPr>
            </w:pPr>
            <w:r>
              <w:rPr>
                <w:rFonts w:hint="eastAsia" w:ascii="宋体" w:hAnsi="宋体" w:eastAsia="宋体" w:cs="宋体"/>
              </w:rPr>
              <w:t>其中一项不符合（0分）。</w:t>
            </w:r>
          </w:p>
        </w:tc>
        <w:tc>
          <w:tcPr>
            <w:tcW w:w="1090" w:type="dxa"/>
            <w:tcBorders>
              <w:top w:val="single" w:color="000000" w:sz="4" w:space="0"/>
              <w:left w:val="single" w:color="auto" w:sz="4" w:space="0"/>
              <w:bottom w:val="single" w:color="auto" w:sz="4" w:space="0"/>
              <w:right w:val="single" w:color="000000" w:sz="4" w:space="0"/>
            </w:tcBorders>
            <w:vAlign w:val="center"/>
          </w:tcPr>
          <w:p>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2"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活动合理性（1分）</w:t>
            </w:r>
          </w:p>
        </w:tc>
        <w:tc>
          <w:tcPr>
            <w:tcW w:w="6911" w:type="dxa"/>
            <w:tcBorders>
              <w:top w:val="single" w:color="000000" w:sz="4" w:space="0"/>
              <w:left w:val="single" w:color="auto" w:sz="4" w:space="0"/>
              <w:bottom w:val="single" w:color="auto"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部门所设立的活动是否明确合理、活动的关键性指标设置是否可衡量，用以反映和评价部门活动目标设定的合理性。</w:t>
            </w:r>
          </w:p>
          <w:p>
            <w:pPr>
              <w:spacing w:after="0" w:line="240" w:lineRule="exact"/>
              <w:rPr>
                <w:rFonts w:ascii="宋体" w:hAnsi="宋体" w:eastAsia="宋体" w:cs="宋体"/>
              </w:rPr>
            </w:pPr>
            <w:r>
              <w:rPr>
                <w:rFonts w:hint="eastAsia" w:ascii="宋体" w:hAnsi="宋体" w:eastAsia="宋体" w:cs="宋体"/>
              </w:rPr>
              <w:t>评价要点：</w:t>
            </w:r>
          </w:p>
          <w:p>
            <w:pPr>
              <w:spacing w:after="0" w:line="240" w:lineRule="exact"/>
              <w:rPr>
                <w:rFonts w:ascii="宋体" w:hAnsi="宋体" w:eastAsia="宋体" w:cs="宋体"/>
              </w:rPr>
            </w:pPr>
            <w:r>
              <w:rPr>
                <w:rFonts w:hint="eastAsia" w:ascii="宋体" w:hAnsi="宋体" w:eastAsia="宋体" w:cs="宋体"/>
              </w:rPr>
              <w:t>1.活动目标的设定是可量化的，可通过清晰、可衡量的关键指标值予以体现；</w:t>
            </w:r>
          </w:p>
          <w:p>
            <w:pPr>
              <w:spacing w:after="0" w:line="68" w:lineRule="atLeast"/>
              <w:rPr>
                <w:rFonts w:ascii="宋体" w:hAnsi="宋体" w:eastAsia="宋体" w:cs="宋体"/>
              </w:rPr>
            </w:pPr>
            <w:r>
              <w:rPr>
                <w:rFonts w:hint="eastAsia" w:ascii="宋体" w:hAnsi="宋体" w:eastAsia="宋体" w:cs="宋体"/>
              </w:rPr>
              <w:t>2.在活动目标设定时，将关键指标明细分解为具体的达成目标与工作任务。</w:t>
            </w:r>
          </w:p>
        </w:tc>
        <w:tc>
          <w:tcPr>
            <w:tcW w:w="3423" w:type="dxa"/>
            <w:tcBorders>
              <w:top w:val="single" w:color="000000" w:sz="4" w:space="0"/>
              <w:left w:val="single" w:color="auto" w:sz="4" w:space="0"/>
              <w:bottom w:val="single" w:color="auto"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全部符合（1分）；</w:t>
            </w:r>
          </w:p>
          <w:p>
            <w:pPr>
              <w:spacing w:after="0" w:line="68" w:lineRule="atLeast"/>
              <w:rPr>
                <w:rFonts w:ascii="宋体" w:hAnsi="宋体" w:eastAsia="宋体" w:cs="宋体"/>
              </w:rPr>
            </w:pPr>
            <w:r>
              <w:rPr>
                <w:rFonts w:hint="eastAsia" w:ascii="宋体" w:hAnsi="宋体" w:eastAsia="宋体" w:cs="宋体"/>
              </w:rPr>
              <w:t>其中一项不符合（0分）。</w:t>
            </w:r>
          </w:p>
        </w:tc>
        <w:tc>
          <w:tcPr>
            <w:tcW w:w="1090" w:type="dxa"/>
            <w:tcBorders>
              <w:top w:val="single" w:color="000000" w:sz="4" w:space="0"/>
              <w:left w:val="single" w:color="auto" w:sz="4" w:space="0"/>
              <w:bottom w:val="single" w:color="auto" w:sz="4" w:space="0"/>
              <w:right w:val="single" w:color="000000" w:sz="4" w:space="0"/>
            </w:tcBorders>
            <w:vAlign w:val="center"/>
          </w:tcPr>
          <w:p>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4"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目标覆盖率（1分）</w:t>
            </w:r>
          </w:p>
        </w:tc>
        <w:tc>
          <w:tcPr>
            <w:tcW w:w="6911" w:type="dxa"/>
            <w:tcBorders>
              <w:top w:val="single" w:color="000000" w:sz="4" w:space="0"/>
              <w:left w:val="single" w:color="auto" w:sz="4" w:space="0"/>
              <w:bottom w:val="single" w:color="auto"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部门年度申报绩效目标项目资金额与部门项目预算资金总额的比率，用以反映部门落实财政部门绩效目标申报要求的资金覆盖情况。</w:t>
            </w:r>
          </w:p>
          <w:p>
            <w:pPr>
              <w:spacing w:after="0" w:line="240" w:lineRule="exact"/>
              <w:rPr>
                <w:rFonts w:ascii="宋体" w:hAnsi="宋体" w:eastAsia="宋体" w:cs="宋体"/>
              </w:rPr>
            </w:pPr>
            <w:r>
              <w:rPr>
                <w:rFonts w:hint="eastAsia" w:ascii="宋体" w:hAnsi="宋体" w:eastAsia="宋体" w:cs="宋体"/>
              </w:rPr>
              <w:t>覆盖率=实际申报绩效目标项目资金总额/部门项目预算资金总额×100%</w:t>
            </w:r>
          </w:p>
        </w:tc>
        <w:tc>
          <w:tcPr>
            <w:tcW w:w="3423" w:type="dxa"/>
            <w:tcBorders>
              <w:top w:val="single" w:color="000000" w:sz="4" w:space="0"/>
              <w:left w:val="single" w:color="auto" w:sz="4" w:space="0"/>
              <w:bottom w:val="single" w:color="auto"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达到目标值得1分，未达到目标值采用完成比率法计分：得分=覆盖率/目标值×1，超过目标值不加分。</w:t>
            </w:r>
          </w:p>
        </w:tc>
        <w:tc>
          <w:tcPr>
            <w:tcW w:w="1090" w:type="dxa"/>
            <w:tcBorders>
              <w:top w:val="single" w:color="000000" w:sz="4" w:space="0"/>
              <w:left w:val="single" w:color="auto" w:sz="4" w:space="0"/>
              <w:bottom w:val="single" w:color="auto" w:sz="4" w:space="0"/>
              <w:right w:val="single" w:color="000000" w:sz="4" w:space="0"/>
            </w:tcBorders>
            <w:vAlign w:val="center"/>
          </w:tcPr>
          <w:p>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2"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目标管理创新（1分）</w:t>
            </w:r>
          </w:p>
        </w:tc>
        <w:tc>
          <w:tcPr>
            <w:tcW w:w="6911" w:type="dxa"/>
            <w:tcBorders>
              <w:top w:val="single" w:color="000000" w:sz="4" w:space="0"/>
              <w:left w:val="single" w:color="auto" w:sz="4" w:space="0"/>
              <w:bottom w:val="single" w:color="auto"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部门编报整体绩效目标和申报项目绩效目标的数量超过规定的要求。用以反映和考核部门绩效目标管理创新工作情况。</w:t>
            </w:r>
          </w:p>
          <w:p>
            <w:pPr>
              <w:spacing w:after="0" w:line="240" w:lineRule="exact"/>
              <w:rPr>
                <w:rFonts w:ascii="宋体" w:hAnsi="宋体" w:eastAsia="宋体" w:cs="宋体"/>
              </w:rPr>
            </w:pPr>
            <w:r>
              <w:rPr>
                <w:rFonts w:hint="eastAsia" w:ascii="宋体" w:hAnsi="宋体" w:eastAsia="宋体" w:cs="宋体"/>
              </w:rPr>
              <w:t>项目绩效目标创新=部门绩效目标编报数量-按财政部门要求的绩效目标填报数量</w:t>
            </w:r>
          </w:p>
        </w:tc>
        <w:tc>
          <w:tcPr>
            <w:tcW w:w="3423" w:type="dxa"/>
            <w:tcBorders>
              <w:top w:val="single" w:color="000000" w:sz="4" w:space="0"/>
              <w:left w:val="single" w:color="auto" w:sz="4" w:space="0"/>
              <w:bottom w:val="single" w:color="auto"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每超过1项得0.1分，满分1分。</w:t>
            </w:r>
          </w:p>
        </w:tc>
        <w:tc>
          <w:tcPr>
            <w:tcW w:w="1090" w:type="dxa"/>
            <w:tcBorders>
              <w:top w:val="single" w:color="000000" w:sz="4" w:space="0"/>
              <w:left w:val="single" w:color="auto" w:sz="4" w:space="0"/>
              <w:bottom w:val="single" w:color="auto" w:sz="4" w:space="0"/>
              <w:right w:val="single" w:color="000000" w:sz="4" w:space="0"/>
            </w:tcBorders>
            <w:vAlign w:val="center"/>
          </w:tcPr>
          <w:p>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95"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restart"/>
            <w:tcBorders>
              <w:top w:val="single" w:color="000000" w:sz="4" w:space="0"/>
              <w:left w:val="single" w:color="000000" w:sz="4" w:space="0"/>
              <w:right w:val="single" w:color="000000" w:sz="4" w:space="0"/>
            </w:tcBorders>
            <w:vAlign w:val="center"/>
          </w:tcPr>
          <w:p>
            <w:pPr>
              <w:spacing w:after="0" w:line="68" w:lineRule="atLeast"/>
              <w:rPr>
                <w:rFonts w:ascii="宋体" w:hAnsi="宋体" w:eastAsia="宋体" w:cs="宋体"/>
              </w:rPr>
            </w:pPr>
            <w:r>
              <w:rPr>
                <w:rFonts w:hint="eastAsia" w:ascii="宋体" w:hAnsi="宋体" w:eastAsia="宋体" w:cs="宋体"/>
              </w:rPr>
              <w:t>预算配置(10分)</w:t>
            </w:r>
          </w:p>
        </w:tc>
        <w:tc>
          <w:tcPr>
            <w:tcW w:w="1182" w:type="dxa"/>
            <w:tcBorders>
              <w:top w:val="single" w:color="auto"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财政供养人员控制率（3分）</w:t>
            </w:r>
          </w:p>
        </w:tc>
        <w:tc>
          <w:tcPr>
            <w:tcW w:w="6911" w:type="dxa"/>
            <w:tcBorders>
              <w:top w:val="single" w:color="auto"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部门本年度实际在职人员数与编制数的比率，用以反映和评价部门对人员成本的控制程度。</w:t>
            </w:r>
          </w:p>
          <w:p>
            <w:pPr>
              <w:spacing w:after="0" w:line="240" w:lineRule="exact"/>
              <w:rPr>
                <w:rFonts w:ascii="宋体" w:hAnsi="宋体" w:eastAsia="宋体" w:cs="宋体"/>
              </w:rPr>
            </w:pPr>
            <w:r>
              <w:rPr>
                <w:rFonts w:hint="eastAsia" w:ascii="宋体" w:hAnsi="宋体" w:eastAsia="宋体" w:cs="宋体"/>
              </w:rPr>
              <w:t>在职人员控制率=（在职人员数/编制数）×100%。</w:t>
            </w:r>
          </w:p>
          <w:p>
            <w:pPr>
              <w:spacing w:after="0" w:line="240" w:lineRule="exact"/>
              <w:rPr>
                <w:rFonts w:ascii="宋体" w:hAnsi="宋体" w:eastAsia="宋体" w:cs="宋体"/>
              </w:rPr>
            </w:pPr>
            <w:r>
              <w:rPr>
                <w:rFonts w:hint="eastAsia" w:ascii="宋体" w:hAnsi="宋体" w:eastAsia="宋体" w:cs="宋体"/>
              </w:rPr>
              <w:t>在职人员数：部门实际在职人数，以财政部确定的部门决算编制口径为准，由编制部门和人劳部门批复同意的临聘人员除外。</w:t>
            </w:r>
          </w:p>
          <w:p>
            <w:pPr>
              <w:spacing w:after="0" w:line="68" w:lineRule="atLeast"/>
              <w:rPr>
                <w:rFonts w:ascii="宋体" w:hAnsi="宋体" w:eastAsia="宋体" w:cs="宋体"/>
              </w:rPr>
            </w:pPr>
            <w:r>
              <w:rPr>
                <w:rFonts w:hint="eastAsia" w:ascii="宋体" w:hAnsi="宋体" w:eastAsia="宋体" w:cs="宋体"/>
              </w:rPr>
              <w:t>编制数：机构编制部门核定批复的部门人员编制数。</w:t>
            </w:r>
          </w:p>
        </w:tc>
        <w:tc>
          <w:tcPr>
            <w:tcW w:w="3423" w:type="dxa"/>
            <w:tcBorders>
              <w:top w:val="single" w:color="auto" w:sz="4" w:space="0"/>
              <w:left w:val="single" w:color="auto"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目标值≤100%；达到目标值得3分，每超出1人扣0.1分，扣完为止。</w:t>
            </w:r>
          </w:p>
        </w:tc>
        <w:tc>
          <w:tcPr>
            <w:tcW w:w="1090" w:type="dxa"/>
            <w:tcBorders>
              <w:top w:val="single" w:color="auto" w:sz="4" w:space="0"/>
              <w:left w:val="single" w:color="auto" w:sz="4" w:space="0"/>
              <w:bottom w:val="single" w:color="000000" w:sz="4" w:space="0"/>
              <w:right w:val="single" w:color="000000" w:sz="4" w:space="0"/>
            </w:tcBorders>
            <w:vAlign w:val="center"/>
          </w:tcPr>
          <w:p>
            <w:pPr>
              <w:spacing w:after="0" w:line="68" w:lineRule="atLeast"/>
              <w:jc w:val="center"/>
              <w:rPr>
                <w:rFonts w:hint="default" w:ascii="宋体" w:hAnsi="宋体" w:eastAsia="宋体" w:cs="宋体"/>
                <w:lang w:val="en-US" w:eastAsia="zh-CN"/>
              </w:rPr>
            </w:pPr>
            <w:r>
              <w:rPr>
                <w:rFonts w:hint="eastAsia" w:ascii="宋体" w:hAnsi="宋体" w:eastAsia="宋体" w:cs="宋体"/>
                <w:lang w:val="en-US" w:eastAsia="zh-CN"/>
              </w:rPr>
              <w:t>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75"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“三公经费”变动率（4分）</w:t>
            </w:r>
          </w:p>
        </w:tc>
        <w:tc>
          <w:tcPr>
            <w:tcW w:w="6911" w:type="dxa"/>
            <w:tcBorders>
              <w:top w:val="single" w:color="auto"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部门本年度“三公经费”预算数与上年度“三公经费”预算数的变动比率，用以反映和考核部门对控制重点行政成本的努力程度。</w:t>
            </w:r>
          </w:p>
          <w:p>
            <w:pPr>
              <w:spacing w:after="0" w:line="240" w:lineRule="exact"/>
              <w:rPr>
                <w:rFonts w:ascii="宋体" w:hAnsi="宋体" w:eastAsia="宋体" w:cs="宋体"/>
              </w:rPr>
            </w:pPr>
            <w:r>
              <w:rPr>
                <w:rFonts w:hint="eastAsia" w:ascii="宋体" w:hAnsi="宋体" w:eastAsia="宋体" w:cs="宋体"/>
              </w:rPr>
              <w:t>“三公经费”变动率=〔（本年度“三公经费”总额-上年度“三公经费”总额）/上年度“三公经费”总额〕×100%</w:t>
            </w:r>
          </w:p>
          <w:p>
            <w:pPr>
              <w:spacing w:after="0" w:line="240" w:lineRule="exact"/>
              <w:rPr>
                <w:rFonts w:ascii="宋体" w:hAnsi="宋体" w:eastAsia="宋体" w:cs="宋体"/>
              </w:rPr>
            </w:pPr>
            <w:r>
              <w:rPr>
                <w:rFonts w:hint="eastAsia" w:ascii="宋体" w:hAnsi="宋体" w:eastAsia="宋体" w:cs="宋体"/>
              </w:rPr>
              <w:t>“三公经费”：年度预算安排的因公出国（境）费、公务车辆购置及运行费和公务招待费。</w:t>
            </w:r>
          </w:p>
        </w:tc>
        <w:tc>
          <w:tcPr>
            <w:tcW w:w="3423" w:type="dxa"/>
            <w:tcBorders>
              <w:top w:val="single" w:color="auto"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目标值≤0；达到目标值得4分，未达到目标值的采用比率扣分法：扣分值=“三公经费”变动率×4×10，变动率达10%以上的扣4分。</w:t>
            </w:r>
          </w:p>
        </w:tc>
        <w:tc>
          <w:tcPr>
            <w:tcW w:w="1090" w:type="dxa"/>
            <w:tcBorders>
              <w:top w:val="single" w:color="auto" w:sz="4" w:space="0"/>
              <w:left w:val="single" w:color="auto" w:sz="4" w:space="0"/>
              <w:bottom w:val="single" w:color="000000" w:sz="4" w:space="0"/>
              <w:right w:val="single" w:color="000000" w:sz="4" w:space="0"/>
            </w:tcBorders>
            <w:vAlign w:val="center"/>
          </w:tcPr>
          <w:p>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07" w:hRule="atLeast"/>
          <w:jc w:val="center"/>
        </w:trPr>
        <w:tc>
          <w:tcPr>
            <w:tcW w:w="733" w:type="dxa"/>
            <w:vMerge w:val="continue"/>
            <w:tcBorders>
              <w:left w:val="single" w:color="000000" w:sz="4" w:space="0"/>
              <w:bottom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重点支出安排率（3分）</w:t>
            </w:r>
          </w:p>
        </w:tc>
        <w:tc>
          <w:tcPr>
            <w:tcW w:w="6911" w:type="dxa"/>
            <w:tcBorders>
              <w:top w:val="single" w:color="auto"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部门（单位）本年度预算安排的重点项目支出与部门项目总支出的比率，用以反映和考核部门（单位）对履行主要职责或完成重点任务的保障程度。重点支出安排率=（重点项目支出/项目总支出）×100%。</w:t>
            </w:r>
          </w:p>
          <w:p>
            <w:pPr>
              <w:spacing w:after="0" w:line="240" w:lineRule="exact"/>
              <w:rPr>
                <w:rFonts w:ascii="宋体" w:hAnsi="宋体" w:eastAsia="宋体" w:cs="宋体"/>
              </w:rPr>
            </w:pPr>
            <w:r>
              <w:rPr>
                <w:rFonts w:hint="eastAsia" w:ascii="宋体" w:hAnsi="宋体" w:eastAsia="宋体" w:cs="宋体"/>
              </w:rPr>
              <w:t>重点项目支出：部门（单位）年度预算安排的，与本部门履职和发展密切相关、具有明显社会和经济影响、党委政府关心或社会比较关注的项目支出总额。具体由被评价部门提出后经对口部门预算管理处审核确定。</w:t>
            </w:r>
          </w:p>
          <w:p>
            <w:pPr>
              <w:spacing w:after="0" w:line="240" w:lineRule="exact"/>
              <w:rPr>
                <w:rFonts w:ascii="宋体" w:hAnsi="宋体" w:eastAsia="宋体" w:cs="宋体"/>
              </w:rPr>
            </w:pPr>
            <w:r>
              <w:rPr>
                <w:rFonts w:hint="eastAsia" w:ascii="宋体" w:hAnsi="宋体" w:eastAsia="宋体" w:cs="宋体"/>
              </w:rPr>
              <w:t>项目总支出：部门（单位）年度预算安排的项目支出总额。</w:t>
            </w:r>
          </w:p>
        </w:tc>
        <w:tc>
          <w:tcPr>
            <w:tcW w:w="3423" w:type="dxa"/>
            <w:tcBorders>
              <w:top w:val="single" w:color="auto"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目标值≥70%；以3分为上限，采用完成比率法计分：得分=重点支出安排率/70%×100%×3，超出目标值不加分。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96" w:hRule="atLeast"/>
          <w:jc w:val="center"/>
        </w:trPr>
        <w:tc>
          <w:tcPr>
            <w:tcW w:w="733" w:type="dxa"/>
            <w:vMerge w:val="restart"/>
            <w:tcBorders>
              <w:top w:val="single" w:color="000000" w:sz="4" w:space="0"/>
              <w:left w:val="single" w:color="000000" w:sz="4" w:space="0"/>
              <w:right w:val="single" w:color="000000" w:sz="4" w:space="0"/>
            </w:tcBorders>
            <w:vAlign w:val="center"/>
          </w:tcPr>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r>
              <w:rPr>
                <w:rFonts w:hint="eastAsia" w:ascii="宋体" w:hAnsi="宋体" w:eastAsia="宋体" w:cs="宋体"/>
              </w:rPr>
              <w:t>过程(55分)</w:t>
            </w: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r>
              <w:rPr>
                <w:rFonts w:hint="eastAsia" w:ascii="宋体" w:hAnsi="宋体" w:eastAsia="宋体" w:cs="宋体"/>
              </w:rPr>
              <w:t>过程(55分)</w:t>
            </w: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r>
              <w:rPr>
                <w:rFonts w:hint="eastAsia" w:ascii="宋体" w:hAnsi="宋体" w:eastAsia="宋体" w:cs="宋体"/>
              </w:rPr>
              <w:t>过程(55分)</w:t>
            </w: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jc w:val="center"/>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jc w:val="center"/>
              <w:rPr>
                <w:rFonts w:ascii="宋体" w:hAnsi="宋体" w:eastAsia="宋体" w:cs="宋体"/>
              </w:rPr>
            </w:pPr>
            <w:r>
              <w:rPr>
                <w:rFonts w:hint="eastAsia" w:ascii="宋体" w:hAnsi="宋体" w:eastAsia="宋体" w:cs="宋体"/>
              </w:rPr>
              <w:t>过程(55分)</w:t>
            </w:r>
          </w:p>
          <w:p>
            <w:pPr>
              <w:spacing w:after="0" w:line="68" w:lineRule="atLeast"/>
              <w:rPr>
                <w:rFonts w:ascii="宋体" w:hAnsi="宋体" w:eastAsia="宋体" w:cs="宋体"/>
              </w:rPr>
            </w:pPr>
          </w:p>
        </w:tc>
        <w:tc>
          <w:tcPr>
            <w:tcW w:w="803"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68" w:lineRule="atLeast"/>
              <w:rPr>
                <w:rFonts w:ascii="宋体" w:hAnsi="宋体" w:eastAsia="宋体" w:cs="宋体"/>
              </w:rPr>
            </w:pPr>
            <w:r>
              <w:rPr>
                <w:rFonts w:hint="eastAsia" w:ascii="宋体" w:hAnsi="宋体" w:eastAsia="宋体" w:cs="宋体"/>
              </w:rPr>
              <w:t>预算执行(27分)</w:t>
            </w: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预算完成率（3分）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通过对部门本年度预算完成数与预算数的比较，反映和评价部门预算的完成程度。</w:t>
            </w:r>
          </w:p>
          <w:p>
            <w:pPr>
              <w:spacing w:after="0" w:line="68" w:lineRule="atLeast"/>
              <w:rPr>
                <w:rFonts w:ascii="宋体" w:hAnsi="宋体" w:eastAsia="宋体" w:cs="宋体"/>
              </w:rPr>
            </w:pPr>
            <w:r>
              <w:rPr>
                <w:rFonts w:hint="eastAsia" w:ascii="宋体" w:hAnsi="宋体" w:eastAsia="宋体" w:cs="宋体"/>
              </w:rPr>
              <w:t>预算完成率=（预算完成数/预算数）×100%。</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目标值≥100%；</w:t>
            </w:r>
          </w:p>
          <w:p>
            <w:pPr>
              <w:spacing w:after="0" w:line="68" w:lineRule="atLeast"/>
              <w:rPr>
                <w:rFonts w:ascii="宋体" w:hAnsi="宋体" w:eastAsia="宋体" w:cs="宋体"/>
              </w:rPr>
            </w:pPr>
            <w:r>
              <w:rPr>
                <w:rFonts w:hint="eastAsia" w:ascii="宋体" w:hAnsi="宋体" w:eastAsia="宋体" w:cs="宋体"/>
              </w:rPr>
              <w:t>达到目标值的得3分；</w:t>
            </w:r>
          </w:p>
          <w:p>
            <w:pPr>
              <w:spacing w:after="0" w:line="68" w:lineRule="atLeast"/>
              <w:rPr>
                <w:rFonts w:ascii="宋体" w:hAnsi="宋体" w:eastAsia="宋体" w:cs="宋体"/>
              </w:rPr>
            </w:pPr>
            <w:r>
              <w:rPr>
                <w:rFonts w:hint="eastAsia" w:ascii="宋体" w:hAnsi="宋体" w:eastAsia="宋体" w:cs="宋体"/>
              </w:rPr>
              <w:t>100%＞结果≥90%，得3分；</w:t>
            </w:r>
          </w:p>
          <w:p>
            <w:pPr>
              <w:spacing w:after="0" w:line="68" w:lineRule="atLeast"/>
              <w:rPr>
                <w:rFonts w:ascii="宋体" w:hAnsi="宋体" w:eastAsia="宋体" w:cs="宋体"/>
              </w:rPr>
            </w:pPr>
            <w:r>
              <w:rPr>
                <w:rFonts w:hint="eastAsia" w:ascii="宋体" w:hAnsi="宋体" w:eastAsia="宋体" w:cs="宋体"/>
              </w:rPr>
              <w:t>90%＞结果≥80%，得1分；</w:t>
            </w:r>
          </w:p>
          <w:p>
            <w:pPr>
              <w:spacing w:after="0" w:line="68" w:lineRule="atLeast"/>
              <w:rPr>
                <w:rFonts w:ascii="宋体" w:hAnsi="宋体" w:eastAsia="宋体" w:cs="宋体"/>
              </w:rPr>
            </w:pPr>
            <w:r>
              <w:rPr>
                <w:rFonts w:hint="eastAsia" w:ascii="宋体" w:hAnsi="宋体" w:eastAsia="宋体" w:cs="宋体"/>
              </w:rPr>
              <w:t>结果＜80%得0分。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5"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预算调整率（3分）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部门本年度预算调整数与预算数的比率，用以反映和评价部门预算的调整程度。</w:t>
            </w:r>
          </w:p>
          <w:p>
            <w:pPr>
              <w:spacing w:after="0" w:line="68" w:lineRule="atLeast"/>
              <w:rPr>
                <w:rFonts w:ascii="宋体" w:hAnsi="宋体" w:eastAsia="宋体" w:cs="宋体"/>
              </w:rPr>
            </w:pPr>
            <w:r>
              <w:rPr>
                <w:rFonts w:hint="eastAsia" w:ascii="宋体" w:hAnsi="宋体" w:eastAsia="宋体" w:cs="宋体"/>
              </w:rPr>
              <w:t>预算调整率=（预算调整数/预算数）×100%。</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目标值为10%；达到目标值得3分，未达到目标值的每增加0.1个百分点扣0.1分，扣完为止。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0"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color w:val="000000"/>
              </w:rPr>
              <w:t>支付进度率</w:t>
            </w:r>
            <w:r>
              <w:rPr>
                <w:rFonts w:hint="eastAsia" w:ascii="宋体" w:hAnsi="宋体" w:eastAsia="宋体" w:cs="宋体"/>
              </w:rPr>
              <w:t>（6分）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部门年度支付数与年度预算（调整）数的比率，用以反映和评价部门预算执行的及时和均衡程度。</w:t>
            </w:r>
          </w:p>
          <w:p>
            <w:pPr>
              <w:spacing w:after="0" w:line="240" w:lineRule="exact"/>
              <w:rPr>
                <w:rFonts w:ascii="宋体" w:hAnsi="宋体" w:eastAsia="宋体" w:cs="宋体"/>
              </w:rPr>
            </w:pPr>
            <w:r>
              <w:rPr>
                <w:rFonts w:hint="eastAsia" w:ascii="宋体" w:hAnsi="宋体" w:eastAsia="宋体" w:cs="宋体"/>
              </w:rPr>
              <w:t>半年支付进度=部门上半年实际支出÷（上年结余结转+本年部门预算安排+上半年执行中追加追减）×100%</w:t>
            </w:r>
          </w:p>
          <w:p>
            <w:pPr>
              <w:spacing w:after="0" w:line="240" w:lineRule="exact"/>
              <w:rPr>
                <w:rFonts w:ascii="宋体" w:hAnsi="宋体" w:eastAsia="宋体" w:cs="宋体"/>
              </w:rPr>
            </w:pPr>
            <w:r>
              <w:rPr>
                <w:rFonts w:hint="eastAsia" w:ascii="宋体" w:hAnsi="宋体" w:eastAsia="宋体" w:cs="宋体"/>
              </w:rPr>
              <w:t>全年支付进度=部门全年实际支出÷（上年结余结转+本年部门预算安排+全年执行中追加追减）×100%</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半年进度：结果≥50%，得2分；50%＞结果≥40%，得1分；结果＜40%，得0分。</w:t>
            </w:r>
          </w:p>
          <w:p>
            <w:pPr>
              <w:spacing w:after="0" w:line="240" w:lineRule="exact"/>
              <w:rPr>
                <w:rFonts w:ascii="宋体" w:hAnsi="宋体" w:eastAsia="宋体" w:cs="宋体"/>
              </w:rPr>
            </w:pPr>
            <w:r>
              <w:rPr>
                <w:rFonts w:hint="eastAsia" w:ascii="宋体" w:hAnsi="宋体" w:eastAsia="宋体" w:cs="宋体"/>
              </w:rPr>
              <w:t>全年进度：结果≥100%，得4分；100%＞结果≥95%，得3分；95%＞结果≥90%，得2分；90%＞结果≥85%，得2分；结果＜85%，得0分。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8"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结转结余率（3分）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通过对部门本年度结转结余总额与支出预算数的比较，反映和评价部门对本年度结转结余资金的实际控制程度。</w:t>
            </w:r>
          </w:p>
          <w:p>
            <w:pPr>
              <w:spacing w:after="0" w:line="240" w:lineRule="exact"/>
              <w:rPr>
                <w:rFonts w:ascii="宋体" w:hAnsi="宋体" w:eastAsia="宋体" w:cs="宋体"/>
              </w:rPr>
            </w:pPr>
            <w:r>
              <w:rPr>
                <w:rFonts w:hint="eastAsia" w:ascii="宋体" w:hAnsi="宋体" w:eastAsia="宋体" w:cs="宋体"/>
              </w:rPr>
              <w:t>结转结余率=（结转结余总额/支出预算数）×100%。</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目标值为0；达到目标值得3分，未达到目标值的每增加0.1个百分点扣0.1分，扣完为止。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7"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结转结余变动率(3分）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部门本年度结转结余资金总额与上年度结转结余资金总额的变动比率，用以反映和考核部门对控制结转结余资金的努力程度。</w:t>
            </w:r>
          </w:p>
          <w:p>
            <w:pPr>
              <w:spacing w:after="0" w:line="240" w:lineRule="exact"/>
              <w:rPr>
                <w:rFonts w:ascii="宋体" w:hAnsi="宋体" w:eastAsia="宋体" w:cs="宋体"/>
              </w:rPr>
            </w:pPr>
            <w:r>
              <w:rPr>
                <w:rFonts w:hint="eastAsia" w:ascii="宋体" w:hAnsi="宋体" w:eastAsia="宋体" w:cs="宋体"/>
              </w:rPr>
              <w:t>结转结余变动率=〔（本年度累计结转结余资金总额-上年度累计结转结余资金总额）/上年度累计结转结余资金总额〕×100%。</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目标值为≤0%；达到目标值得3分，未达到目标值的采用比率扣分法：扣分值=结转结余变动率×2×10，变动率达10%以上的扣2分。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5"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公用经费控制率（3分）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通过对部门本年度实际支出的公用经费总额与预算安排的公用经费总额的比率，反映和评价部门对机构运转成本的实际控制程度。</w:t>
            </w:r>
          </w:p>
          <w:p>
            <w:pPr>
              <w:spacing w:after="0" w:line="240" w:lineRule="exact"/>
              <w:rPr>
                <w:rFonts w:ascii="宋体" w:hAnsi="宋体" w:eastAsia="宋体" w:cs="宋体"/>
              </w:rPr>
            </w:pPr>
            <w:r>
              <w:rPr>
                <w:rFonts w:hint="eastAsia" w:ascii="宋体" w:hAnsi="宋体" w:eastAsia="宋体" w:cs="宋体"/>
              </w:rPr>
              <w:t>公用经费控制率=（实际支出公用经费总额/预算安排公用经费总额）×100%。</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目标值为≤100%；达到目标值得3分，未达到目标值的每增加0.1个百分点扣0.1分，扣完为止。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3"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“三公经费”控制率（3分）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部门（单位）本年度“三公经费”实际支出数与预算安排数的比率，用以反映和考核部门（单位）对“三公经费”的实际控制程度。</w:t>
            </w:r>
          </w:p>
          <w:p>
            <w:pPr>
              <w:spacing w:after="0" w:line="240" w:lineRule="exact"/>
              <w:rPr>
                <w:rFonts w:ascii="宋体" w:hAnsi="宋体" w:eastAsia="宋体" w:cs="宋体"/>
              </w:rPr>
            </w:pPr>
            <w:r>
              <w:rPr>
                <w:rFonts w:hint="eastAsia" w:ascii="宋体" w:hAnsi="宋体" w:eastAsia="宋体" w:cs="宋体"/>
              </w:rPr>
              <w:t>“三公经费”控制率=（“三公经费”实际支出/“三公经费”预算安排数）×100%</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目标值为≤100%；达到目标值得3分，未达到目标值的每增加0.1个百分点扣0.1分，扣完为止。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1"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政府采购执行率（3分）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通过对部门本年度实际政府采购预算项目个数与政府采购预算项目个数的比较，反映和评价部门政府采购预算执行情况。</w:t>
            </w:r>
          </w:p>
          <w:p>
            <w:pPr>
              <w:spacing w:after="0" w:line="240" w:lineRule="exact"/>
              <w:rPr>
                <w:rFonts w:ascii="宋体" w:hAnsi="宋体" w:eastAsia="宋体" w:cs="宋体"/>
              </w:rPr>
            </w:pPr>
            <w:r>
              <w:rPr>
                <w:rFonts w:hint="eastAsia" w:ascii="宋体" w:hAnsi="宋体" w:eastAsia="宋体" w:cs="宋体"/>
              </w:rPr>
              <w:t>政府采购执行率=（实际政府采购预算项目个数/政府采购预算项目个数）×100%。</w:t>
            </w:r>
          </w:p>
          <w:p>
            <w:pPr>
              <w:spacing w:after="0" w:line="240" w:lineRule="exact"/>
              <w:rPr>
                <w:rFonts w:ascii="宋体" w:hAnsi="宋体" w:eastAsia="宋体" w:cs="宋体"/>
              </w:rPr>
            </w:pPr>
            <w:r>
              <w:rPr>
                <w:rFonts w:hint="eastAsia" w:ascii="宋体" w:hAnsi="宋体" w:eastAsia="宋体" w:cs="宋体"/>
              </w:rPr>
              <w:t>政府采购项目中非预算内安排的项目除外。</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目标值为100%；以3分为上限，采用完成比率法计分：得分=政府采购执行率×3。</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4"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restart"/>
            <w:tcBorders>
              <w:top w:val="single" w:color="000000" w:sz="4" w:space="0"/>
              <w:left w:val="single" w:color="000000" w:sz="4" w:space="0"/>
              <w:right w:val="single" w:color="000000" w:sz="4" w:space="0"/>
            </w:tcBorders>
            <w:vAlign w:val="center"/>
          </w:tcPr>
          <w:p>
            <w:pPr>
              <w:spacing w:after="0" w:line="240" w:lineRule="exact"/>
              <w:jc w:val="center"/>
              <w:rPr>
                <w:rFonts w:ascii="宋体" w:hAnsi="宋体" w:eastAsia="宋体" w:cs="宋体"/>
              </w:rPr>
            </w:pPr>
            <w:r>
              <w:rPr>
                <w:rFonts w:hint="eastAsia" w:ascii="宋体" w:hAnsi="宋体" w:eastAsia="宋体" w:cs="宋体"/>
              </w:rPr>
              <w:t>预算管理</w:t>
            </w:r>
          </w:p>
          <w:p>
            <w:pPr>
              <w:spacing w:after="0" w:line="68" w:lineRule="atLeast"/>
              <w:jc w:val="center"/>
              <w:rPr>
                <w:rFonts w:ascii="宋体" w:hAnsi="宋体" w:eastAsia="宋体" w:cs="宋体"/>
              </w:rPr>
            </w:pPr>
            <w:r>
              <w:rPr>
                <w:rFonts w:hint="eastAsia" w:ascii="宋体" w:hAnsi="宋体" w:eastAsia="宋体" w:cs="宋体"/>
              </w:rPr>
              <w:t>（18分）</w:t>
            </w: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管理制度健全性</w:t>
            </w:r>
          </w:p>
          <w:p>
            <w:pPr>
              <w:spacing w:after="0" w:line="240" w:lineRule="exact"/>
              <w:rPr>
                <w:rFonts w:ascii="宋体" w:hAnsi="宋体" w:eastAsia="宋体" w:cs="宋体"/>
              </w:rPr>
            </w:pPr>
            <w:r>
              <w:rPr>
                <w:rFonts w:hint="eastAsia" w:ascii="宋体" w:hAnsi="宋体" w:eastAsia="宋体" w:cs="宋体"/>
              </w:rPr>
              <w:t>（2分）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部门为加强预算管理，规范财务行为而制定的管理制度是否健全完整，用以反映和考核部门预算管理制度对完成主要职责或促进事业发展的保障情况。</w:t>
            </w:r>
          </w:p>
          <w:p>
            <w:pPr>
              <w:spacing w:after="0" w:line="240" w:lineRule="exact"/>
              <w:rPr>
                <w:rFonts w:ascii="宋体" w:hAnsi="宋体" w:eastAsia="宋体" w:cs="宋体"/>
              </w:rPr>
            </w:pPr>
            <w:r>
              <w:rPr>
                <w:rFonts w:hint="eastAsia" w:ascii="宋体" w:hAnsi="宋体" w:eastAsia="宋体" w:cs="宋体"/>
              </w:rPr>
              <w:t>评价要点：</w:t>
            </w:r>
          </w:p>
          <w:p>
            <w:pPr>
              <w:spacing w:after="0" w:line="240" w:lineRule="exact"/>
              <w:rPr>
                <w:rFonts w:ascii="宋体" w:hAnsi="宋体" w:eastAsia="宋体" w:cs="宋体"/>
              </w:rPr>
            </w:pPr>
            <w:r>
              <w:rPr>
                <w:rFonts w:hint="eastAsia" w:ascii="宋体" w:hAnsi="宋体" w:eastAsia="宋体" w:cs="宋体"/>
              </w:rPr>
              <w:t>1．是否已制定或具有预算资金管理办法、内部财务管理制度、会计核算制度等管理制度；</w:t>
            </w:r>
          </w:p>
          <w:p>
            <w:pPr>
              <w:spacing w:after="0" w:line="240" w:lineRule="exact"/>
              <w:rPr>
                <w:rFonts w:ascii="宋体" w:hAnsi="宋体" w:eastAsia="宋体" w:cs="宋体"/>
              </w:rPr>
            </w:pPr>
            <w:r>
              <w:rPr>
                <w:rFonts w:hint="eastAsia" w:ascii="宋体" w:hAnsi="宋体" w:eastAsia="宋体" w:cs="宋体"/>
              </w:rPr>
              <w:t>2.相关管理制度是否合法、合规、完整；</w:t>
            </w:r>
          </w:p>
          <w:p>
            <w:pPr>
              <w:spacing w:after="0" w:line="240" w:lineRule="exact"/>
              <w:rPr>
                <w:rFonts w:ascii="宋体" w:hAnsi="宋体" w:eastAsia="宋体" w:cs="宋体"/>
              </w:rPr>
            </w:pPr>
            <w:r>
              <w:rPr>
                <w:rFonts w:hint="eastAsia" w:ascii="宋体" w:hAnsi="宋体" w:eastAsia="宋体" w:cs="宋体"/>
              </w:rPr>
              <w:t>3.相关管理制度是否得到有效执行。</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全部符合（2分）；</w:t>
            </w:r>
          </w:p>
          <w:p>
            <w:pPr>
              <w:spacing w:after="0" w:line="240" w:lineRule="exact"/>
              <w:rPr>
                <w:rFonts w:ascii="宋体" w:hAnsi="宋体" w:eastAsia="宋体" w:cs="宋体"/>
              </w:rPr>
            </w:pPr>
            <w:r>
              <w:rPr>
                <w:rFonts w:hint="eastAsia" w:ascii="宋体" w:hAnsi="宋体" w:eastAsia="宋体" w:cs="宋体"/>
              </w:rPr>
              <w:t>符合其中两项（1分）</w:t>
            </w:r>
          </w:p>
          <w:p>
            <w:pPr>
              <w:spacing w:after="0" w:line="24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65"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pPr>
              <w:spacing w:after="0" w:line="68" w:lineRule="atLeast"/>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资金使用合规性</w:t>
            </w:r>
          </w:p>
          <w:p>
            <w:pPr>
              <w:spacing w:after="0" w:line="68" w:lineRule="atLeast"/>
              <w:rPr>
                <w:rFonts w:ascii="宋体" w:hAnsi="宋体" w:eastAsia="宋体" w:cs="宋体"/>
              </w:rPr>
            </w:pPr>
            <w:r>
              <w:rPr>
                <w:rFonts w:hint="eastAsia" w:ascii="宋体" w:hAnsi="宋体" w:eastAsia="宋体" w:cs="宋体"/>
              </w:rPr>
              <w:t>（9分）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部门使用预算资金是否符合相关的预算财务管理制度的规定，反映和评价部门预算资金的规范运行情况。</w:t>
            </w:r>
          </w:p>
          <w:p>
            <w:pPr>
              <w:spacing w:after="0" w:line="240" w:lineRule="exact"/>
              <w:rPr>
                <w:rFonts w:ascii="宋体" w:hAnsi="宋体" w:eastAsia="宋体" w:cs="宋体"/>
              </w:rPr>
            </w:pPr>
            <w:r>
              <w:rPr>
                <w:rFonts w:hint="eastAsia" w:ascii="宋体" w:hAnsi="宋体" w:eastAsia="宋体" w:cs="宋体"/>
              </w:rPr>
              <w:t>评价要点：</w:t>
            </w:r>
          </w:p>
          <w:p>
            <w:pPr>
              <w:spacing w:after="0" w:line="240" w:lineRule="exact"/>
              <w:rPr>
                <w:rFonts w:ascii="宋体" w:hAnsi="宋体" w:eastAsia="宋体" w:cs="宋体"/>
              </w:rPr>
            </w:pPr>
            <w:r>
              <w:rPr>
                <w:rFonts w:hint="eastAsia" w:ascii="宋体" w:hAnsi="宋体" w:eastAsia="宋体" w:cs="宋体"/>
              </w:rPr>
              <w:t>1.符合国家财经法规和财务管理制度规定以及有关部门资金管理办法的规定；</w:t>
            </w:r>
          </w:p>
          <w:p>
            <w:pPr>
              <w:spacing w:after="0" w:line="240" w:lineRule="exact"/>
              <w:rPr>
                <w:rFonts w:ascii="宋体" w:hAnsi="宋体" w:eastAsia="宋体" w:cs="宋体"/>
              </w:rPr>
            </w:pPr>
            <w:r>
              <w:rPr>
                <w:rFonts w:hint="eastAsia" w:ascii="宋体" w:hAnsi="宋体" w:eastAsia="宋体" w:cs="宋体"/>
              </w:rPr>
              <w:t>2.资金的拨付有完整的审批过程和手续；</w:t>
            </w:r>
          </w:p>
          <w:p>
            <w:pPr>
              <w:spacing w:after="0" w:line="240" w:lineRule="exact"/>
              <w:rPr>
                <w:rFonts w:ascii="宋体" w:hAnsi="宋体" w:eastAsia="宋体" w:cs="宋体"/>
              </w:rPr>
            </w:pPr>
            <w:r>
              <w:rPr>
                <w:rFonts w:hint="eastAsia" w:ascii="宋体" w:hAnsi="宋体" w:eastAsia="宋体" w:cs="宋体"/>
              </w:rPr>
              <w:t>3.项目的重大开支经过评估论证；</w:t>
            </w:r>
          </w:p>
          <w:p>
            <w:pPr>
              <w:spacing w:after="0" w:line="240" w:lineRule="exact"/>
              <w:rPr>
                <w:rFonts w:ascii="宋体" w:hAnsi="宋体" w:eastAsia="宋体" w:cs="宋体"/>
              </w:rPr>
            </w:pPr>
            <w:r>
              <w:rPr>
                <w:rFonts w:hint="eastAsia" w:ascii="宋体" w:hAnsi="宋体" w:eastAsia="宋体" w:cs="宋体"/>
              </w:rPr>
              <w:t>4.符合部门预算批复的用途；</w:t>
            </w:r>
          </w:p>
          <w:p>
            <w:pPr>
              <w:spacing w:after="0" w:line="240" w:lineRule="exact"/>
              <w:rPr>
                <w:rFonts w:ascii="宋体" w:hAnsi="宋体" w:eastAsia="宋体" w:cs="宋体"/>
              </w:rPr>
            </w:pPr>
            <w:r>
              <w:rPr>
                <w:rFonts w:hint="eastAsia" w:ascii="宋体" w:hAnsi="宋体" w:eastAsia="宋体" w:cs="宋体"/>
              </w:rPr>
              <w:t>5.不存在截留情况；6.不存在挤占情况；</w:t>
            </w:r>
          </w:p>
          <w:p>
            <w:pPr>
              <w:spacing w:after="0" w:line="240" w:lineRule="exact"/>
              <w:rPr>
                <w:rFonts w:ascii="宋体" w:hAnsi="宋体" w:eastAsia="宋体" w:cs="宋体"/>
              </w:rPr>
            </w:pPr>
            <w:r>
              <w:rPr>
                <w:rFonts w:hint="eastAsia" w:ascii="宋体" w:hAnsi="宋体" w:eastAsia="宋体" w:cs="宋体"/>
              </w:rPr>
              <w:t>7.不存在挪用情况；8.不存在虚列支出情况。</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全部符合（9分）；</w:t>
            </w:r>
          </w:p>
          <w:p>
            <w:pPr>
              <w:spacing w:after="0" w:line="240" w:lineRule="exact"/>
              <w:rPr>
                <w:rFonts w:ascii="宋体" w:hAnsi="宋体" w:eastAsia="宋体" w:cs="宋体"/>
              </w:rPr>
            </w:pPr>
            <w:r>
              <w:rPr>
                <w:rFonts w:hint="eastAsia" w:ascii="宋体" w:hAnsi="宋体" w:eastAsia="宋体" w:cs="宋体"/>
              </w:rPr>
              <w:t>符合其中七项（8分）；</w:t>
            </w:r>
          </w:p>
          <w:p>
            <w:pPr>
              <w:spacing w:after="0" w:line="240" w:lineRule="exact"/>
              <w:rPr>
                <w:rFonts w:ascii="宋体" w:hAnsi="宋体" w:eastAsia="宋体" w:cs="宋体"/>
              </w:rPr>
            </w:pPr>
            <w:r>
              <w:rPr>
                <w:rFonts w:hint="eastAsia" w:ascii="宋体" w:hAnsi="宋体" w:eastAsia="宋体" w:cs="宋体"/>
              </w:rPr>
              <w:t>符合其中六项（5分）；</w:t>
            </w:r>
          </w:p>
          <w:p>
            <w:pPr>
              <w:spacing w:after="0" w:line="240" w:lineRule="exact"/>
              <w:rPr>
                <w:rFonts w:ascii="宋体" w:hAnsi="宋体" w:eastAsia="宋体" w:cs="宋体"/>
              </w:rPr>
            </w:pPr>
            <w:r>
              <w:rPr>
                <w:rFonts w:hint="eastAsia" w:ascii="宋体" w:hAnsi="宋体" w:eastAsia="宋体" w:cs="宋体"/>
              </w:rPr>
              <w:t>符合其中五项（3分）；</w:t>
            </w:r>
          </w:p>
          <w:p>
            <w:pPr>
              <w:spacing w:after="0" w:line="68" w:lineRule="atLeast"/>
              <w:rPr>
                <w:rFonts w:ascii="宋体" w:hAnsi="宋体" w:eastAsia="宋体" w:cs="宋体"/>
              </w:rPr>
            </w:pPr>
            <w:r>
              <w:rPr>
                <w:rFonts w:hint="eastAsia" w:ascii="宋体" w:hAnsi="宋体" w:eastAsia="宋体" w:cs="宋体"/>
              </w:rPr>
              <w:t>符合其中四项及以下（0分）。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63"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预决算信息公开性（3分）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部门是否按照政府信息公开有关规定公开相关预决算信息，用以反映和评价部门预决算管理的公开透明情况。</w:t>
            </w:r>
          </w:p>
          <w:p>
            <w:pPr>
              <w:spacing w:after="0" w:line="240" w:lineRule="exact"/>
              <w:rPr>
                <w:rFonts w:ascii="宋体" w:hAnsi="宋体" w:eastAsia="宋体" w:cs="宋体"/>
              </w:rPr>
            </w:pPr>
            <w:r>
              <w:rPr>
                <w:rFonts w:hint="eastAsia" w:ascii="宋体" w:hAnsi="宋体" w:eastAsia="宋体" w:cs="宋体"/>
              </w:rPr>
              <w:t>预决算信息是指与部门预算、执行、决算、监督、绩效等管理相关的信息。</w:t>
            </w:r>
          </w:p>
          <w:p>
            <w:pPr>
              <w:spacing w:after="0" w:line="240" w:lineRule="exact"/>
              <w:rPr>
                <w:rFonts w:ascii="宋体" w:hAnsi="宋体" w:eastAsia="宋体" w:cs="宋体"/>
              </w:rPr>
            </w:pPr>
            <w:r>
              <w:rPr>
                <w:rFonts w:hint="eastAsia" w:ascii="宋体" w:hAnsi="宋体" w:eastAsia="宋体" w:cs="宋体"/>
              </w:rPr>
              <w:t>评价要点：</w:t>
            </w:r>
          </w:p>
          <w:p>
            <w:pPr>
              <w:spacing w:after="0" w:line="240" w:lineRule="exact"/>
              <w:rPr>
                <w:rFonts w:ascii="宋体" w:hAnsi="宋体" w:eastAsia="宋体" w:cs="宋体"/>
              </w:rPr>
            </w:pPr>
            <w:r>
              <w:rPr>
                <w:rFonts w:hint="eastAsia" w:ascii="宋体" w:hAnsi="宋体" w:eastAsia="宋体" w:cs="宋体"/>
              </w:rPr>
              <w:t>1.公开预决算信息；</w:t>
            </w:r>
          </w:p>
          <w:p>
            <w:pPr>
              <w:spacing w:after="0" w:line="240" w:lineRule="exact"/>
              <w:rPr>
                <w:rFonts w:ascii="宋体" w:hAnsi="宋体" w:eastAsia="宋体" w:cs="宋体"/>
              </w:rPr>
            </w:pPr>
            <w:r>
              <w:rPr>
                <w:rFonts w:hint="eastAsia" w:ascii="宋体" w:hAnsi="宋体" w:eastAsia="宋体" w:cs="宋体"/>
              </w:rPr>
              <w:t>2.按规定内容公开预决算信息；</w:t>
            </w:r>
          </w:p>
          <w:p>
            <w:pPr>
              <w:spacing w:after="0" w:line="68" w:lineRule="atLeast"/>
              <w:rPr>
                <w:rFonts w:ascii="宋体" w:hAnsi="宋体" w:eastAsia="宋体" w:cs="宋体"/>
              </w:rPr>
            </w:pPr>
            <w:r>
              <w:rPr>
                <w:rFonts w:hint="eastAsia" w:ascii="宋体" w:hAnsi="宋体" w:eastAsia="宋体" w:cs="宋体"/>
              </w:rPr>
              <w:t>3.按规定时限公开预决算信息。</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全部符合（3分）；</w:t>
            </w:r>
          </w:p>
          <w:p>
            <w:pPr>
              <w:spacing w:after="0" w:line="240" w:lineRule="exact"/>
              <w:rPr>
                <w:rFonts w:ascii="宋体" w:hAnsi="宋体" w:eastAsia="宋体" w:cs="宋体"/>
              </w:rPr>
            </w:pPr>
            <w:r>
              <w:rPr>
                <w:rFonts w:hint="eastAsia" w:ascii="宋体" w:hAnsi="宋体" w:eastAsia="宋体" w:cs="宋体"/>
              </w:rPr>
              <w:t>符合其中两项（2分）</w:t>
            </w:r>
          </w:p>
          <w:p>
            <w:pPr>
              <w:spacing w:after="0" w:line="68" w:lineRule="atLeas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74"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color w:val="000000"/>
              </w:rPr>
            </w:pPr>
            <w:r>
              <w:rPr>
                <w:rFonts w:hint="eastAsia" w:ascii="宋体" w:hAnsi="宋体" w:eastAsia="宋体" w:cs="宋体"/>
                <w:color w:val="000000"/>
              </w:rPr>
              <w:t>基础信息完善性</w:t>
            </w:r>
          </w:p>
          <w:p>
            <w:pPr>
              <w:spacing w:after="0" w:line="68" w:lineRule="atLeast"/>
              <w:rPr>
                <w:rFonts w:ascii="宋体" w:hAnsi="宋体" w:eastAsia="宋体" w:cs="宋体"/>
              </w:rPr>
            </w:pPr>
            <w:r>
              <w:rPr>
                <w:rFonts w:hint="eastAsia" w:ascii="宋体" w:hAnsi="宋体" w:eastAsia="宋体" w:cs="宋体"/>
              </w:rPr>
              <w:t>（4分）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部门基础信息是否完善，用以反映和评价基础信息对预算管理工作的支撑情况。</w:t>
            </w:r>
          </w:p>
          <w:p>
            <w:pPr>
              <w:spacing w:after="0" w:line="240" w:lineRule="exact"/>
              <w:rPr>
                <w:rFonts w:ascii="宋体" w:hAnsi="宋体" w:eastAsia="宋体" w:cs="宋体"/>
              </w:rPr>
            </w:pPr>
            <w:r>
              <w:rPr>
                <w:rFonts w:hint="eastAsia" w:ascii="宋体" w:hAnsi="宋体" w:eastAsia="宋体" w:cs="宋体"/>
              </w:rPr>
              <w:t>评价要点：</w:t>
            </w:r>
          </w:p>
          <w:p>
            <w:pPr>
              <w:spacing w:after="0" w:line="240" w:lineRule="exact"/>
              <w:rPr>
                <w:rFonts w:ascii="宋体" w:hAnsi="宋体" w:eastAsia="宋体" w:cs="宋体"/>
              </w:rPr>
            </w:pPr>
            <w:r>
              <w:rPr>
                <w:rFonts w:hint="eastAsia" w:ascii="宋体" w:hAnsi="宋体" w:eastAsia="宋体" w:cs="宋体"/>
              </w:rPr>
              <w:t>1.基本财务管理制度健全；</w:t>
            </w:r>
          </w:p>
          <w:p>
            <w:pPr>
              <w:spacing w:after="0" w:line="240" w:lineRule="exact"/>
              <w:rPr>
                <w:rFonts w:ascii="宋体" w:hAnsi="宋体" w:eastAsia="宋体" w:cs="宋体"/>
              </w:rPr>
            </w:pPr>
            <w:r>
              <w:rPr>
                <w:rFonts w:hint="eastAsia" w:ascii="宋体" w:hAnsi="宋体" w:eastAsia="宋体" w:cs="宋体"/>
              </w:rPr>
              <w:t>2.基础数据信息和会计信息资料真实；</w:t>
            </w:r>
          </w:p>
          <w:p>
            <w:pPr>
              <w:spacing w:after="0" w:line="240" w:lineRule="exact"/>
              <w:rPr>
                <w:rFonts w:ascii="宋体" w:hAnsi="宋体" w:eastAsia="宋体" w:cs="宋体"/>
              </w:rPr>
            </w:pPr>
            <w:r>
              <w:rPr>
                <w:rFonts w:hint="eastAsia" w:ascii="宋体" w:hAnsi="宋体" w:eastAsia="宋体" w:cs="宋体"/>
              </w:rPr>
              <w:t>3.基础数据信息和会计信息资料完整；</w:t>
            </w:r>
          </w:p>
          <w:p>
            <w:pPr>
              <w:spacing w:after="0" w:line="68" w:lineRule="atLeast"/>
              <w:rPr>
                <w:rFonts w:ascii="宋体" w:hAnsi="宋体" w:eastAsia="宋体" w:cs="宋体"/>
              </w:rPr>
            </w:pPr>
            <w:r>
              <w:rPr>
                <w:rFonts w:hint="eastAsia" w:ascii="宋体" w:hAnsi="宋体" w:eastAsia="宋体" w:cs="宋体"/>
              </w:rPr>
              <w:t>4.基础数据信息和会计信息资料准确。</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符合全部四项（4分）；</w:t>
            </w:r>
          </w:p>
          <w:p>
            <w:pPr>
              <w:spacing w:after="0" w:line="240" w:lineRule="exact"/>
              <w:rPr>
                <w:rFonts w:ascii="宋体" w:hAnsi="宋体" w:eastAsia="宋体" w:cs="宋体"/>
              </w:rPr>
            </w:pPr>
            <w:r>
              <w:rPr>
                <w:rFonts w:hint="eastAsia" w:ascii="宋体" w:hAnsi="宋体" w:eastAsia="宋体" w:cs="宋体"/>
              </w:rPr>
              <w:t>符合其中三项（2分）；</w:t>
            </w:r>
          </w:p>
          <w:p>
            <w:pPr>
              <w:spacing w:after="0" w:line="240" w:lineRule="exact"/>
              <w:rPr>
                <w:rFonts w:ascii="宋体" w:hAnsi="宋体" w:eastAsia="宋体" w:cs="宋体"/>
              </w:rPr>
            </w:pPr>
            <w:r>
              <w:rPr>
                <w:rFonts w:hint="eastAsia" w:ascii="宋体" w:hAnsi="宋体" w:eastAsia="宋体" w:cs="宋体"/>
              </w:rPr>
              <w:t>符合其中两项（1分）；</w:t>
            </w:r>
          </w:p>
          <w:p>
            <w:pPr>
              <w:spacing w:after="0" w:line="68" w:lineRule="atLeas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5"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restart"/>
            <w:tcBorders>
              <w:left w:val="single" w:color="000000" w:sz="4" w:space="0"/>
              <w:right w:val="single" w:color="000000" w:sz="4" w:space="0"/>
            </w:tcBorders>
            <w:vAlign w:val="center"/>
          </w:tcPr>
          <w:p>
            <w:pPr>
              <w:spacing w:after="0" w:line="68" w:lineRule="atLeast"/>
              <w:rPr>
                <w:rFonts w:ascii="宋体" w:hAnsi="宋体" w:eastAsia="宋体" w:cs="宋体"/>
              </w:rPr>
            </w:pPr>
            <w:r>
              <w:rPr>
                <w:rFonts w:hint="eastAsia" w:ascii="宋体" w:hAnsi="宋体" w:eastAsia="宋体" w:cs="宋体"/>
              </w:rPr>
              <w:t>资产管理（8分）</w:t>
            </w: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color w:val="000000"/>
              </w:rPr>
            </w:pPr>
            <w:r>
              <w:rPr>
                <w:rFonts w:hint="eastAsia" w:ascii="宋体" w:hAnsi="宋体" w:eastAsia="宋体" w:cs="宋体"/>
                <w:color w:val="000000"/>
              </w:rPr>
              <w:t>管理制度健全性</w:t>
            </w:r>
          </w:p>
          <w:p>
            <w:pPr>
              <w:spacing w:after="0" w:line="68" w:lineRule="atLeast"/>
              <w:rPr>
                <w:rFonts w:ascii="宋体" w:hAnsi="宋体" w:eastAsia="宋体" w:cs="宋体"/>
                <w:color w:val="000000"/>
              </w:rPr>
            </w:pPr>
            <w:r>
              <w:rPr>
                <w:rFonts w:hint="eastAsia" w:ascii="宋体" w:hAnsi="宋体" w:eastAsia="宋体" w:cs="宋体"/>
                <w:color w:val="000000"/>
              </w:rPr>
              <w:t>（2分）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部门为加强资产管理、规范资产管理行为而制定的管理制度是否健全完整，用以反映和考核部门资产管理制度对完成主要职责或促进社会发展的保障情况。</w:t>
            </w:r>
          </w:p>
          <w:p>
            <w:pPr>
              <w:spacing w:after="0" w:line="240" w:lineRule="exact"/>
              <w:rPr>
                <w:rFonts w:ascii="宋体" w:hAnsi="宋体" w:eastAsia="宋体" w:cs="宋体"/>
              </w:rPr>
            </w:pPr>
            <w:r>
              <w:rPr>
                <w:rFonts w:hint="eastAsia" w:ascii="宋体" w:hAnsi="宋体" w:eastAsia="宋体" w:cs="宋体"/>
              </w:rPr>
              <w:t>评价要点：</w:t>
            </w:r>
          </w:p>
          <w:p>
            <w:pPr>
              <w:spacing w:after="0" w:line="240" w:lineRule="exact"/>
              <w:rPr>
                <w:rFonts w:ascii="宋体" w:hAnsi="宋体" w:eastAsia="宋体" w:cs="宋体"/>
              </w:rPr>
            </w:pPr>
            <w:r>
              <w:rPr>
                <w:rFonts w:hint="eastAsia" w:ascii="宋体" w:hAnsi="宋体" w:eastAsia="宋体" w:cs="宋体"/>
              </w:rPr>
              <w:t>1.是否已制定或具有资产管理制度；</w:t>
            </w:r>
          </w:p>
          <w:p>
            <w:pPr>
              <w:spacing w:after="0" w:line="240" w:lineRule="exact"/>
              <w:rPr>
                <w:rFonts w:ascii="宋体" w:hAnsi="宋体" w:eastAsia="宋体" w:cs="宋体"/>
              </w:rPr>
            </w:pPr>
            <w:r>
              <w:rPr>
                <w:rFonts w:hint="eastAsia" w:ascii="宋体" w:hAnsi="宋体" w:eastAsia="宋体" w:cs="宋体"/>
              </w:rPr>
              <w:t>2.相关资金管理制度是否合法、合规、完整；</w:t>
            </w:r>
          </w:p>
          <w:p>
            <w:pPr>
              <w:spacing w:after="0" w:line="240" w:lineRule="exact"/>
              <w:rPr>
                <w:rFonts w:ascii="宋体" w:hAnsi="宋体" w:eastAsia="宋体" w:cs="宋体"/>
              </w:rPr>
            </w:pPr>
            <w:r>
              <w:rPr>
                <w:rFonts w:hint="eastAsia" w:ascii="宋体" w:hAnsi="宋体" w:eastAsia="宋体" w:cs="宋体"/>
              </w:rPr>
              <w:t>3.相关资产管理制度是否得到有效执行。</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全部符合（2分）；</w:t>
            </w:r>
          </w:p>
          <w:p>
            <w:pPr>
              <w:spacing w:after="0" w:line="240" w:lineRule="exact"/>
              <w:rPr>
                <w:rFonts w:ascii="宋体" w:hAnsi="宋体" w:eastAsia="宋体" w:cs="宋体"/>
              </w:rPr>
            </w:pPr>
            <w:r>
              <w:rPr>
                <w:rFonts w:hint="eastAsia" w:ascii="宋体" w:hAnsi="宋体" w:eastAsia="宋体" w:cs="宋体"/>
              </w:rPr>
              <w:t>符合其中两项（1分）</w:t>
            </w:r>
          </w:p>
          <w:p>
            <w:pPr>
              <w:spacing w:after="0" w:line="24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86"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pPr>
              <w:spacing w:after="0" w:line="68" w:lineRule="atLeast"/>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资产管理完全性</w:t>
            </w:r>
          </w:p>
          <w:p>
            <w:pPr>
              <w:spacing w:after="0" w:line="68" w:lineRule="atLeast"/>
              <w:rPr>
                <w:rFonts w:ascii="宋体" w:hAnsi="宋体" w:eastAsia="宋体" w:cs="宋体"/>
              </w:rPr>
            </w:pPr>
            <w:r>
              <w:rPr>
                <w:rFonts w:hint="eastAsia" w:ascii="宋体" w:hAnsi="宋体" w:eastAsia="宋体" w:cs="宋体"/>
              </w:rPr>
              <w:t>（3分）</w:t>
            </w:r>
          </w:p>
        </w:tc>
        <w:tc>
          <w:tcPr>
            <w:tcW w:w="6911" w:type="dxa"/>
            <w:tcBorders>
              <w:top w:val="single" w:color="auto"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部门的资产是否保存完整、使用合规、收入及时足额上缴，用以反映和评价部门资产运行情况。</w:t>
            </w:r>
          </w:p>
          <w:p>
            <w:pPr>
              <w:spacing w:after="0" w:line="240" w:lineRule="exact"/>
              <w:rPr>
                <w:rFonts w:ascii="宋体" w:hAnsi="宋体" w:eastAsia="宋体" w:cs="宋体"/>
              </w:rPr>
            </w:pPr>
            <w:r>
              <w:rPr>
                <w:rFonts w:hint="eastAsia" w:ascii="宋体" w:hAnsi="宋体" w:eastAsia="宋体" w:cs="宋体"/>
              </w:rPr>
              <w:t>评价要点：</w:t>
            </w:r>
          </w:p>
          <w:p>
            <w:pPr>
              <w:spacing w:after="0" w:line="240" w:lineRule="exact"/>
              <w:rPr>
                <w:rFonts w:ascii="宋体" w:hAnsi="宋体" w:eastAsia="宋体" w:cs="宋体"/>
              </w:rPr>
            </w:pPr>
            <w:r>
              <w:rPr>
                <w:rFonts w:hint="eastAsia" w:ascii="宋体" w:hAnsi="宋体" w:eastAsia="宋体" w:cs="宋体"/>
              </w:rPr>
              <w:t>1.资产保存完整；</w:t>
            </w:r>
          </w:p>
          <w:p>
            <w:pPr>
              <w:spacing w:after="0" w:line="240" w:lineRule="exact"/>
              <w:rPr>
                <w:rFonts w:ascii="宋体" w:hAnsi="宋体" w:eastAsia="宋体" w:cs="宋体"/>
              </w:rPr>
            </w:pPr>
            <w:r>
              <w:rPr>
                <w:rFonts w:hint="eastAsia" w:ascii="宋体" w:hAnsi="宋体" w:eastAsia="宋体" w:cs="宋体"/>
              </w:rPr>
              <w:t>2.资产账务管理是否合规，帐实相符；</w:t>
            </w:r>
          </w:p>
          <w:p>
            <w:pPr>
              <w:spacing w:after="0" w:line="68" w:lineRule="atLeast"/>
              <w:rPr>
                <w:rFonts w:ascii="宋体" w:hAnsi="宋体" w:eastAsia="宋体" w:cs="宋体"/>
              </w:rPr>
            </w:pPr>
            <w:r>
              <w:rPr>
                <w:rFonts w:hint="eastAsia" w:ascii="宋体" w:hAnsi="宋体" w:eastAsia="宋体" w:cs="宋体"/>
              </w:rPr>
              <w:t>3.资产有偿使用及处置收入及时足额上缴。</w:t>
            </w:r>
          </w:p>
        </w:tc>
        <w:tc>
          <w:tcPr>
            <w:tcW w:w="3423" w:type="dxa"/>
            <w:tcBorders>
              <w:top w:val="single" w:color="auto"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符合全部三项（3分）；</w:t>
            </w:r>
          </w:p>
          <w:p>
            <w:pPr>
              <w:spacing w:after="0" w:line="240" w:lineRule="exact"/>
              <w:rPr>
                <w:rFonts w:ascii="宋体" w:hAnsi="宋体" w:eastAsia="宋体" w:cs="宋体"/>
              </w:rPr>
            </w:pPr>
            <w:r>
              <w:rPr>
                <w:rFonts w:hint="eastAsia" w:ascii="宋体" w:hAnsi="宋体" w:eastAsia="宋体" w:cs="宋体"/>
              </w:rPr>
              <w:t>符合其中两项（2分）；</w:t>
            </w:r>
          </w:p>
          <w:p>
            <w:pPr>
              <w:spacing w:after="0" w:line="240" w:lineRule="exact"/>
              <w:rPr>
                <w:rFonts w:ascii="宋体" w:hAnsi="宋体" w:eastAsia="宋体" w:cs="宋体"/>
              </w:rPr>
            </w:pPr>
            <w:r>
              <w:rPr>
                <w:rFonts w:hint="eastAsia" w:ascii="宋体" w:hAnsi="宋体" w:eastAsia="宋体" w:cs="宋体"/>
              </w:rPr>
              <w:t>符合其中一项（1分）；</w:t>
            </w:r>
          </w:p>
          <w:p>
            <w:pPr>
              <w:spacing w:after="0" w:line="68" w:lineRule="atLeast"/>
              <w:rPr>
                <w:rFonts w:ascii="宋体" w:hAnsi="宋体" w:eastAsia="宋体" w:cs="宋体"/>
              </w:rPr>
            </w:pPr>
            <w:r>
              <w:rPr>
                <w:rFonts w:hint="eastAsia" w:ascii="宋体" w:hAnsi="宋体" w:eastAsia="宋体" w:cs="宋体"/>
              </w:rPr>
              <w:t>符合零项（0分）。</w:t>
            </w:r>
          </w:p>
        </w:tc>
        <w:tc>
          <w:tcPr>
            <w:tcW w:w="1090" w:type="dxa"/>
            <w:tcBorders>
              <w:top w:val="single" w:color="auto" w:sz="4" w:space="0"/>
              <w:left w:val="single" w:color="auto" w:sz="4" w:space="0"/>
              <w:bottom w:val="single" w:color="000000" w:sz="4" w:space="0"/>
              <w:right w:val="single" w:color="000000" w:sz="4" w:space="0"/>
            </w:tcBorders>
            <w:vAlign w:val="center"/>
          </w:tcPr>
          <w:p>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9"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固定资产利用率</w:t>
            </w:r>
          </w:p>
          <w:p>
            <w:pPr>
              <w:spacing w:after="0" w:line="68" w:lineRule="atLeast"/>
              <w:rPr>
                <w:rFonts w:ascii="宋体" w:hAnsi="宋体" w:eastAsia="宋体" w:cs="宋体"/>
              </w:rPr>
            </w:pPr>
            <w:r>
              <w:rPr>
                <w:rFonts w:hint="eastAsia" w:ascii="宋体" w:hAnsi="宋体" w:eastAsia="宋体" w:cs="宋体"/>
              </w:rPr>
              <w:t>（3分）</w:t>
            </w:r>
          </w:p>
        </w:tc>
        <w:tc>
          <w:tcPr>
            <w:tcW w:w="6911" w:type="dxa"/>
            <w:tcBorders>
              <w:top w:val="single" w:color="auto"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部门实际在用固定资产总额与所有固定资产总额的比率，用以反映和评价部门固定资产使用效率。</w:t>
            </w:r>
          </w:p>
          <w:p>
            <w:pPr>
              <w:spacing w:after="0" w:line="68" w:lineRule="atLeast"/>
              <w:rPr>
                <w:rFonts w:ascii="宋体" w:hAnsi="宋体" w:eastAsia="宋体" w:cs="宋体"/>
              </w:rPr>
            </w:pPr>
            <w:r>
              <w:rPr>
                <w:rFonts w:hint="eastAsia" w:ascii="宋体" w:hAnsi="宋体" w:eastAsia="宋体" w:cs="宋体"/>
              </w:rPr>
              <w:t>固定资产利用率=（实际在用固定资产总额/所有固定资产总额）×100%。</w:t>
            </w:r>
          </w:p>
        </w:tc>
        <w:tc>
          <w:tcPr>
            <w:tcW w:w="3423" w:type="dxa"/>
            <w:tcBorders>
              <w:top w:val="single" w:color="auto" w:sz="4" w:space="0"/>
              <w:left w:val="single" w:color="auto"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目标值为80%；以3分为上限，采用完成比率法计分：得分=固定资产利用率/80%×100%×3，超出目标值不加分。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6" w:hRule="atLeast"/>
          <w:jc w:val="center"/>
        </w:trPr>
        <w:tc>
          <w:tcPr>
            <w:tcW w:w="733" w:type="dxa"/>
            <w:vMerge w:val="continue"/>
            <w:tcBorders>
              <w:left w:val="single" w:color="000000" w:sz="4" w:space="0"/>
              <w:bottom w:val="single" w:color="000000" w:sz="4" w:space="0"/>
              <w:right w:val="single" w:color="000000" w:sz="4" w:space="0"/>
            </w:tcBorders>
            <w:vAlign w:val="center"/>
          </w:tcPr>
          <w:p>
            <w:pPr>
              <w:spacing w:after="0"/>
              <w:rPr>
                <w:rFonts w:ascii="宋体" w:hAnsi="宋体" w:eastAsia="宋体" w:cs="宋体"/>
              </w:rPr>
            </w:pPr>
          </w:p>
        </w:tc>
        <w:tc>
          <w:tcPr>
            <w:tcW w:w="803" w:type="dxa"/>
            <w:tcBorders>
              <w:left w:val="single" w:color="000000" w:sz="4" w:space="0"/>
              <w:bottom w:val="single" w:color="000000" w:sz="4" w:space="0"/>
              <w:right w:val="single" w:color="000000" w:sz="4" w:space="0"/>
            </w:tcBorders>
            <w:vAlign w:val="center"/>
          </w:tcPr>
          <w:p>
            <w:pPr>
              <w:spacing w:after="0"/>
              <w:rPr>
                <w:rFonts w:ascii="宋体" w:hAnsi="宋体" w:eastAsia="宋体" w:cs="宋体"/>
              </w:rPr>
            </w:pPr>
            <w:r>
              <w:rPr>
                <w:rFonts w:hint="eastAsia" w:ascii="宋体" w:hAnsi="宋体" w:eastAsia="宋体" w:cs="宋体"/>
              </w:rPr>
              <w:t>预算绩效监控管理（2分）</w:t>
            </w:r>
          </w:p>
        </w:tc>
        <w:tc>
          <w:tcPr>
            <w:tcW w:w="1182" w:type="dxa"/>
            <w:tcBorders>
              <w:top w:val="single" w:color="auto"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监控率（2分）</w:t>
            </w:r>
          </w:p>
        </w:tc>
        <w:tc>
          <w:tcPr>
            <w:tcW w:w="6911" w:type="dxa"/>
            <w:tcBorders>
              <w:top w:val="single" w:color="auto"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部门（单位）纳入绩效监控的项目数量占实际申报绩效目标项目数量的比重，用以反映和考核部门（单位）在项目运行中实施绩效管理的水平和程度。</w:t>
            </w:r>
          </w:p>
          <w:p>
            <w:pPr>
              <w:spacing w:after="0" w:line="240" w:lineRule="exact"/>
              <w:rPr>
                <w:rFonts w:ascii="宋体" w:hAnsi="宋体" w:eastAsia="宋体" w:cs="宋体"/>
              </w:rPr>
            </w:pPr>
            <w:r>
              <w:rPr>
                <w:rFonts w:hint="eastAsia" w:ascii="宋体" w:hAnsi="宋体" w:eastAsia="宋体" w:cs="宋体"/>
              </w:rPr>
              <w:t>监控率=实施绩效监控项目数/实际申报绩效目标项目数×100%</w:t>
            </w:r>
          </w:p>
        </w:tc>
        <w:tc>
          <w:tcPr>
            <w:tcW w:w="3423" w:type="dxa"/>
            <w:tcBorders>
              <w:top w:val="single" w:color="auto" w:sz="4" w:space="0"/>
              <w:left w:val="single" w:color="auto"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目标值为90%；以2分为上限，采用完成比率法计分：得分=监控率×2，超出目标值不加分。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 w:hRule="atLeast"/>
          <w:jc w:val="center"/>
        </w:trPr>
        <w:tc>
          <w:tcPr>
            <w:tcW w:w="733" w:type="dxa"/>
            <w:vMerge w:val="restart"/>
            <w:tcBorders>
              <w:top w:val="single" w:color="000000" w:sz="4" w:space="0"/>
              <w:left w:val="single" w:color="000000" w:sz="4" w:space="0"/>
              <w:right w:val="single" w:color="000000" w:sz="4" w:space="0"/>
            </w:tcBorders>
            <w:vAlign w:val="center"/>
          </w:tcPr>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r>
              <w:rPr>
                <w:rFonts w:hint="eastAsia" w:ascii="宋体" w:hAnsi="宋体" w:eastAsia="宋体" w:cs="宋体"/>
              </w:rPr>
              <w:t>产出(15分)</w:t>
            </w: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r>
              <w:rPr>
                <w:rFonts w:hint="eastAsia" w:ascii="宋体" w:hAnsi="宋体" w:eastAsia="宋体" w:cs="宋体"/>
              </w:rPr>
              <w:t>产出(15分)</w:t>
            </w:r>
          </w:p>
        </w:tc>
        <w:tc>
          <w:tcPr>
            <w:tcW w:w="803" w:type="dxa"/>
            <w:vMerge w:val="restart"/>
            <w:tcBorders>
              <w:top w:val="single" w:color="000000" w:sz="4" w:space="0"/>
              <w:left w:val="single" w:color="000000" w:sz="4" w:space="0"/>
              <w:right w:val="single" w:color="000000" w:sz="4" w:space="0"/>
            </w:tcBorders>
            <w:vAlign w:val="center"/>
          </w:tcPr>
          <w:p>
            <w:pPr>
              <w:spacing w:after="0" w:line="68" w:lineRule="atLeast"/>
              <w:rPr>
                <w:rFonts w:ascii="宋体" w:hAnsi="宋体" w:eastAsia="宋体" w:cs="宋体"/>
              </w:rPr>
            </w:pPr>
            <w:r>
              <w:rPr>
                <w:rFonts w:hint="eastAsia" w:ascii="宋体" w:hAnsi="宋体" w:eastAsia="宋体" w:cs="宋体"/>
              </w:rPr>
              <w:t>职责履行（15分）</w:t>
            </w:r>
          </w:p>
        </w:tc>
        <w:tc>
          <w:tcPr>
            <w:tcW w:w="1182" w:type="dxa"/>
            <w:tcBorders>
              <w:top w:val="single" w:color="000000" w:sz="4" w:space="0"/>
              <w:left w:val="single" w:color="000000" w:sz="4" w:space="0"/>
              <w:bottom w:val="single" w:color="auto"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项目实际完成率（4分）</w:t>
            </w:r>
          </w:p>
        </w:tc>
        <w:tc>
          <w:tcPr>
            <w:tcW w:w="6911" w:type="dxa"/>
            <w:tcBorders>
              <w:top w:val="single" w:color="000000" w:sz="4" w:space="0"/>
              <w:left w:val="single" w:color="auto" w:sz="4" w:space="0"/>
              <w:bottom w:val="single" w:color="auto"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部门履行职责而实际完成的项目数与计划完成的项目数的比率，用以反映和评价部门履职任务目标的实现程度。</w:t>
            </w:r>
          </w:p>
          <w:p>
            <w:pPr>
              <w:spacing w:after="0" w:line="68" w:lineRule="atLeast"/>
              <w:rPr>
                <w:rFonts w:ascii="宋体" w:hAnsi="宋体" w:eastAsia="宋体" w:cs="宋体"/>
              </w:rPr>
            </w:pPr>
            <w:r>
              <w:rPr>
                <w:rFonts w:hint="eastAsia" w:ascii="宋体" w:hAnsi="宋体" w:eastAsia="宋体" w:cs="宋体"/>
              </w:rPr>
              <w:t>项目实际完成率=（实际完成项目数/计划完成项目数）×100%。</w:t>
            </w:r>
          </w:p>
        </w:tc>
        <w:tc>
          <w:tcPr>
            <w:tcW w:w="3423" w:type="dxa"/>
            <w:tcBorders>
              <w:top w:val="single" w:color="000000" w:sz="4" w:space="0"/>
              <w:left w:val="single" w:color="auto" w:sz="4" w:space="0"/>
              <w:bottom w:val="single" w:color="auto"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目标值为100%；</w:t>
            </w:r>
          </w:p>
          <w:p>
            <w:pPr>
              <w:spacing w:after="0" w:line="68" w:lineRule="atLeast"/>
              <w:rPr>
                <w:rFonts w:ascii="宋体" w:hAnsi="宋体" w:eastAsia="宋体" w:cs="宋体"/>
              </w:rPr>
            </w:pPr>
            <w:r>
              <w:rPr>
                <w:rFonts w:hint="eastAsia" w:ascii="宋体" w:hAnsi="宋体" w:eastAsia="宋体" w:cs="宋体"/>
              </w:rPr>
              <w:t>达到目标值得4分；</w:t>
            </w:r>
          </w:p>
          <w:p>
            <w:pPr>
              <w:spacing w:after="0" w:line="68" w:lineRule="atLeast"/>
              <w:rPr>
                <w:rFonts w:ascii="宋体" w:hAnsi="宋体" w:eastAsia="宋体" w:cs="宋体"/>
              </w:rPr>
            </w:pPr>
            <w:r>
              <w:rPr>
                <w:rFonts w:hint="eastAsia" w:ascii="宋体" w:hAnsi="宋体" w:eastAsia="宋体" w:cs="宋体"/>
              </w:rPr>
              <w:t>100%＞结果≥95%，得3分；</w:t>
            </w:r>
          </w:p>
          <w:p>
            <w:pPr>
              <w:spacing w:after="0" w:line="68" w:lineRule="atLeast"/>
              <w:rPr>
                <w:rFonts w:ascii="宋体" w:hAnsi="宋体" w:eastAsia="宋体" w:cs="宋体"/>
              </w:rPr>
            </w:pPr>
            <w:r>
              <w:rPr>
                <w:rFonts w:hint="eastAsia" w:ascii="宋体" w:hAnsi="宋体" w:eastAsia="宋体" w:cs="宋体"/>
              </w:rPr>
              <w:t>95%＞结果≥90%，得2分；</w:t>
            </w:r>
          </w:p>
          <w:p>
            <w:pPr>
              <w:spacing w:after="0" w:line="68" w:lineRule="atLeast"/>
              <w:rPr>
                <w:rFonts w:ascii="宋体" w:hAnsi="宋体" w:eastAsia="宋体" w:cs="宋体"/>
              </w:rPr>
            </w:pPr>
            <w:r>
              <w:rPr>
                <w:rFonts w:hint="eastAsia" w:ascii="宋体" w:hAnsi="宋体" w:eastAsia="宋体" w:cs="宋体"/>
              </w:rPr>
              <w:t>90%＞结果≥85%，得1分；</w:t>
            </w:r>
          </w:p>
          <w:p>
            <w:pPr>
              <w:spacing w:after="0" w:line="68" w:lineRule="atLeast"/>
              <w:rPr>
                <w:rFonts w:ascii="宋体" w:hAnsi="宋体" w:eastAsia="宋体" w:cs="宋体"/>
              </w:rPr>
            </w:pPr>
            <w:r>
              <w:rPr>
                <w:rFonts w:hint="eastAsia" w:ascii="宋体" w:hAnsi="宋体" w:eastAsia="宋体" w:cs="宋体"/>
              </w:rPr>
              <w:t>结果＜85%得0分。</w:t>
            </w:r>
          </w:p>
        </w:tc>
        <w:tc>
          <w:tcPr>
            <w:tcW w:w="1090" w:type="dxa"/>
            <w:tcBorders>
              <w:top w:val="single" w:color="000000" w:sz="4" w:space="0"/>
              <w:left w:val="single" w:color="auto" w:sz="4" w:space="0"/>
              <w:bottom w:val="single" w:color="auto" w:sz="4" w:space="0"/>
              <w:right w:val="single" w:color="000000" w:sz="4" w:space="0"/>
            </w:tcBorders>
            <w:vAlign w:val="center"/>
          </w:tcPr>
          <w:p>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19"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项目质量达标率（4分）</w:t>
            </w:r>
          </w:p>
        </w:tc>
        <w:tc>
          <w:tcPr>
            <w:tcW w:w="6911" w:type="dxa"/>
            <w:tcBorders>
              <w:top w:val="single" w:color="000000" w:sz="4" w:space="0"/>
              <w:left w:val="single" w:color="auto" w:sz="4" w:space="0"/>
              <w:bottom w:val="single" w:color="auto"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部门已完成项目中质量达标项目个数占已完成项目个数的比率,用以反映和评价部门履职质量目标的实现程度。</w:t>
            </w:r>
          </w:p>
          <w:p>
            <w:pPr>
              <w:spacing w:after="0" w:line="240" w:lineRule="exact"/>
              <w:rPr>
                <w:rFonts w:ascii="宋体" w:hAnsi="宋体" w:eastAsia="宋体" w:cs="宋体"/>
              </w:rPr>
            </w:pPr>
            <w:r>
              <w:rPr>
                <w:rFonts w:hint="eastAsia" w:ascii="宋体" w:hAnsi="宋体" w:eastAsia="宋体" w:cs="宋体"/>
              </w:rPr>
              <w:t>项目质量达标率=（已完成项目中质量达标项目个数/已完成项目个数）×100%。</w:t>
            </w:r>
          </w:p>
          <w:p>
            <w:pPr>
              <w:spacing w:after="0" w:line="68" w:lineRule="atLeast"/>
              <w:rPr>
                <w:rFonts w:ascii="宋体" w:hAnsi="宋体" w:eastAsia="宋体" w:cs="宋体"/>
              </w:rPr>
            </w:pPr>
            <w:r>
              <w:rPr>
                <w:rFonts w:hint="eastAsia" w:ascii="宋体" w:hAnsi="宋体" w:eastAsia="宋体" w:cs="宋体"/>
              </w:rPr>
              <w:t>项目质量达标是指项目决算验收合格。</w:t>
            </w:r>
          </w:p>
        </w:tc>
        <w:tc>
          <w:tcPr>
            <w:tcW w:w="3423" w:type="dxa"/>
            <w:tcBorders>
              <w:top w:val="single" w:color="000000" w:sz="4" w:space="0"/>
              <w:left w:val="single" w:color="auto" w:sz="4" w:space="0"/>
              <w:bottom w:val="single" w:color="auto"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目标值100%；以4分为上限，采用完成比率法计分：得分=项目质量达标率×4，≤95%的扣4分。</w:t>
            </w:r>
          </w:p>
        </w:tc>
        <w:tc>
          <w:tcPr>
            <w:tcW w:w="1090" w:type="dxa"/>
            <w:tcBorders>
              <w:top w:val="single" w:color="000000" w:sz="4" w:space="0"/>
              <w:left w:val="single" w:color="auto" w:sz="4" w:space="0"/>
              <w:bottom w:val="single" w:color="auto" w:sz="4" w:space="0"/>
              <w:right w:val="single" w:color="000000" w:sz="4" w:space="0"/>
            </w:tcBorders>
            <w:vAlign w:val="center"/>
          </w:tcPr>
          <w:p>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1"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重点工作办结率（4分）</w:t>
            </w:r>
          </w:p>
        </w:tc>
        <w:tc>
          <w:tcPr>
            <w:tcW w:w="6911" w:type="dxa"/>
            <w:tcBorders>
              <w:top w:val="single" w:color="000000" w:sz="4" w:space="0"/>
              <w:left w:val="single" w:color="auto" w:sz="4" w:space="0"/>
              <w:bottom w:val="single" w:color="auto"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部门年度重点工作实际完成数与交办或下达数的比率，用以反映部门对重点工作的办理落实程度。</w:t>
            </w:r>
          </w:p>
          <w:p>
            <w:pPr>
              <w:spacing w:after="0" w:line="68" w:lineRule="atLeast"/>
              <w:rPr>
                <w:rFonts w:ascii="宋体" w:hAnsi="宋体" w:eastAsia="宋体" w:cs="宋体"/>
              </w:rPr>
            </w:pPr>
            <w:r>
              <w:rPr>
                <w:rFonts w:hint="eastAsia" w:ascii="宋体" w:hAnsi="宋体" w:eastAsia="宋体" w:cs="宋体"/>
              </w:rPr>
              <w:t>重点工作办结率=（重点工作实际完成数/交办或下达数）×100%。</w:t>
            </w:r>
          </w:p>
          <w:p>
            <w:pPr>
              <w:spacing w:after="0" w:line="68" w:lineRule="atLeast"/>
              <w:rPr>
                <w:rFonts w:ascii="宋体" w:hAnsi="宋体" w:eastAsia="宋体" w:cs="宋体"/>
              </w:rPr>
            </w:pPr>
            <w:r>
              <w:rPr>
                <w:rFonts w:hint="eastAsia" w:ascii="宋体" w:hAnsi="宋体" w:eastAsia="宋体" w:cs="宋体"/>
              </w:rPr>
              <w:t>重点工作是指党委、政府、人大、相关部门交办或下达的工作任务。</w:t>
            </w:r>
          </w:p>
        </w:tc>
        <w:tc>
          <w:tcPr>
            <w:tcW w:w="3423" w:type="dxa"/>
            <w:tcBorders>
              <w:top w:val="single" w:color="000000" w:sz="4" w:space="0"/>
              <w:left w:val="single" w:color="auto" w:sz="4" w:space="0"/>
              <w:bottom w:val="single" w:color="auto"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目标值100%；以4分为上限，采用完成比率法计分：得分=重点工作办结率×4，≤90%的扣4分。</w:t>
            </w:r>
          </w:p>
        </w:tc>
        <w:tc>
          <w:tcPr>
            <w:tcW w:w="1090" w:type="dxa"/>
            <w:tcBorders>
              <w:top w:val="single" w:color="000000" w:sz="4" w:space="0"/>
              <w:left w:val="single" w:color="auto" w:sz="4" w:space="0"/>
              <w:bottom w:val="single" w:color="auto" w:sz="4" w:space="0"/>
              <w:right w:val="single" w:color="000000" w:sz="4" w:space="0"/>
            </w:tcBorders>
            <w:vAlign w:val="center"/>
          </w:tcPr>
          <w:p>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39" w:hRule="atLeast"/>
          <w:jc w:val="center"/>
        </w:trPr>
        <w:tc>
          <w:tcPr>
            <w:tcW w:w="733" w:type="dxa"/>
            <w:vMerge w:val="continue"/>
            <w:tcBorders>
              <w:left w:val="single" w:color="000000" w:sz="4" w:space="0"/>
              <w:bottom w:val="single" w:color="000000" w:sz="4" w:space="0"/>
              <w:right w:val="single" w:color="000000" w:sz="4" w:space="0"/>
            </w:tcBorders>
            <w:vAlign w:val="center"/>
          </w:tcPr>
          <w:p>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部门绩效自评项目占比率（3分）</w:t>
            </w:r>
          </w:p>
        </w:tc>
        <w:tc>
          <w:tcPr>
            <w:tcW w:w="6911" w:type="dxa"/>
            <w:tcBorders>
              <w:top w:val="single" w:color="000000" w:sz="4" w:space="0"/>
              <w:left w:val="single" w:color="auto" w:sz="4" w:space="0"/>
              <w:bottom w:val="single" w:color="auto"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部门自评项目在所有项目中所占的份额，反映和评价部门对项目自评的重视程度。</w:t>
            </w:r>
          </w:p>
          <w:p>
            <w:pPr>
              <w:spacing w:after="0" w:line="240" w:lineRule="exact"/>
              <w:rPr>
                <w:rFonts w:ascii="宋体" w:hAnsi="宋体" w:eastAsia="宋体" w:cs="宋体"/>
              </w:rPr>
            </w:pPr>
            <w:r>
              <w:rPr>
                <w:rFonts w:hint="eastAsia" w:ascii="宋体" w:hAnsi="宋体" w:eastAsia="宋体" w:cs="宋体"/>
              </w:rPr>
              <w:t>占比率=(自评项目资金量/项目支出资金量)×100%。</w:t>
            </w:r>
          </w:p>
          <w:p>
            <w:pPr>
              <w:spacing w:after="0" w:line="68" w:lineRule="atLeast"/>
              <w:rPr>
                <w:rFonts w:ascii="宋体" w:hAnsi="宋体" w:eastAsia="宋体" w:cs="宋体"/>
              </w:rPr>
            </w:pPr>
            <w:r>
              <w:rPr>
                <w:rFonts w:hint="eastAsia" w:ascii="宋体" w:hAnsi="宋体" w:eastAsia="宋体" w:cs="宋体"/>
              </w:rPr>
              <w:t>部门支出项目绩效自评范围：本年度列入本级财政预算安排的项目。</w:t>
            </w:r>
          </w:p>
        </w:tc>
        <w:tc>
          <w:tcPr>
            <w:tcW w:w="3423" w:type="dxa"/>
            <w:tcBorders>
              <w:top w:val="single" w:color="000000" w:sz="4" w:space="0"/>
              <w:left w:val="single" w:color="auto" w:sz="4" w:space="0"/>
              <w:bottom w:val="single" w:color="auto"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达到目标值得3分，未达到目标值采用完成比率法计分：得分=占比率/目标值×3，超过目标值不加分。</w:t>
            </w:r>
          </w:p>
        </w:tc>
        <w:tc>
          <w:tcPr>
            <w:tcW w:w="1090" w:type="dxa"/>
            <w:tcBorders>
              <w:top w:val="single" w:color="000000" w:sz="4" w:space="0"/>
              <w:left w:val="single" w:color="auto" w:sz="4" w:space="0"/>
              <w:bottom w:val="single" w:color="auto" w:sz="4" w:space="0"/>
              <w:right w:val="single" w:color="000000" w:sz="4" w:space="0"/>
            </w:tcBorders>
            <w:vAlign w:val="center"/>
          </w:tcPr>
          <w:p>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38" w:hRule="atLeast"/>
          <w:jc w:val="center"/>
        </w:trPr>
        <w:tc>
          <w:tcPr>
            <w:tcW w:w="733" w:type="dxa"/>
            <w:vMerge w:val="restart"/>
            <w:tcBorders>
              <w:top w:val="single" w:color="000000" w:sz="4" w:space="0"/>
              <w:left w:val="single" w:color="000000" w:sz="4" w:space="0"/>
              <w:right w:val="single" w:color="000000" w:sz="4" w:space="0"/>
            </w:tcBorders>
            <w:vAlign w:val="center"/>
          </w:tcPr>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r>
              <w:rPr>
                <w:rFonts w:hint="eastAsia" w:ascii="宋体" w:hAnsi="宋体" w:eastAsia="宋体" w:cs="宋体"/>
              </w:rPr>
              <w:t>效果（15）</w:t>
            </w: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p>
          <w:p>
            <w:pPr>
              <w:spacing w:after="0" w:line="68" w:lineRule="atLeast"/>
              <w:rPr>
                <w:rFonts w:ascii="宋体" w:hAnsi="宋体" w:eastAsia="宋体" w:cs="宋体"/>
              </w:rPr>
            </w:pPr>
            <w:r>
              <w:rPr>
                <w:rFonts w:hint="eastAsia" w:ascii="宋体" w:hAnsi="宋体" w:eastAsia="宋体" w:cs="宋体"/>
              </w:rPr>
              <w:t>效果（15）</w:t>
            </w:r>
          </w:p>
          <w:p>
            <w:pPr>
              <w:spacing w:after="0" w:line="68" w:lineRule="atLeast"/>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pPr>
              <w:spacing w:after="0" w:line="68" w:lineRule="atLeast"/>
              <w:rPr>
                <w:rFonts w:ascii="宋体" w:hAnsi="宋体" w:eastAsia="宋体" w:cs="宋体"/>
              </w:rPr>
            </w:pPr>
            <w:r>
              <w:rPr>
                <w:rFonts w:hint="eastAsia" w:ascii="宋体" w:hAnsi="宋体" w:eastAsia="宋体" w:cs="宋体"/>
              </w:rPr>
              <w:t>监督发现问题</w:t>
            </w:r>
          </w:p>
          <w:p>
            <w:pPr>
              <w:spacing w:after="0" w:line="68" w:lineRule="atLeast"/>
              <w:rPr>
                <w:rFonts w:ascii="宋体" w:hAnsi="宋体" w:eastAsia="宋体" w:cs="宋体"/>
              </w:rPr>
            </w:pPr>
            <w:r>
              <w:rPr>
                <w:rFonts w:hint="eastAsia" w:ascii="宋体" w:hAnsi="宋体" w:eastAsia="宋体" w:cs="宋体"/>
              </w:rPr>
              <w:t>（2分）</w:t>
            </w: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违规率（2分）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部门存在违规问题的资金数量占部门预算支出资金总额的比重，用以反映和考核部门预算资金管理使用的合法、合规情况。</w:t>
            </w:r>
          </w:p>
          <w:p>
            <w:pPr>
              <w:spacing w:after="0" w:line="68" w:lineRule="atLeast"/>
              <w:rPr>
                <w:rFonts w:ascii="宋体" w:hAnsi="宋体" w:eastAsia="宋体" w:cs="宋体"/>
              </w:rPr>
            </w:pPr>
            <w:r>
              <w:rPr>
                <w:rFonts w:hint="eastAsia" w:ascii="宋体" w:hAnsi="宋体" w:eastAsia="宋体" w:cs="宋体"/>
              </w:rPr>
              <w:t>违规率=存在违规问题的资金额/部门预算支出资金总额×100%</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目标值0，达到目标值得2分，未达到目标值的每增加0.1个百分点扣0.1分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15" w:hRule="atLeast"/>
          <w:jc w:val="center"/>
        </w:trPr>
        <w:tc>
          <w:tcPr>
            <w:tcW w:w="733" w:type="dxa"/>
            <w:vMerge w:val="continue"/>
            <w:tcBorders>
              <w:left w:val="single" w:color="000000" w:sz="4" w:space="0"/>
              <w:right w:val="single" w:color="000000" w:sz="4" w:space="0"/>
            </w:tcBorders>
            <w:vAlign w:val="center"/>
          </w:tcPr>
          <w:p>
            <w:pPr>
              <w:spacing w:after="0" w:line="68" w:lineRule="atLeast"/>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pPr>
              <w:spacing w:after="0" w:line="68" w:lineRule="atLeast"/>
              <w:rPr>
                <w:rFonts w:ascii="宋体" w:hAnsi="宋体" w:eastAsia="宋体" w:cs="宋体"/>
              </w:rPr>
            </w:pPr>
            <w:r>
              <w:rPr>
                <w:rFonts w:hint="eastAsia" w:ascii="宋体" w:hAnsi="宋体" w:eastAsia="宋体" w:cs="宋体"/>
              </w:rPr>
              <w:t>工作成效（5）</w:t>
            </w: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bCs/>
                <w:color w:val="000000"/>
              </w:rPr>
              <w:t>部门预算绩效管理考核评价</w:t>
            </w:r>
            <w:r>
              <w:rPr>
                <w:rFonts w:hint="eastAsia" w:ascii="宋体" w:hAnsi="宋体" w:eastAsia="宋体" w:cs="宋体"/>
                <w:bCs/>
              </w:rPr>
              <w:t>（5）</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color w:val="000000"/>
              </w:rPr>
              <w:t>财政部门对部门开展预算绩效管理工作的评价结果，用以反映部门对预算绩效管理工作的重视程度和取得的成效。</w:t>
            </w:r>
          </w:p>
          <w:p>
            <w:pPr>
              <w:spacing w:after="0" w:line="240" w:lineRule="exact"/>
              <w:rPr>
                <w:rFonts w:ascii="宋体" w:hAnsi="宋体" w:eastAsia="宋体" w:cs="宋体"/>
              </w:rPr>
            </w:pPr>
            <w:r>
              <w:rPr>
                <w:rFonts w:hint="eastAsia" w:ascii="宋体" w:hAnsi="宋体" w:eastAsia="宋体" w:cs="宋体"/>
                <w:color w:val="000000"/>
              </w:rPr>
              <w:t>1.财政部门对部门绩效管理工作开展情况进行核查评价，包括绩效目标管理、绩效执行监控、绩效自评和评价结果应用等情况，按百分制。</w:t>
            </w:r>
          </w:p>
          <w:p>
            <w:pPr>
              <w:spacing w:after="0" w:line="68" w:lineRule="atLeast"/>
              <w:rPr>
                <w:rFonts w:ascii="宋体" w:hAnsi="宋体" w:eastAsia="宋体" w:cs="宋体"/>
              </w:rPr>
            </w:pPr>
            <w:r>
              <w:rPr>
                <w:rFonts w:hint="eastAsia" w:ascii="宋体" w:hAnsi="宋体" w:eastAsia="宋体" w:cs="宋体"/>
                <w:color w:val="000000"/>
              </w:rPr>
              <w:t>2.以部门为单位进行综合计算，得出各部门绩效管理工作评价结果。</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color w:val="000000"/>
              </w:rPr>
              <w:t>综合得分=（部门绩效管理工作评价结果/100）*5分</w:t>
            </w:r>
          </w:p>
          <w:p>
            <w:pPr>
              <w:spacing w:after="0" w:line="68" w:lineRule="atLeast"/>
              <w:rPr>
                <w:rFonts w:ascii="宋体" w:hAnsi="宋体" w:eastAsia="宋体" w:cs="宋体"/>
              </w:rPr>
            </w:pPr>
            <w:r>
              <w:rPr>
                <w:rFonts w:hint="eastAsia" w:ascii="宋体" w:hAnsi="宋体" w:eastAsia="宋体" w:cs="宋体"/>
              </w:rPr>
              <w:t> </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2"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pPr>
              <w:spacing w:after="0" w:line="68" w:lineRule="atLeast"/>
              <w:rPr>
                <w:rFonts w:ascii="宋体" w:hAnsi="宋体" w:eastAsia="宋体" w:cs="宋体"/>
              </w:rPr>
            </w:pPr>
            <w:r>
              <w:rPr>
                <w:rFonts w:hint="eastAsia" w:ascii="宋体" w:hAnsi="宋体" w:eastAsia="宋体" w:cs="宋体"/>
              </w:rPr>
              <w:t>评价结果应用</w:t>
            </w:r>
          </w:p>
          <w:p>
            <w:pPr>
              <w:spacing w:after="0" w:line="68" w:lineRule="atLeast"/>
              <w:rPr>
                <w:rFonts w:ascii="宋体" w:hAnsi="宋体" w:eastAsia="宋体" w:cs="宋体"/>
              </w:rPr>
            </w:pPr>
            <w:r>
              <w:rPr>
                <w:rFonts w:hint="eastAsia" w:ascii="宋体" w:hAnsi="宋体" w:eastAsia="宋体" w:cs="宋体"/>
              </w:rPr>
              <w:t>（2分）</w:t>
            </w: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应用率（2分）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部门应用绩效评价结果的项目数占绩效评价项目数的比重，用以反映和考核部门绩效评价结果的利用水平和程度。</w:t>
            </w:r>
          </w:p>
          <w:p>
            <w:pPr>
              <w:spacing w:after="0" w:line="68" w:lineRule="atLeast"/>
              <w:rPr>
                <w:rFonts w:ascii="宋体" w:hAnsi="宋体" w:eastAsia="宋体" w:cs="宋体"/>
              </w:rPr>
            </w:pPr>
            <w:r>
              <w:rPr>
                <w:rFonts w:hint="eastAsia" w:ascii="宋体" w:hAnsi="宋体" w:eastAsia="宋体" w:cs="宋体"/>
              </w:rPr>
              <w:t>应用率=应用绩效评价结果的项目数量/部门实施绩效评价项目数量×100%。</w:t>
            </w:r>
          </w:p>
          <w:p>
            <w:pPr>
              <w:spacing w:after="0" w:line="68" w:lineRule="atLeast"/>
              <w:rPr>
                <w:rFonts w:ascii="宋体" w:hAnsi="宋体" w:eastAsia="宋体" w:cs="宋体"/>
              </w:rPr>
            </w:pPr>
            <w:r>
              <w:rPr>
                <w:rFonts w:hint="eastAsia" w:ascii="宋体" w:hAnsi="宋体" w:eastAsia="宋体" w:cs="宋体"/>
              </w:rPr>
              <w:t>应用绩效评价结果包括向财政部门报告绩效评价结果、向被评价单位反馈绩效评价结果、内部公开绩效评价结果和落实整改措施等方面，其中，落实整改措施包括调整预算结构、改革预算管理、整改发现问题、健全制度措施和实施绩效问责。</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目标值为100%；以2分为上限，采用完成比率法计分：得分=应用率×2，超出目标值不加分。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04"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pPr>
              <w:spacing w:after="0" w:line="68" w:lineRule="atLeast"/>
              <w:rPr>
                <w:rFonts w:ascii="宋体" w:hAnsi="宋体" w:eastAsia="宋体" w:cs="宋体"/>
              </w:rPr>
            </w:pPr>
            <w:r>
              <w:rPr>
                <w:rFonts w:hint="eastAsia" w:ascii="宋体" w:hAnsi="宋体" w:eastAsia="宋体" w:cs="宋体"/>
              </w:rPr>
              <w:t>结果应用创新（1分）</w:t>
            </w: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结果应用创新（1分）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部门将绩效结果主动对外公开、预算绩效管理工作开展情况向同级政府、人大等部门报告，用以反映和考核部门在结果应用方面的创新情况。</w:t>
            </w:r>
          </w:p>
          <w:p>
            <w:pPr>
              <w:spacing w:after="0" w:line="68" w:lineRule="atLeast"/>
              <w:rPr>
                <w:rFonts w:ascii="宋体" w:hAnsi="宋体" w:eastAsia="宋体" w:cs="宋体"/>
              </w:rPr>
            </w:pPr>
            <w:r>
              <w:rPr>
                <w:rFonts w:hint="eastAsia" w:ascii="宋体" w:hAnsi="宋体" w:eastAsia="宋体" w:cs="宋体"/>
              </w:rPr>
              <w:t>评价要点：</w:t>
            </w:r>
          </w:p>
          <w:p>
            <w:pPr>
              <w:spacing w:after="0" w:line="68" w:lineRule="atLeast"/>
              <w:rPr>
                <w:rFonts w:ascii="宋体" w:hAnsi="宋体" w:eastAsia="宋体" w:cs="宋体"/>
              </w:rPr>
            </w:pPr>
            <w:r>
              <w:rPr>
                <w:rFonts w:hint="eastAsia" w:ascii="宋体" w:hAnsi="宋体" w:eastAsia="宋体" w:cs="宋体"/>
              </w:rPr>
              <w:t>1.部门是否按要求对社会公开绩效评价结果。</w:t>
            </w:r>
          </w:p>
          <w:p>
            <w:pPr>
              <w:spacing w:after="0" w:line="68" w:lineRule="atLeast"/>
              <w:rPr>
                <w:rFonts w:ascii="宋体" w:hAnsi="宋体" w:eastAsia="宋体" w:cs="宋体"/>
              </w:rPr>
            </w:pPr>
            <w:r>
              <w:rPr>
                <w:rFonts w:hint="eastAsia" w:ascii="宋体" w:hAnsi="宋体" w:eastAsia="宋体" w:cs="宋体"/>
              </w:rPr>
              <w:t>2.部门是否将预算绩效管理工作开展情况向同级政府、人大等部门报告。</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全部符合（1分）；</w:t>
            </w:r>
          </w:p>
          <w:p>
            <w:pPr>
              <w:spacing w:after="0" w:line="240" w:lineRule="exact"/>
              <w:rPr>
                <w:rFonts w:ascii="宋体" w:hAnsi="宋体" w:eastAsia="宋体" w:cs="宋体"/>
              </w:rPr>
            </w:pPr>
            <w:r>
              <w:rPr>
                <w:rFonts w:hint="eastAsia" w:ascii="宋体" w:hAnsi="宋体" w:eastAsia="宋体" w:cs="宋体"/>
              </w:rPr>
              <w:t>符合其中两项（0.5分）</w:t>
            </w:r>
          </w:p>
          <w:p>
            <w:pPr>
              <w:spacing w:after="0" w:line="24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78" w:hRule="atLeast"/>
          <w:jc w:val="center"/>
        </w:trPr>
        <w:tc>
          <w:tcPr>
            <w:tcW w:w="733" w:type="dxa"/>
            <w:vMerge w:val="continue"/>
            <w:tcBorders>
              <w:left w:val="single" w:color="000000" w:sz="4" w:space="0"/>
              <w:right w:val="single" w:color="000000" w:sz="4" w:space="0"/>
            </w:tcBorders>
            <w:vAlign w:val="center"/>
          </w:tcPr>
          <w:p>
            <w:pPr>
              <w:spacing w:after="0"/>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pPr>
              <w:spacing w:after="0" w:line="68" w:lineRule="atLeast"/>
              <w:rPr>
                <w:rFonts w:ascii="宋体" w:hAnsi="宋体" w:eastAsia="宋体" w:cs="宋体"/>
              </w:rPr>
            </w:pPr>
            <w:r>
              <w:rPr>
                <w:rFonts w:hint="eastAsia" w:ascii="宋体" w:hAnsi="宋体" w:eastAsia="宋体" w:cs="宋体"/>
              </w:rPr>
              <w:t>社会效益（5分）</w:t>
            </w: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社会公众满意度（5分）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通过问卷调查了解社会公众对部门履职效果、解决民众关心的热点问题、厉行节约等方面的满意程度，反映和评价部门支出所带来的社会效益。</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240" w:lineRule="exact"/>
              <w:rPr>
                <w:rFonts w:ascii="宋体" w:hAnsi="宋体" w:eastAsia="宋体" w:cs="宋体"/>
              </w:rPr>
            </w:pPr>
            <w:r>
              <w:rPr>
                <w:rFonts w:hint="eastAsia" w:ascii="宋体" w:hAnsi="宋体" w:eastAsia="宋体" w:cs="宋体"/>
              </w:rPr>
              <w:t>按照满意度调查的优秀、良好、合格、不合格给予该项指标打分：</w:t>
            </w:r>
          </w:p>
          <w:p>
            <w:pPr>
              <w:spacing w:after="0" w:line="68" w:lineRule="atLeast"/>
              <w:rPr>
                <w:rFonts w:ascii="宋体" w:hAnsi="宋体" w:eastAsia="宋体" w:cs="宋体"/>
              </w:rPr>
            </w:pPr>
            <w:r>
              <w:rPr>
                <w:rFonts w:hint="eastAsia" w:ascii="宋体" w:hAnsi="宋体" w:eastAsia="宋体" w:cs="宋体"/>
              </w:rPr>
              <w:t>优秀（5分）；良好（3分）；合格（1分）；不合格（0分）。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733" w:type="dxa"/>
            <w:tcBorders>
              <w:left w:val="single" w:color="000000" w:sz="4" w:space="0"/>
              <w:right w:val="single" w:color="000000" w:sz="4" w:space="0"/>
            </w:tcBorders>
            <w:vAlign w:val="center"/>
          </w:tcPr>
          <w:p>
            <w:pPr>
              <w:spacing w:after="0"/>
              <w:rPr>
                <w:rFonts w:ascii="宋体" w:hAnsi="宋体" w:eastAsia="宋体" w:cs="宋体"/>
              </w:rPr>
            </w:pPr>
            <w:r>
              <w:rPr>
                <w:rFonts w:hint="eastAsia" w:ascii="宋体" w:hAnsi="宋体" w:eastAsia="宋体" w:cs="宋体"/>
              </w:rPr>
              <w:t>小计</w:t>
            </w:r>
          </w:p>
        </w:tc>
        <w:tc>
          <w:tcPr>
            <w:tcW w:w="803" w:type="dxa"/>
            <w:tcBorders>
              <w:top w:val="single" w:color="auto" w:sz="4" w:space="0"/>
              <w:left w:val="single" w:color="000000" w:sz="4" w:space="0"/>
              <w:bottom w:val="single" w:color="auto" w:sz="4" w:space="0"/>
              <w:right w:val="single" w:color="000000" w:sz="4" w:space="0"/>
            </w:tcBorders>
            <w:vAlign w:val="center"/>
          </w:tcPr>
          <w:p>
            <w:pPr>
              <w:spacing w:after="0" w:line="68" w:lineRule="atLeast"/>
              <w:rPr>
                <w:rFonts w:ascii="宋体" w:hAnsi="宋体" w:eastAsia="宋体" w:cs="宋体"/>
              </w:rPr>
            </w:pPr>
            <w:r>
              <w:rPr>
                <w:rFonts w:hint="eastAsia" w:ascii="宋体" w:hAnsi="宋体" w:eastAsia="宋体" w:cs="宋体"/>
              </w:rPr>
              <w:t>100</w:t>
            </w: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rPr>
            </w:pP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68" w:lineRule="atLeast"/>
              <w:rPr>
                <w:rFonts w:ascii="宋体" w:hAnsi="宋体" w:eastAsia="宋体" w:cs="宋体"/>
              </w:rPr>
            </w:pP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68" w:lineRule="atLeast"/>
              <w:rPr>
                <w:rFonts w:ascii="宋体" w:hAnsi="宋体" w:eastAsia="宋体" w:cs="宋体"/>
              </w:rPr>
            </w:pP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68" w:lineRule="atLeast"/>
              <w:jc w:val="center"/>
              <w:rPr>
                <w:rFonts w:hint="default" w:ascii="宋体" w:hAnsi="宋体" w:eastAsia="宋体" w:cs="宋体"/>
                <w:lang w:val="en-US" w:eastAsia="zh-CN"/>
              </w:rPr>
            </w:pPr>
            <w:r>
              <w:rPr>
                <w:rFonts w:hint="eastAsia" w:ascii="宋体" w:hAnsi="宋体" w:eastAsia="宋体" w:cs="宋体"/>
                <w:lang w:val="en-US" w:eastAsia="zh-CN"/>
              </w:rPr>
              <w:t>93.8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8" w:hRule="atLeast"/>
          <w:jc w:val="center"/>
        </w:trPr>
        <w:tc>
          <w:tcPr>
            <w:tcW w:w="733" w:type="dxa"/>
            <w:tcBorders>
              <w:left w:val="single" w:color="000000" w:sz="4" w:space="0"/>
              <w:bottom w:val="single" w:color="000000" w:sz="4" w:space="0"/>
              <w:right w:val="single" w:color="000000" w:sz="4" w:space="0"/>
            </w:tcBorders>
            <w:vAlign w:val="center"/>
          </w:tcPr>
          <w:p>
            <w:pPr>
              <w:spacing w:after="0"/>
              <w:rPr>
                <w:rFonts w:ascii="宋体" w:hAnsi="宋体" w:eastAsia="宋体" w:cs="宋体"/>
              </w:rPr>
            </w:pPr>
            <w:r>
              <w:rPr>
                <w:rFonts w:hint="eastAsia" w:ascii="宋体" w:hAnsi="宋体" w:eastAsia="宋体" w:cs="宋体"/>
              </w:rPr>
              <w:t>评价结果</w:t>
            </w:r>
          </w:p>
        </w:tc>
        <w:tc>
          <w:tcPr>
            <w:tcW w:w="803" w:type="dxa"/>
            <w:tcBorders>
              <w:top w:val="single" w:color="auto" w:sz="4" w:space="0"/>
              <w:left w:val="single" w:color="000000" w:sz="4" w:space="0"/>
              <w:bottom w:val="single" w:color="auto" w:sz="4" w:space="0"/>
              <w:right w:val="single" w:color="000000" w:sz="4" w:space="0"/>
            </w:tcBorders>
            <w:vAlign w:val="center"/>
          </w:tcPr>
          <w:p>
            <w:pPr>
              <w:spacing w:after="0" w:line="68" w:lineRule="atLeast"/>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68" w:lineRule="atLeast"/>
              <w:rPr>
                <w:rFonts w:ascii="宋体" w:hAnsi="宋体" w:eastAsia="宋体" w:cs="宋体"/>
              </w:rPr>
            </w:pPr>
          </w:p>
        </w:tc>
        <w:tc>
          <w:tcPr>
            <w:tcW w:w="10334" w:type="dxa"/>
            <w:gridSpan w:val="2"/>
            <w:tcBorders>
              <w:top w:val="single" w:color="000000" w:sz="4" w:space="0"/>
              <w:left w:val="single" w:color="auto" w:sz="4" w:space="0"/>
              <w:bottom w:val="single" w:color="000000" w:sz="4" w:space="0"/>
              <w:right w:val="single" w:color="auto" w:sz="4" w:space="0"/>
            </w:tcBorders>
            <w:vAlign w:val="center"/>
          </w:tcPr>
          <w:p>
            <w:pPr>
              <w:spacing w:after="0" w:line="68" w:lineRule="atLeast"/>
              <w:rPr>
                <w:rFonts w:ascii="宋体" w:hAnsi="宋体" w:eastAsia="宋体" w:cs="宋体"/>
              </w:rPr>
            </w:pPr>
            <w:r>
              <w:rPr>
                <w:rFonts w:hint="eastAsia" w:ascii="宋体" w:hAnsi="宋体" w:eastAsia="宋体" w:cs="宋体"/>
              </w:rPr>
              <w:t xml:space="preserve">□优秀  90分≤得分≤100分； </w:t>
            </w:r>
            <w:r>
              <w:rPr>
                <w:rFonts w:hint="eastAsia" w:ascii="宋体" w:hAnsi="宋体" w:eastAsia="宋体" w:cs="宋体"/>
              </w:rPr>
              <w:sym w:font="Wingdings 2" w:char="0052"/>
            </w:r>
            <w:r>
              <w:rPr>
                <w:rFonts w:hint="eastAsia" w:ascii="宋体" w:hAnsi="宋体" w:eastAsia="宋体" w:cs="宋体"/>
              </w:rPr>
              <w:t>良好  80分≤得分≤89分；</w:t>
            </w:r>
          </w:p>
          <w:p>
            <w:pPr>
              <w:spacing w:after="0" w:line="68" w:lineRule="atLeast"/>
              <w:rPr>
                <w:rFonts w:ascii="宋体" w:hAnsi="宋体" w:eastAsia="宋体" w:cs="宋体"/>
              </w:rPr>
            </w:pPr>
            <w:r>
              <w:rPr>
                <w:rFonts w:hint="eastAsia" w:ascii="宋体" w:hAnsi="宋体" w:eastAsia="宋体" w:cs="宋体"/>
              </w:rPr>
              <w:t xml:space="preserve">  □中  60分≤得分≤79分；  □较差  0≤得分≤59分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68" w:lineRule="atLeast"/>
              <w:jc w:val="center"/>
              <w:rPr>
                <w:rFonts w:hint="eastAsia" w:ascii="宋体" w:hAnsi="宋体" w:eastAsia="宋体" w:cs="宋体"/>
                <w:lang w:eastAsia="zh-CN"/>
              </w:rPr>
            </w:pPr>
            <w:r>
              <w:rPr>
                <w:rFonts w:hint="eastAsia" w:ascii="宋体" w:hAnsi="宋体" w:eastAsia="宋体" w:cs="宋体"/>
                <w:lang w:eastAsia="zh-CN"/>
              </w:rPr>
              <w:t>优秀</w:t>
            </w:r>
          </w:p>
        </w:tc>
      </w:tr>
    </w:tbl>
    <w:p>
      <w:pPr>
        <w:spacing w:line="432" w:lineRule="auto"/>
        <w:rPr>
          <w:rFonts w:hint="eastAsia"/>
        </w:rPr>
      </w:pPr>
    </w:p>
    <w:sectPr>
      <w:footerReference r:id="rId5" w:type="default"/>
      <w:pgSz w:w="16838" w:h="11906" w:orient="landscape"/>
      <w:pgMar w:top="1800" w:right="1440" w:bottom="1800" w:left="144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2FBC568-057C-4B59-A595-27C1745D589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68711465-AFFC-4C51-BA46-F0B88BE94B8A}"/>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_GBK">
    <w:panose1 w:val="02000000000000000000"/>
    <w:charset w:val="86"/>
    <w:family w:val="auto"/>
    <w:pitch w:val="default"/>
    <w:sig w:usb0="A00002BF" w:usb1="38CF7CFA" w:usb2="00082016" w:usb3="00000000" w:csb0="00040001" w:csb1="00000000"/>
    <w:embedRegular r:id="rId3" w:fontKey="{A5E26A20-C1F4-4557-A861-3AD9F598BD80}"/>
  </w:font>
  <w:font w:name="方正仿宋简体">
    <w:altName w:val="微软雅黑"/>
    <w:panose1 w:val="02000000000000000000"/>
    <w:charset w:val="86"/>
    <w:family w:val="auto"/>
    <w:pitch w:val="default"/>
    <w:sig w:usb0="00000000" w:usb1="00000000" w:usb2="00000012" w:usb3="00000000" w:csb0="00040001" w:csb1="00000000"/>
    <w:embedRegular r:id="rId4" w:fontKey="{900BCACC-AA82-4697-BE7B-D6CBEBF63ACB}"/>
  </w:font>
  <w:font w:name="仿宋_GB2312">
    <w:panose1 w:val="02010609030101010101"/>
    <w:charset w:val="86"/>
    <w:family w:val="modern"/>
    <w:pitch w:val="default"/>
    <w:sig w:usb0="00000001" w:usb1="080E0000" w:usb2="00000000" w:usb3="00000000" w:csb0="00040000" w:csb1="00000000"/>
    <w:embedRegular r:id="rId5" w:fontKey="{52FF71A7-E1F4-498F-8D7A-E1EC21AA989C}"/>
  </w:font>
  <w:font w:name="楷体">
    <w:panose1 w:val="02010609060101010101"/>
    <w:charset w:val="86"/>
    <w:family w:val="auto"/>
    <w:pitch w:val="default"/>
    <w:sig w:usb0="800002BF" w:usb1="38CF7CFA" w:usb2="00000016" w:usb3="00000000" w:csb0="00040001" w:csb1="00000000"/>
    <w:embedRegular r:id="rId6" w:fontKey="{5CB53FD8-9A65-4AFD-ADA7-69714FB8F0A1}"/>
  </w:font>
  <w:font w:name="仿宋">
    <w:panose1 w:val="02010609060101010101"/>
    <w:charset w:val="86"/>
    <w:family w:val="auto"/>
    <w:pitch w:val="default"/>
    <w:sig w:usb0="800002BF" w:usb1="38CF7CFA" w:usb2="00000016" w:usb3="00000000" w:csb0="00040001" w:csb1="00000000"/>
    <w:embedRegular r:id="rId7" w:fontKey="{73014626-5F38-41AF-BE4A-DB27C076BCF9}"/>
  </w:font>
  <w:font w:name="方正小标宋简体">
    <w:panose1 w:val="03000509000000000000"/>
    <w:charset w:val="86"/>
    <w:family w:val="script"/>
    <w:pitch w:val="default"/>
    <w:sig w:usb0="00000001" w:usb1="080E0000" w:usb2="00000000" w:usb3="00000000" w:csb0="00040000" w:csb1="00000000"/>
    <w:embedRegular r:id="rId8" w:fontKey="{76EDE9B4-57F1-43AF-BB0C-F612A02B1687}"/>
  </w:font>
  <w:font w:name="Wingdings 2">
    <w:panose1 w:val="05020102010507070707"/>
    <w:charset w:val="02"/>
    <w:family w:val="roman"/>
    <w:pitch w:val="default"/>
    <w:sig w:usb0="00000000" w:usb1="00000000" w:usb2="00000000" w:usb3="00000000" w:csb0="80000000" w:csb1="00000000"/>
    <w:embedRegular r:id="rId9" w:fontKey="{5C0934CD-F8C6-4A66-A174-88DF41DB658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2</w:t>
                          </w:r>
                          <w:r>
                            <w:rPr>
                              <w:sz w:val="24"/>
                              <w:szCs w:val="24"/>
                            </w:rPr>
                            <w:fldChar w:fldCharType="end"/>
                          </w:r>
                          <w:r>
                            <w:rPr>
                              <w:sz w:val="24"/>
                              <w:szCs w:val="24"/>
                            </w:rPr>
                            <w:t xml:space="preserve"> —</w:t>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ihY+ckBAACZ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mUOG5x4OefP86/Hs8P38mb&#10;LE8foMasu4B5aXjvh5w6+QGdmfWgos1f5EMwjuKeLuLKIRGRH62Wq1WFIYGx+YI47Ol5iJA+SG9J&#10;NhoacXpFVH78BGlMnVNyNedvtTHo57VxfzkQM3tY7n3sMVtp2A1T4zvfnpBPj4NvqMM9p8R8dKhr&#10;3pHZiLOxm41DiHrflSXK9SC8OyRsovSWK4ywU2GcWGE3bVdeiT/vJevpj9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mKFj5yQEAAJkDAAAOAAAAAAAAAAEAIAAAAB4BAABkcnMvZTJvRG9j&#10;LnhtbFBLBQYAAAAABgAGAFkBAABZBQAAAAA=&#10;">
              <v:fill on="f" focussize="0,0"/>
              <v:stroke on="f"/>
              <v:imagedata o:title=""/>
              <o:lock v:ext="edit" aspectratio="f"/>
              <v:textbox inset="0mm,0mm,0mm,0mm" style="mso-fit-shape-to-text:t;">
                <w:txbxContent>
                  <w:p>
                    <w:pPr>
                      <w:pStyle w:val="8"/>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2</w:t>
                    </w:r>
                    <w:r>
                      <w:rPr>
                        <w:sz w:val="24"/>
                        <w:szCs w:val="24"/>
                      </w:rPr>
                      <w:fldChar w:fldCharType="end"/>
                    </w:r>
                    <w:r>
                      <w:rPr>
                        <w:sz w:val="24"/>
                        <w:szCs w:val="24"/>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8"/>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5E0CBA"/>
    <w:multiLevelType w:val="singleLevel"/>
    <w:tmpl w:val="A55E0CBA"/>
    <w:lvl w:ilvl="0" w:tentative="0">
      <w:start w:val="2"/>
      <w:numFmt w:val="chineseCounting"/>
      <w:suff w:val="nothing"/>
      <w:lvlText w:val="（%1）"/>
      <w:lvlJc w:val="left"/>
      <w:rPr>
        <w:rFonts w:hint="eastAsia"/>
      </w:rPr>
    </w:lvl>
  </w:abstractNum>
  <w:abstractNum w:abstractNumId="1">
    <w:nsid w:val="BAC05289"/>
    <w:multiLevelType w:val="singleLevel"/>
    <w:tmpl w:val="BAC05289"/>
    <w:lvl w:ilvl="0" w:tentative="0">
      <w:start w:val="2"/>
      <w:numFmt w:val="chineseCounting"/>
      <w:suff w:val="nothing"/>
      <w:lvlText w:val="（%1）"/>
      <w:lvlJc w:val="left"/>
      <w:rPr>
        <w:rFonts w:hint="eastAsia"/>
      </w:rPr>
    </w:lvl>
  </w:abstractNum>
  <w:abstractNum w:abstractNumId="2">
    <w:nsid w:val="1ABB7A00"/>
    <w:multiLevelType w:val="singleLevel"/>
    <w:tmpl w:val="1ABB7A00"/>
    <w:lvl w:ilvl="0" w:tentative="0">
      <w:start w:val="4"/>
      <w:numFmt w:val="chineseCounting"/>
      <w:suff w:val="nothing"/>
      <w:lvlText w:val="%1、"/>
      <w:lvlJc w:val="left"/>
      <w:rPr>
        <w:rFonts w:hint="eastAsia"/>
      </w:rPr>
    </w:lvl>
  </w:abstractNum>
  <w:abstractNum w:abstractNumId="3">
    <w:nsid w:val="3404313F"/>
    <w:multiLevelType w:val="singleLevel"/>
    <w:tmpl w:val="3404313F"/>
    <w:lvl w:ilvl="0" w:tentative="0">
      <w:start w:val="1"/>
      <w:numFmt w:val="decimal"/>
      <w:suff w:val="nothing"/>
      <w:lvlText w:val="%1、"/>
      <w:lvlJc w:val="left"/>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NkNTMyN2M3YzE0ZjFiMmYyM2E3YTk1OThhMzU0MTAifQ=="/>
  </w:docVars>
  <w:rsids>
    <w:rsidRoot w:val="00D31D50"/>
    <w:rsid w:val="000B540C"/>
    <w:rsid w:val="00135CB9"/>
    <w:rsid w:val="001F1A2E"/>
    <w:rsid w:val="00323B43"/>
    <w:rsid w:val="0036742F"/>
    <w:rsid w:val="0038315F"/>
    <w:rsid w:val="003D37D8"/>
    <w:rsid w:val="00415CE5"/>
    <w:rsid w:val="00426133"/>
    <w:rsid w:val="004358AB"/>
    <w:rsid w:val="004C6566"/>
    <w:rsid w:val="00542C4C"/>
    <w:rsid w:val="006B50E7"/>
    <w:rsid w:val="00782012"/>
    <w:rsid w:val="00807C6D"/>
    <w:rsid w:val="008B7726"/>
    <w:rsid w:val="00A90A9C"/>
    <w:rsid w:val="00AA2BB6"/>
    <w:rsid w:val="00AF7382"/>
    <w:rsid w:val="00C04908"/>
    <w:rsid w:val="00CF5F8D"/>
    <w:rsid w:val="00D31D50"/>
    <w:rsid w:val="00EA7D7A"/>
    <w:rsid w:val="00EB4495"/>
    <w:rsid w:val="00FA17E4"/>
    <w:rsid w:val="010D6B75"/>
    <w:rsid w:val="01972837"/>
    <w:rsid w:val="01E46D89"/>
    <w:rsid w:val="033A1D2B"/>
    <w:rsid w:val="03550139"/>
    <w:rsid w:val="09E813E1"/>
    <w:rsid w:val="10BB784F"/>
    <w:rsid w:val="10D82BA7"/>
    <w:rsid w:val="12855F2D"/>
    <w:rsid w:val="12B74046"/>
    <w:rsid w:val="158D1BF3"/>
    <w:rsid w:val="169F7602"/>
    <w:rsid w:val="1C4F7811"/>
    <w:rsid w:val="1DA67191"/>
    <w:rsid w:val="1E926D9A"/>
    <w:rsid w:val="1EE10A22"/>
    <w:rsid w:val="1FA85DBF"/>
    <w:rsid w:val="1FF57DF9"/>
    <w:rsid w:val="24AF2DCF"/>
    <w:rsid w:val="26101D56"/>
    <w:rsid w:val="26B80661"/>
    <w:rsid w:val="27AF54E0"/>
    <w:rsid w:val="283F0101"/>
    <w:rsid w:val="29932CBF"/>
    <w:rsid w:val="2C7B7E9A"/>
    <w:rsid w:val="2F1A6C8E"/>
    <w:rsid w:val="2FB93755"/>
    <w:rsid w:val="310B7A55"/>
    <w:rsid w:val="32332E03"/>
    <w:rsid w:val="350C5A51"/>
    <w:rsid w:val="352E3900"/>
    <w:rsid w:val="38CD161E"/>
    <w:rsid w:val="3A9F783C"/>
    <w:rsid w:val="3EBA375A"/>
    <w:rsid w:val="3F2533F6"/>
    <w:rsid w:val="3FFC25C9"/>
    <w:rsid w:val="406867FC"/>
    <w:rsid w:val="40FE4130"/>
    <w:rsid w:val="417D7802"/>
    <w:rsid w:val="42BB7663"/>
    <w:rsid w:val="43B802BF"/>
    <w:rsid w:val="45A57BAB"/>
    <w:rsid w:val="472D42FC"/>
    <w:rsid w:val="482E79F6"/>
    <w:rsid w:val="48D923E5"/>
    <w:rsid w:val="4A4D7699"/>
    <w:rsid w:val="4C847914"/>
    <w:rsid w:val="4CE01FA6"/>
    <w:rsid w:val="4DF06083"/>
    <w:rsid w:val="4E6B1A2A"/>
    <w:rsid w:val="4E834801"/>
    <w:rsid w:val="526B70BF"/>
    <w:rsid w:val="54CA72E7"/>
    <w:rsid w:val="58AE663A"/>
    <w:rsid w:val="5AFD3965"/>
    <w:rsid w:val="5ED74E21"/>
    <w:rsid w:val="5F153A8D"/>
    <w:rsid w:val="69F50851"/>
    <w:rsid w:val="6BA204F9"/>
    <w:rsid w:val="6BEC7865"/>
    <w:rsid w:val="6D1920F6"/>
    <w:rsid w:val="6D2A0A99"/>
    <w:rsid w:val="70AC6CA6"/>
    <w:rsid w:val="73D17C39"/>
    <w:rsid w:val="73E019C6"/>
    <w:rsid w:val="768B79D3"/>
    <w:rsid w:val="768F0540"/>
    <w:rsid w:val="79A429DF"/>
    <w:rsid w:val="7A252900"/>
    <w:rsid w:val="7B6273C9"/>
    <w:rsid w:val="7C8C7339"/>
    <w:rsid w:val="7DB810CB"/>
    <w:rsid w:val="7ECE3F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99"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autoRedefine/>
    <w:qFormat/>
    <w:uiPriority w:val="9"/>
    <w:pPr>
      <w:keepNext/>
      <w:keepLines/>
      <w:spacing w:beforeLines="0" w:beforeAutospacing="0" w:afterLines="0" w:afterAutospacing="0" w:line="700" w:lineRule="exact"/>
      <w:ind w:firstLine="0" w:firstLineChars="0"/>
      <w:jc w:val="center"/>
      <w:outlineLvl w:val="0"/>
    </w:pPr>
    <w:rPr>
      <w:rFonts w:ascii="Calibri" w:hAnsi="Calibri" w:eastAsia="方正小标宋_GBK" w:cs="Times New Roman"/>
      <w:kern w:val="44"/>
      <w:sz w:val="44"/>
      <w:szCs w:val="21"/>
    </w:rPr>
  </w:style>
  <w:style w:type="paragraph" w:styleId="3">
    <w:name w:val="heading 3"/>
    <w:basedOn w:val="1"/>
    <w:next w:val="1"/>
    <w:autoRedefine/>
    <w:unhideWhenUsed/>
    <w:qFormat/>
    <w:uiPriority w:val="9"/>
    <w:pPr>
      <w:spacing w:before="50" w:beforeLines="50" w:beforeAutospacing="0" w:after="50" w:afterLines="50" w:afterAutospacing="0" w:line="600" w:lineRule="exact"/>
      <w:ind w:firstLine="863" w:firstLineChars="200"/>
      <w:jc w:val="left"/>
      <w:outlineLvl w:val="2"/>
    </w:pPr>
    <w:rPr>
      <w:rFonts w:hint="eastAsia" w:ascii="宋体" w:hAnsi="宋体" w:eastAsia="黑体" w:cs="宋体"/>
      <w:bCs/>
      <w:snapToGrid w:val="0"/>
      <w:color w:val="000000"/>
      <w:kern w:val="2"/>
      <w:sz w:val="32"/>
      <w:szCs w:val="27"/>
      <w:lang w:bidi="ar"/>
    </w:rPr>
  </w:style>
  <w:style w:type="character" w:default="1" w:styleId="13">
    <w:name w:val="Default Paragraph Font"/>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index 5"/>
    <w:basedOn w:val="1"/>
    <w:next w:val="1"/>
    <w:qFormat/>
    <w:uiPriority w:val="99"/>
    <w:pPr>
      <w:autoSpaceDE w:val="0"/>
      <w:spacing w:line="600" w:lineRule="exact"/>
      <w:ind w:firstLine="640" w:firstLineChars="200"/>
      <w:jc w:val="left"/>
    </w:pPr>
    <w:rPr>
      <w:rFonts w:ascii="方正仿宋简体" w:hAnsi="方正仿宋简体" w:eastAsia="方正仿宋简体" w:cs="仿宋_GB2312"/>
      <w:bCs/>
      <w:sz w:val="32"/>
      <w:szCs w:val="32"/>
    </w:rPr>
  </w:style>
  <w:style w:type="paragraph" w:styleId="5">
    <w:name w:val="Body Text"/>
    <w:basedOn w:val="1"/>
    <w:next w:val="1"/>
    <w:qFormat/>
    <w:uiPriority w:val="0"/>
    <w:pPr>
      <w:spacing w:after="120"/>
    </w:pPr>
  </w:style>
  <w:style w:type="paragraph" w:styleId="6">
    <w:name w:val="Body Text Indent"/>
    <w:basedOn w:val="1"/>
    <w:unhideWhenUsed/>
    <w:qFormat/>
    <w:uiPriority w:val="0"/>
    <w:pPr>
      <w:spacing w:before="0" w:beforeAutospacing="0" w:after="120" w:afterAutospacing="0" w:line="240" w:lineRule="auto"/>
      <w:ind w:left="420" w:leftChars="200" w:firstLine="0" w:firstLineChars="0"/>
    </w:pPr>
    <w:rPr>
      <w:sz w:val="21"/>
    </w:rPr>
  </w:style>
  <w:style w:type="paragraph" w:styleId="7">
    <w:name w:val="Body Text Indent 2"/>
    <w:basedOn w:val="1"/>
    <w:qFormat/>
    <w:uiPriority w:val="0"/>
    <w:pPr>
      <w:spacing w:after="120" w:line="480" w:lineRule="auto"/>
      <w:ind w:left="420" w:leftChars="200"/>
    </w:pPr>
  </w:style>
  <w:style w:type="paragraph" w:styleId="8">
    <w:name w:val="footer"/>
    <w:basedOn w:val="1"/>
    <w:link w:val="17"/>
    <w:semiHidden/>
    <w:unhideWhenUsed/>
    <w:qFormat/>
    <w:uiPriority w:val="99"/>
    <w:pPr>
      <w:tabs>
        <w:tab w:val="center" w:pos="4153"/>
        <w:tab w:val="right" w:pos="8306"/>
      </w:tabs>
    </w:pPr>
    <w:rPr>
      <w:sz w:val="18"/>
      <w:szCs w:val="18"/>
    </w:rPr>
  </w:style>
  <w:style w:type="paragraph" w:styleId="9">
    <w:name w:val="header"/>
    <w:basedOn w:val="1"/>
    <w:link w:val="16"/>
    <w:semiHidden/>
    <w:unhideWhenUsed/>
    <w:qFormat/>
    <w:uiPriority w:val="99"/>
    <w:pPr>
      <w:pBdr>
        <w:bottom w:val="single" w:color="auto" w:sz="6" w:space="1"/>
      </w:pBdr>
      <w:tabs>
        <w:tab w:val="center" w:pos="4153"/>
        <w:tab w:val="right" w:pos="8306"/>
      </w:tabs>
      <w:jc w:val="center"/>
    </w:pPr>
    <w:rPr>
      <w:sz w:val="18"/>
      <w:szCs w:val="18"/>
    </w:rPr>
  </w:style>
  <w:style w:type="paragraph" w:styleId="10">
    <w:name w:val="Normal (Web)"/>
    <w:basedOn w:val="1"/>
    <w:semiHidden/>
    <w:unhideWhenUsed/>
    <w:qFormat/>
    <w:uiPriority w:val="99"/>
    <w:pPr>
      <w:adjustRightInd/>
      <w:snapToGrid/>
      <w:spacing w:before="100" w:beforeAutospacing="1" w:after="100" w:afterAutospacing="1"/>
    </w:pPr>
    <w:rPr>
      <w:rFonts w:ascii="宋体" w:hAnsi="宋体" w:eastAsia="宋体" w:cs="宋体"/>
      <w:sz w:val="24"/>
      <w:szCs w:val="24"/>
    </w:rPr>
  </w:style>
  <w:style w:type="paragraph" w:styleId="11">
    <w:name w:val="Body Text First Indent 2"/>
    <w:basedOn w:val="6"/>
    <w:qFormat/>
    <w:uiPriority w:val="0"/>
    <w:pPr>
      <w:autoSpaceDE w:val="0"/>
      <w:autoSpaceDN w:val="0"/>
      <w:adjustRightInd w:val="0"/>
      <w:spacing w:after="0"/>
      <w:ind w:firstLine="420"/>
      <w:jc w:val="left"/>
    </w:pPr>
    <w:rPr>
      <w:rFonts w:ascii="Calibri" w:hAnsi="Calibri"/>
    </w:rPr>
  </w:style>
  <w:style w:type="character" w:styleId="14">
    <w:name w:val="page number"/>
    <w:basedOn w:val="13"/>
    <w:qFormat/>
    <w:uiPriority w:val="0"/>
  </w:style>
  <w:style w:type="character" w:styleId="15">
    <w:name w:val="Hyperlink"/>
    <w:basedOn w:val="13"/>
    <w:semiHidden/>
    <w:unhideWhenUsed/>
    <w:qFormat/>
    <w:uiPriority w:val="99"/>
    <w:rPr>
      <w:color w:val="333333"/>
      <w:u w:val="none"/>
    </w:rPr>
  </w:style>
  <w:style w:type="character" w:customStyle="1" w:styleId="16">
    <w:name w:val="页眉 Char"/>
    <w:basedOn w:val="13"/>
    <w:link w:val="9"/>
    <w:semiHidden/>
    <w:qFormat/>
    <w:uiPriority w:val="99"/>
    <w:rPr>
      <w:rFonts w:ascii="Tahoma" w:hAnsi="Tahoma"/>
      <w:sz w:val="18"/>
      <w:szCs w:val="18"/>
    </w:rPr>
  </w:style>
  <w:style w:type="character" w:customStyle="1" w:styleId="17">
    <w:name w:val="页脚 Char"/>
    <w:basedOn w:val="13"/>
    <w:link w:val="8"/>
    <w:semiHidden/>
    <w:qFormat/>
    <w:uiPriority w:val="99"/>
    <w:rPr>
      <w:rFonts w:ascii="Tahoma" w:hAnsi="Tahoma"/>
      <w:sz w:val="18"/>
      <w:szCs w:val="18"/>
    </w:rPr>
  </w:style>
  <w:style w:type="character" w:customStyle="1" w:styleId="18">
    <w:name w:val="NormalCharacter"/>
    <w:qFormat/>
    <w:uiPriority w:val="0"/>
  </w:style>
  <w:style w:type="character" w:customStyle="1" w:styleId="19">
    <w:name w:val="15"/>
    <w:basedOn w:val="13"/>
    <w:qFormat/>
    <w:uiPriority w:val="0"/>
    <w:rPr>
      <w:rFonts w:hint="default" w:ascii="Times New Roman" w:hAnsi="Times New Roman" w:eastAsia="宋体" w:cs="宋体"/>
    </w:rPr>
  </w:style>
  <w:style w:type="paragraph" w:styleId="2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11863</Words>
  <Characters>12622</Characters>
  <Lines>66</Lines>
  <Paragraphs>18</Paragraphs>
  <TotalTime>18</TotalTime>
  <ScaleCrop>false</ScaleCrop>
  <LinksUpToDate>false</LinksUpToDate>
  <CharactersWithSpaces>12652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文山</cp:lastModifiedBy>
  <cp:lastPrinted>2024-07-30T09:19:00Z</cp:lastPrinted>
  <dcterms:modified xsi:type="dcterms:W3CDTF">2024-08-16T00:22:36Z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7080D7ECA65A4F1A9EEACB6D12C2DBA7_13</vt:lpwstr>
  </property>
</Properties>
</file>