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5" w:hRule="atLeast"/>
        </w:trPr>
        <w:tc>
          <w:tcPr>
            <w:tcW w:w="8522" w:type="dxa"/>
          </w:tcPr>
          <w:p>
            <w:pPr>
              <w:pStyle w:val="3"/>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b/>
                <w:bCs/>
                <w:color w:val="FF000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2" w:hRule="atLeast"/>
        </w:trPr>
        <w:tc>
          <w:tcPr>
            <w:tcW w:w="8522" w:type="dxa"/>
          </w:tcPr>
          <w:p>
            <w:pPr>
              <w:pStyle w:val="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2020年度</w:t>
            </w:r>
          </w:p>
          <w:p>
            <w:pPr>
              <w:pStyle w:val="9"/>
              <w:jc w:val="center"/>
              <w:rPr>
                <w:rFonts w:hint="default" w:ascii="宋体" w:hAnsi="宋体" w:eastAsia="宋体" w:cs="宋体"/>
                <w:b/>
                <w:bCs/>
                <w:sz w:val="52"/>
                <w:szCs w:val="52"/>
                <w:lang w:val="en-US" w:eastAsia="zh-CN"/>
              </w:rPr>
            </w:pPr>
            <w:r>
              <w:rPr>
                <w:rFonts w:hint="default" w:ascii="宋体" w:hAnsi="宋体" w:eastAsia="宋体" w:cs="宋体"/>
                <w:b/>
                <w:bCs/>
                <w:sz w:val="52"/>
                <w:szCs w:val="52"/>
                <w:lang w:val="en-US" w:eastAsia="zh-CN"/>
              </w:rPr>
              <w:t>中方县公路建设养护中心</w:t>
            </w:r>
            <w:r>
              <w:rPr>
                <w:rFonts w:ascii="宋体" w:hAnsi="宋体" w:eastAsia="宋体" w:cs="宋体"/>
                <w:b/>
                <w:sz w:val="52"/>
              </w:rPr>
              <w:t>单位</w:t>
            </w:r>
            <w:r>
              <w:rPr>
                <w:rFonts w:hint="eastAsia" w:ascii="宋体" w:hAnsi="宋体" w:eastAsia="宋体" w:cs="宋体"/>
                <w:b/>
                <w:bCs/>
                <w:sz w:val="52"/>
                <w:szCs w:val="52"/>
                <w:lang w:val="en-US" w:eastAsia="zh-CN"/>
              </w:rPr>
              <w:t>决算</w:t>
            </w:r>
          </w:p>
          <w:p>
            <w:pPr>
              <w:pStyle w:val="9"/>
              <w:jc w:val="center"/>
              <w:rPr>
                <w:rFonts w:hint="default" w:ascii="宋体" w:hAnsi="宋体" w:eastAsia="宋体" w:cs="宋体"/>
                <w:b/>
                <w:bCs/>
                <w:sz w:val="52"/>
                <w:szCs w:val="5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2" w:hRule="atLeast"/>
        </w:trPr>
        <w:tc>
          <w:tcPr>
            <w:tcW w:w="8522" w:type="dxa"/>
          </w:tcPr>
          <w:p>
            <w:pPr>
              <w:pStyle w:val="9"/>
              <w:jc w:val="both"/>
              <w:rPr>
                <w:rFonts w:hint="eastAsia"/>
                <w:sz w:val="44"/>
                <w:szCs w:val="44"/>
                <w:vertAlign w:val="baseline"/>
                <w:lang w:val="en-US" w:eastAsia="zh-CN"/>
              </w:rPr>
            </w:pPr>
          </w:p>
        </w:tc>
      </w:tr>
    </w:tbl>
    <w:p>
      <w:pPr>
        <w:pStyle w:val="9"/>
        <w:rPr>
          <w:rFonts w:hint="eastAsia"/>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pStyle w:val="9"/>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目录</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第一部分</w:t>
      </w:r>
      <w:r>
        <w:rPr>
          <w:rFonts w:ascii="仿宋" w:hAnsi="仿宋" w:eastAsia="仿宋" w:cs="仿宋"/>
          <w:b/>
          <w:sz w:val="28"/>
        </w:rPr>
        <w:t>中方县公路建设养护中心单位概况</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w:t>
      </w:r>
      <w:r>
        <w:rPr>
          <w:rFonts w:ascii="仿宋" w:hAnsi="仿宋" w:eastAsia="仿宋" w:cs="仿宋"/>
          <w:sz w:val="28"/>
        </w:rPr>
        <w:t>单位职责</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二、机构设置</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第二部分2020年度部门决算表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二、收入决算表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四、财政拨款收入支出决算总表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五、一般公共预算财政拨款支出决算表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六、一般公共预算财政拨款基本支出决算表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第三部分2020年度部门决算情况说明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一、收入支出决算总体情况说明</w:t>
      </w:r>
    </w:p>
    <w:p>
      <w:pPr>
        <w:keepNext w:val="0"/>
        <w:keepLines w:val="0"/>
        <w:pageBreakBefore w:val="0"/>
        <w:widowControl w:val="0"/>
        <w:kinsoku/>
        <w:wordWrap/>
        <w:overflowPunct/>
        <w:topLinePunct w:val="0"/>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二、收入决算情况说明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十二、关于国有资产占用情况说明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十三、关于2020年度预算绩效情况的说明</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第四部分名词解释</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ascii="仿宋" w:hAnsi="仿宋" w:eastAsia="仿宋" w:cs="仿宋"/>
          <w:b/>
          <w:color w:val="000000"/>
          <w:sz w:val="28"/>
        </w:rPr>
        <w:t>第</w:t>
      </w:r>
      <w:r>
        <w:rPr>
          <w:rFonts w:hint="eastAsia" w:ascii="仿宋" w:hAnsi="仿宋" w:eastAsia="仿宋" w:cs="仿宋"/>
          <w:b/>
          <w:color w:val="000000"/>
          <w:kern w:val="0"/>
          <w:sz w:val="28"/>
          <w:szCs w:val="28"/>
          <w:lang w:val="en-US" w:eastAsia="zh-CN"/>
        </w:rPr>
        <w:t>五</w:t>
      </w:r>
      <w:r>
        <w:rPr>
          <w:rFonts w:hint="eastAsia" w:ascii="仿宋" w:hAnsi="仿宋" w:eastAsia="仿宋" w:cs="仿宋"/>
          <w:b/>
          <w:color w:val="000000"/>
          <w:kern w:val="0"/>
          <w:sz w:val="28"/>
          <w:szCs w:val="28"/>
        </w:rPr>
        <w:t>部分</w:t>
      </w:r>
      <w:r>
        <w:rPr>
          <w:rFonts w:hint="eastAsia" w:ascii="仿宋" w:hAnsi="仿宋" w:eastAsia="仿宋" w:cs="仿宋"/>
          <w:b/>
          <w:color w:val="000000"/>
          <w:kern w:val="0"/>
          <w:sz w:val="28"/>
          <w:szCs w:val="28"/>
          <w:lang w:val="en-US" w:eastAsia="zh-CN"/>
        </w:rPr>
        <w:t>附件</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第一部分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中方县公路建设养护中心</w:t>
      </w:r>
    </w:p>
    <w:p>
      <w:pPr>
        <w:pStyle w:val="9"/>
        <w:jc w:val="center"/>
        <w:rPr>
          <w:rFonts w:hint="eastAsia" w:ascii="仿宋" w:hAnsi="仿宋" w:eastAsia="仿宋" w:cs="仿宋"/>
          <w:b/>
          <w:bCs/>
          <w:sz w:val="48"/>
          <w:szCs w:val="48"/>
        </w:rPr>
      </w:pPr>
      <w:r>
        <w:rPr>
          <w:rFonts w:hint="eastAsia" w:ascii="仿宋" w:hAnsi="仿宋" w:eastAsia="仿宋" w:cs="仿宋"/>
          <w:b/>
          <w:bCs/>
          <w:sz w:val="52"/>
          <w:szCs w:val="52"/>
        </w:rPr>
        <w:t>单位</w:t>
      </w:r>
      <w:r>
        <w:rPr>
          <w:rFonts w:ascii="仿宋" w:hAnsi="仿宋" w:eastAsia="仿宋" w:cs="仿宋"/>
          <w:b/>
          <w:sz w:val="52"/>
        </w:rPr>
        <w:t>概况</w:t>
      </w:r>
    </w:p>
    <w:p>
      <w:pPr>
        <w:rPr>
          <w:rFonts w:ascii="黑体" w:hAnsi="黑体" w:eastAsia="黑体"/>
          <w:sz w:val="32"/>
          <w:szCs w:val="32"/>
        </w:rPr>
      </w:pPr>
      <w:r>
        <w:rPr>
          <w:rFonts w:ascii="黑体" w:hAnsi="黑体" w:eastAsia="黑体"/>
          <w:sz w:val="32"/>
          <w:szCs w:val="32"/>
        </w:rPr>
        <w:br w:type="page"/>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default" w:ascii="仿宋" w:hAnsi="仿宋" w:eastAsia="仿宋" w:cs="仿宋"/>
          <w:b/>
          <w:bCs/>
          <w:color w:val="auto"/>
          <w:kern w:val="0"/>
          <w:lang w:val="en-US" w:eastAsia="zh-CN" w:bidi="zh-CN"/>
        </w:rPr>
      </w:pPr>
      <w:r>
        <w:rPr>
          <w:rFonts w:hint="eastAsia" w:ascii="仿宋" w:hAnsi="仿宋" w:eastAsia="仿宋" w:cs="仿宋"/>
          <w:b/>
          <w:bCs/>
          <w:color w:val="auto"/>
          <w:kern w:val="0"/>
          <w:lang w:val="en-US" w:eastAsia="zh-CN" w:bidi="zh-CN"/>
        </w:rPr>
        <w:t>一</w:t>
      </w:r>
      <w:r>
        <w:rPr>
          <w:rFonts w:hint="eastAsia" w:ascii="仿宋" w:hAnsi="仿宋" w:eastAsia="仿宋" w:cs="仿宋"/>
          <w:b/>
          <w:bCs/>
          <w:color w:val="auto"/>
          <w:kern w:val="0"/>
          <w:lang w:val="zh-CN" w:bidi="zh-CN"/>
        </w:rPr>
        <w:t>、</w:t>
      </w:r>
      <w:r>
        <w:rPr>
          <w:rFonts w:hint="eastAsia" w:ascii="仿宋" w:hAnsi="仿宋" w:eastAsia="仿宋" w:cs="仿宋"/>
          <w:b/>
          <w:bCs/>
          <w:color w:val="auto"/>
          <w:kern w:val="0"/>
          <w:lang w:val="en-US" w:eastAsia="zh-CN" w:bidi="zh-CN"/>
        </w:rPr>
        <w:t>部门职责</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中方县公路建设养护中心是主管全县公路管理的职能部门，主要职责如下：</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⑴负责贯彻落实国家有关国、省道以及农村公路管理养护的政策法规；</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⑵具体承担辖区国、省道以及农材公路管理养护工作，拟定日常养护和养护工程计划；组织辖区内的危桥改造、公路改建等。</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⑶具体组织实施辖区公路路政管理以及超限超载治理工作；</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⑷负责辖区内公路建设、养护、管理的指导协调，监督管理和目标考核。</w:t>
      </w:r>
    </w:p>
    <w:p>
      <w:pPr>
        <w:jc w:val="left"/>
        <w:rPr>
          <w:rFonts w:hint="eastAsia" w:ascii="仿宋" w:hAnsi="仿宋" w:eastAsia="仿宋" w:cs="仿宋"/>
          <w:sz w:val="28"/>
          <w:szCs w:val="32"/>
        </w:rPr>
      </w:pP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b/>
          <w:bCs/>
          <w:color w:val="auto"/>
          <w:kern w:val="0"/>
          <w:lang w:val="zh-CN" w:bidi="zh-CN"/>
        </w:rPr>
      </w:pPr>
      <w:r>
        <w:rPr>
          <w:rFonts w:hint="eastAsia" w:ascii="仿宋" w:hAnsi="仿宋" w:eastAsia="仿宋" w:cs="仿宋"/>
          <w:b/>
          <w:bCs/>
          <w:color w:val="auto"/>
          <w:kern w:val="0"/>
          <w:lang w:val="zh-CN" w:bidi="zh-CN"/>
        </w:rPr>
        <w:t>二、机构设置及决算单位构成</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（一）内设机构设置。</w:t>
      </w:r>
      <w:r>
        <w:rPr>
          <w:rFonts w:ascii="仿宋" w:hAnsi="仿宋" w:eastAsia="仿宋" w:cs="仿宋"/>
          <w:color w:val="auto"/>
        </w:rPr>
        <w:t>中方县公路建设养护中心内设机构包括：1、中方县公路建设养护中心为正科级全额拨款事业单位。内设办公室、人事股、财务股、养护股、工程技术股、安全股等7个股室。2、中方县公路建设养护中心2020年部门决算汇总公开单位构成包括：(1)公路建设养护中心本级及路政执法大队、超限站、养护站3个二级机构。(2)人员情况 ：核定编制194人，其中：事业编制175人，编制外合同工2人。实有在职人员164人，离退休人员139人，包括当年变动情况及原因。</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（二）决算单位构成。</w:t>
      </w:r>
      <w:r>
        <w:rPr>
          <w:rFonts w:ascii="仿宋" w:hAnsi="仿宋" w:eastAsia="仿宋" w:cs="仿宋"/>
          <w:color w:val="auto"/>
        </w:rPr>
        <w:t>中方县公路建设养护中心2020年部门决算汇总公开单位构成包括：中方县公路建设养护中心本级。</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481" w:rightChars="229" w:firstLine="640" w:firstLineChars="200"/>
        <w:jc w:val="both"/>
        <w:textAlignment w:val="auto"/>
        <w:rPr>
          <w:rFonts w:hint="eastAsia" w:ascii="仿宋" w:hAnsi="仿宋" w:eastAsia="仿宋" w:cs="仿宋"/>
        </w:rPr>
      </w:pPr>
    </w:p>
    <w:p>
      <w:pPr>
        <w:widowControl/>
        <w:spacing w:line="600" w:lineRule="exact"/>
        <w:ind w:left="0" w:leftChars="0" w:firstLine="838" w:firstLineChars="262"/>
        <w:rPr>
          <w:rFonts w:hint="eastAsia" w:ascii="仿宋" w:hAnsi="仿宋" w:eastAsia="仿宋" w:cs="仿宋"/>
          <w:bCs/>
          <w:kern w:val="0"/>
          <w:sz w:val="32"/>
          <w:szCs w:val="32"/>
        </w:rPr>
        <w:sectPr>
          <w:pgSz w:w="11906" w:h="16838"/>
          <w:pgMar w:top="720" w:right="720" w:bottom="720" w:left="720" w:header="851" w:footer="992" w:gutter="0"/>
          <w:pgNumType w:fmt="numberInDash"/>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ascii="仿宋" w:hAnsi="仿宋" w:eastAsia="仿宋" w:cs="仿宋"/>
          <w:b/>
          <w:bCs/>
          <w:sz w:val="52"/>
          <w:szCs w:val="52"/>
        </w:rPr>
      </w:pPr>
      <w:r>
        <w:rPr>
          <w:rFonts w:hint="eastAsia" w:ascii="仿宋" w:hAnsi="仿宋" w:eastAsia="仿宋" w:cs="仿宋"/>
          <w:b/>
          <w:bCs/>
          <w:sz w:val="52"/>
          <w:szCs w:val="52"/>
        </w:rPr>
        <w:t>第二部分</w:t>
      </w:r>
    </w:p>
    <w:p>
      <w:pPr>
        <w:jc w:val="center"/>
        <w:rPr>
          <w:rFonts w:hint="eastAsia" w:ascii="仿宋" w:hAnsi="仿宋" w:eastAsia="仿宋" w:cs="仿宋"/>
          <w:b/>
          <w:bCs/>
          <w:sz w:val="52"/>
          <w:szCs w:val="52"/>
        </w:rPr>
      </w:pPr>
    </w:p>
    <w:p>
      <w:pPr>
        <w:jc w:val="center"/>
        <w:rPr>
          <w:sz w:val="72"/>
          <w:szCs w:val="72"/>
        </w:rPr>
      </w:pPr>
      <w:r>
        <w:rPr>
          <w:rFonts w:hint="eastAsia" w:ascii="仿宋" w:hAnsi="仿宋" w:eastAsia="仿宋" w:cs="仿宋"/>
          <w:b/>
          <w:bCs/>
          <w:sz w:val="52"/>
          <w:szCs w:val="52"/>
        </w:rPr>
        <w:t>单位</w:t>
      </w:r>
      <w:r>
        <w:rPr>
          <w:rFonts w:ascii="仿宋" w:hAnsi="仿宋" w:eastAsia="仿宋" w:cs="仿宋"/>
          <w:b/>
          <w:sz w:val="52"/>
        </w:rPr>
        <w:t>决算表</w:t>
      </w:r>
    </w:p>
    <w:p>
      <w:pPr>
        <w:jc w:val="center"/>
        <w:rPr>
          <w:sz w:val="72"/>
          <w:szCs w:val="72"/>
        </w:rPr>
        <w:sectPr>
          <w:pgSz w:w="11906" w:h="16838"/>
          <w:pgMar w:top="1440" w:right="1800" w:bottom="1440" w:left="1800" w:header="851" w:footer="992" w:gutter="0"/>
          <w:pgNumType w:fmt="numberInDash"/>
          <w:cols w:space="425" w:num="1"/>
          <w:docGrid w:type="lines" w:linePitch="312" w:charSpace="0"/>
        </w:sectPr>
      </w:pPr>
    </w:p>
    <w:tbl>
      <w:tblPr>
        <w:tblStyle w:val="6"/>
        <w:tblW w:w="13995" w:type="dxa"/>
        <w:tblInd w:w="91" w:type="dxa"/>
        <w:tblLayout w:type="fixed"/>
        <w:tblCellMar>
          <w:top w:w="0" w:type="dxa"/>
          <w:left w:w="108" w:type="dxa"/>
          <w:bottom w:w="0" w:type="dxa"/>
          <w:right w:w="108" w:type="dxa"/>
        </w:tblCellMar>
      </w:tblPr>
      <w:tblGrid>
        <w:gridCol w:w="4535"/>
        <w:gridCol w:w="800"/>
        <w:gridCol w:w="1980"/>
        <w:gridCol w:w="3960"/>
        <w:gridCol w:w="800"/>
        <w:gridCol w:w="1920"/>
      </w:tblGrid>
      <w:tr>
        <w:tblPrEx>
          <w:tblCellMar>
            <w:top w:w="0" w:type="dxa"/>
            <w:left w:w="108" w:type="dxa"/>
            <w:bottom w:w="0" w:type="dxa"/>
            <w:right w:w="108" w:type="dxa"/>
          </w:tblCellMar>
        </w:tblPrEx>
        <w:trPr>
          <w:cantSplit/>
          <w:trHeight w:val="360" w:hRule="atLeast"/>
        </w:trPr>
        <w:tc>
          <w:tcPr>
            <w:tcW w:w="13995" w:type="dxa"/>
            <w:gridSpan w:val="6"/>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收入支出决算总表</w:t>
            </w:r>
          </w:p>
        </w:tc>
      </w:tr>
      <w:tr>
        <w:tblPrEx>
          <w:tblCellMar>
            <w:top w:w="0" w:type="dxa"/>
            <w:left w:w="108" w:type="dxa"/>
            <w:bottom w:w="0" w:type="dxa"/>
            <w:right w:w="108" w:type="dxa"/>
          </w:tblCellMar>
        </w:tblPrEx>
        <w:trPr>
          <w:cantSplit/>
          <w:trHeight w:val="90" w:hRule="atLeast"/>
        </w:trPr>
        <w:tc>
          <w:tcPr>
            <w:tcW w:w="13995" w:type="dxa"/>
            <w:gridSpan w:val="6"/>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公开01表</w:t>
            </w:r>
          </w:p>
        </w:tc>
      </w:tr>
      <w:tr>
        <w:tblPrEx>
          <w:tblCellMar>
            <w:top w:w="0" w:type="dxa"/>
            <w:left w:w="108" w:type="dxa"/>
            <w:bottom w:w="0" w:type="dxa"/>
            <w:right w:w="108" w:type="dxa"/>
          </w:tblCellMar>
        </w:tblPrEx>
        <w:trPr>
          <w:cantSplit/>
          <w:trHeight w:val="90" w:hRule="atLeast"/>
        </w:trPr>
        <w:tc>
          <w:tcPr>
            <w:tcW w:w="533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中方县公路建设养护中心</w:t>
            </w:r>
          </w:p>
        </w:tc>
        <w:tc>
          <w:tcPr>
            <w:tcW w:w="8660" w:type="dxa"/>
            <w:gridSpan w:val="4"/>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cantSplit/>
          <w:trHeight w:val="90" w:hRule="atLeast"/>
        </w:trPr>
        <w:tc>
          <w:tcPr>
            <w:tcW w:w="731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66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cantSplit/>
          <w:trHeight w:val="337"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3508.42</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3.0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四、上级补助收入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五、事业收入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六、经营收入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七、附属单位上缴收入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八、其他收入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169.92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86.27</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3,252.23</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3.00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27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lang w:val="en-US" w:eastAsia="zh-CN"/>
              </w:rPr>
            </w:pPr>
            <w:r>
              <w:rPr>
                <w:rFonts w:hint="eastAsia" w:ascii="仿宋" w:hAnsi="仿宋" w:eastAsia="仿宋" w:cs="仿宋"/>
              </w:rPr>
              <w:t>3,511.42</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58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3,511.42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使用非财政拨款结余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结余分配</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30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3,511.42</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61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b/>
                <w:bCs/>
                <w:kern w:val="0"/>
                <w:sz w:val="22"/>
              </w:rPr>
            </w:pPr>
            <w:r>
              <w:rPr>
                <w:rFonts w:hint="eastAsia" w:ascii="仿宋" w:hAnsi="仿宋" w:eastAsia="仿宋" w:cs="仿宋"/>
              </w:rPr>
              <w:t>3,511.42</w:t>
            </w:r>
          </w:p>
        </w:tc>
      </w:tr>
      <w:tr>
        <w:tblPrEx>
          <w:tblCellMar>
            <w:top w:w="0" w:type="dxa"/>
            <w:left w:w="108" w:type="dxa"/>
            <w:bottom w:w="0" w:type="dxa"/>
            <w:right w:w="108" w:type="dxa"/>
          </w:tblCellMar>
        </w:tblPrEx>
        <w:trPr>
          <w:cantSplit/>
          <w:trHeight w:val="90" w:hRule="atLeast"/>
        </w:trPr>
        <w:tc>
          <w:tcPr>
            <w:tcW w:w="13995" w:type="dxa"/>
            <w:gridSpan w:val="6"/>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rPr>
              <w:t>注：1.本表反映部门本年度的总收支和年末结转结余情况。</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3988" w:type="dxa"/>
        <w:tblInd w:w="0" w:type="dxa"/>
        <w:tblLayout w:type="fixed"/>
        <w:tblCellMar>
          <w:top w:w="0" w:type="dxa"/>
          <w:left w:w="0" w:type="dxa"/>
          <w:bottom w:w="0" w:type="dxa"/>
          <w:right w:w="0" w:type="dxa"/>
        </w:tblCellMar>
      </w:tblPr>
      <w:tblGrid>
        <w:gridCol w:w="1337"/>
        <w:gridCol w:w="2863"/>
        <w:gridCol w:w="1663"/>
        <w:gridCol w:w="1474"/>
        <w:gridCol w:w="1491"/>
        <w:gridCol w:w="1457"/>
        <w:gridCol w:w="1230"/>
        <w:gridCol w:w="1320"/>
        <w:gridCol w:w="1153"/>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收入决算表</w:t>
            </w:r>
          </w:p>
        </w:tc>
      </w:tr>
      <w:tr>
        <w:tblPrEx>
          <w:tblCellMar>
            <w:top w:w="0" w:type="dxa"/>
            <w:left w:w="0" w:type="dxa"/>
            <w:bottom w:w="0" w:type="dxa"/>
            <w:right w:w="0" w:type="dxa"/>
          </w:tblCellMar>
        </w:tblPrEx>
        <w:trPr>
          <w:trHeight w:val="111" w:hRule="atLeast"/>
        </w:trPr>
        <w:tc>
          <w:tcPr>
            <w:tcW w:w="12835" w:type="dxa"/>
            <w:gridSpan w:val="8"/>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both"/>
              <w:textAlignment w:val="auto"/>
              <w:rPr>
                <w:rFonts w:hint="eastAsia" w:ascii="仿宋" w:hAnsi="仿宋" w:eastAsia="仿宋" w:cs="仿宋"/>
                <w:sz w:val="24"/>
                <w:szCs w:val="24"/>
              </w:rPr>
            </w:pPr>
          </w:p>
        </w:tc>
        <w:tc>
          <w:tcPr>
            <w:tcW w:w="1153"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公开02表</w:t>
            </w:r>
          </w:p>
        </w:tc>
      </w:tr>
      <w:tr>
        <w:tblPrEx>
          <w:tblCellMar>
            <w:top w:w="0" w:type="dxa"/>
            <w:left w:w="0" w:type="dxa"/>
            <w:bottom w:w="0" w:type="dxa"/>
            <w:right w:w="0" w:type="dxa"/>
          </w:tblCellMar>
        </w:tblPrEx>
        <w:trPr>
          <w:trHeight w:val="90" w:hRule="atLeast"/>
        </w:trPr>
        <w:tc>
          <w:tcPr>
            <w:tcW w:w="12835" w:type="dxa"/>
            <w:gridSpan w:val="8"/>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4"/>
                <w:szCs w:val="24"/>
              </w:rPr>
            </w:pPr>
            <w:r>
              <w:rPr>
                <w:rFonts w:hint="eastAsia" w:ascii="仿宋" w:hAnsi="仿宋" w:eastAsia="仿宋" w:cs="仿宋"/>
                <w:color w:val="000000"/>
                <w:sz w:val="20"/>
                <w:szCs w:val="20"/>
                <w:lang w:eastAsia="zh-CN"/>
              </w:rPr>
              <w:t>单位</w:t>
            </w:r>
            <w:r>
              <w:rPr>
                <w:rFonts w:hint="eastAsia" w:ascii="仿宋" w:hAnsi="仿宋" w:eastAsia="仿宋" w:cs="仿宋"/>
                <w:color w:val="000000"/>
                <w:sz w:val="20"/>
                <w:szCs w:val="20"/>
              </w:rPr>
              <w:t>：</w:t>
            </w:r>
            <w:r>
              <w:rPr>
                <w:rFonts w:ascii="仿宋" w:hAnsi="仿宋" w:eastAsia="仿宋" w:cs="仿宋"/>
                <w:color w:val="000000"/>
                <w:sz w:val="20"/>
              </w:rPr>
              <w:t>中方县公路建设养护中心</w:t>
            </w:r>
          </w:p>
        </w:tc>
        <w:tc>
          <w:tcPr>
            <w:tcW w:w="1153"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单位：万元</w:t>
            </w:r>
          </w:p>
        </w:tc>
      </w:tr>
      <w:tr>
        <w:tblPrEx>
          <w:tblCellMar>
            <w:top w:w="0" w:type="dxa"/>
            <w:left w:w="0" w:type="dxa"/>
            <w:bottom w:w="0" w:type="dxa"/>
            <w:right w:w="0" w:type="dxa"/>
          </w:tblCellMar>
        </w:tblPrEx>
        <w:trPr>
          <w:trHeight w:val="45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项    目</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本年收入合计</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财政拨款收入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上级补助收入</w:t>
            </w:r>
          </w:p>
        </w:tc>
        <w:tc>
          <w:tcPr>
            <w:tcW w:w="14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事业收入</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经营收入</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附属单位</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上缴收入</w:t>
            </w:r>
          </w:p>
        </w:tc>
        <w:tc>
          <w:tcPr>
            <w:tcW w:w="11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其他收入</w:t>
            </w:r>
          </w:p>
        </w:tc>
      </w:tr>
      <w:tr>
        <w:tblPrEx>
          <w:tblCellMar>
            <w:top w:w="0" w:type="dxa"/>
            <w:left w:w="0" w:type="dxa"/>
            <w:bottom w:w="0" w:type="dxa"/>
            <w:right w:w="0" w:type="dxa"/>
          </w:tblCellMar>
        </w:tblPrEx>
        <w:trPr>
          <w:trHeight w:val="450" w:hRule="atLeast"/>
        </w:trPr>
        <w:tc>
          <w:tcPr>
            <w:tcW w:w="13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功能分类</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科目编码</w:t>
            </w:r>
          </w:p>
        </w:tc>
        <w:tc>
          <w:tcPr>
            <w:tcW w:w="28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科目名称</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312" w:hRule="atLeast"/>
        </w:trPr>
        <w:tc>
          <w:tcPr>
            <w:tcW w:w="133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28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9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栏次</w:t>
            </w:r>
          </w:p>
        </w:tc>
        <w:tc>
          <w:tcPr>
            <w:tcW w:w="16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1</w:t>
            </w:r>
          </w:p>
        </w:tc>
        <w:tc>
          <w:tcPr>
            <w:tcW w:w="147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2</w:t>
            </w:r>
          </w:p>
        </w:tc>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3</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4</w:t>
            </w:r>
          </w:p>
        </w:tc>
        <w:tc>
          <w:tcPr>
            <w:tcW w:w="12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5</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6</w:t>
            </w:r>
          </w:p>
        </w:tc>
        <w:tc>
          <w:tcPr>
            <w:tcW w:w="11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7</w:t>
            </w:r>
          </w:p>
        </w:tc>
      </w:tr>
      <w:tr>
        <w:tblPrEx>
          <w:tblCellMar>
            <w:top w:w="0" w:type="dxa"/>
            <w:left w:w="0" w:type="dxa"/>
            <w:bottom w:w="0" w:type="dxa"/>
            <w:right w:w="0" w:type="dxa"/>
          </w:tblCellMar>
        </w:tblPrEx>
        <w:trPr>
          <w:trHeight w:val="245"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ascii="仿宋" w:hAnsi="仿宋" w:eastAsia="仿宋" w:cs="仿宋"/>
              </w:rPr>
              <w:t>合计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3,511.42</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3,511.42</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lang w:val="en-US" w:eastAsia="zh-CN"/>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208</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社会保障和就业支出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169.92</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169.92</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20805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行政事业单位养老支出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169.92</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169.92</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2080505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机关事业单位基本养老保险缴费支出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169.92</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169.92</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210</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卫生健康支出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86.27</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86.27</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21011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行政事业单位医疗</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86.27</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86.27</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2101102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事业单位医疗</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86.27</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86.27</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214</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交通运输支出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3,252.23</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3,252.23</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21401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公路水路运输</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2,796.22</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2,796.22</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2140101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行政运行</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1,302.68</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1,302.68</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2140102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一般行政管理事务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17.27</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17.27</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2140106</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公路养护</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1,299.35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1,299.35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2140199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其他公路水路运输支出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176.92</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176.92</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21406</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车辆购置税支出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456.01</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456.01</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2140601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车辆购置税用于公路等基础设施建设支出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294.01</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294.01</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2140602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车辆购置税用于农村公路建设支出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162.00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162.00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234</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抗疫特别国债安排的支出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3.00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3.00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23402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抗疫相关支出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3.00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3.00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2340299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其他抗疫相关支出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3.00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3.00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615" w:hRule="atLeast"/>
        </w:trPr>
        <w:tc>
          <w:tcPr>
            <w:tcW w:w="13988" w:type="dxa"/>
            <w:gridSpan w:val="9"/>
            <w:tcBorders>
              <w:top w:val="single" w:color="auto" w:sz="4" w:space="0"/>
              <w:left w:val="nil"/>
              <w:bottom w:val="nil"/>
              <w:right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rPr>
            </w:pPr>
            <w:r>
              <w:rPr>
                <w:rFonts w:hint="eastAsia" w:ascii="仿宋" w:hAnsi="仿宋" w:eastAsia="仿宋" w:cs="仿宋"/>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6"/>
        <w:tblW w:w="13935" w:type="dxa"/>
        <w:tblInd w:w="91" w:type="dxa"/>
        <w:tblLayout w:type="fixed"/>
        <w:tblCellMar>
          <w:top w:w="0" w:type="dxa"/>
          <w:left w:w="108" w:type="dxa"/>
          <w:bottom w:w="0" w:type="dxa"/>
          <w:right w:w="108" w:type="dxa"/>
        </w:tblCellMar>
      </w:tblPr>
      <w:tblGrid>
        <w:gridCol w:w="1716"/>
        <w:gridCol w:w="3326"/>
        <w:gridCol w:w="1680"/>
        <w:gridCol w:w="1371"/>
        <w:gridCol w:w="1492"/>
        <w:gridCol w:w="1697"/>
        <w:gridCol w:w="1183"/>
        <w:gridCol w:w="1470"/>
      </w:tblGrid>
      <w:tr>
        <w:tblPrEx>
          <w:tblCellMar>
            <w:top w:w="0" w:type="dxa"/>
            <w:left w:w="108" w:type="dxa"/>
            <w:bottom w:w="0" w:type="dxa"/>
            <w:right w:w="108" w:type="dxa"/>
          </w:tblCellMar>
        </w:tblPrEx>
        <w:trPr>
          <w:trHeight w:val="435" w:hRule="atLeast"/>
        </w:trPr>
        <w:tc>
          <w:tcPr>
            <w:tcW w:w="13935" w:type="dxa"/>
            <w:gridSpan w:val="8"/>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支出决算表</w:t>
            </w:r>
          </w:p>
        </w:tc>
      </w:tr>
      <w:tr>
        <w:tblPrEx>
          <w:tblCellMar>
            <w:top w:w="0" w:type="dxa"/>
            <w:left w:w="108" w:type="dxa"/>
            <w:bottom w:w="0" w:type="dxa"/>
            <w:right w:w="108" w:type="dxa"/>
          </w:tblCellMar>
        </w:tblPrEx>
        <w:trPr>
          <w:trHeight w:val="90" w:hRule="atLeast"/>
        </w:trPr>
        <w:tc>
          <w:tcPr>
            <w:tcW w:w="12465" w:type="dxa"/>
            <w:gridSpan w:val="7"/>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公开03表</w:t>
            </w:r>
          </w:p>
        </w:tc>
      </w:tr>
      <w:tr>
        <w:tblPrEx>
          <w:tblCellMar>
            <w:top w:w="0" w:type="dxa"/>
            <w:left w:w="108" w:type="dxa"/>
            <w:bottom w:w="0" w:type="dxa"/>
            <w:right w:w="108" w:type="dxa"/>
          </w:tblCellMar>
        </w:tblPrEx>
        <w:trPr>
          <w:trHeight w:val="104" w:hRule="atLeast"/>
        </w:trPr>
        <w:tc>
          <w:tcPr>
            <w:tcW w:w="12465" w:type="dxa"/>
            <w:gridSpan w:val="7"/>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中方县公路建设养护中心</w:t>
            </w:r>
          </w:p>
        </w:tc>
        <w:tc>
          <w:tcPr>
            <w:tcW w:w="1470"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本年支出合计</w:t>
            </w:r>
          </w:p>
        </w:tc>
        <w:tc>
          <w:tcPr>
            <w:tcW w:w="13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基本支出</w:t>
            </w:r>
          </w:p>
        </w:tc>
        <w:tc>
          <w:tcPr>
            <w:tcW w:w="14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c>
          <w:tcPr>
            <w:tcW w:w="16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上缴上级支出</w:t>
            </w:r>
          </w:p>
        </w:tc>
        <w:tc>
          <w:tcPr>
            <w:tcW w:w="11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经营支出</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对附属单位补助支出</w:t>
            </w:r>
          </w:p>
        </w:tc>
      </w:tr>
      <w:tr>
        <w:tblPrEx>
          <w:tblCellMar>
            <w:top w:w="0" w:type="dxa"/>
            <w:left w:w="108" w:type="dxa"/>
            <w:bottom w:w="0" w:type="dxa"/>
            <w:right w:w="108" w:type="dxa"/>
          </w:tblCellMar>
        </w:tblPrEx>
        <w:trPr>
          <w:trHeight w:val="450" w:hRule="atLeast"/>
        </w:trPr>
        <w:tc>
          <w:tcPr>
            <w:tcW w:w="17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33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7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33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39"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16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3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4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6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4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6</w:t>
            </w:r>
          </w:p>
        </w:tc>
      </w:tr>
      <w:tr>
        <w:tblPrEx>
          <w:tblCellMar>
            <w:top w:w="0" w:type="dxa"/>
            <w:left w:w="108" w:type="dxa"/>
            <w:bottom w:w="0" w:type="dxa"/>
            <w:right w:w="108" w:type="dxa"/>
          </w:tblCellMar>
        </w:tblPrEx>
        <w:trPr>
          <w:trHeight w:val="657"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3,511.42</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1,641.15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1,870.27</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208</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社会保障和就业支出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169.92</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169.92</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20805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行政事业单位养老支出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169.92</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169.92</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2080505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机关事业单位基本养老保险缴费支出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169.92</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169.92</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210</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卫生健康支出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86.27</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86.27</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21011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行政事业单位医疗</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86.27</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86.27</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2101102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事业单位医疗</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86.27</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86.27</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214</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交通运输支出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3,252.23</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1,384.97</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1,867.27</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21401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公路水路运输</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2,796.22</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1,384.97</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1,411.26</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2140101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行政运行</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1,302.68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1,302.68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2140102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一般行政管理事务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17.27</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17.27</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2140106</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公路养护</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1,299.35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82.28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1,217.07</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2140199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其他公路水路运输支出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176.92</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176.92</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21406</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车辆购置税支出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456.01</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456.01</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2140601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车辆购置税用于公路等基础设施建设支出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294.01</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294.01</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2140602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车辆购置税用于农村公路建设支出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162.00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162.00</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234</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抗疫特别国债安排的支出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3.00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3.00</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23402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抗疫相关支出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3.00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3.00</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2340299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其他抗疫相关支出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3.00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3.00</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30" w:hRule="atLeast"/>
        </w:trPr>
        <w:tc>
          <w:tcPr>
            <w:tcW w:w="13935" w:type="dxa"/>
            <w:gridSpan w:val="8"/>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注：本表反映部门本年度各项支出情况。</w:t>
            </w:r>
          </w:p>
        </w:tc>
      </w:tr>
    </w:tbl>
    <w:p>
      <w:pPr>
        <w:rPr>
          <w:rFonts w:ascii="Times New Roman" w:hAnsi="Times New Roman" w:eastAsia="方正小标宋_GBK" w:cs="Times New Roman"/>
          <w:color w:val="000000"/>
          <w:kern w:val="0"/>
          <w:sz w:val="36"/>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5522" w:type="dxa"/>
        <w:tblInd w:w="91" w:type="dxa"/>
        <w:tblLayout w:type="fixed"/>
        <w:tblCellMar>
          <w:top w:w="0" w:type="dxa"/>
          <w:left w:w="108" w:type="dxa"/>
          <w:bottom w:w="0" w:type="dxa"/>
          <w:right w:w="108" w:type="dxa"/>
        </w:tblCellMar>
      </w:tblPr>
      <w:tblGrid>
        <w:gridCol w:w="3208"/>
        <w:gridCol w:w="760"/>
        <w:gridCol w:w="1600"/>
        <w:gridCol w:w="3380"/>
        <w:gridCol w:w="820"/>
        <w:gridCol w:w="1580"/>
        <w:gridCol w:w="1400"/>
        <w:gridCol w:w="1360"/>
        <w:gridCol w:w="1414"/>
      </w:tblGrid>
      <w:tr>
        <w:tblPrEx>
          <w:tblCellMar>
            <w:top w:w="0" w:type="dxa"/>
            <w:left w:w="108" w:type="dxa"/>
            <w:bottom w:w="0" w:type="dxa"/>
            <w:right w:w="108" w:type="dxa"/>
          </w:tblCellMar>
        </w:tblPrEx>
        <w:trPr>
          <w:trHeight w:val="360" w:hRule="atLeast"/>
        </w:trPr>
        <w:tc>
          <w:tcPr>
            <w:tcW w:w="15522" w:type="dxa"/>
            <w:gridSpan w:val="9"/>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bookmarkStart w:id="0" w:name="RANGE!A1:I22"/>
            <w:bookmarkEnd w:id="0"/>
            <w:bookmarkStart w:id="1" w:name="RANGE!A1:F16"/>
            <w:r>
              <w:rPr>
                <w:rFonts w:hint="eastAsia" w:ascii="仿宋" w:hAnsi="仿宋" w:eastAsia="仿宋" w:cs="仿宋"/>
                <w:b/>
                <w:bCs/>
                <w:color w:val="000000"/>
                <w:kern w:val="0"/>
                <w:sz w:val="32"/>
                <w:szCs w:val="32"/>
              </w:rPr>
              <w:t>财政拨款收入支出决算总表</w:t>
            </w:r>
          </w:p>
        </w:tc>
      </w:tr>
      <w:tr>
        <w:tblPrEx>
          <w:tblCellMar>
            <w:top w:w="0" w:type="dxa"/>
            <w:left w:w="108" w:type="dxa"/>
            <w:bottom w:w="0" w:type="dxa"/>
            <w:right w:w="108" w:type="dxa"/>
          </w:tblCellMar>
        </w:tblPrEx>
        <w:trPr>
          <w:trHeight w:val="148" w:hRule="atLeast"/>
        </w:trPr>
        <w:tc>
          <w:tcPr>
            <w:tcW w:w="14108" w:type="dxa"/>
            <w:gridSpan w:val="8"/>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14"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公开04表</w:t>
            </w:r>
          </w:p>
        </w:tc>
      </w:tr>
      <w:tr>
        <w:tblPrEx>
          <w:tblCellMar>
            <w:top w:w="0" w:type="dxa"/>
            <w:left w:w="108" w:type="dxa"/>
            <w:bottom w:w="0" w:type="dxa"/>
            <w:right w:w="108" w:type="dxa"/>
          </w:tblCellMar>
        </w:tblPrEx>
        <w:trPr>
          <w:trHeight w:val="90" w:hRule="atLeast"/>
        </w:trPr>
        <w:tc>
          <w:tcPr>
            <w:tcW w:w="14108" w:type="dxa"/>
            <w:gridSpan w:val="8"/>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中方县公路建设养护中心</w:t>
            </w:r>
          </w:p>
        </w:tc>
        <w:tc>
          <w:tcPr>
            <w:tcW w:w="1414"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995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trHeight w:val="73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金额</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一般公共预算财政拨款</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政府性基金预算财政拨款</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lang w:val="en-US" w:eastAsia="zh-CN"/>
              </w:rPr>
            </w:pPr>
            <w:r>
              <w:rPr>
                <w:rFonts w:hint="eastAsia" w:ascii="仿宋" w:hAnsi="仿宋" w:eastAsia="仿宋" w:cs="仿宋"/>
              </w:rPr>
              <w:t>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4</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5</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3,508.42</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3.00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169.92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169.92</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86.27</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86.27</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3,252.23</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3,252.23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3.00</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3.00</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9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27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3,511.42</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59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3,511.42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3,508.42</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3.00</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年初财政拨款结转和结余</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年末财政拨款结转和结余</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国有资本经营预算财政拨款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59" w:hRule="atLeast"/>
        </w:trPr>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7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32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3,511.42</w:t>
            </w:r>
          </w:p>
        </w:tc>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64</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3,511.42</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3,508.42</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r>
              <w:rPr>
                <w:rFonts w:hint="eastAsia" w:ascii="仿宋" w:hAnsi="仿宋" w:eastAsia="仿宋" w:cs="仿宋"/>
              </w:rPr>
              <w:t>3.00</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295" w:hRule="atLeast"/>
        </w:trPr>
        <w:tc>
          <w:tcPr>
            <w:tcW w:w="15522" w:type="dxa"/>
            <w:gridSpan w:val="9"/>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注：本表反映部门本年度一般公共预算财政拨款、政府性基金预算财政拨款和国有资本经营预算财政拨款的总收支和年末结转结余情况。</w:t>
            </w:r>
          </w:p>
        </w:tc>
      </w:tr>
    </w:tbl>
    <w:p>
      <w:pPr>
        <w:widowControl/>
        <w:jc w:val="both"/>
        <w:rPr>
          <w:rFonts w:ascii="Times New Roman" w:hAnsi="Times New Roman" w:eastAsia="方正小标宋_GBK" w:cs="Times New Roman"/>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bookmarkEnd w:id="1"/>
    <w:tbl>
      <w:tblPr>
        <w:tblStyle w:val="6"/>
        <w:tblW w:w="14219" w:type="dxa"/>
        <w:jc w:val="center"/>
        <w:tblLayout w:type="fixed"/>
        <w:tblCellMar>
          <w:top w:w="0" w:type="dxa"/>
          <w:left w:w="108" w:type="dxa"/>
          <w:bottom w:w="0" w:type="dxa"/>
          <w:right w:w="108" w:type="dxa"/>
        </w:tblCellMar>
      </w:tblPr>
      <w:tblGrid>
        <w:gridCol w:w="1693"/>
        <w:gridCol w:w="4886"/>
        <w:gridCol w:w="2674"/>
        <w:gridCol w:w="2486"/>
        <w:gridCol w:w="2480"/>
      </w:tblGrid>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一般公共预算财政拨款支出决算表</w:t>
            </w:r>
          </w:p>
        </w:tc>
      </w:tr>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公开05表</w:t>
            </w:r>
          </w:p>
        </w:tc>
      </w:tr>
      <w:tr>
        <w:tblPrEx>
          <w:tblCellMar>
            <w:top w:w="0" w:type="dxa"/>
            <w:left w:w="108" w:type="dxa"/>
            <w:bottom w:w="0" w:type="dxa"/>
            <w:right w:w="108" w:type="dxa"/>
          </w:tblCellMar>
        </w:tblPrEx>
        <w:trPr>
          <w:trHeight w:val="405" w:hRule="atLeast"/>
          <w:jc w:val="center"/>
        </w:trPr>
        <w:tc>
          <w:tcPr>
            <w:tcW w:w="6579"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中方县公路建设养护中心</w:t>
            </w:r>
          </w:p>
        </w:tc>
        <w:tc>
          <w:tcPr>
            <w:tcW w:w="7640" w:type="dxa"/>
            <w:gridSpan w:val="3"/>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9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 xml:space="preserve">项 </w:t>
            </w:r>
            <w:r>
              <w:rPr>
                <w:rFonts w:hint="eastAsia" w:ascii="仿宋" w:hAnsi="仿宋" w:eastAsia="仿宋" w:cs="仿宋"/>
                <w:b/>
                <w:color w:val="000000"/>
                <w:kern w:val="0"/>
                <w:szCs w:val="21"/>
              </w:rPr>
              <w:t xml:space="preserve">   </w:t>
            </w:r>
            <w:r>
              <w:rPr>
                <w:rFonts w:hint="eastAsia" w:ascii="仿宋" w:hAnsi="仿宋" w:eastAsia="仿宋" w:cs="仿宋"/>
                <w:b/>
                <w:kern w:val="0"/>
                <w:szCs w:val="21"/>
              </w:rPr>
              <w:t>目</w:t>
            </w:r>
          </w:p>
        </w:tc>
        <w:tc>
          <w:tcPr>
            <w:tcW w:w="76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本年支出</w:t>
            </w:r>
          </w:p>
        </w:tc>
      </w:tr>
      <w:tr>
        <w:tblPrEx>
          <w:tblCellMar>
            <w:top w:w="0" w:type="dxa"/>
            <w:left w:w="108" w:type="dxa"/>
            <w:bottom w:w="0" w:type="dxa"/>
            <w:right w:w="108" w:type="dxa"/>
          </w:tblCellMar>
        </w:tblPrEx>
        <w:trPr>
          <w:trHeight w:val="495" w:hRule="atLeast"/>
          <w:jc w:val="center"/>
        </w:trPr>
        <w:tc>
          <w:tcPr>
            <w:tcW w:w="1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科目编码</w:t>
            </w:r>
          </w:p>
        </w:tc>
        <w:tc>
          <w:tcPr>
            <w:tcW w:w="4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科目名称</w:t>
            </w:r>
          </w:p>
        </w:tc>
        <w:tc>
          <w:tcPr>
            <w:tcW w:w="2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小计</w:t>
            </w:r>
          </w:p>
        </w:tc>
        <w:tc>
          <w:tcPr>
            <w:tcW w:w="2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基本支出</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项目支出</w:t>
            </w:r>
          </w:p>
        </w:tc>
      </w:tr>
      <w:tr>
        <w:tblPrEx>
          <w:tblCellMar>
            <w:top w:w="0" w:type="dxa"/>
            <w:left w:w="108" w:type="dxa"/>
            <w:bottom w:w="0" w:type="dxa"/>
            <w:right w:w="108" w:type="dxa"/>
          </w:tblCellMar>
        </w:tblPrEx>
        <w:trPr>
          <w:trHeight w:val="360"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312"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3,508.42</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1,641.15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1,867.27</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208</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社会保障和就业支出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169.92</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169.92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20805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行政事业单位养老支出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169.92</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169.92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2080505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机关事业单位基本养老保险缴费支出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169.92</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169.92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210</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卫生健康支出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86.27</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86.27</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21011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行政事业单位医疗</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86.27</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86.27</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2101102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事业单位医疗</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86.27</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86.27</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214</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交通运输支出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3,252.23</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1,384.97</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1,867.27</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21401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公路水路运输</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2,796.22</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1,384.97</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1,411.26</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2140101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行政运行</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1,302.68</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1,302.68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2140102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一般行政管理事务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17.27</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17.27</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2140106</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公路养护</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1,299.35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82.28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1,217.07</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2140199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其他公路水路运输支出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176.92</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176.92</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21406</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车辆购置税支出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456.01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456.01</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2140601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车辆购置税用于公路等基础设施建设支出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294.01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294.01</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2140602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车辆购置税用于农村公路建设支出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162.00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162.00</w:t>
            </w:r>
          </w:p>
        </w:tc>
      </w:tr>
      <w:tr>
        <w:tblPrEx>
          <w:tblCellMar>
            <w:top w:w="0" w:type="dxa"/>
            <w:left w:w="108" w:type="dxa"/>
            <w:bottom w:w="0" w:type="dxa"/>
            <w:right w:w="108" w:type="dxa"/>
          </w:tblCellMar>
        </w:tblPrEx>
        <w:trPr>
          <w:trHeight w:val="90" w:hRule="atLeast"/>
          <w:jc w:val="center"/>
        </w:trPr>
        <w:tc>
          <w:tcPr>
            <w:tcW w:w="14219"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0" w:type="auto"/>
        <w:tblInd w:w="0" w:type="dxa"/>
        <w:tblLayout w:type="fixed"/>
        <w:tblCellMar>
          <w:top w:w="0" w:type="dxa"/>
          <w:left w:w="108" w:type="dxa"/>
          <w:bottom w:w="0" w:type="dxa"/>
          <w:right w:w="108" w:type="dxa"/>
        </w:tblCellMar>
      </w:tblPr>
      <w:tblGrid>
        <w:gridCol w:w="1068"/>
        <w:gridCol w:w="3153"/>
        <w:gridCol w:w="1260"/>
        <w:gridCol w:w="1220"/>
        <w:gridCol w:w="2920"/>
        <w:gridCol w:w="1180"/>
        <w:gridCol w:w="1180"/>
        <w:gridCol w:w="2520"/>
        <w:gridCol w:w="1300"/>
      </w:tblGrid>
      <w:tr>
        <w:tblPrEx>
          <w:tblCellMar>
            <w:top w:w="0" w:type="dxa"/>
            <w:left w:w="108" w:type="dxa"/>
            <w:bottom w:w="0" w:type="dxa"/>
            <w:right w:w="108" w:type="dxa"/>
          </w:tblCellMar>
        </w:tblPrEx>
        <w:trPr>
          <w:trHeight w:val="113" w:hRule="atLeast"/>
        </w:trPr>
        <w:tc>
          <w:tcPr>
            <w:tcW w:w="15801" w:type="dxa"/>
            <w:gridSpan w:val="9"/>
            <w:tcBorders>
              <w:top w:val="nil"/>
              <w:left w:val="nil"/>
              <w:bottom w:val="nil"/>
              <w:right w:val="nil"/>
            </w:tcBorders>
            <w:shd w:val="clear" w:color="auto" w:fill="auto"/>
            <w:vAlign w:val="center"/>
          </w:tcPr>
          <w:p>
            <w:pPr>
              <w:widowControl/>
              <w:jc w:val="center"/>
              <w:rPr>
                <w:rFonts w:hint="eastAsia" w:ascii="仿宋" w:hAnsi="仿宋" w:eastAsia="仿宋" w:cs="仿宋"/>
                <w:color w:val="000000"/>
                <w:kern w:val="0"/>
                <w:szCs w:val="20"/>
              </w:rPr>
            </w:pPr>
            <w:bookmarkStart w:id="2" w:name="RANGE!A1:I34"/>
            <w:r>
              <w:rPr>
                <w:rFonts w:hint="eastAsia" w:ascii="仿宋" w:hAnsi="仿宋" w:eastAsia="仿宋" w:cs="仿宋"/>
                <w:b/>
                <w:bCs/>
                <w:kern w:val="0"/>
                <w:sz w:val="36"/>
                <w:szCs w:val="36"/>
              </w:rPr>
              <w:t>一般公共预算财政拨款基本支出决算表</w:t>
            </w:r>
            <w:bookmarkEnd w:id="2"/>
          </w:p>
        </w:tc>
      </w:tr>
      <w:tr>
        <w:tblPrEx>
          <w:tblCellMar>
            <w:top w:w="0" w:type="dxa"/>
            <w:left w:w="108" w:type="dxa"/>
            <w:bottom w:w="0" w:type="dxa"/>
            <w:right w:w="108" w:type="dxa"/>
          </w:tblCellMar>
        </w:tblPrEx>
        <w:trPr>
          <w:trHeight w:val="90" w:hRule="atLeast"/>
        </w:trPr>
        <w:tc>
          <w:tcPr>
            <w:tcW w:w="15801" w:type="dxa"/>
            <w:gridSpan w:val="9"/>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公开06表</w:t>
            </w:r>
          </w:p>
        </w:tc>
      </w:tr>
      <w:tr>
        <w:tblPrEx>
          <w:tblCellMar>
            <w:top w:w="0" w:type="dxa"/>
            <w:left w:w="108" w:type="dxa"/>
            <w:bottom w:w="0" w:type="dxa"/>
            <w:right w:w="108" w:type="dxa"/>
          </w:tblCellMar>
        </w:tblPrEx>
        <w:trPr>
          <w:trHeight w:val="113" w:hRule="atLeast"/>
        </w:trPr>
        <w:tc>
          <w:tcPr>
            <w:tcW w:w="1198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中方县公路建设养护中心</w:t>
            </w:r>
          </w:p>
        </w:tc>
        <w:tc>
          <w:tcPr>
            <w:tcW w:w="3820"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113" w:hRule="atLeast"/>
        </w:trPr>
        <w:tc>
          <w:tcPr>
            <w:tcW w:w="54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w:t>
            </w:r>
          </w:p>
        </w:tc>
        <w:tc>
          <w:tcPr>
            <w:tcW w:w="10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w:t>
            </w:r>
          </w:p>
        </w:tc>
      </w:tr>
      <w:tr>
        <w:tblPrEx>
          <w:tblCellMar>
            <w:top w:w="0" w:type="dxa"/>
            <w:left w:w="108" w:type="dxa"/>
            <w:bottom w:w="0" w:type="dxa"/>
            <w:right w:w="108" w:type="dxa"/>
          </w:tblCellMar>
        </w:tblPrEx>
        <w:trPr>
          <w:trHeight w:val="11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ascii="仿宋" w:hAnsi="仿宋" w:eastAsia="仿宋" w:cs="仿宋"/>
                <w:color w:val="000000"/>
                <w:sz w:val="20"/>
              </w:rPr>
              <w:t>经济分类科目编码</w:t>
            </w:r>
          </w:p>
        </w:tc>
        <w:tc>
          <w:tcPr>
            <w:tcW w:w="3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1,358.38</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195.86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债务利息及费用支出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基本工资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606.56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办公费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28.08</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国内债务付息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津贴补贴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474.89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印刷费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国外债务付息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1.00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咨询费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伙食补助费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手续费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房屋建筑物购建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绩效工资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水费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0.24</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办公设备购置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机关事业单位基本养老保险缴费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169.92</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5.45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专用设备购置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职业年金缴费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邮电费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31005</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基础设施建设</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职工基本医疗保险缴费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86.27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取暖费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大型修缮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公务员医疗补助缴费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物业管理费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信息网络及软件购置更新</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其他社会保障缴费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17.46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差旅费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34.22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物资储备</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住房公积金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因公出国（境）费用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土地补偿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维修（护）费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安置补助</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2.28</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租赁费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5.42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地上附着物和青苗补偿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86.90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会议费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拆迁补偿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离休费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培训费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0.41</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公务用车购置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公务接待费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0.19</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其他交通工具购置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退职（役）费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专用材料费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文物和陈列品购置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抚恤金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39.49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被装购置费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无形资产购置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30305</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生活补助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20.86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专用燃料费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救济费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劳务费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4.02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2.93</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委托业务费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赠与</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助学金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工会经费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6.92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国家赔偿费用支出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奖励金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1.69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福利费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对民间非营利组织和群众性自治组织补贴</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个人农业生产补贴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公务用车运行维护费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28.10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代缴社会保险费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其他交通费用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25.60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21.93</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30240</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税金及附加费用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30299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57.22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403" w:hRule="exact"/>
        </w:trPr>
        <w:tc>
          <w:tcPr>
            <w:tcW w:w="42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人员经费合计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1,445.28</w:t>
            </w:r>
          </w:p>
        </w:tc>
        <w:tc>
          <w:tcPr>
            <w:tcW w:w="9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公用经费合计</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18"/>
              </w:rPr>
            </w:pPr>
            <w:r>
              <w:rPr>
                <w:rFonts w:hint="eastAsia" w:ascii="仿宋" w:hAnsi="仿宋" w:eastAsia="仿宋" w:cs="仿宋"/>
                <w:color w:val="000000"/>
                <w:kern w:val="0"/>
                <w:szCs w:val="18"/>
              </w:rPr>
              <w:t>195.86</w:t>
            </w:r>
          </w:p>
        </w:tc>
      </w:tr>
      <w:tr>
        <w:trPr>
          <w:trHeight w:val="641" w:hRule="exact"/>
        </w:trPr>
        <w:tc>
          <w:tcPr>
            <w:tcW w:w="15801" w:type="dxa"/>
            <w:gridSpan w:val="9"/>
            <w:tcBorders>
              <w:top w:val="single" w:color="auto" w:sz="4" w:space="0"/>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4"/>
              </w:rPr>
            </w:pPr>
            <w:r>
              <w:rPr>
                <w:rFonts w:hint="eastAsia" w:ascii="仿宋" w:hAnsi="仿宋" w:eastAsia="仿宋" w:cs="仿宋"/>
                <w:color w:val="000000"/>
                <w:kern w:val="0"/>
                <w:szCs w:val="24"/>
              </w:rPr>
              <w:t>注：本表反映部门本年度一般公共预算财政拨款基本支出明细情况。</w:t>
            </w:r>
          </w:p>
          <w:p>
            <w:pPr>
              <w:widowControl/>
              <w:jc w:val="left"/>
              <w:rPr>
                <w:rFonts w:hint="eastAsia" w:ascii="仿宋" w:hAnsi="仿宋" w:eastAsia="仿宋" w:cs="仿宋"/>
                <w:color w:val="000000"/>
                <w:kern w:val="0"/>
                <w:szCs w:val="24"/>
              </w:rPr>
            </w:pPr>
          </w:p>
          <w:p>
            <w:pPr>
              <w:widowControl/>
              <w:jc w:val="left"/>
              <w:rPr>
                <w:rFonts w:hint="eastAsia" w:ascii="仿宋" w:hAnsi="仿宋" w:eastAsia="仿宋" w:cs="仿宋"/>
                <w:color w:val="000000"/>
                <w:kern w:val="0"/>
                <w:szCs w:val="24"/>
              </w:rPr>
            </w:pPr>
          </w:p>
        </w:tc>
      </w:tr>
    </w:tbl>
    <w:p>
      <w:pPr>
        <w:widowControl/>
        <w:jc w:val="center"/>
        <w:rPr>
          <w:rFonts w:hint="eastAsia" w:ascii="Times New Roman" w:hAnsi="Times New Roman" w:eastAsia="方正小标宋_GBK" w:cs="Times New Roman"/>
          <w:color w:val="000000"/>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14640" w:type="dxa"/>
            <w:gridSpan w:val="12"/>
            <w:tcBorders>
              <w:top w:val="nil"/>
              <w:left w:val="nil"/>
              <w:bottom w:val="nil"/>
              <w:right w:val="nil"/>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157" w:hRule="atLeast"/>
          <w:jc w:val="center"/>
        </w:trPr>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p>
        </w:tc>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公开07表</w:t>
            </w:r>
          </w:p>
        </w:tc>
      </w:tr>
      <w:tr>
        <w:tblPrEx>
          <w:tblCellMar>
            <w:top w:w="0" w:type="dxa"/>
            <w:left w:w="108" w:type="dxa"/>
            <w:bottom w:w="0" w:type="dxa"/>
            <w:right w:w="108" w:type="dxa"/>
          </w:tblCellMar>
        </w:tblPrEx>
        <w:trPr>
          <w:trHeight w:val="90" w:hRule="atLeast"/>
          <w:jc w:val="center"/>
        </w:trPr>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中方县公路建设养护中心</w:t>
            </w:r>
          </w:p>
        </w:tc>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397" w:hRule="atLeast"/>
          <w:jc w:val="center"/>
        </w:trPr>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预算数</w:t>
            </w:r>
          </w:p>
        </w:tc>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lang w:eastAsia="zh-CN"/>
              </w:rPr>
            </w:pPr>
            <w:r>
              <w:rPr>
                <w:rFonts w:hint="eastAsia" w:ascii="仿宋" w:hAnsi="仿宋" w:eastAsia="仿宋" w:cs="仿宋"/>
                <w:kern w:val="0"/>
                <w:szCs w:val="21"/>
              </w:rPr>
              <w:t>公务用车</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lang w:eastAsia="zh-CN"/>
              </w:rPr>
            </w:pPr>
            <w:r>
              <w:rPr>
                <w:rFonts w:hint="eastAsia" w:ascii="仿宋" w:hAnsi="仿宋" w:eastAsia="仿宋" w:cs="仿宋"/>
                <w:kern w:val="0"/>
                <w:szCs w:val="21"/>
              </w:rPr>
              <w:t>公务用车</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lang w:eastAsia="zh-CN"/>
              </w:rPr>
            </w:pPr>
            <w:r>
              <w:rPr>
                <w:rFonts w:hint="eastAsia" w:ascii="仿宋" w:hAnsi="仿宋" w:eastAsia="仿宋" w:cs="仿宋"/>
                <w:kern w:val="0"/>
                <w:szCs w:val="21"/>
              </w:rPr>
              <w:t>公务用车</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lang w:eastAsia="zh-CN"/>
              </w:rPr>
            </w:pPr>
            <w:r>
              <w:rPr>
                <w:rFonts w:hint="eastAsia" w:ascii="仿宋" w:hAnsi="仿宋" w:eastAsia="仿宋" w:cs="仿宋"/>
                <w:kern w:val="0"/>
                <w:szCs w:val="21"/>
              </w:rPr>
              <w:t>公务用车</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112"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3</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4</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9</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12</w:t>
            </w:r>
          </w:p>
        </w:tc>
      </w:tr>
      <w:tr>
        <w:tblPrEx>
          <w:tblCellMar>
            <w:top w:w="0" w:type="dxa"/>
            <w:left w:w="108" w:type="dxa"/>
            <w:bottom w:w="0" w:type="dxa"/>
            <w:right w:w="108" w:type="dxa"/>
          </w:tblCellMar>
        </w:tblPrEx>
        <w:trPr>
          <w:trHeight w:val="397"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19.95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15.20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15.20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4.75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40.57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40.38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40.38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0.19</w:t>
            </w: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hint="eastAsia" w:ascii="仿宋" w:hAnsi="仿宋" w:eastAsia="仿宋" w:cs="仿宋"/>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3"/>
        <w:gridCol w:w="4063"/>
        <w:gridCol w:w="1765"/>
        <w:gridCol w:w="1680"/>
        <w:gridCol w:w="1470"/>
        <w:gridCol w:w="1320"/>
        <w:gridCol w:w="1240"/>
        <w:gridCol w:w="13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440" w:type="dxa"/>
            <w:gridSpan w:val="8"/>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政府性基金预算财政拨款收入支出决算表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440" w:type="dxa"/>
            <w:gridSpan w:val="8"/>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公开08表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 w:hRule="atLeast"/>
          <w:jc w:val="center"/>
        </w:trPr>
        <w:tc>
          <w:tcPr>
            <w:tcW w:w="1310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中方县公路建设养护中心</w:t>
            </w:r>
          </w:p>
        </w:tc>
        <w:tc>
          <w:tcPr>
            <w:tcW w:w="1339"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    目</w:t>
            </w:r>
          </w:p>
        </w:tc>
        <w:tc>
          <w:tcPr>
            <w:tcW w:w="1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年初结转和结余</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本年收入</w:t>
            </w:r>
          </w:p>
        </w:tc>
        <w:tc>
          <w:tcPr>
            <w:tcW w:w="40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本年支出</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年末结转</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科目编码</w:t>
            </w:r>
          </w:p>
        </w:tc>
        <w:tc>
          <w:tcPr>
            <w:tcW w:w="4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科目名称</w:t>
            </w: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基本支出</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kern w:val="0"/>
                <w:szCs w:val="21"/>
              </w:rPr>
              <w:t>3.00</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kern w:val="0"/>
                <w:szCs w:val="21"/>
              </w:rPr>
              <w:t>3.00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kern w:val="0"/>
                <w:szCs w:val="21"/>
              </w:rPr>
              <w:t>3.00</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234</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抗疫特别国债安排的支出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3.00</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3.00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3.00</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23402</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抗疫相关支出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3.00</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3.00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3.00</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2340299</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其他抗疫相关支出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3.00</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3.00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3.00</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1" w:type="dxa"/>
        <w:tblLayout w:type="fixed"/>
        <w:tblCellMar>
          <w:top w:w="0" w:type="dxa"/>
          <w:left w:w="108" w:type="dxa"/>
          <w:bottom w:w="0" w:type="dxa"/>
          <w:right w:w="108" w:type="dxa"/>
        </w:tblCellMar>
      </w:tblPr>
      <w:tblGrid>
        <w:gridCol w:w="1535"/>
        <w:gridCol w:w="4780"/>
        <w:gridCol w:w="2660"/>
        <w:gridCol w:w="2540"/>
        <w:gridCol w:w="2675"/>
      </w:tblGrid>
      <w:tr>
        <w:tblPrEx>
          <w:tblCellMar>
            <w:top w:w="0" w:type="dxa"/>
            <w:left w:w="108" w:type="dxa"/>
            <w:bottom w:w="0" w:type="dxa"/>
            <w:right w:w="108" w:type="dxa"/>
          </w:tblCellMar>
        </w:tblPrEx>
        <w:trPr>
          <w:trHeight w:val="720" w:hRule="atLeast"/>
        </w:trPr>
        <w:tc>
          <w:tcPr>
            <w:tcW w:w="14190" w:type="dxa"/>
            <w:gridSpan w:val="5"/>
            <w:tcBorders>
              <w:top w:val="nil"/>
              <w:left w:val="nil"/>
              <w:bottom w:val="nil"/>
              <w:right w:val="nil"/>
            </w:tcBorders>
            <w:shd w:val="clear" w:color="000000" w:fill="FFFFFF"/>
            <w:vAlign w:val="center"/>
          </w:tcPr>
          <w:p>
            <w:pPr>
              <w:widowControl/>
              <w:jc w:val="center"/>
              <w:rPr>
                <w:rFonts w:hint="eastAsia" w:ascii="仿宋" w:hAnsi="仿宋" w:eastAsia="仿宋" w:cs="仿宋"/>
                <w:kern w:val="0"/>
                <w:sz w:val="32"/>
                <w:szCs w:val="32"/>
              </w:rPr>
            </w:pPr>
            <w:r>
              <w:rPr>
                <w:rFonts w:hint="eastAsia" w:ascii="仿宋" w:hAnsi="仿宋" w:eastAsia="仿宋" w:cs="仿宋"/>
                <w:b/>
                <w:bCs/>
                <w:kern w:val="0"/>
                <w:sz w:val="36"/>
                <w:szCs w:val="36"/>
              </w:rPr>
              <w:t>国有资本经营预算财政拨款支出决算表</w:t>
            </w:r>
          </w:p>
        </w:tc>
      </w:tr>
      <w:tr>
        <w:tblPrEx>
          <w:tblCellMar>
            <w:top w:w="0" w:type="dxa"/>
            <w:left w:w="108" w:type="dxa"/>
            <w:bottom w:w="0" w:type="dxa"/>
            <w:right w:w="108" w:type="dxa"/>
          </w:tblCellMar>
        </w:tblPrEx>
        <w:trPr>
          <w:trHeight w:val="285" w:hRule="atLeast"/>
        </w:trPr>
        <w:tc>
          <w:tcPr>
            <w:tcW w:w="14190" w:type="dxa"/>
            <w:gridSpan w:val="5"/>
            <w:tcBorders>
              <w:top w:val="nil"/>
              <w:left w:val="nil"/>
              <w:bottom w:val="nil"/>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公开09表</w:t>
            </w:r>
          </w:p>
        </w:tc>
      </w:tr>
      <w:tr>
        <w:tblPrEx>
          <w:tblCellMar>
            <w:top w:w="0" w:type="dxa"/>
            <w:left w:w="108" w:type="dxa"/>
            <w:bottom w:w="0" w:type="dxa"/>
            <w:right w:w="108" w:type="dxa"/>
          </w:tblCellMar>
        </w:tblPrEx>
        <w:trPr>
          <w:trHeight w:val="285" w:hRule="atLeast"/>
        </w:trPr>
        <w:tc>
          <w:tcPr>
            <w:tcW w:w="631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中方县公路建设养护中心</w:t>
            </w:r>
          </w:p>
        </w:tc>
        <w:tc>
          <w:tcPr>
            <w:tcW w:w="7875" w:type="dxa"/>
            <w:gridSpan w:val="3"/>
            <w:tcBorders>
              <w:top w:val="nil"/>
              <w:left w:val="nil"/>
              <w:bottom w:val="single" w:color="auto" w:sz="4" w:space="0"/>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项 </w:t>
            </w:r>
            <w:r>
              <w:rPr>
                <w:rFonts w:hint="eastAsia" w:ascii="仿宋" w:hAnsi="仿宋" w:eastAsia="仿宋" w:cs="仿宋"/>
                <w:color w:val="000000"/>
                <w:kern w:val="0"/>
                <w:sz w:val="22"/>
              </w:rPr>
              <w:t xml:space="preserve">   </w:t>
            </w:r>
            <w:r>
              <w:rPr>
                <w:rFonts w:hint="eastAsia" w:ascii="仿宋" w:hAnsi="仿宋" w:eastAsia="仿宋" w:cs="仿宋"/>
                <w:kern w:val="0"/>
                <w:sz w:val="24"/>
                <w:szCs w:val="24"/>
              </w:rPr>
              <w:t>目</w:t>
            </w:r>
          </w:p>
        </w:tc>
        <w:tc>
          <w:tcPr>
            <w:tcW w:w="78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w:t>
            </w:r>
          </w:p>
        </w:tc>
      </w:tr>
      <w:tr>
        <w:tblPrEx>
          <w:tblCellMar>
            <w:top w:w="0" w:type="dxa"/>
            <w:left w:w="108" w:type="dxa"/>
            <w:bottom w:w="0" w:type="dxa"/>
            <w:right w:w="108" w:type="dxa"/>
          </w:tblCellMar>
        </w:tblPrEx>
        <w:trPr>
          <w:trHeight w:val="402" w:hRule="atLeast"/>
        </w:trPr>
        <w:tc>
          <w:tcPr>
            <w:tcW w:w="15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4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基本支出  </w:t>
            </w:r>
          </w:p>
        </w:tc>
        <w:tc>
          <w:tcPr>
            <w:tcW w:w="2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r>
      <w:tr>
        <w:tblPrEx>
          <w:tblCellMar>
            <w:top w:w="0" w:type="dxa"/>
            <w:left w:w="108" w:type="dxa"/>
            <w:bottom w:w="0" w:type="dxa"/>
            <w:right w:w="108" w:type="dxa"/>
          </w:tblCellMar>
        </w:tblPrEx>
        <w:trPr>
          <w:trHeight w:val="40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r>
      <w:tr>
        <w:tblPrEx>
          <w:tblCellMar>
            <w:top w:w="0" w:type="dxa"/>
            <w:left w:w="108" w:type="dxa"/>
            <w:bottom w:w="0" w:type="dxa"/>
            <w:right w:w="108" w:type="dxa"/>
          </w:tblCellMar>
        </w:tblPrEx>
        <w:trPr>
          <w:trHeight w:val="148"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09" w:hRule="atLeast"/>
        </w:trPr>
        <w:tc>
          <w:tcPr>
            <w:tcW w:w="14190"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注：本表反映部门本年度国有资本经营预算财政拨款支出情况。</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ascii="仿宋" w:hAnsi="仿宋" w:eastAsia="仿宋" w:cs="仿宋"/>
              </w:rPr>
              <w:t>中方县公路建设养护中心</w:t>
            </w:r>
            <w:r>
              <w:rPr>
                <w:rFonts w:hint="eastAsia" w:ascii="仿宋" w:hAnsi="仿宋" w:eastAsia="仿宋" w:cs="仿宋"/>
                <w:kern w:val="0"/>
                <w:sz w:val="21"/>
                <w:szCs w:val="21"/>
                <w:lang w:val="en-US" w:eastAsia="zh-CN"/>
              </w:rPr>
              <w:t>没有</w:t>
            </w:r>
            <w:r>
              <w:rPr>
                <w:rFonts w:hint="eastAsia" w:ascii="仿宋" w:hAnsi="仿宋" w:eastAsia="仿宋" w:cs="仿宋"/>
                <w:kern w:val="0"/>
                <w:sz w:val="21"/>
                <w:szCs w:val="21"/>
              </w:rPr>
              <w:t>国有资本经营预算财政拨款支出，故本表无数据。</w:t>
            </w:r>
          </w:p>
        </w:tc>
      </w:tr>
    </w:tbl>
    <w:p>
      <w:pPr>
        <w:pStyle w:val="9"/>
        <w:rPr>
          <w:sz w:val="72"/>
          <w:szCs w:val="72"/>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第三部分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2020年度</w:t>
      </w:r>
      <w:r>
        <w:rPr>
          <w:rFonts w:hint="eastAsia" w:ascii="仿宋" w:hAnsi="仿宋" w:eastAsia="仿宋" w:cs="仿宋"/>
          <w:b/>
          <w:bCs/>
          <w:sz w:val="52"/>
          <w:szCs w:val="52"/>
          <w:lang w:eastAsia="zh-CN"/>
        </w:rPr>
        <w:t>单位</w:t>
      </w:r>
      <w:r>
        <w:rPr>
          <w:rFonts w:hint="eastAsia" w:ascii="仿宋" w:hAnsi="仿宋" w:eastAsia="仿宋" w:cs="仿宋"/>
          <w:b/>
          <w:bCs/>
          <w:sz w:val="52"/>
          <w:szCs w:val="52"/>
        </w:rPr>
        <w:t>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eastAsia="zh-CN"/>
        </w:rPr>
      </w:pPr>
      <w:r>
        <w:rPr>
          <w:rFonts w:ascii="仿宋" w:hAnsi="仿宋" w:eastAsia="仿宋" w:cs="仿宋"/>
          <w:b/>
        </w:rPr>
        <w:t>一、收入支出决算总体情况说明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eastAsia="zh-CN"/>
        </w:rPr>
      </w:pPr>
      <w:r>
        <w:rPr>
          <w:rFonts w:ascii="仿宋" w:hAnsi="仿宋" w:eastAsia="仿宋" w:cs="仿宋"/>
        </w:rPr>
        <w:t>2020年度收入、支出总计3,511.42万元，与上年相比增加772.15万元，增长28.19%。主要是因为各项业务增加，机构合并人员变动、公路水毁抢修及基础建设项目资金增加等（其中：收入3511.42万元，与上年相比，增长28.19%，增长原因是各项业务增加，公路水毁抢修及基础建设项目资金增加。支出3511.42万元，与上年相比，增长28.19%，增长原因是各项业务增加，机构合并、公路水毁抢修及基础建设项目增加等。</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二、收入决算情况说明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本年收入合计3,511.42万元，其中：财政拨款收入3,511.42万元，占100%；上级补助收入0万元，占0%；事业收入0万元，占0%；经营收入0万元，占0%；附属单位上缴收入0万元，占0%；其他收入0万元，占0%。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0" w:leftChars="0" w:right="420"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8"/>
                    <a:stretch>
                      <a:fillRect/>
                    </a:stretch>
                  </pic:blipFill>
                  <pic:spPr>
                    <a:xfrm>
                      <a:off x="0" y="0"/>
                      <a:ext cx="6134100"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本年支出合计3,511.42万元，其中：基本支出1,641.15万元，占46.74%；项目支出1,870.27万元，占53.26%；上缴上级支出0万元，占0%；经营支出0万元，占0%；对附属单位补助支出0万元，占0%。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right="420"/>
        <w:jc w:val="center"/>
        <w:textAlignment w:val="auto"/>
        <w:rPr>
          <w:rFonts w:hint="eastAsia" w:ascii="仿宋" w:hAnsi="仿宋" w:eastAsia="仿宋" w:cs="仿宋"/>
        </w:rPr>
      </w:pPr>
      <w:r>
        <w:rPr>
          <w:rFonts w:hint="eastAsia" w:ascii="仿宋" w:hAnsi="仿宋" w:eastAsia="仿宋" w:cs="仿宋"/>
          <w:lang w:val="en-US" w:eastAsia="zh-CN"/>
        </w:rPr>
        <w:drawing>
          <wp:inline distT="0" distB="0" distL="0" distR="0">
            <wp:extent cx="6134100" cy="3429000"/>
            <wp:effectExtent l="0" t="0" r="0" b="0"/>
            <wp:docPr id="4" name="Drawing 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Generated"/>
                    <pic:cNvPicPr>
                      <a:picLocks noChangeAspect="1"/>
                    </pic:cNvPicPr>
                  </pic:nvPicPr>
                  <pic:blipFill>
                    <a:blip r:embed="rId9"/>
                    <a:stretch>
                      <a:fillRect/>
                    </a:stretch>
                  </pic:blipFill>
                  <pic:spPr>
                    <a:xfrm>
                      <a:off x="0" y="0"/>
                      <a:ext cx="6134100"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四、财政拨款收入支出决算总体情况说明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2020年度财政拨款收、支总计3,511.42万元，与上年相比，增加772.15万元，增长28.19%。主要是因为各项业务增加，机构合并人员变动、公路水毁抢修及基础建设项目资金投入增加等。</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五、一般公共预算财政拨款支出决算情况说明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（一）财政拨款支出决算总体情况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2020年度财政拨款支出3,508.42万元，占本年支出合计的99.91%，与上年相比，财政拨款支出增加769.15万元，增长28.08%。主要是因为各项业务增加，机构合并、基础建设项目增加等。</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（二）财政拨款支出决算结构情况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2020年度财政拨款支出3,508.42万元，主要用于以下方面：社会保障和就业支出（类）169.92万元，占4.84%；卫生健康支出（类）86.27万元，占2.46%；交通运输支出（类）3,252.23万元，占92.7%。</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（三）财政拨款支出决算具体情况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2020年度财政拨款支出年初预算数为3,508.42万元，支出决算数为3,508.42万元，完成年初预算的100%，其中：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1、社会保障和就业支出（类）行政事业单位养老支出（款）机关事业单位基本养老保险缴费支出（项）。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年初预算为169.92万元，支出决算为169.92万元，完成年初预算的100%。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2、卫生健康支出（类）行政事业单位医疗（款）事业单位医疗（项）。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年初预算为86.27万元，支出决算为86.27万元，完成年初预算的100%。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3、交通运输支出（类）公路水路运输（款）行政运行（项）。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年初预算为1,302.68万元，支出决算为1,302.68万元，完成年初预算的100%。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4、交通运输支出（类）公路水路运输（款）一般行政管理事务（项）。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年初预算为17.27万元，支出决算为17.27万元，完成年初预算的100%。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5、交通运输支出（类）公路水路运输（款）公路养护（项）。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年初预算为1,299.35万元，支出决算为1,299.35万元，完成年初预算的100%。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6、交通运输支出（类）公路水路运输（款）其他公路水路运输支出（项）。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年初预算为176.92万元，支出决算为176.92万元，完成年初预算的100%。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7、交通运输支出（类）车辆购置税支出（款）车辆购置税用于公路等基础设施建设支出（项）。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年初预算为294.01万元，支出决算为294.01万元，完成年初预算的100%。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8、交通运输支出（类）车辆购置税支出（款）车辆购置税用于农村公路建设支出（项）。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年初预算为162万元，支出决算为162万元，完成年初预算的100%。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六、财政拨款基本支出决算情况说明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基本支出1,641.14万元（金额转换为万元时，因四舍五入存在尾差），其中：人员经费1,445.28万元，占基本支出的88.07%，主要包括：基本工资、津贴补贴、奖金、机关事业单位基本养老保险缴费、职工基本医疗保险缴费、其他社会保障缴费、其他工资福利支出、抚恤金、生活补助、医疗费补助、奖励金、其他对个人和家庭的补助；公用经费195.86万元，占基本支出的11.93%，主要包括：办公费、水费、电费、差旅费、租赁费、培训费、公务接待费、劳务费、工会经费、公务用车运行维护费、其他交通费用、其他商品和服务支出。</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七、一般公共预算财政拨款三公经费支出决算情况说明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（一）“三公”经费财政拨款支出决算总体情况说明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“三公”经费财政拨款支出预算为19.95万元，支出决算为40.57万元，完成预算的203.36%，其中：因公出国（境）费支出预算为0万元，支出决算为0万元，与本年预算数相同，与上年决算数相同。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接待费支出预算为4.75万元，支出决算为0.19万元，完成预算的4%，决算数小于预算数的主要原因是列行节约，减少公务用餐，与上年相比增加0.19万元，去年决算数为0万元，无法计算增减比率，增长的主要原因是比上年公务接待用餐有所增加。</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用车购置费及运行维护费支出预算为15.2万元，支出决算为40.38万元，完成预算的265.66%，决算数大于预算数的主要原因是抗疫工作艰巨，公务用车增加，与上年相比增加24.38万元，增长152.38%，增长的主要原因是抗疫工作艰巨，公务用车增加。</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（二）“三公”经费财政拨款支出决算具体情况说明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2020年度“三公”经费财政拨款支出决算中，公务接待费支出决算0.19万元，占0.47%，因公出国（境）费支出决算0万元，占0%，公务用车购置费及运行维护费支出决算40.38万元，占99.53%。其中：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1、因公出国（境）费支出决算为0万元，全年安排因公出国（境）团组0个，累计0人次。</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2、公务接待费支出决算为0.19万元，全年共接待来访团组1个，来宾48人次，主要是交通公路检查来人发生的接待支出。</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3、公务用车购置费及运行维护费支出决算为40.38万元，其中：公务用车购置费0万元。公务用车运行维护费40.38万元，主要是公务用车维护支出支出，截止2020年12月31日，我单位开支财政拨款的公务用车保有量为</w:t>
      </w:r>
      <w:r>
        <w:rPr>
          <w:rFonts w:hint="eastAsia" w:ascii="仿宋" w:hAnsi="仿宋" w:eastAsia="仿宋" w:cs="仿宋"/>
          <w:lang w:val="en-US" w:eastAsia="zh-CN"/>
        </w:rPr>
        <w:t>10</w:t>
      </w:r>
      <w:bookmarkStart w:id="3" w:name="_GoBack"/>
      <w:bookmarkEnd w:id="3"/>
      <w:r>
        <w:rPr>
          <w:rFonts w:ascii="仿宋" w:hAnsi="仿宋" w:eastAsia="仿宋" w:cs="仿宋"/>
        </w:rPr>
        <w:t>辆。</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八、政府性基金预算收入支出决算情况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2020年度政府性基金预算财政拨款收入3万元；年初结转和结余0万元；支出3万元，其中基本支出0万元，项目支出3万元；年末结转和结余0万元。</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九、关于机关运行经费支出说明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本部门2020年度机关运行经费支出195.86万元，与年初预算数相同。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十、一般性支出情况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2020年本部门开支会议费0万元。开支培训费0.41万元，用于开展参加省公路系统业务培训，人数3人，内容为省公路系统业务培训；未举办节庆、晚会、论坛、赛事等活动。</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十一、关于政府采购支出说明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政府采购支出总额1,870.27万元，其中：政府采购货物支出0万元、政府采购工程支出1,870.27万元、政府采购服务支出0万元。授予中小企业合同金额1,870.27万元，占政府采购支出总额的100%，其中：授予小微企业合同金额1,870.27万元，占政府采购支出总额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十二、国有资产占用情况说明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截至2020年12月31日，本单位共有车辆</w:t>
      </w:r>
      <w:r>
        <w:rPr>
          <w:rFonts w:hint="eastAsia" w:ascii="仿宋" w:hAnsi="仿宋" w:eastAsia="仿宋" w:cs="仿宋"/>
          <w:lang w:val="en-US" w:eastAsia="zh-CN"/>
        </w:rPr>
        <w:t>10</w:t>
      </w:r>
      <w:r>
        <w:rPr>
          <w:rFonts w:ascii="仿宋" w:hAnsi="仿宋" w:eastAsia="仿宋" w:cs="仿宋"/>
        </w:rPr>
        <w:t>辆，其中，主要领导干部用车</w:t>
      </w:r>
      <w:r>
        <w:rPr>
          <w:rFonts w:hint="eastAsia" w:ascii="仿宋" w:hAnsi="仿宋" w:eastAsia="仿宋" w:cs="仿宋"/>
          <w:lang w:val="en-US" w:eastAsia="zh-CN"/>
        </w:rPr>
        <w:t>0</w:t>
      </w:r>
      <w:r>
        <w:rPr>
          <w:rFonts w:ascii="仿宋" w:hAnsi="仿宋" w:eastAsia="仿宋" w:cs="仿宋"/>
        </w:rPr>
        <w:t>辆、机要通信用车0辆、应急保障用车</w:t>
      </w:r>
      <w:r>
        <w:rPr>
          <w:rFonts w:hint="eastAsia" w:ascii="仿宋" w:hAnsi="仿宋" w:eastAsia="仿宋" w:cs="仿宋"/>
          <w:lang w:val="en-US" w:eastAsia="zh-CN"/>
        </w:rPr>
        <w:t>0</w:t>
      </w:r>
      <w:r>
        <w:rPr>
          <w:rFonts w:ascii="仿宋" w:hAnsi="仿宋" w:eastAsia="仿宋" w:cs="仿宋"/>
        </w:rPr>
        <w:t>辆、执法执勤用车</w:t>
      </w:r>
      <w:r>
        <w:rPr>
          <w:rFonts w:hint="eastAsia" w:ascii="仿宋" w:hAnsi="仿宋" w:eastAsia="仿宋" w:cs="仿宋"/>
          <w:lang w:val="en-US" w:eastAsia="zh-CN"/>
        </w:rPr>
        <w:t>4</w:t>
      </w:r>
      <w:r>
        <w:rPr>
          <w:rFonts w:ascii="仿宋" w:hAnsi="仿宋" w:eastAsia="仿宋" w:cs="仿宋"/>
        </w:rPr>
        <w:t>辆、特种专业技术用车</w:t>
      </w:r>
      <w:r>
        <w:rPr>
          <w:rFonts w:hint="eastAsia" w:ascii="仿宋" w:hAnsi="仿宋" w:eastAsia="仿宋" w:cs="仿宋"/>
          <w:lang w:val="en-US" w:eastAsia="zh-CN"/>
        </w:rPr>
        <w:t>3</w:t>
      </w:r>
      <w:r>
        <w:rPr>
          <w:rFonts w:ascii="仿宋" w:hAnsi="仿宋" w:eastAsia="仿宋" w:cs="仿宋"/>
        </w:rPr>
        <w:t>辆、其他用车</w:t>
      </w:r>
      <w:r>
        <w:rPr>
          <w:rFonts w:hint="eastAsia" w:ascii="仿宋" w:hAnsi="仿宋" w:eastAsia="仿宋" w:cs="仿宋"/>
          <w:lang w:val="en-US" w:eastAsia="zh-CN"/>
        </w:rPr>
        <w:t>3</w:t>
      </w:r>
      <w:r>
        <w:rPr>
          <w:rFonts w:ascii="仿宋" w:hAnsi="仿宋" w:eastAsia="仿宋" w:cs="仿宋"/>
        </w:rPr>
        <w:t>辆。单位价值50万元以上通用设备0台（套），单位价值100万元以上专用设备0台（套）。</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十三、预算绩效评价工作开展情况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本部门预算绩效管理开展情况、绩效目标和绩效评价报告等见附件。</w:t>
      </w:r>
    </w:p>
    <w:p>
      <w:pPr>
        <w:pStyle w:val="9"/>
        <w:tabs>
          <w:tab w:val="left" w:pos="5967"/>
        </w:tabs>
        <w:jc w:val="left"/>
        <w:rPr>
          <w:rFonts w:hint="eastAsia" w:eastAsia="黑体"/>
          <w:sz w:val="72"/>
          <w:szCs w:val="72"/>
          <w:lang w:eastAsia="zh-CN"/>
        </w:rPr>
        <w:sectPr>
          <w:footerReference r:id="rId6" w:type="default"/>
          <w:pgSz w:w="11906" w:h="16838"/>
          <w:pgMar w:top="720" w:right="720" w:bottom="720" w:left="720" w:header="851" w:footer="992" w:gutter="0"/>
          <w:pgNumType w:fmt="numberInDash"/>
          <w:cols w:space="0" w:num="1"/>
          <w:rtlGutter w:val="0"/>
          <w:docGrid w:type="lines" w:linePitch="319" w:charSpace="0"/>
        </w:sectPr>
      </w:pPr>
    </w:p>
    <w:p>
      <w:pPr>
        <w:pStyle w:val="9"/>
        <w:jc w:val="both"/>
        <w:rPr>
          <w:sz w:val="72"/>
          <w:szCs w:val="72"/>
        </w:rPr>
      </w:pPr>
    </w:p>
    <w:p>
      <w:pPr>
        <w:pStyle w:val="9"/>
        <w:jc w:val="both"/>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第四部分</w:t>
      </w:r>
    </w:p>
    <w:p>
      <w:pPr>
        <w:jc w:val="center"/>
        <w:rPr>
          <w:rFonts w:hint="eastAsia" w:ascii="仿宋" w:hAnsi="仿宋" w:eastAsia="仿宋" w:cs="仿宋"/>
          <w:b/>
          <w:bCs/>
          <w:color w:val="000000"/>
          <w:kern w:val="0"/>
          <w:sz w:val="52"/>
          <w:szCs w:val="52"/>
        </w:rPr>
      </w:pPr>
    </w:p>
    <w:p>
      <w:pPr>
        <w:jc w:val="center"/>
        <w:rPr>
          <w:rFonts w:hint="eastAsia" w:ascii="仿宋" w:hAnsi="仿宋" w:eastAsia="仿宋" w:cs="仿宋"/>
          <w:b/>
          <w:bCs/>
          <w:color w:val="000000"/>
          <w:kern w:val="0"/>
          <w:sz w:val="52"/>
          <w:szCs w:val="52"/>
        </w:rPr>
      </w:pPr>
      <w:r>
        <w:rPr>
          <w:rFonts w:hint="eastAsia" w:ascii="仿宋" w:hAnsi="仿宋" w:eastAsia="仿宋" w:cs="仿宋"/>
          <w:b/>
          <w:bCs/>
          <w:color w:val="000000"/>
          <w:kern w:val="0"/>
          <w:sz w:val="52"/>
          <w:szCs w:val="5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ascii="仿宋" w:hAnsi="仿宋" w:eastAsia="仿宋" w:cs="仿宋"/>
          <w:b/>
          <w:color w:val="000000"/>
          <w:sz w:val="32"/>
        </w:rPr>
        <w:t>：</w:t>
      </w:r>
      <w:r>
        <w:rPr>
          <w:rFonts w:hint="eastAsia" w:ascii="仿宋" w:hAnsi="仿宋" w:eastAsia="仿宋" w:cs="仿宋"/>
          <w:color w:val="000000"/>
          <w:kern w:val="0"/>
          <w:sz w:val="32"/>
          <w:szCs w:val="32"/>
        </w:rPr>
        <w:t>指单位本年度从同级财政部门取得的各类财政拨款。</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二、上级补助收入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指事业单位从主管部门和上级单位取得的非财政补助收入。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三、事业收入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指事业单位开展专业业务活动及其辅助活动取得的收入，事业单位收到的财政专户实际核拨的教育收费等资金在此反映。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四、经营收入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指事业单位在专业业务活动及其辅助活动之外开展非独立核算经营活动取得的收入。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五、附属单位上缴收入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指事业单位附属独立核算单位按照有关规定上缴的收入。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六、其他收入</w:t>
      </w:r>
      <w:r>
        <w:rPr>
          <w:rFonts w:ascii="仿宋" w:hAnsi="仿宋" w:eastAsia="仿宋" w:cs="仿宋"/>
          <w:b/>
          <w:color w:val="000000"/>
          <w:sz w:val="32"/>
        </w:rPr>
        <w:t>：</w:t>
      </w:r>
      <w:r>
        <w:rPr>
          <w:rFonts w:hint="eastAsia" w:ascii="仿宋" w:hAnsi="仿宋" w:eastAsia="仿宋" w:cs="仿宋"/>
          <w:color w:val="000000"/>
          <w:kern w:val="0"/>
          <w:sz w:val="32"/>
          <w:szCs w:val="32"/>
        </w:rPr>
        <w:t>指单位取得的除上述“财政拨款收入”、“事业收入”、“经营收入”等以外的各项收入。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七、使用非财政拨款结余</w:t>
      </w:r>
      <w:r>
        <w:rPr>
          <w:rFonts w:ascii="仿宋" w:hAnsi="仿宋" w:eastAsia="仿宋" w:cs="仿宋"/>
          <w:b/>
          <w:color w:val="000000"/>
          <w:sz w:val="32"/>
        </w:rPr>
        <w:t>：</w:t>
      </w:r>
      <w:r>
        <w:rPr>
          <w:rFonts w:hint="eastAsia" w:ascii="仿宋" w:hAnsi="仿宋" w:eastAsia="仿宋" w:cs="仿宋"/>
          <w:color w:val="000000"/>
          <w:kern w:val="0"/>
          <w:sz w:val="32"/>
          <w:szCs w:val="32"/>
        </w:rPr>
        <w:t>指事业单位使用非财政拨款结余（原事业基金）弥补当年收支差额的数额。</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八、年初结转和结余</w:t>
      </w:r>
      <w:r>
        <w:rPr>
          <w:rFonts w:ascii="仿宋" w:hAnsi="仿宋" w:eastAsia="仿宋" w:cs="仿宋"/>
          <w:b/>
          <w:color w:val="000000"/>
          <w:sz w:val="32"/>
        </w:rPr>
        <w:t>：</w:t>
      </w:r>
      <w:r>
        <w:rPr>
          <w:rFonts w:hint="eastAsia" w:ascii="仿宋" w:hAnsi="仿宋" w:eastAsia="仿宋" w:cs="仿宋"/>
          <w:color w:val="000000"/>
          <w:kern w:val="0"/>
          <w:sz w:val="32"/>
          <w:szCs w:val="32"/>
        </w:rPr>
        <w:t>指单位上年结转本年使用的基本支出结转、项目支出结转和结余和经营结余。</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九、结余分配</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指事业单位按规定对非财政拨款结余资金提取的专用基金、缴纳的所得税和转入非财政拨款结余等。</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十、年末结转和结余资金</w:t>
      </w:r>
      <w:r>
        <w:rPr>
          <w:rFonts w:ascii="仿宋" w:hAnsi="仿宋" w:eastAsia="仿宋" w:cs="仿宋"/>
          <w:b/>
          <w:color w:val="000000"/>
          <w:sz w:val="32"/>
        </w:rPr>
        <w:t>：</w:t>
      </w:r>
      <w:r>
        <w:rPr>
          <w:rFonts w:hint="eastAsia" w:ascii="仿宋" w:hAnsi="仿宋" w:eastAsia="仿宋" w:cs="仿宋"/>
          <w:color w:val="000000"/>
          <w:kern w:val="0"/>
          <w:sz w:val="32"/>
          <w:szCs w:val="32"/>
        </w:rPr>
        <w:t>指本年度或以前年度预算安排、因客观条件发生变化无法按原计划实施，需要延迟到以后年度按有关规定继续使用的资金。</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十一、基本支出</w:t>
      </w:r>
      <w:r>
        <w:rPr>
          <w:rFonts w:ascii="仿宋" w:hAnsi="仿宋" w:eastAsia="仿宋" w:cs="仿宋"/>
          <w:b/>
          <w:color w:val="000000"/>
          <w:sz w:val="32"/>
        </w:rPr>
        <w:t>：</w:t>
      </w:r>
      <w:r>
        <w:rPr>
          <w:rFonts w:hint="eastAsia" w:ascii="仿宋" w:hAnsi="仿宋" w:eastAsia="仿宋" w:cs="仿宋"/>
          <w:color w:val="000000"/>
          <w:kern w:val="0"/>
          <w:sz w:val="32"/>
          <w:szCs w:val="32"/>
        </w:rPr>
        <w:t>指为保障机构正常运转、完成日常工作任务而发生的支出，包括人员经费和公用经费。</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十二、项目支出</w:t>
      </w:r>
      <w:r>
        <w:rPr>
          <w:rFonts w:ascii="仿宋" w:hAnsi="仿宋" w:eastAsia="仿宋" w:cs="仿宋"/>
          <w:b/>
          <w:color w:val="000000"/>
          <w:sz w:val="32"/>
        </w:rPr>
        <w:t>：</w:t>
      </w:r>
      <w:r>
        <w:rPr>
          <w:rFonts w:hint="eastAsia" w:ascii="仿宋" w:hAnsi="仿宋" w:eastAsia="仿宋" w:cs="仿宋"/>
          <w:color w:val="000000"/>
          <w:kern w:val="0"/>
          <w:sz w:val="32"/>
          <w:szCs w:val="32"/>
        </w:rPr>
        <w:t>指在为完成特定的工作任务和事业发展目标所发生的支出。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十三、上缴上级支出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指事业单位按照财政部门和主管部门的规定上缴上级单位的支出。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十四、经营支出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十五、对附属单位补助支出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指事业单位用财政拨款收入之外的收入对附属单位补助发生的支出。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十六、“三公”经费</w:t>
      </w:r>
      <w:r>
        <w:rPr>
          <w:rFonts w:ascii="仿宋" w:hAnsi="仿宋" w:eastAsia="仿宋" w:cs="仿宋"/>
          <w:b/>
          <w:color w:val="000000"/>
          <w:sz w:val="32"/>
        </w:rPr>
        <w:t>：</w:t>
      </w:r>
      <w:r>
        <w:rPr>
          <w:rFonts w:hint="eastAsia" w:ascii="仿宋" w:hAnsi="仿宋" w:eastAsia="仿宋" w:cs="仿宋"/>
          <w:color w:val="000000"/>
          <w:kern w:val="0"/>
          <w:sz w:val="32"/>
          <w:szCs w:val="32"/>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十七、机关运行经费</w:t>
      </w:r>
      <w:r>
        <w:rPr>
          <w:rFonts w:ascii="仿宋" w:hAnsi="仿宋" w:eastAsia="仿宋" w:cs="仿宋"/>
          <w:b/>
          <w:color w:val="000000"/>
          <w:sz w:val="32"/>
        </w:rPr>
        <w:t>：</w:t>
      </w:r>
      <w:r>
        <w:rPr>
          <w:rFonts w:hint="eastAsia" w:ascii="仿宋" w:hAnsi="仿宋" w:eastAsia="仿宋" w:cs="仿宋"/>
          <w:color w:val="000000"/>
          <w:kern w:val="0"/>
          <w:sz w:val="32"/>
          <w:szCs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十八、社会保障和就业支出(类)行政事业单位养老支出(款)机关事业单位基本养老保险缴费支出(项)</w:t>
      </w:r>
      <w:r>
        <w:rPr>
          <w:rFonts w:ascii="仿宋" w:hAnsi="仿宋" w:eastAsia="仿宋" w:cs="仿宋"/>
          <w:b/>
          <w:color w:val="000000"/>
          <w:sz w:val="32"/>
        </w:rPr>
        <w:t>：</w:t>
      </w:r>
      <w:r>
        <w:rPr>
          <w:rFonts w:hint="eastAsia" w:ascii="仿宋" w:hAnsi="仿宋" w:eastAsia="仿宋" w:cs="仿宋"/>
          <w:color w:val="000000"/>
          <w:kern w:val="0"/>
          <w:sz w:val="32"/>
          <w:szCs w:val="32"/>
        </w:rPr>
        <w:t>反映机关事业单位实施养老保险制度由单位缴纳的基本养老保险费支出。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十九、卫生健康支出(类)行政事业单位医疗(款)事业单位医疗(项)</w:t>
      </w:r>
      <w:r>
        <w:rPr>
          <w:rFonts w:ascii="仿宋" w:hAnsi="仿宋" w:eastAsia="仿宋" w:cs="仿宋"/>
          <w:b/>
          <w:color w:val="000000"/>
          <w:sz w:val="32"/>
        </w:rPr>
        <w:t>：</w:t>
      </w:r>
      <w:r>
        <w:rPr>
          <w:rFonts w:hint="eastAsia" w:ascii="仿宋" w:hAnsi="仿宋" w:eastAsia="仿宋" w:cs="仿宋"/>
          <w:color w:val="000000"/>
          <w:kern w:val="0"/>
          <w:sz w:val="32"/>
          <w:szCs w:val="32"/>
        </w:rPr>
        <w:t>反映财政部门安排的事业单位基本医疗保险缴费经费，未参加医疗保险的事业单位的公费医疗经费，按国家规定享受离休人员待遇的医疗经费。</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二十、交通运输支出(类)公路水路运输(款)行政运行(项)</w:t>
      </w:r>
      <w:r>
        <w:rPr>
          <w:rFonts w:ascii="仿宋" w:hAnsi="仿宋" w:eastAsia="仿宋" w:cs="仿宋"/>
          <w:b/>
          <w:color w:val="000000"/>
          <w:sz w:val="32"/>
        </w:rPr>
        <w:t>：</w:t>
      </w:r>
      <w:r>
        <w:rPr>
          <w:rFonts w:hint="eastAsia" w:ascii="仿宋" w:hAnsi="仿宋" w:eastAsia="仿宋" w:cs="仿宋"/>
          <w:color w:val="000000"/>
          <w:kern w:val="0"/>
          <w:sz w:val="32"/>
          <w:szCs w:val="32"/>
        </w:rPr>
        <w:t>反映行政单位（包括实行公务员管理的事业单位）的基本支出。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二十一、交通运输支出(类)公路水路运输(款)一般行政管理事务(项)</w:t>
      </w:r>
      <w:r>
        <w:rPr>
          <w:rFonts w:ascii="仿宋" w:hAnsi="仿宋" w:eastAsia="仿宋" w:cs="仿宋"/>
          <w:b/>
          <w:color w:val="000000"/>
          <w:sz w:val="32"/>
        </w:rPr>
        <w:t>：</w:t>
      </w:r>
      <w:r>
        <w:rPr>
          <w:rFonts w:hint="eastAsia" w:ascii="仿宋" w:hAnsi="仿宋" w:eastAsia="仿宋" w:cs="仿宋"/>
          <w:color w:val="000000"/>
          <w:kern w:val="0"/>
          <w:sz w:val="32"/>
          <w:szCs w:val="32"/>
        </w:rPr>
        <w:t>反映行政单位（包括实行公务员管理的事业单位）未单独设置项级科目的其他项目支出。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二十二、交通运输支出(类)公路水路运输(款)公路养护(项)</w:t>
      </w:r>
      <w:r>
        <w:rPr>
          <w:rFonts w:ascii="仿宋" w:hAnsi="仿宋" w:eastAsia="仿宋" w:cs="仿宋"/>
          <w:b/>
          <w:color w:val="000000"/>
          <w:sz w:val="32"/>
        </w:rPr>
        <w:t>：</w:t>
      </w:r>
      <w:r>
        <w:rPr>
          <w:rFonts w:hint="eastAsia" w:ascii="仿宋" w:hAnsi="仿宋" w:eastAsia="仿宋" w:cs="仿宋"/>
          <w:color w:val="000000"/>
          <w:kern w:val="0"/>
          <w:sz w:val="32"/>
          <w:szCs w:val="32"/>
        </w:rPr>
        <w:t>反映公路养护支出。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二十三、交通运输支出(类)公路水路运输(款)其他公路水路运输支出(项)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反映除上述项目以外其他用于公路水路运输方面的支出。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二十四、交通运输支出(类)车辆购置税支出(款)车辆购置税用于公路等基础设施建设支出(项)</w:t>
      </w:r>
      <w:r>
        <w:rPr>
          <w:rFonts w:ascii="仿宋" w:hAnsi="仿宋" w:eastAsia="仿宋" w:cs="仿宋"/>
          <w:b/>
          <w:color w:val="000000"/>
          <w:sz w:val="32"/>
        </w:rPr>
        <w:t>：</w:t>
      </w:r>
      <w:r>
        <w:rPr>
          <w:rFonts w:hint="eastAsia" w:ascii="仿宋" w:hAnsi="仿宋" w:eastAsia="仿宋" w:cs="仿宋"/>
          <w:color w:val="000000"/>
          <w:kern w:val="0"/>
          <w:sz w:val="32"/>
          <w:szCs w:val="32"/>
        </w:rPr>
        <w:t>反映车辆购置税收入安排用于公路等基础设施建设的支出。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二十五、交通运输支出(类)车辆购置税支出(款)车辆购置税用于农村公路建设支出(项)</w:t>
      </w:r>
      <w:r>
        <w:rPr>
          <w:rFonts w:ascii="仿宋" w:hAnsi="仿宋" w:eastAsia="仿宋" w:cs="仿宋"/>
          <w:b/>
          <w:color w:val="000000"/>
          <w:sz w:val="32"/>
        </w:rPr>
        <w:t>：</w:t>
      </w:r>
      <w:r>
        <w:rPr>
          <w:rFonts w:hint="eastAsia" w:ascii="仿宋" w:hAnsi="仿宋" w:eastAsia="仿宋" w:cs="仿宋"/>
          <w:color w:val="000000"/>
          <w:kern w:val="0"/>
          <w:sz w:val="32"/>
          <w:szCs w:val="32"/>
        </w:rPr>
        <w:t>反映车辆购置税收入安排用于农村公路建设的支出。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二十六、抗疫特别国债安排的支出(类)抗疫相关支出(款)其他抗疫相关支出(项)</w:t>
      </w:r>
      <w:r>
        <w:rPr>
          <w:rFonts w:ascii="仿宋" w:hAnsi="仿宋" w:eastAsia="仿宋" w:cs="仿宋"/>
          <w:b/>
          <w:color w:val="000000"/>
          <w:sz w:val="32"/>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3" w:hRule="atLeast"/>
        </w:trPr>
        <w:tc>
          <w:tcPr>
            <w:tcW w:w="8516" w:type="dxa"/>
            <w:tcBorders>
              <w:top w:val="nil"/>
              <w:left w:val="nil"/>
              <w:bottom w:val="nil"/>
              <w:right w:val="nil"/>
            </w:tcBorders>
            <w:vAlign w:val="center"/>
          </w:tcPr>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w:t>
            </w:r>
            <w:r>
              <w:rPr>
                <w:rFonts w:hint="eastAsia" w:ascii="仿宋" w:hAnsi="仿宋" w:eastAsia="仿宋" w:cs="仿宋"/>
                <w:b/>
                <w:bCs/>
                <w:sz w:val="52"/>
                <w:szCs w:val="52"/>
                <w:lang w:val="en-US" w:eastAsia="zh-CN"/>
              </w:rPr>
              <w:t>五</w:t>
            </w:r>
            <w:r>
              <w:rPr>
                <w:rFonts w:hint="eastAsia" w:ascii="仿宋" w:hAnsi="仿宋" w:eastAsia="仿宋" w:cs="仿宋"/>
                <w:b/>
                <w:bCs/>
                <w:sz w:val="52"/>
                <w:szCs w:val="52"/>
              </w:rPr>
              <w:t>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color w:val="000000"/>
                <w:kern w:val="0"/>
                <w:sz w:val="52"/>
                <w:szCs w:val="52"/>
                <w:lang w:val="en-US" w:eastAsia="zh-CN"/>
              </w:rPr>
              <w:t>附件</w:t>
            </w:r>
          </w:p>
        </w:tc>
      </w:tr>
    </w:tbl>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wMjZhOTI5OTEyZTRiNTg4MzYzODg3ZDcxZDQ2NTMifQ=="/>
  </w:docVars>
  <w:rsids>
    <w:rsidRoot w:val="73D72D54"/>
    <w:rsid w:val="00034B45"/>
    <w:rsid w:val="000A4A40"/>
    <w:rsid w:val="00112995"/>
    <w:rsid w:val="00A57004"/>
    <w:rsid w:val="00EF3870"/>
    <w:rsid w:val="01276120"/>
    <w:rsid w:val="01292E6B"/>
    <w:rsid w:val="014F7B6E"/>
    <w:rsid w:val="01511258"/>
    <w:rsid w:val="015967FE"/>
    <w:rsid w:val="019E11B3"/>
    <w:rsid w:val="01A42E7E"/>
    <w:rsid w:val="01A775D9"/>
    <w:rsid w:val="01B60941"/>
    <w:rsid w:val="02701F7E"/>
    <w:rsid w:val="02721624"/>
    <w:rsid w:val="02B21423"/>
    <w:rsid w:val="02E608A0"/>
    <w:rsid w:val="02EF2D79"/>
    <w:rsid w:val="03147B85"/>
    <w:rsid w:val="033D7DA6"/>
    <w:rsid w:val="03562E2F"/>
    <w:rsid w:val="03E42784"/>
    <w:rsid w:val="04026EE9"/>
    <w:rsid w:val="04067B8D"/>
    <w:rsid w:val="040E2250"/>
    <w:rsid w:val="0414592F"/>
    <w:rsid w:val="04373E00"/>
    <w:rsid w:val="04491887"/>
    <w:rsid w:val="047F291F"/>
    <w:rsid w:val="047F40D0"/>
    <w:rsid w:val="04A95710"/>
    <w:rsid w:val="04C96E18"/>
    <w:rsid w:val="04CF483B"/>
    <w:rsid w:val="05283F7F"/>
    <w:rsid w:val="05501AD7"/>
    <w:rsid w:val="05721CEA"/>
    <w:rsid w:val="05877611"/>
    <w:rsid w:val="05AC71A4"/>
    <w:rsid w:val="05BB5E49"/>
    <w:rsid w:val="05E84904"/>
    <w:rsid w:val="060A158E"/>
    <w:rsid w:val="060B4F09"/>
    <w:rsid w:val="060D24D3"/>
    <w:rsid w:val="066E7586"/>
    <w:rsid w:val="06735460"/>
    <w:rsid w:val="06876935"/>
    <w:rsid w:val="06924863"/>
    <w:rsid w:val="06C11D6A"/>
    <w:rsid w:val="06C92B89"/>
    <w:rsid w:val="07016659"/>
    <w:rsid w:val="07413E1B"/>
    <w:rsid w:val="076169E4"/>
    <w:rsid w:val="076E3F15"/>
    <w:rsid w:val="07A03FF7"/>
    <w:rsid w:val="07D03716"/>
    <w:rsid w:val="07DC3A34"/>
    <w:rsid w:val="07E245DA"/>
    <w:rsid w:val="083948C9"/>
    <w:rsid w:val="08435B69"/>
    <w:rsid w:val="08443FC4"/>
    <w:rsid w:val="085D0F3E"/>
    <w:rsid w:val="08703DDB"/>
    <w:rsid w:val="08911752"/>
    <w:rsid w:val="08A67EB6"/>
    <w:rsid w:val="08AD675E"/>
    <w:rsid w:val="08B33244"/>
    <w:rsid w:val="08D162B6"/>
    <w:rsid w:val="08F06986"/>
    <w:rsid w:val="08F75E31"/>
    <w:rsid w:val="092E090E"/>
    <w:rsid w:val="096020E4"/>
    <w:rsid w:val="09743548"/>
    <w:rsid w:val="09940B5A"/>
    <w:rsid w:val="0996686E"/>
    <w:rsid w:val="0A016DB1"/>
    <w:rsid w:val="0A190C1A"/>
    <w:rsid w:val="0A1D43DC"/>
    <w:rsid w:val="0A4E5CBB"/>
    <w:rsid w:val="0A843DA6"/>
    <w:rsid w:val="0AC23008"/>
    <w:rsid w:val="0ACA6C76"/>
    <w:rsid w:val="0ACB336B"/>
    <w:rsid w:val="0AF52874"/>
    <w:rsid w:val="0B0F21C0"/>
    <w:rsid w:val="0B1A005C"/>
    <w:rsid w:val="0B5078D7"/>
    <w:rsid w:val="0B550C44"/>
    <w:rsid w:val="0B772BDC"/>
    <w:rsid w:val="0B8E2066"/>
    <w:rsid w:val="0BA35478"/>
    <w:rsid w:val="0BC04806"/>
    <w:rsid w:val="0BD65627"/>
    <w:rsid w:val="0C0F44E0"/>
    <w:rsid w:val="0CA1448F"/>
    <w:rsid w:val="0CA32AA8"/>
    <w:rsid w:val="0D2F20B4"/>
    <w:rsid w:val="0D452501"/>
    <w:rsid w:val="0D65075F"/>
    <w:rsid w:val="0D665132"/>
    <w:rsid w:val="0DBB6B0A"/>
    <w:rsid w:val="0DBC1A23"/>
    <w:rsid w:val="0DDC135D"/>
    <w:rsid w:val="0E1C1CBD"/>
    <w:rsid w:val="0E7552DD"/>
    <w:rsid w:val="0E79533D"/>
    <w:rsid w:val="0E7D57CF"/>
    <w:rsid w:val="0ECC3BEA"/>
    <w:rsid w:val="0F144184"/>
    <w:rsid w:val="0F1C62C7"/>
    <w:rsid w:val="0F2E1F67"/>
    <w:rsid w:val="0F3D5BBA"/>
    <w:rsid w:val="0F3F019D"/>
    <w:rsid w:val="0F3F0C21"/>
    <w:rsid w:val="0F800099"/>
    <w:rsid w:val="0F921EF8"/>
    <w:rsid w:val="0FC26152"/>
    <w:rsid w:val="0FC601BF"/>
    <w:rsid w:val="10060226"/>
    <w:rsid w:val="1021781E"/>
    <w:rsid w:val="109244B4"/>
    <w:rsid w:val="10E67F73"/>
    <w:rsid w:val="11350FC3"/>
    <w:rsid w:val="11403931"/>
    <w:rsid w:val="11427235"/>
    <w:rsid w:val="1160207C"/>
    <w:rsid w:val="11691213"/>
    <w:rsid w:val="11A678F3"/>
    <w:rsid w:val="11B2477D"/>
    <w:rsid w:val="120A0B74"/>
    <w:rsid w:val="1225480C"/>
    <w:rsid w:val="12305B44"/>
    <w:rsid w:val="12395882"/>
    <w:rsid w:val="12572C62"/>
    <w:rsid w:val="12832B16"/>
    <w:rsid w:val="12963B61"/>
    <w:rsid w:val="12A001D8"/>
    <w:rsid w:val="12A03FDD"/>
    <w:rsid w:val="12EB14A5"/>
    <w:rsid w:val="132B2CAB"/>
    <w:rsid w:val="13426212"/>
    <w:rsid w:val="13511047"/>
    <w:rsid w:val="13530689"/>
    <w:rsid w:val="13571F03"/>
    <w:rsid w:val="13584546"/>
    <w:rsid w:val="138132DE"/>
    <w:rsid w:val="138662BF"/>
    <w:rsid w:val="139B183B"/>
    <w:rsid w:val="13CD7E8D"/>
    <w:rsid w:val="141459E2"/>
    <w:rsid w:val="14295BBE"/>
    <w:rsid w:val="143746C5"/>
    <w:rsid w:val="14501E36"/>
    <w:rsid w:val="145B604C"/>
    <w:rsid w:val="15037188"/>
    <w:rsid w:val="15153CFF"/>
    <w:rsid w:val="154C316F"/>
    <w:rsid w:val="154E64F6"/>
    <w:rsid w:val="15BF24D2"/>
    <w:rsid w:val="16174016"/>
    <w:rsid w:val="16366EA1"/>
    <w:rsid w:val="16517A95"/>
    <w:rsid w:val="16A059C5"/>
    <w:rsid w:val="16C455F3"/>
    <w:rsid w:val="16F23847"/>
    <w:rsid w:val="176D5AE5"/>
    <w:rsid w:val="176F3CF4"/>
    <w:rsid w:val="177B4445"/>
    <w:rsid w:val="178C1D8E"/>
    <w:rsid w:val="17931257"/>
    <w:rsid w:val="17B07FD2"/>
    <w:rsid w:val="17B52230"/>
    <w:rsid w:val="17D226D1"/>
    <w:rsid w:val="17F03885"/>
    <w:rsid w:val="18152DA2"/>
    <w:rsid w:val="1816118F"/>
    <w:rsid w:val="182F4A44"/>
    <w:rsid w:val="18395CC2"/>
    <w:rsid w:val="183E0B42"/>
    <w:rsid w:val="18541566"/>
    <w:rsid w:val="186B1DF6"/>
    <w:rsid w:val="186F101A"/>
    <w:rsid w:val="18B75606"/>
    <w:rsid w:val="18D511E5"/>
    <w:rsid w:val="19642C59"/>
    <w:rsid w:val="197C2BAB"/>
    <w:rsid w:val="19934B8F"/>
    <w:rsid w:val="19C00F4B"/>
    <w:rsid w:val="19D421B6"/>
    <w:rsid w:val="1A2154AB"/>
    <w:rsid w:val="1A2D6009"/>
    <w:rsid w:val="1A365AD9"/>
    <w:rsid w:val="1A384EDA"/>
    <w:rsid w:val="1A3A7A46"/>
    <w:rsid w:val="1A4B3825"/>
    <w:rsid w:val="1A5214C4"/>
    <w:rsid w:val="1A604A6E"/>
    <w:rsid w:val="1A622F58"/>
    <w:rsid w:val="1AAE251F"/>
    <w:rsid w:val="1AB77BA8"/>
    <w:rsid w:val="1ABA1A9B"/>
    <w:rsid w:val="1AD210BC"/>
    <w:rsid w:val="1ADA5355"/>
    <w:rsid w:val="1AEB4A6C"/>
    <w:rsid w:val="1B113722"/>
    <w:rsid w:val="1BA34EBE"/>
    <w:rsid w:val="1BA64A02"/>
    <w:rsid w:val="1BBE4C21"/>
    <w:rsid w:val="1BCC526D"/>
    <w:rsid w:val="1C0F7370"/>
    <w:rsid w:val="1C1845D0"/>
    <w:rsid w:val="1C1C1C79"/>
    <w:rsid w:val="1C285793"/>
    <w:rsid w:val="1C38750B"/>
    <w:rsid w:val="1C432267"/>
    <w:rsid w:val="1C550A94"/>
    <w:rsid w:val="1C682658"/>
    <w:rsid w:val="1C731FF7"/>
    <w:rsid w:val="1C7F7769"/>
    <w:rsid w:val="1CB02F77"/>
    <w:rsid w:val="1CBB3285"/>
    <w:rsid w:val="1CC175BC"/>
    <w:rsid w:val="1CE53BF5"/>
    <w:rsid w:val="1D3B4CED"/>
    <w:rsid w:val="1D61464A"/>
    <w:rsid w:val="1D8231E6"/>
    <w:rsid w:val="1D901010"/>
    <w:rsid w:val="1DAA11E9"/>
    <w:rsid w:val="1DBE404A"/>
    <w:rsid w:val="1E16693C"/>
    <w:rsid w:val="1E2E1C47"/>
    <w:rsid w:val="1E5309C4"/>
    <w:rsid w:val="1E554167"/>
    <w:rsid w:val="1E783066"/>
    <w:rsid w:val="1E7D61A5"/>
    <w:rsid w:val="1E924A94"/>
    <w:rsid w:val="1EB41A4F"/>
    <w:rsid w:val="1ECB2665"/>
    <w:rsid w:val="1EDB0670"/>
    <w:rsid w:val="1F1A67CD"/>
    <w:rsid w:val="1F2406C6"/>
    <w:rsid w:val="1F6163BF"/>
    <w:rsid w:val="1F6278C1"/>
    <w:rsid w:val="1F8B5BAF"/>
    <w:rsid w:val="1F8F6EC3"/>
    <w:rsid w:val="1FA94F16"/>
    <w:rsid w:val="20255F25"/>
    <w:rsid w:val="20291CB3"/>
    <w:rsid w:val="202F73AB"/>
    <w:rsid w:val="2049150E"/>
    <w:rsid w:val="20540D0F"/>
    <w:rsid w:val="205913A2"/>
    <w:rsid w:val="20707F7E"/>
    <w:rsid w:val="20824933"/>
    <w:rsid w:val="20842F75"/>
    <w:rsid w:val="20844EDC"/>
    <w:rsid w:val="20853A42"/>
    <w:rsid w:val="20C80A9F"/>
    <w:rsid w:val="20CB3580"/>
    <w:rsid w:val="20CC6679"/>
    <w:rsid w:val="20D12D62"/>
    <w:rsid w:val="20D24D60"/>
    <w:rsid w:val="20EF11BB"/>
    <w:rsid w:val="20FE693B"/>
    <w:rsid w:val="2111037C"/>
    <w:rsid w:val="21210B07"/>
    <w:rsid w:val="213C39F7"/>
    <w:rsid w:val="21444B43"/>
    <w:rsid w:val="21486C01"/>
    <w:rsid w:val="214E64EB"/>
    <w:rsid w:val="215E2854"/>
    <w:rsid w:val="21665038"/>
    <w:rsid w:val="216820ED"/>
    <w:rsid w:val="219D0A68"/>
    <w:rsid w:val="21A66555"/>
    <w:rsid w:val="21AC0CB6"/>
    <w:rsid w:val="21C806DD"/>
    <w:rsid w:val="21C84029"/>
    <w:rsid w:val="2254336E"/>
    <w:rsid w:val="22BF5F1A"/>
    <w:rsid w:val="22F87C27"/>
    <w:rsid w:val="230D6FA9"/>
    <w:rsid w:val="235D5957"/>
    <w:rsid w:val="23866A70"/>
    <w:rsid w:val="23E8231D"/>
    <w:rsid w:val="23EA2D8E"/>
    <w:rsid w:val="23F16DBD"/>
    <w:rsid w:val="247728AF"/>
    <w:rsid w:val="24AD00E2"/>
    <w:rsid w:val="24B74192"/>
    <w:rsid w:val="24D85F11"/>
    <w:rsid w:val="2523105C"/>
    <w:rsid w:val="25242F6B"/>
    <w:rsid w:val="25261089"/>
    <w:rsid w:val="25365CD1"/>
    <w:rsid w:val="258861EB"/>
    <w:rsid w:val="2591552F"/>
    <w:rsid w:val="25A13587"/>
    <w:rsid w:val="25A36332"/>
    <w:rsid w:val="25C46206"/>
    <w:rsid w:val="25D20556"/>
    <w:rsid w:val="26153E79"/>
    <w:rsid w:val="26285F08"/>
    <w:rsid w:val="264C0E1C"/>
    <w:rsid w:val="26622DB4"/>
    <w:rsid w:val="26650EB8"/>
    <w:rsid w:val="26731BEC"/>
    <w:rsid w:val="26991832"/>
    <w:rsid w:val="26CD0188"/>
    <w:rsid w:val="27394F8E"/>
    <w:rsid w:val="27523E2B"/>
    <w:rsid w:val="280930C2"/>
    <w:rsid w:val="28234FB2"/>
    <w:rsid w:val="28353550"/>
    <w:rsid w:val="28373F3E"/>
    <w:rsid w:val="28905184"/>
    <w:rsid w:val="28A2570F"/>
    <w:rsid w:val="28D43AA3"/>
    <w:rsid w:val="28D91A73"/>
    <w:rsid w:val="292F7AB5"/>
    <w:rsid w:val="29391735"/>
    <w:rsid w:val="296E6EA5"/>
    <w:rsid w:val="29976D19"/>
    <w:rsid w:val="29B04233"/>
    <w:rsid w:val="29B409F0"/>
    <w:rsid w:val="29DC5911"/>
    <w:rsid w:val="2A717FA2"/>
    <w:rsid w:val="2A9F5D13"/>
    <w:rsid w:val="2ABF6C24"/>
    <w:rsid w:val="2ADD3382"/>
    <w:rsid w:val="2AE8452D"/>
    <w:rsid w:val="2B252CD9"/>
    <w:rsid w:val="2B3E1800"/>
    <w:rsid w:val="2B4F1786"/>
    <w:rsid w:val="2B856DA1"/>
    <w:rsid w:val="2BCA702D"/>
    <w:rsid w:val="2C06344A"/>
    <w:rsid w:val="2C0C5168"/>
    <w:rsid w:val="2C1B6AEB"/>
    <w:rsid w:val="2C317416"/>
    <w:rsid w:val="2C85031F"/>
    <w:rsid w:val="2C9C05BB"/>
    <w:rsid w:val="2CA11E70"/>
    <w:rsid w:val="2CC953AF"/>
    <w:rsid w:val="2D065459"/>
    <w:rsid w:val="2D3C0815"/>
    <w:rsid w:val="2D551503"/>
    <w:rsid w:val="2D7633A7"/>
    <w:rsid w:val="2D8D6A47"/>
    <w:rsid w:val="2DD14B22"/>
    <w:rsid w:val="2DDD3980"/>
    <w:rsid w:val="2DDF0704"/>
    <w:rsid w:val="2DE5291B"/>
    <w:rsid w:val="2E162F19"/>
    <w:rsid w:val="2E504D30"/>
    <w:rsid w:val="2E7C7ED0"/>
    <w:rsid w:val="2EBF1B8D"/>
    <w:rsid w:val="2EC01172"/>
    <w:rsid w:val="2EE27F02"/>
    <w:rsid w:val="2F1560C0"/>
    <w:rsid w:val="2F412AFA"/>
    <w:rsid w:val="2F716956"/>
    <w:rsid w:val="2F7572F7"/>
    <w:rsid w:val="2F827763"/>
    <w:rsid w:val="2FA757D8"/>
    <w:rsid w:val="2FEE69A6"/>
    <w:rsid w:val="306200F0"/>
    <w:rsid w:val="30705EF8"/>
    <w:rsid w:val="30986BE7"/>
    <w:rsid w:val="30B44244"/>
    <w:rsid w:val="30B7715D"/>
    <w:rsid w:val="30C24F02"/>
    <w:rsid w:val="30D63CF2"/>
    <w:rsid w:val="310D7CC9"/>
    <w:rsid w:val="3172637E"/>
    <w:rsid w:val="317F3D67"/>
    <w:rsid w:val="31A35982"/>
    <w:rsid w:val="31A47F94"/>
    <w:rsid w:val="31B72549"/>
    <w:rsid w:val="31F571E6"/>
    <w:rsid w:val="323F0E05"/>
    <w:rsid w:val="32646CEC"/>
    <w:rsid w:val="327379FA"/>
    <w:rsid w:val="32926FEA"/>
    <w:rsid w:val="32EF625F"/>
    <w:rsid w:val="32F77F3F"/>
    <w:rsid w:val="33285B6D"/>
    <w:rsid w:val="333618F4"/>
    <w:rsid w:val="333B15CC"/>
    <w:rsid w:val="334C5141"/>
    <w:rsid w:val="33793E0E"/>
    <w:rsid w:val="338836F4"/>
    <w:rsid w:val="33AF6BEE"/>
    <w:rsid w:val="34296063"/>
    <w:rsid w:val="34386AD2"/>
    <w:rsid w:val="349B6A4B"/>
    <w:rsid w:val="34D921AF"/>
    <w:rsid w:val="34E40B9E"/>
    <w:rsid w:val="34FE3DB4"/>
    <w:rsid w:val="351500C6"/>
    <w:rsid w:val="35335C9B"/>
    <w:rsid w:val="35386F12"/>
    <w:rsid w:val="35627325"/>
    <w:rsid w:val="357F7A7E"/>
    <w:rsid w:val="359A4299"/>
    <w:rsid w:val="35AA1B77"/>
    <w:rsid w:val="35BB146A"/>
    <w:rsid w:val="3619331F"/>
    <w:rsid w:val="364D5677"/>
    <w:rsid w:val="368C4536"/>
    <w:rsid w:val="36EF53F3"/>
    <w:rsid w:val="37282DBC"/>
    <w:rsid w:val="37502E47"/>
    <w:rsid w:val="375C6F10"/>
    <w:rsid w:val="37604A3D"/>
    <w:rsid w:val="3763046F"/>
    <w:rsid w:val="37667412"/>
    <w:rsid w:val="379A48E2"/>
    <w:rsid w:val="379C3BB7"/>
    <w:rsid w:val="37AB117E"/>
    <w:rsid w:val="37D61961"/>
    <w:rsid w:val="37E41E16"/>
    <w:rsid w:val="37E707E9"/>
    <w:rsid w:val="37EB4486"/>
    <w:rsid w:val="37F74C52"/>
    <w:rsid w:val="38145E69"/>
    <w:rsid w:val="3822751A"/>
    <w:rsid w:val="382D0B30"/>
    <w:rsid w:val="38694446"/>
    <w:rsid w:val="387265D1"/>
    <w:rsid w:val="389568AD"/>
    <w:rsid w:val="38F34CAE"/>
    <w:rsid w:val="393A0F87"/>
    <w:rsid w:val="393F6B8C"/>
    <w:rsid w:val="394B5B7A"/>
    <w:rsid w:val="394F0762"/>
    <w:rsid w:val="397618E6"/>
    <w:rsid w:val="398334A6"/>
    <w:rsid w:val="399143ED"/>
    <w:rsid w:val="399C6D06"/>
    <w:rsid w:val="39F523D9"/>
    <w:rsid w:val="3A0305F4"/>
    <w:rsid w:val="3A3F393A"/>
    <w:rsid w:val="3A764397"/>
    <w:rsid w:val="3A8E08AB"/>
    <w:rsid w:val="3AF32055"/>
    <w:rsid w:val="3AF745B2"/>
    <w:rsid w:val="3B0D06CA"/>
    <w:rsid w:val="3B0E1523"/>
    <w:rsid w:val="3B0E2BC1"/>
    <w:rsid w:val="3B10150F"/>
    <w:rsid w:val="3B1913B0"/>
    <w:rsid w:val="3B217121"/>
    <w:rsid w:val="3B4D746D"/>
    <w:rsid w:val="3B64507A"/>
    <w:rsid w:val="3B7539D5"/>
    <w:rsid w:val="3B95631A"/>
    <w:rsid w:val="3BAD7452"/>
    <w:rsid w:val="3BBA67C9"/>
    <w:rsid w:val="3BC5789D"/>
    <w:rsid w:val="3BDD31CE"/>
    <w:rsid w:val="3C36709E"/>
    <w:rsid w:val="3C3E3DD1"/>
    <w:rsid w:val="3C576B6D"/>
    <w:rsid w:val="3CC80866"/>
    <w:rsid w:val="3CCF2D44"/>
    <w:rsid w:val="3CEA2C1F"/>
    <w:rsid w:val="3D2B255F"/>
    <w:rsid w:val="3D2C1495"/>
    <w:rsid w:val="3D6400D0"/>
    <w:rsid w:val="3D696032"/>
    <w:rsid w:val="3D873FA7"/>
    <w:rsid w:val="3DCA60E8"/>
    <w:rsid w:val="3DD370DA"/>
    <w:rsid w:val="3DF57EB8"/>
    <w:rsid w:val="3E001606"/>
    <w:rsid w:val="3E1A5F4B"/>
    <w:rsid w:val="3E200EA3"/>
    <w:rsid w:val="3E3C2229"/>
    <w:rsid w:val="3E822E90"/>
    <w:rsid w:val="3EF97CBD"/>
    <w:rsid w:val="3F01066C"/>
    <w:rsid w:val="3FA230F2"/>
    <w:rsid w:val="3FA7678B"/>
    <w:rsid w:val="3FA8340E"/>
    <w:rsid w:val="401175F4"/>
    <w:rsid w:val="402A0417"/>
    <w:rsid w:val="403F3341"/>
    <w:rsid w:val="4058716E"/>
    <w:rsid w:val="40705F35"/>
    <w:rsid w:val="40784FAD"/>
    <w:rsid w:val="407F750C"/>
    <w:rsid w:val="40963113"/>
    <w:rsid w:val="40A32BFA"/>
    <w:rsid w:val="40D14984"/>
    <w:rsid w:val="40EA444A"/>
    <w:rsid w:val="412B66CE"/>
    <w:rsid w:val="41512A26"/>
    <w:rsid w:val="41812FA9"/>
    <w:rsid w:val="4182142E"/>
    <w:rsid w:val="418336EA"/>
    <w:rsid w:val="41C05247"/>
    <w:rsid w:val="42070F29"/>
    <w:rsid w:val="420D1B91"/>
    <w:rsid w:val="426D6567"/>
    <w:rsid w:val="429C67A7"/>
    <w:rsid w:val="42AD2D65"/>
    <w:rsid w:val="42C271BA"/>
    <w:rsid w:val="42CF7C1D"/>
    <w:rsid w:val="42DB6E6D"/>
    <w:rsid w:val="42EA6946"/>
    <w:rsid w:val="434468E3"/>
    <w:rsid w:val="434740DF"/>
    <w:rsid w:val="43702F93"/>
    <w:rsid w:val="43A50C96"/>
    <w:rsid w:val="44324618"/>
    <w:rsid w:val="4482594F"/>
    <w:rsid w:val="44994F4D"/>
    <w:rsid w:val="44A31ACC"/>
    <w:rsid w:val="44A51573"/>
    <w:rsid w:val="44D26B54"/>
    <w:rsid w:val="453916BC"/>
    <w:rsid w:val="45CE7C4C"/>
    <w:rsid w:val="45EC5FEB"/>
    <w:rsid w:val="45F736A5"/>
    <w:rsid w:val="4633099A"/>
    <w:rsid w:val="464C751F"/>
    <w:rsid w:val="468F7DA0"/>
    <w:rsid w:val="469B3F7E"/>
    <w:rsid w:val="46B03499"/>
    <w:rsid w:val="4700503B"/>
    <w:rsid w:val="4706696D"/>
    <w:rsid w:val="47113037"/>
    <w:rsid w:val="47382FD8"/>
    <w:rsid w:val="47580E71"/>
    <w:rsid w:val="475A1B60"/>
    <w:rsid w:val="47601C7A"/>
    <w:rsid w:val="477F7281"/>
    <w:rsid w:val="47860733"/>
    <w:rsid w:val="47AC6AEF"/>
    <w:rsid w:val="47AD3A66"/>
    <w:rsid w:val="47DB462B"/>
    <w:rsid w:val="47DF64A0"/>
    <w:rsid w:val="483C5914"/>
    <w:rsid w:val="484D49E3"/>
    <w:rsid w:val="486855A2"/>
    <w:rsid w:val="488E614C"/>
    <w:rsid w:val="48D272BD"/>
    <w:rsid w:val="48D84475"/>
    <w:rsid w:val="48DC2D1A"/>
    <w:rsid w:val="49105682"/>
    <w:rsid w:val="49241999"/>
    <w:rsid w:val="492B1DFC"/>
    <w:rsid w:val="494E1741"/>
    <w:rsid w:val="49553D12"/>
    <w:rsid w:val="49812CF9"/>
    <w:rsid w:val="49BD27D9"/>
    <w:rsid w:val="49C32606"/>
    <w:rsid w:val="49E015C9"/>
    <w:rsid w:val="49FF228D"/>
    <w:rsid w:val="4A130A8B"/>
    <w:rsid w:val="4A3272C2"/>
    <w:rsid w:val="4A483989"/>
    <w:rsid w:val="4A64250C"/>
    <w:rsid w:val="4A842482"/>
    <w:rsid w:val="4A8516D8"/>
    <w:rsid w:val="4AA738E0"/>
    <w:rsid w:val="4AAD6B93"/>
    <w:rsid w:val="4AD01E1A"/>
    <w:rsid w:val="4AE471B2"/>
    <w:rsid w:val="4AFC3E8E"/>
    <w:rsid w:val="4B104096"/>
    <w:rsid w:val="4B4B7FC2"/>
    <w:rsid w:val="4B5E26CE"/>
    <w:rsid w:val="4B7029A1"/>
    <w:rsid w:val="4B76791F"/>
    <w:rsid w:val="4B790541"/>
    <w:rsid w:val="4BAB5143"/>
    <w:rsid w:val="4BD14024"/>
    <w:rsid w:val="4BE25377"/>
    <w:rsid w:val="4BE531E0"/>
    <w:rsid w:val="4BF90FA4"/>
    <w:rsid w:val="4C017A1F"/>
    <w:rsid w:val="4C153395"/>
    <w:rsid w:val="4C5207AE"/>
    <w:rsid w:val="4C673746"/>
    <w:rsid w:val="4C8A628E"/>
    <w:rsid w:val="4C9832A8"/>
    <w:rsid w:val="4C9E7A67"/>
    <w:rsid w:val="4CA76709"/>
    <w:rsid w:val="4CAC7D76"/>
    <w:rsid w:val="4CBD53AE"/>
    <w:rsid w:val="4CC1763A"/>
    <w:rsid w:val="4CDE6559"/>
    <w:rsid w:val="4D046728"/>
    <w:rsid w:val="4D1206BF"/>
    <w:rsid w:val="4D241E6C"/>
    <w:rsid w:val="4D6F3BD9"/>
    <w:rsid w:val="4DB42D30"/>
    <w:rsid w:val="4DD25292"/>
    <w:rsid w:val="4DD80D90"/>
    <w:rsid w:val="4E042104"/>
    <w:rsid w:val="4E347E75"/>
    <w:rsid w:val="4E4933C2"/>
    <w:rsid w:val="4E732275"/>
    <w:rsid w:val="4E8107AF"/>
    <w:rsid w:val="4EAB6BC8"/>
    <w:rsid w:val="4EB421C5"/>
    <w:rsid w:val="4EE26404"/>
    <w:rsid w:val="4F673EE8"/>
    <w:rsid w:val="4F9A5001"/>
    <w:rsid w:val="4FB71475"/>
    <w:rsid w:val="4FF02F67"/>
    <w:rsid w:val="500E5EDD"/>
    <w:rsid w:val="501F49B5"/>
    <w:rsid w:val="50646D64"/>
    <w:rsid w:val="50880CED"/>
    <w:rsid w:val="50BA3053"/>
    <w:rsid w:val="50FB4DD1"/>
    <w:rsid w:val="5100469E"/>
    <w:rsid w:val="512B7592"/>
    <w:rsid w:val="51846EA7"/>
    <w:rsid w:val="51D97A8B"/>
    <w:rsid w:val="51E34EB8"/>
    <w:rsid w:val="51EA4CB7"/>
    <w:rsid w:val="51F80C95"/>
    <w:rsid w:val="521A20C4"/>
    <w:rsid w:val="52210A86"/>
    <w:rsid w:val="522B6251"/>
    <w:rsid w:val="52496310"/>
    <w:rsid w:val="526007CC"/>
    <w:rsid w:val="52867736"/>
    <w:rsid w:val="52BE76AE"/>
    <w:rsid w:val="52CE5E95"/>
    <w:rsid w:val="52CF4419"/>
    <w:rsid w:val="530653DD"/>
    <w:rsid w:val="53124DA1"/>
    <w:rsid w:val="53396C24"/>
    <w:rsid w:val="535F6287"/>
    <w:rsid w:val="536153F0"/>
    <w:rsid w:val="53A10A0B"/>
    <w:rsid w:val="53F378D8"/>
    <w:rsid w:val="540F129D"/>
    <w:rsid w:val="543742FB"/>
    <w:rsid w:val="543E2E38"/>
    <w:rsid w:val="54A46F6D"/>
    <w:rsid w:val="54D96004"/>
    <w:rsid w:val="55070ABE"/>
    <w:rsid w:val="557634E1"/>
    <w:rsid w:val="55A434E9"/>
    <w:rsid w:val="55D26BC3"/>
    <w:rsid w:val="55D62BEA"/>
    <w:rsid w:val="55E768BD"/>
    <w:rsid w:val="55EB37A1"/>
    <w:rsid w:val="55F5392F"/>
    <w:rsid w:val="55F932BC"/>
    <w:rsid w:val="5675402A"/>
    <w:rsid w:val="56827C3F"/>
    <w:rsid w:val="56B224C0"/>
    <w:rsid w:val="56CF6ACB"/>
    <w:rsid w:val="56EE42B6"/>
    <w:rsid w:val="5708400C"/>
    <w:rsid w:val="57183A74"/>
    <w:rsid w:val="573568EA"/>
    <w:rsid w:val="57773C92"/>
    <w:rsid w:val="57D1293C"/>
    <w:rsid w:val="57F95C2A"/>
    <w:rsid w:val="580C1DB1"/>
    <w:rsid w:val="582820C3"/>
    <w:rsid w:val="582A6D65"/>
    <w:rsid w:val="585C558C"/>
    <w:rsid w:val="587956F9"/>
    <w:rsid w:val="58A73AA6"/>
    <w:rsid w:val="58B05894"/>
    <w:rsid w:val="58B23052"/>
    <w:rsid w:val="58B81054"/>
    <w:rsid w:val="58BD53FE"/>
    <w:rsid w:val="58BF4FB7"/>
    <w:rsid w:val="58DD0CFA"/>
    <w:rsid w:val="58F4663F"/>
    <w:rsid w:val="58F97626"/>
    <w:rsid w:val="590C3076"/>
    <w:rsid w:val="59160132"/>
    <w:rsid w:val="59D85F30"/>
    <w:rsid w:val="59DD0C9A"/>
    <w:rsid w:val="59E74A49"/>
    <w:rsid w:val="59F34B37"/>
    <w:rsid w:val="59F55317"/>
    <w:rsid w:val="5A075E63"/>
    <w:rsid w:val="5A27573A"/>
    <w:rsid w:val="5A3E0EA1"/>
    <w:rsid w:val="5A4859E7"/>
    <w:rsid w:val="5A626EC9"/>
    <w:rsid w:val="5A8A1B4A"/>
    <w:rsid w:val="5AB61869"/>
    <w:rsid w:val="5ACF7E5C"/>
    <w:rsid w:val="5AF412E4"/>
    <w:rsid w:val="5B070BCF"/>
    <w:rsid w:val="5B203A22"/>
    <w:rsid w:val="5B29399B"/>
    <w:rsid w:val="5B527993"/>
    <w:rsid w:val="5B5C27B8"/>
    <w:rsid w:val="5B6670B3"/>
    <w:rsid w:val="5B693B9A"/>
    <w:rsid w:val="5B6B11E9"/>
    <w:rsid w:val="5B836D4E"/>
    <w:rsid w:val="5B8B6370"/>
    <w:rsid w:val="5B936B97"/>
    <w:rsid w:val="5B991D26"/>
    <w:rsid w:val="5BB115A2"/>
    <w:rsid w:val="5C1215B5"/>
    <w:rsid w:val="5C244D6B"/>
    <w:rsid w:val="5C290845"/>
    <w:rsid w:val="5C5950DF"/>
    <w:rsid w:val="5C5B3977"/>
    <w:rsid w:val="5C6717BA"/>
    <w:rsid w:val="5C746B0B"/>
    <w:rsid w:val="5CD61CA4"/>
    <w:rsid w:val="5CD83630"/>
    <w:rsid w:val="5CE94DC2"/>
    <w:rsid w:val="5CFC3977"/>
    <w:rsid w:val="5D0B50EF"/>
    <w:rsid w:val="5D337CB5"/>
    <w:rsid w:val="5D853F16"/>
    <w:rsid w:val="5DBB5C9E"/>
    <w:rsid w:val="5DBC2570"/>
    <w:rsid w:val="5E136AA0"/>
    <w:rsid w:val="5E2B2E38"/>
    <w:rsid w:val="5E2C3333"/>
    <w:rsid w:val="5E493798"/>
    <w:rsid w:val="5E586243"/>
    <w:rsid w:val="5E857D72"/>
    <w:rsid w:val="5E9B6FE6"/>
    <w:rsid w:val="5EB10408"/>
    <w:rsid w:val="5EC05A92"/>
    <w:rsid w:val="5EFD0E59"/>
    <w:rsid w:val="5F6931E6"/>
    <w:rsid w:val="5F7F1EE1"/>
    <w:rsid w:val="5F8C37BC"/>
    <w:rsid w:val="5FBB25F2"/>
    <w:rsid w:val="5FD92ADA"/>
    <w:rsid w:val="5FFB0B07"/>
    <w:rsid w:val="5FFE4F54"/>
    <w:rsid w:val="60560594"/>
    <w:rsid w:val="60611414"/>
    <w:rsid w:val="606176D2"/>
    <w:rsid w:val="60675F17"/>
    <w:rsid w:val="609A4B7B"/>
    <w:rsid w:val="61073138"/>
    <w:rsid w:val="61123463"/>
    <w:rsid w:val="618E1A80"/>
    <w:rsid w:val="61BF5B31"/>
    <w:rsid w:val="61F558B8"/>
    <w:rsid w:val="622D3443"/>
    <w:rsid w:val="62552982"/>
    <w:rsid w:val="62B123E4"/>
    <w:rsid w:val="62CD5C45"/>
    <w:rsid w:val="62D77A7F"/>
    <w:rsid w:val="62D850B9"/>
    <w:rsid w:val="630729D5"/>
    <w:rsid w:val="630D32AE"/>
    <w:rsid w:val="63A26CEB"/>
    <w:rsid w:val="63C56A23"/>
    <w:rsid w:val="63D76A9D"/>
    <w:rsid w:val="63F754F8"/>
    <w:rsid w:val="6474067C"/>
    <w:rsid w:val="649A7FE9"/>
    <w:rsid w:val="64CC496B"/>
    <w:rsid w:val="65174E17"/>
    <w:rsid w:val="651F09DF"/>
    <w:rsid w:val="652210EB"/>
    <w:rsid w:val="65794350"/>
    <w:rsid w:val="657D6472"/>
    <w:rsid w:val="659B6673"/>
    <w:rsid w:val="65C64580"/>
    <w:rsid w:val="66525880"/>
    <w:rsid w:val="66765696"/>
    <w:rsid w:val="669E66EB"/>
    <w:rsid w:val="66C95744"/>
    <w:rsid w:val="66E41FBE"/>
    <w:rsid w:val="66FB57CC"/>
    <w:rsid w:val="67090F98"/>
    <w:rsid w:val="673E4D9C"/>
    <w:rsid w:val="6740356B"/>
    <w:rsid w:val="67476CC8"/>
    <w:rsid w:val="675B2A11"/>
    <w:rsid w:val="67757E4A"/>
    <w:rsid w:val="679A5C28"/>
    <w:rsid w:val="67BA4A3A"/>
    <w:rsid w:val="67CF2170"/>
    <w:rsid w:val="67EC7A26"/>
    <w:rsid w:val="68143F2C"/>
    <w:rsid w:val="681F7678"/>
    <w:rsid w:val="68623565"/>
    <w:rsid w:val="686F3462"/>
    <w:rsid w:val="687A5204"/>
    <w:rsid w:val="687C48AE"/>
    <w:rsid w:val="68A74C99"/>
    <w:rsid w:val="68DB777F"/>
    <w:rsid w:val="68FD4E3A"/>
    <w:rsid w:val="6949590D"/>
    <w:rsid w:val="699026AD"/>
    <w:rsid w:val="69C26914"/>
    <w:rsid w:val="69CF6211"/>
    <w:rsid w:val="69E37B94"/>
    <w:rsid w:val="69E67729"/>
    <w:rsid w:val="6A4E42A1"/>
    <w:rsid w:val="6A632AD3"/>
    <w:rsid w:val="6A84509B"/>
    <w:rsid w:val="6A9816E9"/>
    <w:rsid w:val="6AA354C6"/>
    <w:rsid w:val="6ACC5319"/>
    <w:rsid w:val="6AD4151A"/>
    <w:rsid w:val="6ADD6771"/>
    <w:rsid w:val="6B083E55"/>
    <w:rsid w:val="6B57005C"/>
    <w:rsid w:val="6B8D3927"/>
    <w:rsid w:val="6B9B0681"/>
    <w:rsid w:val="6BB97111"/>
    <w:rsid w:val="6BCA6B66"/>
    <w:rsid w:val="6BD10292"/>
    <w:rsid w:val="6BD65086"/>
    <w:rsid w:val="6BDF6D43"/>
    <w:rsid w:val="6BE94CB0"/>
    <w:rsid w:val="6C247E67"/>
    <w:rsid w:val="6C427A82"/>
    <w:rsid w:val="6C595E57"/>
    <w:rsid w:val="6C630F37"/>
    <w:rsid w:val="6CA9025A"/>
    <w:rsid w:val="6CB564E8"/>
    <w:rsid w:val="6CB75BD6"/>
    <w:rsid w:val="6D045E4A"/>
    <w:rsid w:val="6D2E2594"/>
    <w:rsid w:val="6D2E55EA"/>
    <w:rsid w:val="6D364A56"/>
    <w:rsid w:val="6D507883"/>
    <w:rsid w:val="6DA901DD"/>
    <w:rsid w:val="6DAC3F16"/>
    <w:rsid w:val="6DC7239F"/>
    <w:rsid w:val="6DCF1523"/>
    <w:rsid w:val="6DE53954"/>
    <w:rsid w:val="6E2D7AEA"/>
    <w:rsid w:val="6E3B732E"/>
    <w:rsid w:val="6E437F85"/>
    <w:rsid w:val="6E4A2FA7"/>
    <w:rsid w:val="6E960A18"/>
    <w:rsid w:val="6ED07527"/>
    <w:rsid w:val="6F2F3B72"/>
    <w:rsid w:val="6F9C7DC6"/>
    <w:rsid w:val="6F9E17FF"/>
    <w:rsid w:val="6FA04405"/>
    <w:rsid w:val="6FC43F1A"/>
    <w:rsid w:val="6FEE3B27"/>
    <w:rsid w:val="6FFB4E81"/>
    <w:rsid w:val="70095140"/>
    <w:rsid w:val="701B26B0"/>
    <w:rsid w:val="701E56C1"/>
    <w:rsid w:val="70457740"/>
    <w:rsid w:val="70505934"/>
    <w:rsid w:val="706636AD"/>
    <w:rsid w:val="708320B8"/>
    <w:rsid w:val="70A52F0F"/>
    <w:rsid w:val="70BF6EAC"/>
    <w:rsid w:val="715B6DF0"/>
    <w:rsid w:val="716A74FE"/>
    <w:rsid w:val="71983FCC"/>
    <w:rsid w:val="71BE2868"/>
    <w:rsid w:val="71C70D0F"/>
    <w:rsid w:val="71C77393"/>
    <w:rsid w:val="71DA62D5"/>
    <w:rsid w:val="72544AD5"/>
    <w:rsid w:val="72834686"/>
    <w:rsid w:val="72BA37D1"/>
    <w:rsid w:val="72F04A82"/>
    <w:rsid w:val="72F6284E"/>
    <w:rsid w:val="73111840"/>
    <w:rsid w:val="732F5CE0"/>
    <w:rsid w:val="735F7A76"/>
    <w:rsid w:val="737C5636"/>
    <w:rsid w:val="73A020F1"/>
    <w:rsid w:val="73AB3864"/>
    <w:rsid w:val="73C734EC"/>
    <w:rsid w:val="73D72D54"/>
    <w:rsid w:val="749C342F"/>
    <w:rsid w:val="74A32466"/>
    <w:rsid w:val="74C20CC9"/>
    <w:rsid w:val="74D55F45"/>
    <w:rsid w:val="75213D60"/>
    <w:rsid w:val="75267B08"/>
    <w:rsid w:val="755406ED"/>
    <w:rsid w:val="756A1ED5"/>
    <w:rsid w:val="762B3711"/>
    <w:rsid w:val="763E33FE"/>
    <w:rsid w:val="765366C0"/>
    <w:rsid w:val="766C579E"/>
    <w:rsid w:val="76742C90"/>
    <w:rsid w:val="76820CCA"/>
    <w:rsid w:val="76A6708F"/>
    <w:rsid w:val="76C94304"/>
    <w:rsid w:val="76E01314"/>
    <w:rsid w:val="76F07D7C"/>
    <w:rsid w:val="77083036"/>
    <w:rsid w:val="77107791"/>
    <w:rsid w:val="7717199B"/>
    <w:rsid w:val="771A59E0"/>
    <w:rsid w:val="77262FA1"/>
    <w:rsid w:val="77AB5277"/>
    <w:rsid w:val="77D2588A"/>
    <w:rsid w:val="77FE601B"/>
    <w:rsid w:val="780073C7"/>
    <w:rsid w:val="781D210F"/>
    <w:rsid w:val="783F6CF0"/>
    <w:rsid w:val="784B0D1B"/>
    <w:rsid w:val="788F230F"/>
    <w:rsid w:val="78E44E0B"/>
    <w:rsid w:val="78EA2843"/>
    <w:rsid w:val="79170E28"/>
    <w:rsid w:val="795C052D"/>
    <w:rsid w:val="796E5DDD"/>
    <w:rsid w:val="798551A7"/>
    <w:rsid w:val="79A00331"/>
    <w:rsid w:val="79B867A5"/>
    <w:rsid w:val="79BC6710"/>
    <w:rsid w:val="79D9246E"/>
    <w:rsid w:val="79F958D3"/>
    <w:rsid w:val="7A092DFE"/>
    <w:rsid w:val="7A4C292E"/>
    <w:rsid w:val="7AB76F30"/>
    <w:rsid w:val="7ABD2964"/>
    <w:rsid w:val="7AD83B23"/>
    <w:rsid w:val="7B092A56"/>
    <w:rsid w:val="7B1866B0"/>
    <w:rsid w:val="7B26545E"/>
    <w:rsid w:val="7B3576ED"/>
    <w:rsid w:val="7B3C0F81"/>
    <w:rsid w:val="7B5E07DF"/>
    <w:rsid w:val="7BB267C4"/>
    <w:rsid w:val="7C260C58"/>
    <w:rsid w:val="7C381B91"/>
    <w:rsid w:val="7C6F6035"/>
    <w:rsid w:val="7D0A4DD0"/>
    <w:rsid w:val="7D29035F"/>
    <w:rsid w:val="7DC20FD0"/>
    <w:rsid w:val="7DD97376"/>
    <w:rsid w:val="7DDA3C6D"/>
    <w:rsid w:val="7DDD3DB1"/>
    <w:rsid w:val="7E2F79DD"/>
    <w:rsid w:val="7E4B6D51"/>
    <w:rsid w:val="7E897169"/>
    <w:rsid w:val="7F04182C"/>
    <w:rsid w:val="7F0471AE"/>
    <w:rsid w:val="7F435AE3"/>
    <w:rsid w:val="7F49525D"/>
    <w:rsid w:val="7F6902E1"/>
    <w:rsid w:val="7F697FDE"/>
    <w:rsid w:val="7F716C7F"/>
    <w:rsid w:val="7FA32FAB"/>
    <w:rsid w:val="7FB46227"/>
    <w:rsid w:val="7FC43A73"/>
    <w:rsid w:val="7FE1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页脚 字符"/>
    <w:basedOn w:val="8"/>
    <w:qFormat/>
    <w:uiPriority w:val="0"/>
    <w:rPr>
      <w:rFonts w:ascii="Arial Unicode MS" w:hAnsi="Arial Unicode MS" w:eastAsia="Arial Unicode MS" w:cs="Arial Unicode MS"/>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8495</Words>
  <Characters>10647</Characters>
  <Lines>0</Lines>
  <Paragraphs>0</Paragraphs>
  <TotalTime>9</TotalTime>
  <ScaleCrop>false</ScaleCrop>
  <LinksUpToDate>false</LinksUpToDate>
  <CharactersWithSpaces>11008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2021-08-31T01:09:00Z</dcterms:created>
  <dc:creator>Administrator</dc:creator>
  <cp:lastModifiedBy>1120li</cp:lastModifiedBy>
  <dcterms:modified xsi:type="dcterms:W3CDTF">2022-09-06T00:28:44Z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EED05CEA200D4403A3DCB0EFF85B6FE6</vt:lpwstr>
  </property>
</Properties>
</file>