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2024</w:t>
      </w:r>
      <w:r>
        <w:rPr>
          <w:rFonts w:ascii="黑体" w:hAnsi="黑体" w:eastAsia="黑体" w:cs="宋体"/>
          <w:b/>
          <w:color w:val="000000"/>
          <w:sz w:val="48"/>
        </w:rPr>
        <w:t>年度</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中方县人力资源和社会保障局</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部门决算</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33"/>
        </w:rPr>
        <w:t>目录</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第一部分 中方县人力资源和社会保障局部门概况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一、部门职责</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二、机构设置及决算单位构成</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第二部分 部门决算表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六、一般公共预算财政拨款基本支出决算明细表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七、政府性基金预算财政拨款收入支出决算表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八、国有资本经营预算财政拨款支出决算表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九、财政拨款“三公”经费支出决算表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第三部分 部门决算情况说明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七、财政拨款“三公”经费支出决算情况说明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八、政府性基金预算收入支出决算情况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九、国有资本经营预算收入支出决算情况说明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十、关于机关运行经费支出说明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十一、一般性支出情况说明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十二、关于政府采购支出说明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十三、关于国有资产占用情况说明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十四、关于2024年度预算绩效管理情况的说明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第四部分 名词解释</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第五部分 附件</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第一部分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中方县人力资源和社会保障局部门概况</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vanish w:val="0"/>
        </w:rPr>
      </w:pPr>
      <w:r>
        <w:rPr>
          <w:rFonts w:ascii="黑体" w:hAnsi="黑体" w:eastAsia="黑体" w:cs="宋体"/>
          <w:b/>
          <w:sz w:val="28"/>
        </w:rPr>
        <w:t>一、部门职责</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1、贯彻执行国家、省、市制定的人力资源和社会保障方针政策和法律法规；拟订全县人力资源和社会保障事业发展规划及实施办法；对全县人力资源和社会保障工作进行综合管理、监督指导、协调服务。</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拟订并组织实施全县人力资源市场发展规划和人力资源流动办法；负责县直机关、企事业单位有关工作人员的流动调配工作；指导乡镇劳动保障站建设；指导全县建立统一规范的人力资源市场，促进人力资源合理流动、有效配置。</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3、负责促进就业工作，拟订和落实全县统筹城乡就业发展规划和实施办法，完善就业公共服务体系；拟订和组织落实全县就业援助制度，统筹建立面向城乡劳动者的职业培训制度，牵头落实高校毕业生就业政策，会同有关部门拟订高技能人才、农村实用人才培养和激励措施。</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4、统筹建立覆盖全县城乡社会保障体系。</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5、负责全县就业、失业、社会保险基金预测预警和信息引导，拟订应对预案，实施预防、调节和控制，保持就业形势稳定和社会保险基金总体收支平衡。</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6、负责全县机关企事业单位工资收入和福利分配综合管理。</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7、会同有关部门指导事业单位人事制度改革；监督落实机关事业单位人员和机关工勤人员管理政策；参与人才管理工作；编制管理全县机关、事业单位人员计划，负责人事统计工作；综合管理全县专业技术人员和专业技术队伍建设工作，综合管理全县专业技术人员和机关事业单位工勤人员的培训和继续教育工作，牵头推进深化职称制度改革，归口管理专业技术人员的职称工作，组织实施专业技术职务聘任制度，推行专业技术执业资格制度。</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8、会同有关部门推动农民工相关政策的落实，协调解决重点难点问题，维护农民工合法权益。</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9、统筹实施劳动、人事争议调解仲裁制度。</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10、承办县人民政府交办的其他事项。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二、机构设置及决算单位构成</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（一）内设机构设置。中方县人力资源和社会保障局单位内设机构包括：</w:t>
      </w:r>
      <w:r>
        <w:rPr>
          <w:rFonts w:ascii="宋体" w:hAnsi="宋体" w:eastAsia="宋体" w:cs="宋体"/>
          <w:color w:val="000000"/>
          <w:sz w:val="28"/>
        </w:rPr>
        <w:t>办公室、规划财务股、基金监督股（县基金监督联席办）、监察室、工资福利股（表彰奖励股、工资改革办、退休人员服务中心）、事业单位人事管理股（专业技术人员管理股、职改办）、就业促进与失业保险股(职业能力建设股）、社会养老保险股、工伤保险股、人力资源服务中心人事股、劳动关系监察股、劳动人事争议仲裁院、法规股、行政审批政务服务股、社会保障、信息服务中心、党建办。</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（二）决算单位构成。中方县人力资源和社会保障局单位2024年部门决算汇总公开单位构成包括：中方县人力资源和社会保障局本级</w:t>
      </w:r>
      <w:r>
        <w:rPr>
          <w:rFonts w:ascii="宋体" w:hAnsi="宋体" w:eastAsia="宋体" w:cs="宋体"/>
          <w:color w:val="000000"/>
          <w:sz w:val="28"/>
        </w:rPr>
        <w:t>。</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第二部分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部门决算表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1907" w:h="16839"/>
          <w:pgMar w:top="1440" w:right="1440" w:bottom="1440" w:left="1440" w:header="720" w:footer="720" w:gutter="0"/>
          <w:cols w:space="720" w:num="1"/>
        </w:sect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4900"/>
        <w:gridCol w:w="817"/>
        <w:gridCol w:w="2450"/>
        <w:gridCol w:w="4901"/>
        <w:gridCol w:w="817"/>
        <w:gridCol w:w="245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6"/>
            <w:tcBorders>
              <w:top w:val="outset" w:color="C0C0C0" w:sz="6" w:space="0"/>
              <w:left w:val="outset" w:color="C0C0C0" w:sz="6" w:space="0"/>
            </w:tcBorders>
            <w:shd w:val="clear" w:color="auto" w:fill="auto"/>
            <w:vAlign w:val="center"/>
          </w:tcPr>
          <w:p>
            <w:pPr>
              <w:pStyle w:val="6"/>
              <w:jc w:val="center"/>
              <w:rPr>
                <w:vanish w:val="0"/>
              </w:rPr>
            </w:pPr>
            <w:r>
              <w:rPr>
                <w:rFonts w:ascii="Courier New" w:hAnsi="Courier New" w:eastAsia="Courier New" w:cs="Courier New"/>
                <w:sz w:val="20"/>
              </w:rPr>
              <w:t>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0" w:type="pct"/>
            <w:gridSpan w:val="4"/>
            <w:tcBorders>
              <w:left w:val="outset" w:color="C0C0C0" w:sz="6" w:space="0"/>
            </w:tcBorders>
            <w:shd w:val="clear" w:color="auto" w:fill="auto"/>
            <w:vAlign w:val="center"/>
          </w:tcPr>
          <w:p/>
        </w:tc>
        <w:tc>
          <w:tcPr>
            <w:tcW w:w="1500" w:type="pct"/>
            <w:gridSpan w:val="2"/>
            <w:shd w:val="clear" w:color="auto" w:fill="auto"/>
            <w:vAlign w:val="center"/>
          </w:tcPr>
          <w:p>
            <w:pPr>
              <w:pStyle w:val="7"/>
              <w:jc w:val="right"/>
              <w:rPr>
                <w:vanish w:val="0"/>
              </w:rPr>
            </w:pPr>
            <w:r>
              <w:rPr>
                <w:rFonts w:ascii="Courier New" w:hAnsi="Courier New" w:eastAsia="Courier New" w:cs="Courier New"/>
                <w:sz w:val="20"/>
              </w:rPr>
              <w:t>公开01表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0" w:type="pct"/>
            <w:gridSpan w:val="4"/>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1500" w:type="pct"/>
            <w:gridSpan w:val="2"/>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5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收入</w:t>
            </w:r>
          </w:p>
        </w:tc>
        <w:tc>
          <w:tcPr>
            <w:tcW w:w="25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金额</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金额</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一、一般公共预算财政拨款收入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一、一般公共服务支出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31</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二、政府性基金预算财政拨款收入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二、外交支出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32</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三、国有资本经营预算财政拨款收入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三、国防支出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33</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四、上级补助收入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四、公共安全支出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34</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五、事业收入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五、教育支出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35</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六、经营收入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六、科学技术支出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36</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七、附属单位上缴收入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七、文化旅游体育与传媒支出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37</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八、其他收入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8</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1.04</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八、社会保障和就业支出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38</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973.48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九、卫生健康支出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39</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10</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十、节能环保支出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40</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11</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十一、城乡社区支出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41</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12</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十二、农林水支出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42</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13</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十三、交通运输支出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43</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14</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十四、资源勘探工业信息等支出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44</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15</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十五、商业服务业等支出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45</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16</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十六、金融支出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46</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17</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十七、援助其他地区支出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47</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18</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十八、自然资源海洋气象等支出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48</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19</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十九、住房保障支出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49</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20</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二十、粮油物资储备支出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50</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21</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二十一、国有资本经营预算支出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51</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22</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二十二、灾害防治及应急管理支出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52</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23</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二十三、其他支出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53</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24</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二十四、债务还本支出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54</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25</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二十五、债务付息支出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55</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26</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二十六、抗疫特别国债安排的支出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56</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本年收入合计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27</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3112.26</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本年支出合计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57</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3112.26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使用非财政拨款结余（含专用结余）</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28</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结余分配</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58</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年初结转和结余</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29</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年末结转和结余</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59</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30</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3112.26</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60</w:t>
            </w:r>
          </w:p>
        </w:tc>
        <w:tc>
          <w:tcPr>
            <w:tcW w:w="7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3112.26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6"/>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注：1.本表反映部门本年度的总收支和年末结转结余情况。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6"/>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2.本套报表金额单位转换时可能存在尾数误差。</w:t>
            </w:r>
          </w:p>
        </w:tc>
      </w:tr>
    </w:tbl>
    <w:p>
      <w:pPr>
        <w:pStyle w:val="2"/>
        <w:rPr>
          <w:vanish w:val="0"/>
        </w:rPr>
      </w:pPr>
      <w:r>
        <w:br w:type="page"/>
      </w:r>
    </w:p>
    <w:tbl>
      <w:tblPr>
        <w:tblStyle w:val="3"/>
        <w:tblW w:w="0" w:type="auto"/>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4410"/>
        <w:gridCol w:w="1797"/>
        <w:gridCol w:w="1797"/>
        <w:gridCol w:w="1634"/>
        <w:gridCol w:w="1470"/>
        <w:gridCol w:w="1307"/>
        <w:gridCol w:w="1307"/>
        <w:gridCol w:w="98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outset" w:color="C0C0C0" w:sz="6" w:space="0"/>
              <w:left w:val="outset" w:color="C0C0C0" w:sz="6" w:space="0"/>
            </w:tcBorders>
            <w:shd w:val="clear" w:color="auto" w:fill="auto"/>
            <w:vAlign w:val="center"/>
          </w:tcPr>
          <w:p>
            <w:pPr>
              <w:pStyle w:val="8"/>
              <w:jc w:val="center"/>
              <w:rPr>
                <w:vanish w:val="0"/>
              </w:rPr>
            </w:pPr>
            <w:r>
              <w:rPr>
                <w:rFonts w:ascii="Courier New" w:hAnsi="Courier New" w:eastAsia="Courier New" w:cs="Courier New"/>
                <w:sz w:val="20"/>
              </w:rPr>
              <w:t>收入决算表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250" w:type="pct"/>
            <w:gridSpan w:val="3"/>
            <w:tcBorders>
              <w:left w:val="outset" w:color="C0C0C0" w:sz="6" w:space="0"/>
            </w:tcBorders>
            <w:shd w:val="clear" w:color="auto" w:fill="auto"/>
            <w:vAlign w:val="center"/>
          </w:tcPr>
          <w:p/>
        </w:tc>
        <w:tc>
          <w:tcPr>
            <w:tcW w:w="2750" w:type="pct"/>
            <w:gridSpan w:val="6"/>
            <w:shd w:val="clear" w:color="auto" w:fill="auto"/>
            <w:vAlign w:val="center"/>
          </w:tcPr>
          <w:p>
            <w:pPr>
              <w:pStyle w:val="9"/>
              <w:jc w:val="right"/>
              <w:rPr>
                <w:vanish w:val="0"/>
              </w:rPr>
            </w:pPr>
            <w:r>
              <w:rPr>
                <w:rFonts w:ascii="Courier New" w:hAnsi="Courier New" w:eastAsia="Courier New" w:cs="Courier New"/>
                <w:sz w:val="20"/>
              </w:rPr>
              <w:t>公开02表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250" w:type="pct"/>
            <w:gridSpan w:val="3"/>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275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85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本年收入合计</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财政拨款收入</w:t>
            </w:r>
          </w:p>
        </w:tc>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上级补助收入</w:t>
            </w:r>
          </w:p>
        </w:tc>
        <w:tc>
          <w:tcPr>
            <w:tcW w:w="4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事业收入</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经营收入</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附属单位上缴收入</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其他收入</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功能分类科目编码</w:t>
            </w:r>
          </w:p>
        </w:tc>
        <w:tc>
          <w:tcPr>
            <w:tcW w:w="12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3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3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5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75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3112.26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1.04</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一般公共服务支出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20136</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其他共产党事务支出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2013699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其他共产党事务支出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教育支出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其他教育支出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2059999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其他教育支出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科学技术支出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20606</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社会科学</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2060699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其他社会科学支出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文化旅游体育与传媒支出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文化和旅游</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50.31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50.31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其他文化和旅游支出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47.40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47.40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社会保障和就业支出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973.48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972.64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0.85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人力资源和社会保障管理事务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912.23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911.39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0.85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874.48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874.48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2080102</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一般行政管理事务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21.08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21.08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2080104</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综合业务管理</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2080105</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劳动保障监察</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2080107</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社会保险业务管理事务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其他人力资源和社会保障管理事务支出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1.64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0.85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20807</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就业补助</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2080799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其他就业补助支出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农林水支出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农业农村</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2130199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其他农业农村支出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21305</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巩固脱贫攻坚成果衔接乡村振兴</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2130501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注：本表反映部门本年度取得的各项收入情况。</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4084"/>
        <w:gridCol w:w="1797"/>
        <w:gridCol w:w="1960"/>
        <w:gridCol w:w="1797"/>
        <w:gridCol w:w="1470"/>
        <w:gridCol w:w="1470"/>
        <w:gridCol w:w="212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8"/>
            <w:tcBorders>
              <w:top w:val="outset" w:color="C0C0C0" w:sz="6" w:space="0"/>
              <w:left w:val="outset" w:color="C0C0C0" w:sz="6" w:space="0"/>
            </w:tcBorders>
            <w:shd w:val="clear" w:color="auto" w:fill="auto"/>
            <w:vAlign w:val="center"/>
          </w:tcPr>
          <w:p>
            <w:pPr>
              <w:pStyle w:val="10"/>
              <w:jc w:val="center"/>
              <w:rPr>
                <w:vanish w:val="0"/>
              </w:rPr>
            </w:pPr>
            <w:r>
              <w:rPr>
                <w:rFonts w:ascii="Courier New" w:hAnsi="Courier New" w:eastAsia="Courier New" w:cs="Courier New"/>
                <w:sz w:val="20"/>
              </w:rPr>
              <w:t>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750" w:type="pct"/>
            <w:gridSpan w:val="2"/>
            <w:tcBorders>
              <w:left w:val="outset" w:color="C0C0C0" w:sz="6" w:space="0"/>
            </w:tcBorders>
            <w:shd w:val="clear" w:color="auto" w:fill="auto"/>
            <w:vAlign w:val="center"/>
          </w:tcPr>
          <w:p/>
        </w:tc>
        <w:tc>
          <w:tcPr>
            <w:tcW w:w="3250" w:type="pct"/>
            <w:gridSpan w:val="6"/>
            <w:shd w:val="clear" w:color="auto" w:fill="auto"/>
            <w:vAlign w:val="center"/>
          </w:tcPr>
          <w:p>
            <w:pPr>
              <w:pStyle w:val="11"/>
              <w:jc w:val="right"/>
              <w:rPr>
                <w:vanish w:val="0"/>
              </w:rPr>
            </w:pPr>
            <w:r>
              <w:rPr>
                <w:rFonts w:ascii="Courier New" w:hAnsi="Courier New" w:eastAsia="Courier New" w:cs="Courier New"/>
                <w:sz w:val="20"/>
              </w:rPr>
              <w:t>公开03表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750" w:type="pct"/>
            <w:gridSpan w:val="2"/>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325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175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本年支出合计</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c>
          <w:tcPr>
            <w:tcW w:w="4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上缴上级支出</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经营支出</w:t>
            </w:r>
          </w:p>
        </w:tc>
        <w:tc>
          <w:tcPr>
            <w:tcW w:w="7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对附属单位补助支出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功能分类科目编码</w:t>
            </w:r>
          </w:p>
        </w:tc>
        <w:tc>
          <w:tcPr>
            <w:tcW w:w="12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7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7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75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4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175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3112.26</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1047.84</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2064.42</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一般公共服务支出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20136</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其他共产党事务支出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2013699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其他共产党事务支出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0.19</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教育支出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其他教育支出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2059999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其他教育支出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科学技术支出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20606</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社会科学</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2060699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其他社会科学支出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文化旅游体育与传媒支出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文化和旅游</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50.31</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50.31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其他文化和旅游支出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47.40</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47.40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社会保障和就业支出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973.48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899.39</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74.10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人力资源和社会保障管理事务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912.23</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876.96</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35.28</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874.48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874.48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2080102</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一般行政管理事务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21.08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21.08</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2080104</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综合业务管理</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4.00</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2080105</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劳动保障监察</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1.20</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2080107</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社会保险业务管理事务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9.00</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其他人力资源和社会保障管理事务支出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2.48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2.48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20807</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就业补助</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22.43</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38.82</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2080799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其他就业补助支出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22.43</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38.82</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农林水支出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农业农村</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2130199</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其他农业农村支出</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21305</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巩固脱贫攻坚成果衔接乡村振兴</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2130501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6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8"/>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注：本表反映部门本年度各项支出情况。</w:t>
            </w:r>
          </w:p>
        </w:tc>
      </w:tr>
    </w:tbl>
    <w:p>
      <w:pPr>
        <w:pStyle w:val="2"/>
        <w:rPr>
          <w:vanish w:val="0"/>
        </w:rPr>
      </w:pPr>
      <w:r>
        <w:br w:type="page"/>
      </w:r>
    </w:p>
    <w:tbl>
      <w:tblPr>
        <w:tblStyle w:val="3"/>
        <w:tblW w:w="0" w:type="auto"/>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3534"/>
        <w:gridCol w:w="471"/>
        <w:gridCol w:w="1574"/>
        <w:gridCol w:w="3535"/>
        <w:gridCol w:w="758"/>
        <w:gridCol w:w="1575"/>
        <w:gridCol w:w="1575"/>
        <w:gridCol w:w="1575"/>
        <w:gridCol w:w="1738"/>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outset" w:color="C0C0C0" w:sz="6" w:space="0"/>
              <w:left w:val="outset" w:color="C0C0C0" w:sz="6" w:space="0"/>
            </w:tcBorders>
            <w:shd w:val="clear" w:color="auto" w:fill="auto"/>
            <w:vAlign w:val="center"/>
          </w:tcPr>
          <w:p>
            <w:pPr>
              <w:pStyle w:val="12"/>
              <w:jc w:val="center"/>
              <w:rPr>
                <w:vanish w:val="0"/>
              </w:rPr>
            </w:pPr>
            <w:r>
              <w:rPr>
                <w:rFonts w:ascii="Courier New" w:hAnsi="Courier New" w:eastAsia="Courier New" w:cs="Courier New"/>
                <w:sz w:val="20"/>
              </w:rPr>
              <w:t>财政拨款收入支出决算总表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4"/>
            <w:tcBorders>
              <w:left w:val="outset" w:color="C0C0C0" w:sz="6" w:space="0"/>
            </w:tcBorders>
            <w:shd w:val="clear" w:color="auto" w:fill="auto"/>
            <w:vAlign w:val="center"/>
          </w:tcPr>
          <w:p/>
        </w:tc>
        <w:tc>
          <w:tcPr>
            <w:tcW w:w="3500" w:type="pct"/>
            <w:gridSpan w:val="5"/>
            <w:shd w:val="clear" w:color="auto" w:fill="auto"/>
            <w:vAlign w:val="center"/>
          </w:tcPr>
          <w:p>
            <w:pPr>
              <w:pStyle w:val="13"/>
              <w:jc w:val="right"/>
              <w:rPr>
                <w:vanish w:val="0"/>
              </w:rPr>
            </w:pPr>
            <w:r>
              <w:rPr>
                <w:rFonts w:ascii="Courier New" w:hAnsi="Courier New" w:eastAsia="Courier New" w:cs="Courier New"/>
                <w:sz w:val="20"/>
              </w:rPr>
              <w:t>公开04表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4"/>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3500" w:type="pct"/>
            <w:gridSpan w:val="5"/>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75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收入</w:t>
            </w:r>
          </w:p>
        </w:tc>
        <w:tc>
          <w:tcPr>
            <w:tcW w:w="325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0" w:type="auto"/>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金额</w:t>
            </w:r>
          </w:p>
        </w:tc>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2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一般公共预算财政拨款</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政府性基金预算财政拨款</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国有资本经营预算财政拨款</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0" w:type="auto"/>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0" w:type="auto"/>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2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0" w:type="auto"/>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一、一般公共服务支出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二、政府性基金预算财政拨款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二、外交支出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三、国有资本经营预算财政拨款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三、国防支出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四、公共安全支出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五、教育支出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六、科学技术支出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七、文化旅游体育与传媒支出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八、社会保障和就业支出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972.64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972.64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九、卫生健康支出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十、节能环保支出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十一、城乡社区支出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十二、农林水支出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十三、交通运输支出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十四、资源勘探工业信息等支出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十五、商业服务业等支出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十六、金融支出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十七、援助其他地区支出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十八、自然资源海洋气象等支出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十九、住房保障支出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二十、粮油物资储备支出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二十一、国有资本经营预算支出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二十二、灾害防治及应急管理支出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二十三、其他支出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二十四、债务还本支出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二十五、债务付息支出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二十六、抗疫特别国债安排的支出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本年收入合计</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本年支出合计</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年初财政拨款结转和结余</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年末财政拨款结转和结余</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一般公共预算财政拨款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政府性基金预算财政拨款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国有资本经营预算财政拨款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注：本表反映部门本年度一般公共预算财政拨款、政府性基金预算财政拨款和国有资本经营预算财政拨款的总收支和年末结转结余情况。</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top w:val="outset" w:color="C0C0C0" w:sz="6" w:space="0"/>
              <w:left w:val="outset" w:color="C0C0C0" w:sz="6" w:space="0"/>
            </w:tcBorders>
            <w:shd w:val="clear" w:color="auto" w:fill="auto"/>
            <w:vAlign w:val="center"/>
          </w:tcPr>
          <w:p>
            <w:pPr>
              <w:pStyle w:val="14"/>
              <w:jc w:val="center"/>
              <w:rPr>
                <w:vanish w:val="0"/>
              </w:rPr>
            </w:pPr>
            <w:r>
              <w:rPr>
                <w:rFonts w:ascii="Courier New" w:hAnsi="Courier New" w:eastAsia="Courier New" w:cs="Courier New"/>
                <w:sz w:val="20"/>
              </w:rPr>
              <w:t>一般公共预算财政拨款支出决算表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tcBorders>
            <w:shd w:val="clear" w:color="auto" w:fill="auto"/>
            <w:vAlign w:val="center"/>
          </w:tcPr>
          <w:p/>
        </w:tc>
        <w:tc>
          <w:tcPr>
            <w:tcW w:w="3000" w:type="pct"/>
            <w:gridSpan w:val="3"/>
            <w:shd w:val="clear" w:color="auto" w:fill="auto"/>
            <w:vAlign w:val="center"/>
          </w:tcPr>
          <w:p>
            <w:pPr>
              <w:pStyle w:val="15"/>
              <w:jc w:val="right"/>
              <w:rPr>
                <w:vanish w:val="0"/>
              </w:rPr>
            </w:pPr>
            <w:r>
              <w:rPr>
                <w:rFonts w:ascii="Courier New" w:hAnsi="Courier New" w:eastAsia="Courier New" w:cs="Courier New"/>
                <w:sz w:val="20"/>
              </w:rPr>
              <w:t>公开05表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3000" w:type="pct"/>
            <w:gridSpan w:val="3"/>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3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本年支出合计</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功能分类科目编码</w:t>
            </w:r>
          </w:p>
        </w:tc>
        <w:tc>
          <w:tcPr>
            <w:tcW w:w="1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3111.22</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1046.81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2064.42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教育支出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其他教育支出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2059999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其他教育支出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1990.32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科学技术支出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20606</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社会科学</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2060699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其他社会科学支出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28.58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文化旅游体育与传媒支出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文化和旅游</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97.71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2070101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50.31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50.31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2070199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其他文化和旅游支出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47.40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47.40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社会保障和就业支出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972.64</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898.54</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74.10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人力资源和社会保障管理事务</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911.39</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876.11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35.28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874.48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874.48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2080102</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一般行政管理事务</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21.08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21.08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2080104</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综合业务管理</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2080105</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劳动保障监察</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2080107</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社会保险业务管理事务</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9.00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2080199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其他人力资源和社会保障管理事务支出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1.64</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1.64</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20807</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就业补助</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22.43</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38.82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2080799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其他就业补助支出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61.25</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22.43</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38.82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农林水支出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21.98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农业农村</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2130199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其他农业农村支出</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21.48</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21305</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巩固脱贫攻坚成果衔接乡村振兴</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2130501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行政运行</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0.50</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注：本表反映部门本年度一般公共预算财政拨款支出情况。</w:t>
            </w:r>
          </w:p>
        </w:tc>
      </w:tr>
    </w:tbl>
    <w:p>
      <w:pPr>
        <w:pStyle w:val="2"/>
        <w:rPr>
          <w:vanish w:val="0"/>
        </w:rPr>
      </w:pPr>
      <w:r>
        <w:br w:type="page"/>
      </w:r>
    </w:p>
    <w:tbl>
      <w:tblPr>
        <w:tblStyle w:val="3"/>
        <w:tblW w:w="0" w:type="auto"/>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143"/>
        <w:gridCol w:w="3104"/>
        <w:gridCol w:w="1307"/>
        <w:gridCol w:w="1143"/>
        <w:gridCol w:w="2287"/>
        <w:gridCol w:w="1307"/>
        <w:gridCol w:w="1143"/>
        <w:gridCol w:w="3920"/>
        <w:gridCol w:w="981"/>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outset" w:color="C0C0C0" w:sz="6" w:space="0"/>
              <w:left w:val="outset" w:color="C0C0C0" w:sz="6" w:space="0"/>
            </w:tcBorders>
            <w:shd w:val="clear" w:color="auto" w:fill="auto"/>
            <w:vAlign w:val="center"/>
          </w:tcPr>
          <w:p>
            <w:pPr>
              <w:pStyle w:val="16"/>
              <w:jc w:val="center"/>
              <w:rPr>
                <w:vanish w:val="0"/>
              </w:rPr>
            </w:pPr>
            <w:r>
              <w:rPr>
                <w:rFonts w:ascii="Courier New" w:hAnsi="Courier New" w:eastAsia="Courier New" w:cs="Courier New"/>
                <w:sz w:val="20"/>
              </w:rPr>
              <w:t>一般公共预算财政拨款基本支出决算明细表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700" w:type="pct"/>
            <w:gridSpan w:val="3"/>
            <w:tcBorders>
              <w:left w:val="outset" w:color="C0C0C0" w:sz="6" w:space="0"/>
            </w:tcBorders>
            <w:shd w:val="clear" w:color="auto" w:fill="auto"/>
            <w:vAlign w:val="center"/>
          </w:tcPr>
          <w:p/>
        </w:tc>
        <w:tc>
          <w:tcPr>
            <w:tcW w:w="3300" w:type="pct"/>
            <w:gridSpan w:val="6"/>
            <w:shd w:val="clear" w:color="auto" w:fill="auto"/>
            <w:vAlign w:val="center"/>
          </w:tcPr>
          <w:p>
            <w:pPr>
              <w:pStyle w:val="17"/>
              <w:jc w:val="right"/>
              <w:rPr>
                <w:vanish w:val="0"/>
              </w:rPr>
            </w:pPr>
            <w:r>
              <w:rPr>
                <w:rFonts w:ascii="Courier New" w:hAnsi="Courier New" w:eastAsia="Courier New" w:cs="Courier New"/>
                <w:sz w:val="20"/>
              </w:rPr>
              <w:t>公开06表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00" w:type="pct"/>
            <w:gridSpan w:val="3"/>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330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7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人员经费</w:t>
            </w:r>
          </w:p>
        </w:tc>
        <w:tc>
          <w:tcPr>
            <w:tcW w:w="330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公用经费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经济分类科目编码</w:t>
            </w:r>
          </w:p>
        </w:tc>
        <w:tc>
          <w:tcPr>
            <w:tcW w:w="9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经济分类科目编码</w:t>
            </w:r>
          </w:p>
        </w:tc>
        <w:tc>
          <w:tcPr>
            <w:tcW w:w="7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经济分类科目编码</w:t>
            </w:r>
          </w:p>
        </w:tc>
        <w:tc>
          <w:tcPr>
            <w:tcW w:w="12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9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7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工资福利支出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863.44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商品和服务支出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58.77</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307</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债务利息及费用支出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基本工资</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273.45</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30201</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办公费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8.52</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30701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国内债务付息</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30102</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津贴补贴</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200.60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30202</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印刷费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4.30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30702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国外债务付息</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奖金</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164.01</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30203</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咨询费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资本性支出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30106</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伙食补助费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6.50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30204</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手续费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房屋建筑物购建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30107</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绩效工资</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30205</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水费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0.60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办公设备购置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30108</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机关事业单位基本养老保险缴费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84.70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30206</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电费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2.57</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31003</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专用设备购置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职业年金缴费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20.14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30207</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邮电费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0.83</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31005</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基础设施建设</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30110</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职工基本医疗保险缴费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35.64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30208</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取暖费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31006</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大型修缮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公务员医疗补助缴费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物业管理费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31007</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信息网络及软件购置更新</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30112</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其他社会保障缴费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11.50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30211</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差旅费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1.74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31008</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物资储备</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住房公积金</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50.81</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30212</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因公出国（境）费用</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土地补偿</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30114</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医疗费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30213</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维修（护）费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0.94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31010</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安置补助</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30199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其他工资福利支出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16.09</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30214</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租赁费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地上附着物和青苗补偿</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对个人和家庭的补助</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124.59</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30215</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会议费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拆迁补偿</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离休费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30216</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培训费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0.23</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31013</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公务用车购置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30302</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退休费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30217</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公务接待费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0.27</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其他交通工具购置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退职（役）费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30218</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专用材料费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31021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文物和陈列品购置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30304</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抚恤金</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34.74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30224</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被装购置费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31022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无形资产购置</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30305</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生活补助</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63.97</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30225</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专用燃料费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31099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其他资本性支出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30306</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救济费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30226</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劳务费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18.85</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30307</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医疗费补助</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30227</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委托业务费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39907</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国家赔偿费用支出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30308</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助学金</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30228</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工会经费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12.71</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39908</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对民间非营利组织和群众性自治组织补贴</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奖励金</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12.96</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福利费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39909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经常性赠与</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30310</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个人农业生产补贴</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30231</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公务用车运行维护费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1.88</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39910</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资本性赠与</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30311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代缴社会保险费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30239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其他交通费用</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1.72</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39999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30399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其他对个人和家庭的补助</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12.93</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30240</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税金及附加费用</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30299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其他商品和服务支出</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3.60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人员经费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988.04</w:t>
            </w:r>
          </w:p>
        </w:tc>
        <w:tc>
          <w:tcPr>
            <w:tcW w:w="2900" w:type="pct"/>
            <w:gridSpan w:val="5"/>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公用经费</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58.77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0" w:type="pct"/>
            <w:gridSpan w:val="9"/>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注：本表反映部门本年度一般公共预算财政拨款基本支出明细情况。</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3266"/>
        <w:gridCol w:w="1633"/>
        <w:gridCol w:w="1634"/>
        <w:gridCol w:w="2124"/>
        <w:gridCol w:w="2124"/>
        <w:gridCol w:w="2124"/>
        <w:gridCol w:w="179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8"/>
            <w:tcBorders>
              <w:top w:val="outset" w:color="C0C0C0" w:sz="6" w:space="0"/>
              <w:left w:val="outset" w:color="C0C0C0" w:sz="6" w:space="0"/>
            </w:tcBorders>
            <w:shd w:val="clear" w:color="auto" w:fill="auto"/>
            <w:vAlign w:val="center"/>
          </w:tcPr>
          <w:p>
            <w:pPr>
              <w:pStyle w:val="18"/>
              <w:jc w:val="center"/>
              <w:rPr>
                <w:vanish w:val="0"/>
              </w:rPr>
            </w:pPr>
            <w:r>
              <w:rPr>
                <w:rFonts w:ascii="Courier New" w:hAnsi="Courier New" w:eastAsia="Courier New" w:cs="Courier New"/>
                <w:sz w:val="20"/>
              </w:rPr>
              <w:t>政府性基金预算财政拨款收入支出决算表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2000" w:type="pct"/>
            <w:gridSpan w:val="3"/>
            <w:tcBorders>
              <w:left w:val="outset" w:color="C0C0C0" w:sz="6" w:space="0"/>
            </w:tcBorders>
            <w:shd w:val="clear" w:color="auto" w:fill="auto"/>
            <w:vAlign w:val="center"/>
          </w:tcPr>
          <w:p/>
        </w:tc>
        <w:tc>
          <w:tcPr>
            <w:tcW w:w="3000" w:type="pct"/>
            <w:gridSpan w:val="5"/>
            <w:shd w:val="clear" w:color="auto" w:fill="auto"/>
            <w:vAlign w:val="center"/>
          </w:tcPr>
          <w:p>
            <w:pPr>
              <w:pStyle w:val="19"/>
              <w:jc w:val="right"/>
              <w:rPr>
                <w:vanish w:val="0"/>
              </w:rPr>
            </w:pPr>
            <w:r>
              <w:rPr>
                <w:rFonts w:ascii="Courier New" w:hAnsi="Courier New" w:eastAsia="Courier New" w:cs="Courier New"/>
                <w:sz w:val="20"/>
              </w:rPr>
              <w:t>公开07表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3"/>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3000" w:type="pct"/>
            <w:gridSpan w:val="5"/>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年初结转和结余</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本年收入</w:t>
            </w:r>
          </w:p>
        </w:tc>
        <w:tc>
          <w:tcPr>
            <w:tcW w:w="15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年末结转和结余</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科目代码</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8"/>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注：本表反映部门本年度政府性基金预算财政拨款收入、支出及结转和结余情况。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8"/>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说明：我单位没有政府性基金收入，也没有使用政府性基金安排的支出，故本表无数据。</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top w:val="outset" w:color="C0C0C0" w:sz="6" w:space="0"/>
              <w:left w:val="outset" w:color="C0C0C0" w:sz="6" w:space="0"/>
            </w:tcBorders>
            <w:shd w:val="clear" w:color="auto" w:fill="auto"/>
            <w:vAlign w:val="center"/>
          </w:tcPr>
          <w:p>
            <w:pPr>
              <w:pStyle w:val="20"/>
              <w:jc w:val="center"/>
              <w:rPr>
                <w:vanish w:val="0"/>
              </w:rPr>
            </w:pPr>
            <w:r>
              <w:rPr>
                <w:rFonts w:ascii="Courier New" w:hAnsi="Courier New" w:eastAsia="Courier New" w:cs="Courier New"/>
                <w:sz w:val="20"/>
              </w:rPr>
              <w:t>国有资本经营预算财政拨款支出决算表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2000" w:type="pct"/>
            <w:gridSpan w:val="2"/>
            <w:tcBorders>
              <w:left w:val="outset" w:color="C0C0C0" w:sz="6" w:space="0"/>
            </w:tcBorders>
            <w:shd w:val="clear" w:color="auto" w:fill="auto"/>
            <w:vAlign w:val="center"/>
          </w:tcPr>
          <w:p/>
        </w:tc>
        <w:tc>
          <w:tcPr>
            <w:tcW w:w="3000" w:type="pct"/>
            <w:gridSpan w:val="3"/>
            <w:shd w:val="clear" w:color="auto" w:fill="auto"/>
            <w:vAlign w:val="center"/>
          </w:tcPr>
          <w:p>
            <w:pPr>
              <w:pStyle w:val="21"/>
              <w:jc w:val="right"/>
              <w:rPr>
                <w:vanish w:val="0"/>
              </w:rPr>
            </w:pPr>
            <w:r>
              <w:rPr>
                <w:rFonts w:ascii="Courier New" w:hAnsi="Courier New" w:eastAsia="Courier New" w:cs="Courier New"/>
                <w:sz w:val="20"/>
              </w:rPr>
              <w:t>公开08表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3000" w:type="pct"/>
            <w:gridSpan w:val="3"/>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3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科目代码</w:t>
            </w:r>
          </w:p>
        </w:tc>
        <w:tc>
          <w:tcPr>
            <w:tcW w:w="1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注：本表反映部门本年度国有资本经营预算财政拨款支出情况。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 xml:space="preserve">说明：我单位没有使用国有资本经营预算安排的支出，故本表无数据。 </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1634"/>
        <w:gridCol w:w="980"/>
        <w:gridCol w:w="1143"/>
        <w:gridCol w:w="1143"/>
        <w:gridCol w:w="1634"/>
        <w:gridCol w:w="1634"/>
        <w:gridCol w:w="1634"/>
        <w:gridCol w:w="980"/>
        <w:gridCol w:w="1143"/>
        <w:gridCol w:w="1143"/>
        <w:gridCol w:w="163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12"/>
            <w:tcBorders>
              <w:top w:val="outset" w:color="C0C0C0" w:sz="6" w:space="0"/>
              <w:left w:val="outset" w:color="C0C0C0" w:sz="6" w:space="0"/>
            </w:tcBorders>
            <w:shd w:val="clear" w:color="auto" w:fill="auto"/>
            <w:vAlign w:val="center"/>
          </w:tcPr>
          <w:p>
            <w:pPr>
              <w:pStyle w:val="22"/>
              <w:jc w:val="center"/>
              <w:rPr>
                <w:vanish w:val="0"/>
              </w:rPr>
            </w:pPr>
            <w:r>
              <w:rPr>
                <w:rFonts w:ascii="Courier New" w:hAnsi="Courier New" w:eastAsia="Courier New" w:cs="Courier New"/>
                <w:sz w:val="20"/>
              </w:rPr>
              <w:t>财政拨款“三公”经费支出决算表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0" w:type="pct"/>
            <w:gridSpan w:val="6"/>
            <w:tcBorders>
              <w:left w:val="outset" w:color="C0C0C0" w:sz="6" w:space="0"/>
            </w:tcBorders>
            <w:shd w:val="clear" w:color="auto" w:fill="auto"/>
            <w:vAlign w:val="center"/>
          </w:tcPr>
          <w:p/>
        </w:tc>
        <w:tc>
          <w:tcPr>
            <w:tcW w:w="2500" w:type="pct"/>
            <w:gridSpan w:val="6"/>
            <w:shd w:val="clear" w:color="auto" w:fill="auto"/>
            <w:vAlign w:val="center"/>
          </w:tcPr>
          <w:p>
            <w:pPr>
              <w:pStyle w:val="23"/>
              <w:jc w:val="right"/>
              <w:rPr>
                <w:vanish w:val="0"/>
              </w:rPr>
            </w:pPr>
            <w:r>
              <w:rPr>
                <w:rFonts w:ascii="Courier New" w:hAnsi="Courier New" w:eastAsia="Courier New" w:cs="Courier New"/>
                <w:sz w:val="20"/>
              </w:rPr>
              <w:t>公开09表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0" w:type="pct"/>
            <w:gridSpan w:val="6"/>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部门：中方县人力资源和社会保障局</w:t>
            </w:r>
          </w:p>
        </w:tc>
        <w:tc>
          <w:tcPr>
            <w:tcW w:w="250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50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预算数</w:t>
            </w:r>
          </w:p>
        </w:tc>
        <w:tc>
          <w:tcPr>
            <w:tcW w:w="250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因公出国（境）费</w:t>
            </w:r>
          </w:p>
        </w:tc>
        <w:tc>
          <w:tcPr>
            <w:tcW w:w="1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公务用车购置及运行维护费</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公务接待费</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5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因公出国（境）费</w:t>
            </w:r>
          </w:p>
        </w:tc>
        <w:tc>
          <w:tcPr>
            <w:tcW w:w="1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公务用车购置及运行维护费</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公务接待费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公务用车购置费</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公务用车运行维护费</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5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公务用车购置费</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公务用车运行维护费</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8</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6.40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4.90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4.90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2.15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1.88</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1.88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0.27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12"/>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6839" w:h="11907" w:orient="landscape"/>
          <w:pgMar w:top="1440" w:right="360" w:bottom="1440" w:left="360" w:header="720" w:footer="720" w:gutter="0"/>
          <w:cols w:space="720" w:num="1"/>
        </w:sect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第三部分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2024</w:t>
      </w:r>
      <w:r>
        <w:rPr>
          <w:rFonts w:ascii="黑体" w:hAnsi="黑体" w:eastAsia="黑体" w:cs="宋体"/>
          <w:b/>
          <w:color w:val="000000"/>
          <w:sz w:val="48"/>
        </w:rPr>
        <w:t>年度部门决算情况说明</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2024</w:t>
      </w:r>
      <w:r>
        <w:rPr>
          <w:rFonts w:ascii="宋体" w:hAnsi="宋体" w:eastAsia="宋体" w:cs="宋体"/>
          <w:color w:val="000000"/>
          <w:sz w:val="28"/>
        </w:rPr>
        <w:t>年度收、支总计</w:t>
      </w:r>
      <w:r>
        <w:rPr>
          <w:rFonts w:ascii="宋体" w:hAnsi="宋体" w:eastAsia="宋体" w:cs="宋体"/>
          <w:sz w:val="28"/>
        </w:rPr>
        <w:t>3112.26</w:t>
      </w:r>
      <w:r>
        <w:rPr>
          <w:rFonts w:ascii="宋体" w:hAnsi="宋体" w:eastAsia="宋体" w:cs="宋体"/>
          <w:color w:val="000000"/>
          <w:sz w:val="28"/>
        </w:rPr>
        <w:t>万元。与上年相比，</w:t>
      </w:r>
      <w:r>
        <w:rPr>
          <w:rFonts w:ascii="宋体" w:hAnsi="宋体" w:eastAsia="宋体" w:cs="宋体"/>
          <w:sz w:val="28"/>
        </w:rPr>
        <w:t>增加1965.43万元</w:t>
      </w:r>
      <w:r>
        <w:rPr>
          <w:rFonts w:ascii="宋体" w:hAnsi="宋体" w:eastAsia="宋体" w:cs="宋体"/>
          <w:color w:val="000000"/>
          <w:sz w:val="28"/>
        </w:rPr>
        <w:t>，</w:t>
      </w:r>
      <w:r>
        <w:rPr>
          <w:rFonts w:ascii="宋体" w:hAnsi="宋体" w:eastAsia="宋体" w:cs="宋体"/>
          <w:sz w:val="28"/>
        </w:rPr>
        <w:t>增长171.38%</w:t>
      </w:r>
      <w:r>
        <w:rPr>
          <w:rFonts w:ascii="宋体" w:hAnsi="宋体" w:eastAsia="宋体" w:cs="宋体"/>
          <w:color w:val="000000"/>
          <w:sz w:val="28"/>
        </w:rPr>
        <w:t>，主要是因为增加了中方县实训基地项目建设资金1990多万，以及一些预算调整。</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二、收入决算情况说明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2024年度本年收入合计3112.26万元，其中：财政拨款收入3111.22万元，占99.97%；上级补助收入0万元，占0%；事业收入0万元，占0%；经营收入0万元，占0%；附属单位上缴收入0万元，占0%；其他收入1.04万元，占0.03%。</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2024年度支出合计3112.26万元，其中：基本支出1047.84万元，占33.67%；项目支出2064.42万元，占66.33%；上缴上级支出0万元，占0%；经营支出0万元，占0%；对附属单位补助支出0万元，占0%。</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四、财政拨款收入支出决算总体情况说明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2024年度财政拨款收、支总计3111.22万元，与上年相比，增加1965.04万元，增长171.44%，主要是因为增加了中方县实训基地项目建设资金1990多万，以及一些预算调整。</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五、一般公共预算财政拨款支出决算情况说明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（一）一般公共预算财政拨款支出决算总体情况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2024年度财政拨款支出3111.22万元，占本年支出合计的100.00%，与上年相比，财政拨款支出增加1965.04万元，增长171.44%，主要是因为增加了中方县实训基地项目建设资金以及一些预算调整。</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（二）一般公共预算财政拨款支出决算结构情况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2024年度财政拨款支出3111.22万元，主要用于以下方面：教育支出（类）1990.32万元，占63.97%；科学技术支出（类）28.58万元，占0.92%；文化旅游体育与传媒支出（类）97.71万元，占3.14%；社会保障和就业支出（类）972.64万元，占31.26%；农林水支出（类）21.98万元，占0.71%。</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（三）一般公共预算财政拨款支出决算具体情况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2024年度财政拨款支出年初预算数为2630.92万元，支出决算数为3111.22万元，完成年初预算的118.26%，其中：</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1、教育支出（类）其他教育支出（款）其他教育支出（项）。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年初预算为0万元，支出决算为1990.32万元，因年初预算金额为0万元，无法计算百分比。决算数大于年初预算数的主要原因是：年中根据实际情况，增加了中方县公共实训基地建设项目资金1990.32万元。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2、科学技术支出（类）社会科学（款）其他社会科学支出（项）。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年初预算为0万元，支出决算为28.58万元，因年初预算金额为0万元，无法计算百分比。决算数大于年初预算数的主要原因是：年中根据工作需要增加了2024年第一轮人才引进考试费用。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3、文化旅游体育与传媒支出（类）文化和旅游（款）行政运行（项）。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年初预算为50.84万元，支出决算为50.31万元，完成预算的98.96%。决算数小于年初预算数的主要原因是：根据实际安排支出，压缩运行成本。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4、文化旅游体育与传媒支出（类）文化和旅游（款）其他文化和旅游支出（项）。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年初预算为0万元，支出决算为47.4万元，因年初预算金额为0万元，无法计算百分比。决算数大于年初预算数的主要原因是：年中增加了大湘西留守人员工资。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5、社会保障和就业支出（类）人力资源和社会保障管理事务（款）行政运行（项）。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年初预算为816.58万元，支出决算为874.48万元，完成预算的107.09%。决算数大于年初预算数的主要原因是：存在人员增减变动，根据实际情况增加了预算。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6、社会保障和就业支出（类）人力资源和社会保障管理事务（款）一般行政管理事务（项）。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年初预算为9.50万元，支出决算为21.08万元，完成预算的221.89%。决算数大于年初预算数的主要原因是：存在人员调入调整经费以及增加经费等情况。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7、社会保障和就业支出（类）人力资源和社会保障管理事务（款）综合业务管理（项）。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年初预算为0万元，支出决算为4万元，因年初预算金额为0万元，无法计算百分比。决算数大于年初预算数的主要原因是：年中根据实际需要增加了一笔维修资金。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8、社会保障和就业支出（类）人力资源和社会保障管理事务（款）劳动保障监察（项）。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年初预算为0万元，支出决算为1.2万元，因年初预算金额为0万元，无法计算百分比。决算数大于年初预算数的主要原因是：年中根据实际需要，增加了一笔三方审计资金。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9、社会保障和就业支出（类）人力资源和社会保障管理事务（款）社会保险业务管理事务（项）。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年初预算为0万元，支出决算为9万元，因年初预算金额为0万元，无法计算百分比。决算数大于年初预算数的主要原因是：根据实际需要，增加了一笔零工市场项目建设资金。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10、社会保障和就业支出（类）人力资源和社会保障管理事务（款）其他人力资源和社会保障管理事务支出（项）。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年初预算为0万元，支出决算为1.64万元，因年初预算金额为0万元，无法计算百分比。决算数大于年初预算数的主要原因是：根据实际需要增加了资金。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11、社会保障和就业支出（类）就业补助（款）其他就业补助支出（项）。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1754.00万元，支出决算为61.25万元，完成预算的3.49%。决算数小于年初预算数的主要原因是：年初预算1754万元为就业资金，年终有单独的决算报表，不在此体现。年中根据实际工作需要，购买设备用于就业信息发布支出。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12、农林水支出（类）农业农村（款）其他农业农村支出（项）。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年初预算为0万元，支出决算为21.48万元，因年初预算金额为0万元，无法计算百分比。决算数大于年初预算数的主要原因是：年中根据实际需要增加了预算。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13、农林水支出（类）巩固脱贫攻坚成果衔接乡村振兴（款）行政运行（项）。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年初预算为0万元，支出决算为0.5万元，因年初预算金额为0万元，无法计算百分比。决算数大于年初预算数的主要原因是：因人员调入，外单位划拨公用经费。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六、一般公共预算财政拨款基本支出决算情况说明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2024</w:t>
      </w:r>
      <w:r>
        <w:rPr>
          <w:rFonts w:ascii="宋体" w:hAnsi="宋体" w:eastAsia="宋体" w:cs="宋体"/>
          <w:color w:val="000000"/>
          <w:sz w:val="28"/>
        </w:rPr>
        <w:t>年度一般公共预算财政拨款基本支出</w:t>
      </w:r>
      <w:r>
        <w:rPr>
          <w:rFonts w:ascii="宋体" w:hAnsi="宋体" w:eastAsia="宋体" w:cs="宋体"/>
          <w:sz w:val="28"/>
        </w:rPr>
        <w:t>1046.81</w:t>
      </w:r>
      <w:r>
        <w:rPr>
          <w:rFonts w:ascii="宋体" w:hAnsi="宋体" w:eastAsia="宋体" w:cs="宋体"/>
          <w:color w:val="000000"/>
          <w:sz w:val="28"/>
        </w:rPr>
        <w:t>万元，其中：</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人员经费988.04万元，占基本支出的94.39%，主要包括：基本工资、津贴补贴、奖金、伙食补助费、机关事业单位基本养老保险缴费、职业年金缴费、职工基本医疗保险缴费、其他社会保障缴费、住房公积金、其他工资福利支出、抚恤金、生活补助、奖励金、其他对个人和家庭的补助。</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用经费58.77万元，占基本支出的5.61%，主要包括：办公费、印刷费、水费、电费、邮电费、差旅费、维修（护）费、培训费、公务接待费、劳务费、工会经费、公务用车运行维护费、其他交通费用、其他商品和服务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七、财政拨款"三公"经费支出决算情况说明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（一）“三公”经费财政拨款支出决算总体情况说明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三公”经费财政拨款支出预算为6.40万元，支出决算为2.15万元，完成预算的33.59%；与上年相比减少0.81万元，降低27.36%，决算数小于预算数的主要原因是加强管理，压缩运行成本。决算数小于上年数的主要原因是加强管理，严格执行八项规定，进一步压缩成本。</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color w:val="000000"/>
          <w:sz w:val="28"/>
        </w:rPr>
        <w:t>（二）“三公”经费财政拨款支出决算具体情况说明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1、因公出国（境）费支出预算为</w:t>
      </w:r>
      <w:r>
        <w:rPr>
          <w:rFonts w:ascii="宋体" w:hAnsi="宋体" w:eastAsia="宋体" w:cs="宋体"/>
          <w:sz w:val="28"/>
        </w:rPr>
        <w:t>0</w:t>
      </w:r>
      <w:r>
        <w:rPr>
          <w:rFonts w:ascii="宋体" w:hAnsi="宋体" w:eastAsia="宋体" w:cs="宋体"/>
          <w:color w:val="000000"/>
          <w:sz w:val="28"/>
        </w:rPr>
        <w:t>万元，支出决算为</w:t>
      </w:r>
      <w:r>
        <w:rPr>
          <w:rFonts w:ascii="宋体" w:hAnsi="宋体" w:eastAsia="宋体" w:cs="宋体"/>
          <w:sz w:val="28"/>
        </w:rPr>
        <w:t>0</w:t>
      </w:r>
      <w:r>
        <w:rPr>
          <w:rFonts w:ascii="宋体" w:hAnsi="宋体" w:eastAsia="宋体" w:cs="宋体"/>
          <w:color w:val="000000"/>
          <w:sz w:val="28"/>
        </w:rPr>
        <w:t>万元，因年初预算金额为0万元，无法完成预算百分比测算；由于上年数和本年数都为0万元，故无法计算对比上年百分比。</w:t>
      </w:r>
      <w:r>
        <w:rPr>
          <w:rFonts w:ascii="宋体" w:hAnsi="宋体" w:eastAsia="宋体" w:cs="宋体"/>
          <w:sz w:val="28"/>
        </w:rPr>
        <w:t>2024年安排</w:t>
      </w:r>
      <w:r>
        <w:rPr>
          <w:rFonts w:ascii="宋体" w:hAnsi="宋体" w:eastAsia="宋体" w:cs="宋体"/>
          <w:color w:val="000000"/>
          <w:sz w:val="28"/>
        </w:rPr>
        <w:t>因公出国（境）团组0个，累计0人次，我单位2024年度无因公出国（境）费支出。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2、公务用车购置费及运行维护费支出预算为4.90万元，支出决算为1.88万元，完成预算的38.37%。与上年相比增加0.19万元，增长11.24%。其中：</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用车购置费支出预算为0万元，支出决算为0万元，因年初预算金额为0万元，无法完成预算百分比测算；与上年相比持平，因上年数为0万元无法计算百分比，决算数持平预算数的主要原因是无公务用车购置费。决算数持平上年数的主要原因是无公务用车购置费。中方县人力资源和社会保障局更新公务用车0辆。</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用车运行维护费支出预算为4.90万元，支出决算为1.88万元，主要是降本增效，压减开支，完成预算的38.37%；与上年相比增加0.19万元，增长11.24%。决算数小于预算数的主要原因是降本增效，压减开支，决算数大于上年数的主要原因是车辆年限过久，导致维修费用相对增加。截止2024年12月31日，我单位开支财政拨款的公务用车保有量为1辆。</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3、公务接待费支出预算为1.50万元，支出决算为0.27万元，完成预算的18.00%；与上年相比减少1.00万元，降低78.74%。决算数小于预算数的主要原因是进一步减少公务接待。决算数小于上年数的主要原因是例行节约，公务接待费支出减少。2024年共接待来访团组10个、来宾50人次，主要是业务往来发生的接待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八、政府性基金预算收入支出决算情况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中方县人力资源和社会保障局2024年度没有政府性基金收入，也没有使用政府性基金安排的支出，并已公开空表。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color w:val="000000"/>
          <w:sz w:val="28"/>
        </w:rPr>
        <w:t>九、国有资本经营预算收入支出决算情况说明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中方县人力资源和社会保障局2024年度没有国有资本经营收入，也没有使用国有资本经营安排的支出，并已公开空表。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color w:val="000000"/>
          <w:sz w:val="28"/>
        </w:rPr>
        <w:t>十、</w:t>
      </w:r>
      <w:r>
        <w:rPr>
          <w:rFonts w:ascii="黑体" w:hAnsi="黑体" w:eastAsia="黑体" w:cs="宋体"/>
          <w:b/>
          <w:sz w:val="28"/>
        </w:rPr>
        <w:t>关于机关运行经费支出说明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本部门</w:t>
      </w:r>
      <w:r>
        <w:rPr>
          <w:rFonts w:ascii="宋体" w:hAnsi="宋体" w:eastAsia="宋体" w:cs="宋体"/>
          <w:sz w:val="28"/>
        </w:rPr>
        <w:t>2024</w:t>
      </w:r>
      <w:r>
        <w:rPr>
          <w:rFonts w:ascii="宋体" w:hAnsi="宋体" w:eastAsia="宋体" w:cs="宋体"/>
          <w:color w:val="000000"/>
          <w:sz w:val="28"/>
        </w:rPr>
        <w:t>年度机关运行经费支出58.77万元，比上年决算数</w:t>
      </w:r>
      <w:r>
        <w:rPr>
          <w:rFonts w:ascii="宋体" w:hAnsi="宋体" w:eastAsia="宋体" w:cs="宋体"/>
          <w:sz w:val="28"/>
        </w:rPr>
        <w:t>增加23.42万元，增加66.25%，</w:t>
      </w:r>
      <w:r>
        <w:rPr>
          <w:rFonts w:ascii="宋体" w:hAnsi="宋体" w:eastAsia="宋体" w:cs="宋体"/>
          <w:color w:val="000000"/>
          <w:sz w:val="28"/>
        </w:rPr>
        <w:t>主要原因是：日常公用经费增加。</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十一、一般性支出情况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2024年本部门开支会议费0万元，用于召开0场会议，人数0人，内容为无；开支培训费0.32万元，用于开展继续教育培训，人数18人，内容为事业单位人员后续教育；未举办节庆、晚会、论坛、赛事等，开支0万元。</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十二、关于政府采购支出说明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部门2024年度政府采购支出总额2034.64万元，其中：政府采购货物支出38.82万元、政府采购工程支出1990.32万元、政府采购服务支出5.50万元。授予中小企业合同金额38.82万元，占政府采购支出总额的1.91%，其中：授予小微企业合同金额38.82万元，占政府采购支出总额的1.91%。货物采购授予中小企业合同金额占货物支出金额的100%，工程采购授予中小企业合同金额占工程支出金额的100%，服务采购授予中小企业合同金额占服务支出金额的100%。</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十三、关于国有资产占用情况说明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截至2024年12月31日，本单位共有车辆1辆，其中，副部（省）级及以上领导用车0辆,主要负责人用车0辆，机要通信用车0辆、应急保障用车0辆、执法执勤用车0辆、特种专业技术用车0辆、离退休干部服务用车0辆、其他用车1辆，其他用车主要是一般业务用车；单位价值100万元以上设备（不含车辆）0台（套）。</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十四、关于2024年度预算绩效情况的说明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（一）绩效管理工作开展情况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1.规范预算绩效管理，制定相关管理制度，加强预算绩效管理理念；</w:t>
      </w:r>
      <w:r>
        <w:rPr>
          <w:rFonts w:ascii="宋体" w:hAnsi="宋体" w:eastAsia="宋体" w:cs="宋体"/>
          <w:color w:val="000000"/>
          <w:sz w:val="28"/>
        </w:rPr>
        <w:br w:type="textWrapping"/>
      </w:r>
      <w:r>
        <w:rPr>
          <w:rFonts w:ascii="宋体" w:hAnsi="宋体" w:eastAsia="宋体" w:cs="宋体"/>
          <w:color w:val="000000"/>
          <w:sz w:val="28"/>
        </w:rPr>
        <w:t xml:space="preserve">     </w:t>
      </w:r>
      <w:r>
        <w:rPr>
          <w:rFonts w:hint="eastAsia" w:ascii="宋体" w:hAnsi="宋体" w:eastAsia="宋体" w:cs="宋体"/>
          <w:color w:val="000000"/>
          <w:sz w:val="28"/>
          <w:lang w:val="en-US" w:eastAsia="zh-CN"/>
        </w:rPr>
        <w:t xml:space="preserve">   </w:t>
      </w:r>
      <w:r>
        <w:rPr>
          <w:rFonts w:ascii="宋体" w:hAnsi="宋体" w:eastAsia="宋体" w:cs="宋体"/>
          <w:color w:val="000000"/>
          <w:sz w:val="28"/>
        </w:rPr>
        <w:t xml:space="preserve"> 2.抓好预算编制，科学设定预算管理目标；</w:t>
      </w:r>
      <w:r>
        <w:rPr>
          <w:rFonts w:ascii="宋体" w:hAnsi="宋体" w:eastAsia="宋体" w:cs="宋体"/>
          <w:color w:val="000000"/>
          <w:sz w:val="28"/>
        </w:rPr>
        <w:br w:type="textWrapping"/>
      </w:r>
      <w:r>
        <w:rPr>
          <w:rFonts w:ascii="宋体" w:hAnsi="宋体" w:eastAsia="宋体" w:cs="宋体"/>
          <w:color w:val="000000"/>
          <w:sz w:val="28"/>
        </w:rPr>
        <w:t xml:space="preserve">      </w:t>
      </w:r>
      <w:r>
        <w:rPr>
          <w:rFonts w:hint="eastAsia" w:ascii="宋体" w:hAnsi="宋体" w:eastAsia="宋体" w:cs="宋体"/>
          <w:color w:val="000000"/>
          <w:sz w:val="28"/>
          <w:lang w:val="en-US" w:eastAsia="zh-CN"/>
        </w:rPr>
        <w:t xml:space="preserve">   </w:t>
      </w:r>
      <w:r>
        <w:rPr>
          <w:rFonts w:ascii="宋体" w:hAnsi="宋体" w:eastAsia="宋体" w:cs="宋体"/>
          <w:color w:val="000000"/>
          <w:sz w:val="28"/>
        </w:rPr>
        <w:t>3.制定了绩效自评实施方案，成立了绩效自评工作小组；完成绩效自评报告，本年度项目支出共计6个，全部为一般公共预算支出；</w:t>
      </w:r>
      <w:r>
        <w:rPr>
          <w:rFonts w:ascii="宋体" w:hAnsi="宋体" w:eastAsia="宋体" w:cs="宋体"/>
          <w:color w:val="000000"/>
          <w:sz w:val="28"/>
        </w:rPr>
        <w:br w:type="textWrapping"/>
      </w:r>
      <w:r>
        <w:rPr>
          <w:rFonts w:ascii="宋体" w:hAnsi="宋体" w:eastAsia="宋体" w:cs="宋体"/>
          <w:color w:val="000000"/>
          <w:sz w:val="28"/>
        </w:rPr>
        <w:t xml:space="preserve">      </w:t>
      </w:r>
      <w:r>
        <w:rPr>
          <w:rFonts w:hint="eastAsia" w:ascii="宋体" w:hAnsi="宋体" w:eastAsia="宋体" w:cs="宋体"/>
          <w:color w:val="000000"/>
          <w:sz w:val="28"/>
          <w:lang w:val="en-US" w:eastAsia="zh-CN"/>
        </w:rPr>
        <w:t xml:space="preserve">   </w:t>
      </w:r>
      <w:bookmarkStart w:id="0" w:name="_GoBack"/>
      <w:bookmarkEnd w:id="0"/>
      <w:r>
        <w:rPr>
          <w:rFonts w:ascii="宋体" w:hAnsi="宋体" w:eastAsia="宋体" w:cs="宋体"/>
          <w:color w:val="000000"/>
          <w:sz w:val="28"/>
        </w:rPr>
        <w:t>4.加强预算绩效执行结果。</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（二）绩效评价结果</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2024年度本单位整体支出全年预算数3316.19万元，执行数3112.26万元，完成预算的93.85%。根据中财绩【2025】38号文件的要求对照分析，经自评，我局2024年度部门整体绩效评价结论为优，自查评分93.38分。</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发现的主要问题及原因：1.部分项目的目标设定不够精准，与实际工作存在一定的脱节，导致项目实施效果未能完全达到预期。2.项目资金管理存在薄弱环节，如资金分配不够合理、预算执行不够严格、资金使用效益有待提高等。3.项目实施过程中，沟通协调机制不够完善，导致信息传递不及时、工作衔接不顺畅，影响了项目的进度和质量。</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下一步改进措施：1.进一步提高项目目标的科学性和精准性，加强对项目目标的可行性研究和论证，建立项目进度跟踪和风险预警机制，及时发现和解决问题，确保项目目标与实际工作紧密结合。2.加强项目资金管理，优化资金分配方案，严格预算执行，加强资金使用的监督和审计，提高资金使用效益。3.完善沟通协调机制，建立定期的工作例会制度和信息共享平台，加强部门之间、科室之间的沟通与协作，确保项目顺利推进。</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（三）评价结果应用情况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建立全面、系统、科学的预算管理办法，涵盖预算编制、执行、监督等全流程管理环节。严格按照管理办法执行，确保预算编制科学准确，支出合规合理，及时发现问题并纠正。本年度预算执行结果如下：</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一.预算执行分析</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1）收入预算执行：严格遵循各项财政法规和政策要求，精心策划并组织实施各项收入预算的执行工作。对于财政拨款，密切与财政部门沟通协调，确保按时、足额到位，为本单位正常运转和发展提供稳定的资金支持。</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2）支出预算执行：秉持严谨、规范、高效的原则，严格按照批准的预算精心组织各项支出。人员经费支出及时、准确发放，保障单位的稳定和积极性。公用经费支出依据本单位的日常运行和实际业务需求，进行合理安排，确保各项工作的正常开展。项目经费支出紧密围绕预定的项目目标和任务，按照项目进度和合同约定，有序支付工程建设款、设备购置款等，保障项目的顺利实施和预期目标的达成。</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 xml:space="preserve">  二.预算管理分析</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（1）制度建设：建立全面、系统、科学的预算管理办法，涵盖预算编制、执行、监督等全流程管理环节。严格按照管理办法执行，确保预算编制科学准确，支出合规合理，及时发现问题并纠正。</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（2）内部控制：重视内部控制体系的建设与完善，通过制定并严格执行一系列内部控制制度和流程，有效防范财务风险。</w:t>
      </w:r>
      <w:r>
        <w:rPr>
          <w:rFonts w:ascii="宋体" w:hAnsi="宋体" w:eastAsia="宋体" w:cs="宋体"/>
          <w:color w:val="000000"/>
          <w:sz w:val="28"/>
        </w:rPr>
        <w:br w:type="textWrapping"/>
      </w:r>
      <w:r>
        <w:rPr>
          <w:rFonts w:hint="eastAsia" w:ascii="宋体" w:hAnsi="宋体" w:eastAsia="宋体" w:cs="宋体"/>
          <w:color w:val="000000"/>
          <w:sz w:val="28"/>
          <w:lang w:val="en-US" w:eastAsia="zh-CN"/>
        </w:rPr>
        <w:t xml:space="preserve">     </w:t>
      </w:r>
      <w:r>
        <w:rPr>
          <w:rFonts w:ascii="宋体" w:hAnsi="宋体" w:eastAsia="宋体" w:cs="宋体"/>
          <w:color w:val="000000"/>
          <w:sz w:val="28"/>
        </w:rPr>
        <w:t>（3）绩效监控：通过定期收集、整理和分析相关数据和信息，及时掌握预算执行进度和绩效目标实现情况。对于监控中发现的预算执行偏差和绩效目标偏离情况，进行原因分析，并采取针对性的措施加以纠正和改进。</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第四部分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名词解释</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第五部分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附件</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0000000000000000000"/>
    <w:charset w:val="00"/>
    <w:family w:val="auto"/>
    <w:pitch w:val="default"/>
    <w:sig w:usb0="00000000" w:usb1="00000000" w:usb2="00000000" w:usb3="00000000" w:csb0="00000000" w:csb1="00000000"/>
  </w:font>
  <w:font w:name="Courier New">
    <w:altName w:val="DejaVu San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5"/>
  </w:compat>
  <w:rsids>
    <w:rsidRoot w:val="00000000"/>
    <w:rsid w:val="15E7820D"/>
    <w:rsid w:val="2DFB506B"/>
    <w:rsid w:val="3FF5DBB4"/>
    <w:rsid w:val="47BB0A1D"/>
    <w:rsid w:val="97F724B6"/>
    <w:rsid w:val="B9BE9D47"/>
    <w:rsid w:val="F7771C9C"/>
    <w:rsid w:val="F7FFF38C"/>
    <w:rsid w:val="FDBCBDD2"/>
    <w:rsid w:val="FFB9E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SpireTableThStyle0ce94dac-0355-47c1-aded-ed2188f8327e"/>
    <w:basedOn w:val="1"/>
    <w:qFormat/>
    <w:uiPriority w:val="0"/>
    <w:pPr>
      <w:jc w:val="center"/>
    </w:pPr>
    <w:rPr>
      <w:b/>
      <w:sz w:val="24"/>
    </w:rPr>
  </w:style>
  <w:style w:type="paragraph" w:customStyle="1" w:styleId="7">
    <w:name w:val="SpireTableThStyle06b86fe5-5647-4460-881c-e88079592e79"/>
    <w:basedOn w:val="1"/>
    <w:qFormat/>
    <w:uiPriority w:val="0"/>
    <w:pPr>
      <w:jc w:val="center"/>
    </w:pPr>
    <w:rPr>
      <w:b/>
      <w:sz w:val="24"/>
    </w:rPr>
  </w:style>
  <w:style w:type="paragraph" w:customStyle="1" w:styleId="8">
    <w:name w:val="SpireTableThStyle5e195103-10cf-4444-9a5a-8caa90f24fb1"/>
    <w:basedOn w:val="1"/>
    <w:qFormat/>
    <w:uiPriority w:val="0"/>
    <w:pPr>
      <w:jc w:val="center"/>
    </w:pPr>
    <w:rPr>
      <w:b/>
      <w:sz w:val="24"/>
    </w:rPr>
  </w:style>
  <w:style w:type="paragraph" w:customStyle="1" w:styleId="9">
    <w:name w:val="SpireTableThStyled3e18911-b430-48b5-b82c-d43ed4ea7abf"/>
    <w:basedOn w:val="1"/>
    <w:qFormat/>
    <w:uiPriority w:val="0"/>
    <w:pPr>
      <w:jc w:val="center"/>
    </w:pPr>
    <w:rPr>
      <w:b/>
      <w:sz w:val="24"/>
    </w:rPr>
  </w:style>
  <w:style w:type="paragraph" w:customStyle="1" w:styleId="10">
    <w:name w:val="SpireTableThStylecc0fbdf2-220d-4066-8462-a22992d382dc"/>
    <w:basedOn w:val="1"/>
    <w:qFormat/>
    <w:uiPriority w:val="0"/>
    <w:pPr>
      <w:jc w:val="center"/>
    </w:pPr>
    <w:rPr>
      <w:b/>
      <w:sz w:val="24"/>
    </w:rPr>
  </w:style>
  <w:style w:type="paragraph" w:customStyle="1" w:styleId="11">
    <w:name w:val="SpireTableThStylefb81a940-f305-4530-8a7d-ede6e9fa9dbb"/>
    <w:basedOn w:val="1"/>
    <w:qFormat/>
    <w:uiPriority w:val="0"/>
    <w:pPr>
      <w:jc w:val="center"/>
    </w:pPr>
    <w:rPr>
      <w:b/>
      <w:sz w:val="24"/>
    </w:rPr>
  </w:style>
  <w:style w:type="paragraph" w:customStyle="1" w:styleId="12">
    <w:name w:val="SpireTableThStyled5ebb377-bb08-4657-acc3-6907b123b4aa"/>
    <w:basedOn w:val="1"/>
    <w:qFormat/>
    <w:uiPriority w:val="0"/>
    <w:pPr>
      <w:jc w:val="center"/>
    </w:pPr>
    <w:rPr>
      <w:b/>
      <w:sz w:val="24"/>
    </w:rPr>
  </w:style>
  <w:style w:type="paragraph" w:customStyle="1" w:styleId="13">
    <w:name w:val="SpireTableThStyleccf0b680-5a36-4884-b33e-f1c75669257a"/>
    <w:basedOn w:val="1"/>
    <w:qFormat/>
    <w:uiPriority w:val="0"/>
    <w:pPr>
      <w:jc w:val="center"/>
    </w:pPr>
    <w:rPr>
      <w:b/>
      <w:sz w:val="24"/>
    </w:rPr>
  </w:style>
  <w:style w:type="paragraph" w:customStyle="1" w:styleId="14">
    <w:name w:val="SpireTableThStylee6246863-570f-43f2-8e86-ea725e65bb5d"/>
    <w:basedOn w:val="1"/>
    <w:qFormat/>
    <w:uiPriority w:val="0"/>
    <w:pPr>
      <w:jc w:val="center"/>
    </w:pPr>
    <w:rPr>
      <w:b/>
      <w:sz w:val="24"/>
    </w:rPr>
  </w:style>
  <w:style w:type="paragraph" w:customStyle="1" w:styleId="15">
    <w:name w:val="SpireTableThStyle35eb7948-fe37-462b-9eb8-40203e0c4a35"/>
    <w:basedOn w:val="1"/>
    <w:qFormat/>
    <w:uiPriority w:val="0"/>
    <w:pPr>
      <w:jc w:val="center"/>
    </w:pPr>
    <w:rPr>
      <w:b/>
      <w:sz w:val="24"/>
    </w:rPr>
  </w:style>
  <w:style w:type="paragraph" w:customStyle="1" w:styleId="16">
    <w:name w:val="SpireTableThStyle6fa03246-fb33-4c08-b78a-55787f0d7c31"/>
    <w:basedOn w:val="1"/>
    <w:qFormat/>
    <w:uiPriority w:val="0"/>
    <w:pPr>
      <w:jc w:val="center"/>
    </w:pPr>
    <w:rPr>
      <w:b/>
      <w:sz w:val="24"/>
    </w:rPr>
  </w:style>
  <w:style w:type="paragraph" w:customStyle="1" w:styleId="17">
    <w:name w:val="SpireTableThStyle4e927f9d-c255-46bf-a1ed-4bd081af87fe"/>
    <w:basedOn w:val="1"/>
    <w:qFormat/>
    <w:uiPriority w:val="0"/>
    <w:pPr>
      <w:jc w:val="center"/>
    </w:pPr>
    <w:rPr>
      <w:b/>
      <w:sz w:val="24"/>
    </w:rPr>
  </w:style>
  <w:style w:type="paragraph" w:customStyle="1" w:styleId="18">
    <w:name w:val="SpireTableThStyle3134eaa0-599f-4107-832b-0b3fe0d67a35"/>
    <w:basedOn w:val="1"/>
    <w:qFormat/>
    <w:uiPriority w:val="0"/>
    <w:pPr>
      <w:jc w:val="center"/>
    </w:pPr>
    <w:rPr>
      <w:b/>
      <w:sz w:val="24"/>
    </w:rPr>
  </w:style>
  <w:style w:type="paragraph" w:customStyle="1" w:styleId="19">
    <w:name w:val="SpireTableThStyleaa525c0e-297e-4c13-bdd3-7553f5cac814"/>
    <w:basedOn w:val="1"/>
    <w:qFormat/>
    <w:uiPriority w:val="0"/>
    <w:pPr>
      <w:jc w:val="center"/>
    </w:pPr>
    <w:rPr>
      <w:b/>
      <w:sz w:val="24"/>
    </w:rPr>
  </w:style>
  <w:style w:type="paragraph" w:customStyle="1" w:styleId="20">
    <w:name w:val="SpireTableThStylefef04acd-557b-482a-a02c-a7ec748971ab"/>
    <w:basedOn w:val="1"/>
    <w:qFormat/>
    <w:uiPriority w:val="0"/>
    <w:pPr>
      <w:jc w:val="center"/>
    </w:pPr>
    <w:rPr>
      <w:b/>
      <w:sz w:val="24"/>
    </w:rPr>
  </w:style>
  <w:style w:type="paragraph" w:customStyle="1" w:styleId="21">
    <w:name w:val="SpireTableThStyled25cc1ad-00ff-4a65-a2de-37d511f685db"/>
    <w:basedOn w:val="1"/>
    <w:qFormat/>
    <w:uiPriority w:val="0"/>
    <w:pPr>
      <w:jc w:val="center"/>
    </w:pPr>
    <w:rPr>
      <w:b/>
      <w:sz w:val="24"/>
    </w:rPr>
  </w:style>
  <w:style w:type="paragraph" w:customStyle="1" w:styleId="22">
    <w:name w:val="SpireTableThStyled5a15342-9e7a-4d2f-b301-27c4f989b8d5"/>
    <w:basedOn w:val="1"/>
    <w:qFormat/>
    <w:uiPriority w:val="0"/>
    <w:pPr>
      <w:jc w:val="center"/>
    </w:pPr>
    <w:rPr>
      <w:b/>
      <w:sz w:val="24"/>
    </w:rPr>
  </w:style>
  <w:style w:type="paragraph" w:customStyle="1" w:styleId="23">
    <w:name w:val="SpireTableThStyleac4fc09c-b334-4715-9da8-b943094fd299"/>
    <w:basedOn w:val="1"/>
    <w:qFormat/>
    <w:uiPriority w:val="0"/>
    <w:pPr>
      <w:jc w:val="center"/>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2025-09-24T00:11:00Z</dcterms:created>
  <dc:creator>thtf</dc:creator>
  <cp:lastModifiedBy>thtf</cp:lastModifiedBy>
  <dcterms:modified xsi:type="dcterms:W3CDTF">2025-09-23T16:14:31Z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