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600" w:lineRule="exact"/>
        <w:ind w:left="0" w:leftChars="0" w:right="541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17"/>
          <w:kern w:val="0"/>
          <w:sz w:val="46"/>
          <w:szCs w:val="46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17"/>
          <w:kern w:val="0"/>
          <w:sz w:val="46"/>
          <w:szCs w:val="46"/>
          <w:lang w:eastAsia="en-US"/>
        </w:rPr>
        <w:t>中方县2025年预算执行情况和2026年预算草案的报告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2449" w:right="0" w:hanging="2449" w:firstLineChars="0"/>
        <w:textAlignment w:val="baseline"/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31"/>
          <w:szCs w:val="31"/>
          <w:lang w:eastAsia="en-US"/>
        </w:rPr>
      </w:pPr>
      <w:r>
        <w:rPr>
          <w:rFonts w:hint="eastAsia" w:ascii="楷体" w:hAnsi="楷体" w:eastAsia="楷体" w:cs="楷体"/>
          <w:snapToGrid w:val="0"/>
          <w:color w:val="000000"/>
          <w:spacing w:val="-11"/>
          <w:kern w:val="0"/>
          <w:sz w:val="31"/>
          <w:szCs w:val="31"/>
          <w:lang w:eastAsia="zh-CN"/>
        </w:rPr>
        <w:t>——</w:t>
      </w:r>
      <w:r>
        <w:rPr>
          <w:rFonts w:hint="eastAsia" w:ascii="楷体" w:hAnsi="楷体" w:eastAsia="楷体" w:cs="楷体"/>
          <w:snapToGrid w:val="0"/>
          <w:color w:val="000000"/>
          <w:spacing w:val="-11"/>
          <w:kern w:val="0"/>
          <w:sz w:val="31"/>
          <w:szCs w:val="31"/>
          <w:lang w:eastAsia="en-US"/>
        </w:rPr>
        <w:t>2025年12月17日在中方县第六届人民代表大会第五次会议上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中方县财政局局长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>吴丽君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华文楷体" w:hAnsi="华文楷体" w:eastAsia="华文楷体" w:cs="华文楷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各位代表: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根据预算法规定，受县人民政府委托，现将我县2025年预算执行情况和2026年预算草案提请大会审查，并请各位政协委员和其他列席人员提出意见。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100" w:firstLine="320" w:firstLineChars="1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一、2025年预算执行情况和“十四五”财政工作回顾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2025年，在县委、县政府的坚强领导和县人大、县政协的监督指导下，我们以习近平新时代中国特色社会主义思想为指导，深入学习贯彻党的二十大和二十届历次全会精神，以服务全县发展大局为主线，加强财政资源统筹，提升资金使用效益，实施更加严格的预算绩效管理，坚决落实“过紧日子”要求，切实兜牢“三保”底线，防范化解政府债务风险，财政运行平稳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06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spacing w:val="21"/>
          <w:kern w:val="0"/>
          <w:sz w:val="31"/>
          <w:szCs w:val="31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21"/>
          <w:kern w:val="0"/>
          <w:sz w:val="31"/>
          <w:szCs w:val="31"/>
          <w:lang w:val="en-US" w:eastAsia="en-US"/>
        </w:rPr>
        <w:t>(一)2025年预算收支执行情况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1.一般公共预算收支情况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全县一般公共预算地方收入完成52136万元(为预计数，下同)，增长5%。上级补助收入完成181648万元，新增一般债券收入10800万元，上年结余877万元，收入总计245461万元;全县一般公共预算支出完成236303万元，下降2.6%，债务还本支出3400万元，上解支出5758万元，支出总计245461万元;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2.政府性基金预算收支情况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政府性基金预算收入完成26631万元，上级补助收入9725万元，专项债券转贷收入85600万元，上年结余4435万元，收入总计126391万元;政府性基金预算支出完成126391万元;收支平衡。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3.社会保险基金预算收支情况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社会保险基金收入完成37077万元;支出完成35436万元;当年结余1641万元，年末滚存结余29983万元。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4.国有资本经营预算收支情况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国有资本经营收入完成40万元，上级补助收入2万元，收入合计42万元;安排支出42万元;收支平衡。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5.地方政府债务情况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2025年末，我县地方政府债务余额为543307万元，限额为547563万元，未超过债务限额。当年发行新增地方政府债券96400万元，其中:新增一般债券10800万元，新增专项债券50700万元;发行置换专项债券34900万元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需要说明的是:因未到年底，以上预算执行数据均为预计数，决算编制汇总后如有变化，届时再向县人大常委会报告。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06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spacing w:val="21"/>
          <w:kern w:val="0"/>
          <w:sz w:val="31"/>
          <w:szCs w:val="31"/>
          <w:lang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21"/>
          <w:kern w:val="0"/>
          <w:sz w:val="31"/>
          <w:szCs w:val="31"/>
          <w:lang w:eastAsia="en-US"/>
        </w:rPr>
        <w:t>(二)2025年预算执行的主要特点及重点工作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1.聚焦加力提效，充分释放财政政策效能。</w:t>
      </w:r>
      <w:r>
        <w:rPr>
          <w:rFonts w:hint="eastAsia"/>
        </w:rPr>
        <w:t>一是降本增效优化营商环境。不折不扣落实各项减税降费政策，全年退减缓各项税费4.92亿元(含怀化高新区)，兑现各类涉企奖补资金3935万元，兑付拖欠工程款项、企业账款6.18亿元，用好政府采购支持中小微企业发展政策，扩大中小微企业政府采购份额，中小微企业中标项目占比91.7%。二是项目拉动扩大有效投资。扩大政府有效投资，统筹用好各类财政专项资金7.63亿元，保障了重大项目的顺利实施。三是财金协同赋能实体经济。发挥财税金融支持作用，落实“潇湘财银贷”等惠企贷款1.5亿元，惠及企业40家，着力破解企业融资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2.聚焦开源节流，切实增强财政保障能力。</w:t>
      </w:r>
      <w:r>
        <w:rPr>
          <w:rFonts w:hint="eastAsia"/>
        </w:rPr>
        <w:t>始终把抓好增收节支作为财政工作的重中之重，大力开源节流，促进财政平稳运行。一是依法依规组织财税收入。锚定全年收入目标，加大财源培植力度，强化对重点领域、重点行业、重点企业税源监控，定期分析研判收入形势，推动税费精诚共治走深走实，持续规范非税收入征缴，确保非税收入依法依规足额入库。二是群策群力争取上级支持。围绕全县中心工作，多渠道筹措资金，增强财力保障;全年争取上级转移支付资金18亿元以上，增长2.43%;争取“三类资金”8.28亿元，获得隐性债务置换债券额度3.49亿元，有力支持全县社会经济发展。三是精准精细盘活统筹资金。加大对存量指标、存量资金的统筹清理和盘活力度，收回盘活沉淀资金和闲置资金0.25亿元，加力盘活国有“三资”，实现“三资”盘活入库收益1.19亿元，统筹用于“三保”、重点项目及政府债务风险化解支出。四是优化支出严格资金管控。落实“过紧日子”要求，从严从紧核定“三公”经费预算，坚决压减非急需、非刚性支出，确保实现财政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3.聚焦以人为本，充分彰显财政民生温度。</w:t>
      </w:r>
      <w:r>
        <w:rPr>
          <w:rFonts w:hint="eastAsia"/>
        </w:rPr>
        <w:t>坚持以人民为中心，强化基本民生投入保障，全年民生支出占比达78%以上。落实就业优先战略。完成就业支出1950万元，发放创业担保贷款2400万元，支持大学生、返乡农民工、退役军人、贫困劳动力等重点群体就业创业。支持办好人民满意教育。安排教育支出49413万元，保障全县学前、义务、高中、职中教育经费，支持推行免费学前教育，免除保育费215万元，投入949万元改善县二中、花桥中学等2所农村寄宿制学校办学条件，投入1357万元完成信息科技考场建设，扩大优质教育资源供给。提升卫生医疗保障。投入3200万元用于县人民医院医疗救治能力提升建设，持续提高基本公共卫生服务经费和城乡居民医保财政补助标准，人均补助标准分别提高至99元/年、700元/年，支持开展新生儿疾病免费筛查与诊断1135人次。完善社会救助体系。发放低保、特困、残疾人“两项补贴”一次性困难补助、退役军人优待抚恤等资金7293万元，惠及困难群众16745人。城乡居民基础养老金最低标准再提高20元/月。加大文旅领域投入。统筹安排财政资金9000余万元，全力推动荆坪古村提质改造等省旅发大会重点项目建设，大力实施文化惠民工程，支持开展各类形式的群众文化活动。全面推进乡村振兴。统筹安排财政衔接资金9088万元，继续巩固拓展脱贫攻坚成果同乡村振兴有效衔接，支持壮大联农带农富农产业发展，改善农村人居环境，推进和美乡村建设，提高农民生活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4.聚焦深化改革，着力提升财政治理能力。</w:t>
      </w:r>
      <w:r>
        <w:rPr>
          <w:rFonts w:hint="eastAsia"/>
        </w:rPr>
        <w:t>一是全面深化“零基预算”改革。打破基数概念和以往支出格局，坚持“保重点、压一般”，切实做到统筹兼顾、有保有压、能上能下，保障全县重大决策部署和重点领域改革落地落实，财政资金配置和使用效率有效提升。预算项目数量较上年压缩4个，金额减少2166万元。二是深入推进预算绩效改革。将预算绩效管理深度嵌入预算全过程，按照“立项有评估、编制有目标、执行有监控、完成有评价、结果有应用”管理机制，审核绩效目标事前项目28个，开展事中监控项目35个，事后评价项目19个。三是大力推动预算评审改革。聚焦预算评审主业，推进工作重心从传统“三类评审”向预算评审管理转型，强化评审结果在预算编制和执行中的关键作用。全年评审项目79个，审减资金18608万元，审减率22%。四是持续深化政府采购改革。规范小额零星采购活动，全面退出政府采购电子卖场，大力推进“互联网+采购”，全年完成政府采购线上备案交易项目108个，预算金额20514万元，实际成交金额18381万元，节支2133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b/>
          <w:bCs/>
        </w:rPr>
        <w:t>5.聚焦风险防控，有效保障财政安全运行。</w:t>
      </w:r>
      <w:r>
        <w:rPr>
          <w:rFonts w:hint="eastAsia"/>
        </w:rPr>
        <w:t>一是压实兜牢“三保”底线。加强财政运行监测和分析，建立“三保”预算编制审核前置机制及库款调度测算体系与定期会商机制，优先保障“三保”支出。二是守牢债务风险底线。强化债务动态监控，用足用好置换政策，推进落实一揽子化债方案，支持融资平台退出转型，稳妥推进债务风险化解，全年完成政府债务还本付息3.37亿元，化解隐性债务4.02亿元，超额完成年度化债任务，牢牢守住不发生系统性风险的底线。三是筑牢财经纪律底线。持续深化“纪巡审财”协同联动监督，加强对重大财政政策、重点民生领域、重大财政资金项目等方面的专项监督检查，聚焦银行账户清理规范、会计基础工作夯实、乡镇财政规范整治三大方向，深入开展财政基础管理“强基固本”专项行动，确保财政资金使用安全高效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(三)“十四五"财政工作回顾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五年来，在县委、县政府的坚强领导下，我们顶压前行、难中求成，交出了一份财政运行稳中有进、民生福祉持续改善的厚重答卷。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1.财政总量稳步提升。</w:t>
      </w:r>
      <w:r>
        <w:rPr>
          <w:rFonts w:hint="eastAsia"/>
        </w:rPr>
        <w:t>一方面，财政收入持续增长。“十四五”时期，全县地方一般公共预算收入预计达到26.6亿元，比“十三五”时期增加5.7亿元，年均增长1.44%，另一方面，支出强度只增不减。全县一般公共预算支出五年预计超过120亿元，比“十三五”时期增加12亿元。同时，支出结构不断优化，让更多“真金白银”用于保障重点领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2.财政政策落实有力。</w:t>
      </w:r>
      <w:r>
        <w:rPr>
          <w:rFonts w:hint="eastAsia"/>
        </w:rPr>
        <w:t>“十四五”时期，争取各类资金超90亿元，有力保障各项政策落地见效;累计新增减税降费及退税缓税21.7亿元(含怀化高新区)，重点支持科技创新和制造业领域发展;通过风险补偿机制落实“潇湘财银贷”等惠企贷款5.6亿元，“白名单”企业增加到86家;累计争取专项债券资金16亿元以上，重点支持产业园区、交通基础设施、生态环保、社会事业等领域重大项目建设，有效带动社会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eastAsia="仿宋"/>
          <w:lang w:eastAsia="zh-CN"/>
        </w:rPr>
      </w:pPr>
      <w:r>
        <w:rPr>
          <w:rFonts w:hint="eastAsia"/>
          <w:b/>
          <w:bCs/>
        </w:rPr>
        <w:t>3.民生底色愈加凸显。</w:t>
      </w:r>
      <w:r>
        <w:rPr>
          <w:rFonts w:hint="eastAsia"/>
        </w:rPr>
        <w:t>“十四五”时期，全县一般公共预算保障民生相关支出超91亿元，较“十三五”增加6亿元，增长7.2%，民生支出占比始终保持在78%以上，持续加大教育、社会保障和就业、医疗卫生、住房保障等重点领域支出力度，切实破解群众急难愁盼问题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</w:rPr>
        <w:t>4.风险防控精准有效。</w:t>
      </w:r>
      <w:r>
        <w:rPr>
          <w:rFonts w:hint="eastAsia"/>
        </w:rPr>
        <w:t>债务风险可管可控。2023年成功获批财政部隐性债务化解试点县，五年间累计偿还到期法定债务本息19.6亿元，争取隐性债务置换债券资金11.1亿元，化解隐性债务21亿元。“三保”底线兜牢兜实。严格落实党政机关习惯“过紧日子”要求，持续强化“三保”动态监测，足额优先保障“三保”支出，切实兜牢“三保”底线。财会监督可圈可点。健全财政大数据常态化监测体系，全面上线“一卡通”阳光审批、财政电子票据系统，2022年入选湖南省首批7个财政内控信息化试点县之一，打造标准统一、数据规范、高效协同的财政内控信息化综合</w:t>
      </w:r>
      <w:r>
        <w:rPr>
          <w:rFonts w:hint="eastAsia"/>
          <w:lang w:val="en-US" w:eastAsia="zh-CN"/>
        </w:rPr>
        <w:t>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5.财政改革纵深推进。</w:t>
      </w:r>
      <w:r>
        <w:rPr>
          <w:rFonts w:hint="default"/>
          <w:lang w:val="en-US" w:eastAsia="zh-CN"/>
        </w:rPr>
        <w:t>“十四五”时期，全县以改革破解发展难题，推动财政治理水平持续提升。实行预算一体化，纵深推进预算管理改革，预算绩效管理扩围提质，完成预算评审工作全面转型，在全省率先启动国资管理与预算一体化系统融合试点工作，推动国有资产管理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位代表，以上成绩的取得，是县委县政府科学决策、坚强领导的结果，是县人大及其常委会依法监督和县政协民主监督的结果，也是各级各部门共同努力的结果。同时，我们也清醒地认识到工作中还面临着一些困难和挑战，主要是:受经济下行、土地市场持续低迷、税收增长后劲乏力、债务还本付息压力较大、民生等重点领域刚性支出只增不减等因素影响，财政收支持续处于紧平衡状态，收入质量有待提升。对此，我们高度重视，将积极采取有力措施加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0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spacing w:val="12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12"/>
          <w:kern w:val="0"/>
          <w:sz w:val="31"/>
          <w:szCs w:val="31"/>
          <w:lang w:val="en-US" w:eastAsia="zh-CN"/>
        </w:rPr>
        <w:t>二、2026年预算草案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600" w:lineRule="exact"/>
        <w:textAlignment w:val="baseline"/>
        <w:outlineLvl w:val="2"/>
        <w:rPr>
          <w:rFonts w:hint="default" w:ascii="楷体" w:hAnsi="楷体" w:eastAsia="楷体" w:cs="楷体"/>
          <w:b/>
          <w:bCs/>
          <w:snapToGrid w:val="0"/>
          <w:color w:val="000000"/>
          <w:spacing w:val="17"/>
          <w:kern w:val="0"/>
          <w:sz w:val="31"/>
          <w:szCs w:val="31"/>
          <w:lang w:val="en-US" w:eastAsia="zh-CN"/>
        </w:rPr>
      </w:pPr>
      <w:r>
        <w:rPr>
          <w:rFonts w:hint="default" w:ascii="楷体" w:hAnsi="楷体" w:eastAsia="楷体" w:cs="楷体"/>
          <w:b/>
          <w:bCs/>
          <w:snapToGrid w:val="0"/>
          <w:color w:val="000000"/>
          <w:spacing w:val="17"/>
          <w:kern w:val="0"/>
          <w:sz w:val="31"/>
          <w:szCs w:val="31"/>
          <w:lang w:val="en-US" w:eastAsia="zh-CN"/>
        </w:rPr>
        <w:t>(一)预算编制和财政工作的总体要求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default"/>
          <w:lang w:val="en-US" w:eastAsia="zh-CN"/>
        </w:rPr>
        <w:t>2026年预算编制的指导思想是: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坚持以习近平新时代中国特色社会主义思想为指导，深入贯彻党的二十大和二十届历次全会精神，坚持稳中求进工作总基调，以推动高质量发展为主题，紧紧围绕县委县政府安排部署，加强财政资源和预算统筹，强化重点工作任务和基本民生财力保障;严格落实党政机关习惯“过紧日子”要求，深化零基预算改革，统一预算分配权，优化财政支出结构，大力提升预算绩效管理效能;加强财政科学管理，有效防范化解财政风险，增强财政可持续性，为全县“十五五"良好开局提供有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根据上述指导思想，2026年预算编制的主要原则:</w:t>
      </w:r>
      <w:r>
        <w:rPr>
          <w:rFonts w:hint="default"/>
          <w:b/>
          <w:bCs/>
          <w:color w:val="auto"/>
          <w:highlight w:val="none"/>
          <w:lang w:val="en-US" w:eastAsia="zh-CN"/>
        </w:rPr>
        <w:t>一是深化零基预算改革。</w:t>
      </w:r>
      <w:r>
        <w:rPr>
          <w:rFonts w:hint="default"/>
          <w:lang w:val="en-US" w:eastAsia="zh-CN"/>
        </w:rPr>
        <w:t>坚持“以零为基”，“以事定钱”，“以效促用”，强化量入为出、量力而行，区分轻重缓急，优化资源配置，厘清支出安排顺序，统筹兼顾、突出重点，集中财力办大事。</w:t>
      </w:r>
      <w:r>
        <w:rPr>
          <w:rFonts w:hint="default"/>
          <w:b/>
          <w:bCs/>
          <w:color w:val="auto"/>
          <w:highlight w:val="none"/>
          <w:lang w:val="en-US" w:eastAsia="zh-CN"/>
        </w:rPr>
        <w:t>二是加强财政资源统筹。</w:t>
      </w:r>
      <w:r>
        <w:rPr>
          <w:rFonts w:hint="default"/>
          <w:lang w:val="en-US" w:eastAsia="zh-CN"/>
        </w:rPr>
        <w:t>持续推动闲置国有资产的盘活利用，从严控制新增资产配置;强化部门预算统筹，将各项收入和支出全部纳入预算;强化存量资金统筹，加大存量资金盘活力度，及时清理、收缴各类结余闲置资金。</w:t>
      </w:r>
      <w:r>
        <w:rPr>
          <w:rFonts w:hint="default"/>
          <w:b/>
          <w:bCs/>
          <w:color w:val="auto"/>
          <w:highlight w:val="none"/>
          <w:lang w:val="en-US" w:eastAsia="zh-CN"/>
        </w:rPr>
        <w:t>三是落实“过紧日子”要求。</w:t>
      </w:r>
      <w:r>
        <w:rPr>
          <w:rFonts w:hint="default"/>
          <w:lang w:val="en-US" w:eastAsia="zh-CN"/>
        </w:rPr>
        <w:t>勤俭办一切事业，从严从简、精打细算，强化约束、严控支出，继续强化“三公”经费等一般性支出管理，严控公务活动经费，把有限的财政资金用在刀刃上。</w:t>
      </w:r>
      <w:r>
        <w:rPr>
          <w:rFonts w:hint="default"/>
          <w:b/>
          <w:bCs/>
          <w:color w:val="auto"/>
          <w:highlight w:val="none"/>
          <w:lang w:val="en-US" w:eastAsia="zh-CN"/>
        </w:rPr>
        <w:t>四是强化预算绩效管理。</w:t>
      </w:r>
      <w:r>
        <w:rPr>
          <w:rFonts w:hint="default"/>
          <w:lang w:val="en-US" w:eastAsia="zh-CN"/>
        </w:rPr>
        <w:t>将绩效理念和方法深度融入预算管理全过程，强化绩效评价结果的运用花钱必问效、无效必问责;加快推进财政投资评审全面向预算评审转型，强化对重大、专业性强、涉及面广的项目预算评审和事前评估，将预算评审全面嵌入预算管理全链条。</w:t>
      </w:r>
      <w:r>
        <w:rPr>
          <w:rFonts w:hint="eastAsia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91" w:firstLineChars="200"/>
        <w:textAlignment w:val="auto"/>
        <w:rPr>
          <w:rFonts w:hint="default" w:ascii="楷体" w:hAnsi="楷体" w:eastAsia="楷体" w:cs="楷体"/>
          <w:b/>
          <w:bCs/>
          <w:snapToGrid w:val="0"/>
          <w:color w:val="000000"/>
          <w:spacing w:val="12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napToGrid w:val="0"/>
          <w:color w:val="000000"/>
          <w:spacing w:val="12"/>
          <w:kern w:val="0"/>
          <w:sz w:val="32"/>
          <w:szCs w:val="32"/>
          <w:lang w:val="en-US" w:eastAsia="zh-CN"/>
        </w:rPr>
        <w:t>(二)2026年财政收支预算安排情况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1.一般公共预算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全县一般公共预算地方收入拟安排53970万元，预计增长3.5%;上级补助收入拟安排182830万元，收入合计236800万元;全县一般公共预算支出拟安排231200万元;上解支出5600万元，支出合计236800万元;当年收支平衡。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2.政府性基金预算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政府性基金预算收入拟安排31600万元。相应安排政府性基金支出31600万元，当年收支平衡。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3.社会保险基金预算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社会保险基金预算总收入拟安排40152万元，社会保险基金预算总支出拟安排38166万元;当年结余1986万元，年末滚存结余31801万元。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default"/>
          <w:b/>
          <w:bCs/>
          <w:color w:val="auto"/>
          <w:highlight w:val="none"/>
          <w:lang w:val="en-US" w:eastAsia="zh-CN"/>
        </w:rPr>
        <w:t>4.国有资本经营预算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国有资本经营预算本级收入拟安排50万元，上级补助收入2万元，收入合计52万元;本级支出拟安排52万元;当年收支平衡。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91" w:firstLineChars="200"/>
        <w:textAlignment w:val="auto"/>
        <w:rPr>
          <w:rFonts w:hint="default" w:ascii="楷体" w:hAnsi="楷体" w:eastAsia="楷体" w:cs="楷体"/>
          <w:b/>
          <w:bCs/>
          <w:snapToGrid w:val="0"/>
          <w:color w:val="000000"/>
          <w:spacing w:val="12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napToGrid w:val="0"/>
          <w:color w:val="000000"/>
          <w:spacing w:val="12"/>
          <w:kern w:val="0"/>
          <w:sz w:val="32"/>
          <w:szCs w:val="32"/>
          <w:lang w:val="en-US" w:eastAsia="zh-CN"/>
        </w:rPr>
        <w:t>(三)2026年财政工作重点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围绕上述目标，重点抓好以下几方面的工作: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1.全力以赴促增收。</w:t>
      </w:r>
      <w:r>
        <w:rPr>
          <w:rFonts w:hint="default"/>
          <w:lang w:val="en-US" w:eastAsia="zh-CN"/>
        </w:rPr>
        <w:t>一是竭力培植财源。加大招商引资支持力度，吸引更多优质企业落地，积极落实各项惠企政策，大力培植实体税源，跟踪帮扶重点财源企业，支持企业做大做强，不断培育和壮大财源税源。二是深挖潜在税源。聚焦年度收入目标，加强与税务、非税执收部门协调联动，加大重点行业、重点税源、重大项目税收征管，全力以赴做大财政“蛋糕”。三是合力向上争资。及时掌握政策动向和资金投向，找准政策结合点，谋划储备高质量项目，争取中央预算内资金、国债资金和专项债券资金突破9亿元。四是加强财政统筹。全力推进国有资产、资源、资本和资金“四资”盘活利用，积极探索国有资产清查盘活利用新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b/>
          <w:bCs/>
          <w:lang w:val="en-US" w:eastAsia="zh-CN"/>
        </w:rPr>
        <w:t>2.优化支出保重点。</w:t>
      </w:r>
      <w:r>
        <w:rPr>
          <w:rFonts w:hint="default"/>
          <w:lang w:val="en-US" w:eastAsia="zh-CN"/>
        </w:rPr>
        <w:t>一是落实“过紧日子"要求。推动党政机关习惯“过紧日子”常态化发展，持续压减非刚性、非重点一般性支出。二是兜牢“三保”底线。坚持把“三保”摆在财政支出的优先位置，严守库款保障底线，加强财政资源统筹，持续优化财政支出结构，集中有限的财政资金用于改善民生。三是加强重点支出保障。加快构建集中财力办大事财政政策体系，动态编制县级大事要事保障清单，全力保障县委县政府重大决策和民生实事资金需求</w:t>
      </w:r>
      <w:r>
        <w:rPr>
          <w:rFonts w:hint="eastAsia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3.加强管控防风险。</w:t>
      </w:r>
      <w:r>
        <w:rPr>
          <w:rFonts w:hint="default"/>
          <w:lang w:val="en-US" w:eastAsia="zh-CN"/>
        </w:rPr>
        <w:t>一是强化债务风险防控。持续抓好国家支持地方化债增量政策落实，积极推动融资平台退出及市场化改革转型，建立健全专项债券管理制度，坚决守住不发生系统性风险的底线。二是强化预算执行控制。严格执行人大批准的预算，严禁超预算、无预算安排支出，严格预算执行监控，严控出台新的增支政策，强化预算执行与预算安排结果运用。三是强化财经纪律约束。扎实开展财会监督专项行动，将监督检查内容延伸到会计核算、资金绩效、国资管理、内控制度等各方面。四是强化干部队伍建设。注重加强干部队伍的政治教育和思想引领，全面提升财政干部履职能力，着力锻造一支忠诚干净担当的高素质专业化财政干部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4.深化改革激活力。</w:t>
      </w:r>
      <w:r>
        <w:rPr>
          <w:rFonts w:hint="default"/>
          <w:lang w:val="en-US" w:eastAsia="zh-CN"/>
        </w:rPr>
        <w:t>一是深入推进零基预算改革。打破支出固化格局，坚持“以零为基、以事定钱、以效促用”原则，完善财政支出标准体系建设，加快构建分类施策、科学精准、保主保重、注重绩效的预算安排机制，切实增强重大任务和基本民生财力保障。二是强化预算绩效管理。推动绩效管理实质性嵌入预算管理全流程，加强预算绩效监控和评价结果应用;完善预算评审制度，加大重大项目评审力度，加强预算项目立项必要性、方案可行性、成本经济性的论证。三是健全“三资”盘活长效机制。加强跨部门协调联动，用足用好相关政策，最大程度挖掘国有资产价值盘活利用潜力，推动形成“大财政大预算大资产”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位代表，2026年是“十五五”开局之年，做好财政工作任务艰巨、责任重大。我们将在县委、县政府的坚强领导下，在县人大、县政协的监督支持下，以久久为功的韧劲，坚定信心、攻坚克难、勇毅前行，为奋力打造制造中方、开放中方、宜居中方、魅力中方作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2892A1-7C36-42E0-9609-1A4F442DBF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6BB264B-3241-452F-91AB-E1E76BDF82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62766D-1AA5-422B-B6DE-69B16154E7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3D6AC43-E269-4182-91B4-434957A0F990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FD4AFDB-2BD3-4E73-97F4-B1BDC31C2782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CE8881BD-8720-4FEC-93D8-FC74B15EF40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jJjN2VlZWM4ZmNmMzdkYWE3M2JiN2U0YmZmNDUifQ=="/>
  </w:docVars>
  <w:rsids>
    <w:rsidRoot w:val="7D6E3183"/>
    <w:rsid w:val="016F435C"/>
    <w:rsid w:val="02517359"/>
    <w:rsid w:val="034F16E3"/>
    <w:rsid w:val="03E10B68"/>
    <w:rsid w:val="059018AB"/>
    <w:rsid w:val="066C1B0A"/>
    <w:rsid w:val="06700535"/>
    <w:rsid w:val="069041B7"/>
    <w:rsid w:val="0853264F"/>
    <w:rsid w:val="08F917BE"/>
    <w:rsid w:val="0A024D81"/>
    <w:rsid w:val="0A9B508E"/>
    <w:rsid w:val="0B5303DB"/>
    <w:rsid w:val="0CA00E11"/>
    <w:rsid w:val="0D604888"/>
    <w:rsid w:val="102D3FC6"/>
    <w:rsid w:val="10D76E94"/>
    <w:rsid w:val="111E3E8E"/>
    <w:rsid w:val="118F1E5D"/>
    <w:rsid w:val="11F30927"/>
    <w:rsid w:val="124578D2"/>
    <w:rsid w:val="126A7E2F"/>
    <w:rsid w:val="1317670A"/>
    <w:rsid w:val="14633C68"/>
    <w:rsid w:val="14F65924"/>
    <w:rsid w:val="155B2CA5"/>
    <w:rsid w:val="180168DE"/>
    <w:rsid w:val="18CA5B7E"/>
    <w:rsid w:val="19584F44"/>
    <w:rsid w:val="197E5D5E"/>
    <w:rsid w:val="19BF2426"/>
    <w:rsid w:val="1A2D281C"/>
    <w:rsid w:val="1CD27870"/>
    <w:rsid w:val="1D063C00"/>
    <w:rsid w:val="1DD030C8"/>
    <w:rsid w:val="1F0E658D"/>
    <w:rsid w:val="1F2B48C1"/>
    <w:rsid w:val="20335C75"/>
    <w:rsid w:val="21884584"/>
    <w:rsid w:val="21EB78E6"/>
    <w:rsid w:val="2262184E"/>
    <w:rsid w:val="23B65553"/>
    <w:rsid w:val="26617B06"/>
    <w:rsid w:val="267613DD"/>
    <w:rsid w:val="2689740B"/>
    <w:rsid w:val="26C3591D"/>
    <w:rsid w:val="27A2430A"/>
    <w:rsid w:val="29690CF2"/>
    <w:rsid w:val="2BF31F83"/>
    <w:rsid w:val="2C0B5689"/>
    <w:rsid w:val="2C393947"/>
    <w:rsid w:val="2D7023D4"/>
    <w:rsid w:val="2D9712C8"/>
    <w:rsid w:val="2EAC46B5"/>
    <w:rsid w:val="2F813154"/>
    <w:rsid w:val="2FA747BD"/>
    <w:rsid w:val="30B84F49"/>
    <w:rsid w:val="311A2140"/>
    <w:rsid w:val="31332292"/>
    <w:rsid w:val="31CE486F"/>
    <w:rsid w:val="3262186A"/>
    <w:rsid w:val="34052602"/>
    <w:rsid w:val="34445D20"/>
    <w:rsid w:val="34BF2747"/>
    <w:rsid w:val="34D12A49"/>
    <w:rsid w:val="34D24132"/>
    <w:rsid w:val="38050E29"/>
    <w:rsid w:val="3A192819"/>
    <w:rsid w:val="3AED54DA"/>
    <w:rsid w:val="3AFA638A"/>
    <w:rsid w:val="3B2000E0"/>
    <w:rsid w:val="3C2725F2"/>
    <w:rsid w:val="3C2E587A"/>
    <w:rsid w:val="3CD94A35"/>
    <w:rsid w:val="3E0D2BED"/>
    <w:rsid w:val="3E4B58DF"/>
    <w:rsid w:val="3ED8483D"/>
    <w:rsid w:val="40177C9B"/>
    <w:rsid w:val="41A00E11"/>
    <w:rsid w:val="43486FC5"/>
    <w:rsid w:val="43B20A5C"/>
    <w:rsid w:val="44243991"/>
    <w:rsid w:val="44A4440A"/>
    <w:rsid w:val="46DD6345"/>
    <w:rsid w:val="4715754F"/>
    <w:rsid w:val="47CA7FD6"/>
    <w:rsid w:val="48791D51"/>
    <w:rsid w:val="489663D9"/>
    <w:rsid w:val="48D25959"/>
    <w:rsid w:val="4942317A"/>
    <w:rsid w:val="4A3459A1"/>
    <w:rsid w:val="4A3954A2"/>
    <w:rsid w:val="4A7E79BF"/>
    <w:rsid w:val="4AC9180A"/>
    <w:rsid w:val="4B8B3B61"/>
    <w:rsid w:val="4BEF03F8"/>
    <w:rsid w:val="4E921385"/>
    <w:rsid w:val="4F2407E2"/>
    <w:rsid w:val="4FE627CF"/>
    <w:rsid w:val="52A40C02"/>
    <w:rsid w:val="53D774C3"/>
    <w:rsid w:val="54397E8F"/>
    <w:rsid w:val="55934488"/>
    <w:rsid w:val="55D01AD3"/>
    <w:rsid w:val="582F1556"/>
    <w:rsid w:val="59502103"/>
    <w:rsid w:val="59C86A09"/>
    <w:rsid w:val="59D74154"/>
    <w:rsid w:val="5A686864"/>
    <w:rsid w:val="5AC844FD"/>
    <w:rsid w:val="5EE13C5A"/>
    <w:rsid w:val="5EEF69CA"/>
    <w:rsid w:val="5F3D6ADB"/>
    <w:rsid w:val="5FC708D6"/>
    <w:rsid w:val="5FCA0871"/>
    <w:rsid w:val="603A2CEB"/>
    <w:rsid w:val="604162CA"/>
    <w:rsid w:val="60553985"/>
    <w:rsid w:val="609D328E"/>
    <w:rsid w:val="60E125F2"/>
    <w:rsid w:val="610F0C91"/>
    <w:rsid w:val="622A14DD"/>
    <w:rsid w:val="62302594"/>
    <w:rsid w:val="62F308AC"/>
    <w:rsid w:val="63A96440"/>
    <w:rsid w:val="63CA108D"/>
    <w:rsid w:val="644951DD"/>
    <w:rsid w:val="65052D2D"/>
    <w:rsid w:val="65746332"/>
    <w:rsid w:val="671D1298"/>
    <w:rsid w:val="6765469C"/>
    <w:rsid w:val="67C2152E"/>
    <w:rsid w:val="68231222"/>
    <w:rsid w:val="693518FD"/>
    <w:rsid w:val="6A7A1EE9"/>
    <w:rsid w:val="6B751903"/>
    <w:rsid w:val="6C1A57C2"/>
    <w:rsid w:val="6CA85BC7"/>
    <w:rsid w:val="6CE613F5"/>
    <w:rsid w:val="6D214147"/>
    <w:rsid w:val="6D6D2410"/>
    <w:rsid w:val="6DD91AF0"/>
    <w:rsid w:val="703F4422"/>
    <w:rsid w:val="716D74F3"/>
    <w:rsid w:val="71D03079"/>
    <w:rsid w:val="726D7DC7"/>
    <w:rsid w:val="72796553"/>
    <w:rsid w:val="72BC1BEC"/>
    <w:rsid w:val="735F2CCE"/>
    <w:rsid w:val="7460152A"/>
    <w:rsid w:val="74CA6436"/>
    <w:rsid w:val="75E27D10"/>
    <w:rsid w:val="76BB3C27"/>
    <w:rsid w:val="772D5E67"/>
    <w:rsid w:val="78214B08"/>
    <w:rsid w:val="78C776AB"/>
    <w:rsid w:val="79751A75"/>
    <w:rsid w:val="7A8D0895"/>
    <w:rsid w:val="7AF83742"/>
    <w:rsid w:val="7B1D2E8E"/>
    <w:rsid w:val="7C870F08"/>
    <w:rsid w:val="7D187915"/>
    <w:rsid w:val="7D6E3183"/>
    <w:rsid w:val="7E2117BD"/>
    <w:rsid w:val="7E5F6EAC"/>
    <w:rsid w:val="7ED2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420" w:firstLineChars="200"/>
      <w:jc w:val="left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spacing w:beforeAutospacing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600" w:lineRule="exact"/>
      <w:ind w:firstLine="0" w:firstLineChars="0"/>
      <w:jc w:val="center"/>
      <w:outlineLvl w:val="1"/>
    </w:pPr>
    <w:rPr>
      <w:rFonts w:ascii="Arial" w:hAnsi="Arial" w:eastAsia="黑体" w:cs="Arial"/>
      <w:snapToGrid w:val="0"/>
      <w:color w:val="000000"/>
      <w:kern w:val="0"/>
      <w:sz w:val="32"/>
      <w:szCs w:val="21"/>
      <w:lang w:eastAsia="en-US"/>
    </w:rPr>
  </w:style>
  <w:style w:type="paragraph" w:styleId="5">
    <w:name w:val="heading 3"/>
    <w:basedOn w:val="1"/>
    <w:next w:val="1"/>
    <w:link w:val="12"/>
    <w:unhideWhenUsed/>
    <w:qFormat/>
    <w:uiPriority w:val="0"/>
    <w:pPr>
      <w:spacing w:before="50" w:beforeLines="50" w:beforeAutospacing="0" w:after="50" w:afterLines="50" w:afterAutospacing="0" w:line="600" w:lineRule="exact"/>
      <w:ind w:firstLine="880" w:firstLineChars="200"/>
      <w:jc w:val="left"/>
      <w:outlineLvl w:val="2"/>
    </w:pPr>
    <w:rPr>
      <w:rFonts w:hint="eastAsia" w:ascii="宋体" w:hAnsi="宋体" w:eastAsia="黑体" w:cs="宋体"/>
      <w:kern w:val="0"/>
      <w:sz w:val="32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line="600" w:lineRule="exact"/>
      <w:ind w:firstLine="0" w:firstLineChars="0"/>
      <w:jc w:val="center"/>
      <w:outlineLvl w:val="3"/>
    </w:pPr>
    <w:rPr>
      <w:rFonts w:ascii="Arial" w:hAnsi="Arial" w:eastAsia="方正楷体_GBK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0">
    <w:name w:val="标题 2 Char"/>
    <w:link w:val="4"/>
    <w:qFormat/>
    <w:uiPriority w:val="0"/>
    <w:rPr>
      <w:rFonts w:ascii="Arial" w:hAnsi="Arial" w:eastAsia="黑体" w:cs="Arial"/>
      <w:snapToGrid w:val="0"/>
      <w:color w:val="000000"/>
      <w:kern w:val="0"/>
      <w:sz w:val="32"/>
      <w:szCs w:val="21"/>
      <w:lang w:eastAsia="en-US"/>
    </w:rPr>
  </w:style>
  <w:style w:type="character" w:customStyle="1" w:styleId="11">
    <w:name w:val="标题 1 Char"/>
    <w:link w:val="3"/>
    <w:qFormat/>
    <w:uiPriority w:val="0"/>
    <w:rPr>
      <w:rFonts w:hint="eastAsia" w:ascii="宋体" w:hAnsi="宋体" w:eastAsia="方正小标宋简体" w:cs="宋体"/>
      <w:snapToGrid w:val="0"/>
      <w:color w:val="000000"/>
      <w:kern w:val="44"/>
      <w:sz w:val="44"/>
      <w:szCs w:val="21"/>
      <w:lang w:eastAsia="en-US" w:bidi="ar"/>
    </w:rPr>
  </w:style>
  <w:style w:type="character" w:customStyle="1" w:styleId="12">
    <w:name w:val="标题 3 Char"/>
    <w:link w:val="5"/>
    <w:qFormat/>
    <w:uiPriority w:val="0"/>
    <w:rPr>
      <w:rFonts w:hint="default" w:ascii="宋体" w:hAnsi="宋体" w:eastAsia="黑体" w:cs="宋体"/>
      <w:b/>
      <w:bCs/>
      <w:snapToGrid w:val="0"/>
      <w:color w:val="000000"/>
      <w:kern w:val="0"/>
      <w:sz w:val="32"/>
      <w:szCs w:val="21"/>
      <w:lang w:eastAsia="en-US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6078</Words>
  <Characters>6471</Characters>
  <Lines>0</Lines>
  <Paragraphs>0</Paragraphs>
  <TotalTime>2</TotalTime>
  <ScaleCrop>false</ScaleCrop>
  <LinksUpToDate>false</LinksUpToDate>
  <CharactersWithSpaces>6471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2026-05-22T08:44:00Z</dcterms:created>
  <dc:creator>腾迅数码·广告图文 </dc:creator>
  <cp:lastModifiedBy>Limei</cp:lastModifiedBy>
  <dcterms:modified xsi:type="dcterms:W3CDTF">2026-05-25T03:03:13Z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A6E91F06942B40FA878DAC3455A91FA6_13</vt:lpwstr>
  </property>
  <property fmtid="{D5CDD505-2E9C-101B-9397-08002B2CF9AE}" pid="4" name="KSOTemplateDocerSaveRecord">
    <vt:lpwstr>eyJoZGlkIjoiY2VmNDFiZjQzM2EwYjY1MTFjYjNhNjc4ZTc0ZTdlZWYiLCJ1c2VySWQiOiIzODU2Mzc3MjYifQ==</vt:lpwstr>
  </property>
</Properties>
</file>