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24" w:lineRule="auto"/>
        <w:rPr>
          <w:spacing w:val="19"/>
          <w:sz w:val="32"/>
          <w:szCs w:val="32"/>
          <w:lang w:eastAsia="zh-CN"/>
        </w:rPr>
      </w:pPr>
      <w:r>
        <w:rPr>
          <w:spacing w:val="19"/>
          <w:sz w:val="32"/>
          <w:szCs w:val="32"/>
          <w:lang w:eastAsia="zh-CN"/>
        </w:rPr>
        <w:t>附件2</w:t>
      </w: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jc w:val="center"/>
        <w:rPr>
          <w:lang w:eastAsia="zh-CN"/>
        </w:rPr>
      </w:pPr>
    </w:p>
    <w:p>
      <w:pPr>
        <w:spacing w:line="248" w:lineRule="auto"/>
        <w:jc w:val="center"/>
        <w:rPr>
          <w:lang w:eastAsia="zh-CN"/>
        </w:rPr>
      </w:pPr>
    </w:p>
    <w:p>
      <w:pPr>
        <w:spacing w:line="248" w:lineRule="auto"/>
        <w:jc w:val="center"/>
        <w:rPr>
          <w:lang w:eastAsia="zh-CN"/>
        </w:rPr>
      </w:pPr>
    </w:p>
    <w:p>
      <w:pPr>
        <w:tabs>
          <w:tab w:val="left" w:pos="8620"/>
        </w:tabs>
        <w:spacing w:before="157" w:line="322" w:lineRule="auto"/>
        <w:ind w:right="182"/>
        <w:jc w:val="center"/>
        <w:rPr>
          <w:rFonts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z w:val="48"/>
          <w:szCs w:val="48"/>
          <w:lang w:eastAsia="zh-CN"/>
        </w:rPr>
        <w:t>2024年度中方县紫荆路（中方至芷江公路（中方段））道路工程项目支出</w:t>
      </w:r>
    </w:p>
    <w:p>
      <w:pPr>
        <w:tabs>
          <w:tab w:val="left" w:pos="8620"/>
        </w:tabs>
        <w:spacing w:before="157" w:line="322" w:lineRule="auto"/>
        <w:ind w:right="182"/>
        <w:jc w:val="center"/>
        <w:rPr>
          <w:rFonts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pacing w:val="-10"/>
          <w:sz w:val="48"/>
          <w:szCs w:val="48"/>
          <w:lang w:eastAsia="zh-CN"/>
        </w:rPr>
        <w:t>绩效自评报告</w:t>
      </w: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pStyle w:val="10"/>
        <w:spacing w:before="150" w:beforeAutospacing="0" w:afterAutospacing="0" w:line="420" w:lineRule="atLeast"/>
        <w:jc w:val="center"/>
        <w:rPr>
          <w:rFonts w:ascii="Times New Roman" w:hAnsi="Times New Roman" w:eastAsia="楷体_GB2312"/>
          <w:spacing w:val="-20"/>
          <w:kern w:val="2"/>
          <w:sz w:val="36"/>
          <w:szCs w:val="36"/>
        </w:rPr>
      </w:pPr>
      <w:r>
        <w:rPr>
          <w:rFonts w:hint="eastAsia" w:ascii="楷体" w:hAnsi="楷体" w:eastAsia="楷体" w:cs="楷体"/>
          <w:spacing w:val="-29"/>
          <w:sz w:val="34"/>
          <w:szCs w:val="34"/>
        </w:rPr>
        <w:t>部门（单位）名称</w:t>
      </w:r>
      <w:r>
        <w:rPr>
          <w:rFonts w:ascii="楷体" w:hAnsi="楷体" w:eastAsia="楷体" w:cs="楷体"/>
          <w:spacing w:val="-29"/>
          <w:sz w:val="34"/>
          <w:szCs w:val="34"/>
        </w:rPr>
        <w:t>：</w:t>
      </w:r>
      <w:r>
        <w:rPr>
          <w:rFonts w:ascii="楷体" w:hAnsi="楷体" w:eastAsia="楷体" w:cs="楷体"/>
          <w:spacing w:val="-20"/>
          <w:sz w:val="34"/>
          <w:szCs w:val="34"/>
          <w:u w:val="single"/>
        </w:rPr>
        <w:t xml:space="preserve"> </w:t>
      </w:r>
      <w:r>
        <w:rPr>
          <w:rFonts w:hint="eastAsia" w:ascii="楷体" w:hAnsi="楷体" w:eastAsia="楷体" w:cs="楷体"/>
          <w:spacing w:val="-20"/>
          <w:sz w:val="34"/>
          <w:szCs w:val="34"/>
          <w:u w:val="single"/>
        </w:rPr>
        <w:t xml:space="preserve"> </w:t>
      </w:r>
      <w:r>
        <w:rPr>
          <w:rFonts w:hint="eastAsia" w:ascii="仿宋" w:hAnsi="仿宋" w:eastAsia="仿宋" w:cs="仿宋"/>
          <w:spacing w:val="-20"/>
          <w:sz w:val="32"/>
          <w:szCs w:val="32"/>
          <w:u w:val="single"/>
        </w:rPr>
        <w:t>中方县怀芷公路项目建设管理有限公司</w:t>
      </w:r>
    </w:p>
    <w:p>
      <w:pPr>
        <w:spacing w:before="111" w:line="374" w:lineRule="auto"/>
        <w:ind w:right="622" w:firstLine="1020" w:firstLineChars="300"/>
        <w:jc w:val="both"/>
        <w:rPr>
          <w:rFonts w:ascii="楷体" w:hAnsi="楷体" w:eastAsia="楷体" w:cs="楷体"/>
          <w:sz w:val="34"/>
          <w:szCs w:val="34"/>
          <w:lang w:eastAsia="zh-CN"/>
        </w:rPr>
      </w:pPr>
      <w:r>
        <w:rPr>
          <w:rFonts w:ascii="楷体" w:hAnsi="楷体" w:eastAsia="楷体" w:cs="楷体"/>
          <w:sz w:val="34"/>
          <w:szCs w:val="34"/>
          <w:lang w:eastAsia="zh-CN"/>
        </w:rPr>
        <w:t xml:space="preserve"> </w:t>
      </w:r>
    </w:p>
    <w:p>
      <w:pPr>
        <w:spacing w:before="111" w:line="374" w:lineRule="auto"/>
        <w:ind w:left="2100" w:leftChars="1000" w:right="2875"/>
        <w:jc w:val="center"/>
        <w:rPr>
          <w:rFonts w:ascii="楷体" w:hAnsi="楷体" w:eastAsia="楷体" w:cs="楷体"/>
          <w:sz w:val="25"/>
          <w:szCs w:val="25"/>
          <w:lang w:eastAsia="zh-CN"/>
        </w:rPr>
      </w:pPr>
      <w:r>
        <w:rPr>
          <w:rFonts w:hint="eastAsia" w:ascii="楷体" w:hAnsi="楷体" w:eastAsia="楷体" w:cs="楷体"/>
          <w:spacing w:val="-11"/>
          <w:sz w:val="32"/>
          <w:szCs w:val="32"/>
          <w:lang w:eastAsia="zh-CN"/>
        </w:rPr>
        <w:t xml:space="preserve">    2025 </w:t>
      </w:r>
      <w:r>
        <w:rPr>
          <w:rFonts w:ascii="楷体" w:hAnsi="楷体" w:eastAsia="楷体" w:cs="楷体"/>
          <w:spacing w:val="-11"/>
          <w:sz w:val="32"/>
          <w:szCs w:val="32"/>
          <w:lang w:eastAsia="zh-CN"/>
        </w:rPr>
        <w:t>年</w:t>
      </w:r>
      <w:r>
        <w:rPr>
          <w:rFonts w:hint="eastAsia" w:ascii="楷体" w:hAnsi="楷体" w:eastAsia="楷体" w:cs="楷体"/>
          <w:spacing w:val="11"/>
          <w:sz w:val="32"/>
          <w:szCs w:val="32"/>
          <w:lang w:eastAsia="zh-CN"/>
        </w:rPr>
        <w:t>3</w:t>
      </w:r>
      <w:r>
        <w:rPr>
          <w:rFonts w:ascii="楷体" w:hAnsi="楷体" w:eastAsia="楷体" w:cs="楷体"/>
          <w:spacing w:val="-11"/>
          <w:sz w:val="32"/>
          <w:szCs w:val="32"/>
          <w:lang w:eastAsia="zh-CN"/>
        </w:rPr>
        <w:t>月</w:t>
      </w:r>
      <w:r>
        <w:rPr>
          <w:rFonts w:hint="eastAsia" w:ascii="楷体" w:hAnsi="楷体" w:eastAsia="楷体" w:cs="楷体"/>
          <w:spacing w:val="-11"/>
          <w:sz w:val="32"/>
          <w:szCs w:val="32"/>
          <w:lang w:eastAsia="zh-CN"/>
        </w:rPr>
        <w:t>28</w:t>
      </w:r>
      <w:r>
        <w:rPr>
          <w:rFonts w:ascii="楷体" w:hAnsi="楷体" w:eastAsia="楷体" w:cs="楷体"/>
          <w:spacing w:val="-11"/>
          <w:sz w:val="32"/>
          <w:szCs w:val="32"/>
          <w:lang w:eastAsia="zh-CN"/>
        </w:rPr>
        <w:t>日</w:t>
      </w:r>
    </w:p>
    <w:p>
      <w:pPr>
        <w:pStyle w:val="6"/>
        <w:spacing w:line="224" w:lineRule="auto"/>
        <w:rPr>
          <w:spacing w:val="19"/>
          <w:sz w:val="24"/>
          <w:szCs w:val="24"/>
          <w:lang w:eastAsia="zh-CN"/>
        </w:rPr>
      </w:pPr>
    </w:p>
    <w:p>
      <w:pPr>
        <w:pStyle w:val="4"/>
        <w:kinsoku/>
        <w:autoSpaceDE/>
        <w:autoSpaceDN/>
        <w:spacing w:line="560" w:lineRule="exact"/>
        <w:textAlignment w:val="auto"/>
        <w:rPr>
          <w:rFonts w:ascii="方正小标宋_GBK" w:hAnsi="方正小标宋_GBK" w:cs="方正小标宋_GBK"/>
          <w:lang w:eastAsia="zh-CN"/>
        </w:rPr>
      </w:pPr>
      <w:bookmarkStart w:id="0" w:name="OLE_LINK2"/>
      <w:bookmarkStart w:id="1" w:name="OLE_LINK1"/>
      <w:r>
        <w:rPr>
          <w:rFonts w:hint="eastAsia" w:ascii="方正小标宋简体" w:hAnsi="方正小标宋简体" w:eastAsia="方正小标宋简体" w:cs="方正小标宋简体"/>
          <w:sz w:val="48"/>
          <w:szCs w:val="48"/>
          <w:lang w:eastAsia="zh-CN"/>
        </w:rPr>
        <w:t>中方县紫荆路（中方至芷江公路（中方段））道路工程</w:t>
      </w:r>
      <w:bookmarkEnd w:id="0"/>
      <w:bookmarkEnd w:id="1"/>
      <w:r>
        <w:rPr>
          <w:rFonts w:hint="eastAsia" w:ascii="方正小标宋_GBK" w:hAnsi="方正小标宋_GBK" w:cs="方正小标宋_GBK"/>
          <w:lang w:eastAsia="zh-CN"/>
        </w:rPr>
        <w:t>项目支出绩效自评报告</w:t>
      </w:r>
    </w:p>
    <w:p>
      <w:pPr>
        <w:spacing w:line="560" w:lineRule="exact"/>
        <w:ind w:firstLine="632" w:firstLineChars="200"/>
        <w:outlineLvl w:val="0"/>
        <w:rPr>
          <w:rFonts w:ascii="黑体" w:hAnsi="黑体" w:eastAsia="黑体" w:cs="黑体"/>
          <w:spacing w:val="3"/>
          <w:sz w:val="31"/>
          <w:szCs w:val="31"/>
          <w:lang w:eastAsia="zh-CN"/>
        </w:rPr>
      </w:pPr>
    </w:p>
    <w:p>
      <w:pPr>
        <w:keepNext w:val="0"/>
        <w:keepLines w:val="0"/>
        <w:pageBreakBefore w:val="0"/>
        <w:wordWrap/>
        <w:overflowPunct/>
        <w:topLinePunct w:val="0"/>
        <w:bidi w:val="0"/>
        <w:spacing w:line="560" w:lineRule="exact"/>
        <w:ind w:firstLine="632" w:firstLineChars="200"/>
        <w:outlineLvl w:val="0"/>
        <w:rPr>
          <w:rFonts w:ascii="黑体" w:hAnsi="黑体" w:eastAsia="黑体" w:cs="黑体"/>
          <w:spacing w:val="3"/>
          <w:sz w:val="31"/>
          <w:szCs w:val="31"/>
          <w:lang w:eastAsia="zh-CN"/>
        </w:rPr>
      </w:pPr>
      <w:r>
        <w:rPr>
          <w:rFonts w:hint="eastAsia" w:ascii="黑体" w:hAnsi="黑体" w:eastAsia="黑体" w:cs="黑体"/>
          <w:spacing w:val="3"/>
          <w:sz w:val="31"/>
          <w:szCs w:val="31"/>
          <w:lang w:eastAsia="zh-CN"/>
        </w:rPr>
        <w:t>一、项目基本情况</w:t>
      </w:r>
    </w:p>
    <w:p>
      <w:pPr>
        <w:keepNext w:val="0"/>
        <w:keepLines w:val="0"/>
        <w:pageBreakBefore w:val="0"/>
        <w:wordWrap/>
        <w:overflowPunct/>
        <w:topLinePunct w:val="0"/>
        <w:bidi w:val="0"/>
        <w:spacing w:line="560" w:lineRule="exact"/>
        <w:ind w:firstLine="712" w:firstLineChars="200"/>
        <w:outlineLvl w:val="0"/>
        <w:rPr>
          <w:rFonts w:ascii="仿宋" w:hAnsi="仿宋" w:eastAsia="仿宋" w:cs="仿宋"/>
          <w:sz w:val="32"/>
          <w:szCs w:val="32"/>
          <w:lang w:eastAsia="zh-CN"/>
        </w:rPr>
      </w:pPr>
      <w:r>
        <w:rPr>
          <w:rFonts w:hint="eastAsia" w:ascii="仿宋" w:hAnsi="仿宋" w:eastAsia="仿宋" w:cs="仿宋"/>
          <w:spacing w:val="18"/>
          <w:sz w:val="32"/>
          <w:szCs w:val="32"/>
          <w:lang w:eastAsia="zh-CN"/>
        </w:rPr>
        <w:t>(</w:t>
      </w:r>
      <w:r>
        <w:rPr>
          <w:rFonts w:hint="eastAsia" w:ascii="仿宋" w:hAnsi="仿宋" w:eastAsia="仿宋" w:cs="仿宋"/>
          <w:spacing w:val="-85"/>
          <w:sz w:val="32"/>
          <w:szCs w:val="32"/>
          <w:lang w:eastAsia="zh-CN"/>
        </w:rPr>
        <w:t xml:space="preserve"> </w:t>
      </w:r>
      <w:r>
        <w:rPr>
          <w:rFonts w:hint="eastAsia" w:ascii="仿宋" w:hAnsi="仿宋" w:eastAsia="仿宋" w:cs="仿宋"/>
          <w:spacing w:val="18"/>
          <w:sz w:val="32"/>
          <w:szCs w:val="32"/>
          <w:lang w:eastAsia="zh-CN"/>
        </w:rPr>
        <w:t>一)项目概况</w:t>
      </w:r>
    </w:p>
    <w:p>
      <w:pPr>
        <w:keepNext w:val="0"/>
        <w:keepLines w:val="0"/>
        <w:pageBreakBefore w:val="0"/>
        <w:wordWrap/>
        <w:overflowPunct/>
        <w:topLinePunct w:val="0"/>
        <w:bidi w:val="0"/>
        <w:spacing w:line="560" w:lineRule="exact"/>
        <w:ind w:firstLine="660" w:firstLineChars="200"/>
        <w:rPr>
          <w:rFonts w:ascii="仿宋" w:hAnsi="仿宋" w:eastAsia="仿宋" w:cs="仿宋"/>
          <w:sz w:val="32"/>
          <w:szCs w:val="32"/>
          <w:lang w:eastAsia="zh-CN"/>
        </w:rPr>
      </w:pPr>
      <w:r>
        <w:rPr>
          <w:rFonts w:hint="eastAsia" w:ascii="仿宋" w:hAnsi="仿宋" w:eastAsia="仿宋" w:cs="仿宋"/>
          <w:spacing w:val="5"/>
          <w:sz w:val="32"/>
          <w:szCs w:val="32"/>
          <w:lang w:eastAsia="zh-CN"/>
        </w:rPr>
        <w:t>1.项目决策背景：</w:t>
      </w:r>
      <w:r>
        <w:rPr>
          <w:rFonts w:hint="eastAsia" w:ascii="仿宋" w:hAnsi="仿宋" w:eastAsia="仿宋" w:cs="仿宋"/>
          <w:sz w:val="32"/>
          <w:szCs w:val="32"/>
          <w:lang w:eastAsia="zh-CN"/>
        </w:rPr>
        <w:t>为</w:t>
      </w:r>
      <w:bookmarkStart w:id="2" w:name="OLE_LINK10"/>
      <w:bookmarkStart w:id="3" w:name="OLE_LINK9"/>
      <w:r>
        <w:rPr>
          <w:rFonts w:hint="eastAsia" w:ascii="仿宋" w:hAnsi="仿宋" w:eastAsia="仿宋" w:cs="仿宋"/>
          <w:sz w:val="32"/>
          <w:szCs w:val="32"/>
          <w:lang w:eastAsia="zh-CN"/>
        </w:rPr>
        <w:t>优化区域公路路网结构，构建城镇群快速通道，推动当地资源开发，促进区域经济发展</w:t>
      </w:r>
      <w:bookmarkEnd w:id="2"/>
      <w:bookmarkEnd w:id="3"/>
      <w:r>
        <w:rPr>
          <w:rFonts w:hint="eastAsia" w:ascii="仿宋" w:hAnsi="仿宋" w:eastAsia="仿宋" w:cs="仿宋"/>
          <w:sz w:val="32"/>
          <w:szCs w:val="32"/>
          <w:lang w:eastAsia="zh-CN"/>
        </w:rPr>
        <w:t>，根据怀化市人民政府相关会议精神，于2017年4月由省发改委批复（湘发改基础［2017］351号），立项了S555（原S255）中方至芷江公路工程，全线采用一级公路标准建设。中方县紫荆路道路工程项目是进出怀化国际陆港中方临港产业园的唯一通道，是重要的基础设施之一，也是市委、市政府为加快推进“鹤中”一体化建设的重要道路工程项目，因此，2020年3月经中方县发改局批复立项了中方县紫荆路道路工程（中县发改［2020］46号），全线采用城市道路标准建设。为避免重复建设，经中方县人民政府同意，两个项目合并建设，项目名称变更为中方县紫荆路（中方至芷江公路（中方段））道路工程。</w:t>
      </w:r>
    </w:p>
    <w:p>
      <w:pPr>
        <w:keepNext w:val="0"/>
        <w:keepLines w:val="0"/>
        <w:pageBreakBefore w:val="0"/>
        <w:widowControl w:val="0"/>
        <w:kinsoku/>
        <w:wordWrap/>
        <w:overflowPunct/>
        <w:topLinePunct w:val="0"/>
        <w:autoSpaceDE/>
        <w:autoSpaceDN/>
        <w:bidi w:val="0"/>
        <w:adjustRightInd/>
        <w:snapToGrid/>
        <w:spacing w:line="560" w:lineRule="exact"/>
        <w:ind w:firstLine="660" w:firstLineChars="200"/>
        <w:rPr>
          <w:rFonts w:ascii="仿宋" w:hAnsi="仿宋" w:eastAsia="仿宋" w:cs="仿宋"/>
          <w:sz w:val="32"/>
          <w:szCs w:val="32"/>
          <w:lang w:eastAsia="zh-CN"/>
        </w:rPr>
      </w:pPr>
      <w:r>
        <w:rPr>
          <w:rFonts w:hint="eastAsia" w:ascii="仿宋" w:hAnsi="仿宋" w:eastAsia="仿宋" w:cs="仿宋"/>
          <w:spacing w:val="5"/>
          <w:sz w:val="32"/>
          <w:szCs w:val="32"/>
          <w:lang w:eastAsia="zh-CN"/>
        </w:rPr>
        <w:t>2.项目的主要内容、实施依据：</w:t>
      </w:r>
      <w:r>
        <w:rPr>
          <w:rFonts w:hint="eastAsia" w:ascii="仿宋" w:hAnsi="仿宋" w:eastAsia="仿宋" w:cs="仿宋"/>
          <w:sz w:val="32"/>
          <w:szCs w:val="32"/>
          <w:lang w:eastAsia="zh-CN"/>
        </w:rPr>
        <w:t>项目分为三段，</w:t>
      </w:r>
      <w:bookmarkStart w:id="4" w:name="OLE_LINK16"/>
      <w:bookmarkStart w:id="5" w:name="OLE_LINK15"/>
      <w:r>
        <w:rPr>
          <w:rFonts w:hint="eastAsia" w:ascii="仿宋" w:hAnsi="仿宋" w:eastAsia="仿宋" w:cs="仿宋"/>
          <w:sz w:val="32"/>
          <w:szCs w:val="32"/>
          <w:lang w:eastAsia="zh-CN"/>
        </w:rPr>
        <w:t>即中方连接线紫荆路段、中方连接线岩头园村段和怀芷快速干道主线段，建设总里程为7.104公里</w:t>
      </w:r>
      <w:bookmarkEnd w:id="4"/>
      <w:bookmarkEnd w:id="5"/>
      <w:r>
        <w:rPr>
          <w:rFonts w:hint="eastAsia" w:ascii="仿宋" w:hAnsi="仿宋" w:eastAsia="仿宋" w:cs="仿宋"/>
          <w:sz w:val="32"/>
          <w:szCs w:val="32"/>
          <w:lang w:eastAsia="zh-CN"/>
        </w:rPr>
        <w:t>，其中：中方连接线紫荆路段起于中方县紫荆东路与G209国道交叉处，向西过荆坪大桥，止于职教城市工业中专大门口，线路全长2.79公里，路幅宽36米，路面双向6车道；中方连接线岩头园村段起于职教城市工业中专大门口，上跨包茂高速，经中方镇岩头园村杨梅冲组，在岩头园村架笕田处与怀芷快速干道主线段平交，线路全长2.914公里，路幅宽24.5米，路面双向4车道；怀芷快速干道主线段起于中方县中方镇岩头园村汤家组99丘，止于怀化市经开区坳背村村部，线路全长1.4公里，路幅宽34米，路面双向4车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本项目全线按城市主干道标准设计，设计时速60km/h，概算总投资46579.06万元，其中：工程直接费37661.4万元，工程建设其他费2251.93万元，预备费1995.67万元，征地拆迁费3884.88万元，建设期贷款利息</w:t>
      </w:r>
      <w:r>
        <w:rPr>
          <w:rFonts w:hint="eastAsia" w:ascii="仿宋" w:hAnsi="仿宋" w:eastAsia="仿宋" w:cs="仿宋"/>
          <w:sz w:val="32"/>
          <w:szCs w:val="32"/>
          <w:highlight w:val="none"/>
          <w:lang w:eastAsia="zh-CN"/>
        </w:rPr>
        <w:t>785.18</w:t>
      </w:r>
      <w:r>
        <w:rPr>
          <w:rFonts w:hint="eastAsia" w:ascii="仿宋" w:hAnsi="仿宋" w:eastAsia="仿宋" w:cs="仿宋"/>
          <w:sz w:val="32"/>
          <w:szCs w:val="32"/>
          <w:lang w:eastAsia="zh-CN"/>
        </w:rPr>
        <w:t>万元。</w:t>
      </w:r>
    </w:p>
    <w:p>
      <w:pPr>
        <w:pStyle w:val="6"/>
        <w:keepNext w:val="0"/>
        <w:keepLines w:val="0"/>
        <w:pageBreakBefore w:val="0"/>
        <w:wordWrap/>
        <w:overflowPunct/>
        <w:topLinePunct w:val="0"/>
        <w:bidi w:val="0"/>
        <w:spacing w:line="560" w:lineRule="exact"/>
        <w:ind w:firstLine="668" w:firstLineChars="200"/>
        <w:rPr>
          <w:sz w:val="32"/>
          <w:szCs w:val="32"/>
          <w:lang w:eastAsia="zh-CN"/>
        </w:rPr>
      </w:pPr>
      <w:r>
        <w:rPr>
          <w:rFonts w:hint="eastAsia"/>
          <w:spacing w:val="7"/>
          <w:sz w:val="32"/>
          <w:szCs w:val="32"/>
          <w:lang w:eastAsia="zh-CN"/>
        </w:rPr>
        <w:t>3.项目组织管理机构：项目主管单位为</w:t>
      </w:r>
      <w:bookmarkStart w:id="6" w:name="OLE_LINK18"/>
      <w:bookmarkStart w:id="7" w:name="OLE_LINK17"/>
      <w:r>
        <w:rPr>
          <w:rFonts w:hint="eastAsia"/>
          <w:spacing w:val="7"/>
          <w:sz w:val="32"/>
          <w:szCs w:val="32"/>
          <w:lang w:eastAsia="zh-CN"/>
        </w:rPr>
        <w:t>中方县交通运输局</w:t>
      </w:r>
      <w:bookmarkEnd w:id="6"/>
      <w:bookmarkEnd w:id="7"/>
      <w:r>
        <w:rPr>
          <w:rFonts w:hint="eastAsia"/>
          <w:spacing w:val="7"/>
          <w:sz w:val="32"/>
          <w:szCs w:val="32"/>
          <w:lang w:eastAsia="zh-CN"/>
        </w:rPr>
        <w:t>，项目业主单位为中方县交通建设投资有限责任公司，由</w:t>
      </w:r>
      <w:bookmarkStart w:id="8" w:name="OLE_LINK19"/>
      <w:r>
        <w:rPr>
          <w:rFonts w:hint="eastAsia"/>
          <w:sz w:val="32"/>
          <w:szCs w:val="32"/>
          <w:u w:val="none"/>
        </w:rPr>
        <w:t>中方县怀芷公路项目建设管理有限公司</w:t>
      </w:r>
      <w:bookmarkEnd w:id="8"/>
      <w:r>
        <w:rPr>
          <w:rFonts w:hint="eastAsia"/>
          <w:snapToGrid/>
          <w:color w:val="auto"/>
          <w:sz w:val="32"/>
          <w:szCs w:val="32"/>
        </w:rPr>
        <w:t>负责实施。</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（二）预算资金使用管理情况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ascii="仿宋" w:hAnsi="仿宋" w:eastAsia="仿宋" w:cs="仿宋"/>
          <w:sz w:val="32"/>
          <w:szCs w:val="32"/>
          <w:shd w:val="clear" w:color="auto" w:fill="FFFFFF"/>
          <w:lang w:eastAsia="zh-CN"/>
        </w:rPr>
      </w:pPr>
      <w:bookmarkStart w:id="9" w:name="_Toc10810"/>
      <w:r>
        <w:rPr>
          <w:rFonts w:hint="eastAsia" w:ascii="仿宋" w:hAnsi="仿宋" w:eastAsia="仿宋" w:cs="仿宋"/>
          <w:sz w:val="32"/>
          <w:szCs w:val="32"/>
          <w:shd w:val="clear" w:color="auto" w:fill="FFFFFF"/>
          <w:lang w:eastAsia="zh-CN"/>
        </w:rPr>
        <w:t>1.预算资金安排及管理情况</w:t>
      </w:r>
      <w:bookmarkEnd w:id="9"/>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32" w:firstLineChars="200"/>
        <w:jc w:val="both"/>
        <w:textAlignment w:val="auto"/>
        <w:rPr>
          <w:rFonts w:ascii="仿宋" w:hAnsi="仿宋" w:eastAsia="仿宋" w:cs="仿宋"/>
          <w:spacing w:val="-2"/>
          <w:sz w:val="32"/>
          <w:szCs w:val="32"/>
        </w:rPr>
      </w:pPr>
      <w:r>
        <w:rPr>
          <w:rFonts w:hint="eastAsia" w:ascii="仿宋" w:hAnsi="仿宋" w:eastAsia="仿宋" w:cs="仿宋"/>
          <w:spacing w:val="-2"/>
          <w:sz w:val="32"/>
          <w:szCs w:val="32"/>
        </w:rPr>
        <w:t>2024年，上级下达</w:t>
      </w:r>
      <w:r>
        <w:rPr>
          <w:rFonts w:hint="eastAsia" w:ascii="仿宋" w:hAnsi="仿宋" w:eastAsia="仿宋" w:cs="仿宋"/>
          <w:sz w:val="32"/>
          <w:szCs w:val="32"/>
        </w:rPr>
        <w:t>中方县紫荆路（中方至芷江公路（中方段））道路工程</w:t>
      </w:r>
      <w:r>
        <w:rPr>
          <w:rFonts w:hint="eastAsia" w:ascii="仿宋" w:hAnsi="仿宋" w:eastAsia="仿宋" w:cs="仿宋"/>
          <w:spacing w:val="-2"/>
          <w:sz w:val="32"/>
          <w:szCs w:val="32"/>
        </w:rPr>
        <w:t>项目400万元，该资金全部用于本项目建设，所有资金实行专款专用，项目支出均有相关的授权审批，资金拨付严格审批程序，使用规范，会计核算结果真实、准确。</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2.项目组织实施管理情况</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ascii="仿宋" w:hAnsi="仿宋" w:eastAsia="仿宋" w:cs="仿宋"/>
          <w:sz w:val="32"/>
          <w:szCs w:val="32"/>
          <w:shd w:val="clear" w:color="auto" w:fill="FFFFFF"/>
        </w:rPr>
      </w:pPr>
      <w:r>
        <w:rPr>
          <w:rFonts w:hint="eastAsia" w:ascii="仿宋" w:hAnsi="仿宋" w:eastAsia="仿宋" w:cs="仿宋"/>
          <w:sz w:val="32"/>
          <w:szCs w:val="32"/>
        </w:rPr>
        <w:t>建立健全项目实施预算方案、财务管理制度和会计核算制度，此次绩效评价过程中未发现有截留、挤占或挪用项目资金的情况。严格监管。建立健全项目管理制度，实行建设项目台帐管理，做到有目的、有计划、有内容、有效果。二是认真落实。项目采取全过程监管，做到公开、公正、公平。</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(三)预算绩效目标情况</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ascii="仿宋" w:hAnsi="仿宋" w:eastAsia="仿宋" w:cs="仿宋"/>
          <w:sz w:val="32"/>
          <w:szCs w:val="32"/>
          <w:shd w:val="clear" w:color="auto" w:fill="FFFFFF"/>
        </w:rPr>
      </w:pPr>
      <w:r>
        <w:rPr>
          <w:rFonts w:hint="eastAsia" w:ascii="仿宋" w:hAnsi="仿宋" w:eastAsia="仿宋" w:cs="仿宋"/>
          <w:snapToGrid/>
          <w:color w:val="auto"/>
          <w:sz w:val="32"/>
          <w:szCs w:val="32"/>
        </w:rPr>
        <w:t>项目的建设将为片区的整体发展提供良好条件，提高土地的可达性，引导城市发展的方向，提升城市功能，同时方便土地使用，增加土地价值。对于城市化水平的提高、城市功能的发挥、城市面貌的改善具有重大作用，为城市发展提供有力支持。</w:t>
      </w:r>
    </w:p>
    <w:p>
      <w:pPr>
        <w:keepNext w:val="0"/>
        <w:keepLines w:val="0"/>
        <w:pageBreakBefore w:val="0"/>
        <w:wordWrap/>
        <w:overflowPunct/>
        <w:topLinePunct w:val="0"/>
        <w:bidi w:val="0"/>
        <w:spacing w:line="560" w:lineRule="exact"/>
        <w:ind w:firstLine="632" w:firstLineChars="200"/>
        <w:outlineLvl w:val="0"/>
        <w:rPr>
          <w:rFonts w:hint="eastAsia" w:ascii="黑体" w:hAnsi="黑体" w:eastAsia="黑体" w:cs="黑体"/>
          <w:spacing w:val="3"/>
          <w:sz w:val="31"/>
          <w:szCs w:val="31"/>
          <w:lang w:eastAsia="zh-CN"/>
        </w:rPr>
      </w:pPr>
      <w:r>
        <w:rPr>
          <w:rFonts w:hint="eastAsia" w:ascii="黑体" w:hAnsi="黑体" w:eastAsia="黑体" w:cs="黑体"/>
          <w:spacing w:val="3"/>
          <w:sz w:val="31"/>
          <w:szCs w:val="31"/>
          <w:lang w:eastAsia="zh-CN"/>
        </w:rPr>
        <w:t>二、绩效评价工作情况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eastAsia="zh-CN"/>
        </w:rPr>
        <w:t>（一）绩效评价目的</w:t>
      </w:r>
    </w:p>
    <w:p>
      <w:pPr>
        <w:keepNext w:val="0"/>
        <w:keepLines w:val="0"/>
        <w:pageBreakBefore w:val="0"/>
        <w:wordWrap/>
        <w:overflowPunct/>
        <w:topLinePunct w:val="0"/>
        <w:bidi w:val="0"/>
        <w:spacing w:line="560" w:lineRule="exact"/>
        <w:ind w:firstLine="640" w:firstLineChars="200"/>
        <w:rPr>
          <w:rFonts w:ascii="仿宋" w:hAnsi="仿宋" w:eastAsia="仿宋" w:cs="仿宋"/>
          <w:sz w:val="32"/>
          <w:szCs w:val="32"/>
          <w:shd w:val="clear" w:color="auto" w:fill="FFFFFF"/>
          <w:lang w:eastAsia="zh-CN"/>
        </w:rPr>
      </w:pPr>
      <w:r>
        <w:rPr>
          <w:rFonts w:hint="eastAsia" w:ascii="仿宋" w:hAnsi="仿宋" w:eastAsia="仿宋" w:cs="仿宋"/>
          <w:sz w:val="32"/>
          <w:szCs w:val="32"/>
        </w:rPr>
        <w:t>进一步改进和加强项目管理，提高资金的使用效益。主要是项目实施的必要性、公益性、收益性；项目建设投资合规性与项目成熟度;项目资金来源和到位可行性；项目收入、成本、收益预测合理性；绩效目标合理性等，积累资金项目管理的经验，探索专项资金的绩效评价的办法、制度。</w:t>
      </w:r>
    </w:p>
    <w:p>
      <w:pPr>
        <w:keepNext w:val="0"/>
        <w:keepLines w:val="0"/>
        <w:pageBreakBefore w:val="0"/>
        <w:widowControl w:val="0"/>
        <w:numPr>
          <w:ilvl w:val="0"/>
          <w:numId w:val="1"/>
        </w:numPr>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shd w:val="clear" w:color="auto" w:fill="FFFFFF"/>
          <w:lang w:eastAsia="zh-CN"/>
        </w:rPr>
      </w:pPr>
      <w:bookmarkStart w:id="10" w:name="_Toc11844"/>
      <w:r>
        <w:rPr>
          <w:rFonts w:hint="eastAsia" w:ascii="仿宋" w:hAnsi="仿宋" w:eastAsia="仿宋" w:cs="仿宋"/>
          <w:sz w:val="32"/>
          <w:szCs w:val="32"/>
          <w:shd w:val="clear" w:color="auto" w:fill="FFFFFF"/>
          <w:lang w:eastAsia="zh-CN"/>
        </w:rPr>
        <w:t>被评价单位、绩效评价范围与时段</w:t>
      </w:r>
      <w:bookmarkEnd w:id="10"/>
    </w:p>
    <w:p>
      <w:pPr>
        <w:keepNext w:val="0"/>
        <w:keepLines w:val="0"/>
        <w:pageBreakBefore w:val="0"/>
        <w:wordWrap/>
        <w:overflowPunct/>
        <w:topLinePunct w:val="0"/>
        <w:bidi w:val="0"/>
        <w:spacing w:line="560" w:lineRule="exact"/>
        <w:ind w:firstLine="640" w:firstLineChars="200"/>
        <w:rPr>
          <w:rFonts w:ascii="仿宋" w:hAnsi="仿宋" w:eastAsia="仿宋" w:cs="仿宋"/>
          <w:sz w:val="32"/>
          <w:szCs w:val="32"/>
          <w:shd w:val="clear" w:color="auto" w:fill="FFFFFF"/>
          <w:lang w:eastAsia="zh-CN"/>
        </w:rPr>
      </w:pPr>
      <w:r>
        <w:rPr>
          <w:rFonts w:hint="eastAsia" w:ascii="仿宋" w:hAnsi="仿宋" w:eastAsia="仿宋" w:cs="仿宋"/>
          <w:sz w:val="32"/>
          <w:szCs w:val="32"/>
        </w:rPr>
        <w:t>遵循相关性原则、重要性原则、可比性原则、系统性原则及经济性原则，拟采用定性和定量分析相结合、书面评价和实地评价相结合的方法，从工期、进度、安全、质量几个方面进行评价，严格按照财政支出绩效评价的“科学公正、统筹兼顾、激励约束、公开透明”的原则，灵活运用成本效益分析法、比较法、因素分析法、公众评判法等绩效评价具体方法，对项目作出综合性评价意见。</w:t>
      </w:r>
    </w:p>
    <w:p>
      <w:pPr>
        <w:keepNext w:val="0"/>
        <w:keepLines w:val="0"/>
        <w:pageBreakBefore w:val="0"/>
        <w:wordWrap/>
        <w:overflowPunct/>
        <w:topLinePunct w:val="0"/>
        <w:bidi w:val="0"/>
        <w:spacing w:line="560" w:lineRule="exact"/>
        <w:ind w:firstLine="632" w:firstLineChars="200"/>
        <w:outlineLvl w:val="0"/>
        <w:rPr>
          <w:rFonts w:hint="eastAsia" w:ascii="黑体" w:hAnsi="黑体" w:eastAsia="黑体" w:cs="黑体"/>
          <w:spacing w:val="3"/>
          <w:sz w:val="31"/>
          <w:szCs w:val="31"/>
          <w:lang w:eastAsia="zh-CN"/>
        </w:rPr>
      </w:pPr>
      <w:bookmarkStart w:id="11" w:name="_Toc32076"/>
      <w:bookmarkStart w:id="12" w:name="_Toc7615"/>
      <w:r>
        <w:rPr>
          <w:rFonts w:hint="eastAsia" w:ascii="黑体" w:hAnsi="黑体" w:eastAsia="黑体" w:cs="黑体"/>
          <w:spacing w:val="3"/>
          <w:sz w:val="31"/>
          <w:szCs w:val="31"/>
          <w:lang w:eastAsia="zh-CN"/>
        </w:rPr>
        <w:t>三、主要绩效及评价结论</w:t>
      </w:r>
    </w:p>
    <w:p>
      <w:pPr>
        <w:keepNext w:val="0"/>
        <w:keepLines w:val="0"/>
        <w:pageBreakBefore w:val="0"/>
        <w:widowControl w:val="0"/>
        <w:kinsoku/>
        <w:wordWrap/>
        <w:overflowPunct/>
        <w:topLinePunct w:val="0"/>
        <w:autoSpaceDE/>
        <w:autoSpaceDN/>
        <w:bidi w:val="0"/>
        <w:adjustRightInd/>
        <w:spacing w:line="560" w:lineRule="exact"/>
        <w:ind w:firstLine="632" w:firstLineChars="200"/>
        <w:textAlignment w:val="auto"/>
        <w:outlineLvl w:val="0"/>
        <w:rPr>
          <w:rFonts w:ascii="仿宋" w:hAnsi="仿宋" w:eastAsia="仿宋" w:cs="仿宋"/>
          <w:spacing w:val="-2"/>
          <w:sz w:val="32"/>
          <w:szCs w:val="32"/>
        </w:rPr>
      </w:pPr>
      <w:r>
        <w:rPr>
          <w:rFonts w:hint="eastAsia" w:ascii="仿宋" w:hAnsi="仿宋" w:eastAsia="仿宋" w:cs="仿宋"/>
          <w:spacing w:val="-2"/>
          <w:sz w:val="32"/>
          <w:szCs w:val="32"/>
        </w:rPr>
        <w:t>项目建设是区域道路规划布局的需要</w:t>
      </w:r>
      <w:r>
        <w:rPr>
          <w:rFonts w:hint="eastAsia" w:ascii="仿宋" w:hAnsi="仿宋" w:eastAsia="仿宋" w:cs="仿宋"/>
          <w:spacing w:val="-2"/>
          <w:sz w:val="32"/>
          <w:szCs w:val="32"/>
          <w:lang w:eastAsia="zh-CN"/>
        </w:rPr>
        <w:t>，</w:t>
      </w:r>
      <w:r>
        <w:rPr>
          <w:rFonts w:hint="eastAsia" w:ascii="仿宋" w:hAnsi="仿宋" w:eastAsia="仿宋" w:cs="仿宋"/>
          <w:spacing w:val="-2"/>
          <w:sz w:val="32"/>
          <w:szCs w:val="32"/>
        </w:rPr>
        <w:t>对于进一步完善中方县的道路网络，搭建中方县的道路骨架，改善交通环境，实现车辆分流，提高城市综合服务功 能和承载能力，改善投资环境，具有重要意义。作为鹤城区与中方县做主要的通行道路，是鹤中一体核心引擎，是鹤中一体化实施的先锋，对实质性推动鹤中一体化发展，加快实现“鹤中”融城扩城，打造鹤中区域半小时通勤圈，具有重要意义。</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仿宋" w:hAnsi="仿宋" w:eastAsia="仿宋" w:cs="仿宋"/>
          <w:sz w:val="32"/>
          <w:szCs w:val="32"/>
          <w:shd w:val="clear" w:color="auto" w:fill="FFFFFF"/>
          <w:lang w:eastAsia="zh-CN"/>
        </w:rPr>
      </w:pPr>
      <w:r>
        <w:rPr>
          <w:rFonts w:hint="eastAsia" w:ascii="仿宋" w:hAnsi="仿宋" w:eastAsia="仿宋" w:cs="仿宋"/>
          <w:sz w:val="32"/>
          <w:szCs w:val="32"/>
        </w:rPr>
        <w:t>评价结果为优。</w:t>
      </w:r>
    </w:p>
    <w:bookmarkEnd w:id="11"/>
    <w:bookmarkEnd w:id="12"/>
    <w:p>
      <w:pPr>
        <w:keepNext w:val="0"/>
        <w:keepLines w:val="0"/>
        <w:pageBreakBefore w:val="0"/>
        <w:wordWrap/>
        <w:overflowPunct/>
        <w:topLinePunct w:val="0"/>
        <w:bidi w:val="0"/>
        <w:spacing w:line="560" w:lineRule="exact"/>
        <w:ind w:firstLine="632" w:firstLineChars="200"/>
        <w:outlineLvl w:val="0"/>
        <w:rPr>
          <w:rFonts w:hint="eastAsia" w:ascii="黑体" w:hAnsi="黑体" w:eastAsia="黑体" w:cs="黑体"/>
          <w:spacing w:val="3"/>
          <w:sz w:val="31"/>
          <w:szCs w:val="31"/>
          <w:lang w:eastAsia="zh-CN"/>
        </w:rPr>
      </w:pPr>
      <w:r>
        <w:rPr>
          <w:rFonts w:hint="eastAsia" w:ascii="黑体" w:hAnsi="黑体" w:eastAsia="黑体" w:cs="黑体"/>
          <w:spacing w:val="3"/>
          <w:sz w:val="31"/>
          <w:szCs w:val="31"/>
          <w:lang w:eastAsia="zh-CN"/>
        </w:rPr>
        <w:t>四、绩效评价指标分析</w:t>
      </w:r>
    </w:p>
    <w:p>
      <w:pPr>
        <w:pStyle w:val="17"/>
        <w:keepNext w:val="0"/>
        <w:keepLines w:val="0"/>
        <w:pageBreakBefore w:val="0"/>
        <w:wordWrap/>
        <w:overflowPunct/>
        <w:topLinePunct w:val="0"/>
        <w:bidi w:val="0"/>
        <w:spacing w:after="0" w:line="560" w:lineRule="exact"/>
        <w:ind w:firstLine="640"/>
        <w:rPr>
          <w:rFonts w:ascii="仿宋" w:hAnsi="仿宋" w:eastAsia="仿宋"/>
          <w:sz w:val="32"/>
          <w:szCs w:val="32"/>
        </w:rPr>
      </w:pPr>
      <w:r>
        <w:rPr>
          <w:rFonts w:hint="eastAsia" w:ascii="仿宋" w:hAnsi="仿宋" w:eastAsia="仿宋"/>
          <w:sz w:val="32"/>
          <w:szCs w:val="32"/>
        </w:rPr>
        <w:t>本项目遵循先考察、调研，再根据实际情况制定相应的措施，债务偿还计划逐</w:t>
      </w:r>
      <w:bookmarkStart w:id="13" w:name="OLE_LINK55"/>
      <w:bookmarkStart w:id="14" w:name="OLE_LINK54"/>
      <w:r>
        <w:rPr>
          <w:rFonts w:hint="eastAsia" w:ascii="仿宋" w:hAnsi="仿宋" w:eastAsia="仿宋"/>
          <w:sz w:val="32"/>
          <w:szCs w:val="32"/>
        </w:rPr>
        <w:t>步</w:t>
      </w:r>
      <w:bookmarkEnd w:id="13"/>
      <w:bookmarkEnd w:id="14"/>
      <w:r>
        <w:rPr>
          <w:rFonts w:hint="eastAsia" w:ascii="仿宋" w:hAnsi="仿宋" w:eastAsia="仿宋"/>
          <w:sz w:val="32"/>
          <w:szCs w:val="32"/>
        </w:rPr>
        <w:t>进行。专项资金按照还款计划要求安排，拨付按需求进度进行，上级下达我部门400万元资金，资金全部用于该建设项目，我们充分运用现代科学的规划、设计手法，结合项目实际状况，进行合理布局建设，以保障安全作为根本宗旨和最终目的的同时，最大限度的减少项目预算成本，并通过成本比较的方式，对项目成本进行控制，有效节约了成本。</w:t>
      </w:r>
    </w:p>
    <w:p>
      <w:pPr>
        <w:keepNext w:val="0"/>
        <w:keepLines w:val="0"/>
        <w:pageBreakBefore w:val="0"/>
        <w:wordWrap/>
        <w:overflowPunct/>
        <w:topLinePunct w:val="0"/>
        <w:bidi w:val="0"/>
        <w:spacing w:line="560" w:lineRule="exact"/>
        <w:ind w:firstLine="320" w:firstLineChars="100"/>
        <w:rPr>
          <w:rFonts w:ascii="仿宋" w:hAnsi="仿宋" w:eastAsia="仿宋" w:cs="仿宋"/>
          <w:sz w:val="32"/>
          <w:szCs w:val="32"/>
          <w:shd w:val="clear" w:color="auto" w:fill="FFFFFF"/>
          <w:lang w:eastAsia="zh-CN"/>
        </w:rPr>
      </w:pPr>
      <w:r>
        <w:rPr>
          <w:rFonts w:hint="eastAsia" w:ascii="仿宋" w:hAnsi="仿宋" w:eastAsia="仿宋" w:cstheme="minorBidi"/>
          <w:snapToGrid/>
          <w:color w:val="auto"/>
          <w:sz w:val="32"/>
          <w:szCs w:val="32"/>
          <w:lang w:eastAsia="zh-CN"/>
        </w:rPr>
        <w:t>本项目建成后将促进土地开发，将会带来巨大的土地增值效益。同时可以</w:t>
      </w:r>
      <w:bookmarkStart w:id="15" w:name="OLE_LINK63"/>
      <w:bookmarkStart w:id="16" w:name="OLE_LINK64"/>
      <w:r>
        <w:rPr>
          <w:rFonts w:hint="eastAsia" w:ascii="仿宋" w:hAnsi="仿宋" w:eastAsia="仿宋" w:cstheme="minorBidi"/>
          <w:snapToGrid/>
          <w:color w:val="auto"/>
          <w:sz w:val="32"/>
          <w:szCs w:val="32"/>
          <w:lang w:eastAsia="zh-CN"/>
        </w:rPr>
        <w:t>增加行车安全减少事故，带动城市建设完善城市功能为市民提供一个高品位居住、娱 乐环境改善城市居民居住水平，改善投资环境，对解决下岗再就业起着重要作用</w:t>
      </w:r>
      <w:bookmarkEnd w:id="15"/>
      <w:bookmarkEnd w:id="16"/>
      <w:r>
        <w:rPr>
          <w:rFonts w:hint="eastAsia" w:ascii="仿宋" w:hAnsi="仿宋" w:eastAsia="仿宋" w:cstheme="minorBidi"/>
          <w:snapToGrid/>
          <w:color w:val="auto"/>
          <w:sz w:val="32"/>
          <w:szCs w:val="32"/>
          <w:lang w:eastAsia="zh-CN"/>
        </w:rPr>
        <w:t>。</w:t>
      </w:r>
      <w:bookmarkStart w:id="17" w:name="OLE_LINK68"/>
      <w:bookmarkStart w:id="18" w:name="OLE_LINK69"/>
      <w:r>
        <w:rPr>
          <w:rFonts w:hint="eastAsia" w:ascii="仿宋" w:hAnsi="仿宋" w:eastAsia="仿宋" w:cstheme="minorBidi"/>
          <w:snapToGrid/>
          <w:color w:val="auto"/>
          <w:sz w:val="32"/>
          <w:szCs w:val="32"/>
          <w:lang w:eastAsia="zh-CN"/>
        </w:rPr>
        <w:t>有利于城市经济规模的进一步扩大，区域经济结构得到进一步 优化，对区域经济和社会发展将起到极大的推动作用。</w:t>
      </w:r>
      <w:bookmarkEnd w:id="17"/>
      <w:bookmarkEnd w:id="18"/>
    </w:p>
    <w:p>
      <w:pPr>
        <w:keepNext w:val="0"/>
        <w:keepLines w:val="0"/>
        <w:pageBreakBefore w:val="0"/>
        <w:wordWrap/>
        <w:overflowPunct/>
        <w:topLinePunct w:val="0"/>
        <w:bidi w:val="0"/>
        <w:spacing w:line="560" w:lineRule="exact"/>
        <w:ind w:firstLine="632" w:firstLineChars="200"/>
        <w:outlineLvl w:val="0"/>
        <w:rPr>
          <w:rFonts w:hint="eastAsia" w:ascii="黑体" w:hAnsi="黑体" w:eastAsia="黑体" w:cs="黑体"/>
          <w:spacing w:val="3"/>
          <w:sz w:val="31"/>
          <w:szCs w:val="31"/>
          <w:lang w:eastAsia="zh-CN"/>
        </w:rPr>
      </w:pPr>
      <w:r>
        <w:rPr>
          <w:rFonts w:hint="eastAsia" w:ascii="黑体" w:hAnsi="黑体" w:eastAsia="黑体" w:cs="黑体"/>
          <w:spacing w:val="3"/>
          <w:sz w:val="31"/>
          <w:szCs w:val="31"/>
          <w:lang w:eastAsia="zh-CN"/>
        </w:rPr>
        <w:t>五、项目主要经验、存在的问题及建议</w:t>
      </w:r>
    </w:p>
    <w:p>
      <w:pPr>
        <w:keepNext w:val="0"/>
        <w:keepLines w:val="0"/>
        <w:pageBreakBefore w:val="0"/>
        <w:wordWrap/>
        <w:overflowPunct/>
        <w:topLinePunct w:val="0"/>
        <w:bidi w:val="0"/>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为使项目资金发挥实效，进一步提高基础设施建设质量，我公司严格按照绩效目标的要求，在每个建设项目和环节实行专人负责，做到职责分明，任务明确。同时，成立项目建设</w:t>
      </w:r>
      <w:r>
        <w:rPr>
          <w:rFonts w:hint="eastAsia" w:ascii="仿宋" w:hAnsi="仿宋" w:eastAsia="仿宋" w:cs="仿宋"/>
          <w:sz w:val="32"/>
          <w:szCs w:val="32"/>
          <w:lang w:eastAsia="zh-CN"/>
        </w:rPr>
        <w:t>质量、安全领导</w:t>
      </w:r>
      <w:r>
        <w:rPr>
          <w:rFonts w:hint="eastAsia" w:ascii="仿宋" w:hAnsi="仿宋" w:eastAsia="仿宋" w:cs="仿宋"/>
          <w:sz w:val="32"/>
          <w:szCs w:val="32"/>
        </w:rPr>
        <w:t>小组，制定了《项目建设</w:t>
      </w:r>
      <w:r>
        <w:rPr>
          <w:rFonts w:hint="eastAsia" w:ascii="仿宋" w:hAnsi="仿宋" w:eastAsia="仿宋" w:cs="仿宋"/>
          <w:sz w:val="32"/>
          <w:szCs w:val="32"/>
          <w:lang w:eastAsia="zh-CN"/>
        </w:rPr>
        <w:t>质量、安全管理</w:t>
      </w:r>
      <w:r>
        <w:rPr>
          <w:rFonts w:hint="eastAsia" w:ascii="仿宋" w:hAnsi="仿宋" w:eastAsia="仿宋" w:cs="仿宋"/>
          <w:sz w:val="32"/>
          <w:szCs w:val="32"/>
        </w:rPr>
        <w:t>制度》</w:t>
      </w:r>
      <w:r>
        <w:rPr>
          <w:rFonts w:hint="eastAsia" w:ascii="仿宋" w:hAnsi="仿宋" w:eastAsia="仿宋" w:cs="仿宋"/>
          <w:sz w:val="32"/>
          <w:szCs w:val="32"/>
          <w:lang w:eastAsia="zh-CN"/>
        </w:rPr>
        <w:t>等各项管理制度</w:t>
      </w:r>
      <w:r>
        <w:rPr>
          <w:rFonts w:hint="eastAsia" w:ascii="仿宋" w:hAnsi="仿宋" w:eastAsia="仿宋" w:cs="仿宋"/>
          <w:sz w:val="32"/>
          <w:szCs w:val="32"/>
        </w:rPr>
        <w:t>，从经费使用和分配</w:t>
      </w:r>
      <w:r>
        <w:rPr>
          <w:rFonts w:hint="eastAsia" w:ascii="仿宋" w:hAnsi="仿宋" w:eastAsia="仿宋" w:cs="仿宋"/>
          <w:sz w:val="32"/>
          <w:szCs w:val="32"/>
          <w:lang w:eastAsia="zh-CN"/>
        </w:rPr>
        <w:t>，</w:t>
      </w:r>
      <w:r>
        <w:rPr>
          <w:rFonts w:hint="eastAsia" w:ascii="仿宋" w:hAnsi="仿宋" w:eastAsia="仿宋" w:cs="仿宋"/>
          <w:sz w:val="32"/>
          <w:szCs w:val="32"/>
        </w:rPr>
        <w:t>到工程质量</w:t>
      </w:r>
      <w:r>
        <w:rPr>
          <w:rFonts w:hint="eastAsia" w:ascii="仿宋" w:hAnsi="仿宋" w:eastAsia="仿宋" w:cs="仿宋"/>
          <w:sz w:val="32"/>
          <w:szCs w:val="32"/>
          <w:lang w:eastAsia="zh-CN"/>
        </w:rPr>
        <w:t>及安全的建档、监督及管理</w:t>
      </w:r>
      <w:r>
        <w:rPr>
          <w:rFonts w:hint="eastAsia" w:ascii="仿宋" w:hAnsi="仿宋" w:eastAsia="仿宋" w:cs="仿宋"/>
          <w:sz w:val="32"/>
          <w:szCs w:val="32"/>
        </w:rPr>
        <w:t>，实行全程监控，做到公开透明，阳光操作，优质高效的完成各项建设任务。</w:t>
      </w:r>
    </w:p>
    <w:p>
      <w:pPr>
        <w:keepNext w:val="0"/>
        <w:keepLines w:val="0"/>
        <w:pageBreakBefore w:val="0"/>
        <w:wordWrap/>
        <w:overflowPunct/>
        <w:topLinePunct w:val="0"/>
        <w:bidi w:val="0"/>
        <w:spacing w:line="560" w:lineRule="exact"/>
        <w:ind w:firstLine="632" w:firstLineChars="200"/>
        <w:outlineLvl w:val="0"/>
        <w:rPr>
          <w:rFonts w:hint="eastAsia" w:ascii="黑体" w:hAnsi="黑体" w:eastAsia="黑体" w:cs="黑体"/>
          <w:spacing w:val="3"/>
          <w:sz w:val="31"/>
          <w:szCs w:val="31"/>
          <w:lang w:eastAsia="zh-CN"/>
        </w:rPr>
      </w:pPr>
      <w:r>
        <w:rPr>
          <w:rFonts w:hint="eastAsia" w:ascii="黑体" w:hAnsi="黑体" w:eastAsia="黑体" w:cs="黑体"/>
          <w:spacing w:val="3"/>
          <w:sz w:val="31"/>
          <w:szCs w:val="31"/>
          <w:lang w:eastAsia="zh-CN"/>
        </w:rPr>
        <w:t>六、有关建议</w:t>
      </w:r>
    </w:p>
    <w:p>
      <w:pPr>
        <w:keepNext w:val="0"/>
        <w:keepLines w:val="0"/>
        <w:pageBreakBefore w:val="0"/>
        <w:wordWrap/>
        <w:overflowPunct/>
        <w:topLinePunct w:val="0"/>
        <w:bidi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强化预算资金精细化管理，提高预算资金科学性、合理性。</w:t>
      </w:r>
    </w:p>
    <w:p>
      <w:pPr>
        <w:keepNext w:val="0"/>
        <w:keepLines w:val="0"/>
        <w:pageBreakBefore w:val="0"/>
        <w:wordWrap/>
        <w:overflowPunct/>
        <w:topLinePunct w:val="0"/>
        <w:bidi w:val="0"/>
        <w:spacing w:line="560" w:lineRule="exact"/>
        <w:ind w:firstLine="632" w:firstLineChars="200"/>
        <w:outlineLvl w:val="0"/>
        <w:rPr>
          <w:rFonts w:hint="eastAsia" w:ascii="黑体" w:hAnsi="黑体" w:eastAsia="黑体" w:cs="黑体"/>
          <w:spacing w:val="3"/>
          <w:sz w:val="31"/>
          <w:szCs w:val="31"/>
          <w:lang w:eastAsia="zh-CN"/>
        </w:rPr>
      </w:pPr>
      <w:r>
        <w:rPr>
          <w:rFonts w:hint="eastAsia" w:ascii="黑体" w:hAnsi="黑体" w:eastAsia="黑体" w:cs="黑体"/>
          <w:spacing w:val="3"/>
          <w:sz w:val="31"/>
          <w:szCs w:val="31"/>
          <w:lang w:eastAsia="zh-CN"/>
        </w:rPr>
        <w:t>七、其他需要说明的问题</w:t>
      </w:r>
    </w:p>
    <w:p>
      <w:pPr>
        <w:keepNext w:val="0"/>
        <w:keepLines w:val="0"/>
        <w:pageBreakBefore w:val="0"/>
        <w:wordWrap/>
        <w:overflowPunct/>
        <w:topLinePunct w:val="0"/>
        <w:bidi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无。</w:t>
      </w:r>
    </w:p>
    <w:p>
      <w:pPr>
        <w:pStyle w:val="2"/>
        <w:keepNext w:val="0"/>
        <w:keepLines w:val="0"/>
        <w:pageBreakBefore w:val="0"/>
        <w:wordWrap/>
        <w:overflowPunct/>
        <w:topLinePunct w:val="0"/>
        <w:bidi w:val="0"/>
        <w:spacing w:line="560" w:lineRule="exact"/>
        <w:ind w:left="0" w:leftChars="0" w:firstLine="644" w:firstLineChars="200"/>
        <w:rPr>
          <w:rFonts w:ascii="黑体" w:hAnsi="黑体" w:eastAsia="黑体" w:cs="黑体"/>
          <w:spacing w:val="6"/>
          <w:sz w:val="31"/>
          <w:szCs w:val="31"/>
          <w:lang w:eastAsia="zh-CN"/>
        </w:rPr>
      </w:pPr>
      <w:r>
        <w:rPr>
          <w:rFonts w:hint="eastAsia" w:ascii="黑体" w:hAnsi="黑体" w:eastAsia="黑体" w:cs="黑体"/>
          <w:spacing w:val="6"/>
          <w:sz w:val="31"/>
          <w:szCs w:val="31"/>
          <w:lang w:eastAsia="zh-CN"/>
        </w:rPr>
        <w:t>八、附件</w:t>
      </w:r>
    </w:p>
    <w:p>
      <w:pPr>
        <w:pStyle w:val="2"/>
        <w:keepNext w:val="0"/>
        <w:keepLines w:val="0"/>
        <w:pageBreakBefore w:val="0"/>
        <w:wordWrap/>
        <w:overflowPunct/>
        <w:topLinePunct w:val="0"/>
        <w:bidi w:val="0"/>
        <w:spacing w:line="560" w:lineRule="exact"/>
        <w:ind w:left="0" w:leftChars="0" w:firstLine="1272" w:firstLineChars="400"/>
        <w:rPr>
          <w:rFonts w:ascii="仿宋" w:hAnsi="仿宋" w:eastAsia="仿宋" w:cs="仿宋"/>
          <w:spacing w:val="-34"/>
          <w:sz w:val="30"/>
          <w:szCs w:val="30"/>
          <w:lang w:eastAsia="zh-CN"/>
        </w:rPr>
      </w:pPr>
      <w:r>
        <w:rPr>
          <w:rFonts w:hint="eastAsia" w:ascii="仿宋" w:hAnsi="仿宋" w:eastAsia="仿宋" w:cs="仿宋"/>
          <w:spacing w:val="9"/>
          <w:sz w:val="30"/>
          <w:szCs w:val="30"/>
          <w:lang w:eastAsia="zh-CN"/>
        </w:rPr>
        <w:t>2-1、2024年度项目支出绩效自评表</w:t>
      </w: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pStyle w:val="6"/>
        <w:spacing w:line="224" w:lineRule="auto"/>
        <w:rPr>
          <w:spacing w:val="19"/>
          <w:sz w:val="32"/>
          <w:szCs w:val="32"/>
          <w:lang w:eastAsia="zh-CN"/>
        </w:rPr>
      </w:pPr>
      <w:r>
        <w:rPr>
          <w:spacing w:val="19"/>
          <w:sz w:val="32"/>
          <w:szCs w:val="32"/>
          <w:lang w:eastAsia="zh-CN"/>
        </w:rPr>
        <w:t>附件2-1</w:t>
      </w:r>
    </w:p>
    <w:p>
      <w:pPr>
        <w:spacing w:before="151" w:line="221" w:lineRule="auto"/>
        <w:ind w:left="1060"/>
        <w:rPr>
          <w:rFonts w:ascii="方正小标宋简体" w:hAnsi="方正小标宋简体" w:eastAsia="方正小标宋简体" w:cs="方正小标宋简体"/>
          <w:sz w:val="43"/>
          <w:szCs w:val="43"/>
          <w:lang w:eastAsia="zh-CN"/>
        </w:rPr>
      </w:pPr>
      <w:r>
        <w:rPr>
          <w:rFonts w:hint="eastAsia" w:ascii="方正小标宋简体" w:hAnsi="方正小标宋简体" w:eastAsia="方正小标宋简体" w:cs="方正小标宋简体"/>
          <w:spacing w:val="2"/>
          <w:sz w:val="43"/>
          <w:szCs w:val="43"/>
          <w:lang w:eastAsia="zh-CN"/>
        </w:rPr>
        <w:t>2024年度项目支出绩效自评表</w:t>
      </w:r>
    </w:p>
    <w:tbl>
      <w:tblPr>
        <w:tblStyle w:val="11"/>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149"/>
        <w:gridCol w:w="1209"/>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项目支</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出名称</w:t>
            </w:r>
          </w:p>
        </w:tc>
        <w:tc>
          <w:tcPr>
            <w:tcW w:w="8771" w:type="dxa"/>
            <w:gridSpan w:val="8"/>
            <w:vAlign w:val="center"/>
          </w:tcPr>
          <w:p>
            <w:pPr>
              <w:kinsoku/>
              <w:autoSpaceDE/>
              <w:autoSpaceDN/>
              <w:adjustRightInd/>
              <w:snapToGrid/>
              <w:spacing w:line="280" w:lineRule="exact"/>
              <w:jc w:val="center"/>
              <w:textAlignment w:val="auto"/>
              <w:rPr>
                <w:rFonts w:ascii="仿宋" w:hAnsi="仿宋" w:eastAsia="仿宋" w:cs="仿宋"/>
                <w:sz w:val="20"/>
                <w:szCs w:val="20"/>
              </w:rPr>
            </w:pPr>
            <w:bookmarkStart w:id="19" w:name="OLE_LINK5"/>
            <w:bookmarkStart w:id="20" w:name="OLE_LINK6"/>
            <w:r>
              <w:rPr>
                <w:rFonts w:hint="eastAsia" w:ascii="仿宋" w:hAnsi="仿宋" w:eastAsia="仿宋" w:cs="仿宋"/>
                <w:sz w:val="20"/>
                <w:szCs w:val="20"/>
              </w:rPr>
              <w:t>　中方县紫荆路（中方至芷江公路（中方段））道路工程</w:t>
            </w:r>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主管部门</w:t>
            </w:r>
          </w:p>
        </w:tc>
        <w:tc>
          <w:tcPr>
            <w:tcW w:w="4518" w:type="dxa"/>
            <w:gridSpan w:val="4"/>
            <w:vAlign w:val="center"/>
          </w:tcPr>
          <w:p>
            <w:pPr>
              <w:kinsoku/>
              <w:autoSpaceDE/>
              <w:autoSpaceDN/>
              <w:adjustRightInd/>
              <w:snapToGrid/>
              <w:spacing w:line="280" w:lineRule="exact"/>
              <w:textAlignment w:val="auto"/>
              <w:rPr>
                <w:rFonts w:ascii="仿宋" w:hAnsi="仿宋" w:eastAsia="仿宋" w:cs="仿宋"/>
                <w:sz w:val="20"/>
                <w:szCs w:val="20"/>
                <w:lang w:eastAsia="zh-CN"/>
              </w:rPr>
            </w:pPr>
            <w:r>
              <w:rPr>
                <w:rFonts w:hint="eastAsia" w:ascii="仿宋" w:hAnsi="仿宋" w:eastAsia="仿宋" w:cs="仿宋"/>
                <w:sz w:val="20"/>
                <w:szCs w:val="20"/>
              </w:rPr>
              <w:t>　中方县交通运输局</w:t>
            </w:r>
          </w:p>
        </w:tc>
        <w:tc>
          <w:tcPr>
            <w:tcW w:w="1134"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实施单位</w:t>
            </w:r>
          </w:p>
        </w:tc>
        <w:tc>
          <w:tcPr>
            <w:tcW w:w="3119" w:type="dxa"/>
            <w:gridSpan w:val="3"/>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中方县怀芷公路项目建设管理有限公司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项目资金</w:t>
            </w:r>
            <w:r>
              <w:rPr>
                <w:rFonts w:hint="eastAsia" w:ascii="仿宋" w:hAnsi="仿宋" w:eastAsia="仿宋" w:cs="仿宋"/>
                <w:sz w:val="20"/>
                <w:szCs w:val="20"/>
              </w:rPr>
              <w:br w:type="textWrapping"/>
            </w:r>
            <w:r>
              <w:rPr>
                <w:rFonts w:hint="eastAsia" w:ascii="仿宋" w:hAnsi="仿宋" w:eastAsia="仿宋" w:cs="仿宋"/>
                <w:sz w:val="20"/>
                <w:szCs w:val="20"/>
              </w:rPr>
              <w:t>（万元）</w:t>
            </w:r>
          </w:p>
        </w:tc>
        <w:tc>
          <w:tcPr>
            <w:tcW w:w="2160" w:type="dxa"/>
            <w:gridSpan w:val="2"/>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149"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年初</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预算数</w:t>
            </w:r>
          </w:p>
        </w:tc>
        <w:tc>
          <w:tcPr>
            <w:tcW w:w="1209"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全年</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预算数</w:t>
            </w:r>
          </w:p>
        </w:tc>
        <w:tc>
          <w:tcPr>
            <w:tcW w:w="1134"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全年</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执行数</w:t>
            </w:r>
          </w:p>
        </w:tc>
        <w:tc>
          <w:tcPr>
            <w:tcW w:w="828"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执行率</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2160" w:type="dxa"/>
            <w:gridSpan w:val="2"/>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年度资金总额　</w:t>
            </w:r>
          </w:p>
        </w:tc>
        <w:tc>
          <w:tcPr>
            <w:tcW w:w="1149" w:type="dxa"/>
            <w:vAlign w:val="center"/>
          </w:tcPr>
          <w:p>
            <w:pPr>
              <w:kinsoku/>
              <w:autoSpaceDE/>
              <w:adjustRightInd/>
              <w:snapToGrid/>
              <w:spacing w:line="280" w:lineRule="exact"/>
              <w:rPr>
                <w:rFonts w:ascii="仿宋" w:hAnsi="仿宋" w:eastAsia="仿宋" w:cs="仿宋"/>
                <w:kern w:val="2"/>
                <w:sz w:val="20"/>
                <w:szCs w:val="20"/>
                <w:lang w:eastAsia="zh-CN"/>
              </w:rPr>
            </w:pPr>
            <w:r>
              <w:rPr>
                <w:rFonts w:hint="eastAsia" w:ascii="仿宋" w:hAnsi="仿宋" w:eastAsia="仿宋" w:cs="仿宋"/>
                <w:kern w:val="2"/>
                <w:sz w:val="20"/>
                <w:szCs w:val="20"/>
              </w:rPr>
              <w:t>　</w:t>
            </w:r>
            <w:r>
              <w:rPr>
                <w:rFonts w:hint="eastAsia" w:ascii="仿宋" w:hAnsi="仿宋" w:eastAsia="仿宋" w:cs="仿宋"/>
                <w:kern w:val="2"/>
                <w:sz w:val="20"/>
                <w:szCs w:val="20"/>
                <w:lang w:eastAsia="zh-CN"/>
              </w:rPr>
              <w:t>0</w:t>
            </w:r>
          </w:p>
        </w:tc>
        <w:tc>
          <w:tcPr>
            <w:tcW w:w="1209"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eastAsia="zh-CN"/>
              </w:rPr>
              <w:t>400</w:t>
            </w:r>
          </w:p>
        </w:tc>
        <w:tc>
          <w:tcPr>
            <w:tcW w:w="1134"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eastAsia="zh-CN"/>
              </w:rPr>
              <w:t>400</w:t>
            </w:r>
          </w:p>
        </w:tc>
        <w:tc>
          <w:tcPr>
            <w:tcW w:w="828" w:type="dxa"/>
            <w:vAlign w:val="center"/>
          </w:tcPr>
          <w:p>
            <w:pPr>
              <w:kinsoku/>
              <w:autoSpaceDE/>
              <w:adjustRightInd/>
              <w:snapToGrid/>
              <w:spacing w:line="280" w:lineRule="exact"/>
              <w:rPr>
                <w:rFonts w:ascii="仿宋" w:hAnsi="仿宋" w:eastAsia="仿宋" w:cs="仿宋"/>
                <w:kern w:val="2"/>
                <w:sz w:val="20"/>
                <w:szCs w:val="20"/>
              </w:rPr>
            </w:pPr>
            <w:r>
              <w:rPr>
                <w:rFonts w:hint="eastAsia" w:ascii="仿宋" w:hAnsi="仿宋" w:eastAsia="仿宋" w:cs="仿宋"/>
                <w:kern w:val="2"/>
                <w:sz w:val="20"/>
                <w:szCs w:val="20"/>
              </w:rPr>
              <w:t>　10</w:t>
            </w:r>
          </w:p>
        </w:tc>
        <w:tc>
          <w:tcPr>
            <w:tcW w:w="873" w:type="dxa"/>
            <w:vAlign w:val="center"/>
          </w:tcPr>
          <w:p>
            <w:pPr>
              <w:kinsoku/>
              <w:autoSpaceDE/>
              <w:adjustRightInd/>
              <w:snapToGrid/>
              <w:spacing w:line="280" w:lineRule="exact"/>
              <w:rPr>
                <w:rFonts w:ascii="仿宋" w:hAnsi="仿宋" w:eastAsia="仿宋" w:cs="仿宋"/>
                <w:kern w:val="2"/>
                <w:sz w:val="20"/>
                <w:szCs w:val="20"/>
                <w:lang w:eastAsia="zh-CN"/>
              </w:rPr>
            </w:pPr>
            <w:r>
              <w:rPr>
                <w:rFonts w:hint="eastAsia" w:ascii="宋体" w:hAnsi="宋体" w:eastAsia="宋体" w:cs="宋体"/>
                <w:kern w:val="2"/>
                <w:sz w:val="18"/>
                <w:szCs w:val="18"/>
              </w:rPr>
              <w:t>100%</w:t>
            </w:r>
          </w:p>
        </w:tc>
        <w:tc>
          <w:tcPr>
            <w:tcW w:w="1418" w:type="dxa"/>
            <w:vAlign w:val="center"/>
          </w:tcPr>
          <w:p>
            <w:pPr>
              <w:kinsoku/>
              <w:autoSpaceDE/>
              <w:adjustRightInd/>
              <w:snapToGrid/>
              <w:spacing w:line="280" w:lineRule="exact"/>
              <w:jc w:val="center"/>
              <w:rPr>
                <w:rFonts w:hint="default" w:ascii="仿宋" w:hAnsi="仿宋" w:eastAsia="仿宋" w:cs="仿宋"/>
                <w:kern w:val="2"/>
                <w:sz w:val="20"/>
                <w:szCs w:val="20"/>
                <w:lang w:val="en-US" w:eastAsia="zh-CN"/>
              </w:rPr>
            </w:pPr>
            <w:r>
              <w:rPr>
                <w:rFonts w:hint="eastAsia" w:ascii="仿宋" w:hAnsi="仿宋" w:eastAsia="仿宋" w:cs="仿宋"/>
                <w:kern w:val="2"/>
                <w:sz w:val="20"/>
                <w:szCs w:val="20"/>
                <w:lang w:val="en-US" w:eastAsia="zh-CN"/>
              </w:rPr>
              <w:t>10</w:t>
            </w:r>
            <w:bookmarkStart w:id="21" w:name="_GoBack"/>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2160" w:type="dxa"/>
            <w:gridSpan w:val="2"/>
            <w:vAlign w:val="center"/>
          </w:tcPr>
          <w:p>
            <w:pPr>
              <w:kinsoku/>
              <w:autoSpaceDE/>
              <w:autoSpaceDN/>
              <w:adjustRightInd/>
              <w:snapToGrid/>
              <w:spacing w:line="28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其中：当年财政拨款　</w:t>
            </w:r>
          </w:p>
        </w:tc>
        <w:tc>
          <w:tcPr>
            <w:tcW w:w="1149" w:type="dxa"/>
            <w:vAlign w:val="center"/>
          </w:tcPr>
          <w:p>
            <w:pPr>
              <w:kinsoku/>
              <w:autoSpaceDE/>
              <w:autoSpaceDN/>
              <w:adjustRightInd/>
              <w:snapToGrid/>
              <w:spacing w:line="28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c>
          <w:tcPr>
            <w:tcW w:w="1209" w:type="dxa"/>
            <w:vAlign w:val="center"/>
          </w:tcPr>
          <w:p>
            <w:pPr>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400</w:t>
            </w:r>
          </w:p>
        </w:tc>
        <w:tc>
          <w:tcPr>
            <w:tcW w:w="1134" w:type="dxa"/>
            <w:vAlign w:val="center"/>
          </w:tcPr>
          <w:p>
            <w:pPr>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400</w:t>
            </w:r>
          </w:p>
        </w:tc>
        <w:tc>
          <w:tcPr>
            <w:tcW w:w="828" w:type="dxa"/>
            <w:vAlign w:val="center"/>
          </w:tcPr>
          <w:p>
            <w:pPr>
              <w:kinsoku/>
              <w:autoSpaceDE/>
              <w:autoSpaceDN/>
              <w:adjustRightInd/>
              <w:snapToGrid/>
              <w:spacing w:line="28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c>
          <w:tcPr>
            <w:tcW w:w="873" w:type="dxa"/>
            <w:vAlign w:val="center"/>
          </w:tcPr>
          <w:p>
            <w:pPr>
              <w:kinsoku/>
              <w:autoSpaceDE/>
              <w:autoSpaceDN/>
              <w:adjustRightInd/>
              <w:snapToGrid/>
              <w:spacing w:line="28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lang w:eastAsia="zh-CN"/>
              </w:rPr>
            </w:pPr>
          </w:p>
        </w:tc>
        <w:tc>
          <w:tcPr>
            <w:tcW w:w="2160" w:type="dxa"/>
            <w:gridSpan w:val="2"/>
            <w:vAlign w:val="center"/>
          </w:tcPr>
          <w:p>
            <w:pPr>
              <w:kinsoku/>
              <w:autoSpaceDE/>
              <w:autoSpaceDN/>
              <w:adjustRightInd/>
              <w:snapToGrid/>
              <w:spacing w:line="280" w:lineRule="exact"/>
              <w:ind w:firstLine="600" w:firstLineChars="300"/>
              <w:textAlignment w:val="auto"/>
              <w:rPr>
                <w:rFonts w:ascii="仿宋" w:hAnsi="仿宋" w:eastAsia="仿宋" w:cs="仿宋"/>
                <w:sz w:val="20"/>
                <w:szCs w:val="20"/>
              </w:rPr>
            </w:pPr>
            <w:r>
              <w:rPr>
                <w:rFonts w:hint="eastAsia" w:ascii="仿宋" w:hAnsi="仿宋" w:eastAsia="仿宋" w:cs="仿宋"/>
                <w:sz w:val="20"/>
                <w:szCs w:val="20"/>
              </w:rPr>
              <w:t>上年结转资金　</w:t>
            </w:r>
          </w:p>
        </w:tc>
        <w:tc>
          <w:tcPr>
            <w:tcW w:w="1149"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209"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134"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2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73"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2160" w:type="dxa"/>
            <w:gridSpan w:val="2"/>
            <w:vAlign w:val="center"/>
          </w:tcPr>
          <w:p>
            <w:pPr>
              <w:kinsoku/>
              <w:autoSpaceDE/>
              <w:autoSpaceDN/>
              <w:adjustRightInd/>
              <w:snapToGrid/>
              <w:spacing w:line="280" w:lineRule="exact"/>
              <w:ind w:firstLine="600" w:firstLineChars="300"/>
              <w:textAlignment w:val="auto"/>
              <w:rPr>
                <w:rFonts w:ascii="仿宋" w:hAnsi="仿宋" w:eastAsia="仿宋" w:cs="仿宋"/>
                <w:sz w:val="20"/>
                <w:szCs w:val="20"/>
              </w:rPr>
            </w:pPr>
            <w:r>
              <w:rPr>
                <w:rFonts w:hint="eastAsia" w:ascii="仿宋" w:hAnsi="仿宋" w:eastAsia="仿宋" w:cs="仿宋"/>
                <w:sz w:val="20"/>
                <w:szCs w:val="20"/>
              </w:rPr>
              <w:t>其他资金</w:t>
            </w:r>
          </w:p>
        </w:tc>
        <w:tc>
          <w:tcPr>
            <w:tcW w:w="1149"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209"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134"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2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73"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年度总体目标</w:t>
            </w:r>
          </w:p>
        </w:tc>
        <w:tc>
          <w:tcPr>
            <w:tcW w:w="4518" w:type="dxa"/>
            <w:gridSpan w:val="4"/>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预期目标</w:t>
            </w:r>
          </w:p>
        </w:tc>
        <w:tc>
          <w:tcPr>
            <w:tcW w:w="4253" w:type="dxa"/>
            <w:gridSpan w:val="4"/>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4518" w:type="dxa"/>
            <w:gridSpan w:val="4"/>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lang w:eastAsia="zh-CN"/>
              </w:rPr>
              <w:t>为优化区域公路路网结构，构建城镇群快速通道，推动当地资源开发，促进区域经济发展</w:t>
            </w:r>
            <w:r>
              <w:rPr>
                <w:rFonts w:hint="eastAsia" w:ascii="仿宋" w:hAnsi="仿宋" w:eastAsia="仿宋" w:cs="仿宋"/>
                <w:sz w:val="20"/>
                <w:szCs w:val="20"/>
              </w:rPr>
              <w:t>　　</w:t>
            </w:r>
          </w:p>
        </w:tc>
        <w:tc>
          <w:tcPr>
            <w:tcW w:w="4253" w:type="dxa"/>
            <w:gridSpan w:val="4"/>
            <w:vAlign w:val="center"/>
          </w:tcPr>
          <w:p>
            <w:pPr>
              <w:kinsoku/>
              <w:autoSpaceDE/>
              <w:autoSpaceDN/>
              <w:adjustRightInd/>
              <w:snapToGrid/>
              <w:spacing w:line="28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建设中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绩</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效</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指</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标</w:t>
            </w: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一级指标</w:t>
            </w: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二级指标</w:t>
            </w:r>
          </w:p>
        </w:tc>
        <w:tc>
          <w:tcPr>
            <w:tcW w:w="1149"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三级指标</w:t>
            </w:r>
          </w:p>
        </w:tc>
        <w:tc>
          <w:tcPr>
            <w:tcW w:w="1209"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年度</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指标值</w:t>
            </w:r>
          </w:p>
        </w:tc>
        <w:tc>
          <w:tcPr>
            <w:tcW w:w="1134"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实际</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完成值</w:t>
            </w:r>
          </w:p>
        </w:tc>
        <w:tc>
          <w:tcPr>
            <w:tcW w:w="828"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得分</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lang w:eastAsia="zh-CN"/>
              </w:rPr>
            </w:pPr>
          </w:p>
        </w:tc>
        <w:tc>
          <w:tcPr>
            <w:tcW w:w="1080" w:type="dxa"/>
            <w:vMerge w:val="restart"/>
            <w:vAlign w:val="center"/>
          </w:tcPr>
          <w:p>
            <w:pPr>
              <w:tabs>
                <w:tab w:val="left" w:pos="309"/>
              </w:tabs>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成本指标</w:t>
            </w:r>
          </w:p>
          <w:p>
            <w:pPr>
              <w:tabs>
                <w:tab w:val="left" w:pos="309"/>
              </w:tabs>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（20分）</w:t>
            </w:r>
          </w:p>
        </w:tc>
        <w:tc>
          <w:tcPr>
            <w:tcW w:w="1080" w:type="dxa"/>
            <w:shd w:val="clear" w:color="auto" w:fill="auto"/>
          </w:tcPr>
          <w:p>
            <w:pPr>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rPr>
              <w:t>经济成本指标</w:t>
            </w:r>
          </w:p>
        </w:tc>
        <w:tc>
          <w:tcPr>
            <w:tcW w:w="1149" w:type="dxa"/>
            <w:vAlign w:val="center"/>
          </w:tcPr>
          <w:p>
            <w:pPr>
              <w:keepNext w:val="0"/>
              <w:keepLines w:val="0"/>
              <w:pageBreakBefore w:val="0"/>
              <w:widowControl/>
              <w:wordWrap/>
              <w:overflowPunct/>
              <w:bidi w:val="0"/>
              <w:spacing w:after="0" w:line="240" w:lineRule="exact"/>
              <w:rPr>
                <w:rFonts w:ascii="仿宋" w:hAnsi="仿宋" w:eastAsia="仿宋" w:cs="仿宋"/>
                <w:sz w:val="20"/>
                <w:szCs w:val="20"/>
              </w:rPr>
            </w:pPr>
            <w:r>
              <w:rPr>
                <w:rFonts w:hint="eastAsia" w:ascii="仿宋" w:hAnsi="仿宋" w:eastAsia="仿宋" w:cs="仿宋"/>
                <w:sz w:val="18"/>
                <w:szCs w:val="18"/>
                <w:lang w:val="en-US" w:eastAsia="zh-CN"/>
              </w:rPr>
              <w:t>项目成本</w:t>
            </w:r>
          </w:p>
        </w:tc>
        <w:tc>
          <w:tcPr>
            <w:tcW w:w="120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仿宋" w:hAnsi="仿宋" w:eastAsia="仿宋" w:cs="仿宋"/>
                <w:sz w:val="18"/>
                <w:szCs w:val="18"/>
                <w:lang w:val="en-US" w:eastAsia="zh-CN"/>
              </w:rPr>
              <w:t>≤400万元</w:t>
            </w:r>
          </w:p>
        </w:tc>
        <w:tc>
          <w:tcPr>
            <w:tcW w:w="1134"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400万元</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10</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continue"/>
            <w:vAlign w:val="center"/>
          </w:tcPr>
          <w:p>
            <w:pPr>
              <w:kinsoku/>
              <w:autoSpaceDE/>
              <w:autoSpaceDN/>
              <w:adjustRightInd/>
              <w:snapToGrid/>
              <w:spacing w:line="280" w:lineRule="exact"/>
              <w:jc w:val="center"/>
              <w:textAlignment w:val="auto"/>
              <w:rPr>
                <w:rFonts w:ascii="仿宋" w:hAnsi="仿宋" w:eastAsia="仿宋" w:cs="仿宋"/>
                <w:sz w:val="20"/>
                <w:szCs w:val="20"/>
                <w:lang w:eastAsia="zh-CN"/>
              </w:rPr>
            </w:pPr>
          </w:p>
        </w:tc>
        <w:tc>
          <w:tcPr>
            <w:tcW w:w="1080" w:type="dxa"/>
            <w:shd w:val="clear" w:color="auto" w:fill="auto"/>
          </w:tcPr>
          <w:p>
            <w:pPr>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rPr>
              <w:t>社会成本指标</w:t>
            </w:r>
          </w:p>
        </w:tc>
        <w:tc>
          <w:tcPr>
            <w:tcW w:w="114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社会成本节约率</w:t>
            </w:r>
          </w:p>
        </w:tc>
        <w:tc>
          <w:tcPr>
            <w:tcW w:w="120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ascii="仿宋" w:hAnsi="仿宋" w:eastAsia="仿宋" w:cs="仿宋"/>
                <w:kern w:val="2"/>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1134"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ascii="仿宋" w:hAnsi="仿宋" w:eastAsia="仿宋" w:cs="仿宋"/>
                <w:kern w:val="2"/>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828"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873"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continue"/>
            <w:vAlign w:val="center"/>
          </w:tcPr>
          <w:p>
            <w:pPr>
              <w:kinsoku/>
              <w:autoSpaceDE/>
              <w:autoSpaceDN/>
              <w:adjustRightInd/>
              <w:snapToGrid/>
              <w:spacing w:line="280" w:lineRule="exact"/>
              <w:jc w:val="center"/>
              <w:textAlignment w:val="auto"/>
              <w:rPr>
                <w:rFonts w:ascii="仿宋" w:hAnsi="仿宋" w:eastAsia="仿宋" w:cs="仿宋"/>
                <w:sz w:val="20"/>
                <w:szCs w:val="20"/>
                <w:lang w:eastAsia="zh-CN"/>
              </w:rPr>
            </w:pPr>
          </w:p>
        </w:tc>
        <w:tc>
          <w:tcPr>
            <w:tcW w:w="1080" w:type="dxa"/>
            <w:shd w:val="clear" w:color="auto" w:fill="auto"/>
          </w:tcPr>
          <w:p>
            <w:pPr>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rPr>
              <w:t>生态环境成本指标</w:t>
            </w:r>
          </w:p>
        </w:tc>
        <w:tc>
          <w:tcPr>
            <w:tcW w:w="114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生态环境成本节约率</w:t>
            </w:r>
          </w:p>
        </w:tc>
        <w:tc>
          <w:tcPr>
            <w:tcW w:w="120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1134"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828"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873"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restart"/>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产出指标</w:t>
            </w:r>
          </w:p>
          <w:p>
            <w:pPr>
              <w:kinsoku/>
              <w:autoSpaceDE/>
              <w:autoSpaceDN/>
              <w:adjustRightInd/>
              <w:snapToGrid/>
              <w:spacing w:line="28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（3</w:t>
            </w:r>
            <w:r>
              <w:rPr>
                <w:rFonts w:hint="eastAsia" w:ascii="仿宋" w:hAnsi="仿宋" w:eastAsia="仿宋" w:cs="仿宋"/>
                <w:sz w:val="20"/>
                <w:szCs w:val="20"/>
              </w:rPr>
              <w:t>0分</w:t>
            </w:r>
            <w:r>
              <w:rPr>
                <w:rFonts w:hint="eastAsia" w:ascii="仿宋" w:hAnsi="仿宋" w:eastAsia="仿宋" w:cs="仿宋"/>
                <w:sz w:val="20"/>
                <w:szCs w:val="20"/>
                <w:lang w:eastAsia="zh-CN"/>
              </w:rPr>
              <w:t>）</w:t>
            </w: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数量指标</w:t>
            </w:r>
          </w:p>
        </w:tc>
        <w:tc>
          <w:tcPr>
            <w:tcW w:w="1149" w:type="dxa"/>
            <w:vAlign w:val="center"/>
          </w:tcPr>
          <w:p>
            <w:pPr>
              <w:keepNext w:val="0"/>
              <w:keepLines w:val="0"/>
              <w:pageBreakBefore w:val="0"/>
              <w:widowControl/>
              <w:wordWrap/>
              <w:overflowPunct/>
              <w:bidi w:val="0"/>
              <w:spacing w:after="0" w:line="240" w:lineRule="exact"/>
              <w:rPr>
                <w:rFonts w:ascii="仿宋" w:hAnsi="仿宋" w:eastAsia="仿宋" w:cs="仿宋"/>
                <w:kern w:val="2"/>
                <w:sz w:val="20"/>
                <w:szCs w:val="20"/>
                <w:lang w:eastAsia="zh-CN"/>
              </w:rPr>
            </w:pPr>
            <w:r>
              <w:rPr>
                <w:rFonts w:hint="eastAsia" w:ascii="仿宋" w:hAnsi="仿宋" w:eastAsia="仿宋" w:cs="仿宋"/>
                <w:sz w:val="18"/>
                <w:szCs w:val="18"/>
                <w:lang w:eastAsia="zh-CN"/>
              </w:rPr>
              <w:t>工程建设</w:t>
            </w:r>
          </w:p>
        </w:tc>
        <w:tc>
          <w:tcPr>
            <w:tcW w:w="1209"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≥1个</w:t>
            </w:r>
          </w:p>
        </w:tc>
        <w:tc>
          <w:tcPr>
            <w:tcW w:w="1134"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1个</w:t>
            </w:r>
          </w:p>
        </w:tc>
        <w:tc>
          <w:tcPr>
            <w:tcW w:w="828"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宋体" w:hAnsi="宋体" w:eastAsia="宋体" w:cs="宋体"/>
                <w:color w:val="000000"/>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宋体" w:hAnsi="宋体" w:eastAsia="宋体" w:cs="宋体"/>
                <w:color w:val="000000"/>
                <w:sz w:val="16"/>
                <w:szCs w:val="16"/>
              </w:rPr>
              <w:t>10</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质量指标</w:t>
            </w:r>
          </w:p>
        </w:tc>
        <w:tc>
          <w:tcPr>
            <w:tcW w:w="1149" w:type="dxa"/>
            <w:vAlign w:val="center"/>
          </w:tcPr>
          <w:p>
            <w:pPr>
              <w:keepNext w:val="0"/>
              <w:keepLines w:val="0"/>
              <w:pageBreakBefore w:val="0"/>
              <w:widowControl/>
              <w:wordWrap/>
              <w:overflowPunct/>
              <w:bidi w:val="0"/>
              <w:spacing w:after="0" w:line="240" w:lineRule="exact"/>
              <w:rPr>
                <w:rFonts w:ascii="仿宋" w:hAnsi="仿宋" w:eastAsia="仿宋" w:cs="仿宋"/>
                <w:kern w:val="2"/>
                <w:sz w:val="20"/>
                <w:szCs w:val="20"/>
              </w:rPr>
            </w:pPr>
            <w:r>
              <w:rPr>
                <w:rFonts w:hint="eastAsia" w:ascii="仿宋" w:hAnsi="仿宋" w:eastAsia="仿宋" w:cs="仿宋"/>
                <w:sz w:val="18"/>
                <w:szCs w:val="18"/>
                <w:lang w:eastAsia="zh-CN"/>
              </w:rPr>
              <w:t>验收合格率</w:t>
            </w:r>
          </w:p>
        </w:tc>
        <w:tc>
          <w:tcPr>
            <w:tcW w:w="1209"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rPr>
            </w:pPr>
            <w:r>
              <w:rPr>
                <w:rFonts w:hint="eastAsia" w:ascii="宋体" w:hAnsi="宋体" w:eastAsia="宋体" w:cs="宋体"/>
                <w:color w:val="000000"/>
                <w:sz w:val="16"/>
                <w:szCs w:val="16"/>
                <w:lang w:val="en-US" w:eastAsia="zh-CN"/>
              </w:rPr>
              <w:t>=</w:t>
            </w:r>
            <w:r>
              <w:rPr>
                <w:rFonts w:hint="eastAsia" w:ascii="宋体" w:hAnsi="宋体" w:eastAsia="宋体" w:cs="宋体"/>
                <w:color w:val="000000"/>
                <w:sz w:val="16"/>
                <w:szCs w:val="16"/>
              </w:rPr>
              <w:t>100%</w:t>
            </w:r>
          </w:p>
        </w:tc>
        <w:tc>
          <w:tcPr>
            <w:tcW w:w="1134"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rPr>
            </w:pPr>
            <w:r>
              <w:rPr>
                <w:rFonts w:hint="eastAsia" w:ascii="宋体" w:hAnsi="宋体" w:eastAsia="宋体" w:cs="宋体"/>
                <w:color w:val="000000"/>
                <w:sz w:val="16"/>
                <w:szCs w:val="16"/>
              </w:rPr>
              <w:t>100%</w:t>
            </w:r>
          </w:p>
        </w:tc>
        <w:tc>
          <w:tcPr>
            <w:tcW w:w="828"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宋体" w:hAnsi="宋体" w:eastAsia="宋体" w:cs="宋体"/>
                <w:color w:val="000000"/>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宋体" w:hAnsi="宋体" w:eastAsia="宋体" w:cs="宋体"/>
                <w:color w:val="000000"/>
                <w:sz w:val="16"/>
                <w:szCs w:val="16"/>
              </w:rPr>
              <w:t>10</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时效指标</w:t>
            </w:r>
          </w:p>
        </w:tc>
        <w:tc>
          <w:tcPr>
            <w:tcW w:w="1149" w:type="dxa"/>
            <w:vAlign w:val="center"/>
          </w:tcPr>
          <w:p>
            <w:pPr>
              <w:keepNext w:val="0"/>
              <w:keepLines w:val="0"/>
              <w:pageBreakBefore w:val="0"/>
              <w:widowControl/>
              <w:wordWrap/>
              <w:overflowPunct/>
              <w:bidi w:val="0"/>
              <w:spacing w:after="0" w:line="240" w:lineRule="exact"/>
              <w:rPr>
                <w:rFonts w:ascii="仿宋" w:hAnsi="仿宋" w:eastAsia="仿宋" w:cs="仿宋"/>
                <w:kern w:val="2"/>
                <w:sz w:val="20"/>
                <w:szCs w:val="20"/>
              </w:rPr>
            </w:pPr>
            <w:r>
              <w:rPr>
                <w:rFonts w:hint="eastAsia"/>
                <w:color w:val="000000"/>
                <w:kern w:val="0"/>
                <w:sz w:val="16"/>
                <w:szCs w:val="16"/>
              </w:rPr>
              <w:t>年度内完成</w:t>
            </w:r>
          </w:p>
        </w:tc>
        <w:tc>
          <w:tcPr>
            <w:tcW w:w="1209"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rPr>
            </w:pPr>
            <w:r>
              <w:rPr>
                <w:rFonts w:hint="eastAsia" w:ascii="宋体" w:hAnsi="宋体" w:eastAsia="宋体" w:cs="宋体"/>
                <w:sz w:val="16"/>
                <w:szCs w:val="16"/>
                <w:lang w:val="en-US" w:eastAsia="zh-CN"/>
              </w:rPr>
              <w:t>按进度完成</w:t>
            </w:r>
          </w:p>
        </w:tc>
        <w:tc>
          <w:tcPr>
            <w:tcW w:w="1134"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rPr>
            </w:pPr>
            <w:r>
              <w:rPr>
                <w:rFonts w:hint="eastAsia" w:ascii="宋体" w:hAnsi="宋体" w:eastAsia="宋体" w:cs="宋体"/>
                <w:sz w:val="16"/>
                <w:szCs w:val="16"/>
                <w:lang w:val="en-US" w:eastAsia="zh-CN"/>
              </w:rPr>
              <w:t>按进度完成</w:t>
            </w:r>
          </w:p>
        </w:tc>
        <w:tc>
          <w:tcPr>
            <w:tcW w:w="828"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宋体" w:hAnsi="宋体" w:eastAsia="宋体" w:cs="宋体"/>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ascii="仿宋" w:hAnsi="仿宋" w:eastAsia="仿宋" w:cs="仿宋"/>
                <w:kern w:val="2"/>
                <w:sz w:val="20"/>
                <w:szCs w:val="20"/>
                <w:lang w:eastAsia="zh-CN"/>
              </w:rPr>
            </w:pPr>
            <w:r>
              <w:rPr>
                <w:rFonts w:hint="eastAsia" w:ascii="宋体" w:hAnsi="宋体" w:eastAsia="宋体" w:cs="宋体"/>
                <w:sz w:val="16"/>
                <w:szCs w:val="16"/>
              </w:rPr>
              <w:t>10</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restart"/>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效益指标</w:t>
            </w:r>
          </w:p>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w:t>
            </w:r>
            <w:r>
              <w:rPr>
                <w:rFonts w:hint="eastAsia" w:ascii="仿宋" w:hAnsi="仿宋" w:eastAsia="仿宋" w:cs="仿宋"/>
                <w:sz w:val="20"/>
                <w:szCs w:val="20"/>
                <w:lang w:val="en-US" w:eastAsia="zh-CN"/>
              </w:rPr>
              <w:t>3</w:t>
            </w:r>
            <w:r>
              <w:rPr>
                <w:rFonts w:hint="eastAsia" w:ascii="仿宋" w:hAnsi="仿宋" w:eastAsia="仿宋" w:cs="仿宋"/>
                <w:sz w:val="20"/>
                <w:szCs w:val="20"/>
              </w:rPr>
              <w:t>0分）</w:t>
            </w: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经济效</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益指标</w:t>
            </w:r>
          </w:p>
        </w:tc>
        <w:tc>
          <w:tcPr>
            <w:tcW w:w="1149" w:type="dxa"/>
            <w:vAlign w:val="center"/>
          </w:tcPr>
          <w:p>
            <w:pPr>
              <w:kinsoku/>
              <w:autoSpaceDE/>
              <w:adjustRightInd/>
              <w:snapToGrid/>
              <w:spacing w:line="280" w:lineRule="exact"/>
              <w:rPr>
                <w:rFonts w:ascii="仿宋" w:hAnsi="仿宋" w:eastAsia="仿宋" w:cs="仿宋"/>
                <w:kern w:val="2"/>
                <w:sz w:val="20"/>
                <w:szCs w:val="20"/>
              </w:rPr>
            </w:pPr>
            <w:r>
              <w:rPr>
                <w:rFonts w:hint="eastAsia" w:ascii="仿宋" w:hAnsi="仿宋" w:eastAsia="仿宋" w:cs="仿宋"/>
                <w:sz w:val="18"/>
                <w:szCs w:val="18"/>
              </w:rPr>
              <w:t>建设总里程</w:t>
            </w:r>
          </w:p>
        </w:tc>
        <w:tc>
          <w:tcPr>
            <w:tcW w:w="1209" w:type="dxa"/>
            <w:vAlign w:val="center"/>
          </w:tcPr>
          <w:p>
            <w:pPr>
              <w:kinsoku/>
              <w:autoSpaceDE/>
              <w:adjustRightInd/>
              <w:snapToGrid/>
              <w:spacing w:line="280" w:lineRule="exact"/>
              <w:jc w:val="center"/>
              <w:rPr>
                <w:rFonts w:ascii="仿宋" w:hAnsi="仿宋" w:eastAsia="仿宋" w:cs="仿宋"/>
                <w:kern w:val="2"/>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w:t>
            </w:r>
            <w:r>
              <w:rPr>
                <w:rFonts w:hint="eastAsia" w:ascii="仿宋" w:hAnsi="仿宋" w:eastAsia="仿宋" w:cs="仿宋"/>
                <w:sz w:val="20"/>
                <w:szCs w:val="20"/>
              </w:rPr>
              <w:t>7.104公里</w:t>
            </w:r>
          </w:p>
        </w:tc>
        <w:tc>
          <w:tcPr>
            <w:tcW w:w="1134" w:type="dxa"/>
            <w:vAlign w:val="center"/>
          </w:tcPr>
          <w:p>
            <w:pPr>
              <w:kinsoku/>
              <w:autoSpaceDE/>
              <w:adjustRightInd/>
              <w:snapToGrid/>
              <w:spacing w:line="280" w:lineRule="exact"/>
              <w:jc w:val="center"/>
              <w:rPr>
                <w:rFonts w:ascii="仿宋" w:hAnsi="仿宋" w:eastAsia="仿宋" w:cs="仿宋"/>
                <w:kern w:val="2"/>
                <w:sz w:val="20"/>
                <w:szCs w:val="20"/>
              </w:rPr>
            </w:pPr>
            <w:r>
              <w:rPr>
                <w:rFonts w:hint="eastAsia" w:ascii="仿宋" w:hAnsi="仿宋" w:eastAsia="仿宋" w:cs="仿宋"/>
                <w:sz w:val="20"/>
                <w:szCs w:val="20"/>
              </w:rPr>
              <w:t>7.104公里</w:t>
            </w:r>
          </w:p>
        </w:tc>
        <w:tc>
          <w:tcPr>
            <w:tcW w:w="828"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8</w:t>
            </w:r>
          </w:p>
        </w:tc>
        <w:tc>
          <w:tcPr>
            <w:tcW w:w="873"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8</w:t>
            </w:r>
          </w:p>
        </w:tc>
        <w:tc>
          <w:tcPr>
            <w:tcW w:w="1418" w:type="dxa"/>
            <w:vAlign w:val="center"/>
          </w:tcPr>
          <w:p>
            <w:pPr>
              <w:kinsoku/>
              <w:autoSpaceDE/>
              <w:autoSpaceDN/>
              <w:adjustRightInd/>
              <w:snapToGrid/>
              <w:spacing w:line="28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社会效</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益指标</w:t>
            </w:r>
          </w:p>
        </w:tc>
        <w:tc>
          <w:tcPr>
            <w:tcW w:w="1149" w:type="dxa"/>
            <w:vAlign w:val="center"/>
          </w:tcPr>
          <w:p>
            <w:pPr>
              <w:kinsoku/>
              <w:autoSpaceDE/>
              <w:adjustRightInd/>
              <w:snapToGrid/>
              <w:spacing w:line="280" w:lineRule="exact"/>
              <w:rPr>
                <w:rFonts w:ascii="仿宋" w:hAnsi="仿宋" w:eastAsia="仿宋" w:cs="仿宋"/>
                <w:kern w:val="2"/>
                <w:sz w:val="20"/>
                <w:szCs w:val="20"/>
              </w:rPr>
            </w:pPr>
            <w:r>
              <w:rPr>
                <w:rFonts w:hint="eastAsia" w:ascii="仿宋" w:hAnsi="仿宋" w:eastAsia="仿宋" w:cs="仿宋"/>
                <w:bCs/>
                <w:color w:val="000000" w:themeColor="text1"/>
                <w:spacing w:val="-4"/>
                <w:kern w:val="2"/>
                <w:sz w:val="18"/>
                <w:szCs w:val="18"/>
              </w:rPr>
              <w:t>增加行车安全减少事故</w:t>
            </w:r>
          </w:p>
        </w:tc>
        <w:tc>
          <w:tcPr>
            <w:tcW w:w="1209" w:type="dxa"/>
            <w:vAlign w:val="center"/>
          </w:tcPr>
          <w:p>
            <w:pPr>
              <w:kinsoku/>
              <w:autoSpaceDE/>
              <w:adjustRightInd/>
              <w:snapToGrid/>
              <w:spacing w:line="280" w:lineRule="exact"/>
              <w:jc w:val="center"/>
              <w:rPr>
                <w:rFonts w:ascii="仿宋" w:hAnsi="仿宋" w:eastAsia="仿宋" w:cs="仿宋"/>
                <w:kern w:val="2"/>
                <w:sz w:val="20"/>
                <w:szCs w:val="20"/>
              </w:rPr>
            </w:pPr>
            <w:r>
              <w:rPr>
                <w:rFonts w:hint="eastAsia" w:ascii="仿宋" w:hAnsi="仿宋" w:eastAsia="仿宋" w:cs="仿宋"/>
                <w:kern w:val="2"/>
                <w:sz w:val="20"/>
                <w:szCs w:val="20"/>
                <w:lang w:eastAsia="zh-CN"/>
              </w:rPr>
              <w:t>效果明显</w:t>
            </w:r>
          </w:p>
        </w:tc>
        <w:tc>
          <w:tcPr>
            <w:tcW w:w="1134" w:type="dxa"/>
            <w:vAlign w:val="center"/>
          </w:tcPr>
          <w:p>
            <w:pPr>
              <w:kinsoku/>
              <w:autoSpaceDE/>
              <w:adjustRightInd/>
              <w:snapToGrid/>
              <w:spacing w:line="280" w:lineRule="exact"/>
              <w:jc w:val="center"/>
              <w:rPr>
                <w:rFonts w:ascii="仿宋" w:hAnsi="仿宋" w:eastAsia="仿宋" w:cs="仿宋"/>
                <w:kern w:val="2"/>
                <w:sz w:val="20"/>
                <w:szCs w:val="20"/>
              </w:rPr>
            </w:pPr>
            <w:r>
              <w:rPr>
                <w:rFonts w:hint="eastAsia" w:ascii="仿宋" w:hAnsi="仿宋" w:eastAsia="仿宋" w:cs="仿宋"/>
                <w:kern w:val="2"/>
                <w:sz w:val="20"/>
                <w:szCs w:val="20"/>
                <w:lang w:eastAsia="zh-CN"/>
              </w:rPr>
              <w:t>效果明显</w:t>
            </w:r>
          </w:p>
        </w:tc>
        <w:tc>
          <w:tcPr>
            <w:tcW w:w="828"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8</w:t>
            </w:r>
          </w:p>
        </w:tc>
        <w:tc>
          <w:tcPr>
            <w:tcW w:w="873"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6</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生态效</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益指标</w:t>
            </w:r>
          </w:p>
        </w:tc>
        <w:tc>
          <w:tcPr>
            <w:tcW w:w="1149" w:type="dxa"/>
            <w:vAlign w:val="center"/>
          </w:tcPr>
          <w:p>
            <w:pPr>
              <w:kinsoku/>
              <w:autoSpaceDE/>
              <w:adjustRightInd/>
              <w:snapToGrid/>
              <w:spacing w:line="280" w:lineRule="exact"/>
              <w:rPr>
                <w:rFonts w:ascii="仿宋" w:hAnsi="仿宋" w:eastAsia="仿宋" w:cs="仿宋"/>
                <w:kern w:val="2"/>
                <w:sz w:val="20"/>
                <w:szCs w:val="20"/>
              </w:rPr>
            </w:pPr>
            <w:r>
              <w:rPr>
                <w:rFonts w:hint="eastAsia" w:ascii="仿宋" w:hAnsi="仿宋" w:eastAsia="仿宋" w:cs="仿宋"/>
                <w:sz w:val="20"/>
                <w:szCs w:val="20"/>
                <w:lang w:val="en-US" w:eastAsia="zh-CN"/>
              </w:rPr>
              <w:t>周围环境有效改善</w:t>
            </w:r>
          </w:p>
        </w:tc>
        <w:tc>
          <w:tcPr>
            <w:tcW w:w="1209" w:type="dxa"/>
            <w:vAlign w:val="center"/>
          </w:tcPr>
          <w:p>
            <w:pPr>
              <w:kinsoku/>
              <w:autoSpaceDE/>
              <w:adjustRightInd/>
              <w:snapToGrid/>
              <w:spacing w:line="280" w:lineRule="exact"/>
              <w:jc w:val="center"/>
              <w:rPr>
                <w:rFonts w:hint="eastAsia" w:ascii="仿宋" w:hAnsi="仿宋" w:eastAsia="仿宋" w:cs="仿宋"/>
                <w:kern w:val="2"/>
                <w:sz w:val="20"/>
                <w:szCs w:val="20"/>
                <w:lang w:eastAsia="zh-CN"/>
              </w:rPr>
            </w:pPr>
            <w:r>
              <w:rPr>
                <w:rFonts w:hint="eastAsia" w:ascii="仿宋" w:hAnsi="仿宋" w:eastAsia="仿宋" w:cs="仿宋"/>
                <w:kern w:val="2"/>
                <w:sz w:val="20"/>
                <w:szCs w:val="20"/>
                <w:lang w:eastAsia="zh-CN"/>
              </w:rPr>
              <w:t>效果明显</w:t>
            </w:r>
          </w:p>
        </w:tc>
        <w:tc>
          <w:tcPr>
            <w:tcW w:w="1134" w:type="dxa"/>
            <w:vAlign w:val="center"/>
          </w:tcPr>
          <w:p>
            <w:pPr>
              <w:kinsoku/>
              <w:autoSpaceDE/>
              <w:adjustRightInd/>
              <w:snapToGrid/>
              <w:spacing w:line="280" w:lineRule="exact"/>
              <w:jc w:val="center"/>
              <w:rPr>
                <w:rFonts w:hint="eastAsia" w:ascii="仿宋" w:hAnsi="仿宋" w:eastAsia="仿宋" w:cs="仿宋"/>
                <w:kern w:val="2"/>
                <w:sz w:val="20"/>
                <w:szCs w:val="20"/>
                <w:lang w:eastAsia="zh-CN"/>
              </w:rPr>
            </w:pPr>
            <w:r>
              <w:rPr>
                <w:rFonts w:hint="eastAsia" w:ascii="仿宋" w:hAnsi="仿宋" w:eastAsia="仿宋" w:cs="仿宋"/>
                <w:kern w:val="2"/>
                <w:sz w:val="20"/>
                <w:szCs w:val="20"/>
                <w:lang w:eastAsia="zh-CN"/>
              </w:rPr>
              <w:t>效果明显</w:t>
            </w:r>
          </w:p>
        </w:tc>
        <w:tc>
          <w:tcPr>
            <w:tcW w:w="828"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8</w:t>
            </w:r>
          </w:p>
        </w:tc>
        <w:tc>
          <w:tcPr>
            <w:tcW w:w="873"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8</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jc w:val="center"/>
              <w:textAlignment w:val="auto"/>
              <w:rPr>
                <w:rFonts w:ascii="仿宋" w:hAnsi="仿宋" w:eastAsia="仿宋" w:cs="仿宋"/>
                <w:sz w:val="20"/>
                <w:szCs w:val="20"/>
              </w:rPr>
            </w:pPr>
          </w:p>
        </w:tc>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可持续影响指标</w:t>
            </w:r>
          </w:p>
        </w:tc>
        <w:tc>
          <w:tcPr>
            <w:tcW w:w="1149" w:type="dxa"/>
            <w:vAlign w:val="center"/>
          </w:tcPr>
          <w:p>
            <w:pPr>
              <w:kinsoku/>
              <w:autoSpaceDE/>
              <w:adjustRightInd/>
              <w:snapToGrid/>
              <w:spacing w:line="280" w:lineRule="exact"/>
              <w:rPr>
                <w:rFonts w:ascii="仿宋" w:hAnsi="仿宋" w:eastAsia="仿宋" w:cs="仿宋"/>
                <w:kern w:val="2"/>
                <w:sz w:val="20"/>
                <w:szCs w:val="20"/>
              </w:rPr>
            </w:pPr>
            <w:r>
              <w:rPr>
                <w:rFonts w:hint="eastAsia" w:ascii="仿宋" w:hAnsi="仿宋" w:eastAsia="仿宋" w:cs="仿宋"/>
                <w:bCs/>
                <w:color w:val="000000" w:themeColor="text1"/>
                <w:spacing w:val="-4"/>
                <w:kern w:val="2"/>
                <w:sz w:val="18"/>
                <w:szCs w:val="18"/>
              </w:rPr>
              <w:t>优化推动区域经济和社会发展</w:t>
            </w:r>
          </w:p>
        </w:tc>
        <w:tc>
          <w:tcPr>
            <w:tcW w:w="1209" w:type="dxa"/>
            <w:vAlign w:val="center"/>
          </w:tcPr>
          <w:p>
            <w:pPr>
              <w:kinsoku/>
              <w:autoSpaceDE/>
              <w:adjustRightInd/>
              <w:snapToGrid/>
              <w:spacing w:line="280" w:lineRule="exact"/>
              <w:jc w:val="center"/>
              <w:rPr>
                <w:rFonts w:ascii="仿宋" w:hAnsi="仿宋" w:eastAsia="仿宋" w:cs="仿宋"/>
                <w:kern w:val="2"/>
                <w:sz w:val="20"/>
                <w:szCs w:val="20"/>
              </w:rPr>
            </w:pPr>
            <w:r>
              <w:rPr>
                <w:rFonts w:hint="eastAsia" w:ascii="仿宋" w:hAnsi="仿宋" w:eastAsia="仿宋" w:cs="仿宋"/>
                <w:kern w:val="2"/>
                <w:sz w:val="20"/>
                <w:szCs w:val="20"/>
                <w:lang w:eastAsia="zh-CN"/>
              </w:rPr>
              <w:t>效果明显</w:t>
            </w:r>
          </w:p>
        </w:tc>
        <w:tc>
          <w:tcPr>
            <w:tcW w:w="1134" w:type="dxa"/>
            <w:vAlign w:val="center"/>
          </w:tcPr>
          <w:p>
            <w:pPr>
              <w:kinsoku/>
              <w:autoSpaceDE/>
              <w:adjustRightInd/>
              <w:snapToGrid/>
              <w:spacing w:line="280" w:lineRule="exact"/>
              <w:jc w:val="center"/>
              <w:rPr>
                <w:rFonts w:ascii="仿宋" w:hAnsi="仿宋" w:eastAsia="仿宋" w:cs="仿宋"/>
                <w:kern w:val="2"/>
                <w:sz w:val="20"/>
                <w:szCs w:val="20"/>
              </w:rPr>
            </w:pPr>
            <w:r>
              <w:rPr>
                <w:rFonts w:hint="eastAsia" w:ascii="仿宋" w:hAnsi="仿宋" w:eastAsia="仿宋" w:cs="仿宋"/>
                <w:kern w:val="2"/>
                <w:sz w:val="20"/>
                <w:szCs w:val="20"/>
                <w:lang w:eastAsia="zh-CN"/>
              </w:rPr>
              <w:t>效果明显</w:t>
            </w:r>
          </w:p>
        </w:tc>
        <w:tc>
          <w:tcPr>
            <w:tcW w:w="828"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6</w:t>
            </w:r>
          </w:p>
        </w:tc>
        <w:tc>
          <w:tcPr>
            <w:tcW w:w="873" w:type="dxa"/>
            <w:vAlign w:val="center"/>
          </w:tcPr>
          <w:p>
            <w:pPr>
              <w:kinsoku/>
              <w:autoSpaceDE/>
              <w:adjustRightInd/>
              <w:snapToGrid/>
              <w:spacing w:line="280" w:lineRule="exact"/>
              <w:jc w:val="center"/>
              <w:rPr>
                <w:rFonts w:ascii="仿宋" w:hAnsi="仿宋" w:eastAsia="仿宋" w:cs="仿宋"/>
                <w:kern w:val="2"/>
                <w:sz w:val="20"/>
                <w:szCs w:val="20"/>
                <w:lang w:eastAsia="zh-CN"/>
              </w:rPr>
            </w:pPr>
            <w:r>
              <w:rPr>
                <w:rFonts w:hint="eastAsia" w:ascii="仿宋" w:hAnsi="仿宋" w:eastAsia="仿宋" w:cs="仿宋"/>
                <w:kern w:val="2"/>
                <w:sz w:val="20"/>
                <w:szCs w:val="20"/>
                <w:lang w:val="en-US" w:eastAsia="zh-CN"/>
              </w:rPr>
              <w:t>6</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insoku/>
              <w:autoSpaceDE/>
              <w:autoSpaceDN/>
              <w:adjustRightInd/>
              <w:snapToGrid/>
              <w:spacing w:line="280" w:lineRule="exact"/>
              <w:textAlignment w:val="auto"/>
              <w:rPr>
                <w:rFonts w:ascii="仿宋" w:hAnsi="仿宋" w:eastAsia="仿宋" w:cs="仿宋"/>
                <w:sz w:val="20"/>
                <w:szCs w:val="20"/>
              </w:rPr>
            </w:pP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满意度</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指标</w:t>
            </w:r>
          </w:p>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（10分）</w:t>
            </w:r>
          </w:p>
        </w:tc>
        <w:tc>
          <w:tcPr>
            <w:tcW w:w="1080"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服务对象满意度指标</w:t>
            </w:r>
          </w:p>
        </w:tc>
        <w:tc>
          <w:tcPr>
            <w:tcW w:w="1149" w:type="dxa"/>
            <w:vAlign w:val="center"/>
          </w:tcPr>
          <w:p>
            <w:pPr>
              <w:kinsoku/>
              <w:autoSpaceDE/>
              <w:adjustRightInd/>
              <w:snapToGrid/>
              <w:spacing w:line="280" w:lineRule="exact"/>
              <w:jc w:val="center"/>
              <w:rPr>
                <w:rFonts w:hint="eastAsia" w:ascii="仿宋" w:hAnsi="仿宋" w:eastAsia="仿宋" w:cs="仿宋"/>
                <w:kern w:val="2"/>
                <w:sz w:val="20"/>
                <w:szCs w:val="20"/>
                <w:lang w:eastAsia="zh-CN"/>
              </w:rPr>
            </w:pPr>
            <w:r>
              <w:rPr>
                <w:rFonts w:hint="eastAsia" w:ascii="仿宋" w:hAnsi="仿宋" w:eastAsia="仿宋" w:cs="仿宋"/>
                <w:kern w:val="2"/>
                <w:sz w:val="20"/>
                <w:szCs w:val="20"/>
                <w:lang w:val="en-US" w:eastAsia="zh-CN"/>
              </w:rPr>
              <w:t>群众满意</w:t>
            </w:r>
          </w:p>
        </w:tc>
        <w:tc>
          <w:tcPr>
            <w:tcW w:w="1209" w:type="dxa"/>
            <w:vAlign w:val="center"/>
          </w:tcPr>
          <w:p>
            <w:pPr>
              <w:kinsoku/>
              <w:autoSpaceDE/>
              <w:adjustRightInd/>
              <w:snapToGrid/>
              <w:spacing w:line="280" w:lineRule="exact"/>
              <w:jc w:val="center"/>
              <w:rPr>
                <w:rFonts w:hint="eastAsia" w:ascii="仿宋" w:hAnsi="仿宋" w:eastAsia="仿宋" w:cs="仿宋"/>
                <w:kern w:val="2"/>
                <w:sz w:val="20"/>
                <w:szCs w:val="20"/>
                <w:lang w:eastAsia="zh-CN"/>
              </w:rPr>
            </w:pPr>
            <w:r>
              <w:rPr>
                <w:rFonts w:hint="eastAsia" w:ascii="仿宋" w:hAnsi="仿宋" w:eastAsia="仿宋" w:cs="仿宋"/>
                <w:kern w:val="2"/>
                <w:sz w:val="20"/>
                <w:szCs w:val="20"/>
                <w:lang w:val="en-US" w:eastAsia="zh-CN"/>
              </w:rPr>
              <w:t>≥90%</w:t>
            </w:r>
          </w:p>
        </w:tc>
        <w:tc>
          <w:tcPr>
            <w:tcW w:w="1134" w:type="dxa"/>
            <w:vAlign w:val="center"/>
          </w:tcPr>
          <w:p>
            <w:pPr>
              <w:kinsoku/>
              <w:autoSpaceDE/>
              <w:adjustRightInd/>
              <w:snapToGrid/>
              <w:spacing w:line="280" w:lineRule="exact"/>
              <w:jc w:val="center"/>
              <w:rPr>
                <w:rFonts w:hint="eastAsia" w:ascii="仿宋" w:hAnsi="仿宋" w:eastAsia="仿宋" w:cs="仿宋"/>
                <w:kern w:val="2"/>
                <w:sz w:val="20"/>
                <w:szCs w:val="20"/>
                <w:lang w:eastAsia="zh-CN"/>
              </w:rPr>
            </w:pPr>
            <w:r>
              <w:rPr>
                <w:rFonts w:hint="eastAsia" w:ascii="仿宋" w:hAnsi="仿宋" w:eastAsia="仿宋" w:cs="仿宋"/>
                <w:kern w:val="2"/>
                <w:sz w:val="20"/>
                <w:szCs w:val="20"/>
                <w:lang w:val="en-US" w:eastAsia="zh-CN"/>
              </w:rPr>
              <w:t>100%</w:t>
            </w:r>
          </w:p>
        </w:tc>
        <w:tc>
          <w:tcPr>
            <w:tcW w:w="828" w:type="dxa"/>
            <w:vAlign w:val="center"/>
          </w:tcPr>
          <w:p>
            <w:pPr>
              <w:kinsoku/>
              <w:autoSpaceDE/>
              <w:adjustRightInd/>
              <w:snapToGrid/>
              <w:spacing w:line="280" w:lineRule="exact"/>
              <w:jc w:val="center"/>
              <w:rPr>
                <w:rFonts w:hint="default" w:ascii="仿宋" w:hAnsi="仿宋" w:eastAsia="仿宋" w:cs="仿宋"/>
                <w:kern w:val="2"/>
                <w:sz w:val="20"/>
                <w:szCs w:val="20"/>
                <w:lang w:val="en-US" w:eastAsia="zh-CN"/>
              </w:rPr>
            </w:pPr>
            <w:r>
              <w:rPr>
                <w:rFonts w:hint="eastAsia" w:ascii="仿宋" w:hAnsi="仿宋" w:eastAsia="仿宋" w:cs="仿宋"/>
                <w:kern w:val="2"/>
                <w:sz w:val="20"/>
                <w:szCs w:val="20"/>
                <w:lang w:val="en-US" w:eastAsia="zh-CN"/>
              </w:rPr>
              <w:t>10</w:t>
            </w:r>
          </w:p>
        </w:tc>
        <w:tc>
          <w:tcPr>
            <w:tcW w:w="873" w:type="dxa"/>
            <w:vAlign w:val="center"/>
          </w:tcPr>
          <w:p>
            <w:pPr>
              <w:kinsoku/>
              <w:autoSpaceDE/>
              <w:adjustRightInd/>
              <w:snapToGrid/>
              <w:spacing w:line="280" w:lineRule="exact"/>
              <w:jc w:val="center"/>
              <w:rPr>
                <w:rFonts w:hint="default" w:ascii="仿宋" w:hAnsi="仿宋" w:eastAsia="仿宋" w:cs="仿宋"/>
                <w:kern w:val="2"/>
                <w:sz w:val="20"/>
                <w:szCs w:val="20"/>
                <w:lang w:val="en-US" w:eastAsia="zh-CN"/>
              </w:rPr>
            </w:pPr>
            <w:r>
              <w:rPr>
                <w:rFonts w:hint="eastAsia" w:ascii="仿宋" w:hAnsi="仿宋" w:eastAsia="仿宋" w:cs="仿宋"/>
                <w:kern w:val="2"/>
                <w:sz w:val="20"/>
                <w:szCs w:val="20"/>
                <w:lang w:val="en-US" w:eastAsia="zh-CN"/>
              </w:rPr>
              <w:t>10</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总分</w:t>
            </w:r>
          </w:p>
        </w:tc>
        <w:tc>
          <w:tcPr>
            <w:tcW w:w="828" w:type="dxa"/>
            <w:vAlign w:val="center"/>
          </w:tcPr>
          <w:p>
            <w:pPr>
              <w:kinsoku/>
              <w:autoSpaceDE/>
              <w:autoSpaceDN/>
              <w:adjustRightInd/>
              <w:snapToGrid/>
              <w:spacing w:line="280" w:lineRule="exact"/>
              <w:jc w:val="center"/>
              <w:textAlignment w:val="auto"/>
              <w:rPr>
                <w:rFonts w:ascii="仿宋" w:hAnsi="仿宋" w:eastAsia="仿宋" w:cs="仿宋"/>
                <w:sz w:val="20"/>
                <w:szCs w:val="20"/>
              </w:rPr>
            </w:pPr>
            <w:r>
              <w:rPr>
                <w:rFonts w:hint="eastAsia" w:ascii="仿宋" w:hAnsi="仿宋" w:eastAsia="仿宋" w:cs="仿宋"/>
                <w:sz w:val="20"/>
                <w:szCs w:val="20"/>
              </w:rPr>
              <w:t>100</w:t>
            </w:r>
          </w:p>
        </w:tc>
        <w:tc>
          <w:tcPr>
            <w:tcW w:w="873" w:type="dxa"/>
            <w:vAlign w:val="center"/>
          </w:tcPr>
          <w:p>
            <w:pPr>
              <w:kinsoku/>
              <w:autoSpaceDE/>
              <w:autoSpaceDN/>
              <w:adjustRightInd/>
              <w:snapToGrid/>
              <w:spacing w:line="28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98</w:t>
            </w:r>
          </w:p>
        </w:tc>
        <w:tc>
          <w:tcPr>
            <w:tcW w:w="1418" w:type="dxa"/>
            <w:vAlign w:val="center"/>
          </w:tcPr>
          <w:p>
            <w:pPr>
              <w:kinsoku/>
              <w:autoSpaceDE/>
              <w:autoSpaceDN/>
              <w:adjustRightInd/>
              <w:snapToGrid/>
              <w:spacing w:line="280" w:lineRule="exact"/>
              <w:textAlignment w:val="auto"/>
              <w:rPr>
                <w:rFonts w:ascii="仿宋" w:hAnsi="仿宋" w:eastAsia="仿宋" w:cs="仿宋"/>
                <w:sz w:val="20"/>
                <w:szCs w:val="20"/>
              </w:rPr>
            </w:pPr>
            <w:r>
              <w:rPr>
                <w:rFonts w:hint="eastAsia" w:ascii="仿宋" w:hAnsi="仿宋" w:eastAsia="仿宋" w:cs="仿宋"/>
                <w:sz w:val="20"/>
                <w:szCs w:val="20"/>
              </w:rPr>
              <w:t>　</w:t>
            </w:r>
          </w:p>
        </w:tc>
      </w:tr>
    </w:tbl>
    <w:p>
      <w:pPr>
        <w:widowControl w:val="0"/>
        <w:kinsoku/>
        <w:autoSpaceDE/>
        <w:autoSpaceDN/>
        <w:adjustRightInd/>
        <w:snapToGrid/>
        <w:spacing w:line="600" w:lineRule="exact"/>
        <w:jc w:val="both"/>
        <w:textAlignment w:val="auto"/>
        <w:rPr>
          <w:vanish/>
        </w:rPr>
      </w:pPr>
      <w:r>
        <w:rPr>
          <w:rFonts w:ascii="Times New Roman" w:hAnsi="Times New Roman" w:eastAsia="仿宋_GB2312" w:cs="Times New Roman"/>
          <w:snapToGrid/>
          <w:sz w:val="24"/>
          <w:szCs w:val="24"/>
          <w:lang w:eastAsia="zh-CN"/>
        </w:rPr>
        <w:t>填表人：</w:t>
      </w:r>
      <w:r>
        <w:rPr>
          <w:rFonts w:hint="eastAsia" w:ascii="Times New Roman" w:hAnsi="Times New Roman" w:eastAsia="仿宋_GB2312" w:cs="Times New Roman"/>
          <w:snapToGrid/>
          <w:sz w:val="24"/>
          <w:szCs w:val="24"/>
          <w:lang w:eastAsia="zh-CN"/>
        </w:rPr>
        <w:t xml:space="preserve">宋桥发      </w:t>
      </w:r>
      <w:r>
        <w:rPr>
          <w:rFonts w:ascii="Times New Roman" w:hAnsi="Times New Roman" w:eastAsia="仿宋_GB2312" w:cs="Times New Roman"/>
          <w:snapToGrid/>
          <w:sz w:val="24"/>
          <w:szCs w:val="24"/>
          <w:lang w:eastAsia="zh-CN"/>
        </w:rPr>
        <w:t xml:space="preserve"> 填报日期：</w:t>
      </w:r>
      <w:r>
        <w:rPr>
          <w:rFonts w:hint="eastAsia" w:ascii="Times New Roman" w:hAnsi="Times New Roman" w:eastAsia="仿宋_GB2312" w:cs="Times New Roman"/>
          <w:snapToGrid/>
          <w:sz w:val="24"/>
          <w:szCs w:val="24"/>
          <w:lang w:val="en-US" w:eastAsia="zh-CN"/>
        </w:rPr>
        <w:t>2025.3.27</w:t>
      </w:r>
      <w:r>
        <w:rPr>
          <w:rFonts w:hint="eastAsia" w:ascii="Times New Roman" w:hAnsi="Times New Roman" w:eastAsia="仿宋_GB2312" w:cs="Times New Roman"/>
          <w:snapToGrid/>
          <w:sz w:val="24"/>
          <w:szCs w:val="24"/>
          <w:lang w:eastAsia="zh-CN"/>
        </w:rPr>
        <w:t xml:space="preserve">   </w:t>
      </w:r>
      <w:r>
        <w:rPr>
          <w:rFonts w:ascii="Times New Roman" w:hAnsi="Times New Roman" w:eastAsia="仿宋_GB2312" w:cs="Times New Roman"/>
          <w:snapToGrid/>
          <w:sz w:val="24"/>
          <w:szCs w:val="24"/>
          <w:lang w:eastAsia="zh-CN"/>
        </w:rPr>
        <w:t xml:space="preserve">  联系电话：</w:t>
      </w:r>
      <w:r>
        <w:rPr>
          <w:rFonts w:hint="eastAsia" w:ascii="Times New Roman" w:hAnsi="Times New Roman" w:eastAsia="仿宋_GB2312" w:cs="Times New Roman"/>
          <w:snapToGrid/>
          <w:sz w:val="24"/>
          <w:szCs w:val="24"/>
          <w:lang w:val="en-US" w:eastAsia="zh-CN"/>
        </w:rPr>
        <w:t>13467418656</w:t>
      </w:r>
      <w:r>
        <w:rPr>
          <w:rFonts w:hint="eastAsia" w:ascii="Times New Roman" w:hAnsi="Times New Roman" w:eastAsia="仿宋_GB2312" w:cs="Times New Roman"/>
          <w:snapToGrid/>
          <w:sz w:val="24"/>
          <w:szCs w:val="24"/>
          <w:lang w:eastAsia="zh-CN"/>
        </w:rPr>
        <w:t xml:space="preserve"> </w:t>
      </w:r>
    </w:p>
    <w:sectPr>
      <w:footerReference r:id="rId3" w:type="default"/>
      <w:pgSz w:w="11900" w:h="16830"/>
      <w:pgMar w:top="1440" w:right="1800" w:bottom="1440" w:left="1800" w:header="0" w:footer="969"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15"/>
      <w:rPr>
        <w:rFonts w:ascii="Times New Roman" w:hAnsi="Times New Roman" w:eastAsia="Times New Roman" w:cs="Times New Roman"/>
        <w:sz w:val="15"/>
        <w:szCs w:val="15"/>
      </w:rPr>
    </w:pPr>
    <w:r>
      <w:rPr>
        <w:sz w:val="15"/>
      </w:rP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- 9 -</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E64513"/>
    <w:multiLevelType w:val="singleLevel"/>
    <w:tmpl w:val="2BE6451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isplayBackgroundShape w:val="true"/>
  <w:bordersDoNotSurroundHeader w:val="true"/>
  <w:bordersDoNotSurroundFooter w:val="true"/>
  <w:documentProtection w:enforcement="0"/>
  <w:defaultTabStop w:val="420"/>
  <w:characterSpacingControl w:val="doNotCompress"/>
  <w:hdrShapeDefaults>
    <o:shapelayout v:ext="edit">
      <o:idmap v:ext="edit" data="1"/>
    </o:shapelayout>
  </w:hdrShapeDefaults>
  <w:compat>
    <w:spaceForUL/>
    <w:ulTrailSpace/>
    <w:useFELayout/>
    <w:compatSetting w:name="compatibilityMode" w:uri="http://schemas.microsoft.com/office/word" w:val="12"/>
  </w:compat>
  <w:rsids>
    <w:rsidRoot w:val="007254EA"/>
    <w:rsid w:val="0001620E"/>
    <w:rsid w:val="00046DA0"/>
    <w:rsid w:val="000D2EF4"/>
    <w:rsid w:val="000F0D4B"/>
    <w:rsid w:val="001068ED"/>
    <w:rsid w:val="001B221C"/>
    <w:rsid w:val="001D76E7"/>
    <w:rsid w:val="002831F6"/>
    <w:rsid w:val="002C76EF"/>
    <w:rsid w:val="00361EBB"/>
    <w:rsid w:val="003A18CA"/>
    <w:rsid w:val="00420A47"/>
    <w:rsid w:val="004830AD"/>
    <w:rsid w:val="0048622E"/>
    <w:rsid w:val="004A4433"/>
    <w:rsid w:val="005C365E"/>
    <w:rsid w:val="005C59B9"/>
    <w:rsid w:val="005E3CCC"/>
    <w:rsid w:val="006256F7"/>
    <w:rsid w:val="0064227C"/>
    <w:rsid w:val="006446B5"/>
    <w:rsid w:val="0068556B"/>
    <w:rsid w:val="00692381"/>
    <w:rsid w:val="006C4C6E"/>
    <w:rsid w:val="006D29FA"/>
    <w:rsid w:val="006D7217"/>
    <w:rsid w:val="006F2408"/>
    <w:rsid w:val="00710CA7"/>
    <w:rsid w:val="007171B4"/>
    <w:rsid w:val="007254EA"/>
    <w:rsid w:val="007272CC"/>
    <w:rsid w:val="00727444"/>
    <w:rsid w:val="0075179C"/>
    <w:rsid w:val="007705AA"/>
    <w:rsid w:val="007B4AF0"/>
    <w:rsid w:val="007D0498"/>
    <w:rsid w:val="007E7F05"/>
    <w:rsid w:val="00833323"/>
    <w:rsid w:val="008453CA"/>
    <w:rsid w:val="0086341F"/>
    <w:rsid w:val="00864398"/>
    <w:rsid w:val="008744B4"/>
    <w:rsid w:val="00902220"/>
    <w:rsid w:val="00904AD5"/>
    <w:rsid w:val="00914306"/>
    <w:rsid w:val="009A4702"/>
    <w:rsid w:val="009B0C5F"/>
    <w:rsid w:val="009C6ACA"/>
    <w:rsid w:val="00B56035"/>
    <w:rsid w:val="00BB04E9"/>
    <w:rsid w:val="00C37E69"/>
    <w:rsid w:val="00C57BD1"/>
    <w:rsid w:val="00C6736B"/>
    <w:rsid w:val="00C678F1"/>
    <w:rsid w:val="00D9528A"/>
    <w:rsid w:val="00D959E0"/>
    <w:rsid w:val="00D97E32"/>
    <w:rsid w:val="00DF0B08"/>
    <w:rsid w:val="00DF2BFA"/>
    <w:rsid w:val="00DF3DF3"/>
    <w:rsid w:val="00E27356"/>
    <w:rsid w:val="00ED639B"/>
    <w:rsid w:val="00F01C14"/>
    <w:rsid w:val="00F80CBE"/>
    <w:rsid w:val="014660C1"/>
    <w:rsid w:val="01610122"/>
    <w:rsid w:val="02375F66"/>
    <w:rsid w:val="024E0E9C"/>
    <w:rsid w:val="026659F0"/>
    <w:rsid w:val="02AE12FB"/>
    <w:rsid w:val="02E334E5"/>
    <w:rsid w:val="032F04D8"/>
    <w:rsid w:val="033124A2"/>
    <w:rsid w:val="035B575C"/>
    <w:rsid w:val="03725F44"/>
    <w:rsid w:val="039D7B38"/>
    <w:rsid w:val="03B46C2F"/>
    <w:rsid w:val="03C54999"/>
    <w:rsid w:val="03E372CE"/>
    <w:rsid w:val="04284333"/>
    <w:rsid w:val="04344818"/>
    <w:rsid w:val="0535762D"/>
    <w:rsid w:val="054D10EA"/>
    <w:rsid w:val="059B00A7"/>
    <w:rsid w:val="05B92B63"/>
    <w:rsid w:val="05D13AC9"/>
    <w:rsid w:val="05DF3F05"/>
    <w:rsid w:val="05E06971"/>
    <w:rsid w:val="05F95366"/>
    <w:rsid w:val="0648365F"/>
    <w:rsid w:val="06C675E3"/>
    <w:rsid w:val="06CC2B97"/>
    <w:rsid w:val="06F86E33"/>
    <w:rsid w:val="06FE6B3F"/>
    <w:rsid w:val="070E6657"/>
    <w:rsid w:val="071E0F8F"/>
    <w:rsid w:val="0721282E"/>
    <w:rsid w:val="07397B77"/>
    <w:rsid w:val="07576777"/>
    <w:rsid w:val="07952044"/>
    <w:rsid w:val="079B438E"/>
    <w:rsid w:val="07A33243"/>
    <w:rsid w:val="07B471FE"/>
    <w:rsid w:val="07E15B19"/>
    <w:rsid w:val="07EA70C4"/>
    <w:rsid w:val="07F50F6B"/>
    <w:rsid w:val="081952B3"/>
    <w:rsid w:val="082A3964"/>
    <w:rsid w:val="08444A26"/>
    <w:rsid w:val="08444D3B"/>
    <w:rsid w:val="08E81855"/>
    <w:rsid w:val="09310F40"/>
    <w:rsid w:val="09457501"/>
    <w:rsid w:val="09683BE0"/>
    <w:rsid w:val="09727371"/>
    <w:rsid w:val="097F0B5A"/>
    <w:rsid w:val="0AC06FF5"/>
    <w:rsid w:val="0AD32091"/>
    <w:rsid w:val="0ADB2CF4"/>
    <w:rsid w:val="0B0A6285"/>
    <w:rsid w:val="0B105525"/>
    <w:rsid w:val="0B220922"/>
    <w:rsid w:val="0B3B3792"/>
    <w:rsid w:val="0B5635A2"/>
    <w:rsid w:val="0B896BF3"/>
    <w:rsid w:val="0BF57EDB"/>
    <w:rsid w:val="0BFC0384"/>
    <w:rsid w:val="0C1217F0"/>
    <w:rsid w:val="0C300B2E"/>
    <w:rsid w:val="0C3C77C2"/>
    <w:rsid w:val="0C9F66CF"/>
    <w:rsid w:val="0CCC34EB"/>
    <w:rsid w:val="0D722AE9"/>
    <w:rsid w:val="0D9A13CE"/>
    <w:rsid w:val="0DA47D15"/>
    <w:rsid w:val="0DED346A"/>
    <w:rsid w:val="0DFA7935"/>
    <w:rsid w:val="0E0F009D"/>
    <w:rsid w:val="0E424B5A"/>
    <w:rsid w:val="0E4523C1"/>
    <w:rsid w:val="0E464928"/>
    <w:rsid w:val="0E5C239D"/>
    <w:rsid w:val="0EAA60E0"/>
    <w:rsid w:val="0ECA7307"/>
    <w:rsid w:val="0EF25639"/>
    <w:rsid w:val="0F063D14"/>
    <w:rsid w:val="0F0E1587"/>
    <w:rsid w:val="0F1F6A0C"/>
    <w:rsid w:val="0F59068B"/>
    <w:rsid w:val="0F672951"/>
    <w:rsid w:val="0F672DA8"/>
    <w:rsid w:val="0F707EAE"/>
    <w:rsid w:val="0FA60B26"/>
    <w:rsid w:val="0FC34DF0"/>
    <w:rsid w:val="0FD13037"/>
    <w:rsid w:val="0FDC3796"/>
    <w:rsid w:val="0FF85EDB"/>
    <w:rsid w:val="10565145"/>
    <w:rsid w:val="11380EA0"/>
    <w:rsid w:val="114D46C0"/>
    <w:rsid w:val="11C73FD2"/>
    <w:rsid w:val="11EC3A38"/>
    <w:rsid w:val="12130FC5"/>
    <w:rsid w:val="122E4051"/>
    <w:rsid w:val="128B1394"/>
    <w:rsid w:val="12CA5B28"/>
    <w:rsid w:val="1305347A"/>
    <w:rsid w:val="1360648C"/>
    <w:rsid w:val="13890CC4"/>
    <w:rsid w:val="13CC5A27"/>
    <w:rsid w:val="143C33E3"/>
    <w:rsid w:val="14454E03"/>
    <w:rsid w:val="148D32B1"/>
    <w:rsid w:val="14B33B02"/>
    <w:rsid w:val="14FC21E4"/>
    <w:rsid w:val="15433117"/>
    <w:rsid w:val="154F26B5"/>
    <w:rsid w:val="15A62D19"/>
    <w:rsid w:val="15DB004C"/>
    <w:rsid w:val="15DF4B06"/>
    <w:rsid w:val="16677B31"/>
    <w:rsid w:val="16DE7DF3"/>
    <w:rsid w:val="16FC64CC"/>
    <w:rsid w:val="17140673"/>
    <w:rsid w:val="17335AB8"/>
    <w:rsid w:val="17725B24"/>
    <w:rsid w:val="17D67188"/>
    <w:rsid w:val="17F92A0B"/>
    <w:rsid w:val="18117A91"/>
    <w:rsid w:val="183121A5"/>
    <w:rsid w:val="18470643"/>
    <w:rsid w:val="187F1162"/>
    <w:rsid w:val="18AA0F39"/>
    <w:rsid w:val="18C61BC8"/>
    <w:rsid w:val="18C80786"/>
    <w:rsid w:val="18E55A10"/>
    <w:rsid w:val="18FC0A05"/>
    <w:rsid w:val="190B2632"/>
    <w:rsid w:val="19106403"/>
    <w:rsid w:val="19277699"/>
    <w:rsid w:val="19297320"/>
    <w:rsid w:val="192C753C"/>
    <w:rsid w:val="197B7B2D"/>
    <w:rsid w:val="19BC5265"/>
    <w:rsid w:val="19CF2AD8"/>
    <w:rsid w:val="19D11E91"/>
    <w:rsid w:val="19E6554B"/>
    <w:rsid w:val="1A3E56E2"/>
    <w:rsid w:val="1A513357"/>
    <w:rsid w:val="1A643017"/>
    <w:rsid w:val="1A8823FD"/>
    <w:rsid w:val="1AC47300"/>
    <w:rsid w:val="1B244243"/>
    <w:rsid w:val="1B3758EF"/>
    <w:rsid w:val="1B7C7BDB"/>
    <w:rsid w:val="1BC206A3"/>
    <w:rsid w:val="1BDA5895"/>
    <w:rsid w:val="1BFE2CE6"/>
    <w:rsid w:val="1C247350"/>
    <w:rsid w:val="1C580BFD"/>
    <w:rsid w:val="1CD53A47"/>
    <w:rsid w:val="1D1976A4"/>
    <w:rsid w:val="1DA558C2"/>
    <w:rsid w:val="1DB63878"/>
    <w:rsid w:val="1DDC5D8A"/>
    <w:rsid w:val="1E05035C"/>
    <w:rsid w:val="1E4733E3"/>
    <w:rsid w:val="1E5B61CE"/>
    <w:rsid w:val="1E8079E2"/>
    <w:rsid w:val="1E870D71"/>
    <w:rsid w:val="1ECC70CB"/>
    <w:rsid w:val="1ED35C11"/>
    <w:rsid w:val="1EE3611A"/>
    <w:rsid w:val="1F0423C1"/>
    <w:rsid w:val="1F562301"/>
    <w:rsid w:val="1F5D0F05"/>
    <w:rsid w:val="1F7312F5"/>
    <w:rsid w:val="1F8F340E"/>
    <w:rsid w:val="20014C4D"/>
    <w:rsid w:val="201E3957"/>
    <w:rsid w:val="20C05F1B"/>
    <w:rsid w:val="20C77B4A"/>
    <w:rsid w:val="20D12777"/>
    <w:rsid w:val="21013A21"/>
    <w:rsid w:val="21B614D3"/>
    <w:rsid w:val="21B865F5"/>
    <w:rsid w:val="21D17CF8"/>
    <w:rsid w:val="21DF6DEE"/>
    <w:rsid w:val="21E97C9E"/>
    <w:rsid w:val="22094EF8"/>
    <w:rsid w:val="221E19EC"/>
    <w:rsid w:val="222A65E3"/>
    <w:rsid w:val="22355B6E"/>
    <w:rsid w:val="22664026"/>
    <w:rsid w:val="226D26AF"/>
    <w:rsid w:val="22B67745"/>
    <w:rsid w:val="2318468D"/>
    <w:rsid w:val="232623FE"/>
    <w:rsid w:val="239C07D8"/>
    <w:rsid w:val="23A423C5"/>
    <w:rsid w:val="23BA1BE8"/>
    <w:rsid w:val="23DC390D"/>
    <w:rsid w:val="23FB6C61"/>
    <w:rsid w:val="24503617"/>
    <w:rsid w:val="24C17577"/>
    <w:rsid w:val="24C90617"/>
    <w:rsid w:val="250F356E"/>
    <w:rsid w:val="25830E85"/>
    <w:rsid w:val="25975FC6"/>
    <w:rsid w:val="259C56A9"/>
    <w:rsid w:val="25DF77C5"/>
    <w:rsid w:val="26061115"/>
    <w:rsid w:val="26141E39"/>
    <w:rsid w:val="261D0241"/>
    <w:rsid w:val="266F6CBA"/>
    <w:rsid w:val="26706298"/>
    <w:rsid w:val="274665B7"/>
    <w:rsid w:val="274A3DA9"/>
    <w:rsid w:val="276D4C1B"/>
    <w:rsid w:val="27A47FDD"/>
    <w:rsid w:val="27CB488E"/>
    <w:rsid w:val="27DF5779"/>
    <w:rsid w:val="27F37B5A"/>
    <w:rsid w:val="299D42CA"/>
    <w:rsid w:val="299D58EC"/>
    <w:rsid w:val="29B42C36"/>
    <w:rsid w:val="29DA6B40"/>
    <w:rsid w:val="2A771ED4"/>
    <w:rsid w:val="2A862824"/>
    <w:rsid w:val="2AC9703A"/>
    <w:rsid w:val="2B36488A"/>
    <w:rsid w:val="2B470A4E"/>
    <w:rsid w:val="2B732DA8"/>
    <w:rsid w:val="2B990335"/>
    <w:rsid w:val="2BCC24B9"/>
    <w:rsid w:val="2BDE5221"/>
    <w:rsid w:val="2BF37A45"/>
    <w:rsid w:val="2BF770A9"/>
    <w:rsid w:val="2C171EF5"/>
    <w:rsid w:val="2C541BEC"/>
    <w:rsid w:val="2CA614FA"/>
    <w:rsid w:val="2CB5119F"/>
    <w:rsid w:val="2CE45F9B"/>
    <w:rsid w:val="2CF63C91"/>
    <w:rsid w:val="2CF7293F"/>
    <w:rsid w:val="2CF945C2"/>
    <w:rsid w:val="2D200D0E"/>
    <w:rsid w:val="2D2834C5"/>
    <w:rsid w:val="2D346567"/>
    <w:rsid w:val="2D377615"/>
    <w:rsid w:val="2D571192"/>
    <w:rsid w:val="2D5A7455"/>
    <w:rsid w:val="2D6C3F53"/>
    <w:rsid w:val="2D6E3085"/>
    <w:rsid w:val="2D9E60D7"/>
    <w:rsid w:val="2DEC299E"/>
    <w:rsid w:val="2DFD4BAB"/>
    <w:rsid w:val="2E6102A1"/>
    <w:rsid w:val="2E673A30"/>
    <w:rsid w:val="2E884DBD"/>
    <w:rsid w:val="2E933762"/>
    <w:rsid w:val="2E992738"/>
    <w:rsid w:val="2E9C2616"/>
    <w:rsid w:val="2EB57234"/>
    <w:rsid w:val="2EFA1199"/>
    <w:rsid w:val="2F1403FE"/>
    <w:rsid w:val="2F1A5892"/>
    <w:rsid w:val="2F251407"/>
    <w:rsid w:val="2F8D01B1"/>
    <w:rsid w:val="2F8D0EA8"/>
    <w:rsid w:val="2F994DA8"/>
    <w:rsid w:val="2FAA48BF"/>
    <w:rsid w:val="2FD14541"/>
    <w:rsid w:val="2FF40574"/>
    <w:rsid w:val="30036FFF"/>
    <w:rsid w:val="30077F63"/>
    <w:rsid w:val="304E2C57"/>
    <w:rsid w:val="306F78E5"/>
    <w:rsid w:val="308A26A8"/>
    <w:rsid w:val="30997731"/>
    <w:rsid w:val="30B434BA"/>
    <w:rsid w:val="30D81900"/>
    <w:rsid w:val="30E014C3"/>
    <w:rsid w:val="30EB1633"/>
    <w:rsid w:val="30F82A24"/>
    <w:rsid w:val="3189350C"/>
    <w:rsid w:val="31A422DF"/>
    <w:rsid w:val="31DB3455"/>
    <w:rsid w:val="31E247E4"/>
    <w:rsid w:val="31E607C9"/>
    <w:rsid w:val="3200580A"/>
    <w:rsid w:val="320C1870"/>
    <w:rsid w:val="32127826"/>
    <w:rsid w:val="322E7A29"/>
    <w:rsid w:val="323F3D9E"/>
    <w:rsid w:val="325E6865"/>
    <w:rsid w:val="32C959A4"/>
    <w:rsid w:val="32FC18D5"/>
    <w:rsid w:val="33727DEA"/>
    <w:rsid w:val="33CA5530"/>
    <w:rsid w:val="33FC5905"/>
    <w:rsid w:val="33FF4486"/>
    <w:rsid w:val="34154A72"/>
    <w:rsid w:val="34691BF9"/>
    <w:rsid w:val="347413B3"/>
    <w:rsid w:val="34A32E3F"/>
    <w:rsid w:val="35683DE9"/>
    <w:rsid w:val="357C4F4F"/>
    <w:rsid w:val="358E7A9E"/>
    <w:rsid w:val="35CF7305"/>
    <w:rsid w:val="36016994"/>
    <w:rsid w:val="36104B37"/>
    <w:rsid w:val="3659703F"/>
    <w:rsid w:val="368232B6"/>
    <w:rsid w:val="36C643E9"/>
    <w:rsid w:val="36F01751"/>
    <w:rsid w:val="370313A7"/>
    <w:rsid w:val="37123CED"/>
    <w:rsid w:val="37364881"/>
    <w:rsid w:val="373C39F1"/>
    <w:rsid w:val="37421881"/>
    <w:rsid w:val="37441A9D"/>
    <w:rsid w:val="375021F0"/>
    <w:rsid w:val="375B4F88"/>
    <w:rsid w:val="37BC6388"/>
    <w:rsid w:val="37C404E8"/>
    <w:rsid w:val="37FB060D"/>
    <w:rsid w:val="38431D54"/>
    <w:rsid w:val="385F7EA5"/>
    <w:rsid w:val="389C0A0B"/>
    <w:rsid w:val="38B92017"/>
    <w:rsid w:val="391159AF"/>
    <w:rsid w:val="391D32DA"/>
    <w:rsid w:val="39224D6F"/>
    <w:rsid w:val="392E59B4"/>
    <w:rsid w:val="39543D0A"/>
    <w:rsid w:val="39767B9A"/>
    <w:rsid w:val="39D639FE"/>
    <w:rsid w:val="3A175247"/>
    <w:rsid w:val="3A2550DD"/>
    <w:rsid w:val="3A2B0CF2"/>
    <w:rsid w:val="3A3E0A25"/>
    <w:rsid w:val="3A691396"/>
    <w:rsid w:val="3A831862"/>
    <w:rsid w:val="3A9E261D"/>
    <w:rsid w:val="3AAB3F75"/>
    <w:rsid w:val="3B9C1479"/>
    <w:rsid w:val="3BB71EFC"/>
    <w:rsid w:val="3C2F4917"/>
    <w:rsid w:val="3C3E2F5F"/>
    <w:rsid w:val="3CDC1D33"/>
    <w:rsid w:val="3CF17FD1"/>
    <w:rsid w:val="3D163594"/>
    <w:rsid w:val="3D2551B7"/>
    <w:rsid w:val="3D2A703F"/>
    <w:rsid w:val="3D2F0AD6"/>
    <w:rsid w:val="3D2F0AF9"/>
    <w:rsid w:val="3D3659E4"/>
    <w:rsid w:val="3D971EA2"/>
    <w:rsid w:val="3DC72AE0"/>
    <w:rsid w:val="3DF151A7"/>
    <w:rsid w:val="3E247F32"/>
    <w:rsid w:val="3E9776C5"/>
    <w:rsid w:val="3E9D3838"/>
    <w:rsid w:val="3EB42C76"/>
    <w:rsid w:val="3EDC6214"/>
    <w:rsid w:val="3F0A537A"/>
    <w:rsid w:val="3F4A1C1A"/>
    <w:rsid w:val="3F5B3E28"/>
    <w:rsid w:val="3F5E56C6"/>
    <w:rsid w:val="3F80388E"/>
    <w:rsid w:val="3FAC745B"/>
    <w:rsid w:val="3FB6105E"/>
    <w:rsid w:val="3FC306F2"/>
    <w:rsid w:val="3FC733A8"/>
    <w:rsid w:val="3FCB2D5B"/>
    <w:rsid w:val="3FCBF8FC"/>
    <w:rsid w:val="3FCC4F7F"/>
    <w:rsid w:val="3FE45BCB"/>
    <w:rsid w:val="40436D96"/>
    <w:rsid w:val="40750F19"/>
    <w:rsid w:val="40793F3F"/>
    <w:rsid w:val="409A683A"/>
    <w:rsid w:val="40B437EF"/>
    <w:rsid w:val="40D043A1"/>
    <w:rsid w:val="40E12FE8"/>
    <w:rsid w:val="414D59F2"/>
    <w:rsid w:val="415154E2"/>
    <w:rsid w:val="41B82358"/>
    <w:rsid w:val="421B789E"/>
    <w:rsid w:val="42536B3D"/>
    <w:rsid w:val="429F0276"/>
    <w:rsid w:val="42B847B4"/>
    <w:rsid w:val="43411CF2"/>
    <w:rsid w:val="439F57A4"/>
    <w:rsid w:val="43C74575"/>
    <w:rsid w:val="43FA3ABF"/>
    <w:rsid w:val="44F00032"/>
    <w:rsid w:val="45097E82"/>
    <w:rsid w:val="455416DC"/>
    <w:rsid w:val="45706093"/>
    <w:rsid w:val="45A81C96"/>
    <w:rsid w:val="45B42C24"/>
    <w:rsid w:val="45C33AC6"/>
    <w:rsid w:val="461B1C1B"/>
    <w:rsid w:val="46256F3D"/>
    <w:rsid w:val="464B24B1"/>
    <w:rsid w:val="464F1A25"/>
    <w:rsid w:val="46893028"/>
    <w:rsid w:val="469B0D50"/>
    <w:rsid w:val="46BC33FE"/>
    <w:rsid w:val="46D149CF"/>
    <w:rsid w:val="46E01EF3"/>
    <w:rsid w:val="46F830F8"/>
    <w:rsid w:val="4701087D"/>
    <w:rsid w:val="47046B53"/>
    <w:rsid w:val="470B1C8F"/>
    <w:rsid w:val="47490A0A"/>
    <w:rsid w:val="475E2707"/>
    <w:rsid w:val="476720F8"/>
    <w:rsid w:val="47A33F4F"/>
    <w:rsid w:val="47A34D37"/>
    <w:rsid w:val="47BD572C"/>
    <w:rsid w:val="47CD5197"/>
    <w:rsid w:val="4807074F"/>
    <w:rsid w:val="484A67E7"/>
    <w:rsid w:val="485E687F"/>
    <w:rsid w:val="486125B1"/>
    <w:rsid w:val="49396F88"/>
    <w:rsid w:val="496C0591"/>
    <w:rsid w:val="497D6CA8"/>
    <w:rsid w:val="498256B8"/>
    <w:rsid w:val="49A32653"/>
    <w:rsid w:val="49B66A74"/>
    <w:rsid w:val="49C11094"/>
    <w:rsid w:val="49CF169A"/>
    <w:rsid w:val="49DC3DB7"/>
    <w:rsid w:val="49E30CA1"/>
    <w:rsid w:val="49F11610"/>
    <w:rsid w:val="4A0D1AB3"/>
    <w:rsid w:val="4A1C41B3"/>
    <w:rsid w:val="4A5907A7"/>
    <w:rsid w:val="4A604D9B"/>
    <w:rsid w:val="4A7E749E"/>
    <w:rsid w:val="4A9F10DB"/>
    <w:rsid w:val="4B064F25"/>
    <w:rsid w:val="4B0E268C"/>
    <w:rsid w:val="4B2E67E5"/>
    <w:rsid w:val="4B367F5F"/>
    <w:rsid w:val="4B3F0159"/>
    <w:rsid w:val="4B5E0F27"/>
    <w:rsid w:val="4B647BC0"/>
    <w:rsid w:val="4B826816"/>
    <w:rsid w:val="4B8F3432"/>
    <w:rsid w:val="4BCF3BD3"/>
    <w:rsid w:val="4BD905AE"/>
    <w:rsid w:val="4C107D48"/>
    <w:rsid w:val="4C404189"/>
    <w:rsid w:val="4C547C35"/>
    <w:rsid w:val="4C7C718B"/>
    <w:rsid w:val="4CD32344"/>
    <w:rsid w:val="4D1D271C"/>
    <w:rsid w:val="4D904398"/>
    <w:rsid w:val="4D9B2D4C"/>
    <w:rsid w:val="4DCD5EF0"/>
    <w:rsid w:val="4DE24E53"/>
    <w:rsid w:val="4DF55447"/>
    <w:rsid w:val="4DF85023"/>
    <w:rsid w:val="4E1A4EAE"/>
    <w:rsid w:val="4E6A304A"/>
    <w:rsid w:val="4EAC01FC"/>
    <w:rsid w:val="4EB67E4F"/>
    <w:rsid w:val="4F180F6D"/>
    <w:rsid w:val="4F7D39F4"/>
    <w:rsid w:val="4FC13833"/>
    <w:rsid w:val="501669E8"/>
    <w:rsid w:val="50333639"/>
    <w:rsid w:val="503F314A"/>
    <w:rsid w:val="5049071F"/>
    <w:rsid w:val="5055523B"/>
    <w:rsid w:val="50B404AC"/>
    <w:rsid w:val="512A680F"/>
    <w:rsid w:val="51363DAD"/>
    <w:rsid w:val="51502C40"/>
    <w:rsid w:val="515311FD"/>
    <w:rsid w:val="51903ADB"/>
    <w:rsid w:val="51983176"/>
    <w:rsid w:val="51E7154B"/>
    <w:rsid w:val="51FB409D"/>
    <w:rsid w:val="521A722A"/>
    <w:rsid w:val="528C1D4E"/>
    <w:rsid w:val="529B480F"/>
    <w:rsid w:val="52A412CF"/>
    <w:rsid w:val="52B61649"/>
    <w:rsid w:val="52BC29D7"/>
    <w:rsid w:val="53165C44"/>
    <w:rsid w:val="531B22DB"/>
    <w:rsid w:val="537B293C"/>
    <w:rsid w:val="53A6721A"/>
    <w:rsid w:val="54324CFF"/>
    <w:rsid w:val="544E36B1"/>
    <w:rsid w:val="54873B96"/>
    <w:rsid w:val="54AF45A2"/>
    <w:rsid w:val="54BF1612"/>
    <w:rsid w:val="54D47B64"/>
    <w:rsid w:val="54F57361"/>
    <w:rsid w:val="551B39E5"/>
    <w:rsid w:val="55523002"/>
    <w:rsid w:val="557234F5"/>
    <w:rsid w:val="56080E28"/>
    <w:rsid w:val="563A7E9B"/>
    <w:rsid w:val="564156CE"/>
    <w:rsid w:val="567732E6"/>
    <w:rsid w:val="56B637B6"/>
    <w:rsid w:val="56F3629C"/>
    <w:rsid w:val="5733141F"/>
    <w:rsid w:val="578B1008"/>
    <w:rsid w:val="57FA0181"/>
    <w:rsid w:val="57FB47AE"/>
    <w:rsid w:val="58134E48"/>
    <w:rsid w:val="58A37CF6"/>
    <w:rsid w:val="58E446C9"/>
    <w:rsid w:val="58F85DEC"/>
    <w:rsid w:val="59047560"/>
    <w:rsid w:val="59162E41"/>
    <w:rsid w:val="591E23E1"/>
    <w:rsid w:val="593C2BA3"/>
    <w:rsid w:val="594F0101"/>
    <w:rsid w:val="5975743C"/>
    <w:rsid w:val="59823B14"/>
    <w:rsid w:val="59B14918"/>
    <w:rsid w:val="59C33A3E"/>
    <w:rsid w:val="59C503C4"/>
    <w:rsid w:val="59D10B16"/>
    <w:rsid w:val="59DF059A"/>
    <w:rsid w:val="59EE525F"/>
    <w:rsid w:val="59F9295B"/>
    <w:rsid w:val="59FA1835"/>
    <w:rsid w:val="5A02006D"/>
    <w:rsid w:val="5A04713E"/>
    <w:rsid w:val="5A2A7B93"/>
    <w:rsid w:val="5A4E03B9"/>
    <w:rsid w:val="5AA77DB5"/>
    <w:rsid w:val="5AB65EE9"/>
    <w:rsid w:val="5AC62645"/>
    <w:rsid w:val="5AE84831"/>
    <w:rsid w:val="5B155FCB"/>
    <w:rsid w:val="5B2E3D47"/>
    <w:rsid w:val="5B526448"/>
    <w:rsid w:val="5B9317DB"/>
    <w:rsid w:val="5B9C5AAD"/>
    <w:rsid w:val="5BBB7CD0"/>
    <w:rsid w:val="5BFB086D"/>
    <w:rsid w:val="5C0E2225"/>
    <w:rsid w:val="5C4C0240"/>
    <w:rsid w:val="5C61579B"/>
    <w:rsid w:val="5C735194"/>
    <w:rsid w:val="5C9F3FFC"/>
    <w:rsid w:val="5CA17555"/>
    <w:rsid w:val="5CA50038"/>
    <w:rsid w:val="5CCB7A9F"/>
    <w:rsid w:val="5CCD4100"/>
    <w:rsid w:val="5CE34B66"/>
    <w:rsid w:val="5D621868"/>
    <w:rsid w:val="5D634635"/>
    <w:rsid w:val="5D7013EE"/>
    <w:rsid w:val="5D867E6A"/>
    <w:rsid w:val="5DA62893"/>
    <w:rsid w:val="5DC5275A"/>
    <w:rsid w:val="5DE7E28B"/>
    <w:rsid w:val="5DFD637E"/>
    <w:rsid w:val="5E824AD5"/>
    <w:rsid w:val="5EB96C36"/>
    <w:rsid w:val="5EBA426F"/>
    <w:rsid w:val="5ED85D88"/>
    <w:rsid w:val="5F313B53"/>
    <w:rsid w:val="5F385194"/>
    <w:rsid w:val="5F9FED6C"/>
    <w:rsid w:val="5FB152B9"/>
    <w:rsid w:val="5FB25344"/>
    <w:rsid w:val="5FEC48FC"/>
    <w:rsid w:val="605C0900"/>
    <w:rsid w:val="60885CA7"/>
    <w:rsid w:val="609C542E"/>
    <w:rsid w:val="616E1341"/>
    <w:rsid w:val="61A134C4"/>
    <w:rsid w:val="61D6007B"/>
    <w:rsid w:val="61F3516C"/>
    <w:rsid w:val="620D5E36"/>
    <w:rsid w:val="621625BE"/>
    <w:rsid w:val="622D4D58"/>
    <w:rsid w:val="62854B94"/>
    <w:rsid w:val="62952214"/>
    <w:rsid w:val="632077B4"/>
    <w:rsid w:val="63314817"/>
    <w:rsid w:val="635822A8"/>
    <w:rsid w:val="635C3B47"/>
    <w:rsid w:val="63FE1652"/>
    <w:rsid w:val="64061D04"/>
    <w:rsid w:val="645541F9"/>
    <w:rsid w:val="64CD637E"/>
    <w:rsid w:val="64E5123A"/>
    <w:rsid w:val="653428EA"/>
    <w:rsid w:val="65532D27"/>
    <w:rsid w:val="655F791E"/>
    <w:rsid w:val="65BC6B1F"/>
    <w:rsid w:val="65D33DA4"/>
    <w:rsid w:val="66482160"/>
    <w:rsid w:val="669F1927"/>
    <w:rsid w:val="66AF22B7"/>
    <w:rsid w:val="67277FC8"/>
    <w:rsid w:val="675379F3"/>
    <w:rsid w:val="67982FB2"/>
    <w:rsid w:val="67B62DCC"/>
    <w:rsid w:val="67EE6D37"/>
    <w:rsid w:val="680E73DA"/>
    <w:rsid w:val="68126ECA"/>
    <w:rsid w:val="682A65AB"/>
    <w:rsid w:val="684F3094"/>
    <w:rsid w:val="68886FC7"/>
    <w:rsid w:val="694330B3"/>
    <w:rsid w:val="694E624C"/>
    <w:rsid w:val="69605A13"/>
    <w:rsid w:val="698C734E"/>
    <w:rsid w:val="699543C8"/>
    <w:rsid w:val="69BD514B"/>
    <w:rsid w:val="6A301889"/>
    <w:rsid w:val="6A80346D"/>
    <w:rsid w:val="6AC71E7B"/>
    <w:rsid w:val="6ACA583A"/>
    <w:rsid w:val="6AE368FC"/>
    <w:rsid w:val="6AEC6501"/>
    <w:rsid w:val="6AF01018"/>
    <w:rsid w:val="6BF37D29"/>
    <w:rsid w:val="6C02704F"/>
    <w:rsid w:val="6C315445"/>
    <w:rsid w:val="6C5A499B"/>
    <w:rsid w:val="6C5C11C9"/>
    <w:rsid w:val="6CC36596"/>
    <w:rsid w:val="6CD3617E"/>
    <w:rsid w:val="6CFA6160"/>
    <w:rsid w:val="6D0B038C"/>
    <w:rsid w:val="6D1C5C94"/>
    <w:rsid w:val="6D727A37"/>
    <w:rsid w:val="6DA31507"/>
    <w:rsid w:val="6E19713D"/>
    <w:rsid w:val="6E5813AF"/>
    <w:rsid w:val="6E5D69C5"/>
    <w:rsid w:val="6E745C57"/>
    <w:rsid w:val="6E8D77E2"/>
    <w:rsid w:val="6E923C2D"/>
    <w:rsid w:val="6EBF1A77"/>
    <w:rsid w:val="6EC00BE2"/>
    <w:rsid w:val="6F915675"/>
    <w:rsid w:val="6FC7611B"/>
    <w:rsid w:val="6FEB735C"/>
    <w:rsid w:val="707F4466"/>
    <w:rsid w:val="70B22DC9"/>
    <w:rsid w:val="70CE3BAA"/>
    <w:rsid w:val="70DD3FC2"/>
    <w:rsid w:val="71436346"/>
    <w:rsid w:val="718E2D57"/>
    <w:rsid w:val="71C46F1C"/>
    <w:rsid w:val="7234691D"/>
    <w:rsid w:val="72856038"/>
    <w:rsid w:val="72895FDA"/>
    <w:rsid w:val="729624A5"/>
    <w:rsid w:val="72D0112D"/>
    <w:rsid w:val="72E773E5"/>
    <w:rsid w:val="732F5AC0"/>
    <w:rsid w:val="73515B69"/>
    <w:rsid w:val="73625331"/>
    <w:rsid w:val="73656370"/>
    <w:rsid w:val="73A6496A"/>
    <w:rsid w:val="73EB22BF"/>
    <w:rsid w:val="74091FB6"/>
    <w:rsid w:val="742A570F"/>
    <w:rsid w:val="745145CE"/>
    <w:rsid w:val="74716D26"/>
    <w:rsid w:val="74890514"/>
    <w:rsid w:val="75083042"/>
    <w:rsid w:val="751E1C4C"/>
    <w:rsid w:val="75A7324B"/>
    <w:rsid w:val="75BA07D1"/>
    <w:rsid w:val="76DE43A6"/>
    <w:rsid w:val="773A3D47"/>
    <w:rsid w:val="777D3BB6"/>
    <w:rsid w:val="77DC1CC2"/>
    <w:rsid w:val="77EC344A"/>
    <w:rsid w:val="78762B5D"/>
    <w:rsid w:val="78B26C9C"/>
    <w:rsid w:val="78D67634"/>
    <w:rsid w:val="78E81581"/>
    <w:rsid w:val="79295E21"/>
    <w:rsid w:val="793F3897"/>
    <w:rsid w:val="79545F71"/>
    <w:rsid w:val="797D616D"/>
    <w:rsid w:val="79856DD0"/>
    <w:rsid w:val="79A22FCC"/>
    <w:rsid w:val="79E9735F"/>
    <w:rsid w:val="7AA35D0F"/>
    <w:rsid w:val="7AF27597"/>
    <w:rsid w:val="7B09415C"/>
    <w:rsid w:val="7B494B47"/>
    <w:rsid w:val="7B4F1619"/>
    <w:rsid w:val="7B8D6BCE"/>
    <w:rsid w:val="7BDD1145"/>
    <w:rsid w:val="7BE70E9C"/>
    <w:rsid w:val="7BFE17E7"/>
    <w:rsid w:val="7BFFF3C9"/>
    <w:rsid w:val="7C374CF9"/>
    <w:rsid w:val="7CB925E2"/>
    <w:rsid w:val="7CC813AA"/>
    <w:rsid w:val="7CE51182"/>
    <w:rsid w:val="7DA939D5"/>
    <w:rsid w:val="7DB748F3"/>
    <w:rsid w:val="7DBD2A9C"/>
    <w:rsid w:val="7DC76381"/>
    <w:rsid w:val="7DD13FA4"/>
    <w:rsid w:val="7DD56382"/>
    <w:rsid w:val="7DF33068"/>
    <w:rsid w:val="7E36223B"/>
    <w:rsid w:val="7E435E3D"/>
    <w:rsid w:val="7E4A0251"/>
    <w:rsid w:val="7E525E1A"/>
    <w:rsid w:val="7E5F2F81"/>
    <w:rsid w:val="7E7A4D36"/>
    <w:rsid w:val="7EC21F19"/>
    <w:rsid w:val="7EFB0260"/>
    <w:rsid w:val="7F4354EC"/>
    <w:rsid w:val="7F7626B0"/>
    <w:rsid w:val="7FB63D8B"/>
    <w:rsid w:val="7FBF72E9"/>
    <w:rsid w:val="7FD12D6F"/>
    <w:rsid w:val="7FF1C35A"/>
    <w:rsid w:val="7FFD16FB"/>
    <w:rsid w:val="BFF37A5F"/>
    <w:rsid w:val="CA7C5FEB"/>
    <w:rsid w:val="DD352E89"/>
    <w:rsid w:val="DFFF9E20"/>
    <w:rsid w:val="E5FF23A4"/>
    <w:rsid w:val="EF7B2DAF"/>
    <w:rsid w:val="FF69803D"/>
    <w:rsid w:val="FFFE0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
    <w:pPr>
      <w:keepNext/>
      <w:keepLines/>
      <w:spacing w:line="700" w:lineRule="exact"/>
      <w:jc w:val="center"/>
      <w:outlineLvl w:val="0"/>
    </w:pPr>
    <w:rPr>
      <w:rFonts w:ascii="Calibri" w:hAnsi="Calibri" w:eastAsia="方正小标宋_GBK" w:cs="Times New Roman"/>
      <w:kern w:val="44"/>
      <w:sz w:val="44"/>
    </w:rPr>
  </w:style>
  <w:style w:type="paragraph" w:styleId="5">
    <w:name w:val="heading 3"/>
    <w:basedOn w:val="1"/>
    <w:next w:val="1"/>
    <w:unhideWhenUsed/>
    <w:qFormat/>
    <w:uiPriority w:val="9"/>
    <w:pPr>
      <w:spacing w:beforeLines="50" w:afterLines="50" w:line="600" w:lineRule="exact"/>
      <w:ind w:firstLine="863" w:firstLineChars="200"/>
      <w:outlineLvl w:val="2"/>
    </w:pPr>
    <w:rPr>
      <w:rFonts w:hint="eastAsia" w:ascii="宋体" w:hAnsi="宋体" w:eastAsia="黑体" w:cs="Times New Roman"/>
      <w:bCs/>
      <w:kern w:val="2"/>
      <w:sz w:val="32"/>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Calibri" w:hAnsi="Calibri"/>
    </w:rPr>
  </w:style>
  <w:style w:type="paragraph" w:styleId="3">
    <w:name w:val="Body Text Indent"/>
    <w:basedOn w:val="1"/>
    <w:unhideWhenUsed/>
    <w:qFormat/>
    <w:uiPriority w:val="0"/>
    <w:pPr>
      <w:spacing w:after="120"/>
      <w:ind w:left="420" w:leftChars="200"/>
    </w:pPr>
  </w:style>
  <w:style w:type="paragraph" w:styleId="6">
    <w:name w:val="Body Text"/>
    <w:basedOn w:val="1"/>
    <w:semiHidden/>
    <w:qFormat/>
    <w:uiPriority w:val="0"/>
    <w:rPr>
      <w:rFonts w:ascii="仿宋" w:hAnsi="仿宋" w:eastAsia="仿宋" w:cs="仿宋"/>
      <w:sz w:val="31"/>
      <w:szCs w:val="31"/>
    </w:rPr>
  </w:style>
  <w:style w:type="paragraph" w:styleId="7">
    <w:name w:val="footer"/>
    <w:basedOn w:val="1"/>
    <w:qFormat/>
    <w:uiPriority w:val="0"/>
    <w:pPr>
      <w:tabs>
        <w:tab w:val="center" w:pos="4153"/>
        <w:tab w:val="right" w:pos="8306"/>
      </w:tabs>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9">
    <w:name w:val="toc 1"/>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Normal (Web)"/>
    <w:basedOn w:val="1"/>
    <w:qFormat/>
    <w:uiPriority w:val="0"/>
    <w:pPr>
      <w:spacing w:beforeAutospacing="1" w:afterAutospacing="1"/>
    </w:pPr>
    <w:rPr>
      <w:rFonts w:cs="Times New Roman"/>
      <w:sz w:val="24"/>
      <w:lang w:eastAsia="zh-CN"/>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style>
  <w:style w:type="paragraph" w:customStyle="1" w:styleId="15">
    <w:name w:val="BodyText1I"/>
    <w:basedOn w:val="1"/>
    <w:qFormat/>
    <w:uiPriority w:val="99"/>
    <w:pPr>
      <w:spacing w:line="360" w:lineRule="auto"/>
      <w:ind w:firstLine="420" w:firstLineChars="100"/>
    </w:pPr>
    <w:rPr>
      <w:sz w:val="28"/>
      <w:szCs w:val="20"/>
    </w:rPr>
  </w:style>
  <w:style w:type="paragraph" w:customStyle="1" w:styleId="16">
    <w:name w:val="Default"/>
    <w:basedOn w:val="1"/>
    <w:qFormat/>
    <w:uiPriority w:val="0"/>
    <w:pPr>
      <w:widowControl w:val="0"/>
      <w:kinsoku/>
      <w:snapToGrid/>
      <w:textAlignment w:val="auto"/>
    </w:pPr>
    <w:rPr>
      <w:rFonts w:ascii="黑体" w:hAnsi="Calibri" w:eastAsia="黑体" w:cs="宋体"/>
      <w:snapToGrid/>
      <w:sz w:val="24"/>
      <w:szCs w:val="24"/>
      <w:lang w:eastAsia="zh-CN"/>
    </w:rPr>
  </w:style>
  <w:style w:type="paragraph" w:styleId="17">
    <w:name w:val="List Paragraph"/>
    <w:basedOn w:val="1"/>
    <w:qFormat/>
    <w:uiPriority w:val="99"/>
    <w:pPr>
      <w:kinsoku/>
      <w:autoSpaceDE/>
      <w:autoSpaceDN/>
      <w:spacing w:after="200"/>
      <w:ind w:firstLine="420" w:firstLineChars="200"/>
      <w:textAlignment w:val="auto"/>
    </w:pPr>
    <w:rPr>
      <w:rFonts w:ascii="Tahoma" w:hAnsi="Tahoma" w:eastAsia="微软雅黑" w:cstheme="minorBidi"/>
      <w:snapToGrid/>
      <w:color w:val="auto"/>
      <w:sz w:val="22"/>
      <w:szCs w:val="2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2921</Words>
  <Characters>3078</Characters>
  <Lines>24</Lines>
  <Paragraphs>7</Paragraphs>
  <TotalTime>0</TotalTime>
  <ScaleCrop>false</ScaleCrop>
  <LinksUpToDate>false</LinksUpToDate>
  <CharactersWithSpaces>3206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2025-02-27T06:59:00Z</dcterms:created>
  <dc:creator>Kingsoft-PDF</dc:creator>
  <cp:lastModifiedBy>thtf</cp:lastModifiedBy>
  <cp:lastPrinted>2025-03-12T02:39:00Z</cp:lastPrinted>
  <dcterms:modified xsi:type="dcterms:W3CDTF">2025-09-25T18:14:42Z</dcterms:modified>
  <dc:subject>pdfbuilder</dc:subject>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2025-02-26T14:59:37Z</vt:filetime>
  </property>
  <property fmtid="{D5CDD505-2E9C-101B-9397-08002B2CF9AE}" pid="4" name="UsrData">
    <vt:lpwstr>67bebbd2db2cf3001fe95ab1wl</vt:lpwstr>
  </property>
  <property fmtid="{D5CDD505-2E9C-101B-9397-08002B2CF9AE}" pid="5" name="KSOTemplateDocerSaveRecord">
    <vt:lpwstr>eyJoZGlkIjoiYmE3N2Y4ZjMxMDlhNDJlYjVjODJmZGNkZmUzNjBhMGEiLCJ1c2VySWQiOiI4NTAxNjcyNTcifQ==</vt:lpwstr>
  </property>
  <property fmtid="{D5CDD505-2E9C-101B-9397-08002B2CF9AE}" pid="6" name="KSOProductBuildVer">
    <vt:lpwstr>2052-11.8.2.10125</vt:lpwstr>
  </property>
  <property fmtid="{D5CDD505-2E9C-101B-9397-08002B2CF9AE}" pid="7" name="ICV">
    <vt:lpwstr>0EE0E047136D49549453B589EA83C57F_13</vt:lpwstr>
  </property>
</Properties>
</file>