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224" w:lineRule="auto"/>
        <w:rPr>
          <w:spacing w:val="19"/>
          <w:sz w:val="32"/>
          <w:szCs w:val="32"/>
          <w:lang w:eastAsia="zh-CN"/>
        </w:rPr>
      </w:pPr>
      <w:r>
        <w:rPr>
          <w:spacing w:val="19"/>
          <w:sz w:val="32"/>
          <w:szCs w:val="32"/>
          <w:lang w:eastAsia="zh-CN"/>
        </w:rPr>
        <w:t>附件2</w:t>
      </w: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jc w:val="center"/>
        <w:rPr>
          <w:lang w:eastAsia="zh-CN"/>
        </w:rPr>
      </w:pPr>
    </w:p>
    <w:p>
      <w:pPr>
        <w:spacing w:line="248" w:lineRule="auto"/>
        <w:jc w:val="center"/>
        <w:rPr>
          <w:lang w:eastAsia="zh-CN"/>
        </w:rPr>
      </w:pPr>
    </w:p>
    <w:p>
      <w:pPr>
        <w:spacing w:line="248" w:lineRule="auto"/>
        <w:jc w:val="center"/>
        <w:rPr>
          <w:lang w:eastAsia="zh-CN"/>
        </w:rPr>
      </w:pPr>
    </w:p>
    <w:p>
      <w:pPr>
        <w:tabs>
          <w:tab w:val="left" w:pos="8620"/>
        </w:tabs>
        <w:spacing w:before="157" w:line="322" w:lineRule="auto"/>
        <w:ind w:right="182"/>
        <w:jc w:val="center"/>
        <w:rPr>
          <w:rFonts w:ascii="方正小标宋简体" w:hAnsi="方正小标宋简体" w:eastAsia="方正小标宋简体" w:cs="方正小标宋简体"/>
          <w:sz w:val="48"/>
          <w:szCs w:val="48"/>
          <w:lang w:eastAsia="zh-CN"/>
        </w:rPr>
      </w:pPr>
      <w:r>
        <w:rPr>
          <w:rFonts w:hint="eastAsia" w:ascii="方正小标宋简体" w:hAnsi="方正小标宋简体" w:eastAsia="方正小标宋简体" w:cs="方正小标宋简体"/>
          <w:sz w:val="48"/>
          <w:szCs w:val="48"/>
          <w:lang w:eastAsia="zh-CN"/>
        </w:rPr>
        <w:t>2024年度中方产业开发区大数据及产业互联网中心项目支出</w:t>
      </w:r>
    </w:p>
    <w:p>
      <w:pPr>
        <w:tabs>
          <w:tab w:val="left" w:pos="8620"/>
        </w:tabs>
        <w:spacing w:before="157" w:line="322" w:lineRule="auto"/>
        <w:ind w:right="182"/>
        <w:jc w:val="center"/>
        <w:rPr>
          <w:rFonts w:ascii="方正小标宋简体" w:hAnsi="方正小标宋简体" w:eastAsia="方正小标宋简体" w:cs="方正小标宋简体"/>
          <w:sz w:val="48"/>
          <w:szCs w:val="48"/>
          <w:lang w:eastAsia="zh-CN"/>
        </w:rPr>
      </w:pPr>
      <w:r>
        <w:rPr>
          <w:rFonts w:hint="eastAsia" w:ascii="方正小标宋简体" w:hAnsi="方正小标宋简体" w:eastAsia="方正小标宋简体" w:cs="方正小标宋简体"/>
          <w:spacing w:val="-10"/>
          <w:sz w:val="48"/>
          <w:szCs w:val="48"/>
          <w:lang w:eastAsia="zh-CN"/>
        </w:rPr>
        <w:t>绩效自评报告</w:t>
      </w: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spacing w:before="111" w:line="374" w:lineRule="auto"/>
        <w:ind w:right="622" w:firstLine="846" w:firstLineChars="300"/>
        <w:jc w:val="both"/>
        <w:rPr>
          <w:rFonts w:ascii="楷体" w:hAnsi="楷体" w:eastAsia="楷体" w:cs="楷体"/>
          <w:sz w:val="34"/>
          <w:szCs w:val="34"/>
          <w:lang w:eastAsia="zh-CN"/>
        </w:rPr>
      </w:pPr>
      <w:r>
        <w:rPr>
          <w:rFonts w:hint="eastAsia" w:ascii="楷体" w:hAnsi="楷体" w:eastAsia="楷体" w:cs="楷体"/>
          <w:spacing w:val="-29"/>
          <w:sz w:val="34"/>
          <w:szCs w:val="34"/>
          <w:lang w:eastAsia="zh-CN"/>
        </w:rPr>
        <w:t>部门（单位）名称</w:t>
      </w:r>
      <w:r>
        <w:rPr>
          <w:rFonts w:ascii="楷体" w:hAnsi="楷体" w:eastAsia="楷体" w:cs="楷体"/>
          <w:spacing w:val="-29"/>
          <w:sz w:val="34"/>
          <w:szCs w:val="34"/>
          <w:lang w:eastAsia="zh-CN"/>
        </w:rPr>
        <w:t>：</w:t>
      </w:r>
      <w:r>
        <w:rPr>
          <w:rFonts w:hint="eastAsia" w:ascii="楷体" w:hAnsi="楷体" w:eastAsia="楷体" w:cs="楷体"/>
          <w:spacing w:val="-83"/>
          <w:sz w:val="34"/>
          <w:szCs w:val="34"/>
          <w:u w:val="single"/>
          <w:lang w:val="en-US" w:eastAsia="zh-CN"/>
        </w:rPr>
        <w:t>中方县城乡建设开发投资有限公司</w:t>
      </w:r>
      <w:r>
        <w:rPr>
          <w:rFonts w:ascii="楷体" w:hAnsi="楷体" w:eastAsia="楷体" w:cs="楷体"/>
          <w:spacing w:val="-29"/>
          <w:sz w:val="34"/>
          <w:szCs w:val="34"/>
          <w:u w:val="single"/>
          <w:lang w:eastAsia="zh-CN"/>
        </w:rPr>
        <w:t xml:space="preserve"> </w:t>
      </w:r>
      <w:r>
        <w:rPr>
          <w:rFonts w:ascii="楷体" w:hAnsi="楷体" w:eastAsia="楷体" w:cs="楷体"/>
          <w:sz w:val="34"/>
          <w:szCs w:val="34"/>
          <w:lang w:eastAsia="zh-CN"/>
        </w:rPr>
        <w:t xml:space="preserve"> </w:t>
      </w:r>
    </w:p>
    <w:p>
      <w:pPr>
        <w:spacing w:before="111" w:line="374" w:lineRule="auto"/>
        <w:ind w:left="2100" w:leftChars="1000" w:right="2875"/>
        <w:jc w:val="center"/>
        <w:rPr>
          <w:rFonts w:ascii="楷体" w:hAnsi="楷体" w:eastAsia="楷体" w:cs="楷体"/>
          <w:sz w:val="25"/>
          <w:szCs w:val="25"/>
          <w:lang w:eastAsia="zh-CN"/>
        </w:rPr>
      </w:pPr>
      <w:r>
        <w:rPr>
          <w:rFonts w:hint="eastAsia" w:ascii="楷体" w:hAnsi="楷体" w:eastAsia="楷体" w:cs="楷体"/>
          <w:spacing w:val="-11"/>
          <w:sz w:val="32"/>
          <w:szCs w:val="32"/>
          <w:lang w:eastAsia="zh-CN"/>
        </w:rPr>
        <w:t xml:space="preserve">         </w:t>
      </w:r>
      <w:r>
        <w:rPr>
          <w:rFonts w:hint="eastAsia" w:ascii="楷体" w:hAnsi="楷体" w:eastAsia="楷体" w:cs="楷体"/>
          <w:spacing w:val="-11"/>
          <w:sz w:val="32"/>
          <w:szCs w:val="32"/>
          <w:lang w:val="en-US" w:eastAsia="zh-CN"/>
        </w:rPr>
        <w:t>2025</w:t>
      </w:r>
      <w:r>
        <w:rPr>
          <w:rFonts w:ascii="楷体" w:hAnsi="楷体" w:eastAsia="楷体" w:cs="楷体"/>
          <w:spacing w:val="-11"/>
          <w:sz w:val="32"/>
          <w:szCs w:val="32"/>
          <w:lang w:eastAsia="zh-CN"/>
        </w:rPr>
        <w:t>年</w:t>
      </w:r>
      <w:r>
        <w:rPr>
          <w:rFonts w:hint="eastAsia" w:ascii="楷体" w:hAnsi="楷体" w:eastAsia="楷体" w:cs="楷体"/>
          <w:spacing w:val="11"/>
          <w:sz w:val="32"/>
          <w:szCs w:val="32"/>
          <w:lang w:val="en-US" w:eastAsia="zh-CN"/>
        </w:rPr>
        <w:t>3</w:t>
      </w:r>
      <w:r>
        <w:rPr>
          <w:rFonts w:ascii="楷体" w:hAnsi="楷体" w:eastAsia="楷体" w:cs="楷体"/>
          <w:spacing w:val="-11"/>
          <w:sz w:val="32"/>
          <w:szCs w:val="32"/>
          <w:lang w:eastAsia="zh-CN"/>
        </w:rPr>
        <w:t>月</w:t>
      </w:r>
      <w:r>
        <w:rPr>
          <w:rFonts w:hint="eastAsia" w:ascii="楷体" w:hAnsi="楷体" w:eastAsia="楷体" w:cs="楷体"/>
          <w:spacing w:val="26"/>
          <w:sz w:val="32"/>
          <w:szCs w:val="32"/>
          <w:lang w:val="en-US" w:eastAsia="zh-CN"/>
        </w:rPr>
        <w:t>27</w:t>
      </w:r>
      <w:r>
        <w:rPr>
          <w:rFonts w:ascii="楷体" w:hAnsi="楷体" w:eastAsia="楷体" w:cs="楷体"/>
          <w:spacing w:val="-11"/>
          <w:sz w:val="32"/>
          <w:szCs w:val="32"/>
          <w:lang w:eastAsia="zh-CN"/>
        </w:rPr>
        <w:t>日</w:t>
      </w:r>
    </w:p>
    <w:p>
      <w:pPr>
        <w:pStyle w:val="2"/>
        <w:rPr>
          <w:rFonts w:ascii="楷体" w:hAnsi="楷体" w:eastAsia="楷体" w:cs="楷体"/>
          <w:sz w:val="25"/>
          <w:szCs w:val="25"/>
          <w:lang w:eastAsia="zh-CN"/>
        </w:rPr>
      </w:pPr>
    </w:p>
    <w:p>
      <w:pPr>
        <w:pStyle w:val="2"/>
        <w:rPr>
          <w:rFonts w:ascii="楷体" w:hAnsi="楷体" w:eastAsia="楷体" w:cs="楷体"/>
          <w:sz w:val="25"/>
          <w:szCs w:val="25"/>
          <w:lang w:eastAsia="zh-CN"/>
        </w:rPr>
      </w:pPr>
    </w:p>
    <w:p>
      <w:pPr>
        <w:pStyle w:val="2"/>
        <w:rPr>
          <w:rFonts w:ascii="楷体" w:hAnsi="楷体" w:eastAsia="楷体" w:cs="楷体"/>
          <w:sz w:val="25"/>
          <w:szCs w:val="25"/>
          <w:lang w:eastAsia="zh-CN"/>
        </w:rPr>
      </w:pPr>
    </w:p>
    <w:p>
      <w:pPr>
        <w:jc w:val="both"/>
        <w:rPr>
          <w:rFonts w:eastAsia="仿宋_GB2312"/>
          <w:sz w:val="32"/>
          <w:szCs w:val="32"/>
          <w:lang w:eastAsia="zh-CN"/>
        </w:rPr>
      </w:pPr>
    </w:p>
    <w:p>
      <w:pPr>
        <w:jc w:val="center"/>
        <w:rPr>
          <w:rFonts w:eastAsia="仿宋_GB2312"/>
          <w:sz w:val="32"/>
          <w:szCs w:val="32"/>
          <w:lang w:eastAsia="zh-CN"/>
        </w:rPr>
      </w:pPr>
    </w:p>
    <w:p>
      <w:pPr>
        <w:pStyle w:val="2"/>
        <w:rPr>
          <w:rFonts w:ascii="楷体" w:hAnsi="楷体" w:eastAsia="楷体" w:cs="楷体"/>
          <w:sz w:val="25"/>
          <w:szCs w:val="25"/>
          <w:lang w:eastAsia="zh-CN"/>
        </w:rPr>
        <w:sectPr>
          <w:footerReference r:id="rId3" w:type="default"/>
          <w:pgSz w:w="11900" w:h="16830"/>
          <w:pgMar w:top="1430" w:right="1785" w:bottom="1074" w:left="1313" w:header="0" w:footer="939" w:gutter="0"/>
          <w:pgNumType w:fmt="numberInDash"/>
          <w:cols w:space="720" w:num="1"/>
        </w:sectPr>
      </w:pPr>
    </w:p>
    <w:p>
      <w:pPr>
        <w:pStyle w:val="6"/>
        <w:spacing w:line="224" w:lineRule="auto"/>
        <w:ind w:firstLine="278" w:firstLineChars="100"/>
        <w:rPr>
          <w:spacing w:val="19"/>
          <w:sz w:val="24"/>
          <w:szCs w:val="24"/>
          <w:lang w:eastAsia="zh-CN"/>
        </w:rPr>
      </w:pPr>
    </w:p>
    <w:p>
      <w:pPr>
        <w:pStyle w:val="4"/>
        <w:kinsoku/>
        <w:autoSpaceDE/>
        <w:autoSpaceDN/>
        <w:spacing w:line="560" w:lineRule="exact"/>
        <w:textAlignment w:val="auto"/>
        <w:rPr>
          <w:rFonts w:hint="eastAsia" w:ascii="方正小标宋_GBK" w:hAnsi="方正小标宋_GBK" w:cs="方正小标宋_GBK"/>
          <w:b/>
          <w:bCs/>
          <w:lang w:eastAsia="zh-CN"/>
        </w:rPr>
      </w:pPr>
      <w:r>
        <w:rPr>
          <w:rFonts w:hint="eastAsia" w:ascii="方正小标宋_GBK" w:hAnsi="方正小标宋_GBK" w:cs="方正小标宋_GBK"/>
          <w:b/>
          <w:bCs/>
          <w:lang w:eastAsia="zh-CN"/>
        </w:rPr>
        <w:t>中方产业开发区大数据及产业互联网中心项目支出绩效自评报告</w:t>
      </w:r>
    </w:p>
    <w:p>
      <w:pPr>
        <w:kinsoku/>
        <w:autoSpaceDE/>
        <w:autoSpaceDN/>
        <w:spacing w:line="480" w:lineRule="exact"/>
        <w:jc w:val="center"/>
        <w:textAlignment w:val="auto"/>
        <w:rPr>
          <w:rFonts w:ascii="楷体" w:hAnsi="楷体" w:eastAsia="楷体" w:cs="楷体"/>
          <w:bCs/>
          <w:sz w:val="32"/>
          <w:szCs w:val="32"/>
          <w:lang w:eastAsia="zh-CN"/>
        </w:rPr>
      </w:pPr>
    </w:p>
    <w:p>
      <w:pPr>
        <w:spacing w:line="400" w:lineRule="exact"/>
        <w:rPr>
          <w:lang w:eastAsia="zh-CN"/>
        </w:rPr>
      </w:pPr>
    </w:p>
    <w:p>
      <w:pPr>
        <w:spacing w:line="560" w:lineRule="exact"/>
        <w:ind w:firstLine="640" w:firstLineChars="200"/>
        <w:outlineLvl w:val="0"/>
        <w:rPr>
          <w:rFonts w:hint="eastAsia" w:ascii="仿宋" w:hAnsi="仿宋" w:eastAsia="仿宋" w:cs="仿宋"/>
          <w:sz w:val="32"/>
          <w:szCs w:val="32"/>
          <w:lang w:eastAsia="zh-CN"/>
        </w:rPr>
      </w:pPr>
      <w:r>
        <w:rPr>
          <w:rFonts w:hint="eastAsia" w:ascii="仿宋" w:hAnsi="仿宋" w:eastAsia="仿宋" w:cs="仿宋"/>
          <w:sz w:val="32"/>
          <w:szCs w:val="32"/>
          <w:lang w:eastAsia="zh-CN"/>
        </w:rPr>
        <w:t>根据中方县财政局《关于开展中方县2024年度部门整体支出及项目支出绩效自评工作的通知》中财绩〔2025〕38号文件精神，我</w:t>
      </w:r>
      <w:r>
        <w:rPr>
          <w:rFonts w:hint="eastAsia" w:ascii="仿宋" w:hAnsi="仿宋" w:eastAsia="仿宋" w:cs="仿宋"/>
          <w:sz w:val="32"/>
          <w:szCs w:val="32"/>
          <w:lang w:val="en-US" w:eastAsia="zh-CN"/>
        </w:rPr>
        <w:t>公司</w:t>
      </w:r>
      <w:r>
        <w:rPr>
          <w:rFonts w:hint="eastAsia" w:ascii="仿宋" w:hAnsi="仿宋" w:eastAsia="仿宋" w:cs="仿宋"/>
          <w:sz w:val="32"/>
          <w:szCs w:val="32"/>
          <w:lang w:eastAsia="zh-CN"/>
        </w:rPr>
        <w:t>对中方产业开发区大数据及产业互联网中心项目支出绩效情况进行了全面综合评价：</w:t>
      </w:r>
    </w:p>
    <w:p>
      <w:pPr>
        <w:spacing w:line="560" w:lineRule="exact"/>
        <w:ind w:firstLine="652" w:firstLineChars="200"/>
        <w:outlineLvl w:val="0"/>
        <w:rPr>
          <w:rFonts w:ascii="黑体" w:hAnsi="黑体" w:eastAsia="黑体" w:cs="黑体"/>
          <w:spacing w:val="3"/>
          <w:sz w:val="32"/>
          <w:szCs w:val="32"/>
          <w:lang w:eastAsia="zh-CN"/>
        </w:rPr>
      </w:pPr>
      <w:r>
        <w:rPr>
          <w:rFonts w:ascii="黑体" w:hAnsi="黑体" w:eastAsia="黑体" w:cs="黑体"/>
          <w:spacing w:val="3"/>
          <w:sz w:val="32"/>
          <w:szCs w:val="32"/>
          <w:lang w:eastAsia="zh-CN"/>
        </w:rPr>
        <w:t>一、项目基本情况</w:t>
      </w:r>
    </w:p>
    <w:p>
      <w:pPr>
        <w:spacing w:line="560" w:lineRule="exact"/>
        <w:ind w:firstLine="712" w:firstLineChars="200"/>
        <w:outlineLvl w:val="0"/>
        <w:rPr>
          <w:rFonts w:hint="eastAsia" w:ascii="楷体_GB2312" w:hAnsi="楷体_GB2312" w:eastAsia="楷体_GB2312" w:cs="楷体_GB2312"/>
          <w:spacing w:val="18"/>
          <w:sz w:val="32"/>
          <w:szCs w:val="32"/>
          <w:lang w:eastAsia="zh-CN"/>
        </w:rPr>
      </w:pPr>
      <w:r>
        <w:rPr>
          <w:rFonts w:hint="eastAsia" w:ascii="楷体_GB2312" w:hAnsi="楷体_GB2312" w:eastAsia="楷体_GB2312" w:cs="楷体_GB2312"/>
          <w:spacing w:val="18"/>
          <w:sz w:val="32"/>
          <w:szCs w:val="32"/>
          <w:lang w:eastAsia="zh-CN"/>
        </w:rPr>
        <w:t>(一)项目概况</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70" w:firstLineChars="200"/>
        <w:jc w:val="both"/>
        <w:textAlignment w:val="auto"/>
        <w:rPr>
          <w:rFonts w:hint="eastAsia" w:ascii="仿宋" w:hAnsi="仿宋" w:eastAsia="仿宋" w:cs="仿宋"/>
          <w:b/>
          <w:bCs/>
          <w:snapToGrid w:val="0"/>
          <w:color w:val="000000"/>
          <w:spacing w:val="7"/>
          <w:sz w:val="32"/>
          <w:szCs w:val="32"/>
          <w:lang w:val="en-US" w:eastAsia="zh-CN" w:bidi="ar-SA"/>
        </w:rPr>
      </w:pPr>
      <w:r>
        <w:rPr>
          <w:rFonts w:hint="eastAsia" w:ascii="仿宋" w:hAnsi="仿宋" w:eastAsia="仿宋" w:cs="仿宋"/>
          <w:b/>
          <w:bCs/>
          <w:snapToGrid w:val="0"/>
          <w:color w:val="000000"/>
          <w:spacing w:val="7"/>
          <w:sz w:val="32"/>
          <w:szCs w:val="32"/>
          <w:lang w:val="en-US" w:eastAsia="zh-CN" w:bidi="ar-SA"/>
        </w:rPr>
        <w:t>1.项目决策背景</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数据是国家基础战略性资源和重要生产要素。加快构建全国一体化大数据中心协同创新体系，是贯彻落实党中央、国务院决策部署的具体举措。</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2015</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年</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9</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月，《国务院关于印发促进大数据发展行动纲要的通知》指出，数据已成为国家基础性战略资源，要全面推进我国大数据发展和应用，加快建设数据强国。党的十八大以来，我国数字经济蓬勃发展，对构建现代化经济体系、实现高质量发展的支撑作用不断凸显。随着各行业数字化转型升级进度加快，特别是</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5G</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等新技术的快速普及应用，全社会数据总量爆发式增长，数据资源存储、计算和应用需求大幅提升，迫切需要推动数据中心合理布局、供需平衡、绿色集约和互联互通，构建数据中心、云计算、大数据一体化的新型算力网络体系，促进数据要素流通应用，实现数据中心绿色高质量发展。</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中方县湘商文化科技产业园是</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2009</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年湖南</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湘商寻祖</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活动的重要成果之一，于</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2009</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年</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5</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月</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29</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日奠基开工，同年</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9</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月</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28</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日在</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“2009</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湖南省经贸洽谈会暨第三届湘商大会</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上由省领导亲自授牌。园区规划面积</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3</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平方公里，计划总投资</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50</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亿元。重点培育先进装备制造、印刷包装、食品加工和现代商贸物流等产业。目前已有恒裕实业、五新机械、宇隆超微漆包线等</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82</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家企业入驻，其中：规模企业达</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30</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家，园区企业拥有</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60</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余项国际国内领先专利技术，获批高新技术企业</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13</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家，高新技术企业占比</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40%</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。近年来中方县县委、县政府按照</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两极一圈</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战略部署，认真落实产业及产业园区</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三年倍增</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和</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三年提升</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计划，全力以赴大招商、大建设、大服务、大发展，园区大力实施</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三高四新</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战略和专业化园区发展，并取得显著成效，成为产业转型升级的示范区和县域经济发展的核心增长极，截止到</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2020</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年底，中方县湘商产业园入驻企业</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82</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家，其中规模企业</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30</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家，限上批零企业</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家；园区企业完成技工贸总收入</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36.7</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亿元，同比增长</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8.76%</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；完成规模工业增加值</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9.88</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亿元，同比增长</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5.3%</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，在综合实力、总量规模、创新能力等方面实现重大突破。</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但是，由于经济、规划、技术等多方面因素影响，中方县的大数据及产业互联网处于起步阶段，还未建立集信息、咨询、宣传、商务、公共服务、应急处置、服务监管等为一体的服务大数据平台；而且，随着中方县工业社会经济的快速发展，现有的数据服务已经远远不能满足企业服务需求；同时中方县城镇化及工业化水平的不断提升，入园企业增多，产业人口的集聚，园区综合服务配套功能滞后的矛盾也更加显现，园区产业孵化、科技创新、大数据及产业互联网等设施不足，导致园区专业化建设水平较低，不仅给园区入驻企业带来极大不便，而且致使园区产业缺乏配套支撑，无法发挥园区资源优势，在一定程度上制约着园区的进一步发展。</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所以，本项目是根据相关规划及政策要求，结合中方县信息产业发展现状，为进一步改善中方县信息产业发展环境、提高大数据及产业互联网行业服务质量，实现产业的智能化、科技化、便捷化，引导中小企业健康发展，为企业产品研发、企业运行提供必要的服务保障，建立社会化、市场化、专业化的公共服务体系和长效机制，增强产业集中度和聚集效应，做强做大工业经济总量，加快推进中方县工业转型升级，推动中方县经济高质量发展而提出的。</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70" w:firstLineChars="200"/>
        <w:jc w:val="both"/>
        <w:textAlignment w:val="auto"/>
        <w:rPr>
          <w:rFonts w:hint="eastAsia" w:ascii="仿宋" w:hAnsi="仿宋" w:eastAsia="仿宋" w:cs="仿宋"/>
          <w:b/>
          <w:bCs/>
          <w:snapToGrid w:val="0"/>
          <w:color w:val="000000"/>
          <w:spacing w:val="7"/>
          <w:sz w:val="32"/>
          <w:szCs w:val="32"/>
          <w:lang w:val="en-US" w:eastAsia="zh-CN" w:bidi="ar-SA"/>
        </w:rPr>
      </w:pPr>
      <w:r>
        <w:rPr>
          <w:rFonts w:hint="eastAsia" w:ascii="仿宋" w:hAnsi="仿宋" w:eastAsia="仿宋" w:cs="仿宋"/>
          <w:b/>
          <w:bCs/>
          <w:snapToGrid w:val="0"/>
          <w:color w:val="000000"/>
          <w:spacing w:val="7"/>
          <w:sz w:val="32"/>
          <w:szCs w:val="32"/>
          <w:lang w:val="en-US" w:eastAsia="zh-CN" w:bidi="ar-SA"/>
        </w:rPr>
        <w:t>2.项目的主要内容、实施依据</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根据相关发展规划，结合项目拟建地的实际情况，项目规划总用地面33570.43㎡，约5</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0</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亩，总建筑面积</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35000m2</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，其中总部经济中心</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9000m2</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，产业孵化中心</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12000m2</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，科技创新中心</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12000m2</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，数据中心机房</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2000m2</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，容积率</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2.63</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，绿地率</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40%</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，建筑密度</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35%</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；同时完成给排水、供配电、消防、道路广场、绿化及设备等基础配套设施工程。</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实施依据：</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1</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）《建设项目经济评价方法与参数》（第三版）及国家现行财税制度和价格体系；</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 xml:space="preserve">）《建设项目可行性研究报告内容和深度的规定》； </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3</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）《国民经济和社会发展第十四个五年规划和</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2035</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年远景目标纲要》；</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4</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）《关于进一步促进产业集群发展的指导意见》（工信部企业〔</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2015</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236</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号）；</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5</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）《关于加快构建全国一体化大数据中心协同创新体系的指导意见》发改高技〔</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2020</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1922</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号；</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6</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）《湖南省国民经济和社会发展第十四个五年规划和</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2035</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年远景目标纲要》；</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7</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）《湖南省人民政府关于推进全省产业园区高质量发展的实施意见》（湘政发〔</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2020</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13</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号）；</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8</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）《湖南省制造业创新能力提升三年行动计划（</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2021—2023</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）》（湘工信科技〔</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2020</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510</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号）；</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9</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）《湘南湘西承接产业转移示范区发展规划》（湘政发〔</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2020</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4</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 xml:space="preserve">号）； </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10</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）《湖南省人民政府办公厅关于加快推进产业园区改革和创新发展的实施意见》（湘政办发〔</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2018</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11</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）《关于进一步提升工业新兴优势产业链现代化水平的意见》（湘办发〔</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2020</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7</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号）；</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12</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）《怀化市国民经济和社会发展第十四个五年规划和</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2035</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年远景目标纲要》（</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2021.01</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13</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）《关于提升产业链供应链稳定性和竞争力的实施意见》（怀发电〔</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2020</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10</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号）</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14</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）《关于加快怀化市工业新兴优势产业链发展的实施方案》（怀政办发〔</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2021</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5</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号）；</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w:t>
      </w:r>
      <w:r>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15</w:t>
      </w: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）国家的其他各有关专业设计规范及项目建设单位提供的基础资料。</w:t>
      </w:r>
    </w:p>
    <w:p>
      <w:pPr>
        <w:pStyle w:val="6"/>
        <w:spacing w:line="560" w:lineRule="exact"/>
        <w:ind w:firstLine="670" w:firstLineChars="200"/>
        <w:rPr>
          <w:rFonts w:hint="eastAsia"/>
          <w:b/>
          <w:bCs/>
          <w:spacing w:val="7"/>
          <w:sz w:val="32"/>
          <w:szCs w:val="32"/>
          <w:lang w:val="en-US" w:eastAsia="zh-CN"/>
        </w:rPr>
      </w:pPr>
      <w:r>
        <w:rPr>
          <w:rFonts w:hint="eastAsia"/>
          <w:b/>
          <w:bCs/>
          <w:spacing w:val="7"/>
          <w:sz w:val="32"/>
          <w:szCs w:val="32"/>
          <w:lang w:val="en-US" w:eastAsia="zh-CN"/>
        </w:rPr>
        <w:t>3.项目组织管理机构</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为确保项目的顺利实施和有效管理，我公司成立了由总经理担任组长，副总经理担任副组长，各部室负责人为成员的项目工作领导小组和绩效评价工作小组。项目工作领导小组负责项目的统筹规划、协调指导、监督检查等工作，定期召开会议研究解决项目实施过程中遇到的重大问题。同时，明确了各部室职责分工，形成了各司其职、密切配合、协同推进的工作格局。项目工作小组负责管理制度和工作流程，对项目的立项申报、组织实施、资金管理、监督检查、等环节进行了规范和约束，确保项目实施的科学性、规范性和有效性，绩效评价工作小组负责项目绩效自评工作，及项目实施前的绩效评估相关事项。</w:t>
      </w:r>
    </w:p>
    <w:p>
      <w:pPr>
        <w:pStyle w:val="10"/>
        <w:shd w:val="clear" w:color="auto" w:fill="FFFFFF"/>
        <w:kinsoku/>
        <w:autoSpaceDE/>
        <w:autoSpaceDN/>
        <w:adjustRightInd/>
        <w:spacing w:beforeAutospacing="0" w:afterAutospacing="0" w:line="520" w:lineRule="exact"/>
        <w:ind w:firstLine="640" w:firstLineChars="200"/>
        <w:jc w:val="both"/>
        <w:textAlignment w:val="auto"/>
        <w:rPr>
          <w:rFonts w:hint="eastAsia" w:ascii="楷体_GB2312" w:hAnsi="楷体_GB2312" w:eastAsia="楷体_GB2312" w:cs="楷体_GB2312"/>
          <w:sz w:val="32"/>
          <w:szCs w:val="32"/>
          <w:shd w:val="clear" w:color="auto" w:fill="FFFFFF"/>
        </w:rPr>
      </w:pPr>
      <w:r>
        <w:rPr>
          <w:rFonts w:hint="eastAsia" w:ascii="楷体_GB2312" w:hAnsi="楷体_GB2312" w:eastAsia="楷体_GB2312" w:cs="楷体_GB2312"/>
          <w:sz w:val="32"/>
          <w:szCs w:val="32"/>
          <w:shd w:val="clear" w:color="auto" w:fill="FFFFFF"/>
        </w:rPr>
        <w:t>（二）预算资金使用管理情况</w:t>
      </w:r>
    </w:p>
    <w:p>
      <w:pPr>
        <w:widowControl w:val="0"/>
        <w:kinsoku/>
        <w:autoSpaceDE/>
        <w:autoSpaceDN/>
        <w:adjustRightInd/>
        <w:spacing w:line="520" w:lineRule="exact"/>
        <w:ind w:firstLine="642" w:firstLineChars="200"/>
        <w:textAlignment w:val="auto"/>
        <w:outlineLvl w:val="1"/>
        <w:rPr>
          <w:rFonts w:hint="eastAsia" w:ascii="仿宋" w:hAnsi="仿宋" w:eastAsia="仿宋" w:cs="仿宋"/>
          <w:b/>
          <w:bCs/>
          <w:kern w:val="44"/>
          <w:sz w:val="32"/>
          <w:szCs w:val="32"/>
          <w:lang w:eastAsia="zh-CN"/>
        </w:rPr>
      </w:pPr>
      <w:bookmarkStart w:id="0" w:name="_Toc10810"/>
      <w:r>
        <w:rPr>
          <w:rFonts w:hint="eastAsia" w:ascii="仿宋" w:hAnsi="仿宋" w:eastAsia="仿宋" w:cs="仿宋"/>
          <w:b/>
          <w:bCs/>
          <w:kern w:val="44"/>
          <w:sz w:val="32"/>
          <w:szCs w:val="32"/>
          <w:lang w:eastAsia="zh-CN"/>
        </w:rPr>
        <w:t>1.预算资金安排及管理情况</w:t>
      </w:r>
      <w:bookmarkEnd w:id="0"/>
    </w:p>
    <w:p>
      <w:pPr>
        <w:pStyle w:val="10"/>
        <w:shd w:val="clear" w:color="auto" w:fill="FFFFFF"/>
        <w:kinsoku/>
        <w:autoSpaceDE/>
        <w:autoSpaceDN/>
        <w:adjustRightInd/>
        <w:spacing w:beforeAutospacing="0" w:afterAutospacing="0" w:line="520" w:lineRule="exact"/>
        <w:ind w:firstLine="642" w:firstLineChars="200"/>
        <w:jc w:val="both"/>
        <w:textAlignment w:val="auto"/>
        <w:rPr>
          <w:rFonts w:hint="eastAsia" w:ascii="仿宋" w:hAnsi="仿宋" w:eastAsia="仿宋" w:cs="仿宋"/>
          <w:b/>
          <w:bCs/>
          <w:kern w:val="44"/>
          <w:sz w:val="32"/>
          <w:szCs w:val="32"/>
        </w:rPr>
      </w:pPr>
      <w:r>
        <w:rPr>
          <w:rFonts w:hint="eastAsia" w:ascii="仿宋" w:hAnsi="仿宋" w:eastAsia="仿宋" w:cs="仿宋"/>
          <w:b/>
          <w:bCs/>
          <w:kern w:val="44"/>
          <w:sz w:val="32"/>
          <w:szCs w:val="32"/>
        </w:rPr>
        <w:t>（1）资金来源及拨付流程</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资金来源为申请政府专项债券和地方财政配套资金。该项目所有资金实行专款专用。项目支出均有相关的授权审批，资金拨付严格审批程序，使用规范，会计核算结果真实、准确。建立健全项目实施预算方案、财务管理制度和会计核算制度。</w:t>
      </w:r>
    </w:p>
    <w:p>
      <w:pPr>
        <w:pStyle w:val="10"/>
        <w:shd w:val="clear" w:color="auto" w:fill="FFFFFF"/>
        <w:kinsoku/>
        <w:autoSpaceDE/>
        <w:autoSpaceDN/>
        <w:adjustRightInd/>
        <w:spacing w:beforeAutospacing="0" w:afterAutospacing="0" w:line="520" w:lineRule="exact"/>
        <w:ind w:firstLine="642" w:firstLineChars="200"/>
        <w:jc w:val="both"/>
        <w:textAlignment w:val="auto"/>
        <w:rPr>
          <w:rFonts w:ascii="仿宋_GB2312" w:eastAsia="仿宋_GB2312" w:cs="仿宋_GB2312" w:hAnsiTheme="minorHAnsi"/>
          <w:b/>
          <w:bCs/>
          <w:sz w:val="32"/>
          <w:szCs w:val="32"/>
          <w:shd w:val="clear" w:color="auto" w:fill="FFFFFF"/>
        </w:rPr>
      </w:pPr>
      <w:r>
        <w:rPr>
          <w:rFonts w:ascii="仿宋_GB2312" w:eastAsia="仿宋_GB2312" w:cs="仿宋_GB2312" w:hAnsiTheme="minorHAnsi"/>
          <w:b/>
          <w:bCs/>
          <w:sz w:val="32"/>
          <w:szCs w:val="32"/>
          <w:shd w:val="clear" w:color="auto" w:fill="FFFFFF"/>
        </w:rPr>
        <w:t>（2）资金到位情况</w:t>
      </w:r>
    </w:p>
    <w:p>
      <w:pPr>
        <w:pStyle w:val="10"/>
        <w:shd w:val="clear" w:color="auto" w:fill="FFFFFF"/>
        <w:kinsoku/>
        <w:autoSpaceDE/>
        <w:autoSpaceDN/>
        <w:adjustRightInd/>
        <w:spacing w:beforeAutospacing="0" w:afterAutospacing="0" w:line="520" w:lineRule="exact"/>
        <w:ind w:firstLine="640" w:firstLineChars="200"/>
        <w:jc w:val="both"/>
        <w:textAlignment w:val="auto"/>
        <w:rPr>
          <w:rFonts w:hint="eastAsia" w:ascii="仿宋" w:hAnsi="仿宋" w:eastAsia="仿宋" w:cs="仿宋"/>
          <w:kern w:val="44"/>
          <w:sz w:val="32"/>
          <w:szCs w:val="32"/>
          <w:lang w:eastAsia="zh-CN"/>
        </w:rPr>
      </w:pPr>
      <w:r>
        <w:rPr>
          <w:rFonts w:hint="eastAsia" w:ascii="仿宋" w:hAnsi="仿宋" w:eastAsia="仿宋" w:cs="仿宋"/>
          <w:kern w:val="44"/>
          <w:sz w:val="32"/>
          <w:szCs w:val="32"/>
        </w:rPr>
        <w:t>截至2024年12月31日，</w:t>
      </w:r>
      <w:r>
        <w:rPr>
          <w:rFonts w:hint="eastAsia" w:ascii="仿宋" w:hAnsi="仿宋" w:eastAsia="仿宋" w:cs="仿宋"/>
          <w:kern w:val="44"/>
          <w:sz w:val="32"/>
          <w:szCs w:val="32"/>
          <w:lang w:val="en-US" w:eastAsia="zh-CN"/>
        </w:rPr>
        <w:t>政府专项债券到位资金 8200万元，</w:t>
      </w:r>
      <w:r>
        <w:rPr>
          <w:rFonts w:hint="eastAsia" w:ascii="仿宋" w:hAnsi="仿宋" w:eastAsia="仿宋" w:cs="仿宋"/>
          <w:kern w:val="44"/>
          <w:sz w:val="32"/>
          <w:szCs w:val="32"/>
        </w:rPr>
        <w:t>到位情况良好，各项资金都能按照计划按时足额到位，为项目的持续稳定开展提供了充足的财力支持，资金到位率100%</w:t>
      </w:r>
      <w:r>
        <w:rPr>
          <w:rFonts w:hint="eastAsia" w:ascii="仿宋" w:hAnsi="仿宋" w:eastAsia="仿宋" w:cs="仿宋"/>
          <w:kern w:val="44"/>
          <w:sz w:val="32"/>
          <w:szCs w:val="32"/>
          <w:lang w:eastAsia="zh-CN"/>
        </w:rPr>
        <w:t>。</w:t>
      </w:r>
    </w:p>
    <w:p>
      <w:pPr>
        <w:pStyle w:val="10"/>
        <w:shd w:val="clear" w:color="auto" w:fill="FFFFFF"/>
        <w:kinsoku/>
        <w:autoSpaceDE/>
        <w:autoSpaceDN/>
        <w:adjustRightInd/>
        <w:spacing w:beforeAutospacing="0" w:afterAutospacing="0" w:line="520" w:lineRule="exact"/>
        <w:ind w:firstLine="642" w:firstLineChars="200"/>
        <w:jc w:val="both"/>
        <w:textAlignment w:val="auto"/>
        <w:rPr>
          <w:rFonts w:ascii="仿宋_GB2312" w:eastAsia="仿宋_GB2312" w:cs="仿宋_GB2312" w:hAnsiTheme="minorHAnsi"/>
          <w:b/>
          <w:bCs/>
          <w:sz w:val="32"/>
          <w:szCs w:val="32"/>
          <w:shd w:val="clear" w:color="auto" w:fill="FFFFFF"/>
        </w:rPr>
      </w:pPr>
      <w:r>
        <w:rPr>
          <w:rFonts w:ascii="仿宋_GB2312" w:eastAsia="仿宋_GB2312" w:cs="仿宋_GB2312" w:hAnsiTheme="minorHAnsi"/>
          <w:b/>
          <w:bCs/>
          <w:sz w:val="32"/>
          <w:szCs w:val="32"/>
          <w:shd w:val="clear" w:color="auto" w:fill="FFFFFF"/>
        </w:rPr>
        <w:t>（</w:t>
      </w:r>
      <w:r>
        <w:rPr>
          <w:rFonts w:hint="eastAsia" w:ascii="仿宋_GB2312" w:eastAsia="仿宋_GB2312" w:cs="仿宋_GB2312" w:hAnsiTheme="minorHAnsi"/>
          <w:b/>
          <w:bCs/>
          <w:sz w:val="32"/>
          <w:szCs w:val="32"/>
          <w:shd w:val="clear" w:color="auto" w:fill="FFFFFF"/>
          <w:lang w:val="en-US" w:eastAsia="zh-CN"/>
        </w:rPr>
        <w:t>3</w:t>
      </w:r>
      <w:r>
        <w:rPr>
          <w:rFonts w:ascii="仿宋_GB2312" w:eastAsia="仿宋_GB2312" w:cs="仿宋_GB2312" w:hAnsiTheme="minorHAnsi"/>
          <w:b/>
          <w:bCs/>
          <w:sz w:val="32"/>
          <w:szCs w:val="32"/>
          <w:shd w:val="clear" w:color="auto" w:fill="FFFFFF"/>
        </w:rPr>
        <w:t>）资金使用情况</w:t>
      </w:r>
    </w:p>
    <w:p>
      <w:pPr>
        <w:pStyle w:val="10"/>
        <w:shd w:val="clear" w:color="auto" w:fill="FFFFFF"/>
        <w:kinsoku/>
        <w:autoSpaceDE/>
        <w:autoSpaceDN/>
        <w:adjustRightInd/>
        <w:spacing w:beforeAutospacing="0" w:afterAutospacing="0" w:line="520" w:lineRule="exact"/>
        <w:ind w:firstLine="640" w:firstLineChars="200"/>
        <w:jc w:val="both"/>
        <w:textAlignment w:val="auto"/>
        <w:rPr>
          <w:rFonts w:hint="eastAsia" w:ascii="仿宋" w:hAnsi="仿宋" w:eastAsia="仿宋" w:cs="仿宋"/>
          <w:kern w:val="44"/>
          <w:sz w:val="32"/>
          <w:szCs w:val="32"/>
        </w:rPr>
      </w:pPr>
      <w:r>
        <w:rPr>
          <w:rFonts w:hint="eastAsia" w:ascii="仿宋" w:hAnsi="仿宋" w:eastAsia="仿宋" w:cs="仿宋"/>
          <w:kern w:val="44"/>
          <w:sz w:val="32"/>
          <w:szCs w:val="32"/>
        </w:rPr>
        <w:t>202</w:t>
      </w:r>
      <w:r>
        <w:rPr>
          <w:rFonts w:hint="eastAsia" w:ascii="仿宋" w:hAnsi="仿宋" w:eastAsia="仿宋" w:cs="仿宋"/>
          <w:kern w:val="44"/>
          <w:sz w:val="32"/>
          <w:szCs w:val="32"/>
          <w:lang w:val="en-US" w:eastAsia="zh-CN"/>
        </w:rPr>
        <w:t>4</w:t>
      </w:r>
      <w:r>
        <w:rPr>
          <w:rFonts w:hint="eastAsia" w:ascii="仿宋" w:hAnsi="仿宋" w:eastAsia="仿宋" w:cs="仿宋"/>
          <w:kern w:val="44"/>
          <w:sz w:val="32"/>
          <w:szCs w:val="32"/>
        </w:rPr>
        <w:t>年，上级下达</w:t>
      </w:r>
      <w:r>
        <w:rPr>
          <w:rFonts w:hint="eastAsia" w:ascii="仿宋" w:hAnsi="仿宋" w:eastAsia="仿宋" w:cs="仿宋"/>
          <w:kern w:val="44"/>
          <w:sz w:val="32"/>
          <w:szCs w:val="32"/>
          <w:lang w:eastAsia="zh-CN"/>
        </w:rPr>
        <w:t>中方产业开发区大数据及产业互联网中心项目</w:t>
      </w:r>
      <w:r>
        <w:rPr>
          <w:rFonts w:hint="eastAsia" w:ascii="仿宋" w:hAnsi="仿宋" w:eastAsia="仿宋" w:cs="仿宋"/>
          <w:kern w:val="44"/>
          <w:sz w:val="32"/>
          <w:szCs w:val="32"/>
          <w:lang w:val="en-US" w:eastAsia="zh-CN"/>
        </w:rPr>
        <w:t>8</w:t>
      </w:r>
      <w:r>
        <w:rPr>
          <w:rFonts w:hint="eastAsia" w:ascii="仿宋" w:hAnsi="仿宋" w:eastAsia="仿宋" w:cs="仿宋"/>
          <w:kern w:val="44"/>
          <w:sz w:val="32"/>
          <w:szCs w:val="32"/>
        </w:rPr>
        <w:t>200万元，该资金全部用于本项目建设。所有资金实行专款专用。</w:t>
      </w:r>
    </w:p>
    <w:p>
      <w:pPr>
        <w:pStyle w:val="10"/>
        <w:shd w:val="clear" w:color="auto" w:fill="FFFFFF"/>
        <w:kinsoku/>
        <w:autoSpaceDE/>
        <w:autoSpaceDN/>
        <w:adjustRightInd/>
        <w:spacing w:beforeAutospacing="0" w:afterAutospacing="0" w:line="520" w:lineRule="exact"/>
        <w:ind w:firstLine="642" w:firstLineChars="200"/>
        <w:jc w:val="both"/>
        <w:textAlignment w:val="auto"/>
        <w:rPr>
          <w:rFonts w:ascii="仿宋_GB2312" w:eastAsia="仿宋_GB2312" w:cs="仿宋_GB2312" w:hAnsiTheme="minorHAnsi"/>
          <w:b/>
          <w:bCs/>
          <w:sz w:val="32"/>
          <w:szCs w:val="32"/>
          <w:shd w:val="clear" w:color="auto" w:fill="FFFFFF"/>
        </w:rPr>
      </w:pPr>
      <w:r>
        <w:rPr>
          <w:rFonts w:ascii="仿宋_GB2312" w:eastAsia="仿宋_GB2312" w:cs="仿宋_GB2312" w:hAnsiTheme="minorHAnsi"/>
          <w:b/>
          <w:bCs/>
          <w:sz w:val="32"/>
          <w:szCs w:val="32"/>
          <w:shd w:val="clear" w:color="auto" w:fill="FFFFFF"/>
        </w:rPr>
        <w:t>（</w:t>
      </w:r>
      <w:r>
        <w:rPr>
          <w:rFonts w:hint="eastAsia" w:ascii="仿宋_GB2312" w:eastAsia="仿宋_GB2312" w:cs="仿宋_GB2312" w:hAnsiTheme="minorHAnsi"/>
          <w:b/>
          <w:bCs/>
          <w:sz w:val="32"/>
          <w:szCs w:val="32"/>
          <w:shd w:val="clear" w:color="auto" w:fill="FFFFFF"/>
          <w:lang w:val="en-US" w:eastAsia="zh-CN"/>
        </w:rPr>
        <w:t>4</w:t>
      </w:r>
      <w:r>
        <w:rPr>
          <w:rFonts w:ascii="仿宋_GB2312" w:eastAsia="仿宋_GB2312" w:cs="仿宋_GB2312" w:hAnsiTheme="minorHAnsi"/>
          <w:b/>
          <w:bCs/>
          <w:sz w:val="32"/>
          <w:szCs w:val="32"/>
          <w:shd w:val="clear" w:color="auto" w:fill="FFFFFF"/>
        </w:rPr>
        <w:t>）资金管理制度及执行情况</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仿宋_GB2312" w:eastAsia="仿宋_GB2312" w:cs="仿宋_GB2312" w:hAnsiTheme="minorHAnsi"/>
          <w:sz w:val="32"/>
          <w:szCs w:val="32"/>
          <w:shd w:val="clear" w:color="auto" w:fill="FFFFFF"/>
          <w:lang w:val="en-US" w:eastAsia="zh-CN"/>
        </w:rPr>
      </w:pPr>
      <w:r>
        <w:rPr>
          <w:rFonts w:hint="eastAsia" w:ascii="仿宋" w:hAnsi="仿宋" w:eastAsia="仿宋" w:cs="仿宋"/>
          <w:kern w:val="44"/>
          <w:sz w:val="32"/>
          <w:szCs w:val="32"/>
          <w:lang w:eastAsia="zh-CN"/>
        </w:rPr>
        <w:t>按照《中方县专项资金管理办法实施细则》，经费由财政局严格审核下拨，程序规范。我</w:t>
      </w:r>
      <w:r>
        <w:rPr>
          <w:rFonts w:hint="eastAsia" w:ascii="仿宋" w:hAnsi="仿宋" w:eastAsia="仿宋" w:cs="仿宋"/>
          <w:kern w:val="44"/>
          <w:sz w:val="32"/>
          <w:szCs w:val="32"/>
          <w:lang w:val="en-US" w:eastAsia="zh-CN"/>
        </w:rPr>
        <w:t>公司</w:t>
      </w:r>
      <w:r>
        <w:rPr>
          <w:rFonts w:hint="eastAsia" w:ascii="仿宋" w:hAnsi="仿宋" w:eastAsia="仿宋" w:cs="仿宋"/>
          <w:kern w:val="44"/>
          <w:sz w:val="32"/>
          <w:szCs w:val="32"/>
          <w:lang w:eastAsia="zh-CN"/>
        </w:rPr>
        <w:t>制定了专项资金管理办法，在项目实施过程中，严格执行各项资金管理制度，确保资金使用合法、合规、合理。具体包括：专项资金实行“专项指标管理、专项项目核算、专项使用”。资金的拨付本着专款专用的原则，严格执行项目资金批准的使用计划和项目批复资料，不准擅自调项、扩项、缩项，更不准拆借、挪用、挤占和随意扣压；资金拨付动向，按不一样专项资金的要求执行，不准任意改变；特殊状况，务必请示。严格专项资金初审、审核制度，不准缺项和越程序办理手续，各类专项资金审批程序，以该专项资金审批表所列资料和文件要求为准。专项资金报账拨付要附真实、有效、合法的凭证。加强审计监督，实行单项工程决算审计，整体项目验收审计。对专项资金定期或不定期进行督查，确保项目资金专款专用，全程参与项目验收和采购项目接交。</w:t>
      </w:r>
    </w:p>
    <w:p>
      <w:pPr>
        <w:widowControl w:val="0"/>
        <w:kinsoku/>
        <w:autoSpaceDE/>
        <w:autoSpaceDN/>
        <w:adjustRightInd/>
        <w:spacing w:line="520" w:lineRule="exact"/>
        <w:ind w:firstLine="642" w:firstLineChars="200"/>
        <w:textAlignment w:val="auto"/>
        <w:outlineLvl w:val="1"/>
        <w:rPr>
          <w:rFonts w:hint="eastAsia" w:ascii="仿宋" w:hAnsi="仿宋" w:eastAsia="仿宋" w:cs="仿宋"/>
          <w:b/>
          <w:bCs/>
          <w:kern w:val="44"/>
          <w:sz w:val="32"/>
          <w:szCs w:val="32"/>
          <w:lang w:val="en-US" w:eastAsia="zh-CN"/>
        </w:rPr>
      </w:pPr>
      <w:r>
        <w:rPr>
          <w:rFonts w:hint="eastAsia" w:ascii="仿宋" w:hAnsi="仿宋" w:eastAsia="仿宋" w:cs="仿宋"/>
          <w:b/>
          <w:bCs/>
          <w:kern w:val="44"/>
          <w:sz w:val="32"/>
          <w:szCs w:val="32"/>
          <w:lang w:val="en-US" w:eastAsia="zh-CN"/>
        </w:rPr>
        <w:t>2.项目组织实施管理情况</w:t>
      </w:r>
    </w:p>
    <w:p>
      <w:pPr>
        <w:pStyle w:val="10"/>
        <w:shd w:val="clear" w:color="auto" w:fill="FFFFFF"/>
        <w:kinsoku/>
        <w:autoSpaceDE/>
        <w:autoSpaceDN/>
        <w:adjustRightInd/>
        <w:spacing w:beforeAutospacing="0" w:afterAutospacing="0" w:line="520" w:lineRule="exact"/>
        <w:ind w:firstLine="800" w:firstLineChars="250"/>
        <w:jc w:val="both"/>
        <w:textAlignment w:val="auto"/>
        <w:rPr>
          <w:rFonts w:ascii="仿宋" w:hAnsi="仿宋" w:eastAsia="仿宋" w:cs="仿宋"/>
          <w:kern w:val="44"/>
          <w:sz w:val="32"/>
          <w:szCs w:val="32"/>
        </w:rPr>
      </w:pPr>
      <w:r>
        <w:rPr>
          <w:rFonts w:hint="eastAsia" w:ascii="仿宋" w:hAnsi="仿宋" w:eastAsia="仿宋" w:cs="仿宋"/>
          <w:kern w:val="44"/>
          <w:sz w:val="32"/>
          <w:szCs w:val="32"/>
          <w:lang w:eastAsia="zh-CN"/>
        </w:rPr>
        <w:t>（</w:t>
      </w:r>
      <w:r>
        <w:rPr>
          <w:rFonts w:hint="eastAsia" w:ascii="仿宋" w:hAnsi="仿宋" w:eastAsia="仿宋" w:cs="仿宋"/>
          <w:kern w:val="44"/>
          <w:sz w:val="32"/>
          <w:szCs w:val="32"/>
        </w:rPr>
        <w:t>1</w:t>
      </w:r>
      <w:r>
        <w:rPr>
          <w:rFonts w:hint="eastAsia" w:ascii="仿宋" w:hAnsi="仿宋" w:eastAsia="仿宋" w:cs="仿宋"/>
          <w:kern w:val="44"/>
          <w:sz w:val="32"/>
          <w:szCs w:val="32"/>
          <w:lang w:eastAsia="zh-CN"/>
        </w:rPr>
        <w:t>）</w:t>
      </w:r>
      <w:r>
        <w:rPr>
          <w:rFonts w:hint="eastAsia" w:ascii="仿宋" w:hAnsi="仿宋" w:eastAsia="仿宋" w:cs="仿宋"/>
          <w:kern w:val="44"/>
          <w:sz w:val="32"/>
          <w:szCs w:val="32"/>
        </w:rPr>
        <w:t>项目实施方案制定：在项目实施前，深入开展调研，充分了解项目需求和目标，结合实际情况，制定详细、科学、可行的项目实施方案。实施方案包括项目的背景、目标、任务、实施步骤、时间安排、资金预算、保障措施等内容，为项目的顺利实施提供了明确的指导和依据。</w:t>
      </w:r>
    </w:p>
    <w:p>
      <w:pPr>
        <w:pStyle w:val="10"/>
        <w:shd w:val="clear" w:color="auto" w:fill="FFFFFF"/>
        <w:kinsoku/>
        <w:autoSpaceDE/>
        <w:autoSpaceDN/>
        <w:adjustRightInd/>
        <w:spacing w:beforeAutospacing="0" w:afterAutospacing="0" w:line="520" w:lineRule="exact"/>
        <w:ind w:firstLine="800" w:firstLineChars="250"/>
        <w:jc w:val="both"/>
        <w:textAlignment w:val="auto"/>
        <w:rPr>
          <w:rFonts w:ascii="仿宋" w:hAnsi="仿宋" w:eastAsia="仿宋" w:cs="仿宋"/>
          <w:kern w:val="44"/>
          <w:sz w:val="32"/>
          <w:szCs w:val="32"/>
        </w:rPr>
      </w:pPr>
      <w:r>
        <w:rPr>
          <w:rFonts w:hint="eastAsia" w:ascii="仿宋" w:hAnsi="仿宋" w:eastAsia="仿宋" w:cs="仿宋"/>
          <w:kern w:val="44"/>
          <w:sz w:val="32"/>
          <w:szCs w:val="32"/>
          <w:lang w:eastAsia="zh-CN"/>
        </w:rPr>
        <w:t>（</w:t>
      </w:r>
      <w:r>
        <w:rPr>
          <w:rFonts w:hint="eastAsia" w:ascii="仿宋" w:hAnsi="仿宋" w:eastAsia="仿宋" w:cs="仿宋"/>
          <w:kern w:val="44"/>
          <w:sz w:val="32"/>
          <w:szCs w:val="32"/>
        </w:rPr>
        <w:t>2</w:t>
      </w:r>
      <w:r>
        <w:rPr>
          <w:rFonts w:hint="eastAsia" w:ascii="仿宋" w:hAnsi="仿宋" w:eastAsia="仿宋" w:cs="仿宋"/>
          <w:kern w:val="44"/>
          <w:sz w:val="32"/>
          <w:szCs w:val="32"/>
          <w:lang w:eastAsia="zh-CN"/>
        </w:rPr>
        <w:t>）</w:t>
      </w:r>
      <w:r>
        <w:rPr>
          <w:rFonts w:hint="eastAsia" w:ascii="仿宋" w:hAnsi="仿宋" w:eastAsia="仿宋" w:cs="仿宋"/>
          <w:kern w:val="44"/>
          <w:sz w:val="32"/>
          <w:szCs w:val="32"/>
        </w:rPr>
        <w:t>项目实施过程监督：建立了完善的项目实施过程监督机制，加强对项目实施进度、质量、资金使用等方面的监督检查。具体措施包括：实行项目进度月报制度，每月定期向</w:t>
      </w:r>
      <w:r>
        <w:rPr>
          <w:rFonts w:hint="eastAsia" w:ascii="仿宋" w:hAnsi="仿宋" w:eastAsia="仿宋" w:cs="仿宋"/>
          <w:kern w:val="44"/>
          <w:sz w:val="32"/>
          <w:szCs w:val="32"/>
          <w:lang w:val="en-US" w:eastAsia="zh-CN"/>
        </w:rPr>
        <w:t>公司</w:t>
      </w:r>
      <w:r>
        <w:rPr>
          <w:rFonts w:hint="eastAsia" w:ascii="仿宋" w:hAnsi="仿宋" w:eastAsia="仿宋" w:cs="仿宋"/>
          <w:kern w:val="44"/>
          <w:sz w:val="32"/>
          <w:szCs w:val="32"/>
        </w:rPr>
        <w:t>项目工作领导小组报送项目进展情况，包括项目进度、资金使用、存在问题及下一步工作计划等。</w:t>
      </w:r>
      <w:r>
        <w:rPr>
          <w:rFonts w:hint="eastAsia" w:ascii="仿宋" w:hAnsi="仿宋" w:eastAsia="仿宋" w:cs="仿宋"/>
          <w:kern w:val="44"/>
          <w:sz w:val="32"/>
          <w:szCs w:val="32"/>
          <w:lang w:val="en-US" w:eastAsia="zh-CN"/>
        </w:rPr>
        <w:t>公司</w:t>
      </w:r>
      <w:r>
        <w:rPr>
          <w:rFonts w:hint="eastAsia" w:ascii="仿宋" w:hAnsi="仿宋" w:eastAsia="仿宋" w:cs="仿宋"/>
          <w:kern w:val="44"/>
          <w:sz w:val="32"/>
          <w:szCs w:val="32"/>
        </w:rPr>
        <w:t>项目工作领导小组定期或不定期组织开展项目检查，通过听取汇报、查阅资料、实地查看等方式，对项目实施情况进行全面了解和评估，及时发现问题并提出整改意见。加强对项目资金使用的监督，严格按照资金管理制度和财务核算制度的要求，规范资金支付流程，确保资金安全、合理使用。</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仿宋" w:hAnsi="仿宋" w:eastAsia="仿宋" w:cs="仿宋"/>
          <w:kern w:val="44"/>
          <w:sz w:val="32"/>
          <w:szCs w:val="32"/>
        </w:rPr>
      </w:pPr>
      <w:r>
        <w:rPr>
          <w:rFonts w:hint="eastAsia" w:ascii="仿宋" w:hAnsi="仿宋" w:eastAsia="仿宋" w:cs="仿宋"/>
          <w:kern w:val="44"/>
          <w:sz w:val="32"/>
          <w:szCs w:val="32"/>
          <w:lang w:eastAsia="zh-CN"/>
        </w:rPr>
        <w:t>（</w:t>
      </w:r>
      <w:r>
        <w:rPr>
          <w:rFonts w:hint="eastAsia" w:ascii="仿宋" w:hAnsi="仿宋" w:eastAsia="仿宋" w:cs="仿宋"/>
          <w:kern w:val="44"/>
          <w:sz w:val="32"/>
          <w:szCs w:val="32"/>
        </w:rPr>
        <w:t>3</w:t>
      </w:r>
      <w:r>
        <w:rPr>
          <w:rFonts w:hint="eastAsia" w:ascii="仿宋" w:hAnsi="仿宋" w:eastAsia="仿宋" w:cs="仿宋"/>
          <w:kern w:val="44"/>
          <w:sz w:val="32"/>
          <w:szCs w:val="32"/>
          <w:lang w:eastAsia="zh-CN"/>
        </w:rPr>
        <w:t>）</w:t>
      </w:r>
      <w:r>
        <w:rPr>
          <w:rFonts w:hint="eastAsia" w:ascii="仿宋" w:hAnsi="仿宋" w:eastAsia="仿宋" w:cs="仿宋"/>
          <w:kern w:val="44"/>
          <w:sz w:val="32"/>
          <w:szCs w:val="32"/>
        </w:rPr>
        <w:t>项目验收与评估：项目完成后，及时组织开展项目验收和评估工作。验收和评估工作由</w:t>
      </w:r>
      <w:r>
        <w:rPr>
          <w:rFonts w:hint="eastAsia" w:ascii="仿宋" w:hAnsi="仿宋" w:eastAsia="仿宋" w:cs="仿宋"/>
          <w:kern w:val="44"/>
          <w:sz w:val="32"/>
          <w:szCs w:val="32"/>
          <w:lang w:val="en-US" w:eastAsia="zh-CN"/>
        </w:rPr>
        <w:t>公司</w:t>
      </w:r>
      <w:r>
        <w:rPr>
          <w:rFonts w:hint="eastAsia" w:ascii="仿宋" w:hAnsi="仿宋" w:eastAsia="仿宋" w:cs="仿宋"/>
          <w:kern w:val="44"/>
          <w:sz w:val="32"/>
          <w:szCs w:val="32"/>
        </w:rPr>
        <w:t>项目工作领导小组牵头，组织相关专家和业务骨干组成验收评估小组，按照项目实施方案和相关标准，对项目的完成情况、质量效果、资金使用、社会效益等方面进行全面验收和评估。验收评估结果作为项目资金结算和后续项目安排的重要依据。对于验收评估不合格的项目，要求项目实施单位限期整改，整改完成后重新组织验收，直至验收合格。</w:t>
      </w:r>
    </w:p>
    <w:p>
      <w:pPr>
        <w:pStyle w:val="10"/>
        <w:shd w:val="clear" w:color="auto" w:fill="FFFFFF"/>
        <w:kinsoku/>
        <w:autoSpaceDE/>
        <w:autoSpaceDN/>
        <w:adjustRightInd/>
        <w:spacing w:beforeAutospacing="0" w:afterAutospacing="0" w:line="520" w:lineRule="exact"/>
        <w:ind w:firstLine="640" w:firstLineChars="200"/>
        <w:jc w:val="both"/>
        <w:textAlignment w:val="auto"/>
        <w:rPr>
          <w:rFonts w:hint="eastAsia" w:ascii="楷体_GB2312" w:hAnsi="楷体_GB2312" w:eastAsia="楷体_GB2312" w:cs="楷体_GB2312"/>
          <w:sz w:val="32"/>
          <w:szCs w:val="32"/>
          <w:shd w:val="clear" w:color="auto" w:fill="FFFFFF"/>
        </w:rPr>
      </w:pPr>
      <w:r>
        <w:rPr>
          <w:rFonts w:hint="eastAsia" w:ascii="楷体_GB2312" w:hAnsi="楷体_GB2312" w:eastAsia="楷体_GB2312" w:cs="楷体_GB2312"/>
          <w:sz w:val="32"/>
          <w:szCs w:val="32"/>
          <w:shd w:val="clear" w:color="auto" w:fill="FFFFFF"/>
        </w:rPr>
        <w:t>(三)预算绩效目标情况</w:t>
      </w:r>
    </w:p>
    <w:p>
      <w:pPr>
        <w:widowControl w:val="0"/>
        <w:kinsoku/>
        <w:autoSpaceDE/>
        <w:autoSpaceDN/>
        <w:adjustRightInd/>
        <w:spacing w:line="520" w:lineRule="exact"/>
        <w:ind w:firstLine="642" w:firstLineChars="200"/>
        <w:textAlignment w:val="auto"/>
        <w:outlineLvl w:val="1"/>
        <w:rPr>
          <w:rFonts w:hint="eastAsia" w:ascii="仿宋" w:hAnsi="仿宋" w:eastAsia="仿宋" w:cs="仿宋"/>
          <w:b/>
          <w:bCs/>
          <w:kern w:val="44"/>
          <w:sz w:val="32"/>
          <w:szCs w:val="32"/>
          <w:lang w:val="en-US" w:eastAsia="zh-CN"/>
        </w:rPr>
      </w:pPr>
      <w:r>
        <w:rPr>
          <w:rFonts w:hint="eastAsia" w:ascii="仿宋" w:hAnsi="仿宋" w:eastAsia="仿宋" w:cs="仿宋"/>
          <w:b/>
          <w:bCs/>
          <w:kern w:val="44"/>
          <w:sz w:val="32"/>
          <w:szCs w:val="32"/>
          <w:lang w:val="en-US" w:eastAsia="zh-CN"/>
        </w:rPr>
        <w:t>1.绩效目标</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仿宋" w:hAnsi="仿宋" w:eastAsia="仿宋" w:cs="仿宋"/>
          <w:kern w:val="44"/>
          <w:sz w:val="32"/>
          <w:szCs w:val="32"/>
          <w:lang w:val="en-US" w:eastAsia="zh-CN"/>
        </w:rPr>
      </w:pPr>
      <w:r>
        <w:rPr>
          <w:rFonts w:hint="eastAsia" w:ascii="仿宋" w:hAnsi="仿宋" w:eastAsia="仿宋" w:cs="仿宋"/>
          <w:kern w:val="44"/>
          <w:sz w:val="32"/>
          <w:szCs w:val="32"/>
          <w:lang w:eastAsia="zh-CN"/>
        </w:rPr>
        <w:t>提升园区承载能力，吸引企业入园，加速园区产业聚集，促进园区产业升级，发展产业集群，加快新型工业化进程，促进区域经济增长。中方产业开发区大数据及产业互联网中心项目包括</w:t>
      </w:r>
      <w:r>
        <w:rPr>
          <w:rFonts w:hint="eastAsia" w:ascii="仿宋" w:hAnsi="仿宋" w:eastAsia="仿宋" w:cs="仿宋"/>
          <w:kern w:val="44"/>
          <w:sz w:val="32"/>
          <w:szCs w:val="32"/>
          <w:lang w:val="en-US" w:eastAsia="zh-CN"/>
        </w:rPr>
        <w:t>总部经济中心，产业孵化中心，科技创新中心，数据中心机房，同时完成给排水、供配电、消防、道路广场、绿化及设备等基础配套设施工程。</w:t>
      </w:r>
    </w:p>
    <w:p>
      <w:pPr>
        <w:widowControl w:val="0"/>
        <w:kinsoku/>
        <w:autoSpaceDE/>
        <w:autoSpaceDN/>
        <w:adjustRightInd/>
        <w:spacing w:line="520" w:lineRule="exact"/>
        <w:ind w:firstLine="642" w:firstLineChars="200"/>
        <w:textAlignment w:val="auto"/>
        <w:outlineLvl w:val="1"/>
        <w:rPr>
          <w:rFonts w:hint="eastAsia" w:ascii="仿宋" w:hAnsi="仿宋" w:eastAsia="仿宋" w:cs="仿宋"/>
          <w:b/>
          <w:bCs/>
          <w:kern w:val="44"/>
          <w:sz w:val="32"/>
          <w:szCs w:val="32"/>
          <w:lang w:val="en-US" w:eastAsia="zh-CN"/>
        </w:rPr>
      </w:pPr>
      <w:r>
        <w:rPr>
          <w:rFonts w:hint="eastAsia" w:ascii="仿宋" w:hAnsi="仿宋" w:eastAsia="仿宋" w:cs="仿宋"/>
          <w:b/>
          <w:bCs/>
          <w:kern w:val="44"/>
          <w:sz w:val="32"/>
          <w:szCs w:val="32"/>
          <w:lang w:val="en-US" w:eastAsia="zh-CN"/>
        </w:rPr>
        <w:t>2.绩效指标</w:t>
      </w:r>
    </w:p>
    <w:p>
      <w:pPr>
        <w:pStyle w:val="10"/>
        <w:shd w:val="clear" w:color="auto" w:fill="FFFFFF"/>
        <w:kinsoku/>
        <w:autoSpaceDE/>
        <w:autoSpaceDN/>
        <w:adjustRightInd/>
        <w:spacing w:beforeAutospacing="0" w:afterAutospacing="0" w:line="520" w:lineRule="exact"/>
        <w:ind w:firstLine="800" w:firstLineChars="250"/>
        <w:jc w:val="both"/>
        <w:textAlignment w:val="auto"/>
        <w:rPr>
          <w:rFonts w:ascii="仿宋" w:hAnsi="仿宋" w:eastAsia="仿宋" w:cs="仿宋"/>
          <w:kern w:val="44"/>
          <w:sz w:val="32"/>
          <w:szCs w:val="32"/>
        </w:rPr>
      </w:pPr>
      <w:r>
        <w:rPr>
          <w:rFonts w:hint="eastAsia" w:ascii="仿宋" w:hAnsi="仿宋" w:eastAsia="仿宋" w:cs="仿宋"/>
          <w:kern w:val="44"/>
          <w:sz w:val="32"/>
          <w:szCs w:val="32"/>
        </w:rPr>
        <w:t>（1）成本指标</w:t>
      </w:r>
    </w:p>
    <w:p>
      <w:pPr>
        <w:pStyle w:val="18"/>
        <w:spacing w:line="560" w:lineRule="exact"/>
        <w:ind w:left="560" w:firstLine="0" w:firstLineChars="0"/>
        <w:jc w:val="both"/>
        <w:rPr>
          <w:rFonts w:ascii="仿宋" w:hAnsi="仿宋" w:eastAsia="仿宋" w:cs="仿宋"/>
          <w:kern w:val="44"/>
          <w:sz w:val="32"/>
          <w:szCs w:val="32"/>
          <w:lang w:eastAsia="zh-CN"/>
        </w:rPr>
      </w:pPr>
      <w:r>
        <w:rPr>
          <w:rFonts w:hint="eastAsia" w:ascii="仿宋" w:hAnsi="仿宋" w:eastAsia="仿宋" w:cs="仿宋"/>
          <w:kern w:val="44"/>
          <w:sz w:val="32"/>
          <w:szCs w:val="32"/>
          <w:lang w:eastAsia="zh-CN"/>
        </w:rPr>
        <w:t>成本指标：项目总成本控制在预算范围内。</w:t>
      </w:r>
    </w:p>
    <w:p>
      <w:pPr>
        <w:pStyle w:val="18"/>
        <w:spacing w:line="560" w:lineRule="exact"/>
        <w:ind w:left="560" w:firstLine="0" w:firstLineChars="0"/>
        <w:jc w:val="both"/>
        <w:rPr>
          <w:rFonts w:ascii="仿宋" w:hAnsi="仿宋" w:eastAsia="仿宋" w:cs="仿宋"/>
          <w:kern w:val="44"/>
          <w:sz w:val="32"/>
          <w:szCs w:val="32"/>
          <w:lang w:eastAsia="zh-CN"/>
        </w:rPr>
      </w:pPr>
      <w:r>
        <w:rPr>
          <w:rFonts w:hint="eastAsia" w:ascii="仿宋" w:hAnsi="仿宋" w:eastAsia="仿宋" w:cs="仿宋"/>
          <w:kern w:val="44"/>
          <w:sz w:val="32"/>
          <w:szCs w:val="32"/>
          <w:lang w:eastAsia="zh-CN"/>
        </w:rPr>
        <w:t>社会成本指标：社会成本节约率。</w:t>
      </w:r>
    </w:p>
    <w:p>
      <w:pPr>
        <w:pStyle w:val="18"/>
        <w:spacing w:line="560" w:lineRule="exact"/>
        <w:ind w:left="560" w:firstLine="0" w:firstLineChars="0"/>
        <w:jc w:val="both"/>
        <w:rPr>
          <w:rFonts w:ascii="仿宋" w:hAnsi="仿宋" w:eastAsia="仿宋" w:cs="仿宋"/>
          <w:kern w:val="44"/>
          <w:sz w:val="32"/>
          <w:szCs w:val="32"/>
          <w:lang w:eastAsia="zh-CN"/>
        </w:rPr>
      </w:pPr>
      <w:r>
        <w:rPr>
          <w:rFonts w:hint="eastAsia" w:ascii="仿宋" w:hAnsi="仿宋" w:eastAsia="仿宋" w:cs="仿宋"/>
          <w:kern w:val="44"/>
          <w:sz w:val="32"/>
          <w:szCs w:val="32"/>
          <w:lang w:eastAsia="zh-CN"/>
        </w:rPr>
        <w:t>生态环境成本指标：生态环境成本节约率。</w:t>
      </w:r>
    </w:p>
    <w:p>
      <w:pPr>
        <w:kinsoku/>
        <w:autoSpaceDE/>
        <w:autoSpaceDN/>
        <w:adjustRightInd/>
        <w:snapToGrid/>
        <w:spacing w:line="560" w:lineRule="exact"/>
        <w:ind w:firstLine="708"/>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（2）产出指标</w:t>
      </w:r>
    </w:p>
    <w:p>
      <w:pPr>
        <w:kinsoku/>
        <w:autoSpaceDE/>
        <w:autoSpaceDN/>
        <w:adjustRightInd/>
        <w:snapToGrid/>
        <w:spacing w:line="560" w:lineRule="exact"/>
        <w:ind w:firstLine="708"/>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数量指标：包括项目面积、</w:t>
      </w:r>
      <w:r>
        <w:rPr>
          <w:rFonts w:hint="eastAsia" w:ascii="仿宋" w:hAnsi="仿宋" w:eastAsia="仿宋" w:cs="仿宋"/>
          <w:kern w:val="44"/>
          <w:sz w:val="32"/>
          <w:szCs w:val="32"/>
          <w:lang w:val="en-US" w:eastAsia="zh-CN"/>
        </w:rPr>
        <w:t>单位工程</w:t>
      </w:r>
      <w:r>
        <w:rPr>
          <w:rFonts w:hint="eastAsia" w:ascii="仿宋" w:hAnsi="仿宋" w:eastAsia="仿宋" w:cs="仿宋"/>
          <w:kern w:val="44"/>
          <w:sz w:val="32"/>
          <w:szCs w:val="32"/>
          <w:lang w:eastAsia="zh-CN"/>
        </w:rPr>
        <w:t>、</w:t>
      </w:r>
      <w:r>
        <w:rPr>
          <w:rFonts w:hint="eastAsia" w:ascii="仿宋" w:hAnsi="仿宋" w:eastAsia="仿宋" w:cs="仿宋"/>
          <w:kern w:val="44"/>
          <w:sz w:val="32"/>
          <w:szCs w:val="32"/>
          <w:lang w:val="en-US" w:eastAsia="zh-CN"/>
        </w:rPr>
        <w:t>分部分项工程</w:t>
      </w:r>
      <w:r>
        <w:rPr>
          <w:rFonts w:hint="eastAsia" w:ascii="仿宋" w:hAnsi="仿宋" w:eastAsia="仿宋" w:cs="仿宋"/>
          <w:kern w:val="44"/>
          <w:sz w:val="32"/>
          <w:szCs w:val="32"/>
          <w:lang w:eastAsia="zh-CN"/>
        </w:rPr>
        <w:t>等。</w:t>
      </w:r>
    </w:p>
    <w:p>
      <w:pPr>
        <w:kinsoku/>
        <w:autoSpaceDE/>
        <w:autoSpaceDN/>
        <w:adjustRightInd/>
        <w:snapToGrid/>
        <w:spacing w:line="560" w:lineRule="exact"/>
        <w:ind w:firstLine="708"/>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质量指标：如项目验收合格率，项目完成率、资金支付合理合规性、资金到位率等。</w:t>
      </w:r>
    </w:p>
    <w:p>
      <w:pPr>
        <w:kinsoku/>
        <w:autoSpaceDE/>
        <w:autoSpaceDN/>
        <w:adjustRightInd/>
        <w:snapToGrid/>
        <w:spacing w:line="560" w:lineRule="exact"/>
        <w:ind w:firstLine="708"/>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时效指标：项目完成时间及时性、资金拨付时间及时性等。</w:t>
      </w:r>
    </w:p>
    <w:p>
      <w:pPr>
        <w:kinsoku/>
        <w:autoSpaceDE/>
        <w:autoSpaceDN/>
        <w:adjustRightInd/>
        <w:snapToGrid/>
        <w:spacing w:line="560" w:lineRule="exact"/>
        <w:ind w:firstLine="708"/>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（3）效益指标</w:t>
      </w:r>
    </w:p>
    <w:p>
      <w:pPr>
        <w:kinsoku/>
        <w:autoSpaceDE/>
        <w:autoSpaceDN/>
        <w:adjustRightInd/>
        <w:snapToGrid/>
        <w:spacing w:line="560" w:lineRule="exact"/>
        <w:ind w:firstLine="708"/>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经济效益：充分发挥资金使用效益。</w:t>
      </w:r>
    </w:p>
    <w:p>
      <w:pPr>
        <w:kinsoku/>
        <w:autoSpaceDE/>
        <w:autoSpaceDN/>
        <w:adjustRightInd/>
        <w:snapToGrid/>
        <w:spacing w:line="560" w:lineRule="exact"/>
        <w:ind w:firstLine="708"/>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社会效益：提升园区承载能力，促进园区产业升级，促进区域经济增长等。</w:t>
      </w:r>
    </w:p>
    <w:p>
      <w:pPr>
        <w:kinsoku/>
        <w:autoSpaceDE/>
        <w:autoSpaceDN/>
        <w:adjustRightInd/>
        <w:snapToGrid/>
        <w:spacing w:line="560" w:lineRule="exact"/>
        <w:ind w:firstLine="708"/>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生态效益：改善区域的生态环境、保护生态环境安全、维护生态平衡等。</w:t>
      </w:r>
    </w:p>
    <w:p>
      <w:pPr>
        <w:kinsoku/>
        <w:autoSpaceDE/>
        <w:autoSpaceDN/>
        <w:adjustRightInd/>
        <w:snapToGrid/>
        <w:spacing w:line="560" w:lineRule="exact"/>
        <w:ind w:firstLine="708"/>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可持续影响：发展产业集群，加快新型工业化进程，</w:t>
      </w:r>
      <w:r>
        <w:rPr>
          <w:rFonts w:hint="eastAsia" w:ascii="仿宋" w:hAnsi="仿宋" w:eastAsia="仿宋" w:cs="仿宋"/>
          <w:kern w:val="44"/>
          <w:sz w:val="32"/>
          <w:szCs w:val="32"/>
          <w:lang w:val="en-US" w:eastAsia="zh-CN"/>
        </w:rPr>
        <w:t>促进</w:t>
      </w:r>
      <w:r>
        <w:rPr>
          <w:rFonts w:hint="eastAsia" w:ascii="仿宋" w:hAnsi="仿宋" w:eastAsia="仿宋" w:cs="仿宋"/>
          <w:kern w:val="44"/>
          <w:sz w:val="32"/>
          <w:szCs w:val="32"/>
          <w:lang w:eastAsia="zh-CN"/>
        </w:rPr>
        <w:t>区域经济可持续</w:t>
      </w:r>
      <w:r>
        <w:rPr>
          <w:rFonts w:hint="eastAsia" w:ascii="仿宋" w:hAnsi="仿宋" w:eastAsia="仿宋" w:cs="仿宋"/>
          <w:kern w:val="44"/>
          <w:sz w:val="32"/>
          <w:szCs w:val="32"/>
          <w:lang w:val="en-US" w:eastAsia="zh-CN"/>
        </w:rPr>
        <w:t>发展</w:t>
      </w:r>
      <w:r>
        <w:rPr>
          <w:rFonts w:hint="eastAsia" w:ascii="仿宋" w:hAnsi="仿宋" w:eastAsia="仿宋" w:cs="仿宋"/>
          <w:kern w:val="44"/>
          <w:sz w:val="32"/>
          <w:szCs w:val="32"/>
          <w:lang w:eastAsia="zh-CN"/>
        </w:rPr>
        <w:t>。</w:t>
      </w:r>
    </w:p>
    <w:p>
      <w:pPr>
        <w:kinsoku/>
        <w:autoSpaceDE/>
        <w:autoSpaceDN/>
        <w:adjustRightInd/>
        <w:snapToGrid/>
        <w:spacing w:line="560" w:lineRule="exact"/>
        <w:ind w:firstLine="708"/>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（4）满意度指标</w:t>
      </w:r>
    </w:p>
    <w:p>
      <w:pPr>
        <w:keepNext w:val="0"/>
        <w:keepLines w:val="0"/>
        <w:pageBreakBefore w:val="0"/>
        <w:wordWrap/>
        <w:overflowPunct/>
        <w:topLinePunct w:val="0"/>
        <w:bidi w:val="0"/>
        <w:spacing w:line="560" w:lineRule="exact"/>
        <w:ind w:firstLine="640" w:firstLineChars="200"/>
        <w:outlineLvl w:val="0"/>
        <w:rPr>
          <w:rFonts w:hint="eastAsia" w:ascii="仿宋" w:hAnsi="仿宋" w:eastAsia="仿宋" w:cs="仿宋"/>
          <w:kern w:val="44"/>
          <w:sz w:val="32"/>
          <w:szCs w:val="32"/>
          <w:lang w:eastAsia="zh-CN"/>
        </w:rPr>
      </w:pPr>
      <w:r>
        <w:rPr>
          <w:rFonts w:hint="eastAsia" w:ascii="仿宋" w:hAnsi="仿宋" w:eastAsia="仿宋" w:cs="仿宋"/>
          <w:kern w:val="44"/>
          <w:sz w:val="32"/>
          <w:szCs w:val="32"/>
          <w:lang w:eastAsia="zh-CN"/>
        </w:rPr>
        <w:t>服务对象的满意度。</w:t>
      </w:r>
    </w:p>
    <w:p>
      <w:pPr>
        <w:spacing w:line="560" w:lineRule="exact"/>
        <w:ind w:firstLine="652" w:firstLineChars="200"/>
        <w:outlineLvl w:val="0"/>
        <w:rPr>
          <w:rFonts w:ascii="黑体" w:hAnsi="黑体" w:eastAsia="黑体" w:cs="黑体"/>
          <w:spacing w:val="3"/>
          <w:sz w:val="32"/>
          <w:szCs w:val="32"/>
          <w:lang w:eastAsia="zh-CN"/>
        </w:rPr>
      </w:pPr>
      <w:r>
        <w:rPr>
          <w:rFonts w:ascii="黑体" w:hAnsi="黑体" w:eastAsia="黑体" w:cs="黑体"/>
          <w:spacing w:val="3"/>
          <w:sz w:val="32"/>
          <w:szCs w:val="32"/>
          <w:lang w:eastAsia="zh-CN"/>
        </w:rPr>
        <w:t>二、绩效评价工作情况</w:t>
      </w:r>
    </w:p>
    <w:p>
      <w:pPr>
        <w:widowControl w:val="0"/>
        <w:kinsoku/>
        <w:autoSpaceDE/>
        <w:autoSpaceDN/>
        <w:adjustRightInd/>
        <w:spacing w:line="520" w:lineRule="exact"/>
        <w:ind w:firstLine="640" w:firstLineChars="200"/>
        <w:textAlignment w:val="auto"/>
        <w:rPr>
          <w:rFonts w:hint="eastAsia" w:ascii="楷体_GB2312" w:hAnsi="楷体_GB2312" w:eastAsia="楷体_GB2312" w:cs="楷体_GB2312"/>
          <w:sz w:val="32"/>
          <w:szCs w:val="32"/>
          <w:shd w:val="clear" w:color="auto" w:fill="FFFFFF"/>
          <w:lang w:eastAsia="zh-CN"/>
        </w:rPr>
      </w:pPr>
      <w:r>
        <w:rPr>
          <w:rFonts w:hint="eastAsia" w:ascii="楷体_GB2312" w:hAnsi="楷体_GB2312" w:eastAsia="楷体_GB2312" w:cs="楷体_GB2312"/>
          <w:sz w:val="32"/>
          <w:szCs w:val="32"/>
          <w:shd w:val="clear" w:color="auto" w:fill="FFFFFF"/>
          <w:lang w:eastAsia="zh-CN"/>
        </w:rPr>
        <w:t>（一）绩效评价目的</w:t>
      </w:r>
    </w:p>
    <w:p>
      <w:pPr>
        <w:keepNext w:val="0"/>
        <w:keepLines w:val="0"/>
        <w:pageBreakBefore w:val="0"/>
        <w:wordWrap/>
        <w:overflowPunct/>
        <w:topLinePunct w:val="0"/>
        <w:bidi w:val="0"/>
        <w:spacing w:after="0" w:line="560" w:lineRule="exact"/>
        <w:ind w:firstLine="640" w:firstLineChars="200"/>
        <w:rPr>
          <w:rFonts w:hint="eastAsia" w:ascii="仿宋" w:hAnsi="仿宋" w:eastAsia="仿宋" w:cs="仿宋"/>
          <w:kern w:val="44"/>
          <w:sz w:val="32"/>
          <w:szCs w:val="32"/>
          <w:lang w:eastAsia="zh-CN"/>
        </w:rPr>
      </w:pPr>
      <w:r>
        <w:rPr>
          <w:rFonts w:hint="eastAsia" w:ascii="仿宋" w:hAnsi="仿宋" w:eastAsia="仿宋" w:cs="仿宋"/>
          <w:kern w:val="44"/>
          <w:sz w:val="32"/>
          <w:szCs w:val="32"/>
          <w:lang w:eastAsia="zh-CN"/>
        </w:rPr>
        <w:t>开展项目支出绩效评价，旨在全面、客观、公正地反映项目实施的成效和存在的问题，总结经验教训，为改进项目管理、提高资金使用效益提供决策依据，同时也为进一步优化资源配置、完善</w:t>
      </w:r>
      <w:r>
        <w:rPr>
          <w:rFonts w:hint="eastAsia" w:ascii="仿宋" w:hAnsi="仿宋" w:eastAsia="仿宋" w:cs="仿宋"/>
          <w:sz w:val="32"/>
          <w:szCs w:val="32"/>
        </w:rPr>
        <w:t>项目管理</w:t>
      </w:r>
      <w:r>
        <w:rPr>
          <w:rFonts w:hint="eastAsia" w:ascii="仿宋" w:hAnsi="仿宋" w:eastAsia="仿宋" w:cs="仿宋"/>
          <w:kern w:val="44"/>
          <w:sz w:val="32"/>
          <w:szCs w:val="32"/>
          <w:lang w:eastAsia="zh-CN"/>
        </w:rPr>
        <w:t>制度、提升</w:t>
      </w:r>
      <w:r>
        <w:rPr>
          <w:rFonts w:hint="eastAsia" w:ascii="仿宋" w:hAnsi="仿宋" w:eastAsia="仿宋" w:cs="仿宋"/>
          <w:kern w:val="44"/>
          <w:sz w:val="32"/>
          <w:szCs w:val="32"/>
          <w:lang w:val="en-US" w:eastAsia="zh-CN"/>
        </w:rPr>
        <w:t>项目的社会经济效益</w:t>
      </w:r>
      <w:r>
        <w:rPr>
          <w:rFonts w:hint="eastAsia" w:ascii="仿宋" w:hAnsi="仿宋" w:eastAsia="仿宋" w:cs="仿宋"/>
          <w:kern w:val="44"/>
          <w:sz w:val="32"/>
          <w:szCs w:val="32"/>
          <w:lang w:eastAsia="zh-CN"/>
        </w:rPr>
        <w:t>。</w:t>
      </w:r>
    </w:p>
    <w:p>
      <w:pPr>
        <w:widowControl w:val="0"/>
        <w:kinsoku/>
        <w:autoSpaceDE/>
        <w:autoSpaceDN/>
        <w:adjustRightInd/>
        <w:spacing w:line="520" w:lineRule="exact"/>
        <w:ind w:firstLine="640" w:firstLineChars="200"/>
        <w:textAlignment w:val="auto"/>
        <w:rPr>
          <w:rFonts w:hint="eastAsia" w:ascii="楷体_GB2312" w:hAnsi="楷体_GB2312" w:eastAsia="楷体_GB2312" w:cs="楷体_GB2312"/>
          <w:sz w:val="32"/>
          <w:szCs w:val="32"/>
          <w:shd w:val="clear" w:color="auto" w:fill="FFFFFF"/>
          <w:lang w:eastAsia="zh-CN"/>
        </w:rPr>
      </w:pPr>
      <w:bookmarkStart w:id="1" w:name="_Toc11844"/>
      <w:r>
        <w:rPr>
          <w:rFonts w:hint="eastAsia" w:ascii="楷体_GB2312" w:hAnsi="楷体_GB2312" w:eastAsia="楷体_GB2312" w:cs="楷体_GB2312"/>
          <w:sz w:val="32"/>
          <w:szCs w:val="32"/>
          <w:shd w:val="clear" w:color="auto" w:fill="FFFFFF"/>
          <w:lang w:eastAsia="zh-CN"/>
        </w:rPr>
        <w:t>（二）被评价单位、绩效评价范围与时段</w:t>
      </w:r>
      <w:bookmarkEnd w:id="1"/>
    </w:p>
    <w:p>
      <w:pPr>
        <w:kinsoku/>
        <w:autoSpaceDE/>
        <w:autoSpaceDN/>
        <w:adjustRightInd/>
        <w:snapToGrid/>
        <w:spacing w:line="560" w:lineRule="atLeast"/>
        <w:ind w:firstLine="640" w:firstLineChars="200"/>
        <w:jc w:val="both"/>
        <w:textAlignment w:val="auto"/>
        <w:rPr>
          <w:rFonts w:hint="eastAsia" w:ascii="仿宋" w:hAnsi="仿宋" w:eastAsia="仿宋" w:cs="仿宋"/>
          <w:kern w:val="44"/>
          <w:sz w:val="32"/>
          <w:szCs w:val="32"/>
          <w:lang w:eastAsia="zh-CN"/>
        </w:rPr>
      </w:pPr>
      <w:r>
        <w:rPr>
          <w:rFonts w:hint="eastAsia" w:ascii="仿宋" w:hAnsi="仿宋" w:eastAsia="仿宋" w:cs="仿宋"/>
          <w:kern w:val="44"/>
          <w:sz w:val="32"/>
          <w:szCs w:val="32"/>
          <w:lang w:eastAsia="zh-CN"/>
        </w:rPr>
        <w:t>被评价单位：</w:t>
      </w:r>
      <w:r>
        <w:rPr>
          <w:rFonts w:hint="eastAsia" w:ascii="仿宋" w:hAnsi="仿宋" w:eastAsia="仿宋" w:cs="仿宋"/>
          <w:kern w:val="44"/>
          <w:sz w:val="32"/>
          <w:szCs w:val="32"/>
          <w:lang w:val="en-US" w:eastAsia="zh-CN"/>
        </w:rPr>
        <w:t>中方县城乡建设开发投资有限公司</w:t>
      </w:r>
      <w:r>
        <w:rPr>
          <w:rFonts w:hint="eastAsia" w:ascii="仿宋" w:hAnsi="仿宋" w:eastAsia="仿宋" w:cs="仿宋"/>
          <w:kern w:val="44"/>
          <w:sz w:val="32"/>
          <w:szCs w:val="32"/>
          <w:lang w:eastAsia="zh-CN"/>
        </w:rPr>
        <w:t xml:space="preserve"> </w:t>
      </w:r>
    </w:p>
    <w:p>
      <w:pPr>
        <w:kinsoku/>
        <w:autoSpaceDE/>
        <w:autoSpaceDN/>
        <w:adjustRightInd/>
        <w:snapToGrid/>
        <w:spacing w:line="560" w:lineRule="atLeast"/>
        <w:ind w:firstLine="640" w:firstLineChars="20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绩效评价范围：2024年度所有纳入预算管理的专项资金及其使用情况。</w:t>
      </w:r>
    </w:p>
    <w:p>
      <w:pPr>
        <w:keepNext w:val="0"/>
        <w:keepLines w:val="0"/>
        <w:pageBreakBefore w:val="0"/>
        <w:wordWrap/>
        <w:overflowPunct/>
        <w:topLinePunct w:val="0"/>
        <w:bidi w:val="0"/>
        <w:spacing w:line="560" w:lineRule="exact"/>
        <w:ind w:firstLine="640" w:firstLineChars="200"/>
        <w:jc w:val="both"/>
        <w:rPr>
          <w:rFonts w:hint="eastAsia" w:ascii="仿宋" w:hAnsi="仿宋" w:eastAsia="仿宋" w:cs="仿宋"/>
          <w:spacing w:val="-2"/>
          <w:sz w:val="32"/>
          <w:szCs w:val="32"/>
        </w:rPr>
      </w:pPr>
      <w:r>
        <w:rPr>
          <w:rFonts w:hint="eastAsia" w:ascii="仿宋" w:hAnsi="仿宋" w:eastAsia="仿宋" w:cs="仿宋"/>
          <w:kern w:val="44"/>
          <w:sz w:val="32"/>
          <w:szCs w:val="32"/>
          <w:lang w:eastAsia="zh-CN"/>
        </w:rPr>
        <w:t>时段：2024年1月1日至2024年12月31日。</w:t>
      </w:r>
    </w:p>
    <w:p>
      <w:pPr>
        <w:widowControl w:val="0"/>
        <w:kinsoku/>
        <w:autoSpaceDE/>
        <w:autoSpaceDN/>
        <w:adjustRightInd/>
        <w:spacing w:line="520" w:lineRule="exact"/>
        <w:ind w:firstLine="640" w:firstLineChars="200"/>
        <w:textAlignment w:val="auto"/>
        <w:rPr>
          <w:rFonts w:hint="eastAsia" w:ascii="楷体_GB2312" w:hAnsi="楷体_GB2312" w:eastAsia="楷体_GB2312" w:cs="楷体_GB2312"/>
          <w:sz w:val="32"/>
          <w:szCs w:val="32"/>
          <w:shd w:val="clear" w:color="auto" w:fill="FFFFFF"/>
          <w:lang w:eastAsia="zh-CN"/>
        </w:rPr>
      </w:pPr>
      <w:bookmarkStart w:id="2" w:name="_Toc31835"/>
      <w:r>
        <w:rPr>
          <w:rFonts w:hint="eastAsia" w:ascii="楷体_GB2312" w:hAnsi="楷体_GB2312" w:eastAsia="楷体_GB2312" w:cs="楷体_GB2312"/>
          <w:sz w:val="32"/>
          <w:szCs w:val="32"/>
          <w:shd w:val="clear" w:color="auto" w:fill="FFFFFF"/>
          <w:lang w:eastAsia="zh-CN"/>
        </w:rPr>
        <w:t>（三）绩效评价原则、评价指标体系、评价方法</w:t>
      </w:r>
      <w:bookmarkEnd w:id="2"/>
    </w:p>
    <w:p>
      <w:pPr>
        <w:kinsoku/>
        <w:autoSpaceDE/>
        <w:autoSpaceDN/>
        <w:adjustRightInd/>
        <w:snapToGrid/>
        <w:spacing w:line="560" w:lineRule="atLeast"/>
        <w:ind w:firstLine="640" w:firstLineChars="200"/>
        <w:textAlignment w:val="auto"/>
        <w:rPr>
          <w:rFonts w:ascii="仿宋" w:hAnsi="仿宋" w:eastAsia="仿宋" w:cs="仿宋"/>
          <w:kern w:val="44"/>
          <w:sz w:val="32"/>
          <w:szCs w:val="32"/>
          <w:lang w:eastAsia="zh-CN"/>
        </w:rPr>
      </w:pPr>
      <w:bookmarkStart w:id="3" w:name="_Toc32076"/>
      <w:bookmarkStart w:id="4" w:name="_Toc7615"/>
      <w:r>
        <w:rPr>
          <w:rFonts w:hint="eastAsia" w:ascii="仿宋" w:hAnsi="仿宋" w:eastAsia="仿宋" w:cs="仿宋"/>
          <w:kern w:val="44"/>
          <w:sz w:val="32"/>
          <w:szCs w:val="32"/>
          <w:lang w:eastAsia="zh-CN"/>
        </w:rPr>
        <w:t>绩效评价原则：</w:t>
      </w:r>
    </w:p>
    <w:p>
      <w:pPr>
        <w:kinsoku/>
        <w:autoSpaceDE/>
        <w:autoSpaceDN/>
        <w:adjustRightInd/>
        <w:snapToGrid/>
        <w:spacing w:line="560" w:lineRule="atLeast"/>
        <w:ind w:firstLine="800" w:firstLineChars="25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1.统一领导原则。绩效评价由本单位统一领导，统一组织管理。</w:t>
      </w:r>
    </w:p>
    <w:p>
      <w:pPr>
        <w:kinsoku/>
        <w:autoSpaceDE/>
        <w:autoSpaceDN/>
        <w:adjustRightInd/>
        <w:snapToGrid/>
        <w:spacing w:line="560" w:lineRule="atLeast"/>
        <w:ind w:firstLine="800" w:firstLineChars="25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2.科学规范原则。绩效评价应当严格执行规定的程序，按照科学可行的要求，采用定量与定性分析相结合的方法。</w:t>
      </w:r>
    </w:p>
    <w:p>
      <w:pPr>
        <w:kinsoku/>
        <w:autoSpaceDE/>
        <w:autoSpaceDN/>
        <w:adjustRightInd/>
        <w:snapToGrid/>
        <w:spacing w:line="560" w:lineRule="atLeast"/>
        <w:ind w:firstLine="800" w:firstLineChars="25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3.公正公开原则。绩效评价应当符合真实、客观、公正的要求，依法公开接接受监督。</w:t>
      </w:r>
    </w:p>
    <w:p>
      <w:pPr>
        <w:kinsoku/>
        <w:autoSpaceDE/>
        <w:autoSpaceDN/>
        <w:adjustRightInd/>
        <w:snapToGrid/>
        <w:spacing w:line="560" w:lineRule="atLeast"/>
        <w:ind w:firstLine="800" w:firstLineChars="25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4.绩效相关原则。绩效评价应当针对具体专项资金及其产出绩效进行，评价结果应当清晰反映专项资金和产出绩效这间的紧密对应关系。</w:t>
      </w:r>
    </w:p>
    <w:p>
      <w:pPr>
        <w:kinsoku/>
        <w:autoSpaceDE/>
        <w:autoSpaceDN/>
        <w:adjustRightInd/>
        <w:snapToGrid/>
        <w:spacing w:line="560" w:lineRule="atLeast"/>
        <w:ind w:firstLine="800" w:firstLineChars="25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5.权责统一原则。绩效评价应当明确各级财政部门和预算部门的权责关系，确保资金绩效评价工作的职权和责任相统一。</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评价指标体系：围绕项目决策、过程、产出、效益四个维度构建指标体系，涵盖资金管理、组织实施、项目完成情况、社会效益、生态效益、可持续影响及满意度等多个方面。</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评价方法：</w:t>
      </w:r>
    </w:p>
    <w:p>
      <w:pPr>
        <w:widowControl w:val="0"/>
        <w:kinsoku/>
        <w:autoSpaceDE/>
        <w:autoSpaceDN/>
        <w:adjustRightInd/>
        <w:spacing w:line="560" w:lineRule="atLeast"/>
        <w:ind w:firstLine="640" w:firstLineChars="200"/>
        <w:textAlignment w:val="auto"/>
        <w:outlineLvl w:val="0"/>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（1）定量分析法：通过财务数据、项目统计报表等量化指标计算完成率、资金使用率等。</w:t>
      </w:r>
    </w:p>
    <w:p>
      <w:pPr>
        <w:widowControl w:val="0"/>
        <w:kinsoku/>
        <w:autoSpaceDE/>
        <w:autoSpaceDN/>
        <w:adjustRightInd/>
        <w:spacing w:line="560" w:lineRule="atLeast"/>
        <w:ind w:firstLine="640" w:firstLineChars="200"/>
        <w:textAlignment w:val="auto"/>
        <w:outlineLvl w:val="0"/>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（2）定性分析法：采用实地调研、访谈、问卷调查等方式，评估制度健全性、群众满意度等。</w:t>
      </w:r>
    </w:p>
    <w:p>
      <w:pPr>
        <w:widowControl w:val="0"/>
        <w:kinsoku/>
        <w:autoSpaceDE/>
        <w:autoSpaceDN/>
        <w:adjustRightInd/>
        <w:spacing w:line="560" w:lineRule="atLeast"/>
        <w:ind w:firstLine="640" w:firstLineChars="200"/>
        <w:textAlignment w:val="auto"/>
        <w:outlineLvl w:val="0"/>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（3）比较分析法：横向对比同类项目或历年数据，分析绩效差异及原因。</w:t>
      </w:r>
    </w:p>
    <w:p>
      <w:pPr>
        <w:widowControl w:val="0"/>
        <w:kinsoku/>
        <w:autoSpaceDE/>
        <w:autoSpaceDN/>
        <w:adjustRightInd/>
        <w:spacing w:line="560" w:lineRule="atLeast"/>
        <w:ind w:firstLine="640" w:firstLineChars="200"/>
        <w:textAlignment w:val="auto"/>
        <w:outlineLvl w:val="0"/>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（4）成本效益法：评估资金投入与产出的性价比。</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left"/>
        <w:textAlignment w:val="auto"/>
        <w:outlineLvl w:val="0"/>
        <w:rPr>
          <w:rFonts w:hint="eastAsia" w:ascii="黑体" w:hAnsi="黑体" w:eastAsia="黑体" w:cs="黑体"/>
          <w:i w:val="0"/>
          <w:iCs w:val="0"/>
          <w:caps w:val="0"/>
          <w:color w:val="000000"/>
          <w:spacing w:val="0"/>
          <w:kern w:val="0"/>
          <w:sz w:val="32"/>
          <w:szCs w:val="32"/>
          <w:shd w:val="clear" w:fill="FFFFFF"/>
          <w:lang w:val="en-US" w:eastAsia="zh-CN" w:bidi="ar"/>
        </w:rPr>
      </w:pPr>
      <w:r>
        <w:rPr>
          <w:rFonts w:hint="eastAsia" w:ascii="黑体" w:hAnsi="黑体" w:eastAsia="黑体" w:cs="黑体"/>
          <w:i w:val="0"/>
          <w:iCs w:val="0"/>
          <w:caps w:val="0"/>
          <w:color w:val="000000"/>
          <w:spacing w:val="0"/>
          <w:kern w:val="0"/>
          <w:sz w:val="32"/>
          <w:szCs w:val="32"/>
          <w:shd w:val="clear" w:fill="FFFFFF"/>
          <w:lang w:val="en-US" w:eastAsia="zh-CN" w:bidi="ar"/>
        </w:rPr>
        <w:t>三、主要绩效及评价结论</w:t>
      </w:r>
      <w:bookmarkEnd w:id="3"/>
      <w:bookmarkEnd w:id="4"/>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left"/>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（一）社会效益</w:t>
      </w:r>
    </w:p>
    <w:p>
      <w:pPr>
        <w:kinsoku/>
        <w:autoSpaceDE/>
        <w:autoSpaceDN/>
        <w:adjustRightInd/>
        <w:snapToGrid/>
        <w:spacing w:line="560" w:lineRule="atLeast"/>
        <w:ind w:firstLine="640" w:firstLineChars="200"/>
        <w:jc w:val="both"/>
        <w:textAlignment w:val="auto"/>
        <w:rPr>
          <w:rFonts w:hint="eastAsia" w:ascii="仿宋" w:hAnsi="仿宋" w:eastAsia="仿宋" w:cs="仿宋"/>
          <w:kern w:val="44"/>
          <w:sz w:val="32"/>
          <w:szCs w:val="32"/>
          <w:lang w:eastAsia="zh-CN"/>
        </w:rPr>
      </w:pPr>
      <w:r>
        <w:rPr>
          <w:rFonts w:hint="eastAsia" w:ascii="仿宋" w:hAnsi="仿宋" w:eastAsia="仿宋" w:cs="仿宋"/>
          <w:kern w:val="44"/>
          <w:sz w:val="32"/>
          <w:szCs w:val="32"/>
          <w:lang w:val="en-US" w:eastAsia="zh-CN"/>
        </w:rPr>
        <w:t>中方产业开发区大数据及产业互联网中心项目将改善中方县产业园区软硬件条件，为企业的发展创造更为有利条件，提高产业园区企业发展质量和效益，带动企业走向先进的生产和管理道路，促进企业逐步向规模化发展，进一步提高中方县工业竞争力和工业经济总量。项目的实施能够推动中方县工业互联网的发展，提升产业融合创新水平，加快了制造业数字化转型步伐，增强项目落户的承载力，增强产业聚集效应，培育特色产业群，形成规模效应，做强做大工业经济总量，有效推动了工业经济高质量发展。</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left"/>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（二）生态效益</w:t>
      </w:r>
    </w:p>
    <w:p>
      <w:pPr>
        <w:kinsoku/>
        <w:autoSpaceDE/>
        <w:autoSpaceDN/>
        <w:adjustRightInd/>
        <w:snapToGrid/>
        <w:spacing w:line="560" w:lineRule="atLeast"/>
        <w:ind w:firstLine="640" w:firstLineChars="200"/>
        <w:jc w:val="both"/>
        <w:textAlignment w:val="auto"/>
        <w:rPr>
          <w:rFonts w:hint="eastAsia"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项目建成后，将完成配套建设域城镇基础设施，完善区域间路网结构和功能，提升城镇形象，明显改善区域交通条件和出行环境，加快项目片区经济繁荣和人口聚集，提升社会服务容量，提高城镇的承载能力，对加快推进项目区域城镇化进程具有极为重要的意义。项目建成后，直接经济效益比较显著，对项目区域国民经济发展具有较大的贡献，对保障建设地经济和社会可持续发展起到了带动作用，促进上下游相关产业的发展，改善区域环境质量，统筹人和自然和谐相处，加快建设节约型社会，加快实现生态文明建设与社会均衡发展，对加快推动构建和谐社会建设具有重要的意义。</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left"/>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（三）可持续影响</w:t>
      </w:r>
    </w:p>
    <w:p>
      <w:pPr>
        <w:kinsoku/>
        <w:autoSpaceDE/>
        <w:autoSpaceDN/>
        <w:adjustRightInd/>
        <w:snapToGrid/>
        <w:spacing w:line="560" w:lineRule="atLeast"/>
        <w:ind w:firstLine="640" w:firstLineChars="200"/>
        <w:jc w:val="both"/>
        <w:textAlignment w:val="auto"/>
        <w:rPr>
          <w:rFonts w:hint="eastAsia"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本项目土建工程属于劳动密集型行业，具有较强的外部效应，对带动当地居民的就业能产生积极作用，主要表现为两个方面：一是项目建设过程中，要雇用大量当地的居民，提供就业岗位；二是项目建成后，需要大量的固定工人，有利于解决城乡剩余劳动力，同时项目运营后能带动周边的餐饮、休闲、交通、宾馆等多行业的快速发展，从而产生一定量的工作岗位和创业机会，有效的缓解了中方县的就业压力。所以，本项目建设有利于带动当地剩余劳动力就业。</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left"/>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（四）满意度情况</w:t>
      </w:r>
    </w:p>
    <w:p>
      <w:pPr>
        <w:pStyle w:val="2"/>
        <w:keepNext w:val="0"/>
        <w:keepLines w:val="0"/>
        <w:pageBreakBefore w:val="0"/>
        <w:wordWrap/>
        <w:overflowPunct/>
        <w:topLinePunct w:val="0"/>
        <w:bidi w:val="0"/>
        <w:spacing w:line="560" w:lineRule="exact"/>
        <w:ind w:left="0" w:leftChars="0" w:firstLine="640" w:firstLineChars="200"/>
        <w:rPr>
          <w:rFonts w:hint="eastAsia" w:ascii="仿宋" w:hAnsi="仿宋" w:eastAsia="仿宋" w:cs="仿宋"/>
          <w:snapToGrid w:val="0"/>
          <w:color w:val="000000"/>
          <w:sz w:val="32"/>
          <w:szCs w:val="32"/>
          <w:lang w:val="en-US" w:eastAsia="zh-CN" w:bidi="ar-SA"/>
        </w:rPr>
      </w:pPr>
      <w:r>
        <w:rPr>
          <w:rFonts w:hint="eastAsia" w:ascii="仿宋" w:hAnsi="仿宋" w:eastAsia="仿宋" w:cs="仿宋"/>
          <w:snapToGrid w:val="0"/>
          <w:color w:val="000000"/>
          <w:kern w:val="44"/>
          <w:sz w:val="32"/>
          <w:szCs w:val="32"/>
          <w:lang w:val="en-US" w:eastAsia="zh-CN" w:bidi="ar-SA"/>
        </w:rPr>
        <w:t>项目建成后能够完善城市基础设施，提升城市形象，促进区域经济发展。所以，本项目与当地文化能形成良好的互适性。</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left"/>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（五）评价结论</w:t>
      </w:r>
    </w:p>
    <w:p>
      <w:pPr>
        <w:pStyle w:val="2"/>
        <w:keepNext w:val="0"/>
        <w:keepLines w:val="0"/>
        <w:pageBreakBefore w:val="0"/>
        <w:wordWrap/>
        <w:overflowPunct/>
        <w:topLinePunct w:val="0"/>
        <w:bidi w:val="0"/>
        <w:spacing w:line="560" w:lineRule="exact"/>
        <w:ind w:left="0" w:leftChars="0" w:firstLine="640" w:firstLineChars="200"/>
        <w:rPr>
          <w:rFonts w:hint="eastAsia" w:ascii="仿宋" w:hAnsi="仿宋" w:eastAsia="仿宋" w:cs="仿宋"/>
          <w:snapToGrid w:val="0"/>
          <w:color w:val="000000"/>
          <w:kern w:val="44"/>
          <w:sz w:val="32"/>
          <w:szCs w:val="32"/>
          <w:lang w:val="en-US" w:eastAsia="zh-CN" w:bidi="ar-SA"/>
        </w:rPr>
      </w:pPr>
      <w:r>
        <w:rPr>
          <w:rFonts w:hint="eastAsia" w:ascii="仿宋" w:hAnsi="仿宋" w:eastAsia="仿宋" w:cs="仿宋"/>
          <w:snapToGrid w:val="0"/>
          <w:color w:val="000000"/>
          <w:kern w:val="44"/>
          <w:sz w:val="32"/>
          <w:szCs w:val="32"/>
          <w:lang w:val="en-US" w:eastAsia="zh-CN" w:bidi="ar-SA"/>
        </w:rPr>
        <w:t>通过对项目社会影响分析可见，本项目的社会正面效益远大于负面影响。对于负面影响在施工前优选施工方案，做好风险防范预案，能确保将有风险的情况降到最低程度。因此，从社会评价上来讲，本项目是可行的。</w:t>
      </w:r>
    </w:p>
    <w:p>
      <w:pPr>
        <w:widowControl w:val="0"/>
        <w:kinsoku/>
        <w:autoSpaceDE/>
        <w:autoSpaceDN/>
        <w:adjustRightInd/>
        <w:spacing w:line="520" w:lineRule="exact"/>
        <w:ind w:firstLine="648" w:firstLineChars="200"/>
        <w:textAlignment w:val="auto"/>
        <w:outlineLvl w:val="0"/>
        <w:rPr>
          <w:rFonts w:hint="eastAsia" w:ascii="黑体" w:hAnsi="黑体" w:eastAsia="黑体" w:cs="黑体"/>
          <w:spacing w:val="2"/>
          <w:sz w:val="32"/>
          <w:szCs w:val="32"/>
          <w:lang w:eastAsia="zh-CN"/>
        </w:rPr>
      </w:pPr>
      <w:r>
        <w:rPr>
          <w:rFonts w:hint="eastAsia" w:ascii="黑体" w:hAnsi="黑体" w:eastAsia="黑体" w:cs="黑体"/>
          <w:spacing w:val="2"/>
          <w:sz w:val="32"/>
          <w:szCs w:val="32"/>
          <w:lang w:eastAsia="zh-CN"/>
        </w:rPr>
        <w:t>四、绩效评价指标分析</w:t>
      </w:r>
    </w:p>
    <w:p>
      <w:pPr>
        <w:widowControl w:val="0"/>
        <w:kinsoku/>
        <w:autoSpaceDE/>
        <w:autoSpaceDN/>
        <w:adjustRightInd/>
        <w:spacing w:line="520" w:lineRule="exact"/>
        <w:ind w:firstLine="640" w:firstLineChars="200"/>
        <w:textAlignment w:val="auto"/>
        <w:rPr>
          <w:rFonts w:hint="eastAsia" w:ascii="楷体_GB2312" w:hAnsi="楷体_GB2312" w:eastAsia="楷体_GB2312" w:cs="楷体_GB2312"/>
          <w:sz w:val="32"/>
          <w:szCs w:val="32"/>
          <w:shd w:val="clear" w:color="auto" w:fill="FFFFFF"/>
          <w:lang w:eastAsia="zh-CN"/>
        </w:rPr>
      </w:pPr>
      <w:bookmarkStart w:id="5" w:name="_Toc17679"/>
      <w:r>
        <w:rPr>
          <w:rFonts w:hint="eastAsia" w:ascii="楷体_GB2312" w:hAnsi="楷体_GB2312" w:eastAsia="楷体_GB2312" w:cs="楷体_GB2312"/>
          <w:sz w:val="32"/>
          <w:szCs w:val="32"/>
          <w:shd w:val="clear" w:color="auto" w:fill="FFFFFF"/>
          <w:lang w:eastAsia="zh-CN"/>
        </w:rPr>
        <w:t>(一)项目决策情况</w:t>
      </w:r>
      <w:bookmarkEnd w:id="5"/>
    </w:p>
    <w:p>
      <w:pPr>
        <w:widowControl w:val="0"/>
        <w:kinsoku/>
        <w:autoSpaceDE/>
        <w:autoSpaceDN/>
        <w:adjustRightInd/>
        <w:spacing w:line="560" w:lineRule="exact"/>
        <w:ind w:firstLine="640" w:firstLineChars="20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项目立项充分依据省、市、县文件要求，具有较强的前瞻性和必要性。目标设定明确、具体、可衡量，且与项目的实际需求和预期效果相匹配。但部分目标在细化和量化方面还有待进一步加强，以提高目标的可操作性和考核的准确性。</w:t>
      </w:r>
    </w:p>
    <w:p>
      <w:pPr>
        <w:widowControl w:val="0"/>
        <w:kinsoku/>
        <w:autoSpaceDE/>
        <w:autoSpaceDN/>
        <w:adjustRightInd/>
        <w:spacing w:line="520" w:lineRule="exact"/>
        <w:ind w:firstLine="640" w:firstLineChars="200"/>
        <w:textAlignment w:val="auto"/>
        <w:rPr>
          <w:rFonts w:hint="eastAsia" w:ascii="楷体_GB2312" w:hAnsi="楷体_GB2312" w:eastAsia="楷体_GB2312" w:cs="楷体_GB2312"/>
          <w:sz w:val="32"/>
          <w:szCs w:val="32"/>
          <w:shd w:val="clear" w:color="auto" w:fill="FFFFFF"/>
          <w:lang w:eastAsia="zh-CN"/>
        </w:rPr>
      </w:pPr>
      <w:bookmarkStart w:id="6" w:name="_Toc28411"/>
      <w:r>
        <w:rPr>
          <w:rFonts w:hint="eastAsia" w:ascii="楷体_GB2312" w:hAnsi="楷体_GB2312" w:eastAsia="楷体_GB2312" w:cs="楷体_GB2312"/>
          <w:sz w:val="32"/>
          <w:szCs w:val="32"/>
          <w:shd w:val="clear" w:color="auto" w:fill="FFFFFF"/>
          <w:lang w:eastAsia="zh-CN"/>
        </w:rPr>
        <w:t>(二)项目过程情况</w:t>
      </w:r>
      <w:bookmarkEnd w:id="6"/>
    </w:p>
    <w:p>
      <w:pPr>
        <w:widowControl w:val="0"/>
        <w:kinsoku/>
        <w:autoSpaceDE/>
        <w:autoSpaceDN/>
        <w:adjustRightInd/>
        <w:spacing w:line="560" w:lineRule="exact"/>
        <w:ind w:firstLine="640" w:firstLineChars="200"/>
        <w:jc w:val="both"/>
        <w:textAlignment w:val="auto"/>
        <w:rPr>
          <w:rFonts w:hint="eastAsia" w:ascii="仿宋" w:hAnsi="仿宋" w:eastAsia="仿宋" w:cs="仿宋"/>
          <w:kern w:val="44"/>
          <w:sz w:val="32"/>
          <w:szCs w:val="32"/>
          <w:lang w:eastAsia="zh-CN"/>
        </w:rPr>
      </w:pPr>
      <w:bookmarkStart w:id="7" w:name="_Toc10140"/>
      <w:r>
        <w:rPr>
          <w:rFonts w:hint="eastAsia" w:ascii="仿宋" w:hAnsi="仿宋" w:eastAsia="仿宋" w:cs="仿宋"/>
          <w:kern w:val="44"/>
          <w:sz w:val="32"/>
          <w:szCs w:val="32"/>
          <w:lang w:eastAsia="zh-CN"/>
        </w:rPr>
        <w:t>1.资金管理</w:t>
      </w:r>
      <w:bookmarkEnd w:id="7"/>
    </w:p>
    <w:p>
      <w:pPr>
        <w:widowControl w:val="0"/>
        <w:kinsoku/>
        <w:autoSpaceDE/>
        <w:autoSpaceDN/>
        <w:adjustRightInd/>
        <w:spacing w:line="560" w:lineRule="exact"/>
        <w:ind w:firstLine="640" w:firstLineChars="200"/>
        <w:jc w:val="both"/>
        <w:textAlignment w:val="auto"/>
        <w:rPr>
          <w:rFonts w:hint="eastAsia" w:ascii="仿宋" w:hAnsi="仿宋" w:eastAsia="仿宋" w:cs="仿宋"/>
          <w:snapToGrid w:val="0"/>
          <w:color w:val="000000"/>
          <w:sz w:val="32"/>
          <w:szCs w:val="32"/>
          <w:lang w:val="en-US" w:eastAsia="zh-CN" w:bidi="ar-SA"/>
        </w:rPr>
      </w:pPr>
      <w:r>
        <w:rPr>
          <w:rFonts w:hint="eastAsia" w:ascii="仿宋" w:hAnsi="仿宋" w:eastAsia="仿宋" w:cs="仿宋"/>
          <w:kern w:val="44"/>
          <w:sz w:val="32"/>
          <w:szCs w:val="32"/>
          <w:lang w:val="en-US" w:eastAsia="zh-CN"/>
        </w:rPr>
        <w:t>该项目所有资金实行专款专用。项目支出均有相关的授权审批，资金拨付严格审批程序，使用规范，会计核算结果真实、准确。项目单位建立健全项目实施预算方案、财务管理制度和会计核算制度，此次绩效评价过程中未发现有截留、挤占或挪用项目资金的情况</w:t>
      </w:r>
      <w:r>
        <w:rPr>
          <w:rFonts w:hint="eastAsia" w:ascii="仿宋" w:hAnsi="仿宋" w:eastAsia="仿宋" w:cs="仿宋"/>
          <w:snapToGrid w:val="0"/>
          <w:color w:val="000000"/>
          <w:sz w:val="32"/>
          <w:szCs w:val="32"/>
          <w:lang w:val="en-US" w:eastAsia="zh-CN" w:bidi="ar-SA"/>
        </w:rPr>
        <w:t>。</w:t>
      </w:r>
    </w:p>
    <w:p>
      <w:pPr>
        <w:widowControl w:val="0"/>
        <w:kinsoku/>
        <w:autoSpaceDE/>
        <w:autoSpaceDN/>
        <w:adjustRightInd/>
        <w:spacing w:line="560" w:lineRule="exact"/>
        <w:ind w:firstLine="640" w:firstLineChars="200"/>
        <w:jc w:val="both"/>
        <w:textAlignment w:val="auto"/>
        <w:rPr>
          <w:rFonts w:hint="eastAsia" w:ascii="仿宋" w:hAnsi="仿宋" w:eastAsia="仿宋" w:cs="仿宋"/>
          <w:kern w:val="44"/>
          <w:sz w:val="32"/>
          <w:szCs w:val="32"/>
          <w:lang w:eastAsia="zh-CN"/>
        </w:rPr>
      </w:pPr>
      <w:bookmarkStart w:id="8" w:name="_Toc1210"/>
      <w:r>
        <w:rPr>
          <w:rFonts w:hint="eastAsia" w:ascii="仿宋" w:hAnsi="仿宋" w:eastAsia="仿宋" w:cs="仿宋"/>
          <w:kern w:val="44"/>
          <w:sz w:val="32"/>
          <w:szCs w:val="32"/>
          <w:lang w:eastAsia="zh-CN"/>
        </w:rPr>
        <w:t>2.项目实施</w:t>
      </w:r>
      <w:bookmarkEnd w:id="8"/>
    </w:p>
    <w:p>
      <w:pPr>
        <w:widowControl w:val="0"/>
        <w:kinsoku/>
        <w:autoSpaceDE/>
        <w:autoSpaceDN/>
        <w:adjustRightInd/>
        <w:spacing w:line="560" w:lineRule="exact"/>
        <w:ind w:firstLine="640" w:firstLineChars="200"/>
        <w:jc w:val="both"/>
        <w:textAlignment w:val="auto"/>
        <w:outlineLvl w:val="2"/>
        <w:rPr>
          <w:rFonts w:ascii="仿宋" w:hAnsi="仿宋" w:eastAsia="仿宋" w:cs="仿宋"/>
          <w:kern w:val="44"/>
          <w:sz w:val="32"/>
          <w:szCs w:val="32"/>
          <w:lang w:eastAsia="zh-CN"/>
        </w:rPr>
      </w:pPr>
      <w:bookmarkStart w:id="9" w:name="_Toc6604"/>
      <w:r>
        <w:rPr>
          <w:rFonts w:hint="eastAsia" w:ascii="仿宋" w:hAnsi="仿宋" w:eastAsia="仿宋" w:cs="仿宋"/>
          <w:kern w:val="44"/>
          <w:sz w:val="32"/>
          <w:szCs w:val="32"/>
          <w:lang w:eastAsia="zh-CN"/>
        </w:rPr>
        <w:t>①项目组织实施得力，成立了专门的项目管理机构和工作小组，明确了职责分工，建立了有效的沟通协调机制。</w:t>
      </w:r>
    </w:p>
    <w:p>
      <w:pPr>
        <w:widowControl w:val="0"/>
        <w:kinsoku/>
        <w:autoSpaceDE/>
        <w:autoSpaceDN/>
        <w:adjustRightInd/>
        <w:spacing w:line="560" w:lineRule="exact"/>
        <w:ind w:firstLine="640" w:firstLineChars="200"/>
        <w:jc w:val="both"/>
        <w:textAlignment w:val="auto"/>
        <w:outlineLvl w:val="2"/>
        <w:rPr>
          <w:rFonts w:ascii="仿宋" w:hAnsi="仿宋" w:eastAsia="仿宋" w:cs="仿宋"/>
          <w:kern w:val="44"/>
          <w:sz w:val="32"/>
          <w:szCs w:val="32"/>
          <w:lang w:eastAsia="zh-CN"/>
        </w:rPr>
      </w:pPr>
      <w:r>
        <w:rPr>
          <w:rFonts w:hint="eastAsia" w:ascii="仿宋" w:hAnsi="仿宋" w:eastAsia="仿宋" w:cs="仿宋"/>
          <w:kern w:val="44"/>
          <w:sz w:val="32"/>
          <w:szCs w:val="32"/>
          <w:lang w:eastAsia="zh-CN"/>
        </w:rPr>
        <w:t>②项目进度控制较好，项目能够按照预定的时间节点完成。    ③项目质量监管到位，严格执行工程建设和验收的质量标准，确保了项目质量符合要求。</w:t>
      </w:r>
    </w:p>
    <w:p>
      <w:pPr>
        <w:widowControl w:val="0"/>
        <w:kinsoku/>
        <w:autoSpaceDE/>
        <w:autoSpaceDN/>
        <w:adjustRightInd/>
        <w:spacing w:line="520" w:lineRule="exact"/>
        <w:ind w:firstLine="640" w:firstLineChars="200"/>
        <w:textAlignment w:val="auto"/>
        <w:rPr>
          <w:rFonts w:hint="eastAsia" w:ascii="楷体_GB2312" w:hAnsi="楷体_GB2312" w:eastAsia="楷体_GB2312" w:cs="楷体_GB2312"/>
          <w:sz w:val="32"/>
          <w:szCs w:val="32"/>
          <w:shd w:val="clear" w:color="auto" w:fill="FFFFFF"/>
          <w:lang w:val="en-US" w:eastAsia="zh-CN"/>
        </w:rPr>
      </w:pPr>
      <w:r>
        <w:rPr>
          <w:rFonts w:hint="eastAsia" w:ascii="楷体_GB2312" w:hAnsi="楷体_GB2312" w:eastAsia="楷体_GB2312" w:cs="楷体_GB2312"/>
          <w:sz w:val="32"/>
          <w:szCs w:val="32"/>
          <w:shd w:val="clear" w:color="auto" w:fill="FFFFFF"/>
          <w:lang w:val="en-US" w:eastAsia="zh-CN"/>
        </w:rPr>
        <w:t>(三)项目产出情况</w:t>
      </w:r>
      <w:bookmarkEnd w:id="9"/>
    </w:p>
    <w:p>
      <w:pPr>
        <w:pStyle w:val="2"/>
        <w:widowControl w:val="0"/>
        <w:kinsoku/>
        <w:autoSpaceDE/>
        <w:autoSpaceDN/>
        <w:adjustRightInd/>
        <w:spacing w:line="520" w:lineRule="exact"/>
        <w:ind w:left="0" w:leftChars="0" w:firstLine="640" w:firstLineChars="200"/>
        <w:textAlignment w:val="auto"/>
        <w:outlineLvl w:val="2"/>
        <w:rPr>
          <w:rFonts w:ascii="仿宋" w:hAnsi="仿宋" w:eastAsia="仿宋" w:cs="仿宋"/>
          <w:kern w:val="44"/>
          <w:sz w:val="32"/>
          <w:szCs w:val="32"/>
          <w:lang w:eastAsia="zh-CN"/>
        </w:rPr>
      </w:pPr>
      <w:bookmarkStart w:id="10" w:name="_Toc20742"/>
      <w:r>
        <w:rPr>
          <w:rFonts w:hint="eastAsia" w:ascii="仿宋" w:hAnsi="仿宋" w:eastAsia="仿宋" w:cs="仿宋"/>
          <w:kern w:val="44"/>
          <w:sz w:val="32"/>
          <w:szCs w:val="32"/>
          <w:lang w:eastAsia="zh-CN"/>
        </w:rPr>
        <w:t>1.产出数量</w:t>
      </w:r>
      <w:bookmarkEnd w:id="10"/>
    </w:p>
    <w:p>
      <w:pPr>
        <w:widowControl w:val="0"/>
        <w:kinsoku/>
        <w:autoSpaceDE/>
        <w:autoSpaceDN/>
        <w:adjustRightInd/>
        <w:spacing w:line="560" w:lineRule="exact"/>
        <w:ind w:firstLine="640" w:firstLineChars="200"/>
        <w:jc w:val="both"/>
        <w:textAlignment w:val="auto"/>
        <w:outlineLvl w:val="2"/>
        <w:rPr>
          <w:rFonts w:hint="default"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新建综合楼1栋、互联网中心1栋、1号厂房、2号厂房、3号厂房、1号大门、2号大门、3号大门、总建筑面积25387.17㎡，同时完成了给排水、供配电、消防、道路广场、绿化及设备等基础配套设施工程。</w:t>
      </w:r>
    </w:p>
    <w:p>
      <w:pPr>
        <w:pStyle w:val="2"/>
        <w:widowControl w:val="0"/>
        <w:kinsoku/>
        <w:autoSpaceDE/>
        <w:autoSpaceDN/>
        <w:adjustRightInd/>
        <w:spacing w:line="520" w:lineRule="exact"/>
        <w:ind w:left="0" w:leftChars="0" w:firstLine="640" w:firstLineChars="200"/>
        <w:textAlignment w:val="auto"/>
        <w:outlineLvl w:val="2"/>
        <w:rPr>
          <w:rFonts w:ascii="仿宋" w:hAnsi="仿宋" w:eastAsia="仿宋" w:cs="仿宋"/>
          <w:kern w:val="44"/>
          <w:sz w:val="32"/>
          <w:szCs w:val="32"/>
          <w:lang w:eastAsia="zh-CN"/>
        </w:rPr>
      </w:pPr>
      <w:r>
        <w:rPr>
          <w:rFonts w:hint="eastAsia" w:ascii="仿宋" w:hAnsi="仿宋" w:eastAsia="仿宋" w:cs="仿宋"/>
          <w:kern w:val="44"/>
          <w:sz w:val="32"/>
          <w:szCs w:val="32"/>
          <w:lang w:eastAsia="zh-CN"/>
        </w:rPr>
        <w:t>2.产出质量</w:t>
      </w:r>
    </w:p>
    <w:p>
      <w:pPr>
        <w:pStyle w:val="2"/>
        <w:widowControl w:val="0"/>
        <w:kinsoku/>
        <w:autoSpaceDE/>
        <w:autoSpaceDN/>
        <w:adjustRightInd/>
        <w:spacing w:line="560" w:lineRule="exact"/>
        <w:ind w:left="0" w:leftChars="0" w:firstLine="640" w:firstLineChars="200"/>
        <w:jc w:val="both"/>
        <w:textAlignment w:val="auto"/>
        <w:rPr>
          <w:rFonts w:ascii="仿宋" w:hAnsi="仿宋" w:eastAsia="仿宋" w:cs="仿宋"/>
          <w:kern w:val="44"/>
          <w:sz w:val="32"/>
          <w:szCs w:val="32"/>
          <w:lang w:eastAsia="zh-CN"/>
        </w:rPr>
      </w:pPr>
      <w:r>
        <w:rPr>
          <w:rFonts w:hint="eastAsia" w:ascii="方正仿宋_GB2312" w:hAnsi="方正仿宋_GB2312" w:eastAsia="方正仿宋_GB2312" w:cs="方正仿宋_GB2312"/>
          <w:i w:val="0"/>
          <w:iCs w:val="0"/>
          <w:caps w:val="0"/>
          <w:color w:val="000000"/>
          <w:spacing w:val="0"/>
          <w:kern w:val="0"/>
          <w:sz w:val="32"/>
          <w:szCs w:val="32"/>
          <w:shd w:val="clear" w:fill="FFFFFF"/>
          <w:lang w:val="en-US" w:eastAsia="zh-CN" w:bidi="ar"/>
        </w:rPr>
        <w:t>项目成本控制在预算范围内，通过科学合理的资金安排和管理，有效控制了项目成本，提高了资金使用效益。</w:t>
      </w:r>
    </w:p>
    <w:p>
      <w:pPr>
        <w:pStyle w:val="2"/>
        <w:widowControl w:val="0"/>
        <w:kinsoku/>
        <w:autoSpaceDE/>
        <w:autoSpaceDN/>
        <w:adjustRightInd/>
        <w:spacing w:line="520" w:lineRule="exact"/>
        <w:ind w:left="0" w:leftChars="0" w:firstLine="640" w:firstLineChars="200"/>
        <w:textAlignment w:val="auto"/>
        <w:outlineLvl w:val="2"/>
        <w:rPr>
          <w:rFonts w:ascii="仿宋" w:hAnsi="仿宋" w:eastAsia="仿宋" w:cs="仿宋"/>
          <w:kern w:val="44"/>
          <w:sz w:val="32"/>
          <w:szCs w:val="32"/>
          <w:lang w:eastAsia="zh-CN"/>
        </w:rPr>
      </w:pPr>
      <w:bookmarkStart w:id="11" w:name="_Toc21477"/>
      <w:r>
        <w:rPr>
          <w:rFonts w:hint="eastAsia" w:ascii="仿宋" w:hAnsi="仿宋" w:eastAsia="仿宋" w:cs="仿宋"/>
          <w:kern w:val="44"/>
          <w:sz w:val="32"/>
          <w:szCs w:val="32"/>
          <w:lang w:eastAsia="zh-CN"/>
        </w:rPr>
        <w:t>3.产出时效</w:t>
      </w:r>
      <w:bookmarkEnd w:id="11"/>
    </w:p>
    <w:p>
      <w:pPr>
        <w:keepNext w:val="0"/>
        <w:keepLines w:val="0"/>
        <w:pageBreakBefore w:val="0"/>
        <w:wordWrap/>
        <w:overflowPunct/>
        <w:topLinePunct w:val="0"/>
        <w:bidi w:val="0"/>
        <w:spacing w:line="560" w:lineRule="exact"/>
        <w:ind w:firstLine="640" w:firstLineChars="200"/>
        <w:rPr>
          <w:rFonts w:hint="eastAsia" w:ascii="仿宋" w:hAnsi="仿宋" w:eastAsia="仿宋" w:cs="仿宋"/>
          <w:sz w:val="32"/>
          <w:szCs w:val="32"/>
        </w:rPr>
      </w:pPr>
      <w:r>
        <w:rPr>
          <w:rFonts w:hint="eastAsia" w:ascii="仿宋" w:hAnsi="仿宋" w:eastAsia="仿宋" w:cs="仿宋"/>
          <w:kern w:val="44"/>
          <w:sz w:val="32"/>
          <w:szCs w:val="32"/>
          <w:lang w:eastAsia="zh-CN"/>
        </w:rPr>
        <w:t>按照预算批复及时支出专项资金，至2024年末，申请支付专项资金已支付到位。</w:t>
      </w:r>
    </w:p>
    <w:p>
      <w:pPr>
        <w:widowControl w:val="0"/>
        <w:kinsoku/>
        <w:autoSpaceDE/>
        <w:autoSpaceDN/>
        <w:adjustRightInd/>
        <w:spacing w:line="520" w:lineRule="exact"/>
        <w:ind w:firstLine="640" w:firstLineChars="200"/>
        <w:textAlignment w:val="auto"/>
        <w:rPr>
          <w:rFonts w:hint="eastAsia" w:ascii="楷体_GB2312" w:hAnsi="楷体_GB2312" w:eastAsia="楷体_GB2312" w:cs="楷体_GB2312"/>
          <w:sz w:val="32"/>
          <w:szCs w:val="32"/>
          <w:shd w:val="clear" w:color="auto" w:fill="FFFFFF"/>
          <w:lang w:val="en-US" w:eastAsia="zh-CN"/>
        </w:rPr>
      </w:pPr>
      <w:bookmarkStart w:id="12" w:name="_Toc12690"/>
      <w:bookmarkStart w:id="13" w:name="_Toc3072"/>
      <w:bookmarkStart w:id="14" w:name="_Toc5372"/>
      <w:r>
        <w:rPr>
          <w:rFonts w:hint="eastAsia" w:ascii="楷体_GB2312" w:hAnsi="楷体_GB2312" w:eastAsia="楷体_GB2312" w:cs="楷体_GB2312"/>
          <w:sz w:val="32"/>
          <w:szCs w:val="32"/>
          <w:shd w:val="clear" w:color="auto" w:fill="FFFFFF"/>
          <w:lang w:val="en-US" w:eastAsia="zh-CN"/>
        </w:rPr>
        <w:t>(四)项目效益情况</w:t>
      </w:r>
      <w:bookmarkEnd w:id="12"/>
      <w:bookmarkEnd w:id="13"/>
    </w:p>
    <w:bookmarkEnd w:id="14"/>
    <w:p>
      <w:pPr>
        <w:pStyle w:val="6"/>
        <w:spacing w:line="560" w:lineRule="exact"/>
        <w:ind w:firstLine="640" w:firstLineChars="200"/>
        <w:rPr>
          <w:kern w:val="44"/>
          <w:sz w:val="32"/>
          <w:szCs w:val="32"/>
          <w:lang w:eastAsia="zh-CN"/>
        </w:rPr>
      </w:pPr>
      <w:r>
        <w:rPr>
          <w:rFonts w:hint="eastAsia"/>
          <w:kern w:val="44"/>
          <w:sz w:val="32"/>
          <w:szCs w:val="32"/>
          <w:lang w:eastAsia="zh-CN"/>
        </w:rPr>
        <w:t>项目带来一定的社会效益、经济效益、生态效益。具体体现在：</w:t>
      </w:r>
    </w:p>
    <w:p>
      <w:pPr>
        <w:pStyle w:val="6"/>
        <w:spacing w:line="560" w:lineRule="exact"/>
        <w:ind w:firstLine="640" w:firstLineChars="200"/>
        <w:rPr>
          <w:rFonts w:hint="eastAsia" w:ascii="仿宋" w:hAnsi="仿宋" w:eastAsia="仿宋" w:cs="仿宋"/>
          <w:kern w:val="44"/>
          <w:sz w:val="32"/>
          <w:szCs w:val="32"/>
          <w:lang w:eastAsia="zh-CN"/>
        </w:rPr>
      </w:pPr>
      <w:r>
        <w:rPr>
          <w:rFonts w:hint="eastAsia"/>
          <w:kern w:val="44"/>
          <w:sz w:val="32"/>
          <w:szCs w:val="32"/>
          <w:lang w:eastAsia="zh-CN"/>
        </w:rPr>
        <w:t>社会效益：</w:t>
      </w:r>
      <w:r>
        <w:rPr>
          <w:rFonts w:hint="eastAsia" w:ascii="仿宋" w:hAnsi="仿宋" w:eastAsia="仿宋" w:cs="仿宋"/>
          <w:kern w:val="44"/>
          <w:sz w:val="32"/>
          <w:szCs w:val="32"/>
          <w:lang w:eastAsia="zh-CN"/>
        </w:rPr>
        <w:t>进一步完善园区基础配套设施，优化招商引资环境，加强产业园建设，优化园区产业结构布局，加快各区域产业聚集，提升园区竞争力和知名度，吸引更多企业入驻，带动中方县各行产业及上下游产业发展，推进承接产业转移示范区创建工作，促进区域经济发展。</w:t>
      </w:r>
    </w:p>
    <w:p>
      <w:pPr>
        <w:pStyle w:val="6"/>
        <w:spacing w:line="560" w:lineRule="exact"/>
        <w:ind w:firstLine="640" w:firstLineChars="200"/>
        <w:rPr>
          <w:rFonts w:hint="eastAsia" w:ascii="仿宋" w:hAnsi="仿宋" w:eastAsia="仿宋" w:cs="仿宋"/>
          <w:kern w:val="44"/>
          <w:sz w:val="32"/>
          <w:szCs w:val="32"/>
          <w:lang w:eastAsia="zh-CN"/>
        </w:rPr>
      </w:pPr>
      <w:r>
        <w:rPr>
          <w:rFonts w:hint="eastAsia" w:ascii="仿宋" w:hAnsi="仿宋" w:eastAsia="仿宋" w:cs="仿宋"/>
          <w:kern w:val="44"/>
          <w:sz w:val="32"/>
          <w:szCs w:val="32"/>
          <w:lang w:eastAsia="zh-CN"/>
        </w:rPr>
        <w:t>其次，本项目建设过程中不仅带动城乡剩余劳动力就业，而且项目建成后将引进大量的企业，能解决大量的就业问题，预计本项目的建成带动新增就业200人；本项目建设还能优化中方县产业结构，加快城镇化进程，对保障中方县区域经济发展具有重要的意义。</w:t>
      </w:r>
    </w:p>
    <w:p>
      <w:pPr>
        <w:pStyle w:val="6"/>
        <w:spacing w:line="560" w:lineRule="exact"/>
        <w:ind w:firstLine="640" w:firstLineChars="200"/>
        <w:rPr>
          <w:rFonts w:hint="eastAsia" w:ascii="仿宋" w:hAnsi="仿宋" w:eastAsia="仿宋" w:cs="仿宋"/>
          <w:kern w:val="44"/>
          <w:sz w:val="32"/>
          <w:szCs w:val="32"/>
          <w:lang w:eastAsia="zh-CN"/>
        </w:rPr>
      </w:pPr>
      <w:r>
        <w:rPr>
          <w:rFonts w:hint="eastAsia" w:ascii="仿宋" w:hAnsi="仿宋" w:eastAsia="仿宋" w:cs="仿宋"/>
          <w:kern w:val="44"/>
          <w:sz w:val="32"/>
          <w:szCs w:val="32"/>
          <w:lang w:eastAsia="zh-CN"/>
        </w:rPr>
        <w:t>经济效益：通过本项目</w:t>
      </w:r>
      <w:r>
        <w:rPr>
          <w:rFonts w:hint="eastAsia" w:ascii="仿宋" w:hAnsi="仿宋" w:eastAsia="仿宋" w:cs="仿宋"/>
          <w:kern w:val="44"/>
          <w:sz w:val="32"/>
          <w:szCs w:val="32"/>
          <w:lang w:val="en-US" w:eastAsia="zh-CN"/>
        </w:rPr>
        <w:t>实施，</w:t>
      </w:r>
      <w:r>
        <w:rPr>
          <w:rFonts w:hint="eastAsia" w:ascii="仿宋" w:hAnsi="仿宋" w:eastAsia="仿宋" w:cs="仿宋"/>
          <w:kern w:val="44"/>
          <w:sz w:val="32"/>
          <w:szCs w:val="32"/>
          <w:lang w:eastAsia="zh-CN"/>
        </w:rPr>
        <w:t>建成一批标准生产厂房，出租或出售给入驻园区的其它生产企业生产经营，项目土建施工能有效地带动当地水泥、钢材、运输等多行业的发展。</w:t>
      </w:r>
    </w:p>
    <w:p>
      <w:pPr>
        <w:pStyle w:val="6"/>
        <w:spacing w:line="560" w:lineRule="exact"/>
        <w:ind w:firstLine="640" w:firstLineChars="200"/>
        <w:rPr>
          <w:rFonts w:hint="eastAsia" w:ascii="仿宋" w:hAnsi="仿宋" w:eastAsia="仿宋" w:cs="仿宋"/>
          <w:kern w:val="44"/>
          <w:sz w:val="32"/>
          <w:szCs w:val="32"/>
          <w:lang w:eastAsia="zh-CN"/>
        </w:rPr>
      </w:pPr>
      <w:r>
        <w:rPr>
          <w:rFonts w:hint="eastAsia" w:ascii="仿宋" w:hAnsi="仿宋" w:eastAsia="仿宋" w:cs="仿宋"/>
          <w:kern w:val="44"/>
          <w:sz w:val="32"/>
          <w:szCs w:val="32"/>
          <w:lang w:eastAsia="zh-CN"/>
        </w:rPr>
        <w:t>生态效益：通过项目实施，防止土地浪费，保护了生态环境安全、维护了生态平衡等。</w:t>
      </w:r>
    </w:p>
    <w:p>
      <w:pPr>
        <w:widowControl w:val="0"/>
        <w:kinsoku/>
        <w:autoSpaceDE/>
        <w:autoSpaceDN/>
        <w:adjustRightInd/>
        <w:spacing w:line="520" w:lineRule="exact"/>
        <w:ind w:firstLine="716" w:firstLineChars="200"/>
        <w:textAlignment w:val="auto"/>
        <w:outlineLvl w:val="0"/>
        <w:rPr>
          <w:rFonts w:ascii="黑体" w:hAnsi="黑体" w:eastAsia="黑体" w:cs="黑体"/>
          <w:spacing w:val="19"/>
          <w:sz w:val="32"/>
          <w:szCs w:val="32"/>
          <w:lang w:eastAsia="zh-CN"/>
        </w:rPr>
      </w:pPr>
      <w:r>
        <w:rPr>
          <w:rFonts w:ascii="黑体" w:hAnsi="黑体" w:eastAsia="黑体" w:cs="黑体"/>
          <w:spacing w:val="19"/>
          <w:sz w:val="32"/>
          <w:szCs w:val="32"/>
          <w:lang w:eastAsia="zh-CN"/>
        </w:rPr>
        <w:t>五、</w:t>
      </w:r>
      <w:r>
        <w:rPr>
          <w:rFonts w:hint="eastAsia" w:ascii="黑体" w:hAnsi="黑体" w:eastAsia="黑体" w:cs="黑体"/>
          <w:spacing w:val="19"/>
          <w:sz w:val="32"/>
          <w:szCs w:val="32"/>
          <w:lang w:eastAsia="zh-CN"/>
        </w:rPr>
        <w:t>项目主要经验、存在的问题及建议</w:t>
      </w:r>
    </w:p>
    <w:p>
      <w:pPr>
        <w:widowControl w:val="0"/>
        <w:kinsoku/>
        <w:autoSpaceDE/>
        <w:autoSpaceDN/>
        <w:adjustRightInd/>
        <w:spacing w:line="520" w:lineRule="exact"/>
        <w:ind w:firstLine="640" w:firstLineChars="200"/>
        <w:textAlignment w:val="auto"/>
        <w:outlineLvl w:val="1"/>
        <w:rPr>
          <w:rFonts w:hint="eastAsia" w:ascii="仿宋" w:hAnsi="仿宋" w:eastAsia="仿宋" w:cs="仿宋"/>
          <w:kern w:val="44"/>
          <w:sz w:val="32"/>
          <w:szCs w:val="32"/>
          <w:lang w:eastAsia="zh-CN"/>
        </w:rPr>
      </w:pPr>
      <w:bookmarkStart w:id="15" w:name="_Toc23434"/>
      <w:bookmarkStart w:id="16" w:name="_Toc5316"/>
      <w:r>
        <w:rPr>
          <w:rFonts w:hint="eastAsia" w:ascii="仿宋" w:hAnsi="仿宋" w:eastAsia="仿宋" w:cs="仿宋"/>
          <w:kern w:val="44"/>
          <w:sz w:val="32"/>
          <w:szCs w:val="32"/>
          <w:lang w:eastAsia="zh-CN"/>
        </w:rPr>
        <w:t>（一）项目主要经验</w:t>
      </w:r>
      <w:bookmarkEnd w:id="15"/>
      <w:r>
        <w:rPr>
          <w:rFonts w:hint="eastAsia" w:ascii="仿宋" w:hAnsi="仿宋" w:eastAsia="仿宋" w:cs="仿宋"/>
          <w:kern w:val="44"/>
          <w:sz w:val="32"/>
          <w:szCs w:val="32"/>
          <w:lang w:eastAsia="zh-CN"/>
        </w:rPr>
        <w:t>及做法</w:t>
      </w:r>
      <w:bookmarkEnd w:id="16"/>
    </w:p>
    <w:p>
      <w:pPr>
        <w:kinsoku/>
        <w:autoSpaceDE/>
        <w:autoSpaceDN/>
        <w:adjustRightInd/>
        <w:snapToGrid/>
        <w:spacing w:line="560" w:lineRule="exact"/>
        <w:ind w:firstLine="640" w:firstLineChars="200"/>
        <w:jc w:val="both"/>
        <w:textAlignment w:val="auto"/>
        <w:rPr>
          <w:rFonts w:ascii="仿宋" w:hAnsi="仿宋" w:eastAsia="仿宋" w:cs="仿宋"/>
          <w:kern w:val="44"/>
          <w:sz w:val="32"/>
          <w:szCs w:val="32"/>
          <w:lang w:eastAsia="zh-CN"/>
        </w:rPr>
      </w:pPr>
      <w:bookmarkStart w:id="17" w:name="_Toc2597"/>
      <w:bookmarkStart w:id="18" w:name="_Toc6772"/>
      <w:r>
        <w:rPr>
          <w:rFonts w:hint="eastAsia" w:ascii="仿宋" w:hAnsi="仿宋" w:eastAsia="仿宋" w:cs="仿宋"/>
          <w:kern w:val="44"/>
          <w:sz w:val="32"/>
          <w:szCs w:val="32"/>
          <w:lang w:eastAsia="zh-CN"/>
        </w:rPr>
        <w:t>1.领导高度重视，成立了专门的项目领导小组，加强对项目的统筹规划和组织协调，确保项目顺利推进。</w:t>
      </w:r>
    </w:p>
    <w:p>
      <w:pPr>
        <w:kinsoku/>
        <w:autoSpaceDE/>
        <w:autoSpaceDN/>
        <w:adjustRightInd/>
        <w:snapToGrid/>
        <w:spacing w:line="560" w:lineRule="exact"/>
        <w:ind w:firstLine="640" w:firstLineChars="20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2.注重前期调研和论证，充分了解项目实施内容及范围，为项目的科学决策提供依据。</w:t>
      </w:r>
    </w:p>
    <w:p>
      <w:pPr>
        <w:kinsoku/>
        <w:autoSpaceDE/>
        <w:autoSpaceDN/>
        <w:adjustRightInd/>
        <w:snapToGrid/>
        <w:spacing w:line="560" w:lineRule="exact"/>
        <w:ind w:firstLine="640" w:firstLineChars="20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3.建立健全项目管理制度，规范项目的申报、审批、实施、监督和评估等环节，提高项目管理的规范化和科学化水平。</w:t>
      </w:r>
    </w:p>
    <w:p>
      <w:pPr>
        <w:kinsoku/>
        <w:autoSpaceDE/>
        <w:autoSpaceDN/>
        <w:adjustRightInd/>
        <w:snapToGrid/>
        <w:spacing w:line="560" w:lineRule="exact"/>
        <w:ind w:firstLine="640" w:firstLineChars="20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4.加强与相关部门和单位的合作，形成工作合力，共同推进项目的实施。</w:t>
      </w:r>
    </w:p>
    <w:p>
      <w:pPr>
        <w:widowControl w:val="0"/>
        <w:kinsoku/>
        <w:autoSpaceDE/>
        <w:autoSpaceDN/>
        <w:adjustRightInd/>
        <w:spacing w:line="520" w:lineRule="exact"/>
        <w:ind w:firstLine="640" w:firstLineChars="200"/>
        <w:textAlignment w:val="auto"/>
        <w:outlineLvl w:val="1"/>
        <w:rPr>
          <w:rFonts w:hint="eastAsia" w:ascii="仿宋" w:hAnsi="仿宋" w:eastAsia="仿宋" w:cs="仿宋"/>
          <w:kern w:val="44"/>
          <w:sz w:val="32"/>
          <w:szCs w:val="32"/>
          <w:lang w:eastAsia="zh-CN"/>
        </w:rPr>
      </w:pPr>
      <w:r>
        <w:rPr>
          <w:rFonts w:hint="eastAsia" w:ascii="仿宋" w:hAnsi="仿宋" w:eastAsia="仿宋" w:cs="仿宋"/>
          <w:kern w:val="44"/>
          <w:sz w:val="32"/>
          <w:szCs w:val="32"/>
          <w:lang w:eastAsia="zh-CN"/>
        </w:rPr>
        <w:t>（二）存在的问题</w:t>
      </w:r>
      <w:bookmarkEnd w:id="17"/>
      <w:bookmarkEnd w:id="18"/>
    </w:p>
    <w:p>
      <w:pPr>
        <w:widowControl w:val="0"/>
        <w:kinsoku/>
        <w:autoSpaceDE/>
        <w:autoSpaceDN/>
        <w:adjustRightInd/>
        <w:spacing w:line="520" w:lineRule="exact"/>
        <w:ind w:firstLine="640" w:firstLineChars="200"/>
        <w:textAlignment w:val="auto"/>
        <w:outlineLvl w:val="1"/>
        <w:rPr>
          <w:rFonts w:hint="eastAsia" w:ascii="仿宋" w:hAnsi="仿宋" w:eastAsia="仿宋" w:cs="仿宋"/>
          <w:kern w:val="44"/>
          <w:sz w:val="32"/>
          <w:szCs w:val="32"/>
          <w:lang w:eastAsia="zh-CN"/>
        </w:rPr>
      </w:pPr>
      <w:bookmarkStart w:id="19" w:name="_Toc29278"/>
      <w:bookmarkStart w:id="20" w:name="_Toc16271"/>
      <w:r>
        <w:rPr>
          <w:rFonts w:hint="eastAsia" w:ascii="仿宋" w:hAnsi="仿宋" w:eastAsia="仿宋" w:cs="仿宋"/>
          <w:kern w:val="44"/>
          <w:sz w:val="32"/>
          <w:szCs w:val="32"/>
          <w:lang w:val="en-US" w:eastAsia="zh-CN"/>
        </w:rPr>
        <w:t>1</w:t>
      </w:r>
      <w:r>
        <w:rPr>
          <w:rFonts w:hint="eastAsia" w:ascii="仿宋" w:hAnsi="仿宋" w:eastAsia="仿宋" w:cs="仿宋"/>
          <w:kern w:val="44"/>
          <w:sz w:val="32"/>
          <w:szCs w:val="32"/>
          <w:lang w:eastAsia="zh-CN"/>
        </w:rPr>
        <w:t>.项目实施过程中，沟通协调机制不够完善，导致信息传递不及时、工作衔接不顺畅，影响了项目的进度和质量。</w:t>
      </w:r>
    </w:p>
    <w:p>
      <w:pPr>
        <w:widowControl w:val="0"/>
        <w:kinsoku/>
        <w:autoSpaceDE/>
        <w:autoSpaceDN/>
        <w:adjustRightInd/>
        <w:spacing w:line="520" w:lineRule="exact"/>
        <w:ind w:firstLine="640" w:firstLineChars="200"/>
        <w:textAlignment w:val="auto"/>
        <w:outlineLvl w:val="1"/>
        <w:rPr>
          <w:rFonts w:hint="eastAsia" w:ascii="仿宋" w:hAnsi="仿宋" w:eastAsia="仿宋" w:cs="仿宋"/>
          <w:kern w:val="44"/>
          <w:sz w:val="32"/>
          <w:szCs w:val="32"/>
          <w:lang w:eastAsia="zh-CN"/>
        </w:rPr>
      </w:pPr>
      <w:r>
        <w:rPr>
          <w:rFonts w:hint="eastAsia" w:ascii="仿宋" w:hAnsi="仿宋" w:eastAsia="仿宋" w:cs="仿宋"/>
          <w:kern w:val="44"/>
          <w:sz w:val="32"/>
          <w:szCs w:val="32"/>
          <w:lang w:val="en-US" w:eastAsia="zh-CN"/>
        </w:rPr>
        <w:t>2</w:t>
      </w:r>
      <w:r>
        <w:rPr>
          <w:rFonts w:hint="eastAsia" w:ascii="仿宋" w:hAnsi="仿宋" w:eastAsia="仿宋" w:cs="仿宋"/>
          <w:kern w:val="44"/>
          <w:sz w:val="32"/>
          <w:szCs w:val="32"/>
          <w:lang w:eastAsia="zh-CN"/>
        </w:rPr>
        <w:t>.项目资金管理存在薄弱环节，如资金分配不够合理、资金支付进度有待提高。</w:t>
      </w:r>
    </w:p>
    <w:p>
      <w:pPr>
        <w:widowControl w:val="0"/>
        <w:kinsoku/>
        <w:autoSpaceDE/>
        <w:autoSpaceDN/>
        <w:adjustRightInd/>
        <w:spacing w:line="520" w:lineRule="exact"/>
        <w:ind w:firstLine="640" w:firstLineChars="200"/>
        <w:textAlignment w:val="auto"/>
        <w:outlineLvl w:val="1"/>
        <w:rPr>
          <w:rFonts w:hint="eastAsia" w:ascii="仿宋" w:hAnsi="仿宋" w:eastAsia="仿宋" w:cs="仿宋"/>
          <w:kern w:val="44"/>
          <w:sz w:val="32"/>
          <w:szCs w:val="32"/>
          <w:lang w:eastAsia="zh-CN"/>
        </w:rPr>
      </w:pPr>
      <w:r>
        <w:rPr>
          <w:rFonts w:hint="eastAsia" w:ascii="仿宋" w:hAnsi="仿宋" w:eastAsia="仿宋" w:cs="仿宋"/>
          <w:kern w:val="44"/>
          <w:sz w:val="32"/>
          <w:szCs w:val="32"/>
          <w:lang w:eastAsia="zh-CN"/>
        </w:rPr>
        <w:t>（三）有关建议</w:t>
      </w:r>
      <w:bookmarkEnd w:id="19"/>
      <w:bookmarkEnd w:id="20"/>
    </w:p>
    <w:p>
      <w:pPr>
        <w:widowControl w:val="0"/>
        <w:kinsoku/>
        <w:autoSpaceDE/>
        <w:autoSpaceDN/>
        <w:adjustRightInd/>
        <w:spacing w:line="520" w:lineRule="exact"/>
        <w:ind w:firstLine="640" w:firstLineChars="200"/>
        <w:textAlignment w:val="auto"/>
        <w:outlineLvl w:val="1"/>
        <w:rPr>
          <w:rFonts w:hint="eastAsia"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 xml:space="preserve">1. 完善沟通协调机制：建立跨部门协作机制，明确各方职责，加强信息共享与工作衔接，确保项目高效推进。  </w:t>
      </w:r>
    </w:p>
    <w:p>
      <w:pPr>
        <w:widowControl w:val="0"/>
        <w:kinsoku/>
        <w:autoSpaceDE/>
        <w:autoSpaceDN/>
        <w:adjustRightInd/>
        <w:spacing w:line="520" w:lineRule="exact"/>
        <w:ind w:firstLine="640" w:firstLineChars="200"/>
        <w:textAlignment w:val="auto"/>
        <w:outlineLvl w:val="1"/>
        <w:rPr>
          <w:rFonts w:hint="eastAsia"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 xml:space="preserve">2. 加强监督与公开透明度： 强化监督小组职能，定期开展专项检查，确保资金使用合规、高效。  </w:t>
      </w:r>
    </w:p>
    <w:p>
      <w:pPr>
        <w:widowControl w:val="0"/>
        <w:kinsoku/>
        <w:autoSpaceDE/>
        <w:autoSpaceDN/>
        <w:adjustRightInd/>
        <w:spacing w:line="520" w:lineRule="exact"/>
        <w:ind w:firstLine="640" w:firstLineChars="200"/>
        <w:textAlignment w:val="auto"/>
        <w:outlineLvl w:val="1"/>
        <w:rPr>
          <w:lang w:eastAsia="zh-CN"/>
        </w:rPr>
      </w:pPr>
      <w:r>
        <w:rPr>
          <w:rFonts w:hint="eastAsia" w:ascii="仿宋" w:hAnsi="仿宋" w:eastAsia="仿宋" w:cs="仿宋"/>
          <w:kern w:val="44"/>
          <w:sz w:val="32"/>
          <w:szCs w:val="32"/>
          <w:lang w:val="en-US" w:eastAsia="zh-CN"/>
        </w:rPr>
        <w:t>3. 强化绩效结果应用：将绩效评价结果与后续预算安排、项目审批挂钩，建立激励约束机制，促进资金使用效益最大化。</w:t>
      </w:r>
    </w:p>
    <w:p>
      <w:pPr>
        <w:widowControl w:val="0"/>
        <w:kinsoku/>
        <w:autoSpaceDE/>
        <w:autoSpaceDN/>
        <w:adjustRightInd/>
        <w:spacing w:line="520" w:lineRule="exact"/>
        <w:ind w:firstLine="716" w:firstLineChars="200"/>
        <w:textAlignment w:val="auto"/>
        <w:outlineLvl w:val="0"/>
        <w:rPr>
          <w:rFonts w:ascii="黑体" w:hAnsi="黑体" w:eastAsia="黑体" w:cs="黑体"/>
          <w:spacing w:val="19"/>
          <w:sz w:val="32"/>
          <w:szCs w:val="32"/>
          <w:lang w:eastAsia="zh-CN"/>
        </w:rPr>
      </w:pPr>
      <w:r>
        <w:rPr>
          <w:rFonts w:hint="eastAsia" w:ascii="黑体" w:hAnsi="黑体" w:eastAsia="黑体" w:cs="黑体"/>
          <w:spacing w:val="19"/>
          <w:sz w:val="32"/>
          <w:szCs w:val="32"/>
          <w:lang w:val="en-US" w:eastAsia="zh-CN"/>
        </w:rPr>
        <w:t>六</w:t>
      </w:r>
      <w:r>
        <w:rPr>
          <w:rFonts w:ascii="黑体" w:hAnsi="黑体" w:eastAsia="黑体" w:cs="黑体"/>
          <w:spacing w:val="19"/>
          <w:sz w:val="32"/>
          <w:szCs w:val="32"/>
          <w:lang w:eastAsia="zh-CN"/>
        </w:rPr>
        <w:t>、其他需要说明的问题</w:t>
      </w:r>
    </w:p>
    <w:p>
      <w:pPr>
        <w:pStyle w:val="2"/>
        <w:keepNext w:val="0"/>
        <w:keepLines w:val="0"/>
        <w:pageBreakBefore w:val="0"/>
        <w:wordWrap/>
        <w:overflowPunct/>
        <w:topLinePunct w:val="0"/>
        <w:bidi w:val="0"/>
        <w:spacing w:line="560" w:lineRule="exact"/>
        <w:rPr>
          <w:rFonts w:hint="default" w:ascii="仿宋" w:hAnsi="仿宋" w:eastAsia="仿宋" w:cs="仿宋"/>
          <w:snapToGrid w:val="0"/>
          <w:color w:val="000000"/>
          <w:sz w:val="32"/>
          <w:szCs w:val="32"/>
          <w:lang w:val="en-US" w:eastAsia="zh-CN" w:bidi="ar-SA"/>
        </w:rPr>
      </w:pPr>
      <w:r>
        <w:rPr>
          <w:rFonts w:hint="eastAsia" w:ascii="仿宋" w:hAnsi="仿宋" w:eastAsia="仿宋" w:cs="仿宋"/>
          <w:snapToGrid w:val="0"/>
          <w:color w:val="000000"/>
          <w:sz w:val="32"/>
          <w:szCs w:val="32"/>
          <w:lang w:val="en-US" w:eastAsia="zh-CN" w:bidi="ar-SA"/>
        </w:rPr>
        <w:t>无</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646" w:firstLineChars="200"/>
        <w:textAlignment w:val="baseline"/>
        <w:rPr>
          <w:rFonts w:hint="eastAsia" w:ascii="方正仿宋_GB2312" w:hAnsi="方正仿宋_GB2312" w:eastAsia="方正仿宋_GB2312" w:cs="方正仿宋_GB2312"/>
          <w:b/>
          <w:bCs/>
          <w:snapToGrid w:val="0"/>
          <w:color w:val="000000"/>
          <w:spacing w:val="6"/>
          <w:kern w:val="0"/>
          <w:sz w:val="31"/>
          <w:szCs w:val="31"/>
          <w:lang w:val="en-US" w:eastAsia="zh-CN" w:bidi="ar-SA"/>
        </w:rPr>
      </w:pPr>
      <w:r>
        <w:rPr>
          <w:rFonts w:hint="eastAsia" w:ascii="方正仿宋_GB2312" w:hAnsi="方正仿宋_GB2312" w:eastAsia="方正仿宋_GB2312" w:cs="方正仿宋_GB2312"/>
          <w:b/>
          <w:bCs/>
          <w:snapToGrid w:val="0"/>
          <w:color w:val="000000"/>
          <w:spacing w:val="6"/>
          <w:kern w:val="0"/>
          <w:sz w:val="31"/>
          <w:szCs w:val="31"/>
          <w:lang w:val="en-US" w:eastAsia="zh-CN" w:bidi="ar-SA"/>
        </w:rPr>
        <w:t>七、附件</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1272" w:firstLineChars="400"/>
        <w:textAlignment w:val="baseline"/>
        <w:rPr>
          <w:rFonts w:hint="eastAsia" w:ascii="方正仿宋_GB2312" w:hAnsi="方正仿宋_GB2312" w:eastAsia="方正仿宋_GB2312" w:cs="方正仿宋_GB2312"/>
          <w:snapToGrid w:val="0"/>
          <w:color w:val="000000"/>
          <w:spacing w:val="-34"/>
          <w:kern w:val="0"/>
          <w:sz w:val="30"/>
          <w:szCs w:val="30"/>
          <w:lang w:val="en-US" w:eastAsia="zh-CN" w:bidi="ar-SA"/>
        </w:rPr>
      </w:pPr>
      <w:r>
        <w:rPr>
          <w:rFonts w:hint="eastAsia" w:ascii="方正仿宋_GB2312" w:hAnsi="方正仿宋_GB2312" w:eastAsia="方正仿宋_GB2312" w:cs="方正仿宋_GB2312"/>
          <w:snapToGrid w:val="0"/>
          <w:color w:val="000000"/>
          <w:spacing w:val="9"/>
          <w:kern w:val="0"/>
          <w:sz w:val="30"/>
          <w:szCs w:val="30"/>
          <w:lang w:val="en-US" w:eastAsia="zh-CN" w:bidi="ar-SA"/>
        </w:rPr>
        <w:t>2-1、2024年度项目支出绩效自评表</w:t>
      </w:r>
    </w:p>
    <w:p>
      <w:pPr>
        <w:pStyle w:val="6"/>
        <w:keepNext w:val="0"/>
        <w:keepLines w:val="0"/>
        <w:pageBreakBefore w:val="0"/>
        <w:wordWrap/>
        <w:overflowPunct/>
        <w:topLinePunct w:val="0"/>
        <w:bidi w:val="0"/>
        <w:spacing w:line="560" w:lineRule="exact"/>
        <w:ind w:firstLine="1288" w:firstLineChars="400"/>
        <w:rPr>
          <w:spacing w:val="9"/>
          <w:sz w:val="30"/>
          <w:szCs w:val="30"/>
          <w:lang w:eastAsia="zh-CN"/>
        </w:rPr>
      </w:pPr>
      <w:r>
        <w:rPr>
          <w:rFonts w:hint="eastAsia" w:ascii="方正仿宋_GB2312" w:hAnsi="方正仿宋_GB2312" w:eastAsia="方正仿宋_GB2312" w:cs="方正仿宋_GB2312"/>
          <w:spacing w:val="11"/>
          <w:sz w:val="30"/>
          <w:szCs w:val="30"/>
          <w:lang w:val="en-US" w:eastAsia="zh-CN"/>
        </w:rPr>
        <w:t>2-2</w:t>
      </w:r>
      <w:r>
        <w:rPr>
          <w:rFonts w:hint="eastAsia" w:ascii="方正仿宋_GB2312" w:hAnsi="方正仿宋_GB2312" w:eastAsia="方正仿宋_GB2312" w:cs="方正仿宋_GB2312"/>
          <w:spacing w:val="11"/>
          <w:sz w:val="30"/>
          <w:szCs w:val="30"/>
        </w:rPr>
        <w:t>、</w:t>
      </w:r>
      <w:r>
        <w:rPr>
          <w:rFonts w:hint="eastAsia" w:ascii="方正仿宋_GB2312" w:hAnsi="方正仿宋_GB2312" w:eastAsia="方正仿宋_GB2312" w:cs="方正仿宋_GB2312"/>
          <w:spacing w:val="9"/>
          <w:sz w:val="30"/>
          <w:szCs w:val="30"/>
        </w:rPr>
        <w:t>202</w:t>
      </w:r>
      <w:r>
        <w:rPr>
          <w:rFonts w:hint="eastAsia" w:ascii="方正仿宋_GB2312" w:hAnsi="方正仿宋_GB2312" w:eastAsia="方正仿宋_GB2312" w:cs="方正仿宋_GB2312"/>
          <w:spacing w:val="9"/>
          <w:sz w:val="30"/>
          <w:szCs w:val="30"/>
          <w:lang w:val="en-US" w:eastAsia="zh-CN"/>
        </w:rPr>
        <w:t>4</w:t>
      </w:r>
      <w:r>
        <w:rPr>
          <w:rFonts w:hint="eastAsia" w:ascii="方正仿宋_GB2312" w:hAnsi="方正仿宋_GB2312" w:eastAsia="方正仿宋_GB2312" w:cs="方正仿宋_GB2312"/>
          <w:spacing w:val="9"/>
          <w:sz w:val="30"/>
          <w:szCs w:val="30"/>
        </w:rPr>
        <w:t>年度项目支出绩效</w:t>
      </w:r>
      <w:r>
        <w:rPr>
          <w:rFonts w:hint="eastAsia"/>
          <w:spacing w:val="9"/>
          <w:sz w:val="30"/>
          <w:szCs w:val="30"/>
          <w:lang w:eastAsia="zh-CN"/>
        </w:rPr>
        <w:t>自评结果汇总表</w:t>
      </w:r>
    </w:p>
    <w:p>
      <w:pPr>
        <w:pStyle w:val="2"/>
        <w:keepNext w:val="0"/>
        <w:keepLines w:val="0"/>
        <w:pageBreakBefore w:val="0"/>
        <w:wordWrap/>
        <w:overflowPunct/>
        <w:topLinePunct w:val="0"/>
        <w:bidi w:val="0"/>
        <w:spacing w:line="560" w:lineRule="exact"/>
        <w:rPr>
          <w:rFonts w:ascii="黑体" w:hAnsi="黑体" w:eastAsia="黑体" w:cs="黑体"/>
          <w:sz w:val="31"/>
          <w:szCs w:val="31"/>
          <w:lang w:eastAsia="zh-CN"/>
        </w:rPr>
        <w:sectPr>
          <w:footerReference r:id="rId4" w:type="default"/>
          <w:pgSz w:w="11900" w:h="16830"/>
          <w:pgMar w:top="1430" w:right="1623" w:bottom="1084" w:left="1199" w:header="0" w:footer="949" w:gutter="0"/>
          <w:pgNumType w:fmt="numberInDash"/>
          <w:cols w:space="720" w:num="1"/>
        </w:sectPr>
      </w:pPr>
    </w:p>
    <w:p>
      <w:pPr>
        <w:pStyle w:val="6"/>
        <w:spacing w:line="224" w:lineRule="auto"/>
        <w:rPr>
          <w:spacing w:val="19"/>
          <w:sz w:val="32"/>
          <w:szCs w:val="32"/>
          <w:lang w:eastAsia="zh-CN"/>
        </w:rPr>
      </w:pPr>
      <w:r>
        <w:rPr>
          <w:spacing w:val="19"/>
          <w:sz w:val="32"/>
          <w:szCs w:val="32"/>
          <w:lang w:eastAsia="zh-CN"/>
        </w:rPr>
        <w:t>附件2-1</w:t>
      </w:r>
    </w:p>
    <w:p>
      <w:pPr>
        <w:spacing w:before="151" w:line="221" w:lineRule="auto"/>
        <w:jc w:val="center"/>
        <w:rPr>
          <w:rFonts w:ascii="方正小标宋简体" w:hAnsi="方正小标宋简体" w:eastAsia="方正小标宋简体" w:cs="方正小标宋简体"/>
          <w:sz w:val="43"/>
          <w:szCs w:val="43"/>
          <w:lang w:eastAsia="zh-CN"/>
        </w:rPr>
      </w:pPr>
      <w:r>
        <w:rPr>
          <w:rFonts w:hint="eastAsia" w:ascii="方正小标宋简体" w:hAnsi="方正小标宋简体" w:eastAsia="方正小标宋简体" w:cs="方正小标宋简体"/>
          <w:spacing w:val="2"/>
          <w:sz w:val="43"/>
          <w:szCs w:val="43"/>
          <w:lang w:eastAsia="zh-CN"/>
        </w:rPr>
        <w:t>2024年度项目支出绩效自评表</w:t>
      </w:r>
    </w:p>
    <w:tbl>
      <w:tblPr>
        <w:tblStyle w:val="11"/>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1080"/>
        <w:gridCol w:w="1453"/>
        <w:gridCol w:w="1060"/>
        <w:gridCol w:w="979"/>
        <w:gridCol w:w="828"/>
        <w:gridCol w:w="87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项目支</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出名称</w:t>
            </w:r>
          </w:p>
        </w:tc>
        <w:tc>
          <w:tcPr>
            <w:tcW w:w="8771" w:type="dxa"/>
            <w:gridSpan w:val="8"/>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　</w:t>
            </w:r>
            <w:r>
              <w:rPr>
                <w:rFonts w:hint="eastAsia" w:ascii="仿宋" w:hAnsi="仿宋" w:eastAsia="仿宋" w:cs="仿宋"/>
                <w:sz w:val="20"/>
                <w:szCs w:val="20"/>
                <w:lang w:eastAsia="zh-CN"/>
              </w:rPr>
              <w:t>中方产业开发区大数据及产业互联网中心项目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r>
              <w:rPr>
                <w:rFonts w:hint="eastAsia" w:ascii="仿宋" w:hAnsi="仿宋" w:eastAsia="仿宋" w:cs="仿宋"/>
                <w:sz w:val="20"/>
                <w:szCs w:val="20"/>
              </w:rPr>
              <w:t>主管部门</w:t>
            </w:r>
          </w:p>
        </w:tc>
        <w:tc>
          <w:tcPr>
            <w:tcW w:w="4673" w:type="dxa"/>
            <w:gridSpan w:val="4"/>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rPr>
              <w:t>　</w:t>
            </w:r>
            <w:r>
              <w:rPr>
                <w:rFonts w:hint="eastAsia" w:ascii="仿宋" w:hAnsi="仿宋" w:eastAsia="仿宋" w:cs="仿宋"/>
                <w:sz w:val="20"/>
                <w:szCs w:val="20"/>
                <w:lang w:val="en-US" w:eastAsia="zh-CN"/>
              </w:rPr>
              <w:t>中方县产业开发区管理委员会</w:t>
            </w:r>
          </w:p>
        </w:tc>
        <w:tc>
          <w:tcPr>
            <w:tcW w:w="979"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实施单位</w:t>
            </w:r>
          </w:p>
        </w:tc>
        <w:tc>
          <w:tcPr>
            <w:tcW w:w="3119" w:type="dxa"/>
            <w:gridSpan w:val="3"/>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中方县城乡建设开发投资有限公司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项目资金</w:t>
            </w:r>
            <w:r>
              <w:rPr>
                <w:rFonts w:hint="eastAsia" w:ascii="仿宋" w:hAnsi="仿宋" w:eastAsia="仿宋" w:cs="仿宋"/>
                <w:sz w:val="20"/>
                <w:szCs w:val="20"/>
              </w:rPr>
              <w:br w:type="textWrapping"/>
            </w:r>
            <w:r>
              <w:rPr>
                <w:rFonts w:hint="eastAsia" w:ascii="仿宋" w:hAnsi="仿宋" w:eastAsia="仿宋" w:cs="仿宋"/>
                <w:sz w:val="20"/>
                <w:szCs w:val="20"/>
              </w:rPr>
              <w:t>（万元）</w:t>
            </w:r>
          </w:p>
        </w:tc>
        <w:tc>
          <w:tcPr>
            <w:tcW w:w="2160"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145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年初</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预算数</w:t>
            </w:r>
          </w:p>
        </w:tc>
        <w:tc>
          <w:tcPr>
            <w:tcW w:w="106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全年</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预算数</w:t>
            </w:r>
          </w:p>
        </w:tc>
        <w:tc>
          <w:tcPr>
            <w:tcW w:w="979"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全年</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执行数</w:t>
            </w:r>
          </w:p>
        </w:tc>
        <w:tc>
          <w:tcPr>
            <w:tcW w:w="82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分值</w:t>
            </w:r>
          </w:p>
        </w:tc>
        <w:tc>
          <w:tcPr>
            <w:tcW w:w="87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执行率</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p>
        </w:tc>
        <w:tc>
          <w:tcPr>
            <w:tcW w:w="2160"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r>
              <w:rPr>
                <w:rFonts w:hint="eastAsia" w:ascii="仿宋" w:hAnsi="仿宋" w:eastAsia="仿宋" w:cs="仿宋"/>
                <w:sz w:val="20"/>
                <w:szCs w:val="20"/>
              </w:rPr>
              <w:t>年度资金总额　</w:t>
            </w:r>
          </w:p>
        </w:tc>
        <w:tc>
          <w:tcPr>
            <w:tcW w:w="1453"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1060"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rPr>
              <w:t>　</w:t>
            </w:r>
            <w:r>
              <w:rPr>
                <w:rFonts w:hint="eastAsia" w:ascii="仿宋" w:hAnsi="仿宋" w:eastAsia="仿宋" w:cs="仿宋"/>
                <w:sz w:val="20"/>
                <w:szCs w:val="20"/>
                <w:lang w:val="en-US" w:eastAsia="zh-CN"/>
              </w:rPr>
              <w:t>8200</w:t>
            </w:r>
          </w:p>
        </w:tc>
        <w:tc>
          <w:tcPr>
            <w:tcW w:w="979"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rPr>
              <w:t>　</w:t>
            </w:r>
            <w:r>
              <w:rPr>
                <w:rFonts w:hint="eastAsia" w:ascii="仿宋" w:hAnsi="仿宋" w:eastAsia="仿宋" w:cs="仿宋"/>
                <w:sz w:val="20"/>
                <w:szCs w:val="20"/>
                <w:lang w:val="en-US" w:eastAsia="zh-CN"/>
              </w:rPr>
              <w:t>8200</w:t>
            </w:r>
          </w:p>
        </w:tc>
        <w:tc>
          <w:tcPr>
            <w:tcW w:w="82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r>
              <w:rPr>
                <w:rFonts w:hint="eastAsia" w:ascii="仿宋" w:hAnsi="仿宋" w:eastAsia="仿宋" w:cs="仿宋"/>
                <w:sz w:val="20"/>
                <w:szCs w:val="20"/>
              </w:rPr>
              <w:t>　10</w:t>
            </w:r>
          </w:p>
        </w:tc>
        <w:tc>
          <w:tcPr>
            <w:tcW w:w="873"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rPr>
              <w:t>　</w:t>
            </w:r>
            <w:r>
              <w:rPr>
                <w:rFonts w:hint="eastAsia" w:ascii="仿宋" w:hAnsi="仿宋" w:eastAsia="仿宋" w:cs="仿宋"/>
                <w:sz w:val="20"/>
                <w:szCs w:val="20"/>
                <w:lang w:val="en-US" w:eastAsia="zh-CN"/>
              </w:rPr>
              <w:t>100%</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p>
        </w:tc>
        <w:tc>
          <w:tcPr>
            <w:tcW w:w="2160"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lang w:eastAsia="zh-CN"/>
              </w:rPr>
            </w:pPr>
            <w:r>
              <w:rPr>
                <w:rFonts w:hint="eastAsia" w:ascii="仿宋" w:hAnsi="仿宋" w:eastAsia="仿宋" w:cs="仿宋"/>
                <w:sz w:val="20"/>
                <w:szCs w:val="20"/>
                <w:lang w:eastAsia="zh-CN"/>
              </w:rPr>
              <w:t>其中：当年财政拨款　</w:t>
            </w:r>
          </w:p>
        </w:tc>
        <w:tc>
          <w:tcPr>
            <w:tcW w:w="1453"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lang w:eastAsia="zh-CN"/>
              </w:rPr>
            </w:pPr>
            <w:r>
              <w:rPr>
                <w:rFonts w:hint="eastAsia" w:ascii="仿宋" w:hAnsi="仿宋" w:eastAsia="仿宋" w:cs="仿宋"/>
                <w:sz w:val="20"/>
                <w:szCs w:val="20"/>
                <w:lang w:eastAsia="zh-CN"/>
              </w:rPr>
              <w:t>　</w:t>
            </w:r>
          </w:p>
        </w:tc>
        <w:tc>
          <w:tcPr>
            <w:tcW w:w="1060"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lang w:eastAsia="zh-CN"/>
              </w:rPr>
              <w:t>　</w:t>
            </w:r>
            <w:r>
              <w:rPr>
                <w:rFonts w:hint="eastAsia" w:ascii="仿宋" w:hAnsi="仿宋" w:eastAsia="仿宋" w:cs="仿宋"/>
                <w:sz w:val="20"/>
                <w:szCs w:val="20"/>
                <w:lang w:val="en-US" w:eastAsia="zh-CN"/>
              </w:rPr>
              <w:t>8200</w:t>
            </w:r>
          </w:p>
        </w:tc>
        <w:tc>
          <w:tcPr>
            <w:tcW w:w="979"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lang w:eastAsia="zh-CN"/>
              </w:rPr>
              <w:t>　</w:t>
            </w:r>
            <w:r>
              <w:rPr>
                <w:rFonts w:hint="eastAsia" w:ascii="仿宋" w:hAnsi="仿宋" w:eastAsia="仿宋" w:cs="仿宋"/>
                <w:sz w:val="20"/>
                <w:szCs w:val="20"/>
                <w:lang w:val="en-US" w:eastAsia="zh-CN"/>
              </w:rPr>
              <w:t>8200</w:t>
            </w:r>
          </w:p>
        </w:tc>
        <w:tc>
          <w:tcPr>
            <w:tcW w:w="82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lang w:eastAsia="zh-CN"/>
              </w:rPr>
            </w:pPr>
            <w:r>
              <w:rPr>
                <w:rFonts w:hint="eastAsia" w:ascii="仿宋" w:hAnsi="仿宋" w:eastAsia="仿宋" w:cs="仿宋"/>
                <w:sz w:val="20"/>
                <w:szCs w:val="20"/>
                <w:lang w:eastAsia="zh-CN"/>
              </w:rPr>
              <w:t>　</w:t>
            </w:r>
          </w:p>
        </w:tc>
        <w:tc>
          <w:tcPr>
            <w:tcW w:w="873"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lang w:eastAsia="zh-CN"/>
              </w:rPr>
            </w:pPr>
            <w:r>
              <w:rPr>
                <w:rFonts w:hint="eastAsia" w:ascii="仿宋" w:hAnsi="仿宋" w:eastAsia="仿宋" w:cs="仿宋"/>
                <w:sz w:val="20"/>
                <w:szCs w:val="20"/>
                <w:lang w:eastAsia="zh-CN"/>
              </w:rPr>
              <w:t>　</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lang w:eastAsia="zh-CN"/>
              </w:rPr>
            </w:pPr>
            <w:r>
              <w:rPr>
                <w:rFonts w:hint="eastAsia" w:ascii="仿宋" w:hAnsi="仿宋" w:eastAsia="仿宋" w:cs="仿宋"/>
                <w:sz w:val="20"/>
                <w:szCs w:val="20"/>
                <w:lang w:eastAsia="zh-C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lang w:eastAsia="zh-CN"/>
              </w:rPr>
            </w:pPr>
          </w:p>
        </w:tc>
        <w:tc>
          <w:tcPr>
            <w:tcW w:w="2160"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ind w:firstLine="600" w:firstLineChars="300"/>
              <w:textAlignment w:val="auto"/>
              <w:rPr>
                <w:rFonts w:ascii="仿宋" w:hAnsi="仿宋" w:eastAsia="仿宋" w:cs="仿宋"/>
                <w:sz w:val="20"/>
                <w:szCs w:val="20"/>
              </w:rPr>
            </w:pPr>
            <w:r>
              <w:rPr>
                <w:rFonts w:hint="eastAsia" w:ascii="仿宋" w:hAnsi="仿宋" w:eastAsia="仿宋" w:cs="仿宋"/>
                <w:sz w:val="20"/>
                <w:szCs w:val="20"/>
              </w:rPr>
              <w:t>上年结转资金　</w:t>
            </w:r>
          </w:p>
        </w:tc>
        <w:tc>
          <w:tcPr>
            <w:tcW w:w="1453"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1060"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979"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82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873"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p>
        </w:tc>
        <w:tc>
          <w:tcPr>
            <w:tcW w:w="2160"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ind w:firstLine="600" w:firstLineChars="300"/>
              <w:textAlignment w:val="auto"/>
              <w:rPr>
                <w:rFonts w:ascii="仿宋" w:hAnsi="仿宋" w:eastAsia="仿宋" w:cs="仿宋"/>
                <w:sz w:val="20"/>
                <w:szCs w:val="20"/>
              </w:rPr>
            </w:pPr>
            <w:r>
              <w:rPr>
                <w:rFonts w:hint="eastAsia" w:ascii="仿宋" w:hAnsi="仿宋" w:eastAsia="仿宋" w:cs="仿宋"/>
                <w:sz w:val="20"/>
                <w:szCs w:val="20"/>
              </w:rPr>
              <w:t>其他资金</w:t>
            </w:r>
          </w:p>
        </w:tc>
        <w:tc>
          <w:tcPr>
            <w:tcW w:w="1453"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1060"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979"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82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873"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080"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年度总体目标</w:t>
            </w:r>
          </w:p>
        </w:tc>
        <w:tc>
          <w:tcPr>
            <w:tcW w:w="4673" w:type="dxa"/>
            <w:gridSpan w:val="4"/>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预期目标</w:t>
            </w:r>
          </w:p>
        </w:tc>
        <w:tc>
          <w:tcPr>
            <w:tcW w:w="4098" w:type="dxa"/>
            <w:gridSpan w:val="4"/>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p>
        </w:tc>
        <w:tc>
          <w:tcPr>
            <w:tcW w:w="4673" w:type="dxa"/>
            <w:gridSpan w:val="4"/>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　　</w:t>
            </w:r>
            <w:r>
              <w:rPr>
                <w:rFonts w:hint="eastAsia" w:ascii="仿宋" w:hAnsi="仿宋" w:eastAsia="仿宋" w:cs="仿宋"/>
                <w:bCs/>
                <w:color w:val="000000"/>
                <w:sz w:val="18"/>
                <w:szCs w:val="18"/>
              </w:rPr>
              <w:t>提升园区</w:t>
            </w:r>
            <w:r>
              <w:rPr>
                <w:rFonts w:hint="eastAsia" w:ascii="仿宋" w:hAnsi="仿宋" w:eastAsia="仿宋" w:cs="仿宋"/>
                <w:bCs/>
                <w:color w:val="000000"/>
                <w:sz w:val="18"/>
                <w:szCs w:val="18"/>
                <w:lang w:val="en-US" w:eastAsia="zh-CN"/>
              </w:rPr>
              <w:t>道路运输</w:t>
            </w:r>
            <w:r>
              <w:rPr>
                <w:rFonts w:hint="eastAsia" w:ascii="仿宋" w:hAnsi="仿宋" w:eastAsia="仿宋" w:cs="仿宋"/>
                <w:bCs/>
                <w:color w:val="000000"/>
                <w:sz w:val="18"/>
                <w:szCs w:val="18"/>
              </w:rPr>
              <w:t>能力，促进区域经济增长，优化中方县产业结构，加快城镇化进程。</w:t>
            </w:r>
          </w:p>
        </w:tc>
        <w:tc>
          <w:tcPr>
            <w:tcW w:w="4098" w:type="dxa"/>
            <w:gridSpan w:val="4"/>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bCs/>
                <w:color w:val="000000"/>
                <w:sz w:val="18"/>
                <w:szCs w:val="18"/>
              </w:rPr>
              <w:t>建设中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080"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绩</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指</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标</w:t>
            </w:r>
          </w:p>
        </w:tc>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一级指标</w:t>
            </w:r>
          </w:p>
        </w:tc>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二级指标</w:t>
            </w:r>
          </w:p>
        </w:tc>
        <w:tc>
          <w:tcPr>
            <w:tcW w:w="145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三级指标</w:t>
            </w:r>
          </w:p>
        </w:tc>
        <w:tc>
          <w:tcPr>
            <w:tcW w:w="106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年度</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指标值</w:t>
            </w:r>
          </w:p>
        </w:tc>
        <w:tc>
          <w:tcPr>
            <w:tcW w:w="979"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实际</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完成值</w:t>
            </w:r>
          </w:p>
        </w:tc>
        <w:tc>
          <w:tcPr>
            <w:tcW w:w="82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分值</w:t>
            </w:r>
          </w:p>
        </w:tc>
        <w:tc>
          <w:tcPr>
            <w:tcW w:w="87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得分</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lang w:eastAsia="zh-CN"/>
              </w:rPr>
            </w:pPr>
            <w:r>
              <w:rPr>
                <w:rFonts w:hint="eastAsia" w:ascii="仿宋" w:hAnsi="仿宋" w:eastAsia="仿宋" w:cs="仿宋"/>
                <w:sz w:val="20"/>
                <w:szCs w:val="20"/>
                <w:lang w:eastAsia="zh-CN"/>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lang w:eastAsia="zh-CN"/>
              </w:rPr>
            </w:pPr>
          </w:p>
        </w:tc>
        <w:tc>
          <w:tcPr>
            <w:tcW w:w="1080" w:type="dxa"/>
            <w:vMerge w:val="restart"/>
            <w:vAlign w:val="center"/>
          </w:tcPr>
          <w:p>
            <w:pPr>
              <w:keepNext w:val="0"/>
              <w:keepLines w:val="0"/>
              <w:pageBreakBefore w:val="0"/>
              <w:widowControl/>
              <w:tabs>
                <w:tab w:val="left" w:pos="309"/>
              </w:tabs>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成本指标</w:t>
            </w:r>
          </w:p>
          <w:p>
            <w:pPr>
              <w:keepNext w:val="0"/>
              <w:keepLines w:val="0"/>
              <w:pageBreakBefore w:val="0"/>
              <w:widowControl/>
              <w:tabs>
                <w:tab w:val="left" w:pos="309"/>
              </w:tabs>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lang w:eastAsia="zh-CN"/>
              </w:rPr>
            </w:pPr>
            <w:r>
              <w:rPr>
                <w:rFonts w:hint="eastAsia" w:ascii="仿宋" w:hAnsi="仿宋" w:eastAsia="仿宋" w:cs="仿宋"/>
                <w:sz w:val="20"/>
                <w:szCs w:val="20"/>
                <w:lang w:eastAsia="zh-CN"/>
              </w:rPr>
              <w:t>（20分）</w:t>
            </w:r>
          </w:p>
        </w:tc>
        <w:tc>
          <w:tcPr>
            <w:tcW w:w="1080" w:type="dxa"/>
            <w:shd w:val="clear" w:color="auto" w:fill="auto"/>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lang w:eastAsia="zh-CN"/>
              </w:rPr>
            </w:pPr>
            <w:r>
              <w:rPr>
                <w:rFonts w:hint="eastAsia" w:ascii="仿宋" w:hAnsi="仿宋" w:eastAsia="仿宋" w:cs="仿宋"/>
                <w:sz w:val="20"/>
                <w:szCs w:val="20"/>
              </w:rPr>
              <w:t>经济成本指标</w:t>
            </w:r>
          </w:p>
        </w:tc>
        <w:tc>
          <w:tcPr>
            <w:tcW w:w="1453" w:type="dxa"/>
            <w:vAlign w:val="center"/>
          </w:tcPr>
          <w:p>
            <w:pPr>
              <w:keepNext w:val="0"/>
              <w:keepLines w:val="0"/>
              <w:pageBreakBefore w:val="0"/>
              <w:widowControl/>
              <w:wordWrap/>
              <w:overflowPunct/>
              <w:bidi w:val="0"/>
              <w:spacing w:after="0" w:line="240" w:lineRule="exact"/>
              <w:rPr>
                <w:rFonts w:hint="eastAsia" w:ascii="仿宋" w:hAnsi="仿宋" w:eastAsia="仿宋" w:cs="仿宋"/>
                <w:sz w:val="18"/>
                <w:szCs w:val="18"/>
              </w:rPr>
            </w:pPr>
            <w:r>
              <w:rPr>
                <w:rFonts w:hint="eastAsia" w:ascii="仿宋" w:hAnsi="仿宋" w:eastAsia="仿宋" w:cs="仿宋"/>
                <w:sz w:val="18"/>
                <w:szCs w:val="18"/>
                <w:lang w:val="en-US" w:eastAsia="zh-CN"/>
              </w:rPr>
              <w:t>项目成本</w:t>
            </w:r>
          </w:p>
        </w:tc>
        <w:tc>
          <w:tcPr>
            <w:tcW w:w="1060"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≤8200万元</w:t>
            </w:r>
          </w:p>
        </w:tc>
        <w:tc>
          <w:tcPr>
            <w:tcW w:w="979"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18"/>
                <w:szCs w:val="18"/>
                <w:lang w:val="en-US" w:eastAsia="zh-CN"/>
              </w:rPr>
            </w:pPr>
            <w:r>
              <w:rPr>
                <w:rFonts w:hint="eastAsia" w:ascii="宋体" w:hAnsi="宋体" w:eastAsia="宋体" w:cs="宋体"/>
                <w:color w:val="000000"/>
                <w:sz w:val="16"/>
                <w:szCs w:val="16"/>
                <w:lang w:val="en-US" w:eastAsia="zh-CN"/>
              </w:rPr>
              <w:t>8200万元</w:t>
            </w:r>
          </w:p>
        </w:tc>
        <w:tc>
          <w:tcPr>
            <w:tcW w:w="828" w:type="dxa"/>
            <w:vAlign w:val="center"/>
          </w:tcPr>
          <w:p>
            <w:pPr>
              <w:keepNext w:val="0"/>
              <w:keepLines w:val="0"/>
              <w:pageBreakBefore w:val="0"/>
              <w:widowControl/>
              <w:wordWrap/>
              <w:overflowPunct/>
              <w:bidi w:val="0"/>
              <w:spacing w:after="0" w:line="240" w:lineRule="exact"/>
              <w:jc w:val="center"/>
              <w:rPr>
                <w:rFonts w:hint="default" w:ascii="仿宋" w:hAnsi="仿宋" w:eastAsia="仿宋" w:cs="仿宋"/>
                <w:sz w:val="18"/>
                <w:szCs w:val="18"/>
                <w:lang w:val="en-US" w:eastAsia="zh-CN"/>
              </w:rPr>
            </w:pPr>
            <w:r>
              <w:rPr>
                <w:rFonts w:hint="eastAsia" w:ascii="宋体" w:hAnsi="宋体" w:eastAsia="宋体" w:cs="宋体"/>
                <w:color w:val="000000"/>
                <w:sz w:val="16"/>
                <w:szCs w:val="16"/>
                <w:lang w:val="en-US" w:eastAsia="zh-CN"/>
              </w:rPr>
              <w:t>10</w:t>
            </w:r>
          </w:p>
        </w:tc>
        <w:tc>
          <w:tcPr>
            <w:tcW w:w="873"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18"/>
                <w:szCs w:val="18"/>
              </w:rPr>
            </w:pPr>
            <w:r>
              <w:rPr>
                <w:rFonts w:hint="eastAsia" w:ascii="宋体" w:hAnsi="宋体" w:eastAsia="宋体" w:cs="宋体"/>
                <w:color w:val="000000"/>
                <w:sz w:val="16"/>
                <w:szCs w:val="16"/>
                <w:lang w:val="en-US" w:eastAsia="zh-CN"/>
              </w:rPr>
              <w:t>10</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lang w:eastAsia="zh-CN"/>
              </w:rPr>
            </w:pPr>
          </w:p>
        </w:tc>
        <w:tc>
          <w:tcPr>
            <w:tcW w:w="1080" w:type="dxa"/>
            <w:shd w:val="clear" w:color="auto" w:fill="auto"/>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lang w:eastAsia="zh-CN"/>
              </w:rPr>
            </w:pPr>
            <w:r>
              <w:rPr>
                <w:rFonts w:hint="eastAsia" w:ascii="仿宋" w:hAnsi="仿宋" w:eastAsia="仿宋" w:cs="仿宋"/>
                <w:sz w:val="20"/>
                <w:szCs w:val="20"/>
              </w:rPr>
              <w:t>社会成本指标</w:t>
            </w:r>
          </w:p>
        </w:tc>
        <w:tc>
          <w:tcPr>
            <w:tcW w:w="1453" w:type="dxa"/>
            <w:vAlign w:val="center"/>
          </w:tcPr>
          <w:p>
            <w:pPr>
              <w:pStyle w:val="15"/>
              <w:keepNext w:val="0"/>
              <w:keepLines w:val="0"/>
              <w:pageBreakBefore w:val="0"/>
              <w:widowControl/>
              <w:kinsoku/>
              <w:wordWrap/>
              <w:overflowPunct/>
              <w:topLinePunct/>
              <w:autoSpaceDE/>
              <w:autoSpaceDN/>
              <w:bidi w:val="0"/>
              <w:adjustRightInd w:val="0"/>
              <w:snapToGrid w:val="0"/>
              <w:spacing w:line="240" w:lineRule="exact"/>
              <w:jc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highlight w:val="none"/>
                <w:u w:val="none"/>
                <w:lang w:val="en-US" w:eastAsia="zh-CN" w:bidi="ar"/>
              </w:rPr>
              <w:t>社会成本节约率</w:t>
            </w:r>
          </w:p>
        </w:tc>
        <w:tc>
          <w:tcPr>
            <w:tcW w:w="1060" w:type="dxa"/>
            <w:vAlign w:val="center"/>
          </w:tcPr>
          <w:p>
            <w:pPr>
              <w:pStyle w:val="15"/>
              <w:keepNext w:val="0"/>
              <w:keepLines w:val="0"/>
              <w:pageBreakBefore w:val="0"/>
              <w:widowControl/>
              <w:kinsoku/>
              <w:wordWrap/>
              <w:overflowPunct/>
              <w:topLinePunct/>
              <w:autoSpaceDE/>
              <w:autoSpaceDN/>
              <w:bidi w:val="0"/>
              <w:adjustRightInd w:val="0"/>
              <w:snapToGrid w:val="0"/>
              <w:spacing w:line="240" w:lineRule="exact"/>
              <w:jc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highlight w:val="none"/>
                <w:u w:val="none"/>
                <w:lang w:val="en-US" w:eastAsia="zh-CN" w:bidi="ar"/>
              </w:rPr>
              <w:t>≥0%</w:t>
            </w:r>
          </w:p>
        </w:tc>
        <w:tc>
          <w:tcPr>
            <w:tcW w:w="979" w:type="dxa"/>
            <w:vAlign w:val="center"/>
          </w:tcPr>
          <w:p>
            <w:pPr>
              <w:pStyle w:val="15"/>
              <w:keepNext w:val="0"/>
              <w:keepLines w:val="0"/>
              <w:pageBreakBefore w:val="0"/>
              <w:widowControl/>
              <w:kinsoku/>
              <w:wordWrap/>
              <w:overflowPunct/>
              <w:topLinePunct/>
              <w:autoSpaceDE/>
              <w:autoSpaceDN/>
              <w:bidi w:val="0"/>
              <w:adjustRightInd w:val="0"/>
              <w:snapToGrid w:val="0"/>
              <w:spacing w:line="240" w:lineRule="exact"/>
              <w:jc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highlight w:val="none"/>
                <w:u w:val="none"/>
                <w:lang w:val="en-US" w:eastAsia="zh-CN" w:bidi="ar"/>
              </w:rPr>
              <w:t>0%</w:t>
            </w:r>
          </w:p>
        </w:tc>
        <w:tc>
          <w:tcPr>
            <w:tcW w:w="828" w:type="dxa"/>
            <w:vAlign w:val="center"/>
          </w:tcPr>
          <w:p>
            <w:pPr>
              <w:keepNext w:val="0"/>
              <w:keepLines w:val="0"/>
              <w:pageBreakBefore w:val="0"/>
              <w:widowControl/>
              <w:wordWrap/>
              <w:overflowPunct/>
              <w:bidi w:val="0"/>
              <w:spacing w:line="240" w:lineRule="exact"/>
              <w:jc w:val="center"/>
              <w:rPr>
                <w:rFonts w:hint="eastAsia" w:ascii="仿宋" w:hAnsi="仿宋" w:eastAsia="仿宋" w:cs="仿宋"/>
                <w:sz w:val="18"/>
                <w:szCs w:val="18"/>
              </w:rPr>
            </w:pPr>
            <w:r>
              <w:rPr>
                <w:rFonts w:hint="eastAsia" w:ascii="Times New Roman" w:hAnsi="Times New Roman" w:eastAsia="宋体" w:cs="Arial"/>
                <w:snapToGrid w:val="0"/>
                <w:color w:val="000000"/>
                <w:kern w:val="0"/>
                <w:sz w:val="16"/>
                <w:szCs w:val="16"/>
                <w:highlight w:val="none"/>
                <w:lang w:val="en-US" w:eastAsia="zh-CN" w:bidi="ar-SA"/>
              </w:rPr>
              <w:t>5</w:t>
            </w:r>
          </w:p>
        </w:tc>
        <w:tc>
          <w:tcPr>
            <w:tcW w:w="873" w:type="dxa"/>
            <w:vAlign w:val="center"/>
          </w:tcPr>
          <w:p>
            <w:pPr>
              <w:keepNext w:val="0"/>
              <w:keepLines w:val="0"/>
              <w:pageBreakBefore w:val="0"/>
              <w:widowControl/>
              <w:wordWrap/>
              <w:overflowPunct/>
              <w:bidi w:val="0"/>
              <w:spacing w:line="240" w:lineRule="exact"/>
              <w:jc w:val="center"/>
              <w:rPr>
                <w:rFonts w:hint="eastAsia" w:ascii="仿宋" w:hAnsi="仿宋" w:eastAsia="仿宋" w:cs="仿宋"/>
                <w:sz w:val="18"/>
                <w:szCs w:val="18"/>
              </w:rPr>
            </w:pPr>
            <w:r>
              <w:rPr>
                <w:rFonts w:hint="eastAsia" w:ascii="Times New Roman" w:hAnsi="Times New Roman" w:eastAsia="宋体" w:cs="Arial"/>
                <w:snapToGrid w:val="0"/>
                <w:color w:val="000000"/>
                <w:kern w:val="0"/>
                <w:sz w:val="16"/>
                <w:szCs w:val="16"/>
                <w:highlight w:val="none"/>
                <w:lang w:val="en-US" w:eastAsia="zh-CN" w:bidi="ar-SA"/>
              </w:rPr>
              <w:t>5</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lang w:eastAsia="zh-CN"/>
              </w:rPr>
            </w:pPr>
          </w:p>
        </w:tc>
        <w:tc>
          <w:tcPr>
            <w:tcW w:w="1080" w:type="dxa"/>
            <w:shd w:val="clear" w:color="auto" w:fill="auto"/>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lang w:eastAsia="zh-CN"/>
              </w:rPr>
            </w:pPr>
            <w:r>
              <w:rPr>
                <w:rFonts w:hint="eastAsia" w:ascii="仿宋" w:hAnsi="仿宋" w:eastAsia="仿宋" w:cs="仿宋"/>
                <w:sz w:val="20"/>
                <w:szCs w:val="20"/>
              </w:rPr>
              <w:t>生态环境成本指标</w:t>
            </w:r>
          </w:p>
        </w:tc>
        <w:tc>
          <w:tcPr>
            <w:tcW w:w="1453" w:type="dxa"/>
            <w:vAlign w:val="center"/>
          </w:tcPr>
          <w:p>
            <w:pPr>
              <w:pStyle w:val="15"/>
              <w:keepNext w:val="0"/>
              <w:keepLines w:val="0"/>
              <w:pageBreakBefore w:val="0"/>
              <w:widowControl/>
              <w:kinsoku/>
              <w:wordWrap/>
              <w:overflowPunct/>
              <w:topLinePunct/>
              <w:autoSpaceDE/>
              <w:autoSpaceDN/>
              <w:bidi w:val="0"/>
              <w:adjustRightInd w:val="0"/>
              <w:snapToGrid w:val="0"/>
              <w:spacing w:line="240" w:lineRule="exact"/>
              <w:jc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highlight w:val="none"/>
                <w:u w:val="none"/>
                <w:lang w:val="en-US" w:eastAsia="zh-CN" w:bidi="ar"/>
              </w:rPr>
              <w:t>生态环境成本节约率</w:t>
            </w:r>
          </w:p>
        </w:tc>
        <w:tc>
          <w:tcPr>
            <w:tcW w:w="1060" w:type="dxa"/>
            <w:vAlign w:val="center"/>
          </w:tcPr>
          <w:p>
            <w:pPr>
              <w:pStyle w:val="15"/>
              <w:keepNext w:val="0"/>
              <w:keepLines w:val="0"/>
              <w:pageBreakBefore w:val="0"/>
              <w:widowControl/>
              <w:kinsoku/>
              <w:wordWrap/>
              <w:overflowPunct/>
              <w:topLinePunct/>
              <w:autoSpaceDE/>
              <w:autoSpaceDN/>
              <w:bidi w:val="0"/>
              <w:adjustRightInd w:val="0"/>
              <w:snapToGrid w:val="0"/>
              <w:spacing w:line="240" w:lineRule="exact"/>
              <w:jc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highlight w:val="none"/>
                <w:u w:val="none"/>
                <w:lang w:val="en-US" w:eastAsia="zh-CN" w:bidi="ar"/>
              </w:rPr>
              <w:t>≥0%</w:t>
            </w:r>
          </w:p>
        </w:tc>
        <w:tc>
          <w:tcPr>
            <w:tcW w:w="979" w:type="dxa"/>
            <w:vAlign w:val="center"/>
          </w:tcPr>
          <w:p>
            <w:pPr>
              <w:pStyle w:val="15"/>
              <w:keepNext w:val="0"/>
              <w:keepLines w:val="0"/>
              <w:pageBreakBefore w:val="0"/>
              <w:widowControl/>
              <w:kinsoku/>
              <w:wordWrap/>
              <w:overflowPunct/>
              <w:topLinePunct/>
              <w:autoSpaceDE/>
              <w:autoSpaceDN/>
              <w:bidi w:val="0"/>
              <w:adjustRightInd w:val="0"/>
              <w:snapToGrid w:val="0"/>
              <w:spacing w:line="240" w:lineRule="exact"/>
              <w:jc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highlight w:val="none"/>
                <w:u w:val="none"/>
                <w:lang w:val="en-US" w:eastAsia="zh-CN" w:bidi="ar"/>
              </w:rPr>
              <w:t>0%</w:t>
            </w:r>
          </w:p>
        </w:tc>
        <w:tc>
          <w:tcPr>
            <w:tcW w:w="828" w:type="dxa"/>
            <w:vAlign w:val="center"/>
          </w:tcPr>
          <w:p>
            <w:pPr>
              <w:keepNext w:val="0"/>
              <w:keepLines w:val="0"/>
              <w:pageBreakBefore w:val="0"/>
              <w:widowControl/>
              <w:wordWrap/>
              <w:overflowPunct/>
              <w:bidi w:val="0"/>
              <w:spacing w:line="240" w:lineRule="exact"/>
              <w:jc w:val="center"/>
              <w:rPr>
                <w:rFonts w:hint="eastAsia" w:ascii="仿宋" w:hAnsi="仿宋" w:eastAsia="仿宋" w:cs="仿宋"/>
                <w:sz w:val="18"/>
                <w:szCs w:val="18"/>
              </w:rPr>
            </w:pPr>
            <w:r>
              <w:rPr>
                <w:rFonts w:hint="eastAsia" w:ascii="Times New Roman" w:hAnsi="Times New Roman" w:eastAsia="宋体" w:cs="Arial"/>
                <w:snapToGrid w:val="0"/>
                <w:color w:val="000000"/>
                <w:kern w:val="0"/>
                <w:sz w:val="16"/>
                <w:szCs w:val="16"/>
                <w:highlight w:val="none"/>
                <w:lang w:val="en-US" w:eastAsia="zh-CN" w:bidi="ar-SA"/>
              </w:rPr>
              <w:t>5</w:t>
            </w:r>
          </w:p>
        </w:tc>
        <w:tc>
          <w:tcPr>
            <w:tcW w:w="873" w:type="dxa"/>
            <w:vAlign w:val="center"/>
          </w:tcPr>
          <w:p>
            <w:pPr>
              <w:keepNext w:val="0"/>
              <w:keepLines w:val="0"/>
              <w:pageBreakBefore w:val="0"/>
              <w:widowControl/>
              <w:wordWrap/>
              <w:overflowPunct/>
              <w:bidi w:val="0"/>
              <w:spacing w:line="240" w:lineRule="exact"/>
              <w:jc w:val="center"/>
              <w:rPr>
                <w:rFonts w:hint="eastAsia" w:ascii="仿宋" w:hAnsi="仿宋" w:eastAsia="仿宋" w:cs="仿宋"/>
                <w:sz w:val="18"/>
                <w:szCs w:val="18"/>
              </w:rPr>
            </w:pPr>
            <w:r>
              <w:rPr>
                <w:rFonts w:hint="eastAsia" w:ascii="Times New Roman" w:hAnsi="Times New Roman" w:eastAsia="宋体" w:cs="Arial"/>
                <w:snapToGrid w:val="0"/>
                <w:color w:val="000000"/>
                <w:kern w:val="0"/>
                <w:sz w:val="16"/>
                <w:szCs w:val="16"/>
                <w:highlight w:val="none"/>
                <w:lang w:val="en-US" w:eastAsia="zh-CN" w:bidi="ar-SA"/>
              </w:rPr>
              <w:t>5</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p>
        </w:tc>
        <w:tc>
          <w:tcPr>
            <w:tcW w:w="1080"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产出指标</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lang w:eastAsia="zh-CN"/>
              </w:rPr>
            </w:pPr>
            <w:r>
              <w:rPr>
                <w:rFonts w:hint="eastAsia" w:ascii="仿宋" w:hAnsi="仿宋" w:eastAsia="仿宋" w:cs="仿宋"/>
                <w:sz w:val="20"/>
                <w:szCs w:val="20"/>
                <w:lang w:eastAsia="zh-CN"/>
              </w:rPr>
              <w:t>（3</w:t>
            </w:r>
            <w:r>
              <w:rPr>
                <w:rFonts w:hint="eastAsia" w:ascii="仿宋" w:hAnsi="仿宋" w:eastAsia="仿宋" w:cs="仿宋"/>
                <w:sz w:val="20"/>
                <w:szCs w:val="20"/>
              </w:rPr>
              <w:t>0分</w:t>
            </w:r>
            <w:r>
              <w:rPr>
                <w:rFonts w:hint="eastAsia" w:ascii="仿宋" w:hAnsi="仿宋" w:eastAsia="仿宋" w:cs="仿宋"/>
                <w:sz w:val="20"/>
                <w:szCs w:val="20"/>
                <w:lang w:eastAsia="zh-CN"/>
              </w:rPr>
              <w:t>）</w:t>
            </w:r>
          </w:p>
        </w:tc>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数量指标</w:t>
            </w:r>
          </w:p>
        </w:tc>
        <w:tc>
          <w:tcPr>
            <w:tcW w:w="1453" w:type="dxa"/>
            <w:vAlign w:val="center"/>
          </w:tcPr>
          <w:p>
            <w:pPr>
              <w:keepNext w:val="0"/>
              <w:keepLines w:val="0"/>
              <w:pageBreakBefore w:val="0"/>
              <w:widowControl/>
              <w:wordWrap/>
              <w:overflowPunct/>
              <w:bidi w:val="0"/>
              <w:spacing w:after="0" w:line="240" w:lineRule="exact"/>
              <w:rPr>
                <w:rFonts w:hint="eastAsia" w:ascii="仿宋" w:hAnsi="仿宋" w:eastAsia="仿宋" w:cs="仿宋"/>
                <w:sz w:val="18"/>
                <w:szCs w:val="18"/>
              </w:rPr>
            </w:pPr>
            <w:r>
              <w:rPr>
                <w:rFonts w:hint="eastAsia" w:ascii="仿宋" w:hAnsi="仿宋" w:eastAsia="仿宋" w:cs="仿宋"/>
                <w:sz w:val="18"/>
                <w:szCs w:val="18"/>
                <w:lang w:eastAsia="zh-CN"/>
              </w:rPr>
              <w:t>工程建设</w:t>
            </w:r>
          </w:p>
        </w:tc>
        <w:tc>
          <w:tcPr>
            <w:tcW w:w="1060"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highlight w:val="none"/>
                <w:u w:val="none"/>
                <w:lang w:val="en-US" w:eastAsia="zh-CN" w:bidi="ar"/>
              </w:rPr>
              <w:t>≥1个</w:t>
            </w:r>
          </w:p>
        </w:tc>
        <w:tc>
          <w:tcPr>
            <w:tcW w:w="979"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highlight w:val="none"/>
                <w:u w:val="none"/>
                <w:lang w:val="en-US" w:eastAsia="zh-CN" w:bidi="ar"/>
              </w:rPr>
              <w:t>1个</w:t>
            </w:r>
          </w:p>
        </w:tc>
        <w:tc>
          <w:tcPr>
            <w:tcW w:w="828"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18"/>
                <w:szCs w:val="18"/>
              </w:rPr>
            </w:pPr>
            <w:r>
              <w:rPr>
                <w:rFonts w:hint="eastAsia" w:ascii="宋体" w:hAnsi="宋体" w:eastAsia="宋体" w:cs="宋体"/>
                <w:color w:val="000000"/>
                <w:sz w:val="16"/>
                <w:szCs w:val="16"/>
              </w:rPr>
              <w:t>10</w:t>
            </w:r>
          </w:p>
        </w:tc>
        <w:tc>
          <w:tcPr>
            <w:tcW w:w="873"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18"/>
                <w:szCs w:val="18"/>
              </w:rPr>
            </w:pPr>
            <w:r>
              <w:rPr>
                <w:rFonts w:hint="eastAsia" w:ascii="宋体" w:hAnsi="宋体" w:eastAsia="宋体" w:cs="宋体"/>
                <w:color w:val="000000"/>
                <w:sz w:val="16"/>
                <w:szCs w:val="16"/>
              </w:rPr>
              <w:t>10</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p>
        </w:tc>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质量指标</w:t>
            </w:r>
          </w:p>
        </w:tc>
        <w:tc>
          <w:tcPr>
            <w:tcW w:w="1453" w:type="dxa"/>
            <w:vAlign w:val="center"/>
          </w:tcPr>
          <w:p>
            <w:pPr>
              <w:keepNext w:val="0"/>
              <w:keepLines w:val="0"/>
              <w:pageBreakBefore w:val="0"/>
              <w:widowControl/>
              <w:wordWrap/>
              <w:overflowPunct/>
              <w:bidi w:val="0"/>
              <w:spacing w:after="0" w:line="240" w:lineRule="exact"/>
              <w:rPr>
                <w:rFonts w:hint="eastAsia" w:ascii="仿宋" w:hAnsi="仿宋" w:eastAsia="仿宋" w:cs="仿宋"/>
                <w:sz w:val="18"/>
                <w:szCs w:val="18"/>
              </w:rPr>
            </w:pPr>
            <w:r>
              <w:rPr>
                <w:rFonts w:hint="eastAsia" w:ascii="仿宋" w:hAnsi="仿宋" w:eastAsia="仿宋" w:cs="仿宋"/>
                <w:sz w:val="18"/>
                <w:szCs w:val="18"/>
                <w:lang w:eastAsia="zh-CN"/>
              </w:rPr>
              <w:t>验收合格率</w:t>
            </w:r>
          </w:p>
        </w:tc>
        <w:tc>
          <w:tcPr>
            <w:tcW w:w="1060"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18"/>
                <w:szCs w:val="18"/>
              </w:rPr>
            </w:pPr>
            <w:r>
              <w:rPr>
                <w:rFonts w:hint="eastAsia" w:ascii="宋体" w:hAnsi="宋体" w:eastAsia="宋体" w:cs="宋体"/>
                <w:color w:val="000000"/>
                <w:sz w:val="16"/>
                <w:szCs w:val="16"/>
                <w:lang w:val="en-US" w:eastAsia="zh-CN"/>
              </w:rPr>
              <w:t>=</w:t>
            </w:r>
            <w:r>
              <w:rPr>
                <w:rFonts w:hint="eastAsia" w:ascii="宋体" w:hAnsi="宋体" w:eastAsia="宋体" w:cs="宋体"/>
                <w:color w:val="000000"/>
                <w:sz w:val="16"/>
                <w:szCs w:val="16"/>
              </w:rPr>
              <w:t>100%</w:t>
            </w:r>
          </w:p>
        </w:tc>
        <w:tc>
          <w:tcPr>
            <w:tcW w:w="979"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18"/>
                <w:szCs w:val="18"/>
              </w:rPr>
            </w:pPr>
            <w:r>
              <w:rPr>
                <w:rFonts w:hint="eastAsia" w:ascii="宋体" w:hAnsi="宋体" w:eastAsia="宋体" w:cs="宋体"/>
                <w:color w:val="000000"/>
                <w:sz w:val="16"/>
                <w:szCs w:val="16"/>
              </w:rPr>
              <w:t>100%</w:t>
            </w:r>
          </w:p>
        </w:tc>
        <w:tc>
          <w:tcPr>
            <w:tcW w:w="828"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18"/>
                <w:szCs w:val="18"/>
              </w:rPr>
            </w:pPr>
            <w:r>
              <w:rPr>
                <w:rFonts w:hint="eastAsia" w:ascii="宋体" w:hAnsi="宋体" w:eastAsia="宋体" w:cs="宋体"/>
                <w:color w:val="000000"/>
                <w:sz w:val="16"/>
                <w:szCs w:val="16"/>
              </w:rPr>
              <w:t>10</w:t>
            </w:r>
          </w:p>
        </w:tc>
        <w:tc>
          <w:tcPr>
            <w:tcW w:w="873"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18"/>
                <w:szCs w:val="18"/>
              </w:rPr>
            </w:pPr>
            <w:r>
              <w:rPr>
                <w:rFonts w:hint="eastAsia" w:ascii="宋体" w:hAnsi="宋体" w:eastAsia="宋体" w:cs="宋体"/>
                <w:color w:val="000000"/>
                <w:sz w:val="16"/>
                <w:szCs w:val="16"/>
              </w:rPr>
              <w:t>10</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p>
        </w:tc>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时效指标</w:t>
            </w:r>
          </w:p>
        </w:tc>
        <w:tc>
          <w:tcPr>
            <w:tcW w:w="1453" w:type="dxa"/>
            <w:vAlign w:val="center"/>
          </w:tcPr>
          <w:p>
            <w:pPr>
              <w:keepNext w:val="0"/>
              <w:keepLines w:val="0"/>
              <w:pageBreakBefore w:val="0"/>
              <w:widowControl/>
              <w:wordWrap/>
              <w:overflowPunct/>
              <w:bidi w:val="0"/>
              <w:spacing w:after="0" w:line="240" w:lineRule="exact"/>
              <w:rPr>
                <w:rFonts w:hint="eastAsia" w:ascii="仿宋" w:hAnsi="仿宋" w:eastAsia="仿宋" w:cs="仿宋"/>
                <w:sz w:val="18"/>
                <w:szCs w:val="18"/>
              </w:rPr>
            </w:pPr>
            <w:r>
              <w:rPr>
                <w:rFonts w:hint="eastAsia"/>
                <w:color w:val="000000"/>
                <w:kern w:val="0"/>
                <w:sz w:val="16"/>
                <w:szCs w:val="16"/>
              </w:rPr>
              <w:t>年度内完成</w:t>
            </w:r>
          </w:p>
        </w:tc>
        <w:tc>
          <w:tcPr>
            <w:tcW w:w="1060"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18"/>
                <w:szCs w:val="18"/>
              </w:rPr>
            </w:pPr>
            <w:r>
              <w:rPr>
                <w:rFonts w:hint="eastAsia" w:ascii="宋体" w:hAnsi="宋体" w:eastAsia="宋体" w:cs="宋体"/>
                <w:sz w:val="16"/>
                <w:szCs w:val="16"/>
                <w:lang w:val="en-US" w:eastAsia="zh-CN"/>
              </w:rPr>
              <w:t>按进度完成</w:t>
            </w:r>
          </w:p>
        </w:tc>
        <w:tc>
          <w:tcPr>
            <w:tcW w:w="979"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18"/>
                <w:szCs w:val="18"/>
              </w:rPr>
            </w:pPr>
            <w:r>
              <w:rPr>
                <w:rFonts w:hint="eastAsia" w:ascii="宋体" w:hAnsi="宋体" w:eastAsia="宋体" w:cs="宋体"/>
                <w:sz w:val="15"/>
                <w:szCs w:val="15"/>
                <w:lang w:val="en-US" w:eastAsia="zh-CN"/>
              </w:rPr>
              <w:t>按进度完成</w:t>
            </w:r>
          </w:p>
        </w:tc>
        <w:tc>
          <w:tcPr>
            <w:tcW w:w="828"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18"/>
                <w:szCs w:val="18"/>
              </w:rPr>
            </w:pPr>
            <w:r>
              <w:rPr>
                <w:rFonts w:hint="eastAsia" w:ascii="宋体" w:hAnsi="宋体" w:eastAsia="宋体" w:cs="宋体"/>
                <w:sz w:val="16"/>
                <w:szCs w:val="16"/>
              </w:rPr>
              <w:t>10</w:t>
            </w:r>
          </w:p>
        </w:tc>
        <w:tc>
          <w:tcPr>
            <w:tcW w:w="873"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18"/>
                <w:szCs w:val="18"/>
              </w:rPr>
            </w:pPr>
            <w:r>
              <w:rPr>
                <w:rFonts w:hint="eastAsia" w:ascii="宋体" w:hAnsi="宋体" w:eastAsia="宋体" w:cs="宋体"/>
                <w:sz w:val="16"/>
                <w:szCs w:val="16"/>
              </w:rPr>
              <w:t>10</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p>
        </w:tc>
        <w:tc>
          <w:tcPr>
            <w:tcW w:w="1080"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r>
              <w:rPr>
                <w:rFonts w:hint="eastAsia" w:ascii="仿宋" w:hAnsi="仿宋" w:eastAsia="仿宋" w:cs="仿宋"/>
                <w:sz w:val="20"/>
                <w:szCs w:val="20"/>
              </w:rPr>
              <w:t>效益指标</w:t>
            </w:r>
          </w:p>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r>
              <w:rPr>
                <w:rFonts w:hint="eastAsia" w:ascii="仿宋" w:hAnsi="仿宋" w:eastAsia="仿宋" w:cs="仿宋"/>
                <w:sz w:val="20"/>
                <w:szCs w:val="20"/>
              </w:rPr>
              <w:t>（30分）</w:t>
            </w:r>
          </w:p>
        </w:tc>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经济效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益指标</w:t>
            </w:r>
          </w:p>
        </w:tc>
        <w:tc>
          <w:tcPr>
            <w:tcW w:w="1453" w:type="dxa"/>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sz w:val="18"/>
                <w:szCs w:val="18"/>
              </w:rPr>
            </w:pPr>
            <w:r>
              <w:rPr>
                <w:rFonts w:hint="eastAsia" w:ascii="仿宋" w:hAnsi="仿宋" w:eastAsia="仿宋" w:cs="仿宋"/>
                <w:sz w:val="18"/>
                <w:szCs w:val="18"/>
              </w:rPr>
              <w:t>有效带动当地水泥、</w:t>
            </w:r>
            <w:r>
              <w:rPr>
                <w:rFonts w:hint="eastAsia" w:ascii="仿宋" w:hAnsi="仿宋" w:eastAsia="仿宋" w:cs="仿宋"/>
                <w:sz w:val="18"/>
                <w:szCs w:val="18"/>
                <w:lang w:val="en-US" w:eastAsia="zh-CN"/>
              </w:rPr>
              <w:t>其他建材</w:t>
            </w:r>
            <w:r>
              <w:rPr>
                <w:rFonts w:hint="eastAsia" w:ascii="仿宋" w:hAnsi="仿宋" w:eastAsia="仿宋" w:cs="仿宋"/>
                <w:sz w:val="18"/>
                <w:szCs w:val="18"/>
              </w:rPr>
              <w:t>、运输等多行业的发展。</w:t>
            </w:r>
          </w:p>
        </w:tc>
        <w:tc>
          <w:tcPr>
            <w:tcW w:w="106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lang w:eastAsia="zh-CN"/>
              </w:rPr>
              <w:t>效果明显</w:t>
            </w:r>
          </w:p>
        </w:tc>
        <w:tc>
          <w:tcPr>
            <w:tcW w:w="979"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lang w:eastAsia="zh-CN"/>
              </w:rPr>
              <w:t>效果明显</w:t>
            </w:r>
          </w:p>
        </w:tc>
        <w:tc>
          <w:tcPr>
            <w:tcW w:w="82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rPr>
              <w:t>10</w:t>
            </w:r>
          </w:p>
        </w:tc>
        <w:tc>
          <w:tcPr>
            <w:tcW w:w="87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10</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p>
        </w:tc>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社会效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益指标</w:t>
            </w:r>
          </w:p>
        </w:tc>
        <w:tc>
          <w:tcPr>
            <w:tcW w:w="1453" w:type="dxa"/>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sz w:val="18"/>
                <w:szCs w:val="18"/>
              </w:rPr>
            </w:pPr>
            <w:r>
              <w:rPr>
                <w:rFonts w:hint="eastAsia" w:ascii="仿宋" w:hAnsi="仿宋" w:eastAsia="仿宋" w:cs="仿宋"/>
                <w:sz w:val="18"/>
                <w:szCs w:val="18"/>
              </w:rPr>
              <w:t>吸引更多企业入驻</w:t>
            </w:r>
          </w:p>
        </w:tc>
        <w:tc>
          <w:tcPr>
            <w:tcW w:w="106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lang w:eastAsia="zh-CN"/>
              </w:rPr>
              <w:t>效果明显</w:t>
            </w:r>
          </w:p>
        </w:tc>
        <w:tc>
          <w:tcPr>
            <w:tcW w:w="979"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lang w:eastAsia="zh-CN"/>
              </w:rPr>
              <w:t>效果明显</w:t>
            </w:r>
          </w:p>
        </w:tc>
        <w:tc>
          <w:tcPr>
            <w:tcW w:w="82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rPr>
              <w:t>10</w:t>
            </w:r>
          </w:p>
        </w:tc>
        <w:tc>
          <w:tcPr>
            <w:tcW w:w="87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rPr>
              <w:t>10</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p>
        </w:tc>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生态效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益指标</w:t>
            </w:r>
          </w:p>
        </w:tc>
        <w:tc>
          <w:tcPr>
            <w:tcW w:w="1453" w:type="dxa"/>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环境有效改善</w:t>
            </w:r>
          </w:p>
        </w:tc>
        <w:tc>
          <w:tcPr>
            <w:tcW w:w="106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lang w:eastAsia="zh-CN"/>
              </w:rPr>
              <w:t>效果明显</w:t>
            </w:r>
          </w:p>
        </w:tc>
        <w:tc>
          <w:tcPr>
            <w:tcW w:w="979"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lang w:eastAsia="zh-CN"/>
              </w:rPr>
              <w:t>效果明显</w:t>
            </w:r>
          </w:p>
        </w:tc>
        <w:tc>
          <w:tcPr>
            <w:tcW w:w="82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val="en-US" w:eastAsia="zh-CN"/>
              </w:rPr>
              <w:t>5</w:t>
            </w:r>
          </w:p>
        </w:tc>
        <w:tc>
          <w:tcPr>
            <w:tcW w:w="87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val="en-US" w:eastAsia="zh-CN"/>
              </w:rPr>
              <w:t>5</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p>
        </w:tc>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可持续影响指标</w:t>
            </w:r>
          </w:p>
        </w:tc>
        <w:tc>
          <w:tcPr>
            <w:tcW w:w="1453" w:type="dxa"/>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sz w:val="18"/>
                <w:szCs w:val="18"/>
              </w:rPr>
            </w:pPr>
            <w:r>
              <w:rPr>
                <w:rFonts w:hint="eastAsia" w:ascii="仿宋" w:hAnsi="仿宋" w:eastAsia="仿宋" w:cs="仿宋"/>
                <w:sz w:val="18"/>
                <w:szCs w:val="18"/>
                <w:lang w:eastAsia="zh-CN"/>
              </w:rPr>
              <w:t>完善周边基础设施，美化环境</w:t>
            </w:r>
            <w:r>
              <w:rPr>
                <w:rFonts w:hint="eastAsia" w:ascii="仿宋" w:hAnsi="仿宋" w:eastAsia="仿宋" w:cs="仿宋"/>
                <w:sz w:val="18"/>
                <w:szCs w:val="18"/>
              </w:rPr>
              <w:t>。</w:t>
            </w:r>
          </w:p>
        </w:tc>
        <w:tc>
          <w:tcPr>
            <w:tcW w:w="106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rPr>
              <w:t>长期</w:t>
            </w:r>
          </w:p>
        </w:tc>
        <w:tc>
          <w:tcPr>
            <w:tcW w:w="979"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rPr>
              <w:t>长期</w:t>
            </w:r>
          </w:p>
        </w:tc>
        <w:tc>
          <w:tcPr>
            <w:tcW w:w="82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val="en-US" w:eastAsia="zh-CN"/>
              </w:rPr>
              <w:t>5</w:t>
            </w:r>
          </w:p>
        </w:tc>
        <w:tc>
          <w:tcPr>
            <w:tcW w:w="87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val="en-US" w:eastAsia="zh-CN"/>
              </w:rPr>
              <w:t>5</w:t>
            </w:r>
            <w:bookmarkStart w:id="21" w:name="_GoBack"/>
            <w:bookmarkEnd w:id="21"/>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 w:hAnsi="仿宋" w:eastAsia="仿宋" w:cs="仿宋"/>
                <w:sz w:val="20"/>
                <w:szCs w:val="20"/>
              </w:rPr>
            </w:pPr>
          </w:p>
        </w:tc>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满意度</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指标</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（10分）</w:t>
            </w:r>
          </w:p>
        </w:tc>
        <w:tc>
          <w:tcPr>
            <w:tcW w:w="1080"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 w:hAnsi="仿宋" w:eastAsia="仿宋" w:cs="仿宋"/>
                <w:sz w:val="20"/>
                <w:szCs w:val="20"/>
              </w:rPr>
            </w:pPr>
            <w:r>
              <w:rPr>
                <w:rFonts w:hint="eastAsia" w:ascii="仿宋" w:hAnsi="仿宋" w:eastAsia="仿宋" w:cs="仿宋"/>
                <w:sz w:val="20"/>
                <w:szCs w:val="20"/>
              </w:rPr>
              <w:t>服务对象满意度指标</w:t>
            </w:r>
          </w:p>
        </w:tc>
        <w:tc>
          <w:tcPr>
            <w:tcW w:w="1453" w:type="dxa"/>
            <w:vAlign w:val="center"/>
          </w:tcPr>
          <w:p>
            <w:pPr>
              <w:keepNext w:val="0"/>
              <w:keepLines w:val="0"/>
              <w:pageBreakBefore w:val="0"/>
              <w:widowControl/>
              <w:wordWrap/>
              <w:overflowPunct/>
              <w:bidi w:val="0"/>
              <w:spacing w:after="0" w:line="240" w:lineRule="exact"/>
              <w:jc w:val="left"/>
              <w:rPr>
                <w:rFonts w:hint="eastAsia" w:ascii="仿宋" w:hAnsi="仿宋" w:eastAsia="仿宋" w:cs="仿宋"/>
                <w:sz w:val="18"/>
                <w:szCs w:val="18"/>
              </w:rPr>
            </w:pPr>
            <w:r>
              <w:rPr>
                <w:rFonts w:hint="eastAsia" w:ascii="仿宋" w:hAnsi="仿宋" w:eastAsia="仿宋" w:cs="Times New Roman"/>
                <w:bCs/>
                <w:color w:val="000000" w:themeColor="text1"/>
                <w:sz w:val="16"/>
                <w:szCs w:val="16"/>
                <w:lang w:val="en-US" w:eastAsia="zh-CN"/>
              </w:rPr>
              <w:t>群众满意</w:t>
            </w:r>
          </w:p>
        </w:tc>
        <w:tc>
          <w:tcPr>
            <w:tcW w:w="1060"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18"/>
                <w:szCs w:val="18"/>
              </w:rPr>
            </w:pPr>
            <w:r>
              <w:rPr>
                <w:rFonts w:hint="eastAsia" w:ascii="仿宋" w:hAnsi="仿宋" w:eastAsia="仿宋" w:cs="仿宋"/>
                <w:i w:val="0"/>
                <w:iCs w:val="0"/>
                <w:snapToGrid w:val="0"/>
                <w:color w:val="000000"/>
                <w:kern w:val="0"/>
                <w:sz w:val="16"/>
                <w:szCs w:val="16"/>
                <w:highlight w:val="none"/>
                <w:u w:val="none"/>
                <w:lang w:val="en-US" w:eastAsia="zh-CN" w:bidi="ar"/>
              </w:rPr>
              <w:t>≥</w:t>
            </w:r>
            <w:r>
              <w:rPr>
                <w:rFonts w:hint="eastAsia" w:ascii="宋体" w:hAnsi="宋体" w:eastAsia="宋体" w:cs="宋体"/>
                <w:color w:val="000000"/>
                <w:sz w:val="16"/>
                <w:szCs w:val="16"/>
                <w:lang w:val="en-US" w:eastAsia="zh-CN"/>
              </w:rPr>
              <w:t>90%</w:t>
            </w:r>
          </w:p>
        </w:tc>
        <w:tc>
          <w:tcPr>
            <w:tcW w:w="979"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18"/>
                <w:szCs w:val="18"/>
              </w:rPr>
            </w:pPr>
            <w:r>
              <w:rPr>
                <w:rFonts w:hint="eastAsia" w:ascii="宋体" w:hAnsi="宋体" w:eastAsia="宋体" w:cs="宋体"/>
                <w:color w:val="000000"/>
                <w:sz w:val="16"/>
                <w:szCs w:val="16"/>
                <w:lang w:val="en-US" w:eastAsia="zh-CN"/>
              </w:rPr>
              <w:t>100%</w:t>
            </w:r>
          </w:p>
        </w:tc>
        <w:tc>
          <w:tcPr>
            <w:tcW w:w="828"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18"/>
                <w:szCs w:val="18"/>
              </w:rPr>
            </w:pPr>
            <w:r>
              <w:rPr>
                <w:rFonts w:hint="eastAsia" w:ascii="仿宋" w:hAnsi="仿宋" w:eastAsia="仿宋" w:cs="Times New Roman"/>
                <w:bCs/>
                <w:color w:val="000000" w:themeColor="text1"/>
                <w:sz w:val="16"/>
                <w:szCs w:val="16"/>
                <w:lang w:val="en-US" w:eastAsia="zh-CN"/>
              </w:rPr>
              <w:t>10</w:t>
            </w:r>
          </w:p>
        </w:tc>
        <w:tc>
          <w:tcPr>
            <w:tcW w:w="873"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18"/>
                <w:szCs w:val="18"/>
              </w:rPr>
            </w:pPr>
            <w:r>
              <w:rPr>
                <w:rFonts w:hint="eastAsia" w:ascii="仿宋" w:hAnsi="仿宋" w:eastAsia="仿宋" w:cs="Times New Roman"/>
                <w:bCs/>
                <w:color w:val="000000" w:themeColor="text1"/>
                <w:sz w:val="16"/>
                <w:szCs w:val="16"/>
                <w:lang w:val="en-US" w:eastAsia="zh-CN"/>
              </w:rPr>
              <w:t>10</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32" w:type="dxa"/>
            <w:gridSpan w:val="6"/>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rPr>
              <w:t>总分</w:t>
            </w:r>
          </w:p>
        </w:tc>
        <w:tc>
          <w:tcPr>
            <w:tcW w:w="82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rPr>
              <w:t>100</w:t>
            </w:r>
          </w:p>
        </w:tc>
        <w:tc>
          <w:tcPr>
            <w:tcW w:w="873"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仿宋" w:hAnsi="仿宋" w:eastAsia="仿宋" w:cs="仿宋"/>
                <w:sz w:val="18"/>
                <w:szCs w:val="18"/>
                <w:lang w:val="en-US" w:eastAsia="zh-CN"/>
              </w:rPr>
            </w:pPr>
            <w:r>
              <w:rPr>
                <w:rFonts w:hint="eastAsia" w:ascii="仿宋" w:hAnsi="仿宋" w:eastAsia="仿宋" w:cs="仿宋"/>
                <w:sz w:val="18"/>
                <w:szCs w:val="18"/>
                <w:lang w:val="en-US" w:eastAsia="zh-CN"/>
              </w:rPr>
              <w:t>100</w:t>
            </w:r>
          </w:p>
        </w:tc>
        <w:tc>
          <w:tcPr>
            <w:tcW w:w="1418" w:type="dxa"/>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 w:hAnsi="仿宋" w:eastAsia="仿宋" w:cs="仿宋"/>
                <w:sz w:val="18"/>
                <w:szCs w:val="18"/>
              </w:rPr>
            </w:pPr>
            <w:r>
              <w:rPr>
                <w:rFonts w:hint="eastAsia" w:ascii="仿宋" w:hAnsi="仿宋" w:eastAsia="仿宋" w:cs="仿宋"/>
                <w:sz w:val="18"/>
                <w:szCs w:val="18"/>
              </w:rPr>
              <w:t>　</w:t>
            </w:r>
          </w:p>
        </w:tc>
      </w:tr>
    </w:tbl>
    <w:p>
      <w:pPr>
        <w:pStyle w:val="6"/>
        <w:keepNext w:val="0"/>
        <w:keepLines w:val="0"/>
        <w:pageBreakBefore w:val="0"/>
        <w:widowControl/>
        <w:kinsoku w:val="0"/>
        <w:wordWrap/>
        <w:overflowPunct/>
        <w:topLinePunct w:val="0"/>
        <w:autoSpaceDE w:val="0"/>
        <w:autoSpaceDN w:val="0"/>
        <w:bidi w:val="0"/>
        <w:adjustRightInd w:val="0"/>
        <w:snapToGrid w:val="0"/>
        <w:spacing w:before="0" w:beforeLines="30" w:line="360" w:lineRule="exact"/>
        <w:ind w:left="0" w:firstLine="240" w:firstLineChars="100"/>
        <w:textAlignment w:val="baseline"/>
        <w:rPr>
          <w:vanish/>
        </w:rPr>
      </w:pPr>
      <w:r>
        <w:rPr>
          <w:rFonts w:ascii="Times New Roman" w:hAnsi="Times New Roman" w:eastAsia="仿宋_GB2312" w:cs="Times New Roman"/>
          <w:snapToGrid/>
          <w:sz w:val="24"/>
          <w:szCs w:val="24"/>
          <w:lang w:eastAsia="zh-CN"/>
        </w:rPr>
        <w:t>填表人：</w:t>
      </w:r>
      <w:r>
        <w:rPr>
          <w:rFonts w:hint="eastAsia" w:ascii="Times New Roman" w:hAnsi="Times New Roman" w:eastAsia="仿宋_GB2312" w:cs="Times New Roman"/>
          <w:snapToGrid/>
          <w:sz w:val="24"/>
          <w:szCs w:val="24"/>
          <w:lang w:eastAsia="zh-CN"/>
        </w:rPr>
        <w:t xml:space="preserve">宋桥发      </w:t>
      </w:r>
      <w:r>
        <w:rPr>
          <w:rFonts w:ascii="Times New Roman" w:hAnsi="Times New Roman" w:eastAsia="仿宋_GB2312" w:cs="Times New Roman"/>
          <w:snapToGrid/>
          <w:sz w:val="24"/>
          <w:szCs w:val="24"/>
          <w:lang w:eastAsia="zh-CN"/>
        </w:rPr>
        <w:t xml:space="preserve"> 填报日期：</w:t>
      </w:r>
      <w:r>
        <w:rPr>
          <w:rFonts w:hint="eastAsia" w:ascii="Times New Roman" w:hAnsi="Times New Roman" w:eastAsia="仿宋_GB2312" w:cs="Times New Roman"/>
          <w:snapToGrid/>
          <w:sz w:val="24"/>
          <w:szCs w:val="24"/>
          <w:lang w:val="en-US" w:eastAsia="zh-CN"/>
        </w:rPr>
        <w:t>2025.3.27</w:t>
      </w:r>
      <w:r>
        <w:rPr>
          <w:rFonts w:hint="eastAsia" w:ascii="Times New Roman" w:hAnsi="Times New Roman" w:eastAsia="仿宋_GB2312" w:cs="Times New Roman"/>
          <w:snapToGrid/>
          <w:sz w:val="24"/>
          <w:szCs w:val="24"/>
          <w:lang w:eastAsia="zh-CN"/>
        </w:rPr>
        <w:t xml:space="preserve">   </w:t>
      </w:r>
      <w:r>
        <w:rPr>
          <w:rFonts w:ascii="Times New Roman" w:hAnsi="Times New Roman" w:eastAsia="仿宋_GB2312" w:cs="Times New Roman"/>
          <w:snapToGrid/>
          <w:sz w:val="24"/>
          <w:szCs w:val="24"/>
          <w:lang w:eastAsia="zh-CN"/>
        </w:rPr>
        <w:t xml:space="preserve">  联系电话：</w:t>
      </w:r>
      <w:r>
        <w:rPr>
          <w:rFonts w:hint="eastAsia" w:ascii="Times New Roman" w:hAnsi="Times New Roman" w:eastAsia="仿宋_GB2312" w:cs="Times New Roman"/>
          <w:snapToGrid/>
          <w:sz w:val="24"/>
          <w:szCs w:val="24"/>
          <w:lang w:val="en-US" w:eastAsia="zh-CN"/>
        </w:rPr>
        <w:t>13467418656</w:t>
      </w:r>
      <w:r>
        <w:rPr>
          <w:rFonts w:hint="eastAsia" w:ascii="Times New Roman" w:hAnsi="Times New Roman" w:eastAsia="仿宋_GB2312" w:cs="Times New Roman"/>
          <w:snapToGrid/>
          <w:sz w:val="24"/>
          <w:szCs w:val="24"/>
          <w:lang w:eastAsia="zh-CN"/>
        </w:rPr>
        <w:t xml:space="preserve"> </w:t>
      </w:r>
    </w:p>
    <w:sectPr>
      <w:footerReference r:id="rId5" w:type="default"/>
      <w:pgSz w:w="11900" w:h="16830"/>
      <w:pgMar w:top="1429" w:right="1293" w:bottom="1100" w:left="964" w:header="0" w:footer="969" w:gutter="0"/>
      <w:pgNumType w:fmt="numberInDash"/>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059">
    <w:panose1 w:val="00000000000000000000"/>
    <w:charset w:val="00"/>
    <w:family w:val="auto"/>
    <w:pitch w:val="default"/>
    <w:sig w:usb0="0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266"/>
      <w:rPr>
        <w:rFonts w:ascii="Times New Roman" w:hAnsi="Times New Roman" w:eastAsia="Times New Roman" w:cs="Times New Roman"/>
        <w:sz w:val="15"/>
        <w:szCs w:val="15"/>
      </w:rPr>
    </w:pPr>
    <w:r>
      <w:rPr>
        <w:sz w:val="15"/>
      </w:rPr>
      <w:pict>
        <v:shape id="_x0000_s1030" o:spid="_x0000_s103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path/>
          <v:fill on="f" focussize="0,0"/>
          <v:stroke on="f" weight="0.5pt" joinstyle="miter"/>
          <v:imagedata o:title=""/>
          <o:lock v:ext="edit"/>
          <v:textbox inset="0mm,0mm,0mm,0mm" style="mso-fit-shape-to-text:t;">
            <w:txbxContent>
              <w:p>
                <w:pPr>
                  <w:pStyle w:val="7"/>
                </w:pPr>
                <w:r>
                  <w:fldChar w:fldCharType="begin"/>
                </w:r>
                <w:r>
                  <w:instrText xml:space="preserve"> PAGE  \* MERGEFORMAT </w:instrText>
                </w:r>
                <w:r>
                  <w:fldChar w:fldCharType="separate"/>
                </w:r>
                <w:r>
                  <w:t>- 1 -</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1029"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path/>
          <v:fill on="f" focussize="0,0"/>
          <v:stroke on="f" weight="0.5pt" joinstyle="miter"/>
          <v:imagedata o:title=""/>
          <o:lock v:ext="edit"/>
          <v:textbox inset="0mm,0mm,0mm,0mm" style="mso-fit-shape-to-text:t;">
            <w:txbxContent>
              <w:p>
                <w:pPr>
                  <w:pStyle w:val="7"/>
                </w:pPr>
                <w:r>
                  <w:fldChar w:fldCharType="begin"/>
                </w:r>
                <w:r>
                  <w:instrText xml:space="preserve"> PAGE  \* MERGEFORMAT </w:instrText>
                </w:r>
                <w:r>
                  <w:fldChar w:fldCharType="separate"/>
                </w:r>
                <w:r>
                  <w:t>- 3 -</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615"/>
      <w:rPr>
        <w:rFonts w:ascii="Times New Roman" w:hAnsi="Times New Roman" w:eastAsia="Times New Roman" w:cs="Times New Roman"/>
        <w:sz w:val="15"/>
        <w:szCs w:val="15"/>
      </w:rPr>
    </w:pPr>
    <w:r>
      <w:rPr>
        <w:sz w:val="15"/>
      </w:rPr>
      <w:pict>
        <v:shape id="_x0000_s1027" o:spid="_x0000_s1027"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path/>
          <v:fill on="f" focussize="0,0"/>
          <v:stroke on="f" weight="0.5pt" joinstyle="miter"/>
          <v:imagedata o:title=""/>
          <o:lock v:ext="edit"/>
          <v:textbox inset="0mm,0mm,0mm,0mm" style="mso-fit-shape-to-text:t;">
            <w:txbxContent>
              <w:p>
                <w:pPr>
                  <w:pStyle w:val="7"/>
                </w:pPr>
                <w:r>
                  <w:fldChar w:fldCharType="begin"/>
                </w:r>
                <w:r>
                  <w:instrText xml:space="preserve"> PAGE  \* MERGEFORMAT </w:instrText>
                </w:r>
                <w:r>
                  <w:fldChar w:fldCharType="separate"/>
                </w:r>
                <w:r>
                  <w:t>- 5 -</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displayBackgroundShape w:val="true"/>
  <w:bordersDoNotSurroundHeader w:val="false"/>
  <w:bordersDoNotSurroundFooter w:val="false"/>
  <w:documentProtection w:enforcement="0"/>
  <w:defaultTabStop w:val="420"/>
  <w:displayHorizontalDrawingGridEvery w:val="1"/>
  <w:displayVerticalDrawingGridEvery w:val="1"/>
  <w:noPunctuationKerning w:val="true"/>
  <w:characterSpacingControl w:val="doNotCompress"/>
  <w:hdrShapeDefaults>
    <o:shapelayout v:ext="edit">
      <o:idmap v:ext="edit" data="1"/>
    </o:shapelayout>
  </w:hdrShapeDefaults>
  <w:compat>
    <w:spaceForUL/>
    <w:ulTrailSpace/>
    <w:doNotExpandShiftReturn/>
    <w:doNotWrapTextWithPunct/>
    <w:doNotUseEastAsianBreakRules/>
    <w:useFELayout/>
    <w:doNotUseIndentAsNumberingTabStop/>
    <w:compatSetting w:name="compatibilityMode" w:uri="http://schemas.microsoft.com/office/word" w:val="12"/>
  </w:compat>
  <w:rsids>
    <w:rsidRoot w:val="007254EA"/>
    <w:rsid w:val="0001620E"/>
    <w:rsid w:val="00046DA0"/>
    <w:rsid w:val="000D2EF4"/>
    <w:rsid w:val="000F0D4B"/>
    <w:rsid w:val="001068ED"/>
    <w:rsid w:val="001B221C"/>
    <w:rsid w:val="001D76E7"/>
    <w:rsid w:val="002831F6"/>
    <w:rsid w:val="002C76EF"/>
    <w:rsid w:val="00361EBB"/>
    <w:rsid w:val="003A18CA"/>
    <w:rsid w:val="00420A47"/>
    <w:rsid w:val="004830AD"/>
    <w:rsid w:val="0048622E"/>
    <w:rsid w:val="004A4433"/>
    <w:rsid w:val="005C365E"/>
    <w:rsid w:val="005C59B9"/>
    <w:rsid w:val="005E3CCC"/>
    <w:rsid w:val="006256F7"/>
    <w:rsid w:val="0064227C"/>
    <w:rsid w:val="006446B5"/>
    <w:rsid w:val="0068556B"/>
    <w:rsid w:val="00692381"/>
    <w:rsid w:val="006C4C6E"/>
    <w:rsid w:val="006D29FA"/>
    <w:rsid w:val="006D7217"/>
    <w:rsid w:val="006F2408"/>
    <w:rsid w:val="00710CA7"/>
    <w:rsid w:val="007171B4"/>
    <w:rsid w:val="007254EA"/>
    <w:rsid w:val="007272CC"/>
    <w:rsid w:val="00727444"/>
    <w:rsid w:val="00735962"/>
    <w:rsid w:val="0075179C"/>
    <w:rsid w:val="007705AA"/>
    <w:rsid w:val="007D0498"/>
    <w:rsid w:val="007E7F05"/>
    <w:rsid w:val="00833323"/>
    <w:rsid w:val="008453CA"/>
    <w:rsid w:val="0086341F"/>
    <w:rsid w:val="00864398"/>
    <w:rsid w:val="008744B4"/>
    <w:rsid w:val="00902220"/>
    <w:rsid w:val="00904AD5"/>
    <w:rsid w:val="00914306"/>
    <w:rsid w:val="009A4702"/>
    <w:rsid w:val="009B0C5F"/>
    <w:rsid w:val="009C6ACA"/>
    <w:rsid w:val="00B56035"/>
    <w:rsid w:val="00BB04E9"/>
    <w:rsid w:val="00C37E69"/>
    <w:rsid w:val="00C57BD1"/>
    <w:rsid w:val="00C6736B"/>
    <w:rsid w:val="00D9528A"/>
    <w:rsid w:val="00D959E0"/>
    <w:rsid w:val="00D97E32"/>
    <w:rsid w:val="00DF2BFA"/>
    <w:rsid w:val="00DF3DF3"/>
    <w:rsid w:val="00E27356"/>
    <w:rsid w:val="00ED639B"/>
    <w:rsid w:val="014660C1"/>
    <w:rsid w:val="01610122"/>
    <w:rsid w:val="02014183"/>
    <w:rsid w:val="02055C18"/>
    <w:rsid w:val="02375F66"/>
    <w:rsid w:val="024E0E9C"/>
    <w:rsid w:val="026659F0"/>
    <w:rsid w:val="02AE12FB"/>
    <w:rsid w:val="032F04D8"/>
    <w:rsid w:val="033124A2"/>
    <w:rsid w:val="035B575C"/>
    <w:rsid w:val="03725F44"/>
    <w:rsid w:val="039D7B38"/>
    <w:rsid w:val="03B46C2F"/>
    <w:rsid w:val="03C54999"/>
    <w:rsid w:val="03E372CE"/>
    <w:rsid w:val="04284333"/>
    <w:rsid w:val="04344818"/>
    <w:rsid w:val="0535762D"/>
    <w:rsid w:val="054D10EA"/>
    <w:rsid w:val="059B00A7"/>
    <w:rsid w:val="05B92B63"/>
    <w:rsid w:val="05D13AC9"/>
    <w:rsid w:val="05DF3F05"/>
    <w:rsid w:val="05E06971"/>
    <w:rsid w:val="05F95366"/>
    <w:rsid w:val="0648365F"/>
    <w:rsid w:val="06C675E3"/>
    <w:rsid w:val="06CC2B97"/>
    <w:rsid w:val="06FE6B3F"/>
    <w:rsid w:val="070E6657"/>
    <w:rsid w:val="071E0F8F"/>
    <w:rsid w:val="0721282E"/>
    <w:rsid w:val="07397B77"/>
    <w:rsid w:val="07576777"/>
    <w:rsid w:val="07952044"/>
    <w:rsid w:val="079B438E"/>
    <w:rsid w:val="07A33243"/>
    <w:rsid w:val="07B471FE"/>
    <w:rsid w:val="07E15B19"/>
    <w:rsid w:val="07EA70C4"/>
    <w:rsid w:val="07F50F6B"/>
    <w:rsid w:val="081952B3"/>
    <w:rsid w:val="082A3964"/>
    <w:rsid w:val="08444A26"/>
    <w:rsid w:val="08444D3B"/>
    <w:rsid w:val="08BA4CE8"/>
    <w:rsid w:val="08E81855"/>
    <w:rsid w:val="09310F40"/>
    <w:rsid w:val="09457501"/>
    <w:rsid w:val="09595312"/>
    <w:rsid w:val="09683BE0"/>
    <w:rsid w:val="09727371"/>
    <w:rsid w:val="097F0B5A"/>
    <w:rsid w:val="0AC06FF5"/>
    <w:rsid w:val="0AD32091"/>
    <w:rsid w:val="0ADB2CF4"/>
    <w:rsid w:val="0B0A6285"/>
    <w:rsid w:val="0B105525"/>
    <w:rsid w:val="0B220922"/>
    <w:rsid w:val="0B3B3792"/>
    <w:rsid w:val="0B5635A2"/>
    <w:rsid w:val="0B896BF3"/>
    <w:rsid w:val="0BED12B4"/>
    <w:rsid w:val="0BFC0384"/>
    <w:rsid w:val="0C1217F0"/>
    <w:rsid w:val="0C300B2E"/>
    <w:rsid w:val="0C3C77C2"/>
    <w:rsid w:val="0C9F66CF"/>
    <w:rsid w:val="0CCC34EB"/>
    <w:rsid w:val="0D722AE9"/>
    <w:rsid w:val="0D9A13CE"/>
    <w:rsid w:val="0DA47D15"/>
    <w:rsid w:val="0DED346A"/>
    <w:rsid w:val="0DFA7935"/>
    <w:rsid w:val="0E0F009D"/>
    <w:rsid w:val="0E424B5A"/>
    <w:rsid w:val="0E4523C1"/>
    <w:rsid w:val="0E464928"/>
    <w:rsid w:val="0E470BD3"/>
    <w:rsid w:val="0E5C239D"/>
    <w:rsid w:val="0EAA60E0"/>
    <w:rsid w:val="0EB77246"/>
    <w:rsid w:val="0ECA7307"/>
    <w:rsid w:val="0EF25639"/>
    <w:rsid w:val="0F063D14"/>
    <w:rsid w:val="0F0E1587"/>
    <w:rsid w:val="0F1F6A0C"/>
    <w:rsid w:val="0F344BCF"/>
    <w:rsid w:val="0F59068B"/>
    <w:rsid w:val="0F672951"/>
    <w:rsid w:val="0F672DA8"/>
    <w:rsid w:val="0F707EAE"/>
    <w:rsid w:val="0FA60B26"/>
    <w:rsid w:val="0FC03CC5"/>
    <w:rsid w:val="0FC34DF0"/>
    <w:rsid w:val="0FD13037"/>
    <w:rsid w:val="0FDC3796"/>
    <w:rsid w:val="0FF85EDB"/>
    <w:rsid w:val="10565145"/>
    <w:rsid w:val="10B85FB1"/>
    <w:rsid w:val="11380EA0"/>
    <w:rsid w:val="114D46C0"/>
    <w:rsid w:val="11C73FD2"/>
    <w:rsid w:val="11EC3A38"/>
    <w:rsid w:val="12130FC5"/>
    <w:rsid w:val="122E4051"/>
    <w:rsid w:val="128B1394"/>
    <w:rsid w:val="12CA5B28"/>
    <w:rsid w:val="1305347A"/>
    <w:rsid w:val="1360648C"/>
    <w:rsid w:val="13890CC4"/>
    <w:rsid w:val="13CC5A27"/>
    <w:rsid w:val="13DA623E"/>
    <w:rsid w:val="143C33E3"/>
    <w:rsid w:val="14454E03"/>
    <w:rsid w:val="148D32B1"/>
    <w:rsid w:val="14B33B02"/>
    <w:rsid w:val="14FC21E4"/>
    <w:rsid w:val="15433117"/>
    <w:rsid w:val="154F26B5"/>
    <w:rsid w:val="15A62D19"/>
    <w:rsid w:val="15DF4B06"/>
    <w:rsid w:val="16677B31"/>
    <w:rsid w:val="16B94C8C"/>
    <w:rsid w:val="16DB47A7"/>
    <w:rsid w:val="16DE7DF3"/>
    <w:rsid w:val="16FC64CC"/>
    <w:rsid w:val="17140673"/>
    <w:rsid w:val="17335AB8"/>
    <w:rsid w:val="17725B24"/>
    <w:rsid w:val="17D67188"/>
    <w:rsid w:val="17F92A0B"/>
    <w:rsid w:val="18117A91"/>
    <w:rsid w:val="183121A5"/>
    <w:rsid w:val="18470643"/>
    <w:rsid w:val="187F1162"/>
    <w:rsid w:val="18AA0F39"/>
    <w:rsid w:val="18C61BC8"/>
    <w:rsid w:val="18C80786"/>
    <w:rsid w:val="18E55A10"/>
    <w:rsid w:val="18FC0A05"/>
    <w:rsid w:val="19000693"/>
    <w:rsid w:val="190B2632"/>
    <w:rsid w:val="19106403"/>
    <w:rsid w:val="19277699"/>
    <w:rsid w:val="19297320"/>
    <w:rsid w:val="197B7B2D"/>
    <w:rsid w:val="19BC5265"/>
    <w:rsid w:val="19D11E91"/>
    <w:rsid w:val="19E6554B"/>
    <w:rsid w:val="1A3E56E2"/>
    <w:rsid w:val="1A513357"/>
    <w:rsid w:val="1A643017"/>
    <w:rsid w:val="1A8823FD"/>
    <w:rsid w:val="1AC47300"/>
    <w:rsid w:val="1B244243"/>
    <w:rsid w:val="1B3758EF"/>
    <w:rsid w:val="1B7C7BDB"/>
    <w:rsid w:val="1BC206A3"/>
    <w:rsid w:val="1BDA5895"/>
    <w:rsid w:val="1BFE2CE6"/>
    <w:rsid w:val="1C247350"/>
    <w:rsid w:val="1C580BFD"/>
    <w:rsid w:val="1CD53A47"/>
    <w:rsid w:val="1D1976A4"/>
    <w:rsid w:val="1DB63878"/>
    <w:rsid w:val="1DDC5D8A"/>
    <w:rsid w:val="1E05035C"/>
    <w:rsid w:val="1E4733E3"/>
    <w:rsid w:val="1E5B61CE"/>
    <w:rsid w:val="1E8079E2"/>
    <w:rsid w:val="1E870D71"/>
    <w:rsid w:val="1ECC70CB"/>
    <w:rsid w:val="1ED35C11"/>
    <w:rsid w:val="1EE3611A"/>
    <w:rsid w:val="1F0423C1"/>
    <w:rsid w:val="1F562301"/>
    <w:rsid w:val="1F5D0F05"/>
    <w:rsid w:val="1F7312F5"/>
    <w:rsid w:val="1F8F340E"/>
    <w:rsid w:val="20014C4D"/>
    <w:rsid w:val="201E3957"/>
    <w:rsid w:val="20C05F1B"/>
    <w:rsid w:val="20C77B4A"/>
    <w:rsid w:val="20D12777"/>
    <w:rsid w:val="21013A21"/>
    <w:rsid w:val="21B614D3"/>
    <w:rsid w:val="21B865F5"/>
    <w:rsid w:val="21D17CF8"/>
    <w:rsid w:val="21DF6DEE"/>
    <w:rsid w:val="21E97C9E"/>
    <w:rsid w:val="22094EF8"/>
    <w:rsid w:val="221E19EC"/>
    <w:rsid w:val="222A65E3"/>
    <w:rsid w:val="22355B6E"/>
    <w:rsid w:val="22664026"/>
    <w:rsid w:val="226D26AF"/>
    <w:rsid w:val="22B67745"/>
    <w:rsid w:val="2318468D"/>
    <w:rsid w:val="232623FE"/>
    <w:rsid w:val="239C07D8"/>
    <w:rsid w:val="23A423C5"/>
    <w:rsid w:val="23BA1BE8"/>
    <w:rsid w:val="23DC390D"/>
    <w:rsid w:val="23FB6C61"/>
    <w:rsid w:val="24503617"/>
    <w:rsid w:val="24C17577"/>
    <w:rsid w:val="24C26FA6"/>
    <w:rsid w:val="24C90617"/>
    <w:rsid w:val="250F356E"/>
    <w:rsid w:val="25830E85"/>
    <w:rsid w:val="25975FC6"/>
    <w:rsid w:val="259C56A9"/>
    <w:rsid w:val="25DF77C5"/>
    <w:rsid w:val="26061115"/>
    <w:rsid w:val="26141E39"/>
    <w:rsid w:val="261D0241"/>
    <w:rsid w:val="266F6CBA"/>
    <w:rsid w:val="26706298"/>
    <w:rsid w:val="269B2927"/>
    <w:rsid w:val="274665B7"/>
    <w:rsid w:val="274A3DA9"/>
    <w:rsid w:val="276D4C1B"/>
    <w:rsid w:val="27A47FDD"/>
    <w:rsid w:val="27CB488E"/>
    <w:rsid w:val="27DF5779"/>
    <w:rsid w:val="27F37B5A"/>
    <w:rsid w:val="299D42CA"/>
    <w:rsid w:val="299D58EC"/>
    <w:rsid w:val="29B42C36"/>
    <w:rsid w:val="29DA6B40"/>
    <w:rsid w:val="2A771ED4"/>
    <w:rsid w:val="2A862824"/>
    <w:rsid w:val="2AC9703A"/>
    <w:rsid w:val="2B470A4E"/>
    <w:rsid w:val="2B732DA8"/>
    <w:rsid w:val="2B990335"/>
    <w:rsid w:val="2BCC24B9"/>
    <w:rsid w:val="2BDE5221"/>
    <w:rsid w:val="2BF37A45"/>
    <w:rsid w:val="2BF770A9"/>
    <w:rsid w:val="2C171EF5"/>
    <w:rsid w:val="2C541BEC"/>
    <w:rsid w:val="2CA614FA"/>
    <w:rsid w:val="2CB5119F"/>
    <w:rsid w:val="2CE45F9B"/>
    <w:rsid w:val="2CF63C91"/>
    <w:rsid w:val="2CF7293F"/>
    <w:rsid w:val="2CF945C2"/>
    <w:rsid w:val="2D200D0E"/>
    <w:rsid w:val="2D2834C5"/>
    <w:rsid w:val="2D346567"/>
    <w:rsid w:val="2D377615"/>
    <w:rsid w:val="2D571192"/>
    <w:rsid w:val="2D5A7455"/>
    <w:rsid w:val="2D6C3F53"/>
    <w:rsid w:val="2D6E3085"/>
    <w:rsid w:val="2D9E60D7"/>
    <w:rsid w:val="2DEC299E"/>
    <w:rsid w:val="2DFD4BAB"/>
    <w:rsid w:val="2E2231CA"/>
    <w:rsid w:val="2E6102A1"/>
    <w:rsid w:val="2E673A30"/>
    <w:rsid w:val="2E884DBD"/>
    <w:rsid w:val="2E933762"/>
    <w:rsid w:val="2E992738"/>
    <w:rsid w:val="2E9C2616"/>
    <w:rsid w:val="2EB57234"/>
    <w:rsid w:val="2EFA1199"/>
    <w:rsid w:val="2F1403FE"/>
    <w:rsid w:val="2F1A5892"/>
    <w:rsid w:val="2F1E618A"/>
    <w:rsid w:val="2F1F6DA3"/>
    <w:rsid w:val="2F251407"/>
    <w:rsid w:val="2F8D01B1"/>
    <w:rsid w:val="2F8D0EA8"/>
    <w:rsid w:val="2F937AFA"/>
    <w:rsid w:val="2F994DA8"/>
    <w:rsid w:val="2FAA48BF"/>
    <w:rsid w:val="2FD14541"/>
    <w:rsid w:val="2FF40574"/>
    <w:rsid w:val="30036FFF"/>
    <w:rsid w:val="30073ABF"/>
    <w:rsid w:val="30077F63"/>
    <w:rsid w:val="304E2C57"/>
    <w:rsid w:val="306F78E5"/>
    <w:rsid w:val="308A26A8"/>
    <w:rsid w:val="30997731"/>
    <w:rsid w:val="30B434BA"/>
    <w:rsid w:val="30D81900"/>
    <w:rsid w:val="30E014C3"/>
    <w:rsid w:val="30EB1633"/>
    <w:rsid w:val="30F82A24"/>
    <w:rsid w:val="3189350C"/>
    <w:rsid w:val="31A422DF"/>
    <w:rsid w:val="31DB3455"/>
    <w:rsid w:val="31E247E4"/>
    <w:rsid w:val="31E607C9"/>
    <w:rsid w:val="3200580A"/>
    <w:rsid w:val="320C1870"/>
    <w:rsid w:val="32127826"/>
    <w:rsid w:val="322E7A29"/>
    <w:rsid w:val="323F3D9E"/>
    <w:rsid w:val="325E6865"/>
    <w:rsid w:val="32C959A4"/>
    <w:rsid w:val="32FC18D5"/>
    <w:rsid w:val="33727DEA"/>
    <w:rsid w:val="33CA5530"/>
    <w:rsid w:val="33FC5905"/>
    <w:rsid w:val="33FF4486"/>
    <w:rsid w:val="34154A72"/>
    <w:rsid w:val="34691BF9"/>
    <w:rsid w:val="347413B3"/>
    <w:rsid w:val="34A32E3F"/>
    <w:rsid w:val="35487054"/>
    <w:rsid w:val="35683DE9"/>
    <w:rsid w:val="357C4F4F"/>
    <w:rsid w:val="358E7A9E"/>
    <w:rsid w:val="35CF7305"/>
    <w:rsid w:val="36016994"/>
    <w:rsid w:val="36104B37"/>
    <w:rsid w:val="3659703F"/>
    <w:rsid w:val="368232B6"/>
    <w:rsid w:val="36C643E9"/>
    <w:rsid w:val="36F01751"/>
    <w:rsid w:val="370313A7"/>
    <w:rsid w:val="37123CED"/>
    <w:rsid w:val="37364881"/>
    <w:rsid w:val="373C39F1"/>
    <w:rsid w:val="37421881"/>
    <w:rsid w:val="37441A9D"/>
    <w:rsid w:val="375021F0"/>
    <w:rsid w:val="375B4F88"/>
    <w:rsid w:val="37BC6388"/>
    <w:rsid w:val="37C404E8"/>
    <w:rsid w:val="37FB060D"/>
    <w:rsid w:val="38431D54"/>
    <w:rsid w:val="385F7EA5"/>
    <w:rsid w:val="389B749B"/>
    <w:rsid w:val="389C0A0B"/>
    <w:rsid w:val="38B92017"/>
    <w:rsid w:val="391159AF"/>
    <w:rsid w:val="39224D6F"/>
    <w:rsid w:val="392E59B4"/>
    <w:rsid w:val="39543D0A"/>
    <w:rsid w:val="396445F3"/>
    <w:rsid w:val="39767B9A"/>
    <w:rsid w:val="39D639FE"/>
    <w:rsid w:val="3A175247"/>
    <w:rsid w:val="3A2550DD"/>
    <w:rsid w:val="3A2B0CF2"/>
    <w:rsid w:val="3A3E0A25"/>
    <w:rsid w:val="3A691396"/>
    <w:rsid w:val="3A831862"/>
    <w:rsid w:val="3A9E261D"/>
    <w:rsid w:val="3AAB3F75"/>
    <w:rsid w:val="3B3911ED"/>
    <w:rsid w:val="3B9C1479"/>
    <w:rsid w:val="3C2F4917"/>
    <w:rsid w:val="3C3E2F5F"/>
    <w:rsid w:val="3C88648F"/>
    <w:rsid w:val="3CDC1D33"/>
    <w:rsid w:val="3CF17FD1"/>
    <w:rsid w:val="3D163594"/>
    <w:rsid w:val="3D2551B7"/>
    <w:rsid w:val="3D2A703F"/>
    <w:rsid w:val="3D2F0AD6"/>
    <w:rsid w:val="3D2F0AF9"/>
    <w:rsid w:val="3D3659E4"/>
    <w:rsid w:val="3D971EA2"/>
    <w:rsid w:val="3DB35286"/>
    <w:rsid w:val="3DC72AE0"/>
    <w:rsid w:val="3DF151A7"/>
    <w:rsid w:val="3E247F32"/>
    <w:rsid w:val="3E9776C5"/>
    <w:rsid w:val="3E9D3838"/>
    <w:rsid w:val="3EB42C76"/>
    <w:rsid w:val="3EC60FE9"/>
    <w:rsid w:val="3EDC6214"/>
    <w:rsid w:val="3F0A537A"/>
    <w:rsid w:val="3F4A1C1A"/>
    <w:rsid w:val="3F5B3E28"/>
    <w:rsid w:val="3F5E56C6"/>
    <w:rsid w:val="3F797C8F"/>
    <w:rsid w:val="3F80388E"/>
    <w:rsid w:val="3FAC745B"/>
    <w:rsid w:val="3FB6105E"/>
    <w:rsid w:val="3FC306F2"/>
    <w:rsid w:val="3FC733A8"/>
    <w:rsid w:val="3FCB2D5B"/>
    <w:rsid w:val="3FCC4F7F"/>
    <w:rsid w:val="3FE45BCB"/>
    <w:rsid w:val="40436D96"/>
    <w:rsid w:val="40477F08"/>
    <w:rsid w:val="40750F19"/>
    <w:rsid w:val="40793F3F"/>
    <w:rsid w:val="409A683A"/>
    <w:rsid w:val="40B437EF"/>
    <w:rsid w:val="40D043A1"/>
    <w:rsid w:val="40E12FE8"/>
    <w:rsid w:val="414D59F2"/>
    <w:rsid w:val="415154E2"/>
    <w:rsid w:val="41B82358"/>
    <w:rsid w:val="421B789E"/>
    <w:rsid w:val="42536B3D"/>
    <w:rsid w:val="429F0276"/>
    <w:rsid w:val="42B847B4"/>
    <w:rsid w:val="43411CF2"/>
    <w:rsid w:val="439F57A4"/>
    <w:rsid w:val="43C74575"/>
    <w:rsid w:val="43FA3ABF"/>
    <w:rsid w:val="44F00032"/>
    <w:rsid w:val="45097E82"/>
    <w:rsid w:val="455416DC"/>
    <w:rsid w:val="45706093"/>
    <w:rsid w:val="45A81C96"/>
    <w:rsid w:val="45B42C24"/>
    <w:rsid w:val="45C33AC6"/>
    <w:rsid w:val="461B1C1B"/>
    <w:rsid w:val="46256F3D"/>
    <w:rsid w:val="464B24B1"/>
    <w:rsid w:val="464F1A25"/>
    <w:rsid w:val="46893028"/>
    <w:rsid w:val="469B0D50"/>
    <w:rsid w:val="46BC33FE"/>
    <w:rsid w:val="46D149CF"/>
    <w:rsid w:val="46E01EF3"/>
    <w:rsid w:val="46F830F8"/>
    <w:rsid w:val="4701087D"/>
    <w:rsid w:val="47046B53"/>
    <w:rsid w:val="470B1C8F"/>
    <w:rsid w:val="47490A0A"/>
    <w:rsid w:val="475E2707"/>
    <w:rsid w:val="476720F8"/>
    <w:rsid w:val="47A33F4F"/>
    <w:rsid w:val="47A34D37"/>
    <w:rsid w:val="47B40579"/>
    <w:rsid w:val="47BD572C"/>
    <w:rsid w:val="47CD5197"/>
    <w:rsid w:val="4807074F"/>
    <w:rsid w:val="484A67E7"/>
    <w:rsid w:val="485E687F"/>
    <w:rsid w:val="486125B1"/>
    <w:rsid w:val="49396F88"/>
    <w:rsid w:val="496C0591"/>
    <w:rsid w:val="497D6CA8"/>
    <w:rsid w:val="498256B8"/>
    <w:rsid w:val="49A32653"/>
    <w:rsid w:val="49B66A74"/>
    <w:rsid w:val="49C11094"/>
    <w:rsid w:val="49CF169A"/>
    <w:rsid w:val="49DC3DB7"/>
    <w:rsid w:val="49E30CA1"/>
    <w:rsid w:val="49F11610"/>
    <w:rsid w:val="4A0D1AB3"/>
    <w:rsid w:val="4A172C1E"/>
    <w:rsid w:val="4A1C41B3"/>
    <w:rsid w:val="4A5907A7"/>
    <w:rsid w:val="4A7E749E"/>
    <w:rsid w:val="4A9F10DB"/>
    <w:rsid w:val="4B0E268C"/>
    <w:rsid w:val="4B2E67E5"/>
    <w:rsid w:val="4B367F5F"/>
    <w:rsid w:val="4B3F0159"/>
    <w:rsid w:val="4B5E0F27"/>
    <w:rsid w:val="4B647BC0"/>
    <w:rsid w:val="4B826816"/>
    <w:rsid w:val="4B8F3432"/>
    <w:rsid w:val="4BCF3BD3"/>
    <w:rsid w:val="4BD905AE"/>
    <w:rsid w:val="4C107D48"/>
    <w:rsid w:val="4C404189"/>
    <w:rsid w:val="4C547C35"/>
    <w:rsid w:val="4CD32344"/>
    <w:rsid w:val="4D1D271C"/>
    <w:rsid w:val="4D904398"/>
    <w:rsid w:val="4D9B2D4C"/>
    <w:rsid w:val="4DCD5EF0"/>
    <w:rsid w:val="4DE24E53"/>
    <w:rsid w:val="4DF55447"/>
    <w:rsid w:val="4DF85023"/>
    <w:rsid w:val="4E1A4EAE"/>
    <w:rsid w:val="4E51309C"/>
    <w:rsid w:val="4E6A304A"/>
    <w:rsid w:val="4EAC01FC"/>
    <w:rsid w:val="4EB67E4F"/>
    <w:rsid w:val="4F10078B"/>
    <w:rsid w:val="4F180F6D"/>
    <w:rsid w:val="4F7D39F4"/>
    <w:rsid w:val="4FC13833"/>
    <w:rsid w:val="501669E8"/>
    <w:rsid w:val="50333639"/>
    <w:rsid w:val="503F314A"/>
    <w:rsid w:val="5049071F"/>
    <w:rsid w:val="5055523B"/>
    <w:rsid w:val="50B404AC"/>
    <w:rsid w:val="512A680F"/>
    <w:rsid w:val="51363DAD"/>
    <w:rsid w:val="51502C40"/>
    <w:rsid w:val="515311FD"/>
    <w:rsid w:val="51836691"/>
    <w:rsid w:val="51903ADB"/>
    <w:rsid w:val="51983176"/>
    <w:rsid w:val="51E7154B"/>
    <w:rsid w:val="51FB409D"/>
    <w:rsid w:val="521A722A"/>
    <w:rsid w:val="52404410"/>
    <w:rsid w:val="528C1D4E"/>
    <w:rsid w:val="529B480F"/>
    <w:rsid w:val="52A412CF"/>
    <w:rsid w:val="52B61649"/>
    <w:rsid w:val="52BC29D7"/>
    <w:rsid w:val="53165C44"/>
    <w:rsid w:val="531B22DB"/>
    <w:rsid w:val="537B293C"/>
    <w:rsid w:val="53A6721A"/>
    <w:rsid w:val="54324CFF"/>
    <w:rsid w:val="543575DF"/>
    <w:rsid w:val="544E36B1"/>
    <w:rsid w:val="54873B96"/>
    <w:rsid w:val="54AF45A2"/>
    <w:rsid w:val="54BF1612"/>
    <w:rsid w:val="54D47B64"/>
    <w:rsid w:val="54F57361"/>
    <w:rsid w:val="551B39E5"/>
    <w:rsid w:val="551F7EBA"/>
    <w:rsid w:val="55523002"/>
    <w:rsid w:val="557234F5"/>
    <w:rsid w:val="56080E28"/>
    <w:rsid w:val="563A7E9B"/>
    <w:rsid w:val="564156CE"/>
    <w:rsid w:val="567732E6"/>
    <w:rsid w:val="56B637B6"/>
    <w:rsid w:val="56F3629C"/>
    <w:rsid w:val="5733141F"/>
    <w:rsid w:val="578B1008"/>
    <w:rsid w:val="57FA0181"/>
    <w:rsid w:val="57FB47AE"/>
    <w:rsid w:val="58A37CF6"/>
    <w:rsid w:val="58E02906"/>
    <w:rsid w:val="58E16CF4"/>
    <w:rsid w:val="58E446C9"/>
    <w:rsid w:val="58F85DEC"/>
    <w:rsid w:val="59047560"/>
    <w:rsid w:val="59162E41"/>
    <w:rsid w:val="591E23E1"/>
    <w:rsid w:val="593C2BA3"/>
    <w:rsid w:val="594F0101"/>
    <w:rsid w:val="59665BE1"/>
    <w:rsid w:val="5975743C"/>
    <w:rsid w:val="59823B14"/>
    <w:rsid w:val="59B14918"/>
    <w:rsid w:val="59C33A3E"/>
    <w:rsid w:val="59C503C4"/>
    <w:rsid w:val="59D10B16"/>
    <w:rsid w:val="59DF059A"/>
    <w:rsid w:val="59EE525F"/>
    <w:rsid w:val="59F9295B"/>
    <w:rsid w:val="59FA1835"/>
    <w:rsid w:val="5A02006D"/>
    <w:rsid w:val="5A04713E"/>
    <w:rsid w:val="5A2A7B93"/>
    <w:rsid w:val="5A4E03B9"/>
    <w:rsid w:val="5AA77DB5"/>
    <w:rsid w:val="5AB65EE9"/>
    <w:rsid w:val="5AC62645"/>
    <w:rsid w:val="5AE84831"/>
    <w:rsid w:val="5B155FCB"/>
    <w:rsid w:val="5B2E3D47"/>
    <w:rsid w:val="5B526448"/>
    <w:rsid w:val="5B9317DB"/>
    <w:rsid w:val="5B9C5AAD"/>
    <w:rsid w:val="5BBB7CD0"/>
    <w:rsid w:val="5BFB086D"/>
    <w:rsid w:val="5C0E2225"/>
    <w:rsid w:val="5C4C0240"/>
    <w:rsid w:val="5C61579B"/>
    <w:rsid w:val="5C735194"/>
    <w:rsid w:val="5C9F3FFC"/>
    <w:rsid w:val="5CA17555"/>
    <w:rsid w:val="5CA50038"/>
    <w:rsid w:val="5CCB7A9F"/>
    <w:rsid w:val="5CCD4100"/>
    <w:rsid w:val="5CE34B66"/>
    <w:rsid w:val="5D42659E"/>
    <w:rsid w:val="5D621868"/>
    <w:rsid w:val="5D634635"/>
    <w:rsid w:val="5D7013EE"/>
    <w:rsid w:val="5D867E6A"/>
    <w:rsid w:val="5DA62893"/>
    <w:rsid w:val="5DC5275A"/>
    <w:rsid w:val="5DFD637E"/>
    <w:rsid w:val="5E785A05"/>
    <w:rsid w:val="5E824AD5"/>
    <w:rsid w:val="5EB96C36"/>
    <w:rsid w:val="5EBA426F"/>
    <w:rsid w:val="5ED85D88"/>
    <w:rsid w:val="5F313B53"/>
    <w:rsid w:val="5F385194"/>
    <w:rsid w:val="5F3A53B0"/>
    <w:rsid w:val="5FB152B9"/>
    <w:rsid w:val="5FB25344"/>
    <w:rsid w:val="5FB50182"/>
    <w:rsid w:val="5FEC48FC"/>
    <w:rsid w:val="605C0900"/>
    <w:rsid w:val="60885CA7"/>
    <w:rsid w:val="609C542E"/>
    <w:rsid w:val="616E1341"/>
    <w:rsid w:val="619A736A"/>
    <w:rsid w:val="61A134C4"/>
    <w:rsid w:val="61D6007B"/>
    <w:rsid w:val="61DF5D9B"/>
    <w:rsid w:val="61F3516C"/>
    <w:rsid w:val="620D5E36"/>
    <w:rsid w:val="621625BE"/>
    <w:rsid w:val="622D4D58"/>
    <w:rsid w:val="62854B94"/>
    <w:rsid w:val="62952214"/>
    <w:rsid w:val="62D84CC4"/>
    <w:rsid w:val="632077B4"/>
    <w:rsid w:val="632C3D08"/>
    <w:rsid w:val="63314817"/>
    <w:rsid w:val="635822A8"/>
    <w:rsid w:val="635C3B47"/>
    <w:rsid w:val="63FE1652"/>
    <w:rsid w:val="64061D04"/>
    <w:rsid w:val="645541F9"/>
    <w:rsid w:val="648C180A"/>
    <w:rsid w:val="64CD637E"/>
    <w:rsid w:val="64E5123A"/>
    <w:rsid w:val="653428EA"/>
    <w:rsid w:val="65532D27"/>
    <w:rsid w:val="655F791E"/>
    <w:rsid w:val="65BC6B1F"/>
    <w:rsid w:val="65D33DA4"/>
    <w:rsid w:val="66482160"/>
    <w:rsid w:val="6654240A"/>
    <w:rsid w:val="669F1927"/>
    <w:rsid w:val="66AF22B7"/>
    <w:rsid w:val="67277FC8"/>
    <w:rsid w:val="672B6D3E"/>
    <w:rsid w:val="675379F3"/>
    <w:rsid w:val="67982FB2"/>
    <w:rsid w:val="67B62DCC"/>
    <w:rsid w:val="67EE6D37"/>
    <w:rsid w:val="680E73DA"/>
    <w:rsid w:val="68126ECA"/>
    <w:rsid w:val="682A65AB"/>
    <w:rsid w:val="684F3094"/>
    <w:rsid w:val="68886FC7"/>
    <w:rsid w:val="68BC6E36"/>
    <w:rsid w:val="694330B3"/>
    <w:rsid w:val="694E624C"/>
    <w:rsid w:val="69605A13"/>
    <w:rsid w:val="698C734E"/>
    <w:rsid w:val="699543C8"/>
    <w:rsid w:val="69BD514B"/>
    <w:rsid w:val="6A301889"/>
    <w:rsid w:val="6A3F387A"/>
    <w:rsid w:val="6A80346D"/>
    <w:rsid w:val="6AC71E7B"/>
    <w:rsid w:val="6ACA583A"/>
    <w:rsid w:val="6AE368FC"/>
    <w:rsid w:val="6AEC6501"/>
    <w:rsid w:val="6AF01018"/>
    <w:rsid w:val="6B0431EC"/>
    <w:rsid w:val="6BAC13E3"/>
    <w:rsid w:val="6C02704F"/>
    <w:rsid w:val="6C315445"/>
    <w:rsid w:val="6C5A499B"/>
    <w:rsid w:val="6C5C11C9"/>
    <w:rsid w:val="6CC36596"/>
    <w:rsid w:val="6CD17F9C"/>
    <w:rsid w:val="6CD3617E"/>
    <w:rsid w:val="6CFA6160"/>
    <w:rsid w:val="6D0B038C"/>
    <w:rsid w:val="6D1C5C94"/>
    <w:rsid w:val="6D727A37"/>
    <w:rsid w:val="6DA31507"/>
    <w:rsid w:val="6E19713D"/>
    <w:rsid w:val="6E5813AF"/>
    <w:rsid w:val="6E5D69C5"/>
    <w:rsid w:val="6E745C57"/>
    <w:rsid w:val="6E8D77E2"/>
    <w:rsid w:val="6E923C2D"/>
    <w:rsid w:val="6EBF1A77"/>
    <w:rsid w:val="6EC00BE2"/>
    <w:rsid w:val="6EC97CD5"/>
    <w:rsid w:val="6F2560EA"/>
    <w:rsid w:val="6F915675"/>
    <w:rsid w:val="6FC7611B"/>
    <w:rsid w:val="6FEB735C"/>
    <w:rsid w:val="702A0B29"/>
    <w:rsid w:val="707F4466"/>
    <w:rsid w:val="70B22DC9"/>
    <w:rsid w:val="70CE3BAA"/>
    <w:rsid w:val="70DD3FC2"/>
    <w:rsid w:val="71436346"/>
    <w:rsid w:val="718E2D57"/>
    <w:rsid w:val="71C46F1C"/>
    <w:rsid w:val="7234691D"/>
    <w:rsid w:val="72856038"/>
    <w:rsid w:val="72895FDA"/>
    <w:rsid w:val="729624A5"/>
    <w:rsid w:val="72D0112D"/>
    <w:rsid w:val="72E773E5"/>
    <w:rsid w:val="73515B69"/>
    <w:rsid w:val="73625331"/>
    <w:rsid w:val="73656370"/>
    <w:rsid w:val="73A6496A"/>
    <w:rsid w:val="73D57E67"/>
    <w:rsid w:val="73EB22BF"/>
    <w:rsid w:val="74091FB6"/>
    <w:rsid w:val="742A570F"/>
    <w:rsid w:val="745145CE"/>
    <w:rsid w:val="74716D26"/>
    <w:rsid w:val="74890514"/>
    <w:rsid w:val="75083042"/>
    <w:rsid w:val="751E1C4C"/>
    <w:rsid w:val="75A7324B"/>
    <w:rsid w:val="75BA07D1"/>
    <w:rsid w:val="76DE43A6"/>
    <w:rsid w:val="773A3D47"/>
    <w:rsid w:val="777D3BB6"/>
    <w:rsid w:val="77DC1CC2"/>
    <w:rsid w:val="77EC344A"/>
    <w:rsid w:val="78762B5D"/>
    <w:rsid w:val="78B26C9C"/>
    <w:rsid w:val="78D67634"/>
    <w:rsid w:val="78E81581"/>
    <w:rsid w:val="79295E21"/>
    <w:rsid w:val="793F3897"/>
    <w:rsid w:val="79545F71"/>
    <w:rsid w:val="797D616D"/>
    <w:rsid w:val="79856DD0"/>
    <w:rsid w:val="79A22FCC"/>
    <w:rsid w:val="79E9735F"/>
    <w:rsid w:val="7A41719B"/>
    <w:rsid w:val="7AA35D0F"/>
    <w:rsid w:val="7AF27597"/>
    <w:rsid w:val="7B09415C"/>
    <w:rsid w:val="7B494B47"/>
    <w:rsid w:val="7B851309"/>
    <w:rsid w:val="7B8D6BCE"/>
    <w:rsid w:val="7BDD1145"/>
    <w:rsid w:val="7BE70E9C"/>
    <w:rsid w:val="7BFE17E7"/>
    <w:rsid w:val="7C374CF9"/>
    <w:rsid w:val="7CB925E2"/>
    <w:rsid w:val="7CC813AA"/>
    <w:rsid w:val="7CE51182"/>
    <w:rsid w:val="7DA939D5"/>
    <w:rsid w:val="7DB748F3"/>
    <w:rsid w:val="7DBD2A9C"/>
    <w:rsid w:val="7DC76381"/>
    <w:rsid w:val="7DD13FA4"/>
    <w:rsid w:val="7DD56382"/>
    <w:rsid w:val="7DF33068"/>
    <w:rsid w:val="7E36223B"/>
    <w:rsid w:val="7E435E3D"/>
    <w:rsid w:val="7E4A0251"/>
    <w:rsid w:val="7E525E1A"/>
    <w:rsid w:val="7E5F2F81"/>
    <w:rsid w:val="7E7A4D36"/>
    <w:rsid w:val="7E81400A"/>
    <w:rsid w:val="7EC21F19"/>
    <w:rsid w:val="7EDD6486"/>
    <w:rsid w:val="7EFB0260"/>
    <w:rsid w:val="7F3D4E96"/>
    <w:rsid w:val="7F4354EC"/>
    <w:rsid w:val="7F7626B0"/>
    <w:rsid w:val="7FB3353C"/>
    <w:rsid w:val="7FB63D8B"/>
    <w:rsid w:val="7FD12D6F"/>
    <w:rsid w:val="7FFB9CDB"/>
    <w:rsid w:val="FFECFF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1"/>
    <w:basedOn w:val="1"/>
    <w:next w:val="1"/>
    <w:qFormat/>
    <w:uiPriority w:val="9"/>
    <w:pPr>
      <w:keepNext/>
      <w:keepLines/>
      <w:spacing w:line="700" w:lineRule="exact"/>
      <w:jc w:val="center"/>
      <w:outlineLvl w:val="0"/>
    </w:pPr>
    <w:rPr>
      <w:rFonts w:ascii="Calibri" w:hAnsi="Calibri" w:eastAsia="方正小标宋_GBK" w:cs="Times New Roman"/>
      <w:kern w:val="44"/>
      <w:sz w:val="44"/>
    </w:rPr>
  </w:style>
  <w:style w:type="paragraph" w:styleId="5">
    <w:name w:val="heading 3"/>
    <w:basedOn w:val="1"/>
    <w:next w:val="1"/>
    <w:unhideWhenUsed/>
    <w:qFormat/>
    <w:uiPriority w:val="9"/>
    <w:pPr>
      <w:spacing w:beforeLines="50" w:afterLines="50" w:line="600" w:lineRule="exact"/>
      <w:ind w:firstLine="863" w:firstLineChars="200"/>
      <w:outlineLvl w:val="2"/>
    </w:pPr>
    <w:rPr>
      <w:rFonts w:hint="eastAsia" w:ascii="宋体" w:hAnsi="宋体" w:eastAsia="黑体" w:cs="Times New Roman"/>
      <w:bCs/>
      <w:kern w:val="2"/>
      <w:sz w:val="32"/>
      <w:szCs w:val="27"/>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0"/>
      <w:ind w:firstLine="420"/>
    </w:pPr>
    <w:rPr>
      <w:rFonts w:ascii="Calibri" w:hAnsi="Calibri"/>
    </w:rPr>
  </w:style>
  <w:style w:type="paragraph" w:styleId="3">
    <w:name w:val="Body Text Indent"/>
    <w:basedOn w:val="1"/>
    <w:unhideWhenUsed/>
    <w:qFormat/>
    <w:uiPriority w:val="0"/>
    <w:pPr>
      <w:spacing w:after="120"/>
      <w:ind w:left="420" w:leftChars="200"/>
    </w:pPr>
  </w:style>
  <w:style w:type="paragraph" w:styleId="6">
    <w:name w:val="Body Text"/>
    <w:basedOn w:val="1"/>
    <w:semiHidden/>
    <w:qFormat/>
    <w:uiPriority w:val="0"/>
    <w:rPr>
      <w:rFonts w:ascii="仿宋" w:hAnsi="仿宋" w:eastAsia="仿宋" w:cs="仿宋"/>
      <w:sz w:val="31"/>
      <w:szCs w:val="31"/>
    </w:rPr>
  </w:style>
  <w:style w:type="paragraph" w:styleId="7">
    <w:name w:val="footer"/>
    <w:basedOn w:val="1"/>
    <w:qFormat/>
    <w:uiPriority w:val="0"/>
    <w:pPr>
      <w:tabs>
        <w:tab w:val="center" w:pos="4153"/>
        <w:tab w:val="right" w:pos="8306"/>
      </w:tabs>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9">
    <w:name w:val="toc 1"/>
    <w:basedOn w:val="1"/>
    <w:next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10">
    <w:name w:val="Normal (Web)"/>
    <w:basedOn w:val="1"/>
    <w:qFormat/>
    <w:uiPriority w:val="0"/>
    <w:pPr>
      <w:spacing w:beforeAutospacing="1" w:afterAutospacing="1"/>
    </w:pPr>
    <w:rPr>
      <w:rFonts w:cs="Times New Roman"/>
      <w:sz w:val="24"/>
      <w:lang w:eastAsia="zh-CN"/>
    </w:rPr>
  </w:style>
  <w:style w:type="character" w:styleId="13">
    <w:name w:val="Strong"/>
    <w:basedOn w:val="12"/>
    <w:qFormat/>
    <w:uiPriority w:val="0"/>
    <w:rPr>
      <w:b/>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style>
  <w:style w:type="paragraph" w:customStyle="1" w:styleId="16">
    <w:name w:val="BodyText1I"/>
    <w:basedOn w:val="1"/>
    <w:qFormat/>
    <w:uiPriority w:val="99"/>
    <w:pPr>
      <w:spacing w:line="360" w:lineRule="auto"/>
      <w:ind w:firstLine="420" w:firstLineChars="100"/>
    </w:pPr>
    <w:rPr>
      <w:sz w:val="28"/>
      <w:szCs w:val="20"/>
    </w:rPr>
  </w:style>
  <w:style w:type="paragraph" w:customStyle="1" w:styleId="17">
    <w:name w:val="Default"/>
    <w:basedOn w:val="1"/>
    <w:qFormat/>
    <w:uiPriority w:val="0"/>
    <w:pPr>
      <w:widowControl w:val="0"/>
      <w:kinsoku/>
      <w:snapToGrid/>
      <w:textAlignment w:val="auto"/>
    </w:pPr>
    <w:rPr>
      <w:rFonts w:ascii="黑体" w:hAnsi="Calibri" w:eastAsia="黑体" w:cs="宋体"/>
      <w:snapToGrid/>
      <w:sz w:val="24"/>
      <w:szCs w:val="24"/>
      <w:lang w:eastAsia="zh-CN"/>
    </w:rPr>
  </w:style>
  <w:style w:type="paragraph" w:styleId="18">
    <w:name w:val="List Paragraph"/>
    <w:basedOn w:val="1"/>
    <w:unhideWhenUsed/>
    <w:qFormat/>
    <w:uiPriority w:val="99"/>
    <w:pPr>
      <w:ind w:firstLine="420" w:firstLineChars="200"/>
    </w:pPr>
  </w:style>
  <w:style w:type="paragraph" w:customStyle="1" w:styleId="19">
    <w:name w:val="列出段落1"/>
    <w:basedOn w:val="1"/>
    <w:qFormat/>
    <w:uiPriority w:val="34"/>
    <w:pPr>
      <w:widowControl w:val="0"/>
      <w:adjustRightInd/>
      <w:snapToGrid/>
      <w:spacing w:after="0" w:line="360" w:lineRule="auto"/>
      <w:ind w:firstLine="420" w:firstLineChars="200"/>
      <w:jc w:val="both"/>
    </w:pPr>
    <w:rPr>
      <w:rFonts w:ascii="等线" w:hAnsi="等线" w:eastAsia="等线" w:cs="Times New Roman"/>
      <w:kern w:val="2"/>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0"/>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7884</Words>
  <Characters>8178</Characters>
  <Lines>10</Lines>
  <Paragraphs>2</Paragraphs>
  <TotalTime>1</TotalTime>
  <ScaleCrop>false</ScaleCrop>
  <LinksUpToDate>false</LinksUpToDate>
  <CharactersWithSpaces>8313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2025-02-26T22:59:00Z</dcterms:created>
  <dc:creator>Kingsoft-PDF</dc:creator>
  <cp:lastModifiedBy>thtf</cp:lastModifiedBy>
  <cp:lastPrinted>2025-03-11T18:39:00Z</cp:lastPrinted>
  <dcterms:modified xsi:type="dcterms:W3CDTF">2025-09-25T17:43:57Z</dcterms:modified>
  <dc:subject>pdfbuilder</dc:subject>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2025-02-26T14:59:37Z</vt:filetime>
  </property>
  <property fmtid="{D5CDD505-2E9C-101B-9397-08002B2CF9AE}" pid="4" name="UsrData">
    <vt:lpwstr>67bebbd2db2cf3001fe95ab1wl</vt:lpwstr>
  </property>
  <property fmtid="{D5CDD505-2E9C-101B-9397-08002B2CF9AE}" pid="5" name="KSOTemplateDocerSaveRecord">
    <vt:lpwstr>eyJoZGlkIjoiYmE3N2Y4ZjMxMDlhNDJlYjVjODJmZGNkZmUzNjBhMGEiLCJ1c2VySWQiOiI4NTAxNjcyNTcifQ==</vt:lpwstr>
  </property>
  <property fmtid="{D5CDD505-2E9C-101B-9397-08002B2CF9AE}" pid="6" name="KSOProductBuildVer">
    <vt:lpwstr>2052-11.8.2.10125</vt:lpwstr>
  </property>
  <property fmtid="{D5CDD505-2E9C-101B-9397-08002B2CF9AE}" pid="7" name="ICV">
    <vt:lpwstr>7AAF754DC0A947628AB5F4330BDDD554_13</vt:lpwstr>
  </property>
</Properties>
</file>